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676" w:rsidRPr="005C3E03" w:rsidRDefault="00B02E24" w:rsidP="00030D58">
      <w:pPr>
        <w:pStyle w:val="TiuTingVit"/>
        <w:rPr>
          <w:rStyle w:val="TiuTingVitChar"/>
          <w:b/>
        </w:rPr>
      </w:pPr>
      <w:r>
        <w:rPr>
          <w:rStyle w:val="TiuTingVitChar"/>
          <w:b/>
        </w:rPr>
        <w:t xml:space="preserve">A </w:t>
      </w:r>
      <w:r w:rsidR="00902B29" w:rsidRPr="00902B29">
        <w:rPr>
          <w:rStyle w:val="TiuTingVitChar"/>
          <w:b/>
        </w:rPr>
        <w:t>COMPARISON OF MEDIA CHANNELS IN PANDEMIC WARNINGS AND THE CONSENT LEVELS OF VIETNAMESE YOUTH</w:t>
      </w:r>
      <w:r w:rsidR="00902B29">
        <w:rPr>
          <w:rStyle w:val="TiuTingVitChar"/>
          <w:b/>
        </w:rPr>
        <w:t>S</w:t>
      </w:r>
      <w:r w:rsidR="00902B29" w:rsidRPr="00902B29">
        <w:rPr>
          <w:rStyle w:val="TiuTingVitChar"/>
          <w:b/>
        </w:rPr>
        <w:t xml:space="preserve"> IN IMPLEMENTING PREVEN</w:t>
      </w:r>
      <w:r w:rsidR="00902B29">
        <w:rPr>
          <w:rStyle w:val="TiuTingVitChar"/>
          <w:b/>
        </w:rPr>
        <w:t>TIVE</w:t>
      </w:r>
      <w:r w:rsidR="00902B29" w:rsidRPr="00902B29">
        <w:rPr>
          <w:rStyle w:val="TiuTingVitChar"/>
          <w:b/>
        </w:rPr>
        <w:t xml:space="preserve"> MEASURES</w:t>
      </w:r>
      <w:r w:rsidR="00902B29">
        <w:rPr>
          <w:rStyle w:val="TiuTingVitChar"/>
          <w:b/>
        </w:rPr>
        <w:t xml:space="preserve"> </w:t>
      </w:r>
      <w:r w:rsidR="00FE2D76" w:rsidRPr="005C3E03">
        <w:rPr>
          <w:rStyle w:val="TiuTingVitChar"/>
          <w:b/>
        </w:rPr>
        <w:t>DURING COVID-19</w:t>
      </w:r>
    </w:p>
    <w:p w:rsidR="002714B7" w:rsidRPr="005C3E03" w:rsidRDefault="002714B7" w:rsidP="002714B7">
      <w:pPr>
        <w:pStyle w:val="Tcgibibo"/>
        <w:rPr>
          <w:rFonts w:eastAsia="Palatino"/>
        </w:rPr>
      </w:pPr>
      <w:r w:rsidRPr="005C3E03">
        <w:t>Hiep Trung Bui</w:t>
      </w:r>
      <w:r w:rsidR="006F4F6E" w:rsidRPr="005C3E03">
        <w:t xml:space="preserve"> </w:t>
      </w:r>
      <w:r w:rsidRPr="005C3E03">
        <w:rPr>
          <w:vertAlign w:val="superscript"/>
        </w:rPr>
        <w:t>1</w:t>
      </w:r>
      <w:r w:rsidR="006F4F6E" w:rsidRPr="005C3E03">
        <w:rPr>
          <w:vertAlign w:val="superscript"/>
        </w:rPr>
        <w:t>,2</w:t>
      </w:r>
      <w:r w:rsidR="006F4F6E" w:rsidRPr="005C3E03">
        <w:t xml:space="preserve">, Tien Thuy Luong </w:t>
      </w:r>
      <w:r w:rsidR="006F4F6E" w:rsidRPr="005C3E03">
        <w:rPr>
          <w:vertAlign w:val="superscript"/>
        </w:rPr>
        <w:t>1</w:t>
      </w:r>
      <w:r w:rsidR="006F4F6E" w:rsidRPr="005C3E03">
        <w:t xml:space="preserve">, Mario Cools </w:t>
      </w:r>
      <w:r w:rsidR="006F4F6E" w:rsidRPr="005C3E03">
        <w:rPr>
          <w:vertAlign w:val="superscript"/>
        </w:rPr>
        <w:t>2</w:t>
      </w:r>
      <w:r w:rsidR="00BD3CD8" w:rsidRPr="005C3E03">
        <w:rPr>
          <w:vertAlign w:val="superscript"/>
        </w:rPr>
        <w:t>,3,4</w:t>
      </w:r>
      <w:r w:rsidR="006F4F6E" w:rsidRPr="005C3E03">
        <w:t xml:space="preserve"> </w:t>
      </w:r>
    </w:p>
    <w:p w:rsidR="002714B7" w:rsidRPr="005C3E03" w:rsidRDefault="002714B7" w:rsidP="00BD3CD8">
      <w:pPr>
        <w:pStyle w:val="nvcngtc-Emailtcgi"/>
        <w:rPr>
          <w:rFonts w:eastAsia="Palatino"/>
          <w:b/>
          <w:iCs/>
        </w:rPr>
      </w:pPr>
      <w:r w:rsidRPr="005C3E03">
        <w:rPr>
          <w:vertAlign w:val="superscript"/>
        </w:rPr>
        <w:t>1</w:t>
      </w:r>
      <w:r w:rsidR="0070342D" w:rsidRPr="005C3E03">
        <w:rPr>
          <w:rStyle w:val="TcgibiboChar"/>
          <w:b w:val="0"/>
          <w:i/>
        </w:rPr>
        <w:t>University of Economics -</w:t>
      </w:r>
      <w:r w:rsidRPr="005C3E03">
        <w:rPr>
          <w:rStyle w:val="TcgibiboChar"/>
          <w:b w:val="0"/>
          <w:i/>
        </w:rPr>
        <w:t xml:space="preserve"> The University of Danang, 71 Ngu Hanh Son, 550000 Danang, Vietnam</w:t>
      </w:r>
    </w:p>
    <w:p w:rsidR="006F4F6E" w:rsidRPr="005C3E03" w:rsidRDefault="006F4F6E" w:rsidP="00BD3CD8">
      <w:pPr>
        <w:pStyle w:val="nvcngtc-Emailtcgi"/>
        <w:rPr>
          <w:w w:val="105"/>
        </w:rPr>
      </w:pPr>
      <w:r w:rsidRPr="005C3E03">
        <w:rPr>
          <w:w w:val="105"/>
          <w:position w:val="7"/>
          <w:sz w:val="14"/>
        </w:rPr>
        <w:t xml:space="preserve">2 </w:t>
      </w:r>
      <w:r w:rsidRPr="005C3E03">
        <w:rPr>
          <w:w w:val="105"/>
        </w:rPr>
        <w:t>Local Environment &amp; Management Analysis, Urban and Environmental Engineering (UEE), University of Liège, Quartier Polytech 1, Allée de la Découverte 9, Liège, 4000, Belgium</w:t>
      </w:r>
    </w:p>
    <w:p w:rsidR="00BD3CD8" w:rsidRPr="005C3E03" w:rsidRDefault="00BD3CD8" w:rsidP="00BD3CD8">
      <w:pPr>
        <w:pStyle w:val="nvcngtc-Emailtcgi"/>
      </w:pPr>
      <w:r w:rsidRPr="005C3E03">
        <w:rPr>
          <w:w w:val="110"/>
          <w:position w:val="7"/>
          <w:sz w:val="14"/>
        </w:rPr>
        <w:t xml:space="preserve">3 </w:t>
      </w:r>
      <w:r w:rsidRPr="005C3E03">
        <w:rPr>
          <w:w w:val="110"/>
        </w:rPr>
        <w:t>Hasselt University, Agoralaan Gebouw D, Diepenbeek, 3590, Belgium</w:t>
      </w:r>
    </w:p>
    <w:p w:rsidR="00BD3CD8" w:rsidRPr="005C3E03" w:rsidRDefault="00BD3CD8" w:rsidP="00BD3CD8">
      <w:pPr>
        <w:pStyle w:val="nvcngtc-Emailtcgi"/>
      </w:pPr>
      <w:r w:rsidRPr="005C3E03">
        <w:rPr>
          <w:w w:val="105"/>
          <w:position w:val="7"/>
          <w:sz w:val="14"/>
        </w:rPr>
        <w:t xml:space="preserve">4 </w:t>
      </w:r>
      <w:r w:rsidRPr="005C3E03">
        <w:rPr>
          <w:w w:val="105"/>
        </w:rPr>
        <w:t>KULeuven Campus Brussels, Warmoesberg 26, Brussels, 1000, Belgium</w:t>
      </w:r>
    </w:p>
    <w:p w:rsidR="0015048C" w:rsidRPr="005C3E03" w:rsidRDefault="0015048C" w:rsidP="007D3473">
      <w:pPr>
        <w:pStyle w:val="nvcngtc-Emailtcgi"/>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462BC4" w:rsidRPr="005C3E03" w:rsidTr="0050017F">
        <w:tc>
          <w:tcPr>
            <w:tcW w:w="9521" w:type="dxa"/>
            <w:shd w:val="clear" w:color="auto" w:fill="auto"/>
          </w:tcPr>
          <w:p w:rsidR="00462BC4" w:rsidRPr="005C3E03" w:rsidRDefault="00462BC4" w:rsidP="0050017F">
            <w:pPr>
              <w:pStyle w:val="Tmtt-Abstract"/>
              <w:spacing w:before="60"/>
              <w:jc w:val="both"/>
              <w:rPr>
                <w:szCs w:val="26"/>
              </w:rPr>
            </w:pPr>
            <w:r w:rsidRPr="005C3E03">
              <w:rPr>
                <w:szCs w:val="26"/>
              </w:rPr>
              <w:t xml:space="preserve">ABSTRACT </w:t>
            </w:r>
          </w:p>
        </w:tc>
      </w:tr>
      <w:tr w:rsidR="00462BC4" w:rsidRPr="005C3E03" w:rsidTr="0050017F">
        <w:tc>
          <w:tcPr>
            <w:tcW w:w="9521" w:type="dxa"/>
            <w:shd w:val="clear" w:color="auto" w:fill="auto"/>
          </w:tcPr>
          <w:p w:rsidR="005E012B" w:rsidRDefault="005E012B" w:rsidP="005E012B">
            <w:r>
              <w:t>Understanding</w:t>
            </w:r>
            <w:r w:rsidRPr="005C3E03">
              <w:t xml:space="preserve"> the </w:t>
            </w:r>
            <w:r>
              <w:t xml:space="preserve">characteristics </w:t>
            </w:r>
            <w:r w:rsidRPr="005C3E03">
              <w:t>of media channels</w:t>
            </w:r>
            <w:r>
              <w:t xml:space="preserve"> in health communication </w:t>
            </w:r>
            <w:r w:rsidRPr="005C3E03">
              <w:t xml:space="preserve">will </w:t>
            </w:r>
            <w:r>
              <w:t xml:space="preserve">considerably </w:t>
            </w:r>
            <w:r w:rsidRPr="005C3E03">
              <w:t xml:space="preserve">support optimising </w:t>
            </w:r>
            <w:r>
              <w:t xml:space="preserve">society's </w:t>
            </w:r>
            <w:r w:rsidRPr="005C3E03">
              <w:t>resources</w:t>
            </w:r>
            <w:r>
              <w:t xml:space="preserve">. </w:t>
            </w:r>
            <w:r w:rsidR="00083481">
              <w:t>D</w:t>
            </w:r>
            <w:r>
              <w:t>uring the pandemic outbreaks with the pervasive coverage of fake news, the</w:t>
            </w:r>
            <w:r w:rsidRPr="005C3E03">
              <w:t xml:space="preserve"> </w:t>
            </w:r>
            <w:r w:rsidR="00CF3283">
              <w:t>governments</w:t>
            </w:r>
            <w:r w:rsidR="00892648">
              <w:t xml:space="preserve"> </w:t>
            </w:r>
            <w:r w:rsidR="00D4001F">
              <w:t>should</w:t>
            </w:r>
            <w:r w:rsidRPr="005C3E03">
              <w:t xml:space="preserve"> </w:t>
            </w:r>
            <w:r w:rsidR="005D54B3">
              <w:t>use</w:t>
            </w:r>
            <w:r w:rsidRPr="005C3E03">
              <w:t xml:space="preserve"> </w:t>
            </w:r>
            <w:r>
              <w:t>appropriate</w:t>
            </w:r>
            <w:r w:rsidRPr="005C3E03">
              <w:t xml:space="preserve"> media </w:t>
            </w:r>
            <w:r w:rsidR="00892648">
              <w:t>types</w:t>
            </w:r>
            <w:r w:rsidRPr="005C3E03">
              <w:t xml:space="preserve"> to convey critical health information to the </w:t>
            </w:r>
            <w:r w:rsidR="00BF0C66" w:rsidRPr="005C3E03">
              <w:t>community</w:t>
            </w:r>
            <w:r w:rsidRPr="005C3E03">
              <w:t xml:space="preserve">. </w:t>
            </w:r>
            <w:r>
              <w:t>Therefore, a</w:t>
            </w:r>
            <w:r w:rsidRPr="005C3E03">
              <w:t>nalysing the</w:t>
            </w:r>
            <w:r w:rsidR="00CB5FAE">
              <w:t xml:space="preserve"> </w:t>
            </w:r>
            <w:r w:rsidR="008F3512">
              <w:t>effectiveness</w:t>
            </w:r>
            <w:r w:rsidR="00CB5FAE">
              <w:t xml:space="preserve"> of</w:t>
            </w:r>
            <w:r w:rsidRPr="005C3E03">
              <w:t xml:space="preserve"> media channels </w:t>
            </w:r>
            <w:r w:rsidR="00BF0C66">
              <w:t>in</w:t>
            </w:r>
            <w:r w:rsidRPr="005C3E03">
              <w:t xml:space="preserve"> </w:t>
            </w:r>
            <w:r w:rsidR="009956D1">
              <w:t>warning</w:t>
            </w:r>
            <w:r w:rsidR="009956D1" w:rsidRPr="005C3E03">
              <w:t xml:space="preserve"> </w:t>
            </w:r>
            <w:r w:rsidRPr="005C3E03">
              <w:t xml:space="preserve">disease will provide </w:t>
            </w:r>
            <w:r w:rsidR="00D4001F">
              <w:t>critical</w:t>
            </w:r>
            <w:r w:rsidRPr="005C3E03">
              <w:t xml:space="preserve"> knowledge to </w:t>
            </w:r>
            <w:r w:rsidR="00D4001F">
              <w:t>aid in pandemic prevention</w:t>
            </w:r>
            <w:r w:rsidR="00892648">
              <w:t xml:space="preserve">, </w:t>
            </w:r>
            <w:r w:rsidR="00892648" w:rsidRPr="00892648">
              <w:t>avoid the</w:t>
            </w:r>
            <w:r w:rsidR="00D4001F">
              <w:t xml:space="preserve"> collapse of</w:t>
            </w:r>
            <w:r w:rsidR="00892648" w:rsidRPr="00892648">
              <w:t xml:space="preserve"> healthcare system</w:t>
            </w:r>
            <w:r w:rsidR="00D4001F">
              <w:t>s</w:t>
            </w:r>
            <w:r w:rsidRPr="005C3E03">
              <w:t xml:space="preserve"> and </w:t>
            </w:r>
            <w:r w:rsidR="00082032">
              <w:t>reduce</w:t>
            </w:r>
            <w:r w:rsidR="00082032" w:rsidRPr="005C3E03">
              <w:t xml:space="preserve"> the risk of losing </w:t>
            </w:r>
            <w:r w:rsidR="00082032" w:rsidRPr="005E012B">
              <w:t>social control</w:t>
            </w:r>
            <w:r>
              <w:t>.</w:t>
            </w:r>
          </w:p>
          <w:p w:rsidR="004007AC" w:rsidRPr="005C3E03" w:rsidRDefault="005E012B" w:rsidP="005E012B">
            <w:r>
              <w:t xml:space="preserve">This study applied </w:t>
            </w:r>
            <w:r w:rsidRPr="005C3E03">
              <w:t xml:space="preserve">Friedman's ANOVA </w:t>
            </w:r>
            <w:r>
              <w:t xml:space="preserve">to compare different </w:t>
            </w:r>
            <w:r w:rsidRPr="005C3E03">
              <w:t xml:space="preserve">media </w:t>
            </w:r>
            <w:r w:rsidR="00AB7DB4">
              <w:t>types</w:t>
            </w:r>
            <w:r w:rsidRPr="005C3E03">
              <w:t xml:space="preserve"> in terms of </w:t>
            </w:r>
            <w:r w:rsidRPr="005C3E03">
              <w:rPr>
                <w:bCs/>
                <w:i/>
              </w:rPr>
              <w:t>'</w:t>
            </w:r>
            <w:r w:rsidRPr="005C3E03">
              <w:rPr>
                <w:i/>
              </w:rPr>
              <w:t xml:space="preserve">the frequency </w:t>
            </w:r>
            <w:r>
              <w:rPr>
                <w:i/>
              </w:rPr>
              <w:t>of receiving</w:t>
            </w:r>
            <w:r w:rsidRPr="005C3E03">
              <w:rPr>
                <w:i/>
              </w:rPr>
              <w:t xml:space="preserve"> disease warnings from</w:t>
            </w:r>
            <w:r w:rsidRPr="005C3E03">
              <w:rPr>
                <w:bCs/>
                <w:i/>
              </w:rPr>
              <w:t>'</w:t>
            </w:r>
            <w:r w:rsidRPr="005C3E03">
              <w:rPr>
                <w:i/>
              </w:rPr>
              <w:t xml:space="preserve"> </w:t>
            </w:r>
            <w:r w:rsidRPr="005C3E03">
              <w:t>and</w:t>
            </w:r>
            <w:r w:rsidRPr="005C3E03">
              <w:rPr>
                <w:i/>
              </w:rPr>
              <w:t xml:space="preserve"> </w:t>
            </w:r>
            <w:r w:rsidRPr="005C3E03">
              <w:rPr>
                <w:bCs/>
                <w:i/>
              </w:rPr>
              <w:t>'</w:t>
            </w:r>
            <w:r w:rsidRPr="005C3E03">
              <w:rPr>
                <w:i/>
              </w:rPr>
              <w:t>the usefulness in warning disease'</w:t>
            </w:r>
            <w:r>
              <w:rPr>
                <w:i/>
              </w:rPr>
              <w:t xml:space="preserve"> </w:t>
            </w:r>
            <w:r w:rsidRPr="005E012B">
              <w:t>among</w:t>
            </w:r>
            <w:r>
              <w:rPr>
                <w:i/>
              </w:rPr>
              <w:t xml:space="preserve"> </w:t>
            </w:r>
            <w:r w:rsidRPr="005C3E03">
              <w:t>4,648 Vietnamese youths</w:t>
            </w:r>
            <w:r>
              <w:t xml:space="preserve">. </w:t>
            </w:r>
            <w:r w:rsidR="001A1DEC" w:rsidRPr="005C3E03">
              <w:t>Moreover</w:t>
            </w:r>
            <w:r w:rsidR="004007AC" w:rsidRPr="005C3E03">
              <w:rPr>
                <w:i/>
              </w:rPr>
              <w:t>,</w:t>
            </w:r>
            <w:r w:rsidR="00AF77B4">
              <w:t xml:space="preserve"> their</w:t>
            </w:r>
            <w:r w:rsidR="00AB7DB4">
              <w:rPr>
                <w:i/>
              </w:rPr>
              <w:t xml:space="preserve"> '</w:t>
            </w:r>
            <w:r w:rsidR="004007AC" w:rsidRPr="005C3E03">
              <w:rPr>
                <w:i/>
              </w:rPr>
              <w:t xml:space="preserve">agreement to implement the </w:t>
            </w:r>
            <w:r>
              <w:rPr>
                <w:i/>
              </w:rPr>
              <w:t>preven</w:t>
            </w:r>
            <w:r w:rsidR="00902B29">
              <w:rPr>
                <w:i/>
              </w:rPr>
              <w:t>tive</w:t>
            </w:r>
            <w:r w:rsidR="004007AC" w:rsidRPr="005C3E03">
              <w:rPr>
                <w:i/>
              </w:rPr>
              <w:t xml:space="preserve"> </w:t>
            </w:r>
            <w:r w:rsidR="00B02E24">
              <w:rPr>
                <w:i/>
              </w:rPr>
              <w:t>measures</w:t>
            </w:r>
            <w:r w:rsidR="004007AC" w:rsidRPr="005C3E03">
              <w:rPr>
                <w:i/>
              </w:rPr>
              <w:t>', 'travel plan adap</w:t>
            </w:r>
            <w:r w:rsidR="007855B7">
              <w:rPr>
                <w:i/>
              </w:rPr>
              <w:t>ta</w:t>
            </w:r>
            <w:r w:rsidR="004007AC" w:rsidRPr="005C3E03">
              <w:rPr>
                <w:i/>
              </w:rPr>
              <w:t>tions', '</w:t>
            </w:r>
            <w:r w:rsidR="004007AC" w:rsidRPr="005C3E03">
              <w:rPr>
                <w:bCs/>
                <w:i/>
              </w:rPr>
              <w:t xml:space="preserve">trust </w:t>
            </w:r>
            <w:r w:rsidR="001A1DEC" w:rsidRPr="005C3E03">
              <w:rPr>
                <w:bCs/>
                <w:i/>
              </w:rPr>
              <w:t>in the Government</w:t>
            </w:r>
            <w:r w:rsidR="004007AC" w:rsidRPr="005C3E03">
              <w:rPr>
                <w:bCs/>
                <w:i/>
              </w:rPr>
              <w:t xml:space="preserve"> management</w:t>
            </w:r>
            <w:r w:rsidR="004007AC" w:rsidRPr="005C3E03">
              <w:rPr>
                <w:i/>
              </w:rPr>
              <w:t>'</w:t>
            </w:r>
            <w:r w:rsidR="004007AC" w:rsidRPr="005C3E03">
              <w:t xml:space="preserve"> after </w:t>
            </w:r>
            <w:r w:rsidR="001A1DEC" w:rsidRPr="005C3E03">
              <w:t>receiving</w:t>
            </w:r>
            <w:r w:rsidR="004007AC" w:rsidRPr="005C3E03">
              <w:t xml:space="preserve"> COVID-19 warnings were also </w:t>
            </w:r>
            <w:r w:rsidR="007855B7">
              <w:t>explored</w:t>
            </w:r>
            <w:r w:rsidR="004007AC" w:rsidRPr="005C3E03">
              <w:t>.</w:t>
            </w:r>
            <w:r w:rsidR="001D0ECB" w:rsidRPr="005C3E03">
              <w:t xml:space="preserve"> </w:t>
            </w:r>
            <w:r w:rsidR="004007AC" w:rsidRPr="005C3E03">
              <w:t xml:space="preserve">The results </w:t>
            </w:r>
            <w:r w:rsidR="008625CE" w:rsidRPr="005C3E03">
              <w:t>revealed</w:t>
            </w:r>
            <w:r w:rsidR="00D4001F">
              <w:t xml:space="preserve"> that Short Message Service </w:t>
            </w:r>
            <w:r w:rsidR="00824C65">
              <w:t>(</w:t>
            </w:r>
            <w:r w:rsidR="004007AC" w:rsidRPr="005C3E03">
              <w:t>from the Ministry of Health and other state agencies</w:t>
            </w:r>
            <w:r w:rsidR="00824C65">
              <w:t>)</w:t>
            </w:r>
            <w:r w:rsidR="005D54B3">
              <w:t xml:space="preserve"> </w:t>
            </w:r>
            <w:r w:rsidR="004007AC" w:rsidRPr="005C3E03">
              <w:t>and Television/Radio were the two channels frequently reached by young Vietnamese and had the highest usefulness assessments.</w:t>
            </w:r>
            <w:r w:rsidR="00902B29">
              <w:t xml:space="preserve"> </w:t>
            </w:r>
            <w:r w:rsidR="00B02E24">
              <w:t>Furthermore</w:t>
            </w:r>
            <w:r w:rsidR="004007AC" w:rsidRPr="005C3E03">
              <w:t xml:space="preserve">, youths received disease alerts most </w:t>
            </w:r>
            <w:r w:rsidR="00892648">
              <w:t>often</w:t>
            </w:r>
            <w:r w:rsidR="004007AC" w:rsidRPr="005C3E03">
              <w:t xml:space="preserve"> from </w:t>
            </w:r>
            <w:r w:rsidR="00083481">
              <w:t>s</w:t>
            </w:r>
            <w:r w:rsidR="004007AC" w:rsidRPr="005C3E03">
              <w:t xml:space="preserve">ocial networks, but this platform was not high-rated for usefulness. </w:t>
            </w:r>
            <w:r>
              <w:t>T</w:t>
            </w:r>
            <w:r w:rsidR="006455E7">
              <w:t>he Vietnamese g</w:t>
            </w:r>
            <w:r w:rsidR="003959B0">
              <w:t>overnment</w:t>
            </w:r>
            <w:r w:rsidR="004007AC" w:rsidRPr="005C3E03">
              <w:t xml:space="preserve"> earned a </w:t>
            </w:r>
            <w:r>
              <w:t xml:space="preserve">considerably </w:t>
            </w:r>
            <w:r w:rsidR="004007AC" w:rsidRPr="005C3E03">
              <w:t xml:space="preserve">high </w:t>
            </w:r>
            <w:r w:rsidRPr="005C3E03">
              <w:t xml:space="preserve">trust </w:t>
            </w:r>
            <w:r w:rsidR="004007AC" w:rsidRPr="005C3E03">
              <w:t xml:space="preserve">level from </w:t>
            </w:r>
            <w:r w:rsidR="00D4001F">
              <w:t>young people</w:t>
            </w:r>
            <w:r w:rsidR="004007AC" w:rsidRPr="005C3E03">
              <w:t xml:space="preserve">, so </w:t>
            </w:r>
            <w:r w:rsidR="00D4001F">
              <w:t>they</w:t>
            </w:r>
            <w:r w:rsidR="004007AC" w:rsidRPr="005C3E03">
              <w:t xml:space="preserve"> were willing to </w:t>
            </w:r>
            <w:r w:rsidR="00AC4565">
              <w:t>actively</w:t>
            </w:r>
            <w:r w:rsidR="00AC4565" w:rsidRPr="005C3E03">
              <w:t xml:space="preserve"> </w:t>
            </w:r>
            <w:r w:rsidR="0070342D" w:rsidRPr="005C3E03">
              <w:t>cancel</w:t>
            </w:r>
            <w:r w:rsidR="004007AC" w:rsidRPr="005C3E03">
              <w:t xml:space="preserve"> their travel plans</w:t>
            </w:r>
            <w:r w:rsidR="00902B29">
              <w:t xml:space="preserve"> and </w:t>
            </w:r>
            <w:r w:rsidR="00AC4565">
              <w:t>adhere to</w:t>
            </w:r>
            <w:r>
              <w:t xml:space="preserve"> preventive </w:t>
            </w:r>
            <w:r w:rsidR="004007AC" w:rsidRPr="005C3E03">
              <w:t>measures</w:t>
            </w:r>
            <w:r w:rsidR="00892648">
              <w:t xml:space="preserve"> </w:t>
            </w:r>
            <w:r w:rsidR="006455E7">
              <w:t>following</w:t>
            </w:r>
            <w:r w:rsidR="00892648">
              <w:t xml:space="preserve"> disease warnings</w:t>
            </w:r>
            <w:r w:rsidR="004007AC" w:rsidRPr="005C3E03">
              <w:t xml:space="preserve">. </w:t>
            </w:r>
            <w:r w:rsidR="00790D81">
              <w:t>Females</w:t>
            </w:r>
            <w:r w:rsidR="00D4001F">
              <w:t xml:space="preserve"> had</w:t>
            </w:r>
            <w:r w:rsidR="00902B29" w:rsidRPr="00B02E24">
              <w:t xml:space="preserve"> </w:t>
            </w:r>
            <w:r w:rsidR="00790D81">
              <w:t>higher</w:t>
            </w:r>
            <w:r>
              <w:t xml:space="preserve"> </w:t>
            </w:r>
            <w:r w:rsidRPr="00B02E24">
              <w:t>consent</w:t>
            </w:r>
            <w:r w:rsidR="00902B29" w:rsidRPr="00B02E24">
              <w:t xml:space="preserve"> levels in </w:t>
            </w:r>
            <w:r w:rsidR="006455E7">
              <w:t>complying</w:t>
            </w:r>
            <w:r>
              <w:t xml:space="preserve"> </w:t>
            </w:r>
            <w:r w:rsidR="006455E7">
              <w:t xml:space="preserve">with </w:t>
            </w:r>
            <w:r>
              <w:t xml:space="preserve">the </w:t>
            </w:r>
            <w:r w:rsidR="006455E7">
              <w:t>health</w:t>
            </w:r>
            <w:r w:rsidR="00892648">
              <w:t xml:space="preserve"> </w:t>
            </w:r>
            <w:r>
              <w:t>recommend</w:t>
            </w:r>
            <w:r w:rsidR="00892648">
              <w:t>ations</w:t>
            </w:r>
            <w:r w:rsidR="00902B29" w:rsidRPr="00B02E24">
              <w:t xml:space="preserve">. Increasing the frequency of </w:t>
            </w:r>
            <w:r w:rsidR="00B02E24">
              <w:t>receiving</w:t>
            </w:r>
            <w:r w:rsidR="00902B29" w:rsidRPr="00B02E24">
              <w:t xml:space="preserve"> disease alerts and the overall </w:t>
            </w:r>
            <w:r w:rsidR="00083481">
              <w:t>perception</w:t>
            </w:r>
            <w:r>
              <w:t xml:space="preserve"> </w:t>
            </w:r>
            <w:r w:rsidR="00902B29" w:rsidRPr="00B02E24">
              <w:t xml:space="preserve">of </w:t>
            </w:r>
            <w:r w:rsidR="00083481">
              <w:t xml:space="preserve">the </w:t>
            </w:r>
            <w:r w:rsidR="008652AC">
              <w:t xml:space="preserve">media </w:t>
            </w:r>
            <w:r w:rsidR="00083481" w:rsidRPr="00B02E24">
              <w:t xml:space="preserve">usefulness </w:t>
            </w:r>
            <w:r w:rsidR="00902B29" w:rsidRPr="00B02E24">
              <w:t xml:space="preserve">were linked to a higher </w:t>
            </w:r>
            <w:r w:rsidR="006455E7">
              <w:t>probability</w:t>
            </w:r>
            <w:r>
              <w:t xml:space="preserve"> of </w:t>
            </w:r>
            <w:r w:rsidR="00AC4565">
              <w:t>a</w:t>
            </w:r>
            <w:r w:rsidR="00AC4565" w:rsidRPr="00AC4565">
              <w:t xml:space="preserve">dherence to </w:t>
            </w:r>
            <w:r w:rsidR="00AC4565">
              <w:t xml:space="preserve">preventive </w:t>
            </w:r>
            <w:r w:rsidR="00BF0C66">
              <w:t>activities</w:t>
            </w:r>
            <w:r w:rsidR="00D4001F">
              <w:t xml:space="preserve"> among Vietnamese youths</w:t>
            </w:r>
            <w:r w:rsidR="00BF0C66">
              <w:t>.</w:t>
            </w:r>
            <w:r w:rsidR="00D4001F">
              <w:t xml:space="preserve"> </w:t>
            </w:r>
            <w:r w:rsidR="00D4001F" w:rsidRPr="00D4001F">
              <w:t>The findings suggest th</w:t>
            </w:r>
            <w:r w:rsidR="00D4001F">
              <w:t xml:space="preserve">at managers should focus </w:t>
            </w:r>
            <w:r w:rsidR="005D7F12">
              <w:t xml:space="preserve">more </w:t>
            </w:r>
            <w:r w:rsidR="00D4001F">
              <w:t xml:space="preserve">on </w:t>
            </w:r>
            <w:r w:rsidR="005D54B3">
              <w:t>utilising</w:t>
            </w:r>
            <w:r w:rsidR="00D4001F" w:rsidRPr="00D4001F">
              <w:t xml:space="preserve"> </w:t>
            </w:r>
            <w:r w:rsidR="005D54B3">
              <w:t xml:space="preserve">relevant </w:t>
            </w:r>
            <w:r w:rsidR="00D4001F" w:rsidRPr="00D4001F">
              <w:t xml:space="preserve">media </w:t>
            </w:r>
            <w:r w:rsidR="00D4001F">
              <w:t>types</w:t>
            </w:r>
            <w:r w:rsidR="00D4001F" w:rsidRPr="00D4001F">
              <w:t xml:space="preserve"> in </w:t>
            </w:r>
            <w:r w:rsidR="006455E7">
              <w:t>pandemic preparedness and r</w:t>
            </w:r>
            <w:r w:rsidR="006455E7" w:rsidRPr="006455E7">
              <w:t>esponse</w:t>
            </w:r>
            <w:r w:rsidR="00D4001F" w:rsidRPr="00D4001F">
              <w:t>.</w:t>
            </w:r>
          </w:p>
          <w:p w:rsidR="00462BC4" w:rsidRPr="005C3E03" w:rsidRDefault="00462BC4" w:rsidP="00AF77B4">
            <w:pPr>
              <w:pStyle w:val="NidungTmtt-Abstract"/>
            </w:pPr>
            <w:r w:rsidRPr="005C3E03">
              <w:rPr>
                <w:b/>
              </w:rPr>
              <w:t>Keywords:</w:t>
            </w:r>
            <w:r w:rsidRPr="005C3E03">
              <w:t xml:space="preserve"> </w:t>
            </w:r>
            <w:r w:rsidR="004007AC" w:rsidRPr="005C3E03">
              <w:t>media channels</w:t>
            </w:r>
            <w:r w:rsidRPr="005C3E03">
              <w:t xml:space="preserve">; </w:t>
            </w:r>
            <w:r w:rsidR="004007AC" w:rsidRPr="005C3E03">
              <w:t xml:space="preserve">Vietnam; </w:t>
            </w:r>
            <w:r w:rsidR="00E84609">
              <w:t>disease</w:t>
            </w:r>
            <w:r w:rsidR="004007AC" w:rsidRPr="005C3E03">
              <w:t xml:space="preserve"> warnings</w:t>
            </w:r>
            <w:r w:rsidR="00AF77B4">
              <w:t xml:space="preserve">; </w:t>
            </w:r>
            <w:r w:rsidR="00AF77B4" w:rsidRPr="005C3E03">
              <w:t xml:space="preserve">COVID-19; </w:t>
            </w:r>
            <w:r w:rsidR="00AF77B4">
              <w:t>pandemic.</w:t>
            </w:r>
          </w:p>
        </w:tc>
      </w:tr>
    </w:tbl>
    <w:p w:rsidR="00462BC4" w:rsidRPr="005C3E03" w:rsidRDefault="00462BC4" w:rsidP="00462BC4">
      <w:pPr>
        <w:pStyle w:val="mcCp1"/>
        <w:numPr>
          <w:ilvl w:val="0"/>
          <w:numId w:val="3"/>
        </w:numPr>
        <w:rPr>
          <w:color w:val="000000"/>
        </w:rPr>
      </w:pPr>
      <w:r w:rsidRPr="005C3E03">
        <w:t>Introduction</w:t>
      </w:r>
    </w:p>
    <w:p w:rsidR="00FD46E1" w:rsidRPr="00824C65" w:rsidRDefault="0085472C" w:rsidP="001D6879">
      <w:pPr>
        <w:rPr>
          <w:color w:val="833C0B" w:themeColor="accent2" w:themeShade="80"/>
        </w:rPr>
      </w:pPr>
      <w:r w:rsidRPr="005C3E03">
        <w:t xml:space="preserve">Health communication was an essential </w:t>
      </w:r>
      <w:r w:rsidR="00082032">
        <w:t>component</w:t>
      </w:r>
      <w:r w:rsidRPr="005C3E03">
        <w:t xml:space="preserve"> in promoting health-protective behaviours </w:t>
      </w:r>
      <w:r w:rsidR="00082032">
        <w:t>to</w:t>
      </w:r>
      <w:r w:rsidR="009B4908">
        <w:t xml:space="preserve"> the community </w:t>
      </w:r>
      <w:r>
        <w:fldChar w:fldCharType="begin" w:fldLock="1"/>
      </w:r>
      <w:r w:rsidR="00682B71">
        <w:instrText>ADDIN CSL_CITATION {"citationItems":[{"id":"ITEM-1","itemData":{"DOI":"10.1007/s40171-021-00269-7","ISSN":"09740198","abstract":"Vietnam is considered as one of the countries with the earliest and most effective responses to the outbreak of 2019 novel coronavirus disease (COVID-19), a pandemic with acute respiratory syndrome caused by the new strain of coronavirus (SARS-CoV-2). An important contribution to the overall success is the effectiveness of the governmental communication strategy in achieving the desired cognitive, affective, and behavioral outcomes. Analysis of the qualitative data collected from twelve focus group discussions with a total of 60 participants revealed that due to the government’s communication efforts, Vietnamese people have adequate information/knowledge about the COVID-19 pandemic, and majority of them experience low emotional levels of anxiety, fear, dread, stress, and panic. Moreover, the communication strategy has helped to form both health-promoting and safety-seeking behaviors among the community. Further, the characteristics of an effective communication strategy such as reliable sources of communication, usages of multiple social media channels, and transparent message contents in the form of infographic or video clips are identified.","author":[{"dropping-particle":"","family":"Tam","given":"Le Thanh","non-dropping-particle":"","parse-names":false,"suffix":""},{"dropping-particle":"","family":"Ho","given":"Huong Xuan","non-dropping-particle":"","parse-names":false,"suffix":""},{"dropping-particle":"","family":"Nguyen","given":"Dong Phong","non-dropping-particle":"","parse-names":false,"suffix":""},{"dropping-particle":"","family":"Elias","given":"Arun","non-dropping-particle":"","parse-names":false,"suffix":""},{"dropping-particle":"","family":"Le","given":"Angelina Nhat Hanh","non-dropping-particle":"","parse-names":false,"suffix":""}],"container-title":"Global Journal of Flexible Systems Management","id":"ITEM-1","issue":"s1","issued":{"date-parts":[["2021"]]},"page":"45-64","publisher":"Springer India","title":"Receptivity of governmental communication and its effectiveness during COVID-19 pandemic emergency in Vietnam: A qualitative study","type":"article-journal","volume":"22"},"uris":["http://www.mendeley.com/documents/?uuid=dca1ff4e-4b68-4643-8131-7e36b3bb5c4b"]}],"mendeley":{"formattedCitation":"(Tam &lt;i&gt;et al.&lt;/i&gt;, 2021)","plainTextFormattedCitation":"(Tam et al., 2021)","previouslyFormattedCitation":"(Tam &lt;i&gt;et al.&lt;/i&gt;, 2021)"},"properties":{"noteIndex":0},"schema":"https://github.com/citation-style-language/schema/raw/master/csl-citation.json"}</w:instrText>
      </w:r>
      <w:r>
        <w:fldChar w:fldCharType="separate"/>
      </w:r>
      <w:r w:rsidRPr="0085472C">
        <w:rPr>
          <w:noProof/>
        </w:rPr>
        <w:t xml:space="preserve">(Tam </w:t>
      </w:r>
      <w:r w:rsidRPr="0085472C">
        <w:rPr>
          <w:i/>
          <w:noProof/>
        </w:rPr>
        <w:t>et al.</w:t>
      </w:r>
      <w:r w:rsidRPr="0085472C">
        <w:rPr>
          <w:noProof/>
        </w:rPr>
        <w:t>, 2021)</w:t>
      </w:r>
      <w:r>
        <w:fldChar w:fldCharType="end"/>
      </w:r>
      <w:r w:rsidRPr="005C3E03">
        <w:t>.</w:t>
      </w:r>
      <w:r>
        <w:t xml:space="preserve"> </w:t>
      </w:r>
      <w:r w:rsidR="009B4908" w:rsidRPr="009B4908">
        <w:t xml:space="preserve">However, the vast </w:t>
      </w:r>
      <w:r w:rsidR="007855B7">
        <w:t>media penetration and the pervasive coverage of fake news negatively impacted people's health</w:t>
      </w:r>
      <w:r w:rsidR="009B4908" w:rsidRPr="009B4908">
        <w:t>, fin</w:t>
      </w:r>
      <w:r w:rsidR="007855B7">
        <w:t xml:space="preserve">ancial, and psychological state. </w:t>
      </w:r>
      <w:r w:rsidR="009B4908" w:rsidRPr="009B4908">
        <w:t xml:space="preserve">Moreover, </w:t>
      </w:r>
      <w:r w:rsidR="005D7F12">
        <w:t>numerous</w:t>
      </w:r>
      <w:r w:rsidR="009B4908" w:rsidRPr="009B4908">
        <w:t xml:space="preserve"> social r</w:t>
      </w:r>
      <w:r w:rsidR="002278F1">
        <w:t>esources</w:t>
      </w:r>
      <w:r w:rsidR="007855B7">
        <w:t xml:space="preserve"> were required</w:t>
      </w:r>
      <w:r w:rsidR="002278F1">
        <w:t xml:space="preserve"> to correct </w:t>
      </w:r>
      <w:r w:rsidR="00577B79">
        <w:t>the</w:t>
      </w:r>
      <w:r w:rsidR="00C75628">
        <w:t xml:space="preserve"> </w:t>
      </w:r>
      <w:r w:rsidR="00F95BB5">
        <w:t>health misinformation</w:t>
      </w:r>
      <w:r w:rsidR="002278F1">
        <w:t xml:space="preserve"> </w:t>
      </w:r>
      <w:r w:rsidR="002278F1">
        <w:fldChar w:fldCharType="begin" w:fldLock="1"/>
      </w:r>
      <w:r w:rsidR="00682B71">
        <w:instrText xml:space="preserve">ADDIN CSL_CITATION {"citationItems":[{"id":"ITEM-1","itemData":{"DOI":"10.1080/10410236.2020.1794553","ISSN":"15327027","abstract":"Social media poses a threat to public health by facilitating the spread of misinformation. At the same time, however, social media offers a promising avenue to stem the distribution of false claims–as evidenced by real-time corrections, crowdsourced fact-checking, and algorithmic tagging. Despite the growing attempts to correct misinformation on social media, there is still considerable ambiguity regarding the ability to effectively ameliorate the negative impact of false messages. To address this gap, the current study uses a meta-analysis to evaluate the relative impact of social media interventions designed to correct health-related misinformation (k = 24; N = 6,086). Additionally, the meta-analysis introduces theory-driven moderators that help delineate the effectiveness of social media interventions. The mean effect size of attempts to correct misinformation on social media was positive and significant (d = 0.40, 95% CI [0.25, 0.55], p =.0005) and a publication bias could not be excluded. Interventions were more effective in cases where participants were involved with the health topic, as well as when misinformation was distributed by news organizations (vs. peers) and debunked by experts (vs. non-experts). The findings of this meta-analysis can be used not only to depict the current state of the literature but also to prescribe specific recommendations to better address the proliferation of health misinformation on social media.","author":[{"dropping-particle":"","family":"Walter","given":"Nathan","non-dropping-particle":"","parse-names":false,"suffix":""},{"dropping-particle":"","family":"Brooks","given":"John J.","non-dropping-particle":"","parse-names":false,"suffix":""},{"dropping-particle":"","family":"Saucier","given":"Camille J.","non-dropping-particle":"","parse-names":false,"suffix":""},{"dropping-particle":"","family":"Suresh","given":"Sapna","non-dropping-particle":"","parse-names":false,"suffix":""}],"container-title":"Health Communication","id":"ITEM-1","issue":"00","issued":{"date-parts":[["2020"]]},"page":"1-9","publisher":"Routledge","title":"Evaluating the impact of attempts to correct health misinformation on social media: A meta-analysis","type":"article-journal","volume":"00"},"uris":["http://www.mendeley.com/documents/?uuid=fca6c29b-da45-4250-bb94-cbf07e27e26b"]},{"id":"ITEM-2","itemData":{"DOI":"10.1080/19325037.2018.1473178","ISSN":"21683751","abstract":"Background: The importance of social networking sites (SNSs) as platforms to engage in the correction of “fake news” has been documented widely. More evidence is needed to understand the popularity of health-related rumors and how Health Educators can optimize their use of SNSs. Purpose: The purpose of this study was to explore the spread of health rumors and verified information on SNSs using the Zika virus as a case study. Methods: A content analysis of Zika-related news stories on SNSs between February 2016 and January 2017 was conducted to verify accuracy (phase 1). Phase 1 was followed by an analysis of volume of shares (phase 2) and a thematic analysis of headlines (phase 3). Results: Rumors had three times more shares than verified stories. Popular rumors portray Zika as a conspiracy against the public and a low-risk issue and connect it to the use of pesticides. Discussion: This study identifies the value of integrating in-depth analysis of popular health-related rumors into the development of communication strategies. Translation to Health Education Practice: Misinformation on SNSs can hinder disease prevention efforts. This study shows how information circulating on SNSs can be analyzed from a quantitative and qualitative standpoint to help Health Educators maximize the use of online communication platforms.","author":[{"dropping-particle":"","family":"Sommariva","given":"Silvia","non-dropping-particle":"","parse-names":false,"suffix":""},{"dropping-particle":"","family":"Vamos","given":"Cheryl","non-dropping-particle":"","parse-names":false,"suffix":""},{"dropping-particle":"","family":"Mantzarlis","given":"Alexios","non-dropping-particle":"","parse-names":false,"suffix":""},{"dropping-particle":"","family":"Đào","given":"Lillie Uyên Loan","non-dropping-particle":"","parse-names":false,"suffix":""},{"dropping-particle":"","family":"Martinez Tyson","given":"Dinorah","non-dropping-particle":"","parse-names":false,"suffix":""}],"container-title":"American Journal of Health Education","id":"ITEM-2","issue":"4","issued":{"date-parts":[["2018"]]},"page":"246-255","publisher":"Routledge","title":"Spreading the (fake) news: Exploring health messages on social media and the implications for health professionals using a case study","type":"article-journal","volume":"49"},"uris":["http://www.mendeley.com/documents/?uuid=81f609cb-a5c0-40df-84eb-6c21812c7ee7"]},{"id":"ITEM-3","itemData":{"DOI":"10.3934/publichealth.2020052","ISBN":"9665513699","ISSN":"2327-8994","abstract":"The Coronavirus Disease 2019 (COVID-19) has resulted in catastrophic consequences in many aspects of life; including negative psychological effects. We aimed to assess the mental health status of a group of Saudi population during this pandemic. Also, we aimed to assess the effect of the intensive media coverage of the pandemic news on mental health status. A questionnaire was distributed online to test depression, anxiety, and stress (using the DASS-21 scale) and their relationship to certain variables. A total of 215 respondents were included. Higher mental health prevalence rates were reported in non-Saudi participants compared to Saudi ones (i.e., 50.74% vs. 30.40%; 34.23% vs. 13.51% and 59.70% vs. 27.70%; for depression, anxiety and stress, respectively). About 55.8% of the participants felt the extensive coverage in the media of COVID-19 news, which caused higher mental sufferings. Higher mental health prevalence rates were reported in females compared to males participants (i.e., 56.97% vs. 23.25%; 30.23% vs. 13.17% and 54.65% vs. 26.35%; for depression, anxiety and stress, respectively). Reasonable following of the COVID-19 news; and less exposure to the pandemic information could help in reducing the mental health issues related to the ongoing pandemic. Special care and attention should be paid to </w:instrText>
      </w:r>
      <w:r w:rsidR="00682B71" w:rsidRPr="00824C65">
        <w:rPr>
          <w:lang w:val="fr-BE"/>
        </w:rPr>
        <w:instrText>females and younger people who seem to be particularly affected during the era of COVID-19.","author":[{"dropping-particle":"","family":"Mohamed-Azzam Zakout","given":"Yosef","non-dropping-particle":"","parse-names":false,"suffix":""},{"dropping-particle":"","family":"Saud Alreshidi","given":"Fayez","non-dropping-particle":"","parse-names":false,"suffix":""},{"dropping-particle":"","family":"Mustafa Elsaid","given":"Ruba","non-dropping-particle":"","parse-names":false,"suffix":""},{"dropping-particle":"","family":"Gadelkarim Ahmed","given":"Hussain","non-dropping-particle":"","parse-names":false,"suffix":""}],"container-title":"AIMS Public Health","id":"ITEM-3","issue":"3","issued":{"date-parts":[["2020"]]},"page":"664-678","title":"The magnitude of COVID-19 related stress, anxiety and depression associated with intense mass media coverage in Saudi Arabi","type":"article-journal","volume":"7"},"uris":["http://www.mendeley.com/documents/?uuid=703c3236-0120-4f7a-a721-150e199db7d0"]}],"mendeley":{"formattedCitation":"(Sommariva &lt;i&gt;et al.&lt;/i&gt;, 2018; Mohamed-Azzam Zakout &lt;i&gt;et al.&lt;/i&gt;, 2020; Walter &lt;i&gt;et al.&lt;/i&gt;, 2020)","plainTextFormattedCitation":"(Sommariva et al., 2018; Mohamed-Azzam Zakout et al., 2020; Walter et al., 2020)","previouslyFormattedCitation":"(Sommariva &lt;i&gt;et al.&lt;/i&gt;, 2018; Mohamed-Azzam Zakout &lt;i&gt;et al.&lt;/i&gt;, 2020; Walter &lt;i&gt;et al.&lt;/i&gt;, 2020)"},"properties":{"noteIndex":0},"schema":"https://github.com/citation-style-language/schema/raw/master/csl-citation.json"}</w:instrText>
      </w:r>
      <w:r w:rsidR="002278F1">
        <w:fldChar w:fldCharType="separate"/>
      </w:r>
      <w:r w:rsidR="00454A13" w:rsidRPr="00454A13">
        <w:rPr>
          <w:noProof/>
          <w:lang w:val="fr-BE"/>
        </w:rPr>
        <w:t xml:space="preserve">(Sommariva </w:t>
      </w:r>
      <w:r w:rsidR="00454A13" w:rsidRPr="00454A13">
        <w:rPr>
          <w:i/>
          <w:noProof/>
          <w:lang w:val="fr-BE"/>
        </w:rPr>
        <w:t>et al.</w:t>
      </w:r>
      <w:r w:rsidR="00454A13" w:rsidRPr="00454A13">
        <w:rPr>
          <w:noProof/>
          <w:lang w:val="fr-BE"/>
        </w:rPr>
        <w:t xml:space="preserve">, 2018; Mohamed-Azzam Zakout </w:t>
      </w:r>
      <w:r w:rsidR="00454A13" w:rsidRPr="00454A13">
        <w:rPr>
          <w:i/>
          <w:noProof/>
          <w:lang w:val="fr-BE"/>
        </w:rPr>
        <w:t>et al.</w:t>
      </w:r>
      <w:r w:rsidR="00454A13" w:rsidRPr="00454A13">
        <w:rPr>
          <w:noProof/>
          <w:lang w:val="fr-BE"/>
        </w:rPr>
        <w:t xml:space="preserve">, 2020; Walter </w:t>
      </w:r>
      <w:r w:rsidR="00454A13" w:rsidRPr="00454A13">
        <w:rPr>
          <w:i/>
          <w:noProof/>
          <w:lang w:val="fr-BE"/>
        </w:rPr>
        <w:t>et al.</w:t>
      </w:r>
      <w:r w:rsidR="00454A13" w:rsidRPr="00454A13">
        <w:rPr>
          <w:noProof/>
          <w:lang w:val="fr-BE"/>
        </w:rPr>
        <w:t>, 2020)</w:t>
      </w:r>
      <w:r w:rsidR="002278F1">
        <w:fldChar w:fldCharType="end"/>
      </w:r>
      <w:r w:rsidR="009B4908" w:rsidRPr="00892648">
        <w:rPr>
          <w:lang w:val="fr-BE"/>
        </w:rPr>
        <w:t xml:space="preserve">. </w:t>
      </w:r>
      <w:r w:rsidR="009B4908" w:rsidRPr="00824C65">
        <w:rPr>
          <w:color w:val="833C0B" w:themeColor="accent2" w:themeShade="80"/>
        </w:rPr>
        <w:t xml:space="preserve">Thus, </w:t>
      </w:r>
      <w:r w:rsidR="00536C16" w:rsidRPr="00824C65">
        <w:rPr>
          <w:color w:val="833C0B" w:themeColor="accent2" w:themeShade="80"/>
        </w:rPr>
        <w:t>the g</w:t>
      </w:r>
      <w:r w:rsidR="009B4908" w:rsidRPr="00824C65">
        <w:rPr>
          <w:color w:val="833C0B" w:themeColor="accent2" w:themeShade="80"/>
        </w:rPr>
        <w:t xml:space="preserve">overnments and health management organisations </w:t>
      </w:r>
      <w:r w:rsidR="008919DA" w:rsidRPr="00824C65">
        <w:rPr>
          <w:color w:val="833C0B" w:themeColor="accent2" w:themeShade="80"/>
        </w:rPr>
        <w:t>should</w:t>
      </w:r>
      <w:r w:rsidR="009B4908" w:rsidRPr="00824C65">
        <w:rPr>
          <w:color w:val="833C0B" w:themeColor="accent2" w:themeShade="80"/>
        </w:rPr>
        <w:t xml:space="preserve"> </w:t>
      </w:r>
      <w:r w:rsidR="00347450" w:rsidRPr="00824C65">
        <w:rPr>
          <w:color w:val="833C0B" w:themeColor="accent2" w:themeShade="80"/>
        </w:rPr>
        <w:t>develop</w:t>
      </w:r>
      <w:r w:rsidR="000B70A8" w:rsidRPr="00824C65">
        <w:rPr>
          <w:color w:val="833C0B" w:themeColor="accent2" w:themeShade="80"/>
        </w:rPr>
        <w:t xml:space="preserve"> </w:t>
      </w:r>
      <w:r w:rsidR="009B4908" w:rsidRPr="00824C65">
        <w:rPr>
          <w:color w:val="833C0B" w:themeColor="accent2" w:themeShade="80"/>
        </w:rPr>
        <w:t xml:space="preserve">effective </w:t>
      </w:r>
      <w:r w:rsidR="008919DA" w:rsidRPr="00824C65">
        <w:rPr>
          <w:color w:val="833C0B" w:themeColor="accent2" w:themeShade="80"/>
        </w:rPr>
        <w:t xml:space="preserve">communication strategies </w:t>
      </w:r>
      <w:r w:rsidR="009B4908" w:rsidRPr="00824C65">
        <w:rPr>
          <w:color w:val="833C0B" w:themeColor="accent2" w:themeShade="80"/>
        </w:rPr>
        <w:t xml:space="preserve">to </w:t>
      </w:r>
      <w:r w:rsidR="00D72179" w:rsidRPr="00824C65">
        <w:rPr>
          <w:color w:val="833C0B" w:themeColor="accent2" w:themeShade="80"/>
        </w:rPr>
        <w:t xml:space="preserve">deliver </w:t>
      </w:r>
      <w:r w:rsidR="00FF3418" w:rsidRPr="00824C65">
        <w:rPr>
          <w:color w:val="833C0B" w:themeColor="accent2" w:themeShade="80"/>
        </w:rPr>
        <w:t>accurate</w:t>
      </w:r>
      <w:r w:rsidR="00D72179" w:rsidRPr="00824C65">
        <w:rPr>
          <w:color w:val="833C0B" w:themeColor="accent2" w:themeShade="80"/>
        </w:rPr>
        <w:t xml:space="preserve">, useful </w:t>
      </w:r>
      <w:r w:rsidR="00536C16" w:rsidRPr="00824C65">
        <w:rPr>
          <w:color w:val="833C0B" w:themeColor="accent2" w:themeShade="80"/>
        </w:rPr>
        <w:t xml:space="preserve">health </w:t>
      </w:r>
      <w:r w:rsidR="00D72179" w:rsidRPr="00824C65">
        <w:rPr>
          <w:color w:val="833C0B" w:themeColor="accent2" w:themeShade="80"/>
        </w:rPr>
        <w:t xml:space="preserve">messages </w:t>
      </w:r>
      <w:r w:rsidR="009B4908" w:rsidRPr="00824C65">
        <w:rPr>
          <w:color w:val="833C0B" w:themeColor="accent2" w:themeShade="80"/>
        </w:rPr>
        <w:t xml:space="preserve">and achieve </w:t>
      </w:r>
      <w:r w:rsidR="007855B7" w:rsidRPr="00824C65">
        <w:rPr>
          <w:color w:val="833C0B" w:themeColor="accent2" w:themeShade="80"/>
          <w:lang w:val="en-US"/>
        </w:rPr>
        <w:t>desired</w:t>
      </w:r>
      <w:r w:rsidR="009B4908" w:rsidRPr="00824C65">
        <w:rPr>
          <w:color w:val="833C0B" w:themeColor="accent2" w:themeShade="80"/>
          <w:lang w:val="en-US"/>
        </w:rPr>
        <w:t xml:space="preserve"> </w:t>
      </w:r>
      <w:r w:rsidR="00B46497" w:rsidRPr="00824C65">
        <w:rPr>
          <w:color w:val="833C0B" w:themeColor="accent2" w:themeShade="80"/>
        </w:rPr>
        <w:t>goals</w:t>
      </w:r>
      <w:r w:rsidR="009B4908" w:rsidRPr="00824C65">
        <w:rPr>
          <w:color w:val="833C0B" w:themeColor="accent2" w:themeShade="80"/>
        </w:rPr>
        <w:t xml:space="preserve"> </w:t>
      </w:r>
      <w:r w:rsidR="00B46497" w:rsidRPr="00824C65">
        <w:rPr>
          <w:color w:val="833C0B" w:themeColor="accent2" w:themeShade="80"/>
        </w:rPr>
        <w:t xml:space="preserve">(e.g. </w:t>
      </w:r>
      <w:r w:rsidR="009B4908" w:rsidRPr="00824C65">
        <w:rPr>
          <w:color w:val="833C0B" w:themeColor="accent2" w:themeShade="80"/>
        </w:rPr>
        <w:t xml:space="preserve">rising </w:t>
      </w:r>
      <w:r w:rsidR="005D7F12" w:rsidRPr="00824C65">
        <w:rPr>
          <w:color w:val="833C0B" w:themeColor="accent2" w:themeShade="80"/>
        </w:rPr>
        <w:t>risk</w:t>
      </w:r>
      <w:r w:rsidR="009B4908" w:rsidRPr="00824C65">
        <w:rPr>
          <w:color w:val="833C0B" w:themeColor="accent2" w:themeShade="80"/>
        </w:rPr>
        <w:t xml:space="preserve"> awareness, promoting healthy </w:t>
      </w:r>
      <w:r w:rsidR="00536C16" w:rsidRPr="00824C65">
        <w:rPr>
          <w:color w:val="833C0B" w:themeColor="accent2" w:themeShade="80"/>
        </w:rPr>
        <w:t>lifestyles</w:t>
      </w:r>
      <w:r w:rsidR="009B4908" w:rsidRPr="00824C65">
        <w:rPr>
          <w:color w:val="833C0B" w:themeColor="accent2" w:themeShade="80"/>
        </w:rPr>
        <w:t xml:space="preserve">, and empower </w:t>
      </w:r>
      <w:r w:rsidR="008358CB" w:rsidRPr="00824C65">
        <w:rPr>
          <w:color w:val="833C0B" w:themeColor="accent2" w:themeShade="80"/>
        </w:rPr>
        <w:t>people</w:t>
      </w:r>
      <w:r w:rsidR="009B4908" w:rsidRPr="00824C65">
        <w:rPr>
          <w:color w:val="833C0B" w:themeColor="accent2" w:themeShade="80"/>
        </w:rPr>
        <w:t xml:space="preserve"> with </w:t>
      </w:r>
      <w:r w:rsidR="00D72179" w:rsidRPr="00824C65">
        <w:rPr>
          <w:color w:val="833C0B" w:themeColor="accent2" w:themeShade="80"/>
        </w:rPr>
        <w:t>evidence-based</w:t>
      </w:r>
      <w:r w:rsidR="009B4908" w:rsidRPr="00824C65">
        <w:rPr>
          <w:color w:val="833C0B" w:themeColor="accent2" w:themeShade="80"/>
        </w:rPr>
        <w:t xml:space="preserve"> disease prevention</w:t>
      </w:r>
      <w:r w:rsidR="00B46497" w:rsidRPr="00824C65">
        <w:rPr>
          <w:color w:val="833C0B" w:themeColor="accent2" w:themeShade="80"/>
        </w:rPr>
        <w:t>)</w:t>
      </w:r>
      <w:r w:rsidR="009B4908" w:rsidRPr="00824C65">
        <w:rPr>
          <w:color w:val="833C0B" w:themeColor="accent2" w:themeShade="80"/>
        </w:rPr>
        <w:t>.</w:t>
      </w:r>
      <w:r w:rsidR="002554DA" w:rsidRPr="00824C65">
        <w:rPr>
          <w:color w:val="833C0B" w:themeColor="accent2" w:themeShade="80"/>
        </w:rPr>
        <w:t xml:space="preserve"> </w:t>
      </w:r>
      <w:r w:rsidR="005D7F12" w:rsidRPr="00824C65">
        <w:rPr>
          <w:color w:val="833C0B" w:themeColor="accent2" w:themeShade="80"/>
        </w:rPr>
        <w:t>Furthermore, b</w:t>
      </w:r>
      <w:r w:rsidR="003F6E17" w:rsidRPr="00824C65">
        <w:rPr>
          <w:color w:val="833C0B" w:themeColor="accent2" w:themeShade="80"/>
        </w:rPr>
        <w:t xml:space="preserve">y using the communication/persuasion models to assess the effectiveness of communication strategies </w:t>
      </w:r>
      <w:r w:rsidR="003F6E17" w:rsidRPr="00824C65">
        <w:rPr>
          <w:color w:val="833C0B" w:themeColor="accent2" w:themeShade="80"/>
        </w:rPr>
        <w:fldChar w:fldCharType="begin" w:fldLock="1"/>
      </w:r>
      <w:r w:rsidR="003F6E17" w:rsidRPr="00824C65">
        <w:rPr>
          <w:color w:val="833C0B" w:themeColor="accent2" w:themeShade="80"/>
        </w:rPr>
        <w:instrText>ADDIN CSL_CITATION {"citationItems":[{"id":"ITEM-1","itemData":{"author":[{"dropping-particle":"","family":"McGuire","given":"William J","non-dropping-particle":"","parse-names":false,"suffix":""}],"container-title":"Public communication campaigns","id":"ITEM-1","issued":{"date-parts":[["1989"]]},"page":"43-65","title":"Theoretical foundations of campaigns","type":"article-journal","volume":"2"},"uris":["http://www.mendeley.com/documents/?uuid=1d385bfb-6ded-4591-9317-90269c247eb6"]}],"mendeley":{"formattedCitation":"(McGuire, 1989)","plainTextFormattedCitation":"(McGuire, 1989)","previouslyFormattedCitation":"(McGuire, 1989)"},"properties":{"noteIndex":0},"schema":"https://github.com/citation-style-language/schema/raw/master/csl-citation.json"}</w:instrText>
      </w:r>
      <w:r w:rsidR="003F6E17" w:rsidRPr="00824C65">
        <w:rPr>
          <w:color w:val="833C0B" w:themeColor="accent2" w:themeShade="80"/>
        </w:rPr>
        <w:fldChar w:fldCharType="separate"/>
      </w:r>
      <w:r w:rsidR="003F6E17" w:rsidRPr="00824C65">
        <w:rPr>
          <w:noProof/>
          <w:color w:val="833C0B" w:themeColor="accent2" w:themeShade="80"/>
        </w:rPr>
        <w:t>(McGuire, 1989)</w:t>
      </w:r>
      <w:r w:rsidR="003F6E17" w:rsidRPr="00824C65">
        <w:rPr>
          <w:color w:val="833C0B" w:themeColor="accent2" w:themeShade="80"/>
        </w:rPr>
        <w:fldChar w:fldCharType="end"/>
      </w:r>
      <w:r w:rsidR="003F6E17" w:rsidRPr="00824C65">
        <w:rPr>
          <w:color w:val="833C0B" w:themeColor="accent2" w:themeShade="80"/>
        </w:rPr>
        <w:t xml:space="preserve">, the researchers stated the important role of choosing relevant media channels to disseminate health knowledge </w:t>
      </w:r>
      <w:r w:rsidR="003F6E17" w:rsidRPr="00824C65">
        <w:rPr>
          <w:color w:val="833C0B" w:themeColor="accent2" w:themeShade="80"/>
        </w:rPr>
        <w:fldChar w:fldCharType="begin" w:fldLock="1"/>
      </w:r>
      <w:r w:rsidR="00682B71" w:rsidRPr="00824C65">
        <w:rPr>
          <w:color w:val="833C0B" w:themeColor="accent2" w:themeShade="80"/>
        </w:rPr>
        <w:instrText>ADDIN CSL_CITATION {"citationItems":[{"id":"ITEM-1","itemData":{"DOI":"10.1080/10410236.2020.1838092","ISSN":"15327027","PMID":"33198519","abstract":"With specific references to South Korea’s response to the COVID-19 pandemic, this commentary discusses insights and problems related to the issue of how to communicate uncertainties about health risks to affected publics. First, we discuss examples of uncertainties relating to deficiencies of knowledge and divergent views among experts. Next, we summarize key findings on effective communication about uncertainty, and we suggest possible future directions for research in this area. Last, we suggest further development of theories that could explain how people process uncertainty in communication and how uncertainty leads to specific cognitive, emotional, and behavioral reactions.","author":[{"dropping-particle":"","family":"Paek","given":"Hye Jin","non-dropping-particle":"","parse-names":false,"suffix":""},{"dropping-particle":"","family":"Hove","given":"Thomas","non-dropping-particle":"","parse-names":false,"suffix":""}],"container-title":"Health Communication","id":"ITEM-1","issue":"14","issued":{"date-parts":[["2020"]]},"page":"1729-1731","publisher":"Routledge","title":"Communicating uncertainties during the COVID-19 outbreak","type":"article-journal","volume":"35"},"uris":["http://www.mendeley.com/documents/?uuid=0e83df20-36c0-4d5d-bf3f-af919262f4ad"]},{"id":"ITEM-2","itemData":{"DOI":"10.17061/phrp3022010","ISSN":"22042091","PMID":"32601655","abstract":"Background/objective: The understanding and practice of public health crisis communication are improved through the study of responses to past crises, but require retooling for present challenges. The 'Addressing Ebola and other outbreaks' checklist contains guiding principles built upon maxims developed from a World Health Organization consultation in response to the mad cow (bovine spongiform encephalopathy) crisis that were later adopted for Ebola. The purpose of this article is to adapt the checklist for the health communication challenges and public health practices that have emerged during the coronavirus disease 2019 (COVID-19) pandemic. The communication challenges of promoting vaccine acceptance are used to illustrate a key area that requires strengthened communication. Type of program or service: Effective communication principles for application during the COVID-19 pandemic. Results: The COVID-19 pandemic has introduced unique challenges for public health practitioners and health communicators that warrant an expansion of existing health communication principles to take into consideration: the new infodemic (or mis/disinfodemic) challenge - particularly as treatments and vaccines are being developed; communication of risk and uncertainty; health-information behaviours and the instantaneous nature of social media, and the relationship between media literacy and health literacy; the effects of the pandemic on other health issues; and the need for a flexible communication strategy that adapts to the different stages of the pandemic. Lessons learnt: Principles discussed in this article will help build preparedness capacity and offer communication strategies for moving from the acute phase to the 'next normal' with likely prevention (e.g. herd immunity achieved through vaccination) and societal COVID-19 resilience.","author":[{"dropping-particle":"","family":"Ratzan","given":"Scott C.","non-dropping-particle":"","parse-names":false,"suffix":""},{"dropping-particle":"","family":"Sommariva","given":"Silvia","non-dropping-particle":"","parse-names":false,"suffix":""},{"dropping-particle":"","family":"Rauh","given":"Lauren","non-dropping-particle":"","parse-names":false,"suffix":""}],"container-title":"Public Health Research and Practice","id":"ITEM-2","issue":"2","issued":{"date-parts":[["2020"]]},"title":"Enhancing global health communication during a crisis: Lessons from the COVID-19 pandemic","type":"article-journal","volume":"30"},"uris":["http://www.mendeley.com/documents/?uuid=470fe9b0-80b3-4ef8-9afc-31cc73a226b6"]},{"id":"ITEM-3","itemData":{"DOI":"10.1037/hea0000875","ISSN":"19307810","PMID":"32202824","abstract":"The 2019 novel coronavirus (COVID-2019) has led to a serious outbreak of often severe respiratory disease, which originated in China and has quickly become a global pandemic, with far-reaching consequences that are unprecedented in the modern era. As public health officials seek to contain the virus and mitigate the deleterious effects on worldwide population health, a related threat has emerged: global media exposure to the crisis. We review research suggesting that repeated media exposure to community crisis can lead to increased anxiety, heightened stress responses that can lead to downstream effects on health, and misplaced health-protective and help-seeking behaviors that can overburden health care facilities and tax available resources. We draw from work on previous public health crises (i.e., Ebola and H1N1 outbreaks) and other collective trauma (e.g., terrorist attacks) where media coverage of events had unintended consequences for those at relatively low risk for direct exposure, leading to potentially severe public health repercussions. We conclude with recommendations for individuals, researchers, and public health officials with respect to receiving and providing effective communications during a public health crisis.","author":[{"dropping-particle":"","family":"Garfin","given":"Dana Rose","non-dropping-particle":"","parse-names":false,"suffix":""},{"dropping-particle":"","family":"Silver","given":"Roxane Cohen","non-dropping-particle":"","parse-names":false,"suffix":""},{"dropping-particle":"","family":"Holman","given":"E. Alison","non-dropping-particle":"","parse-names":false,"suffix":""}],"container-title":"Health Psychology","id":"ITEM-3","issue":"5","issued":{"date-parts":[["2020"]]},"page":"355-357","title":"The novel coronavirus (COVID-2019) outbreak: Amplification of public health consequences by media exposure","type":"article-journal","volume":"39"},"uris":["http://www.mendeley.com/documents/?uuid=6f7da490-14fe-428b-ba03-f37c4bc35789"]}],"mendeley":{"formattedCitation":"(Garfin, Silver and Holman, 2020; Paek and Hove, 2020; Ratzan, Sommariva and Rauh, 2020)","plainTextFormattedCitation":"(Garfin, Silver and Holman, 2020; Paek and Hove, 2020; Ratzan, Sommariva and Rauh, 2020)","previouslyFormattedCitation":"(Garfin, Silver and Holman, 2020; Paek and Hove, 2020; Ratzan, Sommariva and Rauh, 2020)"},"properties":{"noteIndex":0},"schema":"https://github.com/citation-style-language/schema/raw/master/csl-citation.json"}</w:instrText>
      </w:r>
      <w:r w:rsidR="003F6E17" w:rsidRPr="00824C65">
        <w:rPr>
          <w:color w:val="833C0B" w:themeColor="accent2" w:themeShade="80"/>
        </w:rPr>
        <w:fldChar w:fldCharType="separate"/>
      </w:r>
      <w:r w:rsidR="003F6E17" w:rsidRPr="00824C65">
        <w:rPr>
          <w:noProof/>
          <w:color w:val="833C0B" w:themeColor="accent2" w:themeShade="80"/>
        </w:rPr>
        <w:t>(Garfin, Silver and Holman, 2020; Paek and Hove, 2020; Ratzan, Sommariva and Rauh, 2020)</w:t>
      </w:r>
      <w:r w:rsidR="003F6E17" w:rsidRPr="00824C65">
        <w:rPr>
          <w:color w:val="833C0B" w:themeColor="accent2" w:themeShade="80"/>
        </w:rPr>
        <w:fldChar w:fldCharType="end"/>
      </w:r>
      <w:r w:rsidR="003F6E17" w:rsidRPr="00824C65">
        <w:rPr>
          <w:color w:val="833C0B" w:themeColor="accent2" w:themeShade="80"/>
        </w:rPr>
        <w:t xml:space="preserve">. </w:t>
      </w:r>
      <w:r w:rsidR="00EF7C58" w:rsidRPr="00824C65">
        <w:rPr>
          <w:color w:val="833C0B" w:themeColor="accent2" w:themeShade="80"/>
        </w:rPr>
        <w:t xml:space="preserve">Specifically, media channels could facilitate health communication when </w:t>
      </w:r>
      <w:r w:rsidR="00EF7C58" w:rsidRPr="00824C65">
        <w:rPr>
          <w:color w:val="833C0B" w:themeColor="accent2" w:themeShade="80"/>
        </w:rPr>
        <w:lastRenderedPageBreak/>
        <w:t xml:space="preserve">utilised </w:t>
      </w:r>
      <w:r w:rsidR="00536C16" w:rsidRPr="00824C65">
        <w:rPr>
          <w:color w:val="833C0B" w:themeColor="accent2" w:themeShade="80"/>
        </w:rPr>
        <w:t xml:space="preserve">following </w:t>
      </w:r>
      <w:r w:rsidR="00EF7C58" w:rsidRPr="00824C65">
        <w:rPr>
          <w:color w:val="833C0B" w:themeColor="accent2" w:themeShade="80"/>
        </w:rPr>
        <w:t xml:space="preserve">adequate </w:t>
      </w:r>
      <w:r w:rsidR="00536C16" w:rsidRPr="00824C65">
        <w:rPr>
          <w:color w:val="833C0B" w:themeColor="accent2" w:themeShade="80"/>
        </w:rPr>
        <w:t>studies</w:t>
      </w:r>
      <w:r w:rsidR="00EF7C58" w:rsidRPr="00824C65">
        <w:rPr>
          <w:color w:val="833C0B" w:themeColor="accent2" w:themeShade="80"/>
        </w:rPr>
        <w:t xml:space="preserve"> on their characteristics and the target audiences' preferences</w:t>
      </w:r>
      <w:r w:rsidR="002554DA" w:rsidRPr="00824C65">
        <w:rPr>
          <w:color w:val="833C0B" w:themeColor="accent2" w:themeShade="80"/>
        </w:rPr>
        <w:t xml:space="preserve"> </w:t>
      </w:r>
      <w:r w:rsidR="002554DA" w:rsidRPr="00824C65">
        <w:rPr>
          <w:color w:val="833C0B" w:themeColor="accent2" w:themeShade="80"/>
        </w:rPr>
        <w:fldChar w:fldCharType="begin" w:fldLock="1"/>
      </w:r>
      <w:r w:rsidR="002554DA" w:rsidRPr="00824C65">
        <w:rPr>
          <w:color w:val="833C0B" w:themeColor="accent2" w:themeShade="80"/>
        </w:rPr>
        <w:instrText>ADDIN CSL_CITATION {"citationItems":[{"id":"ITEM-1","itemData":{"DOI":"10.1146/annurev.publhealth.031308.100300","ISSN":"01637525","PMID":"19296776","abstract":"With reference to the Communication-Persuasion model, we describe various research issues and challenges when considering the health of Latinos, and implications for designing and evaluating health communication and behavior change efforts in this population. Latinos, collectively the nation's largest minority group, vary substantially in terms of socioeconomic and legal status, their country of origin and the extent of ongoing contact with that country, their region of residence within the United States, their generation status and levels of acculturation, and psychosocial factors. Health communication efforts with Latinos need to focus on family, cultural traditions, and collectivism while attending to acculturation, language, generation and national origin. The most extensive intervention topic in Latino health promotion has been the application of the lay health advisor model. This and other fundamental communication approaches, as well as audience and population characteristics, need to be considered within the context of dynamic and complex societal changes. Copyright © 2009 by Annual Reviews. All rights reserved.","author":[{"dropping-particle":"","family":"Elder","given":"John P.","non-dropping-particle":"","parse-names":false,"suffix":""},{"dropping-particle":"","family":"Ayala","given":"Guadalupe X.","non-dropping-particle":"","parse-names":false,"suffix":""},{"dropping-particle":"","family":"Parra-Medina","given":"Deborah","non-dropping-particle":"","parse-names":false,"suffix":""},{"dropping-particle":"","family":"Talavera","given":"Gregory A.","non-dropping-particle":"","parse-names":false,"suffix":""}],"container-title":"Annual Review of Public Health","id":"ITEM-1","issued":{"date-parts":[["2009"]]},"page":"227-251","title":"Health communication in the Latino community: Issues and approaches","type":"article-journal","volume":"30"},"uris":["http://www.mendeley.com/documents/?uuid=cb606f81-c680-41c1-80fa-54af56464de2"]}],"mendeley":{"formattedCitation":"(Elder &lt;i&gt;et al.&lt;/i&gt;, 2009)","plainTextFormattedCitation":"(Elder et al., 2009)","previouslyFormattedCitation":"(Elder &lt;i&gt;et al.&lt;/i&gt;, 2009)"},"properties":{"noteIndex":0},"schema":"https://github.com/citation-style-language/schema/raw/master/csl-citation.json"}</w:instrText>
      </w:r>
      <w:r w:rsidR="002554DA" w:rsidRPr="00824C65">
        <w:rPr>
          <w:color w:val="833C0B" w:themeColor="accent2" w:themeShade="80"/>
        </w:rPr>
        <w:fldChar w:fldCharType="separate"/>
      </w:r>
      <w:r w:rsidR="002554DA" w:rsidRPr="00824C65">
        <w:rPr>
          <w:noProof/>
          <w:color w:val="833C0B" w:themeColor="accent2" w:themeShade="80"/>
        </w:rPr>
        <w:t xml:space="preserve">(Elder </w:t>
      </w:r>
      <w:r w:rsidR="002554DA" w:rsidRPr="00824C65">
        <w:rPr>
          <w:i/>
          <w:noProof/>
          <w:color w:val="833C0B" w:themeColor="accent2" w:themeShade="80"/>
        </w:rPr>
        <w:t>et al.</w:t>
      </w:r>
      <w:r w:rsidR="002554DA" w:rsidRPr="00824C65">
        <w:rPr>
          <w:noProof/>
          <w:color w:val="833C0B" w:themeColor="accent2" w:themeShade="80"/>
        </w:rPr>
        <w:t>, 2009)</w:t>
      </w:r>
      <w:r w:rsidR="002554DA" w:rsidRPr="00824C65">
        <w:rPr>
          <w:color w:val="833C0B" w:themeColor="accent2" w:themeShade="80"/>
        </w:rPr>
        <w:fldChar w:fldCharType="end"/>
      </w:r>
      <w:r w:rsidR="00492F7C" w:rsidRPr="00824C65">
        <w:rPr>
          <w:color w:val="833C0B" w:themeColor="accent2" w:themeShade="80"/>
        </w:rPr>
        <w:t>.</w:t>
      </w:r>
    </w:p>
    <w:p w:rsidR="005D7F12" w:rsidRPr="00824C65" w:rsidRDefault="004F3A74" w:rsidP="00FF3418">
      <w:pPr>
        <w:rPr>
          <w:color w:val="833C0B" w:themeColor="accent2" w:themeShade="80"/>
        </w:rPr>
      </w:pPr>
      <w:r w:rsidRPr="00824C65">
        <w:rPr>
          <w:color w:val="833C0B" w:themeColor="accent2" w:themeShade="80"/>
        </w:rPr>
        <w:t>T</w:t>
      </w:r>
      <w:r w:rsidR="00FD46E1" w:rsidRPr="00824C65">
        <w:rPr>
          <w:color w:val="833C0B" w:themeColor="accent2" w:themeShade="80"/>
        </w:rPr>
        <w:t xml:space="preserve">here </w:t>
      </w:r>
      <w:r w:rsidR="005D7F12" w:rsidRPr="00824C65">
        <w:rPr>
          <w:color w:val="833C0B" w:themeColor="accent2" w:themeShade="80"/>
        </w:rPr>
        <w:t>were</w:t>
      </w:r>
      <w:r w:rsidR="00FD46E1" w:rsidRPr="00824C65">
        <w:rPr>
          <w:color w:val="833C0B" w:themeColor="accent2" w:themeShade="80"/>
        </w:rPr>
        <w:t xml:space="preserve"> </w:t>
      </w:r>
      <w:r w:rsidR="005D7F12" w:rsidRPr="00824C65">
        <w:rPr>
          <w:color w:val="833C0B" w:themeColor="accent2" w:themeShade="80"/>
        </w:rPr>
        <w:t>different</w:t>
      </w:r>
      <w:r w:rsidR="00FD46E1" w:rsidRPr="00824C65">
        <w:rPr>
          <w:color w:val="833C0B" w:themeColor="accent2" w:themeShade="80"/>
        </w:rPr>
        <w:t xml:space="preserve"> </w:t>
      </w:r>
      <w:r w:rsidR="00100F86" w:rsidRPr="00824C65">
        <w:rPr>
          <w:color w:val="833C0B" w:themeColor="accent2" w:themeShade="80"/>
        </w:rPr>
        <w:t>media</w:t>
      </w:r>
      <w:r w:rsidRPr="00824C65">
        <w:rPr>
          <w:color w:val="833C0B" w:themeColor="accent2" w:themeShade="80"/>
        </w:rPr>
        <w:t xml:space="preserve"> </w:t>
      </w:r>
      <w:r w:rsidR="00100F86" w:rsidRPr="00824C65">
        <w:rPr>
          <w:color w:val="833C0B" w:themeColor="accent2" w:themeShade="80"/>
        </w:rPr>
        <w:t>types</w:t>
      </w:r>
      <w:r w:rsidR="00FD46E1" w:rsidRPr="00824C65">
        <w:rPr>
          <w:color w:val="833C0B" w:themeColor="accent2" w:themeShade="80"/>
        </w:rPr>
        <w:t xml:space="preserve"> </w:t>
      </w:r>
      <w:r w:rsidRPr="00824C65">
        <w:rPr>
          <w:color w:val="833C0B" w:themeColor="accent2" w:themeShade="80"/>
        </w:rPr>
        <w:t>used to</w:t>
      </w:r>
      <w:r w:rsidR="00186629" w:rsidRPr="00824C65">
        <w:rPr>
          <w:color w:val="833C0B" w:themeColor="accent2" w:themeShade="80"/>
        </w:rPr>
        <w:t xml:space="preserve"> spread information</w:t>
      </w:r>
      <w:r w:rsidR="009822F3" w:rsidRPr="00824C65">
        <w:rPr>
          <w:color w:val="833C0B" w:themeColor="accent2" w:themeShade="80"/>
        </w:rPr>
        <w:t xml:space="preserve"> and </w:t>
      </w:r>
      <w:r w:rsidR="00F16D69" w:rsidRPr="00824C65">
        <w:rPr>
          <w:color w:val="833C0B" w:themeColor="accent2" w:themeShade="80"/>
        </w:rPr>
        <w:t xml:space="preserve">motivate the public to </w:t>
      </w:r>
      <w:r w:rsidR="004E31AF" w:rsidRPr="00824C65">
        <w:rPr>
          <w:color w:val="833C0B" w:themeColor="accent2" w:themeShade="80"/>
        </w:rPr>
        <w:t>adopt</w:t>
      </w:r>
      <w:r w:rsidR="00F16D69" w:rsidRPr="00824C65">
        <w:rPr>
          <w:color w:val="833C0B" w:themeColor="accent2" w:themeShade="80"/>
        </w:rPr>
        <w:t xml:space="preserve"> healthy behaviours</w:t>
      </w:r>
      <w:r w:rsidR="00FD46E1" w:rsidRPr="00824C65">
        <w:rPr>
          <w:color w:val="833C0B" w:themeColor="accent2" w:themeShade="80"/>
        </w:rPr>
        <w:t xml:space="preserve">. </w:t>
      </w:r>
      <w:r w:rsidR="001D6879">
        <w:t xml:space="preserve">For instance, </w:t>
      </w:r>
      <w:r w:rsidR="001D6879" w:rsidRPr="00166186">
        <w:t xml:space="preserve">mass media </w:t>
      </w:r>
      <w:r w:rsidR="001D6879" w:rsidRPr="005C3E03">
        <w:t>(</w:t>
      </w:r>
      <w:r w:rsidR="001D6879">
        <w:t xml:space="preserve">e.g. </w:t>
      </w:r>
      <w:r w:rsidR="001D6879" w:rsidRPr="005C3E03">
        <w:t>television, radio, newspapers, magazines, outdoor and transit advertising, direct mail, and websites) could</w:t>
      </w:r>
      <w:r w:rsidR="001D6879">
        <w:t xml:space="preserve"> help the population</w:t>
      </w:r>
      <w:r w:rsidR="001D6879" w:rsidRPr="005C3E03">
        <w:t xml:space="preserve"> improve sexual health, reduce sedentary behaviour, and lead to smoking cessation</w:t>
      </w:r>
      <w:r w:rsidR="001D6879">
        <w:t xml:space="preserve"> </w:t>
      </w:r>
      <w:r w:rsidR="001D6879" w:rsidRPr="005C3E03">
        <w:fldChar w:fldCharType="begin" w:fldLock="1"/>
      </w:r>
      <w:r w:rsidR="001D6879" w:rsidRPr="005C3E03">
        <w:instrText>ADDIN CSL_CITATION {"citationItems":[{"id":"ITEM-1","itemData":{"DOI":"10.3310/phr07080","ISSN":"2050-4381","abstract":"Background: Mass media campaigns can be used to communicate public health messages at the population level. Although previous research has shown that they can influence health behaviours in some contexts, there have been few attempts to synthesise evidence across multiple health behaviours. Objectives: To (1) review evidence on the effective use of mass media in six health topic areas (alcohol, diet, illicit drugs, physical activity, sexual and reproductive health and tobacco), (2) examine whether or not effectiveness varies with different target populations, (3) identify characteristics of mass media campaigns associated with effectiveness and (4) identify key research gaps. Design: The study comprised (1) a systematic review of reviews, (2) a review of primary studies examining alcohol mass media campaigns, (3) a review of cost-effectiveness evidence and (4) a review of recent primary studies of mass media campaigns conducted in the UK. A logic model was developed to inform the reviews. Public engagement activities were conducted with policy, practitioner and academic stakeholders and with young people. Results: The amount and strength of evidence varies across the six topics, and there was little evidence regarding diet campaigns. There was moderate evidence that mass media campaigns can reduce sedentary behaviour and influence sexual health-related behaviours and treatment-seeking behaviours (e.g. use of smoking quitlines and sexual health services). The impact on tobacco use and physical activity was mixed, there was limited evidence of impact on alcohol use and there was no impact on illicit drug behaviours. Mass media campaigns were found to increase knowledge and awareness across several topics, and to influence intentions regarding physical activity and smoking. Tobacco and illicit drug campaigns appeared to be more effective for young people and children but there was no or inconsistent evidence regarding effectiveness by sex, ethnicity or socioeconomic status. There was moderate evidence that tobacco mass media campaigns are cost-effective, but there was weak or limited evidence in other topic areas. Although there was limited evidence on characteristics associated with effectiveness, longer or greater intensity campaigns were found to be more effective, and messages were important, with positive and negative messages and social norms messages affecting smoking behaviour. The evidence suggested that targeting messages to target audiences can …","author":[{"dropping-particle":"","family":"Stead","given":"Martine","non-dropping-particle":"","parse-names":false,"suffix":""},{"dropping-particle":"","family":"Angus","given":"Kathryn","non-dropping-particle":"","parse-names":false,"suffix":""},{"dropping-particle":"","family":"Langley","given":"Tessa","non-dropping-particle":"","parse-names":false,"suffix":""},{"dropping-particle":"","family":"Katikireddi","given":"Srinivasa Vittal","non-dropping-particle":"","parse-names":false,"suffix":""},{"dropping-particle":"","family":"Hinds","given":"Kate","non-dropping-particle":"","parse-names":false,"suffix":""},{"dropping-particle":"","family":"Hilton","given":"Shona","non-dropping-particle":"","parse-names":false,"suffix":""},{"dropping-particle":"","family":"Lewis","given":"Sarah","non-dropping-particle":"","parse-names":false,"suffix":""},{"dropping-particle":"","family":"Thomas","given":"James","non-dropping-particle":"","parse-names":false,"suffix":""},{"dropping-particle":"","family":"Campbell","given":"Mhairi","non-dropping-particle":"","parse-names":false,"suffix":""},{"dropping-particle":"","family":"Young","given":"Ben","non-dropping-particle":"","parse-names":false,"suffix":""},{"dropping-particle":"","family":"Bauld","given":"Linda","non-dropping-particle":"","parse-names":false,"suffix":""}],"container-title":"Public Health Research","id":"ITEM-1","issue":"8","issued":{"date-parts":[["2019"]]},"page":"1-206","title":"Mass media to communicate public health messages in six health topic areas: a systematic review and other reviews of the evidence","type":"article-journal","volume":"7"},"uris":["http://www.mendeley.com/documents/?uuid=beb0e3d6-e2cc-4a39-b92d-c4170ec72825"]}],"mendeley":{"formattedCitation":"(Stead &lt;i&gt;et al.&lt;/i&gt;, 2019)","plainTextFormattedCitation":"(Stead et al., 2019)","previouslyFormattedCitation":"(Stead &lt;i&gt;et al.&lt;/i&gt;, 2019)"},"properties":{"noteIndex":0},"schema":"https://github.com/citation-style-language/schema/raw/master/csl-citation.json"}</w:instrText>
      </w:r>
      <w:r w:rsidR="001D6879" w:rsidRPr="005C3E03">
        <w:fldChar w:fldCharType="separate"/>
      </w:r>
      <w:r w:rsidR="001D6879" w:rsidRPr="005C3E03">
        <w:rPr>
          <w:noProof/>
        </w:rPr>
        <w:t xml:space="preserve">(Stead </w:t>
      </w:r>
      <w:r w:rsidR="001D6879" w:rsidRPr="005C3E03">
        <w:rPr>
          <w:i/>
          <w:noProof/>
        </w:rPr>
        <w:t>et al.</w:t>
      </w:r>
      <w:r w:rsidR="001D6879" w:rsidRPr="005C3E03">
        <w:rPr>
          <w:noProof/>
        </w:rPr>
        <w:t>, 2019)</w:t>
      </w:r>
      <w:r w:rsidR="001D6879" w:rsidRPr="005C3E03">
        <w:fldChar w:fldCharType="end"/>
      </w:r>
      <w:r w:rsidR="001D6879" w:rsidRPr="005C3E03">
        <w:t xml:space="preserve">. </w:t>
      </w:r>
      <w:r w:rsidR="001D6879">
        <w:t xml:space="preserve">In addition, </w:t>
      </w:r>
      <w:r w:rsidR="001D6879" w:rsidRPr="005C3E03">
        <w:t>daily newspaper</w:t>
      </w:r>
      <w:r w:rsidR="001D6879">
        <w:t xml:space="preserve">s were </w:t>
      </w:r>
      <w:r w:rsidR="001D6879" w:rsidRPr="005C3E03">
        <w:t xml:space="preserve">one of the most influential </w:t>
      </w:r>
      <w:r w:rsidR="001D6879">
        <w:t xml:space="preserve">communication forms for providing </w:t>
      </w:r>
      <w:r w:rsidR="001D6879" w:rsidRPr="005C3E03">
        <w:t>lifestyle disease</w:t>
      </w:r>
      <w:r w:rsidR="001D6879">
        <w:t xml:space="preserve">s preventions </w:t>
      </w:r>
      <w:r w:rsidR="001D6879" w:rsidRPr="005C3E03">
        <w:fldChar w:fldCharType="begin" w:fldLock="1"/>
      </w:r>
      <w:r w:rsidR="00682B71">
        <w:instrText>ADDIN CSL_CITATION {"citationItems":[{"id":"ITEM-1","itemData":{"ISSN":"2395-1559","abstract":"Mass media play a critical role in disseminating public health information, improving health knowledge and changing health behaviours. Kerala has a unique position in the health sector of India with relatively better living conditions and health facilities for the population. Though the rural- urban divide is narrow on infrastructure and awareness of health in Kerala many still needs to be done to improve the overall living conditions of people in the remote villages. It is in this context this micro level study was carried out to understand the role and impact of popular mass media in Malayalam. The major objective was to find out the most reliable and effective source for health communication among the people living in a hillock village in the Idukki district of Central Kerala. An opinion survey has revealed that the daily newspapers followed by Television and internet play a key role in disseminating news on and about Health to rural population. The gender and education of the people were also found to be decisive when it comes to the reading preferences and selection of various categories of news, features and articles from the print media.","author":[{"dropping-particle":"","family":"Augustine","given":"Jais Merlin P","non-dropping-particle":"","parse-names":false,"suffix":""},{"dropping-particle":"","family":"Harikumar","given":"M S","non-dropping-particle":"","parse-names":false,"suffix":""}],"container-title":"Communication and Media Studies","id":"ITEM-1","issue":"1","issued":{"date-parts":[["2017"]]},"page":"61-72","title":"The role of mass media in rural health communication: A micro level study in Kerala","type":"article-journal","volume":"6"},"uris":["http://www.mendeley.com/documents/?uuid=50d9b1b5-ed81-45ad-83a9-63371eaee592"]}],"mendeley":{"formattedCitation":"(Augustine and Harikumar, 2017)","plainTextFormattedCitation":"(Augustine and Harikumar, 2017)","previouslyFormattedCitation":"(Augustine and Harikumar, 2017)"},"properties":{"noteIndex":0},"schema":"https://github.com/citation-style-language/schema/raw/master/csl-citation.json"}</w:instrText>
      </w:r>
      <w:r w:rsidR="001D6879" w:rsidRPr="005C3E03">
        <w:fldChar w:fldCharType="separate"/>
      </w:r>
      <w:r w:rsidR="001D6879" w:rsidRPr="005C3E03">
        <w:rPr>
          <w:noProof/>
        </w:rPr>
        <w:t>(Augustine and Harikumar, 2017)</w:t>
      </w:r>
      <w:r w:rsidR="001D6879" w:rsidRPr="005C3E03">
        <w:fldChar w:fldCharType="end"/>
      </w:r>
      <w:r w:rsidR="001D6879" w:rsidRPr="005C3E03">
        <w:t xml:space="preserve">. </w:t>
      </w:r>
      <w:r w:rsidR="00F23325">
        <w:t>S</w:t>
      </w:r>
      <w:r w:rsidR="001D6879" w:rsidRPr="005C3E03">
        <w:t>ocial media</w:t>
      </w:r>
      <w:r w:rsidR="001D6879">
        <w:t xml:space="preserve"> </w:t>
      </w:r>
      <w:r w:rsidR="001D6879" w:rsidRPr="005C3E03">
        <w:t xml:space="preserve">offered the possibility of reaching numerous people with critical health </w:t>
      </w:r>
      <w:r w:rsidR="001D6879">
        <w:t>information</w:t>
      </w:r>
      <w:r w:rsidR="001D6879" w:rsidRPr="005C3E03">
        <w:t xml:space="preserve"> and customising messages to suit viewers' literacy levels and cultural orientations </w:t>
      </w:r>
      <w:r w:rsidR="001D6879" w:rsidRPr="005C3E03">
        <w:fldChar w:fldCharType="begin" w:fldLock="1"/>
      </w:r>
      <w:r w:rsidR="001D6879" w:rsidRPr="005C3E03">
        <w:instrText>ADDIN CSL_CITATION {"citationItems":[{"id":"ITEM-1","itemData":{"DOI":"10.1002/9781119399926.ch47","author":[{"dropping-particle":"","family":"Wright","given":"Kevin B.","non-dropping-particle":"","parse-names":false,"suffix":""}],"container-title":"The Handbook of Applied Communication Research","id":"ITEM-1","issued":{"date-parts":[["2020"]]},"page":"863-878","title":"New Technologies and Health Communication","type":"article-journal","volume":"2"},"uris":["http://www.mendeley.com/documents/?uuid=2257d85a-2c76-493d-9e0b-86e13fd95fa8"]}],"mendeley":{"formattedCitation":"(Wright, 2020)","plainTextFormattedCitation":"(Wright, 2020)","previouslyFormattedCitation":"(Wright, 2020)"},"properties":{"noteIndex":0},"schema":"https://github.com/citation-style-language/schema/raw/master/csl-citation.json"}</w:instrText>
      </w:r>
      <w:r w:rsidR="001D6879" w:rsidRPr="005C3E03">
        <w:fldChar w:fldCharType="separate"/>
      </w:r>
      <w:r w:rsidR="001D6879" w:rsidRPr="005C3E03">
        <w:rPr>
          <w:noProof/>
        </w:rPr>
        <w:t>(Wright, 2020)</w:t>
      </w:r>
      <w:r w:rsidR="001D6879" w:rsidRPr="005C3E03">
        <w:fldChar w:fldCharType="end"/>
      </w:r>
      <w:r w:rsidR="001D6879" w:rsidRPr="005C3E03">
        <w:t>.</w:t>
      </w:r>
      <w:r w:rsidR="001D6879">
        <w:t xml:space="preserve"> I</w:t>
      </w:r>
      <w:r w:rsidR="001D6879" w:rsidRPr="005C3E03">
        <w:t>n countries where older mobile phone technology was</w:t>
      </w:r>
      <w:r w:rsidR="001D6879">
        <w:t xml:space="preserve"> still</w:t>
      </w:r>
      <w:r w:rsidR="001D6879" w:rsidRPr="005C3E03">
        <w:t xml:space="preserve"> the standard, Short Message Service was utilised extensively in health interventions </w:t>
      </w:r>
      <w:r w:rsidR="001D6879" w:rsidRPr="005C3E03">
        <w:fldChar w:fldCharType="begin" w:fldLock="1"/>
      </w:r>
      <w:r w:rsidR="001D6879" w:rsidRPr="005C3E03">
        <w:instrText>ADDIN CSL_CITATION {"citationItems":[{"id":"ITEM-1","itemData":{"DOI":"10.3201/eid2204.151459","ISSN":"10806059","PMID":"26981628","abstract":"We conducted a randomized, controlled trial to test the effectiveness of a text-messaging system used for notification of disease outbreaks in Kenya. Health facilities that used the system had more timely notifications than those that did not (19.2% vs. 2.6%), indicating that technology can enhance disease surveillance in resource-limited settings.","author":[{"dropping-particle":"","family":"Toda","given":"Mitsuru","non-dropping-particle":"","parse-names":false,"suffix":""},{"dropping-particle":"","family":"Njeru","given":"Ian","non-dropping-particle":"","parse-names":false,"suffix":""},{"dropping-particle":"","family":"Zurovac","given":"Dejan","non-dropping-particle":"","parse-names":false,"suffix":""},{"dropping-particle":"","family":"O-Tipo","given":"Shikanga","non-dropping-particle":"","parse-names":false,"suffix":""},{"dropping-particle":"","family":"Kareko","given":"David","non-dropping-particle":"","parse-names":false,"suffix":""},{"dropping-particle":"","family":"Mwau","given":"Matilu","non-dropping-particle":"","parse-names":false,"suffix":""},{"dropping-particle":"","family":"Morita","given":"Kouichi","non-dropping-particle":"","parse-names":false,"suffix":""}],"container-title":"Emerging Infectious Diseases","id":"ITEM-1","issue":"4","issued":{"date-parts":[["2016"]]},"page":"711-715","title":"Effectiveness of a mobile short-message-service-based disease outbreak alert system in Kenya","type":"article-journal","volume":"22"},"uris":["http://www.mendeley.com/documents/?uuid=a397ea5a-2496-4513-a285-4517ae266e0c"]}],"mendeley":{"formattedCitation":"(Toda &lt;i&gt;et al.&lt;/i&gt;, 2016)","plainTextFormattedCitation":"(Toda et al., 2016)","previouslyFormattedCitation":"(Toda &lt;i&gt;et al.&lt;/i&gt;, 2016)"},"properties":{"noteIndex":0},"schema":"https://github.com/citation-style-language/schema/raw/master/csl-citation.json"}</w:instrText>
      </w:r>
      <w:r w:rsidR="001D6879" w:rsidRPr="005C3E03">
        <w:fldChar w:fldCharType="separate"/>
      </w:r>
      <w:r w:rsidR="001D6879" w:rsidRPr="005C3E03">
        <w:rPr>
          <w:noProof/>
        </w:rPr>
        <w:t xml:space="preserve">(Toda </w:t>
      </w:r>
      <w:r w:rsidR="001D6879" w:rsidRPr="005C3E03">
        <w:rPr>
          <w:i/>
          <w:noProof/>
        </w:rPr>
        <w:t>et al.</w:t>
      </w:r>
      <w:r w:rsidR="001D6879" w:rsidRPr="005C3E03">
        <w:rPr>
          <w:noProof/>
        </w:rPr>
        <w:t>, 2016)</w:t>
      </w:r>
      <w:r w:rsidR="001D6879" w:rsidRPr="005C3E03">
        <w:fldChar w:fldCharType="end"/>
      </w:r>
      <w:r w:rsidR="001D6879" w:rsidRPr="005C3E03">
        <w:t>.</w:t>
      </w:r>
      <w:r w:rsidR="001D6879">
        <w:t xml:space="preserve"> Especially, health</w:t>
      </w:r>
      <w:r w:rsidR="001D6879" w:rsidRPr="005C3E03">
        <w:t xml:space="preserve"> </w:t>
      </w:r>
      <w:r w:rsidR="001D6879">
        <w:t>c</w:t>
      </w:r>
      <w:r w:rsidR="001D6879" w:rsidRPr="005C3E03">
        <w:t xml:space="preserve">ommunication processes might be informal </w:t>
      </w:r>
      <w:r w:rsidR="001D6879">
        <w:t>through</w:t>
      </w:r>
      <w:r w:rsidR="001D6879" w:rsidRPr="005C3E03">
        <w:t xml:space="preserve"> word-of-mouth (WOM) conversations. </w:t>
      </w:r>
      <w:r w:rsidR="001D6879">
        <w:t xml:space="preserve">WOM based on subjective </w:t>
      </w:r>
      <w:r w:rsidR="001D6879" w:rsidRPr="005C3E03">
        <w:t>patient</w:t>
      </w:r>
      <w:r w:rsidR="008652AC">
        <w:t>s'</w:t>
      </w:r>
      <w:r w:rsidR="001D6879" w:rsidRPr="005C3E03">
        <w:t xml:space="preserve"> satisfaction </w:t>
      </w:r>
      <w:r w:rsidR="00EB33FE">
        <w:t xml:space="preserve">could </w:t>
      </w:r>
      <w:r w:rsidR="001D6879" w:rsidRPr="005C3E03">
        <w:t>directly influence</w:t>
      </w:r>
      <w:r w:rsidR="001D6879">
        <w:t xml:space="preserve"> the health</w:t>
      </w:r>
      <w:r w:rsidR="001D6879" w:rsidRPr="005C3E03">
        <w:t>care p</w:t>
      </w:r>
      <w:r w:rsidR="001D6879">
        <w:t xml:space="preserve">rovider assessments and treatment selection </w:t>
      </w:r>
      <w:r w:rsidR="001D6879" w:rsidRPr="005C3E03">
        <w:fldChar w:fldCharType="begin" w:fldLock="1"/>
      </w:r>
      <w:r w:rsidR="001D6879" w:rsidRPr="005C3E03">
        <w:instrText>ADDIN CSL_CITATION {"citationItems":[{"id":"ITEM-1","itemData":{"DOI":"10.1007/s12208-016-0154-y","ISSN":"18651992","abstract":"Health care is a tremendously expensive service that deeply impacts the daily life of individuals. It has become crucial to understand all the factors that influence the usage of these services. Word-of-mouth (WOM) is such a factor, because it strongly affects the health behavior. A research gap exists when it comes to the analysis of the current state of WOM research in the health care sector. Based on a comprehensive literature review of the leading scientific journals in the health care sector, this paper investigates existing WOM studies. The investigated studies emphasize hospital recommendations as well as the necessary preconditions for WOM. The studies highlight that there are factors which are favorable to WOM and might be influenced by service providers and payers. Fewer studies concerned the spread and impact dimension. In this regard it is somewhat unexpected that three times more studies focus on the preconditions for WOM than the actual impact of WOM. Only a small number of electronic WOM studies could be found. Stakeholder theory suggests emphasizing factors which benefit WOM. As WOM might spread in networks and influence large groups of people, stakeholder theory further proposes considering WOM as a possible way to distribute specific health care recommendations. Even if the studies highlight the importance of WOM, several research gaps still exist. For example, due to the strong focus on hospitals, recent research seems to neglect WOM concerning health care providers such as a general practitioners or nursing homes.","author":[{"dropping-particle":"","family":"Martin","given":"Sebastian","non-dropping-particle":"","parse-names":false,"suffix":""}],"container-title":"International Review on Public and Nonprofit Marketing","id":"ITEM-1","issue":"1","issued":{"date-parts":[["2017"]]},"page":"35-56","title":"Word-of-mouth in the health care sector: a literature analysis of the current state of research and future perspectives","type":"article-journal","volume":"14"},"uris":["http://www.mendeley.com/documents/?uuid=ebef2259-6a36-48b8-b3f1-747dc70898c9"]}],"mendeley":{"formattedCitation":"(Martin, 2017)","plainTextFormattedCitation":"(Martin, 2017)","previouslyFormattedCitation":"(Martin, 2017)"},"properties":{"noteIndex":0},"schema":"https://github.com/citation-style-language/schema/raw/master/csl-citation.json"}</w:instrText>
      </w:r>
      <w:r w:rsidR="001D6879" w:rsidRPr="005C3E03">
        <w:fldChar w:fldCharType="separate"/>
      </w:r>
      <w:r w:rsidR="001D6879" w:rsidRPr="005C3E03">
        <w:rPr>
          <w:noProof/>
        </w:rPr>
        <w:t>(Martin, 2017)</w:t>
      </w:r>
      <w:r w:rsidR="001D6879" w:rsidRPr="005C3E03">
        <w:fldChar w:fldCharType="end"/>
      </w:r>
      <w:r w:rsidR="001D6879" w:rsidRPr="005C3E03">
        <w:t xml:space="preserve">. </w:t>
      </w:r>
      <w:r w:rsidR="00FF3418" w:rsidRPr="00824C65">
        <w:rPr>
          <w:color w:val="833C0B" w:themeColor="accent2" w:themeShade="80"/>
        </w:rPr>
        <w:t xml:space="preserve">In general, </w:t>
      </w:r>
      <w:r w:rsidR="005D7F12" w:rsidRPr="00824C65">
        <w:rPr>
          <w:color w:val="833C0B" w:themeColor="accent2" w:themeShade="80"/>
        </w:rPr>
        <w:t>various</w:t>
      </w:r>
      <w:r w:rsidR="00FF3418" w:rsidRPr="00824C65">
        <w:rPr>
          <w:color w:val="833C0B" w:themeColor="accent2" w:themeShade="80"/>
        </w:rPr>
        <w:t xml:space="preserve"> media </w:t>
      </w:r>
      <w:r w:rsidR="005D7F12" w:rsidRPr="00824C65">
        <w:rPr>
          <w:color w:val="833C0B" w:themeColor="accent2" w:themeShade="80"/>
        </w:rPr>
        <w:t>types</w:t>
      </w:r>
      <w:r w:rsidR="00035ADD" w:rsidRPr="00824C65">
        <w:rPr>
          <w:color w:val="833C0B" w:themeColor="accent2" w:themeShade="80"/>
        </w:rPr>
        <w:t xml:space="preserve"> might be used to convey </w:t>
      </w:r>
      <w:r w:rsidR="005D7F12" w:rsidRPr="00824C65">
        <w:rPr>
          <w:color w:val="833C0B" w:themeColor="accent2" w:themeShade="80"/>
        </w:rPr>
        <w:t>the</w:t>
      </w:r>
      <w:r w:rsidR="00FF3418" w:rsidRPr="00824C65">
        <w:rPr>
          <w:color w:val="833C0B" w:themeColor="accent2" w:themeShade="80"/>
        </w:rPr>
        <w:t xml:space="preserve"> message</w:t>
      </w:r>
      <w:r w:rsidR="00035ADD" w:rsidRPr="00824C65">
        <w:rPr>
          <w:color w:val="833C0B" w:themeColor="accent2" w:themeShade="80"/>
        </w:rPr>
        <w:t>s</w:t>
      </w:r>
      <w:r w:rsidR="00FF3418" w:rsidRPr="00824C65">
        <w:rPr>
          <w:color w:val="833C0B" w:themeColor="accent2" w:themeShade="80"/>
        </w:rPr>
        <w:t>, but the most appropriate channel</w:t>
      </w:r>
      <w:r w:rsidR="00274255" w:rsidRPr="00824C65">
        <w:rPr>
          <w:color w:val="833C0B" w:themeColor="accent2" w:themeShade="80"/>
        </w:rPr>
        <w:t>s</w:t>
      </w:r>
      <w:r w:rsidR="00FF3418" w:rsidRPr="00824C65">
        <w:rPr>
          <w:color w:val="833C0B" w:themeColor="accent2" w:themeShade="80"/>
        </w:rPr>
        <w:t xml:space="preserve"> </w:t>
      </w:r>
      <w:r w:rsidR="00EB33FE" w:rsidRPr="00824C65">
        <w:rPr>
          <w:color w:val="833C0B" w:themeColor="accent2" w:themeShade="80"/>
        </w:rPr>
        <w:t>must</w:t>
      </w:r>
      <w:r w:rsidR="00FF3418" w:rsidRPr="00824C65">
        <w:rPr>
          <w:color w:val="833C0B" w:themeColor="accent2" w:themeShade="80"/>
        </w:rPr>
        <w:t xml:space="preserve"> be determined by </w:t>
      </w:r>
      <w:r w:rsidR="005D7F12" w:rsidRPr="00824C65">
        <w:rPr>
          <w:color w:val="833C0B" w:themeColor="accent2" w:themeShade="80"/>
        </w:rPr>
        <w:t>considering</w:t>
      </w:r>
      <w:r w:rsidR="00035ADD" w:rsidRPr="00824C65">
        <w:rPr>
          <w:color w:val="833C0B" w:themeColor="accent2" w:themeShade="80"/>
        </w:rPr>
        <w:t xml:space="preserve"> </w:t>
      </w:r>
      <w:r w:rsidR="00FF3418" w:rsidRPr="00824C65">
        <w:rPr>
          <w:color w:val="833C0B" w:themeColor="accent2" w:themeShade="80"/>
        </w:rPr>
        <w:t>the audience</w:t>
      </w:r>
      <w:r w:rsidR="005D7F12" w:rsidRPr="00824C65">
        <w:rPr>
          <w:color w:val="833C0B" w:themeColor="accent2" w:themeShade="80"/>
        </w:rPr>
        <w:t xml:space="preserve">'s perception </w:t>
      </w:r>
      <w:r w:rsidR="00577B79" w:rsidRPr="00824C65">
        <w:rPr>
          <w:color w:val="833C0B" w:themeColor="accent2" w:themeShade="80"/>
        </w:rPr>
        <w:t>of media</w:t>
      </w:r>
      <w:r w:rsidR="005D7F12" w:rsidRPr="00824C65">
        <w:rPr>
          <w:color w:val="833C0B" w:themeColor="accent2" w:themeShade="80"/>
        </w:rPr>
        <w:t xml:space="preserve"> usefulness and frequency of media exposure</w:t>
      </w:r>
      <w:r w:rsidR="00577B79" w:rsidRPr="00824C65">
        <w:rPr>
          <w:color w:val="833C0B" w:themeColor="accent2" w:themeShade="80"/>
        </w:rPr>
        <w:t xml:space="preserve"> </w:t>
      </w:r>
      <w:r w:rsidR="00577B79" w:rsidRPr="00824C65">
        <w:rPr>
          <w:color w:val="833C0B" w:themeColor="accent2" w:themeShade="80"/>
        </w:rPr>
        <w:fldChar w:fldCharType="begin" w:fldLock="1"/>
      </w:r>
      <w:r w:rsidR="00682B71" w:rsidRPr="00824C65">
        <w:rPr>
          <w:color w:val="833C0B" w:themeColor="accent2" w:themeShade="80"/>
        </w:rPr>
        <w:instrText>ADDIN CSL_CITATION {"citationItems":[{"id":"ITEM-1","itemData":{"DOI":"10.1207/s15327825mcs0502_6","ISSN":"1520-5436","author":[{"dropping-particle":"","family":"Pinkleton","given":"B. E.","non-dropping-particle":"","parse-names":false,"suffix":""},{"dropping-particle":"","family":"Austin","given":"E. W.","non-dropping-particle":"","parse-names":false,"suffix":""}],"container-title":"Mass Communication and Society","id":"ITEM-1","issue":"2","issued":{"date-parts":[["2002"]]},"page":"207-228","title":"Exploring relationships among media use frequency, perceived media importance, and media satisfaction in political disaffection and efficacy","type":"article-journal","volume":"5"},"uris":["http://www.mendeley.com/documents/?uuid=db2c4613-77e1-4188-b3fa-9c62089c4fb4"]}],"mendeley":{"formattedCitation":"(Pinkleton and Austin, 2002)","plainTextFormattedCitation":"(Pinkleton and Austin, 2002)","previouslyFormattedCitation":"(Pinkleton and Austin, 2002)"},"properties":{"noteIndex":0},"schema":"https://github.com/citation-style-language/schema/raw/master/csl-citation.json"}</w:instrText>
      </w:r>
      <w:r w:rsidR="00577B79" w:rsidRPr="00824C65">
        <w:rPr>
          <w:color w:val="833C0B" w:themeColor="accent2" w:themeShade="80"/>
        </w:rPr>
        <w:fldChar w:fldCharType="separate"/>
      </w:r>
      <w:r w:rsidR="00577B79" w:rsidRPr="00824C65">
        <w:rPr>
          <w:noProof/>
          <w:color w:val="833C0B" w:themeColor="accent2" w:themeShade="80"/>
        </w:rPr>
        <w:t>(Pinkleton and Austin, 2002)</w:t>
      </w:r>
      <w:r w:rsidR="00577B79" w:rsidRPr="00824C65">
        <w:rPr>
          <w:color w:val="833C0B" w:themeColor="accent2" w:themeShade="80"/>
        </w:rPr>
        <w:fldChar w:fldCharType="end"/>
      </w:r>
      <w:r w:rsidR="00082032" w:rsidRPr="00824C65">
        <w:rPr>
          <w:color w:val="833C0B" w:themeColor="accent2" w:themeShade="80"/>
        </w:rPr>
        <w:t>.</w:t>
      </w:r>
    </w:p>
    <w:p w:rsidR="00082032" w:rsidRPr="00824C65" w:rsidRDefault="007E49F5" w:rsidP="00082032">
      <w:pPr>
        <w:rPr>
          <w:color w:val="833C0B" w:themeColor="accent2" w:themeShade="80"/>
        </w:rPr>
      </w:pPr>
      <w:r w:rsidRPr="00824C65">
        <w:rPr>
          <w:color w:val="833C0B" w:themeColor="accent2" w:themeShade="80"/>
        </w:rPr>
        <w:t>S</w:t>
      </w:r>
      <w:r w:rsidR="00EF7C58" w:rsidRPr="00824C65">
        <w:rPr>
          <w:color w:val="833C0B" w:themeColor="accent2" w:themeShade="80"/>
        </w:rPr>
        <w:t xml:space="preserve">ocial scientists </w:t>
      </w:r>
      <w:r w:rsidR="003C3086" w:rsidRPr="00824C65">
        <w:rPr>
          <w:color w:val="833C0B" w:themeColor="accent2" w:themeShade="80"/>
        </w:rPr>
        <w:t>stressed</w:t>
      </w:r>
      <w:r w:rsidR="00EF7C58" w:rsidRPr="00824C65">
        <w:rPr>
          <w:color w:val="833C0B" w:themeColor="accent2" w:themeShade="80"/>
        </w:rPr>
        <w:t xml:space="preserve"> the relationships between </w:t>
      </w:r>
      <w:r w:rsidR="00082032" w:rsidRPr="00824C65">
        <w:rPr>
          <w:color w:val="833C0B" w:themeColor="accent2" w:themeShade="80"/>
        </w:rPr>
        <w:t>media</w:t>
      </w:r>
      <w:r w:rsidR="00EF7C58" w:rsidRPr="00824C65">
        <w:rPr>
          <w:color w:val="833C0B" w:themeColor="accent2" w:themeShade="80"/>
        </w:rPr>
        <w:t xml:space="preserve"> usage and audiences' behavioural change</w:t>
      </w:r>
      <w:r w:rsidRPr="00824C65">
        <w:rPr>
          <w:color w:val="833C0B" w:themeColor="accent2" w:themeShade="80"/>
        </w:rPr>
        <w:t xml:space="preserve"> to evaluate health communication initiatives</w:t>
      </w:r>
      <w:r w:rsidR="00EF7C58" w:rsidRPr="00824C65">
        <w:rPr>
          <w:color w:val="833C0B" w:themeColor="accent2" w:themeShade="80"/>
        </w:rPr>
        <w:t xml:space="preserve">. </w:t>
      </w:r>
      <w:r w:rsidR="00082032" w:rsidRPr="00824C65">
        <w:rPr>
          <w:color w:val="833C0B" w:themeColor="accent2" w:themeShade="80"/>
        </w:rPr>
        <w:t xml:space="preserve">Furthermore, social and behaviour change communication </w:t>
      </w:r>
      <w:r w:rsidR="00D11A8F" w:rsidRPr="00824C65">
        <w:rPr>
          <w:color w:val="833C0B" w:themeColor="accent2" w:themeShade="80"/>
        </w:rPr>
        <w:t xml:space="preserve">(SBCC) </w:t>
      </w:r>
      <w:r w:rsidR="00082032" w:rsidRPr="00824C65">
        <w:rPr>
          <w:color w:val="833C0B" w:themeColor="accent2" w:themeShade="80"/>
        </w:rPr>
        <w:t xml:space="preserve">highlighted the requirements to </w:t>
      </w:r>
      <w:r w:rsidR="00AC4565" w:rsidRPr="00824C65">
        <w:rPr>
          <w:color w:val="833C0B" w:themeColor="accent2" w:themeShade="80"/>
        </w:rPr>
        <w:t>know</w:t>
      </w:r>
      <w:r w:rsidR="00082032" w:rsidRPr="00824C65">
        <w:rPr>
          <w:color w:val="833C0B" w:themeColor="accent2" w:themeShade="80"/>
        </w:rPr>
        <w:t xml:space="preserve"> which media channels were appropriate for maximising </w:t>
      </w:r>
      <w:r w:rsidR="00B42892" w:rsidRPr="00824C65">
        <w:rPr>
          <w:color w:val="833C0B" w:themeColor="accent2" w:themeShade="80"/>
        </w:rPr>
        <w:t>disease warnings' reach and effectivenes</w:t>
      </w:r>
      <w:r w:rsidR="00082032" w:rsidRPr="00824C65">
        <w:rPr>
          <w:color w:val="833C0B" w:themeColor="accent2" w:themeShade="80"/>
        </w:rPr>
        <w:t>s</w:t>
      </w:r>
      <w:r w:rsidR="00D11A8F" w:rsidRPr="00824C65">
        <w:rPr>
          <w:color w:val="833C0B" w:themeColor="accent2" w:themeShade="80"/>
        </w:rPr>
        <w:t xml:space="preserve"> </w:t>
      </w:r>
      <w:r w:rsidR="00D11A8F" w:rsidRPr="00824C65">
        <w:rPr>
          <w:color w:val="833C0B" w:themeColor="accent2" w:themeShade="80"/>
        </w:rPr>
        <w:fldChar w:fldCharType="begin" w:fldLock="1"/>
      </w:r>
      <w:r w:rsidR="006E1DD1" w:rsidRPr="00824C65">
        <w:rPr>
          <w:color w:val="833C0B" w:themeColor="accent2" w:themeShade="80"/>
        </w:rPr>
        <w:instrText>ADDIN CSL_CITATION {"citationItems":[{"id":"ITEM-1","itemData":{"URL":"https://en.wikipedia.org/wiki/Social_and_behavior_change_communication","accessed":{"date-parts":[["2021","10","11"]]},"author":[{"dropping-particle":"","family":"Wikipedia","given":"","non-dropping-particle":"","parse-names":false,"suffix":""}],"container-title":"Wikimedia Foundation","id":"ITEM-1","issued":{"date-parts":[["2020"]]},"title":"Social and behavior change communication","type":"webpage"},"uris":["http://www.mendeley.com/documents/?uuid=0479bdae-b591-4e8a-87a1-db824f4c91ed"]}],"mendeley":{"formattedCitation":"(Wikipedia, 2020)","plainTextFormattedCitation":"(Wikipedia, 2020)","previouslyFormattedCitation":"(Wikipedia, 2020)"},"properties":{"noteIndex":0},"schema":"https://github.com/citation-style-language/schema/raw/master/csl-citation.json"}</w:instrText>
      </w:r>
      <w:r w:rsidR="00D11A8F" w:rsidRPr="00824C65">
        <w:rPr>
          <w:color w:val="833C0B" w:themeColor="accent2" w:themeShade="80"/>
        </w:rPr>
        <w:fldChar w:fldCharType="separate"/>
      </w:r>
      <w:r w:rsidR="00D11A8F" w:rsidRPr="00824C65">
        <w:rPr>
          <w:noProof/>
          <w:color w:val="833C0B" w:themeColor="accent2" w:themeShade="80"/>
        </w:rPr>
        <w:t>(Wikipedia, 2020)</w:t>
      </w:r>
      <w:r w:rsidR="00D11A8F" w:rsidRPr="00824C65">
        <w:rPr>
          <w:color w:val="833C0B" w:themeColor="accent2" w:themeShade="80"/>
        </w:rPr>
        <w:fldChar w:fldCharType="end"/>
      </w:r>
      <w:r w:rsidR="00082032" w:rsidRPr="00824C65">
        <w:rPr>
          <w:color w:val="833C0B" w:themeColor="accent2" w:themeShade="80"/>
        </w:rPr>
        <w:t xml:space="preserve">. </w:t>
      </w:r>
      <w:r w:rsidR="009320D6" w:rsidRPr="00824C65">
        <w:rPr>
          <w:color w:val="833C0B" w:themeColor="accent2" w:themeShade="80"/>
        </w:rPr>
        <w:t xml:space="preserve">As technology advanced, communication channels became more diverse. </w:t>
      </w:r>
      <w:r w:rsidR="00083481" w:rsidRPr="00824C65">
        <w:rPr>
          <w:color w:val="833C0B" w:themeColor="accent2" w:themeShade="80"/>
        </w:rPr>
        <w:t>For example, t</w:t>
      </w:r>
      <w:r w:rsidR="009320D6" w:rsidRPr="00824C65">
        <w:rPr>
          <w:color w:val="833C0B" w:themeColor="accent2" w:themeShade="80"/>
        </w:rPr>
        <w:t>raditional and interpersonal channels</w:t>
      </w:r>
      <w:r w:rsidRPr="00824C65">
        <w:rPr>
          <w:color w:val="833C0B" w:themeColor="accent2" w:themeShade="80"/>
        </w:rPr>
        <w:t xml:space="preserve"> </w:t>
      </w:r>
      <w:r w:rsidR="008652AC" w:rsidRPr="00824C65">
        <w:rPr>
          <w:color w:val="833C0B" w:themeColor="accent2" w:themeShade="80"/>
        </w:rPr>
        <w:t>were</w:t>
      </w:r>
      <w:r w:rsidRPr="00824C65">
        <w:rPr>
          <w:color w:val="833C0B" w:themeColor="accent2" w:themeShade="80"/>
        </w:rPr>
        <w:t xml:space="preserve"> no longer</w:t>
      </w:r>
      <w:r w:rsidR="009320D6" w:rsidRPr="00824C65">
        <w:rPr>
          <w:color w:val="833C0B" w:themeColor="accent2" w:themeShade="80"/>
        </w:rPr>
        <w:t xml:space="preserve"> the </w:t>
      </w:r>
      <w:r w:rsidR="00083481" w:rsidRPr="00824C65">
        <w:rPr>
          <w:color w:val="833C0B" w:themeColor="accent2" w:themeShade="80"/>
        </w:rPr>
        <w:t>only</w:t>
      </w:r>
      <w:r w:rsidR="009320D6" w:rsidRPr="00824C65">
        <w:rPr>
          <w:color w:val="833C0B" w:themeColor="accent2" w:themeShade="80"/>
        </w:rPr>
        <w:t xml:space="preserve"> </w:t>
      </w:r>
      <w:r w:rsidRPr="00824C65">
        <w:rPr>
          <w:color w:val="833C0B" w:themeColor="accent2" w:themeShade="80"/>
        </w:rPr>
        <w:t>news sources</w:t>
      </w:r>
      <w:r w:rsidR="009320D6" w:rsidRPr="00824C65">
        <w:rPr>
          <w:color w:val="833C0B" w:themeColor="accent2" w:themeShade="80"/>
        </w:rPr>
        <w:t>, whereas online or social media</w:t>
      </w:r>
      <w:r w:rsidR="00FF092F" w:rsidRPr="00824C65">
        <w:rPr>
          <w:color w:val="833C0B" w:themeColor="accent2" w:themeShade="80"/>
        </w:rPr>
        <w:t>, health apps</w:t>
      </w:r>
      <w:r w:rsidR="009320D6" w:rsidRPr="00824C65">
        <w:rPr>
          <w:color w:val="833C0B" w:themeColor="accent2" w:themeShade="80"/>
        </w:rPr>
        <w:t xml:space="preserve"> </w:t>
      </w:r>
      <w:r w:rsidRPr="00824C65">
        <w:rPr>
          <w:color w:val="833C0B" w:themeColor="accent2" w:themeShade="80"/>
        </w:rPr>
        <w:t xml:space="preserve">gained more </w:t>
      </w:r>
      <w:r w:rsidR="009320D6" w:rsidRPr="00824C65">
        <w:rPr>
          <w:color w:val="833C0B" w:themeColor="accent2" w:themeShade="80"/>
        </w:rPr>
        <w:t xml:space="preserve">favoured. </w:t>
      </w:r>
      <w:r w:rsidRPr="00824C65">
        <w:rPr>
          <w:color w:val="833C0B" w:themeColor="accent2" w:themeShade="80"/>
        </w:rPr>
        <w:t>Consequently, p</w:t>
      </w:r>
      <w:r w:rsidR="009320D6" w:rsidRPr="00824C65">
        <w:rPr>
          <w:color w:val="833C0B" w:themeColor="accent2" w:themeShade="80"/>
        </w:rPr>
        <w:t xml:space="preserve">eople </w:t>
      </w:r>
      <w:r w:rsidR="008652AC" w:rsidRPr="00824C65">
        <w:rPr>
          <w:color w:val="833C0B" w:themeColor="accent2" w:themeShade="80"/>
        </w:rPr>
        <w:t>could</w:t>
      </w:r>
      <w:r w:rsidRPr="00824C65">
        <w:rPr>
          <w:color w:val="833C0B" w:themeColor="accent2" w:themeShade="80"/>
        </w:rPr>
        <w:t xml:space="preserve"> </w:t>
      </w:r>
      <w:r w:rsidR="009320D6" w:rsidRPr="00824C65">
        <w:rPr>
          <w:color w:val="833C0B" w:themeColor="accent2" w:themeShade="80"/>
        </w:rPr>
        <w:t xml:space="preserve">rely on </w:t>
      </w:r>
      <w:r w:rsidR="00FF092F" w:rsidRPr="00824C65">
        <w:rPr>
          <w:color w:val="833C0B" w:themeColor="accent2" w:themeShade="80"/>
        </w:rPr>
        <w:t>several</w:t>
      </w:r>
      <w:r w:rsidRPr="00824C65">
        <w:rPr>
          <w:color w:val="833C0B" w:themeColor="accent2" w:themeShade="80"/>
        </w:rPr>
        <w:t xml:space="preserve"> </w:t>
      </w:r>
      <w:r w:rsidR="009320D6" w:rsidRPr="00824C65">
        <w:rPr>
          <w:color w:val="833C0B" w:themeColor="accent2" w:themeShade="80"/>
        </w:rPr>
        <w:t>source</w:t>
      </w:r>
      <w:r w:rsidRPr="00824C65">
        <w:rPr>
          <w:color w:val="833C0B" w:themeColor="accent2" w:themeShade="80"/>
        </w:rPr>
        <w:t>s</w:t>
      </w:r>
      <w:r w:rsidR="009320D6" w:rsidRPr="00824C65">
        <w:rPr>
          <w:color w:val="833C0B" w:themeColor="accent2" w:themeShade="80"/>
        </w:rPr>
        <w:t xml:space="preserve"> as the number of </w:t>
      </w:r>
      <w:r w:rsidR="008652AC" w:rsidRPr="00824C65">
        <w:rPr>
          <w:color w:val="833C0B" w:themeColor="accent2" w:themeShade="80"/>
        </w:rPr>
        <w:t xml:space="preserve">health </w:t>
      </w:r>
      <w:r w:rsidR="009320D6" w:rsidRPr="00824C65">
        <w:rPr>
          <w:color w:val="833C0B" w:themeColor="accent2" w:themeShade="80"/>
        </w:rPr>
        <w:t xml:space="preserve">media platforms </w:t>
      </w:r>
      <w:r w:rsidR="00083481" w:rsidRPr="00824C65">
        <w:rPr>
          <w:color w:val="833C0B" w:themeColor="accent2" w:themeShade="80"/>
        </w:rPr>
        <w:t xml:space="preserve">enormously </w:t>
      </w:r>
      <w:r w:rsidR="008652AC" w:rsidRPr="00824C65">
        <w:rPr>
          <w:color w:val="833C0B" w:themeColor="accent2" w:themeShade="80"/>
        </w:rPr>
        <w:t>expanded</w:t>
      </w:r>
      <w:r w:rsidR="00083481" w:rsidRPr="00824C65">
        <w:rPr>
          <w:color w:val="833C0B" w:themeColor="accent2" w:themeShade="80"/>
        </w:rPr>
        <w:t xml:space="preserve">. In addition, using various channels enhanced people's exposure to health information and helped them recall those messages more properly </w:t>
      </w:r>
      <w:r w:rsidR="00083481" w:rsidRPr="00824C65">
        <w:rPr>
          <w:color w:val="833C0B" w:themeColor="accent2" w:themeShade="80"/>
        </w:rPr>
        <w:fldChar w:fldCharType="begin" w:fldLock="1"/>
      </w:r>
      <w:r w:rsidR="00682B71" w:rsidRPr="00824C65">
        <w:rPr>
          <w:color w:val="833C0B" w:themeColor="accent2" w:themeShade="80"/>
        </w:rPr>
        <w:instrText>ADDIN CSL_CITATION {"citationItems":[{"id":"ITEM-1","itemData":{"DOI":"10.1016/j.jneb.2006.09.004","ISSN":"14994046","PMID":"17336803","abstract":"The objective is to review the evidence for the effectiveness of health communication campaigns to inform future nutrition campaigns. The review drew on existing meta-analyses and other literature. The average health campaign affects the intervention community by about 5 percentage points, and nutrition campaigns for fruit and vegetable consumption, fat intake, and breastfeeding, have been slightly more successful on average than for other health topics. The factors affecting success rates are discussed. The conclusion is that nutrition campaigns that pay attention to the specific behavioral goals of the intervention, target populations, communication activities and channels, message content and presentation, and techniques for feedback and evaluation should be able to change nutrition behaviors.","author":[{"dropping-particle":"","family":"Snyder","given":"Leslie B.","non-dropping-particle":"","parse-names":false,"suffix":""}],"container-title":"Journal of Nutrition Education and Behavior","id":"ITEM-1","issue":"2 SUPPL.","issued":{"date-parts":[["2007"]]},"title":"Health communication campaigns and their impact on behavior","type":"article-journal","volume":"39"},"uris":["http://www.mendeley.com/documents/?uuid=91647b90-1a3d-4a2e-870a-b3a204d1ca5d"]}],"mendeley":{"formattedCitation":"(Snyder, 2007)","plainTextFormattedCitation":"(Snyder, 2007)","previouslyFormattedCitation":"(Snyder, 2007)"},"properties":{"noteIndex":0},"schema":"https://github.com/citation-style-language/schema/raw/master/csl-citation.json"}</w:instrText>
      </w:r>
      <w:r w:rsidR="00083481" w:rsidRPr="00824C65">
        <w:rPr>
          <w:color w:val="833C0B" w:themeColor="accent2" w:themeShade="80"/>
        </w:rPr>
        <w:fldChar w:fldCharType="separate"/>
      </w:r>
      <w:r w:rsidR="00083481" w:rsidRPr="00824C65">
        <w:rPr>
          <w:noProof/>
          <w:color w:val="833C0B" w:themeColor="accent2" w:themeShade="80"/>
        </w:rPr>
        <w:t>(Snyder, 2007)</w:t>
      </w:r>
      <w:r w:rsidR="00083481" w:rsidRPr="00824C65">
        <w:rPr>
          <w:color w:val="833C0B" w:themeColor="accent2" w:themeShade="80"/>
        </w:rPr>
        <w:fldChar w:fldCharType="end"/>
      </w:r>
      <w:r w:rsidR="00083481" w:rsidRPr="00824C65">
        <w:rPr>
          <w:color w:val="833C0B" w:themeColor="accent2" w:themeShade="80"/>
        </w:rPr>
        <w:t xml:space="preserve">. </w:t>
      </w:r>
      <w:r w:rsidRPr="00824C65">
        <w:rPr>
          <w:color w:val="833C0B" w:themeColor="accent2" w:themeShade="80"/>
        </w:rPr>
        <w:t>T</w:t>
      </w:r>
      <w:r w:rsidR="008652AC" w:rsidRPr="00824C65">
        <w:rPr>
          <w:color w:val="833C0B" w:themeColor="accent2" w:themeShade="80"/>
        </w:rPr>
        <w:t>herefore, t</w:t>
      </w:r>
      <w:r w:rsidRPr="00824C65">
        <w:rPr>
          <w:color w:val="833C0B" w:themeColor="accent2" w:themeShade="80"/>
        </w:rPr>
        <w:t>he scholars</w:t>
      </w:r>
      <w:r w:rsidR="00677BC5" w:rsidRPr="00824C65">
        <w:rPr>
          <w:color w:val="833C0B" w:themeColor="accent2" w:themeShade="80"/>
        </w:rPr>
        <w:t xml:space="preserve"> </w:t>
      </w:r>
      <w:r w:rsidR="00577B79" w:rsidRPr="00824C65">
        <w:rPr>
          <w:color w:val="833C0B" w:themeColor="accent2" w:themeShade="80"/>
        </w:rPr>
        <w:t>empha</w:t>
      </w:r>
      <w:r w:rsidR="00EF7C58" w:rsidRPr="00824C65">
        <w:rPr>
          <w:color w:val="833C0B" w:themeColor="accent2" w:themeShade="80"/>
        </w:rPr>
        <w:t>sised health media exposure measurements</w:t>
      </w:r>
      <w:r w:rsidR="00577B79" w:rsidRPr="00824C65">
        <w:rPr>
          <w:color w:val="833C0B" w:themeColor="accent2" w:themeShade="80"/>
        </w:rPr>
        <w:t xml:space="preserve"> </w:t>
      </w:r>
      <w:r w:rsidR="00EF7C58" w:rsidRPr="00824C65">
        <w:rPr>
          <w:color w:val="833C0B" w:themeColor="accent2" w:themeShade="80"/>
        </w:rPr>
        <w:t>to</w:t>
      </w:r>
      <w:r w:rsidR="00577B79" w:rsidRPr="00824C65">
        <w:rPr>
          <w:color w:val="833C0B" w:themeColor="accent2" w:themeShade="80"/>
        </w:rPr>
        <w:t xml:space="preserve"> predict health cognition and behaviour</w:t>
      </w:r>
      <w:r w:rsidR="00EF7C58" w:rsidRPr="00824C65">
        <w:rPr>
          <w:color w:val="833C0B" w:themeColor="accent2" w:themeShade="80"/>
        </w:rPr>
        <w:t>al interventions</w:t>
      </w:r>
      <w:r w:rsidR="00577B79" w:rsidRPr="00824C65">
        <w:rPr>
          <w:color w:val="833C0B" w:themeColor="accent2" w:themeShade="80"/>
        </w:rPr>
        <w:t xml:space="preserve"> </w:t>
      </w:r>
      <w:r w:rsidR="00577B79" w:rsidRPr="00824C65">
        <w:rPr>
          <w:color w:val="833C0B" w:themeColor="accent2" w:themeShade="80"/>
        </w:rPr>
        <w:fldChar w:fldCharType="begin" w:fldLock="1"/>
      </w:r>
      <w:r w:rsidR="00682B71" w:rsidRPr="00824C65">
        <w:rPr>
          <w:color w:val="833C0B" w:themeColor="accent2" w:themeShade="80"/>
        </w:rPr>
        <w:instrText>ADDIN CSL_CITATION {"citationItems":[{"id":"ITEM-1","itemData":{"DOI":"10.1080/19312450802062539","ISSN":"1931-2458","abstract":"This paper compares eight approaches to measurement of exposure to cancer information in the mass media: general media exposure, exposure to health media, attention to health topics, quantity of health information, general and specific cancer exposure assessed by closed- and by open-ended questions. After demographic controls, the strongest predictor of cancer knowledge was the open-ended general measure (9.8% additional variance), then open-ended and closed-ended measures about diet and exercise (each 6.7%), attention to health topics (6.2%), quantity of health information (4.1%), and health media exposure (3.7%). General media exposure was not associated. However, other validity criteria lead to different conclusions: attention measures may confound motivation with exposure, and there may be upward bias in using knowledge to validate open-ended exposure measures; considering face validity, survey costs and respondent burden as well as criterion validity, we propose that the closed-ended specific questions may be most useful.","author":[{"dropping-particle":"","family":"Romantan","given":"Anca","non-dropping-particle":"","parse-names":false,"suffix":""},{"dropping-particle":"","family":"Hornik","given":"Robert","non-dropping-particle":"","parse-names":false,"suffix":""},{"dropping-particle":"","family":"Price","given":"Vincent","non-dropping-particle":"","parse-names":false,"suffix":""},{"dropping-particle":"","family":"Cappella","given":"Joseph","non-dropping-particle":"","parse-names":false,"suffix":""},{"dropping-particle":"","family":"Viswanath","given":"K.","non-dropping-particle":"","parse-names":false,"suffix":""}],"container-title":"Communication Methods and Measures","id":"ITEM-1","issue":"1-2","issued":{"date-parts":[["2008"]]},"page":"80-99","title":"A comparative analysis of the performance of alternative measures of exposure","type":"article-journal","volume":"2"},"uris":["http://www.mendeley.com/documents/?uuid=17b33702-71c8-46d1-9af7-30eefa6ea9ef"]}],"mendeley":{"formattedCitation":"(Romantan &lt;i&gt;et al.&lt;/i&gt;, 2008)","plainTextFormattedCitation":"(Romantan et al., 2008)","previouslyFormattedCitation":"(Romantan &lt;i&gt;et al.&lt;/i&gt;, 2008)"},"properties":{"noteIndex":0},"schema":"https://github.com/citation-style-language/schema/raw/master/csl-citation.json"}</w:instrText>
      </w:r>
      <w:r w:rsidR="00577B79" w:rsidRPr="00824C65">
        <w:rPr>
          <w:color w:val="833C0B" w:themeColor="accent2" w:themeShade="80"/>
        </w:rPr>
        <w:fldChar w:fldCharType="separate"/>
      </w:r>
      <w:r w:rsidR="00577B79" w:rsidRPr="00824C65">
        <w:rPr>
          <w:noProof/>
          <w:color w:val="833C0B" w:themeColor="accent2" w:themeShade="80"/>
        </w:rPr>
        <w:t xml:space="preserve">(Romantan </w:t>
      </w:r>
      <w:r w:rsidR="00577B79" w:rsidRPr="00824C65">
        <w:rPr>
          <w:i/>
          <w:noProof/>
          <w:color w:val="833C0B" w:themeColor="accent2" w:themeShade="80"/>
        </w:rPr>
        <w:t>et al.</w:t>
      </w:r>
      <w:r w:rsidR="00577B79" w:rsidRPr="00824C65">
        <w:rPr>
          <w:noProof/>
          <w:color w:val="833C0B" w:themeColor="accent2" w:themeShade="80"/>
        </w:rPr>
        <w:t>, 2008)</w:t>
      </w:r>
      <w:r w:rsidR="00577B79" w:rsidRPr="00824C65">
        <w:rPr>
          <w:color w:val="833C0B" w:themeColor="accent2" w:themeShade="80"/>
        </w:rPr>
        <w:fldChar w:fldCharType="end"/>
      </w:r>
      <w:r w:rsidR="00577B79" w:rsidRPr="00824C65">
        <w:rPr>
          <w:color w:val="833C0B" w:themeColor="accent2" w:themeShade="80"/>
        </w:rPr>
        <w:t>.</w:t>
      </w:r>
      <w:r w:rsidR="00EF7C58" w:rsidRPr="00824C65">
        <w:rPr>
          <w:color w:val="833C0B" w:themeColor="accent2" w:themeShade="80"/>
        </w:rPr>
        <w:t xml:space="preserve"> </w:t>
      </w:r>
      <w:r w:rsidR="008652AC" w:rsidRPr="00824C65">
        <w:rPr>
          <w:color w:val="833C0B" w:themeColor="accent2" w:themeShade="80"/>
        </w:rPr>
        <w:t>However, a</w:t>
      </w:r>
      <w:r w:rsidR="00EF7C58" w:rsidRPr="00824C65">
        <w:rPr>
          <w:color w:val="833C0B" w:themeColor="accent2" w:themeShade="80"/>
        </w:rPr>
        <w:t xml:space="preserve">ccording to </w:t>
      </w:r>
      <w:r w:rsidR="00083481" w:rsidRPr="00824C65">
        <w:rPr>
          <w:color w:val="833C0B" w:themeColor="accent2" w:themeShade="80"/>
        </w:rPr>
        <w:t>selective exposure theories</w:t>
      </w:r>
      <w:r w:rsidR="00EF7C58" w:rsidRPr="00824C65">
        <w:rPr>
          <w:color w:val="833C0B" w:themeColor="accent2" w:themeShade="80"/>
        </w:rPr>
        <w:t xml:space="preserve">, </w:t>
      </w:r>
      <w:r w:rsidR="00FF092F" w:rsidRPr="00824C65">
        <w:rPr>
          <w:color w:val="833C0B" w:themeColor="accent2" w:themeShade="80"/>
        </w:rPr>
        <w:t>personal</w:t>
      </w:r>
      <w:r w:rsidR="00EF7C58" w:rsidRPr="00824C65">
        <w:rPr>
          <w:color w:val="833C0B" w:themeColor="accent2" w:themeShade="80"/>
        </w:rPr>
        <w:t xml:space="preserve"> </w:t>
      </w:r>
      <w:r w:rsidR="00083481" w:rsidRPr="00824C65">
        <w:rPr>
          <w:color w:val="833C0B" w:themeColor="accent2" w:themeShade="80"/>
        </w:rPr>
        <w:t>characteristics</w:t>
      </w:r>
      <w:r w:rsidR="00082032" w:rsidRPr="00824C65">
        <w:rPr>
          <w:color w:val="833C0B" w:themeColor="accent2" w:themeShade="80"/>
        </w:rPr>
        <w:t xml:space="preserve"> </w:t>
      </w:r>
      <w:r w:rsidR="00EF7C58" w:rsidRPr="00824C65">
        <w:rPr>
          <w:color w:val="833C0B" w:themeColor="accent2" w:themeShade="80"/>
        </w:rPr>
        <w:t xml:space="preserve">influence </w:t>
      </w:r>
      <w:r w:rsidRPr="00824C65">
        <w:rPr>
          <w:color w:val="833C0B" w:themeColor="accent2" w:themeShade="80"/>
        </w:rPr>
        <w:t>each media channel's usage and outcomes</w:t>
      </w:r>
      <w:r w:rsidR="00082032" w:rsidRPr="00824C65">
        <w:rPr>
          <w:color w:val="833C0B" w:themeColor="accent2" w:themeShade="80"/>
        </w:rPr>
        <w:t xml:space="preserve"> </w:t>
      </w:r>
      <w:r w:rsidR="00082032" w:rsidRPr="00824C65">
        <w:rPr>
          <w:color w:val="833C0B" w:themeColor="accent2" w:themeShade="80"/>
        </w:rPr>
        <w:fldChar w:fldCharType="begin" w:fldLock="1"/>
      </w:r>
      <w:r w:rsidR="00D11A8F" w:rsidRPr="00824C65">
        <w:rPr>
          <w:color w:val="833C0B" w:themeColor="accent2" w:themeShade="80"/>
        </w:rPr>
        <w:instrText>ADDIN CSL_CITATION {"citationItems":[{"id":"ITEM-1","itemData":{"DOI":"10.1093/oxfordhb/9780199793471.013.009","ISBN":"9780199793471","abstract":"This chapter provides an overview of the theory of selective exposure, the idea that people purposefully select messages matching their beliefs. After reviewing several psychological explanations for why the phenomenon occurs, the chapter turns to describing various forms of selective exposure. Selective exposure can be studied in terms of whether people select news or entertainment, the issues about which people seek information, which medium is selected in obtaining information, and the extent to which like-minded information is preferred. Numerous moderators of the links between citizens’ beliefs and their information selection are presented. Next, the chapter details four different methodological techniques that have been used to study selective exposure. Finally, the chapter outlines a host of unanswered questions about selective exposure for future researchers to tackle.","author":[{"dropping-particle":"","family":"Stroud","given":"Natalie Jomini","non-dropping-particle":"","parse-names":false,"suffix":""}],"container-title":"The Oxford Handbook of Political Communication","id":"ITEM-1","issue":"July","issued":{"date-parts":[["2014"]]},"page":"1-21","title":"Selective exposure theories","type":"article-journal"},"uris":["http://www.mendeley.com/documents/?uuid=7569870b-b8d7-416e-a568-7b0acf514923"]}],"mendeley":{"formattedCitation":"(Stroud, 2014)","plainTextFormattedCitation":"(Stroud, 2014)","previouslyFormattedCitation":"(Stroud, 2014)"},"properties":{"noteIndex":0},"schema":"https://github.com/citation-style-language/schema/raw/master/csl-citation.json"}</w:instrText>
      </w:r>
      <w:r w:rsidR="00082032" w:rsidRPr="00824C65">
        <w:rPr>
          <w:color w:val="833C0B" w:themeColor="accent2" w:themeShade="80"/>
        </w:rPr>
        <w:fldChar w:fldCharType="separate"/>
      </w:r>
      <w:r w:rsidR="00082032" w:rsidRPr="00824C65">
        <w:rPr>
          <w:noProof/>
          <w:color w:val="833C0B" w:themeColor="accent2" w:themeShade="80"/>
        </w:rPr>
        <w:t>(Stroud, 2014)</w:t>
      </w:r>
      <w:r w:rsidR="00082032" w:rsidRPr="00824C65">
        <w:rPr>
          <w:color w:val="833C0B" w:themeColor="accent2" w:themeShade="80"/>
        </w:rPr>
        <w:fldChar w:fldCharType="end"/>
      </w:r>
      <w:r w:rsidR="00EF7C58" w:rsidRPr="00824C65">
        <w:rPr>
          <w:color w:val="833C0B" w:themeColor="accent2" w:themeShade="80"/>
        </w:rPr>
        <w:t xml:space="preserve">. Thus, in the context of health interventions delivered through the media channels, there were reasonable requirements for </w:t>
      </w:r>
      <w:r w:rsidR="00083481" w:rsidRPr="00824C65">
        <w:rPr>
          <w:color w:val="833C0B" w:themeColor="accent2" w:themeShade="80"/>
        </w:rPr>
        <w:t>knowing</w:t>
      </w:r>
      <w:r w:rsidR="00EF7C58" w:rsidRPr="00824C65">
        <w:rPr>
          <w:color w:val="833C0B" w:themeColor="accent2" w:themeShade="80"/>
        </w:rPr>
        <w:t xml:space="preserve"> the </w:t>
      </w:r>
      <w:r w:rsidR="00082032" w:rsidRPr="00824C65">
        <w:rPr>
          <w:color w:val="833C0B" w:themeColor="accent2" w:themeShade="80"/>
        </w:rPr>
        <w:t xml:space="preserve">receivers' </w:t>
      </w:r>
      <w:r w:rsidR="00EF7C58" w:rsidRPr="00824C65">
        <w:rPr>
          <w:color w:val="833C0B" w:themeColor="accent2" w:themeShade="80"/>
        </w:rPr>
        <w:t xml:space="preserve">perceptions of media usefulness besides measuring </w:t>
      </w:r>
      <w:r w:rsidR="00082032" w:rsidRPr="00824C65">
        <w:rPr>
          <w:color w:val="833C0B" w:themeColor="accent2" w:themeShade="80"/>
        </w:rPr>
        <w:t>their</w:t>
      </w:r>
      <w:r w:rsidR="00EF7C58" w:rsidRPr="00824C65">
        <w:rPr>
          <w:color w:val="833C0B" w:themeColor="accent2" w:themeShade="80"/>
        </w:rPr>
        <w:t xml:space="preserve"> exposure to health </w:t>
      </w:r>
      <w:r w:rsidR="00FF092F" w:rsidRPr="00824C65">
        <w:rPr>
          <w:color w:val="833C0B" w:themeColor="accent2" w:themeShade="80"/>
        </w:rPr>
        <w:t>information</w:t>
      </w:r>
      <w:r w:rsidR="00EF7C58" w:rsidRPr="00824C65">
        <w:rPr>
          <w:color w:val="833C0B" w:themeColor="accent2" w:themeShade="80"/>
        </w:rPr>
        <w:t xml:space="preserve"> or the amount of time </w:t>
      </w:r>
      <w:r w:rsidR="00082032" w:rsidRPr="00824C65">
        <w:rPr>
          <w:color w:val="833C0B" w:themeColor="accent2" w:themeShade="80"/>
        </w:rPr>
        <w:t>using each</w:t>
      </w:r>
      <w:r w:rsidR="00EF7C58" w:rsidRPr="00824C65">
        <w:rPr>
          <w:color w:val="833C0B" w:themeColor="accent2" w:themeShade="80"/>
        </w:rPr>
        <w:t xml:space="preserve"> media channel </w:t>
      </w:r>
      <w:r w:rsidR="00EF7C58" w:rsidRPr="00824C65">
        <w:rPr>
          <w:color w:val="833C0B" w:themeColor="accent2" w:themeShade="80"/>
        </w:rPr>
        <w:fldChar w:fldCharType="begin" w:fldLock="1"/>
      </w:r>
      <w:r w:rsidR="00682B71" w:rsidRPr="00824C65">
        <w:rPr>
          <w:color w:val="833C0B" w:themeColor="accent2" w:themeShade="80"/>
        </w:rPr>
        <w:instrText>ADDIN CSL_CITATION {"citationItems":[{"id":"ITEM-1","itemData":{"DOI":"10.1207/s15327825mcs0502_6","ISSN":"1520-5436","author":[{"dropping-particle":"","family":"Pinkleton","given":"B. E.","non-dropping-particle":"","parse-names":false,"suffix":""},{"dropping-particle":"","family":"Austin","given":"E. W.","non-dropping-particle":"","parse-names":false,"suffix":""}],"container-title":"Mass Communication and Society","id":"ITEM-1","issue":"2","issued":{"date-parts":[["2002"]]},"page":"207-228","title":"Exploring relationships among media use frequency, perceived media importance, and media satisfaction in political disaffection and efficacy","type":"article-journal","volume":"5"},"uris":["http://www.mendeley.com/documents/?uuid=db2c4613-77e1-4188-b3fa-9c62089c4fb4"]}],"mendeley":{"formattedCitation":"(Pinkleton and Austin, 2002)","plainTextFormattedCitation":"(Pinkleton and Austin, 2002)","previouslyFormattedCitation":"(Pinkleton and Austin, 2002)"},"properties":{"noteIndex":0},"schema":"https://github.com/citation-style-language/schema/raw/master/csl-citation.json"}</w:instrText>
      </w:r>
      <w:r w:rsidR="00EF7C58" w:rsidRPr="00824C65">
        <w:rPr>
          <w:color w:val="833C0B" w:themeColor="accent2" w:themeShade="80"/>
        </w:rPr>
        <w:fldChar w:fldCharType="separate"/>
      </w:r>
      <w:r w:rsidR="00EF7C58" w:rsidRPr="00824C65">
        <w:rPr>
          <w:noProof/>
          <w:color w:val="833C0B" w:themeColor="accent2" w:themeShade="80"/>
        </w:rPr>
        <w:t>(Pinkleton and Austin, 2002)</w:t>
      </w:r>
      <w:r w:rsidR="00EF7C58" w:rsidRPr="00824C65">
        <w:rPr>
          <w:color w:val="833C0B" w:themeColor="accent2" w:themeShade="80"/>
        </w:rPr>
        <w:fldChar w:fldCharType="end"/>
      </w:r>
      <w:r w:rsidR="00EF7C58" w:rsidRPr="00824C65">
        <w:rPr>
          <w:color w:val="833C0B" w:themeColor="accent2" w:themeShade="80"/>
        </w:rPr>
        <w:t xml:space="preserve">. </w:t>
      </w:r>
      <w:r w:rsidR="008652AC" w:rsidRPr="00824C65">
        <w:rPr>
          <w:color w:val="833C0B" w:themeColor="accent2" w:themeShade="80"/>
        </w:rPr>
        <w:t xml:space="preserve">The usefulness of a media channel </w:t>
      </w:r>
      <w:r w:rsidR="005B3E97" w:rsidRPr="00824C65">
        <w:rPr>
          <w:color w:val="833C0B" w:themeColor="accent2" w:themeShade="80"/>
        </w:rPr>
        <w:t xml:space="preserve">in health communication </w:t>
      </w:r>
      <w:r w:rsidR="008652AC" w:rsidRPr="00824C65">
        <w:rPr>
          <w:color w:val="833C0B" w:themeColor="accent2" w:themeShade="80"/>
        </w:rPr>
        <w:t xml:space="preserve">was related to the </w:t>
      </w:r>
      <w:r w:rsidR="005B3E97" w:rsidRPr="00824C65">
        <w:rPr>
          <w:color w:val="833C0B" w:themeColor="accent2" w:themeShade="80"/>
        </w:rPr>
        <w:t>receivers'</w:t>
      </w:r>
      <w:r w:rsidR="008652AC" w:rsidRPr="00824C65">
        <w:rPr>
          <w:color w:val="833C0B" w:themeColor="accent2" w:themeShade="80"/>
        </w:rPr>
        <w:t xml:space="preserve"> judgement on its credibility, </w:t>
      </w:r>
      <w:r w:rsidR="00FF092F" w:rsidRPr="00824C65">
        <w:rPr>
          <w:color w:val="833C0B" w:themeColor="accent2" w:themeShade="80"/>
        </w:rPr>
        <w:t xml:space="preserve">feasibility and acceptability </w:t>
      </w:r>
      <w:r w:rsidR="005B3E97" w:rsidRPr="00824C65">
        <w:rPr>
          <w:color w:val="833C0B" w:themeColor="accent2" w:themeShade="80"/>
        </w:rPr>
        <w:t xml:space="preserve">to </w:t>
      </w:r>
      <w:r w:rsidR="00FF092F" w:rsidRPr="00824C65">
        <w:rPr>
          <w:color w:val="833C0B" w:themeColor="accent2" w:themeShade="80"/>
        </w:rPr>
        <w:t xml:space="preserve">an optimised behavioural intervention. </w:t>
      </w:r>
      <w:r w:rsidR="00082032" w:rsidRPr="00824C65">
        <w:rPr>
          <w:color w:val="833C0B" w:themeColor="accent2" w:themeShade="80"/>
        </w:rPr>
        <w:t xml:space="preserve">Previous research </w:t>
      </w:r>
      <w:r w:rsidR="00824C65">
        <w:rPr>
          <w:color w:val="833C0B" w:themeColor="accent2" w:themeShade="80"/>
        </w:rPr>
        <w:t>stated</w:t>
      </w:r>
      <w:r w:rsidR="00082032" w:rsidRPr="00824C65">
        <w:rPr>
          <w:color w:val="833C0B" w:themeColor="accent2" w:themeShade="80"/>
        </w:rPr>
        <w:t xml:space="preserve"> that using appropriate media channels with high usefulness ratings for reacting to a health crisis was critical for reducing the risk of losing social control </w:t>
      </w:r>
      <w:r w:rsidR="00082032" w:rsidRPr="00824C65">
        <w:rPr>
          <w:color w:val="833C0B" w:themeColor="accent2" w:themeShade="80"/>
        </w:rPr>
        <w:fldChar w:fldCharType="begin" w:fldLock="1"/>
      </w:r>
      <w:r w:rsidR="00682B71" w:rsidRPr="00824C65">
        <w:rPr>
          <w:color w:val="833C0B" w:themeColor="accent2" w:themeShade="80"/>
        </w:rPr>
        <w:instrText>ADDIN CSL_CITATION {"citationItems":[{"id":"ITEM-1","itemData":{"DOI":"10.1080/10410236.2018.1449552","ISSN":"15327027","PMID":"29558170","abstract":"Public health officials (PHOs) are responsible for providing trustworthy information during a public health crisis; however, there is little research on how the public behaves when their expectations for such information are violated. Drawing on media dependency theory and source credibility research as our primary theoretical framework, we tested how credibility of information from PHOs is associated with people’s reliance on a particular communication channel in the context of the 2015 Middle East Respiratory Syndrome (MERS) outbreak in South Korea. Using nationally representative data (N = 1036) collected during the MERS outbreak, we found that less credible information from PHOs led to more frequent use of online news, interpersonal networks, and social media for acquiring MERS-related information. However, credibility of information from PHOs was not associated with the use of television news or print newspapers. The theoretical and practical implications of our results on communication channels usage are discussed.","author":[{"dropping-particle":"","family":"Jang","given":"Kyungeun","non-dropping-particle":"","parse-names":false,"suffix":""},{"dropping-particle":"","family":"Baek","given":"Young Min","non-dropping-particle":"","parse-names":false,"suffix":""}],"container-title":"Health Communication","id":"ITEM-1","issue":"9","issued":{"date-parts":[["2019"]]},"page":"991-998","publisher":"Routledge","title":"When information from Public health officials is untrustworthy: The use of online news, interpersonal networks, and social media during the MERS outbreak in South Korea","type":"article-journal","volume":"34"},"uris":["http://www.mendeley.com/documents/?uuid=6c65253f-974a-425b-9ec1-676fdc38b5de"]}],"mendeley":{"formattedCitation":"(Jang and Baek, 2019)","plainTextFormattedCitation":"(Jang and Baek, 2019)","previouslyFormattedCitation":"(Jang and Baek, 2019)"},"properties":{"noteIndex":0},"schema":"https://github.com/citation-style-language/schema/raw/master/csl-citation.json"}</w:instrText>
      </w:r>
      <w:r w:rsidR="00082032" w:rsidRPr="00824C65">
        <w:rPr>
          <w:color w:val="833C0B" w:themeColor="accent2" w:themeShade="80"/>
        </w:rPr>
        <w:fldChar w:fldCharType="separate"/>
      </w:r>
      <w:r w:rsidR="00082032" w:rsidRPr="00824C65">
        <w:rPr>
          <w:noProof/>
          <w:color w:val="833C0B" w:themeColor="accent2" w:themeShade="80"/>
        </w:rPr>
        <w:t>(Jang and Baek, 2019)</w:t>
      </w:r>
      <w:r w:rsidR="00082032" w:rsidRPr="00824C65">
        <w:rPr>
          <w:color w:val="833C0B" w:themeColor="accent2" w:themeShade="80"/>
        </w:rPr>
        <w:fldChar w:fldCharType="end"/>
      </w:r>
      <w:r w:rsidR="00082032" w:rsidRPr="00824C65">
        <w:rPr>
          <w:color w:val="833C0B" w:themeColor="accent2" w:themeShade="80"/>
        </w:rPr>
        <w:t>.</w:t>
      </w:r>
    </w:p>
    <w:p w:rsidR="00FF5E91" w:rsidRPr="005C3E03" w:rsidRDefault="00FF5E91" w:rsidP="00FF5E91">
      <w:r w:rsidRPr="005C3E03">
        <w:t xml:space="preserve">Vietnam is a country in Southeast Asia with a moderate adaptation potential to </w:t>
      </w:r>
      <w:r w:rsidR="0032195C">
        <w:t>pandemics</w:t>
      </w:r>
      <w:r w:rsidRPr="005C3E03">
        <w:t xml:space="preserve">, and it was 50th out of 195 economies in the Global Health Security Index list </w:t>
      </w:r>
      <w:r w:rsidRPr="005C3E03">
        <w:fldChar w:fldCharType="begin" w:fldLock="1"/>
      </w:r>
      <w:r w:rsidR="00682B71">
        <w:instrText>ADDIN CSL_CITATION {"citationItems":[{"id":"ITEM-1","itemData":{"URL":"https://www.ghsindex.org/","accessed":{"date-parts":[["2020","12","12"]]},"author":[{"dropping-particle":"","family":"Johns Hopkins Center for Health Security","given":"","non-dropping-particle":"","parse-names":false,"suffix":""}],"id":"ITEM-1","issued":{"date-parts":[["2020"]]},"title":"2019 Global Health Security Index","type":"webpage"},"uris":["http://www.mendeley.com/documents/?uuid=a7d18c3c-702e-4b83-b1d9-ac35fe4e35ba"]},{"id":"ITEM-2","itemData":{"DOI":"10.3389/fpsyt.2020.00824","ISSN":"16640640","abstract":"This is the first time in Vietnam that people have undergone “social distancing” to minimize the spreading of infectious disease, COVID-19. These deliberate preemptive strategies may have profound impacts on the mental health of the population. Therefore, this study aimed to identify the psychological impacts of COVID-19 on Vietnamese people and associated factors. We conducted a cross-sectional study during a one-week social distancing and isolation from April 7 to 14, 2020, in Vietnam. A snowball sampling technique was carried out to recruit participants. Impact of Event Scale-Revised (IES-R) was utilized to assess the psychological impacts of the COVID-19. Of all participants, 233 (16.4%) reported low level of PTSS; 76 (5.3%) rated as moderate, and 77 (5.4%) reported extreme psychological conditions. Being female, above 44 years old, or having a higher number of children in the family were positively associated with a higher level of psychological distress. Being self-employed/unemployed/retired was associated with a higher score of intrusion and hyperarousal subscale. Individuals who have a history of touching objects with the possibility of spreading coronavirus (utensils) were related to a higher level of avoidance. There were relatively high rates of participants suffering from PTSS during the first national lockdown related to COVID-19. Comprehensive strategies for the screen of psychological problems and to support high-risk groups are critical, especially females, middle-aged adults and the elderly, affected laborers, and health care professionals.","author":[{"dropping-particle":"","family":"Le","given":"Xuan Thi Thanh","non-dropping-particle":"","parse-names":false,"suffix":""},{"dropping-particle":"","family":"Dang","given":"Anh Kim","non-dropping-particle":"","parse-names":false,"suffix":""},{"dropping-particle":"","family":"Toweh","given":"Jayson","non-dropping-particle":"","parse-names":false,"suffix":""},{"dropping-particle":"","family":"Nguyen","given":"Quynh Thi Quang Nhat","non-dropping-particle":"","parse-names":false,"suffix":""},{"dropping-particle":"","family":"Le","given":"Huong Thi","non-dropping-particle":"","parse-names":false,"suffix":""},{"dropping-particle":"","family":"Do","given":"Toan Thi Thanh","non-dropping-particle":"","parse-names":false,"suffix":""},{"dropping-particle":"","family":"Phan","given":"Hanh Bich Thi","non-dropping-particle":"","parse-names":false,"suffix":""},{"dropping-particle":"","family":"Nguyen","given":"Thao Thanh","non-dropping-particle":"","parse-names":false,"suffix":""},{"dropping-particle":"","family":"Pham","given":"Quan Thi","non-dropping-particle":"","parse-names":false,"suffix":""},{"dropping-particle":"","family":"Ta","given":"Nhung Kim Thi","non-dropping-particle":"","parse-names":false,"suffix":""},{"dropping-particle":"","family":"Nguyen","given":"Quynh Thi Quang Nhat","non-dropping-particle":"","parse-names":false,"suffix":""},{"dropping-particle":"","family":"Nguyen","given":"Anh Ngoc","non-dropping-particle":"","parse-names":false,"suffix":""},{"dropping-particle":"","family":"Duong","given":"Quan","non-dropping-particle":"Van","parse-names":false,"suffix":""},{"dropping-particle":"","family":"Hoang","given":"Men Thi","non-dropping-particle":"","parse-names":false,"suffix":""},{"dropping-particle":"","family":"Pham","given":"Hai Quang","non-dropping-particle":"","parse-names":false,"suffix":""},{"dropping-particle":"","family":"Vu","given":"Linh Gia","non-dropping-particle":"","parse-names":false,"suffix":""},{"dropping-particle":"","family":"Tran","given":"Bach Xuan","non-dropping-particle":"","parse-names":false,"suffix":""},{"dropping-particle":"","family":"Latkin","given":"Carl A.","non-dropping-particle":"","parse-names":false,"suffix":""},{"dropping-particle":"","family":"Ho","given":"Cyrus S.H.","non-dropping-particle":"","parse-names":false,"suffix":""},{"dropping-particle":"","family":"Ho","given":"Roger C.M.","non-dropping-particle":"","parse-names":false,"suffix":""}],"container-title":"Frontiers in Psychiatry","id":"ITEM-2","issue":"September","issued":{"date-parts":[["2020"]]},"page":"1-8","title":"Evaluating the psychological impacts related to COVID-19 of Vietnamese people under the first nationwide Partial lockdown in Vietnam","type":"article-journal","volume":"11"},"uris":["http://www.mendeley.com/documents/?uuid=7a24b760-d4d0-46af-a978-7edc5e3521a6"]}],"mendeley":{"formattedCitation":"(Johns Hopkins Center for Health Security, 2020; X. T. T. Le &lt;i&gt;et al.&lt;/i&gt;, 2020)","plainTextFormattedCitation":"(Johns Hopkins Center for Health Security, 2020; X. T. T. Le et al., 2020)","previouslyFormattedCitation":"(Johns Hopkins Center for Health Security, 2020; X. T. T. Le &lt;i&gt;et al.&lt;/i&gt;, 2020)"},"properties":{"noteIndex":0},"schema":"https://github.com/citation-style-language/schema/raw/master/csl-citation.json"}</w:instrText>
      </w:r>
      <w:r w:rsidRPr="005C3E03">
        <w:fldChar w:fldCharType="separate"/>
      </w:r>
      <w:r w:rsidR="00B02E24" w:rsidRPr="00B02E24">
        <w:rPr>
          <w:noProof/>
        </w:rPr>
        <w:t xml:space="preserve">(Johns Hopkins Center for Health Security, 2020; X. T. T. Le </w:t>
      </w:r>
      <w:r w:rsidR="00B02E24" w:rsidRPr="00B02E24">
        <w:rPr>
          <w:i/>
          <w:noProof/>
        </w:rPr>
        <w:t>et al.</w:t>
      </w:r>
      <w:r w:rsidR="00B02E24" w:rsidRPr="00B02E24">
        <w:rPr>
          <w:noProof/>
        </w:rPr>
        <w:t>, 2020)</w:t>
      </w:r>
      <w:r w:rsidRPr="005C3E03">
        <w:fldChar w:fldCharType="end"/>
      </w:r>
      <w:r w:rsidRPr="005C3E03">
        <w:t xml:space="preserve">. Thanks to the efficient communication strategies that corresponded to the pandemic progression milestones, </w:t>
      </w:r>
      <w:r w:rsidR="00D11A8F">
        <w:t>Vietnam</w:t>
      </w:r>
      <w:r w:rsidRPr="005C3E03">
        <w:t xml:space="preserve"> </w:t>
      </w:r>
      <w:r w:rsidR="0032195C">
        <w:t>could minimise</w:t>
      </w:r>
      <w:r w:rsidRPr="005C3E03">
        <w:t xml:space="preserve"> the damage caused by the COVID-19 </w:t>
      </w:r>
      <w:r w:rsidRPr="005C3E03">
        <w:fldChar w:fldCharType="begin" w:fldLock="1"/>
      </w:r>
      <w:r w:rsidRPr="005C3E03">
        <w:instrText>ADDIN CSL_CITATION {"citationItems":[{"id":"ITEM-1","itemData":{"DOI":"10.7189/jogh.10.020502","ISSN":"20472986","PMID":"33110585","abstract":"Background: The COVID-19 pandemic has hit all corners of the world, challenging governments to act promptly in controlling the spread of the pandemic. Due to limited resources and inferior technological capacities, developing countries including Vietnam have faced many challenges in combating the pandemic. Since the first cases were detected on 23 January 2020, Vietnam has undergone a 3-month fierce battle to control the outbreak with stringent measures from the government to mitigate the adverse impacts. In this study, we aim to give insights into the Vietnamese government's progress during the first three months of the outbreak. Additionally, we relatively compare Vietnam's response with that of other Southeast Asia countries to deliver a clear and comprehensive view on disease control strategies. Methods: The data on the number of COVID-19 confirmed and recovered cases in Vietnam was obtained from the Dashboard for COVID-19 statistics of the Ministry of Health (https://ncov.vncdc.gov.vn/). The review on Vietnam's country-level responses was conducted by searching for relevant government documents issued on the online database 'Vietnam Laws Repository' (https://thuvienphapluat.vn/en/index.aspx), with the grey literature on Google and relevant official websites. A stringency index of government policies and the countries' respective numbers of confirmed cases of nine Southeast Asian countries were adapted from the Oxford COVID-19 Government Response Tracker (https://www.bsg.ox.ac.uk/research/research-projects/coronavirus-government-response-tracker). All data was updated as of 24 April 2020. Results: Preliminary positive results have been achieved given that the nation confirmed no new community-transmitted cases since 16 April and zero COVID-19 - related deaths throughout the 3-month pandemic period. To date, the pandemic has been successfully controlled thanks to the Vietnamese government's prompt, proactive and decisive responses including mobilization of the health care systems, security forces, economic policies, along with a creative and effective communication campaign corresponding with crucial milestones of the epidemic's progression. Conclusions: Vietnam could be one of the role models in pandemic control for low-resource settings. As the pandemic is still ongoing in an unpredictable trajectory, disease control measures should continue to be put in place in the foreseeable short term.","author":[{"dropping-particle":"","family":"Tran","given":"Thi Phuong Thao","non-dropping-particle":"","parse-names":false,"suffix":""},{"dropping-particle":"","family":"Le","given":"Thanh Ha","non-dropping-particle":"","parse-names":false,"suffix":""},{"dropping-particle":"","family":"Nguyen","given":"Thi Ngoc Phuong","non-dropping-particle":"","parse-names":false,"suffix":""},{"dropping-particle":"","family":"Hoang","given":"Van Minh","non-dropping-particle":"","parse-names":false,"suffix":""}],"container-title":"Journal of global health","id":"ITEM-1","issue":"2","issued":{"date-parts":[["2020"]]},"page":"020502","title":"Rapid response to the COVID-19 pandemic: Vietnam government's experience and preliminary success","type":"article-journal","volume":"10"},"uris":["http://www.mendeley.com/documents/?uuid=52b3fb3f-0fb3-439f-8ffc-61247e8f4ce1"]}],"mendeley":{"formattedCitation":"(Tran &lt;i&gt;et al.&lt;/i&gt;, 2020)","plainTextFormattedCitation":"(Tran et al., 2020)","previouslyFormattedCitation":"(Tran &lt;i&gt;et al.&lt;/i&gt;, 2020)"},"properties":{"noteIndex":0},"schema":"https://github.com/citation-style-language/schema/raw/master/csl-citation.json"}</w:instrText>
      </w:r>
      <w:r w:rsidRPr="005C3E03">
        <w:fldChar w:fldCharType="separate"/>
      </w:r>
      <w:r w:rsidRPr="005C3E03">
        <w:rPr>
          <w:noProof/>
        </w:rPr>
        <w:t xml:space="preserve">(Tran </w:t>
      </w:r>
      <w:r w:rsidRPr="005C3E03">
        <w:rPr>
          <w:i/>
          <w:noProof/>
        </w:rPr>
        <w:t>et al.</w:t>
      </w:r>
      <w:r w:rsidRPr="005C3E03">
        <w:rPr>
          <w:noProof/>
        </w:rPr>
        <w:t>, 2020)</w:t>
      </w:r>
      <w:r w:rsidRPr="005C3E03">
        <w:fldChar w:fldCharType="end"/>
      </w:r>
      <w:r w:rsidRPr="005C3E03">
        <w:t xml:space="preserve">. However, the new strains of Coronavirus have continued to be one of the greatest threats to humanity, causing significant casualties </w:t>
      </w:r>
      <w:r>
        <w:t>(more than 4.55</w:t>
      </w:r>
      <w:r w:rsidRPr="005C3E03">
        <w:t xml:space="preserve"> million </w:t>
      </w:r>
      <w:r w:rsidR="003861EB">
        <w:t>deaths</w:t>
      </w:r>
      <w:r w:rsidR="003861EB" w:rsidRPr="005C3E03">
        <w:t xml:space="preserve"> </w:t>
      </w:r>
      <w:r>
        <w:t>worldwide</w:t>
      </w:r>
      <w:r w:rsidR="00D11A8F">
        <w:t xml:space="preserve"> and over</w:t>
      </w:r>
      <w:r w:rsidR="00B65D8A">
        <w:t xml:space="preserve"> 20</w:t>
      </w:r>
      <w:r w:rsidR="00B42892">
        <w:t>.5</w:t>
      </w:r>
      <w:r w:rsidR="00B65D8A">
        <w:t xml:space="preserve"> thousand</w:t>
      </w:r>
      <w:r w:rsidR="003861EB">
        <w:t xml:space="preserve"> deaths</w:t>
      </w:r>
      <w:r w:rsidR="003861EB" w:rsidRPr="005C3E03">
        <w:t xml:space="preserve"> </w:t>
      </w:r>
      <w:r w:rsidR="00B65D8A">
        <w:t xml:space="preserve">in Vietnam </w:t>
      </w:r>
      <w:r w:rsidR="00824C65">
        <w:t>from</w:t>
      </w:r>
      <w:r w:rsidR="003861EB">
        <w:t xml:space="preserve"> </w:t>
      </w:r>
      <w:r w:rsidR="00B65D8A" w:rsidRPr="005C3E03">
        <w:t>COVID-19</w:t>
      </w:r>
      <w:r w:rsidRPr="005C3E03">
        <w:t xml:space="preserve">) </w:t>
      </w:r>
      <w:r w:rsidR="00D11A8F">
        <w:t xml:space="preserve">and creating </w:t>
      </w:r>
      <w:r w:rsidRPr="005C3E03">
        <w:t>global socio-economic cris</w:t>
      </w:r>
      <w:r w:rsidR="00824C65">
        <w:t>es</w:t>
      </w:r>
      <w:r w:rsidRPr="005C3E03">
        <w:t xml:space="preserve">. Therefore, analysing the effectiveness of media channels </w:t>
      </w:r>
      <w:r w:rsidR="00D11A8F">
        <w:t>in</w:t>
      </w:r>
      <w:r w:rsidRPr="005C3E03">
        <w:t xml:space="preserve"> </w:t>
      </w:r>
      <w:r w:rsidR="00D11A8F">
        <w:t>warning</w:t>
      </w:r>
      <w:r w:rsidR="00D11A8F" w:rsidRPr="005C3E03">
        <w:t xml:space="preserve"> </w:t>
      </w:r>
      <w:r w:rsidRPr="005C3E03">
        <w:t xml:space="preserve">disease will provide essential </w:t>
      </w:r>
      <w:r w:rsidR="00824C65">
        <w:t>insights</w:t>
      </w:r>
      <w:r w:rsidRPr="005C3E03">
        <w:t xml:space="preserve"> to optimise </w:t>
      </w:r>
      <w:r w:rsidR="009C2A04">
        <w:t>pandemic</w:t>
      </w:r>
      <w:r w:rsidRPr="005C3E03">
        <w:t xml:space="preserve"> prevention resources</w:t>
      </w:r>
      <w:r w:rsidR="00D11A8F">
        <w:t xml:space="preserve"> </w:t>
      </w:r>
      <w:r w:rsidRPr="005C3E03">
        <w:fldChar w:fldCharType="begin" w:fldLock="1"/>
      </w:r>
      <w:r w:rsidR="00682B71">
        <w:instrText>ADDIN CSL_CITATION {"citationItems":[{"id":"ITEM-1","itemData":{"DOI":"10.1080/10410236.2020.1847447","ISSN":"15327027","abstract":"Emerging infectious disease (EID) outbreaks such as the ongoing COVID-19 pandemic create unknown risks, uncertainty, and anxiety around the world. Accurate and timely information can help the public understand the outbreak and manage their lives. Presented here is a study of how residents of Hubei Province, the epicenter of the COVID-19 outbreak in China, use media for information seeking, scanning, and sharing while under lockdown through in-depth interviews. We find that (1) individuals primarily acquire information through information scanning from official governmental sources, (2) information sharing is more frequent with family members through private channels than with one’s extended social networks and the general public through pubic channels mostly due to concerns with censorship, and (3) individuals’ information need and information use change substantially during different stages of the outbreak. These findings provide insights into how individuals in China use different media for information during an unprecedented public health crisis and make sense of the limited and often confusing and contradictory information that is available to them. Such findings can inform future health communication efforts during EID outbreaks.","author":[{"dropping-particle":"","family":"Tang","given":"Lu","non-dropping-particle":"","parse-names":false,"suffix":""},{"dropping-particle":"","family":"Zou","given":"Wenxue","non-dropping-particle":"","parse-names":false,"suffix":""}],"container-title":"Health Communication","id":"ITEM-1","issue":"1","issued":{"date-parts":[["2020"]]},"page":"74-80","publisher":"Routledge","title":"Health information consumption under COVID-19 lockdown: An interview study of residents of Hubei Province, China","type":"article-journal","volume":"36"},"uris":["http://www.mendeley.com/documents/?uuid=a01986e8-64f3-4226-888f-59dc59fb057e"]}],"mendeley":{"formattedCitation":"(Tang and Zou, 2020)","plainTextFormattedCitation":"(Tang and Zou, 2020)","previouslyFormattedCitation":"(Tang and Zou, 2020)"},"properties":{"noteIndex":0},"schema":"https://github.com/citation-style-language/schema/raw/master/csl-citation.json"}</w:instrText>
      </w:r>
      <w:r w:rsidRPr="005C3E03">
        <w:fldChar w:fldCharType="separate"/>
      </w:r>
      <w:r w:rsidRPr="005C3E03">
        <w:rPr>
          <w:noProof/>
        </w:rPr>
        <w:t>(Tang and Zou, 2020)</w:t>
      </w:r>
      <w:r w:rsidRPr="005C3E03">
        <w:fldChar w:fldCharType="end"/>
      </w:r>
      <w:r w:rsidRPr="005C3E03">
        <w:t>.</w:t>
      </w:r>
      <w:r w:rsidR="00457D5A">
        <w:t xml:space="preserve"> </w:t>
      </w:r>
      <w:r w:rsidR="00457D5A" w:rsidRPr="005C3E03">
        <w:t xml:space="preserve">Consequently, the population would be empowered to anticipate the problems </w:t>
      </w:r>
      <w:r w:rsidR="00824C65">
        <w:t>earlier</w:t>
      </w:r>
      <w:r w:rsidR="00457D5A" w:rsidRPr="005C3E03">
        <w:t xml:space="preserve"> </w:t>
      </w:r>
      <w:r w:rsidR="00457D5A">
        <w:t xml:space="preserve">and </w:t>
      </w:r>
      <w:r w:rsidR="00D11A8F">
        <w:t xml:space="preserve">implement </w:t>
      </w:r>
      <w:r w:rsidR="00457D5A" w:rsidRPr="005C3E03">
        <w:t>prevent</w:t>
      </w:r>
      <w:r w:rsidR="00D11A8F">
        <w:t>ive</w:t>
      </w:r>
      <w:r w:rsidR="00457D5A" w:rsidRPr="005C3E03">
        <w:t xml:space="preserve"> </w:t>
      </w:r>
      <w:r w:rsidR="00D11A8F">
        <w:t>actions</w:t>
      </w:r>
      <w:r w:rsidR="00457D5A" w:rsidRPr="005C3E03">
        <w:t xml:space="preserve"> appropriately </w:t>
      </w:r>
      <w:r w:rsidR="00457D5A" w:rsidRPr="005C3E03">
        <w:fldChar w:fldCharType="begin" w:fldLock="1"/>
      </w:r>
      <w:r w:rsidR="00457D5A" w:rsidRPr="005C3E03">
        <w:instrText>ADDIN CSL_CITATION {"citationItems":[{"id":"ITEM-1","itemData":{"DOI":"10.2471/BLT.08.056713","ISSN":"00429686","PMID":"19551226","author":[{"dropping-particle":"","family":"Rimal","given":"Rajiv N.","non-dropping-particle":"","parse-names":false,"suffix":""},{"dropping-particle":"","family":"Lapinski","given":"Maria K.","non-dropping-particle":"","parse-names":false,"suffix":""}],"container-title":"Bulletin of the World Health Organization","id":"ITEM-1","issue":"4","issued":{"date-parts":[["2009"]]},"page":"247","title":"Why health communication is important in public health","type":"article","volume":"87"},"uris":["http://www.mendeley.com/documents/?uuid=c2241760-2146-41bc-9d5b-6bce7b17706e"]}],"mendeley":{"formattedCitation":"(Rimal and Lapinski, 2009)","plainTextFormattedCitation":"(Rimal and Lapinski, 2009)","previouslyFormattedCitation":"(Rimal and Lapinski, 2009)"},"properties":{"noteIndex":0},"schema":"https://github.com/citation-style-language/schema/raw/master/csl-citation.json"}</w:instrText>
      </w:r>
      <w:r w:rsidR="00457D5A" w:rsidRPr="005C3E03">
        <w:fldChar w:fldCharType="separate"/>
      </w:r>
      <w:r w:rsidR="00457D5A" w:rsidRPr="005C3E03">
        <w:rPr>
          <w:noProof/>
        </w:rPr>
        <w:t>(Rimal and Lapinski, 2009)</w:t>
      </w:r>
      <w:r w:rsidR="00457D5A" w:rsidRPr="005C3E03">
        <w:fldChar w:fldCharType="end"/>
      </w:r>
      <w:r w:rsidR="00457D5A" w:rsidRPr="005C3E03">
        <w:t>.</w:t>
      </w:r>
    </w:p>
    <w:p w:rsidR="00FF5E91" w:rsidRPr="005C3E03" w:rsidRDefault="00FF5E91" w:rsidP="00FF5E91">
      <w:r w:rsidRPr="005C3E03">
        <w:t>The main goals of this study were to explore:</w:t>
      </w:r>
    </w:p>
    <w:p w:rsidR="00FF5E91" w:rsidRPr="005C3E03" w:rsidRDefault="009C2A04" w:rsidP="00FF5E91">
      <w:pPr>
        <w:pStyle w:val="ListParagraph"/>
        <w:numPr>
          <w:ilvl w:val="0"/>
          <w:numId w:val="16"/>
        </w:numPr>
        <w:tabs>
          <w:tab w:val="left" w:pos="851"/>
        </w:tabs>
        <w:ind w:leftChars="0" w:left="0" w:firstLineChars="0" w:firstLine="567"/>
      </w:pPr>
      <w:r>
        <w:t>The frequencies</w:t>
      </w:r>
      <w:r w:rsidR="00FF5E91" w:rsidRPr="005C3E03">
        <w:t xml:space="preserve"> Vietnamese young people received disease warnings from different media channels;</w:t>
      </w:r>
    </w:p>
    <w:p w:rsidR="00FF5E91" w:rsidRPr="005C3E03" w:rsidRDefault="00FF5E91" w:rsidP="00FF5E91">
      <w:pPr>
        <w:pStyle w:val="ListParagraph"/>
        <w:numPr>
          <w:ilvl w:val="0"/>
          <w:numId w:val="16"/>
        </w:numPr>
        <w:tabs>
          <w:tab w:val="left" w:pos="851"/>
        </w:tabs>
        <w:ind w:leftChars="0" w:left="0" w:firstLineChars="0" w:firstLine="567"/>
      </w:pPr>
      <w:r w:rsidRPr="005C3E03">
        <w:t>The useful</w:t>
      </w:r>
      <w:r w:rsidR="004C6C2E">
        <w:t>ness</w:t>
      </w:r>
      <w:r w:rsidR="00CA0719">
        <w:t xml:space="preserve"> levels</w:t>
      </w:r>
      <w:r w:rsidR="009C2A04">
        <w:t xml:space="preserve"> </w:t>
      </w:r>
      <w:r w:rsidRPr="005C3E03">
        <w:t>of different media channels in warning diseases;</w:t>
      </w:r>
    </w:p>
    <w:p w:rsidR="00D00FD5" w:rsidRDefault="009C2A04" w:rsidP="00D00FD5">
      <w:pPr>
        <w:pStyle w:val="ListParagraph"/>
        <w:numPr>
          <w:ilvl w:val="0"/>
          <w:numId w:val="16"/>
        </w:numPr>
        <w:tabs>
          <w:tab w:val="left" w:pos="851"/>
        </w:tabs>
        <w:ind w:leftChars="0" w:left="0" w:firstLineChars="0" w:firstLine="567"/>
      </w:pPr>
      <w:r>
        <w:t xml:space="preserve">The trust </w:t>
      </w:r>
      <w:r w:rsidR="00CA0719">
        <w:t xml:space="preserve">of Vietnamese </w:t>
      </w:r>
      <w:r w:rsidR="00D00FD5" w:rsidRPr="005C3E03">
        <w:t xml:space="preserve">in the </w:t>
      </w:r>
      <w:r w:rsidR="006455E7">
        <w:t>g</w:t>
      </w:r>
      <w:r w:rsidR="00D00FD5" w:rsidRPr="005C3E03">
        <w:t>overnment's management in case</w:t>
      </w:r>
      <w:r w:rsidR="00CA0719">
        <w:t xml:space="preserve"> of the COVID-19 outbreak;</w:t>
      </w:r>
    </w:p>
    <w:p w:rsidR="00FF5E91" w:rsidRPr="00B42892" w:rsidRDefault="00FF5E91" w:rsidP="00CA0719">
      <w:pPr>
        <w:pStyle w:val="ListParagraph"/>
        <w:numPr>
          <w:ilvl w:val="0"/>
          <w:numId w:val="16"/>
        </w:numPr>
        <w:tabs>
          <w:tab w:val="left" w:pos="851"/>
        </w:tabs>
        <w:ind w:leftChars="0" w:left="0" w:firstLineChars="0" w:firstLine="567"/>
      </w:pPr>
      <w:r w:rsidRPr="00B42892">
        <w:lastRenderedPageBreak/>
        <w:t xml:space="preserve">The </w:t>
      </w:r>
      <w:r w:rsidR="009C2A04" w:rsidRPr="00B42892">
        <w:t>relationship between</w:t>
      </w:r>
      <w:r w:rsidR="00F215AC" w:rsidRPr="00B42892">
        <w:t xml:space="preserve"> </w:t>
      </w:r>
      <w:r w:rsidR="000B70A8" w:rsidRPr="00B42892">
        <w:t>frequencies</w:t>
      </w:r>
      <w:r w:rsidR="00CA0719" w:rsidRPr="00B42892">
        <w:t xml:space="preserve"> of receiving warnings</w:t>
      </w:r>
      <w:r w:rsidR="009C2A04" w:rsidRPr="00B42892">
        <w:t xml:space="preserve">, the </w:t>
      </w:r>
      <w:r w:rsidR="00D00FD5" w:rsidRPr="00B42892">
        <w:t>useful</w:t>
      </w:r>
      <w:r w:rsidR="009C2A04" w:rsidRPr="00B42892">
        <w:t xml:space="preserve">ness </w:t>
      </w:r>
      <w:r w:rsidR="00D00FD5" w:rsidRPr="00B42892">
        <w:t>of media channels</w:t>
      </w:r>
      <w:r w:rsidR="00CA0719" w:rsidRPr="00B42892">
        <w:t xml:space="preserve"> </w:t>
      </w:r>
      <w:r w:rsidR="009C2A04" w:rsidRPr="00B42892">
        <w:t xml:space="preserve">and </w:t>
      </w:r>
      <w:r w:rsidR="00D00FD5" w:rsidRPr="00B42892">
        <w:t xml:space="preserve">behavioural </w:t>
      </w:r>
      <w:r w:rsidR="009C2A04" w:rsidRPr="00B42892">
        <w:t>adaptations</w:t>
      </w:r>
      <w:r w:rsidR="00D00FD5" w:rsidRPr="00B42892">
        <w:t xml:space="preserve"> </w:t>
      </w:r>
      <w:r w:rsidR="00AB6F38" w:rsidRPr="00B42892">
        <w:t xml:space="preserve">after receiving COVID-19 </w:t>
      </w:r>
      <w:r w:rsidR="00824C65">
        <w:t>alerts</w:t>
      </w:r>
      <w:r w:rsidR="00D00FD5" w:rsidRPr="00B42892">
        <w:t>.</w:t>
      </w:r>
    </w:p>
    <w:p w:rsidR="00462BC4" w:rsidRPr="005C3E03" w:rsidRDefault="00462BC4" w:rsidP="00462BC4">
      <w:pPr>
        <w:pStyle w:val="mcCp1"/>
        <w:numPr>
          <w:ilvl w:val="0"/>
          <w:numId w:val="3"/>
        </w:numPr>
        <w:rPr>
          <w:color w:val="000000"/>
        </w:rPr>
      </w:pPr>
      <w:r w:rsidRPr="005C3E03">
        <w:t xml:space="preserve">Research method </w:t>
      </w:r>
    </w:p>
    <w:p w:rsidR="00462BC4" w:rsidRPr="005C3E03" w:rsidRDefault="004C0494" w:rsidP="004C0494">
      <w:pPr>
        <w:pStyle w:val="mcCp2"/>
      </w:pPr>
      <w:r w:rsidRPr="005C3E03">
        <w:rPr>
          <w:color w:val="000000"/>
        </w:rPr>
        <w:t>Data collection and questionnaire</w:t>
      </w:r>
    </w:p>
    <w:p w:rsidR="004C0494" w:rsidRPr="005C3E03" w:rsidRDefault="00824C65" w:rsidP="004C0494">
      <w:r>
        <w:t>Young people</w:t>
      </w:r>
      <w:r w:rsidR="003A48C2" w:rsidRPr="005C3E03">
        <w:t xml:space="preserve"> were the target population of this study </w:t>
      </w:r>
      <w:r w:rsidR="004C0494" w:rsidRPr="005C3E03">
        <w:t xml:space="preserve">because </w:t>
      </w:r>
      <w:r>
        <w:t>they</w:t>
      </w:r>
      <w:r w:rsidR="004C0494" w:rsidRPr="005C3E03">
        <w:t xml:space="preserve"> were the most vulnerable group </w:t>
      </w:r>
      <w:r w:rsidR="00A728BB" w:rsidRPr="005C3E03">
        <w:t>regarding</w:t>
      </w:r>
      <w:r w:rsidR="004C0494" w:rsidRPr="005C3E03">
        <w:t xml:space="preserve"> the pandemic's social and economic impact </w:t>
      </w:r>
      <w:r w:rsidR="004C0494" w:rsidRPr="005C3E03">
        <w:fldChar w:fldCharType="begin" w:fldLock="1"/>
      </w:r>
      <w:r w:rsidR="00682B71">
        <w:instrText>ADDIN CSL_CITATION {"citationItems":[{"id":"ITEM-1","itemData":{"ISBN":"9789220314081","abstract":"This database allows the user to explore the ILO's set of estimates on employment around the world, create charts, and download data.","author":[{"dropping-particle":"","family":"International Labour Organization","given":"","non-dropping-particle":"","parse-names":false,"suffix":""}],"container-title":"International Labour Organization","id":"ITEM-1","issued":{"date-parts":[["2020"]]},"number-of-pages":"127","title":"World employment and social outlook: Trends 2020","type":"book"},"uris":["http://www.mendeley.com/documents/?uuid=76f806b0-5071-4bf7-b6c2-e9a9a7fe0991"]}],"mendeley":{"formattedCitation":"(International Labour Organization, 2020)","plainTextFormattedCitation":"(International Labour Organization, 2020)","previouslyFormattedCitation":"(International Labour Organization, 2020)"},"properties":{"noteIndex":0},"schema":"https://github.com/citation-style-language/schema/raw/master/csl-citation.json"}</w:instrText>
      </w:r>
      <w:r w:rsidR="004C0494" w:rsidRPr="005C3E03">
        <w:fldChar w:fldCharType="separate"/>
      </w:r>
      <w:r w:rsidR="00D9148F" w:rsidRPr="005C3E03">
        <w:rPr>
          <w:noProof/>
        </w:rPr>
        <w:t>(International Labour Organization, 2020)</w:t>
      </w:r>
      <w:r w:rsidR="004C0494" w:rsidRPr="005C3E03">
        <w:fldChar w:fldCharType="end"/>
      </w:r>
      <w:r w:rsidR="004C0494" w:rsidRPr="005C3E03">
        <w:t xml:space="preserve">. This study used data collected from a survey administered randomly to youths in Vietnam. The sampling process was carried out through 2020. </w:t>
      </w:r>
      <w:r>
        <w:t>The p</w:t>
      </w:r>
      <w:r w:rsidR="004C0494" w:rsidRPr="005C3E03">
        <w:t xml:space="preserve">articipants were explicitly </w:t>
      </w:r>
      <w:r>
        <w:t xml:space="preserve">informed </w:t>
      </w:r>
      <w:r w:rsidR="004C0494" w:rsidRPr="005C3E03">
        <w:t xml:space="preserve">about this research's purpose, and they could be assured of anonymity. </w:t>
      </w:r>
      <w:r w:rsidR="004C0494" w:rsidRPr="005C3E03">
        <w:rPr>
          <w:bCs/>
        </w:rPr>
        <w:t>There were proposed media channels</w:t>
      </w:r>
      <w:r w:rsidR="00E744D5" w:rsidRPr="005C3E03">
        <w:rPr>
          <w:bCs/>
        </w:rPr>
        <w:t xml:space="preserve"> to </w:t>
      </w:r>
      <w:r w:rsidR="003A48C2" w:rsidRPr="005C3E03">
        <w:rPr>
          <w:bCs/>
        </w:rPr>
        <w:t>analyse</w:t>
      </w:r>
      <w:r w:rsidR="00E744D5" w:rsidRPr="005C3E03">
        <w:rPr>
          <w:bCs/>
        </w:rPr>
        <w:t>, including</w:t>
      </w:r>
      <w:r w:rsidR="004C0494" w:rsidRPr="005C3E03">
        <w:t xml:space="preserve"> Short Message Service from the Ministry of Health and other state agencies (SMS), television/radio, </w:t>
      </w:r>
      <w:r w:rsidR="00B008A4" w:rsidRPr="005C3E03">
        <w:t xml:space="preserve">printed media (newspaper, </w:t>
      </w:r>
      <w:r w:rsidR="004C0494" w:rsidRPr="005C3E03">
        <w:t>magazine</w:t>
      </w:r>
      <w:r w:rsidR="00B008A4" w:rsidRPr="005C3E03">
        <w:t>, brochures…)</w:t>
      </w:r>
      <w:r w:rsidR="002A02C3" w:rsidRPr="005C3E03">
        <w:t>, s</w:t>
      </w:r>
      <w:r w:rsidR="004C0494" w:rsidRPr="005C3E03">
        <w:t>ocial network</w:t>
      </w:r>
      <w:r w:rsidR="002A02C3" w:rsidRPr="005C3E03">
        <w:t>s</w:t>
      </w:r>
      <w:r w:rsidR="004C0494" w:rsidRPr="005C3E03">
        <w:t>, website</w:t>
      </w:r>
      <w:r w:rsidR="002A02C3" w:rsidRPr="005C3E03">
        <w:t>s</w:t>
      </w:r>
      <w:r w:rsidR="004C0494" w:rsidRPr="005C3E03">
        <w:t xml:space="preserve"> of state agencies, website</w:t>
      </w:r>
      <w:r w:rsidR="002A02C3" w:rsidRPr="005C3E03">
        <w:t>s</w:t>
      </w:r>
      <w:r w:rsidR="004C0494" w:rsidRPr="005C3E03">
        <w:t xml:space="preserve"> of non-state agencies, WOM conversations, bulletin b</w:t>
      </w:r>
      <w:r>
        <w:t>oards on the streets, health</w:t>
      </w:r>
      <w:r w:rsidR="004C0494" w:rsidRPr="005C3E03">
        <w:t xml:space="preserve"> apps.</w:t>
      </w:r>
      <w:r w:rsidR="00E744D5" w:rsidRPr="005C3E03">
        <w:t xml:space="preserve"> </w:t>
      </w:r>
      <w:r w:rsidR="004C0494" w:rsidRPr="005C3E03">
        <w:t>All respondents answered the questions concerning:</w:t>
      </w:r>
    </w:p>
    <w:p w:rsidR="004C0494" w:rsidRPr="005C3E03" w:rsidRDefault="004C0494" w:rsidP="004C0494">
      <w:pPr>
        <w:pStyle w:val="ListParagraph"/>
        <w:numPr>
          <w:ilvl w:val="0"/>
          <w:numId w:val="20"/>
        </w:numPr>
        <w:tabs>
          <w:tab w:val="left" w:pos="851"/>
        </w:tabs>
        <w:ind w:leftChars="0" w:left="0" w:firstLineChars="0" w:firstLine="567"/>
      </w:pPr>
      <w:r w:rsidRPr="005C3E03">
        <w:rPr>
          <w:i/>
        </w:rPr>
        <w:t>Sociodemographic characteristics</w:t>
      </w:r>
      <w:r w:rsidR="00BD3CD8" w:rsidRPr="005C3E03">
        <w:t xml:space="preserve"> (</w:t>
      </w:r>
      <w:r w:rsidRPr="005C3E03">
        <w:t>age, gender, housing type, monthly expenditure…</w:t>
      </w:r>
      <w:r w:rsidR="00BD3CD8" w:rsidRPr="005C3E03">
        <w:t>).</w:t>
      </w:r>
    </w:p>
    <w:p w:rsidR="004C0494" w:rsidRPr="005C3E03" w:rsidRDefault="004C0494" w:rsidP="004C0494">
      <w:pPr>
        <w:pStyle w:val="ListParagraph"/>
        <w:numPr>
          <w:ilvl w:val="0"/>
          <w:numId w:val="20"/>
        </w:numPr>
        <w:tabs>
          <w:tab w:val="left" w:pos="851"/>
        </w:tabs>
        <w:ind w:leftChars="0" w:left="0" w:firstLineChars="0" w:firstLine="567"/>
      </w:pPr>
      <w:r w:rsidRPr="005C3E03">
        <w:rPr>
          <w:bCs/>
          <w:i/>
        </w:rPr>
        <w:t xml:space="preserve">The frequencies of receiving disease warnings through </w:t>
      </w:r>
      <w:r w:rsidR="00BD3CD8" w:rsidRPr="005C3E03">
        <w:rPr>
          <w:bCs/>
          <w:i/>
        </w:rPr>
        <w:t>each media channel</w:t>
      </w:r>
      <w:r w:rsidRPr="005C3E03">
        <w:rPr>
          <w:bCs/>
        </w:rPr>
        <w:t xml:space="preserve">. </w:t>
      </w:r>
      <w:r w:rsidRPr="005C3E03">
        <w:t>The respondents chose from 1=</w:t>
      </w:r>
      <w:r w:rsidRPr="005C3E03">
        <w:rPr>
          <w:bCs/>
        </w:rPr>
        <w:t>'</w:t>
      </w:r>
      <w:r w:rsidRPr="005C3E03">
        <w:t>Almost never' to 5= 'Always (practically every day)'.</w:t>
      </w:r>
    </w:p>
    <w:p w:rsidR="004C0494" w:rsidRPr="005C3E03" w:rsidRDefault="004C0494" w:rsidP="004C0494">
      <w:pPr>
        <w:pStyle w:val="ListParagraph"/>
        <w:numPr>
          <w:ilvl w:val="0"/>
          <w:numId w:val="21"/>
        </w:numPr>
        <w:tabs>
          <w:tab w:val="left" w:pos="851"/>
        </w:tabs>
        <w:ind w:leftChars="0" w:left="0" w:firstLineChars="0" w:firstLine="567"/>
      </w:pPr>
      <w:r w:rsidRPr="005C3E03">
        <w:rPr>
          <w:bCs/>
          <w:i/>
        </w:rPr>
        <w:t>The usefulness</w:t>
      </w:r>
      <w:r w:rsidR="00EE2F3D">
        <w:rPr>
          <w:bCs/>
          <w:i/>
        </w:rPr>
        <w:t xml:space="preserve"> level</w:t>
      </w:r>
      <w:r w:rsidRPr="005C3E03">
        <w:rPr>
          <w:bCs/>
          <w:i/>
        </w:rPr>
        <w:t xml:space="preserve"> of </w:t>
      </w:r>
      <w:r w:rsidRPr="005C3E03">
        <w:rPr>
          <w:i/>
        </w:rPr>
        <w:t>media channel</w:t>
      </w:r>
      <w:r w:rsidR="00B42892">
        <w:rPr>
          <w:i/>
        </w:rPr>
        <w:t>s</w:t>
      </w:r>
      <w:r w:rsidRPr="005C3E03">
        <w:rPr>
          <w:i/>
        </w:rPr>
        <w:t xml:space="preserve"> </w:t>
      </w:r>
      <w:r w:rsidRPr="005C3E03">
        <w:rPr>
          <w:bCs/>
          <w:i/>
        </w:rPr>
        <w:t>in warning disease</w:t>
      </w:r>
      <w:r w:rsidR="00BD3CD8" w:rsidRPr="005C3E03">
        <w:t>.</w:t>
      </w:r>
      <w:r w:rsidRPr="005C3E03">
        <w:t xml:space="preserve"> The respondents answered the question by rating from 1=' Extremely useless' to 5='Extremely useful'.</w:t>
      </w:r>
    </w:p>
    <w:p w:rsidR="004C0494" w:rsidRPr="005C3E03" w:rsidRDefault="004C0494" w:rsidP="004C0494">
      <w:pPr>
        <w:pStyle w:val="ListParagraph"/>
        <w:numPr>
          <w:ilvl w:val="0"/>
          <w:numId w:val="21"/>
        </w:numPr>
        <w:tabs>
          <w:tab w:val="left" w:pos="851"/>
        </w:tabs>
        <w:ind w:leftChars="0" w:left="0" w:firstLineChars="0" w:firstLine="567"/>
      </w:pPr>
      <w:r w:rsidRPr="005C3E03">
        <w:rPr>
          <w:bCs/>
          <w:i/>
        </w:rPr>
        <w:t>Travel plan adaptions after receiving COVID-19 warnings</w:t>
      </w:r>
      <w:r w:rsidRPr="005C3E03">
        <w:t xml:space="preserve">. The participants chose between options: </w:t>
      </w:r>
      <w:r w:rsidR="008359CC" w:rsidRPr="005C3E03">
        <w:rPr>
          <w:bCs/>
        </w:rPr>
        <w:t>'</w:t>
      </w:r>
      <w:r w:rsidRPr="005C3E03">
        <w:t>Cancel</w:t>
      </w:r>
      <w:r w:rsidR="008359CC" w:rsidRPr="005C3E03">
        <w:rPr>
          <w:bCs/>
        </w:rPr>
        <w:t>'</w:t>
      </w:r>
      <w:r w:rsidRPr="005C3E03">
        <w:t xml:space="preserve">, </w:t>
      </w:r>
      <w:r w:rsidR="008359CC" w:rsidRPr="005C3E03">
        <w:rPr>
          <w:bCs/>
        </w:rPr>
        <w:t>'</w:t>
      </w:r>
      <w:r w:rsidR="00BD3CD8" w:rsidRPr="005C3E03">
        <w:t>Postpone</w:t>
      </w:r>
      <w:r w:rsidR="008359CC" w:rsidRPr="005C3E03">
        <w:rPr>
          <w:bCs/>
        </w:rPr>
        <w:t>'</w:t>
      </w:r>
      <w:r w:rsidRPr="005C3E03">
        <w:t xml:space="preserve">, </w:t>
      </w:r>
      <w:r w:rsidR="008359CC" w:rsidRPr="005C3E03">
        <w:rPr>
          <w:bCs/>
        </w:rPr>
        <w:t>'</w:t>
      </w:r>
      <w:r w:rsidR="00BD3CD8" w:rsidRPr="005C3E03">
        <w:t>N</w:t>
      </w:r>
      <w:r w:rsidRPr="005C3E03">
        <w:t xml:space="preserve">ot </w:t>
      </w:r>
      <w:r w:rsidR="00BD3CD8" w:rsidRPr="005C3E03">
        <w:t>postpone</w:t>
      </w:r>
      <w:r w:rsidRPr="005C3E03">
        <w:t>, but change the route/destination/transport mode</w:t>
      </w:r>
      <w:r w:rsidR="008359CC" w:rsidRPr="005C3E03">
        <w:rPr>
          <w:bCs/>
        </w:rPr>
        <w:t>'</w:t>
      </w:r>
      <w:r w:rsidRPr="005C3E03">
        <w:t xml:space="preserve">, </w:t>
      </w:r>
      <w:r w:rsidR="008359CC" w:rsidRPr="005C3E03">
        <w:rPr>
          <w:bCs/>
        </w:rPr>
        <w:t>'</w:t>
      </w:r>
      <w:r w:rsidR="00BD3CD8" w:rsidRPr="005C3E03">
        <w:t>N</w:t>
      </w:r>
      <w:r w:rsidRPr="005C3E03">
        <w:t>ot change</w:t>
      </w:r>
      <w:r w:rsidR="008359CC" w:rsidRPr="005C3E03">
        <w:rPr>
          <w:bCs/>
        </w:rPr>
        <w:t>'</w:t>
      </w:r>
      <w:r w:rsidRPr="005C3E03">
        <w:t xml:space="preserve"> for so</w:t>
      </w:r>
      <w:r w:rsidR="00E744D5" w:rsidRPr="005C3E03">
        <w:t>me proposed travel plans including</w:t>
      </w:r>
      <w:r w:rsidRPr="005C3E03">
        <w:t xml:space="preserve"> Going to </w:t>
      </w:r>
      <w:r w:rsidR="00BD3CD8" w:rsidRPr="005C3E03">
        <w:t>study/workplace</w:t>
      </w:r>
      <w:r w:rsidRPr="005C3E03">
        <w:t xml:space="preserve">, Shopping, Hanging-out, Traveling </w:t>
      </w:r>
      <w:r w:rsidR="00BD3CD8" w:rsidRPr="005C3E03">
        <w:t xml:space="preserve">type </w:t>
      </w:r>
      <w:r w:rsidRPr="005C3E03">
        <w:t xml:space="preserve">1 (go out of the current city because there were pandemic alerts in that city), Traveling </w:t>
      </w:r>
      <w:r w:rsidR="00BD3CD8" w:rsidRPr="005C3E03">
        <w:t xml:space="preserve">type </w:t>
      </w:r>
      <w:r w:rsidRPr="005C3E03">
        <w:t xml:space="preserve">2 (go to the city where there were pandemic alerts in that city). </w:t>
      </w:r>
    </w:p>
    <w:p w:rsidR="004C0494" w:rsidRPr="005C3E03" w:rsidRDefault="004C0494" w:rsidP="004C0494">
      <w:pPr>
        <w:pStyle w:val="ListParagraph"/>
        <w:numPr>
          <w:ilvl w:val="0"/>
          <w:numId w:val="21"/>
        </w:numPr>
        <w:tabs>
          <w:tab w:val="left" w:pos="851"/>
        </w:tabs>
        <w:ind w:leftChars="0" w:left="0" w:firstLineChars="0" w:firstLine="567"/>
      </w:pPr>
      <w:r w:rsidRPr="005C3E03">
        <w:rPr>
          <w:bCs/>
          <w:i/>
        </w:rPr>
        <w:t xml:space="preserve">The trust level in the </w:t>
      </w:r>
      <w:r w:rsidR="006455E7">
        <w:rPr>
          <w:bCs/>
          <w:i/>
        </w:rPr>
        <w:t>g</w:t>
      </w:r>
      <w:r w:rsidRPr="005C3E03">
        <w:rPr>
          <w:bCs/>
          <w:i/>
        </w:rPr>
        <w:t>overnment's management before and during the COVID-19 outbreak</w:t>
      </w:r>
      <w:r w:rsidRPr="005C3E03">
        <w:rPr>
          <w:bCs/>
        </w:rPr>
        <w:t xml:space="preserve">. </w:t>
      </w:r>
      <w:r w:rsidRPr="005C3E03">
        <w:t xml:space="preserve">Respondents chose between </w:t>
      </w:r>
      <w:r w:rsidR="00EE2F3D">
        <w:t>levels: 1='Not trust at all' to</w:t>
      </w:r>
      <w:r w:rsidRPr="005C3E03">
        <w:t xml:space="preserve"> 5='Completely trust'.</w:t>
      </w:r>
    </w:p>
    <w:p w:rsidR="004C0494" w:rsidRPr="005C3E03" w:rsidRDefault="004C0494" w:rsidP="0050017F">
      <w:pPr>
        <w:pStyle w:val="ListParagraph"/>
        <w:numPr>
          <w:ilvl w:val="0"/>
          <w:numId w:val="19"/>
        </w:numPr>
        <w:tabs>
          <w:tab w:val="left" w:pos="851"/>
        </w:tabs>
        <w:ind w:leftChars="0" w:left="0" w:firstLineChars="0" w:firstLine="567"/>
      </w:pPr>
      <w:r w:rsidRPr="005C3E03">
        <w:rPr>
          <w:bCs/>
          <w:i/>
        </w:rPr>
        <w:t xml:space="preserve">Agreement level to implement prevention </w:t>
      </w:r>
      <w:r w:rsidR="00B42892">
        <w:rPr>
          <w:bCs/>
          <w:i/>
        </w:rPr>
        <w:t>actions</w:t>
      </w:r>
      <w:r w:rsidR="008359CC" w:rsidRPr="005C3E03">
        <w:t>.</w:t>
      </w:r>
      <w:r w:rsidRPr="005C3E03">
        <w:t xml:space="preserve"> The respondents answered by choosing from 1='Totally not agree' to 5= 'Totally agree'</w:t>
      </w:r>
      <w:r w:rsidR="008359CC" w:rsidRPr="005C3E03">
        <w:t xml:space="preserve"> for </w:t>
      </w:r>
      <w:r w:rsidR="000E1BAD">
        <w:t>ten proposed</w:t>
      </w:r>
      <w:r w:rsidR="008359CC" w:rsidRPr="005C3E03">
        <w:t xml:space="preserve"> acti</w:t>
      </w:r>
      <w:r w:rsidR="001A1DEC" w:rsidRPr="005C3E03">
        <w:t>on</w:t>
      </w:r>
      <w:r w:rsidR="00EE2F3D">
        <w:t>s (</w:t>
      </w:r>
      <w:r w:rsidRPr="000E1BAD">
        <w:rPr>
          <w:i/>
        </w:rPr>
        <w:t>Report family medical his</w:t>
      </w:r>
      <w:r w:rsidR="008359CC" w:rsidRPr="000E1BAD">
        <w:rPr>
          <w:i/>
        </w:rPr>
        <w:t xml:space="preserve">tory honestly (including </w:t>
      </w:r>
      <w:r w:rsidR="00BD3CD8" w:rsidRPr="000E1BAD">
        <w:rPr>
          <w:i/>
        </w:rPr>
        <w:t>self-report</w:t>
      </w:r>
      <w:r w:rsidR="008359CC" w:rsidRPr="000E1BAD">
        <w:rPr>
          <w:i/>
        </w:rPr>
        <w:t xml:space="preserve">); </w:t>
      </w:r>
      <w:r w:rsidRPr="000E1BAD">
        <w:rPr>
          <w:i/>
        </w:rPr>
        <w:t>Report your current</w:t>
      </w:r>
      <w:r w:rsidR="008359CC" w:rsidRPr="000E1BAD">
        <w:rPr>
          <w:i/>
        </w:rPr>
        <w:t xml:space="preserve"> health status honestly; </w:t>
      </w:r>
      <w:r w:rsidRPr="000E1BAD">
        <w:rPr>
          <w:i/>
        </w:rPr>
        <w:t>Go into mandatory isolation/quarantine as directed by the public health</w:t>
      </w:r>
      <w:r w:rsidR="00BD3CD8" w:rsidRPr="000E1BAD">
        <w:rPr>
          <w:i/>
        </w:rPr>
        <w:t xml:space="preserve"> authority if you have symptoms;</w:t>
      </w:r>
      <w:r w:rsidR="008359CC" w:rsidRPr="000E1BAD">
        <w:rPr>
          <w:i/>
        </w:rPr>
        <w:t xml:space="preserve"> </w:t>
      </w:r>
      <w:r w:rsidRPr="000E1BAD">
        <w:rPr>
          <w:i/>
        </w:rPr>
        <w:t>Practice physical distancing and st</w:t>
      </w:r>
      <w:r w:rsidR="008359CC" w:rsidRPr="000E1BAD">
        <w:rPr>
          <w:i/>
        </w:rPr>
        <w:t xml:space="preserve">ay at home if you have symptoms; </w:t>
      </w:r>
      <w:r w:rsidRPr="000E1BAD">
        <w:rPr>
          <w:i/>
        </w:rPr>
        <w:t xml:space="preserve">Take recommended measures to prevent further transmission </w:t>
      </w:r>
      <w:r w:rsidR="008359CC" w:rsidRPr="000E1BAD">
        <w:rPr>
          <w:i/>
        </w:rPr>
        <w:t xml:space="preserve">of the virus to society; </w:t>
      </w:r>
      <w:r w:rsidRPr="000E1BAD">
        <w:rPr>
          <w:i/>
        </w:rPr>
        <w:t>Spend more money on purchasing medical equipment to prevent the pandemic</w:t>
      </w:r>
      <w:r w:rsidR="008359CC" w:rsidRPr="000E1BAD">
        <w:rPr>
          <w:i/>
        </w:rPr>
        <w:t xml:space="preserve">; </w:t>
      </w:r>
      <w:r w:rsidRPr="000E1BAD">
        <w:rPr>
          <w:i/>
        </w:rPr>
        <w:t>Spend more money on online services (home delivery, online shopping...)</w:t>
      </w:r>
      <w:r w:rsidR="008359CC" w:rsidRPr="000E1BAD">
        <w:rPr>
          <w:i/>
        </w:rPr>
        <w:t xml:space="preserve">; </w:t>
      </w:r>
      <w:r w:rsidRPr="000E1BAD">
        <w:rPr>
          <w:i/>
        </w:rPr>
        <w:t>Spend money to get vaccinated</w:t>
      </w:r>
      <w:r w:rsidR="008359CC" w:rsidRPr="000E1BAD">
        <w:rPr>
          <w:i/>
        </w:rPr>
        <w:t xml:space="preserve">; </w:t>
      </w:r>
      <w:r w:rsidRPr="000E1BAD">
        <w:rPr>
          <w:i/>
        </w:rPr>
        <w:t>Donate to the pandemic prevention fund</w:t>
      </w:r>
      <w:r w:rsidR="008359CC" w:rsidRPr="000E1BAD">
        <w:rPr>
          <w:i/>
        </w:rPr>
        <w:t xml:space="preserve">; </w:t>
      </w:r>
      <w:r w:rsidRPr="000E1BAD">
        <w:rPr>
          <w:i/>
        </w:rPr>
        <w:t>Participate in pandemic prevention campaigns in the locality</w:t>
      </w:r>
      <w:r w:rsidR="00EE2F3D" w:rsidRPr="00EE2F3D">
        <w:t>)</w:t>
      </w:r>
      <w:r w:rsidRPr="005C3E03">
        <w:t>.</w:t>
      </w:r>
      <w:r w:rsidR="000E1BAD">
        <w:t xml:space="preserve"> </w:t>
      </w:r>
      <w:r w:rsidR="00EE2F3D">
        <w:t>Finally, t</w:t>
      </w:r>
      <w:r w:rsidR="000E1BAD">
        <w:t>he overall agreement level was calculated by summing al</w:t>
      </w:r>
      <w:r w:rsidR="00B42892">
        <w:t>l those scores.</w:t>
      </w:r>
    </w:p>
    <w:p w:rsidR="004C0494" w:rsidRPr="005C3E03" w:rsidRDefault="004C0494" w:rsidP="00CA3FEE">
      <w:r w:rsidRPr="005C3E03">
        <w:t>There were 4,648 sufficiently informative samples left for data analysis after removing the non-conforming responses.</w:t>
      </w:r>
    </w:p>
    <w:p w:rsidR="00462BC4" w:rsidRPr="005C3E03" w:rsidRDefault="008359CC" w:rsidP="008359CC">
      <w:pPr>
        <w:pStyle w:val="mcCp2"/>
        <w:rPr>
          <w:color w:val="000000"/>
        </w:rPr>
      </w:pPr>
      <w:r w:rsidRPr="005C3E03">
        <w:rPr>
          <w:color w:val="000000"/>
        </w:rPr>
        <w:t>Statistical analysis</w:t>
      </w:r>
    </w:p>
    <w:p w:rsidR="008359CC" w:rsidRPr="005C3E03" w:rsidRDefault="000E1BAD" w:rsidP="008359CC">
      <w:r>
        <w:t>D</w:t>
      </w:r>
      <w:r w:rsidR="008359CC" w:rsidRPr="005C3E03">
        <w:t>escriptive analysis was used to explore the characteristics of respondents.</w:t>
      </w:r>
      <w:r>
        <w:t xml:space="preserve"> P</w:t>
      </w:r>
      <w:r w:rsidR="008359CC" w:rsidRPr="005C3E03">
        <w:t xml:space="preserve">aired-samples t-tests were applied to compare the </w:t>
      </w:r>
      <w:r w:rsidR="00B42892" w:rsidRPr="005C3E03">
        <w:t xml:space="preserve">trust </w:t>
      </w:r>
      <w:r w:rsidR="008359CC" w:rsidRPr="005C3E03">
        <w:t>level</w:t>
      </w:r>
      <w:r>
        <w:t>s</w:t>
      </w:r>
      <w:r w:rsidR="008359CC" w:rsidRPr="005C3E03">
        <w:t xml:space="preserve"> in the </w:t>
      </w:r>
      <w:r w:rsidR="006455E7">
        <w:t>g</w:t>
      </w:r>
      <w:r w:rsidR="008359CC" w:rsidRPr="005C3E03">
        <w:t>overnment's management before and during the COVID-19 pandemic.</w:t>
      </w:r>
      <w:r>
        <w:t xml:space="preserve"> </w:t>
      </w:r>
      <w:r w:rsidR="008359CC" w:rsidRPr="005C3E03">
        <w:t>Independent-sample t-tests were</w:t>
      </w:r>
      <w:r>
        <w:t xml:space="preserve"> also</w:t>
      </w:r>
      <w:r w:rsidR="008359CC" w:rsidRPr="005C3E03">
        <w:t xml:space="preserve"> carried out to examine the disparity in the trust levels between the two genders. </w:t>
      </w:r>
      <w:r>
        <w:t>T</w:t>
      </w:r>
      <w:r w:rsidR="008359CC" w:rsidRPr="005C3E03">
        <w:t>hree questions (</w:t>
      </w:r>
      <w:r w:rsidR="008359CC" w:rsidRPr="000E1BAD">
        <w:rPr>
          <w:i/>
        </w:rPr>
        <w:t xml:space="preserve">'the frequencies of receiving disease warnings', 'the usefulness of channels in warning disease ', </w:t>
      </w:r>
      <w:r w:rsidR="008359CC" w:rsidRPr="000E1BAD">
        <w:t>and</w:t>
      </w:r>
      <w:r w:rsidR="008359CC" w:rsidRPr="000E1BAD">
        <w:rPr>
          <w:i/>
        </w:rPr>
        <w:t xml:space="preserve"> 'the agreement to implement the prevention activities'</w:t>
      </w:r>
      <w:r w:rsidR="008359CC" w:rsidRPr="005C3E03">
        <w:t>)</w:t>
      </w:r>
      <w:r>
        <w:t xml:space="preserve"> were measured by ordinal scales</w:t>
      </w:r>
      <w:r w:rsidR="008359CC" w:rsidRPr="005C3E03">
        <w:t>, so the authors used Friedman's ANOVA, a non-parametric tool, to test the hypothesis that there were no significant differences between mean ranks of proposed media channels.</w:t>
      </w:r>
      <w:r>
        <w:t xml:space="preserve"> </w:t>
      </w:r>
      <w:r w:rsidRPr="00B42892">
        <w:t xml:space="preserve">Finally, </w:t>
      </w:r>
      <w:r w:rsidR="009345F1" w:rsidRPr="00B42892">
        <w:t>generali</w:t>
      </w:r>
      <w:r w:rsidR="00C813CC" w:rsidRPr="00B42892">
        <w:t>s</w:t>
      </w:r>
      <w:r w:rsidR="009345F1" w:rsidRPr="00B42892">
        <w:t>ed linear</w:t>
      </w:r>
      <w:r w:rsidRPr="00B42892">
        <w:t xml:space="preserve"> </w:t>
      </w:r>
      <w:r w:rsidR="000F72AB" w:rsidRPr="00B42892">
        <w:t>model</w:t>
      </w:r>
      <w:r w:rsidR="008A4474" w:rsidRPr="00B42892">
        <w:t>ling</w:t>
      </w:r>
      <w:r w:rsidRPr="00B42892">
        <w:t xml:space="preserve"> </w:t>
      </w:r>
      <w:r w:rsidR="008A4474" w:rsidRPr="00B42892">
        <w:t xml:space="preserve">(GLM) </w:t>
      </w:r>
      <w:r w:rsidRPr="00B42892">
        <w:t>was applied to predict the overall agreement level to implement the prevent</w:t>
      </w:r>
      <w:r w:rsidR="00B02E24" w:rsidRPr="00B42892">
        <w:t>ative measures</w:t>
      </w:r>
      <w:r w:rsidRPr="00B42892">
        <w:t xml:space="preserve"> given the set of independent variables, including social-demographic information and the respondent's usage of media chann</w:t>
      </w:r>
      <w:r w:rsidR="004C6C2E" w:rsidRPr="00B42892">
        <w:t>els to obtain disease warnings.</w:t>
      </w:r>
    </w:p>
    <w:p w:rsidR="00462BC4" w:rsidRPr="005C3E03" w:rsidRDefault="00462BC4" w:rsidP="00462BC4">
      <w:pPr>
        <w:pStyle w:val="mcCp1"/>
        <w:numPr>
          <w:ilvl w:val="0"/>
          <w:numId w:val="3"/>
        </w:numPr>
        <w:rPr>
          <w:color w:val="000000"/>
        </w:rPr>
      </w:pPr>
      <w:r w:rsidRPr="005C3E03">
        <w:lastRenderedPageBreak/>
        <w:t>Results and discussion</w:t>
      </w:r>
      <w:r w:rsidRPr="005C3E03">
        <w:rPr>
          <w:color w:val="000000"/>
        </w:rPr>
        <w:t xml:space="preserve"> </w:t>
      </w:r>
    </w:p>
    <w:p w:rsidR="00462BC4" w:rsidRPr="005C3E03" w:rsidRDefault="00462BC4" w:rsidP="00462BC4">
      <w:pPr>
        <w:pStyle w:val="mcCp2"/>
        <w:numPr>
          <w:ilvl w:val="1"/>
          <w:numId w:val="3"/>
        </w:numPr>
      </w:pPr>
      <w:r w:rsidRPr="005C3E03">
        <w:t>Results</w:t>
      </w:r>
    </w:p>
    <w:p w:rsidR="008359CC" w:rsidRPr="005C3E03" w:rsidRDefault="008359CC" w:rsidP="008359CC">
      <w:r w:rsidRPr="005C3E03">
        <w:t xml:space="preserve">The sample included 4,648 </w:t>
      </w:r>
      <w:r w:rsidR="00BD3CD8" w:rsidRPr="005C3E03">
        <w:t xml:space="preserve">young </w:t>
      </w:r>
      <w:r w:rsidRPr="005C3E03">
        <w:t xml:space="preserve">people with </w:t>
      </w:r>
      <w:r w:rsidR="00824C65">
        <w:t>a mean</w:t>
      </w:r>
      <w:r w:rsidRPr="005C3E03">
        <w:t xml:space="preserve"> age of 20.53 (from 18 to 26 years old), male</w:t>
      </w:r>
      <w:r w:rsidR="001A1DEC" w:rsidRPr="005C3E03">
        <w:t>s</w:t>
      </w:r>
      <w:r w:rsidRPr="005C3E03">
        <w:t xml:space="preserve"> accounted for 19.5%, and females accounted for 80.5%. More than 50% of </w:t>
      </w:r>
      <w:r w:rsidR="00BD3CD8" w:rsidRPr="005C3E03">
        <w:t>them</w:t>
      </w:r>
      <w:r w:rsidRPr="005C3E03">
        <w:t xml:space="preserve"> lived in rented rooms, and 36.4% lived with families in </w:t>
      </w:r>
      <w:r w:rsidR="00BD3CD8" w:rsidRPr="005C3E03">
        <w:t xml:space="preserve">their </w:t>
      </w:r>
      <w:r w:rsidRPr="005C3E03">
        <w:t xml:space="preserve">private houses. </w:t>
      </w:r>
      <w:r w:rsidR="00BD3CD8" w:rsidRPr="005C3E03">
        <w:t>T</w:t>
      </w:r>
      <w:r w:rsidRPr="005C3E03">
        <w:t>he majority of respondents spent less than $</w:t>
      </w:r>
      <w:r w:rsidR="003A48C2" w:rsidRPr="005C3E03">
        <w:t>200</w:t>
      </w:r>
      <w:r w:rsidRPr="005C3E03">
        <w:t xml:space="preserve"> per month, </w:t>
      </w:r>
      <w:r w:rsidR="00A728BB" w:rsidRPr="005C3E03">
        <w:t>which</w:t>
      </w:r>
      <w:r w:rsidRPr="005C3E03">
        <w:t xml:space="preserve"> was consistent with the socio-economic reality of Vietnam. After receiving the COVID-19 alert, most Vietnamese </w:t>
      </w:r>
      <w:r w:rsidR="00BD3CD8" w:rsidRPr="005C3E03">
        <w:t xml:space="preserve">youths </w:t>
      </w:r>
      <w:r w:rsidRPr="005C3E03">
        <w:t>cancelled their travel plans, and 52.6% postponed their plan</w:t>
      </w:r>
      <w:r w:rsidR="001A1DEC" w:rsidRPr="005C3E03">
        <w:t>s</w:t>
      </w:r>
      <w:r w:rsidRPr="005C3E03">
        <w:t xml:space="preserve"> to go to studying/working locations (</w:t>
      </w:r>
      <w:r w:rsidRPr="005C3E03">
        <w:fldChar w:fldCharType="begin"/>
      </w:r>
      <w:r w:rsidRPr="005C3E03">
        <w:instrText xml:space="preserve"> REF _Ref71811625 \h  \* MERGEFORMAT </w:instrText>
      </w:r>
      <w:r w:rsidRPr="005C3E03">
        <w:fldChar w:fldCharType="separate"/>
      </w:r>
      <w:r w:rsidRPr="005C3E03">
        <w:t xml:space="preserve">Table </w:t>
      </w:r>
      <w:r w:rsidRPr="005C3E03">
        <w:rPr>
          <w:noProof/>
        </w:rPr>
        <w:t>1</w:t>
      </w:r>
      <w:r w:rsidRPr="005C3E03">
        <w:fldChar w:fldCharType="end"/>
      </w:r>
      <w:r w:rsidRPr="005C3E03">
        <w:t>).</w:t>
      </w:r>
    </w:p>
    <w:p w:rsidR="008359CC" w:rsidRPr="005C3E03" w:rsidRDefault="008359CC" w:rsidP="00AF31AB">
      <w:pPr>
        <w:pStyle w:val="ChthchBngbiu-Hnhv"/>
      </w:pPr>
      <w:bookmarkStart w:id="0" w:name="_Ref71811625"/>
      <w:r w:rsidRPr="005C3E03">
        <w:t xml:space="preserve">Table </w:t>
      </w:r>
      <w:r w:rsidRPr="005C3E03">
        <w:fldChar w:fldCharType="begin"/>
      </w:r>
      <w:r w:rsidRPr="005C3E03">
        <w:instrText xml:space="preserve"> SEQ Table \* ARABIC </w:instrText>
      </w:r>
      <w:r w:rsidRPr="005C3E03">
        <w:fldChar w:fldCharType="separate"/>
      </w:r>
      <w:r w:rsidR="00DD2133">
        <w:rPr>
          <w:noProof/>
        </w:rPr>
        <w:t>1</w:t>
      </w:r>
      <w:r w:rsidRPr="005C3E03">
        <w:fldChar w:fldCharType="end"/>
      </w:r>
      <w:bookmarkEnd w:id="0"/>
      <w:r w:rsidRPr="005C3E03">
        <w:t xml:space="preserve">. Travel plan </w:t>
      </w:r>
      <w:r w:rsidR="00A728BB" w:rsidRPr="005C3E03">
        <w:t>adjustments</w:t>
      </w:r>
      <w:r w:rsidRPr="005C3E03">
        <w:t xml:space="preserve"> after receiving getting COVID-19 warnings </w:t>
      </w:r>
      <w:r w:rsidR="00AF31AB" w:rsidRPr="005C3E03">
        <w:t>(%)</w:t>
      </w:r>
      <w:r w:rsidR="00CA3FEE" w:rsidRPr="005C3E03">
        <w:t>.</w:t>
      </w:r>
    </w:p>
    <w:tbl>
      <w:tblPr>
        <w:tblW w:w="0" w:type="auto"/>
        <w:jc w:val="center"/>
        <w:tblLayout w:type="fixed"/>
        <w:tblCellMar>
          <w:left w:w="0" w:type="dxa"/>
          <w:right w:w="0" w:type="dxa"/>
        </w:tblCellMar>
        <w:tblLook w:val="04A0" w:firstRow="1" w:lastRow="0" w:firstColumn="1" w:lastColumn="0" w:noHBand="0" w:noVBand="1"/>
      </w:tblPr>
      <w:tblGrid>
        <w:gridCol w:w="1985"/>
        <w:gridCol w:w="998"/>
        <w:gridCol w:w="986"/>
        <w:gridCol w:w="3550"/>
        <w:gridCol w:w="1275"/>
      </w:tblGrid>
      <w:tr w:rsidR="00AF31AB" w:rsidRPr="005C3E03" w:rsidTr="00BD3CD8">
        <w:trPr>
          <w:trHeight w:val="20"/>
          <w:jc w:val="center"/>
        </w:trPr>
        <w:tc>
          <w:tcPr>
            <w:tcW w:w="1985" w:type="dxa"/>
            <w:tcBorders>
              <w:top w:val="single" w:sz="4" w:space="0" w:color="auto"/>
              <w:bottom w:val="single" w:sz="4" w:space="0" w:color="auto"/>
            </w:tcBorders>
            <w:shd w:val="clear" w:color="auto" w:fill="auto"/>
            <w:noWrap/>
            <w:vAlign w:val="center"/>
          </w:tcPr>
          <w:p w:rsidR="008359CC" w:rsidRPr="005C3E03" w:rsidRDefault="008359CC" w:rsidP="00CA3FEE">
            <w:pPr>
              <w:spacing w:before="0" w:after="0" w:line="240" w:lineRule="auto"/>
              <w:ind w:firstLine="0"/>
              <w:jc w:val="center"/>
              <w:rPr>
                <w:b/>
                <w:sz w:val="20"/>
                <w:lang w:eastAsia="vi-VN"/>
              </w:rPr>
            </w:pPr>
            <w:r w:rsidRPr="005C3E03">
              <w:rPr>
                <w:b/>
                <w:sz w:val="20"/>
                <w:lang w:eastAsia="vi-VN"/>
              </w:rPr>
              <w:t>Travel plan</w:t>
            </w:r>
          </w:p>
        </w:tc>
        <w:tc>
          <w:tcPr>
            <w:tcW w:w="998" w:type="dxa"/>
            <w:tcBorders>
              <w:top w:val="single" w:sz="4" w:space="0" w:color="auto"/>
              <w:bottom w:val="single" w:sz="4" w:space="0" w:color="auto"/>
            </w:tcBorders>
            <w:shd w:val="clear" w:color="auto" w:fill="auto"/>
            <w:noWrap/>
            <w:vAlign w:val="center"/>
          </w:tcPr>
          <w:p w:rsidR="008359CC" w:rsidRPr="005C3E03" w:rsidRDefault="008359CC" w:rsidP="00CA3FEE">
            <w:pPr>
              <w:spacing w:before="0" w:after="0" w:line="240" w:lineRule="auto"/>
              <w:ind w:firstLine="0"/>
              <w:jc w:val="center"/>
              <w:rPr>
                <w:b/>
                <w:sz w:val="20"/>
                <w:lang w:eastAsia="vi-VN"/>
              </w:rPr>
            </w:pPr>
            <w:r w:rsidRPr="005C3E03">
              <w:rPr>
                <w:b/>
                <w:sz w:val="20"/>
                <w:lang w:eastAsia="vi-VN"/>
              </w:rPr>
              <w:t>Cancel</w:t>
            </w:r>
          </w:p>
        </w:tc>
        <w:tc>
          <w:tcPr>
            <w:tcW w:w="986" w:type="dxa"/>
            <w:tcBorders>
              <w:top w:val="single" w:sz="4" w:space="0" w:color="auto"/>
              <w:bottom w:val="single" w:sz="4" w:space="0" w:color="auto"/>
            </w:tcBorders>
            <w:shd w:val="clear" w:color="auto" w:fill="auto"/>
            <w:noWrap/>
            <w:vAlign w:val="center"/>
          </w:tcPr>
          <w:p w:rsidR="008359CC" w:rsidRPr="005C3E03" w:rsidRDefault="00BD3CD8" w:rsidP="00CA3FEE">
            <w:pPr>
              <w:spacing w:before="0" w:after="0" w:line="240" w:lineRule="auto"/>
              <w:ind w:firstLine="0"/>
              <w:jc w:val="center"/>
              <w:rPr>
                <w:b/>
                <w:sz w:val="20"/>
                <w:lang w:eastAsia="vi-VN"/>
              </w:rPr>
            </w:pPr>
            <w:r w:rsidRPr="005C3E03">
              <w:rPr>
                <w:b/>
                <w:sz w:val="20"/>
                <w:lang w:eastAsia="vi-VN"/>
              </w:rPr>
              <w:t>Postpone</w:t>
            </w:r>
          </w:p>
        </w:tc>
        <w:tc>
          <w:tcPr>
            <w:tcW w:w="3550" w:type="dxa"/>
            <w:tcBorders>
              <w:top w:val="single" w:sz="4" w:space="0" w:color="auto"/>
              <w:bottom w:val="single" w:sz="4" w:space="0" w:color="auto"/>
            </w:tcBorders>
            <w:shd w:val="clear" w:color="auto" w:fill="auto"/>
            <w:noWrap/>
            <w:vAlign w:val="center"/>
          </w:tcPr>
          <w:p w:rsidR="00AF31AB" w:rsidRPr="005C3E03" w:rsidRDefault="008359CC" w:rsidP="00CA3FEE">
            <w:pPr>
              <w:spacing w:before="0" w:after="0" w:line="240" w:lineRule="auto"/>
              <w:ind w:firstLine="0"/>
              <w:jc w:val="center"/>
              <w:rPr>
                <w:b/>
                <w:sz w:val="20"/>
              </w:rPr>
            </w:pPr>
            <w:r w:rsidRPr="005C3E03">
              <w:rPr>
                <w:b/>
                <w:sz w:val="20"/>
              </w:rPr>
              <w:t xml:space="preserve">Not </w:t>
            </w:r>
            <w:r w:rsidR="00BD3CD8" w:rsidRPr="005C3E03">
              <w:rPr>
                <w:b/>
                <w:sz w:val="20"/>
              </w:rPr>
              <w:t>postpone</w:t>
            </w:r>
            <w:r w:rsidRPr="005C3E03">
              <w:rPr>
                <w:b/>
                <w:sz w:val="20"/>
              </w:rPr>
              <w:t>, but change</w:t>
            </w:r>
          </w:p>
          <w:p w:rsidR="008359CC" w:rsidRPr="005C3E03" w:rsidRDefault="00BD3CD8" w:rsidP="00CA3FEE">
            <w:pPr>
              <w:spacing w:before="0" w:after="0" w:line="240" w:lineRule="auto"/>
              <w:ind w:firstLine="0"/>
              <w:jc w:val="center"/>
              <w:rPr>
                <w:b/>
                <w:sz w:val="20"/>
                <w:lang w:eastAsia="vi-VN"/>
              </w:rPr>
            </w:pPr>
            <w:r w:rsidRPr="005C3E03">
              <w:rPr>
                <w:b/>
                <w:sz w:val="20"/>
              </w:rPr>
              <w:t>the route/destination/</w:t>
            </w:r>
            <w:r w:rsidR="008359CC" w:rsidRPr="005C3E03">
              <w:rPr>
                <w:b/>
                <w:sz w:val="20"/>
              </w:rPr>
              <w:t>transport mode</w:t>
            </w:r>
          </w:p>
        </w:tc>
        <w:tc>
          <w:tcPr>
            <w:tcW w:w="1275" w:type="dxa"/>
            <w:tcBorders>
              <w:top w:val="single" w:sz="4" w:space="0" w:color="auto"/>
              <w:bottom w:val="single" w:sz="4" w:space="0" w:color="auto"/>
            </w:tcBorders>
            <w:shd w:val="clear" w:color="auto" w:fill="auto"/>
            <w:noWrap/>
            <w:vAlign w:val="center"/>
          </w:tcPr>
          <w:p w:rsidR="008359CC" w:rsidRPr="005C3E03" w:rsidRDefault="008359CC" w:rsidP="00CA3FEE">
            <w:pPr>
              <w:spacing w:before="0" w:after="0" w:line="240" w:lineRule="auto"/>
              <w:ind w:firstLine="0"/>
              <w:jc w:val="center"/>
              <w:rPr>
                <w:b/>
                <w:sz w:val="20"/>
                <w:lang w:eastAsia="vi-VN"/>
              </w:rPr>
            </w:pPr>
            <w:r w:rsidRPr="005C3E03">
              <w:rPr>
                <w:b/>
                <w:sz w:val="20"/>
                <w:lang w:eastAsia="vi-VN"/>
              </w:rPr>
              <w:t>Not change</w:t>
            </w:r>
          </w:p>
        </w:tc>
      </w:tr>
      <w:tr w:rsidR="00AF31AB" w:rsidRPr="005C3E03" w:rsidTr="00BD3CD8">
        <w:trPr>
          <w:trHeight w:val="20"/>
          <w:jc w:val="center"/>
        </w:trPr>
        <w:tc>
          <w:tcPr>
            <w:tcW w:w="1985" w:type="dxa"/>
            <w:tcBorders>
              <w:top w:val="single" w:sz="4" w:space="0" w:color="auto"/>
            </w:tcBorders>
            <w:shd w:val="clear" w:color="auto" w:fill="auto"/>
            <w:noWrap/>
            <w:vAlign w:val="center"/>
          </w:tcPr>
          <w:p w:rsidR="00AF31AB" w:rsidRPr="005C3E03" w:rsidRDefault="00AF31AB" w:rsidP="00CA3FEE">
            <w:pPr>
              <w:spacing w:before="0" w:after="0" w:line="240" w:lineRule="auto"/>
              <w:ind w:firstLine="133"/>
              <w:jc w:val="left"/>
              <w:rPr>
                <w:sz w:val="20"/>
              </w:rPr>
            </w:pPr>
            <w:r w:rsidRPr="005C3E03">
              <w:rPr>
                <w:sz w:val="20"/>
              </w:rPr>
              <w:t>To work/study places</w:t>
            </w:r>
          </w:p>
        </w:tc>
        <w:tc>
          <w:tcPr>
            <w:tcW w:w="998" w:type="dxa"/>
            <w:tcBorders>
              <w:top w:val="single" w:sz="4" w:space="0" w:color="auto"/>
            </w:tcBorders>
            <w:shd w:val="clear" w:color="auto" w:fill="auto"/>
            <w:noWrap/>
            <w:vAlign w:val="center"/>
          </w:tcPr>
          <w:p w:rsidR="00AF31AB" w:rsidRPr="005C3E03" w:rsidRDefault="00AF31AB" w:rsidP="00CA3FEE">
            <w:pPr>
              <w:spacing w:before="0" w:after="0" w:line="240" w:lineRule="auto"/>
              <w:ind w:firstLine="0"/>
              <w:jc w:val="center"/>
              <w:rPr>
                <w:sz w:val="20"/>
              </w:rPr>
            </w:pPr>
            <w:r w:rsidRPr="005C3E03">
              <w:rPr>
                <w:sz w:val="20"/>
              </w:rPr>
              <w:t>39.78</w:t>
            </w:r>
          </w:p>
        </w:tc>
        <w:tc>
          <w:tcPr>
            <w:tcW w:w="986" w:type="dxa"/>
            <w:tcBorders>
              <w:top w:val="single" w:sz="4" w:space="0" w:color="auto"/>
            </w:tcBorders>
            <w:shd w:val="clear" w:color="auto" w:fill="auto"/>
            <w:noWrap/>
            <w:vAlign w:val="center"/>
          </w:tcPr>
          <w:p w:rsidR="00AF31AB" w:rsidRPr="005C3E03" w:rsidRDefault="00AF31AB" w:rsidP="00CA3FEE">
            <w:pPr>
              <w:spacing w:before="0" w:after="0" w:line="240" w:lineRule="auto"/>
              <w:ind w:firstLine="0"/>
              <w:jc w:val="center"/>
              <w:rPr>
                <w:b/>
                <w:bCs/>
                <w:sz w:val="20"/>
              </w:rPr>
            </w:pPr>
            <w:r w:rsidRPr="005C3E03">
              <w:rPr>
                <w:b/>
                <w:bCs/>
                <w:sz w:val="20"/>
              </w:rPr>
              <w:t>52.62</w:t>
            </w:r>
          </w:p>
        </w:tc>
        <w:tc>
          <w:tcPr>
            <w:tcW w:w="3550" w:type="dxa"/>
            <w:tcBorders>
              <w:top w:val="single" w:sz="4" w:space="0" w:color="auto"/>
            </w:tcBorders>
            <w:shd w:val="clear" w:color="auto" w:fill="auto"/>
            <w:noWrap/>
            <w:vAlign w:val="center"/>
          </w:tcPr>
          <w:p w:rsidR="00AF31AB" w:rsidRPr="005C3E03" w:rsidRDefault="00AF31AB" w:rsidP="00CA3FEE">
            <w:pPr>
              <w:spacing w:before="0" w:after="0" w:line="240" w:lineRule="auto"/>
              <w:ind w:firstLine="0"/>
              <w:jc w:val="center"/>
              <w:rPr>
                <w:sz w:val="20"/>
              </w:rPr>
            </w:pPr>
            <w:r w:rsidRPr="005C3E03">
              <w:rPr>
                <w:sz w:val="20"/>
              </w:rPr>
              <w:t>6.86</w:t>
            </w:r>
          </w:p>
        </w:tc>
        <w:tc>
          <w:tcPr>
            <w:tcW w:w="1275" w:type="dxa"/>
            <w:tcBorders>
              <w:top w:val="single" w:sz="4" w:space="0" w:color="auto"/>
            </w:tcBorders>
            <w:shd w:val="clear" w:color="auto" w:fill="auto"/>
            <w:noWrap/>
            <w:vAlign w:val="center"/>
          </w:tcPr>
          <w:p w:rsidR="00AF31AB" w:rsidRPr="005C3E03" w:rsidRDefault="00AF31AB" w:rsidP="00CA3FEE">
            <w:pPr>
              <w:spacing w:before="0" w:after="0" w:line="240" w:lineRule="auto"/>
              <w:ind w:firstLine="0"/>
              <w:jc w:val="center"/>
              <w:rPr>
                <w:sz w:val="20"/>
              </w:rPr>
            </w:pPr>
            <w:r w:rsidRPr="005C3E03">
              <w:rPr>
                <w:sz w:val="20"/>
              </w:rPr>
              <w:t>0.73</w:t>
            </w:r>
          </w:p>
        </w:tc>
      </w:tr>
      <w:tr w:rsidR="00AF31AB" w:rsidRPr="005C3E03" w:rsidTr="00BD3CD8">
        <w:trPr>
          <w:trHeight w:val="20"/>
          <w:jc w:val="center"/>
        </w:trPr>
        <w:tc>
          <w:tcPr>
            <w:tcW w:w="1985" w:type="dxa"/>
            <w:shd w:val="clear" w:color="auto" w:fill="auto"/>
            <w:noWrap/>
            <w:vAlign w:val="center"/>
            <w:hideMark/>
          </w:tcPr>
          <w:p w:rsidR="00AF31AB" w:rsidRPr="005C3E03" w:rsidRDefault="00AF31AB" w:rsidP="00CA3FEE">
            <w:pPr>
              <w:spacing w:before="0" w:after="0" w:line="240" w:lineRule="auto"/>
              <w:ind w:firstLine="133"/>
              <w:jc w:val="left"/>
              <w:rPr>
                <w:sz w:val="20"/>
                <w:lang w:eastAsia="vi-VN"/>
              </w:rPr>
            </w:pPr>
            <w:r w:rsidRPr="005C3E03">
              <w:rPr>
                <w:sz w:val="20"/>
                <w:lang w:eastAsia="vi-VN"/>
              </w:rPr>
              <w:t>Go shopping</w:t>
            </w:r>
          </w:p>
        </w:tc>
        <w:tc>
          <w:tcPr>
            <w:tcW w:w="998" w:type="dxa"/>
            <w:shd w:val="clear" w:color="auto" w:fill="auto"/>
            <w:noWrap/>
            <w:vAlign w:val="center"/>
            <w:hideMark/>
          </w:tcPr>
          <w:p w:rsidR="00AF31AB" w:rsidRPr="005C3E03" w:rsidRDefault="00AF31AB" w:rsidP="00CA3FEE">
            <w:pPr>
              <w:spacing w:before="0" w:after="0" w:line="240" w:lineRule="auto"/>
              <w:ind w:firstLine="0"/>
              <w:jc w:val="center"/>
              <w:rPr>
                <w:b/>
                <w:bCs/>
                <w:sz w:val="20"/>
              </w:rPr>
            </w:pPr>
            <w:r w:rsidRPr="005C3E03">
              <w:rPr>
                <w:b/>
                <w:bCs/>
                <w:sz w:val="20"/>
              </w:rPr>
              <w:t>62.78</w:t>
            </w:r>
          </w:p>
        </w:tc>
        <w:tc>
          <w:tcPr>
            <w:tcW w:w="986" w:type="dxa"/>
            <w:shd w:val="clear" w:color="auto" w:fill="auto"/>
            <w:noWrap/>
            <w:vAlign w:val="center"/>
            <w:hideMark/>
          </w:tcPr>
          <w:p w:rsidR="00AF31AB" w:rsidRPr="005C3E03" w:rsidRDefault="00AF31AB" w:rsidP="00CA3FEE">
            <w:pPr>
              <w:spacing w:before="0" w:after="0" w:line="240" w:lineRule="auto"/>
              <w:ind w:firstLine="0"/>
              <w:jc w:val="center"/>
              <w:rPr>
                <w:sz w:val="20"/>
              </w:rPr>
            </w:pPr>
            <w:r w:rsidRPr="005C3E03">
              <w:rPr>
                <w:sz w:val="20"/>
              </w:rPr>
              <w:t>28.74</w:t>
            </w:r>
          </w:p>
        </w:tc>
        <w:tc>
          <w:tcPr>
            <w:tcW w:w="3550" w:type="dxa"/>
            <w:shd w:val="clear" w:color="auto" w:fill="auto"/>
            <w:noWrap/>
            <w:vAlign w:val="center"/>
            <w:hideMark/>
          </w:tcPr>
          <w:p w:rsidR="00AF31AB" w:rsidRPr="005C3E03" w:rsidRDefault="00AF31AB" w:rsidP="00CA3FEE">
            <w:pPr>
              <w:spacing w:before="0" w:after="0" w:line="240" w:lineRule="auto"/>
              <w:ind w:firstLine="0"/>
              <w:jc w:val="center"/>
              <w:rPr>
                <w:sz w:val="20"/>
              </w:rPr>
            </w:pPr>
            <w:r w:rsidRPr="005C3E03">
              <w:rPr>
                <w:sz w:val="20"/>
              </w:rPr>
              <w:t>7.53</w:t>
            </w:r>
          </w:p>
        </w:tc>
        <w:tc>
          <w:tcPr>
            <w:tcW w:w="1275" w:type="dxa"/>
            <w:shd w:val="clear" w:color="auto" w:fill="auto"/>
            <w:noWrap/>
            <w:vAlign w:val="center"/>
            <w:hideMark/>
          </w:tcPr>
          <w:p w:rsidR="00AF31AB" w:rsidRPr="005C3E03" w:rsidRDefault="00AF31AB" w:rsidP="00CA3FEE">
            <w:pPr>
              <w:spacing w:before="0" w:after="0" w:line="240" w:lineRule="auto"/>
              <w:ind w:firstLine="0"/>
              <w:jc w:val="center"/>
              <w:rPr>
                <w:sz w:val="20"/>
              </w:rPr>
            </w:pPr>
            <w:r w:rsidRPr="005C3E03">
              <w:rPr>
                <w:sz w:val="20"/>
              </w:rPr>
              <w:t>0.95</w:t>
            </w:r>
          </w:p>
        </w:tc>
      </w:tr>
      <w:tr w:rsidR="00AF31AB" w:rsidRPr="005C3E03" w:rsidTr="00BD3CD8">
        <w:trPr>
          <w:trHeight w:val="20"/>
          <w:jc w:val="center"/>
        </w:trPr>
        <w:tc>
          <w:tcPr>
            <w:tcW w:w="1985" w:type="dxa"/>
            <w:shd w:val="clear" w:color="auto" w:fill="auto"/>
            <w:noWrap/>
            <w:vAlign w:val="center"/>
            <w:hideMark/>
          </w:tcPr>
          <w:p w:rsidR="00AF31AB" w:rsidRPr="005C3E03" w:rsidRDefault="00AF31AB" w:rsidP="00CA3FEE">
            <w:pPr>
              <w:spacing w:before="0" w:after="0" w:line="240" w:lineRule="auto"/>
              <w:ind w:firstLine="133"/>
              <w:jc w:val="left"/>
              <w:rPr>
                <w:sz w:val="20"/>
                <w:lang w:eastAsia="vi-VN"/>
              </w:rPr>
            </w:pPr>
            <w:r w:rsidRPr="005C3E03">
              <w:rPr>
                <w:sz w:val="20"/>
                <w:lang w:eastAsia="vi-VN"/>
              </w:rPr>
              <w:t>Hanging out</w:t>
            </w:r>
          </w:p>
        </w:tc>
        <w:tc>
          <w:tcPr>
            <w:tcW w:w="998" w:type="dxa"/>
            <w:shd w:val="clear" w:color="auto" w:fill="auto"/>
            <w:noWrap/>
            <w:vAlign w:val="center"/>
            <w:hideMark/>
          </w:tcPr>
          <w:p w:rsidR="00AF31AB" w:rsidRPr="005C3E03" w:rsidRDefault="00AF31AB" w:rsidP="00CA3FEE">
            <w:pPr>
              <w:spacing w:before="0" w:after="0" w:line="240" w:lineRule="auto"/>
              <w:ind w:firstLine="0"/>
              <w:jc w:val="center"/>
              <w:rPr>
                <w:b/>
                <w:bCs/>
                <w:sz w:val="20"/>
              </w:rPr>
            </w:pPr>
            <w:r w:rsidRPr="005C3E03">
              <w:rPr>
                <w:b/>
                <w:bCs/>
                <w:sz w:val="20"/>
              </w:rPr>
              <w:t>71.86</w:t>
            </w:r>
          </w:p>
        </w:tc>
        <w:tc>
          <w:tcPr>
            <w:tcW w:w="986" w:type="dxa"/>
            <w:shd w:val="clear" w:color="auto" w:fill="auto"/>
            <w:noWrap/>
            <w:vAlign w:val="center"/>
            <w:hideMark/>
          </w:tcPr>
          <w:p w:rsidR="00AF31AB" w:rsidRPr="005C3E03" w:rsidRDefault="00AF31AB" w:rsidP="00CA3FEE">
            <w:pPr>
              <w:spacing w:before="0" w:after="0" w:line="240" w:lineRule="auto"/>
              <w:ind w:firstLine="0"/>
              <w:jc w:val="center"/>
              <w:rPr>
                <w:sz w:val="20"/>
              </w:rPr>
            </w:pPr>
            <w:r w:rsidRPr="005C3E03">
              <w:rPr>
                <w:sz w:val="20"/>
              </w:rPr>
              <w:t>24.85</w:t>
            </w:r>
          </w:p>
        </w:tc>
        <w:tc>
          <w:tcPr>
            <w:tcW w:w="3550" w:type="dxa"/>
            <w:shd w:val="clear" w:color="auto" w:fill="auto"/>
            <w:noWrap/>
            <w:vAlign w:val="center"/>
            <w:hideMark/>
          </w:tcPr>
          <w:p w:rsidR="00AF31AB" w:rsidRPr="005C3E03" w:rsidRDefault="00AF31AB" w:rsidP="00CA3FEE">
            <w:pPr>
              <w:spacing w:before="0" w:after="0" w:line="240" w:lineRule="auto"/>
              <w:ind w:firstLine="0"/>
              <w:jc w:val="center"/>
              <w:rPr>
                <w:sz w:val="20"/>
              </w:rPr>
            </w:pPr>
            <w:r w:rsidRPr="005C3E03">
              <w:rPr>
                <w:sz w:val="20"/>
              </w:rPr>
              <w:t>2.73</w:t>
            </w:r>
          </w:p>
        </w:tc>
        <w:tc>
          <w:tcPr>
            <w:tcW w:w="1275" w:type="dxa"/>
            <w:shd w:val="clear" w:color="auto" w:fill="auto"/>
            <w:noWrap/>
            <w:vAlign w:val="center"/>
            <w:hideMark/>
          </w:tcPr>
          <w:p w:rsidR="00AF31AB" w:rsidRPr="005C3E03" w:rsidRDefault="00AF31AB" w:rsidP="00CA3FEE">
            <w:pPr>
              <w:spacing w:before="0" w:after="0" w:line="240" w:lineRule="auto"/>
              <w:ind w:firstLine="0"/>
              <w:jc w:val="center"/>
              <w:rPr>
                <w:sz w:val="20"/>
              </w:rPr>
            </w:pPr>
            <w:r w:rsidRPr="005C3E03">
              <w:rPr>
                <w:sz w:val="20"/>
              </w:rPr>
              <w:t>0.56</w:t>
            </w:r>
          </w:p>
        </w:tc>
      </w:tr>
      <w:tr w:rsidR="00AF31AB" w:rsidRPr="005C3E03" w:rsidTr="00BD3CD8">
        <w:trPr>
          <w:trHeight w:val="20"/>
          <w:jc w:val="center"/>
        </w:trPr>
        <w:tc>
          <w:tcPr>
            <w:tcW w:w="1985" w:type="dxa"/>
            <w:shd w:val="clear" w:color="auto" w:fill="auto"/>
            <w:noWrap/>
            <w:vAlign w:val="center"/>
            <w:hideMark/>
          </w:tcPr>
          <w:p w:rsidR="00AF31AB" w:rsidRPr="005C3E03" w:rsidRDefault="00AF31AB" w:rsidP="00CA3FEE">
            <w:pPr>
              <w:spacing w:before="0" w:after="0" w:line="240" w:lineRule="auto"/>
              <w:ind w:firstLine="133"/>
              <w:jc w:val="left"/>
              <w:rPr>
                <w:sz w:val="20"/>
                <w:lang w:eastAsia="vi-VN"/>
              </w:rPr>
            </w:pPr>
            <w:r w:rsidRPr="005C3E03">
              <w:rPr>
                <w:sz w:val="20"/>
              </w:rPr>
              <w:t xml:space="preserve">Travelling </w:t>
            </w:r>
            <w:r w:rsidR="003A48C2" w:rsidRPr="005C3E03">
              <w:rPr>
                <w:sz w:val="20"/>
              </w:rPr>
              <w:t xml:space="preserve">type </w:t>
            </w:r>
            <w:r w:rsidRPr="005C3E03">
              <w:rPr>
                <w:sz w:val="20"/>
              </w:rPr>
              <w:t>1</w:t>
            </w:r>
          </w:p>
        </w:tc>
        <w:tc>
          <w:tcPr>
            <w:tcW w:w="998" w:type="dxa"/>
            <w:shd w:val="clear" w:color="auto" w:fill="auto"/>
            <w:noWrap/>
            <w:vAlign w:val="center"/>
            <w:hideMark/>
          </w:tcPr>
          <w:p w:rsidR="00AF31AB" w:rsidRPr="005C3E03" w:rsidRDefault="00AF31AB" w:rsidP="00CA3FEE">
            <w:pPr>
              <w:spacing w:before="0" w:after="0" w:line="240" w:lineRule="auto"/>
              <w:ind w:firstLine="0"/>
              <w:jc w:val="center"/>
              <w:rPr>
                <w:b/>
                <w:bCs/>
                <w:sz w:val="20"/>
              </w:rPr>
            </w:pPr>
            <w:r w:rsidRPr="005C3E03">
              <w:rPr>
                <w:b/>
                <w:bCs/>
                <w:sz w:val="20"/>
              </w:rPr>
              <w:t>78.25</w:t>
            </w:r>
          </w:p>
        </w:tc>
        <w:tc>
          <w:tcPr>
            <w:tcW w:w="986" w:type="dxa"/>
            <w:shd w:val="clear" w:color="auto" w:fill="auto"/>
            <w:noWrap/>
            <w:vAlign w:val="center"/>
            <w:hideMark/>
          </w:tcPr>
          <w:p w:rsidR="00AF31AB" w:rsidRPr="005C3E03" w:rsidRDefault="00AF31AB" w:rsidP="00CA3FEE">
            <w:pPr>
              <w:spacing w:before="0" w:after="0" w:line="240" w:lineRule="auto"/>
              <w:ind w:firstLine="0"/>
              <w:jc w:val="center"/>
              <w:rPr>
                <w:sz w:val="20"/>
              </w:rPr>
            </w:pPr>
            <w:r w:rsidRPr="005C3E03">
              <w:rPr>
                <w:sz w:val="20"/>
              </w:rPr>
              <w:t>20.78</w:t>
            </w:r>
          </w:p>
        </w:tc>
        <w:tc>
          <w:tcPr>
            <w:tcW w:w="3550" w:type="dxa"/>
            <w:shd w:val="clear" w:color="auto" w:fill="auto"/>
            <w:noWrap/>
            <w:vAlign w:val="center"/>
            <w:hideMark/>
          </w:tcPr>
          <w:p w:rsidR="00AF31AB" w:rsidRPr="005C3E03" w:rsidRDefault="00AF31AB" w:rsidP="00CA3FEE">
            <w:pPr>
              <w:spacing w:before="0" w:after="0" w:line="240" w:lineRule="auto"/>
              <w:ind w:firstLine="0"/>
              <w:jc w:val="center"/>
              <w:rPr>
                <w:sz w:val="20"/>
              </w:rPr>
            </w:pPr>
            <w:r w:rsidRPr="005C3E03">
              <w:rPr>
                <w:sz w:val="20"/>
              </w:rPr>
              <w:t>0.80</w:t>
            </w:r>
          </w:p>
        </w:tc>
        <w:tc>
          <w:tcPr>
            <w:tcW w:w="1275" w:type="dxa"/>
            <w:shd w:val="clear" w:color="auto" w:fill="auto"/>
            <w:noWrap/>
            <w:vAlign w:val="center"/>
            <w:hideMark/>
          </w:tcPr>
          <w:p w:rsidR="00AF31AB" w:rsidRPr="005C3E03" w:rsidRDefault="00AF31AB" w:rsidP="00CA3FEE">
            <w:pPr>
              <w:spacing w:before="0" w:after="0" w:line="240" w:lineRule="auto"/>
              <w:ind w:firstLine="0"/>
              <w:jc w:val="center"/>
              <w:rPr>
                <w:sz w:val="20"/>
              </w:rPr>
            </w:pPr>
            <w:r w:rsidRPr="005C3E03">
              <w:rPr>
                <w:sz w:val="20"/>
              </w:rPr>
              <w:t>0.17</w:t>
            </w:r>
          </w:p>
        </w:tc>
      </w:tr>
      <w:tr w:rsidR="00AF31AB" w:rsidRPr="005C3E03" w:rsidTr="00BD3CD8">
        <w:trPr>
          <w:trHeight w:val="20"/>
          <w:jc w:val="center"/>
        </w:trPr>
        <w:tc>
          <w:tcPr>
            <w:tcW w:w="1985" w:type="dxa"/>
            <w:tcBorders>
              <w:bottom w:val="single" w:sz="4" w:space="0" w:color="auto"/>
            </w:tcBorders>
            <w:shd w:val="clear" w:color="auto" w:fill="auto"/>
            <w:noWrap/>
            <w:vAlign w:val="center"/>
            <w:hideMark/>
          </w:tcPr>
          <w:p w:rsidR="00AF31AB" w:rsidRPr="005C3E03" w:rsidRDefault="00AF31AB" w:rsidP="00CA3FEE">
            <w:pPr>
              <w:spacing w:before="0" w:after="0" w:line="240" w:lineRule="auto"/>
              <w:ind w:firstLine="133"/>
              <w:jc w:val="left"/>
              <w:rPr>
                <w:sz w:val="20"/>
                <w:lang w:eastAsia="vi-VN"/>
              </w:rPr>
            </w:pPr>
            <w:r w:rsidRPr="005C3E03">
              <w:rPr>
                <w:sz w:val="20"/>
              </w:rPr>
              <w:t xml:space="preserve">Travelling </w:t>
            </w:r>
            <w:r w:rsidR="003A48C2" w:rsidRPr="005C3E03">
              <w:rPr>
                <w:sz w:val="20"/>
              </w:rPr>
              <w:t xml:space="preserve">type </w:t>
            </w:r>
            <w:r w:rsidRPr="005C3E03">
              <w:rPr>
                <w:sz w:val="20"/>
              </w:rPr>
              <w:t>2</w:t>
            </w:r>
          </w:p>
        </w:tc>
        <w:tc>
          <w:tcPr>
            <w:tcW w:w="998" w:type="dxa"/>
            <w:tcBorders>
              <w:bottom w:val="single" w:sz="4" w:space="0" w:color="auto"/>
            </w:tcBorders>
            <w:shd w:val="clear" w:color="auto" w:fill="auto"/>
            <w:noWrap/>
            <w:vAlign w:val="center"/>
            <w:hideMark/>
          </w:tcPr>
          <w:p w:rsidR="00AF31AB" w:rsidRPr="005C3E03" w:rsidRDefault="00AF31AB" w:rsidP="00CA3FEE">
            <w:pPr>
              <w:spacing w:before="0" w:after="0" w:line="240" w:lineRule="auto"/>
              <w:ind w:firstLine="0"/>
              <w:jc w:val="center"/>
              <w:rPr>
                <w:b/>
                <w:bCs/>
                <w:sz w:val="20"/>
              </w:rPr>
            </w:pPr>
            <w:r w:rsidRPr="005C3E03">
              <w:rPr>
                <w:b/>
                <w:bCs/>
                <w:sz w:val="20"/>
              </w:rPr>
              <w:t>81.52</w:t>
            </w:r>
          </w:p>
        </w:tc>
        <w:tc>
          <w:tcPr>
            <w:tcW w:w="986" w:type="dxa"/>
            <w:tcBorders>
              <w:bottom w:val="single" w:sz="4" w:space="0" w:color="auto"/>
            </w:tcBorders>
            <w:shd w:val="clear" w:color="auto" w:fill="auto"/>
            <w:noWrap/>
            <w:vAlign w:val="center"/>
            <w:hideMark/>
          </w:tcPr>
          <w:p w:rsidR="00AF31AB" w:rsidRPr="005C3E03" w:rsidRDefault="00AF31AB" w:rsidP="00CA3FEE">
            <w:pPr>
              <w:spacing w:before="0" w:after="0" w:line="240" w:lineRule="auto"/>
              <w:ind w:firstLine="0"/>
              <w:jc w:val="center"/>
              <w:rPr>
                <w:sz w:val="20"/>
              </w:rPr>
            </w:pPr>
            <w:r w:rsidRPr="005C3E03">
              <w:rPr>
                <w:sz w:val="20"/>
              </w:rPr>
              <w:t>17.56</w:t>
            </w:r>
          </w:p>
        </w:tc>
        <w:tc>
          <w:tcPr>
            <w:tcW w:w="3550" w:type="dxa"/>
            <w:tcBorders>
              <w:bottom w:val="single" w:sz="4" w:space="0" w:color="auto"/>
            </w:tcBorders>
            <w:shd w:val="clear" w:color="auto" w:fill="auto"/>
            <w:noWrap/>
            <w:vAlign w:val="center"/>
            <w:hideMark/>
          </w:tcPr>
          <w:p w:rsidR="00AF31AB" w:rsidRPr="005C3E03" w:rsidRDefault="00AF31AB" w:rsidP="00CA3FEE">
            <w:pPr>
              <w:spacing w:before="0" w:after="0" w:line="240" w:lineRule="auto"/>
              <w:ind w:firstLine="0"/>
              <w:jc w:val="center"/>
              <w:rPr>
                <w:sz w:val="20"/>
              </w:rPr>
            </w:pPr>
            <w:r w:rsidRPr="005C3E03">
              <w:rPr>
                <w:sz w:val="20"/>
              </w:rPr>
              <w:t>0.73</w:t>
            </w:r>
          </w:p>
        </w:tc>
        <w:tc>
          <w:tcPr>
            <w:tcW w:w="1275" w:type="dxa"/>
            <w:tcBorders>
              <w:bottom w:val="single" w:sz="4" w:space="0" w:color="auto"/>
            </w:tcBorders>
            <w:shd w:val="clear" w:color="auto" w:fill="auto"/>
            <w:noWrap/>
            <w:vAlign w:val="center"/>
            <w:hideMark/>
          </w:tcPr>
          <w:p w:rsidR="00AF31AB" w:rsidRPr="005C3E03" w:rsidRDefault="00AF31AB" w:rsidP="00CA3FEE">
            <w:pPr>
              <w:spacing w:before="0" w:after="0" w:line="240" w:lineRule="auto"/>
              <w:ind w:firstLine="0"/>
              <w:jc w:val="center"/>
              <w:rPr>
                <w:sz w:val="20"/>
              </w:rPr>
            </w:pPr>
            <w:r w:rsidRPr="005C3E03">
              <w:rPr>
                <w:sz w:val="20"/>
              </w:rPr>
              <w:t>0.19</w:t>
            </w:r>
          </w:p>
        </w:tc>
      </w:tr>
    </w:tbl>
    <w:p w:rsidR="008359CC" w:rsidRPr="005C3E03" w:rsidRDefault="008359CC" w:rsidP="008359CC">
      <w:r w:rsidRPr="005C3E03">
        <w:tab/>
        <w:t xml:space="preserve">The results of the paired-samples t-tests revealed that Vietnamese youth's trust level in the </w:t>
      </w:r>
      <w:r w:rsidR="006455E7">
        <w:t>g</w:t>
      </w:r>
      <w:r w:rsidRPr="005C3E03">
        <w:t>overnment's management when t</w:t>
      </w:r>
      <w:r w:rsidR="00824C65">
        <w:t xml:space="preserve">he COVID-19 pandemic occurring </w:t>
      </w:r>
      <w:r w:rsidRPr="005C3E03">
        <w:t>was si</w:t>
      </w:r>
      <w:r w:rsidR="00B008A4" w:rsidRPr="005C3E03">
        <w:t>gnificantly higher than the</w:t>
      </w:r>
      <w:r w:rsidRPr="005C3E03">
        <w:t xml:space="preserve"> period</w:t>
      </w:r>
      <w:r w:rsidR="00B008A4" w:rsidRPr="005C3E03">
        <w:t xml:space="preserve"> before the pandemic outbreak</w:t>
      </w:r>
      <w:r w:rsidRPr="005C3E03">
        <w:t xml:space="preserve"> (</w:t>
      </w:r>
      <w:r w:rsidR="00824C65" w:rsidRPr="005C3E03">
        <w:t>4.64±.689</w:t>
      </w:r>
      <w:r w:rsidR="00824C65">
        <w:t xml:space="preserve"> and </w:t>
      </w:r>
      <w:r w:rsidRPr="005C3E03">
        <w:t>4.38±.784</w:t>
      </w:r>
      <w:r w:rsidR="00824C65">
        <w:t>, respectively</w:t>
      </w:r>
      <w:r w:rsidRPr="005C3E03">
        <w:t>) with t(4,647)=33.</w:t>
      </w:r>
      <w:r w:rsidR="00CA3FEE" w:rsidRPr="005C3E03">
        <w:t>52</w:t>
      </w:r>
      <w:r w:rsidRPr="005C3E03">
        <w:t>, p&lt;.05. Although the trust level did not improve subst</w:t>
      </w:r>
      <w:r w:rsidR="00824C65">
        <w:t>antially, it indicated that the</w:t>
      </w:r>
      <w:r w:rsidRPr="005C3E03">
        <w:t xml:space="preserve"> </w:t>
      </w:r>
      <w:r w:rsidR="006455E7">
        <w:t>g</w:t>
      </w:r>
      <w:r w:rsidRPr="005C3E03">
        <w:t>overnment's management in the prevention process against COVID-19 was evaluated more positively (</w:t>
      </w:r>
      <w:r w:rsidRPr="005C3E03">
        <w:fldChar w:fldCharType="begin"/>
      </w:r>
      <w:r w:rsidRPr="005C3E03">
        <w:instrText xml:space="preserve"> REF _Ref71811693 \h  \* MERGEFORMAT </w:instrText>
      </w:r>
      <w:r w:rsidRPr="005C3E03">
        <w:fldChar w:fldCharType="separate"/>
      </w:r>
      <w:r w:rsidRPr="005C3E03">
        <w:t xml:space="preserve">Table </w:t>
      </w:r>
      <w:r w:rsidRPr="005C3E03">
        <w:rPr>
          <w:noProof/>
        </w:rPr>
        <w:t>2</w:t>
      </w:r>
      <w:r w:rsidRPr="005C3E03">
        <w:fldChar w:fldCharType="end"/>
      </w:r>
      <w:r w:rsidRPr="005C3E03">
        <w:t>).</w:t>
      </w:r>
    </w:p>
    <w:p w:rsidR="00CA3FEE" w:rsidRPr="005C3E03" w:rsidRDefault="008359CC" w:rsidP="00CA3FEE">
      <w:pPr>
        <w:pStyle w:val="ChthchBngbiu-Hnhv"/>
      </w:pPr>
      <w:bookmarkStart w:id="1" w:name="_Ref71811693"/>
      <w:r w:rsidRPr="005C3E03">
        <w:t xml:space="preserve">Table </w:t>
      </w:r>
      <w:r w:rsidRPr="005C3E03">
        <w:fldChar w:fldCharType="begin"/>
      </w:r>
      <w:r w:rsidRPr="005C3E03">
        <w:instrText xml:space="preserve"> SEQ Table \* ARABIC </w:instrText>
      </w:r>
      <w:r w:rsidRPr="005C3E03">
        <w:fldChar w:fldCharType="separate"/>
      </w:r>
      <w:r w:rsidR="00DD2133">
        <w:rPr>
          <w:noProof/>
        </w:rPr>
        <w:t>2</w:t>
      </w:r>
      <w:r w:rsidRPr="005C3E03">
        <w:fldChar w:fldCharType="end"/>
      </w:r>
      <w:bookmarkEnd w:id="1"/>
      <w:r w:rsidRPr="005C3E03">
        <w:t xml:space="preserve">. Difference between trust levels in the </w:t>
      </w:r>
      <w:r w:rsidR="006455E7">
        <w:t>g</w:t>
      </w:r>
      <w:r w:rsidRPr="005C3E03">
        <w:t>overnment's management</w:t>
      </w:r>
      <w:r w:rsidR="00CA3FEE" w:rsidRPr="005C3E03">
        <w:t xml:space="preserve"> </w:t>
      </w:r>
      <w:r w:rsidRPr="005C3E03">
        <w:t xml:space="preserve">before and during </w:t>
      </w:r>
    </w:p>
    <w:p w:rsidR="008359CC" w:rsidRPr="005C3E03" w:rsidRDefault="008359CC" w:rsidP="00CA3FEE">
      <w:pPr>
        <w:pStyle w:val="ChthchBngbiu-Hnhv"/>
      </w:pPr>
      <w:r w:rsidRPr="005C3E03">
        <w:t>the COVID-19 period</w:t>
      </w:r>
      <w:r w:rsidR="00CA3FEE" w:rsidRPr="005C3E03">
        <w:t>.</w:t>
      </w:r>
    </w:p>
    <w:tbl>
      <w:tblPr>
        <w:tblW w:w="5000" w:type="pct"/>
        <w:tblLayout w:type="fixed"/>
        <w:tblLook w:val="04A0" w:firstRow="1" w:lastRow="0" w:firstColumn="1" w:lastColumn="0" w:noHBand="0" w:noVBand="1"/>
      </w:tblPr>
      <w:tblGrid>
        <w:gridCol w:w="2127"/>
        <w:gridCol w:w="1417"/>
        <w:gridCol w:w="854"/>
        <w:gridCol w:w="995"/>
        <w:gridCol w:w="993"/>
        <w:gridCol w:w="947"/>
        <w:gridCol w:w="891"/>
        <w:gridCol w:w="769"/>
        <w:gridCol w:w="646"/>
      </w:tblGrid>
      <w:tr w:rsidR="008359CC" w:rsidRPr="005C3E03" w:rsidTr="00CA3FEE">
        <w:trPr>
          <w:trHeight w:val="20"/>
        </w:trPr>
        <w:tc>
          <w:tcPr>
            <w:tcW w:w="1103" w:type="pct"/>
            <w:vMerge w:val="restart"/>
            <w:tcBorders>
              <w:top w:val="single" w:sz="4" w:space="0" w:color="auto"/>
              <w:bottom w:val="single" w:sz="4" w:space="0" w:color="auto"/>
            </w:tcBorders>
            <w:shd w:val="clear" w:color="auto" w:fill="auto"/>
            <w:vAlign w:val="center"/>
            <w:hideMark/>
          </w:tcPr>
          <w:p w:rsidR="008359CC" w:rsidRPr="005C3E03" w:rsidRDefault="008359CC" w:rsidP="00CA3FEE">
            <w:pPr>
              <w:spacing w:before="0" w:after="0" w:line="240" w:lineRule="auto"/>
              <w:ind w:firstLine="0"/>
              <w:jc w:val="center"/>
              <w:rPr>
                <w:b/>
                <w:sz w:val="20"/>
                <w:lang w:eastAsia="vi-VN"/>
              </w:rPr>
            </w:pPr>
            <w:r w:rsidRPr="005C3E03">
              <w:rPr>
                <w:b/>
                <w:sz w:val="20"/>
                <w:lang w:eastAsia="vi-VN"/>
              </w:rPr>
              <w:t>Difference between trust levels</w:t>
            </w:r>
          </w:p>
        </w:tc>
        <w:tc>
          <w:tcPr>
            <w:tcW w:w="735" w:type="pct"/>
            <w:vMerge w:val="restart"/>
            <w:tcBorders>
              <w:top w:val="single" w:sz="4" w:space="0" w:color="auto"/>
              <w:bottom w:val="single" w:sz="4" w:space="0" w:color="auto"/>
            </w:tcBorders>
            <w:shd w:val="clear" w:color="auto" w:fill="auto"/>
            <w:vAlign w:val="center"/>
            <w:hideMark/>
          </w:tcPr>
          <w:p w:rsidR="008359CC" w:rsidRPr="005C3E03" w:rsidRDefault="008359CC" w:rsidP="00CA3FEE">
            <w:pPr>
              <w:spacing w:before="0" w:after="0" w:line="240" w:lineRule="auto"/>
              <w:ind w:firstLine="0"/>
              <w:jc w:val="center"/>
              <w:rPr>
                <w:b/>
                <w:sz w:val="20"/>
                <w:lang w:eastAsia="vi-VN"/>
              </w:rPr>
            </w:pPr>
            <w:r w:rsidRPr="005C3E03">
              <w:rPr>
                <w:b/>
                <w:sz w:val="20"/>
                <w:lang w:eastAsia="vi-VN"/>
              </w:rPr>
              <w:t>Paired Differences Mean</w:t>
            </w:r>
          </w:p>
        </w:tc>
        <w:tc>
          <w:tcPr>
            <w:tcW w:w="443" w:type="pct"/>
            <w:vMerge w:val="restart"/>
            <w:tcBorders>
              <w:top w:val="single" w:sz="4" w:space="0" w:color="auto"/>
              <w:bottom w:val="single" w:sz="4" w:space="0" w:color="auto"/>
            </w:tcBorders>
            <w:shd w:val="clear" w:color="auto" w:fill="auto"/>
            <w:vAlign w:val="center"/>
            <w:hideMark/>
          </w:tcPr>
          <w:p w:rsidR="008359CC" w:rsidRPr="005C3E03" w:rsidRDefault="008359CC" w:rsidP="00CA3FEE">
            <w:pPr>
              <w:spacing w:before="0" w:after="0" w:line="240" w:lineRule="auto"/>
              <w:ind w:firstLine="0"/>
              <w:jc w:val="center"/>
              <w:rPr>
                <w:b/>
                <w:sz w:val="20"/>
                <w:lang w:eastAsia="vi-VN"/>
              </w:rPr>
            </w:pPr>
            <w:r w:rsidRPr="005C3E03">
              <w:rPr>
                <w:b/>
                <w:sz w:val="20"/>
                <w:lang w:eastAsia="vi-VN"/>
              </w:rPr>
              <w:t>S.D.</w:t>
            </w:r>
          </w:p>
        </w:tc>
        <w:tc>
          <w:tcPr>
            <w:tcW w:w="516" w:type="pct"/>
            <w:vMerge w:val="restart"/>
            <w:tcBorders>
              <w:top w:val="single" w:sz="4" w:space="0" w:color="auto"/>
              <w:bottom w:val="single" w:sz="4" w:space="0" w:color="auto"/>
            </w:tcBorders>
            <w:shd w:val="clear" w:color="auto" w:fill="auto"/>
            <w:vAlign w:val="center"/>
            <w:hideMark/>
          </w:tcPr>
          <w:p w:rsidR="008359CC" w:rsidRPr="005C3E03" w:rsidRDefault="008359CC" w:rsidP="00CA3FEE">
            <w:pPr>
              <w:spacing w:before="0" w:after="0" w:line="240" w:lineRule="auto"/>
              <w:ind w:firstLine="0"/>
              <w:jc w:val="center"/>
              <w:rPr>
                <w:b/>
                <w:sz w:val="20"/>
                <w:lang w:eastAsia="vi-VN"/>
              </w:rPr>
            </w:pPr>
            <w:r w:rsidRPr="005C3E03">
              <w:rPr>
                <w:b/>
                <w:sz w:val="20"/>
                <w:lang w:eastAsia="vi-VN"/>
              </w:rPr>
              <w:t>Std. Error Mean</w:t>
            </w:r>
          </w:p>
        </w:tc>
        <w:tc>
          <w:tcPr>
            <w:tcW w:w="1006" w:type="pct"/>
            <w:gridSpan w:val="2"/>
            <w:tcBorders>
              <w:top w:val="single" w:sz="4" w:space="0" w:color="auto"/>
              <w:bottom w:val="single" w:sz="4" w:space="0" w:color="auto"/>
            </w:tcBorders>
            <w:shd w:val="clear" w:color="auto" w:fill="auto"/>
            <w:noWrap/>
            <w:vAlign w:val="bottom"/>
            <w:hideMark/>
          </w:tcPr>
          <w:p w:rsidR="008359CC" w:rsidRPr="005C3E03" w:rsidRDefault="008359CC" w:rsidP="00CA3FEE">
            <w:pPr>
              <w:spacing w:before="0" w:after="0" w:line="240" w:lineRule="auto"/>
              <w:ind w:firstLine="0"/>
              <w:jc w:val="center"/>
              <w:rPr>
                <w:b/>
                <w:sz w:val="20"/>
                <w:lang w:eastAsia="vi-VN"/>
              </w:rPr>
            </w:pPr>
            <w:r w:rsidRPr="005C3E03">
              <w:rPr>
                <w:b/>
                <w:sz w:val="20"/>
                <w:lang w:eastAsia="vi-VN"/>
              </w:rPr>
              <w:t>95% C.I. of the Difference</w:t>
            </w:r>
          </w:p>
        </w:tc>
        <w:tc>
          <w:tcPr>
            <w:tcW w:w="462" w:type="pct"/>
            <w:vMerge w:val="restart"/>
            <w:tcBorders>
              <w:top w:val="single" w:sz="4" w:space="0" w:color="auto"/>
              <w:bottom w:val="single" w:sz="4" w:space="0" w:color="auto"/>
            </w:tcBorders>
            <w:shd w:val="clear" w:color="auto" w:fill="auto"/>
            <w:vAlign w:val="center"/>
            <w:hideMark/>
          </w:tcPr>
          <w:p w:rsidR="008359CC" w:rsidRPr="005C3E03" w:rsidRDefault="008359CC" w:rsidP="00CA3FEE">
            <w:pPr>
              <w:spacing w:before="0" w:after="0" w:line="240" w:lineRule="auto"/>
              <w:ind w:firstLine="0"/>
              <w:jc w:val="center"/>
              <w:rPr>
                <w:b/>
                <w:sz w:val="20"/>
                <w:lang w:eastAsia="vi-VN"/>
              </w:rPr>
            </w:pPr>
            <w:r w:rsidRPr="005C3E03">
              <w:rPr>
                <w:b/>
                <w:sz w:val="20"/>
                <w:lang w:eastAsia="vi-VN"/>
              </w:rPr>
              <w:t>t</w:t>
            </w:r>
          </w:p>
        </w:tc>
        <w:tc>
          <w:tcPr>
            <w:tcW w:w="399" w:type="pct"/>
            <w:vMerge w:val="restart"/>
            <w:tcBorders>
              <w:top w:val="single" w:sz="4" w:space="0" w:color="auto"/>
              <w:bottom w:val="single" w:sz="4" w:space="0" w:color="auto"/>
            </w:tcBorders>
            <w:shd w:val="clear" w:color="auto" w:fill="auto"/>
            <w:vAlign w:val="center"/>
            <w:hideMark/>
          </w:tcPr>
          <w:p w:rsidR="008359CC" w:rsidRPr="005C3E03" w:rsidRDefault="008359CC" w:rsidP="00CA3FEE">
            <w:pPr>
              <w:spacing w:before="0" w:after="0" w:line="240" w:lineRule="auto"/>
              <w:ind w:firstLine="0"/>
              <w:jc w:val="center"/>
              <w:rPr>
                <w:b/>
                <w:sz w:val="20"/>
                <w:lang w:eastAsia="vi-VN"/>
              </w:rPr>
            </w:pPr>
            <w:r w:rsidRPr="005C3E03">
              <w:rPr>
                <w:b/>
                <w:sz w:val="20"/>
                <w:lang w:eastAsia="vi-VN"/>
              </w:rPr>
              <w:t>df</w:t>
            </w:r>
          </w:p>
        </w:tc>
        <w:tc>
          <w:tcPr>
            <w:tcW w:w="335" w:type="pct"/>
            <w:vMerge w:val="restart"/>
            <w:tcBorders>
              <w:top w:val="single" w:sz="4" w:space="0" w:color="auto"/>
              <w:bottom w:val="single" w:sz="4" w:space="0" w:color="auto"/>
            </w:tcBorders>
            <w:shd w:val="clear" w:color="auto" w:fill="auto"/>
            <w:vAlign w:val="center"/>
            <w:hideMark/>
          </w:tcPr>
          <w:p w:rsidR="008359CC" w:rsidRPr="005C3E03" w:rsidRDefault="008359CC" w:rsidP="00AF31AB">
            <w:pPr>
              <w:spacing w:before="0" w:after="0" w:line="240" w:lineRule="auto"/>
              <w:ind w:firstLine="0"/>
              <w:jc w:val="center"/>
              <w:rPr>
                <w:b/>
                <w:sz w:val="20"/>
                <w:lang w:eastAsia="vi-VN"/>
              </w:rPr>
            </w:pPr>
            <w:r w:rsidRPr="005C3E03">
              <w:rPr>
                <w:b/>
                <w:sz w:val="20"/>
                <w:lang w:eastAsia="vi-VN"/>
              </w:rPr>
              <w:t>p</w:t>
            </w:r>
          </w:p>
        </w:tc>
      </w:tr>
      <w:tr w:rsidR="008359CC" w:rsidRPr="005C3E03" w:rsidTr="00CA3FEE">
        <w:trPr>
          <w:trHeight w:val="20"/>
        </w:trPr>
        <w:tc>
          <w:tcPr>
            <w:tcW w:w="1103" w:type="pct"/>
            <w:vMerge/>
            <w:tcBorders>
              <w:top w:val="single" w:sz="4" w:space="0" w:color="auto"/>
              <w:bottom w:val="single" w:sz="4" w:space="0" w:color="auto"/>
            </w:tcBorders>
            <w:vAlign w:val="center"/>
            <w:hideMark/>
          </w:tcPr>
          <w:p w:rsidR="008359CC" w:rsidRPr="005C3E03" w:rsidRDefault="008359CC" w:rsidP="00CA3FEE">
            <w:pPr>
              <w:spacing w:before="0" w:after="0" w:line="240" w:lineRule="auto"/>
              <w:rPr>
                <w:sz w:val="20"/>
                <w:lang w:eastAsia="vi-VN"/>
              </w:rPr>
            </w:pPr>
          </w:p>
        </w:tc>
        <w:tc>
          <w:tcPr>
            <w:tcW w:w="735" w:type="pct"/>
            <w:vMerge/>
            <w:tcBorders>
              <w:top w:val="single" w:sz="4" w:space="0" w:color="auto"/>
              <w:bottom w:val="single" w:sz="4" w:space="0" w:color="auto"/>
            </w:tcBorders>
            <w:vAlign w:val="center"/>
            <w:hideMark/>
          </w:tcPr>
          <w:p w:rsidR="008359CC" w:rsidRPr="005C3E03" w:rsidRDefault="008359CC" w:rsidP="00CA3FEE">
            <w:pPr>
              <w:spacing w:before="0" w:after="0" w:line="240" w:lineRule="auto"/>
              <w:rPr>
                <w:sz w:val="20"/>
                <w:lang w:eastAsia="vi-VN"/>
              </w:rPr>
            </w:pPr>
          </w:p>
        </w:tc>
        <w:tc>
          <w:tcPr>
            <w:tcW w:w="443" w:type="pct"/>
            <w:vMerge/>
            <w:tcBorders>
              <w:top w:val="single" w:sz="4" w:space="0" w:color="auto"/>
              <w:bottom w:val="single" w:sz="4" w:space="0" w:color="auto"/>
            </w:tcBorders>
            <w:vAlign w:val="center"/>
            <w:hideMark/>
          </w:tcPr>
          <w:p w:rsidR="008359CC" w:rsidRPr="005C3E03" w:rsidRDefault="008359CC" w:rsidP="00CA3FEE">
            <w:pPr>
              <w:spacing w:before="0" w:after="0" w:line="240" w:lineRule="auto"/>
              <w:rPr>
                <w:sz w:val="20"/>
                <w:lang w:eastAsia="vi-VN"/>
              </w:rPr>
            </w:pPr>
          </w:p>
        </w:tc>
        <w:tc>
          <w:tcPr>
            <w:tcW w:w="516" w:type="pct"/>
            <w:vMerge/>
            <w:tcBorders>
              <w:top w:val="single" w:sz="4" w:space="0" w:color="auto"/>
              <w:bottom w:val="single" w:sz="4" w:space="0" w:color="auto"/>
            </w:tcBorders>
            <w:vAlign w:val="center"/>
            <w:hideMark/>
          </w:tcPr>
          <w:p w:rsidR="008359CC" w:rsidRPr="005C3E03" w:rsidRDefault="008359CC" w:rsidP="00CA3FEE">
            <w:pPr>
              <w:spacing w:before="0" w:after="0" w:line="240" w:lineRule="auto"/>
              <w:rPr>
                <w:sz w:val="20"/>
                <w:lang w:eastAsia="vi-VN"/>
              </w:rPr>
            </w:pPr>
          </w:p>
        </w:tc>
        <w:tc>
          <w:tcPr>
            <w:tcW w:w="515" w:type="pct"/>
            <w:tcBorders>
              <w:top w:val="single" w:sz="4" w:space="0" w:color="auto"/>
              <w:bottom w:val="single" w:sz="4" w:space="0" w:color="auto"/>
            </w:tcBorders>
            <w:shd w:val="clear" w:color="auto" w:fill="auto"/>
            <w:vAlign w:val="center"/>
            <w:hideMark/>
          </w:tcPr>
          <w:p w:rsidR="008359CC" w:rsidRPr="005C3E03" w:rsidRDefault="008359CC" w:rsidP="00CA3FEE">
            <w:pPr>
              <w:spacing w:before="0" w:after="0" w:line="240" w:lineRule="auto"/>
              <w:ind w:firstLine="0"/>
              <w:rPr>
                <w:sz w:val="20"/>
                <w:lang w:eastAsia="vi-VN"/>
              </w:rPr>
            </w:pPr>
            <w:r w:rsidRPr="005C3E03">
              <w:rPr>
                <w:sz w:val="20"/>
                <w:lang w:eastAsia="vi-VN"/>
              </w:rPr>
              <w:t>Lower</w:t>
            </w:r>
          </w:p>
        </w:tc>
        <w:tc>
          <w:tcPr>
            <w:tcW w:w="491" w:type="pct"/>
            <w:tcBorders>
              <w:top w:val="single" w:sz="4" w:space="0" w:color="auto"/>
              <w:bottom w:val="single" w:sz="4" w:space="0" w:color="auto"/>
            </w:tcBorders>
            <w:shd w:val="clear" w:color="auto" w:fill="auto"/>
            <w:vAlign w:val="center"/>
            <w:hideMark/>
          </w:tcPr>
          <w:p w:rsidR="008359CC" w:rsidRPr="005C3E03" w:rsidRDefault="008359CC" w:rsidP="00CA3FEE">
            <w:pPr>
              <w:spacing w:before="0" w:after="0" w:line="240" w:lineRule="auto"/>
              <w:ind w:firstLine="0"/>
              <w:rPr>
                <w:sz w:val="20"/>
                <w:lang w:eastAsia="vi-VN"/>
              </w:rPr>
            </w:pPr>
            <w:r w:rsidRPr="005C3E03">
              <w:rPr>
                <w:sz w:val="20"/>
                <w:lang w:eastAsia="vi-VN"/>
              </w:rPr>
              <w:t>Upper</w:t>
            </w:r>
          </w:p>
        </w:tc>
        <w:tc>
          <w:tcPr>
            <w:tcW w:w="462" w:type="pct"/>
            <w:vMerge/>
            <w:tcBorders>
              <w:top w:val="single" w:sz="4" w:space="0" w:color="auto"/>
              <w:bottom w:val="single" w:sz="4" w:space="0" w:color="auto"/>
            </w:tcBorders>
            <w:vAlign w:val="center"/>
            <w:hideMark/>
          </w:tcPr>
          <w:p w:rsidR="008359CC" w:rsidRPr="005C3E03" w:rsidRDefault="008359CC" w:rsidP="00CA3FEE">
            <w:pPr>
              <w:spacing w:before="0" w:after="0" w:line="240" w:lineRule="auto"/>
              <w:rPr>
                <w:sz w:val="20"/>
                <w:lang w:eastAsia="vi-VN"/>
              </w:rPr>
            </w:pPr>
          </w:p>
        </w:tc>
        <w:tc>
          <w:tcPr>
            <w:tcW w:w="399" w:type="pct"/>
            <w:vMerge/>
            <w:tcBorders>
              <w:top w:val="single" w:sz="4" w:space="0" w:color="auto"/>
              <w:bottom w:val="single" w:sz="4" w:space="0" w:color="auto"/>
            </w:tcBorders>
            <w:vAlign w:val="center"/>
            <w:hideMark/>
          </w:tcPr>
          <w:p w:rsidR="008359CC" w:rsidRPr="005C3E03" w:rsidRDefault="008359CC" w:rsidP="00CA3FEE">
            <w:pPr>
              <w:spacing w:before="0" w:after="0" w:line="240" w:lineRule="auto"/>
              <w:rPr>
                <w:sz w:val="20"/>
                <w:lang w:eastAsia="vi-VN"/>
              </w:rPr>
            </w:pPr>
          </w:p>
        </w:tc>
        <w:tc>
          <w:tcPr>
            <w:tcW w:w="335" w:type="pct"/>
            <w:vMerge/>
            <w:tcBorders>
              <w:top w:val="single" w:sz="4" w:space="0" w:color="auto"/>
              <w:bottom w:val="single" w:sz="4" w:space="0" w:color="auto"/>
            </w:tcBorders>
            <w:vAlign w:val="center"/>
            <w:hideMark/>
          </w:tcPr>
          <w:p w:rsidR="008359CC" w:rsidRPr="005C3E03" w:rsidRDefault="008359CC" w:rsidP="00AF31AB">
            <w:pPr>
              <w:spacing w:before="0" w:after="0" w:line="240" w:lineRule="auto"/>
              <w:rPr>
                <w:sz w:val="20"/>
                <w:lang w:eastAsia="vi-VN"/>
              </w:rPr>
            </w:pPr>
          </w:p>
        </w:tc>
      </w:tr>
      <w:tr w:rsidR="008359CC" w:rsidRPr="005C3E03" w:rsidTr="00CA3FEE">
        <w:trPr>
          <w:trHeight w:val="20"/>
        </w:trPr>
        <w:tc>
          <w:tcPr>
            <w:tcW w:w="1103" w:type="pct"/>
            <w:tcBorders>
              <w:top w:val="single" w:sz="4" w:space="0" w:color="auto"/>
              <w:bottom w:val="single" w:sz="4" w:space="0" w:color="auto"/>
            </w:tcBorders>
            <w:shd w:val="clear" w:color="auto" w:fill="auto"/>
            <w:hideMark/>
          </w:tcPr>
          <w:p w:rsidR="008359CC" w:rsidRPr="005C3E03" w:rsidRDefault="008359CC" w:rsidP="00CA3FEE">
            <w:pPr>
              <w:spacing w:before="0" w:after="0" w:line="240" w:lineRule="auto"/>
              <w:ind w:firstLine="0"/>
              <w:rPr>
                <w:sz w:val="20"/>
                <w:lang w:eastAsia="vi-VN"/>
              </w:rPr>
            </w:pPr>
            <w:r w:rsidRPr="005C3E03">
              <w:rPr>
                <w:sz w:val="20"/>
                <w:lang w:eastAsia="vi-VN"/>
              </w:rPr>
              <w:t>During pandemic</w:t>
            </w:r>
          </w:p>
          <w:p w:rsidR="008359CC" w:rsidRPr="005C3E03" w:rsidRDefault="008359CC" w:rsidP="00CA3FEE">
            <w:pPr>
              <w:spacing w:before="0" w:after="0" w:line="240" w:lineRule="auto"/>
              <w:rPr>
                <w:sz w:val="20"/>
                <w:lang w:eastAsia="vi-VN"/>
              </w:rPr>
            </w:pPr>
            <w:r w:rsidRPr="005C3E03">
              <w:rPr>
                <w:sz w:val="20"/>
                <w:lang w:eastAsia="vi-VN"/>
              </w:rPr>
              <w:t xml:space="preserve">– </w:t>
            </w:r>
          </w:p>
          <w:p w:rsidR="008359CC" w:rsidRPr="005C3E03" w:rsidRDefault="008359CC" w:rsidP="00CA3FEE">
            <w:pPr>
              <w:spacing w:before="0" w:after="0" w:line="240" w:lineRule="auto"/>
              <w:ind w:firstLine="0"/>
              <w:rPr>
                <w:sz w:val="20"/>
                <w:lang w:eastAsia="vi-VN"/>
              </w:rPr>
            </w:pPr>
            <w:r w:rsidRPr="005C3E03">
              <w:rPr>
                <w:sz w:val="20"/>
                <w:lang w:eastAsia="vi-VN"/>
              </w:rPr>
              <w:t xml:space="preserve">Pre-pandemic </w:t>
            </w:r>
          </w:p>
        </w:tc>
        <w:tc>
          <w:tcPr>
            <w:tcW w:w="735" w:type="pct"/>
            <w:tcBorders>
              <w:top w:val="single" w:sz="4" w:space="0" w:color="auto"/>
              <w:bottom w:val="single" w:sz="4" w:space="0" w:color="auto"/>
            </w:tcBorders>
            <w:shd w:val="clear" w:color="auto" w:fill="auto"/>
            <w:noWrap/>
            <w:vAlign w:val="center"/>
            <w:hideMark/>
          </w:tcPr>
          <w:p w:rsidR="008359CC" w:rsidRPr="005C3E03" w:rsidRDefault="008359CC" w:rsidP="00CA3FEE">
            <w:pPr>
              <w:spacing w:before="0" w:after="0" w:line="240" w:lineRule="auto"/>
              <w:ind w:firstLine="0"/>
              <w:jc w:val="center"/>
              <w:rPr>
                <w:sz w:val="20"/>
                <w:lang w:eastAsia="vi-VN"/>
              </w:rPr>
            </w:pPr>
            <w:r w:rsidRPr="005C3E03">
              <w:rPr>
                <w:sz w:val="20"/>
                <w:lang w:eastAsia="vi-VN"/>
              </w:rPr>
              <w:t>.264</w:t>
            </w:r>
          </w:p>
        </w:tc>
        <w:tc>
          <w:tcPr>
            <w:tcW w:w="443" w:type="pct"/>
            <w:tcBorders>
              <w:top w:val="single" w:sz="4" w:space="0" w:color="auto"/>
              <w:bottom w:val="single" w:sz="4" w:space="0" w:color="auto"/>
            </w:tcBorders>
            <w:shd w:val="clear" w:color="auto" w:fill="auto"/>
            <w:noWrap/>
            <w:vAlign w:val="center"/>
            <w:hideMark/>
          </w:tcPr>
          <w:p w:rsidR="008359CC" w:rsidRPr="005C3E03" w:rsidRDefault="008359CC" w:rsidP="00CA3FEE">
            <w:pPr>
              <w:spacing w:before="0" w:after="0" w:line="240" w:lineRule="auto"/>
              <w:ind w:firstLine="0"/>
              <w:jc w:val="center"/>
              <w:rPr>
                <w:sz w:val="20"/>
                <w:lang w:eastAsia="vi-VN"/>
              </w:rPr>
            </w:pPr>
            <w:r w:rsidRPr="005C3E03">
              <w:rPr>
                <w:sz w:val="20"/>
                <w:lang w:eastAsia="vi-VN"/>
              </w:rPr>
              <w:t>.538</w:t>
            </w:r>
          </w:p>
        </w:tc>
        <w:tc>
          <w:tcPr>
            <w:tcW w:w="516" w:type="pct"/>
            <w:tcBorders>
              <w:top w:val="single" w:sz="4" w:space="0" w:color="auto"/>
              <w:bottom w:val="single" w:sz="4" w:space="0" w:color="auto"/>
            </w:tcBorders>
            <w:shd w:val="clear" w:color="auto" w:fill="auto"/>
            <w:noWrap/>
            <w:vAlign w:val="center"/>
            <w:hideMark/>
          </w:tcPr>
          <w:p w:rsidR="008359CC" w:rsidRPr="005C3E03" w:rsidRDefault="008359CC" w:rsidP="00CA3FEE">
            <w:pPr>
              <w:spacing w:before="0" w:after="0" w:line="240" w:lineRule="auto"/>
              <w:ind w:firstLine="0"/>
              <w:jc w:val="center"/>
              <w:rPr>
                <w:sz w:val="20"/>
                <w:lang w:eastAsia="vi-VN"/>
              </w:rPr>
            </w:pPr>
            <w:r w:rsidRPr="005C3E03">
              <w:rPr>
                <w:sz w:val="20"/>
                <w:lang w:eastAsia="vi-VN"/>
              </w:rPr>
              <w:t>.008</w:t>
            </w:r>
          </w:p>
        </w:tc>
        <w:tc>
          <w:tcPr>
            <w:tcW w:w="515" w:type="pct"/>
            <w:tcBorders>
              <w:top w:val="single" w:sz="4" w:space="0" w:color="auto"/>
              <w:bottom w:val="single" w:sz="4" w:space="0" w:color="auto"/>
            </w:tcBorders>
            <w:shd w:val="clear" w:color="auto" w:fill="auto"/>
            <w:noWrap/>
            <w:vAlign w:val="center"/>
            <w:hideMark/>
          </w:tcPr>
          <w:p w:rsidR="008359CC" w:rsidRPr="005C3E03" w:rsidRDefault="008359CC" w:rsidP="00CA3FEE">
            <w:pPr>
              <w:spacing w:before="0" w:after="0" w:line="240" w:lineRule="auto"/>
              <w:ind w:firstLine="0"/>
              <w:jc w:val="center"/>
              <w:rPr>
                <w:sz w:val="20"/>
                <w:lang w:eastAsia="vi-VN"/>
              </w:rPr>
            </w:pPr>
            <w:r w:rsidRPr="005C3E03">
              <w:rPr>
                <w:sz w:val="20"/>
                <w:lang w:eastAsia="vi-VN"/>
              </w:rPr>
              <w:t>.249</w:t>
            </w:r>
          </w:p>
        </w:tc>
        <w:tc>
          <w:tcPr>
            <w:tcW w:w="491" w:type="pct"/>
            <w:tcBorders>
              <w:top w:val="single" w:sz="4" w:space="0" w:color="auto"/>
              <w:bottom w:val="single" w:sz="4" w:space="0" w:color="auto"/>
            </w:tcBorders>
            <w:shd w:val="clear" w:color="auto" w:fill="auto"/>
            <w:noWrap/>
            <w:vAlign w:val="center"/>
            <w:hideMark/>
          </w:tcPr>
          <w:p w:rsidR="008359CC" w:rsidRPr="005C3E03" w:rsidRDefault="008359CC" w:rsidP="00CA3FEE">
            <w:pPr>
              <w:spacing w:before="0" w:after="0" w:line="240" w:lineRule="auto"/>
              <w:ind w:firstLine="0"/>
              <w:jc w:val="center"/>
              <w:rPr>
                <w:sz w:val="20"/>
                <w:lang w:eastAsia="vi-VN"/>
              </w:rPr>
            </w:pPr>
            <w:r w:rsidRPr="005C3E03">
              <w:rPr>
                <w:sz w:val="20"/>
                <w:lang w:eastAsia="vi-VN"/>
              </w:rPr>
              <w:t>.280</w:t>
            </w:r>
          </w:p>
        </w:tc>
        <w:tc>
          <w:tcPr>
            <w:tcW w:w="462" w:type="pct"/>
            <w:tcBorders>
              <w:top w:val="single" w:sz="4" w:space="0" w:color="auto"/>
              <w:bottom w:val="single" w:sz="4" w:space="0" w:color="auto"/>
            </w:tcBorders>
            <w:shd w:val="clear" w:color="auto" w:fill="auto"/>
            <w:noWrap/>
            <w:vAlign w:val="center"/>
            <w:hideMark/>
          </w:tcPr>
          <w:p w:rsidR="008359CC" w:rsidRPr="005C3E03" w:rsidRDefault="00CA3FEE" w:rsidP="00CA3FEE">
            <w:pPr>
              <w:spacing w:before="0" w:after="0" w:line="240" w:lineRule="auto"/>
              <w:ind w:firstLine="0"/>
              <w:jc w:val="center"/>
              <w:rPr>
                <w:sz w:val="20"/>
                <w:lang w:eastAsia="vi-VN"/>
              </w:rPr>
            </w:pPr>
            <w:r w:rsidRPr="005C3E03">
              <w:rPr>
                <w:sz w:val="20"/>
                <w:lang w:eastAsia="vi-VN"/>
              </w:rPr>
              <w:t>33.52</w:t>
            </w:r>
          </w:p>
        </w:tc>
        <w:tc>
          <w:tcPr>
            <w:tcW w:w="399" w:type="pct"/>
            <w:tcBorders>
              <w:top w:val="single" w:sz="4" w:space="0" w:color="auto"/>
              <w:bottom w:val="single" w:sz="4" w:space="0" w:color="auto"/>
            </w:tcBorders>
            <w:shd w:val="clear" w:color="auto" w:fill="auto"/>
            <w:noWrap/>
            <w:vAlign w:val="center"/>
            <w:hideMark/>
          </w:tcPr>
          <w:p w:rsidR="008359CC" w:rsidRPr="005C3E03" w:rsidRDefault="008359CC" w:rsidP="00CA3FEE">
            <w:pPr>
              <w:spacing w:before="0" w:after="0" w:line="240" w:lineRule="auto"/>
              <w:ind w:firstLine="0"/>
              <w:jc w:val="center"/>
              <w:rPr>
                <w:sz w:val="20"/>
                <w:lang w:eastAsia="vi-VN"/>
              </w:rPr>
            </w:pPr>
            <w:r w:rsidRPr="005C3E03">
              <w:rPr>
                <w:sz w:val="20"/>
                <w:lang w:eastAsia="vi-VN"/>
              </w:rPr>
              <w:t>4,647</w:t>
            </w:r>
          </w:p>
        </w:tc>
        <w:tc>
          <w:tcPr>
            <w:tcW w:w="335" w:type="pct"/>
            <w:tcBorders>
              <w:top w:val="single" w:sz="4" w:space="0" w:color="auto"/>
              <w:bottom w:val="single" w:sz="4" w:space="0" w:color="auto"/>
            </w:tcBorders>
            <w:shd w:val="clear" w:color="auto" w:fill="auto"/>
            <w:noWrap/>
            <w:vAlign w:val="center"/>
            <w:hideMark/>
          </w:tcPr>
          <w:p w:rsidR="008359CC" w:rsidRPr="005C3E03" w:rsidRDefault="008359CC" w:rsidP="00AF31AB">
            <w:pPr>
              <w:spacing w:before="0" w:after="0" w:line="240" w:lineRule="auto"/>
              <w:ind w:firstLine="0"/>
              <w:jc w:val="center"/>
              <w:rPr>
                <w:sz w:val="20"/>
                <w:lang w:eastAsia="vi-VN"/>
              </w:rPr>
            </w:pPr>
            <w:r w:rsidRPr="005C3E03">
              <w:rPr>
                <w:sz w:val="20"/>
                <w:lang w:eastAsia="vi-VN"/>
              </w:rPr>
              <w:t>.000</w:t>
            </w:r>
          </w:p>
        </w:tc>
      </w:tr>
    </w:tbl>
    <w:p w:rsidR="008359CC" w:rsidRPr="005C3E03" w:rsidRDefault="008359CC" w:rsidP="008359CC">
      <w:r w:rsidRPr="005C3E03">
        <w:tab/>
        <w:t xml:space="preserve">Before the pandemic occurred, the independent-samples t-test showed no significant difference in the trust level in the </w:t>
      </w:r>
      <w:r w:rsidR="006455E7">
        <w:t>g</w:t>
      </w:r>
      <w:r w:rsidRPr="005C3E03">
        <w:t>overnment's management between genders</w:t>
      </w:r>
      <w:r w:rsidR="00B008A4" w:rsidRPr="005C3E03">
        <w:t xml:space="preserve"> (p=0.26)</w:t>
      </w:r>
      <w:r w:rsidRPr="005C3E03">
        <w:t>. However, the difference became statistically significant after the occurrence of COVID-19. Young men's trust level was significantly lower than young women's</w:t>
      </w:r>
      <w:r w:rsidR="00B42892">
        <w:t xml:space="preserve"> during the pandemic </w:t>
      </w:r>
      <w:r w:rsidRPr="005C3E03">
        <w:t>(</w:t>
      </w:r>
      <w:r w:rsidRPr="005C3E03">
        <w:fldChar w:fldCharType="begin"/>
      </w:r>
      <w:r w:rsidRPr="005C3E03">
        <w:instrText xml:space="preserve"> REF _Ref71811740 \h  \* MERGEFORMAT </w:instrText>
      </w:r>
      <w:r w:rsidRPr="005C3E03">
        <w:fldChar w:fldCharType="separate"/>
      </w:r>
      <w:r w:rsidRPr="005C3E03">
        <w:t xml:space="preserve">Table </w:t>
      </w:r>
      <w:r w:rsidRPr="005C3E03">
        <w:rPr>
          <w:noProof/>
        </w:rPr>
        <w:t>3</w:t>
      </w:r>
      <w:r w:rsidRPr="005C3E03">
        <w:fldChar w:fldCharType="end"/>
      </w:r>
      <w:r w:rsidRPr="005C3E03">
        <w:t>).</w:t>
      </w:r>
    </w:p>
    <w:p w:rsidR="008359CC" w:rsidRPr="005C3E03" w:rsidRDefault="008359CC" w:rsidP="00CA3FEE">
      <w:pPr>
        <w:pStyle w:val="ChthchBngbiu-Hnhv"/>
      </w:pPr>
      <w:bookmarkStart w:id="2" w:name="_Ref71811740"/>
      <w:r w:rsidRPr="005C3E03">
        <w:t xml:space="preserve">Table </w:t>
      </w:r>
      <w:r w:rsidRPr="005C3E03">
        <w:fldChar w:fldCharType="begin"/>
      </w:r>
      <w:r w:rsidRPr="005C3E03">
        <w:instrText xml:space="preserve"> SEQ Table \* ARABIC </w:instrText>
      </w:r>
      <w:r w:rsidRPr="005C3E03">
        <w:fldChar w:fldCharType="separate"/>
      </w:r>
      <w:r w:rsidR="00DD2133">
        <w:rPr>
          <w:noProof/>
        </w:rPr>
        <w:t>3</w:t>
      </w:r>
      <w:r w:rsidRPr="005C3E03">
        <w:fldChar w:fldCharType="end"/>
      </w:r>
      <w:bookmarkEnd w:id="2"/>
      <w:r w:rsidRPr="005C3E03">
        <w:t>. Trust level differences between the two genders</w:t>
      </w:r>
      <w:r w:rsidR="00CA3FEE" w:rsidRPr="005C3E03">
        <w:t>.</w:t>
      </w:r>
    </w:p>
    <w:tbl>
      <w:tblPr>
        <w:tblW w:w="0" w:type="auto"/>
        <w:tblLook w:val="04A0" w:firstRow="1" w:lastRow="0" w:firstColumn="1" w:lastColumn="0" w:noHBand="0" w:noVBand="1"/>
      </w:tblPr>
      <w:tblGrid>
        <w:gridCol w:w="2010"/>
        <w:gridCol w:w="633"/>
        <w:gridCol w:w="666"/>
        <w:gridCol w:w="802"/>
        <w:gridCol w:w="1265"/>
        <w:gridCol w:w="1433"/>
        <w:gridCol w:w="1659"/>
        <w:gridCol w:w="1171"/>
      </w:tblGrid>
      <w:tr w:rsidR="00CA3FEE" w:rsidRPr="005C3E03" w:rsidTr="000D2C89">
        <w:trPr>
          <w:trHeight w:val="20"/>
        </w:trPr>
        <w:tc>
          <w:tcPr>
            <w:tcW w:w="0" w:type="auto"/>
            <w:vMerge w:val="restart"/>
            <w:tcBorders>
              <w:top w:val="single" w:sz="4" w:space="0" w:color="auto"/>
            </w:tcBorders>
            <w:shd w:val="clear" w:color="auto" w:fill="auto"/>
            <w:vAlign w:val="center"/>
            <w:hideMark/>
          </w:tcPr>
          <w:p w:rsidR="008359CC" w:rsidRPr="005C3E03" w:rsidRDefault="008359CC" w:rsidP="00CA3FEE">
            <w:pPr>
              <w:spacing w:before="0" w:after="0" w:line="240" w:lineRule="auto"/>
              <w:ind w:firstLine="0"/>
              <w:jc w:val="center"/>
              <w:rPr>
                <w:b/>
                <w:bCs/>
                <w:sz w:val="20"/>
                <w:szCs w:val="24"/>
                <w:lang w:eastAsia="vi-VN"/>
              </w:rPr>
            </w:pPr>
            <w:r w:rsidRPr="005C3E03">
              <w:rPr>
                <w:b/>
                <w:bCs/>
                <w:sz w:val="20"/>
                <w:szCs w:val="24"/>
                <w:lang w:eastAsia="vi-VN"/>
              </w:rPr>
              <w:t>Trust level difference</w:t>
            </w:r>
          </w:p>
        </w:tc>
        <w:tc>
          <w:tcPr>
            <w:tcW w:w="0" w:type="auto"/>
            <w:vMerge w:val="restart"/>
            <w:tcBorders>
              <w:top w:val="single" w:sz="4" w:space="0" w:color="auto"/>
            </w:tcBorders>
            <w:shd w:val="clear" w:color="auto" w:fill="auto"/>
            <w:vAlign w:val="center"/>
            <w:hideMark/>
          </w:tcPr>
          <w:p w:rsidR="008359CC" w:rsidRPr="005C3E03" w:rsidRDefault="008359CC" w:rsidP="00CA3FEE">
            <w:pPr>
              <w:spacing w:before="0" w:after="0" w:line="240" w:lineRule="auto"/>
              <w:ind w:firstLine="0"/>
              <w:jc w:val="center"/>
              <w:rPr>
                <w:b/>
                <w:bCs/>
                <w:sz w:val="20"/>
                <w:szCs w:val="24"/>
                <w:lang w:eastAsia="vi-VN"/>
              </w:rPr>
            </w:pPr>
            <w:r w:rsidRPr="005C3E03">
              <w:rPr>
                <w:b/>
                <w:bCs/>
                <w:sz w:val="20"/>
                <w:szCs w:val="24"/>
                <w:lang w:eastAsia="vi-VN"/>
              </w:rPr>
              <w:t>t</w:t>
            </w:r>
          </w:p>
        </w:tc>
        <w:tc>
          <w:tcPr>
            <w:tcW w:w="0" w:type="auto"/>
            <w:vMerge w:val="restart"/>
            <w:tcBorders>
              <w:top w:val="single" w:sz="4" w:space="0" w:color="auto"/>
            </w:tcBorders>
            <w:shd w:val="clear" w:color="auto" w:fill="auto"/>
            <w:vAlign w:val="center"/>
            <w:hideMark/>
          </w:tcPr>
          <w:p w:rsidR="008359CC" w:rsidRPr="005C3E03" w:rsidRDefault="008359CC" w:rsidP="00CA3FEE">
            <w:pPr>
              <w:spacing w:before="0" w:after="0" w:line="240" w:lineRule="auto"/>
              <w:ind w:firstLine="0"/>
              <w:jc w:val="center"/>
              <w:rPr>
                <w:b/>
                <w:bCs/>
                <w:sz w:val="20"/>
                <w:szCs w:val="24"/>
                <w:lang w:eastAsia="vi-VN"/>
              </w:rPr>
            </w:pPr>
            <w:r w:rsidRPr="005C3E03">
              <w:rPr>
                <w:b/>
                <w:bCs/>
                <w:sz w:val="20"/>
                <w:szCs w:val="24"/>
                <w:lang w:eastAsia="vi-VN"/>
              </w:rPr>
              <w:t>df</w:t>
            </w:r>
          </w:p>
        </w:tc>
        <w:tc>
          <w:tcPr>
            <w:tcW w:w="802" w:type="dxa"/>
            <w:vMerge w:val="restart"/>
            <w:tcBorders>
              <w:top w:val="single" w:sz="4" w:space="0" w:color="auto"/>
            </w:tcBorders>
            <w:shd w:val="clear" w:color="auto" w:fill="auto"/>
            <w:vAlign w:val="center"/>
            <w:hideMark/>
          </w:tcPr>
          <w:p w:rsidR="008359CC" w:rsidRPr="005C3E03" w:rsidRDefault="008359CC" w:rsidP="00CA3FEE">
            <w:pPr>
              <w:spacing w:before="0" w:after="0" w:line="240" w:lineRule="auto"/>
              <w:ind w:firstLine="0"/>
              <w:jc w:val="center"/>
              <w:rPr>
                <w:b/>
                <w:bCs/>
                <w:sz w:val="20"/>
                <w:szCs w:val="24"/>
                <w:lang w:eastAsia="vi-VN"/>
              </w:rPr>
            </w:pPr>
            <w:r w:rsidRPr="005C3E03">
              <w:rPr>
                <w:b/>
                <w:bCs/>
                <w:sz w:val="20"/>
                <w:szCs w:val="24"/>
                <w:lang w:eastAsia="vi-VN"/>
              </w:rPr>
              <w:t>p</w:t>
            </w:r>
          </w:p>
        </w:tc>
        <w:tc>
          <w:tcPr>
            <w:tcW w:w="1265" w:type="dxa"/>
            <w:vMerge w:val="restart"/>
            <w:tcBorders>
              <w:top w:val="single" w:sz="4" w:space="0" w:color="auto"/>
            </w:tcBorders>
            <w:shd w:val="clear" w:color="auto" w:fill="auto"/>
            <w:vAlign w:val="center"/>
            <w:hideMark/>
          </w:tcPr>
          <w:p w:rsidR="008359CC" w:rsidRPr="005C3E03" w:rsidRDefault="008359CC" w:rsidP="00CA3FEE">
            <w:pPr>
              <w:spacing w:before="0" w:after="0" w:line="240" w:lineRule="auto"/>
              <w:ind w:firstLine="0"/>
              <w:jc w:val="center"/>
              <w:rPr>
                <w:b/>
                <w:bCs/>
                <w:sz w:val="20"/>
                <w:szCs w:val="24"/>
                <w:lang w:eastAsia="vi-VN"/>
              </w:rPr>
            </w:pPr>
            <w:r w:rsidRPr="005C3E03">
              <w:rPr>
                <w:b/>
                <w:bCs/>
                <w:sz w:val="20"/>
                <w:szCs w:val="24"/>
                <w:lang w:eastAsia="vi-VN"/>
              </w:rPr>
              <w:t>Mean Difference</w:t>
            </w:r>
          </w:p>
        </w:tc>
        <w:tc>
          <w:tcPr>
            <w:tcW w:w="1433" w:type="dxa"/>
            <w:vMerge w:val="restart"/>
            <w:tcBorders>
              <w:top w:val="single" w:sz="4" w:space="0" w:color="auto"/>
            </w:tcBorders>
            <w:shd w:val="clear" w:color="auto" w:fill="auto"/>
            <w:vAlign w:val="center"/>
            <w:hideMark/>
          </w:tcPr>
          <w:p w:rsidR="008359CC" w:rsidRPr="005C3E03" w:rsidRDefault="008359CC" w:rsidP="00CA3FEE">
            <w:pPr>
              <w:spacing w:before="0" w:after="0" w:line="240" w:lineRule="auto"/>
              <w:ind w:firstLine="0"/>
              <w:jc w:val="center"/>
              <w:rPr>
                <w:b/>
                <w:bCs/>
                <w:sz w:val="20"/>
                <w:szCs w:val="24"/>
                <w:lang w:eastAsia="vi-VN"/>
              </w:rPr>
            </w:pPr>
            <w:r w:rsidRPr="005C3E03">
              <w:rPr>
                <w:b/>
                <w:bCs/>
                <w:sz w:val="20"/>
                <w:szCs w:val="24"/>
                <w:lang w:eastAsia="vi-VN"/>
              </w:rPr>
              <w:t>Std. Error Difference</w:t>
            </w:r>
          </w:p>
        </w:tc>
        <w:tc>
          <w:tcPr>
            <w:tcW w:w="2830" w:type="dxa"/>
            <w:gridSpan w:val="2"/>
            <w:tcBorders>
              <w:top w:val="single" w:sz="4" w:space="0" w:color="auto"/>
              <w:bottom w:val="single" w:sz="4" w:space="0" w:color="auto"/>
            </w:tcBorders>
            <w:shd w:val="clear" w:color="auto" w:fill="auto"/>
            <w:vAlign w:val="center"/>
            <w:hideMark/>
          </w:tcPr>
          <w:p w:rsidR="008359CC" w:rsidRPr="005C3E03" w:rsidRDefault="008359CC" w:rsidP="00CA3FEE">
            <w:pPr>
              <w:spacing w:before="0" w:after="0" w:line="240" w:lineRule="auto"/>
              <w:ind w:firstLine="0"/>
              <w:jc w:val="center"/>
              <w:rPr>
                <w:b/>
                <w:bCs/>
                <w:sz w:val="20"/>
                <w:szCs w:val="24"/>
                <w:lang w:eastAsia="vi-VN"/>
              </w:rPr>
            </w:pPr>
            <w:r w:rsidRPr="005C3E03">
              <w:rPr>
                <w:b/>
                <w:bCs/>
                <w:sz w:val="20"/>
                <w:szCs w:val="24"/>
                <w:lang w:eastAsia="vi-VN"/>
              </w:rPr>
              <w:t>95% C.I. of the Difference</w:t>
            </w:r>
          </w:p>
        </w:tc>
      </w:tr>
      <w:tr w:rsidR="00CA3FEE" w:rsidRPr="005C3E03" w:rsidTr="000D2C89">
        <w:trPr>
          <w:trHeight w:val="20"/>
        </w:trPr>
        <w:tc>
          <w:tcPr>
            <w:tcW w:w="0" w:type="auto"/>
            <w:vMerge/>
            <w:tcBorders>
              <w:bottom w:val="single" w:sz="4" w:space="0" w:color="auto"/>
            </w:tcBorders>
            <w:vAlign w:val="center"/>
            <w:hideMark/>
          </w:tcPr>
          <w:p w:rsidR="008359CC" w:rsidRPr="005C3E03" w:rsidRDefault="008359CC" w:rsidP="00CA3FEE">
            <w:pPr>
              <w:spacing w:before="0" w:after="0" w:line="240" w:lineRule="auto"/>
              <w:jc w:val="center"/>
              <w:rPr>
                <w:b/>
                <w:bCs/>
                <w:sz w:val="20"/>
                <w:szCs w:val="24"/>
                <w:lang w:eastAsia="vi-VN"/>
              </w:rPr>
            </w:pPr>
          </w:p>
        </w:tc>
        <w:tc>
          <w:tcPr>
            <w:tcW w:w="0" w:type="auto"/>
            <w:vMerge/>
            <w:tcBorders>
              <w:bottom w:val="single" w:sz="4" w:space="0" w:color="auto"/>
            </w:tcBorders>
            <w:vAlign w:val="center"/>
            <w:hideMark/>
          </w:tcPr>
          <w:p w:rsidR="008359CC" w:rsidRPr="005C3E03" w:rsidRDefault="008359CC" w:rsidP="00CA3FEE">
            <w:pPr>
              <w:spacing w:before="0" w:after="0" w:line="240" w:lineRule="auto"/>
              <w:jc w:val="center"/>
              <w:rPr>
                <w:b/>
                <w:bCs/>
                <w:sz w:val="20"/>
                <w:szCs w:val="24"/>
                <w:lang w:eastAsia="vi-VN"/>
              </w:rPr>
            </w:pPr>
          </w:p>
        </w:tc>
        <w:tc>
          <w:tcPr>
            <w:tcW w:w="0" w:type="auto"/>
            <w:vMerge/>
            <w:tcBorders>
              <w:bottom w:val="single" w:sz="4" w:space="0" w:color="auto"/>
            </w:tcBorders>
            <w:vAlign w:val="center"/>
            <w:hideMark/>
          </w:tcPr>
          <w:p w:rsidR="008359CC" w:rsidRPr="005C3E03" w:rsidRDefault="008359CC" w:rsidP="00CA3FEE">
            <w:pPr>
              <w:spacing w:before="0" w:after="0" w:line="240" w:lineRule="auto"/>
              <w:jc w:val="center"/>
              <w:rPr>
                <w:b/>
                <w:bCs/>
                <w:sz w:val="20"/>
                <w:szCs w:val="24"/>
                <w:lang w:eastAsia="vi-VN"/>
              </w:rPr>
            </w:pPr>
          </w:p>
        </w:tc>
        <w:tc>
          <w:tcPr>
            <w:tcW w:w="802" w:type="dxa"/>
            <w:vMerge/>
            <w:tcBorders>
              <w:bottom w:val="single" w:sz="4" w:space="0" w:color="auto"/>
            </w:tcBorders>
            <w:vAlign w:val="center"/>
            <w:hideMark/>
          </w:tcPr>
          <w:p w:rsidR="008359CC" w:rsidRPr="005C3E03" w:rsidRDefault="008359CC" w:rsidP="00CA3FEE">
            <w:pPr>
              <w:spacing w:before="0" w:after="0" w:line="240" w:lineRule="auto"/>
              <w:jc w:val="center"/>
              <w:rPr>
                <w:b/>
                <w:bCs/>
                <w:sz w:val="20"/>
                <w:szCs w:val="24"/>
                <w:lang w:eastAsia="vi-VN"/>
              </w:rPr>
            </w:pPr>
          </w:p>
        </w:tc>
        <w:tc>
          <w:tcPr>
            <w:tcW w:w="1265" w:type="dxa"/>
            <w:vMerge/>
            <w:tcBorders>
              <w:bottom w:val="single" w:sz="4" w:space="0" w:color="auto"/>
            </w:tcBorders>
            <w:vAlign w:val="center"/>
            <w:hideMark/>
          </w:tcPr>
          <w:p w:rsidR="008359CC" w:rsidRPr="005C3E03" w:rsidRDefault="008359CC" w:rsidP="00CA3FEE">
            <w:pPr>
              <w:spacing w:before="0" w:after="0" w:line="240" w:lineRule="auto"/>
              <w:jc w:val="center"/>
              <w:rPr>
                <w:b/>
                <w:bCs/>
                <w:sz w:val="20"/>
                <w:szCs w:val="24"/>
                <w:lang w:eastAsia="vi-VN"/>
              </w:rPr>
            </w:pPr>
          </w:p>
        </w:tc>
        <w:tc>
          <w:tcPr>
            <w:tcW w:w="1433" w:type="dxa"/>
            <w:vMerge/>
            <w:tcBorders>
              <w:bottom w:val="single" w:sz="4" w:space="0" w:color="auto"/>
            </w:tcBorders>
            <w:vAlign w:val="center"/>
            <w:hideMark/>
          </w:tcPr>
          <w:p w:rsidR="008359CC" w:rsidRPr="005C3E03" w:rsidRDefault="008359CC" w:rsidP="00CA3FEE">
            <w:pPr>
              <w:spacing w:before="0" w:after="0" w:line="240" w:lineRule="auto"/>
              <w:jc w:val="center"/>
              <w:rPr>
                <w:b/>
                <w:bCs/>
                <w:sz w:val="20"/>
                <w:szCs w:val="24"/>
                <w:lang w:eastAsia="vi-VN"/>
              </w:rPr>
            </w:pPr>
          </w:p>
        </w:tc>
        <w:tc>
          <w:tcPr>
            <w:tcW w:w="1659" w:type="dxa"/>
            <w:tcBorders>
              <w:top w:val="single" w:sz="4" w:space="0" w:color="auto"/>
              <w:bottom w:val="single" w:sz="4" w:space="0" w:color="auto"/>
            </w:tcBorders>
            <w:shd w:val="clear" w:color="auto" w:fill="auto"/>
            <w:vAlign w:val="center"/>
            <w:hideMark/>
          </w:tcPr>
          <w:p w:rsidR="008359CC" w:rsidRPr="005C3E03" w:rsidRDefault="008359CC" w:rsidP="00CA3FEE">
            <w:pPr>
              <w:spacing w:before="0" w:after="0" w:line="240" w:lineRule="auto"/>
              <w:ind w:firstLine="0"/>
              <w:jc w:val="center"/>
              <w:rPr>
                <w:b/>
                <w:bCs/>
                <w:sz w:val="20"/>
                <w:szCs w:val="24"/>
                <w:lang w:eastAsia="vi-VN"/>
              </w:rPr>
            </w:pPr>
            <w:r w:rsidRPr="005C3E03">
              <w:rPr>
                <w:b/>
                <w:bCs/>
                <w:sz w:val="20"/>
                <w:szCs w:val="24"/>
                <w:lang w:eastAsia="vi-VN"/>
              </w:rPr>
              <w:t>Lower</w:t>
            </w:r>
          </w:p>
        </w:tc>
        <w:tc>
          <w:tcPr>
            <w:tcW w:w="0" w:type="auto"/>
            <w:tcBorders>
              <w:top w:val="single" w:sz="4" w:space="0" w:color="auto"/>
              <w:bottom w:val="single" w:sz="4" w:space="0" w:color="auto"/>
            </w:tcBorders>
            <w:shd w:val="clear" w:color="auto" w:fill="auto"/>
            <w:vAlign w:val="center"/>
            <w:hideMark/>
          </w:tcPr>
          <w:p w:rsidR="008359CC" w:rsidRPr="005C3E03" w:rsidRDefault="008359CC" w:rsidP="00CA3FEE">
            <w:pPr>
              <w:spacing w:before="0" w:after="0" w:line="240" w:lineRule="auto"/>
              <w:ind w:firstLine="0"/>
              <w:jc w:val="center"/>
              <w:rPr>
                <w:b/>
                <w:bCs/>
                <w:sz w:val="20"/>
                <w:szCs w:val="24"/>
                <w:lang w:eastAsia="vi-VN"/>
              </w:rPr>
            </w:pPr>
            <w:r w:rsidRPr="005C3E03">
              <w:rPr>
                <w:b/>
                <w:bCs/>
                <w:sz w:val="20"/>
                <w:szCs w:val="24"/>
                <w:lang w:eastAsia="vi-VN"/>
              </w:rPr>
              <w:t>Upper</w:t>
            </w:r>
          </w:p>
        </w:tc>
      </w:tr>
      <w:tr w:rsidR="00CA3FEE" w:rsidRPr="005C3E03" w:rsidTr="000D2C89">
        <w:trPr>
          <w:trHeight w:val="20"/>
        </w:trPr>
        <w:tc>
          <w:tcPr>
            <w:tcW w:w="0" w:type="auto"/>
            <w:tcBorders>
              <w:top w:val="single" w:sz="4" w:space="0" w:color="auto"/>
            </w:tcBorders>
            <w:shd w:val="clear" w:color="auto" w:fill="auto"/>
            <w:vAlign w:val="center"/>
            <w:hideMark/>
          </w:tcPr>
          <w:p w:rsidR="008359CC" w:rsidRPr="005C3E03" w:rsidRDefault="008359CC" w:rsidP="00CA3FEE">
            <w:pPr>
              <w:spacing w:before="0" w:after="0" w:line="240" w:lineRule="auto"/>
              <w:ind w:firstLine="0"/>
              <w:rPr>
                <w:sz w:val="20"/>
                <w:szCs w:val="24"/>
                <w:lang w:eastAsia="vi-VN"/>
              </w:rPr>
            </w:pPr>
            <w:r w:rsidRPr="005C3E03">
              <w:rPr>
                <w:sz w:val="20"/>
                <w:szCs w:val="24"/>
                <w:lang w:eastAsia="vi-VN"/>
              </w:rPr>
              <w:t>Pre-pandemic</w:t>
            </w:r>
          </w:p>
        </w:tc>
        <w:tc>
          <w:tcPr>
            <w:tcW w:w="0" w:type="auto"/>
            <w:tcBorders>
              <w:top w:val="single" w:sz="4" w:space="0" w:color="auto"/>
            </w:tcBorders>
            <w:shd w:val="clear" w:color="auto" w:fill="auto"/>
            <w:noWrap/>
            <w:vAlign w:val="center"/>
            <w:hideMark/>
          </w:tcPr>
          <w:p w:rsidR="008359CC" w:rsidRPr="005C3E03" w:rsidRDefault="008359CC" w:rsidP="00CA3FEE">
            <w:pPr>
              <w:spacing w:before="0" w:after="0" w:line="240" w:lineRule="auto"/>
              <w:ind w:firstLine="0"/>
              <w:jc w:val="center"/>
              <w:rPr>
                <w:sz w:val="20"/>
                <w:szCs w:val="24"/>
                <w:lang w:eastAsia="vi-VN"/>
              </w:rPr>
            </w:pPr>
            <w:r w:rsidRPr="005C3E03">
              <w:rPr>
                <w:sz w:val="20"/>
                <w:szCs w:val="24"/>
                <w:lang w:eastAsia="vi-VN"/>
              </w:rPr>
              <w:t>1.12</w:t>
            </w:r>
          </w:p>
        </w:tc>
        <w:tc>
          <w:tcPr>
            <w:tcW w:w="0" w:type="auto"/>
            <w:tcBorders>
              <w:top w:val="single" w:sz="4" w:space="0" w:color="auto"/>
            </w:tcBorders>
            <w:shd w:val="clear" w:color="auto" w:fill="auto"/>
            <w:noWrap/>
            <w:vAlign w:val="center"/>
            <w:hideMark/>
          </w:tcPr>
          <w:p w:rsidR="008359CC" w:rsidRPr="005C3E03" w:rsidRDefault="008359CC" w:rsidP="00CA3FEE">
            <w:pPr>
              <w:spacing w:before="0" w:after="0" w:line="240" w:lineRule="auto"/>
              <w:ind w:firstLine="0"/>
              <w:jc w:val="center"/>
              <w:rPr>
                <w:sz w:val="20"/>
                <w:szCs w:val="24"/>
                <w:lang w:eastAsia="vi-VN"/>
              </w:rPr>
            </w:pPr>
            <w:r w:rsidRPr="005C3E03">
              <w:rPr>
                <w:sz w:val="20"/>
                <w:szCs w:val="24"/>
                <w:lang w:eastAsia="vi-VN"/>
              </w:rPr>
              <w:t>1,346</w:t>
            </w:r>
          </w:p>
        </w:tc>
        <w:tc>
          <w:tcPr>
            <w:tcW w:w="802" w:type="dxa"/>
            <w:tcBorders>
              <w:top w:val="single" w:sz="4" w:space="0" w:color="auto"/>
            </w:tcBorders>
            <w:shd w:val="clear" w:color="auto" w:fill="auto"/>
            <w:noWrap/>
            <w:vAlign w:val="center"/>
            <w:hideMark/>
          </w:tcPr>
          <w:p w:rsidR="008359CC" w:rsidRPr="005C3E03" w:rsidRDefault="008359CC" w:rsidP="00CA3FEE">
            <w:pPr>
              <w:spacing w:before="0" w:after="0" w:line="240" w:lineRule="auto"/>
              <w:ind w:firstLine="0"/>
              <w:jc w:val="center"/>
              <w:rPr>
                <w:sz w:val="20"/>
                <w:szCs w:val="24"/>
                <w:lang w:eastAsia="vi-VN"/>
              </w:rPr>
            </w:pPr>
            <w:r w:rsidRPr="005C3E03">
              <w:rPr>
                <w:sz w:val="20"/>
                <w:szCs w:val="24"/>
                <w:lang w:eastAsia="vi-VN"/>
              </w:rPr>
              <w:t>.26</w:t>
            </w:r>
          </w:p>
        </w:tc>
        <w:tc>
          <w:tcPr>
            <w:tcW w:w="1265" w:type="dxa"/>
            <w:tcBorders>
              <w:top w:val="single" w:sz="4" w:space="0" w:color="auto"/>
            </w:tcBorders>
            <w:shd w:val="clear" w:color="auto" w:fill="auto"/>
            <w:noWrap/>
            <w:vAlign w:val="center"/>
            <w:hideMark/>
          </w:tcPr>
          <w:p w:rsidR="008359CC" w:rsidRPr="005C3E03" w:rsidRDefault="008359CC" w:rsidP="00CA3FEE">
            <w:pPr>
              <w:spacing w:before="0" w:after="0" w:line="240" w:lineRule="auto"/>
              <w:ind w:firstLine="0"/>
              <w:jc w:val="center"/>
              <w:rPr>
                <w:sz w:val="20"/>
                <w:szCs w:val="24"/>
                <w:lang w:eastAsia="vi-VN"/>
              </w:rPr>
            </w:pPr>
            <w:r w:rsidRPr="005C3E03">
              <w:rPr>
                <w:sz w:val="20"/>
                <w:szCs w:val="24"/>
                <w:lang w:eastAsia="vi-VN"/>
              </w:rPr>
              <w:t>.03</w:t>
            </w:r>
          </w:p>
        </w:tc>
        <w:tc>
          <w:tcPr>
            <w:tcW w:w="1433" w:type="dxa"/>
            <w:tcBorders>
              <w:top w:val="single" w:sz="4" w:space="0" w:color="auto"/>
            </w:tcBorders>
            <w:shd w:val="clear" w:color="auto" w:fill="auto"/>
            <w:noWrap/>
            <w:vAlign w:val="center"/>
            <w:hideMark/>
          </w:tcPr>
          <w:p w:rsidR="008359CC" w:rsidRPr="005C3E03" w:rsidRDefault="008359CC" w:rsidP="00CA3FEE">
            <w:pPr>
              <w:spacing w:before="0" w:after="0" w:line="240" w:lineRule="auto"/>
              <w:ind w:firstLine="0"/>
              <w:jc w:val="center"/>
              <w:rPr>
                <w:sz w:val="20"/>
                <w:szCs w:val="24"/>
                <w:lang w:eastAsia="vi-VN"/>
              </w:rPr>
            </w:pPr>
            <w:r w:rsidRPr="005C3E03">
              <w:rPr>
                <w:sz w:val="20"/>
                <w:szCs w:val="24"/>
                <w:lang w:eastAsia="vi-VN"/>
              </w:rPr>
              <w:t>.03</w:t>
            </w:r>
          </w:p>
        </w:tc>
        <w:tc>
          <w:tcPr>
            <w:tcW w:w="1659" w:type="dxa"/>
            <w:tcBorders>
              <w:top w:val="single" w:sz="4" w:space="0" w:color="auto"/>
            </w:tcBorders>
            <w:shd w:val="clear" w:color="auto" w:fill="auto"/>
            <w:noWrap/>
            <w:vAlign w:val="center"/>
            <w:hideMark/>
          </w:tcPr>
          <w:p w:rsidR="008359CC" w:rsidRPr="005C3E03" w:rsidRDefault="008359CC" w:rsidP="00CA3FEE">
            <w:pPr>
              <w:spacing w:before="0" w:after="0" w:line="240" w:lineRule="auto"/>
              <w:ind w:firstLine="0"/>
              <w:jc w:val="center"/>
              <w:rPr>
                <w:sz w:val="20"/>
                <w:szCs w:val="24"/>
                <w:lang w:eastAsia="vi-VN"/>
              </w:rPr>
            </w:pPr>
            <w:r w:rsidRPr="005C3E03">
              <w:rPr>
                <w:sz w:val="20"/>
                <w:szCs w:val="24"/>
                <w:lang w:eastAsia="vi-VN"/>
              </w:rPr>
              <w:t>-.02</w:t>
            </w:r>
          </w:p>
        </w:tc>
        <w:tc>
          <w:tcPr>
            <w:tcW w:w="0" w:type="auto"/>
            <w:tcBorders>
              <w:top w:val="single" w:sz="4" w:space="0" w:color="auto"/>
            </w:tcBorders>
            <w:shd w:val="clear" w:color="auto" w:fill="auto"/>
            <w:noWrap/>
            <w:vAlign w:val="center"/>
            <w:hideMark/>
          </w:tcPr>
          <w:p w:rsidR="008359CC" w:rsidRPr="005C3E03" w:rsidRDefault="008359CC" w:rsidP="00CA3FEE">
            <w:pPr>
              <w:spacing w:before="0" w:after="0" w:line="240" w:lineRule="auto"/>
              <w:ind w:firstLine="0"/>
              <w:jc w:val="center"/>
              <w:rPr>
                <w:sz w:val="20"/>
                <w:szCs w:val="24"/>
                <w:lang w:eastAsia="vi-VN"/>
              </w:rPr>
            </w:pPr>
            <w:r w:rsidRPr="005C3E03">
              <w:rPr>
                <w:sz w:val="20"/>
                <w:szCs w:val="24"/>
                <w:lang w:eastAsia="vi-VN"/>
              </w:rPr>
              <w:t>.09</w:t>
            </w:r>
          </w:p>
        </w:tc>
      </w:tr>
      <w:tr w:rsidR="00CA3FEE" w:rsidRPr="005C3E03" w:rsidTr="000D2C89">
        <w:trPr>
          <w:trHeight w:val="20"/>
        </w:trPr>
        <w:tc>
          <w:tcPr>
            <w:tcW w:w="0" w:type="auto"/>
            <w:tcBorders>
              <w:bottom w:val="single" w:sz="4" w:space="0" w:color="auto"/>
            </w:tcBorders>
            <w:shd w:val="clear" w:color="auto" w:fill="auto"/>
            <w:vAlign w:val="center"/>
            <w:hideMark/>
          </w:tcPr>
          <w:p w:rsidR="008359CC" w:rsidRPr="005C3E03" w:rsidRDefault="008359CC" w:rsidP="00CA3FEE">
            <w:pPr>
              <w:spacing w:before="0" w:after="0" w:line="240" w:lineRule="auto"/>
              <w:ind w:firstLine="0"/>
              <w:rPr>
                <w:sz w:val="20"/>
                <w:szCs w:val="24"/>
                <w:lang w:eastAsia="vi-VN"/>
              </w:rPr>
            </w:pPr>
            <w:r w:rsidRPr="005C3E03">
              <w:rPr>
                <w:sz w:val="20"/>
                <w:szCs w:val="24"/>
                <w:lang w:eastAsia="vi-VN"/>
              </w:rPr>
              <w:t>During pandemic</w:t>
            </w:r>
          </w:p>
        </w:tc>
        <w:tc>
          <w:tcPr>
            <w:tcW w:w="0" w:type="auto"/>
            <w:tcBorders>
              <w:bottom w:val="single" w:sz="4" w:space="0" w:color="auto"/>
            </w:tcBorders>
            <w:shd w:val="clear" w:color="auto" w:fill="auto"/>
            <w:noWrap/>
            <w:vAlign w:val="center"/>
            <w:hideMark/>
          </w:tcPr>
          <w:p w:rsidR="008359CC" w:rsidRPr="005C3E03" w:rsidRDefault="008359CC" w:rsidP="00CA3FEE">
            <w:pPr>
              <w:spacing w:before="0" w:after="0" w:line="240" w:lineRule="auto"/>
              <w:ind w:firstLine="0"/>
              <w:jc w:val="center"/>
              <w:rPr>
                <w:sz w:val="20"/>
                <w:szCs w:val="24"/>
                <w:lang w:eastAsia="vi-VN"/>
              </w:rPr>
            </w:pPr>
            <w:r w:rsidRPr="005C3E03">
              <w:rPr>
                <w:sz w:val="20"/>
                <w:szCs w:val="24"/>
                <w:lang w:eastAsia="vi-VN"/>
              </w:rPr>
              <w:t>-3.13</w:t>
            </w:r>
          </w:p>
        </w:tc>
        <w:tc>
          <w:tcPr>
            <w:tcW w:w="0" w:type="auto"/>
            <w:tcBorders>
              <w:bottom w:val="single" w:sz="4" w:space="0" w:color="auto"/>
            </w:tcBorders>
            <w:shd w:val="clear" w:color="auto" w:fill="auto"/>
            <w:noWrap/>
            <w:vAlign w:val="center"/>
            <w:hideMark/>
          </w:tcPr>
          <w:p w:rsidR="008359CC" w:rsidRPr="005C3E03" w:rsidRDefault="008359CC" w:rsidP="00CA3FEE">
            <w:pPr>
              <w:spacing w:before="0" w:after="0" w:line="240" w:lineRule="auto"/>
              <w:ind w:firstLine="0"/>
              <w:jc w:val="center"/>
              <w:rPr>
                <w:sz w:val="20"/>
                <w:szCs w:val="24"/>
                <w:lang w:eastAsia="vi-VN"/>
              </w:rPr>
            </w:pPr>
            <w:r w:rsidRPr="005C3E03">
              <w:rPr>
                <w:sz w:val="20"/>
                <w:szCs w:val="24"/>
                <w:lang w:eastAsia="vi-VN"/>
              </w:rPr>
              <w:t>1,301</w:t>
            </w:r>
          </w:p>
        </w:tc>
        <w:tc>
          <w:tcPr>
            <w:tcW w:w="802" w:type="dxa"/>
            <w:tcBorders>
              <w:bottom w:val="single" w:sz="4" w:space="0" w:color="auto"/>
            </w:tcBorders>
            <w:shd w:val="clear" w:color="auto" w:fill="auto"/>
            <w:noWrap/>
            <w:vAlign w:val="center"/>
            <w:hideMark/>
          </w:tcPr>
          <w:p w:rsidR="008359CC" w:rsidRPr="005C3E03" w:rsidRDefault="008359CC" w:rsidP="00CA3FEE">
            <w:pPr>
              <w:spacing w:before="0" w:after="0" w:line="240" w:lineRule="auto"/>
              <w:ind w:firstLine="0"/>
              <w:jc w:val="center"/>
              <w:rPr>
                <w:sz w:val="20"/>
                <w:szCs w:val="24"/>
                <w:lang w:eastAsia="vi-VN"/>
              </w:rPr>
            </w:pPr>
            <w:r w:rsidRPr="005C3E03">
              <w:rPr>
                <w:sz w:val="20"/>
                <w:szCs w:val="24"/>
                <w:lang w:eastAsia="vi-VN"/>
              </w:rPr>
              <w:t>.00</w:t>
            </w:r>
          </w:p>
        </w:tc>
        <w:tc>
          <w:tcPr>
            <w:tcW w:w="1265" w:type="dxa"/>
            <w:tcBorders>
              <w:bottom w:val="single" w:sz="4" w:space="0" w:color="auto"/>
            </w:tcBorders>
            <w:shd w:val="clear" w:color="auto" w:fill="auto"/>
            <w:noWrap/>
            <w:vAlign w:val="center"/>
            <w:hideMark/>
          </w:tcPr>
          <w:p w:rsidR="008359CC" w:rsidRPr="005C3E03" w:rsidRDefault="008359CC" w:rsidP="00CA3FEE">
            <w:pPr>
              <w:spacing w:before="0" w:after="0" w:line="240" w:lineRule="auto"/>
              <w:ind w:firstLine="0"/>
              <w:jc w:val="center"/>
              <w:rPr>
                <w:sz w:val="20"/>
                <w:szCs w:val="24"/>
                <w:lang w:eastAsia="vi-VN"/>
              </w:rPr>
            </w:pPr>
            <w:r w:rsidRPr="005C3E03">
              <w:rPr>
                <w:sz w:val="20"/>
                <w:szCs w:val="24"/>
                <w:lang w:eastAsia="vi-VN"/>
              </w:rPr>
              <w:t>-.08</w:t>
            </w:r>
          </w:p>
        </w:tc>
        <w:tc>
          <w:tcPr>
            <w:tcW w:w="1433" w:type="dxa"/>
            <w:tcBorders>
              <w:bottom w:val="single" w:sz="4" w:space="0" w:color="auto"/>
            </w:tcBorders>
            <w:shd w:val="clear" w:color="auto" w:fill="auto"/>
            <w:noWrap/>
            <w:vAlign w:val="center"/>
            <w:hideMark/>
          </w:tcPr>
          <w:p w:rsidR="008359CC" w:rsidRPr="005C3E03" w:rsidRDefault="008359CC" w:rsidP="00CA3FEE">
            <w:pPr>
              <w:spacing w:before="0" w:after="0" w:line="240" w:lineRule="auto"/>
              <w:ind w:firstLine="0"/>
              <w:jc w:val="center"/>
              <w:rPr>
                <w:sz w:val="20"/>
                <w:szCs w:val="24"/>
                <w:lang w:eastAsia="vi-VN"/>
              </w:rPr>
            </w:pPr>
            <w:r w:rsidRPr="005C3E03">
              <w:rPr>
                <w:sz w:val="20"/>
                <w:szCs w:val="24"/>
                <w:lang w:eastAsia="vi-VN"/>
              </w:rPr>
              <w:t>.03</w:t>
            </w:r>
          </w:p>
        </w:tc>
        <w:tc>
          <w:tcPr>
            <w:tcW w:w="1659" w:type="dxa"/>
            <w:tcBorders>
              <w:bottom w:val="single" w:sz="4" w:space="0" w:color="auto"/>
            </w:tcBorders>
            <w:shd w:val="clear" w:color="auto" w:fill="auto"/>
            <w:noWrap/>
            <w:vAlign w:val="center"/>
            <w:hideMark/>
          </w:tcPr>
          <w:p w:rsidR="008359CC" w:rsidRPr="005C3E03" w:rsidRDefault="008359CC" w:rsidP="00CA3FEE">
            <w:pPr>
              <w:spacing w:before="0" w:after="0" w:line="240" w:lineRule="auto"/>
              <w:ind w:firstLine="0"/>
              <w:jc w:val="center"/>
              <w:rPr>
                <w:sz w:val="20"/>
                <w:szCs w:val="24"/>
                <w:lang w:eastAsia="vi-VN"/>
              </w:rPr>
            </w:pPr>
            <w:r w:rsidRPr="005C3E03">
              <w:rPr>
                <w:sz w:val="20"/>
                <w:szCs w:val="24"/>
                <w:lang w:eastAsia="vi-VN"/>
              </w:rPr>
              <w:t>-.14</w:t>
            </w:r>
          </w:p>
        </w:tc>
        <w:tc>
          <w:tcPr>
            <w:tcW w:w="0" w:type="auto"/>
            <w:tcBorders>
              <w:bottom w:val="single" w:sz="4" w:space="0" w:color="auto"/>
            </w:tcBorders>
            <w:shd w:val="clear" w:color="auto" w:fill="auto"/>
            <w:noWrap/>
            <w:vAlign w:val="center"/>
            <w:hideMark/>
          </w:tcPr>
          <w:p w:rsidR="008359CC" w:rsidRPr="005C3E03" w:rsidRDefault="008359CC" w:rsidP="00CA3FEE">
            <w:pPr>
              <w:spacing w:before="0" w:after="0" w:line="240" w:lineRule="auto"/>
              <w:ind w:firstLine="0"/>
              <w:jc w:val="center"/>
              <w:rPr>
                <w:sz w:val="20"/>
                <w:szCs w:val="24"/>
                <w:lang w:eastAsia="vi-VN"/>
              </w:rPr>
            </w:pPr>
            <w:r w:rsidRPr="005C3E03">
              <w:rPr>
                <w:sz w:val="20"/>
                <w:szCs w:val="24"/>
                <w:lang w:eastAsia="vi-VN"/>
              </w:rPr>
              <w:t>-.03</w:t>
            </w:r>
          </w:p>
        </w:tc>
      </w:tr>
    </w:tbl>
    <w:p w:rsidR="008359CC" w:rsidRPr="005C3E03" w:rsidRDefault="008359CC" w:rsidP="008359CC">
      <w:r w:rsidRPr="005C3E03">
        <w:tab/>
        <w:t xml:space="preserve">Friedman's ANOVA analysis, which was applied to compare the frequencies of receiving disease alerts from media channels, provided </w:t>
      </w:r>
      <w:r w:rsidR="00824C65">
        <w:t>ꭓ</w:t>
      </w:r>
      <w:r w:rsidR="00824C65">
        <w:rPr>
          <w:vertAlign w:val="superscript"/>
        </w:rPr>
        <w:t>2</w:t>
      </w:r>
      <w:r w:rsidR="00CA3FEE" w:rsidRPr="005C3E03">
        <w:t>(</w:t>
      </w:r>
      <w:r w:rsidRPr="005C3E03">
        <w:t>8)=15,481, p&lt;.05. This result suggested there was at least one discrepancy exists between mean ranks (</w:t>
      </w:r>
      <w:r w:rsidRPr="005C3E03">
        <w:fldChar w:fldCharType="begin"/>
      </w:r>
      <w:r w:rsidRPr="005C3E03">
        <w:instrText xml:space="preserve"> REF _Ref71811755 \h  \* MERGEFORMAT </w:instrText>
      </w:r>
      <w:r w:rsidRPr="005C3E03">
        <w:fldChar w:fldCharType="separate"/>
      </w:r>
      <w:r w:rsidRPr="005C3E03">
        <w:t xml:space="preserve">Table </w:t>
      </w:r>
      <w:r w:rsidRPr="005C3E03">
        <w:rPr>
          <w:noProof/>
        </w:rPr>
        <w:t>4</w:t>
      </w:r>
      <w:r w:rsidRPr="005C3E03">
        <w:fldChar w:fldCharType="end"/>
      </w:r>
      <w:r w:rsidRPr="005C3E03">
        <w:t xml:space="preserve">). Running post hoc test (Friedman's ANOVA analysis for each pair of communication channels) and performing Bonferroni adjustments to p-values (p=.011 x 24= .264), the results showed that the differences between the mean ranks of all pairs were statistically significant, except for </w:t>
      </w:r>
      <w:r w:rsidR="00824C65">
        <w:t>one</w:t>
      </w:r>
      <w:r w:rsidRPr="005C3E03">
        <w:t xml:space="preserve"> pair: 'SMS '</w:t>
      </w:r>
      <w:r w:rsidR="00824C65">
        <w:t>and 'television/r</w:t>
      </w:r>
      <w:r w:rsidRPr="005C3E03">
        <w:t>adio'.</w:t>
      </w:r>
    </w:p>
    <w:p w:rsidR="008359CC" w:rsidRPr="005C3E03" w:rsidRDefault="008359CC" w:rsidP="00CA3FEE">
      <w:pPr>
        <w:pStyle w:val="ChthchBngbiu-Hnhv"/>
      </w:pPr>
      <w:bookmarkStart w:id="3" w:name="_Ref71811755"/>
      <w:r w:rsidRPr="005C3E03">
        <w:t xml:space="preserve">Table </w:t>
      </w:r>
      <w:r w:rsidRPr="005C3E03">
        <w:fldChar w:fldCharType="begin"/>
      </w:r>
      <w:r w:rsidRPr="005C3E03">
        <w:instrText xml:space="preserve"> SEQ Table \* ARABIC </w:instrText>
      </w:r>
      <w:r w:rsidRPr="005C3E03">
        <w:fldChar w:fldCharType="separate"/>
      </w:r>
      <w:r w:rsidR="00DD2133">
        <w:rPr>
          <w:noProof/>
        </w:rPr>
        <w:t>4</w:t>
      </w:r>
      <w:r w:rsidRPr="005C3E03">
        <w:fldChar w:fldCharType="end"/>
      </w:r>
      <w:bookmarkEnd w:id="3"/>
      <w:r w:rsidRPr="005C3E03">
        <w:t>. Frequencies of receiving disease alerts</w:t>
      </w:r>
      <w:r w:rsidR="00CA3FEE" w:rsidRPr="005C3E03">
        <w:t>.</w:t>
      </w:r>
    </w:p>
    <w:tbl>
      <w:tblPr>
        <w:tblW w:w="0" w:type="auto"/>
        <w:jc w:val="center"/>
        <w:tblLook w:val="04A0" w:firstRow="1" w:lastRow="0" w:firstColumn="1" w:lastColumn="0" w:noHBand="0" w:noVBand="1"/>
      </w:tblPr>
      <w:tblGrid>
        <w:gridCol w:w="5015"/>
        <w:gridCol w:w="730"/>
        <w:gridCol w:w="1166"/>
      </w:tblGrid>
      <w:tr w:rsidR="008359CC" w:rsidRPr="005C3E03" w:rsidTr="00CA3FEE">
        <w:trPr>
          <w:trHeight w:val="20"/>
          <w:tblHeader/>
          <w:jc w:val="center"/>
        </w:trPr>
        <w:tc>
          <w:tcPr>
            <w:tcW w:w="0" w:type="auto"/>
            <w:tcBorders>
              <w:top w:val="single" w:sz="4" w:space="0" w:color="auto"/>
              <w:bottom w:val="single" w:sz="4" w:space="0" w:color="auto"/>
            </w:tcBorders>
            <w:shd w:val="clear" w:color="auto" w:fill="auto"/>
            <w:noWrap/>
            <w:vAlign w:val="center"/>
            <w:hideMark/>
          </w:tcPr>
          <w:p w:rsidR="008359CC" w:rsidRPr="005C3E03" w:rsidRDefault="00824C65" w:rsidP="00CA3FEE">
            <w:pPr>
              <w:spacing w:before="0" w:after="0" w:line="240" w:lineRule="auto"/>
              <w:ind w:firstLine="172"/>
              <w:jc w:val="center"/>
              <w:rPr>
                <w:b/>
                <w:bCs/>
                <w:sz w:val="20"/>
                <w:lang w:eastAsia="vi-VN"/>
              </w:rPr>
            </w:pPr>
            <w:r>
              <w:rPr>
                <w:b/>
                <w:bCs/>
                <w:sz w:val="20"/>
                <w:lang w:eastAsia="vi-VN"/>
              </w:rPr>
              <w:t>Channel</w:t>
            </w:r>
          </w:p>
        </w:tc>
        <w:tc>
          <w:tcPr>
            <w:tcW w:w="0" w:type="auto"/>
            <w:tcBorders>
              <w:top w:val="single" w:sz="4" w:space="0" w:color="auto"/>
              <w:bottom w:val="single" w:sz="4" w:space="0" w:color="auto"/>
            </w:tcBorders>
            <w:vAlign w:val="center"/>
          </w:tcPr>
          <w:p w:rsidR="008359CC" w:rsidRPr="005C3E03" w:rsidRDefault="008359CC" w:rsidP="00CA3FEE">
            <w:pPr>
              <w:spacing w:before="0" w:after="0" w:line="240" w:lineRule="auto"/>
              <w:ind w:firstLine="25"/>
              <w:jc w:val="center"/>
              <w:rPr>
                <w:b/>
                <w:bCs/>
                <w:sz w:val="20"/>
                <w:lang w:eastAsia="vi-VN"/>
              </w:rPr>
            </w:pPr>
            <w:r w:rsidRPr="005C3E03">
              <w:rPr>
                <w:b/>
                <w:bCs/>
                <w:sz w:val="20"/>
                <w:lang w:eastAsia="vi-VN"/>
              </w:rPr>
              <w:t>Mean</w:t>
            </w:r>
          </w:p>
        </w:tc>
        <w:tc>
          <w:tcPr>
            <w:tcW w:w="0" w:type="auto"/>
            <w:tcBorders>
              <w:top w:val="single" w:sz="4" w:space="0" w:color="auto"/>
              <w:bottom w:val="single" w:sz="4" w:space="0" w:color="auto"/>
            </w:tcBorders>
            <w:shd w:val="clear" w:color="auto" w:fill="auto"/>
            <w:noWrap/>
            <w:vAlign w:val="center"/>
            <w:hideMark/>
          </w:tcPr>
          <w:p w:rsidR="008359CC" w:rsidRPr="005C3E03" w:rsidRDefault="008359CC" w:rsidP="00CA3FEE">
            <w:pPr>
              <w:spacing w:before="0" w:after="0" w:line="240" w:lineRule="auto"/>
              <w:ind w:firstLine="0"/>
              <w:jc w:val="center"/>
              <w:rPr>
                <w:b/>
                <w:bCs/>
                <w:sz w:val="20"/>
                <w:lang w:eastAsia="vi-VN"/>
              </w:rPr>
            </w:pPr>
            <w:r w:rsidRPr="005C3E03">
              <w:rPr>
                <w:b/>
                <w:bCs/>
                <w:sz w:val="20"/>
                <w:lang w:eastAsia="vi-VN"/>
              </w:rPr>
              <w:t>Mean rank</w:t>
            </w:r>
          </w:p>
        </w:tc>
      </w:tr>
      <w:tr w:rsidR="008359CC" w:rsidRPr="005C3E03" w:rsidTr="00CA3FEE">
        <w:trPr>
          <w:trHeight w:val="20"/>
          <w:jc w:val="center"/>
        </w:trPr>
        <w:tc>
          <w:tcPr>
            <w:tcW w:w="0" w:type="auto"/>
            <w:tcBorders>
              <w:top w:val="single" w:sz="4" w:space="0" w:color="auto"/>
            </w:tcBorders>
            <w:shd w:val="clear" w:color="auto" w:fill="auto"/>
            <w:noWrap/>
            <w:vAlign w:val="center"/>
            <w:hideMark/>
          </w:tcPr>
          <w:p w:rsidR="008359CC" w:rsidRPr="005C3E03" w:rsidRDefault="008359CC" w:rsidP="00CA3FEE">
            <w:pPr>
              <w:spacing w:before="0" w:after="0" w:line="240" w:lineRule="auto"/>
              <w:ind w:firstLine="172"/>
              <w:rPr>
                <w:sz w:val="20"/>
                <w:lang w:eastAsia="vi-VN"/>
              </w:rPr>
            </w:pPr>
            <w:r w:rsidRPr="005C3E03">
              <w:rPr>
                <w:sz w:val="20"/>
              </w:rPr>
              <w:t>Social network</w:t>
            </w:r>
          </w:p>
        </w:tc>
        <w:tc>
          <w:tcPr>
            <w:tcW w:w="0" w:type="auto"/>
            <w:tcBorders>
              <w:top w:val="single" w:sz="4" w:space="0" w:color="auto"/>
            </w:tcBorders>
            <w:vAlign w:val="center"/>
          </w:tcPr>
          <w:p w:rsidR="008359CC" w:rsidRPr="005C3E03" w:rsidRDefault="008359CC" w:rsidP="00CA3FEE">
            <w:pPr>
              <w:spacing w:before="0" w:after="0" w:line="240" w:lineRule="auto"/>
              <w:ind w:firstLine="25"/>
              <w:jc w:val="center"/>
              <w:rPr>
                <w:sz w:val="20"/>
                <w:lang w:eastAsia="vi-VN"/>
              </w:rPr>
            </w:pPr>
            <w:r w:rsidRPr="005C3E03">
              <w:rPr>
                <w:sz w:val="20"/>
                <w:lang w:eastAsia="vi-VN"/>
              </w:rPr>
              <w:t>4.89</w:t>
            </w:r>
          </w:p>
        </w:tc>
        <w:tc>
          <w:tcPr>
            <w:tcW w:w="0" w:type="auto"/>
            <w:tcBorders>
              <w:top w:val="single" w:sz="4" w:space="0" w:color="auto"/>
            </w:tcBorders>
            <w:shd w:val="clear" w:color="auto" w:fill="auto"/>
            <w:noWrap/>
            <w:vAlign w:val="center"/>
            <w:hideMark/>
          </w:tcPr>
          <w:p w:rsidR="008359CC" w:rsidRPr="005C3E03" w:rsidRDefault="008359CC" w:rsidP="00CA3FEE">
            <w:pPr>
              <w:spacing w:before="0" w:after="0" w:line="240" w:lineRule="auto"/>
              <w:ind w:firstLine="0"/>
              <w:jc w:val="center"/>
              <w:rPr>
                <w:sz w:val="20"/>
                <w:lang w:eastAsia="vi-VN"/>
              </w:rPr>
            </w:pPr>
            <w:r w:rsidRPr="005C3E03">
              <w:rPr>
                <w:sz w:val="20"/>
                <w:lang w:eastAsia="vi-VN"/>
              </w:rPr>
              <w:t>6.85</w:t>
            </w:r>
          </w:p>
        </w:tc>
      </w:tr>
      <w:tr w:rsidR="008359CC" w:rsidRPr="005C3E03" w:rsidTr="00CA3FEE">
        <w:trPr>
          <w:trHeight w:val="20"/>
          <w:jc w:val="center"/>
        </w:trPr>
        <w:tc>
          <w:tcPr>
            <w:tcW w:w="0" w:type="auto"/>
            <w:shd w:val="clear" w:color="auto" w:fill="auto"/>
            <w:noWrap/>
            <w:vAlign w:val="center"/>
            <w:hideMark/>
          </w:tcPr>
          <w:p w:rsidR="008359CC" w:rsidRPr="005C3E03" w:rsidRDefault="008359CC" w:rsidP="00CA3FEE">
            <w:pPr>
              <w:spacing w:before="0" w:after="0" w:line="240" w:lineRule="auto"/>
              <w:ind w:firstLine="172"/>
              <w:rPr>
                <w:sz w:val="20"/>
                <w:lang w:eastAsia="vi-VN"/>
              </w:rPr>
            </w:pPr>
            <w:r w:rsidRPr="005C3E03">
              <w:rPr>
                <w:sz w:val="20"/>
              </w:rPr>
              <w:t>SMS from the Ministry of Health and other state agencies</w:t>
            </w:r>
          </w:p>
        </w:tc>
        <w:tc>
          <w:tcPr>
            <w:tcW w:w="0" w:type="auto"/>
            <w:vAlign w:val="center"/>
          </w:tcPr>
          <w:p w:rsidR="008359CC" w:rsidRPr="005C3E03" w:rsidRDefault="008359CC" w:rsidP="00CA3FEE">
            <w:pPr>
              <w:spacing w:before="0" w:after="0" w:line="240" w:lineRule="auto"/>
              <w:ind w:firstLine="25"/>
              <w:jc w:val="center"/>
              <w:rPr>
                <w:sz w:val="20"/>
                <w:lang w:eastAsia="vi-VN"/>
              </w:rPr>
            </w:pPr>
            <w:r w:rsidRPr="005C3E03">
              <w:rPr>
                <w:sz w:val="20"/>
                <w:lang w:eastAsia="vi-VN"/>
              </w:rPr>
              <w:t>4.73</w:t>
            </w:r>
          </w:p>
        </w:tc>
        <w:tc>
          <w:tcPr>
            <w:tcW w:w="0" w:type="auto"/>
            <w:shd w:val="clear" w:color="auto" w:fill="auto"/>
            <w:noWrap/>
            <w:vAlign w:val="center"/>
            <w:hideMark/>
          </w:tcPr>
          <w:p w:rsidR="008359CC" w:rsidRPr="005C3E03" w:rsidRDefault="008359CC" w:rsidP="00CA3FEE">
            <w:pPr>
              <w:spacing w:before="0" w:after="0" w:line="240" w:lineRule="auto"/>
              <w:ind w:firstLine="0"/>
              <w:jc w:val="center"/>
              <w:rPr>
                <w:sz w:val="20"/>
                <w:lang w:eastAsia="vi-VN"/>
              </w:rPr>
            </w:pPr>
            <w:r w:rsidRPr="005C3E03">
              <w:rPr>
                <w:sz w:val="20"/>
                <w:lang w:eastAsia="vi-VN"/>
              </w:rPr>
              <w:t>6.36</w:t>
            </w:r>
          </w:p>
        </w:tc>
      </w:tr>
      <w:tr w:rsidR="008359CC" w:rsidRPr="005C3E03" w:rsidTr="00CA3FEE">
        <w:trPr>
          <w:trHeight w:val="20"/>
          <w:jc w:val="center"/>
        </w:trPr>
        <w:tc>
          <w:tcPr>
            <w:tcW w:w="0" w:type="auto"/>
            <w:shd w:val="clear" w:color="auto" w:fill="auto"/>
            <w:noWrap/>
            <w:vAlign w:val="center"/>
            <w:hideMark/>
          </w:tcPr>
          <w:p w:rsidR="008359CC" w:rsidRPr="005C3E03" w:rsidRDefault="008359CC" w:rsidP="00CA3FEE">
            <w:pPr>
              <w:spacing w:before="0" w:after="0" w:line="240" w:lineRule="auto"/>
              <w:ind w:firstLine="172"/>
              <w:rPr>
                <w:sz w:val="20"/>
                <w:lang w:eastAsia="vi-VN"/>
              </w:rPr>
            </w:pPr>
            <w:r w:rsidRPr="005C3E03">
              <w:rPr>
                <w:sz w:val="20"/>
              </w:rPr>
              <w:t>Television/Radio</w:t>
            </w:r>
          </w:p>
        </w:tc>
        <w:tc>
          <w:tcPr>
            <w:tcW w:w="0" w:type="auto"/>
            <w:vAlign w:val="center"/>
          </w:tcPr>
          <w:p w:rsidR="008359CC" w:rsidRPr="005C3E03" w:rsidRDefault="008359CC" w:rsidP="00CA3FEE">
            <w:pPr>
              <w:spacing w:before="0" w:after="0" w:line="240" w:lineRule="auto"/>
              <w:ind w:firstLine="25"/>
              <w:jc w:val="center"/>
              <w:rPr>
                <w:sz w:val="20"/>
                <w:lang w:eastAsia="vi-VN"/>
              </w:rPr>
            </w:pPr>
            <w:r w:rsidRPr="005C3E03">
              <w:rPr>
                <w:sz w:val="20"/>
                <w:lang w:eastAsia="vi-VN"/>
              </w:rPr>
              <w:t>4.58</w:t>
            </w:r>
          </w:p>
        </w:tc>
        <w:tc>
          <w:tcPr>
            <w:tcW w:w="0" w:type="auto"/>
            <w:shd w:val="clear" w:color="auto" w:fill="auto"/>
            <w:noWrap/>
            <w:vAlign w:val="center"/>
            <w:hideMark/>
          </w:tcPr>
          <w:p w:rsidR="008359CC" w:rsidRPr="005C3E03" w:rsidRDefault="008359CC" w:rsidP="00CA3FEE">
            <w:pPr>
              <w:spacing w:before="0" w:after="0" w:line="240" w:lineRule="auto"/>
              <w:ind w:firstLine="0"/>
              <w:jc w:val="center"/>
              <w:rPr>
                <w:sz w:val="20"/>
                <w:lang w:eastAsia="vi-VN"/>
              </w:rPr>
            </w:pPr>
            <w:r w:rsidRPr="005C3E03">
              <w:rPr>
                <w:sz w:val="20"/>
                <w:lang w:eastAsia="vi-VN"/>
              </w:rPr>
              <w:t>6.15</w:t>
            </w:r>
          </w:p>
        </w:tc>
      </w:tr>
      <w:tr w:rsidR="008359CC" w:rsidRPr="005C3E03" w:rsidTr="00CA3FEE">
        <w:trPr>
          <w:trHeight w:val="20"/>
          <w:jc w:val="center"/>
        </w:trPr>
        <w:tc>
          <w:tcPr>
            <w:tcW w:w="0" w:type="auto"/>
            <w:shd w:val="clear" w:color="auto" w:fill="auto"/>
            <w:noWrap/>
            <w:vAlign w:val="center"/>
            <w:hideMark/>
          </w:tcPr>
          <w:p w:rsidR="008359CC" w:rsidRPr="005C3E03" w:rsidRDefault="00824C65" w:rsidP="00824C65">
            <w:pPr>
              <w:spacing w:before="0" w:after="0" w:line="240" w:lineRule="auto"/>
              <w:ind w:firstLine="172"/>
              <w:rPr>
                <w:sz w:val="20"/>
                <w:lang w:eastAsia="vi-VN"/>
              </w:rPr>
            </w:pPr>
            <w:r>
              <w:rPr>
                <w:sz w:val="20"/>
              </w:rPr>
              <w:t>Health apps</w:t>
            </w:r>
          </w:p>
        </w:tc>
        <w:tc>
          <w:tcPr>
            <w:tcW w:w="0" w:type="auto"/>
            <w:vAlign w:val="center"/>
          </w:tcPr>
          <w:p w:rsidR="008359CC" w:rsidRPr="005C3E03" w:rsidRDefault="008359CC" w:rsidP="00CA3FEE">
            <w:pPr>
              <w:spacing w:before="0" w:after="0" w:line="240" w:lineRule="auto"/>
              <w:ind w:firstLine="25"/>
              <w:jc w:val="center"/>
              <w:rPr>
                <w:sz w:val="20"/>
                <w:lang w:eastAsia="vi-VN"/>
              </w:rPr>
            </w:pPr>
            <w:r w:rsidRPr="005C3E03">
              <w:rPr>
                <w:sz w:val="20"/>
                <w:lang w:eastAsia="vi-VN"/>
              </w:rPr>
              <w:t>4.44</w:t>
            </w:r>
          </w:p>
        </w:tc>
        <w:tc>
          <w:tcPr>
            <w:tcW w:w="0" w:type="auto"/>
            <w:shd w:val="clear" w:color="auto" w:fill="auto"/>
            <w:noWrap/>
            <w:vAlign w:val="center"/>
            <w:hideMark/>
          </w:tcPr>
          <w:p w:rsidR="008359CC" w:rsidRPr="005C3E03" w:rsidRDefault="008359CC" w:rsidP="00CA3FEE">
            <w:pPr>
              <w:spacing w:before="0" w:after="0" w:line="240" w:lineRule="auto"/>
              <w:ind w:firstLine="0"/>
              <w:jc w:val="center"/>
              <w:rPr>
                <w:sz w:val="20"/>
                <w:lang w:eastAsia="vi-VN"/>
              </w:rPr>
            </w:pPr>
            <w:r w:rsidRPr="005C3E03">
              <w:rPr>
                <w:sz w:val="20"/>
                <w:lang w:eastAsia="vi-VN"/>
              </w:rPr>
              <w:t>5.90</w:t>
            </w:r>
          </w:p>
        </w:tc>
      </w:tr>
      <w:tr w:rsidR="008359CC" w:rsidRPr="005C3E03" w:rsidTr="00CA3FEE">
        <w:trPr>
          <w:trHeight w:val="20"/>
          <w:jc w:val="center"/>
        </w:trPr>
        <w:tc>
          <w:tcPr>
            <w:tcW w:w="0" w:type="auto"/>
            <w:shd w:val="clear" w:color="auto" w:fill="auto"/>
            <w:noWrap/>
            <w:vAlign w:val="center"/>
            <w:hideMark/>
          </w:tcPr>
          <w:p w:rsidR="008359CC" w:rsidRPr="005C3E03" w:rsidRDefault="008359CC" w:rsidP="00CA3FEE">
            <w:pPr>
              <w:spacing w:before="0" w:after="0" w:line="240" w:lineRule="auto"/>
              <w:ind w:firstLine="172"/>
              <w:rPr>
                <w:sz w:val="20"/>
                <w:lang w:eastAsia="vi-VN"/>
              </w:rPr>
            </w:pPr>
            <w:r w:rsidRPr="005C3E03">
              <w:rPr>
                <w:sz w:val="20"/>
              </w:rPr>
              <w:t>Word-of-mouth conversations</w:t>
            </w:r>
          </w:p>
        </w:tc>
        <w:tc>
          <w:tcPr>
            <w:tcW w:w="0" w:type="auto"/>
            <w:vAlign w:val="center"/>
          </w:tcPr>
          <w:p w:rsidR="008359CC" w:rsidRPr="005C3E03" w:rsidRDefault="008359CC" w:rsidP="00CA3FEE">
            <w:pPr>
              <w:spacing w:before="0" w:after="0" w:line="240" w:lineRule="auto"/>
              <w:ind w:firstLine="25"/>
              <w:jc w:val="center"/>
              <w:rPr>
                <w:sz w:val="20"/>
                <w:lang w:eastAsia="vi-VN"/>
              </w:rPr>
            </w:pPr>
            <w:r w:rsidRPr="005C3E03">
              <w:rPr>
                <w:sz w:val="20"/>
                <w:lang w:eastAsia="vi-VN"/>
              </w:rPr>
              <w:t>4.12</w:t>
            </w:r>
          </w:p>
        </w:tc>
        <w:tc>
          <w:tcPr>
            <w:tcW w:w="0" w:type="auto"/>
            <w:shd w:val="clear" w:color="auto" w:fill="auto"/>
            <w:noWrap/>
            <w:vAlign w:val="center"/>
            <w:hideMark/>
          </w:tcPr>
          <w:p w:rsidR="008359CC" w:rsidRPr="005C3E03" w:rsidRDefault="008359CC" w:rsidP="00CA3FEE">
            <w:pPr>
              <w:spacing w:before="0" w:after="0" w:line="240" w:lineRule="auto"/>
              <w:ind w:firstLine="0"/>
              <w:jc w:val="center"/>
              <w:rPr>
                <w:sz w:val="20"/>
                <w:lang w:eastAsia="vi-VN"/>
              </w:rPr>
            </w:pPr>
            <w:r w:rsidRPr="005C3E03">
              <w:rPr>
                <w:sz w:val="20"/>
                <w:lang w:eastAsia="vi-VN"/>
              </w:rPr>
              <w:t>5.26</w:t>
            </w:r>
          </w:p>
        </w:tc>
      </w:tr>
      <w:tr w:rsidR="008359CC" w:rsidRPr="005C3E03" w:rsidTr="00CA3FEE">
        <w:trPr>
          <w:trHeight w:val="20"/>
          <w:jc w:val="center"/>
        </w:trPr>
        <w:tc>
          <w:tcPr>
            <w:tcW w:w="0" w:type="auto"/>
            <w:shd w:val="clear" w:color="auto" w:fill="auto"/>
            <w:noWrap/>
            <w:vAlign w:val="center"/>
            <w:hideMark/>
          </w:tcPr>
          <w:p w:rsidR="008359CC" w:rsidRPr="005C3E03" w:rsidRDefault="008359CC" w:rsidP="00CA3FEE">
            <w:pPr>
              <w:spacing w:before="0" w:after="0" w:line="240" w:lineRule="auto"/>
              <w:ind w:firstLine="172"/>
              <w:rPr>
                <w:sz w:val="20"/>
                <w:lang w:eastAsia="vi-VN"/>
              </w:rPr>
            </w:pPr>
            <w:r w:rsidRPr="005C3E03">
              <w:rPr>
                <w:sz w:val="20"/>
              </w:rPr>
              <w:t>Website of state agencies</w:t>
            </w:r>
          </w:p>
        </w:tc>
        <w:tc>
          <w:tcPr>
            <w:tcW w:w="0" w:type="auto"/>
            <w:vAlign w:val="center"/>
          </w:tcPr>
          <w:p w:rsidR="008359CC" w:rsidRPr="005C3E03" w:rsidRDefault="008359CC" w:rsidP="00CA3FEE">
            <w:pPr>
              <w:spacing w:before="0" w:after="0" w:line="240" w:lineRule="auto"/>
              <w:ind w:firstLine="25"/>
              <w:jc w:val="center"/>
              <w:rPr>
                <w:sz w:val="20"/>
                <w:lang w:eastAsia="vi-VN"/>
              </w:rPr>
            </w:pPr>
            <w:r w:rsidRPr="005C3E03">
              <w:rPr>
                <w:sz w:val="20"/>
                <w:lang w:eastAsia="vi-VN"/>
              </w:rPr>
              <w:t>3.92</w:t>
            </w:r>
          </w:p>
        </w:tc>
        <w:tc>
          <w:tcPr>
            <w:tcW w:w="0" w:type="auto"/>
            <w:shd w:val="clear" w:color="auto" w:fill="auto"/>
            <w:noWrap/>
            <w:vAlign w:val="center"/>
            <w:hideMark/>
          </w:tcPr>
          <w:p w:rsidR="008359CC" w:rsidRPr="005C3E03" w:rsidRDefault="008359CC" w:rsidP="00CA3FEE">
            <w:pPr>
              <w:spacing w:before="0" w:after="0" w:line="240" w:lineRule="auto"/>
              <w:ind w:firstLine="0"/>
              <w:jc w:val="center"/>
              <w:rPr>
                <w:sz w:val="20"/>
                <w:lang w:eastAsia="vi-VN"/>
              </w:rPr>
            </w:pPr>
            <w:r w:rsidRPr="005C3E03">
              <w:rPr>
                <w:sz w:val="20"/>
                <w:lang w:eastAsia="vi-VN"/>
              </w:rPr>
              <w:t>4.75</w:t>
            </w:r>
          </w:p>
        </w:tc>
      </w:tr>
      <w:tr w:rsidR="008359CC" w:rsidRPr="005C3E03" w:rsidTr="00CA3FEE">
        <w:trPr>
          <w:trHeight w:val="20"/>
          <w:jc w:val="center"/>
        </w:trPr>
        <w:tc>
          <w:tcPr>
            <w:tcW w:w="0" w:type="auto"/>
            <w:shd w:val="clear" w:color="auto" w:fill="auto"/>
            <w:noWrap/>
            <w:vAlign w:val="center"/>
            <w:hideMark/>
          </w:tcPr>
          <w:p w:rsidR="008359CC" w:rsidRPr="005C3E03" w:rsidRDefault="008359CC" w:rsidP="00CA3FEE">
            <w:pPr>
              <w:spacing w:before="0" w:after="0" w:line="240" w:lineRule="auto"/>
              <w:ind w:firstLine="172"/>
              <w:rPr>
                <w:sz w:val="20"/>
                <w:lang w:eastAsia="vi-VN"/>
              </w:rPr>
            </w:pPr>
            <w:r w:rsidRPr="005C3E03">
              <w:rPr>
                <w:sz w:val="20"/>
              </w:rPr>
              <w:lastRenderedPageBreak/>
              <w:t>Website of non-state agencies</w:t>
            </w:r>
          </w:p>
        </w:tc>
        <w:tc>
          <w:tcPr>
            <w:tcW w:w="0" w:type="auto"/>
            <w:vAlign w:val="center"/>
          </w:tcPr>
          <w:p w:rsidR="008359CC" w:rsidRPr="005C3E03" w:rsidRDefault="008359CC" w:rsidP="00CA3FEE">
            <w:pPr>
              <w:spacing w:before="0" w:after="0" w:line="240" w:lineRule="auto"/>
              <w:ind w:firstLine="25"/>
              <w:jc w:val="center"/>
              <w:rPr>
                <w:sz w:val="20"/>
                <w:lang w:eastAsia="vi-VN"/>
              </w:rPr>
            </w:pPr>
            <w:r w:rsidRPr="005C3E03">
              <w:rPr>
                <w:sz w:val="20"/>
                <w:lang w:eastAsia="vi-VN"/>
              </w:rPr>
              <w:t>2.23</w:t>
            </w:r>
          </w:p>
        </w:tc>
        <w:tc>
          <w:tcPr>
            <w:tcW w:w="0" w:type="auto"/>
            <w:shd w:val="clear" w:color="auto" w:fill="auto"/>
            <w:noWrap/>
            <w:vAlign w:val="center"/>
            <w:hideMark/>
          </w:tcPr>
          <w:p w:rsidR="008359CC" w:rsidRPr="005C3E03" w:rsidRDefault="008359CC" w:rsidP="00CA3FEE">
            <w:pPr>
              <w:spacing w:before="0" w:after="0" w:line="240" w:lineRule="auto"/>
              <w:ind w:firstLine="0"/>
              <w:jc w:val="center"/>
              <w:rPr>
                <w:sz w:val="20"/>
                <w:lang w:eastAsia="vi-VN"/>
              </w:rPr>
            </w:pPr>
            <w:r w:rsidRPr="005C3E03">
              <w:rPr>
                <w:sz w:val="20"/>
                <w:lang w:eastAsia="vi-VN"/>
              </w:rPr>
              <w:t>3.67</w:t>
            </w:r>
          </w:p>
        </w:tc>
      </w:tr>
      <w:tr w:rsidR="008359CC" w:rsidRPr="005C3E03" w:rsidTr="00CA3FEE">
        <w:trPr>
          <w:trHeight w:val="20"/>
          <w:jc w:val="center"/>
        </w:trPr>
        <w:tc>
          <w:tcPr>
            <w:tcW w:w="0" w:type="auto"/>
            <w:shd w:val="clear" w:color="auto" w:fill="auto"/>
            <w:noWrap/>
            <w:vAlign w:val="center"/>
            <w:hideMark/>
          </w:tcPr>
          <w:p w:rsidR="008359CC" w:rsidRPr="005C3E03" w:rsidRDefault="008359CC" w:rsidP="00CA3FEE">
            <w:pPr>
              <w:spacing w:before="0" w:after="0" w:line="240" w:lineRule="auto"/>
              <w:ind w:firstLine="172"/>
              <w:rPr>
                <w:sz w:val="20"/>
                <w:lang w:eastAsia="vi-VN"/>
              </w:rPr>
            </w:pPr>
            <w:r w:rsidRPr="005C3E03">
              <w:rPr>
                <w:sz w:val="20"/>
              </w:rPr>
              <w:t>Bulletin boards on the streets</w:t>
            </w:r>
          </w:p>
        </w:tc>
        <w:tc>
          <w:tcPr>
            <w:tcW w:w="0" w:type="auto"/>
            <w:vAlign w:val="center"/>
          </w:tcPr>
          <w:p w:rsidR="008359CC" w:rsidRPr="005C3E03" w:rsidRDefault="008359CC" w:rsidP="00CA3FEE">
            <w:pPr>
              <w:spacing w:before="0" w:after="0" w:line="240" w:lineRule="auto"/>
              <w:ind w:firstLine="25"/>
              <w:jc w:val="center"/>
              <w:rPr>
                <w:sz w:val="20"/>
                <w:lang w:eastAsia="vi-VN"/>
              </w:rPr>
            </w:pPr>
            <w:r w:rsidRPr="005C3E03">
              <w:rPr>
                <w:sz w:val="20"/>
                <w:lang w:eastAsia="vi-VN"/>
              </w:rPr>
              <w:t>3.10</w:t>
            </w:r>
          </w:p>
        </w:tc>
        <w:tc>
          <w:tcPr>
            <w:tcW w:w="0" w:type="auto"/>
            <w:shd w:val="clear" w:color="auto" w:fill="auto"/>
            <w:noWrap/>
            <w:vAlign w:val="center"/>
            <w:hideMark/>
          </w:tcPr>
          <w:p w:rsidR="008359CC" w:rsidRPr="005C3E03" w:rsidRDefault="008359CC" w:rsidP="00CA3FEE">
            <w:pPr>
              <w:spacing w:before="0" w:after="0" w:line="240" w:lineRule="auto"/>
              <w:ind w:firstLine="0"/>
              <w:jc w:val="center"/>
              <w:rPr>
                <w:sz w:val="20"/>
                <w:lang w:eastAsia="vi-VN"/>
              </w:rPr>
            </w:pPr>
            <w:r w:rsidRPr="005C3E03">
              <w:rPr>
                <w:sz w:val="20"/>
                <w:lang w:eastAsia="vi-VN"/>
              </w:rPr>
              <w:t>3.37</w:t>
            </w:r>
          </w:p>
        </w:tc>
      </w:tr>
      <w:tr w:rsidR="008359CC" w:rsidRPr="005C3E03" w:rsidTr="00CA3FEE">
        <w:trPr>
          <w:trHeight w:val="20"/>
          <w:jc w:val="center"/>
        </w:trPr>
        <w:tc>
          <w:tcPr>
            <w:tcW w:w="0" w:type="auto"/>
            <w:tcBorders>
              <w:bottom w:val="single" w:sz="4" w:space="0" w:color="auto"/>
            </w:tcBorders>
            <w:shd w:val="clear" w:color="auto" w:fill="auto"/>
            <w:noWrap/>
            <w:vAlign w:val="center"/>
            <w:hideMark/>
          </w:tcPr>
          <w:p w:rsidR="008359CC" w:rsidRPr="005C3E03" w:rsidRDefault="002A02C3" w:rsidP="00CA3FEE">
            <w:pPr>
              <w:spacing w:before="0" w:after="0" w:line="240" w:lineRule="auto"/>
              <w:ind w:firstLine="172"/>
              <w:rPr>
                <w:sz w:val="20"/>
                <w:lang w:eastAsia="vi-VN"/>
              </w:rPr>
            </w:pPr>
            <w:r w:rsidRPr="005C3E03">
              <w:rPr>
                <w:sz w:val="20"/>
              </w:rPr>
              <w:t>Printed media</w:t>
            </w:r>
          </w:p>
        </w:tc>
        <w:tc>
          <w:tcPr>
            <w:tcW w:w="0" w:type="auto"/>
            <w:tcBorders>
              <w:bottom w:val="single" w:sz="4" w:space="0" w:color="auto"/>
            </w:tcBorders>
            <w:vAlign w:val="center"/>
          </w:tcPr>
          <w:p w:rsidR="008359CC" w:rsidRPr="005C3E03" w:rsidRDefault="008359CC" w:rsidP="00CA3FEE">
            <w:pPr>
              <w:spacing w:before="0" w:after="0" w:line="240" w:lineRule="auto"/>
              <w:ind w:firstLine="25"/>
              <w:jc w:val="center"/>
              <w:rPr>
                <w:sz w:val="20"/>
                <w:lang w:eastAsia="vi-VN"/>
              </w:rPr>
            </w:pPr>
            <w:r w:rsidRPr="005C3E03">
              <w:rPr>
                <w:sz w:val="20"/>
                <w:lang w:eastAsia="vi-VN"/>
              </w:rPr>
              <w:t>2.51</w:t>
            </w:r>
          </w:p>
        </w:tc>
        <w:tc>
          <w:tcPr>
            <w:tcW w:w="0" w:type="auto"/>
            <w:tcBorders>
              <w:bottom w:val="single" w:sz="4" w:space="0" w:color="auto"/>
            </w:tcBorders>
            <w:shd w:val="clear" w:color="auto" w:fill="auto"/>
            <w:noWrap/>
            <w:vAlign w:val="center"/>
            <w:hideMark/>
          </w:tcPr>
          <w:p w:rsidR="008359CC" w:rsidRPr="005C3E03" w:rsidRDefault="008359CC" w:rsidP="00CA3FEE">
            <w:pPr>
              <w:spacing w:before="0" w:after="0" w:line="240" w:lineRule="auto"/>
              <w:ind w:firstLine="0"/>
              <w:jc w:val="center"/>
              <w:rPr>
                <w:sz w:val="20"/>
                <w:lang w:eastAsia="vi-VN"/>
              </w:rPr>
            </w:pPr>
            <w:r w:rsidRPr="005C3E03">
              <w:rPr>
                <w:sz w:val="20"/>
                <w:lang w:eastAsia="vi-VN"/>
              </w:rPr>
              <w:t>2.68</w:t>
            </w:r>
          </w:p>
        </w:tc>
      </w:tr>
    </w:tbl>
    <w:p w:rsidR="008359CC" w:rsidRPr="005C3E03" w:rsidRDefault="008359CC" w:rsidP="008359CC">
      <w:r w:rsidRPr="005C3E03">
        <w:tab/>
        <w:t xml:space="preserve">In terms of the usefulness of media channels in warning diseases, Friedman's ANOVA analysis provided </w:t>
      </w:r>
      <w:r w:rsidR="00824C65">
        <w:t>ꭓ</w:t>
      </w:r>
      <w:r w:rsidR="00824C65">
        <w:rPr>
          <w:vertAlign w:val="superscript"/>
        </w:rPr>
        <w:t>2</w:t>
      </w:r>
      <w:r w:rsidRPr="005C3E03">
        <w:t>(8)=14,516, p&lt;.05, which revealed that there was at least one discrepancy exists between mean ranks (</w:t>
      </w:r>
      <w:r w:rsidRPr="005C3E03">
        <w:fldChar w:fldCharType="begin"/>
      </w:r>
      <w:r w:rsidRPr="005C3E03">
        <w:instrText xml:space="preserve"> REF _Ref71811774 \h  \* MERGEFORMAT </w:instrText>
      </w:r>
      <w:r w:rsidRPr="005C3E03">
        <w:fldChar w:fldCharType="separate"/>
      </w:r>
      <w:r w:rsidRPr="005C3E03">
        <w:t xml:space="preserve">Table </w:t>
      </w:r>
      <w:r w:rsidRPr="005C3E03">
        <w:rPr>
          <w:noProof/>
        </w:rPr>
        <w:t>5</w:t>
      </w:r>
      <w:r w:rsidRPr="005C3E03">
        <w:fldChar w:fldCharType="end"/>
      </w:r>
      <w:r w:rsidRPr="005C3E03">
        <w:t>). Furthermore, the results of the post hoc test showed that the differences between the mean ranks of all pairs were statistically signifi</w:t>
      </w:r>
      <w:r w:rsidR="00824C65">
        <w:t>cant, except for two pairs: 'newspaper/magazines' and 'b</w:t>
      </w:r>
      <w:r w:rsidRPr="005C3E03">
        <w:t>ulletin boards on the streets</w:t>
      </w:r>
      <w:r w:rsidRPr="005C3E03">
        <w:rPr>
          <w:lang w:eastAsia="vi-VN"/>
        </w:rPr>
        <w:t>', '</w:t>
      </w:r>
      <w:r w:rsidR="00824C65">
        <w:t>s</w:t>
      </w:r>
      <w:r w:rsidRPr="005C3E03">
        <w:t>ocia</w:t>
      </w:r>
      <w:r w:rsidR="00824C65">
        <w:t>l network' and 'health apps</w:t>
      </w:r>
      <w:r w:rsidRPr="005C3E03">
        <w:rPr>
          <w:lang w:eastAsia="vi-VN"/>
        </w:rPr>
        <w:t xml:space="preserve">' </w:t>
      </w:r>
      <w:r w:rsidRPr="005C3E03">
        <w:t>(p</w:t>
      </w:r>
      <w:r w:rsidRPr="005C3E03">
        <w:rPr>
          <w:rFonts w:ascii="Cambria Math" w:hAnsi="Cambria Math" w:cs="Cambria Math"/>
        </w:rPr>
        <w:t>≅</w:t>
      </w:r>
      <w:r w:rsidRPr="005C3E03">
        <w:t>1).</w:t>
      </w:r>
    </w:p>
    <w:p w:rsidR="008359CC" w:rsidRPr="005C3E03" w:rsidRDefault="008359CC" w:rsidP="00CA3FEE">
      <w:pPr>
        <w:pStyle w:val="ChthchBngbiu-Hnhv"/>
      </w:pPr>
      <w:bookmarkStart w:id="4" w:name="_Ref71811774"/>
      <w:r w:rsidRPr="005C3E03">
        <w:t xml:space="preserve">Table </w:t>
      </w:r>
      <w:r w:rsidRPr="005C3E03">
        <w:fldChar w:fldCharType="begin"/>
      </w:r>
      <w:r w:rsidRPr="005C3E03">
        <w:instrText xml:space="preserve"> SEQ Table \* ARABIC </w:instrText>
      </w:r>
      <w:r w:rsidRPr="005C3E03">
        <w:fldChar w:fldCharType="separate"/>
      </w:r>
      <w:r w:rsidR="00DD2133">
        <w:rPr>
          <w:noProof/>
        </w:rPr>
        <w:t>5</w:t>
      </w:r>
      <w:r w:rsidRPr="005C3E03">
        <w:fldChar w:fldCharType="end"/>
      </w:r>
      <w:bookmarkEnd w:id="4"/>
      <w:r w:rsidRPr="005C3E03">
        <w:t xml:space="preserve">. </w:t>
      </w:r>
      <w:r w:rsidRPr="005C3E03">
        <w:rPr>
          <w:lang w:eastAsia="vi-VN"/>
        </w:rPr>
        <w:t xml:space="preserve">The usefulness </w:t>
      </w:r>
      <w:r w:rsidRPr="005C3E03">
        <w:t xml:space="preserve">of different channels </w:t>
      </w:r>
      <w:r w:rsidRPr="005C3E03">
        <w:rPr>
          <w:lang w:eastAsia="vi-VN"/>
        </w:rPr>
        <w:t xml:space="preserve">in </w:t>
      </w:r>
      <w:r w:rsidR="00CA3FEE" w:rsidRPr="005C3E03">
        <w:t>warning diseases.</w:t>
      </w:r>
    </w:p>
    <w:tbl>
      <w:tblPr>
        <w:tblW w:w="0" w:type="auto"/>
        <w:jc w:val="center"/>
        <w:tblLook w:val="04A0" w:firstRow="1" w:lastRow="0" w:firstColumn="1" w:lastColumn="0" w:noHBand="0" w:noVBand="1"/>
      </w:tblPr>
      <w:tblGrid>
        <w:gridCol w:w="5025"/>
        <w:gridCol w:w="738"/>
        <w:gridCol w:w="1204"/>
      </w:tblGrid>
      <w:tr w:rsidR="008359CC" w:rsidRPr="005C3E03" w:rsidTr="00CA3FEE">
        <w:trPr>
          <w:trHeight w:val="20"/>
          <w:jc w:val="center"/>
        </w:trPr>
        <w:tc>
          <w:tcPr>
            <w:tcW w:w="0" w:type="auto"/>
            <w:tcBorders>
              <w:top w:val="single" w:sz="4" w:space="0" w:color="auto"/>
              <w:bottom w:val="single" w:sz="4" w:space="0" w:color="auto"/>
            </w:tcBorders>
            <w:shd w:val="clear" w:color="auto" w:fill="auto"/>
            <w:noWrap/>
            <w:vAlign w:val="center"/>
            <w:hideMark/>
          </w:tcPr>
          <w:p w:rsidR="008359CC" w:rsidRPr="005C3E03" w:rsidRDefault="00824C65" w:rsidP="00CA3FEE">
            <w:pPr>
              <w:spacing w:before="0" w:after="0" w:line="240" w:lineRule="auto"/>
              <w:ind w:firstLine="182"/>
              <w:jc w:val="center"/>
              <w:rPr>
                <w:b/>
                <w:sz w:val="20"/>
                <w:lang w:eastAsia="vi-VN"/>
              </w:rPr>
            </w:pPr>
            <w:r>
              <w:rPr>
                <w:b/>
                <w:bCs/>
                <w:sz w:val="20"/>
                <w:lang w:eastAsia="vi-VN"/>
              </w:rPr>
              <w:t>Channel</w:t>
            </w:r>
          </w:p>
        </w:tc>
        <w:tc>
          <w:tcPr>
            <w:tcW w:w="0" w:type="auto"/>
            <w:tcBorders>
              <w:top w:val="single" w:sz="4" w:space="0" w:color="auto"/>
              <w:bottom w:val="single" w:sz="4" w:space="0" w:color="auto"/>
            </w:tcBorders>
            <w:vAlign w:val="center"/>
          </w:tcPr>
          <w:p w:rsidR="008359CC" w:rsidRPr="005C3E03" w:rsidRDefault="008359CC" w:rsidP="00CA3FEE">
            <w:pPr>
              <w:spacing w:before="0" w:after="0" w:line="240" w:lineRule="auto"/>
              <w:ind w:firstLine="33"/>
              <w:jc w:val="center"/>
              <w:rPr>
                <w:b/>
                <w:sz w:val="20"/>
                <w:lang w:eastAsia="vi-VN"/>
              </w:rPr>
            </w:pPr>
            <w:r w:rsidRPr="005C3E03">
              <w:rPr>
                <w:b/>
                <w:sz w:val="20"/>
                <w:lang w:eastAsia="vi-VN"/>
              </w:rPr>
              <w:t>Mean</w:t>
            </w:r>
          </w:p>
        </w:tc>
        <w:tc>
          <w:tcPr>
            <w:tcW w:w="0" w:type="auto"/>
            <w:tcBorders>
              <w:top w:val="single" w:sz="4" w:space="0" w:color="auto"/>
              <w:bottom w:val="single" w:sz="4" w:space="0" w:color="auto"/>
            </w:tcBorders>
            <w:shd w:val="clear" w:color="auto" w:fill="auto"/>
            <w:noWrap/>
            <w:vAlign w:val="center"/>
            <w:hideMark/>
          </w:tcPr>
          <w:p w:rsidR="008359CC" w:rsidRPr="005C3E03" w:rsidRDefault="008359CC" w:rsidP="00CA3FEE">
            <w:pPr>
              <w:spacing w:before="0" w:after="0" w:line="240" w:lineRule="auto"/>
              <w:ind w:firstLine="37"/>
              <w:jc w:val="center"/>
              <w:rPr>
                <w:b/>
                <w:sz w:val="20"/>
                <w:lang w:eastAsia="vi-VN"/>
              </w:rPr>
            </w:pPr>
            <w:r w:rsidRPr="005C3E03">
              <w:rPr>
                <w:b/>
                <w:sz w:val="20"/>
                <w:lang w:eastAsia="vi-VN"/>
              </w:rPr>
              <w:t>Mean rank</w:t>
            </w:r>
          </w:p>
        </w:tc>
      </w:tr>
      <w:tr w:rsidR="008359CC" w:rsidRPr="005C3E03" w:rsidTr="00CA3FEE">
        <w:trPr>
          <w:trHeight w:val="20"/>
          <w:jc w:val="center"/>
        </w:trPr>
        <w:tc>
          <w:tcPr>
            <w:tcW w:w="0" w:type="auto"/>
            <w:tcBorders>
              <w:top w:val="single" w:sz="4" w:space="0" w:color="auto"/>
            </w:tcBorders>
            <w:shd w:val="clear" w:color="auto" w:fill="auto"/>
            <w:noWrap/>
            <w:vAlign w:val="center"/>
            <w:hideMark/>
          </w:tcPr>
          <w:p w:rsidR="008359CC" w:rsidRPr="005C3E03" w:rsidRDefault="008359CC" w:rsidP="00CA3FEE">
            <w:pPr>
              <w:spacing w:before="0" w:after="0" w:line="240" w:lineRule="auto"/>
              <w:ind w:firstLine="182"/>
              <w:rPr>
                <w:sz w:val="20"/>
                <w:lang w:eastAsia="vi-VN"/>
              </w:rPr>
            </w:pPr>
            <w:r w:rsidRPr="005C3E03">
              <w:rPr>
                <w:sz w:val="20"/>
              </w:rPr>
              <w:t>SMS from the Ministry of Health and other state agencies</w:t>
            </w:r>
          </w:p>
        </w:tc>
        <w:tc>
          <w:tcPr>
            <w:tcW w:w="0" w:type="auto"/>
            <w:tcBorders>
              <w:top w:val="single" w:sz="4" w:space="0" w:color="auto"/>
            </w:tcBorders>
            <w:vAlign w:val="center"/>
          </w:tcPr>
          <w:p w:rsidR="008359CC" w:rsidRPr="005C3E03" w:rsidRDefault="008359CC" w:rsidP="00CA3FEE">
            <w:pPr>
              <w:spacing w:before="0" w:after="0" w:line="240" w:lineRule="auto"/>
              <w:ind w:firstLine="33"/>
              <w:jc w:val="center"/>
              <w:rPr>
                <w:sz w:val="20"/>
                <w:lang w:eastAsia="vi-VN"/>
              </w:rPr>
            </w:pPr>
            <w:r w:rsidRPr="005C3E03">
              <w:rPr>
                <w:sz w:val="20"/>
                <w:lang w:eastAsia="vi-VN"/>
              </w:rPr>
              <w:t>4.70</w:t>
            </w:r>
          </w:p>
        </w:tc>
        <w:tc>
          <w:tcPr>
            <w:tcW w:w="0" w:type="auto"/>
            <w:tcBorders>
              <w:top w:val="single" w:sz="4" w:space="0" w:color="auto"/>
            </w:tcBorders>
            <w:shd w:val="clear" w:color="auto" w:fill="auto"/>
            <w:noWrap/>
            <w:vAlign w:val="center"/>
            <w:hideMark/>
          </w:tcPr>
          <w:p w:rsidR="008359CC" w:rsidRPr="005C3E03" w:rsidRDefault="008359CC" w:rsidP="00CA3FEE">
            <w:pPr>
              <w:spacing w:before="0" w:after="0" w:line="240" w:lineRule="auto"/>
              <w:ind w:firstLine="37"/>
              <w:jc w:val="center"/>
              <w:rPr>
                <w:sz w:val="20"/>
                <w:lang w:eastAsia="vi-VN"/>
              </w:rPr>
            </w:pPr>
            <w:r w:rsidRPr="005C3E03">
              <w:rPr>
                <w:sz w:val="20"/>
                <w:lang w:eastAsia="vi-VN"/>
              </w:rPr>
              <w:t>6.84</w:t>
            </w:r>
          </w:p>
        </w:tc>
      </w:tr>
      <w:tr w:rsidR="008359CC" w:rsidRPr="005C3E03" w:rsidTr="00CA3FEE">
        <w:trPr>
          <w:trHeight w:val="20"/>
          <w:jc w:val="center"/>
        </w:trPr>
        <w:tc>
          <w:tcPr>
            <w:tcW w:w="0" w:type="auto"/>
            <w:shd w:val="clear" w:color="auto" w:fill="auto"/>
            <w:noWrap/>
            <w:vAlign w:val="center"/>
            <w:hideMark/>
          </w:tcPr>
          <w:p w:rsidR="008359CC" w:rsidRPr="005C3E03" w:rsidRDefault="008359CC" w:rsidP="00CA3FEE">
            <w:pPr>
              <w:spacing w:before="0" w:after="0" w:line="240" w:lineRule="auto"/>
              <w:ind w:firstLine="182"/>
              <w:rPr>
                <w:sz w:val="20"/>
                <w:lang w:eastAsia="vi-VN"/>
              </w:rPr>
            </w:pPr>
            <w:r w:rsidRPr="005C3E03">
              <w:rPr>
                <w:sz w:val="20"/>
              </w:rPr>
              <w:t>Television/Radio</w:t>
            </w:r>
          </w:p>
        </w:tc>
        <w:tc>
          <w:tcPr>
            <w:tcW w:w="0" w:type="auto"/>
            <w:vAlign w:val="center"/>
          </w:tcPr>
          <w:p w:rsidR="008359CC" w:rsidRPr="005C3E03" w:rsidRDefault="008359CC" w:rsidP="00CA3FEE">
            <w:pPr>
              <w:spacing w:before="0" w:after="0" w:line="240" w:lineRule="auto"/>
              <w:ind w:firstLine="33"/>
              <w:jc w:val="center"/>
              <w:rPr>
                <w:sz w:val="20"/>
                <w:lang w:eastAsia="vi-VN"/>
              </w:rPr>
            </w:pPr>
            <w:r w:rsidRPr="005C3E03">
              <w:rPr>
                <w:sz w:val="20"/>
                <w:lang w:eastAsia="vi-VN"/>
              </w:rPr>
              <w:t>4.56</w:t>
            </w:r>
          </w:p>
        </w:tc>
        <w:tc>
          <w:tcPr>
            <w:tcW w:w="0" w:type="auto"/>
            <w:shd w:val="clear" w:color="auto" w:fill="auto"/>
            <w:noWrap/>
            <w:vAlign w:val="center"/>
            <w:hideMark/>
          </w:tcPr>
          <w:p w:rsidR="008359CC" w:rsidRPr="005C3E03" w:rsidRDefault="008359CC" w:rsidP="00CA3FEE">
            <w:pPr>
              <w:spacing w:before="0" w:after="0" w:line="240" w:lineRule="auto"/>
              <w:ind w:firstLine="37"/>
              <w:jc w:val="center"/>
              <w:rPr>
                <w:sz w:val="20"/>
                <w:lang w:eastAsia="vi-VN"/>
              </w:rPr>
            </w:pPr>
            <w:r w:rsidRPr="005C3E03">
              <w:rPr>
                <w:sz w:val="20"/>
                <w:lang w:eastAsia="vi-VN"/>
              </w:rPr>
              <w:t>6.47</w:t>
            </w:r>
          </w:p>
        </w:tc>
      </w:tr>
      <w:tr w:rsidR="008359CC" w:rsidRPr="005C3E03" w:rsidTr="00CA3FEE">
        <w:trPr>
          <w:trHeight w:val="20"/>
          <w:jc w:val="center"/>
        </w:trPr>
        <w:tc>
          <w:tcPr>
            <w:tcW w:w="0" w:type="auto"/>
            <w:shd w:val="clear" w:color="auto" w:fill="auto"/>
            <w:noWrap/>
            <w:vAlign w:val="center"/>
            <w:hideMark/>
          </w:tcPr>
          <w:p w:rsidR="008359CC" w:rsidRPr="005C3E03" w:rsidRDefault="008359CC" w:rsidP="00CA3FEE">
            <w:pPr>
              <w:spacing w:before="0" w:after="0" w:line="240" w:lineRule="auto"/>
              <w:ind w:firstLine="182"/>
              <w:rPr>
                <w:sz w:val="20"/>
                <w:lang w:eastAsia="vi-VN"/>
              </w:rPr>
            </w:pPr>
            <w:r w:rsidRPr="005C3E03">
              <w:rPr>
                <w:sz w:val="20"/>
              </w:rPr>
              <w:t>Website of state agencies</w:t>
            </w:r>
          </w:p>
        </w:tc>
        <w:tc>
          <w:tcPr>
            <w:tcW w:w="0" w:type="auto"/>
            <w:vAlign w:val="center"/>
          </w:tcPr>
          <w:p w:rsidR="008359CC" w:rsidRPr="005C3E03" w:rsidRDefault="008359CC" w:rsidP="00CA3FEE">
            <w:pPr>
              <w:spacing w:before="0" w:after="0" w:line="240" w:lineRule="auto"/>
              <w:ind w:firstLine="33"/>
              <w:jc w:val="center"/>
              <w:rPr>
                <w:sz w:val="20"/>
                <w:lang w:eastAsia="vi-VN"/>
              </w:rPr>
            </w:pPr>
            <w:r w:rsidRPr="005C3E03">
              <w:rPr>
                <w:sz w:val="20"/>
                <w:lang w:eastAsia="vi-VN"/>
              </w:rPr>
              <w:t>3.57</w:t>
            </w:r>
          </w:p>
        </w:tc>
        <w:tc>
          <w:tcPr>
            <w:tcW w:w="0" w:type="auto"/>
            <w:shd w:val="clear" w:color="auto" w:fill="auto"/>
            <w:noWrap/>
            <w:vAlign w:val="center"/>
            <w:hideMark/>
          </w:tcPr>
          <w:p w:rsidR="008359CC" w:rsidRPr="005C3E03" w:rsidRDefault="008359CC" w:rsidP="00CA3FEE">
            <w:pPr>
              <w:spacing w:before="0" w:after="0" w:line="240" w:lineRule="auto"/>
              <w:ind w:firstLine="37"/>
              <w:jc w:val="center"/>
              <w:rPr>
                <w:sz w:val="20"/>
                <w:lang w:eastAsia="vi-VN"/>
              </w:rPr>
            </w:pPr>
            <w:r w:rsidRPr="005C3E03">
              <w:rPr>
                <w:sz w:val="20"/>
                <w:lang w:eastAsia="vi-VN"/>
              </w:rPr>
              <w:t>6.16</w:t>
            </w:r>
          </w:p>
        </w:tc>
      </w:tr>
      <w:tr w:rsidR="008359CC" w:rsidRPr="005C3E03" w:rsidTr="00CA3FEE">
        <w:trPr>
          <w:trHeight w:val="20"/>
          <w:jc w:val="center"/>
        </w:trPr>
        <w:tc>
          <w:tcPr>
            <w:tcW w:w="0" w:type="auto"/>
            <w:shd w:val="clear" w:color="auto" w:fill="auto"/>
            <w:noWrap/>
            <w:vAlign w:val="center"/>
            <w:hideMark/>
          </w:tcPr>
          <w:p w:rsidR="008359CC" w:rsidRPr="005C3E03" w:rsidRDefault="00824C65" w:rsidP="00824C65">
            <w:pPr>
              <w:spacing w:before="0" w:after="0" w:line="240" w:lineRule="auto"/>
              <w:ind w:firstLine="182"/>
              <w:rPr>
                <w:sz w:val="20"/>
                <w:lang w:eastAsia="vi-VN"/>
              </w:rPr>
            </w:pPr>
            <w:r>
              <w:rPr>
                <w:sz w:val="20"/>
              </w:rPr>
              <w:t>Health apps</w:t>
            </w:r>
          </w:p>
        </w:tc>
        <w:tc>
          <w:tcPr>
            <w:tcW w:w="0" w:type="auto"/>
            <w:vAlign w:val="center"/>
          </w:tcPr>
          <w:p w:rsidR="008359CC" w:rsidRPr="005C3E03" w:rsidRDefault="008359CC" w:rsidP="00CA3FEE">
            <w:pPr>
              <w:spacing w:before="0" w:after="0" w:line="240" w:lineRule="auto"/>
              <w:ind w:firstLine="33"/>
              <w:jc w:val="center"/>
              <w:rPr>
                <w:sz w:val="20"/>
                <w:lang w:eastAsia="vi-VN"/>
              </w:rPr>
            </w:pPr>
            <w:r w:rsidRPr="005C3E03">
              <w:rPr>
                <w:sz w:val="20"/>
                <w:lang w:eastAsia="vi-VN"/>
              </w:rPr>
              <w:t>4.25</w:t>
            </w:r>
          </w:p>
        </w:tc>
        <w:tc>
          <w:tcPr>
            <w:tcW w:w="0" w:type="auto"/>
            <w:shd w:val="clear" w:color="auto" w:fill="auto"/>
            <w:noWrap/>
            <w:vAlign w:val="center"/>
            <w:hideMark/>
          </w:tcPr>
          <w:p w:rsidR="008359CC" w:rsidRPr="005C3E03" w:rsidRDefault="008359CC" w:rsidP="00CA3FEE">
            <w:pPr>
              <w:spacing w:before="0" w:after="0" w:line="240" w:lineRule="auto"/>
              <w:ind w:firstLine="37"/>
              <w:jc w:val="center"/>
              <w:rPr>
                <w:sz w:val="20"/>
                <w:lang w:eastAsia="vi-VN"/>
              </w:rPr>
            </w:pPr>
            <w:r w:rsidRPr="005C3E03">
              <w:rPr>
                <w:sz w:val="20"/>
                <w:lang w:eastAsia="vi-VN"/>
              </w:rPr>
              <w:t>5.64</w:t>
            </w:r>
          </w:p>
        </w:tc>
      </w:tr>
      <w:tr w:rsidR="008359CC" w:rsidRPr="005C3E03" w:rsidTr="00CA3FEE">
        <w:trPr>
          <w:trHeight w:val="20"/>
          <w:jc w:val="center"/>
        </w:trPr>
        <w:tc>
          <w:tcPr>
            <w:tcW w:w="0" w:type="auto"/>
            <w:shd w:val="clear" w:color="auto" w:fill="auto"/>
            <w:noWrap/>
            <w:vAlign w:val="center"/>
            <w:hideMark/>
          </w:tcPr>
          <w:p w:rsidR="008359CC" w:rsidRPr="005C3E03" w:rsidRDefault="008359CC" w:rsidP="00CA3FEE">
            <w:pPr>
              <w:spacing w:before="0" w:after="0" w:line="240" w:lineRule="auto"/>
              <w:ind w:firstLine="182"/>
              <w:rPr>
                <w:sz w:val="20"/>
                <w:lang w:eastAsia="vi-VN"/>
              </w:rPr>
            </w:pPr>
            <w:r w:rsidRPr="005C3E03">
              <w:rPr>
                <w:sz w:val="20"/>
              </w:rPr>
              <w:t>Social network</w:t>
            </w:r>
          </w:p>
        </w:tc>
        <w:tc>
          <w:tcPr>
            <w:tcW w:w="0" w:type="auto"/>
            <w:vAlign w:val="center"/>
          </w:tcPr>
          <w:p w:rsidR="008359CC" w:rsidRPr="005C3E03" w:rsidRDefault="008359CC" w:rsidP="00CA3FEE">
            <w:pPr>
              <w:spacing w:before="0" w:after="0" w:line="240" w:lineRule="auto"/>
              <w:ind w:firstLine="33"/>
              <w:jc w:val="center"/>
              <w:rPr>
                <w:sz w:val="20"/>
                <w:lang w:eastAsia="vi-VN"/>
              </w:rPr>
            </w:pPr>
            <w:r w:rsidRPr="005C3E03">
              <w:rPr>
                <w:sz w:val="20"/>
                <w:lang w:eastAsia="vi-VN"/>
              </w:rPr>
              <w:t>4.25</w:t>
            </w:r>
          </w:p>
        </w:tc>
        <w:tc>
          <w:tcPr>
            <w:tcW w:w="0" w:type="auto"/>
            <w:shd w:val="clear" w:color="auto" w:fill="auto"/>
            <w:noWrap/>
            <w:vAlign w:val="center"/>
            <w:hideMark/>
          </w:tcPr>
          <w:p w:rsidR="008359CC" w:rsidRPr="005C3E03" w:rsidRDefault="008359CC" w:rsidP="00CA3FEE">
            <w:pPr>
              <w:spacing w:before="0" w:after="0" w:line="240" w:lineRule="auto"/>
              <w:ind w:firstLine="37"/>
              <w:jc w:val="center"/>
              <w:rPr>
                <w:sz w:val="20"/>
                <w:lang w:eastAsia="vi-VN"/>
              </w:rPr>
            </w:pPr>
            <w:r w:rsidRPr="005C3E03">
              <w:rPr>
                <w:sz w:val="20"/>
                <w:lang w:eastAsia="vi-VN"/>
              </w:rPr>
              <w:t>5.63</w:t>
            </w:r>
          </w:p>
        </w:tc>
      </w:tr>
      <w:tr w:rsidR="008359CC" w:rsidRPr="005C3E03" w:rsidTr="00CA3FEE">
        <w:trPr>
          <w:trHeight w:val="20"/>
          <w:jc w:val="center"/>
        </w:trPr>
        <w:tc>
          <w:tcPr>
            <w:tcW w:w="0" w:type="auto"/>
            <w:shd w:val="clear" w:color="auto" w:fill="auto"/>
            <w:noWrap/>
            <w:vAlign w:val="center"/>
            <w:hideMark/>
          </w:tcPr>
          <w:p w:rsidR="008359CC" w:rsidRPr="005C3E03" w:rsidRDefault="002A02C3" w:rsidP="00CA3FEE">
            <w:pPr>
              <w:spacing w:before="0" w:after="0" w:line="240" w:lineRule="auto"/>
              <w:ind w:firstLine="182"/>
              <w:rPr>
                <w:sz w:val="20"/>
                <w:lang w:eastAsia="vi-VN"/>
              </w:rPr>
            </w:pPr>
            <w:r w:rsidRPr="005C3E03">
              <w:rPr>
                <w:sz w:val="20"/>
              </w:rPr>
              <w:t>Printed media</w:t>
            </w:r>
          </w:p>
        </w:tc>
        <w:tc>
          <w:tcPr>
            <w:tcW w:w="0" w:type="auto"/>
            <w:vAlign w:val="center"/>
          </w:tcPr>
          <w:p w:rsidR="008359CC" w:rsidRPr="005C3E03" w:rsidRDefault="008359CC" w:rsidP="00CA3FEE">
            <w:pPr>
              <w:spacing w:before="0" w:after="0" w:line="240" w:lineRule="auto"/>
              <w:ind w:firstLine="33"/>
              <w:jc w:val="center"/>
              <w:rPr>
                <w:sz w:val="20"/>
                <w:lang w:eastAsia="vi-VN"/>
              </w:rPr>
            </w:pPr>
            <w:r w:rsidRPr="005C3E03">
              <w:rPr>
                <w:sz w:val="20"/>
                <w:lang w:eastAsia="vi-VN"/>
              </w:rPr>
              <w:t>3.57</w:t>
            </w:r>
          </w:p>
        </w:tc>
        <w:tc>
          <w:tcPr>
            <w:tcW w:w="0" w:type="auto"/>
            <w:shd w:val="clear" w:color="auto" w:fill="auto"/>
            <w:noWrap/>
            <w:vAlign w:val="center"/>
            <w:hideMark/>
          </w:tcPr>
          <w:p w:rsidR="008359CC" w:rsidRPr="005C3E03" w:rsidRDefault="008359CC" w:rsidP="00CA3FEE">
            <w:pPr>
              <w:spacing w:before="0" w:after="0" w:line="240" w:lineRule="auto"/>
              <w:ind w:firstLine="37"/>
              <w:jc w:val="center"/>
              <w:rPr>
                <w:sz w:val="20"/>
                <w:lang w:eastAsia="vi-VN"/>
              </w:rPr>
            </w:pPr>
            <w:r w:rsidRPr="005C3E03">
              <w:rPr>
                <w:sz w:val="20"/>
                <w:lang w:eastAsia="vi-VN"/>
              </w:rPr>
              <w:t>3.94</w:t>
            </w:r>
          </w:p>
        </w:tc>
      </w:tr>
      <w:tr w:rsidR="008359CC" w:rsidRPr="005C3E03" w:rsidTr="00CA3FEE">
        <w:trPr>
          <w:trHeight w:val="20"/>
          <w:jc w:val="center"/>
        </w:trPr>
        <w:tc>
          <w:tcPr>
            <w:tcW w:w="0" w:type="auto"/>
            <w:shd w:val="clear" w:color="auto" w:fill="auto"/>
            <w:noWrap/>
            <w:vAlign w:val="center"/>
            <w:hideMark/>
          </w:tcPr>
          <w:p w:rsidR="008359CC" w:rsidRPr="005C3E03" w:rsidRDefault="008359CC" w:rsidP="00CA3FEE">
            <w:pPr>
              <w:spacing w:before="0" w:after="0" w:line="240" w:lineRule="auto"/>
              <w:ind w:firstLine="182"/>
              <w:rPr>
                <w:sz w:val="20"/>
                <w:lang w:eastAsia="vi-VN"/>
              </w:rPr>
            </w:pPr>
            <w:r w:rsidRPr="005C3E03">
              <w:rPr>
                <w:sz w:val="20"/>
              </w:rPr>
              <w:t>Bulletin boards on the streets</w:t>
            </w:r>
          </w:p>
        </w:tc>
        <w:tc>
          <w:tcPr>
            <w:tcW w:w="0" w:type="auto"/>
            <w:vAlign w:val="center"/>
          </w:tcPr>
          <w:p w:rsidR="008359CC" w:rsidRPr="005C3E03" w:rsidRDefault="008359CC" w:rsidP="00CA3FEE">
            <w:pPr>
              <w:spacing w:before="0" w:after="0" w:line="240" w:lineRule="auto"/>
              <w:ind w:firstLine="33"/>
              <w:jc w:val="center"/>
              <w:rPr>
                <w:sz w:val="20"/>
                <w:lang w:eastAsia="vi-VN"/>
              </w:rPr>
            </w:pPr>
            <w:r w:rsidRPr="005C3E03">
              <w:rPr>
                <w:sz w:val="20"/>
                <w:lang w:eastAsia="vi-VN"/>
              </w:rPr>
              <w:t>3.53</w:t>
            </w:r>
          </w:p>
        </w:tc>
        <w:tc>
          <w:tcPr>
            <w:tcW w:w="0" w:type="auto"/>
            <w:shd w:val="clear" w:color="auto" w:fill="auto"/>
            <w:noWrap/>
            <w:vAlign w:val="center"/>
            <w:hideMark/>
          </w:tcPr>
          <w:p w:rsidR="008359CC" w:rsidRPr="005C3E03" w:rsidRDefault="008359CC" w:rsidP="00CA3FEE">
            <w:pPr>
              <w:spacing w:before="0" w:after="0" w:line="240" w:lineRule="auto"/>
              <w:ind w:firstLine="37"/>
              <w:jc w:val="center"/>
              <w:rPr>
                <w:sz w:val="20"/>
                <w:lang w:eastAsia="vi-VN"/>
              </w:rPr>
            </w:pPr>
            <w:r w:rsidRPr="005C3E03">
              <w:rPr>
                <w:sz w:val="20"/>
                <w:lang w:eastAsia="vi-VN"/>
              </w:rPr>
              <w:t>3.81</w:t>
            </w:r>
          </w:p>
        </w:tc>
      </w:tr>
      <w:tr w:rsidR="008359CC" w:rsidRPr="005C3E03" w:rsidTr="00CA3FEE">
        <w:trPr>
          <w:trHeight w:val="20"/>
          <w:jc w:val="center"/>
        </w:trPr>
        <w:tc>
          <w:tcPr>
            <w:tcW w:w="0" w:type="auto"/>
            <w:shd w:val="clear" w:color="auto" w:fill="auto"/>
            <w:noWrap/>
            <w:vAlign w:val="center"/>
            <w:hideMark/>
          </w:tcPr>
          <w:p w:rsidR="008359CC" w:rsidRPr="005C3E03" w:rsidRDefault="008359CC" w:rsidP="00CA3FEE">
            <w:pPr>
              <w:spacing w:before="0" w:after="0" w:line="240" w:lineRule="auto"/>
              <w:ind w:firstLine="182"/>
              <w:rPr>
                <w:sz w:val="20"/>
                <w:lang w:eastAsia="vi-VN"/>
              </w:rPr>
            </w:pPr>
            <w:r w:rsidRPr="005C3E03">
              <w:rPr>
                <w:sz w:val="20"/>
              </w:rPr>
              <w:t>Website of non-state agencies</w:t>
            </w:r>
          </w:p>
        </w:tc>
        <w:tc>
          <w:tcPr>
            <w:tcW w:w="0" w:type="auto"/>
            <w:vAlign w:val="center"/>
          </w:tcPr>
          <w:p w:rsidR="008359CC" w:rsidRPr="005C3E03" w:rsidRDefault="008359CC" w:rsidP="00CA3FEE">
            <w:pPr>
              <w:spacing w:before="0" w:after="0" w:line="240" w:lineRule="auto"/>
              <w:ind w:firstLine="33"/>
              <w:jc w:val="center"/>
              <w:rPr>
                <w:sz w:val="20"/>
                <w:lang w:eastAsia="vi-VN"/>
              </w:rPr>
            </w:pPr>
            <w:r w:rsidRPr="005C3E03">
              <w:rPr>
                <w:sz w:val="20"/>
                <w:lang w:eastAsia="vi-VN"/>
              </w:rPr>
              <w:t>3.32</w:t>
            </w:r>
          </w:p>
        </w:tc>
        <w:tc>
          <w:tcPr>
            <w:tcW w:w="0" w:type="auto"/>
            <w:shd w:val="clear" w:color="auto" w:fill="auto"/>
            <w:noWrap/>
            <w:vAlign w:val="center"/>
            <w:hideMark/>
          </w:tcPr>
          <w:p w:rsidR="008359CC" w:rsidRPr="005C3E03" w:rsidRDefault="008359CC" w:rsidP="00CA3FEE">
            <w:pPr>
              <w:spacing w:before="0" w:after="0" w:line="240" w:lineRule="auto"/>
              <w:ind w:firstLine="37"/>
              <w:jc w:val="center"/>
              <w:rPr>
                <w:sz w:val="20"/>
                <w:lang w:eastAsia="vi-VN"/>
              </w:rPr>
            </w:pPr>
            <w:r w:rsidRPr="005C3E03">
              <w:rPr>
                <w:sz w:val="20"/>
                <w:lang w:eastAsia="vi-VN"/>
              </w:rPr>
              <w:t>3.44</w:t>
            </w:r>
          </w:p>
        </w:tc>
      </w:tr>
      <w:tr w:rsidR="008359CC" w:rsidRPr="005C3E03" w:rsidTr="00CA3FEE">
        <w:trPr>
          <w:trHeight w:val="20"/>
          <w:jc w:val="center"/>
        </w:trPr>
        <w:tc>
          <w:tcPr>
            <w:tcW w:w="0" w:type="auto"/>
            <w:tcBorders>
              <w:bottom w:val="single" w:sz="4" w:space="0" w:color="auto"/>
            </w:tcBorders>
            <w:shd w:val="clear" w:color="auto" w:fill="auto"/>
            <w:noWrap/>
            <w:vAlign w:val="center"/>
            <w:hideMark/>
          </w:tcPr>
          <w:p w:rsidR="008359CC" w:rsidRPr="005C3E03" w:rsidRDefault="008359CC" w:rsidP="00CA3FEE">
            <w:pPr>
              <w:spacing w:before="0" w:after="0" w:line="240" w:lineRule="auto"/>
              <w:ind w:firstLine="182"/>
              <w:rPr>
                <w:sz w:val="20"/>
                <w:lang w:eastAsia="vi-VN"/>
              </w:rPr>
            </w:pPr>
            <w:r w:rsidRPr="005C3E03">
              <w:rPr>
                <w:sz w:val="20"/>
              </w:rPr>
              <w:t>Word-of-mouth conversations</w:t>
            </w:r>
          </w:p>
        </w:tc>
        <w:tc>
          <w:tcPr>
            <w:tcW w:w="0" w:type="auto"/>
            <w:tcBorders>
              <w:bottom w:val="single" w:sz="4" w:space="0" w:color="auto"/>
            </w:tcBorders>
            <w:vAlign w:val="center"/>
          </w:tcPr>
          <w:p w:rsidR="008359CC" w:rsidRPr="005C3E03" w:rsidRDefault="008359CC" w:rsidP="00CA3FEE">
            <w:pPr>
              <w:spacing w:before="0" w:after="0" w:line="240" w:lineRule="auto"/>
              <w:ind w:firstLine="33"/>
              <w:jc w:val="center"/>
              <w:rPr>
                <w:sz w:val="20"/>
                <w:lang w:eastAsia="vi-VN"/>
              </w:rPr>
            </w:pPr>
            <w:r w:rsidRPr="005C3E03">
              <w:rPr>
                <w:sz w:val="20"/>
                <w:lang w:eastAsia="vi-VN"/>
              </w:rPr>
              <w:t>3.21</w:t>
            </w:r>
          </w:p>
        </w:tc>
        <w:tc>
          <w:tcPr>
            <w:tcW w:w="0" w:type="auto"/>
            <w:tcBorders>
              <w:bottom w:val="single" w:sz="4" w:space="0" w:color="auto"/>
            </w:tcBorders>
            <w:shd w:val="clear" w:color="auto" w:fill="auto"/>
            <w:noWrap/>
            <w:vAlign w:val="center"/>
            <w:hideMark/>
          </w:tcPr>
          <w:p w:rsidR="008359CC" w:rsidRPr="005C3E03" w:rsidRDefault="008359CC" w:rsidP="00CA3FEE">
            <w:pPr>
              <w:spacing w:before="0" w:after="0" w:line="240" w:lineRule="auto"/>
              <w:ind w:firstLine="37"/>
              <w:jc w:val="center"/>
              <w:rPr>
                <w:sz w:val="20"/>
                <w:lang w:eastAsia="vi-VN"/>
              </w:rPr>
            </w:pPr>
            <w:r w:rsidRPr="005C3E03">
              <w:rPr>
                <w:sz w:val="20"/>
                <w:lang w:eastAsia="vi-VN"/>
              </w:rPr>
              <w:t>3.07</w:t>
            </w:r>
          </w:p>
        </w:tc>
      </w:tr>
    </w:tbl>
    <w:p w:rsidR="008359CC" w:rsidRPr="005C3E03" w:rsidRDefault="008359CC" w:rsidP="008359CC">
      <w:r w:rsidRPr="005C3E03">
        <w:t xml:space="preserve">Regarding the agreement of young Vietnamese to implement prevention activities, Friedman's ANOVA analysis provided </w:t>
      </w:r>
      <w:r w:rsidR="00824C65">
        <w:t>ꭓ</w:t>
      </w:r>
      <w:r w:rsidR="00824C65">
        <w:rPr>
          <w:vertAlign w:val="superscript"/>
        </w:rPr>
        <w:t>2</w:t>
      </w:r>
      <w:r w:rsidRPr="005C3E03">
        <w:t>(9)= 9,609, p&lt;.05, which means that there was at least one discrepancy exists between mean ranks (</w:t>
      </w:r>
      <w:r w:rsidRPr="005C3E03">
        <w:fldChar w:fldCharType="begin"/>
      </w:r>
      <w:r w:rsidRPr="005C3E03">
        <w:instrText xml:space="preserve"> REF _Ref71811791 \h  \* MERGEFORMAT </w:instrText>
      </w:r>
      <w:r w:rsidRPr="005C3E03">
        <w:fldChar w:fldCharType="separate"/>
      </w:r>
      <w:r w:rsidRPr="005C3E03">
        <w:t xml:space="preserve">Table </w:t>
      </w:r>
      <w:r w:rsidRPr="005C3E03">
        <w:rPr>
          <w:noProof/>
        </w:rPr>
        <w:t>6</w:t>
      </w:r>
      <w:r w:rsidRPr="005C3E03">
        <w:fldChar w:fldCharType="end"/>
      </w:r>
      <w:r w:rsidRPr="005C3E03">
        <w:t>). The post hoc tests reported that the differences between the mean ranks of all pairs were statistically signif</w:t>
      </w:r>
      <w:r w:rsidR="00B008A4" w:rsidRPr="005C3E03">
        <w:t xml:space="preserve">icant, except for six pairs: (A1, </w:t>
      </w:r>
      <w:r w:rsidRPr="005C3E03">
        <w:t>A2</w:t>
      </w:r>
      <w:r w:rsidR="00B008A4" w:rsidRPr="005C3E03">
        <w:t>)</w:t>
      </w:r>
      <w:r w:rsidRPr="005C3E03">
        <w:t xml:space="preserve">, </w:t>
      </w:r>
      <w:r w:rsidR="00B008A4" w:rsidRPr="005C3E03">
        <w:t>(</w:t>
      </w:r>
      <w:r w:rsidRPr="005C3E03">
        <w:t>A1</w:t>
      </w:r>
      <w:r w:rsidR="00B008A4" w:rsidRPr="005C3E03">
        <w:t xml:space="preserve">, </w:t>
      </w:r>
      <w:r w:rsidRPr="005C3E03">
        <w:t>A3</w:t>
      </w:r>
      <w:r w:rsidR="00B008A4" w:rsidRPr="005C3E03">
        <w:t>)</w:t>
      </w:r>
      <w:r w:rsidRPr="005C3E03">
        <w:t xml:space="preserve">, </w:t>
      </w:r>
      <w:r w:rsidR="00B008A4" w:rsidRPr="005C3E03">
        <w:t>(</w:t>
      </w:r>
      <w:r w:rsidRPr="005C3E03">
        <w:t>A1</w:t>
      </w:r>
      <w:r w:rsidR="00B008A4" w:rsidRPr="005C3E03">
        <w:t>,</w:t>
      </w:r>
      <w:r w:rsidRPr="005C3E03">
        <w:t xml:space="preserve"> A4</w:t>
      </w:r>
      <w:r w:rsidR="00B008A4" w:rsidRPr="005C3E03">
        <w:t>)</w:t>
      </w:r>
      <w:r w:rsidRPr="005C3E03">
        <w:t xml:space="preserve">, </w:t>
      </w:r>
      <w:r w:rsidR="00B008A4" w:rsidRPr="005C3E03">
        <w:t>(</w:t>
      </w:r>
      <w:r w:rsidRPr="005C3E03">
        <w:t>A2</w:t>
      </w:r>
      <w:r w:rsidR="00B008A4" w:rsidRPr="005C3E03">
        <w:t>,</w:t>
      </w:r>
      <w:r w:rsidRPr="005C3E03">
        <w:t xml:space="preserve"> A3</w:t>
      </w:r>
      <w:r w:rsidR="00B008A4" w:rsidRPr="005C3E03">
        <w:t>)</w:t>
      </w:r>
      <w:r w:rsidRPr="005C3E03">
        <w:t xml:space="preserve">, </w:t>
      </w:r>
      <w:r w:rsidR="00B008A4" w:rsidRPr="005C3E03">
        <w:t xml:space="preserve">(A2, </w:t>
      </w:r>
      <w:r w:rsidRPr="005C3E03">
        <w:t>A4</w:t>
      </w:r>
      <w:r w:rsidR="00B008A4" w:rsidRPr="005C3E03">
        <w:t>)</w:t>
      </w:r>
      <w:r w:rsidRPr="005C3E03">
        <w:t xml:space="preserve">, </w:t>
      </w:r>
      <w:r w:rsidR="00B008A4" w:rsidRPr="005C3E03">
        <w:t>(</w:t>
      </w:r>
      <w:r w:rsidRPr="005C3E03">
        <w:t>A3</w:t>
      </w:r>
      <w:r w:rsidR="00B008A4" w:rsidRPr="005C3E03">
        <w:t>,</w:t>
      </w:r>
      <w:r w:rsidRPr="005C3E03">
        <w:t xml:space="preserve"> A4</w:t>
      </w:r>
      <w:r w:rsidR="00B008A4" w:rsidRPr="005C3E03">
        <w:t>)</w:t>
      </w:r>
      <w:r w:rsidRPr="005C3E03">
        <w:t xml:space="preserve"> (p</w:t>
      </w:r>
      <w:r w:rsidRPr="005C3E03">
        <w:rPr>
          <w:rFonts w:ascii="Cambria Math" w:hAnsi="Cambria Math" w:cs="Cambria Math"/>
        </w:rPr>
        <w:t>≅</w:t>
      </w:r>
      <w:r w:rsidRPr="005C3E03">
        <w:t>1).</w:t>
      </w:r>
    </w:p>
    <w:p w:rsidR="008359CC" w:rsidRPr="005C3E03" w:rsidRDefault="008359CC" w:rsidP="00CA3FEE">
      <w:pPr>
        <w:pStyle w:val="ChthchBngbiu-Hnhv"/>
      </w:pPr>
      <w:bookmarkStart w:id="5" w:name="_Ref71811791"/>
      <w:r w:rsidRPr="005C3E03">
        <w:rPr>
          <w:bCs/>
        </w:rPr>
        <w:t xml:space="preserve">Table </w:t>
      </w:r>
      <w:r w:rsidRPr="005C3E03">
        <w:rPr>
          <w:bCs/>
        </w:rPr>
        <w:fldChar w:fldCharType="begin"/>
      </w:r>
      <w:r w:rsidRPr="005C3E03">
        <w:rPr>
          <w:bCs/>
        </w:rPr>
        <w:instrText xml:space="preserve"> SEQ Table \* ARABIC </w:instrText>
      </w:r>
      <w:r w:rsidRPr="005C3E03">
        <w:rPr>
          <w:bCs/>
        </w:rPr>
        <w:fldChar w:fldCharType="separate"/>
      </w:r>
      <w:r w:rsidR="00DD2133">
        <w:rPr>
          <w:bCs/>
          <w:noProof/>
        </w:rPr>
        <w:t>6</w:t>
      </w:r>
      <w:r w:rsidRPr="005C3E03">
        <w:rPr>
          <w:bCs/>
        </w:rPr>
        <w:fldChar w:fldCharType="end"/>
      </w:r>
      <w:bookmarkEnd w:id="5"/>
      <w:r w:rsidRPr="005C3E03">
        <w:rPr>
          <w:bCs/>
        </w:rPr>
        <w:t>.</w:t>
      </w:r>
      <w:r w:rsidRPr="005C3E03">
        <w:t xml:space="preserve"> Agreement levels to implement different pandemic prevention activities</w:t>
      </w:r>
      <w:r w:rsidR="00824C65">
        <w:t>.</w:t>
      </w:r>
    </w:p>
    <w:tbl>
      <w:tblPr>
        <w:tblW w:w="0" w:type="auto"/>
        <w:tblLook w:val="04A0" w:firstRow="1" w:lastRow="0" w:firstColumn="1" w:lastColumn="0" w:noHBand="0" w:noVBand="1"/>
      </w:tblPr>
      <w:tblGrid>
        <w:gridCol w:w="693"/>
        <w:gridCol w:w="6815"/>
        <w:gridCol w:w="927"/>
        <w:gridCol w:w="1204"/>
      </w:tblGrid>
      <w:tr w:rsidR="00351F39" w:rsidRPr="005C3E03" w:rsidTr="00351F39">
        <w:trPr>
          <w:trHeight w:val="57"/>
          <w:tblHeader/>
        </w:trPr>
        <w:tc>
          <w:tcPr>
            <w:tcW w:w="693" w:type="dxa"/>
            <w:tcBorders>
              <w:top w:val="single" w:sz="4" w:space="0" w:color="auto"/>
              <w:bottom w:val="single" w:sz="4" w:space="0" w:color="auto"/>
            </w:tcBorders>
            <w:shd w:val="clear" w:color="auto" w:fill="auto"/>
            <w:noWrap/>
            <w:vAlign w:val="center"/>
            <w:hideMark/>
          </w:tcPr>
          <w:p w:rsidR="008359CC" w:rsidRPr="005C3E03" w:rsidRDefault="008359CC" w:rsidP="00B008A4">
            <w:pPr>
              <w:spacing w:before="0" w:after="0" w:line="240" w:lineRule="auto"/>
              <w:ind w:firstLine="30"/>
              <w:jc w:val="center"/>
              <w:rPr>
                <w:b/>
                <w:sz w:val="20"/>
                <w:szCs w:val="20"/>
                <w:lang w:eastAsia="vi-VN"/>
              </w:rPr>
            </w:pPr>
            <w:r w:rsidRPr="005C3E03">
              <w:rPr>
                <w:b/>
                <w:sz w:val="20"/>
                <w:szCs w:val="20"/>
                <w:lang w:eastAsia="vi-VN"/>
              </w:rPr>
              <w:t>Code</w:t>
            </w:r>
          </w:p>
        </w:tc>
        <w:tc>
          <w:tcPr>
            <w:tcW w:w="6815" w:type="dxa"/>
            <w:tcBorders>
              <w:top w:val="single" w:sz="4" w:space="0" w:color="auto"/>
              <w:bottom w:val="single" w:sz="4" w:space="0" w:color="auto"/>
            </w:tcBorders>
            <w:shd w:val="clear" w:color="auto" w:fill="auto"/>
            <w:noWrap/>
            <w:vAlign w:val="center"/>
            <w:hideMark/>
          </w:tcPr>
          <w:p w:rsidR="008359CC" w:rsidRPr="005C3E03" w:rsidRDefault="00824C65" w:rsidP="00B008A4">
            <w:pPr>
              <w:spacing w:before="0" w:after="0" w:line="240" w:lineRule="auto"/>
              <w:ind w:firstLine="0"/>
              <w:jc w:val="center"/>
              <w:rPr>
                <w:b/>
                <w:sz w:val="20"/>
                <w:szCs w:val="20"/>
                <w:lang w:eastAsia="vi-VN"/>
              </w:rPr>
            </w:pPr>
            <w:r>
              <w:rPr>
                <w:b/>
                <w:sz w:val="20"/>
                <w:szCs w:val="20"/>
              </w:rPr>
              <w:t>Activity</w:t>
            </w:r>
          </w:p>
        </w:tc>
        <w:tc>
          <w:tcPr>
            <w:tcW w:w="940" w:type="dxa"/>
            <w:tcBorders>
              <w:top w:val="single" w:sz="4" w:space="0" w:color="auto"/>
              <w:bottom w:val="single" w:sz="4" w:space="0" w:color="auto"/>
            </w:tcBorders>
            <w:vAlign w:val="center"/>
          </w:tcPr>
          <w:p w:rsidR="008359CC" w:rsidRPr="005C3E03" w:rsidRDefault="008359CC" w:rsidP="00B008A4">
            <w:pPr>
              <w:spacing w:before="0" w:after="0" w:line="240" w:lineRule="auto"/>
              <w:ind w:firstLine="0"/>
              <w:jc w:val="center"/>
              <w:rPr>
                <w:b/>
                <w:sz w:val="20"/>
                <w:szCs w:val="20"/>
                <w:lang w:eastAsia="vi-VN"/>
              </w:rPr>
            </w:pPr>
            <w:r w:rsidRPr="005C3E03">
              <w:rPr>
                <w:b/>
                <w:sz w:val="20"/>
                <w:szCs w:val="20"/>
                <w:lang w:eastAsia="vi-VN"/>
              </w:rPr>
              <w:t>Mean</w:t>
            </w:r>
          </w:p>
        </w:tc>
        <w:tc>
          <w:tcPr>
            <w:tcW w:w="0" w:type="auto"/>
            <w:tcBorders>
              <w:top w:val="single" w:sz="4" w:space="0" w:color="auto"/>
              <w:bottom w:val="single" w:sz="4" w:space="0" w:color="auto"/>
            </w:tcBorders>
            <w:shd w:val="clear" w:color="auto" w:fill="auto"/>
            <w:noWrap/>
            <w:vAlign w:val="center"/>
            <w:hideMark/>
          </w:tcPr>
          <w:p w:rsidR="008359CC" w:rsidRPr="005C3E03" w:rsidRDefault="008359CC" w:rsidP="00B008A4">
            <w:pPr>
              <w:spacing w:before="0" w:after="0" w:line="240" w:lineRule="auto"/>
              <w:ind w:firstLine="37"/>
              <w:jc w:val="center"/>
              <w:rPr>
                <w:b/>
                <w:sz w:val="20"/>
                <w:szCs w:val="20"/>
                <w:lang w:eastAsia="vi-VN"/>
              </w:rPr>
            </w:pPr>
            <w:r w:rsidRPr="005C3E03">
              <w:rPr>
                <w:b/>
                <w:sz w:val="20"/>
                <w:szCs w:val="20"/>
                <w:lang w:eastAsia="vi-VN"/>
              </w:rPr>
              <w:t>Mean rank</w:t>
            </w:r>
          </w:p>
        </w:tc>
      </w:tr>
      <w:tr w:rsidR="008359CC" w:rsidRPr="005C3E03" w:rsidTr="00351F39">
        <w:trPr>
          <w:trHeight w:val="20"/>
        </w:trPr>
        <w:tc>
          <w:tcPr>
            <w:tcW w:w="693" w:type="dxa"/>
            <w:tcBorders>
              <w:top w:val="single" w:sz="4" w:space="0" w:color="auto"/>
            </w:tcBorders>
            <w:shd w:val="clear" w:color="auto" w:fill="auto"/>
            <w:noWrap/>
            <w:vAlign w:val="center"/>
            <w:hideMark/>
          </w:tcPr>
          <w:p w:rsidR="008359CC" w:rsidRPr="005C3E03" w:rsidRDefault="008359CC" w:rsidP="00B008A4">
            <w:pPr>
              <w:spacing w:before="0" w:after="0" w:line="240" w:lineRule="auto"/>
              <w:ind w:firstLine="30"/>
              <w:jc w:val="left"/>
              <w:rPr>
                <w:sz w:val="20"/>
                <w:szCs w:val="20"/>
                <w:lang w:eastAsia="vi-VN"/>
              </w:rPr>
            </w:pPr>
            <w:r w:rsidRPr="005C3E03">
              <w:rPr>
                <w:sz w:val="20"/>
                <w:szCs w:val="20"/>
                <w:lang w:eastAsia="vi-VN"/>
              </w:rPr>
              <w:t>A1</w:t>
            </w:r>
          </w:p>
        </w:tc>
        <w:tc>
          <w:tcPr>
            <w:tcW w:w="6815" w:type="dxa"/>
            <w:tcBorders>
              <w:top w:val="single" w:sz="4" w:space="0" w:color="auto"/>
            </w:tcBorders>
            <w:shd w:val="clear" w:color="auto" w:fill="auto"/>
            <w:noWrap/>
            <w:vAlign w:val="center"/>
            <w:hideMark/>
          </w:tcPr>
          <w:p w:rsidR="008359CC" w:rsidRPr="005C3E03" w:rsidRDefault="008359CC" w:rsidP="00B008A4">
            <w:pPr>
              <w:spacing w:before="0" w:after="0" w:line="240" w:lineRule="auto"/>
              <w:ind w:firstLine="0"/>
              <w:rPr>
                <w:sz w:val="20"/>
                <w:szCs w:val="20"/>
              </w:rPr>
            </w:pPr>
            <w:r w:rsidRPr="005C3E03">
              <w:rPr>
                <w:sz w:val="20"/>
                <w:szCs w:val="20"/>
              </w:rPr>
              <w:t>Report your current health status honestly</w:t>
            </w:r>
          </w:p>
        </w:tc>
        <w:tc>
          <w:tcPr>
            <w:tcW w:w="940" w:type="dxa"/>
            <w:tcBorders>
              <w:top w:val="single" w:sz="4" w:space="0" w:color="auto"/>
            </w:tcBorders>
            <w:vAlign w:val="center"/>
          </w:tcPr>
          <w:p w:rsidR="008359CC" w:rsidRPr="005C3E03" w:rsidRDefault="008359CC" w:rsidP="00B008A4">
            <w:pPr>
              <w:spacing w:before="0" w:after="0" w:line="240" w:lineRule="auto"/>
              <w:ind w:firstLine="0"/>
              <w:jc w:val="center"/>
              <w:rPr>
                <w:sz w:val="20"/>
                <w:szCs w:val="20"/>
                <w:lang w:eastAsia="vi-VN"/>
              </w:rPr>
            </w:pPr>
            <w:r w:rsidRPr="005C3E03">
              <w:rPr>
                <w:sz w:val="20"/>
                <w:szCs w:val="20"/>
                <w:lang w:eastAsia="vi-VN"/>
              </w:rPr>
              <w:t>4.71</w:t>
            </w:r>
          </w:p>
        </w:tc>
        <w:tc>
          <w:tcPr>
            <w:tcW w:w="0" w:type="auto"/>
            <w:tcBorders>
              <w:top w:val="single" w:sz="4" w:space="0" w:color="auto"/>
            </w:tcBorders>
            <w:shd w:val="clear" w:color="auto" w:fill="auto"/>
            <w:noWrap/>
            <w:vAlign w:val="center"/>
            <w:hideMark/>
          </w:tcPr>
          <w:p w:rsidR="008359CC" w:rsidRPr="005C3E03" w:rsidRDefault="008359CC" w:rsidP="00B008A4">
            <w:pPr>
              <w:spacing w:before="0" w:after="0" w:line="240" w:lineRule="auto"/>
              <w:ind w:firstLine="37"/>
              <w:jc w:val="center"/>
              <w:rPr>
                <w:sz w:val="20"/>
                <w:szCs w:val="20"/>
                <w:lang w:eastAsia="vi-VN"/>
              </w:rPr>
            </w:pPr>
            <w:r w:rsidRPr="005C3E03">
              <w:rPr>
                <w:sz w:val="20"/>
                <w:szCs w:val="20"/>
                <w:lang w:eastAsia="vi-VN"/>
              </w:rPr>
              <w:t>6.43</w:t>
            </w:r>
          </w:p>
        </w:tc>
      </w:tr>
      <w:tr w:rsidR="008359CC" w:rsidRPr="005C3E03" w:rsidTr="00351F39">
        <w:trPr>
          <w:trHeight w:val="20"/>
        </w:trPr>
        <w:tc>
          <w:tcPr>
            <w:tcW w:w="693" w:type="dxa"/>
            <w:shd w:val="clear" w:color="auto" w:fill="auto"/>
            <w:noWrap/>
            <w:vAlign w:val="center"/>
            <w:hideMark/>
          </w:tcPr>
          <w:p w:rsidR="008359CC" w:rsidRPr="005C3E03" w:rsidRDefault="008359CC" w:rsidP="00B008A4">
            <w:pPr>
              <w:spacing w:before="0" w:after="0" w:line="240" w:lineRule="auto"/>
              <w:ind w:firstLine="30"/>
              <w:jc w:val="left"/>
              <w:rPr>
                <w:sz w:val="20"/>
                <w:szCs w:val="20"/>
                <w:lang w:eastAsia="vi-VN"/>
              </w:rPr>
            </w:pPr>
            <w:r w:rsidRPr="005C3E03">
              <w:rPr>
                <w:sz w:val="20"/>
                <w:szCs w:val="20"/>
                <w:lang w:eastAsia="vi-VN"/>
              </w:rPr>
              <w:t>A2</w:t>
            </w:r>
          </w:p>
        </w:tc>
        <w:tc>
          <w:tcPr>
            <w:tcW w:w="6815" w:type="dxa"/>
            <w:shd w:val="clear" w:color="auto" w:fill="auto"/>
            <w:noWrap/>
            <w:vAlign w:val="center"/>
            <w:hideMark/>
          </w:tcPr>
          <w:p w:rsidR="008359CC" w:rsidRPr="005C3E03" w:rsidRDefault="008359CC" w:rsidP="00B008A4">
            <w:pPr>
              <w:spacing w:before="0" w:after="0" w:line="240" w:lineRule="auto"/>
              <w:ind w:firstLine="0"/>
              <w:rPr>
                <w:sz w:val="20"/>
                <w:szCs w:val="20"/>
                <w:lang w:eastAsia="vi-VN"/>
              </w:rPr>
            </w:pPr>
            <w:r w:rsidRPr="005C3E03">
              <w:rPr>
                <w:sz w:val="20"/>
                <w:szCs w:val="20"/>
              </w:rPr>
              <w:t>Go into mandatory isolation/quarantine as directed by the public health authority if you have symptoms</w:t>
            </w:r>
          </w:p>
        </w:tc>
        <w:tc>
          <w:tcPr>
            <w:tcW w:w="940" w:type="dxa"/>
            <w:vAlign w:val="center"/>
          </w:tcPr>
          <w:p w:rsidR="008359CC" w:rsidRPr="005C3E03" w:rsidRDefault="008359CC" w:rsidP="00B008A4">
            <w:pPr>
              <w:spacing w:before="0" w:after="0" w:line="240" w:lineRule="auto"/>
              <w:ind w:firstLine="0"/>
              <w:jc w:val="center"/>
              <w:rPr>
                <w:sz w:val="20"/>
                <w:szCs w:val="20"/>
                <w:lang w:eastAsia="vi-VN"/>
              </w:rPr>
            </w:pPr>
            <w:r w:rsidRPr="005C3E03">
              <w:rPr>
                <w:sz w:val="20"/>
                <w:szCs w:val="20"/>
                <w:lang w:eastAsia="vi-VN"/>
              </w:rPr>
              <w:t>4.69</w:t>
            </w:r>
          </w:p>
        </w:tc>
        <w:tc>
          <w:tcPr>
            <w:tcW w:w="0" w:type="auto"/>
            <w:shd w:val="clear" w:color="auto" w:fill="auto"/>
            <w:noWrap/>
            <w:vAlign w:val="center"/>
            <w:hideMark/>
          </w:tcPr>
          <w:p w:rsidR="008359CC" w:rsidRPr="005C3E03" w:rsidRDefault="008359CC" w:rsidP="00B008A4">
            <w:pPr>
              <w:spacing w:before="0" w:after="0" w:line="240" w:lineRule="auto"/>
              <w:ind w:firstLine="37"/>
              <w:jc w:val="center"/>
              <w:rPr>
                <w:sz w:val="20"/>
                <w:szCs w:val="20"/>
                <w:lang w:eastAsia="vi-VN"/>
              </w:rPr>
            </w:pPr>
            <w:r w:rsidRPr="005C3E03">
              <w:rPr>
                <w:sz w:val="20"/>
                <w:szCs w:val="20"/>
                <w:lang w:eastAsia="vi-VN"/>
              </w:rPr>
              <w:t>6.36</w:t>
            </w:r>
          </w:p>
        </w:tc>
      </w:tr>
      <w:tr w:rsidR="008359CC" w:rsidRPr="005C3E03" w:rsidTr="00351F39">
        <w:trPr>
          <w:trHeight w:val="20"/>
        </w:trPr>
        <w:tc>
          <w:tcPr>
            <w:tcW w:w="693" w:type="dxa"/>
            <w:shd w:val="clear" w:color="auto" w:fill="auto"/>
            <w:noWrap/>
            <w:vAlign w:val="center"/>
            <w:hideMark/>
          </w:tcPr>
          <w:p w:rsidR="008359CC" w:rsidRPr="005C3E03" w:rsidRDefault="008359CC" w:rsidP="00B008A4">
            <w:pPr>
              <w:spacing w:before="0" w:after="0" w:line="240" w:lineRule="auto"/>
              <w:ind w:firstLine="30"/>
              <w:jc w:val="left"/>
              <w:rPr>
                <w:sz w:val="20"/>
                <w:szCs w:val="20"/>
                <w:lang w:eastAsia="vi-VN"/>
              </w:rPr>
            </w:pPr>
            <w:r w:rsidRPr="005C3E03">
              <w:rPr>
                <w:sz w:val="20"/>
                <w:szCs w:val="20"/>
                <w:lang w:eastAsia="vi-VN"/>
              </w:rPr>
              <w:t>A3</w:t>
            </w:r>
          </w:p>
        </w:tc>
        <w:tc>
          <w:tcPr>
            <w:tcW w:w="6815" w:type="dxa"/>
            <w:shd w:val="clear" w:color="auto" w:fill="auto"/>
            <w:noWrap/>
            <w:vAlign w:val="center"/>
            <w:hideMark/>
          </w:tcPr>
          <w:p w:rsidR="008359CC" w:rsidRPr="005C3E03" w:rsidRDefault="008359CC" w:rsidP="00B008A4">
            <w:pPr>
              <w:spacing w:before="0" w:after="0" w:line="240" w:lineRule="auto"/>
              <w:ind w:firstLine="0"/>
              <w:rPr>
                <w:sz w:val="20"/>
                <w:szCs w:val="20"/>
              </w:rPr>
            </w:pPr>
            <w:r w:rsidRPr="005C3E03">
              <w:rPr>
                <w:sz w:val="20"/>
                <w:szCs w:val="20"/>
              </w:rPr>
              <w:t>Report your family medical history honestly (including yours)</w:t>
            </w:r>
          </w:p>
        </w:tc>
        <w:tc>
          <w:tcPr>
            <w:tcW w:w="940" w:type="dxa"/>
            <w:vAlign w:val="center"/>
          </w:tcPr>
          <w:p w:rsidR="008359CC" w:rsidRPr="005C3E03" w:rsidRDefault="008359CC" w:rsidP="00B008A4">
            <w:pPr>
              <w:spacing w:before="0" w:after="0" w:line="240" w:lineRule="auto"/>
              <w:ind w:firstLine="0"/>
              <w:jc w:val="center"/>
              <w:rPr>
                <w:sz w:val="20"/>
                <w:szCs w:val="20"/>
                <w:lang w:eastAsia="vi-VN"/>
              </w:rPr>
            </w:pPr>
            <w:r w:rsidRPr="005C3E03">
              <w:rPr>
                <w:sz w:val="20"/>
                <w:szCs w:val="20"/>
                <w:lang w:eastAsia="vi-VN"/>
              </w:rPr>
              <w:t>4.69</w:t>
            </w:r>
          </w:p>
        </w:tc>
        <w:tc>
          <w:tcPr>
            <w:tcW w:w="0" w:type="auto"/>
            <w:shd w:val="clear" w:color="auto" w:fill="auto"/>
            <w:noWrap/>
            <w:vAlign w:val="center"/>
            <w:hideMark/>
          </w:tcPr>
          <w:p w:rsidR="008359CC" w:rsidRPr="005C3E03" w:rsidRDefault="008359CC" w:rsidP="00B008A4">
            <w:pPr>
              <w:spacing w:before="0" w:after="0" w:line="240" w:lineRule="auto"/>
              <w:ind w:firstLine="37"/>
              <w:jc w:val="center"/>
              <w:rPr>
                <w:sz w:val="20"/>
                <w:szCs w:val="20"/>
                <w:lang w:eastAsia="vi-VN"/>
              </w:rPr>
            </w:pPr>
            <w:r w:rsidRPr="005C3E03">
              <w:rPr>
                <w:sz w:val="20"/>
                <w:szCs w:val="20"/>
                <w:lang w:eastAsia="vi-VN"/>
              </w:rPr>
              <w:t>6.33</w:t>
            </w:r>
          </w:p>
        </w:tc>
      </w:tr>
      <w:tr w:rsidR="008359CC" w:rsidRPr="005C3E03" w:rsidTr="00351F39">
        <w:trPr>
          <w:trHeight w:val="20"/>
        </w:trPr>
        <w:tc>
          <w:tcPr>
            <w:tcW w:w="693" w:type="dxa"/>
            <w:shd w:val="clear" w:color="auto" w:fill="auto"/>
            <w:noWrap/>
            <w:vAlign w:val="center"/>
            <w:hideMark/>
          </w:tcPr>
          <w:p w:rsidR="008359CC" w:rsidRPr="005C3E03" w:rsidRDefault="008359CC" w:rsidP="00B008A4">
            <w:pPr>
              <w:spacing w:before="0" w:after="0" w:line="240" w:lineRule="auto"/>
              <w:ind w:firstLine="30"/>
              <w:jc w:val="left"/>
              <w:rPr>
                <w:sz w:val="20"/>
                <w:szCs w:val="20"/>
                <w:lang w:eastAsia="vi-VN"/>
              </w:rPr>
            </w:pPr>
            <w:r w:rsidRPr="005C3E03">
              <w:rPr>
                <w:sz w:val="20"/>
                <w:szCs w:val="20"/>
                <w:lang w:eastAsia="vi-VN"/>
              </w:rPr>
              <w:t>A4</w:t>
            </w:r>
          </w:p>
        </w:tc>
        <w:tc>
          <w:tcPr>
            <w:tcW w:w="6815" w:type="dxa"/>
            <w:shd w:val="clear" w:color="auto" w:fill="auto"/>
            <w:noWrap/>
            <w:vAlign w:val="center"/>
            <w:hideMark/>
          </w:tcPr>
          <w:p w:rsidR="008359CC" w:rsidRPr="005C3E03" w:rsidRDefault="008359CC" w:rsidP="00B008A4">
            <w:pPr>
              <w:spacing w:before="0" w:after="0" w:line="240" w:lineRule="auto"/>
              <w:ind w:firstLine="0"/>
              <w:rPr>
                <w:sz w:val="20"/>
                <w:szCs w:val="20"/>
                <w:lang w:eastAsia="vi-VN"/>
              </w:rPr>
            </w:pPr>
            <w:r w:rsidRPr="005C3E03">
              <w:rPr>
                <w:sz w:val="20"/>
                <w:szCs w:val="20"/>
              </w:rPr>
              <w:t>Take recommended measures to prevent further transmission of the virus to society</w:t>
            </w:r>
          </w:p>
        </w:tc>
        <w:tc>
          <w:tcPr>
            <w:tcW w:w="940" w:type="dxa"/>
            <w:vAlign w:val="center"/>
          </w:tcPr>
          <w:p w:rsidR="008359CC" w:rsidRPr="005C3E03" w:rsidRDefault="008359CC" w:rsidP="00B008A4">
            <w:pPr>
              <w:spacing w:before="0" w:after="0" w:line="240" w:lineRule="auto"/>
              <w:ind w:firstLine="0"/>
              <w:jc w:val="center"/>
              <w:rPr>
                <w:sz w:val="20"/>
                <w:szCs w:val="20"/>
                <w:lang w:eastAsia="vi-VN"/>
              </w:rPr>
            </w:pPr>
            <w:r w:rsidRPr="005C3E03">
              <w:rPr>
                <w:sz w:val="20"/>
                <w:szCs w:val="20"/>
                <w:lang w:eastAsia="vi-VN"/>
              </w:rPr>
              <w:t>4.69</w:t>
            </w:r>
          </w:p>
        </w:tc>
        <w:tc>
          <w:tcPr>
            <w:tcW w:w="0" w:type="auto"/>
            <w:shd w:val="clear" w:color="auto" w:fill="auto"/>
            <w:noWrap/>
            <w:vAlign w:val="center"/>
            <w:hideMark/>
          </w:tcPr>
          <w:p w:rsidR="008359CC" w:rsidRPr="005C3E03" w:rsidRDefault="008359CC" w:rsidP="00B008A4">
            <w:pPr>
              <w:spacing w:before="0" w:after="0" w:line="240" w:lineRule="auto"/>
              <w:ind w:firstLine="37"/>
              <w:jc w:val="center"/>
              <w:rPr>
                <w:sz w:val="20"/>
                <w:szCs w:val="20"/>
                <w:lang w:eastAsia="vi-VN"/>
              </w:rPr>
            </w:pPr>
            <w:r w:rsidRPr="005C3E03">
              <w:rPr>
                <w:sz w:val="20"/>
                <w:szCs w:val="20"/>
                <w:lang w:eastAsia="vi-VN"/>
              </w:rPr>
              <w:t>6.32</w:t>
            </w:r>
          </w:p>
        </w:tc>
      </w:tr>
      <w:tr w:rsidR="008359CC" w:rsidRPr="005C3E03" w:rsidTr="00351F39">
        <w:trPr>
          <w:trHeight w:val="20"/>
        </w:trPr>
        <w:tc>
          <w:tcPr>
            <w:tcW w:w="693" w:type="dxa"/>
            <w:shd w:val="clear" w:color="auto" w:fill="auto"/>
            <w:noWrap/>
            <w:vAlign w:val="center"/>
            <w:hideMark/>
          </w:tcPr>
          <w:p w:rsidR="008359CC" w:rsidRPr="005C3E03" w:rsidRDefault="008359CC" w:rsidP="00B008A4">
            <w:pPr>
              <w:spacing w:before="0" w:after="0" w:line="240" w:lineRule="auto"/>
              <w:ind w:firstLine="30"/>
              <w:jc w:val="left"/>
              <w:rPr>
                <w:sz w:val="20"/>
                <w:szCs w:val="20"/>
                <w:lang w:eastAsia="vi-VN"/>
              </w:rPr>
            </w:pPr>
            <w:r w:rsidRPr="005C3E03">
              <w:rPr>
                <w:sz w:val="20"/>
                <w:szCs w:val="20"/>
                <w:lang w:eastAsia="vi-VN"/>
              </w:rPr>
              <w:t>A5</w:t>
            </w:r>
          </w:p>
        </w:tc>
        <w:tc>
          <w:tcPr>
            <w:tcW w:w="6815" w:type="dxa"/>
            <w:shd w:val="clear" w:color="auto" w:fill="auto"/>
            <w:noWrap/>
            <w:vAlign w:val="center"/>
            <w:hideMark/>
          </w:tcPr>
          <w:p w:rsidR="008359CC" w:rsidRPr="005C3E03" w:rsidRDefault="008359CC" w:rsidP="00B008A4">
            <w:pPr>
              <w:spacing w:before="0" w:after="0" w:line="240" w:lineRule="auto"/>
              <w:ind w:firstLine="0"/>
              <w:rPr>
                <w:sz w:val="20"/>
                <w:szCs w:val="20"/>
              </w:rPr>
            </w:pPr>
            <w:r w:rsidRPr="005C3E03">
              <w:rPr>
                <w:sz w:val="20"/>
                <w:szCs w:val="20"/>
              </w:rPr>
              <w:t>Practice physical distancing and stay at home if you have symptoms</w:t>
            </w:r>
          </w:p>
        </w:tc>
        <w:tc>
          <w:tcPr>
            <w:tcW w:w="940" w:type="dxa"/>
            <w:vAlign w:val="center"/>
          </w:tcPr>
          <w:p w:rsidR="008359CC" w:rsidRPr="005C3E03" w:rsidRDefault="008359CC" w:rsidP="00B008A4">
            <w:pPr>
              <w:spacing w:before="0" w:after="0" w:line="240" w:lineRule="auto"/>
              <w:ind w:firstLine="0"/>
              <w:jc w:val="center"/>
              <w:rPr>
                <w:sz w:val="20"/>
                <w:szCs w:val="20"/>
                <w:lang w:eastAsia="vi-VN"/>
              </w:rPr>
            </w:pPr>
            <w:r w:rsidRPr="005C3E03">
              <w:rPr>
                <w:sz w:val="20"/>
                <w:szCs w:val="20"/>
                <w:lang w:eastAsia="vi-VN"/>
              </w:rPr>
              <w:t>4.59</w:t>
            </w:r>
          </w:p>
        </w:tc>
        <w:tc>
          <w:tcPr>
            <w:tcW w:w="0" w:type="auto"/>
            <w:shd w:val="clear" w:color="auto" w:fill="auto"/>
            <w:noWrap/>
            <w:vAlign w:val="center"/>
            <w:hideMark/>
          </w:tcPr>
          <w:p w:rsidR="008359CC" w:rsidRPr="005C3E03" w:rsidRDefault="008359CC" w:rsidP="00B008A4">
            <w:pPr>
              <w:spacing w:before="0" w:after="0" w:line="240" w:lineRule="auto"/>
              <w:ind w:firstLine="37"/>
              <w:jc w:val="center"/>
              <w:rPr>
                <w:sz w:val="20"/>
                <w:szCs w:val="20"/>
                <w:lang w:eastAsia="vi-VN"/>
              </w:rPr>
            </w:pPr>
            <w:r w:rsidRPr="005C3E03">
              <w:rPr>
                <w:sz w:val="20"/>
                <w:szCs w:val="20"/>
                <w:lang w:eastAsia="vi-VN"/>
              </w:rPr>
              <w:t>6.05</w:t>
            </w:r>
          </w:p>
        </w:tc>
      </w:tr>
      <w:tr w:rsidR="008359CC" w:rsidRPr="005C3E03" w:rsidTr="00351F39">
        <w:trPr>
          <w:trHeight w:val="20"/>
        </w:trPr>
        <w:tc>
          <w:tcPr>
            <w:tcW w:w="693" w:type="dxa"/>
            <w:shd w:val="clear" w:color="auto" w:fill="auto"/>
            <w:noWrap/>
            <w:vAlign w:val="center"/>
            <w:hideMark/>
          </w:tcPr>
          <w:p w:rsidR="008359CC" w:rsidRPr="005C3E03" w:rsidRDefault="008359CC" w:rsidP="00B008A4">
            <w:pPr>
              <w:spacing w:before="0" w:after="0" w:line="240" w:lineRule="auto"/>
              <w:ind w:firstLine="30"/>
              <w:jc w:val="left"/>
              <w:rPr>
                <w:sz w:val="20"/>
                <w:szCs w:val="20"/>
                <w:lang w:eastAsia="vi-VN"/>
              </w:rPr>
            </w:pPr>
            <w:r w:rsidRPr="005C3E03">
              <w:rPr>
                <w:sz w:val="20"/>
                <w:szCs w:val="20"/>
                <w:lang w:eastAsia="vi-VN"/>
              </w:rPr>
              <w:t>A6</w:t>
            </w:r>
          </w:p>
        </w:tc>
        <w:tc>
          <w:tcPr>
            <w:tcW w:w="6815" w:type="dxa"/>
            <w:shd w:val="clear" w:color="auto" w:fill="auto"/>
            <w:noWrap/>
            <w:vAlign w:val="center"/>
            <w:hideMark/>
          </w:tcPr>
          <w:p w:rsidR="008359CC" w:rsidRPr="005C3E03" w:rsidRDefault="008359CC" w:rsidP="00B008A4">
            <w:pPr>
              <w:spacing w:before="0" w:after="0" w:line="240" w:lineRule="auto"/>
              <w:ind w:firstLine="0"/>
              <w:rPr>
                <w:sz w:val="20"/>
                <w:szCs w:val="20"/>
                <w:lang w:eastAsia="vi-VN"/>
              </w:rPr>
            </w:pPr>
            <w:r w:rsidRPr="005C3E03">
              <w:rPr>
                <w:sz w:val="20"/>
                <w:szCs w:val="20"/>
              </w:rPr>
              <w:t>Participate in pandemic prevention campaigns in the locality</w:t>
            </w:r>
          </w:p>
        </w:tc>
        <w:tc>
          <w:tcPr>
            <w:tcW w:w="940" w:type="dxa"/>
            <w:vAlign w:val="center"/>
          </w:tcPr>
          <w:p w:rsidR="008359CC" w:rsidRPr="005C3E03" w:rsidRDefault="008359CC" w:rsidP="00B008A4">
            <w:pPr>
              <w:spacing w:before="0" w:after="0" w:line="240" w:lineRule="auto"/>
              <w:ind w:firstLine="0"/>
              <w:jc w:val="center"/>
              <w:rPr>
                <w:sz w:val="20"/>
                <w:szCs w:val="20"/>
                <w:lang w:eastAsia="vi-VN"/>
              </w:rPr>
            </w:pPr>
            <w:r w:rsidRPr="005C3E03">
              <w:rPr>
                <w:sz w:val="20"/>
                <w:szCs w:val="20"/>
                <w:lang w:eastAsia="vi-VN"/>
              </w:rPr>
              <w:t>4.44</w:t>
            </w:r>
          </w:p>
        </w:tc>
        <w:tc>
          <w:tcPr>
            <w:tcW w:w="0" w:type="auto"/>
            <w:shd w:val="clear" w:color="auto" w:fill="auto"/>
            <w:noWrap/>
            <w:vAlign w:val="center"/>
            <w:hideMark/>
          </w:tcPr>
          <w:p w:rsidR="008359CC" w:rsidRPr="005C3E03" w:rsidRDefault="008359CC" w:rsidP="00B008A4">
            <w:pPr>
              <w:spacing w:before="0" w:after="0" w:line="240" w:lineRule="auto"/>
              <w:ind w:firstLine="37"/>
              <w:jc w:val="center"/>
              <w:rPr>
                <w:sz w:val="20"/>
                <w:szCs w:val="20"/>
                <w:lang w:eastAsia="vi-VN"/>
              </w:rPr>
            </w:pPr>
            <w:r w:rsidRPr="005C3E03">
              <w:rPr>
                <w:sz w:val="20"/>
                <w:szCs w:val="20"/>
                <w:lang w:eastAsia="vi-VN"/>
              </w:rPr>
              <w:t>5.29</w:t>
            </w:r>
          </w:p>
        </w:tc>
      </w:tr>
      <w:tr w:rsidR="008359CC" w:rsidRPr="005C3E03" w:rsidTr="00351F39">
        <w:trPr>
          <w:trHeight w:val="20"/>
        </w:trPr>
        <w:tc>
          <w:tcPr>
            <w:tcW w:w="693" w:type="dxa"/>
            <w:shd w:val="clear" w:color="auto" w:fill="auto"/>
            <w:noWrap/>
            <w:vAlign w:val="center"/>
            <w:hideMark/>
          </w:tcPr>
          <w:p w:rsidR="008359CC" w:rsidRPr="005C3E03" w:rsidRDefault="008359CC" w:rsidP="00B008A4">
            <w:pPr>
              <w:spacing w:before="0" w:after="0" w:line="240" w:lineRule="auto"/>
              <w:ind w:firstLine="30"/>
              <w:jc w:val="left"/>
              <w:rPr>
                <w:sz w:val="20"/>
                <w:szCs w:val="20"/>
                <w:lang w:eastAsia="vi-VN"/>
              </w:rPr>
            </w:pPr>
            <w:r w:rsidRPr="005C3E03">
              <w:rPr>
                <w:sz w:val="20"/>
                <w:szCs w:val="20"/>
                <w:lang w:eastAsia="vi-VN"/>
              </w:rPr>
              <w:t>A7</w:t>
            </w:r>
          </w:p>
        </w:tc>
        <w:tc>
          <w:tcPr>
            <w:tcW w:w="6815" w:type="dxa"/>
            <w:shd w:val="clear" w:color="auto" w:fill="auto"/>
            <w:noWrap/>
            <w:vAlign w:val="center"/>
            <w:hideMark/>
          </w:tcPr>
          <w:p w:rsidR="008359CC" w:rsidRPr="005C3E03" w:rsidRDefault="008359CC" w:rsidP="00B008A4">
            <w:pPr>
              <w:spacing w:before="0" w:after="0" w:line="240" w:lineRule="auto"/>
              <w:ind w:firstLine="0"/>
              <w:rPr>
                <w:sz w:val="20"/>
                <w:szCs w:val="20"/>
              </w:rPr>
            </w:pPr>
            <w:r w:rsidRPr="005C3E03">
              <w:rPr>
                <w:sz w:val="20"/>
                <w:szCs w:val="20"/>
              </w:rPr>
              <w:t>Spend money to get vaccinated</w:t>
            </w:r>
          </w:p>
        </w:tc>
        <w:tc>
          <w:tcPr>
            <w:tcW w:w="940" w:type="dxa"/>
            <w:vAlign w:val="center"/>
          </w:tcPr>
          <w:p w:rsidR="008359CC" w:rsidRPr="005C3E03" w:rsidRDefault="008359CC" w:rsidP="00B008A4">
            <w:pPr>
              <w:spacing w:before="0" w:after="0" w:line="240" w:lineRule="auto"/>
              <w:ind w:firstLine="0"/>
              <w:jc w:val="center"/>
              <w:rPr>
                <w:sz w:val="20"/>
                <w:szCs w:val="20"/>
                <w:lang w:eastAsia="vi-VN"/>
              </w:rPr>
            </w:pPr>
            <w:r w:rsidRPr="005C3E03">
              <w:rPr>
                <w:sz w:val="20"/>
                <w:szCs w:val="20"/>
                <w:lang w:eastAsia="vi-VN"/>
              </w:rPr>
              <w:t>4.33</w:t>
            </w:r>
          </w:p>
        </w:tc>
        <w:tc>
          <w:tcPr>
            <w:tcW w:w="0" w:type="auto"/>
            <w:shd w:val="clear" w:color="auto" w:fill="auto"/>
            <w:noWrap/>
            <w:vAlign w:val="center"/>
            <w:hideMark/>
          </w:tcPr>
          <w:p w:rsidR="008359CC" w:rsidRPr="005C3E03" w:rsidRDefault="008359CC" w:rsidP="00B008A4">
            <w:pPr>
              <w:spacing w:before="0" w:after="0" w:line="240" w:lineRule="auto"/>
              <w:ind w:firstLine="37"/>
              <w:jc w:val="center"/>
              <w:rPr>
                <w:sz w:val="20"/>
                <w:szCs w:val="20"/>
                <w:lang w:eastAsia="vi-VN"/>
              </w:rPr>
            </w:pPr>
            <w:r w:rsidRPr="005C3E03">
              <w:rPr>
                <w:sz w:val="20"/>
                <w:szCs w:val="20"/>
                <w:lang w:eastAsia="vi-VN"/>
              </w:rPr>
              <w:t>4.92</w:t>
            </w:r>
          </w:p>
        </w:tc>
      </w:tr>
      <w:tr w:rsidR="00351F39" w:rsidRPr="005C3E03" w:rsidTr="00351F39">
        <w:trPr>
          <w:trHeight w:val="20"/>
        </w:trPr>
        <w:tc>
          <w:tcPr>
            <w:tcW w:w="693" w:type="dxa"/>
            <w:shd w:val="clear" w:color="auto" w:fill="auto"/>
            <w:noWrap/>
            <w:vAlign w:val="center"/>
            <w:hideMark/>
          </w:tcPr>
          <w:p w:rsidR="008359CC" w:rsidRPr="005C3E03" w:rsidRDefault="008359CC" w:rsidP="00B008A4">
            <w:pPr>
              <w:spacing w:before="0" w:after="0" w:line="240" w:lineRule="auto"/>
              <w:ind w:firstLine="30"/>
              <w:jc w:val="left"/>
              <w:rPr>
                <w:sz w:val="20"/>
                <w:szCs w:val="20"/>
                <w:lang w:eastAsia="vi-VN"/>
              </w:rPr>
            </w:pPr>
            <w:r w:rsidRPr="005C3E03">
              <w:rPr>
                <w:sz w:val="20"/>
                <w:szCs w:val="20"/>
                <w:lang w:eastAsia="vi-VN"/>
              </w:rPr>
              <w:t>A8</w:t>
            </w:r>
          </w:p>
        </w:tc>
        <w:tc>
          <w:tcPr>
            <w:tcW w:w="6815" w:type="dxa"/>
            <w:shd w:val="clear" w:color="auto" w:fill="auto"/>
            <w:noWrap/>
            <w:vAlign w:val="center"/>
            <w:hideMark/>
          </w:tcPr>
          <w:p w:rsidR="008359CC" w:rsidRPr="005C3E03" w:rsidRDefault="008359CC" w:rsidP="00B008A4">
            <w:pPr>
              <w:spacing w:before="0" w:after="0" w:line="240" w:lineRule="auto"/>
              <w:ind w:firstLine="0"/>
              <w:rPr>
                <w:sz w:val="20"/>
                <w:szCs w:val="20"/>
              </w:rPr>
            </w:pPr>
            <w:r w:rsidRPr="005C3E03">
              <w:rPr>
                <w:sz w:val="20"/>
                <w:szCs w:val="20"/>
              </w:rPr>
              <w:t>Donate to the pandemic prevention fund</w:t>
            </w:r>
          </w:p>
        </w:tc>
        <w:tc>
          <w:tcPr>
            <w:tcW w:w="940" w:type="dxa"/>
            <w:vAlign w:val="center"/>
          </w:tcPr>
          <w:p w:rsidR="008359CC" w:rsidRPr="005C3E03" w:rsidRDefault="008359CC" w:rsidP="00B008A4">
            <w:pPr>
              <w:spacing w:before="0" w:after="0" w:line="240" w:lineRule="auto"/>
              <w:ind w:firstLine="0"/>
              <w:jc w:val="center"/>
              <w:rPr>
                <w:sz w:val="20"/>
                <w:szCs w:val="20"/>
                <w:lang w:eastAsia="vi-VN"/>
              </w:rPr>
            </w:pPr>
            <w:r w:rsidRPr="005C3E03">
              <w:rPr>
                <w:sz w:val="20"/>
                <w:szCs w:val="20"/>
                <w:lang w:eastAsia="vi-VN"/>
              </w:rPr>
              <w:t>4.29</w:t>
            </w:r>
          </w:p>
        </w:tc>
        <w:tc>
          <w:tcPr>
            <w:tcW w:w="0" w:type="auto"/>
            <w:shd w:val="clear" w:color="auto" w:fill="auto"/>
            <w:noWrap/>
            <w:vAlign w:val="center"/>
            <w:hideMark/>
          </w:tcPr>
          <w:p w:rsidR="008359CC" w:rsidRPr="005C3E03" w:rsidRDefault="008359CC" w:rsidP="00B008A4">
            <w:pPr>
              <w:spacing w:before="0" w:after="0" w:line="240" w:lineRule="auto"/>
              <w:ind w:firstLine="37"/>
              <w:jc w:val="center"/>
              <w:rPr>
                <w:sz w:val="20"/>
                <w:szCs w:val="20"/>
                <w:lang w:eastAsia="vi-VN"/>
              </w:rPr>
            </w:pPr>
            <w:r w:rsidRPr="005C3E03">
              <w:rPr>
                <w:sz w:val="20"/>
                <w:szCs w:val="20"/>
                <w:lang w:eastAsia="vi-VN"/>
              </w:rPr>
              <w:t>4.69</w:t>
            </w:r>
          </w:p>
        </w:tc>
      </w:tr>
      <w:tr w:rsidR="00351F39" w:rsidRPr="005C3E03" w:rsidTr="00351F39">
        <w:trPr>
          <w:trHeight w:val="20"/>
        </w:trPr>
        <w:tc>
          <w:tcPr>
            <w:tcW w:w="693" w:type="dxa"/>
            <w:shd w:val="clear" w:color="auto" w:fill="auto"/>
            <w:noWrap/>
            <w:vAlign w:val="center"/>
            <w:hideMark/>
          </w:tcPr>
          <w:p w:rsidR="008359CC" w:rsidRPr="005C3E03" w:rsidRDefault="008359CC" w:rsidP="00B008A4">
            <w:pPr>
              <w:spacing w:before="0" w:after="0" w:line="240" w:lineRule="auto"/>
              <w:ind w:firstLine="30"/>
              <w:jc w:val="left"/>
              <w:rPr>
                <w:sz w:val="20"/>
                <w:szCs w:val="20"/>
                <w:lang w:eastAsia="vi-VN"/>
              </w:rPr>
            </w:pPr>
            <w:r w:rsidRPr="005C3E03">
              <w:rPr>
                <w:sz w:val="20"/>
                <w:szCs w:val="20"/>
                <w:lang w:eastAsia="vi-VN"/>
              </w:rPr>
              <w:t>A9</w:t>
            </w:r>
          </w:p>
        </w:tc>
        <w:tc>
          <w:tcPr>
            <w:tcW w:w="6815" w:type="dxa"/>
            <w:shd w:val="clear" w:color="auto" w:fill="auto"/>
            <w:noWrap/>
            <w:vAlign w:val="center"/>
            <w:hideMark/>
          </w:tcPr>
          <w:p w:rsidR="008359CC" w:rsidRPr="005C3E03" w:rsidRDefault="008359CC" w:rsidP="00B008A4">
            <w:pPr>
              <w:spacing w:before="0" w:after="0" w:line="240" w:lineRule="auto"/>
              <w:ind w:firstLine="0"/>
              <w:rPr>
                <w:sz w:val="20"/>
                <w:szCs w:val="20"/>
              </w:rPr>
            </w:pPr>
            <w:r w:rsidRPr="005C3E03">
              <w:rPr>
                <w:sz w:val="20"/>
                <w:szCs w:val="20"/>
              </w:rPr>
              <w:t>Spend more money on purchasing medical equipment to prevent the pandemic</w:t>
            </w:r>
          </w:p>
        </w:tc>
        <w:tc>
          <w:tcPr>
            <w:tcW w:w="940" w:type="dxa"/>
            <w:vAlign w:val="center"/>
          </w:tcPr>
          <w:p w:rsidR="008359CC" w:rsidRPr="005C3E03" w:rsidRDefault="008359CC" w:rsidP="00B008A4">
            <w:pPr>
              <w:spacing w:before="0" w:after="0" w:line="240" w:lineRule="auto"/>
              <w:ind w:firstLine="0"/>
              <w:jc w:val="center"/>
              <w:rPr>
                <w:sz w:val="20"/>
                <w:szCs w:val="20"/>
                <w:lang w:eastAsia="vi-VN"/>
              </w:rPr>
            </w:pPr>
            <w:r w:rsidRPr="005C3E03">
              <w:rPr>
                <w:sz w:val="20"/>
                <w:szCs w:val="20"/>
                <w:lang w:eastAsia="vi-VN"/>
              </w:rPr>
              <w:t>4.12</w:t>
            </w:r>
          </w:p>
        </w:tc>
        <w:tc>
          <w:tcPr>
            <w:tcW w:w="0" w:type="auto"/>
            <w:shd w:val="clear" w:color="auto" w:fill="auto"/>
            <w:noWrap/>
            <w:vAlign w:val="center"/>
            <w:hideMark/>
          </w:tcPr>
          <w:p w:rsidR="008359CC" w:rsidRPr="005C3E03" w:rsidRDefault="008359CC" w:rsidP="00B008A4">
            <w:pPr>
              <w:spacing w:before="0" w:after="0" w:line="240" w:lineRule="auto"/>
              <w:ind w:firstLine="37"/>
              <w:jc w:val="center"/>
              <w:rPr>
                <w:sz w:val="20"/>
                <w:szCs w:val="20"/>
                <w:lang w:eastAsia="vi-VN"/>
              </w:rPr>
            </w:pPr>
            <w:r w:rsidRPr="005C3E03">
              <w:rPr>
                <w:sz w:val="20"/>
                <w:szCs w:val="20"/>
                <w:lang w:eastAsia="vi-VN"/>
              </w:rPr>
              <w:t>4.42</w:t>
            </w:r>
          </w:p>
        </w:tc>
      </w:tr>
      <w:tr w:rsidR="00351F39" w:rsidRPr="005C3E03" w:rsidTr="00351F39">
        <w:trPr>
          <w:trHeight w:val="20"/>
        </w:trPr>
        <w:tc>
          <w:tcPr>
            <w:tcW w:w="693" w:type="dxa"/>
            <w:tcBorders>
              <w:bottom w:val="single" w:sz="4" w:space="0" w:color="auto"/>
            </w:tcBorders>
            <w:shd w:val="clear" w:color="auto" w:fill="auto"/>
            <w:noWrap/>
            <w:vAlign w:val="center"/>
            <w:hideMark/>
          </w:tcPr>
          <w:p w:rsidR="008359CC" w:rsidRPr="005C3E03" w:rsidRDefault="008359CC" w:rsidP="00B008A4">
            <w:pPr>
              <w:spacing w:before="0" w:after="0" w:line="240" w:lineRule="auto"/>
              <w:ind w:firstLine="30"/>
              <w:jc w:val="left"/>
              <w:rPr>
                <w:sz w:val="20"/>
                <w:szCs w:val="20"/>
                <w:lang w:eastAsia="vi-VN"/>
              </w:rPr>
            </w:pPr>
            <w:r w:rsidRPr="005C3E03">
              <w:rPr>
                <w:sz w:val="20"/>
                <w:szCs w:val="20"/>
                <w:lang w:eastAsia="vi-VN"/>
              </w:rPr>
              <w:t>A10</w:t>
            </w:r>
          </w:p>
        </w:tc>
        <w:tc>
          <w:tcPr>
            <w:tcW w:w="6815" w:type="dxa"/>
            <w:tcBorders>
              <w:bottom w:val="single" w:sz="4" w:space="0" w:color="auto"/>
            </w:tcBorders>
            <w:shd w:val="clear" w:color="auto" w:fill="auto"/>
            <w:noWrap/>
            <w:vAlign w:val="center"/>
            <w:hideMark/>
          </w:tcPr>
          <w:p w:rsidR="008359CC" w:rsidRPr="005C3E03" w:rsidRDefault="008359CC" w:rsidP="00B008A4">
            <w:pPr>
              <w:spacing w:before="0" w:after="0" w:line="240" w:lineRule="auto"/>
              <w:ind w:firstLine="0"/>
              <w:rPr>
                <w:sz w:val="20"/>
                <w:szCs w:val="20"/>
              </w:rPr>
            </w:pPr>
            <w:r w:rsidRPr="005C3E03">
              <w:rPr>
                <w:sz w:val="20"/>
                <w:szCs w:val="20"/>
              </w:rPr>
              <w:t>Spend more money on online services (home delivery, online shopping...)</w:t>
            </w:r>
          </w:p>
        </w:tc>
        <w:tc>
          <w:tcPr>
            <w:tcW w:w="940" w:type="dxa"/>
            <w:tcBorders>
              <w:bottom w:val="single" w:sz="4" w:space="0" w:color="auto"/>
            </w:tcBorders>
            <w:vAlign w:val="center"/>
          </w:tcPr>
          <w:p w:rsidR="008359CC" w:rsidRPr="005C3E03" w:rsidRDefault="008359CC" w:rsidP="00B008A4">
            <w:pPr>
              <w:spacing w:before="0" w:after="0" w:line="240" w:lineRule="auto"/>
              <w:ind w:firstLine="0"/>
              <w:jc w:val="center"/>
              <w:rPr>
                <w:sz w:val="20"/>
                <w:szCs w:val="20"/>
                <w:lang w:eastAsia="vi-VN"/>
              </w:rPr>
            </w:pPr>
            <w:r w:rsidRPr="005C3E03">
              <w:rPr>
                <w:sz w:val="20"/>
                <w:szCs w:val="20"/>
                <w:lang w:eastAsia="vi-VN"/>
              </w:rPr>
              <w:t>4.12</w:t>
            </w:r>
          </w:p>
        </w:tc>
        <w:tc>
          <w:tcPr>
            <w:tcW w:w="0" w:type="auto"/>
            <w:tcBorders>
              <w:bottom w:val="single" w:sz="4" w:space="0" w:color="auto"/>
            </w:tcBorders>
            <w:shd w:val="clear" w:color="auto" w:fill="auto"/>
            <w:noWrap/>
            <w:vAlign w:val="center"/>
            <w:hideMark/>
          </w:tcPr>
          <w:p w:rsidR="008359CC" w:rsidRPr="005C3E03" w:rsidRDefault="008359CC" w:rsidP="00B008A4">
            <w:pPr>
              <w:spacing w:before="0" w:after="0" w:line="240" w:lineRule="auto"/>
              <w:ind w:firstLine="37"/>
              <w:jc w:val="center"/>
              <w:rPr>
                <w:sz w:val="20"/>
                <w:szCs w:val="20"/>
                <w:lang w:eastAsia="vi-VN"/>
              </w:rPr>
            </w:pPr>
            <w:r w:rsidRPr="005C3E03">
              <w:rPr>
                <w:sz w:val="20"/>
                <w:szCs w:val="20"/>
                <w:lang w:eastAsia="vi-VN"/>
              </w:rPr>
              <w:t>4.18</w:t>
            </w:r>
          </w:p>
        </w:tc>
      </w:tr>
    </w:tbl>
    <w:p w:rsidR="00F215AC" w:rsidRPr="00B42892" w:rsidRDefault="00F215AC" w:rsidP="00F215AC">
      <w:r w:rsidRPr="00B42892">
        <w:t xml:space="preserve">To investigate which factors significantly contributed </w:t>
      </w:r>
      <w:r w:rsidR="00C15FF0" w:rsidRPr="00B42892">
        <w:t xml:space="preserve">to </w:t>
      </w:r>
      <w:r w:rsidRPr="00B42892">
        <w:t>the overall agreement level to implement C</w:t>
      </w:r>
      <w:r w:rsidR="00F212E0" w:rsidRPr="00B42892">
        <w:t xml:space="preserve">OVID-19 prevention activities, </w:t>
      </w:r>
      <w:r w:rsidR="008A4474" w:rsidRPr="00B42892">
        <w:t>GLM</w:t>
      </w:r>
      <w:r w:rsidRPr="00B42892">
        <w:t xml:space="preserve"> analysis was performed with the </w:t>
      </w:r>
      <w:r w:rsidR="00B42892">
        <w:t>seven predictors (</w:t>
      </w:r>
      <w:r w:rsidRPr="00B42892">
        <w:t xml:space="preserve">age, gender, housing type, monthly spending, trust level in the </w:t>
      </w:r>
      <w:r w:rsidR="006455E7" w:rsidRPr="00B42892">
        <w:t>g</w:t>
      </w:r>
      <w:r w:rsidRPr="00B42892">
        <w:t>overnment's management during pandemics, the total frequency of receiving disease warnings and the accumulated usefulness levels of proposed media channels</w:t>
      </w:r>
      <w:r w:rsidR="00B42892">
        <w:t>)</w:t>
      </w:r>
      <w:r w:rsidRPr="00B42892">
        <w:t xml:space="preserve">. Among </w:t>
      </w:r>
      <w:r w:rsidR="00DD2133" w:rsidRPr="00B42892">
        <w:t>th</w:t>
      </w:r>
      <w:r w:rsidR="004C6C2E" w:rsidRPr="00B42892">
        <w:t>o</w:t>
      </w:r>
      <w:r w:rsidR="00DD2133" w:rsidRPr="00B42892">
        <w:t xml:space="preserve">se </w:t>
      </w:r>
      <w:r w:rsidRPr="00B42892">
        <w:t>predictors,</w:t>
      </w:r>
      <w:r w:rsidR="00361EBE" w:rsidRPr="00B42892">
        <w:t xml:space="preserve"> only</w:t>
      </w:r>
      <w:r w:rsidRPr="00B42892">
        <w:t xml:space="preserve"> </w:t>
      </w:r>
      <w:r w:rsidR="00DD2133" w:rsidRPr="00B42892">
        <w:t xml:space="preserve">four variables </w:t>
      </w:r>
      <w:r w:rsidRPr="00B42892">
        <w:t>had significant</w:t>
      </w:r>
      <w:r w:rsidR="00C15FF0" w:rsidRPr="00B42892">
        <w:t xml:space="preserve"> effects on the agreement level</w:t>
      </w:r>
      <w:r w:rsidRPr="00B42892">
        <w:t xml:space="preserve"> (</w:t>
      </w:r>
      <w:r w:rsidR="00DD2133" w:rsidRPr="00B42892">
        <w:fldChar w:fldCharType="begin"/>
      </w:r>
      <w:r w:rsidR="00DD2133" w:rsidRPr="00B42892">
        <w:instrText xml:space="preserve"> REF _Ref84276849 \h  \* MERGEFORMAT </w:instrText>
      </w:r>
      <w:r w:rsidR="00DD2133" w:rsidRPr="00B42892">
        <w:fldChar w:fldCharType="separate"/>
      </w:r>
      <w:r w:rsidR="00DD2133" w:rsidRPr="00B42892">
        <w:rPr>
          <w:rFonts w:eastAsia="Times New Roman"/>
          <w:bCs/>
          <w:szCs w:val="24"/>
        </w:rPr>
        <w:t>Table 7</w:t>
      </w:r>
      <w:r w:rsidR="00DD2133" w:rsidRPr="00B42892">
        <w:fldChar w:fldCharType="end"/>
      </w:r>
      <w:r w:rsidRPr="00B42892">
        <w:t>).</w:t>
      </w:r>
      <w:r w:rsidR="00F212E0" w:rsidRPr="00B42892">
        <w:t xml:space="preserve"> The interactions between variables were not statistically significant.</w:t>
      </w:r>
      <w:r w:rsidRPr="00B42892">
        <w:t xml:space="preserve"> </w:t>
      </w:r>
      <w:r w:rsidR="009345F1" w:rsidRPr="00B42892">
        <w:t xml:space="preserve">Males have lower </w:t>
      </w:r>
      <w:r w:rsidR="00B42892" w:rsidRPr="00B42892">
        <w:t xml:space="preserve">consent </w:t>
      </w:r>
      <w:r w:rsidR="009345F1" w:rsidRPr="00B42892">
        <w:t>levels in implementing disease prevention measures</w:t>
      </w:r>
      <w:r w:rsidR="00361EBE" w:rsidRPr="00B42892">
        <w:t xml:space="preserve"> than females</w:t>
      </w:r>
      <w:r w:rsidR="009345F1" w:rsidRPr="00B42892">
        <w:t xml:space="preserve">. </w:t>
      </w:r>
      <w:r w:rsidR="00F212E0" w:rsidRPr="00B42892">
        <w:t xml:space="preserve">Increasing the total frequency of obtaining disease alerts and the overall usefulness of media channels were linked to a higher likelihood of undertaking prevention </w:t>
      </w:r>
      <w:r w:rsidR="00B42892">
        <w:t>actions</w:t>
      </w:r>
      <w:r w:rsidR="00F212E0" w:rsidRPr="00B42892">
        <w:t xml:space="preserve">. </w:t>
      </w:r>
      <w:r w:rsidR="000C0826" w:rsidRPr="00B42892">
        <w:t xml:space="preserve">It is worth noting that </w:t>
      </w:r>
      <w:r w:rsidR="00C813CC" w:rsidRPr="00B42892">
        <w:t xml:space="preserve">the </w:t>
      </w:r>
      <w:r w:rsidR="00361EBE" w:rsidRPr="00B42892">
        <w:t xml:space="preserve">trust level in the </w:t>
      </w:r>
      <w:r w:rsidR="006455E7" w:rsidRPr="00B42892">
        <w:t>g</w:t>
      </w:r>
      <w:r w:rsidR="00361EBE" w:rsidRPr="00B42892">
        <w:t>overnment's management was positively</w:t>
      </w:r>
      <w:r w:rsidR="00C813CC" w:rsidRPr="00B42892">
        <w:t xml:space="preserve"> substantially</w:t>
      </w:r>
      <w:r w:rsidR="00361EBE" w:rsidRPr="00B42892">
        <w:t xml:space="preserve"> associated with the overall agreement level to </w:t>
      </w:r>
      <w:r w:rsidR="00B42892">
        <w:t>adherence to</w:t>
      </w:r>
      <w:r w:rsidR="00361EBE" w:rsidRPr="00B42892">
        <w:t xml:space="preserve"> preventive measures.</w:t>
      </w:r>
    </w:p>
    <w:p w:rsidR="00DD2133" w:rsidRPr="00B42892" w:rsidRDefault="00DD2133" w:rsidP="00DD2133">
      <w:pPr>
        <w:pStyle w:val="Caption"/>
        <w:rPr>
          <w:rFonts w:eastAsia="Times New Roman"/>
          <w:b/>
          <w:bCs w:val="0"/>
          <w:sz w:val="22"/>
          <w:szCs w:val="24"/>
        </w:rPr>
      </w:pPr>
      <w:bookmarkStart w:id="6" w:name="_Ref84276849"/>
      <w:r w:rsidRPr="00B42892">
        <w:rPr>
          <w:rFonts w:eastAsia="Times New Roman"/>
          <w:b/>
          <w:bCs w:val="0"/>
          <w:sz w:val="22"/>
          <w:szCs w:val="24"/>
        </w:rPr>
        <w:t xml:space="preserve">Table </w:t>
      </w:r>
      <w:r w:rsidRPr="00B42892">
        <w:rPr>
          <w:rFonts w:eastAsia="Times New Roman"/>
          <w:b/>
          <w:bCs w:val="0"/>
          <w:sz w:val="22"/>
          <w:szCs w:val="24"/>
        </w:rPr>
        <w:fldChar w:fldCharType="begin"/>
      </w:r>
      <w:r w:rsidRPr="00B42892">
        <w:rPr>
          <w:rFonts w:eastAsia="Times New Roman"/>
          <w:b/>
          <w:bCs w:val="0"/>
          <w:sz w:val="22"/>
          <w:szCs w:val="24"/>
        </w:rPr>
        <w:instrText xml:space="preserve"> SEQ Table \* ARABIC </w:instrText>
      </w:r>
      <w:r w:rsidRPr="00B42892">
        <w:rPr>
          <w:rFonts w:eastAsia="Times New Roman"/>
          <w:b/>
          <w:bCs w:val="0"/>
          <w:sz w:val="22"/>
          <w:szCs w:val="24"/>
        </w:rPr>
        <w:fldChar w:fldCharType="separate"/>
      </w:r>
      <w:r w:rsidRPr="00B42892">
        <w:rPr>
          <w:rFonts w:eastAsia="Times New Roman"/>
          <w:b/>
          <w:bCs w:val="0"/>
          <w:sz w:val="22"/>
          <w:szCs w:val="24"/>
        </w:rPr>
        <w:t>7</w:t>
      </w:r>
      <w:r w:rsidRPr="00B42892">
        <w:rPr>
          <w:rFonts w:eastAsia="Times New Roman"/>
          <w:b/>
          <w:bCs w:val="0"/>
          <w:sz w:val="22"/>
          <w:szCs w:val="24"/>
        </w:rPr>
        <w:fldChar w:fldCharType="end"/>
      </w:r>
      <w:bookmarkEnd w:id="6"/>
      <w:r w:rsidRPr="00B42892">
        <w:rPr>
          <w:rFonts w:eastAsia="Times New Roman"/>
          <w:b/>
          <w:bCs w:val="0"/>
          <w:sz w:val="22"/>
          <w:szCs w:val="24"/>
        </w:rPr>
        <w:t xml:space="preserve">. </w:t>
      </w:r>
      <w:r w:rsidR="008A4474" w:rsidRPr="00B42892">
        <w:rPr>
          <w:rFonts w:eastAsia="Times New Roman"/>
          <w:b/>
          <w:bCs w:val="0"/>
          <w:sz w:val="22"/>
          <w:szCs w:val="24"/>
        </w:rPr>
        <w:t>GLM</w:t>
      </w:r>
      <w:r w:rsidR="007C1D39" w:rsidRPr="00B42892">
        <w:rPr>
          <w:rFonts w:eastAsia="Times New Roman"/>
          <w:b/>
          <w:bCs w:val="0"/>
          <w:sz w:val="22"/>
          <w:szCs w:val="24"/>
        </w:rPr>
        <w:t xml:space="preserve"> predicting </w:t>
      </w:r>
      <w:r w:rsidR="00C813CC" w:rsidRPr="00B42892">
        <w:rPr>
          <w:rFonts w:eastAsia="Times New Roman"/>
          <w:b/>
          <w:bCs w:val="0"/>
          <w:sz w:val="22"/>
          <w:szCs w:val="24"/>
        </w:rPr>
        <w:t xml:space="preserve">the </w:t>
      </w:r>
      <w:r w:rsidR="007C1D39" w:rsidRPr="00B42892">
        <w:rPr>
          <w:rFonts w:eastAsia="Times New Roman"/>
          <w:b/>
          <w:bCs w:val="0"/>
          <w:sz w:val="22"/>
          <w:szCs w:val="24"/>
        </w:rPr>
        <w:t>likelihood of</w:t>
      </w:r>
      <w:r w:rsidR="00361EBE" w:rsidRPr="00B42892">
        <w:rPr>
          <w:rFonts w:eastAsia="Times New Roman"/>
          <w:b/>
          <w:bCs w:val="0"/>
          <w:sz w:val="22"/>
          <w:szCs w:val="24"/>
        </w:rPr>
        <w:t xml:space="preserve"> total</w:t>
      </w:r>
      <w:r w:rsidR="007C1D39" w:rsidRPr="00B42892">
        <w:rPr>
          <w:rFonts w:eastAsia="Times New Roman"/>
          <w:b/>
          <w:bCs w:val="0"/>
          <w:sz w:val="22"/>
          <w:szCs w:val="24"/>
        </w:rPr>
        <w:t xml:space="preserve"> agreement level to implement prevention activities</w:t>
      </w:r>
    </w:p>
    <w:tbl>
      <w:tblPr>
        <w:tblW w:w="5000" w:type="pct"/>
        <w:tblLook w:val="04A0" w:firstRow="1" w:lastRow="0" w:firstColumn="1" w:lastColumn="0" w:noHBand="0" w:noVBand="1"/>
      </w:tblPr>
      <w:tblGrid>
        <w:gridCol w:w="5745"/>
        <w:gridCol w:w="566"/>
        <w:gridCol w:w="642"/>
        <w:gridCol w:w="782"/>
        <w:gridCol w:w="566"/>
        <w:gridCol w:w="533"/>
        <w:gridCol w:w="805"/>
      </w:tblGrid>
      <w:tr w:rsidR="00DD2133" w:rsidRPr="00B42892" w:rsidTr="00824C65">
        <w:trPr>
          <w:trHeight w:val="20"/>
        </w:trPr>
        <w:tc>
          <w:tcPr>
            <w:tcW w:w="3015" w:type="pct"/>
            <w:tcBorders>
              <w:top w:val="single" w:sz="4" w:space="0" w:color="auto"/>
            </w:tcBorders>
            <w:shd w:val="clear" w:color="auto" w:fill="auto"/>
            <w:noWrap/>
            <w:vAlign w:val="bottom"/>
            <w:hideMark/>
          </w:tcPr>
          <w:p w:rsidR="00DD2133" w:rsidRPr="00B42892" w:rsidRDefault="00DD2133" w:rsidP="00DD2133">
            <w:pPr>
              <w:spacing w:before="0" w:after="0" w:line="240" w:lineRule="auto"/>
              <w:ind w:firstLine="0"/>
              <w:jc w:val="left"/>
              <w:rPr>
                <w:rFonts w:eastAsia="Times New Roman"/>
                <w:sz w:val="20"/>
                <w:szCs w:val="20"/>
                <w:lang w:val="vi-VN" w:eastAsia="vi-VN"/>
              </w:rPr>
            </w:pPr>
            <w:r w:rsidRPr="00B42892">
              <w:rPr>
                <w:rFonts w:eastAsia="Times New Roman"/>
                <w:sz w:val="20"/>
                <w:szCs w:val="20"/>
                <w:lang w:val="vi-VN" w:eastAsia="vi-VN"/>
              </w:rPr>
              <w:t> </w:t>
            </w:r>
          </w:p>
        </w:tc>
        <w:tc>
          <w:tcPr>
            <w:tcW w:w="147" w:type="pct"/>
            <w:tcBorders>
              <w:top w:val="single" w:sz="4" w:space="0" w:color="auto"/>
            </w:tcBorders>
            <w:shd w:val="clear" w:color="auto" w:fill="auto"/>
            <w:noWrap/>
            <w:vAlign w:val="bottom"/>
            <w:hideMark/>
          </w:tcPr>
          <w:p w:rsidR="00DD2133" w:rsidRPr="00B42892" w:rsidRDefault="00DD2133" w:rsidP="00DD2133">
            <w:pPr>
              <w:spacing w:before="0" w:after="0" w:line="240" w:lineRule="auto"/>
              <w:ind w:firstLine="0"/>
              <w:jc w:val="left"/>
              <w:rPr>
                <w:rFonts w:eastAsia="Times New Roman"/>
                <w:sz w:val="20"/>
                <w:szCs w:val="20"/>
                <w:lang w:val="vi-VN" w:eastAsia="vi-VN"/>
              </w:rPr>
            </w:pPr>
            <w:r w:rsidRPr="00B42892">
              <w:rPr>
                <w:rFonts w:eastAsia="Times New Roman"/>
                <w:sz w:val="20"/>
                <w:szCs w:val="20"/>
                <w:lang w:val="vi-VN" w:eastAsia="vi-VN"/>
              </w:rPr>
              <w:t> </w:t>
            </w:r>
          </w:p>
        </w:tc>
        <w:tc>
          <w:tcPr>
            <w:tcW w:w="367" w:type="pct"/>
            <w:tcBorders>
              <w:top w:val="single" w:sz="4" w:space="0" w:color="auto"/>
            </w:tcBorders>
            <w:shd w:val="clear" w:color="auto" w:fill="auto"/>
            <w:noWrap/>
            <w:vAlign w:val="bottom"/>
            <w:hideMark/>
          </w:tcPr>
          <w:p w:rsidR="00DD2133" w:rsidRPr="00B42892" w:rsidRDefault="00DD2133" w:rsidP="00DD2133">
            <w:pPr>
              <w:spacing w:before="0" w:after="0" w:line="240" w:lineRule="auto"/>
              <w:ind w:firstLine="0"/>
              <w:jc w:val="left"/>
              <w:rPr>
                <w:rFonts w:eastAsia="Times New Roman"/>
                <w:sz w:val="20"/>
                <w:szCs w:val="20"/>
                <w:lang w:val="vi-VN" w:eastAsia="vi-VN"/>
              </w:rPr>
            </w:pPr>
            <w:r w:rsidRPr="00B42892">
              <w:rPr>
                <w:rFonts w:eastAsia="Times New Roman"/>
                <w:sz w:val="20"/>
                <w:szCs w:val="20"/>
                <w:lang w:val="vi-VN" w:eastAsia="vi-VN"/>
              </w:rPr>
              <w:t> </w:t>
            </w:r>
          </w:p>
        </w:tc>
        <w:tc>
          <w:tcPr>
            <w:tcW w:w="736" w:type="pct"/>
            <w:gridSpan w:val="2"/>
            <w:tcBorders>
              <w:top w:val="single" w:sz="4" w:space="0" w:color="auto"/>
              <w:bottom w:val="single" w:sz="4" w:space="0" w:color="auto"/>
            </w:tcBorders>
            <w:shd w:val="clear" w:color="auto" w:fill="auto"/>
            <w:vAlign w:val="bottom"/>
            <w:hideMark/>
          </w:tcPr>
          <w:p w:rsidR="00DD2133" w:rsidRPr="00B42892" w:rsidRDefault="00DD2133" w:rsidP="00DD2133">
            <w:pPr>
              <w:spacing w:before="0" w:after="0" w:line="240" w:lineRule="auto"/>
              <w:ind w:firstLine="0"/>
              <w:jc w:val="center"/>
              <w:rPr>
                <w:rFonts w:eastAsia="Times New Roman"/>
                <w:sz w:val="20"/>
                <w:szCs w:val="20"/>
                <w:lang w:val="en-US" w:eastAsia="vi-VN"/>
              </w:rPr>
            </w:pPr>
            <w:r w:rsidRPr="00B42892">
              <w:rPr>
                <w:rFonts w:eastAsia="Times New Roman"/>
                <w:sz w:val="20"/>
                <w:szCs w:val="20"/>
                <w:lang w:val="vi-VN" w:eastAsia="vi-VN"/>
              </w:rPr>
              <w:t>95% Wald</w:t>
            </w:r>
            <w:r w:rsidRPr="00B42892">
              <w:rPr>
                <w:rFonts w:eastAsia="Times New Roman"/>
                <w:sz w:val="20"/>
                <w:szCs w:val="20"/>
                <w:lang w:val="en-US" w:eastAsia="vi-VN"/>
              </w:rPr>
              <w:t xml:space="preserve"> CI</w:t>
            </w:r>
          </w:p>
        </w:tc>
        <w:tc>
          <w:tcPr>
            <w:tcW w:w="294" w:type="pct"/>
            <w:tcBorders>
              <w:top w:val="single" w:sz="4" w:space="0" w:color="auto"/>
            </w:tcBorders>
            <w:shd w:val="clear" w:color="auto" w:fill="auto"/>
            <w:vAlign w:val="bottom"/>
            <w:hideMark/>
          </w:tcPr>
          <w:p w:rsidR="00DD2133" w:rsidRPr="00B42892" w:rsidRDefault="00DD2133" w:rsidP="00DD2133">
            <w:pPr>
              <w:spacing w:before="0" w:after="0" w:line="240" w:lineRule="auto"/>
              <w:ind w:firstLine="0"/>
              <w:jc w:val="left"/>
              <w:rPr>
                <w:rFonts w:eastAsia="Times New Roman"/>
                <w:sz w:val="20"/>
                <w:szCs w:val="20"/>
                <w:lang w:val="vi-VN" w:eastAsia="vi-VN"/>
              </w:rPr>
            </w:pPr>
            <w:r w:rsidRPr="00B42892">
              <w:rPr>
                <w:rFonts w:eastAsia="Times New Roman"/>
                <w:sz w:val="20"/>
                <w:szCs w:val="20"/>
                <w:lang w:val="vi-VN" w:eastAsia="vi-VN"/>
              </w:rPr>
              <w:t> </w:t>
            </w:r>
          </w:p>
        </w:tc>
        <w:tc>
          <w:tcPr>
            <w:tcW w:w="441" w:type="pct"/>
            <w:tcBorders>
              <w:top w:val="single" w:sz="4" w:space="0" w:color="auto"/>
            </w:tcBorders>
            <w:shd w:val="clear" w:color="auto" w:fill="auto"/>
            <w:noWrap/>
            <w:vAlign w:val="bottom"/>
            <w:hideMark/>
          </w:tcPr>
          <w:p w:rsidR="00DD2133" w:rsidRPr="00B42892" w:rsidRDefault="00DD2133" w:rsidP="00DD2133">
            <w:pPr>
              <w:spacing w:before="0" w:after="0" w:line="240" w:lineRule="auto"/>
              <w:ind w:firstLine="0"/>
              <w:jc w:val="left"/>
              <w:rPr>
                <w:rFonts w:eastAsia="Times New Roman"/>
                <w:sz w:val="20"/>
                <w:szCs w:val="20"/>
                <w:lang w:val="vi-VN" w:eastAsia="vi-VN"/>
              </w:rPr>
            </w:pPr>
            <w:r w:rsidRPr="00B42892">
              <w:rPr>
                <w:rFonts w:eastAsia="Times New Roman"/>
                <w:sz w:val="20"/>
                <w:szCs w:val="20"/>
                <w:lang w:val="vi-VN" w:eastAsia="vi-VN"/>
              </w:rPr>
              <w:t> </w:t>
            </w:r>
          </w:p>
        </w:tc>
      </w:tr>
      <w:tr w:rsidR="00DD2133" w:rsidRPr="00B42892" w:rsidTr="00824C65">
        <w:trPr>
          <w:trHeight w:val="20"/>
        </w:trPr>
        <w:tc>
          <w:tcPr>
            <w:tcW w:w="3015" w:type="pct"/>
            <w:tcBorders>
              <w:bottom w:val="single" w:sz="4" w:space="0" w:color="auto"/>
            </w:tcBorders>
            <w:shd w:val="clear" w:color="auto" w:fill="auto"/>
            <w:vAlign w:val="bottom"/>
            <w:hideMark/>
          </w:tcPr>
          <w:p w:rsidR="00DD2133" w:rsidRPr="00B42892" w:rsidRDefault="00DD2133" w:rsidP="00DD2133">
            <w:pPr>
              <w:spacing w:before="0" w:after="0" w:line="240" w:lineRule="auto"/>
              <w:ind w:firstLine="0"/>
              <w:jc w:val="left"/>
              <w:rPr>
                <w:rFonts w:eastAsia="Times New Roman"/>
                <w:sz w:val="20"/>
                <w:szCs w:val="20"/>
                <w:lang w:val="vi-VN" w:eastAsia="vi-VN"/>
              </w:rPr>
            </w:pPr>
            <w:r w:rsidRPr="00B42892">
              <w:rPr>
                <w:rFonts w:eastAsia="Times New Roman"/>
                <w:sz w:val="20"/>
                <w:szCs w:val="20"/>
                <w:lang w:val="vi-VN" w:eastAsia="vi-VN"/>
              </w:rPr>
              <w:t>Parameter</w:t>
            </w:r>
          </w:p>
        </w:tc>
        <w:tc>
          <w:tcPr>
            <w:tcW w:w="147" w:type="pct"/>
            <w:tcBorders>
              <w:bottom w:val="single" w:sz="4" w:space="0" w:color="auto"/>
            </w:tcBorders>
            <w:shd w:val="clear" w:color="auto" w:fill="auto"/>
            <w:vAlign w:val="bottom"/>
            <w:hideMark/>
          </w:tcPr>
          <w:p w:rsidR="00DD2133" w:rsidRPr="00B42892" w:rsidRDefault="00DD2133" w:rsidP="00DD2133">
            <w:pPr>
              <w:spacing w:before="0" w:after="0" w:line="240" w:lineRule="auto"/>
              <w:ind w:firstLine="0"/>
              <w:jc w:val="left"/>
              <w:rPr>
                <w:rFonts w:eastAsia="Times New Roman"/>
                <w:sz w:val="20"/>
                <w:szCs w:val="20"/>
                <w:lang w:val="vi-VN" w:eastAsia="vi-VN"/>
              </w:rPr>
            </w:pPr>
            <w:r w:rsidRPr="00B42892">
              <w:rPr>
                <w:rFonts w:eastAsia="Times New Roman"/>
                <w:sz w:val="20"/>
                <w:szCs w:val="20"/>
                <w:lang w:val="vi-VN" w:eastAsia="vi-VN"/>
              </w:rPr>
              <w:t>B</w:t>
            </w:r>
          </w:p>
        </w:tc>
        <w:tc>
          <w:tcPr>
            <w:tcW w:w="367" w:type="pct"/>
            <w:tcBorders>
              <w:bottom w:val="single" w:sz="4" w:space="0" w:color="auto"/>
            </w:tcBorders>
            <w:shd w:val="clear" w:color="auto" w:fill="auto"/>
            <w:vAlign w:val="bottom"/>
            <w:hideMark/>
          </w:tcPr>
          <w:p w:rsidR="00DD2133" w:rsidRPr="00B42892" w:rsidRDefault="00DD2133" w:rsidP="00DD2133">
            <w:pPr>
              <w:spacing w:before="0" w:after="0" w:line="240" w:lineRule="auto"/>
              <w:ind w:firstLine="0"/>
              <w:jc w:val="left"/>
              <w:rPr>
                <w:rFonts w:eastAsia="Times New Roman"/>
                <w:sz w:val="20"/>
                <w:szCs w:val="20"/>
                <w:lang w:val="vi-VN" w:eastAsia="vi-VN"/>
              </w:rPr>
            </w:pPr>
            <w:r w:rsidRPr="00B42892">
              <w:rPr>
                <w:rFonts w:eastAsia="Times New Roman"/>
                <w:sz w:val="20"/>
                <w:szCs w:val="20"/>
                <w:lang w:val="vi-VN" w:eastAsia="vi-VN"/>
              </w:rPr>
              <w:t>SE B</w:t>
            </w:r>
          </w:p>
        </w:tc>
        <w:tc>
          <w:tcPr>
            <w:tcW w:w="440" w:type="pct"/>
            <w:tcBorders>
              <w:top w:val="single" w:sz="4" w:space="0" w:color="auto"/>
              <w:bottom w:val="single" w:sz="4" w:space="0" w:color="auto"/>
            </w:tcBorders>
            <w:shd w:val="clear" w:color="auto" w:fill="auto"/>
            <w:vAlign w:val="bottom"/>
            <w:hideMark/>
          </w:tcPr>
          <w:p w:rsidR="00DD2133" w:rsidRPr="00824C65" w:rsidRDefault="00824C65" w:rsidP="00DD2133">
            <w:pPr>
              <w:spacing w:before="0" w:after="0" w:line="240" w:lineRule="auto"/>
              <w:ind w:firstLine="0"/>
              <w:jc w:val="left"/>
              <w:rPr>
                <w:rFonts w:eastAsia="Times New Roman"/>
                <w:sz w:val="20"/>
                <w:szCs w:val="20"/>
                <w:lang w:val="en-US" w:eastAsia="vi-VN"/>
              </w:rPr>
            </w:pPr>
            <w:r>
              <w:rPr>
                <w:rFonts w:eastAsia="Times New Roman"/>
                <w:sz w:val="20"/>
                <w:szCs w:val="20"/>
                <w:lang w:val="vi-VN" w:eastAsia="vi-VN"/>
              </w:rPr>
              <w:t>L</w:t>
            </w:r>
            <w:r>
              <w:rPr>
                <w:rFonts w:eastAsia="Times New Roman"/>
                <w:sz w:val="20"/>
                <w:szCs w:val="20"/>
                <w:lang w:val="en-US" w:eastAsia="vi-VN"/>
              </w:rPr>
              <w:t>B</w:t>
            </w:r>
          </w:p>
        </w:tc>
        <w:tc>
          <w:tcPr>
            <w:tcW w:w="296" w:type="pct"/>
            <w:tcBorders>
              <w:top w:val="single" w:sz="4" w:space="0" w:color="auto"/>
              <w:bottom w:val="single" w:sz="4" w:space="0" w:color="auto"/>
            </w:tcBorders>
            <w:shd w:val="clear" w:color="auto" w:fill="auto"/>
            <w:vAlign w:val="bottom"/>
            <w:hideMark/>
          </w:tcPr>
          <w:p w:rsidR="00DD2133" w:rsidRPr="00824C65" w:rsidRDefault="00824C65" w:rsidP="00DD2133">
            <w:pPr>
              <w:spacing w:before="0" w:after="0" w:line="240" w:lineRule="auto"/>
              <w:ind w:firstLine="0"/>
              <w:jc w:val="left"/>
              <w:rPr>
                <w:rFonts w:eastAsia="Times New Roman"/>
                <w:sz w:val="20"/>
                <w:szCs w:val="20"/>
                <w:lang w:val="en-US" w:eastAsia="vi-VN"/>
              </w:rPr>
            </w:pPr>
            <w:r>
              <w:rPr>
                <w:rFonts w:eastAsia="Times New Roman"/>
                <w:sz w:val="20"/>
                <w:szCs w:val="20"/>
                <w:lang w:val="en-US" w:eastAsia="vi-VN"/>
              </w:rPr>
              <w:t>UB</w:t>
            </w:r>
          </w:p>
        </w:tc>
        <w:tc>
          <w:tcPr>
            <w:tcW w:w="294" w:type="pct"/>
            <w:tcBorders>
              <w:bottom w:val="single" w:sz="4" w:space="0" w:color="auto"/>
            </w:tcBorders>
            <w:shd w:val="clear" w:color="auto" w:fill="auto"/>
            <w:vAlign w:val="bottom"/>
            <w:hideMark/>
          </w:tcPr>
          <w:p w:rsidR="00DD2133" w:rsidRPr="00B42892" w:rsidRDefault="00DD2133" w:rsidP="00DD2133">
            <w:pPr>
              <w:spacing w:before="0" w:after="0" w:line="240" w:lineRule="auto"/>
              <w:ind w:firstLine="0"/>
              <w:jc w:val="left"/>
              <w:rPr>
                <w:rFonts w:eastAsia="Times New Roman"/>
                <w:sz w:val="20"/>
                <w:szCs w:val="20"/>
                <w:lang w:val="vi-VN" w:eastAsia="vi-VN"/>
              </w:rPr>
            </w:pPr>
            <w:r w:rsidRPr="00B42892">
              <w:rPr>
                <w:rFonts w:eastAsia="Times New Roman"/>
                <w:sz w:val="20"/>
                <w:szCs w:val="20"/>
                <w:lang w:val="vi-VN" w:eastAsia="vi-VN"/>
              </w:rPr>
              <w:t>Sig.</w:t>
            </w:r>
          </w:p>
        </w:tc>
        <w:tc>
          <w:tcPr>
            <w:tcW w:w="441" w:type="pct"/>
            <w:tcBorders>
              <w:bottom w:val="single" w:sz="4" w:space="0" w:color="auto"/>
            </w:tcBorders>
            <w:shd w:val="clear" w:color="auto" w:fill="auto"/>
            <w:vAlign w:val="bottom"/>
            <w:hideMark/>
          </w:tcPr>
          <w:p w:rsidR="00DD2133" w:rsidRPr="00B42892" w:rsidRDefault="00DD2133" w:rsidP="00DD2133">
            <w:pPr>
              <w:spacing w:before="0" w:after="0" w:line="240" w:lineRule="auto"/>
              <w:ind w:firstLine="0"/>
              <w:jc w:val="left"/>
              <w:rPr>
                <w:rFonts w:eastAsia="Times New Roman"/>
                <w:sz w:val="20"/>
                <w:szCs w:val="20"/>
                <w:lang w:val="vi-VN" w:eastAsia="vi-VN"/>
              </w:rPr>
            </w:pPr>
            <w:r w:rsidRPr="00B42892">
              <w:rPr>
                <w:rFonts w:eastAsia="Times New Roman"/>
                <w:sz w:val="20"/>
                <w:szCs w:val="20"/>
                <w:lang w:val="vi-VN" w:eastAsia="vi-VN"/>
              </w:rPr>
              <w:t>Exp(B)</w:t>
            </w:r>
          </w:p>
        </w:tc>
      </w:tr>
      <w:tr w:rsidR="00DD2133" w:rsidRPr="00B42892" w:rsidTr="00824C65">
        <w:trPr>
          <w:trHeight w:val="20"/>
        </w:trPr>
        <w:tc>
          <w:tcPr>
            <w:tcW w:w="3015" w:type="pct"/>
            <w:tcBorders>
              <w:top w:val="single" w:sz="4" w:space="0" w:color="auto"/>
            </w:tcBorders>
            <w:shd w:val="clear" w:color="auto" w:fill="auto"/>
            <w:hideMark/>
          </w:tcPr>
          <w:p w:rsidR="00DD2133" w:rsidRPr="00B42892" w:rsidRDefault="00DD2133" w:rsidP="00DD2133">
            <w:pPr>
              <w:spacing w:before="0" w:after="0" w:line="240" w:lineRule="auto"/>
              <w:ind w:firstLine="0"/>
              <w:jc w:val="left"/>
              <w:rPr>
                <w:rFonts w:eastAsia="Times New Roman"/>
                <w:sz w:val="20"/>
                <w:szCs w:val="20"/>
                <w:lang w:val="en-US" w:eastAsia="vi-VN"/>
              </w:rPr>
            </w:pPr>
            <w:r w:rsidRPr="00B42892">
              <w:rPr>
                <w:rFonts w:eastAsia="Times New Roman"/>
                <w:sz w:val="20"/>
                <w:szCs w:val="20"/>
                <w:lang w:val="vi-VN" w:eastAsia="vi-VN"/>
              </w:rPr>
              <w:t xml:space="preserve">Gender </w:t>
            </w:r>
            <w:r w:rsidRPr="00B42892">
              <w:rPr>
                <w:rFonts w:eastAsia="Times New Roman"/>
                <w:sz w:val="20"/>
                <w:szCs w:val="20"/>
                <w:lang w:val="en-US" w:eastAsia="vi-VN"/>
              </w:rPr>
              <w:t>(</w:t>
            </w:r>
            <w:r w:rsidRPr="00B42892">
              <w:rPr>
                <w:rFonts w:eastAsia="Times New Roman"/>
                <w:sz w:val="20"/>
                <w:szCs w:val="20"/>
                <w:lang w:val="vi-VN" w:eastAsia="vi-VN"/>
              </w:rPr>
              <w:t>Male</w:t>
            </w:r>
            <w:r w:rsidRPr="00B42892">
              <w:rPr>
                <w:rFonts w:eastAsia="Times New Roman"/>
                <w:sz w:val="20"/>
                <w:szCs w:val="20"/>
                <w:lang w:val="en-US" w:eastAsia="vi-VN"/>
              </w:rPr>
              <w:t>)</w:t>
            </w:r>
          </w:p>
        </w:tc>
        <w:tc>
          <w:tcPr>
            <w:tcW w:w="147" w:type="pct"/>
            <w:tcBorders>
              <w:top w:val="single" w:sz="4" w:space="0" w:color="auto"/>
            </w:tcBorders>
            <w:shd w:val="clear" w:color="auto" w:fill="auto"/>
            <w:noWrap/>
            <w:hideMark/>
          </w:tcPr>
          <w:p w:rsidR="00DD2133" w:rsidRPr="00B42892" w:rsidRDefault="00DD2133" w:rsidP="00DD2133">
            <w:pPr>
              <w:spacing w:before="0" w:after="0" w:line="240" w:lineRule="auto"/>
              <w:ind w:firstLine="0"/>
              <w:rPr>
                <w:rFonts w:eastAsia="Times New Roman"/>
                <w:sz w:val="20"/>
                <w:szCs w:val="20"/>
                <w:lang w:val="vi-VN" w:eastAsia="vi-VN"/>
              </w:rPr>
            </w:pPr>
            <w:r w:rsidRPr="00B42892">
              <w:rPr>
                <w:rFonts w:eastAsia="Times New Roman"/>
                <w:sz w:val="20"/>
                <w:szCs w:val="20"/>
                <w:lang w:val="vi-VN" w:eastAsia="vi-VN"/>
              </w:rPr>
              <w:t>-.86</w:t>
            </w:r>
          </w:p>
        </w:tc>
        <w:tc>
          <w:tcPr>
            <w:tcW w:w="367" w:type="pct"/>
            <w:tcBorders>
              <w:top w:val="single" w:sz="4" w:space="0" w:color="auto"/>
            </w:tcBorders>
            <w:shd w:val="clear" w:color="auto" w:fill="auto"/>
            <w:noWrap/>
            <w:hideMark/>
          </w:tcPr>
          <w:p w:rsidR="00DD2133" w:rsidRPr="00B42892" w:rsidRDefault="00DD2133" w:rsidP="00DD2133">
            <w:pPr>
              <w:spacing w:before="0" w:after="0" w:line="240" w:lineRule="auto"/>
              <w:ind w:firstLine="0"/>
              <w:rPr>
                <w:rFonts w:eastAsia="Times New Roman"/>
                <w:sz w:val="20"/>
                <w:szCs w:val="20"/>
                <w:lang w:val="vi-VN" w:eastAsia="vi-VN"/>
              </w:rPr>
            </w:pPr>
            <w:r w:rsidRPr="00B42892">
              <w:rPr>
                <w:rFonts w:eastAsia="Times New Roman"/>
                <w:sz w:val="20"/>
                <w:szCs w:val="20"/>
                <w:lang w:val="vi-VN" w:eastAsia="vi-VN"/>
              </w:rPr>
              <w:t>.21</w:t>
            </w:r>
          </w:p>
        </w:tc>
        <w:tc>
          <w:tcPr>
            <w:tcW w:w="440" w:type="pct"/>
            <w:tcBorders>
              <w:top w:val="single" w:sz="4" w:space="0" w:color="auto"/>
            </w:tcBorders>
            <w:shd w:val="clear" w:color="auto" w:fill="auto"/>
            <w:noWrap/>
            <w:hideMark/>
          </w:tcPr>
          <w:p w:rsidR="00DD2133" w:rsidRPr="00B42892" w:rsidRDefault="00DD2133" w:rsidP="00DD2133">
            <w:pPr>
              <w:spacing w:before="0" w:after="0" w:line="240" w:lineRule="auto"/>
              <w:ind w:firstLine="0"/>
              <w:rPr>
                <w:rFonts w:eastAsia="Times New Roman"/>
                <w:sz w:val="20"/>
                <w:szCs w:val="20"/>
                <w:lang w:val="vi-VN" w:eastAsia="vi-VN"/>
              </w:rPr>
            </w:pPr>
            <w:r w:rsidRPr="00B42892">
              <w:rPr>
                <w:rFonts w:eastAsia="Times New Roman"/>
                <w:sz w:val="20"/>
                <w:szCs w:val="20"/>
                <w:lang w:val="vi-VN" w:eastAsia="vi-VN"/>
              </w:rPr>
              <w:t>-1.27</w:t>
            </w:r>
          </w:p>
        </w:tc>
        <w:tc>
          <w:tcPr>
            <w:tcW w:w="296" w:type="pct"/>
            <w:tcBorders>
              <w:top w:val="single" w:sz="4" w:space="0" w:color="auto"/>
            </w:tcBorders>
            <w:shd w:val="clear" w:color="auto" w:fill="auto"/>
            <w:noWrap/>
            <w:hideMark/>
          </w:tcPr>
          <w:p w:rsidR="00DD2133" w:rsidRPr="00B42892" w:rsidRDefault="00DD2133" w:rsidP="00DD2133">
            <w:pPr>
              <w:spacing w:before="0" w:after="0" w:line="240" w:lineRule="auto"/>
              <w:ind w:firstLine="0"/>
              <w:rPr>
                <w:rFonts w:eastAsia="Times New Roman"/>
                <w:sz w:val="20"/>
                <w:szCs w:val="20"/>
                <w:lang w:val="vi-VN" w:eastAsia="vi-VN"/>
              </w:rPr>
            </w:pPr>
            <w:r w:rsidRPr="00B42892">
              <w:rPr>
                <w:rFonts w:eastAsia="Times New Roman"/>
                <w:sz w:val="20"/>
                <w:szCs w:val="20"/>
                <w:lang w:val="vi-VN" w:eastAsia="vi-VN"/>
              </w:rPr>
              <w:t>-.46</w:t>
            </w:r>
          </w:p>
        </w:tc>
        <w:tc>
          <w:tcPr>
            <w:tcW w:w="294" w:type="pct"/>
            <w:tcBorders>
              <w:top w:val="single" w:sz="4" w:space="0" w:color="auto"/>
            </w:tcBorders>
            <w:shd w:val="clear" w:color="auto" w:fill="auto"/>
            <w:noWrap/>
            <w:hideMark/>
          </w:tcPr>
          <w:p w:rsidR="00DD2133" w:rsidRPr="00B42892" w:rsidRDefault="00DD2133" w:rsidP="00DD2133">
            <w:pPr>
              <w:spacing w:before="0" w:after="0" w:line="240" w:lineRule="auto"/>
              <w:ind w:firstLine="0"/>
              <w:rPr>
                <w:rFonts w:eastAsia="Times New Roman"/>
                <w:sz w:val="20"/>
                <w:szCs w:val="20"/>
                <w:lang w:val="vi-VN" w:eastAsia="vi-VN"/>
              </w:rPr>
            </w:pPr>
            <w:r w:rsidRPr="00B42892">
              <w:rPr>
                <w:rFonts w:eastAsia="Times New Roman"/>
                <w:sz w:val="20"/>
                <w:szCs w:val="20"/>
                <w:lang w:val="vi-VN" w:eastAsia="vi-VN"/>
              </w:rPr>
              <w:t>.00</w:t>
            </w:r>
          </w:p>
        </w:tc>
        <w:tc>
          <w:tcPr>
            <w:tcW w:w="441" w:type="pct"/>
            <w:tcBorders>
              <w:top w:val="single" w:sz="4" w:space="0" w:color="auto"/>
            </w:tcBorders>
            <w:shd w:val="clear" w:color="auto" w:fill="auto"/>
            <w:noWrap/>
            <w:hideMark/>
          </w:tcPr>
          <w:p w:rsidR="00DD2133" w:rsidRPr="00B42892" w:rsidRDefault="00DD2133" w:rsidP="00DD2133">
            <w:pPr>
              <w:spacing w:before="0" w:after="0" w:line="240" w:lineRule="auto"/>
              <w:ind w:firstLine="0"/>
              <w:rPr>
                <w:rFonts w:eastAsia="Times New Roman"/>
                <w:sz w:val="20"/>
                <w:szCs w:val="20"/>
                <w:lang w:val="vi-VN" w:eastAsia="vi-VN"/>
              </w:rPr>
            </w:pPr>
            <w:r w:rsidRPr="00B42892">
              <w:rPr>
                <w:rFonts w:eastAsia="Times New Roman"/>
                <w:sz w:val="20"/>
                <w:szCs w:val="20"/>
                <w:lang w:val="vi-VN" w:eastAsia="vi-VN"/>
              </w:rPr>
              <w:t>.42</w:t>
            </w:r>
          </w:p>
        </w:tc>
      </w:tr>
      <w:tr w:rsidR="00DD2133" w:rsidRPr="00B42892" w:rsidTr="00824C65">
        <w:trPr>
          <w:trHeight w:val="20"/>
        </w:trPr>
        <w:tc>
          <w:tcPr>
            <w:tcW w:w="3015" w:type="pct"/>
            <w:shd w:val="clear" w:color="auto" w:fill="auto"/>
            <w:hideMark/>
          </w:tcPr>
          <w:p w:rsidR="00DD2133" w:rsidRPr="00B42892" w:rsidRDefault="00F212E0" w:rsidP="00DD2133">
            <w:pPr>
              <w:spacing w:before="0" w:after="0" w:line="240" w:lineRule="auto"/>
              <w:ind w:firstLine="0"/>
              <w:jc w:val="left"/>
              <w:rPr>
                <w:rFonts w:eastAsia="Times New Roman"/>
                <w:sz w:val="20"/>
                <w:szCs w:val="20"/>
                <w:lang w:val="vi-VN" w:eastAsia="vi-VN"/>
              </w:rPr>
            </w:pPr>
            <w:r w:rsidRPr="00B42892">
              <w:rPr>
                <w:sz w:val="20"/>
                <w:szCs w:val="20"/>
              </w:rPr>
              <w:t>Sum of frequencies</w:t>
            </w:r>
            <w:r w:rsidR="00DD2133" w:rsidRPr="00B42892">
              <w:rPr>
                <w:sz w:val="20"/>
                <w:szCs w:val="20"/>
              </w:rPr>
              <w:t xml:space="preserve"> of receiving disease warnings</w:t>
            </w:r>
          </w:p>
        </w:tc>
        <w:tc>
          <w:tcPr>
            <w:tcW w:w="147" w:type="pct"/>
            <w:shd w:val="clear" w:color="auto" w:fill="auto"/>
            <w:noWrap/>
            <w:hideMark/>
          </w:tcPr>
          <w:p w:rsidR="00DD2133" w:rsidRPr="00B42892" w:rsidRDefault="00DD2133" w:rsidP="00DD2133">
            <w:pPr>
              <w:spacing w:before="0" w:after="0" w:line="240" w:lineRule="auto"/>
              <w:ind w:firstLine="0"/>
              <w:rPr>
                <w:rFonts w:eastAsia="Times New Roman"/>
                <w:sz w:val="20"/>
                <w:szCs w:val="20"/>
                <w:lang w:val="vi-VN" w:eastAsia="vi-VN"/>
              </w:rPr>
            </w:pPr>
            <w:r w:rsidRPr="00B42892">
              <w:rPr>
                <w:rFonts w:eastAsia="Times New Roman"/>
                <w:sz w:val="20"/>
                <w:szCs w:val="20"/>
                <w:lang w:val="vi-VN" w:eastAsia="vi-VN"/>
              </w:rPr>
              <w:t>.17</w:t>
            </w:r>
          </w:p>
        </w:tc>
        <w:tc>
          <w:tcPr>
            <w:tcW w:w="367" w:type="pct"/>
            <w:shd w:val="clear" w:color="auto" w:fill="auto"/>
            <w:noWrap/>
            <w:hideMark/>
          </w:tcPr>
          <w:p w:rsidR="00DD2133" w:rsidRPr="00B42892" w:rsidRDefault="00DD2133" w:rsidP="00DD2133">
            <w:pPr>
              <w:spacing w:before="0" w:after="0" w:line="240" w:lineRule="auto"/>
              <w:ind w:firstLine="0"/>
              <w:rPr>
                <w:rFonts w:eastAsia="Times New Roman"/>
                <w:sz w:val="20"/>
                <w:szCs w:val="20"/>
                <w:lang w:val="vi-VN" w:eastAsia="vi-VN"/>
              </w:rPr>
            </w:pPr>
            <w:r w:rsidRPr="00B42892">
              <w:rPr>
                <w:rFonts w:eastAsia="Times New Roman"/>
                <w:sz w:val="20"/>
                <w:szCs w:val="20"/>
                <w:lang w:val="vi-VN" w:eastAsia="vi-VN"/>
              </w:rPr>
              <w:t>.08</w:t>
            </w:r>
          </w:p>
        </w:tc>
        <w:tc>
          <w:tcPr>
            <w:tcW w:w="440" w:type="pct"/>
            <w:shd w:val="clear" w:color="auto" w:fill="auto"/>
            <w:noWrap/>
            <w:hideMark/>
          </w:tcPr>
          <w:p w:rsidR="00DD2133" w:rsidRPr="00B42892" w:rsidRDefault="00DD2133" w:rsidP="00DD2133">
            <w:pPr>
              <w:spacing w:before="0" w:after="0" w:line="240" w:lineRule="auto"/>
              <w:ind w:firstLine="0"/>
              <w:rPr>
                <w:rFonts w:eastAsia="Times New Roman"/>
                <w:sz w:val="20"/>
                <w:szCs w:val="20"/>
                <w:lang w:val="vi-VN" w:eastAsia="vi-VN"/>
              </w:rPr>
            </w:pPr>
            <w:r w:rsidRPr="00B42892">
              <w:rPr>
                <w:rFonts w:eastAsia="Times New Roman"/>
                <w:sz w:val="20"/>
                <w:szCs w:val="20"/>
                <w:lang w:val="vi-VN" w:eastAsia="vi-VN"/>
              </w:rPr>
              <w:t>.02</w:t>
            </w:r>
          </w:p>
        </w:tc>
        <w:tc>
          <w:tcPr>
            <w:tcW w:w="296" w:type="pct"/>
            <w:shd w:val="clear" w:color="auto" w:fill="auto"/>
            <w:noWrap/>
            <w:hideMark/>
          </w:tcPr>
          <w:p w:rsidR="00DD2133" w:rsidRPr="00B42892" w:rsidRDefault="00DD2133" w:rsidP="00DD2133">
            <w:pPr>
              <w:spacing w:before="0" w:after="0" w:line="240" w:lineRule="auto"/>
              <w:ind w:firstLine="0"/>
              <w:rPr>
                <w:rFonts w:eastAsia="Times New Roman"/>
                <w:sz w:val="20"/>
                <w:szCs w:val="20"/>
                <w:lang w:val="vi-VN" w:eastAsia="vi-VN"/>
              </w:rPr>
            </w:pPr>
            <w:r w:rsidRPr="00B42892">
              <w:rPr>
                <w:rFonts w:eastAsia="Times New Roman"/>
                <w:sz w:val="20"/>
                <w:szCs w:val="20"/>
                <w:lang w:val="vi-VN" w:eastAsia="vi-VN"/>
              </w:rPr>
              <w:t>.32</w:t>
            </w:r>
          </w:p>
        </w:tc>
        <w:tc>
          <w:tcPr>
            <w:tcW w:w="294" w:type="pct"/>
            <w:shd w:val="clear" w:color="auto" w:fill="auto"/>
            <w:noWrap/>
            <w:hideMark/>
          </w:tcPr>
          <w:p w:rsidR="00DD2133" w:rsidRPr="00B42892" w:rsidRDefault="00DD2133" w:rsidP="00DD2133">
            <w:pPr>
              <w:spacing w:before="0" w:after="0" w:line="240" w:lineRule="auto"/>
              <w:ind w:firstLine="0"/>
              <w:rPr>
                <w:rFonts w:eastAsia="Times New Roman"/>
                <w:sz w:val="20"/>
                <w:szCs w:val="20"/>
                <w:lang w:val="vi-VN" w:eastAsia="vi-VN"/>
              </w:rPr>
            </w:pPr>
            <w:r w:rsidRPr="00B42892">
              <w:rPr>
                <w:rFonts w:eastAsia="Times New Roman"/>
                <w:sz w:val="20"/>
                <w:szCs w:val="20"/>
                <w:lang w:val="vi-VN" w:eastAsia="vi-VN"/>
              </w:rPr>
              <w:t>.03</w:t>
            </w:r>
          </w:p>
        </w:tc>
        <w:tc>
          <w:tcPr>
            <w:tcW w:w="441" w:type="pct"/>
            <w:shd w:val="clear" w:color="auto" w:fill="auto"/>
            <w:noWrap/>
            <w:hideMark/>
          </w:tcPr>
          <w:p w:rsidR="00DD2133" w:rsidRPr="00B42892" w:rsidRDefault="00DD2133" w:rsidP="00DD2133">
            <w:pPr>
              <w:spacing w:before="0" w:after="0" w:line="240" w:lineRule="auto"/>
              <w:ind w:firstLine="0"/>
              <w:rPr>
                <w:rFonts w:eastAsia="Times New Roman"/>
                <w:sz w:val="20"/>
                <w:szCs w:val="20"/>
                <w:lang w:val="vi-VN" w:eastAsia="vi-VN"/>
              </w:rPr>
            </w:pPr>
            <w:r w:rsidRPr="00B42892">
              <w:rPr>
                <w:rFonts w:eastAsia="Times New Roman"/>
                <w:sz w:val="20"/>
                <w:szCs w:val="20"/>
                <w:lang w:val="vi-VN" w:eastAsia="vi-VN"/>
              </w:rPr>
              <w:t>1.18</w:t>
            </w:r>
          </w:p>
        </w:tc>
      </w:tr>
      <w:tr w:rsidR="00DD2133" w:rsidRPr="00B42892" w:rsidTr="00824C65">
        <w:trPr>
          <w:trHeight w:val="20"/>
        </w:trPr>
        <w:tc>
          <w:tcPr>
            <w:tcW w:w="3015" w:type="pct"/>
            <w:shd w:val="clear" w:color="auto" w:fill="auto"/>
            <w:hideMark/>
          </w:tcPr>
          <w:p w:rsidR="00DD2133" w:rsidRPr="00B42892" w:rsidRDefault="00DD2133" w:rsidP="00DD2133">
            <w:pPr>
              <w:spacing w:before="0" w:after="0" w:line="240" w:lineRule="auto"/>
              <w:ind w:firstLine="0"/>
              <w:jc w:val="left"/>
              <w:rPr>
                <w:rFonts w:eastAsia="Times New Roman"/>
                <w:sz w:val="20"/>
                <w:szCs w:val="20"/>
                <w:lang w:val="en-US" w:eastAsia="vi-VN"/>
              </w:rPr>
            </w:pPr>
            <w:r w:rsidRPr="00B42892">
              <w:rPr>
                <w:rFonts w:eastAsia="Times New Roman"/>
                <w:sz w:val="20"/>
                <w:szCs w:val="20"/>
                <w:lang w:val="en-US" w:eastAsia="vi-VN"/>
              </w:rPr>
              <w:t xml:space="preserve">Sum of </w:t>
            </w:r>
            <w:r w:rsidRPr="00B42892">
              <w:rPr>
                <w:rFonts w:eastAsia="Times New Roman"/>
                <w:sz w:val="20"/>
                <w:szCs w:val="20"/>
                <w:lang w:val="vi-VN" w:eastAsia="vi-VN"/>
              </w:rPr>
              <w:t>usef</w:t>
            </w:r>
            <w:r w:rsidR="004C6C2E" w:rsidRPr="00B42892">
              <w:rPr>
                <w:rFonts w:eastAsia="Times New Roman"/>
                <w:sz w:val="20"/>
                <w:szCs w:val="20"/>
                <w:lang w:val="vi-VN" w:eastAsia="vi-VN"/>
              </w:rPr>
              <w:t>ul</w:t>
            </w:r>
            <w:r w:rsidR="004C6C2E" w:rsidRPr="00B42892">
              <w:rPr>
                <w:rFonts w:eastAsia="Times New Roman"/>
                <w:sz w:val="20"/>
                <w:szCs w:val="20"/>
                <w:lang w:val="en-US" w:eastAsia="vi-VN"/>
              </w:rPr>
              <w:t>ness</w:t>
            </w:r>
            <w:r w:rsidRPr="00B42892">
              <w:rPr>
                <w:rFonts w:eastAsia="Times New Roman"/>
                <w:sz w:val="20"/>
                <w:szCs w:val="20"/>
                <w:lang w:val="vi-VN" w:eastAsia="vi-VN"/>
              </w:rPr>
              <w:t xml:space="preserve"> levels of proposed media</w:t>
            </w:r>
            <w:r w:rsidRPr="00B42892">
              <w:rPr>
                <w:rFonts w:eastAsia="Times New Roman"/>
                <w:sz w:val="20"/>
                <w:szCs w:val="20"/>
                <w:lang w:val="en-US" w:eastAsia="vi-VN"/>
              </w:rPr>
              <w:t xml:space="preserve"> channels</w:t>
            </w:r>
          </w:p>
        </w:tc>
        <w:tc>
          <w:tcPr>
            <w:tcW w:w="147" w:type="pct"/>
            <w:shd w:val="clear" w:color="auto" w:fill="auto"/>
            <w:noWrap/>
            <w:hideMark/>
          </w:tcPr>
          <w:p w:rsidR="00DD2133" w:rsidRPr="00B42892" w:rsidRDefault="00DD2133" w:rsidP="00DD2133">
            <w:pPr>
              <w:spacing w:before="0" w:after="0" w:line="240" w:lineRule="auto"/>
              <w:ind w:firstLine="0"/>
              <w:rPr>
                <w:rFonts w:eastAsia="Times New Roman"/>
                <w:sz w:val="20"/>
                <w:szCs w:val="20"/>
                <w:lang w:val="vi-VN" w:eastAsia="vi-VN"/>
              </w:rPr>
            </w:pPr>
            <w:r w:rsidRPr="00B42892">
              <w:rPr>
                <w:rFonts w:eastAsia="Times New Roman"/>
                <w:sz w:val="20"/>
                <w:szCs w:val="20"/>
                <w:lang w:val="vi-VN" w:eastAsia="vi-VN"/>
              </w:rPr>
              <w:t>.32</w:t>
            </w:r>
          </w:p>
        </w:tc>
        <w:tc>
          <w:tcPr>
            <w:tcW w:w="367" w:type="pct"/>
            <w:shd w:val="clear" w:color="auto" w:fill="auto"/>
            <w:noWrap/>
            <w:hideMark/>
          </w:tcPr>
          <w:p w:rsidR="00DD2133" w:rsidRPr="00B42892" w:rsidRDefault="00DD2133" w:rsidP="00DD2133">
            <w:pPr>
              <w:spacing w:before="0" w:after="0" w:line="240" w:lineRule="auto"/>
              <w:ind w:firstLine="0"/>
              <w:rPr>
                <w:rFonts w:eastAsia="Times New Roman"/>
                <w:sz w:val="20"/>
                <w:szCs w:val="20"/>
                <w:lang w:val="vi-VN" w:eastAsia="vi-VN"/>
              </w:rPr>
            </w:pPr>
            <w:r w:rsidRPr="00B42892">
              <w:rPr>
                <w:rFonts w:eastAsia="Times New Roman"/>
                <w:sz w:val="20"/>
                <w:szCs w:val="20"/>
                <w:lang w:val="vi-VN" w:eastAsia="vi-VN"/>
              </w:rPr>
              <w:t>.08</w:t>
            </w:r>
          </w:p>
        </w:tc>
        <w:tc>
          <w:tcPr>
            <w:tcW w:w="440" w:type="pct"/>
            <w:shd w:val="clear" w:color="auto" w:fill="auto"/>
            <w:noWrap/>
            <w:hideMark/>
          </w:tcPr>
          <w:p w:rsidR="00DD2133" w:rsidRPr="00B42892" w:rsidRDefault="00DD2133" w:rsidP="00DD2133">
            <w:pPr>
              <w:spacing w:before="0" w:after="0" w:line="240" w:lineRule="auto"/>
              <w:ind w:firstLine="0"/>
              <w:rPr>
                <w:rFonts w:eastAsia="Times New Roman"/>
                <w:sz w:val="20"/>
                <w:szCs w:val="20"/>
                <w:lang w:val="vi-VN" w:eastAsia="vi-VN"/>
              </w:rPr>
            </w:pPr>
            <w:r w:rsidRPr="00B42892">
              <w:rPr>
                <w:rFonts w:eastAsia="Times New Roman"/>
                <w:sz w:val="20"/>
                <w:szCs w:val="20"/>
                <w:lang w:val="vi-VN" w:eastAsia="vi-VN"/>
              </w:rPr>
              <w:t>.16</w:t>
            </w:r>
          </w:p>
        </w:tc>
        <w:tc>
          <w:tcPr>
            <w:tcW w:w="296" w:type="pct"/>
            <w:shd w:val="clear" w:color="auto" w:fill="auto"/>
            <w:noWrap/>
            <w:hideMark/>
          </w:tcPr>
          <w:p w:rsidR="00DD2133" w:rsidRPr="00B42892" w:rsidRDefault="00DD2133" w:rsidP="00DD2133">
            <w:pPr>
              <w:spacing w:before="0" w:after="0" w:line="240" w:lineRule="auto"/>
              <w:ind w:firstLine="0"/>
              <w:rPr>
                <w:rFonts w:eastAsia="Times New Roman"/>
                <w:sz w:val="20"/>
                <w:szCs w:val="20"/>
                <w:lang w:val="vi-VN" w:eastAsia="vi-VN"/>
              </w:rPr>
            </w:pPr>
            <w:r w:rsidRPr="00B42892">
              <w:rPr>
                <w:rFonts w:eastAsia="Times New Roman"/>
                <w:sz w:val="20"/>
                <w:szCs w:val="20"/>
                <w:lang w:val="vi-VN" w:eastAsia="vi-VN"/>
              </w:rPr>
              <w:t>.47</w:t>
            </w:r>
          </w:p>
        </w:tc>
        <w:tc>
          <w:tcPr>
            <w:tcW w:w="294" w:type="pct"/>
            <w:shd w:val="clear" w:color="auto" w:fill="auto"/>
            <w:noWrap/>
            <w:hideMark/>
          </w:tcPr>
          <w:p w:rsidR="00DD2133" w:rsidRPr="00B42892" w:rsidRDefault="00DD2133" w:rsidP="00DD2133">
            <w:pPr>
              <w:spacing w:before="0" w:after="0" w:line="240" w:lineRule="auto"/>
              <w:ind w:firstLine="0"/>
              <w:rPr>
                <w:rFonts w:eastAsia="Times New Roman"/>
                <w:sz w:val="20"/>
                <w:szCs w:val="20"/>
                <w:lang w:val="vi-VN" w:eastAsia="vi-VN"/>
              </w:rPr>
            </w:pPr>
            <w:r w:rsidRPr="00B42892">
              <w:rPr>
                <w:rFonts w:eastAsia="Times New Roman"/>
                <w:sz w:val="20"/>
                <w:szCs w:val="20"/>
                <w:lang w:val="vi-VN" w:eastAsia="vi-VN"/>
              </w:rPr>
              <w:t>.00</w:t>
            </w:r>
          </w:p>
        </w:tc>
        <w:tc>
          <w:tcPr>
            <w:tcW w:w="441" w:type="pct"/>
            <w:shd w:val="clear" w:color="auto" w:fill="auto"/>
            <w:noWrap/>
            <w:hideMark/>
          </w:tcPr>
          <w:p w:rsidR="00DD2133" w:rsidRPr="00B42892" w:rsidRDefault="00DD2133" w:rsidP="00DD2133">
            <w:pPr>
              <w:spacing w:before="0" w:after="0" w:line="240" w:lineRule="auto"/>
              <w:ind w:firstLine="0"/>
              <w:rPr>
                <w:rFonts w:eastAsia="Times New Roman"/>
                <w:sz w:val="20"/>
                <w:szCs w:val="20"/>
                <w:lang w:val="vi-VN" w:eastAsia="vi-VN"/>
              </w:rPr>
            </w:pPr>
            <w:r w:rsidRPr="00B42892">
              <w:rPr>
                <w:rFonts w:eastAsia="Times New Roman"/>
                <w:sz w:val="20"/>
                <w:szCs w:val="20"/>
                <w:lang w:val="vi-VN" w:eastAsia="vi-VN"/>
              </w:rPr>
              <w:t>1.37</w:t>
            </w:r>
          </w:p>
        </w:tc>
      </w:tr>
      <w:tr w:rsidR="00DD2133" w:rsidRPr="00B42892" w:rsidTr="00824C65">
        <w:trPr>
          <w:trHeight w:val="20"/>
        </w:trPr>
        <w:tc>
          <w:tcPr>
            <w:tcW w:w="3015" w:type="pct"/>
            <w:tcBorders>
              <w:bottom w:val="single" w:sz="4" w:space="0" w:color="auto"/>
            </w:tcBorders>
            <w:shd w:val="clear" w:color="auto" w:fill="auto"/>
            <w:hideMark/>
          </w:tcPr>
          <w:p w:rsidR="00DD2133" w:rsidRPr="00B42892" w:rsidRDefault="00824C65" w:rsidP="00824C65">
            <w:pPr>
              <w:spacing w:before="0" w:after="0" w:line="240" w:lineRule="auto"/>
              <w:ind w:firstLine="0"/>
              <w:jc w:val="left"/>
              <w:rPr>
                <w:rFonts w:eastAsia="Times New Roman"/>
                <w:sz w:val="20"/>
                <w:szCs w:val="20"/>
                <w:lang w:val="en-US" w:eastAsia="vi-VN"/>
              </w:rPr>
            </w:pPr>
            <w:r>
              <w:rPr>
                <w:rFonts w:eastAsia="Times New Roman"/>
                <w:sz w:val="20"/>
                <w:szCs w:val="20"/>
                <w:lang w:val="vi-VN" w:eastAsia="vi-VN"/>
              </w:rPr>
              <w:t>Trust level in the g</w:t>
            </w:r>
            <w:r w:rsidR="00DD2133" w:rsidRPr="00B42892">
              <w:rPr>
                <w:rFonts w:eastAsia="Times New Roman"/>
                <w:sz w:val="20"/>
                <w:szCs w:val="20"/>
                <w:lang w:val="vi-VN" w:eastAsia="vi-VN"/>
              </w:rPr>
              <w:t>overnment's management</w:t>
            </w:r>
            <w:r w:rsidR="009345F1" w:rsidRPr="00B42892">
              <w:rPr>
                <w:rFonts w:eastAsia="Times New Roman"/>
                <w:sz w:val="20"/>
                <w:szCs w:val="20"/>
                <w:lang w:val="en-US" w:eastAsia="vi-VN"/>
              </w:rPr>
              <w:t xml:space="preserve"> after receiving</w:t>
            </w:r>
            <w:r>
              <w:rPr>
                <w:rFonts w:eastAsia="Times New Roman"/>
                <w:sz w:val="20"/>
                <w:szCs w:val="20"/>
                <w:lang w:val="en-US" w:eastAsia="vi-VN"/>
              </w:rPr>
              <w:t xml:space="preserve"> </w:t>
            </w:r>
            <w:r w:rsidR="009345F1" w:rsidRPr="00B42892">
              <w:rPr>
                <w:rFonts w:eastAsia="Times New Roman"/>
                <w:sz w:val="20"/>
                <w:szCs w:val="20"/>
                <w:lang w:val="en-US" w:eastAsia="vi-VN"/>
              </w:rPr>
              <w:t xml:space="preserve"> warnings</w:t>
            </w:r>
          </w:p>
        </w:tc>
        <w:tc>
          <w:tcPr>
            <w:tcW w:w="147" w:type="pct"/>
            <w:tcBorders>
              <w:bottom w:val="single" w:sz="4" w:space="0" w:color="auto"/>
            </w:tcBorders>
            <w:shd w:val="clear" w:color="auto" w:fill="auto"/>
            <w:noWrap/>
            <w:vAlign w:val="center"/>
            <w:hideMark/>
          </w:tcPr>
          <w:p w:rsidR="00DD2133" w:rsidRPr="00B42892" w:rsidRDefault="00DD2133" w:rsidP="00824C65">
            <w:pPr>
              <w:spacing w:before="0" w:after="0" w:line="240" w:lineRule="auto"/>
              <w:ind w:firstLine="0"/>
              <w:jc w:val="left"/>
              <w:rPr>
                <w:rFonts w:eastAsia="Times New Roman"/>
                <w:sz w:val="20"/>
                <w:szCs w:val="20"/>
                <w:lang w:val="vi-VN" w:eastAsia="vi-VN"/>
              </w:rPr>
            </w:pPr>
            <w:r w:rsidRPr="00B42892">
              <w:rPr>
                <w:rFonts w:eastAsia="Times New Roman"/>
                <w:sz w:val="20"/>
                <w:szCs w:val="20"/>
                <w:lang w:val="vi-VN" w:eastAsia="vi-VN"/>
              </w:rPr>
              <w:t>3.22</w:t>
            </w:r>
          </w:p>
        </w:tc>
        <w:tc>
          <w:tcPr>
            <w:tcW w:w="367" w:type="pct"/>
            <w:tcBorders>
              <w:bottom w:val="single" w:sz="4" w:space="0" w:color="auto"/>
            </w:tcBorders>
            <w:shd w:val="clear" w:color="auto" w:fill="auto"/>
            <w:noWrap/>
            <w:vAlign w:val="center"/>
            <w:hideMark/>
          </w:tcPr>
          <w:p w:rsidR="00DD2133" w:rsidRPr="00B42892" w:rsidRDefault="00DD2133" w:rsidP="00824C65">
            <w:pPr>
              <w:spacing w:before="0" w:after="0" w:line="240" w:lineRule="auto"/>
              <w:ind w:firstLine="0"/>
              <w:jc w:val="left"/>
              <w:rPr>
                <w:rFonts w:eastAsia="Times New Roman"/>
                <w:sz w:val="20"/>
                <w:szCs w:val="20"/>
                <w:lang w:val="vi-VN" w:eastAsia="vi-VN"/>
              </w:rPr>
            </w:pPr>
            <w:r w:rsidRPr="00B42892">
              <w:rPr>
                <w:rFonts w:eastAsia="Times New Roman"/>
                <w:sz w:val="20"/>
                <w:szCs w:val="20"/>
                <w:lang w:val="vi-VN" w:eastAsia="vi-VN"/>
              </w:rPr>
              <w:t>.12</w:t>
            </w:r>
          </w:p>
        </w:tc>
        <w:tc>
          <w:tcPr>
            <w:tcW w:w="440" w:type="pct"/>
            <w:tcBorders>
              <w:bottom w:val="single" w:sz="4" w:space="0" w:color="auto"/>
            </w:tcBorders>
            <w:shd w:val="clear" w:color="auto" w:fill="auto"/>
            <w:noWrap/>
            <w:vAlign w:val="center"/>
            <w:hideMark/>
          </w:tcPr>
          <w:p w:rsidR="00DD2133" w:rsidRPr="00B42892" w:rsidRDefault="00DD2133" w:rsidP="00824C65">
            <w:pPr>
              <w:spacing w:before="0" w:after="0" w:line="240" w:lineRule="auto"/>
              <w:ind w:firstLine="0"/>
              <w:jc w:val="left"/>
              <w:rPr>
                <w:rFonts w:eastAsia="Times New Roman"/>
                <w:sz w:val="20"/>
                <w:szCs w:val="20"/>
                <w:lang w:val="vi-VN" w:eastAsia="vi-VN"/>
              </w:rPr>
            </w:pPr>
            <w:r w:rsidRPr="00B42892">
              <w:rPr>
                <w:rFonts w:eastAsia="Times New Roman"/>
                <w:sz w:val="20"/>
                <w:szCs w:val="20"/>
                <w:lang w:val="vi-VN" w:eastAsia="vi-VN"/>
              </w:rPr>
              <w:t>2.98</w:t>
            </w:r>
          </w:p>
        </w:tc>
        <w:tc>
          <w:tcPr>
            <w:tcW w:w="296" w:type="pct"/>
            <w:tcBorders>
              <w:bottom w:val="single" w:sz="4" w:space="0" w:color="auto"/>
            </w:tcBorders>
            <w:shd w:val="clear" w:color="auto" w:fill="auto"/>
            <w:noWrap/>
            <w:vAlign w:val="center"/>
            <w:hideMark/>
          </w:tcPr>
          <w:p w:rsidR="00DD2133" w:rsidRPr="00B42892" w:rsidRDefault="00DD2133" w:rsidP="00824C65">
            <w:pPr>
              <w:spacing w:before="0" w:after="0" w:line="240" w:lineRule="auto"/>
              <w:ind w:firstLine="0"/>
              <w:jc w:val="left"/>
              <w:rPr>
                <w:rFonts w:eastAsia="Times New Roman"/>
                <w:sz w:val="20"/>
                <w:szCs w:val="20"/>
                <w:lang w:val="vi-VN" w:eastAsia="vi-VN"/>
              </w:rPr>
            </w:pPr>
            <w:r w:rsidRPr="00B42892">
              <w:rPr>
                <w:rFonts w:eastAsia="Times New Roman"/>
                <w:sz w:val="20"/>
                <w:szCs w:val="20"/>
                <w:lang w:val="vi-VN" w:eastAsia="vi-VN"/>
              </w:rPr>
              <w:t>3.45</w:t>
            </w:r>
          </w:p>
        </w:tc>
        <w:tc>
          <w:tcPr>
            <w:tcW w:w="294" w:type="pct"/>
            <w:tcBorders>
              <w:bottom w:val="single" w:sz="4" w:space="0" w:color="auto"/>
            </w:tcBorders>
            <w:shd w:val="clear" w:color="auto" w:fill="auto"/>
            <w:noWrap/>
            <w:vAlign w:val="center"/>
            <w:hideMark/>
          </w:tcPr>
          <w:p w:rsidR="00DD2133" w:rsidRPr="00B42892" w:rsidRDefault="00DD2133" w:rsidP="00824C65">
            <w:pPr>
              <w:spacing w:before="0" w:after="0" w:line="240" w:lineRule="auto"/>
              <w:ind w:firstLine="0"/>
              <w:jc w:val="left"/>
              <w:rPr>
                <w:rFonts w:eastAsia="Times New Roman"/>
                <w:sz w:val="20"/>
                <w:szCs w:val="20"/>
                <w:lang w:val="vi-VN" w:eastAsia="vi-VN"/>
              </w:rPr>
            </w:pPr>
            <w:r w:rsidRPr="00B42892">
              <w:rPr>
                <w:rFonts w:eastAsia="Times New Roman"/>
                <w:sz w:val="20"/>
                <w:szCs w:val="20"/>
                <w:lang w:val="vi-VN" w:eastAsia="vi-VN"/>
              </w:rPr>
              <w:t>.00</w:t>
            </w:r>
          </w:p>
        </w:tc>
        <w:tc>
          <w:tcPr>
            <w:tcW w:w="441" w:type="pct"/>
            <w:tcBorders>
              <w:bottom w:val="single" w:sz="4" w:space="0" w:color="auto"/>
            </w:tcBorders>
            <w:shd w:val="clear" w:color="auto" w:fill="auto"/>
            <w:noWrap/>
            <w:vAlign w:val="center"/>
            <w:hideMark/>
          </w:tcPr>
          <w:p w:rsidR="00DD2133" w:rsidRPr="00B42892" w:rsidRDefault="00DD2133" w:rsidP="00824C65">
            <w:pPr>
              <w:spacing w:before="0" w:after="0" w:line="240" w:lineRule="auto"/>
              <w:ind w:firstLine="0"/>
              <w:jc w:val="left"/>
              <w:rPr>
                <w:rFonts w:eastAsia="Times New Roman"/>
                <w:sz w:val="20"/>
                <w:szCs w:val="20"/>
                <w:lang w:val="vi-VN" w:eastAsia="vi-VN"/>
              </w:rPr>
            </w:pPr>
            <w:r w:rsidRPr="00B42892">
              <w:rPr>
                <w:rFonts w:eastAsia="Times New Roman"/>
                <w:sz w:val="20"/>
                <w:szCs w:val="20"/>
                <w:lang w:val="vi-VN" w:eastAsia="vi-VN"/>
              </w:rPr>
              <w:t>24.95</w:t>
            </w:r>
          </w:p>
        </w:tc>
      </w:tr>
    </w:tbl>
    <w:p w:rsidR="00F215AC" w:rsidRPr="00B42892" w:rsidRDefault="00F215AC" w:rsidP="00361EBE">
      <w:pPr>
        <w:ind w:firstLine="0"/>
      </w:pPr>
    </w:p>
    <w:p w:rsidR="00462BC4" w:rsidRPr="005C3E03" w:rsidRDefault="00462BC4" w:rsidP="00F215AC">
      <w:pPr>
        <w:pStyle w:val="mcCp2"/>
        <w:rPr>
          <w:color w:val="FF0000"/>
        </w:rPr>
      </w:pPr>
      <w:r w:rsidRPr="005C3E03">
        <w:t>Discussion</w:t>
      </w:r>
    </w:p>
    <w:p w:rsidR="008949DC" w:rsidRDefault="00824C65" w:rsidP="00A001CA">
      <w:pPr>
        <w:rPr>
          <w:color w:val="FF0000"/>
        </w:rPr>
      </w:pPr>
      <w:r>
        <w:t>One of t</w:t>
      </w:r>
      <w:r w:rsidR="00964659" w:rsidRPr="005C3E03">
        <w:t xml:space="preserve">he people's </w:t>
      </w:r>
      <w:r>
        <w:t xml:space="preserve">primary </w:t>
      </w:r>
      <w:r w:rsidR="00964659" w:rsidRPr="005C3E03">
        <w:t>concern</w:t>
      </w:r>
      <w:r>
        <w:t>s</w:t>
      </w:r>
      <w:r w:rsidR="00964659" w:rsidRPr="005C3E03">
        <w:t xml:space="preserve"> was obtaining reliable health information, and the given messages must be relevant to the </w:t>
      </w:r>
      <w:r w:rsidR="00B42892">
        <w:t>need</w:t>
      </w:r>
      <w:r>
        <w:t>s</w:t>
      </w:r>
      <w:r w:rsidR="00964659" w:rsidRPr="005C3E03">
        <w:t xml:space="preserve"> of different socio-economic and demographic groups </w:t>
      </w:r>
      <w:r w:rsidR="00964659" w:rsidRPr="005C3E03">
        <w:fldChar w:fldCharType="begin" w:fldLock="1"/>
      </w:r>
      <w:r w:rsidR="00964659">
        <w:instrText>ADDIN CSL_CITATION {"citationItems":[{"id":"ITEM-1","itemData":{"DOI":"10.3390/ijerph17124377","ISSN":"16604601","PMID":"32570819","abstract":"Due to the rapid spread of coronavirus, Vietnam introduced its first national partial lockdown on April 1st, 2020. The public relied on online sources, whether through official websites or phone-based applications, to acquire up-to-date health information, provide accurate instructions, and limit misinformation. This study aims to provide insight regarding the current level of awareness of the pandemic, and to identify associated factors in Vietnamese participants to recommend necessary interventions. A cross-sectional study was conducted using a web-based survey during the first week of the lockdown period. There were 341 observations collected using a snowball sampling technique. A Tobit multivariable regression model was used to identify factors associated with the demand for each category of health information. The most requested information was the latest updated news on the epidemic, followed by information about disease symptoms and updated news on the outbreak. The prevalence of diverse socioeconomic, demographic, and ethnic factors in Vietnam requires consideration of the specific health information needs of unique groups. Identifying group-specific demands would be helpful to provide proper information to fulfill each population group’s needs.","author":[{"dropping-particle":"","family":"Le","given":"Huong Thi","non-dropping-particle":"","parse-names":false,"suffix":""},{"dropping-particle":"","family":"Nguyen","given":"Diep Ngoc","non-dropping-particle":"","parse-names":false,"suffix":""},{"dropping-particle":"","family":"Beydoun","given":"Ahmed Sam","non-dropping-particle":"","parse-names":false,"suffix":""},{"dropping-particle":"","family":"Le","given":"Xuan Thi Thanh","non-dropping-particle":"","parse-names":false,"suffix":""},{"dropping-particle":"","family":"Nguyen","given":"Thao Thanh","non-dropping-particle":"","parse-names":false,"suffix":""},{"dropping-particle":"","family":"Pham","given":"Quan Thi","non-dropping-particle":"","parse-names":false,"suffix":""},{"dropping-particle":"","family":"Ta","given":"Nhung Thi Kim","non-dropping-particle":"","parse-names":false,"suffix":""},{"dropping-particle":"","family":"Nguyen","given":"Quynh Thi","non-dropping-particle":"","parse-names":false,"suffix":""},{"dropping-particle":"","family":"Nguyen","given":"Anh Ngoc","non-dropping-particle":"","parse-names":false,"suffix":""},{"dropping-particle":"","family":"Hoang","given":"Men Thi","non-dropping-particle":"","parse-names":false,"suffix":""},{"dropping-particle":"","family":"Vu","given":"Linh Gia","non-dropping-particle":"","parse-names":false,"suffix":""},{"dropping-particle":"","family":"Tran","given":"Bach Xuan","non-dropping-particle":"","parse-names":false,"suffix":""},{"dropping-particle":"","family":"Latkin","given":"Carl A.","non-dropping-particle":"","parse-names":false,"suffix":""},{"dropping-particle":"","family":"Ho","given":"Cyrus S.H.","non-dropping-particle":"","parse-names":false,"suffix":""},{"dropping-particle":"","family":"Ho","given":"Roger C.M.","non-dropping-particle":"","parse-names":false,"suffix":""}],"container-title":"International Journal of Environmental Research and Public Health","id":"ITEM-1","issue":"12","issued":{"date-parts":[["2020"]]},"page":"1-12","title":"Demand for health information on COVID-19 among Vietnamese","type":"article-journal","volume":"17"},"uris":["http://www.mendeley.com/documents/?uuid=02c625bf-e04f-4fbd-ab0f-cd372798a7ac"]}],"mendeley":{"formattedCitation":"(H. T. Le &lt;i&gt;et al.&lt;/i&gt;, 2020)","plainTextFormattedCitation":"(H. T. Le et al., 2020)","previouslyFormattedCitation":"(H. T. Le &lt;i&gt;et al.&lt;/i&gt;, 2020)"},"properties":{"noteIndex":0},"schema":"https://github.com/citation-style-language/schema/raw/master/csl-citation.json"}</w:instrText>
      </w:r>
      <w:r w:rsidR="00964659" w:rsidRPr="005C3E03">
        <w:fldChar w:fldCharType="separate"/>
      </w:r>
      <w:r w:rsidR="00964659" w:rsidRPr="005C3E03">
        <w:rPr>
          <w:noProof/>
        </w:rPr>
        <w:t xml:space="preserve">(H. T. Le </w:t>
      </w:r>
      <w:r w:rsidR="00964659" w:rsidRPr="005C3E03">
        <w:rPr>
          <w:i/>
          <w:noProof/>
        </w:rPr>
        <w:t>et al.</w:t>
      </w:r>
      <w:r w:rsidR="00964659" w:rsidRPr="005C3E03">
        <w:rPr>
          <w:noProof/>
        </w:rPr>
        <w:t>, 2020)</w:t>
      </w:r>
      <w:r w:rsidR="00964659" w:rsidRPr="005C3E03">
        <w:fldChar w:fldCharType="end"/>
      </w:r>
      <w:r w:rsidR="00964659" w:rsidRPr="005C3E03">
        <w:t xml:space="preserve">. </w:t>
      </w:r>
      <w:r w:rsidR="00B42892" w:rsidRPr="00824C65">
        <w:rPr>
          <w:color w:val="833C0B" w:themeColor="accent2" w:themeShade="80"/>
        </w:rPr>
        <w:t xml:space="preserve">However, most health communication attempts </w:t>
      </w:r>
      <w:r>
        <w:rPr>
          <w:color w:val="833C0B" w:themeColor="accent2" w:themeShade="80"/>
        </w:rPr>
        <w:t>were</w:t>
      </w:r>
      <w:r w:rsidR="00B42892" w:rsidRPr="00824C65">
        <w:rPr>
          <w:color w:val="833C0B" w:themeColor="accent2" w:themeShade="80"/>
        </w:rPr>
        <w:t xml:space="preserve"> failed to engage people in health</w:t>
      </w:r>
      <w:r w:rsidR="008949DC" w:rsidRPr="00824C65">
        <w:rPr>
          <w:color w:val="833C0B" w:themeColor="accent2" w:themeShade="80"/>
        </w:rPr>
        <w:t>y</w:t>
      </w:r>
      <w:r w:rsidR="00B42892" w:rsidRPr="00824C65">
        <w:rPr>
          <w:color w:val="833C0B" w:themeColor="accent2" w:themeShade="80"/>
        </w:rPr>
        <w:t xml:space="preserve"> behaviours </w:t>
      </w:r>
      <w:r w:rsidR="00B42892" w:rsidRPr="00824C65">
        <w:rPr>
          <w:color w:val="833C0B" w:themeColor="accent2" w:themeShade="80"/>
        </w:rPr>
        <w:fldChar w:fldCharType="begin" w:fldLock="1"/>
      </w:r>
      <w:r w:rsidR="00D00F65" w:rsidRPr="00824C65">
        <w:rPr>
          <w:color w:val="833C0B" w:themeColor="accent2" w:themeShade="80"/>
        </w:rPr>
        <w:instrText>ADDIN CSL_CITATION {"citationItems":[{"id":"ITEM-1","itemData":{"author":[{"dropping-particle":"","family":"Neuhauser","given":"Linda","non-dropping-particle":"","parse-names":false,"suffix":""},{"dropping-particle":"","family":"Kreps","given":"Gary L.","non-dropping-particle":"","parse-names":false,"suffix":""}],"container-title":"Journal of Health Psychology","id":"ITEM-1","issued":{"date-parts":[["2003"]]},"title":"Rethinking Communication in the E-health Era","type":"article-journal"},"uris":["http://www.mendeley.com/documents/?uuid=75ed4e47-6838-46f1-98fa-0990745fb9e6"]}],"mendeley":{"formattedCitation":"(Neuhauser and Kreps, 2003)","plainTextFormattedCitation":"(Neuhauser and Kreps, 2003)","previouslyFormattedCitation":"(Neuhauser and Kreps, 2003)"},"properties":{"noteIndex":0},"schema":"https://github.com/citation-style-language/schema/raw/master/csl-citation.json"}</w:instrText>
      </w:r>
      <w:r w:rsidR="00B42892" w:rsidRPr="00824C65">
        <w:rPr>
          <w:color w:val="833C0B" w:themeColor="accent2" w:themeShade="80"/>
        </w:rPr>
        <w:fldChar w:fldCharType="separate"/>
      </w:r>
      <w:r w:rsidR="00D00F65" w:rsidRPr="00824C65">
        <w:rPr>
          <w:noProof/>
          <w:color w:val="833C0B" w:themeColor="accent2" w:themeShade="80"/>
        </w:rPr>
        <w:t>(Neuhauser and Kreps, 2003)</w:t>
      </w:r>
      <w:r w:rsidR="00B42892" w:rsidRPr="00824C65">
        <w:rPr>
          <w:color w:val="833C0B" w:themeColor="accent2" w:themeShade="80"/>
        </w:rPr>
        <w:fldChar w:fldCharType="end"/>
      </w:r>
      <w:r w:rsidR="00B42892" w:rsidRPr="00824C65">
        <w:rPr>
          <w:color w:val="833C0B" w:themeColor="accent2" w:themeShade="80"/>
        </w:rPr>
        <w:t>. The poor results of those initiatives require</w:t>
      </w:r>
      <w:r>
        <w:rPr>
          <w:color w:val="833C0B" w:themeColor="accent2" w:themeShade="80"/>
        </w:rPr>
        <w:t>d</w:t>
      </w:r>
      <w:r w:rsidR="00B42892" w:rsidRPr="00824C65">
        <w:rPr>
          <w:color w:val="833C0B" w:themeColor="accent2" w:themeShade="80"/>
        </w:rPr>
        <w:t xml:space="preserve"> a further understanding of media channels' properties and comparing their effectiveness in delivering health information. </w:t>
      </w:r>
      <w:r w:rsidR="00A001CA" w:rsidRPr="00824C65">
        <w:rPr>
          <w:color w:val="833C0B" w:themeColor="accent2" w:themeShade="80"/>
        </w:rPr>
        <w:t xml:space="preserve">Moreover, identifying the impact of media channels in influencing </w:t>
      </w:r>
      <w:r w:rsidR="00ED4806" w:rsidRPr="00824C65">
        <w:rPr>
          <w:color w:val="833C0B" w:themeColor="accent2" w:themeShade="80"/>
        </w:rPr>
        <w:t xml:space="preserve">preventive behaviours </w:t>
      </w:r>
      <w:r w:rsidR="00A001CA" w:rsidRPr="00824C65">
        <w:rPr>
          <w:color w:val="833C0B" w:themeColor="accent2" w:themeShade="80"/>
        </w:rPr>
        <w:t xml:space="preserve">is </w:t>
      </w:r>
      <w:r w:rsidR="00ED4806" w:rsidRPr="00824C65">
        <w:rPr>
          <w:color w:val="833C0B" w:themeColor="accent2" w:themeShade="80"/>
        </w:rPr>
        <w:t>extremely</w:t>
      </w:r>
      <w:r w:rsidR="00A001CA" w:rsidRPr="00824C65">
        <w:rPr>
          <w:color w:val="833C0B" w:themeColor="accent2" w:themeShade="80"/>
        </w:rPr>
        <w:t xml:space="preserve"> important</w:t>
      </w:r>
      <w:r w:rsidRPr="00824C65">
        <w:rPr>
          <w:color w:val="833C0B" w:themeColor="accent2" w:themeShade="80"/>
        </w:rPr>
        <w:t xml:space="preserve"> during pandemic crise</w:t>
      </w:r>
      <w:r w:rsidR="00ED4806" w:rsidRPr="00824C65">
        <w:rPr>
          <w:color w:val="833C0B" w:themeColor="accent2" w:themeShade="80"/>
        </w:rPr>
        <w:t>s</w:t>
      </w:r>
      <w:r w:rsidR="00A001CA" w:rsidRPr="00824C65">
        <w:rPr>
          <w:color w:val="833C0B" w:themeColor="accent2" w:themeShade="80"/>
        </w:rPr>
        <w:t xml:space="preserve">. </w:t>
      </w:r>
      <w:r w:rsidR="00B42892" w:rsidRPr="00824C65">
        <w:rPr>
          <w:color w:val="833C0B" w:themeColor="accent2" w:themeShade="80"/>
        </w:rPr>
        <w:t xml:space="preserve">Therefore, this study </w:t>
      </w:r>
      <w:r w:rsidR="00D00F65" w:rsidRPr="00824C65">
        <w:rPr>
          <w:color w:val="833C0B" w:themeColor="accent2" w:themeShade="80"/>
        </w:rPr>
        <w:t>investigated</w:t>
      </w:r>
      <w:r w:rsidR="008949DC" w:rsidRPr="00824C65">
        <w:rPr>
          <w:color w:val="833C0B" w:themeColor="accent2" w:themeShade="80"/>
        </w:rPr>
        <w:t xml:space="preserve"> the exposure frequency, </w:t>
      </w:r>
      <w:r w:rsidR="00B42892" w:rsidRPr="00824C65">
        <w:rPr>
          <w:color w:val="833C0B" w:themeColor="accent2" w:themeShade="80"/>
        </w:rPr>
        <w:t xml:space="preserve">perceived usefulness in </w:t>
      </w:r>
      <w:r w:rsidR="00D00F65" w:rsidRPr="00824C65">
        <w:rPr>
          <w:color w:val="833C0B" w:themeColor="accent2" w:themeShade="80"/>
        </w:rPr>
        <w:t>disease</w:t>
      </w:r>
      <w:r w:rsidR="00B42892" w:rsidRPr="00824C65">
        <w:rPr>
          <w:color w:val="833C0B" w:themeColor="accent2" w:themeShade="80"/>
        </w:rPr>
        <w:t xml:space="preserve"> warnings of </w:t>
      </w:r>
      <w:r w:rsidR="00ED4806" w:rsidRPr="00824C65">
        <w:rPr>
          <w:color w:val="833C0B" w:themeColor="accent2" w:themeShade="80"/>
        </w:rPr>
        <w:t xml:space="preserve">different </w:t>
      </w:r>
      <w:r w:rsidR="00B42892" w:rsidRPr="00824C65">
        <w:rPr>
          <w:color w:val="833C0B" w:themeColor="accent2" w:themeShade="80"/>
        </w:rPr>
        <w:t xml:space="preserve">media types </w:t>
      </w:r>
      <w:r w:rsidR="008949DC" w:rsidRPr="00824C65">
        <w:rPr>
          <w:color w:val="833C0B" w:themeColor="accent2" w:themeShade="80"/>
        </w:rPr>
        <w:t xml:space="preserve">and their relationships with </w:t>
      </w:r>
      <w:r w:rsidR="00A001CA" w:rsidRPr="00824C65">
        <w:rPr>
          <w:color w:val="833C0B" w:themeColor="accent2" w:themeShade="80"/>
        </w:rPr>
        <w:t xml:space="preserve">adherence to preventive measures </w:t>
      </w:r>
      <w:r w:rsidR="008949DC" w:rsidRPr="00824C65">
        <w:rPr>
          <w:color w:val="833C0B" w:themeColor="accent2" w:themeShade="80"/>
        </w:rPr>
        <w:t>in</w:t>
      </w:r>
      <w:r w:rsidR="00B42892" w:rsidRPr="00824C65">
        <w:rPr>
          <w:color w:val="833C0B" w:themeColor="accent2" w:themeShade="80"/>
        </w:rPr>
        <w:t xml:space="preserve"> Vietnam</w:t>
      </w:r>
      <w:r w:rsidR="00ED4806" w:rsidRPr="00824C65">
        <w:rPr>
          <w:color w:val="833C0B" w:themeColor="accent2" w:themeShade="80"/>
        </w:rPr>
        <w:t xml:space="preserve"> during the COVID-19</w:t>
      </w:r>
      <w:r w:rsidR="008949DC" w:rsidRPr="00824C65">
        <w:rPr>
          <w:color w:val="833C0B" w:themeColor="accent2" w:themeShade="80"/>
        </w:rPr>
        <w:t>.</w:t>
      </w:r>
    </w:p>
    <w:p w:rsidR="00DF4916" w:rsidRPr="005C3E03" w:rsidRDefault="004A4548" w:rsidP="00DF4916">
      <w:r w:rsidRPr="005C3E03">
        <w:t>Analysing</w:t>
      </w:r>
      <w:r w:rsidR="00DF4916" w:rsidRPr="005C3E03">
        <w:t xml:space="preserve"> 4,648 </w:t>
      </w:r>
      <w:r w:rsidR="00B42892" w:rsidRPr="00ED4806">
        <w:t xml:space="preserve">Vietnamese </w:t>
      </w:r>
      <w:r w:rsidR="00DF4916" w:rsidRPr="005C3E03">
        <w:t>youth</w:t>
      </w:r>
      <w:r w:rsidR="00B008A4" w:rsidRPr="005C3E03">
        <w:t>s</w:t>
      </w:r>
      <w:r w:rsidR="00DF4916" w:rsidRPr="005C3E03">
        <w:t xml:space="preserve"> showed that they received disease alerts most frequently via three channels:</w:t>
      </w:r>
      <w:r w:rsidR="00824C65">
        <w:t xml:space="preserve"> social networks, SMS, and television/r</w:t>
      </w:r>
      <w:r w:rsidR="00DF4916" w:rsidRPr="005C3E03">
        <w:t>adio. In addition, young Vietnam</w:t>
      </w:r>
      <w:r w:rsidR="00824C65">
        <w:t>ese rated three channels (SMS, television/radio, s</w:t>
      </w:r>
      <w:r w:rsidR="00DF4916" w:rsidRPr="005C3E03">
        <w:t xml:space="preserve">tate agencies website) most beneficial for disseminating disease warnings. On the other hand, WOM conversation </w:t>
      </w:r>
      <w:r w:rsidR="00824C65">
        <w:t>was</w:t>
      </w:r>
      <w:r w:rsidR="00DF4916" w:rsidRPr="005C3E03">
        <w:t xml:space="preserve"> the least helpfu</w:t>
      </w:r>
      <w:r w:rsidR="003A48C2" w:rsidRPr="005C3E03">
        <w:t>l channel for disease warnings.</w:t>
      </w:r>
      <w:r w:rsidR="00EF2A51">
        <w:t xml:space="preserve"> </w:t>
      </w:r>
      <w:r w:rsidR="00677BC5" w:rsidRPr="00824C65">
        <w:t>The results emphasised the opportunity of official channels in motivating the youths to tak</w:t>
      </w:r>
      <w:r w:rsidR="002C45BB">
        <w:t>e</w:t>
      </w:r>
      <w:r w:rsidR="00677BC5" w:rsidRPr="00824C65">
        <w:t xml:space="preserve"> precautionary measures. </w:t>
      </w:r>
      <w:r w:rsidR="00DF4916" w:rsidRPr="00824C65">
        <w:t xml:space="preserve">The first remarkable point </w:t>
      </w:r>
      <w:r w:rsidR="00B008A4" w:rsidRPr="00824C65">
        <w:t>was</w:t>
      </w:r>
      <w:r w:rsidR="00DF4916" w:rsidRPr="00824C65">
        <w:t xml:space="preserve"> that young Vietnamese people receive</w:t>
      </w:r>
      <w:r w:rsidR="00B008A4" w:rsidRPr="00824C65">
        <w:t>d</w:t>
      </w:r>
      <w:r w:rsidR="00DF4916" w:rsidRPr="00824C65">
        <w:t xml:space="preserve"> disea</w:t>
      </w:r>
      <w:r w:rsidR="00D00F65" w:rsidRPr="00824C65">
        <w:t>se alerts most frequently from s</w:t>
      </w:r>
      <w:r w:rsidR="00DF4916" w:rsidRPr="00824C65">
        <w:t xml:space="preserve">ocial networks, but this platform </w:t>
      </w:r>
      <w:r w:rsidR="00B008A4" w:rsidRPr="00824C65">
        <w:t>was</w:t>
      </w:r>
      <w:r w:rsidR="00DF4916" w:rsidRPr="00824C65">
        <w:t xml:space="preserve"> not high-rated for usefulness</w:t>
      </w:r>
      <w:r w:rsidR="00DF4916" w:rsidRPr="005C3E03">
        <w:t xml:space="preserve">. It </w:t>
      </w:r>
      <w:r w:rsidR="00B008A4" w:rsidRPr="005C3E03">
        <w:t>could</w:t>
      </w:r>
      <w:r w:rsidR="00DF4916" w:rsidRPr="005C3E03">
        <w:t xml:space="preserve"> be explained by the fact that social networks were viral among young people in Vietnam, but </w:t>
      </w:r>
      <w:r w:rsidR="003A48C2" w:rsidRPr="005C3E03">
        <w:t>these platforms</w:t>
      </w:r>
      <w:r w:rsidR="00B008A4" w:rsidRPr="005C3E03">
        <w:t xml:space="preserve"> had </w:t>
      </w:r>
      <w:r w:rsidR="00DF4916" w:rsidRPr="005C3E03">
        <w:t>extensive coverage of fake news</w:t>
      </w:r>
      <w:r w:rsidR="00D00F65">
        <w:t xml:space="preserve"> </w:t>
      </w:r>
      <w:r w:rsidR="00D00F65">
        <w:fldChar w:fldCharType="begin" w:fldLock="1"/>
      </w:r>
      <w:r w:rsidR="00D00F65">
        <w:instrText>ADDIN CSL_CITATION {"citationItems":[{"id":"ITEM-1","itemData":{"DOI":"10.1057/s41271-020-00247-w","ISBN":"0123456789","ISSN":"1745655X","PMID":"32826935","abstract":"The COVID-19 pandemic has caused a complementary infodemic, whereby various outlets and digital media portals shared false information and unsourced recommendations on health. In addition, journals and authors published a mass of academic articles at a speed that suggests a non-existent or a non-rigorous peer review process. Such lapses can promote false information and adoption of health policies based on misleading data. Reliable information is vital for designing and implementing preventive measures and promoting health awareness in the fight against COVID-19. In the age of social media, information travels wide and fast, emphasizing a need for accurate data to be corroborated swiftly and for preventing misleading information from wide dissemination. Here, we discuss the implications of the COVID-19 infodemic and explore practical ways to leverage health communication strategies to overcome it. We propose the “Infodemic Response Checklist” as a comprehensive tool to overcome the challenges posed by the current and any future infodemics.","author":[{"dropping-particle":"","family":"Mheidly","given":"Nour","non-dropping-particle":"","parse-names":false,"suffix":""},{"dropping-particle":"","family":"Fares","given":"Jawad","non-dropping-particle":"","parse-names":false,"suffix":""}],"container-title":"Journal of Public Health Policy","id":"ITEM-1","issue":"4","issued":{"date-parts":[["2020"]]},"page":"410-420","publisher":"Palgrave Macmillan UK","title":"Leveraging media and health communication strategies to overcome the COVID-19 infodemic","type":"article-journal","volume":"41"},"uris":["http://www.mendeley.com/documents/?uuid=216fbcb4-7de8-4219-afeb-6afaf87833eb"]}],"mendeley":{"formattedCitation":"(Mheidly and Fares, 2020)","plainTextFormattedCitation":"(Mheidly and Fares, 2020)","previouslyFormattedCitation":"(Mheidly and Fares, 2020)"},"properties":{"noteIndex":0},"schema":"https://github.com/citation-style-language/schema/raw/master/csl-citation.json"}</w:instrText>
      </w:r>
      <w:r w:rsidR="00D00F65">
        <w:fldChar w:fldCharType="separate"/>
      </w:r>
      <w:r w:rsidR="00D00F65" w:rsidRPr="00D00F65">
        <w:rPr>
          <w:noProof/>
        </w:rPr>
        <w:t>(Mheidly and Fares, 2020)</w:t>
      </w:r>
      <w:r w:rsidR="00D00F65">
        <w:fldChar w:fldCharType="end"/>
      </w:r>
      <w:r w:rsidR="00DF4916" w:rsidRPr="005C3E03">
        <w:t>.</w:t>
      </w:r>
      <w:r w:rsidR="002C45BB">
        <w:t xml:space="preserve"> Moreover,</w:t>
      </w:r>
      <w:r w:rsidR="00824C65">
        <w:t xml:space="preserve"> </w:t>
      </w:r>
      <w:r w:rsidR="002C45BB">
        <w:t xml:space="preserve">the </w:t>
      </w:r>
      <w:r w:rsidR="00B008A4" w:rsidRPr="005C3E03">
        <w:t xml:space="preserve">Vietnamese </w:t>
      </w:r>
      <w:r w:rsidR="006455E7">
        <w:t>g</w:t>
      </w:r>
      <w:r w:rsidR="00DF4916" w:rsidRPr="005C3E03">
        <w:t xml:space="preserve">overnment </w:t>
      </w:r>
      <w:r w:rsidR="00B008A4" w:rsidRPr="005C3E03">
        <w:t>could not entirely monitor</w:t>
      </w:r>
      <w:r w:rsidR="00DF4916" w:rsidRPr="005C3E03">
        <w:t xml:space="preserve"> the </w:t>
      </w:r>
      <w:r w:rsidR="00B008A4" w:rsidRPr="005C3E03">
        <w:t xml:space="preserve">online information </w:t>
      </w:r>
      <w:r w:rsidR="00DF4916" w:rsidRPr="005C3E03">
        <w:t xml:space="preserve">sources, contributing to the trust level for social networks was not as high as the official channels. If the Law on Cyber Security (Law No. 24/2018/QH14) was applied more effectively in Vietnam, social media might gain more legitimacy in </w:t>
      </w:r>
      <w:r w:rsidR="00824C65">
        <w:t>warning</w:t>
      </w:r>
      <w:r w:rsidR="00824C65" w:rsidRPr="005C3E03">
        <w:t xml:space="preserve"> </w:t>
      </w:r>
      <w:r w:rsidR="00DF4916" w:rsidRPr="005C3E03">
        <w:t>disease to the population.</w:t>
      </w:r>
      <w:r w:rsidR="00EF2A51">
        <w:t xml:space="preserve"> </w:t>
      </w:r>
      <w:r w:rsidR="00DF4916" w:rsidRPr="005C3E03">
        <w:t xml:space="preserve">The second </w:t>
      </w:r>
      <w:r w:rsidR="00824C65">
        <w:t>point</w:t>
      </w:r>
      <w:r w:rsidR="00DF4916" w:rsidRPr="005C3E03">
        <w:t xml:space="preserve"> was that young people </w:t>
      </w:r>
      <w:r w:rsidR="00B008A4" w:rsidRPr="005C3E03">
        <w:t>rarely</w:t>
      </w:r>
      <w:r w:rsidR="00DF4916" w:rsidRPr="005C3E03">
        <w:t xml:space="preserve"> receive</w:t>
      </w:r>
      <w:r w:rsidR="00B008A4" w:rsidRPr="005C3E03">
        <w:t>d</w:t>
      </w:r>
      <w:r w:rsidR="00DF4916" w:rsidRPr="005C3E03">
        <w:t xml:space="preserve"> diseases warnings th</w:t>
      </w:r>
      <w:r w:rsidR="00B42892">
        <w:t>rough b</w:t>
      </w:r>
      <w:r w:rsidR="00DF4916" w:rsidRPr="005C3E03">
        <w:t xml:space="preserve">ulletin boards on the streets and </w:t>
      </w:r>
      <w:r w:rsidR="00B42892">
        <w:t>newspapers/m</w:t>
      </w:r>
      <w:r w:rsidR="00DF4916" w:rsidRPr="005C3E03">
        <w:t xml:space="preserve">agazines. As a result, the press publishers and those responsible for installing bulletin boards </w:t>
      </w:r>
      <w:r w:rsidR="00B42892">
        <w:t>must</w:t>
      </w:r>
      <w:r w:rsidR="00DF4916" w:rsidRPr="005C3E03">
        <w:t xml:space="preserve"> consider changing approaches (</w:t>
      </w:r>
      <w:r w:rsidR="00B42892">
        <w:t xml:space="preserve">e.g. </w:t>
      </w:r>
      <w:r w:rsidR="00DF4916" w:rsidRPr="005C3E03">
        <w:t>content,</w:t>
      </w:r>
      <w:r w:rsidR="003A48C2" w:rsidRPr="005C3E03">
        <w:t xml:space="preserve"> design,</w:t>
      </w:r>
      <w:r w:rsidR="00B42892">
        <w:t xml:space="preserve"> location, timing</w:t>
      </w:r>
      <w:r w:rsidR="00DF4916" w:rsidRPr="005C3E03">
        <w:t>) to be more accessible to the youth community and avoid waste</w:t>
      </w:r>
      <w:r w:rsidR="003A48C2" w:rsidRPr="005C3E03">
        <w:t>s</w:t>
      </w:r>
      <w:r w:rsidR="00DF4916" w:rsidRPr="005C3E03">
        <w:t>.</w:t>
      </w:r>
    </w:p>
    <w:p w:rsidR="006E1DD1" w:rsidRPr="00824C65" w:rsidRDefault="00DF4916" w:rsidP="006E1DD1">
      <w:pPr>
        <w:rPr>
          <w:color w:val="833C0B" w:themeColor="accent2" w:themeShade="80"/>
        </w:rPr>
      </w:pPr>
      <w:r w:rsidRPr="005C3E03">
        <w:t xml:space="preserve">Vietnamese youth </w:t>
      </w:r>
      <w:r w:rsidR="00B42892">
        <w:t>had</w:t>
      </w:r>
      <w:r w:rsidRPr="005C3E03">
        <w:t xml:space="preserve"> a high level of trust in the </w:t>
      </w:r>
      <w:r w:rsidR="006455E7">
        <w:t>g</w:t>
      </w:r>
      <w:r w:rsidRPr="005C3E03">
        <w:t xml:space="preserve">overnment's management. In particular, </w:t>
      </w:r>
      <w:r w:rsidR="00D00F65">
        <w:t>their</w:t>
      </w:r>
      <w:r w:rsidRPr="005C3E03">
        <w:t xml:space="preserve"> trust level was even higher during the COVID-19 outbreak, demonstrating that pandemic prevention </w:t>
      </w:r>
      <w:r w:rsidR="00B42892">
        <w:t>of Vietnam's g</w:t>
      </w:r>
      <w:r w:rsidRPr="005C3E03">
        <w:t>overnment w</w:t>
      </w:r>
      <w:r w:rsidR="00B42892">
        <w:t>as</w:t>
      </w:r>
      <w:r w:rsidRPr="005C3E03">
        <w:t xml:space="preserve"> in line with </w:t>
      </w:r>
      <w:r w:rsidR="00B42892">
        <w:t>their</w:t>
      </w:r>
      <w:r w:rsidRPr="005C3E03">
        <w:t xml:space="preserve"> expectations.</w:t>
      </w:r>
      <w:r w:rsidR="006E1DD1">
        <w:t xml:space="preserve"> Furthermore, y</w:t>
      </w:r>
      <w:r w:rsidR="006E1DD1" w:rsidRPr="005C3E03">
        <w:t xml:space="preserve">oung people provided </w:t>
      </w:r>
      <w:r w:rsidR="00D00F65">
        <w:t>good</w:t>
      </w:r>
      <w:r w:rsidR="006E1DD1" w:rsidRPr="005C3E03">
        <w:t xml:space="preserve"> supports for the </w:t>
      </w:r>
      <w:r w:rsidR="006E1DD1">
        <w:t>g</w:t>
      </w:r>
      <w:r w:rsidR="006E1DD1" w:rsidRPr="005C3E03">
        <w:t>overnment to</w:t>
      </w:r>
      <w:r w:rsidR="006E1DD1">
        <w:t xml:space="preserve"> avoid</w:t>
      </w:r>
      <w:r w:rsidR="006E1DD1" w:rsidRPr="006E1DD1">
        <w:t xml:space="preserve"> the spread of COVID-19</w:t>
      </w:r>
      <w:r w:rsidR="006E1DD1">
        <w:t>.</w:t>
      </w:r>
      <w:r w:rsidR="003A48C2" w:rsidRPr="005C3E03">
        <w:t xml:space="preserve"> </w:t>
      </w:r>
      <w:r w:rsidR="00C813CC">
        <w:t>For example, a</w:t>
      </w:r>
      <w:r w:rsidRPr="005C3E03">
        <w:t>fter receiving the COVID-19 warning, most young people cancelled unnecessary travel plans (hanging out, shopping) and postponed going to study/workplaces (</w:t>
      </w:r>
      <w:r w:rsidRPr="005C3E03">
        <w:fldChar w:fldCharType="begin"/>
      </w:r>
      <w:r w:rsidRPr="005C3E03">
        <w:instrText xml:space="preserve"> REF _Ref71811625 \h  \* MERGEFORMAT </w:instrText>
      </w:r>
      <w:r w:rsidRPr="005C3E03">
        <w:fldChar w:fldCharType="separate"/>
      </w:r>
      <w:r w:rsidRPr="005C3E03">
        <w:t xml:space="preserve">Table </w:t>
      </w:r>
      <w:r w:rsidRPr="005C3E03">
        <w:rPr>
          <w:noProof/>
        </w:rPr>
        <w:t>1</w:t>
      </w:r>
      <w:r w:rsidRPr="005C3E03">
        <w:fldChar w:fldCharType="end"/>
      </w:r>
      <w:r w:rsidRPr="005C3E03">
        <w:t xml:space="preserve">). At the same time, they </w:t>
      </w:r>
      <w:r w:rsidR="00B42892">
        <w:t>actively a</w:t>
      </w:r>
      <w:r w:rsidR="00B42892" w:rsidRPr="00B42892">
        <w:t>dhere</w:t>
      </w:r>
      <w:r w:rsidR="00B42892">
        <w:t>d</w:t>
      </w:r>
      <w:r w:rsidR="00B42892" w:rsidRPr="00B42892">
        <w:t xml:space="preserve"> to preventive measure</w:t>
      </w:r>
      <w:r w:rsidR="00B42892">
        <w:t>s (</w:t>
      </w:r>
      <w:r w:rsidRPr="005C3E03">
        <w:t xml:space="preserve">report health status and family medical history, go into mandatory isolation/quarantine if </w:t>
      </w:r>
      <w:r w:rsidR="00B42892">
        <w:t>having</w:t>
      </w:r>
      <w:r w:rsidRPr="005C3E03">
        <w:t xml:space="preserve"> symptoms, and take recommended measures to </w:t>
      </w:r>
      <w:r w:rsidR="00B9190A">
        <w:t>hinder</w:t>
      </w:r>
      <w:r w:rsidRPr="005C3E03">
        <w:t xml:space="preserve"> the virus's spread to society</w:t>
      </w:r>
      <w:r w:rsidR="00B42892" w:rsidRPr="002C45BB">
        <w:t>)</w:t>
      </w:r>
      <w:r w:rsidRPr="002C45BB">
        <w:t xml:space="preserve">. </w:t>
      </w:r>
      <w:r w:rsidR="006E1DD1" w:rsidRPr="002C45BB">
        <w:t xml:space="preserve">The previous study </w:t>
      </w:r>
      <w:r w:rsidR="002C45BB" w:rsidRPr="002C45BB">
        <w:t xml:space="preserve">also </w:t>
      </w:r>
      <w:r w:rsidR="006E1DD1" w:rsidRPr="002C45BB">
        <w:t xml:space="preserve">supported this result, which </w:t>
      </w:r>
      <w:r w:rsidR="00D00F65" w:rsidRPr="002C45BB">
        <w:t>showed</w:t>
      </w:r>
      <w:r w:rsidR="006E1DD1" w:rsidRPr="002C45BB">
        <w:t xml:space="preserve"> a high adherence to preventive response</w:t>
      </w:r>
      <w:r w:rsidR="00C86F8B" w:rsidRPr="002C45BB">
        <w:t>s</w:t>
      </w:r>
      <w:r w:rsidR="006E1DD1" w:rsidRPr="002C45BB">
        <w:t xml:space="preserve"> to COVID-19 among Vietnamese </w:t>
      </w:r>
      <w:r w:rsidR="006E1DD1" w:rsidRPr="002C45BB">
        <w:fldChar w:fldCharType="begin" w:fldLock="1"/>
      </w:r>
      <w:r w:rsidR="00D00F65" w:rsidRPr="002C45BB">
        <w:instrText>ADDIN CSL_CITATION {"citationItems":[{"id":"ITEM-1","itemData":{"DOI":"10.1371/journal.pone.0238830","ISBN":"1111111111","ISSN":"19326203","PMID":"32903286","abstract":"We sought to evaluate the adherence of Vietnamese adults to Coronavirus Disease 2019 (COVID-19) preventive measures, and gain insight into the effects of the epidemic on the daily lives of Vietnamese people. An online questionnaire was administered from March 31 to April 6, 2020. The questionnaire assessed personal preventive behavior (such as physical distancing, wearing a face mask, cough etiquette, regular handwashing and using an alcohol hand sanitizer, body temperature check, and disinfecting mobile phones) and community preventive behavior (such as avoiding meetings, large gatherings, going to the market, avoiding travel in a vehicle/bus with more than 10 persons, and not traveling outside of the local area during the lockdown). A total adherence score was calculated by summing the scores of the 9 personal and the 11 community prevention questions. In total, 2175 respondents completed the questionnaire; mean age: 31.4 ± 10.7; (range: 18–69); 66.9% were women; 54.2% were health professionals and 22.8% were medical students. The mean adherence scores for personal and community preventive measures were 7.23 ± 1.63 (range 1–9) and 9.57 ± 1.12 (range 1–11), respectively. Perceived adaptation of the community to lockdown (Beta (β) = 2.64, 95% Confidence Interval (CI) 1.25–4.03), fears/worries concerning one’s health (β = 2.87, 95% CI 0.04–5.70), residing in large cities (β = 19.40, 95% CI 13.78–25.03), access to official COVID-19 information sources (β = 16.45, 95% CI 6.82–26.08), and working in healthcare/medical students (β = 22.53, 95% CI 16.00–29.07) were associated with a higher adherence score to anti-COVID instructions. In conclusion, this study confirmed a high degree of adherence to personal and community preventive behavior among Vietnamese people. Our findings are consistent with the epidemiology of COVID-19 in Vietnam, where there have been few infections and no recorded deaths up to the first week of July 2020.","author":[{"dropping-particle":"","family":"Nguyen","given":"Nhan Phuc Thanh","non-dropping-particle":"","parse-names":false,"suffix":""},{"dropping-particle":"","family":"Hoang","given":"Tuyen Dinh","non-dropping-particle":"","parse-names":false,"suffix":""},{"dropping-particle":"","family":"Tran","given":"Vi Thao","non-dropping-particle":"","parse-names":false,"suffix":""},{"dropping-particle":"","family":"Vu","given":"Cuc Thi","non-dropping-particle":"","parse-names":false,"suffix":""},{"dropping-particle":"","family":"Fodjo","given":"Joseph Nelson Siewe","non-dropping-particle":"","parse-names":false,"suffix":""},{"dropping-particle":"","family":"Colebunders","given":"Robert","non-dropping-particle":"","parse-names":false,"suffix":""},{"dropping-particle":"","family":"Dunne","given":"Michael P.","non-dropping-particle":"","parse-names":false,"suffix":""},{"dropping-particle":"","family":"Vo","given":"Thang","non-dropping-particle":"van","parse-names":false,"suffix":""}],"container-title":"PLoS ONE","id":"ITEM-1","issue":"9 September","issued":{"date-parts":[["2020"]]},"page":"1-11","title":"Preventive behavior of Vietnamese people in response to the COVID-19 pandemic","type":"article-journal","volume":"15"},"uris":["http://www.mendeley.com/documents/?uuid=eb4fc940-c5cc-4e34-aadc-591014fb282d"]}],"mendeley":{"formattedCitation":"(Nguyen &lt;i&gt;et al.&lt;/i&gt;, 2020)","plainTextFormattedCitation":"(Nguyen et al., 2020)","previouslyFormattedCitation":"(Nguyen &lt;i&gt;et al.&lt;/i&gt;, 2020)"},"properties":{"noteIndex":0},"schema":"https://github.com/citation-style-language/schema/raw/master/csl-citation.json"}</w:instrText>
      </w:r>
      <w:r w:rsidR="006E1DD1" w:rsidRPr="002C45BB">
        <w:fldChar w:fldCharType="separate"/>
      </w:r>
      <w:r w:rsidR="006E1DD1" w:rsidRPr="002C45BB">
        <w:rPr>
          <w:noProof/>
        </w:rPr>
        <w:t xml:space="preserve">(Nguyen </w:t>
      </w:r>
      <w:r w:rsidR="006E1DD1" w:rsidRPr="002C45BB">
        <w:rPr>
          <w:i/>
          <w:noProof/>
        </w:rPr>
        <w:t>et al.</w:t>
      </w:r>
      <w:r w:rsidR="006E1DD1" w:rsidRPr="002C45BB">
        <w:rPr>
          <w:noProof/>
        </w:rPr>
        <w:t>, 2020)</w:t>
      </w:r>
      <w:r w:rsidR="006E1DD1" w:rsidRPr="002C45BB">
        <w:fldChar w:fldCharType="end"/>
      </w:r>
      <w:r w:rsidR="006E1DD1" w:rsidRPr="002C45BB">
        <w:t>.</w:t>
      </w:r>
    </w:p>
    <w:p w:rsidR="00E33DC3" w:rsidRPr="00824C65" w:rsidRDefault="00480072" w:rsidP="00E33DC3">
      <w:pPr>
        <w:rPr>
          <w:color w:val="833C0B" w:themeColor="accent2" w:themeShade="80"/>
        </w:rPr>
      </w:pPr>
      <w:r w:rsidRPr="00824C65">
        <w:rPr>
          <w:color w:val="833C0B" w:themeColor="accent2" w:themeShade="80"/>
        </w:rPr>
        <w:t>Health communication w</w:t>
      </w:r>
      <w:r w:rsidR="00E42112" w:rsidRPr="00824C65">
        <w:rPr>
          <w:color w:val="833C0B" w:themeColor="accent2" w:themeShade="80"/>
        </w:rPr>
        <w:t>as</w:t>
      </w:r>
      <w:r w:rsidRPr="00824C65">
        <w:rPr>
          <w:color w:val="833C0B" w:themeColor="accent2" w:themeShade="80"/>
        </w:rPr>
        <w:t xml:space="preserve"> </w:t>
      </w:r>
      <w:r w:rsidR="00C813CC" w:rsidRPr="00824C65">
        <w:rPr>
          <w:color w:val="833C0B" w:themeColor="accent2" w:themeShade="80"/>
        </w:rPr>
        <w:t>considered</w:t>
      </w:r>
      <w:r w:rsidRPr="00824C65">
        <w:rPr>
          <w:color w:val="833C0B" w:themeColor="accent2" w:themeShade="80"/>
        </w:rPr>
        <w:t xml:space="preserve"> </w:t>
      </w:r>
      <w:r w:rsidR="002C45BB">
        <w:rPr>
          <w:color w:val="833C0B" w:themeColor="accent2" w:themeShade="80"/>
        </w:rPr>
        <w:t>a</w:t>
      </w:r>
      <w:r w:rsidRPr="00824C65">
        <w:rPr>
          <w:color w:val="833C0B" w:themeColor="accent2" w:themeShade="80"/>
        </w:rPr>
        <w:t xml:space="preserve"> non-pharmaceutical therap</w:t>
      </w:r>
      <w:r w:rsidR="002C45BB">
        <w:rPr>
          <w:color w:val="833C0B" w:themeColor="accent2" w:themeShade="80"/>
        </w:rPr>
        <w:t>y</w:t>
      </w:r>
      <w:r w:rsidRPr="00824C65">
        <w:rPr>
          <w:color w:val="833C0B" w:themeColor="accent2" w:themeShade="80"/>
        </w:rPr>
        <w:t xml:space="preserve"> </w:t>
      </w:r>
      <w:r w:rsidR="002C45BB">
        <w:rPr>
          <w:color w:val="833C0B" w:themeColor="accent2" w:themeShade="80"/>
        </w:rPr>
        <w:t>through</w:t>
      </w:r>
      <w:r w:rsidRPr="00824C65">
        <w:rPr>
          <w:color w:val="833C0B" w:themeColor="accent2" w:themeShade="80"/>
        </w:rPr>
        <w:t xml:space="preserve"> </w:t>
      </w:r>
      <w:r w:rsidR="00F83947">
        <w:rPr>
          <w:color w:val="833C0B" w:themeColor="accent2" w:themeShade="80"/>
        </w:rPr>
        <w:t>promoting</w:t>
      </w:r>
      <w:r w:rsidRPr="00824C65">
        <w:rPr>
          <w:color w:val="833C0B" w:themeColor="accent2" w:themeShade="80"/>
        </w:rPr>
        <w:t xml:space="preserve"> </w:t>
      </w:r>
      <w:r w:rsidR="00CF7B33">
        <w:rPr>
          <w:color w:val="833C0B" w:themeColor="accent2" w:themeShade="80"/>
        </w:rPr>
        <w:t xml:space="preserve">healthy </w:t>
      </w:r>
      <w:r w:rsidRPr="00824C65">
        <w:rPr>
          <w:color w:val="833C0B" w:themeColor="accent2" w:themeShade="80"/>
        </w:rPr>
        <w:t xml:space="preserve">behavioural adjustments </w:t>
      </w:r>
      <w:r w:rsidR="00B02E24" w:rsidRPr="00824C65">
        <w:rPr>
          <w:color w:val="833C0B" w:themeColor="accent2" w:themeShade="80"/>
        </w:rPr>
        <w:fldChar w:fldCharType="begin" w:fldLock="1"/>
      </w:r>
      <w:r w:rsidR="00B02E24" w:rsidRPr="00824C65">
        <w:rPr>
          <w:color w:val="833C0B" w:themeColor="accent2" w:themeShade="80"/>
        </w:rPr>
        <w:instrText>ADDIN CSL_CITATION {"citationItems":[{"id":"ITEM-1","itemData":{"DOI":"10.1146/annurev.publhealth.031308.100300","ISSN":"01637525","PMID":"19296776","abstract":"With reference to the Communication-Persuasion model, we describe various research issues and challenges when considering the health of Latinos, and implications for designing and evaluating health communication and behavior change efforts in this population. Latinos, collectively the nation's largest minority group, vary substantially in terms of socioeconomic and legal status, their country of origin and the extent of ongoing contact with that country, their region of residence within the United States, their generation status and levels of acculturation, and psychosocial factors. Health communication efforts with Latinos need to focus on family, cultural traditions, and collectivism while attending to acculturation, language, generation and national origin. The most extensive intervention topic in Latino health promotion has been the application of the lay health advisor model. This and other fundamental communication approaches, as well as audience and population characteristics, need to be considered within the context of dynamic and complex societal changes. Copyright © 2009 by Annual Reviews. All rights reserved.","author":[{"dropping-particle":"","family":"Elder","given":"John P.","non-dropping-particle":"","parse-names":false,"suffix":""},{"dropping-particle":"","family":"Ayala","given":"Guadalupe X.","non-dropping-particle":"","parse-names":false,"suffix":""},{"dropping-particle":"","family":"Parra-Medina","given":"Deborah","non-dropping-particle":"","parse-names":false,"suffix":""},{"dropping-particle":"","family":"Talavera","given":"Gregory A.","non-dropping-particle":"","parse-names":false,"suffix":""}],"container-title":"Annual Review of Public Health","id":"ITEM-1","issued":{"date-parts":[["2009"]]},"page":"227-251","title":"Health communication in the Latino community: Issues and approaches","type":"article-journal","volume":"30"},"uris":["http://www.mendeley.com/documents/?uuid=cb606f81-c680-41c1-80fa-54af56464de2"]}],"mendeley":{"formattedCitation":"(Elder &lt;i&gt;et al.&lt;/i&gt;, 2009)","plainTextFormattedCitation":"(Elder et al., 2009)","previouslyFormattedCitation":"(Elder &lt;i&gt;et al.&lt;/i&gt;, 2009)"},"properties":{"noteIndex":0},"schema":"https://github.com/citation-style-language/schema/raw/master/csl-citation.json"}</w:instrText>
      </w:r>
      <w:r w:rsidR="00B02E24" w:rsidRPr="00824C65">
        <w:rPr>
          <w:color w:val="833C0B" w:themeColor="accent2" w:themeShade="80"/>
        </w:rPr>
        <w:fldChar w:fldCharType="separate"/>
      </w:r>
      <w:r w:rsidR="00B02E24" w:rsidRPr="00824C65">
        <w:rPr>
          <w:noProof/>
          <w:color w:val="833C0B" w:themeColor="accent2" w:themeShade="80"/>
        </w:rPr>
        <w:t xml:space="preserve">(Elder </w:t>
      </w:r>
      <w:r w:rsidR="00B02E24" w:rsidRPr="00824C65">
        <w:rPr>
          <w:i/>
          <w:noProof/>
          <w:color w:val="833C0B" w:themeColor="accent2" w:themeShade="80"/>
        </w:rPr>
        <w:t>et al.</w:t>
      </w:r>
      <w:r w:rsidR="00B02E24" w:rsidRPr="00824C65">
        <w:rPr>
          <w:noProof/>
          <w:color w:val="833C0B" w:themeColor="accent2" w:themeShade="80"/>
        </w:rPr>
        <w:t>, 2009)</w:t>
      </w:r>
      <w:r w:rsidR="00B02E24" w:rsidRPr="00824C65">
        <w:rPr>
          <w:color w:val="833C0B" w:themeColor="accent2" w:themeShade="80"/>
        </w:rPr>
        <w:fldChar w:fldCharType="end"/>
      </w:r>
      <w:r w:rsidRPr="00824C65">
        <w:rPr>
          <w:color w:val="833C0B" w:themeColor="accent2" w:themeShade="80"/>
        </w:rPr>
        <w:t xml:space="preserve">. </w:t>
      </w:r>
      <w:r w:rsidR="002E4FEB">
        <w:rPr>
          <w:color w:val="833C0B" w:themeColor="accent2" w:themeShade="80"/>
        </w:rPr>
        <w:t>In</w:t>
      </w:r>
      <w:r w:rsidR="00D00F65" w:rsidRPr="00824C65">
        <w:rPr>
          <w:color w:val="833C0B" w:themeColor="accent2" w:themeShade="80"/>
        </w:rPr>
        <w:t xml:space="preserve"> pandemic</w:t>
      </w:r>
      <w:r w:rsidR="002E4FEB">
        <w:rPr>
          <w:color w:val="833C0B" w:themeColor="accent2" w:themeShade="80"/>
        </w:rPr>
        <w:t xml:space="preserve"> outbreaks</w:t>
      </w:r>
      <w:r w:rsidR="00D00F65" w:rsidRPr="00824C65">
        <w:rPr>
          <w:color w:val="833C0B" w:themeColor="accent2" w:themeShade="80"/>
        </w:rPr>
        <w:t xml:space="preserve">, the governments </w:t>
      </w:r>
      <w:r w:rsidR="002E4FEB">
        <w:rPr>
          <w:color w:val="833C0B" w:themeColor="accent2" w:themeShade="80"/>
        </w:rPr>
        <w:t>could</w:t>
      </w:r>
      <w:r w:rsidR="00D00F65" w:rsidRPr="00824C65">
        <w:rPr>
          <w:color w:val="833C0B" w:themeColor="accent2" w:themeShade="80"/>
        </w:rPr>
        <w:t xml:space="preserve"> u</w:t>
      </w:r>
      <w:r w:rsidR="002C45BB">
        <w:rPr>
          <w:color w:val="833C0B" w:themeColor="accent2" w:themeShade="80"/>
        </w:rPr>
        <w:t xml:space="preserve">se health communication to foster prevention by enhancing the public's awareness of the health crisis </w:t>
      </w:r>
      <w:r w:rsidR="002C45BB">
        <w:rPr>
          <w:color w:val="833C0B" w:themeColor="accent2" w:themeShade="80"/>
        </w:rPr>
        <w:t>severity</w:t>
      </w:r>
      <w:r w:rsidR="00D00F65" w:rsidRPr="00824C65">
        <w:rPr>
          <w:color w:val="833C0B" w:themeColor="accent2" w:themeShade="80"/>
        </w:rPr>
        <w:t xml:space="preserve"> </w:t>
      </w:r>
      <w:r w:rsidR="00D00F65" w:rsidRPr="00824C65">
        <w:rPr>
          <w:color w:val="833C0B" w:themeColor="accent2" w:themeShade="80"/>
        </w:rPr>
        <w:fldChar w:fldCharType="begin" w:fldLock="1"/>
      </w:r>
      <w:r w:rsidR="00682B71" w:rsidRPr="00824C65">
        <w:rPr>
          <w:color w:val="833C0B" w:themeColor="accent2" w:themeShade="80"/>
        </w:rPr>
        <w:instrText>ADDIN CSL_CITATION {"citationItems":[{"id":"ITEM-1","itemData":{"DOI":"10.1080/10410236.2018.1449552","ISSN":"15327027","PMID":"29558170","abstract":"Public health officials (PHOs) are responsible for providing trustworthy information during a public health crisis; however, there is little research on how the public behaves when their expectations for such information are violated. Drawing on media dependency theory and source credibility research as our primary theoretical framework, we tested how credibility of information from PHOs is associated with people’s reliance on a particular communication channel in the context of the 2015 Middle East Respiratory Syndrome (MERS) outbreak in South Korea. Using nationally representative data (N = 1036) collected during the MERS outbreak, we found that less credible information from PHOs led to more frequent use of online news, interpersonal networks, and social media for acquiring MERS-related information. However, credibility of information from PHOs was not associated with the use of television news or print newspapers. The theoretical and practical implications of our results on communication channels usage are discussed.","author":[{"dropping-particle":"","family":"Jang","given":"Kyungeun","non-dropping-particle":"","parse-names":false,"suffix":""},{"dropping-particle":"","family":"Baek","given":"Young Min","non-dropping-particle":"","parse-names":false,"suffix":""}],"container-title":"Health Communication","id":"ITEM-1","issue":"9","issued":{"date-parts":[["2019"]]},"page":"991-998","publisher":"Routledge","title":"When information from Public health officials is untrustworthy: The use of online news, interpersonal networks, and social media during the MERS outbreak in South Korea","type":"article-journal","volume":"34"},"uris":["http://www.mendeley.com/documents/?uuid=6c65253f-974a-425b-9ec1-676fdc38b5de"]}],"mendeley":{"formattedCitation":"(Jang and Baek, 2019)","plainTextFormattedCitation":"(Jang and Baek, 2019)","previouslyFormattedCitation":"(Jang and Baek, 2019)"},"properties":{"noteIndex":0},"schema":"https://github.com/citation-style-language/schema/raw/master/csl-citation.json"}</w:instrText>
      </w:r>
      <w:r w:rsidR="00D00F65" w:rsidRPr="00824C65">
        <w:rPr>
          <w:color w:val="833C0B" w:themeColor="accent2" w:themeShade="80"/>
        </w:rPr>
        <w:fldChar w:fldCharType="separate"/>
      </w:r>
      <w:r w:rsidR="00D00F65" w:rsidRPr="00824C65">
        <w:rPr>
          <w:noProof/>
          <w:color w:val="833C0B" w:themeColor="accent2" w:themeShade="80"/>
        </w:rPr>
        <w:t>(Jang and Baek, 2019)</w:t>
      </w:r>
      <w:r w:rsidR="00D00F65" w:rsidRPr="00824C65">
        <w:rPr>
          <w:color w:val="833C0B" w:themeColor="accent2" w:themeShade="80"/>
        </w:rPr>
        <w:fldChar w:fldCharType="end"/>
      </w:r>
      <w:r w:rsidR="00D00F65" w:rsidRPr="00824C65">
        <w:rPr>
          <w:color w:val="833C0B" w:themeColor="accent2" w:themeShade="80"/>
        </w:rPr>
        <w:t xml:space="preserve">. </w:t>
      </w:r>
      <w:r w:rsidR="00C813CC" w:rsidRPr="00824C65">
        <w:rPr>
          <w:color w:val="833C0B" w:themeColor="accent2" w:themeShade="80"/>
        </w:rPr>
        <w:t xml:space="preserve">This study </w:t>
      </w:r>
      <w:r w:rsidR="00D00F65" w:rsidRPr="00824C65">
        <w:rPr>
          <w:color w:val="833C0B" w:themeColor="accent2" w:themeShade="80"/>
        </w:rPr>
        <w:t>proved</w:t>
      </w:r>
      <w:r w:rsidR="00C813CC" w:rsidRPr="00824C65">
        <w:rPr>
          <w:color w:val="833C0B" w:themeColor="accent2" w:themeShade="80"/>
        </w:rPr>
        <w:t xml:space="preserve"> that increasing the cumulative frequency of receiving disease alerts and the usefulness</w:t>
      </w:r>
      <w:r w:rsidR="00B02E24" w:rsidRPr="00824C65">
        <w:rPr>
          <w:color w:val="833C0B" w:themeColor="accent2" w:themeShade="80"/>
        </w:rPr>
        <w:t xml:space="preserve"> </w:t>
      </w:r>
      <w:r w:rsidR="00C813CC" w:rsidRPr="00824C65">
        <w:rPr>
          <w:color w:val="833C0B" w:themeColor="accent2" w:themeShade="80"/>
        </w:rPr>
        <w:t xml:space="preserve">of media channels were associated with a higher incidence of </w:t>
      </w:r>
      <w:r w:rsidR="002E4FEB">
        <w:rPr>
          <w:color w:val="833C0B" w:themeColor="accent2" w:themeShade="80"/>
        </w:rPr>
        <w:t>adherence to</w:t>
      </w:r>
      <w:r w:rsidR="00C813CC" w:rsidRPr="00824C65">
        <w:rPr>
          <w:color w:val="833C0B" w:themeColor="accent2" w:themeShade="80"/>
        </w:rPr>
        <w:t xml:space="preserve"> preventive </w:t>
      </w:r>
      <w:r w:rsidR="002E4FEB">
        <w:rPr>
          <w:color w:val="833C0B" w:themeColor="accent2" w:themeShade="80"/>
        </w:rPr>
        <w:t>recommendations</w:t>
      </w:r>
      <w:r w:rsidR="00C813CC" w:rsidRPr="00824C65">
        <w:rPr>
          <w:color w:val="833C0B" w:themeColor="accent2" w:themeShade="80"/>
        </w:rPr>
        <w:t xml:space="preserve">. </w:t>
      </w:r>
      <w:r w:rsidR="002C45BB">
        <w:rPr>
          <w:color w:val="833C0B" w:themeColor="accent2" w:themeShade="80"/>
        </w:rPr>
        <w:t>Prior research</w:t>
      </w:r>
      <w:r w:rsidR="00677BC5" w:rsidRPr="00824C65">
        <w:rPr>
          <w:color w:val="833C0B" w:themeColor="accent2" w:themeShade="80"/>
        </w:rPr>
        <w:t xml:space="preserve"> also emphasised the comprehensive exploitation of available</w:t>
      </w:r>
      <w:r w:rsidR="00824C65">
        <w:rPr>
          <w:color w:val="833C0B" w:themeColor="accent2" w:themeShade="80"/>
        </w:rPr>
        <w:t xml:space="preserve"> </w:t>
      </w:r>
      <w:r w:rsidR="00677BC5" w:rsidRPr="00824C65">
        <w:rPr>
          <w:color w:val="833C0B" w:themeColor="accent2" w:themeShade="80"/>
        </w:rPr>
        <w:t xml:space="preserve">channels to increase </w:t>
      </w:r>
      <w:r w:rsidR="002C45BB">
        <w:rPr>
          <w:color w:val="833C0B" w:themeColor="accent2" w:themeShade="80"/>
        </w:rPr>
        <w:t xml:space="preserve">people's </w:t>
      </w:r>
      <w:r w:rsidR="00677BC5" w:rsidRPr="00824C65">
        <w:rPr>
          <w:color w:val="833C0B" w:themeColor="accent2" w:themeShade="80"/>
        </w:rPr>
        <w:t xml:space="preserve">preparedness and </w:t>
      </w:r>
      <w:r w:rsidR="002C45BB">
        <w:rPr>
          <w:color w:val="833C0B" w:themeColor="accent2" w:themeShade="80"/>
        </w:rPr>
        <w:t xml:space="preserve">ability to </w:t>
      </w:r>
      <w:r w:rsidR="002C45BB" w:rsidRPr="00824C65">
        <w:rPr>
          <w:color w:val="833C0B" w:themeColor="accent2" w:themeShade="80"/>
        </w:rPr>
        <w:t>make informed decisions</w:t>
      </w:r>
      <w:r w:rsidR="002C45BB" w:rsidRPr="00824C65">
        <w:rPr>
          <w:color w:val="833C0B" w:themeColor="accent2" w:themeShade="80"/>
        </w:rPr>
        <w:t xml:space="preserve"> </w:t>
      </w:r>
      <w:r w:rsidR="00677BC5" w:rsidRPr="00824C65">
        <w:rPr>
          <w:color w:val="833C0B" w:themeColor="accent2" w:themeShade="80"/>
        </w:rPr>
        <w:t>duri</w:t>
      </w:r>
      <w:r w:rsidR="00824C65">
        <w:rPr>
          <w:color w:val="833C0B" w:themeColor="accent2" w:themeShade="80"/>
        </w:rPr>
        <w:t xml:space="preserve">ng </w:t>
      </w:r>
      <w:r w:rsidR="002C45BB">
        <w:rPr>
          <w:color w:val="833C0B" w:themeColor="accent2" w:themeShade="80"/>
        </w:rPr>
        <w:t>pandemics</w:t>
      </w:r>
      <w:r w:rsidR="00677BC5" w:rsidRPr="00824C65">
        <w:rPr>
          <w:color w:val="833C0B" w:themeColor="accent2" w:themeShade="80"/>
        </w:rPr>
        <w:t xml:space="preserve"> </w:t>
      </w:r>
      <w:r w:rsidR="00677BC5" w:rsidRPr="00824C65">
        <w:rPr>
          <w:color w:val="833C0B" w:themeColor="accent2" w:themeShade="80"/>
        </w:rPr>
        <w:fldChar w:fldCharType="begin" w:fldLock="1"/>
      </w:r>
      <w:r w:rsidR="00682B71" w:rsidRPr="00824C65">
        <w:rPr>
          <w:color w:val="833C0B" w:themeColor="accent2" w:themeShade="80"/>
        </w:rPr>
        <w:instrText>ADDIN CSL_CITATION {"citationItems":[{"id":"ITEM-1","itemData":{"DOI":"10.1016/j.pubrev.2019.05.015","ISSN":"03638111","abstract":"The 2016 Zika virus epidemic presented a serious threat to public health and left publics confused and anxious about their risks. A survey (n = 370) was distributed in late Summer 2016 in the U.S., when public anxiety regarding Zika was peaking. Results indicate interesting differences in channel preferences based on audiences’ preparedness, risk, and intention to follow crisis directives. Television news was the most important channels for Zika information, indicating the continued importance of traditional media in crisis communication.","author":[{"dropping-particle":"","family":"Park","given":"Sejin","non-dropping-particle":"","parse-names":false,"suffix":""},{"dropping-particle":"","family":"Boatwright","given":"Brandon","non-dropping-particle":"","parse-names":false,"suffix":""},{"dropping-particle":"","family":"Johnson Avery","given":"Elizabeth","non-dropping-particle":"","parse-names":false,"suffix":""}],"container-title":"Public Relations Review","id":"ITEM-1","issue":"5","issued":{"date-parts":[["2019"]]},"page":"101794","publisher":"Elsevier","title":"Information channel preference in health crisis: Exploring the roles of perceived risk, preparedness, knowledge, and intent to follow directives","type":"article-journal","volume":"45"},"uris":["http://www.mendeley.com/documents/?uuid=8d52b001-6d2d-49a9-9eb1-88e0dbec5111"]}],"mendeley":{"formattedCitation":"(Park, Boatwright and Johnson Avery, 2019)","plainTextFormattedCitation":"(Park, Boatwright and Johnson Avery, 2019)","previouslyFormattedCitation":"(Park, Boatwright and Johnson Avery, 2019)"},"properties":{"noteIndex":0},"schema":"https://github.com/citation-style-language/schema/raw/master/csl-citation.json"}</w:instrText>
      </w:r>
      <w:r w:rsidR="00677BC5" w:rsidRPr="00824C65">
        <w:rPr>
          <w:color w:val="833C0B" w:themeColor="accent2" w:themeShade="80"/>
        </w:rPr>
        <w:fldChar w:fldCharType="separate"/>
      </w:r>
      <w:r w:rsidR="00677BC5" w:rsidRPr="00824C65">
        <w:rPr>
          <w:noProof/>
          <w:color w:val="833C0B" w:themeColor="accent2" w:themeShade="80"/>
        </w:rPr>
        <w:t>(Park, Boatwright and Johnson Avery, 2019)</w:t>
      </w:r>
      <w:r w:rsidR="00677BC5" w:rsidRPr="00824C65">
        <w:rPr>
          <w:color w:val="833C0B" w:themeColor="accent2" w:themeShade="80"/>
        </w:rPr>
        <w:fldChar w:fldCharType="end"/>
      </w:r>
      <w:r w:rsidR="00677BC5" w:rsidRPr="00824C65">
        <w:rPr>
          <w:color w:val="833C0B" w:themeColor="accent2" w:themeShade="80"/>
        </w:rPr>
        <w:t xml:space="preserve">. </w:t>
      </w:r>
      <w:r w:rsidR="002C45BB">
        <w:rPr>
          <w:color w:val="833C0B" w:themeColor="accent2" w:themeShade="80"/>
        </w:rPr>
        <w:t>T</w:t>
      </w:r>
      <w:r w:rsidR="00C813CC" w:rsidRPr="00824C65">
        <w:rPr>
          <w:color w:val="833C0B" w:themeColor="accent2" w:themeShade="80"/>
        </w:rPr>
        <w:t xml:space="preserve">o leverage health communication, the </w:t>
      </w:r>
      <w:r w:rsidR="00321622" w:rsidRPr="00824C65">
        <w:rPr>
          <w:color w:val="833C0B" w:themeColor="accent2" w:themeShade="80"/>
        </w:rPr>
        <w:t>governments</w:t>
      </w:r>
      <w:r w:rsidR="00C813CC" w:rsidRPr="00824C65">
        <w:rPr>
          <w:color w:val="833C0B" w:themeColor="accent2" w:themeShade="80"/>
        </w:rPr>
        <w:t xml:space="preserve"> </w:t>
      </w:r>
      <w:r w:rsidR="002E4FEB">
        <w:rPr>
          <w:color w:val="833C0B" w:themeColor="accent2" w:themeShade="80"/>
        </w:rPr>
        <w:t>should</w:t>
      </w:r>
      <w:r w:rsidR="00C813CC" w:rsidRPr="00824C65">
        <w:rPr>
          <w:color w:val="833C0B" w:themeColor="accent2" w:themeShade="80"/>
        </w:rPr>
        <w:t xml:space="preserve"> prioritise </w:t>
      </w:r>
      <w:r w:rsidR="002C45BB">
        <w:rPr>
          <w:color w:val="833C0B" w:themeColor="accent2" w:themeShade="80"/>
        </w:rPr>
        <w:t xml:space="preserve">health </w:t>
      </w:r>
      <w:r w:rsidR="00C813CC" w:rsidRPr="00824C65">
        <w:rPr>
          <w:color w:val="833C0B" w:themeColor="accent2" w:themeShade="80"/>
        </w:rPr>
        <w:t xml:space="preserve">media channels favoured by the community </w:t>
      </w:r>
      <w:r w:rsidR="00CF7B33">
        <w:rPr>
          <w:color w:val="833C0B" w:themeColor="accent2" w:themeShade="80"/>
        </w:rPr>
        <w:t>and</w:t>
      </w:r>
      <w:r w:rsidR="00C813CC" w:rsidRPr="00824C65">
        <w:rPr>
          <w:color w:val="833C0B" w:themeColor="accent2" w:themeShade="80"/>
        </w:rPr>
        <w:t xml:space="preserve"> </w:t>
      </w:r>
      <w:r w:rsidR="002C45BB">
        <w:rPr>
          <w:color w:val="833C0B" w:themeColor="accent2" w:themeShade="80"/>
        </w:rPr>
        <w:t xml:space="preserve">simultaneously </w:t>
      </w:r>
      <w:r w:rsidR="00C813CC" w:rsidRPr="00824C65">
        <w:rPr>
          <w:color w:val="833C0B" w:themeColor="accent2" w:themeShade="80"/>
        </w:rPr>
        <w:t>improve other channels with low levels of accessibility or usefulness.</w:t>
      </w:r>
      <w:r w:rsidR="00D00F65" w:rsidRPr="00824C65">
        <w:rPr>
          <w:color w:val="833C0B" w:themeColor="accent2" w:themeShade="80"/>
        </w:rPr>
        <w:t xml:space="preserve"> </w:t>
      </w:r>
      <w:r w:rsidR="00CF7B33">
        <w:rPr>
          <w:color w:val="833C0B" w:themeColor="accent2" w:themeShade="80"/>
        </w:rPr>
        <w:t>Hence</w:t>
      </w:r>
      <w:r w:rsidR="00824C65" w:rsidRPr="00824C65">
        <w:rPr>
          <w:color w:val="833C0B" w:themeColor="accent2" w:themeShade="80"/>
        </w:rPr>
        <w:t xml:space="preserve">, the government could maintain its </w:t>
      </w:r>
      <w:r w:rsidR="00824C65">
        <w:rPr>
          <w:color w:val="833C0B" w:themeColor="accent2" w:themeShade="80"/>
        </w:rPr>
        <w:t>leading</w:t>
      </w:r>
      <w:r w:rsidR="00824C65" w:rsidRPr="00824C65">
        <w:rPr>
          <w:color w:val="833C0B" w:themeColor="accent2" w:themeShade="80"/>
        </w:rPr>
        <w:t xml:space="preserve"> role </w:t>
      </w:r>
      <w:r w:rsidR="00824C65" w:rsidRPr="00824C65">
        <w:rPr>
          <w:color w:val="833C0B" w:themeColor="accent2" w:themeShade="80"/>
        </w:rPr>
        <w:t>and s</w:t>
      </w:r>
      <w:r w:rsidR="00824C65">
        <w:rPr>
          <w:color w:val="833C0B" w:themeColor="accent2" w:themeShade="80"/>
        </w:rPr>
        <w:t>atisfy</w:t>
      </w:r>
      <w:r w:rsidR="00824C65" w:rsidRPr="00824C65">
        <w:rPr>
          <w:color w:val="833C0B" w:themeColor="accent2" w:themeShade="80"/>
        </w:rPr>
        <w:t xml:space="preserve"> society's expectations</w:t>
      </w:r>
      <w:r w:rsidR="00824C65" w:rsidRPr="00824C65">
        <w:rPr>
          <w:color w:val="833C0B" w:themeColor="accent2" w:themeShade="80"/>
        </w:rPr>
        <w:t xml:space="preserve"> by delivering </w:t>
      </w:r>
      <w:r w:rsidR="00B52D31">
        <w:rPr>
          <w:color w:val="833C0B" w:themeColor="accent2" w:themeShade="80"/>
        </w:rPr>
        <w:t>useful</w:t>
      </w:r>
      <w:r w:rsidR="00824C65" w:rsidRPr="00824C65">
        <w:rPr>
          <w:color w:val="833C0B" w:themeColor="accent2" w:themeShade="80"/>
        </w:rPr>
        <w:t xml:space="preserve"> </w:t>
      </w:r>
      <w:r w:rsidR="002C45BB">
        <w:rPr>
          <w:color w:val="833C0B" w:themeColor="accent2" w:themeShade="80"/>
        </w:rPr>
        <w:t>warns</w:t>
      </w:r>
      <w:r w:rsidR="00824C65" w:rsidRPr="00824C65">
        <w:rPr>
          <w:color w:val="833C0B" w:themeColor="accent2" w:themeShade="80"/>
        </w:rPr>
        <w:t xml:space="preserve"> in a timely and transparent manner </w:t>
      </w:r>
      <w:r w:rsidR="00824C65" w:rsidRPr="00824C65">
        <w:rPr>
          <w:color w:val="833C0B" w:themeColor="accent2" w:themeShade="80"/>
        </w:rPr>
        <w:fldChar w:fldCharType="begin" w:fldLock="1"/>
      </w:r>
      <w:r w:rsidR="00824C65" w:rsidRPr="00824C65">
        <w:rPr>
          <w:color w:val="833C0B" w:themeColor="accent2" w:themeShade="80"/>
        </w:rPr>
        <w:instrText>ADDIN CSL_CITATION {"citationItems":[{"id":"ITEM-1","itemData":{"DOI":"10.1080/10410236.2018.1449552","ISSN":"15327027","PMID":"29558170","abstract":"Public health officials (PHOs) are responsible for providing trustworthy information during a public health crisis; however, there is little research on how the public behaves when their expectations for such information are violated. Drawing on media dependency theory and source credibility research as our primary theoretical framework, we tested how credibility of information from PHOs is associated with people’s reliance on a particular communication channel in the context of the 2015 Middle East Respiratory Syndrome (MERS) outbreak in South Korea. Using nationally representative data (N = 1036) collected during the MERS outbreak, we found that less credible information from PHOs led to more frequent use of online news, interpersonal networks, and social media for acquiring MERS-related information. However, credibility of information from PHOs was not associated with the use of television news or print newspapers. The theoretical and practical implications of our results on communication channels usage are discussed.","author":[{"dropping-particle":"","family":"Jang","given":"Kyungeun","non-dropping-particle":"","parse-names":false,"suffix":""},{"dropping-particle":"","family":"Baek","given":"Young Min","non-dropping-particle":"","parse-names":false,"suffix":""}],"container-title":"Health Communication","id":"ITEM-1","issue":"9","issued":{"date-parts":[["2019"]]},"page":"991-998","publisher":"Routledge","title":"When information from Public health officials is untrustworthy: The use of online news, interpersonal networks, and social media during the MERS outbreak in South Korea","type":"article-journal","volume":"34"},"uris":["http://www.mendeley.com/documents/?uuid=6c65253f-974a-425b-9ec1-676fdc38b5de"]}],"mendeley":{"formattedCitation":"(Jang and Baek, 2019)","plainTextFormattedCitation":"(Jang and Baek, 2019)","previouslyFormattedCitation":"(Jang and Baek, 2019)"},"properties":{"noteIndex":0},"schema":"https://github.com/citation-style-language/schema/raw/master/csl-citation.json"}</w:instrText>
      </w:r>
      <w:r w:rsidR="00824C65" w:rsidRPr="00824C65">
        <w:rPr>
          <w:color w:val="833C0B" w:themeColor="accent2" w:themeShade="80"/>
        </w:rPr>
        <w:fldChar w:fldCharType="separate"/>
      </w:r>
      <w:r w:rsidR="00824C65" w:rsidRPr="00824C65">
        <w:rPr>
          <w:noProof/>
          <w:color w:val="833C0B" w:themeColor="accent2" w:themeShade="80"/>
        </w:rPr>
        <w:t>(Jang and Baek, 2019)</w:t>
      </w:r>
      <w:r w:rsidR="00824C65" w:rsidRPr="00824C65">
        <w:rPr>
          <w:color w:val="833C0B" w:themeColor="accent2" w:themeShade="80"/>
        </w:rPr>
        <w:fldChar w:fldCharType="end"/>
      </w:r>
      <w:r w:rsidR="00824C65">
        <w:rPr>
          <w:color w:val="833C0B" w:themeColor="accent2" w:themeShade="80"/>
        </w:rPr>
        <w:t>.</w:t>
      </w:r>
      <w:r w:rsidR="00824C65">
        <w:rPr>
          <w:color w:val="833C0B" w:themeColor="accent2" w:themeShade="80"/>
        </w:rPr>
        <w:t xml:space="preserve"> </w:t>
      </w:r>
      <w:r w:rsidR="002C45BB">
        <w:rPr>
          <w:color w:val="833C0B" w:themeColor="accent2" w:themeShade="80"/>
        </w:rPr>
        <w:t>This</w:t>
      </w:r>
      <w:r w:rsidR="00D20C39" w:rsidRPr="00D20C39">
        <w:rPr>
          <w:color w:val="833C0B" w:themeColor="accent2" w:themeShade="80"/>
        </w:rPr>
        <w:t xml:space="preserve"> </w:t>
      </w:r>
      <w:r w:rsidR="002C45BB">
        <w:rPr>
          <w:color w:val="833C0B" w:themeColor="accent2" w:themeShade="80"/>
        </w:rPr>
        <w:t>might increase</w:t>
      </w:r>
      <w:r w:rsidR="00D20C39" w:rsidRPr="00D20C39">
        <w:rPr>
          <w:color w:val="833C0B" w:themeColor="accent2" w:themeShade="80"/>
        </w:rPr>
        <w:t xml:space="preserve"> people's trust in the government's management and </w:t>
      </w:r>
      <w:r w:rsidR="00CF7B33">
        <w:rPr>
          <w:color w:val="833C0B" w:themeColor="accent2" w:themeShade="80"/>
        </w:rPr>
        <w:t>positively impact</w:t>
      </w:r>
      <w:r w:rsidR="00D20C39" w:rsidRPr="00D20C39">
        <w:rPr>
          <w:color w:val="833C0B" w:themeColor="accent2" w:themeShade="80"/>
        </w:rPr>
        <w:t xml:space="preserve"> </w:t>
      </w:r>
      <w:r w:rsidR="00CF7B33">
        <w:rPr>
          <w:color w:val="833C0B" w:themeColor="accent2" w:themeShade="80"/>
        </w:rPr>
        <w:t>their</w:t>
      </w:r>
      <w:r w:rsidR="00D20C39" w:rsidRPr="00D20C39">
        <w:rPr>
          <w:color w:val="833C0B" w:themeColor="accent2" w:themeShade="80"/>
        </w:rPr>
        <w:t xml:space="preserve"> compliance with pandemic prevention measures.</w:t>
      </w:r>
    </w:p>
    <w:p w:rsidR="00462BC4" w:rsidRPr="005C3E03" w:rsidRDefault="00DF4916" w:rsidP="00DF4916">
      <w:r w:rsidRPr="005C3E03">
        <w:lastRenderedPageBreak/>
        <w:t>The drawback of this analysis was that the sample just consisted of Vietnamese youth</w:t>
      </w:r>
      <w:r w:rsidR="003A48C2" w:rsidRPr="005C3E03">
        <w:t>s</w:t>
      </w:r>
      <w:r w:rsidRPr="005C3E03">
        <w:t>. Furthermore, since the research was conducted during the COVID-19 pandemic, respondents' awareness of this pandemic may still be incomplete. Thus, it remains necessary to replicate this research using more representative population samples and apply other data collection methods to validate the findings. Simultaneously, further research was encouraged to explore the comprehensive consequences of adjusting particular travel plans (</w:t>
      </w:r>
      <w:r w:rsidR="004B75C7">
        <w:t xml:space="preserve">e.g. </w:t>
      </w:r>
      <w:r w:rsidRPr="005C3E03">
        <w:t xml:space="preserve">shopping, travelling, studying abroad) </w:t>
      </w:r>
      <w:r w:rsidR="004B75C7">
        <w:t>following</w:t>
      </w:r>
      <w:r w:rsidRPr="005C3E03">
        <w:t xml:space="preserve"> pandemic warnings.</w:t>
      </w:r>
    </w:p>
    <w:p w:rsidR="00462BC4" w:rsidRPr="005C3E03" w:rsidRDefault="00462BC4" w:rsidP="00462BC4">
      <w:pPr>
        <w:pStyle w:val="mcCp1"/>
        <w:numPr>
          <w:ilvl w:val="0"/>
          <w:numId w:val="3"/>
        </w:numPr>
        <w:rPr>
          <w:color w:val="000000"/>
        </w:rPr>
      </w:pPr>
      <w:r w:rsidRPr="005C3E03">
        <w:t>Conclusion</w:t>
      </w:r>
    </w:p>
    <w:p w:rsidR="00F76E0B" w:rsidRPr="000F1DB6" w:rsidRDefault="00F76E0B" w:rsidP="00DF4916">
      <w:pPr>
        <w:rPr>
          <w:color w:val="833C0B" w:themeColor="accent2" w:themeShade="80"/>
        </w:rPr>
      </w:pPr>
      <w:r w:rsidRPr="000F1DB6">
        <w:rPr>
          <w:color w:val="833C0B" w:themeColor="accent2" w:themeShade="80"/>
        </w:rPr>
        <w:t xml:space="preserve">It was essential to investigate the effectiveness of media channels as a health communication component when facing new, dangerous pandemics, such as COVID-19. This study compared common media platforms in Vietnam and discovered how youths adhere to prevention after receiving </w:t>
      </w:r>
      <w:r w:rsidR="000F1DB6">
        <w:rPr>
          <w:color w:val="833C0B" w:themeColor="accent2" w:themeShade="80"/>
        </w:rPr>
        <w:t>pandemic</w:t>
      </w:r>
      <w:r w:rsidRPr="000F1DB6">
        <w:rPr>
          <w:color w:val="833C0B" w:themeColor="accent2" w:themeShade="80"/>
        </w:rPr>
        <w:t xml:space="preserve"> warnings. The results showed that SMS and television/radio were the two disease alert channels most frequently reached and had the highest usefulness assessment by young Vietnamese. Therefore, the government should use these platforms to disseminate disease warnings promptly and simultaneously provide preventive guidance to the youth community. The Vietnamese government's management also earned a high level of trust from youths.</w:t>
      </w:r>
      <w:r w:rsidR="000F1DB6">
        <w:rPr>
          <w:color w:val="833C0B" w:themeColor="accent2" w:themeShade="80"/>
        </w:rPr>
        <w:t xml:space="preserve"> Hence,</w:t>
      </w:r>
      <w:r w:rsidRPr="000F1DB6">
        <w:rPr>
          <w:color w:val="833C0B" w:themeColor="accent2" w:themeShade="80"/>
        </w:rPr>
        <w:t xml:space="preserve"> most young Vietnamese were willing to adjust their travel plans and agreed to implement the authority's pandemic preventive recommendations. In conclusion, this </w:t>
      </w:r>
      <w:r w:rsidRPr="000F1DB6">
        <w:rPr>
          <w:color w:val="833C0B" w:themeColor="accent2" w:themeShade="80"/>
        </w:rPr>
        <w:t xml:space="preserve">article </w:t>
      </w:r>
      <w:r w:rsidRPr="000F1DB6">
        <w:rPr>
          <w:color w:val="833C0B" w:themeColor="accent2" w:themeShade="80"/>
        </w:rPr>
        <w:t xml:space="preserve">highlighted the need to select appropriate media channels for delivering disease warnings to maximise the young population's exposure and attention. The authors suggest extensive research on </w:t>
      </w:r>
      <w:r w:rsidR="00B37364" w:rsidRPr="000F1DB6">
        <w:rPr>
          <w:color w:val="833C0B" w:themeColor="accent2" w:themeShade="80"/>
        </w:rPr>
        <w:t>adaptations of personal plans and the causal relationships between the factors related to health communication</w:t>
      </w:r>
      <w:r w:rsidRPr="000F1DB6">
        <w:rPr>
          <w:color w:val="833C0B" w:themeColor="accent2" w:themeShade="80"/>
        </w:rPr>
        <w:t xml:space="preserve"> when pandemics occur.</w:t>
      </w:r>
      <w:bookmarkStart w:id="7" w:name="_GoBack"/>
      <w:bookmarkEnd w:id="7"/>
    </w:p>
    <w:p w:rsidR="00A6281F" w:rsidRDefault="00EE2F3D" w:rsidP="00A6281F">
      <w:pPr>
        <w:pStyle w:val="Danhmctiliuthamkho"/>
      </w:pPr>
      <w:r w:rsidRPr="009B4908">
        <w:t>REFERENCES</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Pr>
          <w:b/>
          <w:szCs w:val="24"/>
        </w:rPr>
        <w:fldChar w:fldCharType="begin" w:fldLock="1"/>
      </w:r>
      <w:r w:rsidRPr="00682B71">
        <w:rPr>
          <w:b/>
          <w:szCs w:val="24"/>
        </w:rPr>
        <w:instrText xml:space="preserve">ADDIN Mendeley Bibliography CSL_BIBLIOGRAPHY </w:instrText>
      </w:r>
      <w:r>
        <w:rPr>
          <w:b/>
          <w:szCs w:val="24"/>
        </w:rPr>
        <w:fldChar w:fldCharType="separate"/>
      </w:r>
      <w:r w:rsidRPr="00682B71">
        <w:rPr>
          <w:noProof/>
          <w:szCs w:val="24"/>
        </w:rPr>
        <w:t xml:space="preserve">Augustine, J. M. P. and Harikumar, M. S. (2017) </w:t>
      </w:r>
      <w:r w:rsidR="00824C65">
        <w:rPr>
          <w:noProof/>
          <w:szCs w:val="24"/>
        </w:rPr>
        <w:t>'</w:t>
      </w:r>
      <w:r w:rsidRPr="00682B71">
        <w:rPr>
          <w:noProof/>
          <w:szCs w:val="24"/>
        </w:rPr>
        <w:t>The role of mass media in rural health communication: A micro level study in Kerala</w:t>
      </w:r>
      <w:r w:rsidR="00824C65">
        <w:rPr>
          <w:noProof/>
          <w:szCs w:val="24"/>
        </w:rPr>
        <w:t>'</w:t>
      </w:r>
      <w:r w:rsidRPr="00682B71">
        <w:rPr>
          <w:noProof/>
          <w:szCs w:val="24"/>
        </w:rPr>
        <w:t xml:space="preserve">, </w:t>
      </w:r>
      <w:r w:rsidRPr="00682B71">
        <w:rPr>
          <w:i/>
          <w:iCs/>
          <w:noProof/>
          <w:szCs w:val="24"/>
        </w:rPr>
        <w:t>Communication and Media Studies</w:t>
      </w:r>
      <w:r w:rsidRPr="00682B71">
        <w:rPr>
          <w:noProof/>
          <w:szCs w:val="24"/>
        </w:rPr>
        <w:t>, 6(1), pp. 61–72.</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824C65">
        <w:rPr>
          <w:noProof/>
          <w:szCs w:val="24"/>
          <w:lang w:val="fr-BE"/>
        </w:rPr>
        <w:t xml:space="preserve">Elder, J. P. </w:t>
      </w:r>
      <w:r w:rsidRPr="00824C65">
        <w:rPr>
          <w:i/>
          <w:iCs/>
          <w:noProof/>
          <w:szCs w:val="24"/>
          <w:lang w:val="fr-BE"/>
        </w:rPr>
        <w:t>et al.</w:t>
      </w:r>
      <w:r w:rsidRPr="00824C65">
        <w:rPr>
          <w:noProof/>
          <w:szCs w:val="24"/>
          <w:lang w:val="fr-BE"/>
        </w:rPr>
        <w:t xml:space="preserve"> </w:t>
      </w:r>
      <w:r w:rsidRPr="00682B71">
        <w:rPr>
          <w:noProof/>
          <w:szCs w:val="24"/>
        </w:rPr>
        <w:t xml:space="preserve">(2009) </w:t>
      </w:r>
      <w:r w:rsidR="00824C65">
        <w:rPr>
          <w:noProof/>
          <w:szCs w:val="24"/>
        </w:rPr>
        <w:t>'</w:t>
      </w:r>
      <w:r w:rsidRPr="00682B71">
        <w:rPr>
          <w:noProof/>
          <w:szCs w:val="24"/>
        </w:rPr>
        <w:t>Health communication in the Latino community: Issues and approaches</w:t>
      </w:r>
      <w:r w:rsidR="00824C65">
        <w:rPr>
          <w:noProof/>
          <w:szCs w:val="24"/>
        </w:rPr>
        <w:t>'</w:t>
      </w:r>
      <w:r w:rsidRPr="00682B71">
        <w:rPr>
          <w:noProof/>
          <w:szCs w:val="24"/>
        </w:rPr>
        <w:t xml:space="preserve">, </w:t>
      </w:r>
      <w:r w:rsidRPr="00682B71">
        <w:rPr>
          <w:i/>
          <w:iCs/>
          <w:noProof/>
          <w:szCs w:val="24"/>
        </w:rPr>
        <w:t>Annual Review of Public Health</w:t>
      </w:r>
      <w:r w:rsidRPr="00682B71">
        <w:rPr>
          <w:noProof/>
          <w:szCs w:val="24"/>
        </w:rPr>
        <w:t>, 30, pp. 227–251. doi: 10.1146/annurev.publhealth.031308.100300.</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Garfin, D. R., Silver, R. C. and Holman, E. A. (2020) </w:t>
      </w:r>
      <w:r w:rsidR="00824C65">
        <w:rPr>
          <w:noProof/>
          <w:szCs w:val="24"/>
        </w:rPr>
        <w:t>'</w:t>
      </w:r>
      <w:r w:rsidRPr="00682B71">
        <w:rPr>
          <w:noProof/>
          <w:szCs w:val="24"/>
        </w:rPr>
        <w:t>The novel coronavirus (COVID-2019) outbreak: Amplification of public health consequences by media exposure</w:t>
      </w:r>
      <w:r w:rsidR="00824C65">
        <w:rPr>
          <w:noProof/>
          <w:szCs w:val="24"/>
        </w:rPr>
        <w:t>'</w:t>
      </w:r>
      <w:r w:rsidRPr="00682B71">
        <w:rPr>
          <w:noProof/>
          <w:szCs w:val="24"/>
        </w:rPr>
        <w:t xml:space="preserve">, </w:t>
      </w:r>
      <w:r w:rsidRPr="00682B71">
        <w:rPr>
          <w:i/>
          <w:iCs/>
          <w:noProof/>
          <w:szCs w:val="24"/>
        </w:rPr>
        <w:t>Health Psychology</w:t>
      </w:r>
      <w:r w:rsidRPr="00682B71">
        <w:rPr>
          <w:noProof/>
          <w:szCs w:val="24"/>
        </w:rPr>
        <w:t>, 39(5), pp. 355–357. doi: 10.1037/hea0000875.</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International Labour Organization (2020) </w:t>
      </w:r>
      <w:r w:rsidRPr="00682B71">
        <w:rPr>
          <w:i/>
          <w:iCs/>
          <w:noProof/>
          <w:szCs w:val="24"/>
        </w:rPr>
        <w:t>World employment and social outlook: Trends 2020</w:t>
      </w:r>
      <w:r w:rsidRPr="00682B71">
        <w:rPr>
          <w:noProof/>
          <w:szCs w:val="24"/>
        </w:rPr>
        <w:t xml:space="preserve">, </w:t>
      </w:r>
      <w:r w:rsidRPr="00682B71">
        <w:rPr>
          <w:i/>
          <w:iCs/>
          <w:noProof/>
          <w:szCs w:val="24"/>
        </w:rPr>
        <w:t>International Labour Organization</w:t>
      </w:r>
      <w:r w:rsidRPr="00682B71">
        <w:rPr>
          <w:noProof/>
          <w:szCs w:val="24"/>
        </w:rPr>
        <w:t>.</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Jang, K. and Baek, Y. M. (2019) </w:t>
      </w:r>
      <w:r w:rsidR="00824C65">
        <w:rPr>
          <w:noProof/>
          <w:szCs w:val="24"/>
        </w:rPr>
        <w:t>'</w:t>
      </w:r>
      <w:r w:rsidRPr="00682B71">
        <w:rPr>
          <w:noProof/>
          <w:szCs w:val="24"/>
        </w:rPr>
        <w:t>When information from Public health officials is untrustworthy: The use of online news, interpersonal networks, and social media during the MERS outbreak in South Korea</w:t>
      </w:r>
      <w:r w:rsidR="00824C65">
        <w:rPr>
          <w:noProof/>
          <w:szCs w:val="24"/>
        </w:rPr>
        <w:t>'</w:t>
      </w:r>
      <w:r w:rsidRPr="00682B71">
        <w:rPr>
          <w:noProof/>
          <w:szCs w:val="24"/>
        </w:rPr>
        <w:t xml:space="preserve">, </w:t>
      </w:r>
      <w:r w:rsidRPr="00682B71">
        <w:rPr>
          <w:i/>
          <w:iCs/>
          <w:noProof/>
          <w:szCs w:val="24"/>
        </w:rPr>
        <w:t>Health Communication</w:t>
      </w:r>
      <w:r w:rsidRPr="00682B71">
        <w:rPr>
          <w:noProof/>
          <w:szCs w:val="24"/>
        </w:rPr>
        <w:t>. Routledge, 34(9), pp. 991–998. doi: 10.1080/10410236.2018.1449552.</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Johns Hopkins Center for Health Security (2020) </w:t>
      </w:r>
      <w:r w:rsidRPr="00682B71">
        <w:rPr>
          <w:i/>
          <w:iCs/>
          <w:noProof/>
          <w:szCs w:val="24"/>
        </w:rPr>
        <w:t>2019 Global Health Security Index</w:t>
      </w:r>
      <w:r w:rsidRPr="00682B71">
        <w:rPr>
          <w:noProof/>
          <w:szCs w:val="24"/>
        </w:rPr>
        <w:t>. Available at: https://www.ghsindex.org/ (Accessed: 12 December 2020).</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Le, H. T. </w:t>
      </w:r>
      <w:r w:rsidRPr="00682B71">
        <w:rPr>
          <w:i/>
          <w:iCs/>
          <w:noProof/>
          <w:szCs w:val="24"/>
        </w:rPr>
        <w:t>et al.</w:t>
      </w:r>
      <w:r w:rsidRPr="00682B71">
        <w:rPr>
          <w:noProof/>
          <w:szCs w:val="24"/>
        </w:rPr>
        <w:t xml:space="preserve"> (2020) </w:t>
      </w:r>
      <w:r w:rsidR="00824C65">
        <w:rPr>
          <w:noProof/>
          <w:szCs w:val="24"/>
        </w:rPr>
        <w:t>'</w:t>
      </w:r>
      <w:r w:rsidRPr="00682B71">
        <w:rPr>
          <w:noProof/>
          <w:szCs w:val="24"/>
        </w:rPr>
        <w:t>Demand for health information on COVID-19 among Vietnamese</w:t>
      </w:r>
      <w:r w:rsidR="00824C65">
        <w:rPr>
          <w:noProof/>
          <w:szCs w:val="24"/>
        </w:rPr>
        <w:t>'</w:t>
      </w:r>
      <w:r w:rsidRPr="00682B71">
        <w:rPr>
          <w:noProof/>
          <w:szCs w:val="24"/>
        </w:rPr>
        <w:t xml:space="preserve">, </w:t>
      </w:r>
      <w:r w:rsidRPr="00682B71">
        <w:rPr>
          <w:i/>
          <w:iCs/>
          <w:noProof/>
          <w:szCs w:val="24"/>
        </w:rPr>
        <w:t>International Journal of Environmental Research and Public Health</w:t>
      </w:r>
      <w:r w:rsidRPr="00682B71">
        <w:rPr>
          <w:noProof/>
          <w:szCs w:val="24"/>
        </w:rPr>
        <w:t>, 17(12), pp. 1–12. doi: 10.3390/ijerph17124377.</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Le, X. T. T. </w:t>
      </w:r>
      <w:r w:rsidRPr="00682B71">
        <w:rPr>
          <w:i/>
          <w:iCs/>
          <w:noProof/>
          <w:szCs w:val="24"/>
        </w:rPr>
        <w:t>et al.</w:t>
      </w:r>
      <w:r w:rsidRPr="00682B71">
        <w:rPr>
          <w:noProof/>
          <w:szCs w:val="24"/>
        </w:rPr>
        <w:t xml:space="preserve"> (2020) </w:t>
      </w:r>
      <w:r w:rsidR="00824C65">
        <w:rPr>
          <w:noProof/>
          <w:szCs w:val="24"/>
        </w:rPr>
        <w:t>'</w:t>
      </w:r>
      <w:r w:rsidRPr="00682B71">
        <w:rPr>
          <w:noProof/>
          <w:szCs w:val="24"/>
        </w:rPr>
        <w:t>Evaluating the psychological impacts related to COVID-19 of Vietnamese people under the first nationwide Partial lockdown in Vietnam</w:t>
      </w:r>
      <w:r w:rsidR="00824C65">
        <w:rPr>
          <w:noProof/>
          <w:szCs w:val="24"/>
        </w:rPr>
        <w:t>'</w:t>
      </w:r>
      <w:r w:rsidRPr="00682B71">
        <w:rPr>
          <w:noProof/>
          <w:szCs w:val="24"/>
        </w:rPr>
        <w:t xml:space="preserve">, </w:t>
      </w:r>
      <w:r w:rsidRPr="00682B71">
        <w:rPr>
          <w:i/>
          <w:iCs/>
          <w:noProof/>
          <w:szCs w:val="24"/>
        </w:rPr>
        <w:t>Frontiers in Psychiatry</w:t>
      </w:r>
      <w:r w:rsidRPr="00682B71">
        <w:rPr>
          <w:noProof/>
          <w:szCs w:val="24"/>
        </w:rPr>
        <w:t>, 11(September), pp. 1–8. doi: 10.3389/fpsyt.2020.00824.</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Martin, S. (2017) </w:t>
      </w:r>
      <w:r w:rsidR="00824C65">
        <w:rPr>
          <w:noProof/>
          <w:szCs w:val="24"/>
        </w:rPr>
        <w:t>'</w:t>
      </w:r>
      <w:r w:rsidRPr="00682B71">
        <w:rPr>
          <w:noProof/>
          <w:szCs w:val="24"/>
        </w:rPr>
        <w:t xml:space="preserve">Word-of-mouth in the health care sector: a literature analysis of the current </w:t>
      </w:r>
      <w:r w:rsidRPr="00682B71">
        <w:rPr>
          <w:noProof/>
          <w:szCs w:val="24"/>
        </w:rPr>
        <w:lastRenderedPageBreak/>
        <w:t>state of research and future perspectives</w:t>
      </w:r>
      <w:r w:rsidR="00824C65">
        <w:rPr>
          <w:noProof/>
          <w:szCs w:val="24"/>
        </w:rPr>
        <w:t>'</w:t>
      </w:r>
      <w:r w:rsidRPr="00682B71">
        <w:rPr>
          <w:noProof/>
          <w:szCs w:val="24"/>
        </w:rPr>
        <w:t xml:space="preserve">, </w:t>
      </w:r>
      <w:r w:rsidRPr="00682B71">
        <w:rPr>
          <w:i/>
          <w:iCs/>
          <w:noProof/>
          <w:szCs w:val="24"/>
        </w:rPr>
        <w:t>International Review on Public and Nonprofit Marketing</w:t>
      </w:r>
      <w:r w:rsidRPr="00682B71">
        <w:rPr>
          <w:noProof/>
          <w:szCs w:val="24"/>
        </w:rPr>
        <w:t>, 14(1), pp. 35–56. doi: 10.1007/s12208-016-0154-y.</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McGuire, W. J. (1989) </w:t>
      </w:r>
      <w:r w:rsidR="00824C65">
        <w:rPr>
          <w:noProof/>
          <w:szCs w:val="24"/>
        </w:rPr>
        <w:t>'</w:t>
      </w:r>
      <w:r w:rsidRPr="00682B71">
        <w:rPr>
          <w:noProof/>
          <w:szCs w:val="24"/>
        </w:rPr>
        <w:t>Theoretical foundations of campaigns</w:t>
      </w:r>
      <w:r w:rsidR="00824C65">
        <w:rPr>
          <w:noProof/>
          <w:szCs w:val="24"/>
        </w:rPr>
        <w:t>'</w:t>
      </w:r>
      <w:r w:rsidRPr="00682B71">
        <w:rPr>
          <w:noProof/>
          <w:szCs w:val="24"/>
        </w:rPr>
        <w:t xml:space="preserve">, </w:t>
      </w:r>
      <w:r w:rsidRPr="00682B71">
        <w:rPr>
          <w:i/>
          <w:iCs/>
          <w:noProof/>
          <w:szCs w:val="24"/>
        </w:rPr>
        <w:t>Public communication campaigns</w:t>
      </w:r>
      <w:r w:rsidRPr="00682B71">
        <w:rPr>
          <w:noProof/>
          <w:szCs w:val="24"/>
        </w:rPr>
        <w:t>, 2, pp. 43–65.</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Mheidly, N. and Fares, J. (2020) </w:t>
      </w:r>
      <w:r w:rsidR="00824C65">
        <w:rPr>
          <w:noProof/>
          <w:szCs w:val="24"/>
        </w:rPr>
        <w:t>'</w:t>
      </w:r>
      <w:r w:rsidRPr="00682B71">
        <w:rPr>
          <w:noProof/>
          <w:szCs w:val="24"/>
        </w:rPr>
        <w:t>Leveraging media and health communication strategies to overcome the COVID-19 infodemic</w:t>
      </w:r>
      <w:r w:rsidR="00824C65">
        <w:rPr>
          <w:noProof/>
          <w:szCs w:val="24"/>
        </w:rPr>
        <w:t>'</w:t>
      </w:r>
      <w:r w:rsidRPr="00682B71">
        <w:rPr>
          <w:noProof/>
          <w:szCs w:val="24"/>
        </w:rPr>
        <w:t xml:space="preserve">, </w:t>
      </w:r>
      <w:r w:rsidRPr="00682B71">
        <w:rPr>
          <w:i/>
          <w:iCs/>
          <w:noProof/>
          <w:szCs w:val="24"/>
        </w:rPr>
        <w:t>Journal of Public Health Policy</w:t>
      </w:r>
      <w:r w:rsidRPr="00682B71">
        <w:rPr>
          <w:noProof/>
          <w:szCs w:val="24"/>
        </w:rPr>
        <w:t>. Palgrave Macmillan UK, 41(4), pp. 410–420. doi: 10.1057/s41271-020-00247-w.</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Mohamed-Azzam Zakout, Y. </w:t>
      </w:r>
      <w:r w:rsidRPr="00682B71">
        <w:rPr>
          <w:i/>
          <w:iCs/>
          <w:noProof/>
          <w:szCs w:val="24"/>
        </w:rPr>
        <w:t>et al.</w:t>
      </w:r>
      <w:r w:rsidRPr="00682B71">
        <w:rPr>
          <w:noProof/>
          <w:szCs w:val="24"/>
        </w:rPr>
        <w:t xml:space="preserve"> (2020) </w:t>
      </w:r>
      <w:r w:rsidR="00824C65">
        <w:rPr>
          <w:noProof/>
          <w:szCs w:val="24"/>
        </w:rPr>
        <w:t>'</w:t>
      </w:r>
      <w:r w:rsidRPr="00682B71">
        <w:rPr>
          <w:noProof/>
          <w:szCs w:val="24"/>
        </w:rPr>
        <w:t>The magnitude of COVID-19 related stress, anxiety and depression associated with intense mass media coverage in Saudi Arabi</w:t>
      </w:r>
      <w:r w:rsidR="00824C65">
        <w:rPr>
          <w:noProof/>
          <w:szCs w:val="24"/>
        </w:rPr>
        <w:t>'</w:t>
      </w:r>
      <w:r w:rsidRPr="00682B71">
        <w:rPr>
          <w:noProof/>
          <w:szCs w:val="24"/>
        </w:rPr>
        <w:t xml:space="preserve">, </w:t>
      </w:r>
      <w:r w:rsidRPr="00682B71">
        <w:rPr>
          <w:i/>
          <w:iCs/>
          <w:noProof/>
          <w:szCs w:val="24"/>
        </w:rPr>
        <w:t>AIMS Public Health</w:t>
      </w:r>
      <w:r w:rsidRPr="00682B71">
        <w:rPr>
          <w:noProof/>
          <w:szCs w:val="24"/>
        </w:rPr>
        <w:t>, 7(3), pp. 664–678. doi: 10.3934/publichealth.2020052.</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Neuhauser, L. and Kreps, G. L. (2003) </w:t>
      </w:r>
      <w:r w:rsidR="00824C65">
        <w:rPr>
          <w:noProof/>
          <w:szCs w:val="24"/>
        </w:rPr>
        <w:t>'</w:t>
      </w:r>
      <w:r w:rsidRPr="00682B71">
        <w:rPr>
          <w:noProof/>
          <w:szCs w:val="24"/>
        </w:rPr>
        <w:t>Rethinking Communication in the E-health Era</w:t>
      </w:r>
      <w:r w:rsidR="00824C65">
        <w:rPr>
          <w:noProof/>
          <w:szCs w:val="24"/>
        </w:rPr>
        <w:t>'</w:t>
      </w:r>
      <w:r w:rsidRPr="00682B71">
        <w:rPr>
          <w:noProof/>
          <w:szCs w:val="24"/>
        </w:rPr>
        <w:t xml:space="preserve">, </w:t>
      </w:r>
      <w:r w:rsidRPr="00682B71">
        <w:rPr>
          <w:i/>
          <w:iCs/>
          <w:noProof/>
          <w:szCs w:val="24"/>
        </w:rPr>
        <w:t>Journal of Health Psychology</w:t>
      </w:r>
      <w:r w:rsidRPr="00682B71">
        <w:rPr>
          <w:noProof/>
          <w:szCs w:val="24"/>
        </w:rPr>
        <w:t>.</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824C65">
        <w:rPr>
          <w:noProof/>
          <w:szCs w:val="24"/>
          <w:lang w:val="fr-BE"/>
        </w:rPr>
        <w:t xml:space="preserve">Nguyen, N. P. T. </w:t>
      </w:r>
      <w:r w:rsidRPr="00824C65">
        <w:rPr>
          <w:i/>
          <w:iCs/>
          <w:noProof/>
          <w:szCs w:val="24"/>
          <w:lang w:val="fr-BE"/>
        </w:rPr>
        <w:t>et al.</w:t>
      </w:r>
      <w:r w:rsidRPr="00824C65">
        <w:rPr>
          <w:noProof/>
          <w:szCs w:val="24"/>
          <w:lang w:val="fr-BE"/>
        </w:rPr>
        <w:t xml:space="preserve"> </w:t>
      </w:r>
      <w:r w:rsidRPr="00682B71">
        <w:rPr>
          <w:noProof/>
          <w:szCs w:val="24"/>
        </w:rPr>
        <w:t xml:space="preserve">(2020) </w:t>
      </w:r>
      <w:r w:rsidR="00824C65">
        <w:rPr>
          <w:noProof/>
          <w:szCs w:val="24"/>
        </w:rPr>
        <w:t>'</w:t>
      </w:r>
      <w:r w:rsidRPr="00682B71">
        <w:rPr>
          <w:noProof/>
          <w:szCs w:val="24"/>
        </w:rPr>
        <w:t>Preventive behavior of Vietnamese people in response to the COVID-19 pandemic</w:t>
      </w:r>
      <w:r w:rsidR="00824C65">
        <w:rPr>
          <w:noProof/>
          <w:szCs w:val="24"/>
        </w:rPr>
        <w:t>'</w:t>
      </w:r>
      <w:r w:rsidRPr="00682B71">
        <w:rPr>
          <w:noProof/>
          <w:szCs w:val="24"/>
        </w:rPr>
        <w:t xml:space="preserve">, </w:t>
      </w:r>
      <w:r w:rsidRPr="00682B71">
        <w:rPr>
          <w:i/>
          <w:iCs/>
          <w:noProof/>
          <w:szCs w:val="24"/>
        </w:rPr>
        <w:t>PLoS ONE</w:t>
      </w:r>
      <w:r w:rsidRPr="00682B71">
        <w:rPr>
          <w:noProof/>
          <w:szCs w:val="24"/>
        </w:rPr>
        <w:t>, 15(9 September), pp. 1–11. doi: 10.1371/journal.pone.0238830.</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Paek, H. J. and Hove, T. (2020) </w:t>
      </w:r>
      <w:r w:rsidR="00824C65">
        <w:rPr>
          <w:noProof/>
          <w:szCs w:val="24"/>
        </w:rPr>
        <w:t>'</w:t>
      </w:r>
      <w:r w:rsidRPr="00682B71">
        <w:rPr>
          <w:noProof/>
          <w:szCs w:val="24"/>
        </w:rPr>
        <w:t>Communicating uncertainties during the COVID-19 outbreak</w:t>
      </w:r>
      <w:r w:rsidR="00824C65">
        <w:rPr>
          <w:noProof/>
          <w:szCs w:val="24"/>
        </w:rPr>
        <w:t>'</w:t>
      </w:r>
      <w:r w:rsidRPr="00682B71">
        <w:rPr>
          <w:noProof/>
          <w:szCs w:val="24"/>
        </w:rPr>
        <w:t xml:space="preserve">, </w:t>
      </w:r>
      <w:r w:rsidRPr="00682B71">
        <w:rPr>
          <w:i/>
          <w:iCs/>
          <w:noProof/>
          <w:szCs w:val="24"/>
        </w:rPr>
        <w:t>Health Communication</w:t>
      </w:r>
      <w:r w:rsidRPr="00682B71">
        <w:rPr>
          <w:noProof/>
          <w:szCs w:val="24"/>
        </w:rPr>
        <w:t>. Routledge, 35(14), pp. 1729–1731. doi: 10.1080/10410236.2020.1838092.</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Park, S., Boatwright, B. and Johnson Avery, E. (2019) </w:t>
      </w:r>
      <w:r w:rsidR="00824C65">
        <w:rPr>
          <w:noProof/>
          <w:szCs w:val="24"/>
        </w:rPr>
        <w:t>'</w:t>
      </w:r>
      <w:r w:rsidRPr="00682B71">
        <w:rPr>
          <w:noProof/>
          <w:szCs w:val="24"/>
        </w:rPr>
        <w:t>Information channel preference in health crisis: Exploring the roles of perceived risk, preparedness, knowledge, and intent to follow directives</w:t>
      </w:r>
      <w:r w:rsidR="00824C65">
        <w:rPr>
          <w:noProof/>
          <w:szCs w:val="24"/>
        </w:rPr>
        <w:t>'</w:t>
      </w:r>
      <w:r w:rsidRPr="00682B71">
        <w:rPr>
          <w:noProof/>
          <w:szCs w:val="24"/>
        </w:rPr>
        <w:t xml:space="preserve">, </w:t>
      </w:r>
      <w:r w:rsidRPr="00682B71">
        <w:rPr>
          <w:i/>
          <w:iCs/>
          <w:noProof/>
          <w:szCs w:val="24"/>
        </w:rPr>
        <w:t>Public Relations Review</w:t>
      </w:r>
      <w:r w:rsidRPr="00682B71">
        <w:rPr>
          <w:noProof/>
          <w:szCs w:val="24"/>
        </w:rPr>
        <w:t>. Elsevier, 45(5), p. 101794. doi: 10.1016/j.pubrev.2019.05.015.</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Pinkleton, B. E. and Austin, E. W. (2002) </w:t>
      </w:r>
      <w:r w:rsidR="00824C65">
        <w:rPr>
          <w:noProof/>
          <w:szCs w:val="24"/>
        </w:rPr>
        <w:t>'</w:t>
      </w:r>
      <w:r w:rsidRPr="00682B71">
        <w:rPr>
          <w:noProof/>
          <w:szCs w:val="24"/>
        </w:rPr>
        <w:t>Exploring relationships among media use frequency, perceived media importance, and media satisfaction in political disaffection and efficacy</w:t>
      </w:r>
      <w:r w:rsidR="00824C65">
        <w:rPr>
          <w:noProof/>
          <w:szCs w:val="24"/>
        </w:rPr>
        <w:t>'</w:t>
      </w:r>
      <w:r w:rsidRPr="00682B71">
        <w:rPr>
          <w:noProof/>
          <w:szCs w:val="24"/>
        </w:rPr>
        <w:t xml:space="preserve">, </w:t>
      </w:r>
      <w:r w:rsidRPr="00682B71">
        <w:rPr>
          <w:i/>
          <w:iCs/>
          <w:noProof/>
          <w:szCs w:val="24"/>
        </w:rPr>
        <w:t>Mass Communication and Society</w:t>
      </w:r>
      <w:r w:rsidRPr="00682B71">
        <w:rPr>
          <w:noProof/>
          <w:szCs w:val="24"/>
        </w:rPr>
        <w:t>, 5(2), pp. 207–228. doi: 10.1207/s15327825mcs0502_6.</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Ratzan, S. C., Sommariva, S. and Rauh, L. (2020) </w:t>
      </w:r>
      <w:r w:rsidR="00824C65">
        <w:rPr>
          <w:noProof/>
          <w:szCs w:val="24"/>
        </w:rPr>
        <w:t>'</w:t>
      </w:r>
      <w:r w:rsidRPr="00682B71">
        <w:rPr>
          <w:noProof/>
          <w:szCs w:val="24"/>
        </w:rPr>
        <w:t>Enhancing global health communication during a crisis: Lessons from the COVID-19 pandemic</w:t>
      </w:r>
      <w:r w:rsidR="00824C65">
        <w:rPr>
          <w:noProof/>
          <w:szCs w:val="24"/>
        </w:rPr>
        <w:t>'</w:t>
      </w:r>
      <w:r w:rsidRPr="00682B71">
        <w:rPr>
          <w:noProof/>
          <w:szCs w:val="24"/>
        </w:rPr>
        <w:t xml:space="preserve">, </w:t>
      </w:r>
      <w:r w:rsidRPr="00682B71">
        <w:rPr>
          <w:i/>
          <w:iCs/>
          <w:noProof/>
          <w:szCs w:val="24"/>
        </w:rPr>
        <w:t>Public Health Research and Practice</w:t>
      </w:r>
      <w:r w:rsidRPr="00682B71">
        <w:rPr>
          <w:noProof/>
          <w:szCs w:val="24"/>
        </w:rPr>
        <w:t>, 30(2). doi: 10.17061/phrp3022010.</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Rimal, R. N. and Lapinski, M. K. (2009) </w:t>
      </w:r>
      <w:r w:rsidR="00824C65">
        <w:rPr>
          <w:noProof/>
          <w:szCs w:val="24"/>
        </w:rPr>
        <w:t>'</w:t>
      </w:r>
      <w:r w:rsidRPr="00682B71">
        <w:rPr>
          <w:noProof/>
          <w:szCs w:val="24"/>
        </w:rPr>
        <w:t>Why health communication is important in public health</w:t>
      </w:r>
      <w:r w:rsidR="00824C65">
        <w:rPr>
          <w:noProof/>
          <w:szCs w:val="24"/>
        </w:rPr>
        <w:t>'</w:t>
      </w:r>
      <w:r w:rsidRPr="00682B71">
        <w:rPr>
          <w:noProof/>
          <w:szCs w:val="24"/>
        </w:rPr>
        <w:t xml:space="preserve">, </w:t>
      </w:r>
      <w:r w:rsidRPr="00682B71">
        <w:rPr>
          <w:i/>
          <w:iCs/>
          <w:noProof/>
          <w:szCs w:val="24"/>
        </w:rPr>
        <w:t>Bulletin of the World Health Organization</w:t>
      </w:r>
      <w:r w:rsidRPr="00682B71">
        <w:rPr>
          <w:noProof/>
          <w:szCs w:val="24"/>
        </w:rPr>
        <w:t>, p. 247. doi: 10.2471/BLT.08.056713.</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Romantan, A. </w:t>
      </w:r>
      <w:r w:rsidRPr="00682B71">
        <w:rPr>
          <w:i/>
          <w:iCs/>
          <w:noProof/>
          <w:szCs w:val="24"/>
        </w:rPr>
        <w:t>et al.</w:t>
      </w:r>
      <w:r w:rsidRPr="00682B71">
        <w:rPr>
          <w:noProof/>
          <w:szCs w:val="24"/>
        </w:rPr>
        <w:t xml:space="preserve"> (2008) </w:t>
      </w:r>
      <w:r w:rsidR="00824C65">
        <w:rPr>
          <w:noProof/>
          <w:szCs w:val="24"/>
        </w:rPr>
        <w:t>'</w:t>
      </w:r>
      <w:r w:rsidRPr="00682B71">
        <w:rPr>
          <w:noProof/>
          <w:szCs w:val="24"/>
        </w:rPr>
        <w:t>A comparative analysis of the performance of alternative measures of exposure</w:t>
      </w:r>
      <w:r w:rsidR="00824C65">
        <w:rPr>
          <w:noProof/>
          <w:szCs w:val="24"/>
        </w:rPr>
        <w:t>'</w:t>
      </w:r>
      <w:r w:rsidRPr="00682B71">
        <w:rPr>
          <w:noProof/>
          <w:szCs w:val="24"/>
        </w:rPr>
        <w:t xml:space="preserve">, </w:t>
      </w:r>
      <w:r w:rsidRPr="00682B71">
        <w:rPr>
          <w:i/>
          <w:iCs/>
          <w:noProof/>
          <w:szCs w:val="24"/>
        </w:rPr>
        <w:t>Communication Methods and Measures</w:t>
      </w:r>
      <w:r w:rsidRPr="00682B71">
        <w:rPr>
          <w:noProof/>
          <w:szCs w:val="24"/>
        </w:rPr>
        <w:t>, 2(1–2), pp. 80–99. doi: 10.1080/19312450802062539.</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Snyder, L. B. (2007) </w:t>
      </w:r>
      <w:r w:rsidR="00824C65">
        <w:rPr>
          <w:noProof/>
          <w:szCs w:val="24"/>
        </w:rPr>
        <w:t>'</w:t>
      </w:r>
      <w:r w:rsidRPr="00682B71">
        <w:rPr>
          <w:noProof/>
          <w:szCs w:val="24"/>
        </w:rPr>
        <w:t>Health communication campaigns and their impact on behavior</w:t>
      </w:r>
      <w:r w:rsidR="00824C65">
        <w:rPr>
          <w:noProof/>
          <w:szCs w:val="24"/>
        </w:rPr>
        <w:t>'</w:t>
      </w:r>
      <w:r w:rsidRPr="00682B71">
        <w:rPr>
          <w:noProof/>
          <w:szCs w:val="24"/>
        </w:rPr>
        <w:t xml:space="preserve">, </w:t>
      </w:r>
      <w:r w:rsidRPr="00682B71">
        <w:rPr>
          <w:i/>
          <w:iCs/>
          <w:noProof/>
          <w:szCs w:val="24"/>
        </w:rPr>
        <w:t>Journal of Nutrition Education and Behavior</w:t>
      </w:r>
      <w:r w:rsidRPr="00682B71">
        <w:rPr>
          <w:noProof/>
          <w:szCs w:val="24"/>
        </w:rPr>
        <w:t>, 39(2 SUPPL.). doi: 10.1016/j.jneb.2006.09.004.</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Sommariva, S. </w:t>
      </w:r>
      <w:r w:rsidRPr="00682B71">
        <w:rPr>
          <w:i/>
          <w:iCs/>
          <w:noProof/>
          <w:szCs w:val="24"/>
        </w:rPr>
        <w:t>et al.</w:t>
      </w:r>
      <w:r w:rsidRPr="00682B71">
        <w:rPr>
          <w:noProof/>
          <w:szCs w:val="24"/>
        </w:rPr>
        <w:t xml:space="preserve"> (2018) </w:t>
      </w:r>
      <w:r w:rsidR="00824C65">
        <w:rPr>
          <w:noProof/>
          <w:szCs w:val="24"/>
        </w:rPr>
        <w:t>'</w:t>
      </w:r>
      <w:r w:rsidRPr="00682B71">
        <w:rPr>
          <w:noProof/>
          <w:szCs w:val="24"/>
        </w:rPr>
        <w:t>Spreading the (fake) news: Exploring health messages on social media and the implications for health professionals using a case study</w:t>
      </w:r>
      <w:r w:rsidR="00824C65">
        <w:rPr>
          <w:noProof/>
          <w:szCs w:val="24"/>
        </w:rPr>
        <w:t>'</w:t>
      </w:r>
      <w:r w:rsidRPr="00682B71">
        <w:rPr>
          <w:noProof/>
          <w:szCs w:val="24"/>
        </w:rPr>
        <w:t xml:space="preserve">, </w:t>
      </w:r>
      <w:r w:rsidRPr="00682B71">
        <w:rPr>
          <w:i/>
          <w:iCs/>
          <w:noProof/>
          <w:szCs w:val="24"/>
        </w:rPr>
        <w:t>American Journal of Health Education</w:t>
      </w:r>
      <w:r w:rsidRPr="00682B71">
        <w:rPr>
          <w:noProof/>
          <w:szCs w:val="24"/>
        </w:rPr>
        <w:t>. Routledge, 49(4), pp. 246–255. doi: 10.1080/19325037.2018.1473178.</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Stead, M. </w:t>
      </w:r>
      <w:r w:rsidRPr="00682B71">
        <w:rPr>
          <w:i/>
          <w:iCs/>
          <w:noProof/>
          <w:szCs w:val="24"/>
        </w:rPr>
        <w:t>et al.</w:t>
      </w:r>
      <w:r w:rsidRPr="00682B71">
        <w:rPr>
          <w:noProof/>
          <w:szCs w:val="24"/>
        </w:rPr>
        <w:t xml:space="preserve"> (2019) </w:t>
      </w:r>
      <w:r w:rsidR="00824C65">
        <w:rPr>
          <w:noProof/>
          <w:szCs w:val="24"/>
        </w:rPr>
        <w:t>'</w:t>
      </w:r>
      <w:r w:rsidRPr="00682B71">
        <w:rPr>
          <w:noProof/>
          <w:szCs w:val="24"/>
        </w:rPr>
        <w:t>Mass media to communicate public health messages in six health topic areas: a systematic review and other reviews of the evidence</w:t>
      </w:r>
      <w:r w:rsidR="00824C65">
        <w:rPr>
          <w:noProof/>
          <w:szCs w:val="24"/>
        </w:rPr>
        <w:t>'</w:t>
      </w:r>
      <w:r w:rsidRPr="00682B71">
        <w:rPr>
          <w:noProof/>
          <w:szCs w:val="24"/>
        </w:rPr>
        <w:t xml:space="preserve">, </w:t>
      </w:r>
      <w:r w:rsidRPr="00682B71">
        <w:rPr>
          <w:i/>
          <w:iCs/>
          <w:noProof/>
          <w:szCs w:val="24"/>
        </w:rPr>
        <w:t>Public Health Research</w:t>
      </w:r>
      <w:r w:rsidRPr="00682B71">
        <w:rPr>
          <w:noProof/>
          <w:szCs w:val="24"/>
        </w:rPr>
        <w:t>, 7(8), pp. 1–206. doi: 10.3310/phr07080.</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Stroud, N. J. (2014) </w:t>
      </w:r>
      <w:r w:rsidR="00824C65">
        <w:rPr>
          <w:noProof/>
          <w:szCs w:val="24"/>
        </w:rPr>
        <w:t>'</w:t>
      </w:r>
      <w:r w:rsidRPr="00682B71">
        <w:rPr>
          <w:noProof/>
          <w:szCs w:val="24"/>
        </w:rPr>
        <w:t>Selective exposure theories</w:t>
      </w:r>
      <w:r w:rsidR="00824C65">
        <w:rPr>
          <w:noProof/>
          <w:szCs w:val="24"/>
        </w:rPr>
        <w:t>'</w:t>
      </w:r>
      <w:r w:rsidRPr="00682B71">
        <w:rPr>
          <w:noProof/>
          <w:szCs w:val="24"/>
        </w:rPr>
        <w:t xml:space="preserve">, </w:t>
      </w:r>
      <w:r w:rsidRPr="00682B71">
        <w:rPr>
          <w:i/>
          <w:iCs/>
          <w:noProof/>
          <w:szCs w:val="24"/>
        </w:rPr>
        <w:t xml:space="preserve">The Oxford Handbook of Political </w:t>
      </w:r>
      <w:r w:rsidRPr="00682B71">
        <w:rPr>
          <w:i/>
          <w:iCs/>
          <w:noProof/>
          <w:szCs w:val="24"/>
        </w:rPr>
        <w:lastRenderedPageBreak/>
        <w:t>Communication</w:t>
      </w:r>
      <w:r w:rsidRPr="00682B71">
        <w:rPr>
          <w:noProof/>
          <w:szCs w:val="24"/>
        </w:rPr>
        <w:t>, (July), pp. 1–21. doi: 10.1093/oxfordhb/9780199793471.013.009.</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Tam, L. T. </w:t>
      </w:r>
      <w:r w:rsidRPr="00682B71">
        <w:rPr>
          <w:i/>
          <w:iCs/>
          <w:noProof/>
          <w:szCs w:val="24"/>
        </w:rPr>
        <w:t>et al.</w:t>
      </w:r>
      <w:r w:rsidRPr="00682B71">
        <w:rPr>
          <w:noProof/>
          <w:szCs w:val="24"/>
        </w:rPr>
        <w:t xml:space="preserve"> (2021) </w:t>
      </w:r>
      <w:r w:rsidR="00824C65">
        <w:rPr>
          <w:noProof/>
          <w:szCs w:val="24"/>
        </w:rPr>
        <w:t>'</w:t>
      </w:r>
      <w:r w:rsidRPr="00682B71">
        <w:rPr>
          <w:noProof/>
          <w:szCs w:val="24"/>
        </w:rPr>
        <w:t>Receptivity of governmental communication and its effectiveness during COVID-19 pandemic emergency in Vietnam: A qualitative study</w:t>
      </w:r>
      <w:r w:rsidR="00824C65">
        <w:rPr>
          <w:noProof/>
          <w:szCs w:val="24"/>
        </w:rPr>
        <w:t>'</w:t>
      </w:r>
      <w:r w:rsidRPr="00682B71">
        <w:rPr>
          <w:noProof/>
          <w:szCs w:val="24"/>
        </w:rPr>
        <w:t xml:space="preserve">, </w:t>
      </w:r>
      <w:r w:rsidRPr="00682B71">
        <w:rPr>
          <w:i/>
          <w:iCs/>
          <w:noProof/>
          <w:szCs w:val="24"/>
        </w:rPr>
        <w:t>Global Journal of Flexible Systems Management</w:t>
      </w:r>
      <w:r w:rsidRPr="00682B71">
        <w:rPr>
          <w:noProof/>
          <w:szCs w:val="24"/>
        </w:rPr>
        <w:t>. Springer India, 22(s1), pp. 45–64. doi: 10.1007/s40171-021-00269-7.</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Tang, L. and Zou, W. (2020) </w:t>
      </w:r>
      <w:r w:rsidR="00824C65">
        <w:rPr>
          <w:noProof/>
          <w:szCs w:val="24"/>
        </w:rPr>
        <w:t>'</w:t>
      </w:r>
      <w:r w:rsidRPr="00682B71">
        <w:rPr>
          <w:noProof/>
          <w:szCs w:val="24"/>
        </w:rPr>
        <w:t>Health information consumption under COVID-19 lockdown: An interview study of residents of Hubei Province, China</w:t>
      </w:r>
      <w:r w:rsidR="00824C65">
        <w:rPr>
          <w:noProof/>
          <w:szCs w:val="24"/>
        </w:rPr>
        <w:t>'</w:t>
      </w:r>
      <w:r w:rsidRPr="00682B71">
        <w:rPr>
          <w:noProof/>
          <w:szCs w:val="24"/>
        </w:rPr>
        <w:t xml:space="preserve">, </w:t>
      </w:r>
      <w:r w:rsidRPr="00682B71">
        <w:rPr>
          <w:i/>
          <w:iCs/>
          <w:noProof/>
          <w:szCs w:val="24"/>
        </w:rPr>
        <w:t>Health Communication</w:t>
      </w:r>
      <w:r w:rsidRPr="00682B71">
        <w:rPr>
          <w:noProof/>
          <w:szCs w:val="24"/>
        </w:rPr>
        <w:t>. Routledge, 36(1), pp. 74–80. doi: 10.1080/10410236.2020.1847447.</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Toda, M. </w:t>
      </w:r>
      <w:r w:rsidRPr="00682B71">
        <w:rPr>
          <w:i/>
          <w:iCs/>
          <w:noProof/>
          <w:szCs w:val="24"/>
        </w:rPr>
        <w:t>et al.</w:t>
      </w:r>
      <w:r w:rsidRPr="00682B71">
        <w:rPr>
          <w:noProof/>
          <w:szCs w:val="24"/>
        </w:rPr>
        <w:t xml:space="preserve"> (2016) </w:t>
      </w:r>
      <w:r w:rsidR="00824C65">
        <w:rPr>
          <w:noProof/>
          <w:szCs w:val="24"/>
        </w:rPr>
        <w:t>'</w:t>
      </w:r>
      <w:r w:rsidRPr="00682B71">
        <w:rPr>
          <w:noProof/>
          <w:szCs w:val="24"/>
        </w:rPr>
        <w:t>Effectiveness of a mobile short-message-service-based disease outbreak alert system in Kenya</w:t>
      </w:r>
      <w:r w:rsidR="00824C65">
        <w:rPr>
          <w:noProof/>
          <w:szCs w:val="24"/>
        </w:rPr>
        <w:t>'</w:t>
      </w:r>
      <w:r w:rsidRPr="00682B71">
        <w:rPr>
          <w:noProof/>
          <w:szCs w:val="24"/>
        </w:rPr>
        <w:t xml:space="preserve">, </w:t>
      </w:r>
      <w:r w:rsidRPr="00682B71">
        <w:rPr>
          <w:i/>
          <w:iCs/>
          <w:noProof/>
          <w:szCs w:val="24"/>
        </w:rPr>
        <w:t>Emerging Infectious Diseases</w:t>
      </w:r>
      <w:r w:rsidRPr="00682B71">
        <w:rPr>
          <w:noProof/>
          <w:szCs w:val="24"/>
        </w:rPr>
        <w:t>, 22(4), pp. 711–715. doi: 10.3201/eid2204.151459.</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824C65">
        <w:rPr>
          <w:noProof/>
          <w:szCs w:val="24"/>
          <w:lang w:val="fr-BE"/>
        </w:rPr>
        <w:t xml:space="preserve">Tran, T. P. T. </w:t>
      </w:r>
      <w:r w:rsidRPr="00824C65">
        <w:rPr>
          <w:i/>
          <w:iCs/>
          <w:noProof/>
          <w:szCs w:val="24"/>
          <w:lang w:val="fr-BE"/>
        </w:rPr>
        <w:t>et al.</w:t>
      </w:r>
      <w:r w:rsidRPr="00824C65">
        <w:rPr>
          <w:noProof/>
          <w:szCs w:val="24"/>
          <w:lang w:val="fr-BE"/>
        </w:rPr>
        <w:t xml:space="preserve"> </w:t>
      </w:r>
      <w:r w:rsidRPr="00682B71">
        <w:rPr>
          <w:noProof/>
          <w:szCs w:val="24"/>
        </w:rPr>
        <w:t xml:space="preserve">(2020) </w:t>
      </w:r>
      <w:r w:rsidR="00824C65">
        <w:rPr>
          <w:noProof/>
          <w:szCs w:val="24"/>
        </w:rPr>
        <w:t>'</w:t>
      </w:r>
      <w:r w:rsidRPr="00682B71">
        <w:rPr>
          <w:noProof/>
          <w:szCs w:val="24"/>
        </w:rPr>
        <w:t>Rapid response to the COVID-19 pandemic: Vietnam government</w:t>
      </w:r>
      <w:r w:rsidR="00824C65">
        <w:rPr>
          <w:noProof/>
          <w:szCs w:val="24"/>
        </w:rPr>
        <w:t>'</w:t>
      </w:r>
      <w:r w:rsidRPr="00682B71">
        <w:rPr>
          <w:noProof/>
          <w:szCs w:val="24"/>
        </w:rPr>
        <w:t>s experience and preliminary success</w:t>
      </w:r>
      <w:r w:rsidR="00824C65">
        <w:rPr>
          <w:noProof/>
          <w:szCs w:val="24"/>
        </w:rPr>
        <w:t>'</w:t>
      </w:r>
      <w:r w:rsidRPr="00682B71">
        <w:rPr>
          <w:noProof/>
          <w:szCs w:val="24"/>
        </w:rPr>
        <w:t xml:space="preserve">, </w:t>
      </w:r>
      <w:r w:rsidRPr="00682B71">
        <w:rPr>
          <w:i/>
          <w:iCs/>
          <w:noProof/>
          <w:szCs w:val="24"/>
        </w:rPr>
        <w:t>Journal of global health</w:t>
      </w:r>
      <w:r w:rsidRPr="00682B71">
        <w:rPr>
          <w:noProof/>
          <w:szCs w:val="24"/>
        </w:rPr>
        <w:t>, 10(2), p. 020502. doi: 10.7189/jogh.10.020502.</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Walter, N. </w:t>
      </w:r>
      <w:r w:rsidRPr="00682B71">
        <w:rPr>
          <w:i/>
          <w:iCs/>
          <w:noProof/>
          <w:szCs w:val="24"/>
        </w:rPr>
        <w:t>et al.</w:t>
      </w:r>
      <w:r w:rsidRPr="00682B71">
        <w:rPr>
          <w:noProof/>
          <w:szCs w:val="24"/>
        </w:rPr>
        <w:t xml:space="preserve"> (2020) </w:t>
      </w:r>
      <w:r w:rsidR="00824C65">
        <w:rPr>
          <w:noProof/>
          <w:szCs w:val="24"/>
        </w:rPr>
        <w:t>'</w:t>
      </w:r>
      <w:r w:rsidRPr="00682B71">
        <w:rPr>
          <w:noProof/>
          <w:szCs w:val="24"/>
        </w:rPr>
        <w:t>Evaluating the impact of attempts to correct health misinformation on social media: A meta-analysis</w:t>
      </w:r>
      <w:r w:rsidR="00824C65">
        <w:rPr>
          <w:noProof/>
          <w:szCs w:val="24"/>
        </w:rPr>
        <w:t>'</w:t>
      </w:r>
      <w:r w:rsidRPr="00682B71">
        <w:rPr>
          <w:noProof/>
          <w:szCs w:val="24"/>
        </w:rPr>
        <w:t xml:space="preserve">, </w:t>
      </w:r>
      <w:r w:rsidRPr="00682B71">
        <w:rPr>
          <w:i/>
          <w:iCs/>
          <w:noProof/>
          <w:szCs w:val="24"/>
        </w:rPr>
        <w:t>Health Communication</w:t>
      </w:r>
      <w:r w:rsidRPr="00682B71">
        <w:rPr>
          <w:noProof/>
          <w:szCs w:val="24"/>
        </w:rPr>
        <w:t>. Routledge, 00(00), pp. 1–9. doi: 10.1080/10410236.2020.1794553.</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szCs w:val="24"/>
        </w:rPr>
      </w:pPr>
      <w:r w:rsidRPr="00682B71">
        <w:rPr>
          <w:noProof/>
          <w:szCs w:val="24"/>
        </w:rPr>
        <w:t xml:space="preserve">Wikipedia (2020) </w:t>
      </w:r>
      <w:r w:rsidRPr="00682B71">
        <w:rPr>
          <w:i/>
          <w:iCs/>
          <w:noProof/>
          <w:szCs w:val="24"/>
        </w:rPr>
        <w:t>Social and behavior change communication</w:t>
      </w:r>
      <w:r w:rsidRPr="00682B71">
        <w:rPr>
          <w:noProof/>
          <w:szCs w:val="24"/>
        </w:rPr>
        <w:t xml:space="preserve">, </w:t>
      </w:r>
      <w:r w:rsidRPr="00682B71">
        <w:rPr>
          <w:i/>
          <w:iCs/>
          <w:noProof/>
          <w:szCs w:val="24"/>
        </w:rPr>
        <w:t>Wikimedia Foundation</w:t>
      </w:r>
      <w:r w:rsidRPr="00682B71">
        <w:rPr>
          <w:noProof/>
          <w:szCs w:val="24"/>
        </w:rPr>
        <w:t>. Available at: https://en.wikipedia.org/wiki/Social_and_behavior_change_communication (Accessed: 11 October 2021).</w:t>
      </w:r>
    </w:p>
    <w:p w:rsidR="00682B71" w:rsidRPr="00682B71" w:rsidRDefault="00682B71" w:rsidP="00682B71">
      <w:pPr>
        <w:pStyle w:val="ListParagraph"/>
        <w:widowControl w:val="0"/>
        <w:numPr>
          <w:ilvl w:val="0"/>
          <w:numId w:val="24"/>
        </w:numPr>
        <w:tabs>
          <w:tab w:val="left" w:pos="1134"/>
        </w:tabs>
        <w:autoSpaceDE w:val="0"/>
        <w:autoSpaceDN w:val="0"/>
        <w:adjustRightInd w:val="0"/>
        <w:spacing w:before="0" w:after="0" w:line="360" w:lineRule="auto"/>
        <w:ind w:leftChars="0" w:left="0" w:firstLineChars="0" w:firstLine="567"/>
        <w:rPr>
          <w:noProof/>
        </w:rPr>
      </w:pPr>
      <w:r w:rsidRPr="00682B71">
        <w:rPr>
          <w:noProof/>
          <w:szCs w:val="24"/>
        </w:rPr>
        <w:t xml:space="preserve">Wright, K. B. (2020) </w:t>
      </w:r>
      <w:r w:rsidR="00824C65">
        <w:rPr>
          <w:noProof/>
          <w:szCs w:val="24"/>
        </w:rPr>
        <w:t>'</w:t>
      </w:r>
      <w:r w:rsidRPr="00682B71">
        <w:rPr>
          <w:noProof/>
          <w:szCs w:val="24"/>
        </w:rPr>
        <w:t>New Technologies and Health Communication</w:t>
      </w:r>
      <w:r w:rsidR="00824C65">
        <w:rPr>
          <w:noProof/>
          <w:szCs w:val="24"/>
        </w:rPr>
        <w:t>'</w:t>
      </w:r>
      <w:r w:rsidRPr="00682B71">
        <w:rPr>
          <w:noProof/>
          <w:szCs w:val="24"/>
        </w:rPr>
        <w:t xml:space="preserve">, </w:t>
      </w:r>
      <w:r w:rsidRPr="00682B71">
        <w:rPr>
          <w:i/>
          <w:iCs/>
          <w:noProof/>
          <w:szCs w:val="24"/>
        </w:rPr>
        <w:t>The Handbook of Applied Communication Research</w:t>
      </w:r>
      <w:r w:rsidRPr="00682B71">
        <w:rPr>
          <w:noProof/>
          <w:szCs w:val="24"/>
        </w:rPr>
        <w:t>, 2, pp. 863–878. doi: 10.1002/9781119399926.ch47.</w:t>
      </w:r>
    </w:p>
    <w:p w:rsidR="00682B71" w:rsidRPr="00664832" w:rsidRDefault="00682B71" w:rsidP="00682B71">
      <w:pPr>
        <w:pStyle w:val="Danhmctiliuthamkho"/>
        <w:tabs>
          <w:tab w:val="left" w:pos="1134"/>
        </w:tabs>
        <w:spacing w:before="0" w:after="0" w:line="360" w:lineRule="auto"/>
        <w:ind w:firstLine="567"/>
        <w:jc w:val="both"/>
        <w:rPr>
          <w:b w:val="0"/>
          <w:szCs w:val="24"/>
        </w:rPr>
      </w:pPr>
      <w:r>
        <w:rPr>
          <w:b w:val="0"/>
          <w:szCs w:val="24"/>
        </w:rPr>
        <w:fldChar w:fldCharType="end"/>
      </w:r>
    </w:p>
    <w:p w:rsidR="00EE2F3D" w:rsidRPr="00664832" w:rsidRDefault="00EE2F3D" w:rsidP="00682B71">
      <w:pPr>
        <w:pStyle w:val="Danhmctiliuthamkho"/>
        <w:tabs>
          <w:tab w:val="left" w:pos="1134"/>
        </w:tabs>
        <w:spacing w:before="0" w:after="0" w:line="360" w:lineRule="auto"/>
        <w:ind w:firstLine="567"/>
        <w:jc w:val="both"/>
        <w:rPr>
          <w:b w:val="0"/>
          <w:szCs w:val="24"/>
        </w:rPr>
      </w:pPr>
    </w:p>
    <w:sectPr w:rsidR="00EE2F3D" w:rsidRPr="00664832" w:rsidSect="001757BA">
      <w:headerReference w:type="even" r:id="rId9"/>
      <w:headerReference w:type="default" r:id="rId10"/>
      <w:footerReference w:type="even" r:id="rId11"/>
      <w:footerReference w:type="default" r:id="rId12"/>
      <w:pgSz w:w="11907" w:h="16839" w:code="9"/>
      <w:pgMar w:top="737" w:right="1134" w:bottom="1134" w:left="1134" w:header="567" w:footer="397" w:gutter="0"/>
      <w:pgNumType w:start="1"/>
      <w:cols w:space="720"/>
      <w:docGrid w:linePitch="382"/>
    </w:sectPr>
  </w:body>
</w:document>
</file>

<file path=word/customizations.xml><?xml version="1.0" encoding="utf-8"?>
<wne:tcg xmlns:r="http://schemas.openxmlformats.org/officeDocument/2006/relationships" xmlns:wne="http://schemas.microsoft.com/office/word/2006/wordml">
  <wne:keymaps>
    <wne:keymap wne:kcmPrimary="034E">
      <wne:acd wne:acdName="acd13"/>
    </wne:keymap>
    <wne:keymap wne:kcmPrimary="0430">
      <wne:acd wne:acdName="acd9"/>
    </wne:keymap>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36">
      <wne:acd wne:acdName="acd5"/>
    </wne:keymap>
    <wne:keymap wne:kcmPrimary="0437">
      <wne:acd wne:acdName="acd6"/>
    </wne:keymap>
    <wne:keymap wne:kcmPrimary="0438">
      <wne:acd wne:acdName="acd7"/>
    </wne:keymap>
    <wne:keymap wne:kcmPrimary="0439">
      <wne:acd wne:acdName="acd8"/>
    </wne:keymap>
    <wne:keymap wne:kcmPrimary="0442">
      <wne:acd wne:acdName="acd10"/>
    </wne:keymap>
    <wne:keymap wne:kcmPrimary="0444">
      <wne:acd wne:acdName="acd11"/>
    </wne:keymap>
    <wne:keymap wne:kcmPrimary="045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Manifest>
  </wne:toolbars>
  <wne:acds>
    <wne:acd wne:argValue="AgBAAFQAaQDqAHUAIAARAcEeIABUAGkAvx5uAGcAIABWAGkAxx50AA==" wne:acdName="acd0" wne:fciIndexBasedOn="0065"/>
    <wne:acd wne:argValue="AgBAAFQAaQDqAHUAIAARAcEeIABUAGkAvx5uAGcAIABBAG4AaAA=" wne:acdName="acd1" wne:fciIndexBasedOn="0065"/>
    <wne:acd wne:argValue="AgBAAFQA4QBjACAAZwBpAKMeIABiAOAAaQAgAGIA4QBvAA==" wne:acdName="acd2" wne:fciIndexBasedOn="0065"/>
    <wne:acd wne:argValue="AgBAABABoQFuACAAdgDLHiAAYwD0AG4AZwAgAHQA4QBjACAALQAgAEUAbQBhAGkAbAAgAHQA4QBj&#10;ACAAZwBpAKMe" wne:acdName="acd3" wne:fciIndexBasedOn="0065"/>
    <wne:acd wne:argValue="AgBAAFQA8wBtACAAdACvHnQAIAAtACAAQQBiAHMAdAByAGEAYwB0AA==" wne:acdName="acd4" wne:fciIndexBasedOn="0065"/>
    <wne:acd wne:argValue="AgBAAE4A2R5pACAAZAB1AG4AZwAgAFQA8wBtACAAdACvHnQAIAAtACAAQQBiAHMAdAByAGEAYwB0&#10;AA==" wne:acdName="acd5" wne:fciIndexBasedOn="0065"/>
    <wne:acd wne:argValue="AgBAACAAEAHBHiAAbQDlHmMAIAAoAEMApR5wACAAMQApAA==" wne:acdName="acd6" wne:fciIndexBasedOn="0065"/>
    <wne:acd wne:argValue="AgBAACAAEAHBHiAAbQDlHmMAIAAoAEMApR5wACAAMgApAA==" wne:acdName="acd7" wne:fciIndexBasedOn="0065"/>
    <wne:acd wne:argValue="AgBAACAAEAHBHiAAbQDlHmMAIAAoAEMApR5wACAAMwApAA==" wne:acdName="acd8" wne:fciIndexBasedOn="0065"/>
    <wne:acd wne:argValue="AgBAACAAEAHBHiAAbQDlHmMAIAAoAEMApR5wACAANAApAA==" wne:acdName="acd9" wne:fciIndexBasedOn="0065"/>
    <wne:acd wne:argValue="AgBAACAAQwBoAPoAIAB0AGgA7QBjAGgAIABCAKMebgBnACAAYgBpAMMedQAgAC0AIABIAOwAbgBo&#10;ACAAdgC9Hg==" wne:acdName="acd10" wne:fciIndexBasedOn="0065"/>
    <wne:acd wne:argValue="AgBAAEQAYQBuAGgAIABtAOUeYwAgAHQA4ABpACAAbABpAMcedQAgAHQAaABhAG0AIABrAGgAox5v&#10;AA==" wne:acdName="acd11" wne:fciIndexBasedOn="0065"/>
    <wne:acd wne:argValue="AgBAACAAVADgAGkAIABsAGkAxx51ACAAdABoAGEAbQAgAGsAaACjHm8AIAAoAG4A2R5pACAAZAB1&#10;AG4AZwApAA==" wne:acdName="acd12" wne:fciIndexBasedOn="0065"/>
    <wne:acd wne:argValue="AQAAAAAA" wne:acdName="acd13"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E0E" w:rsidRDefault="00E91E0E" w:rsidP="00E96470">
      <w:pPr>
        <w:spacing w:before="0" w:after="0" w:line="240" w:lineRule="auto"/>
      </w:pPr>
      <w:r>
        <w:separator/>
      </w:r>
    </w:p>
  </w:endnote>
  <w:endnote w:type="continuationSeparator" w:id="0">
    <w:p w:rsidR="00E91E0E" w:rsidRDefault="00E91E0E" w:rsidP="00E964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s new roman">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F65" w:rsidRPr="00884758" w:rsidRDefault="00D00F65">
    <w:pPr>
      <w:pStyle w:val="Footer"/>
      <w:rPr>
        <w:rFonts w:ascii="Arial" w:hAnsi="Arial" w:cs="Arial"/>
        <w:szCs w:val="20"/>
      </w:rPr>
    </w:pPr>
  </w:p>
  <w:p w:rsidR="00D00F65" w:rsidRDefault="00D00F6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652642"/>
      <w:docPartObj>
        <w:docPartGallery w:val="Page Numbers (Bottom of Page)"/>
        <w:docPartUnique/>
      </w:docPartObj>
    </w:sdtPr>
    <w:sdtEndPr>
      <w:rPr>
        <w:noProof/>
        <w:sz w:val="20"/>
        <w:szCs w:val="20"/>
      </w:rPr>
    </w:sdtEndPr>
    <w:sdtContent>
      <w:p w:rsidR="00D00F65" w:rsidRPr="00833F17" w:rsidRDefault="00D00F65" w:rsidP="00833F17">
        <w:pPr>
          <w:pStyle w:val="Footer"/>
          <w:ind w:firstLine="0"/>
          <w:jc w:val="center"/>
          <w:rPr>
            <w:sz w:val="20"/>
            <w:szCs w:val="20"/>
          </w:rPr>
        </w:pPr>
        <w:r w:rsidRPr="00833F17">
          <w:rPr>
            <w:sz w:val="20"/>
            <w:szCs w:val="20"/>
          </w:rPr>
          <w:fldChar w:fldCharType="begin"/>
        </w:r>
        <w:r w:rsidRPr="00833F17">
          <w:rPr>
            <w:sz w:val="20"/>
            <w:szCs w:val="20"/>
          </w:rPr>
          <w:instrText xml:space="preserve"> PAGE   \* MERGEFORMAT </w:instrText>
        </w:r>
        <w:r w:rsidRPr="00833F17">
          <w:rPr>
            <w:sz w:val="20"/>
            <w:szCs w:val="20"/>
          </w:rPr>
          <w:fldChar w:fldCharType="separate"/>
        </w:r>
        <w:r w:rsidR="000F1DB6">
          <w:rPr>
            <w:noProof/>
            <w:sz w:val="20"/>
            <w:szCs w:val="20"/>
          </w:rPr>
          <w:t>7</w:t>
        </w:r>
        <w:r w:rsidRPr="00833F17">
          <w:rPr>
            <w:noProof/>
            <w:sz w:val="20"/>
            <w:szCs w:val="20"/>
          </w:rPr>
          <w:fldChar w:fldCharType="end"/>
        </w:r>
      </w:p>
    </w:sdtContent>
  </w:sdt>
  <w:p w:rsidR="00D00F65" w:rsidRDefault="00D00F65" w:rsidP="00884758">
    <w:pPr>
      <w:pStyle w:val="Footer"/>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E0E" w:rsidRDefault="00E91E0E" w:rsidP="00E96470">
      <w:pPr>
        <w:spacing w:before="0" w:after="0" w:line="240" w:lineRule="auto"/>
      </w:pPr>
      <w:r>
        <w:separator/>
      </w:r>
    </w:p>
  </w:footnote>
  <w:footnote w:type="continuationSeparator" w:id="0">
    <w:p w:rsidR="00E91E0E" w:rsidRDefault="00E91E0E" w:rsidP="00E964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F65" w:rsidRPr="006237CE" w:rsidRDefault="00D00F65" w:rsidP="00C230F2">
    <w:pPr>
      <w:pStyle w:val="Header"/>
      <w:pBdr>
        <w:bottom w:val="thickThinSmallGap" w:sz="24" w:space="1" w:color="622423"/>
      </w:pBdr>
      <w:ind w:firstLine="0"/>
      <w:jc w:val="center"/>
      <w:rPr>
        <w:rFonts w:ascii="Arial" w:eastAsia="SimSun" w:hAnsi="Arial" w:cs="Arial"/>
        <w:i/>
        <w:szCs w:val="20"/>
      </w:rPr>
    </w:pPr>
    <w:r w:rsidRPr="006237CE">
      <w:rPr>
        <w:rFonts w:ascii="Arial" w:eastAsia="SimSun" w:hAnsi="Arial" w:cs="Arial"/>
        <w:i/>
        <w:szCs w:val="20"/>
      </w:rPr>
      <w:t xml:space="preserve">Hội Thảo Quốc Gia Khoa Học Quản Trị Và Kinh Doanh </w:t>
    </w:r>
    <w:r>
      <w:rPr>
        <w:rFonts w:ascii="Arial" w:eastAsia="SimSun" w:hAnsi="Arial" w:cs="Arial"/>
        <w:i/>
        <w:szCs w:val="20"/>
      </w:rPr>
      <w:t>(</w:t>
    </w:r>
    <w:r w:rsidRPr="006237CE">
      <w:rPr>
        <w:rFonts w:ascii="Arial" w:eastAsia="SimSun" w:hAnsi="Arial" w:cs="Arial"/>
        <w:i/>
        <w:szCs w:val="20"/>
      </w:rPr>
      <w:t>COMB</w:t>
    </w:r>
    <w:r>
      <w:rPr>
        <w:rFonts w:ascii="Arial" w:eastAsia="SimSun" w:hAnsi="Arial" w:cs="Arial"/>
        <w:i/>
        <w:szCs w:val="20"/>
      </w:rPr>
      <w:t>-2018)</w:t>
    </w:r>
    <w:r w:rsidRPr="006237CE">
      <w:rPr>
        <w:rFonts w:ascii="Arial" w:eastAsia="SimSun" w:hAnsi="Arial" w:cs="Arial"/>
        <w:i/>
        <w:szCs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F65" w:rsidRPr="001057B6" w:rsidRDefault="00D00F65" w:rsidP="004920DC">
    <w:pPr>
      <w:pStyle w:val="Header"/>
      <w:pBdr>
        <w:bottom w:val="thickThinSmallGap" w:sz="24" w:space="1" w:color="622423"/>
      </w:pBdr>
      <w:spacing w:line="240" w:lineRule="auto"/>
      <w:ind w:firstLine="0"/>
      <w:jc w:val="center"/>
      <w:rPr>
        <w:rFonts w:eastAsia="SimSun"/>
        <w:i/>
        <w:sz w:val="21"/>
        <w:szCs w:val="21"/>
      </w:rPr>
    </w:pPr>
    <w:r>
      <w:rPr>
        <w:i/>
        <w:sz w:val="21"/>
        <w:szCs w:val="21"/>
      </w:rPr>
      <w:t>The International Conference o</w:t>
    </w:r>
    <w:r w:rsidRPr="001057B6">
      <w:rPr>
        <w:i/>
        <w:sz w:val="21"/>
        <w:szCs w:val="21"/>
      </w:rPr>
      <w:t xml:space="preserve">n Management </w:t>
    </w:r>
    <w:r>
      <w:rPr>
        <w:i/>
        <w:sz w:val="21"/>
        <w:szCs w:val="21"/>
      </w:rPr>
      <w:t>a</w:t>
    </w:r>
    <w:r w:rsidRPr="001057B6">
      <w:rPr>
        <w:i/>
        <w:sz w:val="21"/>
        <w:szCs w:val="21"/>
      </w:rPr>
      <w:t>nd Business</w:t>
    </w:r>
    <w:r>
      <w:rPr>
        <w:i/>
        <w:color w:val="000000"/>
        <w:sz w:val="21"/>
        <w:szCs w:val="21"/>
      </w:rPr>
      <w:t xml:space="preserve"> – COMB</w:t>
    </w:r>
    <w:r w:rsidRPr="001057B6">
      <w:rPr>
        <w:i/>
        <w:color w:val="000000"/>
        <w:sz w:val="21"/>
        <w:szCs w:val="21"/>
      </w:rPr>
      <w:t xml:space="preserve"> 20</w:t>
    </w:r>
    <w:r>
      <w:rPr>
        <w:i/>
        <w:color w:val="000000"/>
        <w:sz w:val="21"/>
        <w:szCs w:val="21"/>
      </w:rPr>
      <w:t>21</w:t>
    </w:r>
  </w:p>
  <w:p w:rsidR="00D00F65" w:rsidRPr="00C512E2" w:rsidRDefault="00D00F65" w:rsidP="00C512E2">
    <w:pPr>
      <w:pStyle w:val="Header"/>
      <w:pBdr>
        <w:bottom w:val="thickThinSmallGap" w:sz="24" w:space="1" w:color="622423"/>
      </w:pBdr>
      <w:spacing w:before="0" w:after="0" w:line="240" w:lineRule="auto"/>
      <w:ind w:firstLine="0"/>
      <w:rPr>
        <w:rFonts w:eastAsia="SimSun"/>
        <w:i/>
        <w:sz w:val="2"/>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AC48A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D72E7"/>
    <w:multiLevelType w:val="hybridMultilevel"/>
    <w:tmpl w:val="C1F08FF0"/>
    <w:lvl w:ilvl="0" w:tplc="0409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 w15:restartNumberingAfterBreak="0">
    <w:nsid w:val="0A963BA2"/>
    <w:multiLevelType w:val="hybridMultilevel"/>
    <w:tmpl w:val="F8986EF2"/>
    <w:lvl w:ilvl="0" w:tplc="E8F4852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DD440F8"/>
    <w:multiLevelType w:val="multilevel"/>
    <w:tmpl w:val="54326250"/>
    <w:lvl w:ilvl="0">
      <w:start w:val="1"/>
      <w:numFmt w:val="decimal"/>
      <w:lvlText w:val="%1."/>
      <w:lvlJc w:val="left"/>
      <w:pPr>
        <w:ind w:left="360" w:hanging="360"/>
      </w:pPr>
      <w:rPr>
        <w:rFonts w:ascii="Times New Roman" w:hAnsi="Times New Roman"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927D67"/>
    <w:multiLevelType w:val="multilevel"/>
    <w:tmpl w:val="4900D8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DC5BAE"/>
    <w:multiLevelType w:val="hybridMultilevel"/>
    <w:tmpl w:val="83304096"/>
    <w:lvl w:ilvl="0" w:tplc="0409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6" w15:restartNumberingAfterBreak="0">
    <w:nsid w:val="23970095"/>
    <w:multiLevelType w:val="hybridMultilevel"/>
    <w:tmpl w:val="6C00BEAC"/>
    <w:lvl w:ilvl="0" w:tplc="66426C66">
      <w:start w:val="1"/>
      <w:numFmt w:val="decimal"/>
      <w:lvlText w:val="[%1]"/>
      <w:lvlJc w:val="left"/>
      <w:pPr>
        <w:ind w:left="61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D18AD"/>
    <w:multiLevelType w:val="hybridMultilevel"/>
    <w:tmpl w:val="A24CEF96"/>
    <w:lvl w:ilvl="0" w:tplc="66426C66">
      <w:start w:val="1"/>
      <w:numFmt w:val="decimal"/>
      <w:lvlText w:val="[%1]"/>
      <w:lvlJc w:val="left"/>
      <w:pPr>
        <w:ind w:left="1287" w:hanging="360"/>
      </w:pPr>
      <w:rPr>
        <w:rFonts w:hint="default"/>
        <w:i w:val="0"/>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8" w15:restartNumberingAfterBreak="0">
    <w:nsid w:val="2D3D416C"/>
    <w:multiLevelType w:val="multilevel"/>
    <w:tmpl w:val="3D7AFD22"/>
    <w:lvl w:ilvl="0">
      <w:start w:val="1"/>
      <w:numFmt w:val="decimal"/>
      <w:lvlText w:val="%1."/>
      <w:lvlJc w:val="left"/>
      <w:pPr>
        <w:ind w:left="0" w:firstLine="0"/>
      </w:pPr>
      <w:rPr>
        <w:i w:val="0"/>
        <w:color w:val="000000"/>
        <w:vertAlign w:val="baseline"/>
      </w:rPr>
    </w:lvl>
    <w:lvl w:ilvl="1">
      <w:start w:val="1"/>
      <w:numFmt w:val="decimal"/>
      <w:lvlText w:val="%1.%2."/>
      <w:lvlJc w:val="left"/>
      <w:pPr>
        <w:ind w:left="0" w:firstLine="0"/>
      </w:pPr>
      <w:rPr>
        <w:rFonts w:ascii="Times New Roman" w:eastAsia="Times New Roman" w:hAnsi="Times New Roman" w:cs="Times New Roman"/>
        <w:i w:val="0"/>
        <w:color w:val="000000"/>
        <w:vertAlign w:val="baseline"/>
      </w:rPr>
    </w:lvl>
    <w:lvl w:ilvl="2">
      <w:start w:val="1"/>
      <w:numFmt w:val="decimal"/>
      <w:lvlText w:val="%1.%2.%3."/>
      <w:lvlJc w:val="left"/>
      <w:pPr>
        <w:ind w:left="0" w:firstLine="0"/>
      </w:pPr>
      <w:rPr>
        <w:vertAlign w:val="baseline"/>
      </w:rPr>
    </w:lvl>
    <w:lvl w:ilvl="3">
      <w:start w:val="1"/>
      <w:numFmt w:val="lowerLetter"/>
      <w:lvlText w:val="%4)"/>
      <w:lvlJc w:val="left"/>
      <w:pPr>
        <w:ind w:left="0" w:firstLine="720"/>
      </w:pPr>
      <w:rPr>
        <w:i w:val="0"/>
        <w:color w:val="000000"/>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9]"/>
      <w:lvlJc w:val="left"/>
      <w:pPr>
        <w:ind w:left="454" w:hanging="454"/>
      </w:pPr>
      <w:rPr>
        <w:b w:val="0"/>
        <w:i w:val="0"/>
        <w:color w:val="000000"/>
        <w:vertAlign w:val="baseline"/>
      </w:rPr>
    </w:lvl>
  </w:abstractNum>
  <w:abstractNum w:abstractNumId="9" w15:restartNumberingAfterBreak="0">
    <w:nsid w:val="2DA250B6"/>
    <w:multiLevelType w:val="hybridMultilevel"/>
    <w:tmpl w:val="54189B76"/>
    <w:lvl w:ilvl="0" w:tplc="66426C66">
      <w:start w:val="1"/>
      <w:numFmt w:val="decimal"/>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E595458"/>
    <w:multiLevelType w:val="multilevel"/>
    <w:tmpl w:val="35464A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57744D"/>
    <w:multiLevelType w:val="hybridMultilevel"/>
    <w:tmpl w:val="256C0ADE"/>
    <w:lvl w:ilvl="0" w:tplc="87A089F0">
      <w:start w:val="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5830CC"/>
    <w:multiLevelType w:val="hybridMultilevel"/>
    <w:tmpl w:val="DB7CE56E"/>
    <w:lvl w:ilvl="0" w:tplc="6DC6CB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C0709"/>
    <w:multiLevelType w:val="hybridMultilevel"/>
    <w:tmpl w:val="213C3C88"/>
    <w:lvl w:ilvl="0" w:tplc="0409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4" w15:restartNumberingAfterBreak="0">
    <w:nsid w:val="4F5A7D0E"/>
    <w:multiLevelType w:val="hybridMultilevel"/>
    <w:tmpl w:val="CD163BA6"/>
    <w:lvl w:ilvl="0" w:tplc="0409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5" w15:restartNumberingAfterBreak="0">
    <w:nsid w:val="501906DC"/>
    <w:multiLevelType w:val="hybridMultilevel"/>
    <w:tmpl w:val="2786866E"/>
    <w:lvl w:ilvl="0" w:tplc="91F0321E">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AB6C38"/>
    <w:multiLevelType w:val="hybridMultilevel"/>
    <w:tmpl w:val="2F02D110"/>
    <w:lvl w:ilvl="0" w:tplc="995AB1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142"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8" w15:restartNumberingAfterBreak="0">
    <w:nsid w:val="5DC2196E"/>
    <w:multiLevelType w:val="multilevel"/>
    <w:tmpl w:val="62107B5E"/>
    <w:lvl w:ilvl="0">
      <w:start w:val="1"/>
      <w:numFmt w:val="decimal"/>
      <w:pStyle w:val="mcCp1"/>
      <w:suff w:val="space"/>
      <w:lvlText w:val="%1."/>
      <w:lvlJc w:val="left"/>
      <w:pPr>
        <w:ind w:left="0" w:firstLine="0"/>
      </w:pPr>
      <w:rPr>
        <w:rFonts w:hint="default"/>
        <w:i w:val="0"/>
        <w:color w:val="auto"/>
      </w:rPr>
    </w:lvl>
    <w:lvl w:ilvl="1">
      <w:start w:val="1"/>
      <w:numFmt w:val="decimal"/>
      <w:pStyle w:val="mcCp2"/>
      <w:suff w:val="space"/>
      <w:lvlText w:val="%1.%2."/>
      <w:lvlJc w:val="left"/>
      <w:pPr>
        <w:ind w:left="0" w:firstLine="0"/>
      </w:pPr>
      <w:rPr>
        <w:color w:val="auto"/>
      </w:rPr>
    </w:lvl>
    <w:lvl w:ilvl="2">
      <w:start w:val="1"/>
      <w:numFmt w:val="decimal"/>
      <w:pStyle w:val="mcCp3"/>
      <w:suff w:val="space"/>
      <w:lvlText w:val="%1.%2.%3."/>
      <w:lvlJc w:val="left"/>
      <w:pPr>
        <w:ind w:left="0" w:firstLine="0"/>
      </w:pPr>
      <w:rPr>
        <w:rFonts w:hint="default"/>
      </w:rPr>
    </w:lvl>
    <w:lvl w:ilvl="3">
      <w:start w:val="1"/>
      <w:numFmt w:val="lowerLetter"/>
      <w:pStyle w:val="mcCp4"/>
      <w:suff w:val="space"/>
      <w:lvlText w:val="%4)"/>
      <w:lvlJc w:val="left"/>
      <w:pPr>
        <w:ind w:left="0" w:firstLine="720"/>
      </w:pPr>
      <w:rPr>
        <w:rFonts w:hint="default"/>
        <w:b w:val="0"/>
        <w:i/>
        <w:color w:val="000000"/>
      </w:rPr>
    </w:lvl>
    <w:lvl w:ilvl="4">
      <w:start w:val="1"/>
      <w:numFmt w:val="decimal"/>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Tiliuthamkhonidung"/>
      <w:lvlText w:val="[%9]"/>
      <w:lvlJc w:val="left"/>
      <w:pPr>
        <w:tabs>
          <w:tab w:val="num" w:pos="454"/>
        </w:tabs>
        <w:ind w:left="454" w:hanging="454"/>
      </w:pPr>
      <w:rPr>
        <w:rFonts w:hint="default"/>
        <w:b w:val="0"/>
        <w:i w:val="0"/>
        <w:color w:val="auto"/>
      </w:rPr>
    </w:lvl>
  </w:abstractNum>
  <w:abstractNum w:abstractNumId="19" w15:restartNumberingAfterBreak="0">
    <w:nsid w:val="6594212E"/>
    <w:multiLevelType w:val="hybridMultilevel"/>
    <w:tmpl w:val="C6F41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907417"/>
    <w:multiLevelType w:val="hybridMultilevel"/>
    <w:tmpl w:val="CB5E8F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7DF90BE5"/>
    <w:multiLevelType w:val="hybridMultilevel"/>
    <w:tmpl w:val="547EE37E"/>
    <w:lvl w:ilvl="0" w:tplc="65D2A870">
      <w:start w:val="4"/>
      <w:numFmt w:val="bullet"/>
      <w:lvlText w:val="-"/>
      <w:lvlJc w:val="left"/>
      <w:pPr>
        <w:ind w:left="1600" w:hanging="88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3"/>
  </w:num>
  <w:num w:numId="3">
    <w:abstractNumId w:val="18"/>
  </w:num>
  <w:num w:numId="4">
    <w:abstractNumId w:val="0"/>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1"/>
  </w:num>
  <w:num w:numId="8">
    <w:abstractNumId w:val="8"/>
  </w:num>
  <w:num w:numId="9">
    <w:abstractNumId w:val="6"/>
  </w:num>
  <w:num w:numId="10">
    <w:abstractNumId w:val="10"/>
  </w:num>
  <w:num w:numId="11">
    <w:abstractNumId w:val="15"/>
  </w:num>
  <w:num w:numId="12">
    <w:abstractNumId w:val="18"/>
  </w:num>
  <w:num w:numId="13">
    <w:abstractNumId w:val="20"/>
  </w:num>
  <w:num w:numId="14">
    <w:abstractNumId w:val="17"/>
  </w:num>
  <w:num w:numId="15">
    <w:abstractNumId w:val="12"/>
  </w:num>
  <w:num w:numId="16">
    <w:abstractNumId w:val="14"/>
  </w:num>
  <w:num w:numId="17">
    <w:abstractNumId w:val="16"/>
  </w:num>
  <w:num w:numId="18">
    <w:abstractNumId w:val="11"/>
  </w:num>
  <w:num w:numId="19">
    <w:abstractNumId w:val="13"/>
  </w:num>
  <w:num w:numId="20">
    <w:abstractNumId w:val="1"/>
  </w:num>
  <w:num w:numId="21">
    <w:abstractNumId w:val="5"/>
  </w:num>
  <w:num w:numId="22">
    <w:abstractNumId w:val="7"/>
  </w:num>
  <w:num w:numId="23">
    <w:abstractNumId w:val="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hideSpellingErrors/>
  <w:hideGrammaticalErrors/>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3MDcwM7W0sDQyNDBU0lEKTi0uzszPAykwNKwFALq3nvEtAAAA"/>
  </w:docVars>
  <w:rsids>
    <w:rsidRoot w:val="00F33AC8"/>
    <w:rsid w:val="000051DC"/>
    <w:rsid w:val="00007612"/>
    <w:rsid w:val="00014925"/>
    <w:rsid w:val="00016634"/>
    <w:rsid w:val="00030D58"/>
    <w:rsid w:val="00035ADD"/>
    <w:rsid w:val="000376CE"/>
    <w:rsid w:val="0005394C"/>
    <w:rsid w:val="00055D43"/>
    <w:rsid w:val="00056017"/>
    <w:rsid w:val="00056E04"/>
    <w:rsid w:val="00082032"/>
    <w:rsid w:val="00082E4C"/>
    <w:rsid w:val="00083481"/>
    <w:rsid w:val="000B0435"/>
    <w:rsid w:val="000B08CD"/>
    <w:rsid w:val="000B156F"/>
    <w:rsid w:val="000B70A8"/>
    <w:rsid w:val="000C0826"/>
    <w:rsid w:val="000C1C59"/>
    <w:rsid w:val="000D16AB"/>
    <w:rsid w:val="000D2934"/>
    <w:rsid w:val="000D2C89"/>
    <w:rsid w:val="000D59F7"/>
    <w:rsid w:val="000E1BAD"/>
    <w:rsid w:val="000F1DB6"/>
    <w:rsid w:val="000F72AB"/>
    <w:rsid w:val="00100F86"/>
    <w:rsid w:val="00101306"/>
    <w:rsid w:val="001126C1"/>
    <w:rsid w:val="00123276"/>
    <w:rsid w:val="00141B15"/>
    <w:rsid w:val="001426C8"/>
    <w:rsid w:val="0015048C"/>
    <w:rsid w:val="00154C52"/>
    <w:rsid w:val="00166186"/>
    <w:rsid w:val="001710C0"/>
    <w:rsid w:val="001757BA"/>
    <w:rsid w:val="00186629"/>
    <w:rsid w:val="001A1DEC"/>
    <w:rsid w:val="001A3959"/>
    <w:rsid w:val="001B58F4"/>
    <w:rsid w:val="001C00A9"/>
    <w:rsid w:val="001C1569"/>
    <w:rsid w:val="001C3409"/>
    <w:rsid w:val="001D0ECB"/>
    <w:rsid w:val="001D1676"/>
    <w:rsid w:val="001D6879"/>
    <w:rsid w:val="001E614E"/>
    <w:rsid w:val="001F6FF3"/>
    <w:rsid w:val="00202D5B"/>
    <w:rsid w:val="00210F2D"/>
    <w:rsid w:val="00214066"/>
    <w:rsid w:val="00225137"/>
    <w:rsid w:val="00225AF3"/>
    <w:rsid w:val="002278F1"/>
    <w:rsid w:val="002279A3"/>
    <w:rsid w:val="00231067"/>
    <w:rsid w:val="00243515"/>
    <w:rsid w:val="00244D14"/>
    <w:rsid w:val="002531D5"/>
    <w:rsid w:val="00254196"/>
    <w:rsid w:val="002554DA"/>
    <w:rsid w:val="002613AE"/>
    <w:rsid w:val="00265DBA"/>
    <w:rsid w:val="002714B7"/>
    <w:rsid w:val="00272ED1"/>
    <w:rsid w:val="00274255"/>
    <w:rsid w:val="00274A82"/>
    <w:rsid w:val="002801A2"/>
    <w:rsid w:val="002839A8"/>
    <w:rsid w:val="00286CDC"/>
    <w:rsid w:val="002A02C3"/>
    <w:rsid w:val="002C14E0"/>
    <w:rsid w:val="002C1CDF"/>
    <w:rsid w:val="002C29AD"/>
    <w:rsid w:val="002C45BB"/>
    <w:rsid w:val="002C72DF"/>
    <w:rsid w:val="002D19A3"/>
    <w:rsid w:val="002E17A8"/>
    <w:rsid w:val="002E3B22"/>
    <w:rsid w:val="002E4FEB"/>
    <w:rsid w:val="002E661F"/>
    <w:rsid w:val="002F062E"/>
    <w:rsid w:val="003066BC"/>
    <w:rsid w:val="00321622"/>
    <w:rsid w:val="0032195C"/>
    <w:rsid w:val="0032369C"/>
    <w:rsid w:val="00325A0A"/>
    <w:rsid w:val="003260E9"/>
    <w:rsid w:val="003263F6"/>
    <w:rsid w:val="0033059A"/>
    <w:rsid w:val="0034013A"/>
    <w:rsid w:val="00341F63"/>
    <w:rsid w:val="00343569"/>
    <w:rsid w:val="0034524F"/>
    <w:rsid w:val="00347450"/>
    <w:rsid w:val="00350407"/>
    <w:rsid w:val="00351F39"/>
    <w:rsid w:val="003540F2"/>
    <w:rsid w:val="00355EE2"/>
    <w:rsid w:val="00361EBE"/>
    <w:rsid w:val="003765CE"/>
    <w:rsid w:val="003856C7"/>
    <w:rsid w:val="00385E51"/>
    <w:rsid w:val="003861EB"/>
    <w:rsid w:val="003864A6"/>
    <w:rsid w:val="003959B0"/>
    <w:rsid w:val="003A48C2"/>
    <w:rsid w:val="003B159D"/>
    <w:rsid w:val="003C0258"/>
    <w:rsid w:val="003C3086"/>
    <w:rsid w:val="003D3EDD"/>
    <w:rsid w:val="003D477C"/>
    <w:rsid w:val="003D5F31"/>
    <w:rsid w:val="003D6AEF"/>
    <w:rsid w:val="003D7A1F"/>
    <w:rsid w:val="003E40D1"/>
    <w:rsid w:val="003E642F"/>
    <w:rsid w:val="003F6E17"/>
    <w:rsid w:val="004000D4"/>
    <w:rsid w:val="004007AC"/>
    <w:rsid w:val="00402C98"/>
    <w:rsid w:val="00404965"/>
    <w:rsid w:val="00406069"/>
    <w:rsid w:val="00411AE3"/>
    <w:rsid w:val="00413337"/>
    <w:rsid w:val="00414415"/>
    <w:rsid w:val="00420CBD"/>
    <w:rsid w:val="00424556"/>
    <w:rsid w:val="00426EF5"/>
    <w:rsid w:val="004318E2"/>
    <w:rsid w:val="004336CC"/>
    <w:rsid w:val="00440822"/>
    <w:rsid w:val="004446B3"/>
    <w:rsid w:val="00450D4F"/>
    <w:rsid w:val="00454A13"/>
    <w:rsid w:val="00457D5A"/>
    <w:rsid w:val="00462BC4"/>
    <w:rsid w:val="0046341E"/>
    <w:rsid w:val="00464204"/>
    <w:rsid w:val="00475A9D"/>
    <w:rsid w:val="00477CD9"/>
    <w:rsid w:val="00480072"/>
    <w:rsid w:val="004805C2"/>
    <w:rsid w:val="004920DC"/>
    <w:rsid w:val="00492F7C"/>
    <w:rsid w:val="004949BB"/>
    <w:rsid w:val="004A3F6B"/>
    <w:rsid w:val="004A4548"/>
    <w:rsid w:val="004A5B2F"/>
    <w:rsid w:val="004B342A"/>
    <w:rsid w:val="004B40F8"/>
    <w:rsid w:val="004B75C7"/>
    <w:rsid w:val="004C0494"/>
    <w:rsid w:val="004C243D"/>
    <w:rsid w:val="004C541D"/>
    <w:rsid w:val="004C6C2E"/>
    <w:rsid w:val="004E1954"/>
    <w:rsid w:val="004E1ACB"/>
    <w:rsid w:val="004E31AF"/>
    <w:rsid w:val="004E6597"/>
    <w:rsid w:val="004F3A74"/>
    <w:rsid w:val="0050017F"/>
    <w:rsid w:val="00505BB6"/>
    <w:rsid w:val="0051077D"/>
    <w:rsid w:val="00510E31"/>
    <w:rsid w:val="00515D4E"/>
    <w:rsid w:val="005216B1"/>
    <w:rsid w:val="00526595"/>
    <w:rsid w:val="005352A2"/>
    <w:rsid w:val="00536C16"/>
    <w:rsid w:val="0054063B"/>
    <w:rsid w:val="00542B61"/>
    <w:rsid w:val="0055436B"/>
    <w:rsid w:val="00577B79"/>
    <w:rsid w:val="00584B28"/>
    <w:rsid w:val="00585676"/>
    <w:rsid w:val="005A2497"/>
    <w:rsid w:val="005A41F1"/>
    <w:rsid w:val="005B3CCA"/>
    <w:rsid w:val="005B3E97"/>
    <w:rsid w:val="005C3E03"/>
    <w:rsid w:val="005C5452"/>
    <w:rsid w:val="005D54B3"/>
    <w:rsid w:val="005D7F12"/>
    <w:rsid w:val="005E012B"/>
    <w:rsid w:val="005F2BB4"/>
    <w:rsid w:val="005F5C1C"/>
    <w:rsid w:val="006066A4"/>
    <w:rsid w:val="006237CE"/>
    <w:rsid w:val="00634200"/>
    <w:rsid w:val="00641A3A"/>
    <w:rsid w:val="006455E7"/>
    <w:rsid w:val="00664832"/>
    <w:rsid w:val="006776E1"/>
    <w:rsid w:val="00677BC5"/>
    <w:rsid w:val="00682B71"/>
    <w:rsid w:val="006874A4"/>
    <w:rsid w:val="00696379"/>
    <w:rsid w:val="006A3946"/>
    <w:rsid w:val="006A619C"/>
    <w:rsid w:val="006B1F9B"/>
    <w:rsid w:val="006C1C06"/>
    <w:rsid w:val="006D5C9C"/>
    <w:rsid w:val="006E0A78"/>
    <w:rsid w:val="006E1DD1"/>
    <w:rsid w:val="006E2126"/>
    <w:rsid w:val="006F0C90"/>
    <w:rsid w:val="006F4F6E"/>
    <w:rsid w:val="0070342D"/>
    <w:rsid w:val="007055FF"/>
    <w:rsid w:val="0072105F"/>
    <w:rsid w:val="00724E23"/>
    <w:rsid w:val="00732CF0"/>
    <w:rsid w:val="007533D3"/>
    <w:rsid w:val="00772254"/>
    <w:rsid w:val="00772968"/>
    <w:rsid w:val="007809C1"/>
    <w:rsid w:val="0078284E"/>
    <w:rsid w:val="007855B7"/>
    <w:rsid w:val="007868F1"/>
    <w:rsid w:val="007871CC"/>
    <w:rsid w:val="00790467"/>
    <w:rsid w:val="00790D81"/>
    <w:rsid w:val="007A5B6B"/>
    <w:rsid w:val="007B510B"/>
    <w:rsid w:val="007B51FA"/>
    <w:rsid w:val="007C1D39"/>
    <w:rsid w:val="007C7E3D"/>
    <w:rsid w:val="007C7F78"/>
    <w:rsid w:val="007D0461"/>
    <w:rsid w:val="007D0EF4"/>
    <w:rsid w:val="007D3473"/>
    <w:rsid w:val="007D3C46"/>
    <w:rsid w:val="007E49F5"/>
    <w:rsid w:val="0080140E"/>
    <w:rsid w:val="008055D6"/>
    <w:rsid w:val="008057F8"/>
    <w:rsid w:val="00820F15"/>
    <w:rsid w:val="00824C65"/>
    <w:rsid w:val="0082737B"/>
    <w:rsid w:val="00833F17"/>
    <w:rsid w:val="008344A4"/>
    <w:rsid w:val="008358CB"/>
    <w:rsid w:val="0083598A"/>
    <w:rsid w:val="008359CC"/>
    <w:rsid w:val="0084114A"/>
    <w:rsid w:val="00843C7B"/>
    <w:rsid w:val="00845288"/>
    <w:rsid w:val="008477FA"/>
    <w:rsid w:val="008510CD"/>
    <w:rsid w:val="0085472C"/>
    <w:rsid w:val="008568C0"/>
    <w:rsid w:val="008625CE"/>
    <w:rsid w:val="008652AC"/>
    <w:rsid w:val="00866937"/>
    <w:rsid w:val="00880F1E"/>
    <w:rsid w:val="00884758"/>
    <w:rsid w:val="0088672F"/>
    <w:rsid w:val="008907FC"/>
    <w:rsid w:val="008919DA"/>
    <w:rsid w:val="00892648"/>
    <w:rsid w:val="008949DC"/>
    <w:rsid w:val="00895072"/>
    <w:rsid w:val="008A4474"/>
    <w:rsid w:val="008B56D6"/>
    <w:rsid w:val="008B6C78"/>
    <w:rsid w:val="008C1841"/>
    <w:rsid w:val="008C1E0B"/>
    <w:rsid w:val="008D0FD1"/>
    <w:rsid w:val="008D3DFC"/>
    <w:rsid w:val="008E3692"/>
    <w:rsid w:val="008E40C4"/>
    <w:rsid w:val="008E5B32"/>
    <w:rsid w:val="008F3512"/>
    <w:rsid w:val="00902B29"/>
    <w:rsid w:val="00913843"/>
    <w:rsid w:val="0093050E"/>
    <w:rsid w:val="00930701"/>
    <w:rsid w:val="00930B93"/>
    <w:rsid w:val="009320D6"/>
    <w:rsid w:val="009345F1"/>
    <w:rsid w:val="009367CC"/>
    <w:rsid w:val="009504C8"/>
    <w:rsid w:val="00956E54"/>
    <w:rsid w:val="00964659"/>
    <w:rsid w:val="0097203F"/>
    <w:rsid w:val="0097372F"/>
    <w:rsid w:val="00975DF1"/>
    <w:rsid w:val="009822F3"/>
    <w:rsid w:val="009839C4"/>
    <w:rsid w:val="00985FD5"/>
    <w:rsid w:val="009911EF"/>
    <w:rsid w:val="009956D1"/>
    <w:rsid w:val="009A0EC8"/>
    <w:rsid w:val="009B02BD"/>
    <w:rsid w:val="009B0A2A"/>
    <w:rsid w:val="009B4908"/>
    <w:rsid w:val="009C2A04"/>
    <w:rsid w:val="009C38BD"/>
    <w:rsid w:val="009C70FF"/>
    <w:rsid w:val="009C7318"/>
    <w:rsid w:val="009E03B6"/>
    <w:rsid w:val="009E68B5"/>
    <w:rsid w:val="009F0A14"/>
    <w:rsid w:val="00A001CA"/>
    <w:rsid w:val="00A03A27"/>
    <w:rsid w:val="00A05E30"/>
    <w:rsid w:val="00A5014F"/>
    <w:rsid w:val="00A56F8A"/>
    <w:rsid w:val="00A6281F"/>
    <w:rsid w:val="00A728BB"/>
    <w:rsid w:val="00A95898"/>
    <w:rsid w:val="00AA2411"/>
    <w:rsid w:val="00AA32A7"/>
    <w:rsid w:val="00AB3041"/>
    <w:rsid w:val="00AB6F38"/>
    <w:rsid w:val="00AB7DB4"/>
    <w:rsid w:val="00AC4565"/>
    <w:rsid w:val="00AD0454"/>
    <w:rsid w:val="00AE3FC8"/>
    <w:rsid w:val="00AF0751"/>
    <w:rsid w:val="00AF275A"/>
    <w:rsid w:val="00AF31AB"/>
    <w:rsid w:val="00AF77B4"/>
    <w:rsid w:val="00B008A4"/>
    <w:rsid w:val="00B02E24"/>
    <w:rsid w:val="00B170FB"/>
    <w:rsid w:val="00B23C66"/>
    <w:rsid w:val="00B26FF0"/>
    <w:rsid w:val="00B31202"/>
    <w:rsid w:val="00B37364"/>
    <w:rsid w:val="00B42892"/>
    <w:rsid w:val="00B43EB2"/>
    <w:rsid w:val="00B46497"/>
    <w:rsid w:val="00B47EA3"/>
    <w:rsid w:val="00B52D31"/>
    <w:rsid w:val="00B65214"/>
    <w:rsid w:val="00B65D8A"/>
    <w:rsid w:val="00B666EA"/>
    <w:rsid w:val="00B67A69"/>
    <w:rsid w:val="00B71118"/>
    <w:rsid w:val="00B73D69"/>
    <w:rsid w:val="00B7582A"/>
    <w:rsid w:val="00B80DC2"/>
    <w:rsid w:val="00B9190A"/>
    <w:rsid w:val="00B92CEB"/>
    <w:rsid w:val="00B95AC4"/>
    <w:rsid w:val="00BC1DBA"/>
    <w:rsid w:val="00BD0101"/>
    <w:rsid w:val="00BD140D"/>
    <w:rsid w:val="00BD142B"/>
    <w:rsid w:val="00BD3CD8"/>
    <w:rsid w:val="00BD4E04"/>
    <w:rsid w:val="00BF0C66"/>
    <w:rsid w:val="00BF4737"/>
    <w:rsid w:val="00BF7643"/>
    <w:rsid w:val="00C0577F"/>
    <w:rsid w:val="00C07DF5"/>
    <w:rsid w:val="00C13F02"/>
    <w:rsid w:val="00C15FF0"/>
    <w:rsid w:val="00C230F2"/>
    <w:rsid w:val="00C4554D"/>
    <w:rsid w:val="00C512E2"/>
    <w:rsid w:val="00C671C7"/>
    <w:rsid w:val="00C75628"/>
    <w:rsid w:val="00C76088"/>
    <w:rsid w:val="00C8011C"/>
    <w:rsid w:val="00C80806"/>
    <w:rsid w:val="00C813CC"/>
    <w:rsid w:val="00C86F8B"/>
    <w:rsid w:val="00CA0719"/>
    <w:rsid w:val="00CA0BF8"/>
    <w:rsid w:val="00CA3FEE"/>
    <w:rsid w:val="00CB0C66"/>
    <w:rsid w:val="00CB3F3E"/>
    <w:rsid w:val="00CB5FAE"/>
    <w:rsid w:val="00CC0072"/>
    <w:rsid w:val="00CC143B"/>
    <w:rsid w:val="00CC1B98"/>
    <w:rsid w:val="00CC2D61"/>
    <w:rsid w:val="00CC6972"/>
    <w:rsid w:val="00CD09D6"/>
    <w:rsid w:val="00CE2914"/>
    <w:rsid w:val="00CE2C14"/>
    <w:rsid w:val="00CF3283"/>
    <w:rsid w:val="00CF7531"/>
    <w:rsid w:val="00CF7953"/>
    <w:rsid w:val="00CF7B33"/>
    <w:rsid w:val="00D00F65"/>
    <w:rsid w:val="00D00FD5"/>
    <w:rsid w:val="00D0316A"/>
    <w:rsid w:val="00D11A8F"/>
    <w:rsid w:val="00D131EC"/>
    <w:rsid w:val="00D13FA7"/>
    <w:rsid w:val="00D20C39"/>
    <w:rsid w:val="00D20F3E"/>
    <w:rsid w:val="00D32668"/>
    <w:rsid w:val="00D34ADB"/>
    <w:rsid w:val="00D4001F"/>
    <w:rsid w:val="00D441D0"/>
    <w:rsid w:val="00D45723"/>
    <w:rsid w:val="00D54A86"/>
    <w:rsid w:val="00D56577"/>
    <w:rsid w:val="00D61A9B"/>
    <w:rsid w:val="00D62B16"/>
    <w:rsid w:val="00D72179"/>
    <w:rsid w:val="00D83C2D"/>
    <w:rsid w:val="00D859B6"/>
    <w:rsid w:val="00D872BC"/>
    <w:rsid w:val="00D9148F"/>
    <w:rsid w:val="00DA3EC6"/>
    <w:rsid w:val="00DB17C7"/>
    <w:rsid w:val="00DB5EE5"/>
    <w:rsid w:val="00DB7B13"/>
    <w:rsid w:val="00DC0DE6"/>
    <w:rsid w:val="00DD2133"/>
    <w:rsid w:val="00DE4E62"/>
    <w:rsid w:val="00DF0340"/>
    <w:rsid w:val="00DF13C4"/>
    <w:rsid w:val="00DF4036"/>
    <w:rsid w:val="00DF4916"/>
    <w:rsid w:val="00E0307F"/>
    <w:rsid w:val="00E11F51"/>
    <w:rsid w:val="00E24EC3"/>
    <w:rsid w:val="00E301E5"/>
    <w:rsid w:val="00E33DC3"/>
    <w:rsid w:val="00E42112"/>
    <w:rsid w:val="00E46090"/>
    <w:rsid w:val="00E60F4A"/>
    <w:rsid w:val="00E6184E"/>
    <w:rsid w:val="00E62FFC"/>
    <w:rsid w:val="00E63575"/>
    <w:rsid w:val="00E64272"/>
    <w:rsid w:val="00E72DBF"/>
    <w:rsid w:val="00E744D5"/>
    <w:rsid w:val="00E84609"/>
    <w:rsid w:val="00E91E0E"/>
    <w:rsid w:val="00E96470"/>
    <w:rsid w:val="00EA13BD"/>
    <w:rsid w:val="00EB0158"/>
    <w:rsid w:val="00EB07BF"/>
    <w:rsid w:val="00EB24C1"/>
    <w:rsid w:val="00EB33FE"/>
    <w:rsid w:val="00EB5998"/>
    <w:rsid w:val="00EC21F6"/>
    <w:rsid w:val="00EC4955"/>
    <w:rsid w:val="00EC7CF1"/>
    <w:rsid w:val="00ED1A9E"/>
    <w:rsid w:val="00ED4806"/>
    <w:rsid w:val="00ED602F"/>
    <w:rsid w:val="00ED6F87"/>
    <w:rsid w:val="00EE2F3D"/>
    <w:rsid w:val="00EF2A51"/>
    <w:rsid w:val="00EF4AB2"/>
    <w:rsid w:val="00EF7C58"/>
    <w:rsid w:val="00F07726"/>
    <w:rsid w:val="00F16D69"/>
    <w:rsid w:val="00F212E0"/>
    <w:rsid w:val="00F215AC"/>
    <w:rsid w:val="00F23325"/>
    <w:rsid w:val="00F30585"/>
    <w:rsid w:val="00F31D4F"/>
    <w:rsid w:val="00F33AC8"/>
    <w:rsid w:val="00F34EFC"/>
    <w:rsid w:val="00F5058F"/>
    <w:rsid w:val="00F516C8"/>
    <w:rsid w:val="00F642CA"/>
    <w:rsid w:val="00F73717"/>
    <w:rsid w:val="00F73CC6"/>
    <w:rsid w:val="00F76E0B"/>
    <w:rsid w:val="00F7774E"/>
    <w:rsid w:val="00F83947"/>
    <w:rsid w:val="00F92ECC"/>
    <w:rsid w:val="00F94B00"/>
    <w:rsid w:val="00F95BB5"/>
    <w:rsid w:val="00FA705C"/>
    <w:rsid w:val="00FC4772"/>
    <w:rsid w:val="00FD0793"/>
    <w:rsid w:val="00FD21A6"/>
    <w:rsid w:val="00FD46E1"/>
    <w:rsid w:val="00FE2D76"/>
    <w:rsid w:val="00FE5762"/>
    <w:rsid w:val="00FF092F"/>
    <w:rsid w:val="00FF3418"/>
    <w:rsid w:val="00FF46CB"/>
    <w:rsid w:val="00FF5E91"/>
    <w:rsid w:val="00FF5EBF"/>
    <w:rsid w:val="00FF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29677"/>
  <w15:chartTrackingRefBased/>
  <w15:docId w15:val="{254525F3-8B86-4287-8BAE-43D74211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1Normal"/>
    <w:qFormat/>
    <w:rsid w:val="00790467"/>
    <w:pPr>
      <w:spacing w:before="60" w:after="60" w:line="276" w:lineRule="auto"/>
      <w:ind w:firstLine="567"/>
      <w:jc w:val="both"/>
    </w:pPr>
    <w:rPr>
      <w:sz w:val="22"/>
      <w:szCs w:val="22"/>
      <w:lang w:val="en-GB"/>
    </w:rPr>
  </w:style>
  <w:style w:type="paragraph" w:styleId="Heading1">
    <w:name w:val="heading 1"/>
    <w:basedOn w:val="Normal"/>
    <w:next w:val="Normal"/>
    <w:link w:val="Heading1Char"/>
    <w:uiPriority w:val="9"/>
    <w:qFormat/>
    <w:rsid w:val="00C07DF5"/>
    <w:pPr>
      <w:keepNext/>
      <w:keepLines/>
      <w:spacing w:before="0" w:after="0" w:line="240" w:lineRule="auto"/>
      <w:ind w:firstLine="0"/>
      <w:jc w:val="left"/>
      <w:outlineLvl w:val="0"/>
    </w:pPr>
    <w:rPr>
      <w:rFonts w:eastAsia="Times New Roman"/>
      <w:b/>
      <w:bCs/>
      <w:sz w:val="26"/>
      <w:szCs w:val="28"/>
    </w:rPr>
  </w:style>
  <w:style w:type="paragraph" w:styleId="Heading2">
    <w:name w:val="heading 2"/>
    <w:basedOn w:val="Normal"/>
    <w:next w:val="Normal"/>
    <w:link w:val="Heading2Char"/>
    <w:uiPriority w:val="9"/>
    <w:unhideWhenUsed/>
    <w:qFormat/>
    <w:rsid w:val="00C07DF5"/>
    <w:pPr>
      <w:keepNext/>
      <w:keepLines/>
      <w:spacing w:before="0" w:after="0" w:line="26" w:lineRule="atLeast"/>
      <w:ind w:firstLine="0"/>
      <w:outlineLvl w:val="1"/>
    </w:pPr>
    <w:rPr>
      <w:rFonts w:eastAsia="Times New Roman"/>
      <w:b/>
      <w:bCs/>
      <w:sz w:val="24"/>
      <w:szCs w:val="26"/>
    </w:rPr>
  </w:style>
  <w:style w:type="paragraph" w:styleId="Heading5">
    <w:name w:val="heading 5"/>
    <w:aliases w:val="@ chú thích (Nguồn)"/>
    <w:basedOn w:val="Normal"/>
    <w:next w:val="Normal"/>
    <w:link w:val="Heading5Char"/>
    <w:qFormat/>
    <w:rsid w:val="008E5B32"/>
    <w:pPr>
      <w:widowControl w:val="0"/>
      <w:tabs>
        <w:tab w:val="left" w:pos="720"/>
        <w:tab w:val="left" w:pos="1440"/>
        <w:tab w:val="left" w:pos="2160"/>
        <w:tab w:val="center" w:pos="4253"/>
        <w:tab w:val="right" w:pos="8505"/>
      </w:tabs>
      <w:spacing w:line="240" w:lineRule="exact"/>
      <w:ind w:firstLine="0"/>
      <w:jc w:val="center"/>
      <w:outlineLvl w:val="4"/>
    </w:pPr>
    <w:rPr>
      <w:rFonts w:eastAsia="Times New Roman"/>
      <w:i/>
      <w:szCs w:val="20"/>
    </w:rPr>
  </w:style>
  <w:style w:type="paragraph" w:styleId="Heading6">
    <w:name w:val="heading 6"/>
    <w:basedOn w:val="Normal"/>
    <w:next w:val="Normal"/>
    <w:link w:val="Heading6Char"/>
    <w:qFormat/>
    <w:rsid w:val="00225AF3"/>
    <w:pPr>
      <w:widowControl w:val="0"/>
      <w:numPr>
        <w:ilvl w:val="5"/>
        <w:numId w:val="12"/>
      </w:numPr>
      <w:tabs>
        <w:tab w:val="left" w:pos="720"/>
        <w:tab w:val="left" w:pos="1440"/>
        <w:tab w:val="left" w:pos="2160"/>
        <w:tab w:val="center" w:pos="4253"/>
        <w:tab w:val="right" w:pos="8505"/>
      </w:tabs>
      <w:spacing w:before="240"/>
      <w:outlineLvl w:val="5"/>
    </w:pPr>
    <w:rPr>
      <w:rFonts w:ascii="Calibri" w:eastAsia="Times New Roman" w:hAnsi="Calibri"/>
      <w:b/>
      <w:bCs/>
      <w:sz w:val="24"/>
      <w:lang w:val="x-none" w:eastAsia="x-none"/>
    </w:rPr>
  </w:style>
  <w:style w:type="paragraph" w:styleId="Heading7">
    <w:name w:val="heading 7"/>
    <w:basedOn w:val="Normal"/>
    <w:next w:val="Normal"/>
    <w:link w:val="Heading7Char"/>
    <w:qFormat/>
    <w:rsid w:val="00225AF3"/>
    <w:pPr>
      <w:keepNext/>
      <w:widowControl w:val="0"/>
      <w:numPr>
        <w:ilvl w:val="6"/>
        <w:numId w:val="12"/>
      </w:numPr>
      <w:tabs>
        <w:tab w:val="left" w:pos="720"/>
        <w:tab w:val="left" w:pos="1440"/>
        <w:tab w:val="left" w:pos="2160"/>
        <w:tab w:val="center" w:pos="4253"/>
        <w:tab w:val="right" w:pos="8505"/>
      </w:tabs>
      <w:jc w:val="center"/>
      <w:outlineLvl w:val="6"/>
    </w:pPr>
    <w:rPr>
      <w:rFonts w:ascii="VNtimes new roman" w:eastAsia="Times New Roman" w:hAnsi="VNtimes new roman"/>
      <w:b/>
      <w:sz w:val="26"/>
      <w:szCs w:val="20"/>
    </w:rPr>
  </w:style>
  <w:style w:type="paragraph" w:styleId="Heading8">
    <w:name w:val="heading 8"/>
    <w:basedOn w:val="Normal"/>
    <w:next w:val="Normal"/>
    <w:link w:val="Heading8Char"/>
    <w:qFormat/>
    <w:rsid w:val="00225AF3"/>
    <w:pPr>
      <w:keepNext/>
      <w:widowControl w:val="0"/>
      <w:numPr>
        <w:ilvl w:val="7"/>
        <w:numId w:val="12"/>
      </w:numPr>
      <w:tabs>
        <w:tab w:val="left" w:pos="720"/>
        <w:tab w:val="left" w:pos="1440"/>
        <w:tab w:val="left" w:pos="2160"/>
        <w:tab w:val="center" w:pos="4253"/>
        <w:tab w:val="right" w:pos="8505"/>
      </w:tabs>
      <w:jc w:val="center"/>
      <w:outlineLvl w:val="7"/>
    </w:pPr>
    <w:rPr>
      <w:rFonts w:ascii=".VnTime" w:eastAsia="Times New Roman" w:hAnsi=".VnTime"/>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uTingVit">
    <w:name w:val="@Tiêu đề Tiếng Việt"/>
    <w:basedOn w:val="Normal"/>
    <w:link w:val="TiuTingVitChar"/>
    <w:qFormat/>
    <w:rsid w:val="00355EE2"/>
    <w:pPr>
      <w:spacing w:before="120" w:after="120"/>
      <w:ind w:firstLine="0"/>
      <w:jc w:val="center"/>
    </w:pPr>
    <w:rPr>
      <w:b/>
      <w:sz w:val="32"/>
      <w:szCs w:val="26"/>
    </w:rPr>
  </w:style>
  <w:style w:type="paragraph" w:customStyle="1" w:styleId="TiuTingAnh">
    <w:name w:val="@Tiêu đề Tiếng Anh"/>
    <w:basedOn w:val="Normal"/>
    <w:link w:val="TiuTingAnhChar"/>
    <w:qFormat/>
    <w:rsid w:val="006776E1"/>
    <w:pPr>
      <w:spacing w:before="240"/>
      <w:ind w:firstLine="0"/>
      <w:jc w:val="center"/>
    </w:pPr>
    <w:rPr>
      <w:sz w:val="28"/>
    </w:rPr>
  </w:style>
  <w:style w:type="character" w:customStyle="1" w:styleId="TiuTingVitChar">
    <w:name w:val="@Tiêu đề Tiếng Việt Char"/>
    <w:link w:val="TiuTingVit"/>
    <w:rsid w:val="00355EE2"/>
    <w:rPr>
      <w:b/>
      <w:sz w:val="32"/>
      <w:szCs w:val="26"/>
    </w:rPr>
  </w:style>
  <w:style w:type="paragraph" w:customStyle="1" w:styleId="Tcgibibo">
    <w:name w:val="@Tác giả bài báo"/>
    <w:basedOn w:val="TiuTingAnh"/>
    <w:link w:val="TcgibiboChar"/>
    <w:qFormat/>
    <w:rsid w:val="00790467"/>
    <w:pPr>
      <w:spacing w:before="0" w:after="120" w:line="240" w:lineRule="exact"/>
    </w:pPr>
    <w:rPr>
      <w:b/>
      <w:i/>
      <w:sz w:val="22"/>
      <w:szCs w:val="24"/>
    </w:rPr>
  </w:style>
  <w:style w:type="character" w:customStyle="1" w:styleId="TiuTingAnhChar">
    <w:name w:val="@Tiêu đề Tiếng Anh Char"/>
    <w:link w:val="TiuTingAnh"/>
    <w:rsid w:val="006776E1"/>
    <w:rPr>
      <w:sz w:val="28"/>
      <w:szCs w:val="22"/>
      <w:lang w:eastAsia="en-US"/>
    </w:rPr>
  </w:style>
  <w:style w:type="paragraph" w:customStyle="1" w:styleId="nvcngtc-Emailtcgi">
    <w:name w:val="@Đơn vị công tác - Email tác giả"/>
    <w:basedOn w:val="TiuTingAnh"/>
    <w:link w:val="nvcngtc-EmailtcgiChar"/>
    <w:qFormat/>
    <w:rsid w:val="00790467"/>
    <w:pPr>
      <w:spacing w:before="0" w:after="0"/>
    </w:pPr>
    <w:rPr>
      <w:i/>
      <w:sz w:val="22"/>
      <w:szCs w:val="21"/>
    </w:rPr>
  </w:style>
  <w:style w:type="character" w:customStyle="1" w:styleId="TcgibiboChar">
    <w:name w:val="@Tác giả bài báo Char"/>
    <w:link w:val="Tcgibibo"/>
    <w:rsid w:val="00790467"/>
    <w:rPr>
      <w:b/>
      <w:i/>
      <w:sz w:val="22"/>
      <w:szCs w:val="24"/>
      <w:lang w:eastAsia="en-US"/>
    </w:rPr>
  </w:style>
  <w:style w:type="character" w:styleId="Hyperlink">
    <w:name w:val="Hyperlink"/>
    <w:uiPriority w:val="99"/>
    <w:unhideWhenUsed/>
    <w:rsid w:val="00BF7643"/>
    <w:rPr>
      <w:color w:val="0000FF"/>
      <w:u w:val="single"/>
    </w:rPr>
  </w:style>
  <w:style w:type="character" w:customStyle="1" w:styleId="nvcngtc-EmailtcgiChar">
    <w:name w:val="@Đơn vị công tác - Email tác giả Char"/>
    <w:link w:val="nvcngtc-Emailtcgi"/>
    <w:rsid w:val="00790467"/>
    <w:rPr>
      <w:i/>
      <w:sz w:val="22"/>
      <w:szCs w:val="21"/>
      <w:lang w:eastAsia="en-US"/>
    </w:rPr>
  </w:style>
  <w:style w:type="paragraph" w:customStyle="1" w:styleId="Tmtt-Abstract">
    <w:name w:val="@Tóm tắt - Abstract"/>
    <w:basedOn w:val="Normal"/>
    <w:link w:val="Tmtt-AbstractChar"/>
    <w:qFormat/>
    <w:rsid w:val="00790467"/>
    <w:pPr>
      <w:spacing w:before="120"/>
      <w:ind w:firstLine="0"/>
      <w:jc w:val="center"/>
    </w:pPr>
    <w:rPr>
      <w:rFonts w:cs="Arial"/>
      <w:b/>
      <w:szCs w:val="20"/>
    </w:rPr>
  </w:style>
  <w:style w:type="paragraph" w:customStyle="1" w:styleId="NidungTmtt-Abstract">
    <w:name w:val="@Nội dung Tóm tắt - Abstract"/>
    <w:basedOn w:val="Normal"/>
    <w:link w:val="NidungTmtt-AbstractChar"/>
    <w:qFormat/>
    <w:rsid w:val="00790467"/>
    <w:pPr>
      <w:ind w:firstLine="0"/>
    </w:pPr>
    <w:rPr>
      <w:rFonts w:cs="Arial"/>
      <w:szCs w:val="18"/>
    </w:rPr>
  </w:style>
  <w:style w:type="character" w:customStyle="1" w:styleId="Tmtt-AbstractChar">
    <w:name w:val="@Tóm tắt - Abstract Char"/>
    <w:link w:val="Tmtt-Abstract"/>
    <w:rsid w:val="00790467"/>
    <w:rPr>
      <w:rFonts w:cs="Arial"/>
      <w:b/>
      <w:sz w:val="22"/>
      <w:lang w:eastAsia="en-US"/>
    </w:rPr>
  </w:style>
  <w:style w:type="paragraph" w:customStyle="1" w:styleId="ColorfulList-Accent11">
    <w:name w:val="Colorful List - Accent 11"/>
    <w:basedOn w:val="Normal"/>
    <w:uiPriority w:val="34"/>
    <w:qFormat/>
    <w:rsid w:val="00225AF3"/>
    <w:pPr>
      <w:ind w:left="720"/>
      <w:contextualSpacing/>
    </w:pPr>
  </w:style>
  <w:style w:type="character" w:customStyle="1" w:styleId="NidungTmtt-AbstractChar">
    <w:name w:val="@Nội dung Tóm tắt - Abstract Char"/>
    <w:link w:val="NidungTmtt-Abstract"/>
    <w:rsid w:val="00790467"/>
    <w:rPr>
      <w:rFonts w:cs="Arial"/>
      <w:sz w:val="22"/>
      <w:szCs w:val="18"/>
      <w:lang w:eastAsia="en-US"/>
    </w:rPr>
  </w:style>
  <w:style w:type="character" w:customStyle="1" w:styleId="Heading5Char">
    <w:name w:val="Heading 5 Char"/>
    <w:aliases w:val="@ chú thích (Nguồn) Char"/>
    <w:link w:val="Heading5"/>
    <w:rsid w:val="008E5B32"/>
    <w:rPr>
      <w:rFonts w:eastAsia="Times New Roman"/>
      <w:i/>
      <w:lang w:eastAsia="en-US"/>
    </w:rPr>
  </w:style>
  <w:style w:type="character" w:customStyle="1" w:styleId="Heading6Char">
    <w:name w:val="Heading 6 Char"/>
    <w:link w:val="Heading6"/>
    <w:rsid w:val="00225AF3"/>
    <w:rPr>
      <w:rFonts w:ascii="Calibri" w:eastAsia="Times New Roman" w:hAnsi="Calibri" w:cs="Times New Roman"/>
      <w:bCs/>
      <w:sz w:val="24"/>
      <w:lang w:val="x-none" w:eastAsia="x-none"/>
    </w:rPr>
  </w:style>
  <w:style w:type="character" w:customStyle="1" w:styleId="Heading7Char">
    <w:name w:val="Heading 7 Char"/>
    <w:link w:val="Heading7"/>
    <w:rsid w:val="00225AF3"/>
    <w:rPr>
      <w:rFonts w:ascii="VNtimes new roman" w:eastAsia="Times New Roman" w:hAnsi="VNtimes new roman" w:cs="Times New Roman"/>
      <w:sz w:val="26"/>
      <w:szCs w:val="20"/>
    </w:rPr>
  </w:style>
  <w:style w:type="character" w:customStyle="1" w:styleId="Heading8Char">
    <w:name w:val="Heading 8 Char"/>
    <w:link w:val="Heading8"/>
    <w:rsid w:val="00225AF3"/>
    <w:rPr>
      <w:rFonts w:ascii=".VnTime" w:eastAsia="Times New Roman" w:hAnsi=".VnTime" w:cs="Times New Roman"/>
      <w:sz w:val="24"/>
      <w:szCs w:val="20"/>
    </w:rPr>
  </w:style>
  <w:style w:type="paragraph" w:customStyle="1" w:styleId="mcCp1">
    <w:name w:val="@ Đề mục (Cấp 1)"/>
    <w:basedOn w:val="Normal"/>
    <w:next w:val="Normal"/>
    <w:qFormat/>
    <w:rsid w:val="00F642CA"/>
    <w:pPr>
      <w:widowControl w:val="0"/>
      <w:numPr>
        <w:numId w:val="12"/>
      </w:numPr>
      <w:tabs>
        <w:tab w:val="left" w:pos="720"/>
        <w:tab w:val="left" w:pos="1440"/>
        <w:tab w:val="left" w:pos="2160"/>
        <w:tab w:val="center" w:pos="4253"/>
        <w:tab w:val="right" w:pos="8505"/>
      </w:tabs>
      <w:spacing w:before="120"/>
      <w:outlineLvl w:val="0"/>
    </w:pPr>
    <w:rPr>
      <w:rFonts w:eastAsia="Times New Roman"/>
      <w:b/>
      <w:szCs w:val="28"/>
    </w:rPr>
  </w:style>
  <w:style w:type="paragraph" w:customStyle="1" w:styleId="mcCp2">
    <w:name w:val="@ Đề mục (Cấp 2)"/>
    <w:basedOn w:val="Normal"/>
    <w:next w:val="Normal"/>
    <w:qFormat/>
    <w:rsid w:val="005B3CCA"/>
    <w:pPr>
      <w:widowControl w:val="0"/>
      <w:numPr>
        <w:ilvl w:val="1"/>
        <w:numId w:val="12"/>
      </w:numPr>
      <w:tabs>
        <w:tab w:val="left" w:pos="720"/>
        <w:tab w:val="left" w:pos="1440"/>
        <w:tab w:val="left" w:pos="2160"/>
        <w:tab w:val="center" w:pos="4253"/>
        <w:tab w:val="right" w:pos="8505"/>
      </w:tabs>
      <w:spacing w:before="120"/>
      <w:outlineLvl w:val="1"/>
    </w:pPr>
    <w:rPr>
      <w:rFonts w:eastAsia="Times New Roman"/>
      <w:b/>
      <w:i/>
      <w:szCs w:val="28"/>
    </w:rPr>
  </w:style>
  <w:style w:type="paragraph" w:customStyle="1" w:styleId="mcCp3">
    <w:name w:val="@ Đề mục (Cấp 3)"/>
    <w:basedOn w:val="Normal"/>
    <w:next w:val="Normal"/>
    <w:qFormat/>
    <w:rsid w:val="008E5B32"/>
    <w:pPr>
      <w:widowControl w:val="0"/>
      <w:numPr>
        <w:ilvl w:val="2"/>
        <w:numId w:val="12"/>
      </w:numPr>
      <w:tabs>
        <w:tab w:val="left" w:pos="720"/>
        <w:tab w:val="left" w:pos="1440"/>
        <w:tab w:val="left" w:pos="2160"/>
        <w:tab w:val="center" w:pos="4253"/>
        <w:tab w:val="right" w:pos="8505"/>
      </w:tabs>
      <w:spacing w:before="120"/>
      <w:outlineLvl w:val="2"/>
    </w:pPr>
    <w:rPr>
      <w:rFonts w:eastAsia="Times New Roman"/>
      <w:i/>
      <w:szCs w:val="28"/>
    </w:rPr>
  </w:style>
  <w:style w:type="paragraph" w:customStyle="1" w:styleId="Tiliuthamkhonidung">
    <w:name w:val="@ Tài liệu tham khảo (nội dung)"/>
    <w:basedOn w:val="Normal"/>
    <w:next w:val="Normal"/>
    <w:qFormat/>
    <w:rsid w:val="00225AF3"/>
    <w:pPr>
      <w:widowControl w:val="0"/>
      <w:numPr>
        <w:ilvl w:val="8"/>
        <w:numId w:val="12"/>
      </w:numPr>
      <w:tabs>
        <w:tab w:val="left" w:pos="720"/>
        <w:tab w:val="left" w:pos="1440"/>
        <w:tab w:val="left" w:pos="2160"/>
        <w:tab w:val="center" w:pos="4253"/>
        <w:tab w:val="right" w:pos="8505"/>
      </w:tabs>
      <w:spacing w:before="40" w:after="40"/>
      <w:outlineLvl w:val="1"/>
    </w:pPr>
    <w:rPr>
      <w:rFonts w:eastAsia="Times New Roman"/>
      <w:szCs w:val="28"/>
    </w:rPr>
  </w:style>
  <w:style w:type="paragraph" w:customStyle="1" w:styleId="mcCp4">
    <w:name w:val="@ Đề mục (Cấp 4)"/>
    <w:basedOn w:val="Normal"/>
    <w:next w:val="Normal"/>
    <w:qFormat/>
    <w:rsid w:val="00A56F8A"/>
    <w:pPr>
      <w:widowControl w:val="0"/>
      <w:numPr>
        <w:ilvl w:val="3"/>
        <w:numId w:val="12"/>
      </w:numPr>
      <w:tabs>
        <w:tab w:val="left" w:pos="720"/>
        <w:tab w:val="left" w:pos="1440"/>
        <w:tab w:val="left" w:pos="2160"/>
        <w:tab w:val="center" w:pos="4253"/>
        <w:tab w:val="right" w:pos="8505"/>
      </w:tabs>
    </w:pPr>
    <w:rPr>
      <w:rFonts w:eastAsia="Times New Roman"/>
      <w:b/>
      <w:szCs w:val="28"/>
    </w:rPr>
  </w:style>
  <w:style w:type="paragraph" w:customStyle="1" w:styleId="ChthchBngbiu-Hnhv">
    <w:name w:val="@ Chú thích Bảng biểu - Hình vẽ"/>
    <w:basedOn w:val="Normal"/>
    <w:rsid w:val="008E5B32"/>
    <w:pPr>
      <w:spacing w:line="240" w:lineRule="auto"/>
      <w:ind w:firstLine="0"/>
      <w:jc w:val="center"/>
    </w:pPr>
    <w:rPr>
      <w:rFonts w:eastAsia="Times New Roman"/>
      <w:b/>
      <w:i/>
      <w:color w:val="000000"/>
      <w:szCs w:val="24"/>
    </w:rPr>
  </w:style>
  <w:style w:type="paragraph" w:customStyle="1" w:styleId="Nidungtrongbng">
    <w:name w:val="@Nội dung trong bảng"/>
    <w:basedOn w:val="Normal"/>
    <w:qFormat/>
    <w:rsid w:val="006A619C"/>
    <w:pPr>
      <w:ind w:firstLine="0"/>
    </w:pPr>
  </w:style>
  <w:style w:type="paragraph" w:styleId="BalloonText">
    <w:name w:val="Balloon Text"/>
    <w:basedOn w:val="Normal"/>
    <w:link w:val="BalloonTextChar"/>
    <w:uiPriority w:val="99"/>
    <w:semiHidden/>
    <w:unhideWhenUsed/>
    <w:rsid w:val="001710C0"/>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1710C0"/>
    <w:rPr>
      <w:rFonts w:ascii="Tahoma" w:hAnsi="Tahoma" w:cs="Tahoma"/>
      <w:b/>
      <w:sz w:val="16"/>
      <w:szCs w:val="16"/>
    </w:rPr>
  </w:style>
  <w:style w:type="paragraph" w:styleId="Caption">
    <w:name w:val="caption"/>
    <w:aliases w:val="@Chú thích hình"/>
    <w:basedOn w:val="Normal"/>
    <w:next w:val="Normal"/>
    <w:uiPriority w:val="35"/>
    <w:qFormat/>
    <w:rsid w:val="001C00A9"/>
    <w:pPr>
      <w:spacing w:before="0" w:after="0" w:line="240" w:lineRule="auto"/>
      <w:ind w:firstLine="0"/>
      <w:jc w:val="center"/>
    </w:pPr>
    <w:rPr>
      <w:bCs/>
      <w:i/>
      <w:sz w:val="20"/>
      <w:szCs w:val="18"/>
    </w:rPr>
  </w:style>
  <w:style w:type="paragraph" w:styleId="Header">
    <w:name w:val="header"/>
    <w:basedOn w:val="Normal"/>
    <w:link w:val="HeaderChar"/>
    <w:uiPriority w:val="99"/>
    <w:unhideWhenUsed/>
    <w:rsid w:val="00E96470"/>
    <w:pPr>
      <w:tabs>
        <w:tab w:val="center" w:pos="4680"/>
        <w:tab w:val="right" w:pos="9360"/>
      </w:tabs>
    </w:pPr>
  </w:style>
  <w:style w:type="character" w:customStyle="1" w:styleId="HeaderChar">
    <w:name w:val="Header Char"/>
    <w:link w:val="Header"/>
    <w:uiPriority w:val="99"/>
    <w:rsid w:val="00E96470"/>
    <w:rPr>
      <w:sz w:val="22"/>
      <w:szCs w:val="22"/>
    </w:rPr>
  </w:style>
  <w:style w:type="paragraph" w:styleId="Footer">
    <w:name w:val="footer"/>
    <w:basedOn w:val="Normal"/>
    <w:link w:val="FooterChar"/>
    <w:uiPriority w:val="99"/>
    <w:unhideWhenUsed/>
    <w:rsid w:val="00E96470"/>
    <w:pPr>
      <w:tabs>
        <w:tab w:val="center" w:pos="4680"/>
        <w:tab w:val="right" w:pos="9360"/>
      </w:tabs>
    </w:pPr>
  </w:style>
  <w:style w:type="character" w:customStyle="1" w:styleId="FooterChar">
    <w:name w:val="Footer Char"/>
    <w:link w:val="Footer"/>
    <w:uiPriority w:val="99"/>
    <w:rsid w:val="00E96470"/>
    <w:rPr>
      <w:sz w:val="22"/>
      <w:szCs w:val="22"/>
    </w:rPr>
  </w:style>
  <w:style w:type="paragraph" w:customStyle="1" w:styleId="Danhmctiliuthamkho">
    <w:name w:val="@Danh mục tài liệu tham khảo"/>
    <w:basedOn w:val="Normal"/>
    <w:link w:val="DanhmctiliuthamkhoChar"/>
    <w:qFormat/>
    <w:rsid w:val="00EC7CF1"/>
    <w:pPr>
      <w:spacing w:before="240" w:after="240"/>
      <w:ind w:firstLine="0"/>
      <w:jc w:val="center"/>
    </w:pPr>
    <w:rPr>
      <w:b/>
    </w:rPr>
  </w:style>
  <w:style w:type="table" w:styleId="TableGrid">
    <w:name w:val="Table Grid"/>
    <w:basedOn w:val="TableNormal"/>
    <w:uiPriority w:val="59"/>
    <w:rsid w:val="0097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nhmctiliuthamkhoChar">
    <w:name w:val="@Danh mục tài liệu tham khảo Char"/>
    <w:link w:val="Danhmctiliuthamkho"/>
    <w:rsid w:val="00EC7CF1"/>
    <w:rPr>
      <w:b/>
      <w:sz w:val="22"/>
      <w:szCs w:val="22"/>
    </w:rPr>
  </w:style>
  <w:style w:type="paragraph" w:styleId="HTMLPreformatted">
    <w:name w:val="HTML Preformatted"/>
    <w:basedOn w:val="Normal"/>
    <w:link w:val="HTMLPreformattedChar"/>
    <w:uiPriority w:val="99"/>
    <w:unhideWhenUsed/>
    <w:qFormat/>
    <w:rsid w:val="00936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w:hAnsi="Courier" w:cs="Courier"/>
      <w:sz w:val="20"/>
      <w:szCs w:val="20"/>
      <w:lang w:val="vi-VN"/>
    </w:rPr>
  </w:style>
  <w:style w:type="character" w:customStyle="1" w:styleId="HTMLPreformattedChar">
    <w:name w:val="HTML Preformatted Char"/>
    <w:link w:val="HTMLPreformatted"/>
    <w:uiPriority w:val="99"/>
    <w:rsid w:val="009367CC"/>
    <w:rPr>
      <w:rFonts w:ascii="Courier" w:hAnsi="Courier" w:cs="Courier"/>
    </w:rPr>
  </w:style>
  <w:style w:type="character" w:styleId="FollowedHyperlink">
    <w:name w:val="FollowedHyperlink"/>
    <w:uiPriority w:val="99"/>
    <w:semiHidden/>
    <w:unhideWhenUsed/>
    <w:rsid w:val="009367CC"/>
    <w:rPr>
      <w:color w:val="800080"/>
      <w:u w:val="single"/>
    </w:rPr>
  </w:style>
  <w:style w:type="paragraph" w:styleId="NormalWeb">
    <w:name w:val="Normal (Web)"/>
    <w:basedOn w:val="Normal"/>
    <w:uiPriority w:val="99"/>
    <w:unhideWhenUsed/>
    <w:rsid w:val="00D62B16"/>
    <w:pPr>
      <w:spacing w:before="100" w:beforeAutospacing="1" w:after="100" w:afterAutospacing="1" w:line="240" w:lineRule="auto"/>
      <w:ind w:firstLine="0"/>
      <w:jc w:val="left"/>
    </w:pPr>
    <w:rPr>
      <w:rFonts w:ascii="Times" w:eastAsia="MS Mincho" w:hAnsi="Times"/>
      <w:sz w:val="20"/>
      <w:szCs w:val="20"/>
      <w:lang w:val="vi-VN"/>
    </w:rPr>
  </w:style>
  <w:style w:type="character" w:styleId="Strong">
    <w:name w:val="Strong"/>
    <w:uiPriority w:val="22"/>
    <w:qFormat/>
    <w:rsid w:val="00D62B16"/>
    <w:rPr>
      <w:b/>
      <w:bCs/>
    </w:rPr>
  </w:style>
  <w:style w:type="character" w:styleId="Emphasis">
    <w:name w:val="Emphasis"/>
    <w:uiPriority w:val="20"/>
    <w:qFormat/>
    <w:rsid w:val="007D3C46"/>
    <w:rPr>
      <w:i/>
      <w:iCs/>
    </w:rPr>
  </w:style>
  <w:style w:type="paragraph" w:styleId="ListParagraph">
    <w:name w:val="List Paragraph"/>
    <w:basedOn w:val="Normal"/>
    <w:uiPriority w:val="34"/>
    <w:qFormat/>
    <w:rsid w:val="0015048C"/>
    <w:pPr>
      <w:suppressAutoHyphens/>
      <w:ind w:leftChars="-1" w:left="720" w:hangingChars="1" w:hanging="1"/>
      <w:contextualSpacing/>
      <w:textDirection w:val="btLr"/>
      <w:textAlignment w:val="top"/>
      <w:outlineLvl w:val="0"/>
    </w:pPr>
    <w:rPr>
      <w:rFonts w:eastAsia="Times New Roman"/>
      <w:position w:val="-1"/>
    </w:rPr>
  </w:style>
  <w:style w:type="character" w:customStyle="1" w:styleId="Heading1Char">
    <w:name w:val="Heading 1 Char"/>
    <w:link w:val="Heading1"/>
    <w:uiPriority w:val="9"/>
    <w:rsid w:val="00C07DF5"/>
    <w:rPr>
      <w:rFonts w:eastAsia="Times New Roman"/>
      <w:b/>
      <w:bCs/>
      <w:sz w:val="26"/>
      <w:szCs w:val="28"/>
    </w:rPr>
  </w:style>
  <w:style w:type="paragraph" w:styleId="CommentText">
    <w:name w:val="annotation text"/>
    <w:basedOn w:val="Normal"/>
    <w:link w:val="CommentTextChar"/>
    <w:uiPriority w:val="99"/>
    <w:semiHidden/>
    <w:unhideWhenUsed/>
    <w:rsid w:val="00CB0C66"/>
    <w:rPr>
      <w:szCs w:val="20"/>
    </w:rPr>
  </w:style>
  <w:style w:type="character" w:customStyle="1" w:styleId="CommentTextChar">
    <w:name w:val="Comment Text Char"/>
    <w:link w:val="CommentText"/>
    <w:uiPriority w:val="99"/>
    <w:semiHidden/>
    <w:rsid w:val="00CB0C66"/>
    <w:rPr>
      <w:lang w:eastAsia="en-US"/>
    </w:rPr>
  </w:style>
  <w:style w:type="paragraph" w:styleId="CommentSubject">
    <w:name w:val="annotation subject"/>
    <w:basedOn w:val="CommentText"/>
    <w:next w:val="CommentText"/>
    <w:link w:val="CommentSubjectChar"/>
    <w:uiPriority w:val="99"/>
    <w:semiHidden/>
    <w:unhideWhenUsed/>
    <w:rsid w:val="00CB0C66"/>
    <w:pPr>
      <w:spacing w:before="0" w:after="200" w:line="240" w:lineRule="auto"/>
      <w:ind w:firstLine="0"/>
      <w:jc w:val="left"/>
    </w:pPr>
    <w:rPr>
      <w:rFonts w:ascii="Calibri" w:hAnsi="Calibri"/>
      <w:b/>
      <w:bCs/>
    </w:rPr>
  </w:style>
  <w:style w:type="character" w:customStyle="1" w:styleId="CommentSubjectChar">
    <w:name w:val="Comment Subject Char"/>
    <w:link w:val="CommentSubject"/>
    <w:uiPriority w:val="99"/>
    <w:semiHidden/>
    <w:rsid w:val="00CB0C66"/>
    <w:rPr>
      <w:rFonts w:ascii="Calibri" w:hAnsi="Calibri"/>
      <w:b/>
      <w:bCs/>
      <w:lang w:eastAsia="en-US"/>
    </w:rPr>
  </w:style>
  <w:style w:type="character" w:customStyle="1" w:styleId="Heading2Char">
    <w:name w:val="Heading 2 Char"/>
    <w:link w:val="Heading2"/>
    <w:uiPriority w:val="9"/>
    <w:rsid w:val="00C07DF5"/>
    <w:rPr>
      <w:rFonts w:eastAsia="Times New Roman"/>
      <w:b/>
      <w:bCs/>
      <w:sz w:val="24"/>
      <w:szCs w:val="26"/>
    </w:rPr>
  </w:style>
  <w:style w:type="paragraph" w:styleId="FootnoteText">
    <w:name w:val="footnote text"/>
    <w:aliases w:val="Footnote Text Char Char Char Char Char,Footnote Text Char Char Char Char Char Char Ch,fn,Footnote Text Char1 Char,Footnote Text Char Char1 Char,DTKH-ftnote,single space,footnote text,Table_Footnote_last, Char Char Char Char Char Char Char"/>
    <w:basedOn w:val="Normal"/>
    <w:link w:val="FootnoteTextChar"/>
    <w:semiHidden/>
    <w:unhideWhenUsed/>
    <w:rsid w:val="00C07DF5"/>
    <w:pPr>
      <w:spacing w:before="0" w:after="0" w:line="240" w:lineRule="auto"/>
      <w:ind w:firstLine="0"/>
    </w:pPr>
    <w:rPr>
      <w:sz w:val="20"/>
      <w:szCs w:val="20"/>
    </w:rPr>
  </w:style>
  <w:style w:type="character" w:customStyle="1" w:styleId="FootnoteTextChar">
    <w:name w:val="Footnote Text Char"/>
    <w:aliases w:val="Footnote Text Char Char Char Char Char Char,Footnote Text Char Char Char Char Char Char Ch Char,fn Char,Footnote Text Char1 Char Char,Footnote Text Char Char1 Char Char,DTKH-ftnote Char,single space Char,footnote text Char"/>
    <w:basedOn w:val="DefaultParagraphFont"/>
    <w:link w:val="FootnoteText"/>
    <w:semiHidden/>
    <w:rsid w:val="00C07DF5"/>
  </w:style>
  <w:style w:type="character" w:styleId="FootnoteReference">
    <w:name w:val="footnote reference"/>
    <w:aliases w:val="Footnote dich,SUPERS,Footnote,chu_thich,ftref,BVI fnr,footnote ref,Footnote text,Footnote Reference Number,Знак сноски 1,(NECG) Footnote Reference,16 Point,Superscript 6 Point,Footnote + Arial,10 pt,Black,Ref,de nota al pie, BVI fnr,f"/>
    <w:semiHidden/>
    <w:unhideWhenUsed/>
    <w:rsid w:val="00C07DF5"/>
    <w:rPr>
      <w:vertAlign w:val="superscript"/>
    </w:rPr>
  </w:style>
  <w:style w:type="paragraph" w:customStyle="1" w:styleId="NgunBngbiu-Hnhv">
    <w:name w:val="@ Nguồn Bảng biểu - Hình vẽ"/>
    <w:basedOn w:val="ChthchBngbiu-Hnhv"/>
    <w:qFormat/>
    <w:rsid w:val="00DB17C7"/>
    <w:pPr>
      <w:jc w:val="right"/>
    </w:pPr>
    <w:rPr>
      <w:b w:val="0"/>
    </w:rPr>
  </w:style>
  <w:style w:type="paragraph" w:customStyle="1" w:styleId="Els-1storder-head">
    <w:name w:val="Els-1storder-head"/>
    <w:next w:val="Normal"/>
    <w:rsid w:val="00462BC4"/>
    <w:pPr>
      <w:keepNext/>
      <w:numPr>
        <w:numId w:val="14"/>
      </w:numPr>
      <w:suppressAutoHyphens/>
      <w:spacing w:before="240" w:after="240" w:line="240" w:lineRule="exact"/>
    </w:pPr>
    <w:rPr>
      <w:rFonts w:eastAsia="SimSun"/>
      <w:b/>
    </w:rPr>
  </w:style>
  <w:style w:type="paragraph" w:customStyle="1" w:styleId="Els-2ndorder-head">
    <w:name w:val="Els-2ndorder-head"/>
    <w:next w:val="Normal"/>
    <w:rsid w:val="00462BC4"/>
    <w:pPr>
      <w:keepNext/>
      <w:numPr>
        <w:ilvl w:val="1"/>
        <w:numId w:val="14"/>
      </w:numPr>
      <w:suppressAutoHyphens/>
      <w:spacing w:before="240" w:after="240" w:line="240" w:lineRule="exact"/>
    </w:pPr>
    <w:rPr>
      <w:rFonts w:eastAsia="SimSun"/>
      <w:i/>
    </w:rPr>
  </w:style>
  <w:style w:type="paragraph" w:customStyle="1" w:styleId="Els-3rdorder-head">
    <w:name w:val="Els-3rdorder-head"/>
    <w:next w:val="Normal"/>
    <w:rsid w:val="00462BC4"/>
    <w:pPr>
      <w:keepNext/>
      <w:numPr>
        <w:ilvl w:val="2"/>
        <w:numId w:val="14"/>
      </w:numPr>
      <w:suppressAutoHyphens/>
      <w:spacing w:before="240" w:line="240" w:lineRule="exact"/>
    </w:pPr>
    <w:rPr>
      <w:rFonts w:eastAsia="SimSun"/>
      <w:i/>
    </w:rPr>
  </w:style>
  <w:style w:type="paragraph" w:customStyle="1" w:styleId="Els-4thorder-head">
    <w:name w:val="Els-4thorder-head"/>
    <w:next w:val="Normal"/>
    <w:rsid w:val="00462BC4"/>
    <w:pPr>
      <w:keepNext/>
      <w:numPr>
        <w:ilvl w:val="3"/>
        <w:numId w:val="14"/>
      </w:numPr>
      <w:suppressAutoHyphens/>
      <w:spacing w:before="240" w:line="240" w:lineRule="exact"/>
    </w:pPr>
    <w:rPr>
      <w:rFonts w:eastAsia="SimSun"/>
      <w:i/>
    </w:rPr>
  </w:style>
  <w:style w:type="character" w:customStyle="1" w:styleId="Hyperlink0">
    <w:name w:val="Hyperlink.0"/>
    <w:basedOn w:val="DefaultParagraphFont"/>
    <w:rsid w:val="002714B7"/>
    <w:rPr>
      <w:color w:val="0432FF"/>
      <w:u w:val="single" w:color="0563C1"/>
    </w:rPr>
  </w:style>
  <w:style w:type="character" w:customStyle="1" w:styleId="Hyperlink1">
    <w:name w:val="Hyperlink.1"/>
    <w:basedOn w:val="DefaultParagraphFont"/>
    <w:rsid w:val="002714B7"/>
    <w:rPr>
      <w:color w:val="0432FF"/>
      <w:u w:val="single" w:color="0000FF"/>
    </w:rPr>
  </w:style>
  <w:style w:type="character" w:styleId="CommentReference">
    <w:name w:val="annotation reference"/>
    <w:basedOn w:val="DefaultParagraphFont"/>
    <w:uiPriority w:val="99"/>
    <w:semiHidden/>
    <w:unhideWhenUsed/>
    <w:rsid w:val="0080140E"/>
    <w:rPr>
      <w:sz w:val="16"/>
      <w:szCs w:val="16"/>
    </w:rPr>
  </w:style>
  <w:style w:type="paragraph" w:styleId="BodyText">
    <w:name w:val="Body Text"/>
    <w:basedOn w:val="Normal"/>
    <w:link w:val="BodyTextChar"/>
    <w:uiPriority w:val="1"/>
    <w:qFormat/>
    <w:rsid w:val="006F4F6E"/>
    <w:pPr>
      <w:widowControl w:val="0"/>
      <w:autoSpaceDE w:val="0"/>
      <w:autoSpaceDN w:val="0"/>
      <w:spacing w:before="0" w:after="0" w:line="240" w:lineRule="auto"/>
      <w:ind w:firstLine="0"/>
      <w:jc w:val="left"/>
    </w:pPr>
    <w:rPr>
      <w:rFonts w:eastAsia="Times New Roman"/>
      <w:i/>
      <w:noProof/>
      <w:sz w:val="20"/>
      <w:szCs w:val="20"/>
      <w:lang w:bidi="en-US"/>
    </w:rPr>
  </w:style>
  <w:style w:type="character" w:customStyle="1" w:styleId="BodyTextChar">
    <w:name w:val="Body Text Char"/>
    <w:basedOn w:val="DefaultParagraphFont"/>
    <w:link w:val="BodyText"/>
    <w:uiPriority w:val="1"/>
    <w:rsid w:val="006F4F6E"/>
    <w:rPr>
      <w:rFonts w:eastAsia="Times New Roman"/>
      <w:i/>
      <w:noProo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1367">
      <w:bodyDiv w:val="1"/>
      <w:marLeft w:val="0"/>
      <w:marRight w:val="0"/>
      <w:marTop w:val="0"/>
      <w:marBottom w:val="0"/>
      <w:divBdr>
        <w:top w:val="none" w:sz="0" w:space="0" w:color="auto"/>
        <w:left w:val="none" w:sz="0" w:space="0" w:color="auto"/>
        <w:bottom w:val="none" w:sz="0" w:space="0" w:color="auto"/>
        <w:right w:val="none" w:sz="0" w:space="0" w:color="auto"/>
      </w:divBdr>
    </w:div>
    <w:div w:id="1203516497">
      <w:bodyDiv w:val="1"/>
      <w:marLeft w:val="0"/>
      <w:marRight w:val="0"/>
      <w:marTop w:val="0"/>
      <w:marBottom w:val="0"/>
      <w:divBdr>
        <w:top w:val="none" w:sz="0" w:space="0" w:color="auto"/>
        <w:left w:val="none" w:sz="0" w:space="0" w:color="auto"/>
        <w:bottom w:val="none" w:sz="0" w:space="0" w:color="auto"/>
        <w:right w:val="none" w:sz="0" w:space="0" w:color="auto"/>
      </w:divBdr>
    </w:div>
    <w:div w:id="1342389488">
      <w:bodyDiv w:val="1"/>
      <w:marLeft w:val="0"/>
      <w:marRight w:val="0"/>
      <w:marTop w:val="0"/>
      <w:marBottom w:val="0"/>
      <w:divBdr>
        <w:top w:val="none" w:sz="0" w:space="0" w:color="auto"/>
        <w:left w:val="none" w:sz="0" w:space="0" w:color="auto"/>
        <w:bottom w:val="none" w:sz="0" w:space="0" w:color="auto"/>
        <w:right w:val="none" w:sz="0" w:space="0" w:color="auto"/>
      </w:divBdr>
    </w:div>
    <w:div w:id="17279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44C5F-4EB3-4016-B700-98A92C4AC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7284</TotalTime>
  <Pages>9</Pages>
  <Words>16337</Words>
  <Characters>93127</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TRƯỜNG ĐẠI HỌC KINH TẾ - ĐẠI HỌC ĐÀ NẴNG</vt:lpstr>
    </vt:vector>
  </TitlesOfParts>
  <Company>VietForum.vn</Company>
  <LinksUpToDate>false</LinksUpToDate>
  <CharactersWithSpaces>109246</CharactersWithSpaces>
  <SharedDoc>false</SharedDoc>
  <HLinks>
    <vt:vector size="18" baseType="variant">
      <vt:variant>
        <vt:i4>5242908</vt:i4>
      </vt:variant>
      <vt:variant>
        <vt:i4>45</vt:i4>
      </vt:variant>
      <vt:variant>
        <vt:i4>0</vt:i4>
      </vt:variant>
      <vt:variant>
        <vt:i4>5</vt:i4>
      </vt:variant>
      <vt:variant>
        <vt:lpwstr>https://ideas.repec.org/s/une/wpaper.html</vt:lpwstr>
      </vt:variant>
      <vt:variant>
        <vt:lpwstr/>
      </vt:variant>
      <vt:variant>
        <vt:i4>5767175</vt:i4>
      </vt:variant>
      <vt:variant>
        <vt:i4>42</vt:i4>
      </vt:variant>
      <vt:variant>
        <vt:i4>0</vt:i4>
      </vt:variant>
      <vt:variant>
        <vt:i4>5</vt:i4>
      </vt:variant>
      <vt:variant>
        <vt:lpwstr>https://ideas.repec.org/s/hhs/cesisp.html</vt:lpwstr>
      </vt:variant>
      <vt:variant>
        <vt:lpwstr/>
      </vt:variant>
      <vt:variant>
        <vt:i4>7209084</vt:i4>
      </vt:variant>
      <vt:variant>
        <vt:i4>39</vt:i4>
      </vt:variant>
      <vt:variant>
        <vt:i4>0</vt:i4>
      </vt:variant>
      <vt:variant>
        <vt:i4>5</vt:i4>
      </vt:variant>
      <vt:variant>
        <vt:lpwstr>https://ideas.repec.org/p/hhs/cesisp/0058.html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ĐẠI HỌC KINH TẾ - ĐẠI HỌC ĐÀ NẴNG</dc:title>
  <dc:subject/>
  <dc:creator>AdminSysTem</dc:creator>
  <cp:keywords/>
  <dc:description/>
  <cp:lastModifiedBy>Hiep Bui Trung</cp:lastModifiedBy>
  <cp:revision>60</cp:revision>
  <cp:lastPrinted>2019-02-20T02:39:00Z</cp:lastPrinted>
  <dcterms:created xsi:type="dcterms:W3CDTF">2021-10-05T12:36:00Z</dcterms:created>
  <dcterms:modified xsi:type="dcterms:W3CDTF">2021-10-12T16:00:00Z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8f5b721d-427b-321f-929b-dd1a8e68f53c</vt:lpwstr>
  </property>
  <property fmtid="{D5CDD505-2E9C-101B-9397-08002B2CF9AE}" pid="4" name="Mendeley Citation Style_1">
    <vt:lpwstr>http://www.zotero.org/styles/harvard-cite-them-right</vt:lpwstr>
  </property>
  <property fmtid="{D5CDD505-2E9C-101B-9397-08002B2CF9AE}" pid="5" name="Mendeley Recent Style Id 0_1">
    <vt:lpwstr>http://www.zotero.org/styles/aims-public-health</vt:lpwstr>
  </property>
  <property fmtid="{D5CDD505-2E9C-101B-9397-08002B2CF9AE}" pid="6" name="Mendeley Recent Style Name 0_1">
    <vt:lpwstr>AIMS Public Health</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http://www.zotero.org/styles/iatss-research</vt:lpwstr>
  </property>
  <property fmtid="{D5CDD505-2E9C-101B-9397-08002B2CF9AE}" pid="12" name="Mendeley Recent Style Name 3_1">
    <vt:lpwstr>IATSS Research</vt:lpwstr>
  </property>
  <property fmtid="{D5CDD505-2E9C-101B-9397-08002B2CF9AE}" pid="13" name="Mendeley Recent Style Id 4_1">
    <vt:lpwstr>http://www.zotero.org/styles/modern-humanities-research-association</vt:lpwstr>
  </property>
  <property fmtid="{D5CDD505-2E9C-101B-9397-08002B2CF9AE}" pid="14" name="Mendeley Recent Style Name 4_1">
    <vt:lpwstr>Modern Humanities Research Association 3rd edition (note with bibliography)</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8th edition</vt:lpwstr>
  </property>
  <property fmtid="{D5CDD505-2E9C-101B-9397-08002B2CF9AE}" pid="17" name="Mendeley Recent Style Id 6_1">
    <vt:lpwstr>http://www.zotero.org/styles/safety-science</vt:lpwstr>
  </property>
  <property fmtid="{D5CDD505-2E9C-101B-9397-08002B2CF9AE}" pid="18" name="Mendeley Recent Style Name 6_1">
    <vt:lpwstr>Safety Science</vt:lpwstr>
  </property>
  <property fmtid="{D5CDD505-2E9C-101B-9397-08002B2CF9AE}" pid="19" name="Mendeley Recent Style Id 7_1">
    <vt:lpwstr>http://www.zotero.org/styles/traffic-injury-prevention</vt:lpwstr>
  </property>
  <property fmtid="{D5CDD505-2E9C-101B-9397-08002B2CF9AE}" pid="20" name="Mendeley Recent Style Name 7_1">
    <vt:lpwstr>Traffic Injury Prevention</vt:lpwstr>
  </property>
  <property fmtid="{D5CDD505-2E9C-101B-9397-08002B2CF9AE}" pid="21" name="Mendeley Recent Style Id 8_1">
    <vt:lpwstr>http://www.zotero.org/styles/transportation-research-part-f-psychology-and-behaviour</vt:lpwstr>
  </property>
  <property fmtid="{D5CDD505-2E9C-101B-9397-08002B2CF9AE}" pid="22" name="Mendeley Recent Style Name 8_1">
    <vt:lpwstr>Transportation Research Part F: Psychology and Behaviour</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