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4CD9" w14:textId="77777777" w:rsidR="00B6152C" w:rsidRDefault="00B6152C" w:rsidP="00B6152C">
      <w:pPr>
        <w:spacing w:before="960" w:line="480" w:lineRule="auto"/>
        <w:jc w:val="center"/>
        <w:rPr>
          <w:b/>
          <w:lang w:val="en-US"/>
        </w:rPr>
      </w:pPr>
      <w:r>
        <w:rPr>
          <w:b/>
          <w:lang w:val="en-US"/>
        </w:rPr>
        <w:t>Feeling the ease: how the use of oral motor fluency changes in amnesia</w:t>
      </w:r>
    </w:p>
    <w:p w14:paraId="5597D67B" w14:textId="77777777" w:rsidR="00B6152C" w:rsidRPr="00F90E03" w:rsidRDefault="00B6152C" w:rsidP="00B6152C">
      <w:pPr>
        <w:spacing w:line="480" w:lineRule="auto"/>
        <w:jc w:val="center"/>
        <w:rPr>
          <w:vertAlign w:val="superscript"/>
          <w:lang w:val="en-US"/>
        </w:rPr>
      </w:pPr>
      <w:r w:rsidRPr="00F90E03">
        <w:rPr>
          <w:lang w:val="en-US"/>
        </w:rPr>
        <w:t>Marie Geurten</w:t>
      </w:r>
      <w:r w:rsidRPr="00F90E03">
        <w:rPr>
          <w:vertAlign w:val="superscript"/>
          <w:lang w:val="en-US"/>
        </w:rPr>
        <w:t>1,2,3</w:t>
      </w:r>
      <w:r w:rsidRPr="00F90E03">
        <w:rPr>
          <w:lang w:val="en-US"/>
        </w:rPr>
        <w:t xml:space="preserve"> , Christine Bastin</w:t>
      </w:r>
      <w:r w:rsidRPr="00F90E03">
        <w:rPr>
          <w:vertAlign w:val="superscript"/>
          <w:lang w:val="en-US"/>
        </w:rPr>
        <w:t>1,2,3</w:t>
      </w:r>
      <w:r w:rsidRPr="00F90E03">
        <w:rPr>
          <w:lang w:val="en-US"/>
        </w:rPr>
        <w:t xml:space="preserve"> , &amp; Sylvie Willems</w:t>
      </w:r>
      <w:r w:rsidRPr="00F90E03">
        <w:rPr>
          <w:vertAlign w:val="superscript"/>
          <w:lang w:val="en-US"/>
        </w:rPr>
        <w:t>2</w:t>
      </w:r>
    </w:p>
    <w:p w14:paraId="3D0C089F" w14:textId="77777777" w:rsidR="00B6152C" w:rsidRPr="0032060B" w:rsidRDefault="00B6152C" w:rsidP="00B6152C">
      <w:pPr>
        <w:keepLines/>
        <w:suppressAutoHyphens/>
        <w:spacing w:after="0" w:line="480" w:lineRule="auto"/>
        <w:jc w:val="center"/>
        <w:rPr>
          <w:rFonts w:eastAsia="Times New Roman" w:cs="Times New Roman"/>
          <w:vertAlign w:val="superscript"/>
          <w:lang w:val="en-US"/>
        </w:rPr>
      </w:pPr>
      <w:r w:rsidRPr="0032060B">
        <w:rPr>
          <w:vertAlign w:val="superscript"/>
          <w:lang w:val="en-US"/>
        </w:rPr>
        <w:t xml:space="preserve">1 </w:t>
      </w:r>
      <w:r w:rsidRPr="0032060B">
        <w:rPr>
          <w:lang w:val="en-US"/>
        </w:rPr>
        <w:t>Cyclotron Research Center, University of Liège, Liège, Belgium</w:t>
      </w:r>
    </w:p>
    <w:p w14:paraId="11B390BC" w14:textId="77777777" w:rsidR="00B6152C" w:rsidRPr="0032060B" w:rsidRDefault="00B6152C" w:rsidP="00B6152C">
      <w:pPr>
        <w:keepLines/>
        <w:suppressAutoHyphens/>
        <w:spacing w:after="0" w:line="480" w:lineRule="auto"/>
        <w:jc w:val="center"/>
        <w:rPr>
          <w:rFonts w:eastAsia="Times New Roman" w:cs="Times New Roman"/>
          <w:lang w:val="en-US"/>
        </w:rPr>
      </w:pPr>
      <w:r w:rsidRPr="0032060B">
        <w:rPr>
          <w:rFonts w:eastAsia="Times New Roman" w:cs="Times New Roman"/>
          <w:vertAlign w:val="superscript"/>
          <w:lang w:val="en-US"/>
        </w:rPr>
        <w:t xml:space="preserve">2 </w:t>
      </w:r>
      <w:r w:rsidRPr="0032060B">
        <w:rPr>
          <w:rFonts w:eastAsia="Times New Roman" w:cs="Times New Roman"/>
          <w:lang w:val="en-US"/>
        </w:rPr>
        <w:t>Psychology and Neuroscience of Cognition Unit, University of Liège, Belgium</w:t>
      </w:r>
    </w:p>
    <w:p w14:paraId="30C42F06" w14:textId="77777777" w:rsidR="00B6152C" w:rsidRPr="0032060B" w:rsidRDefault="00B6152C" w:rsidP="00B6152C">
      <w:pPr>
        <w:keepLines/>
        <w:suppressAutoHyphens/>
        <w:spacing w:after="0" w:line="480" w:lineRule="auto"/>
        <w:jc w:val="center"/>
        <w:rPr>
          <w:rFonts w:eastAsia="Times New Roman" w:cs="Times New Roman"/>
          <w:lang w:val="en-US"/>
        </w:rPr>
      </w:pPr>
      <w:r w:rsidRPr="0032060B">
        <w:rPr>
          <w:rFonts w:eastAsia="Times New Roman" w:cs="Times New Roman"/>
          <w:vertAlign w:val="superscript"/>
          <w:lang w:val="en-US"/>
        </w:rPr>
        <w:t xml:space="preserve">3 </w:t>
      </w:r>
      <w:r w:rsidRPr="0032060B">
        <w:rPr>
          <w:rFonts w:eastAsia="Times New Roman" w:cs="Times New Roman"/>
          <w:lang w:val="en-US"/>
        </w:rPr>
        <w:t>National Fund for Scientific Research, University of Liège, Belgium</w:t>
      </w:r>
    </w:p>
    <w:p w14:paraId="714CD1E4" w14:textId="77777777" w:rsidR="00B6152C" w:rsidRDefault="00B6152C" w:rsidP="00B6152C">
      <w:pPr>
        <w:spacing w:line="480" w:lineRule="auto"/>
        <w:rPr>
          <w:lang w:val="en-US"/>
        </w:rPr>
      </w:pPr>
    </w:p>
    <w:p w14:paraId="2B1D1A6E" w14:textId="77777777" w:rsidR="00B6152C" w:rsidRPr="0032060B" w:rsidRDefault="00B6152C" w:rsidP="00B6152C">
      <w:pPr>
        <w:spacing w:line="480" w:lineRule="auto"/>
        <w:rPr>
          <w:lang w:val="en-US"/>
        </w:rPr>
      </w:pPr>
      <w:r w:rsidRPr="0032060B">
        <w:rPr>
          <w:lang w:val="en-US"/>
        </w:rPr>
        <w:t>Running Title</w:t>
      </w:r>
      <w:r>
        <w:rPr>
          <w:lang w:val="en-US"/>
        </w:rPr>
        <w:t>: Oral motor fluency in amnesia</w:t>
      </w:r>
    </w:p>
    <w:p w14:paraId="168BB884" w14:textId="77777777" w:rsidR="00B6152C" w:rsidRPr="0032060B" w:rsidRDefault="00B6152C" w:rsidP="00B6152C">
      <w:pPr>
        <w:suppressAutoHyphens/>
        <w:autoSpaceDE w:val="0"/>
        <w:autoSpaceDN w:val="0"/>
        <w:adjustRightInd w:val="0"/>
        <w:spacing w:after="0" w:line="480" w:lineRule="auto"/>
        <w:rPr>
          <w:rFonts w:eastAsia="Times New Roman" w:cs="Times New Roman"/>
          <w:color w:val="000000"/>
          <w:lang w:val="en-US" w:eastAsia="fr-BE"/>
        </w:rPr>
      </w:pPr>
      <w:r w:rsidRPr="0032060B">
        <w:rPr>
          <w:rFonts w:eastAsia="Times New Roman" w:cs="Times New Roman"/>
          <w:color w:val="000000"/>
          <w:lang w:val="en-US" w:eastAsia="fr-BE"/>
        </w:rPr>
        <w:t>E-mail:</w:t>
      </w:r>
      <w:r w:rsidRPr="0032060B">
        <w:rPr>
          <w:rFonts w:eastAsia="Times New Roman" w:cs="Times New Roman"/>
          <w:color w:val="000000"/>
          <w:lang w:val="en-US" w:eastAsia="fr-BE"/>
        </w:rPr>
        <w:tab/>
        <w:t>mgeurten@uliege.be;</w:t>
      </w:r>
    </w:p>
    <w:p w14:paraId="09326F88" w14:textId="77777777" w:rsidR="00B6152C" w:rsidRDefault="00B6152C" w:rsidP="00B6152C">
      <w:pPr>
        <w:suppressAutoHyphens/>
        <w:autoSpaceDE w:val="0"/>
        <w:autoSpaceDN w:val="0"/>
        <w:adjustRightInd w:val="0"/>
        <w:spacing w:after="0" w:line="480" w:lineRule="auto"/>
        <w:ind w:firstLine="708"/>
        <w:rPr>
          <w:rFonts w:eastAsia="Times New Roman" w:cs="Times New Roman"/>
          <w:color w:val="000000"/>
          <w:lang w:val="en-US" w:eastAsia="fr-BE"/>
        </w:rPr>
      </w:pPr>
      <w:r w:rsidRPr="000065ED">
        <w:rPr>
          <w:rFonts w:eastAsia="Times New Roman" w:cs="Times New Roman"/>
          <w:color w:val="000000"/>
          <w:lang w:val="en-US" w:eastAsia="fr-BE"/>
        </w:rPr>
        <w:t>christine.bastin@uliege.be</w:t>
      </w:r>
      <w:r>
        <w:rPr>
          <w:rFonts w:eastAsia="Times New Roman" w:cs="Times New Roman"/>
          <w:color w:val="000000"/>
          <w:lang w:val="en-US" w:eastAsia="fr-BE"/>
        </w:rPr>
        <w:t>;</w:t>
      </w:r>
    </w:p>
    <w:p w14:paraId="6EED6422" w14:textId="77777777" w:rsidR="00B6152C" w:rsidRPr="0032060B" w:rsidRDefault="00B6152C" w:rsidP="00B6152C">
      <w:pPr>
        <w:suppressAutoHyphens/>
        <w:autoSpaceDE w:val="0"/>
        <w:autoSpaceDN w:val="0"/>
        <w:adjustRightInd w:val="0"/>
        <w:spacing w:after="0" w:line="480" w:lineRule="auto"/>
        <w:ind w:firstLine="708"/>
        <w:rPr>
          <w:rFonts w:eastAsia="Times New Roman" w:cs="Times New Roman"/>
          <w:color w:val="000000"/>
          <w:lang w:val="en-US" w:eastAsia="fr-BE"/>
        </w:rPr>
      </w:pPr>
      <w:r>
        <w:rPr>
          <w:rFonts w:eastAsia="Times New Roman" w:cs="Times New Roman"/>
          <w:color w:val="000000"/>
          <w:lang w:val="en-US" w:eastAsia="fr-BE"/>
        </w:rPr>
        <w:t>sylvie.willems@uliege.be</w:t>
      </w:r>
    </w:p>
    <w:p w14:paraId="2427613E" w14:textId="77777777" w:rsidR="00B6152C" w:rsidRDefault="00B6152C" w:rsidP="00B6152C">
      <w:pPr>
        <w:suppressAutoHyphens/>
        <w:autoSpaceDE w:val="0"/>
        <w:autoSpaceDN w:val="0"/>
        <w:adjustRightInd w:val="0"/>
        <w:spacing w:after="0" w:line="480" w:lineRule="auto"/>
        <w:rPr>
          <w:rFonts w:eastAsia="Times New Roman" w:cs="Times New Roman"/>
          <w:color w:val="000000"/>
          <w:lang w:val="en-US" w:eastAsia="fr-BE"/>
        </w:rPr>
      </w:pPr>
      <w:r w:rsidRPr="0032060B">
        <w:rPr>
          <w:rFonts w:eastAsia="Times New Roman" w:cs="Times New Roman"/>
          <w:color w:val="000000"/>
          <w:lang w:val="en-US" w:eastAsia="fr-BE"/>
        </w:rPr>
        <w:t>Correspondence concerning this article should be addressed to Marie Geurten, University of Liège</w:t>
      </w:r>
      <w:r w:rsidRPr="0032060B">
        <w:rPr>
          <w:rFonts w:eastAsia="Times New Roman" w:cs="Times New Roman"/>
          <w:lang w:val="en-US"/>
        </w:rPr>
        <w:t xml:space="preserve"> B33 </w:t>
      </w:r>
      <w:proofErr w:type="spellStart"/>
      <w:r w:rsidRPr="0032060B">
        <w:rPr>
          <w:rFonts w:eastAsia="Times New Roman" w:cs="Times New Roman"/>
          <w:lang w:val="en-US"/>
        </w:rPr>
        <w:t>Trifacultaire</w:t>
      </w:r>
      <w:proofErr w:type="spellEnd"/>
      <w:r w:rsidRPr="0032060B">
        <w:rPr>
          <w:rFonts w:eastAsia="Times New Roman" w:cs="Times New Roman"/>
          <w:lang w:val="en-US"/>
        </w:rPr>
        <w:t xml:space="preserve"> – Quartier Agora, Place des </w:t>
      </w:r>
      <w:proofErr w:type="spellStart"/>
      <w:r w:rsidRPr="0032060B">
        <w:rPr>
          <w:rFonts w:eastAsia="Times New Roman" w:cs="Times New Roman"/>
          <w:lang w:val="en-US"/>
        </w:rPr>
        <w:t>Orateurs</w:t>
      </w:r>
      <w:proofErr w:type="spellEnd"/>
      <w:r w:rsidRPr="0032060B">
        <w:rPr>
          <w:rFonts w:eastAsia="Times New Roman" w:cs="Times New Roman"/>
          <w:lang w:val="en-US"/>
        </w:rPr>
        <w:t xml:space="preserve"> 1</w:t>
      </w:r>
      <w:r w:rsidRPr="0032060B">
        <w:rPr>
          <w:rFonts w:eastAsia="Times New Roman" w:cs="Times New Roman"/>
          <w:color w:val="000000"/>
          <w:lang w:val="en-US" w:eastAsia="fr-BE"/>
        </w:rPr>
        <w:t>, 4000 Liège – Belgium; E-mail: mgeurten@ulg.ac.be; Phone number: +32 4 366 59 43</w:t>
      </w:r>
    </w:p>
    <w:p w14:paraId="15CA48CA" w14:textId="77777777" w:rsidR="00B6152C" w:rsidRPr="002803D1" w:rsidRDefault="00B6152C" w:rsidP="00B6152C">
      <w:pPr>
        <w:spacing w:line="480" w:lineRule="auto"/>
        <w:rPr>
          <w:b/>
          <w:lang w:val="en-US"/>
        </w:rPr>
      </w:pPr>
      <w:r w:rsidRPr="00241310">
        <w:rPr>
          <w:b/>
          <w:lang w:val="en-US"/>
        </w:rPr>
        <w:t>Acknowledgment</w:t>
      </w:r>
      <w:r>
        <w:rPr>
          <w:b/>
          <w:lang w:val="en-US"/>
        </w:rPr>
        <w:t xml:space="preserve">: </w:t>
      </w:r>
      <w:r w:rsidRPr="00241310">
        <w:rPr>
          <w:bCs/>
          <w:lang w:val="en-US"/>
        </w:rPr>
        <w:t>This research was supported by the National Fund for Scientific Research (F.R.S.-FNRS, grant T0009.19). The F.R.S.-FNRS has no r</w:t>
      </w:r>
      <w:r w:rsidRPr="00241310">
        <w:rPr>
          <w:lang w:val="en-US"/>
        </w:rPr>
        <w:t xml:space="preserve">ole in study design. </w:t>
      </w:r>
      <w:r w:rsidRPr="00241310">
        <w:rPr>
          <w:bCs/>
          <w:lang w:val="en-US"/>
        </w:rPr>
        <w:t>The authors have no conflict of interest to declare.</w:t>
      </w:r>
    </w:p>
    <w:p w14:paraId="0C5728E1" w14:textId="77777777" w:rsidR="00B6152C" w:rsidRPr="00241310" w:rsidRDefault="00B6152C" w:rsidP="00B6152C">
      <w:pPr>
        <w:spacing w:line="480" w:lineRule="auto"/>
        <w:rPr>
          <w:bCs/>
          <w:lang w:val="en-US"/>
        </w:rPr>
      </w:pPr>
      <w:r w:rsidRPr="00241310">
        <w:rPr>
          <w:b/>
          <w:lang w:val="en-US"/>
        </w:rPr>
        <w:t>Author statement</w:t>
      </w:r>
      <w:r>
        <w:rPr>
          <w:b/>
          <w:lang w:val="en-US"/>
        </w:rPr>
        <w:t xml:space="preserve">: </w:t>
      </w:r>
      <w:r w:rsidRPr="00241310">
        <w:rPr>
          <w:bCs/>
          <w:lang w:val="en-US"/>
        </w:rPr>
        <w:t xml:space="preserve">Marie Geurten: Conceptualization ; Methodology ; Formal analysis ; Investigation; Writing </w:t>
      </w:r>
      <w:r>
        <w:rPr>
          <w:bCs/>
          <w:lang w:val="en-US"/>
        </w:rPr>
        <w:t>–</w:t>
      </w:r>
      <w:r w:rsidRPr="00241310">
        <w:rPr>
          <w:bCs/>
          <w:lang w:val="en-US"/>
        </w:rPr>
        <w:t xml:space="preserve"> </w:t>
      </w:r>
      <w:r>
        <w:rPr>
          <w:bCs/>
          <w:lang w:val="en-US"/>
        </w:rPr>
        <w:t xml:space="preserve">Original Draft, </w:t>
      </w:r>
      <w:r w:rsidRPr="00241310">
        <w:rPr>
          <w:bCs/>
          <w:lang w:val="en-US"/>
        </w:rPr>
        <w:t>Review &amp; Editing; Funding acquisition</w:t>
      </w:r>
      <w:r>
        <w:rPr>
          <w:bCs/>
          <w:lang w:val="en-US"/>
        </w:rPr>
        <w:t xml:space="preserve">. </w:t>
      </w:r>
      <w:r w:rsidRPr="00241310">
        <w:rPr>
          <w:bCs/>
          <w:lang w:val="en-US"/>
        </w:rPr>
        <w:t xml:space="preserve">Christine </w:t>
      </w:r>
      <w:proofErr w:type="spellStart"/>
      <w:r w:rsidRPr="00241310">
        <w:rPr>
          <w:bCs/>
          <w:lang w:val="en-US"/>
        </w:rPr>
        <w:t>Bastin</w:t>
      </w:r>
      <w:proofErr w:type="spellEnd"/>
      <w:r w:rsidRPr="00241310">
        <w:rPr>
          <w:bCs/>
          <w:lang w:val="en-US"/>
        </w:rPr>
        <w:t>: Validation ; Resources; Writing - Review &amp; Editing; Supervision; Funding acquisition</w:t>
      </w:r>
      <w:r>
        <w:rPr>
          <w:bCs/>
          <w:lang w:val="en-US"/>
        </w:rPr>
        <w:t xml:space="preserve">. </w:t>
      </w:r>
      <w:r w:rsidRPr="00241310">
        <w:rPr>
          <w:bCs/>
          <w:lang w:val="en-US"/>
        </w:rPr>
        <w:t>Sylvie Willems: Conceptualization; Methodology; Writing - Review &amp; Editing; Supervision; Funding acquisition</w:t>
      </w:r>
    </w:p>
    <w:p w14:paraId="06C7FBC2" w14:textId="77777777" w:rsidR="00B6152C" w:rsidRPr="0032060B" w:rsidRDefault="00B6152C" w:rsidP="00B6152C">
      <w:pPr>
        <w:suppressAutoHyphens/>
        <w:autoSpaceDE w:val="0"/>
        <w:autoSpaceDN w:val="0"/>
        <w:adjustRightInd w:val="0"/>
        <w:spacing w:after="0" w:line="480" w:lineRule="auto"/>
        <w:rPr>
          <w:rFonts w:eastAsia="Times New Roman" w:cs="Times New Roman"/>
          <w:color w:val="000000"/>
          <w:lang w:val="en-US" w:eastAsia="fr-BE"/>
        </w:rPr>
      </w:pPr>
      <w:r w:rsidRPr="004E19AF">
        <w:rPr>
          <w:rFonts w:eastAsia="Times New Roman" w:cs="Times New Roman"/>
          <w:b/>
          <w:bCs/>
          <w:color w:val="000000"/>
          <w:lang w:val="en-US" w:eastAsia="fr-BE"/>
        </w:rPr>
        <w:t>Data availability statement:</w:t>
      </w:r>
      <w:r>
        <w:rPr>
          <w:rFonts w:eastAsia="Times New Roman" w:cs="Times New Roman"/>
          <w:color w:val="000000"/>
          <w:lang w:val="en-US" w:eastAsia="fr-BE"/>
        </w:rPr>
        <w:t xml:space="preserve"> Shared data are available on the institutional repository of the university of Liege: [the </w:t>
      </w:r>
      <w:r w:rsidRPr="00F95230">
        <w:rPr>
          <w:rFonts w:eastAsia="Times New Roman" w:cs="Times New Roman"/>
          <w:color w:val="000000"/>
          <w:lang w:val="en-US" w:eastAsia="fr-BE"/>
        </w:rPr>
        <w:t xml:space="preserve">active link </w:t>
      </w:r>
      <w:r>
        <w:rPr>
          <w:rFonts w:eastAsia="Times New Roman" w:cs="Times New Roman"/>
          <w:color w:val="000000"/>
          <w:lang w:val="en-US" w:eastAsia="fr-BE"/>
        </w:rPr>
        <w:t>will</w:t>
      </w:r>
      <w:r w:rsidRPr="00F95230">
        <w:rPr>
          <w:rFonts w:eastAsia="Times New Roman" w:cs="Times New Roman"/>
          <w:color w:val="000000"/>
          <w:lang w:val="en-US" w:eastAsia="fr-BE"/>
        </w:rPr>
        <w:t xml:space="preserve"> be included </w:t>
      </w:r>
      <w:r>
        <w:rPr>
          <w:rFonts w:eastAsia="Times New Roman" w:cs="Times New Roman"/>
          <w:color w:val="000000"/>
          <w:lang w:val="en-US" w:eastAsia="fr-BE"/>
        </w:rPr>
        <w:t xml:space="preserve">here and </w:t>
      </w:r>
      <w:r w:rsidRPr="00F95230">
        <w:rPr>
          <w:rFonts w:eastAsia="Times New Roman" w:cs="Times New Roman"/>
          <w:color w:val="000000"/>
          <w:lang w:val="en-US" w:eastAsia="fr-BE"/>
        </w:rPr>
        <w:t>in the final accepted manuscript</w:t>
      </w:r>
      <w:r>
        <w:rPr>
          <w:rFonts w:eastAsia="Times New Roman" w:cs="Times New Roman"/>
          <w:color w:val="000000"/>
          <w:lang w:val="en-US" w:eastAsia="fr-BE"/>
        </w:rPr>
        <w:t>]</w:t>
      </w:r>
    </w:p>
    <w:p w14:paraId="411207E9" w14:textId="77777777" w:rsidR="00B6152C" w:rsidRPr="00241310" w:rsidRDefault="00B6152C" w:rsidP="00B6152C">
      <w:pPr>
        <w:spacing w:line="480" w:lineRule="auto"/>
        <w:jc w:val="center"/>
        <w:rPr>
          <w:b/>
          <w:lang w:val="en-US"/>
        </w:rPr>
      </w:pPr>
      <w:r w:rsidRPr="00241310">
        <w:rPr>
          <w:b/>
          <w:lang w:val="en-US"/>
        </w:rPr>
        <w:lastRenderedPageBreak/>
        <w:t>Abstract</w:t>
      </w:r>
    </w:p>
    <w:p w14:paraId="6BC64597" w14:textId="77777777" w:rsidR="00B6152C" w:rsidRPr="00241310" w:rsidRDefault="00B6152C" w:rsidP="00B6152C">
      <w:pPr>
        <w:spacing w:line="480" w:lineRule="auto"/>
        <w:jc w:val="both"/>
        <w:rPr>
          <w:lang w:val="en-US"/>
        </w:rPr>
      </w:pPr>
      <w:r w:rsidRPr="00267B1D">
        <w:rPr>
          <w:lang w:val="en-US"/>
        </w:rPr>
        <w:t>The present study examined the evolution observed in amnesic patients’ use of motor fluency when making recognition memory decisions. In this experiment, 9 patients with amnesia and 18 matched controls were presented with two recognition memory tasks composed of 3 types of items: (a) natural words, (b) nonwords difficult to pronounce, and (c) nonwords easy to pronounce, the latter having been shown to be processed in a surprisingly fluent manner as long as participants can articulate them at a subvocal level (i.e., oral motor fluency). Our results provide evidence that the motor-movement manipulation was successful to induce a fluency effect. More specifically, data revealed that both amnesic patients and control participants showed a pattern of response consistent with the use of fluency as a cue to memory for studied items. However, only control participants relied on fluency to increase their rate of “yes” responses for unstudied items. These results suggest that patients with amnesia set a more conservative response criterion before relying on oral motor fluency, showing a pattern consistent with the idea that fluency is only used as a cue to memory when it exceeds a certain threshold. These findings are discussed in terms of adaptative metacognition strategies implemented by amnesic patients to reduce fluency-based memory errors as well as in terms of the variations that seem to occur in these strategies depending on the type of fluency that is experienced.</w:t>
      </w:r>
    </w:p>
    <w:p w14:paraId="3068AACB" w14:textId="77777777" w:rsidR="00B6152C" w:rsidRPr="00241310" w:rsidRDefault="00B6152C" w:rsidP="00B6152C">
      <w:pPr>
        <w:spacing w:line="480" w:lineRule="auto"/>
        <w:jc w:val="both"/>
        <w:rPr>
          <w:lang w:val="en-US"/>
        </w:rPr>
      </w:pPr>
    </w:p>
    <w:p w14:paraId="3A6CE7D1" w14:textId="77777777" w:rsidR="00B6152C" w:rsidRPr="00241310" w:rsidRDefault="00B6152C" w:rsidP="00B6152C">
      <w:pPr>
        <w:spacing w:line="480" w:lineRule="auto"/>
        <w:jc w:val="both"/>
        <w:rPr>
          <w:lang w:val="en-US"/>
        </w:rPr>
      </w:pPr>
      <w:r w:rsidRPr="00716F5C">
        <w:rPr>
          <w:b/>
          <w:bCs/>
          <w:lang w:val="en-US"/>
        </w:rPr>
        <w:t>Keywords:</w:t>
      </w:r>
      <w:r w:rsidRPr="00241310">
        <w:rPr>
          <w:lang w:val="en-US"/>
        </w:rPr>
        <w:t xml:space="preserve"> Amnesia; Recognition memory; Fluency; Attribution</w:t>
      </w:r>
    </w:p>
    <w:p w14:paraId="5110CDC8" w14:textId="77777777" w:rsidR="00B6152C" w:rsidRDefault="00B6152C">
      <w:pPr>
        <w:rPr>
          <w:b/>
          <w:lang w:val="en-US"/>
        </w:rPr>
      </w:pPr>
      <w:r>
        <w:rPr>
          <w:b/>
          <w:lang w:val="en-US"/>
        </w:rPr>
        <w:br w:type="page"/>
      </w:r>
    </w:p>
    <w:p w14:paraId="6113CE0F" w14:textId="73D51844" w:rsidR="001C4226" w:rsidRPr="00B6152C" w:rsidRDefault="001C4226" w:rsidP="00B6152C">
      <w:pPr>
        <w:autoSpaceDE w:val="0"/>
        <w:autoSpaceDN w:val="0"/>
        <w:adjustRightInd w:val="0"/>
        <w:spacing w:after="120" w:line="480" w:lineRule="auto"/>
        <w:jc w:val="center"/>
        <w:rPr>
          <w:b/>
          <w:lang w:val="en-US"/>
        </w:rPr>
      </w:pPr>
      <w:r w:rsidRPr="00B6152C">
        <w:rPr>
          <w:b/>
          <w:lang w:val="en-US"/>
        </w:rPr>
        <w:lastRenderedPageBreak/>
        <w:t>Feeling the ease: how the use of oral motor fluency changes in amnesia</w:t>
      </w:r>
    </w:p>
    <w:p w14:paraId="4FD4F80E" w14:textId="3D18BAD6" w:rsidR="00923FDC" w:rsidRPr="00B6152C" w:rsidRDefault="00923FDC" w:rsidP="00B6152C">
      <w:pPr>
        <w:autoSpaceDE w:val="0"/>
        <w:autoSpaceDN w:val="0"/>
        <w:adjustRightInd w:val="0"/>
        <w:spacing w:after="120" w:line="480" w:lineRule="auto"/>
        <w:jc w:val="both"/>
        <w:rPr>
          <w:lang w:val="en-US"/>
        </w:rPr>
      </w:pPr>
      <w:r w:rsidRPr="00B6152C">
        <w:rPr>
          <w:lang w:val="en-US"/>
        </w:rPr>
        <w:t xml:space="preserve">Amnesia is typically defined as a severe impairment in the ability to consciously retrieve past experience. </w:t>
      </w:r>
      <w:r w:rsidR="008E51A8" w:rsidRPr="00B6152C">
        <w:rPr>
          <w:lang w:val="en-US"/>
        </w:rPr>
        <w:t>H</w:t>
      </w:r>
      <w:r w:rsidRPr="00B6152C">
        <w:rPr>
          <w:lang w:val="en-US"/>
        </w:rPr>
        <w:t xml:space="preserve">owever, </w:t>
      </w:r>
      <w:r w:rsidR="008E51A8" w:rsidRPr="00B6152C">
        <w:rPr>
          <w:lang w:val="en-US"/>
        </w:rPr>
        <w:t>o</w:t>
      </w:r>
      <w:r w:rsidRPr="00B6152C">
        <w:rPr>
          <w:lang w:val="en-US"/>
        </w:rPr>
        <w:t xml:space="preserve">ver the past 30 years, some studies have revealed that while amnesic patients exhibit pronounced deficits in recollection – i.e., the ability to mentally relive past events in vivid details – they show no (or less) impairments in familiarity – i.e., a vague feeling of “oldness” associated with a past experience </w:t>
      </w:r>
      <w:r w:rsidRPr="00B6152C">
        <w:rPr>
          <w:noProof/>
          <w:lang w:val="en-US"/>
        </w:rPr>
        <w:t>(e.g., Addante, Ranganath, Olichney, &amp; Yonelinas, 2012; Aly, Knight, &amp; Yonelinas, 2010; Keane, Orlando, &amp; Verfaellie, 2006)</w:t>
      </w:r>
      <w:r w:rsidRPr="00B6152C">
        <w:rPr>
          <w:lang w:val="en-US"/>
        </w:rPr>
        <w:t>. Others studies, however, have not found such a dissociation</w:t>
      </w:r>
      <w:r w:rsidR="008E51A8" w:rsidRPr="00B6152C">
        <w:rPr>
          <w:lang w:val="en-US"/>
        </w:rPr>
        <w:t xml:space="preserve"> </w:t>
      </w:r>
      <w:r w:rsidRPr="00B6152C">
        <w:rPr>
          <w:lang w:val="en-US"/>
        </w:rPr>
        <w:t xml:space="preserve">(e.g., Squire, 2004; Stark &amp; Squire, 2000). </w:t>
      </w:r>
      <w:r w:rsidR="008E51A8" w:rsidRPr="00B6152C">
        <w:rPr>
          <w:rFonts w:cstheme="minorHAnsi"/>
          <w:lang w:val="en-US"/>
        </w:rPr>
        <w:t xml:space="preserve">To understand these discordant </w:t>
      </w:r>
      <w:r w:rsidR="00230E31" w:rsidRPr="00B6152C">
        <w:rPr>
          <w:rFonts w:cstheme="minorHAnsi"/>
          <w:lang w:val="en-US"/>
        </w:rPr>
        <w:t>findings</w:t>
      </w:r>
      <w:r w:rsidR="008E51A8" w:rsidRPr="00B6152C">
        <w:rPr>
          <w:rFonts w:cstheme="minorHAnsi"/>
          <w:lang w:val="en-US"/>
        </w:rPr>
        <w:t xml:space="preserve">, some authors have attempted to explore whether certain mechanisms underlying familiarity-based recognition </w:t>
      </w:r>
      <w:r w:rsidR="00230E31" w:rsidRPr="00B6152C">
        <w:rPr>
          <w:rFonts w:cstheme="minorHAnsi"/>
          <w:lang w:val="en-US"/>
        </w:rPr>
        <w:t>could</w:t>
      </w:r>
      <w:r w:rsidR="008E51A8" w:rsidRPr="00B6152C">
        <w:rPr>
          <w:rFonts w:cstheme="minorHAnsi"/>
          <w:lang w:val="en-US"/>
        </w:rPr>
        <w:t xml:space="preserve"> </w:t>
      </w:r>
      <w:r w:rsidR="00230E31" w:rsidRPr="00B6152C">
        <w:rPr>
          <w:rFonts w:cstheme="minorHAnsi"/>
          <w:lang w:val="en-US"/>
        </w:rPr>
        <w:t>change</w:t>
      </w:r>
      <w:r w:rsidR="008E51A8" w:rsidRPr="00B6152C">
        <w:rPr>
          <w:rFonts w:cstheme="minorHAnsi"/>
          <w:lang w:val="en-US"/>
        </w:rPr>
        <w:t xml:space="preserve"> in amnesia</w:t>
      </w:r>
      <w:r w:rsidR="008E51A8" w:rsidRPr="00B6152C" w:rsidDel="008E51A8">
        <w:rPr>
          <w:rFonts w:cstheme="minorHAnsi"/>
          <w:lang w:val="en-US"/>
        </w:rPr>
        <w:t xml:space="preserve"> </w:t>
      </w:r>
      <w:r w:rsidRPr="00B6152C">
        <w:rPr>
          <w:rFonts w:cstheme="minorHAnsi"/>
          <w:noProof/>
          <w:lang w:val="en-US"/>
        </w:rPr>
        <w:t>(Geurten, Bastin, Salmon, &amp; Willems, 2020; Geurten &amp; Willems, 2017; Ozubko &amp; Yonelinas, 2014)</w:t>
      </w:r>
      <w:r w:rsidRPr="00B6152C">
        <w:rPr>
          <w:rFonts w:cstheme="minorHAnsi"/>
          <w:lang w:val="en-US"/>
        </w:rPr>
        <w:t xml:space="preserve">. </w:t>
      </w:r>
    </w:p>
    <w:p w14:paraId="383D0C6D" w14:textId="449C827A" w:rsidR="00923FDC" w:rsidRPr="00B6152C" w:rsidRDefault="00923FDC" w:rsidP="00B6152C">
      <w:pPr>
        <w:autoSpaceDE w:val="0"/>
        <w:autoSpaceDN w:val="0"/>
        <w:adjustRightInd w:val="0"/>
        <w:spacing w:after="120" w:line="480" w:lineRule="auto"/>
        <w:jc w:val="both"/>
        <w:rPr>
          <w:rFonts w:cstheme="minorHAnsi"/>
          <w:lang w:val="en-US"/>
        </w:rPr>
      </w:pPr>
      <w:r w:rsidRPr="00B6152C">
        <w:rPr>
          <w:rFonts w:cstheme="minorHAnsi"/>
          <w:lang w:val="en-US"/>
        </w:rPr>
        <w:t xml:space="preserve">Usually, research documenting factors that can generate a subjective experience of familiarity emphasizes the importance of processing fluency – i.e., the ease with which </w:t>
      </w:r>
      <w:r w:rsidR="00230E31" w:rsidRPr="00B6152C">
        <w:rPr>
          <w:rFonts w:cstheme="minorHAnsi"/>
          <w:lang w:val="en-US"/>
        </w:rPr>
        <w:t xml:space="preserve">an </w:t>
      </w:r>
      <w:r w:rsidRPr="00B6152C">
        <w:rPr>
          <w:rFonts w:cstheme="minorHAnsi"/>
          <w:lang w:val="en-US"/>
        </w:rPr>
        <w:t>information is processed</w:t>
      </w:r>
      <w:r w:rsidR="005A4B0F" w:rsidRPr="00B6152C">
        <w:rPr>
          <w:rFonts w:cstheme="minorHAnsi"/>
          <w:lang w:val="en-US"/>
        </w:rPr>
        <w:t>. The logic is</w:t>
      </w:r>
      <w:r w:rsidRPr="00B6152C">
        <w:rPr>
          <w:rFonts w:cstheme="minorHAnsi"/>
          <w:lang w:val="en-US"/>
        </w:rPr>
        <w:t xml:space="preserve"> </w:t>
      </w:r>
      <w:r w:rsidR="005A4B0F" w:rsidRPr="00B6152C">
        <w:rPr>
          <w:rFonts w:cstheme="minorHAnsi"/>
          <w:lang w:val="en-US"/>
        </w:rPr>
        <w:t xml:space="preserve">that because </w:t>
      </w:r>
      <w:r w:rsidRPr="00B6152C">
        <w:rPr>
          <w:rFonts w:cstheme="minorHAnsi"/>
          <w:lang w:val="en-US"/>
        </w:rPr>
        <w:t xml:space="preserve">previous exposure to an item generally enhances processing fluency, people learn to interpret </w:t>
      </w:r>
      <w:r w:rsidR="005A4B0F" w:rsidRPr="00B6152C">
        <w:rPr>
          <w:rFonts w:cstheme="minorHAnsi"/>
          <w:lang w:val="en-US"/>
        </w:rPr>
        <w:t xml:space="preserve">the feeling associated with fluency </w:t>
      </w:r>
      <w:r w:rsidRPr="00B6152C">
        <w:rPr>
          <w:rFonts w:cstheme="minorHAnsi"/>
          <w:lang w:val="en-US"/>
        </w:rPr>
        <w:t xml:space="preserve">as a sign of prior encounter with a stimulus. </w:t>
      </w:r>
      <w:r w:rsidR="00B524FD" w:rsidRPr="00B6152C">
        <w:rPr>
          <w:rFonts w:cstheme="minorHAnsi"/>
          <w:lang w:val="en-US"/>
        </w:rPr>
        <w:t xml:space="preserve">This </w:t>
      </w:r>
      <w:r w:rsidRPr="00B6152C">
        <w:rPr>
          <w:rFonts w:cstheme="minorHAnsi"/>
          <w:lang w:val="en-US"/>
        </w:rPr>
        <w:t xml:space="preserve">attribution of fluency to memory gives rise to the familiarity experience </w:t>
      </w:r>
      <w:r w:rsidRPr="00B6152C">
        <w:rPr>
          <w:rFonts w:cstheme="minorHAnsi"/>
          <w:noProof/>
          <w:lang w:val="en-US"/>
        </w:rPr>
        <w:t>(Jacoby &amp; Dallas, 1981; Kelley &amp; Rhodes, 2002; Whittlesea, 1993)</w:t>
      </w:r>
      <w:r w:rsidRPr="00B6152C">
        <w:rPr>
          <w:rFonts w:cstheme="minorHAnsi"/>
          <w:lang w:val="en-US"/>
        </w:rPr>
        <w:t xml:space="preserve">. According to this </w:t>
      </w:r>
      <w:r w:rsidR="00B524FD" w:rsidRPr="00B6152C">
        <w:rPr>
          <w:rFonts w:cstheme="minorHAnsi"/>
          <w:lang w:val="en-US"/>
        </w:rPr>
        <w:t xml:space="preserve"> attributional </w:t>
      </w:r>
      <w:r w:rsidRPr="00B6152C">
        <w:rPr>
          <w:rFonts w:cstheme="minorHAnsi"/>
          <w:lang w:val="en-US"/>
        </w:rPr>
        <w:t xml:space="preserve">theory, several steps have to be completed for a feeling of familiarity to occur: (a) participants have to learn that fluency is a cue that can be used to inform memory judgments, (b) they have to experience a feeling of fluency when processing a stimulus, and (c) they have to attribute the feeling of fluency to their memory which implies deciding whether fluency can accurately inform memory judgments in a specific context </w:t>
      </w:r>
      <w:r w:rsidRPr="00B6152C">
        <w:rPr>
          <w:rFonts w:cstheme="minorHAnsi"/>
          <w:noProof/>
          <w:lang w:val="en-US"/>
        </w:rPr>
        <w:t>(for an overview, see also Bastin et al., 2019)</w:t>
      </w:r>
      <w:r w:rsidRPr="00B6152C">
        <w:rPr>
          <w:rFonts w:cstheme="minorHAnsi"/>
          <w:lang w:val="en-US"/>
        </w:rPr>
        <w:t>.</w:t>
      </w:r>
    </w:p>
    <w:p w14:paraId="19127530" w14:textId="024E6B27" w:rsidR="00923FDC" w:rsidRPr="00B6152C" w:rsidRDefault="00037898" w:rsidP="00B6152C">
      <w:pPr>
        <w:autoSpaceDE w:val="0"/>
        <w:autoSpaceDN w:val="0"/>
        <w:adjustRightInd w:val="0"/>
        <w:spacing w:after="120" w:line="480" w:lineRule="auto"/>
        <w:jc w:val="both"/>
        <w:rPr>
          <w:rFonts w:cstheme="minorHAnsi"/>
          <w:lang w:val="en-US"/>
        </w:rPr>
      </w:pPr>
      <w:r w:rsidRPr="00B6152C">
        <w:rPr>
          <w:rFonts w:cstheme="minorHAnsi"/>
          <w:lang w:val="en-US"/>
        </w:rPr>
        <w:t xml:space="preserve">Typically, in studies of fluency-based recognition, participants use fluency as a cue to memory only when it cannot be attributed to an external source such as the perceptual quality of the stimulus (e.g., Willems &amp; Van der Linden, 2006). </w:t>
      </w:r>
      <w:r w:rsidR="00230E31" w:rsidRPr="00B6152C">
        <w:rPr>
          <w:rFonts w:cstheme="minorHAnsi"/>
          <w:lang w:val="en-US"/>
        </w:rPr>
        <w:t xml:space="preserve">Similar </w:t>
      </w:r>
      <w:r w:rsidRPr="00B6152C">
        <w:rPr>
          <w:rFonts w:cstheme="minorHAnsi"/>
          <w:lang w:val="en-US"/>
        </w:rPr>
        <w:t xml:space="preserve">results are observed in participants with amnesia. However, </w:t>
      </w:r>
      <w:r w:rsidRPr="00B6152C">
        <w:rPr>
          <w:rFonts w:cstheme="minorHAnsi"/>
          <w:lang w:val="en-US"/>
        </w:rPr>
        <w:lastRenderedPageBreak/>
        <w:t xml:space="preserve">patients with amnesia seem to detect or attribute fluency to external sources more </w:t>
      </w:r>
      <w:r w:rsidR="00230E31" w:rsidRPr="00B6152C">
        <w:rPr>
          <w:rFonts w:cstheme="minorHAnsi"/>
          <w:lang w:val="en-US"/>
        </w:rPr>
        <w:t>readily than control participants</w:t>
      </w:r>
      <w:r w:rsidRPr="00B6152C">
        <w:rPr>
          <w:rFonts w:cstheme="minorHAnsi"/>
          <w:lang w:val="en-US"/>
        </w:rPr>
        <w:t xml:space="preserve"> </w:t>
      </w:r>
      <w:r w:rsidR="00923FDC" w:rsidRPr="00B6152C">
        <w:rPr>
          <w:rFonts w:cstheme="minorHAnsi"/>
          <w:noProof/>
          <w:lang w:val="en-US"/>
        </w:rPr>
        <w:t>(e.g., Geurten, Bastin, et al., 2020; Geurten &amp; Willems, 2017)</w:t>
      </w:r>
      <w:r w:rsidR="00923FDC" w:rsidRPr="00B6152C">
        <w:rPr>
          <w:rFonts w:cstheme="minorHAnsi"/>
          <w:lang w:val="en-US"/>
        </w:rPr>
        <w:t xml:space="preserve">. Specifically, fluency was shown to influence patients’ responses only when the alternative source </w:t>
      </w:r>
      <w:r w:rsidR="00230E31" w:rsidRPr="00B6152C">
        <w:rPr>
          <w:rFonts w:cstheme="minorHAnsi"/>
          <w:lang w:val="en-US"/>
        </w:rPr>
        <w:t>i</w:t>
      </w:r>
      <w:r w:rsidR="00923FDC" w:rsidRPr="00B6152C">
        <w:rPr>
          <w:rFonts w:cstheme="minorHAnsi"/>
          <w:lang w:val="en-US"/>
        </w:rPr>
        <w:t xml:space="preserve">s barely noticeable (i.e., </w:t>
      </w:r>
      <w:r w:rsidR="00230E31" w:rsidRPr="00B6152C">
        <w:rPr>
          <w:rFonts w:cstheme="minorHAnsi"/>
          <w:lang w:val="en-US"/>
        </w:rPr>
        <w:t xml:space="preserve">a </w:t>
      </w:r>
      <w:r w:rsidRPr="00B6152C">
        <w:rPr>
          <w:rFonts w:cstheme="minorHAnsi"/>
          <w:lang w:val="en-US"/>
        </w:rPr>
        <w:t xml:space="preserve">subtle improvement </w:t>
      </w:r>
      <w:r w:rsidR="00230E31" w:rsidRPr="00B6152C">
        <w:rPr>
          <w:rFonts w:cstheme="minorHAnsi"/>
          <w:lang w:val="en-US"/>
        </w:rPr>
        <w:t>of the</w:t>
      </w:r>
      <w:r w:rsidRPr="00B6152C">
        <w:rPr>
          <w:rFonts w:cstheme="minorHAnsi"/>
          <w:lang w:val="en-US"/>
        </w:rPr>
        <w:t xml:space="preserve"> perceptual quality</w:t>
      </w:r>
      <w:r w:rsidR="00230E31" w:rsidRPr="00B6152C">
        <w:rPr>
          <w:rFonts w:cstheme="minorHAnsi"/>
          <w:lang w:val="en-US"/>
        </w:rPr>
        <w:t xml:space="preserve"> of the items</w:t>
      </w:r>
      <w:r w:rsidRPr="00B6152C">
        <w:rPr>
          <w:rFonts w:cstheme="minorHAnsi"/>
          <w:lang w:val="en-US"/>
        </w:rPr>
        <w:t>)</w:t>
      </w:r>
      <w:r w:rsidR="00923FDC" w:rsidRPr="00B6152C">
        <w:rPr>
          <w:rFonts w:cstheme="minorHAnsi"/>
          <w:lang w:val="en-US"/>
        </w:rPr>
        <w:t xml:space="preserve"> whereas it still influenced control participants when the external manipulation </w:t>
      </w:r>
      <w:r w:rsidR="00230E31" w:rsidRPr="00B6152C">
        <w:rPr>
          <w:rFonts w:cstheme="minorHAnsi"/>
          <w:lang w:val="en-US"/>
        </w:rPr>
        <w:t>i</w:t>
      </w:r>
      <w:r w:rsidR="00923FDC" w:rsidRPr="00B6152C">
        <w:rPr>
          <w:rFonts w:cstheme="minorHAnsi"/>
          <w:lang w:val="en-US"/>
        </w:rPr>
        <w:t>s detectable. In other words, amnesic patients were more prone than controls to detect subtle manipulations that could explain the feeling of fluency.</w:t>
      </w:r>
    </w:p>
    <w:p w14:paraId="74265FC4" w14:textId="77777777" w:rsidR="00923FDC" w:rsidRPr="00B6152C" w:rsidRDefault="00923FDC" w:rsidP="00B6152C">
      <w:pPr>
        <w:autoSpaceDE w:val="0"/>
        <w:autoSpaceDN w:val="0"/>
        <w:adjustRightInd w:val="0"/>
        <w:spacing w:after="120" w:line="480" w:lineRule="auto"/>
        <w:jc w:val="both"/>
        <w:rPr>
          <w:lang w:val="en-US"/>
        </w:rPr>
      </w:pPr>
      <w:r w:rsidRPr="00B6152C">
        <w:rPr>
          <w:rFonts w:cstheme="minorHAnsi"/>
          <w:lang w:val="en-US"/>
        </w:rPr>
        <w:t xml:space="preserve">These findings are crucial because they suggest that both the ability to experience and to attribute fluency are preserved in amnesia but that changes occur in attribution processes that drive amnesic patients to become reluctant to use fluency as a memory cue </w:t>
      </w:r>
      <w:r w:rsidRPr="00B6152C">
        <w:rPr>
          <w:rFonts w:cstheme="minorHAnsi"/>
          <w:noProof/>
          <w:lang w:val="en-US"/>
        </w:rPr>
        <w:t>(Geurten, Bastin, et al., 2020; Geurten &amp; Willems, 2017)</w:t>
      </w:r>
      <w:r w:rsidRPr="00B6152C">
        <w:rPr>
          <w:rFonts w:cstheme="minorHAnsi"/>
          <w:lang w:val="en-US"/>
        </w:rPr>
        <w:t xml:space="preserve">. </w:t>
      </w:r>
      <w:r w:rsidRPr="00B6152C">
        <w:rPr>
          <w:lang w:val="en-US"/>
        </w:rPr>
        <w:t xml:space="preserve">Further evidence for this has been provided by </w:t>
      </w:r>
      <w:r w:rsidRPr="00B6152C">
        <w:rPr>
          <w:noProof/>
          <w:lang w:val="en-US"/>
        </w:rPr>
        <w:t>Ozubko and Yonelinas (2014)</w:t>
      </w:r>
      <w:r w:rsidRPr="00B6152C">
        <w:rPr>
          <w:lang w:val="en-US"/>
        </w:rPr>
        <w:t>. In the latter study, fluency was enhanced at a conceptual level by preceding the presentation of half of the tested items with a semantically related context word that was clearly visible on the computer screen. The results revealed that fluency increased amnesic patients’ recognition endorsement of unstudied, but not of studied words. The authors explain these findings by assuming that patients with amnesia tend to disregard fluency as a cue for memory when it exceeds the level they think they should be able to experience given their impaired memory. As studied items combined fluency from preexposure and from the experimental manipulation, the amount of fluency experienced when processing these items was more likely to be higher than the set threshold than the amount of fluency experienced when processing unstudied items. This would explain why fluency was disqualified as a relevant memory cue for the former type of items and not for the latter.</w:t>
      </w:r>
    </w:p>
    <w:p w14:paraId="7F34DE48" w14:textId="38D8FC68" w:rsidR="00923FDC" w:rsidRPr="00B6152C" w:rsidRDefault="00D23307" w:rsidP="00B6152C">
      <w:pPr>
        <w:autoSpaceDE w:val="0"/>
        <w:autoSpaceDN w:val="0"/>
        <w:adjustRightInd w:val="0"/>
        <w:spacing w:after="120" w:line="480" w:lineRule="auto"/>
        <w:jc w:val="both"/>
        <w:rPr>
          <w:rFonts w:cstheme="minorHAnsi"/>
          <w:lang w:val="en-US"/>
        </w:rPr>
      </w:pPr>
      <w:r w:rsidRPr="00B6152C">
        <w:rPr>
          <w:rFonts w:cstheme="minorHAnsi"/>
          <w:lang w:val="en-US"/>
        </w:rPr>
        <w:t>The hypothesis of highly adaptive attribution processes is attractive. However</w:t>
      </w:r>
      <w:r w:rsidR="00923FDC" w:rsidRPr="00B6152C">
        <w:rPr>
          <w:rFonts w:cstheme="minorHAnsi"/>
          <w:lang w:val="en-US"/>
        </w:rPr>
        <w:t xml:space="preserve"> it is still unknow</w:t>
      </w:r>
      <w:r w:rsidR="00C21D3B" w:rsidRPr="00B6152C">
        <w:rPr>
          <w:rFonts w:cstheme="minorHAnsi"/>
          <w:lang w:val="en-US"/>
        </w:rPr>
        <w:t>n</w:t>
      </w:r>
      <w:r w:rsidR="00923FDC" w:rsidRPr="00B6152C">
        <w:rPr>
          <w:rFonts w:cstheme="minorHAnsi"/>
          <w:lang w:val="en-US"/>
        </w:rPr>
        <w:t xml:space="preserve"> how flexible amnesic patients can be when setting a threshold for the use of fluency cues. </w:t>
      </w:r>
      <w:r w:rsidRPr="00B6152C">
        <w:rPr>
          <w:rFonts w:cstheme="minorHAnsi"/>
          <w:lang w:val="en-US"/>
        </w:rPr>
        <w:t>S</w:t>
      </w:r>
      <w:r w:rsidR="00923FDC" w:rsidRPr="00B6152C">
        <w:rPr>
          <w:rFonts w:cstheme="minorHAnsi"/>
          <w:lang w:val="en-US"/>
        </w:rPr>
        <w:t>pecifically, we do not know whether the</w:t>
      </w:r>
      <w:r w:rsidR="008F71DD" w:rsidRPr="00B6152C">
        <w:rPr>
          <w:rFonts w:cstheme="minorHAnsi"/>
          <w:lang w:val="en-US"/>
        </w:rPr>
        <w:t>se</w:t>
      </w:r>
      <w:r w:rsidR="00923FDC" w:rsidRPr="00B6152C">
        <w:rPr>
          <w:rFonts w:cstheme="minorHAnsi"/>
          <w:lang w:val="en-US"/>
        </w:rPr>
        <w:t xml:space="preserve"> metacognitive changes depend on the task’s characteristics or on the phenomenology associated with the feeling of fluency. Indeed, it is now well-established that enhanced processing fluency can occur at various levels of cognitive operation, such as perceptual </w:t>
      </w:r>
      <w:r w:rsidR="00923FDC" w:rsidRPr="00B6152C">
        <w:rPr>
          <w:rFonts w:cstheme="minorHAnsi"/>
          <w:noProof/>
          <w:lang w:val="en-US"/>
        </w:rPr>
        <w:t>(Jacoby &amp; Whitehouse, 1989)</w:t>
      </w:r>
      <w:r w:rsidR="00923FDC" w:rsidRPr="00B6152C">
        <w:rPr>
          <w:rFonts w:cstheme="minorHAnsi"/>
          <w:lang w:val="en-US"/>
        </w:rPr>
        <w:t xml:space="preserve">, conceptual </w:t>
      </w:r>
      <w:r w:rsidR="00923FDC" w:rsidRPr="00B6152C">
        <w:rPr>
          <w:rFonts w:cstheme="minorHAnsi"/>
          <w:noProof/>
          <w:lang w:val="en-US"/>
        </w:rPr>
        <w:t>(Whittlesea, 1993)</w:t>
      </w:r>
      <w:r w:rsidR="00923FDC" w:rsidRPr="00B6152C">
        <w:rPr>
          <w:rFonts w:cstheme="minorHAnsi"/>
          <w:lang w:val="en-US"/>
        </w:rPr>
        <w:t xml:space="preserve">, lexical </w:t>
      </w:r>
      <w:r w:rsidR="00923FDC" w:rsidRPr="00B6152C">
        <w:rPr>
          <w:rFonts w:cstheme="minorHAnsi"/>
          <w:noProof/>
          <w:lang w:val="en-US"/>
        </w:rPr>
        <w:t>(Whittlesea &amp; Williams, 2000)</w:t>
      </w:r>
      <w:r w:rsidR="00923FDC" w:rsidRPr="00B6152C">
        <w:rPr>
          <w:rFonts w:cstheme="minorHAnsi"/>
          <w:lang w:val="en-US"/>
        </w:rPr>
        <w:t xml:space="preserve">, or </w:t>
      </w:r>
      <w:r w:rsidR="00923FDC" w:rsidRPr="00B6152C">
        <w:rPr>
          <w:rFonts w:cstheme="minorHAnsi"/>
          <w:lang w:val="en-US"/>
        </w:rPr>
        <w:lastRenderedPageBreak/>
        <w:t xml:space="preserve">motor </w:t>
      </w:r>
      <w:r w:rsidR="00923FDC" w:rsidRPr="00B6152C">
        <w:rPr>
          <w:rFonts w:cstheme="minorHAnsi"/>
          <w:noProof/>
          <w:lang w:val="en-US"/>
        </w:rPr>
        <w:t>(Topolinski, 2012)</w:t>
      </w:r>
      <w:r w:rsidR="00923FDC" w:rsidRPr="00B6152C">
        <w:rPr>
          <w:rFonts w:cstheme="minorHAnsi"/>
          <w:lang w:val="en-US"/>
        </w:rPr>
        <w:t>. To date, however, only conceptual and perceptual fluency have been explored in amnesia. Examining how amnesic patients adjust their use of fluency when other types of fluency are manipulated could help us to better understand not only the changes occurring in familiarity-based memory in amnesia, but also the mechanisms that underlie the dynamic nature of attribution processes.</w:t>
      </w:r>
    </w:p>
    <w:p w14:paraId="2A406891" w14:textId="352F6953" w:rsidR="00923FDC" w:rsidRPr="00B6152C" w:rsidRDefault="00923FDC" w:rsidP="00B6152C">
      <w:pPr>
        <w:autoSpaceDE w:val="0"/>
        <w:autoSpaceDN w:val="0"/>
        <w:adjustRightInd w:val="0"/>
        <w:spacing w:after="120" w:line="480" w:lineRule="auto"/>
        <w:jc w:val="both"/>
        <w:rPr>
          <w:rFonts w:cstheme="minorHAnsi"/>
          <w:lang w:val="en-US"/>
        </w:rPr>
      </w:pPr>
      <w:r w:rsidRPr="00B6152C">
        <w:rPr>
          <w:lang w:val="en-US"/>
        </w:rPr>
        <w:t xml:space="preserve">For these reasons, the main goal of the present experiment was to document </w:t>
      </w:r>
      <w:r w:rsidRPr="00B6152C">
        <w:rPr>
          <w:rFonts w:cstheme="minorHAnsi"/>
          <w:lang w:val="en-US"/>
        </w:rPr>
        <w:t xml:space="preserve">changes in fluency use in amnesic patients when processing ease is experienced at a motor and lexical level. To test this, a procedure inspired from </w:t>
      </w:r>
      <w:r w:rsidRPr="00B6152C">
        <w:rPr>
          <w:rFonts w:cstheme="minorHAnsi"/>
          <w:noProof/>
          <w:lang w:val="en-US"/>
        </w:rPr>
        <w:t>Whittlesea and Williams (2000)</w:t>
      </w:r>
      <w:r w:rsidRPr="00B6152C">
        <w:rPr>
          <w:rFonts w:cstheme="minorHAnsi"/>
          <w:lang w:val="en-US"/>
        </w:rPr>
        <w:t xml:space="preserve"> was employed</w:t>
      </w:r>
      <w:r w:rsidR="00230E31" w:rsidRPr="00B6152C">
        <w:rPr>
          <w:rFonts w:cstheme="minorHAnsi"/>
          <w:lang w:val="en-US"/>
        </w:rPr>
        <w:t xml:space="preserve"> </w:t>
      </w:r>
      <w:r w:rsidR="006840C6" w:rsidRPr="00B6152C">
        <w:rPr>
          <w:rFonts w:cstheme="minorHAnsi"/>
          <w:lang w:val="en-US"/>
        </w:rPr>
        <w:t>as</w:t>
      </w:r>
      <w:r w:rsidR="00230E31" w:rsidRPr="00B6152C">
        <w:rPr>
          <w:rFonts w:cstheme="minorHAnsi"/>
          <w:lang w:val="en-US"/>
        </w:rPr>
        <w:t xml:space="preserve"> </w:t>
      </w:r>
      <w:r w:rsidR="006840C6" w:rsidRPr="00B6152C">
        <w:rPr>
          <w:rFonts w:cstheme="minorHAnsi"/>
          <w:lang w:val="en-US"/>
        </w:rPr>
        <w:t>this paradigm allowed to manipulate processing fluency while making the external source of this manipulation to remain undetectable</w:t>
      </w:r>
      <w:r w:rsidRPr="00B6152C">
        <w:rPr>
          <w:rFonts w:cstheme="minorHAnsi"/>
          <w:lang w:val="en-US"/>
        </w:rPr>
        <w:t>. In their experiment, these authors presented healthy participants with a recognition test composed of three types of stimuli: (a) natural words, (b) nonwords that are difficult to pronounce, and (c) nonwords that are easy to pronounce. Their results revealed that the latter items gave rise to a higher rate of “yes” responses than the two other types of stimuli. They postulated that the easy-to-pronounced nonwords produced a stronger feeling of fluency than natural words because the ease with which they were processed at a lexical/motor level was surprising and contrasted with their total lack of meaning. On the reverse, the processing ease of natural words, although higher in absolute terms, was consistent with participants’ expectations and, thus, did not generate any surpris</w:t>
      </w:r>
      <w:r w:rsidR="006840C6" w:rsidRPr="00B6152C">
        <w:rPr>
          <w:rFonts w:cstheme="minorHAnsi"/>
          <w:lang w:val="en-US"/>
        </w:rPr>
        <w:t>ing feeling of ease</w:t>
      </w:r>
      <w:r w:rsidRPr="00B6152C">
        <w:rPr>
          <w:rFonts w:cstheme="minorHAnsi"/>
          <w:lang w:val="en-US"/>
        </w:rPr>
        <w:t xml:space="preserve">. While </w:t>
      </w:r>
      <w:r w:rsidRPr="00B6152C">
        <w:rPr>
          <w:rFonts w:cstheme="minorHAnsi"/>
          <w:noProof/>
          <w:lang w:val="en-US"/>
        </w:rPr>
        <w:t>Whittlesea and Williams (2000)</w:t>
      </w:r>
      <w:r w:rsidRPr="00B6152C">
        <w:rPr>
          <w:rFonts w:cstheme="minorHAnsi"/>
          <w:lang w:val="en-US"/>
        </w:rPr>
        <w:t xml:space="preserve"> interpreted these findings as evidence that relative fluency was more important than absolute fluency to generate a feeling of familiarity, their data also indicated that fluency may occur at a lexical/motor level. Consequently, here, patients with amnesia and matched controls were recruited and presented with two recognition tests including the same three classes of stimuli than those used in Whittlesea and Williams’ study. Specifically, participants performed a recognition task in a condition that allows to experience the feeling of fluency produced by the articulation of the easy-to-pronounce nonwords (i.e., oral motor condition). Then, they also performed a recognition task in a condition that prevents the experience of such a processing ease by prohibiting the articulation of any items at a subvocal level (i.e., a non-oral motor condition) </w:t>
      </w:r>
      <w:r w:rsidRPr="00B6152C">
        <w:rPr>
          <w:rFonts w:cstheme="minorHAnsi"/>
          <w:noProof/>
          <w:lang w:val="en-US"/>
        </w:rPr>
        <w:lastRenderedPageBreak/>
        <w:t>(Topolinski, 2012)</w:t>
      </w:r>
      <w:r w:rsidRPr="00B6152C">
        <w:rPr>
          <w:rFonts w:cstheme="minorHAnsi"/>
          <w:lang w:val="en-US"/>
        </w:rPr>
        <w:t xml:space="preserve">. Indeed, several authors have shown that the fluency effect first observed in Whittlesea and Williams’ study is eliminated when oral motor movements are prevented (e.g., by asking participants to eat or chew during the memory task; </w:t>
      </w:r>
      <w:proofErr w:type="spellStart"/>
      <w:r w:rsidRPr="00B6152C">
        <w:rPr>
          <w:rFonts w:cstheme="minorHAnsi"/>
          <w:lang w:val="en-US"/>
        </w:rPr>
        <w:t>Topolinski</w:t>
      </w:r>
      <w:proofErr w:type="spellEnd"/>
      <w:r w:rsidRPr="00B6152C">
        <w:rPr>
          <w:rFonts w:cstheme="minorHAnsi"/>
          <w:lang w:val="en-US"/>
        </w:rPr>
        <w:t xml:space="preserve"> &amp; </w:t>
      </w:r>
      <w:proofErr w:type="spellStart"/>
      <w:r w:rsidRPr="00B6152C">
        <w:rPr>
          <w:rFonts w:cstheme="minorHAnsi"/>
          <w:lang w:val="en-US"/>
        </w:rPr>
        <w:t>Strack</w:t>
      </w:r>
      <w:proofErr w:type="spellEnd"/>
      <w:r w:rsidRPr="00B6152C">
        <w:rPr>
          <w:rFonts w:cstheme="minorHAnsi"/>
          <w:lang w:val="en-US"/>
        </w:rPr>
        <w:t>, 2009).</w:t>
      </w:r>
    </w:p>
    <w:p w14:paraId="03F8589F" w14:textId="77777777" w:rsidR="00923FDC" w:rsidRPr="00B6152C" w:rsidRDefault="00923FDC" w:rsidP="00B6152C">
      <w:pPr>
        <w:autoSpaceDE w:val="0"/>
        <w:autoSpaceDN w:val="0"/>
        <w:adjustRightInd w:val="0"/>
        <w:spacing w:after="120" w:line="480" w:lineRule="auto"/>
        <w:jc w:val="both"/>
        <w:rPr>
          <w:rFonts w:cstheme="minorHAnsi"/>
          <w:lang w:val="en-US"/>
        </w:rPr>
      </w:pPr>
      <w:r w:rsidRPr="00B6152C">
        <w:rPr>
          <w:rFonts w:cstheme="minorHAnsi"/>
          <w:lang w:val="en-US"/>
        </w:rPr>
        <w:t>With this procedure, we plan to examine whether and how the use of oral motor fluency changes in amnesia. Several scenarios are possible. First, if patients rely on the fluency cue to guide their memory decisions in the same way as controls, we expect both groups to give a higher rate of “yes” responses for easy-to-pronounce nonwords in the oral motor condition (where motor fluency can be experienced) as compared to the non-oral motor condition (where motor fluency was prevented) while no such a difference should be found for natural words or difficult-to-pronounce nonwords albeit for two different reasons. Natural words because other types of fluency (e.g., conceptual) could still be available to guide participants decisions despite the articulatory suppression. The difficult-to-pronounce nonwords because they have a low level of oral motor fluency to begin with and, thus, should not be significantly affected by the manipulation. Second, if patients with amnesia are not able to rely on fluency to guide their memory</w:t>
      </w:r>
      <w:r w:rsidR="00AE7818" w:rsidRPr="00B6152C">
        <w:rPr>
          <w:rFonts w:cstheme="minorHAnsi"/>
          <w:lang w:val="en-US"/>
        </w:rPr>
        <w:t xml:space="preserve"> (as opposed to controls)</w:t>
      </w:r>
      <w:r w:rsidRPr="00B6152C">
        <w:rPr>
          <w:rFonts w:cstheme="minorHAnsi"/>
          <w:lang w:val="en-US"/>
        </w:rPr>
        <w:t xml:space="preserve">, a similar rate of “yes” responses for all classes of stimuli in both experimental conditions was expected. However, </w:t>
      </w:r>
      <w:r w:rsidR="00E859DF" w:rsidRPr="00B6152C">
        <w:rPr>
          <w:rFonts w:cstheme="minorHAnsi"/>
          <w:lang w:val="en-US"/>
        </w:rPr>
        <w:t>if</w:t>
      </w:r>
      <w:r w:rsidRPr="00B6152C">
        <w:rPr>
          <w:rFonts w:cstheme="minorHAnsi"/>
          <w:lang w:val="en-US"/>
        </w:rPr>
        <w:t xml:space="preserve"> attribution processes are spared in amnesia, but undergo some metacognitive changes that account for the reduction that is sometimes observed in the literature regarding their use of fluency, it is possible that, </w:t>
      </w:r>
      <w:r w:rsidRPr="00B6152C">
        <w:rPr>
          <w:lang w:val="en-US"/>
        </w:rPr>
        <w:t xml:space="preserve">reluctant to attribute a strong feeling of fluency to their impaired memory, </w:t>
      </w:r>
      <w:r w:rsidRPr="00B6152C">
        <w:rPr>
          <w:rFonts w:cstheme="minorHAnsi"/>
          <w:lang w:val="en-US"/>
        </w:rPr>
        <w:t xml:space="preserve">amnesic patients </w:t>
      </w:r>
      <w:r w:rsidR="00CA307C" w:rsidRPr="00B6152C">
        <w:rPr>
          <w:rFonts w:cstheme="minorHAnsi"/>
          <w:lang w:val="en-US"/>
        </w:rPr>
        <w:t xml:space="preserve">only </w:t>
      </w:r>
      <w:r w:rsidRPr="00B6152C">
        <w:rPr>
          <w:rFonts w:cstheme="minorHAnsi"/>
          <w:lang w:val="en-US"/>
        </w:rPr>
        <w:t>disqualify fluency as a cue for memory when it exceeds a certain threshold</w:t>
      </w:r>
      <w:r w:rsidRPr="00B6152C">
        <w:rPr>
          <w:lang w:val="en-US"/>
        </w:rPr>
        <w:t xml:space="preserve"> </w:t>
      </w:r>
      <w:r w:rsidRPr="00B6152C">
        <w:rPr>
          <w:noProof/>
          <w:lang w:val="en-US"/>
        </w:rPr>
        <w:t>(Ozubko &amp; Yonelinas, 2014)</w:t>
      </w:r>
      <w:r w:rsidRPr="00B6152C">
        <w:rPr>
          <w:rFonts w:cstheme="minorHAnsi"/>
          <w:lang w:val="en-US"/>
        </w:rPr>
        <w:t xml:space="preserve">. </w:t>
      </w:r>
      <w:r w:rsidR="00E859DF" w:rsidRPr="00B6152C">
        <w:rPr>
          <w:rFonts w:cstheme="minorHAnsi"/>
          <w:lang w:val="en-US"/>
        </w:rPr>
        <w:t>If this is the case, then amnesic should respond differently whether it is targets or distractors that are processed fluently. Specifically,</w:t>
      </w:r>
      <w:r w:rsidRPr="00B6152C">
        <w:rPr>
          <w:rFonts w:cstheme="minorHAnsi"/>
          <w:lang w:val="en-US"/>
        </w:rPr>
        <w:t xml:space="preserve"> we should observe a reduction of the fluency effect for easy-to-pronounced targets, but not for easy-to-pronounced distractors in patients as compared to control participants. Indeed, as easy-to-pronounced targets combine two sources of fluency (prior exposure + surprising oral motor fluency), they are more likely to exceed the threshold than distractors.</w:t>
      </w:r>
    </w:p>
    <w:p w14:paraId="696C8C59" w14:textId="77777777" w:rsidR="0083543F" w:rsidRPr="00B6152C" w:rsidRDefault="0083543F" w:rsidP="00B6152C">
      <w:pPr>
        <w:spacing w:line="480" w:lineRule="auto"/>
        <w:jc w:val="center"/>
        <w:rPr>
          <w:b/>
          <w:lang w:val="en-US"/>
        </w:rPr>
      </w:pPr>
      <w:r w:rsidRPr="00B6152C">
        <w:rPr>
          <w:b/>
          <w:lang w:val="en-US"/>
        </w:rPr>
        <w:t>Method</w:t>
      </w:r>
    </w:p>
    <w:p w14:paraId="04512234" w14:textId="77777777" w:rsidR="0083543F" w:rsidRPr="00B6152C" w:rsidRDefault="0083543F" w:rsidP="00B6152C">
      <w:pPr>
        <w:spacing w:line="480" w:lineRule="auto"/>
        <w:rPr>
          <w:b/>
          <w:lang w:val="en-US"/>
        </w:rPr>
      </w:pPr>
      <w:r w:rsidRPr="00B6152C">
        <w:rPr>
          <w:b/>
          <w:lang w:val="en-US"/>
        </w:rPr>
        <w:lastRenderedPageBreak/>
        <w:t>Participants</w:t>
      </w:r>
    </w:p>
    <w:p w14:paraId="3799DFA3" w14:textId="77777777" w:rsidR="0083543F" w:rsidRPr="00B6152C" w:rsidRDefault="0083543F" w:rsidP="00B6152C">
      <w:pPr>
        <w:spacing w:line="480" w:lineRule="auto"/>
        <w:jc w:val="both"/>
        <w:rPr>
          <w:lang w:val="en-US"/>
        </w:rPr>
      </w:pPr>
      <w:r w:rsidRPr="00B6152C">
        <w:rPr>
          <w:lang w:val="en-US"/>
        </w:rPr>
        <w:t>Nine French-speaking patients (4 females) with amnesia recruited from various neuropsychological rehabilitation units in Belgium participated in this study. Major attentional and executive function deficits constituted an exclusion criterion</w:t>
      </w:r>
      <w:r w:rsidR="0052657A" w:rsidRPr="00B6152C">
        <w:rPr>
          <w:lang w:val="en-US"/>
        </w:rPr>
        <w:t xml:space="preserve"> (i.e., </w:t>
      </w:r>
      <w:r w:rsidR="00D83C0D" w:rsidRPr="00B6152C">
        <w:rPr>
          <w:lang w:val="en-US"/>
        </w:rPr>
        <w:t xml:space="preserve">for various cognitive tasks, </w:t>
      </w:r>
      <w:r w:rsidR="0052657A" w:rsidRPr="00B6152C">
        <w:rPr>
          <w:lang w:val="en-US"/>
        </w:rPr>
        <w:t xml:space="preserve">all patients had scores within two standard deviations from the mean </w:t>
      </w:r>
      <w:r w:rsidR="00D83C0D" w:rsidRPr="00B6152C">
        <w:rPr>
          <w:lang w:val="en-US"/>
        </w:rPr>
        <w:t>of</w:t>
      </w:r>
      <w:r w:rsidR="0052657A" w:rsidRPr="00B6152C">
        <w:rPr>
          <w:lang w:val="en-US"/>
        </w:rPr>
        <w:t xml:space="preserve"> their normative group</w:t>
      </w:r>
      <w:r w:rsidR="00D83C0D" w:rsidRPr="00B6152C">
        <w:rPr>
          <w:lang w:val="en-US"/>
        </w:rPr>
        <w:t xml:space="preserve"> at the most recent neuropsychological assessment; range = 1 to 5 months since the last evaluation</w:t>
      </w:r>
      <w:r w:rsidR="0052657A" w:rsidRPr="00B6152C">
        <w:rPr>
          <w:lang w:val="en-US"/>
        </w:rPr>
        <w:t>)</w:t>
      </w:r>
      <w:r w:rsidRPr="00B6152C">
        <w:rPr>
          <w:lang w:val="en-US"/>
        </w:rPr>
        <w:t xml:space="preserve">. Time since diagnosis ranged from 1 to 13 years (Mean = 4.11, SD = 3.95). The mean age was 34.4 (SD = 10.33; range = </w:t>
      </w:r>
      <w:r w:rsidRPr="00B6152C">
        <w:rPr>
          <w:rStyle w:val="Accentuation"/>
          <w:lang w:val="en-US"/>
        </w:rPr>
        <w:t>22–52</w:t>
      </w:r>
      <w:r w:rsidRPr="00B6152C">
        <w:rPr>
          <w:lang w:val="en-US"/>
        </w:rPr>
        <w:t>) years</w:t>
      </w:r>
      <w:r w:rsidR="00E9777D" w:rsidRPr="00B6152C">
        <w:rPr>
          <w:lang w:val="en-US"/>
        </w:rPr>
        <w:t xml:space="preserve"> old</w:t>
      </w:r>
      <w:r w:rsidRPr="00B6152C">
        <w:rPr>
          <w:lang w:val="en-US"/>
        </w:rPr>
        <w:t xml:space="preserve"> and the mean education level was 14.0 (SD = 2.87) years. General intellectual efficiency was estimated using the Wechsler Abbreviated Scale of Intelligence </w:t>
      </w:r>
      <w:r w:rsidRPr="00B6152C">
        <w:rPr>
          <w:noProof/>
          <w:lang w:val="en-US"/>
        </w:rPr>
        <w:t>(WASI-II; Wechsler &amp; Hsiao-pin, 2011)</w:t>
      </w:r>
      <w:r w:rsidRPr="00B6152C">
        <w:rPr>
          <w:lang w:val="en-US"/>
        </w:rPr>
        <w:t xml:space="preserve">. The Wechsler Memory Scale </w:t>
      </w:r>
      <w:r w:rsidRPr="00B6152C">
        <w:rPr>
          <w:noProof/>
          <w:lang w:val="en-US"/>
        </w:rPr>
        <w:t>(WMS-III; Wechsler, 1997)</w:t>
      </w:r>
      <w:r w:rsidRPr="00B6152C">
        <w:rPr>
          <w:lang w:val="en-US"/>
        </w:rPr>
        <w:t xml:space="preserve"> was used to appraise patients’ working memory and episodic memory abilities. All patients showed normal intellectual functioning (IQ = 100.2; SD = 9.19) and working memory performance (Working memory index = 90.2; SD = 8.44). However, they had severe episodic memory deficits (general memory index = 57.7; SD = 7.84; visual delay index = 63.9; SD = 8.82; and auditory delay index = 59.8; SD = 5.49). Patients’ characteristics are presented in Table 1.</w:t>
      </w:r>
    </w:p>
    <w:p w14:paraId="25253347" w14:textId="77777777" w:rsidR="005D647E" w:rsidRPr="00B6152C" w:rsidRDefault="005D647E" w:rsidP="00B6152C">
      <w:pPr>
        <w:spacing w:line="480" w:lineRule="auto"/>
        <w:jc w:val="center"/>
        <w:rPr>
          <w:lang w:val="en-US"/>
        </w:rPr>
      </w:pPr>
      <w:r w:rsidRPr="00B6152C">
        <w:rPr>
          <w:lang w:val="en-US"/>
        </w:rPr>
        <w:t>&lt; Table 1 about here &gt;</w:t>
      </w:r>
    </w:p>
    <w:p w14:paraId="1F2CF413" w14:textId="77777777" w:rsidR="0083543F" w:rsidRPr="00B6152C" w:rsidRDefault="00E9777D" w:rsidP="00B6152C">
      <w:pPr>
        <w:spacing w:line="480" w:lineRule="auto"/>
        <w:jc w:val="both"/>
        <w:rPr>
          <w:lang w:val="en-US"/>
        </w:rPr>
      </w:pPr>
      <w:r w:rsidRPr="00B6152C">
        <w:rPr>
          <w:lang w:val="en-US"/>
        </w:rPr>
        <w:t>The c</w:t>
      </w:r>
      <w:r w:rsidR="0083543F" w:rsidRPr="00B6152C">
        <w:rPr>
          <w:lang w:val="en-US"/>
        </w:rPr>
        <w:t xml:space="preserve">ontrol group consisted in 18 healthy participants who had no history of psychiatric or neurological illness and were matched with amnesic patients for age (Mean = 43.2 years; SD = 12.6; range = 21 – 54), gender (8 females), and education level (Mean = 14.27; SD = 2.84). They had a mean IQ of 110.4 (SD = 11.91). The control and amnesic groups did not differ significantly in age or education, all </w:t>
      </w:r>
      <w:proofErr w:type="spellStart"/>
      <w:r w:rsidR="0083543F" w:rsidRPr="00B6152C">
        <w:rPr>
          <w:i/>
          <w:lang w:val="en-US"/>
        </w:rPr>
        <w:t>ps</w:t>
      </w:r>
      <w:proofErr w:type="spellEnd"/>
      <w:r w:rsidR="0083543F" w:rsidRPr="00B6152C">
        <w:rPr>
          <w:lang w:val="en-US"/>
        </w:rPr>
        <w:t xml:space="preserve"> &gt; .80. However, they differed in IQ, </w:t>
      </w:r>
      <w:r w:rsidR="0083543F" w:rsidRPr="00B6152C">
        <w:rPr>
          <w:i/>
          <w:lang w:val="en-US"/>
        </w:rPr>
        <w:t>t</w:t>
      </w:r>
      <w:r w:rsidR="0083543F" w:rsidRPr="00B6152C">
        <w:rPr>
          <w:lang w:val="en-US"/>
        </w:rPr>
        <w:t xml:space="preserve">(25) = 2.25, </w:t>
      </w:r>
      <w:r w:rsidR="0083543F" w:rsidRPr="00B6152C">
        <w:rPr>
          <w:i/>
          <w:lang w:val="en-US"/>
        </w:rPr>
        <w:t>p</w:t>
      </w:r>
      <w:r w:rsidR="0083543F" w:rsidRPr="00B6152C">
        <w:rPr>
          <w:lang w:val="en-US"/>
        </w:rPr>
        <w:t xml:space="preserve"> =.03.</w:t>
      </w:r>
    </w:p>
    <w:p w14:paraId="1A9C491B" w14:textId="77777777" w:rsidR="0083543F" w:rsidRPr="00B6152C" w:rsidRDefault="0083543F" w:rsidP="00B6152C">
      <w:pPr>
        <w:spacing w:line="480" w:lineRule="auto"/>
        <w:jc w:val="both"/>
        <w:rPr>
          <w:lang w:val="en-US"/>
        </w:rPr>
      </w:pPr>
      <w:r w:rsidRPr="00B6152C">
        <w:rPr>
          <w:lang w:val="en-US"/>
        </w:rPr>
        <w:t xml:space="preserve">Required sample size was determined a priori on the basis of the medium to large effects that were observed in similar studies focusing on fluency use in amnesia </w:t>
      </w:r>
      <w:r w:rsidRPr="00B6152C">
        <w:rPr>
          <w:noProof/>
          <w:lang w:val="en-US"/>
        </w:rPr>
        <w:t>(e.g., Geurten &amp; Willems, 2017)</w:t>
      </w:r>
      <w:r w:rsidRPr="00B6152C">
        <w:rPr>
          <w:lang w:val="en-US"/>
        </w:rPr>
        <w:t>. Specifically, sample size was set in order to reach a predicted power of .80 for a within-between interaction (medium effect size).</w:t>
      </w:r>
    </w:p>
    <w:p w14:paraId="78AD603B" w14:textId="77777777" w:rsidR="0083543F" w:rsidRPr="00B6152C" w:rsidRDefault="0083543F" w:rsidP="00B6152C">
      <w:pPr>
        <w:spacing w:line="480" w:lineRule="auto"/>
        <w:rPr>
          <w:b/>
          <w:lang w:val="en-US"/>
        </w:rPr>
      </w:pPr>
      <w:r w:rsidRPr="00B6152C">
        <w:rPr>
          <w:b/>
          <w:lang w:val="en-US"/>
        </w:rPr>
        <w:lastRenderedPageBreak/>
        <w:t>Material</w:t>
      </w:r>
    </w:p>
    <w:p w14:paraId="2E51A5F4" w14:textId="0841AFCA" w:rsidR="0083543F" w:rsidRPr="00B6152C" w:rsidRDefault="0083543F" w:rsidP="00B6152C">
      <w:pPr>
        <w:spacing w:line="480" w:lineRule="auto"/>
        <w:jc w:val="both"/>
        <w:rPr>
          <w:lang w:val="en-US"/>
        </w:rPr>
      </w:pPr>
      <w:r w:rsidRPr="00B6152C">
        <w:rPr>
          <w:lang w:val="en-US"/>
        </w:rPr>
        <w:t xml:space="preserve">Three sets of </w:t>
      </w:r>
      <w:proofErr w:type="spellStart"/>
      <w:r w:rsidRPr="00B6152C">
        <w:rPr>
          <w:lang w:val="en-US"/>
        </w:rPr>
        <w:t>bisyllabic</w:t>
      </w:r>
      <w:proofErr w:type="spellEnd"/>
      <w:r w:rsidRPr="00B6152C">
        <w:rPr>
          <w:lang w:val="en-US"/>
        </w:rPr>
        <w:t xml:space="preserve"> items retrieved from </w:t>
      </w:r>
      <w:r w:rsidRPr="00B6152C">
        <w:rPr>
          <w:noProof/>
          <w:lang w:val="en-US"/>
        </w:rPr>
        <w:t>Majerus, Linden, Mulder, Meulemans, and Peters (2004)</w:t>
      </w:r>
      <w:r w:rsidRPr="00B6152C">
        <w:rPr>
          <w:lang w:val="en-US"/>
        </w:rPr>
        <w:t xml:space="preserve"> served as stimuli in the present experiment (see Appendix): 32 </w:t>
      </w:r>
      <w:r w:rsidR="006840C6" w:rsidRPr="00B6152C">
        <w:rPr>
          <w:lang w:val="en-US"/>
        </w:rPr>
        <w:t xml:space="preserve">hard to pronounce </w:t>
      </w:r>
      <w:r w:rsidR="00E03DE6" w:rsidRPr="00B6152C">
        <w:rPr>
          <w:lang w:val="en-US"/>
        </w:rPr>
        <w:t>nonwords (</w:t>
      </w:r>
      <w:r w:rsidRPr="00B6152C">
        <w:rPr>
          <w:lang w:val="en-US"/>
        </w:rPr>
        <w:t>low phonotactic frequency (LF) nonwords</w:t>
      </w:r>
      <w:r w:rsidR="00E03DE6" w:rsidRPr="00B6152C">
        <w:rPr>
          <w:lang w:val="en-US"/>
        </w:rPr>
        <w:t>)</w:t>
      </w:r>
      <w:r w:rsidRPr="00B6152C">
        <w:rPr>
          <w:lang w:val="en-US"/>
        </w:rPr>
        <w:t xml:space="preserve">, 32 </w:t>
      </w:r>
      <w:r w:rsidR="006840C6" w:rsidRPr="00B6152C">
        <w:rPr>
          <w:lang w:val="en-US"/>
        </w:rPr>
        <w:t xml:space="preserve">easy to pronounce </w:t>
      </w:r>
      <w:r w:rsidR="00E03DE6" w:rsidRPr="00B6152C">
        <w:rPr>
          <w:lang w:val="en-US"/>
        </w:rPr>
        <w:t>nonwords (</w:t>
      </w:r>
      <w:r w:rsidRPr="00B6152C">
        <w:rPr>
          <w:lang w:val="en-US"/>
        </w:rPr>
        <w:t>high phonotactic frequency (HF) nonwords</w:t>
      </w:r>
      <w:r w:rsidR="00E03DE6" w:rsidRPr="00B6152C">
        <w:rPr>
          <w:lang w:val="en-US"/>
        </w:rPr>
        <w:t>)</w:t>
      </w:r>
      <w:r w:rsidRPr="00B6152C">
        <w:rPr>
          <w:lang w:val="en-US"/>
        </w:rPr>
        <w:t>, and 32 natural French words. Each stimulus had the same syllabic structure. The LF nonwords were composed of diphones that are rare in French (e.g., in the nonword /</w:t>
      </w:r>
      <w:proofErr w:type="spellStart"/>
      <w:r w:rsidRPr="00B6152C">
        <w:rPr>
          <w:lang w:val="en-US"/>
        </w:rPr>
        <w:t>foeglo</w:t>
      </w:r>
      <w:r w:rsidR="00C21D3B" w:rsidRPr="00B6152C">
        <w:rPr>
          <w:lang w:val="en-US"/>
        </w:rPr>
        <w:t>s</w:t>
      </w:r>
      <w:proofErr w:type="spellEnd"/>
      <w:r w:rsidRPr="00B6152C">
        <w:rPr>
          <w:lang w:val="en-US"/>
        </w:rPr>
        <w:t>/) while the HF nonwords contained diphones that are frequent in French (e.g., /</w:t>
      </w:r>
      <w:proofErr w:type="spellStart"/>
      <w:r w:rsidRPr="00B6152C">
        <w:rPr>
          <w:lang w:val="en-US"/>
        </w:rPr>
        <w:t>pebmyn</w:t>
      </w:r>
      <w:proofErr w:type="spellEnd"/>
      <w:r w:rsidRPr="00B6152C">
        <w:rPr>
          <w:lang w:val="en-US"/>
        </w:rPr>
        <w:t xml:space="preserve">/). Furthermore, the diphones of the HF nonwords had the same phonotactic frequency as the diphones of the natural words used in this study. </w:t>
      </w:r>
      <w:bookmarkStart w:id="0" w:name="_Hlk81904467"/>
      <w:r w:rsidR="0044355B" w:rsidRPr="00B6152C">
        <w:rPr>
          <w:lang w:val="en-US"/>
        </w:rPr>
        <w:t xml:space="preserve">Sixteen items of each </w:t>
      </w:r>
      <w:r w:rsidRPr="00B6152C">
        <w:rPr>
          <w:lang w:val="en-US"/>
        </w:rPr>
        <w:t>collection</w:t>
      </w:r>
      <w:r w:rsidR="0044355B" w:rsidRPr="00B6152C">
        <w:rPr>
          <w:lang w:val="en-US"/>
        </w:rPr>
        <w:t>s</w:t>
      </w:r>
      <w:r w:rsidRPr="00B6152C">
        <w:rPr>
          <w:lang w:val="en-US"/>
        </w:rPr>
        <w:t xml:space="preserve"> </w:t>
      </w:r>
      <w:r w:rsidR="0044355B" w:rsidRPr="00B6152C">
        <w:rPr>
          <w:lang w:val="en-US"/>
        </w:rPr>
        <w:t xml:space="preserve">(natural words; HF nonwords, and LF nonwords) </w:t>
      </w:r>
      <w:r w:rsidRPr="00B6152C">
        <w:rPr>
          <w:lang w:val="en-US"/>
        </w:rPr>
        <w:t>w</w:t>
      </w:r>
      <w:r w:rsidR="0044355B" w:rsidRPr="00B6152C">
        <w:rPr>
          <w:lang w:val="en-US"/>
        </w:rPr>
        <w:t>ere</w:t>
      </w:r>
      <w:r w:rsidRPr="00B6152C">
        <w:rPr>
          <w:lang w:val="en-US"/>
        </w:rPr>
        <w:t xml:space="preserve"> then</w:t>
      </w:r>
      <w:r w:rsidR="0044355B" w:rsidRPr="00B6152C">
        <w:rPr>
          <w:lang w:val="en-US"/>
        </w:rPr>
        <w:t xml:space="preserve"> randomly assigned to one of the two experimental list</w:t>
      </w:r>
      <w:r w:rsidRPr="00B6152C">
        <w:rPr>
          <w:lang w:val="en-US"/>
        </w:rPr>
        <w:t xml:space="preserve"> (List A and B). </w:t>
      </w:r>
      <w:r w:rsidR="00C21D3B" w:rsidRPr="00B6152C">
        <w:rPr>
          <w:lang w:val="en-US"/>
        </w:rPr>
        <w:t xml:space="preserve">These two lists were counterbalanced between the two conditions: </w:t>
      </w:r>
      <w:r w:rsidRPr="00B6152C">
        <w:rPr>
          <w:lang w:val="en-US"/>
        </w:rPr>
        <w:t xml:space="preserve">Half of the participants were randomly presented with List A in the oral motor condition while the other half were presented with List A in the non-oral motor condition. Within </w:t>
      </w:r>
      <w:r w:rsidR="0044355B" w:rsidRPr="00B6152C">
        <w:rPr>
          <w:lang w:val="en-US"/>
        </w:rPr>
        <w:t xml:space="preserve">each </w:t>
      </w:r>
      <w:r w:rsidRPr="00B6152C">
        <w:rPr>
          <w:lang w:val="en-US"/>
        </w:rPr>
        <w:t>list</w:t>
      </w:r>
      <w:r w:rsidR="0044355B" w:rsidRPr="00B6152C">
        <w:rPr>
          <w:lang w:val="en-US"/>
        </w:rPr>
        <w:t xml:space="preserve"> of 48 items</w:t>
      </w:r>
      <w:r w:rsidRPr="00B6152C">
        <w:rPr>
          <w:lang w:val="en-US"/>
        </w:rPr>
        <w:t xml:space="preserve">, </w:t>
      </w:r>
      <w:r w:rsidR="0044355B" w:rsidRPr="00B6152C">
        <w:rPr>
          <w:lang w:val="en-US"/>
        </w:rPr>
        <w:t xml:space="preserve">two set of </w:t>
      </w:r>
      <w:r w:rsidRPr="00B6152C">
        <w:rPr>
          <w:lang w:val="en-US"/>
        </w:rPr>
        <w:t xml:space="preserve">stimuli were </w:t>
      </w:r>
      <w:r w:rsidR="0044355B" w:rsidRPr="00B6152C">
        <w:rPr>
          <w:lang w:val="en-US"/>
        </w:rPr>
        <w:t>created (Set 1 and 2).</w:t>
      </w:r>
      <w:r w:rsidRPr="00B6152C">
        <w:rPr>
          <w:lang w:val="en-US"/>
        </w:rPr>
        <w:t xml:space="preserve"> In the recognition tests, half of the participants were presented with Set </w:t>
      </w:r>
      <w:r w:rsidR="007D20D4" w:rsidRPr="00B6152C">
        <w:rPr>
          <w:lang w:val="en-US"/>
        </w:rPr>
        <w:t>1</w:t>
      </w:r>
      <w:r w:rsidRPr="00B6152C">
        <w:rPr>
          <w:lang w:val="en-US"/>
        </w:rPr>
        <w:t xml:space="preserve"> as targets and Set </w:t>
      </w:r>
      <w:r w:rsidR="007D20D4" w:rsidRPr="00B6152C">
        <w:rPr>
          <w:lang w:val="en-US"/>
        </w:rPr>
        <w:t>2</w:t>
      </w:r>
      <w:r w:rsidRPr="00B6152C">
        <w:rPr>
          <w:lang w:val="en-US"/>
        </w:rPr>
        <w:t xml:space="preserve"> as distractors; the other half of the participants were presented with the reverse design.</w:t>
      </w:r>
      <w:bookmarkEnd w:id="0"/>
    </w:p>
    <w:p w14:paraId="0D58587C" w14:textId="77777777" w:rsidR="0083543F" w:rsidRPr="00B6152C" w:rsidRDefault="0083543F" w:rsidP="00B6152C">
      <w:pPr>
        <w:spacing w:line="480" w:lineRule="auto"/>
        <w:jc w:val="both"/>
        <w:rPr>
          <w:lang w:val="en-US"/>
        </w:rPr>
      </w:pPr>
      <w:r w:rsidRPr="00B6152C">
        <w:rPr>
          <w:lang w:val="en-US"/>
        </w:rPr>
        <w:t xml:space="preserve">We chose to use words, LF nonwords, and HF nonwords because these kinds of stimuli have been shown to induce different levels of fluency expectations in control participants </w:t>
      </w:r>
      <w:r w:rsidRPr="00B6152C">
        <w:rPr>
          <w:noProof/>
          <w:lang w:val="en-US"/>
        </w:rPr>
        <w:t>(e.g., Whittlesea &amp; Williams, 2000)</w:t>
      </w:r>
      <w:r w:rsidRPr="00B6152C">
        <w:rPr>
          <w:lang w:val="en-US"/>
        </w:rPr>
        <w:t xml:space="preserve">. Specifically, natural words were revealed to induce high initial fluency expectations which match the level of ease experienced during subsequent processing. Nonwords hard to pronounce and not resembling any particular words (LF nonwords) were shown to induce low initial fluency expectations which match the level of ease experienced during subsequent processing. On the reverse, nonwords easy to pronounce that resemble words existing in the language (HF nonwords) were revealed to produce a discrepancy between initial </w:t>
      </w:r>
      <w:r w:rsidR="007D20D4" w:rsidRPr="00B6152C">
        <w:rPr>
          <w:lang w:val="en-US"/>
        </w:rPr>
        <w:t xml:space="preserve">(i.e., expectation) </w:t>
      </w:r>
      <w:r w:rsidRPr="00B6152C">
        <w:rPr>
          <w:lang w:val="en-US"/>
        </w:rPr>
        <w:t xml:space="preserve">and latter </w:t>
      </w:r>
      <w:r w:rsidR="007D20D4" w:rsidRPr="00B6152C">
        <w:rPr>
          <w:lang w:val="en-US"/>
        </w:rPr>
        <w:t xml:space="preserve">(i.e., experience) </w:t>
      </w:r>
      <w:r w:rsidRPr="00B6152C">
        <w:rPr>
          <w:lang w:val="en-US"/>
        </w:rPr>
        <w:t>aspects of processing. Indeed, HF nonwords tended to give rise to low fluency expectations that do not match actual processing.</w:t>
      </w:r>
    </w:p>
    <w:p w14:paraId="11475488" w14:textId="77777777" w:rsidR="0083543F" w:rsidRPr="00B6152C" w:rsidRDefault="0083543F" w:rsidP="00B6152C">
      <w:pPr>
        <w:spacing w:line="480" w:lineRule="auto"/>
        <w:jc w:val="both"/>
        <w:rPr>
          <w:b/>
          <w:lang w:val="en-US"/>
        </w:rPr>
      </w:pPr>
      <w:r w:rsidRPr="00B6152C">
        <w:rPr>
          <w:b/>
          <w:lang w:val="en-US"/>
        </w:rPr>
        <w:lastRenderedPageBreak/>
        <w:t>Procedure</w:t>
      </w:r>
    </w:p>
    <w:p w14:paraId="7882A3D2" w14:textId="5FC253C4" w:rsidR="0083543F" w:rsidRPr="00B6152C" w:rsidRDefault="0083543F" w:rsidP="00B6152C">
      <w:pPr>
        <w:spacing w:line="480" w:lineRule="auto"/>
        <w:jc w:val="both"/>
        <w:rPr>
          <w:lang w:val="en-US"/>
        </w:rPr>
      </w:pPr>
      <w:r w:rsidRPr="00B6152C">
        <w:rPr>
          <w:lang w:val="en-US"/>
        </w:rPr>
        <w:t>The study was conducted in accordance with the ethics committee of the participating institutions</w:t>
      </w:r>
      <w:r w:rsidR="00EC462D" w:rsidRPr="00B6152C">
        <w:rPr>
          <w:lang w:val="en-US"/>
        </w:rPr>
        <w:t xml:space="preserve"> (Central committee: CHU-Liege)</w:t>
      </w:r>
      <w:r w:rsidRPr="00B6152C">
        <w:rPr>
          <w:lang w:val="en-US"/>
        </w:rPr>
        <w:t xml:space="preserve">. Written informed consent was obtained before the study started. Participants were tested individually in a quiet room at their house. </w:t>
      </w:r>
      <w:bookmarkStart w:id="1" w:name="_Hlk81904388"/>
      <w:r w:rsidRPr="00B6152C">
        <w:rPr>
          <w:lang w:val="en-US"/>
        </w:rPr>
        <w:t>They underwent an approximatively 40-min session during which they completed two recognition tests : one in the oral motor retrieval condition and one in the non-oral motor condition</w:t>
      </w:r>
      <w:r w:rsidR="00C21D3B" w:rsidRPr="00B6152C">
        <w:rPr>
          <w:lang w:val="en-US"/>
        </w:rPr>
        <w:t>, the order of these two conditions being counterbalanced between participants</w:t>
      </w:r>
      <w:r w:rsidRPr="00B6152C">
        <w:rPr>
          <w:lang w:val="en-US"/>
        </w:rPr>
        <w:t>.</w:t>
      </w:r>
      <w:bookmarkEnd w:id="1"/>
      <w:r w:rsidRPr="00B6152C">
        <w:rPr>
          <w:lang w:val="en-US"/>
        </w:rPr>
        <w:t xml:space="preserve"> These two tasks were both composed of two phases (i.e., a study phase and a test phase) and separated by approximatively 15-min delays filled with the four subtests of the WASI-II. Stimuli included in the recognition tasks were presented electronically using the E-Prime 3.0 software (Psychology Software Tools, Pittsburgh, PA).</w:t>
      </w:r>
    </w:p>
    <w:p w14:paraId="46D394E4" w14:textId="77777777" w:rsidR="0083543F" w:rsidRPr="00B6152C" w:rsidRDefault="0083543F" w:rsidP="00B6152C">
      <w:pPr>
        <w:spacing w:line="480" w:lineRule="auto"/>
        <w:jc w:val="both"/>
        <w:rPr>
          <w:b/>
          <w:i/>
          <w:lang w:val="en-US"/>
        </w:rPr>
      </w:pPr>
      <w:r w:rsidRPr="00B6152C">
        <w:rPr>
          <w:b/>
          <w:i/>
          <w:lang w:val="en-US"/>
        </w:rPr>
        <w:t>Study phas</w:t>
      </w:r>
      <w:r w:rsidR="007650EB" w:rsidRPr="00B6152C">
        <w:rPr>
          <w:b/>
          <w:i/>
          <w:lang w:val="en-US"/>
        </w:rPr>
        <w:t>e</w:t>
      </w:r>
      <w:r w:rsidR="005D647E" w:rsidRPr="00B6152C">
        <w:rPr>
          <w:b/>
          <w:i/>
          <w:lang w:val="en-US"/>
        </w:rPr>
        <w:t xml:space="preserve">. </w:t>
      </w:r>
      <w:r w:rsidRPr="00B6152C">
        <w:rPr>
          <w:lang w:val="en-US"/>
        </w:rPr>
        <w:t xml:space="preserve">Participants were randomly presented with 24 items (8 words, 8 LF nonwords, and 8 HF nonwords) in black on white (Calibri, font size = 18). They were told to read these items in a quiet voice and study them in prevision of an upcoming test of unspecified nature. Each studied stimulus was presented in the center of the screen for 3000 </w:t>
      </w:r>
      <w:proofErr w:type="spellStart"/>
      <w:r w:rsidRPr="00B6152C">
        <w:rPr>
          <w:lang w:val="en-US"/>
        </w:rPr>
        <w:t>ms</w:t>
      </w:r>
      <w:proofErr w:type="spellEnd"/>
      <w:r w:rsidRPr="00B6152C">
        <w:rPr>
          <w:lang w:val="en-US"/>
        </w:rPr>
        <w:t>, followed by a 500-ms interval. At the end of the study phase, participants were asked to solve arithmetic problems (e.g., 27 + 36) to fill a 2-min delay before moving to the test phase.</w:t>
      </w:r>
    </w:p>
    <w:p w14:paraId="3E03D45B" w14:textId="77777777" w:rsidR="0083543F" w:rsidRPr="00B6152C" w:rsidRDefault="0083543F" w:rsidP="00B6152C">
      <w:pPr>
        <w:spacing w:line="480" w:lineRule="auto"/>
        <w:jc w:val="both"/>
        <w:rPr>
          <w:lang w:val="en-US"/>
        </w:rPr>
      </w:pPr>
      <w:r w:rsidRPr="00B6152C">
        <w:rPr>
          <w:b/>
          <w:i/>
          <w:lang w:val="en-US"/>
        </w:rPr>
        <w:t>Test phase</w:t>
      </w:r>
      <w:r w:rsidR="005D647E" w:rsidRPr="00B6152C">
        <w:rPr>
          <w:b/>
          <w:i/>
          <w:lang w:val="en-US"/>
        </w:rPr>
        <w:t xml:space="preserve">. </w:t>
      </w:r>
      <w:r w:rsidRPr="00B6152C">
        <w:rPr>
          <w:lang w:val="en-US"/>
        </w:rPr>
        <w:t>Once the 2-min delay had elapsed, a recognition test (“yes/no”) was administered. Participants were randomly shown 48 items (16 words/16 LF nonwords/16 HF nonwords) one-by-one. For each stimulus, they were asked whether they thought to have seen it during the study phase.</w:t>
      </w:r>
      <w:r w:rsidR="00644AFB" w:rsidRPr="00B6152C">
        <w:rPr>
          <w:lang w:val="en-US"/>
        </w:rPr>
        <w:t xml:space="preserve"> There was no time limit for responding.</w:t>
      </w:r>
      <w:r w:rsidRPr="00B6152C">
        <w:rPr>
          <w:lang w:val="en-US"/>
        </w:rPr>
        <w:t xml:space="preserve"> Twenty-four items were studied items (i.e., targets) and 24 items were new items (i.e., distractors). The presentation of each stimuli was followed by a 500-ms interstimulus interval.</w:t>
      </w:r>
    </w:p>
    <w:p w14:paraId="33F6859F" w14:textId="77777777" w:rsidR="0083543F" w:rsidRPr="00B6152C" w:rsidRDefault="0083543F" w:rsidP="00B6152C">
      <w:pPr>
        <w:spacing w:line="480" w:lineRule="auto"/>
        <w:jc w:val="both"/>
        <w:rPr>
          <w:lang w:val="en-US"/>
        </w:rPr>
      </w:pPr>
      <w:r w:rsidRPr="00B6152C">
        <w:rPr>
          <w:lang w:val="en-US"/>
        </w:rPr>
        <w:t>In the oral moto</w:t>
      </w:r>
      <w:r w:rsidR="00644AFB" w:rsidRPr="00B6152C">
        <w:rPr>
          <w:lang w:val="en-US"/>
        </w:rPr>
        <w:t>r</w:t>
      </w:r>
      <w:r w:rsidRPr="00B6152C">
        <w:rPr>
          <w:lang w:val="en-US"/>
        </w:rPr>
        <w:t xml:space="preserve"> condition where oral motor processing was allowed, participants were simply instructed to carefully look at each stimulus before making their memory decision. In the non-oral motor condition where we wanted to prevent oral motor processing, participants were asked to keep </w:t>
      </w:r>
      <w:r w:rsidRPr="00B6152C">
        <w:rPr>
          <w:lang w:val="en-US"/>
        </w:rPr>
        <w:lastRenderedPageBreak/>
        <w:t xml:space="preserve">a small wooden stick between their teeth for the whole duration of the test. This procedure allowed us to insure that our participants could not sub-vocally pronounce the items before giving their answer to the </w:t>
      </w:r>
      <w:r w:rsidRPr="00B6152C">
        <w:rPr>
          <w:rFonts w:cstheme="minorHAnsi"/>
          <w:lang w:val="en-US"/>
        </w:rPr>
        <w:t xml:space="preserve">experimenter </w:t>
      </w:r>
      <w:r w:rsidRPr="00B6152C">
        <w:rPr>
          <w:rFonts w:cstheme="minorHAnsi"/>
          <w:noProof/>
          <w:lang w:val="en-US"/>
        </w:rPr>
        <w:t>(for a similar procedure, see Topolinski &amp; Strack, 2009)</w:t>
      </w:r>
      <w:r w:rsidRPr="00B6152C">
        <w:rPr>
          <w:rFonts w:cstheme="minorHAnsi"/>
          <w:lang w:val="en-US"/>
        </w:rPr>
        <w:t>.</w:t>
      </w:r>
      <w:r w:rsidR="00B85ACF" w:rsidRPr="00B6152C">
        <w:rPr>
          <w:rFonts w:cstheme="minorHAnsi"/>
          <w:lang w:val="en-US"/>
        </w:rPr>
        <w:t xml:space="preserve"> We chose a wooden stick instead of asking to eat or chew in order to prevent amnesic patients to unconsciously stop chewing when engrossed with the task.</w:t>
      </w:r>
    </w:p>
    <w:p w14:paraId="1370E115" w14:textId="77777777" w:rsidR="00F201A6" w:rsidRPr="00B6152C" w:rsidRDefault="0083543F" w:rsidP="00B6152C">
      <w:pPr>
        <w:spacing w:line="480" w:lineRule="auto"/>
        <w:jc w:val="center"/>
        <w:rPr>
          <w:b/>
          <w:lang w:val="en-US"/>
        </w:rPr>
      </w:pPr>
      <w:r w:rsidRPr="00B6152C">
        <w:rPr>
          <w:b/>
          <w:lang w:val="en-US"/>
        </w:rPr>
        <w:t>Results</w:t>
      </w:r>
    </w:p>
    <w:p w14:paraId="6C779E92" w14:textId="77777777" w:rsidR="00F201A6" w:rsidRPr="00B6152C" w:rsidRDefault="0083543F" w:rsidP="00B6152C">
      <w:pPr>
        <w:spacing w:line="480" w:lineRule="auto"/>
        <w:rPr>
          <w:b/>
          <w:lang w:val="en-US"/>
        </w:rPr>
      </w:pPr>
      <w:r w:rsidRPr="00B6152C">
        <w:rPr>
          <w:b/>
          <w:lang w:val="en-US"/>
        </w:rPr>
        <w:t>Data analyses</w:t>
      </w:r>
    </w:p>
    <w:p w14:paraId="440B2CDE" w14:textId="7345BA13" w:rsidR="0083543F" w:rsidRPr="00B6152C" w:rsidRDefault="0083543F" w:rsidP="00B6152C">
      <w:pPr>
        <w:spacing w:line="480" w:lineRule="auto"/>
        <w:jc w:val="both"/>
        <w:rPr>
          <w:lang w:val="en-US"/>
        </w:rPr>
      </w:pPr>
      <w:bookmarkStart w:id="2" w:name="_Hlk64972527"/>
      <w:r w:rsidRPr="00B6152C">
        <w:rPr>
          <w:bCs/>
          <w:lang w:val="en-US"/>
        </w:rPr>
        <w:t>2 (</w:t>
      </w:r>
      <w:r w:rsidRPr="00B6152C">
        <w:rPr>
          <w:lang w:val="en-US"/>
        </w:rPr>
        <w:t xml:space="preserve">Group: amnesic vs. control) x 2 (Retrieval condition: oral motor vs. non oral motor) x 2 (Item Type: words, LF nonwords, or HF nonwords) </w:t>
      </w:r>
      <w:bookmarkEnd w:id="2"/>
      <w:r w:rsidRPr="00B6152C">
        <w:rPr>
          <w:lang w:val="en-US"/>
        </w:rPr>
        <w:t xml:space="preserve">mixed-factor ANOVAs were conducted on the proportion of “yes” responses. </w:t>
      </w:r>
      <w:r w:rsidR="00F90E03" w:rsidRPr="00B6152C">
        <w:rPr>
          <w:lang w:val="en-US"/>
        </w:rPr>
        <w:t xml:space="preserve">Group </w:t>
      </w:r>
      <w:r w:rsidRPr="00B6152C">
        <w:rPr>
          <w:lang w:val="en-US"/>
        </w:rPr>
        <w:t xml:space="preserve">was the only between-participants factor. As prior work has shown differences in how fluency manipulation influenced the response of amnesic patients to targets and distractors </w:t>
      </w:r>
      <w:r w:rsidRPr="00B6152C">
        <w:rPr>
          <w:noProof/>
          <w:lang w:val="en-US"/>
        </w:rPr>
        <w:t>(Ozubko &amp; Yonelinas, 2014)</w:t>
      </w:r>
      <w:r w:rsidRPr="00B6152C">
        <w:rPr>
          <w:lang w:val="en-US"/>
        </w:rPr>
        <w:t>, separate analyses were conducted on hit and false recognition rates.</w:t>
      </w:r>
      <w:r w:rsidR="000B2FBF" w:rsidRPr="00B6152C">
        <w:rPr>
          <w:lang w:val="en-US"/>
        </w:rPr>
        <w:t xml:space="preserve"> Furthermore, we also performed a signal detection analysis to determine the contributions of sensitivity and response bias to participants’ pattern of </w:t>
      </w:r>
      <w:r w:rsidR="007F6326" w:rsidRPr="00B6152C">
        <w:rPr>
          <w:lang w:val="en-US"/>
        </w:rPr>
        <w:t xml:space="preserve">recognition responses </w:t>
      </w:r>
      <w:r w:rsidR="000B2FBF" w:rsidRPr="00B6152C">
        <w:rPr>
          <w:lang w:val="en-US"/>
        </w:rPr>
        <w:t>(Macmillan &amp; Creelman, 2005). The sensitivity (d</w:t>
      </w:r>
      <w:r w:rsidR="007F6326" w:rsidRPr="00B6152C">
        <w:rPr>
          <w:lang w:val="en-US"/>
        </w:rPr>
        <w:t>’</w:t>
      </w:r>
      <w:r w:rsidR="000B2FBF" w:rsidRPr="00B6152C">
        <w:rPr>
          <w:lang w:val="en-US"/>
        </w:rPr>
        <w:t xml:space="preserve">) and response bias (C) scores were </w:t>
      </w:r>
      <w:r w:rsidR="007F6326" w:rsidRPr="00B6152C">
        <w:rPr>
          <w:lang w:val="en-US"/>
        </w:rPr>
        <w:t xml:space="preserve">also </w:t>
      </w:r>
      <w:r w:rsidR="000B2FBF" w:rsidRPr="00B6152C">
        <w:rPr>
          <w:lang w:val="en-US"/>
        </w:rPr>
        <w:t>analyzed with</w:t>
      </w:r>
      <w:r w:rsidR="007F6326" w:rsidRPr="00B6152C">
        <w:rPr>
          <w:lang w:val="en-US"/>
        </w:rPr>
        <w:t xml:space="preserve"> </w:t>
      </w:r>
      <w:r w:rsidR="000B2FBF" w:rsidRPr="00B6152C">
        <w:rPr>
          <w:lang w:val="en-US"/>
        </w:rPr>
        <w:t>mixed-design ANOVAs.</w:t>
      </w:r>
    </w:p>
    <w:p w14:paraId="3B5FE63D" w14:textId="5C22AB87" w:rsidR="00342C8A" w:rsidRPr="00B6152C" w:rsidRDefault="00342C8A" w:rsidP="00B6152C">
      <w:pPr>
        <w:spacing w:line="480" w:lineRule="auto"/>
        <w:jc w:val="both"/>
        <w:rPr>
          <w:lang w:val="en-US"/>
        </w:rPr>
      </w:pPr>
      <w:r w:rsidRPr="00B6152C">
        <w:rPr>
          <w:lang w:val="en-US"/>
        </w:rPr>
        <w:t xml:space="preserve">Additionally, to establish whether the pattern observed at the group level was reliable for individuals across group, </w:t>
      </w:r>
      <w:r w:rsidR="006C17D1" w:rsidRPr="00B6152C">
        <w:rPr>
          <w:lang w:val="en-US"/>
        </w:rPr>
        <w:t>data</w:t>
      </w:r>
      <w:r w:rsidRPr="00B6152C">
        <w:rPr>
          <w:lang w:val="en-US"/>
        </w:rPr>
        <w:t xml:space="preserve"> were also analyzed using a logistic mixed model with subjects and items modelled as crossed random effects and group, retrieval condition, and item type as predictors.</w:t>
      </w:r>
      <w:r w:rsidR="006C17D1" w:rsidRPr="00B6152C">
        <w:rPr>
          <w:lang w:val="en-US"/>
        </w:rPr>
        <w:t xml:space="preserve"> The dependent variable was whether participant gave a “yes” response at each item.</w:t>
      </w:r>
    </w:p>
    <w:p w14:paraId="7BC514CA" w14:textId="2FC68A43" w:rsidR="0083543F" w:rsidRPr="00B6152C" w:rsidRDefault="0083543F" w:rsidP="00B6152C">
      <w:pPr>
        <w:spacing w:line="480" w:lineRule="auto"/>
        <w:jc w:val="both"/>
        <w:rPr>
          <w:lang w:val="en-US"/>
        </w:rPr>
      </w:pPr>
      <w:r w:rsidRPr="00B6152C">
        <w:rPr>
          <w:lang w:val="en-US"/>
        </w:rPr>
        <w:t xml:space="preserve">Differences were considered as significant when the </w:t>
      </w:r>
      <w:r w:rsidRPr="00B6152C">
        <w:rPr>
          <w:i/>
          <w:iCs/>
          <w:lang w:val="en-US"/>
        </w:rPr>
        <w:t>p</w:t>
      </w:r>
      <w:r w:rsidRPr="00B6152C">
        <w:rPr>
          <w:lang w:val="en-US"/>
        </w:rPr>
        <w:t xml:space="preserve"> value was &lt;.05 for the omnibus ANOVAs. For linear contrasts, a Bonferroni correction was applied. Preliminary analyses indicated homogeneity of variance between groups on our dependent variables.</w:t>
      </w:r>
      <w:r w:rsidR="00C21D3B" w:rsidRPr="00B6152C">
        <w:rPr>
          <w:lang w:val="en-US"/>
        </w:rPr>
        <w:t xml:space="preserve"> </w:t>
      </w:r>
      <w:bookmarkStart w:id="3" w:name="_Hlk81904346"/>
      <w:r w:rsidR="00C21D3B" w:rsidRPr="00B6152C">
        <w:rPr>
          <w:lang w:val="en-US"/>
        </w:rPr>
        <w:t xml:space="preserve">Similarly, no order effects were found on any of our dependent variables, all </w:t>
      </w:r>
      <w:proofErr w:type="spellStart"/>
      <w:r w:rsidR="00C21D3B" w:rsidRPr="00B6152C">
        <w:rPr>
          <w:i/>
          <w:iCs/>
          <w:lang w:val="en-US"/>
        </w:rPr>
        <w:t>ts</w:t>
      </w:r>
      <w:proofErr w:type="spellEnd"/>
      <w:r w:rsidR="00C21D3B" w:rsidRPr="00B6152C">
        <w:rPr>
          <w:lang w:val="en-US"/>
        </w:rPr>
        <w:t xml:space="preserve"> &lt; 1.69, </w:t>
      </w:r>
      <w:proofErr w:type="spellStart"/>
      <w:r w:rsidR="00C21D3B" w:rsidRPr="00B6152C">
        <w:rPr>
          <w:i/>
          <w:iCs/>
          <w:lang w:val="en-US"/>
        </w:rPr>
        <w:t>ps</w:t>
      </w:r>
      <w:proofErr w:type="spellEnd"/>
      <w:r w:rsidR="00C21D3B" w:rsidRPr="00B6152C">
        <w:rPr>
          <w:lang w:val="en-US"/>
        </w:rPr>
        <w:t xml:space="preserve"> &gt; .10.</w:t>
      </w:r>
      <w:bookmarkEnd w:id="3"/>
    </w:p>
    <w:p w14:paraId="4B2D9872" w14:textId="77777777" w:rsidR="00C21D3B" w:rsidRPr="00B6152C" w:rsidRDefault="00C21D3B" w:rsidP="00B6152C">
      <w:pPr>
        <w:spacing w:line="480" w:lineRule="auto"/>
        <w:jc w:val="both"/>
        <w:rPr>
          <w:b/>
          <w:lang w:val="en-US"/>
        </w:rPr>
      </w:pPr>
      <w:r w:rsidRPr="00B6152C">
        <w:rPr>
          <w:b/>
          <w:lang w:val="en-US"/>
        </w:rPr>
        <w:t>Group data</w:t>
      </w:r>
    </w:p>
    <w:p w14:paraId="7F803279" w14:textId="6C3317C3" w:rsidR="0083543F" w:rsidRPr="00B6152C" w:rsidRDefault="0083543F" w:rsidP="00B6152C">
      <w:pPr>
        <w:spacing w:line="480" w:lineRule="auto"/>
        <w:jc w:val="both"/>
        <w:rPr>
          <w:b/>
          <w:lang w:val="en-US"/>
        </w:rPr>
      </w:pPr>
      <w:r w:rsidRPr="00B6152C">
        <w:rPr>
          <w:b/>
          <w:lang w:val="en-US"/>
        </w:rPr>
        <w:lastRenderedPageBreak/>
        <w:t>Hit</w:t>
      </w:r>
      <w:r w:rsidR="00C21D3B" w:rsidRPr="00B6152C">
        <w:rPr>
          <w:b/>
          <w:lang w:val="en-US"/>
        </w:rPr>
        <w:t xml:space="preserve">. </w:t>
      </w:r>
      <w:r w:rsidRPr="00B6152C">
        <w:rPr>
          <w:lang w:val="en-US"/>
        </w:rPr>
        <w:t xml:space="preserve">The results of the mixed ANOVA on “yes” responses for targets revealed a main effect of group, </w:t>
      </w:r>
      <w:r w:rsidRPr="00B6152C">
        <w:rPr>
          <w:i/>
          <w:lang w:val="en-US"/>
        </w:rPr>
        <w:t>F</w:t>
      </w:r>
      <w:r w:rsidRPr="00B6152C">
        <w:rPr>
          <w:lang w:val="en-US"/>
        </w:rPr>
        <w:t xml:space="preserve">(1, 25) = 9.22, </w:t>
      </w:r>
      <w:proofErr w:type="spellStart"/>
      <w:r w:rsidRPr="00B6152C">
        <w:rPr>
          <w:i/>
          <w:lang w:val="en-US"/>
        </w:rPr>
        <w:t>Mse</w:t>
      </w:r>
      <w:proofErr w:type="spellEnd"/>
      <w:r w:rsidRPr="00B6152C">
        <w:rPr>
          <w:i/>
          <w:lang w:val="en-US"/>
        </w:rPr>
        <w:t xml:space="preserve"> </w:t>
      </w:r>
      <w:r w:rsidRPr="00B6152C">
        <w:rPr>
          <w:lang w:val="en-US"/>
        </w:rPr>
        <w:t xml:space="preserve">= 3.83,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.27, with amnesic patients giving less correct responses (</w:t>
      </w:r>
      <w:r w:rsidRPr="00B6152C">
        <w:rPr>
          <w:i/>
          <w:iCs/>
          <w:lang w:val="en-US"/>
        </w:rPr>
        <w:t>M</w:t>
      </w:r>
      <w:r w:rsidRPr="00B6152C">
        <w:rPr>
          <w:lang w:val="en-US"/>
        </w:rPr>
        <w:t xml:space="preserve"> = .52) than controls (</w:t>
      </w:r>
      <w:r w:rsidRPr="00B6152C">
        <w:rPr>
          <w:i/>
          <w:iCs/>
          <w:lang w:val="en-US"/>
        </w:rPr>
        <w:t>M</w:t>
      </w:r>
      <w:r w:rsidRPr="00B6152C">
        <w:rPr>
          <w:lang w:val="en-US"/>
        </w:rPr>
        <w:t xml:space="preserve"> = .72). Furthermore, </w:t>
      </w:r>
      <w:r w:rsidR="0049402A" w:rsidRPr="00B6152C">
        <w:rPr>
          <w:lang w:val="en-US"/>
        </w:rPr>
        <w:t>the</w:t>
      </w:r>
      <w:r w:rsidRPr="00B6152C">
        <w:rPr>
          <w:lang w:val="en-US"/>
        </w:rPr>
        <w:t xml:space="preserve"> retrieval condition x item type interaction was also significant, </w:t>
      </w:r>
      <w:r w:rsidRPr="00B6152C">
        <w:rPr>
          <w:i/>
          <w:lang w:val="en-US"/>
        </w:rPr>
        <w:t>F</w:t>
      </w:r>
      <w:r w:rsidRPr="00B6152C">
        <w:rPr>
          <w:lang w:val="en-US"/>
        </w:rPr>
        <w:t xml:space="preserve">(2, 50) = 6.27, </w:t>
      </w:r>
      <w:proofErr w:type="spellStart"/>
      <w:r w:rsidRPr="00B6152C">
        <w:rPr>
          <w:i/>
          <w:lang w:val="en-US"/>
        </w:rPr>
        <w:t>Mse</w:t>
      </w:r>
      <w:proofErr w:type="spellEnd"/>
      <w:r w:rsidRPr="00B6152C">
        <w:rPr>
          <w:i/>
          <w:lang w:val="en-US"/>
        </w:rPr>
        <w:t xml:space="preserve"> </w:t>
      </w:r>
      <w:r w:rsidRPr="00B6152C">
        <w:rPr>
          <w:lang w:val="en-US"/>
        </w:rPr>
        <w:t xml:space="preserve">= 1.57,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xml:space="preserve">= .20. This effect resulted from the fact that a higher level of “yes” responses was given for </w:t>
      </w:r>
      <w:bookmarkStart w:id="4" w:name="_Hlk64976109"/>
      <w:r w:rsidRPr="00B6152C">
        <w:rPr>
          <w:lang w:val="en-US"/>
        </w:rPr>
        <w:t xml:space="preserve">HF nonwords in the oral motor condition </w:t>
      </w:r>
      <w:bookmarkEnd w:id="4"/>
      <w:r w:rsidRPr="00B6152C">
        <w:rPr>
          <w:lang w:val="en-US"/>
        </w:rPr>
        <w:t>(</w:t>
      </w:r>
      <w:r w:rsidRPr="00B6152C">
        <w:rPr>
          <w:i/>
          <w:lang w:val="en-US"/>
        </w:rPr>
        <w:t xml:space="preserve">M </w:t>
      </w:r>
      <w:r w:rsidRPr="00B6152C">
        <w:rPr>
          <w:lang w:val="en-US"/>
        </w:rPr>
        <w:t>= .66) as compared to the non-oral motor condition (</w:t>
      </w:r>
      <w:r w:rsidRPr="00B6152C">
        <w:rPr>
          <w:i/>
          <w:iCs/>
          <w:lang w:val="en-US"/>
        </w:rPr>
        <w:t>M</w:t>
      </w:r>
      <w:r w:rsidRPr="00B6152C">
        <w:rPr>
          <w:lang w:val="en-US"/>
        </w:rPr>
        <w:t xml:space="preserve"> = .52), </w:t>
      </w:r>
      <w:r w:rsidRPr="00B6152C">
        <w:rPr>
          <w:i/>
          <w:lang w:val="en-US"/>
        </w:rPr>
        <w:t>F</w:t>
      </w:r>
      <w:r w:rsidRPr="00B6152C">
        <w:rPr>
          <w:lang w:val="en-US"/>
        </w:rPr>
        <w:t xml:space="preserve">(1, 25) = 9.96, </w:t>
      </w:r>
      <w:proofErr w:type="spellStart"/>
      <w:r w:rsidRPr="00B6152C">
        <w:rPr>
          <w:i/>
          <w:lang w:val="en-US"/>
        </w:rPr>
        <w:t>Mse</w:t>
      </w:r>
      <w:proofErr w:type="spellEnd"/>
      <w:r w:rsidRPr="00B6152C">
        <w:rPr>
          <w:i/>
          <w:lang w:val="en-US"/>
        </w:rPr>
        <w:t xml:space="preserve"> </w:t>
      </w:r>
      <w:r w:rsidRPr="00B6152C">
        <w:rPr>
          <w:lang w:val="en-US"/>
        </w:rPr>
        <w:t xml:space="preserve">= 0.64, </w:t>
      </w:r>
      <w:r w:rsidRPr="00B6152C">
        <w:rPr>
          <w:i/>
          <w:iCs/>
          <w:lang w:val="en-US"/>
        </w:rPr>
        <w:t>p</w:t>
      </w:r>
      <w:r w:rsidRPr="00B6152C">
        <w:rPr>
          <w:lang w:val="en-US"/>
        </w:rPr>
        <w:t xml:space="preserve"> = .004, while no such effect was found for the natural words, </w:t>
      </w:r>
      <w:r w:rsidRPr="00B6152C">
        <w:rPr>
          <w:i/>
          <w:lang w:val="en-US"/>
        </w:rPr>
        <w:t>F</w:t>
      </w:r>
      <w:r w:rsidRPr="00B6152C">
        <w:rPr>
          <w:lang w:val="en-US"/>
        </w:rPr>
        <w:t xml:space="preserve">(1, 25) = 0.17, </w:t>
      </w:r>
      <w:proofErr w:type="spellStart"/>
      <w:r w:rsidRPr="00B6152C">
        <w:rPr>
          <w:i/>
          <w:lang w:val="en-US"/>
        </w:rPr>
        <w:t>Mse</w:t>
      </w:r>
      <w:proofErr w:type="spellEnd"/>
      <w:r w:rsidRPr="00B6152C">
        <w:rPr>
          <w:i/>
          <w:lang w:val="en-US"/>
        </w:rPr>
        <w:t xml:space="preserve"> </w:t>
      </w:r>
      <w:r w:rsidRPr="00B6152C">
        <w:rPr>
          <w:lang w:val="en-US"/>
        </w:rPr>
        <w:t xml:space="preserve">= 0.78, </w:t>
      </w:r>
      <w:r w:rsidRPr="00B6152C">
        <w:rPr>
          <w:i/>
          <w:iCs/>
          <w:lang w:val="en-US"/>
        </w:rPr>
        <w:t>p</w:t>
      </w:r>
      <w:r w:rsidRPr="00B6152C">
        <w:rPr>
          <w:lang w:val="en-US"/>
        </w:rPr>
        <w:t xml:space="preserve"> = .69, nor the LF </w:t>
      </w:r>
      <w:proofErr w:type="spellStart"/>
      <w:r w:rsidRPr="00B6152C">
        <w:rPr>
          <w:lang w:val="en-US"/>
        </w:rPr>
        <w:t>non words</w:t>
      </w:r>
      <w:proofErr w:type="spellEnd"/>
      <w:r w:rsidRPr="00B6152C">
        <w:rPr>
          <w:lang w:val="en-US"/>
        </w:rPr>
        <w:t>,</w:t>
      </w:r>
      <w:r w:rsidRPr="00B6152C">
        <w:rPr>
          <w:i/>
          <w:lang w:val="en-US"/>
        </w:rPr>
        <w:t xml:space="preserve"> F</w:t>
      </w:r>
      <w:r w:rsidRPr="00B6152C">
        <w:rPr>
          <w:lang w:val="en-US"/>
        </w:rPr>
        <w:t xml:space="preserve">(1, 25) = 3.48, </w:t>
      </w:r>
      <w:proofErr w:type="spellStart"/>
      <w:r w:rsidRPr="00B6152C">
        <w:rPr>
          <w:i/>
          <w:lang w:val="en-US"/>
        </w:rPr>
        <w:t>Mse</w:t>
      </w:r>
      <w:proofErr w:type="spellEnd"/>
      <w:r w:rsidRPr="00B6152C">
        <w:rPr>
          <w:i/>
          <w:lang w:val="en-US"/>
        </w:rPr>
        <w:t xml:space="preserve"> </w:t>
      </w:r>
      <w:r w:rsidRPr="00B6152C">
        <w:rPr>
          <w:lang w:val="en-US"/>
        </w:rPr>
        <w:t xml:space="preserve">= 0.97, </w:t>
      </w:r>
      <w:r w:rsidRPr="00B6152C">
        <w:rPr>
          <w:i/>
          <w:iCs/>
          <w:lang w:val="en-US"/>
        </w:rPr>
        <w:t>p</w:t>
      </w:r>
      <w:r w:rsidRPr="00B6152C">
        <w:rPr>
          <w:lang w:val="en-US"/>
        </w:rPr>
        <w:t xml:space="preserve"> = .074. No other main or interaction effect reached significance (Retrieval condition: </w:t>
      </w:r>
      <w:r w:rsidRPr="00B6152C">
        <w:rPr>
          <w:i/>
          <w:lang w:val="en-US"/>
        </w:rPr>
        <w:t>F</w:t>
      </w:r>
      <w:r w:rsidRPr="00B6152C">
        <w:rPr>
          <w:lang w:val="en-US"/>
        </w:rPr>
        <w:t xml:space="preserve">(1,25) = 0.04, </w:t>
      </w:r>
      <w:proofErr w:type="spellStart"/>
      <w:r w:rsidRPr="00B6152C">
        <w:rPr>
          <w:i/>
          <w:lang w:val="en-US"/>
        </w:rPr>
        <w:t>Mse</w:t>
      </w:r>
      <w:proofErr w:type="spellEnd"/>
      <w:r w:rsidRPr="00B6152C">
        <w:rPr>
          <w:i/>
          <w:lang w:val="en-US"/>
        </w:rPr>
        <w:t xml:space="preserve"> = </w:t>
      </w:r>
      <w:r w:rsidRPr="00B6152C">
        <w:rPr>
          <w:lang w:val="en-US"/>
        </w:rPr>
        <w:t xml:space="preserve">0.82, </w:t>
      </w:r>
      <w:r w:rsidRPr="00B6152C">
        <w:rPr>
          <w:i/>
          <w:lang w:val="en-US"/>
        </w:rPr>
        <w:t xml:space="preserve">p </w:t>
      </w:r>
      <w:r w:rsidRPr="00B6152C">
        <w:rPr>
          <w:lang w:val="en-US"/>
        </w:rPr>
        <w:t xml:space="preserve">= .84; Item type: </w:t>
      </w:r>
      <w:r w:rsidRPr="00B6152C">
        <w:rPr>
          <w:i/>
          <w:lang w:val="en-US"/>
        </w:rPr>
        <w:t>F</w:t>
      </w:r>
      <w:r w:rsidRPr="00B6152C">
        <w:rPr>
          <w:lang w:val="en-US"/>
        </w:rPr>
        <w:t xml:space="preserve">(2,50) = 1.96, </w:t>
      </w:r>
      <w:proofErr w:type="spellStart"/>
      <w:r w:rsidRPr="00B6152C">
        <w:rPr>
          <w:i/>
          <w:lang w:val="en-US"/>
        </w:rPr>
        <w:t>Mse</w:t>
      </w:r>
      <w:proofErr w:type="spellEnd"/>
      <w:r w:rsidRPr="00B6152C">
        <w:rPr>
          <w:i/>
          <w:lang w:val="en-US"/>
        </w:rPr>
        <w:t xml:space="preserve"> = </w:t>
      </w:r>
      <w:r w:rsidRPr="00B6152C">
        <w:rPr>
          <w:lang w:val="en-US"/>
        </w:rPr>
        <w:t xml:space="preserve">2.05, </w:t>
      </w:r>
      <w:r w:rsidRPr="00B6152C">
        <w:rPr>
          <w:i/>
          <w:lang w:val="en-US"/>
        </w:rPr>
        <w:t xml:space="preserve">p </w:t>
      </w:r>
      <w:r w:rsidRPr="00B6152C">
        <w:rPr>
          <w:lang w:val="en-US"/>
        </w:rPr>
        <w:t>= .15; Group x Condition:</w:t>
      </w:r>
      <w:r w:rsidRPr="00B6152C">
        <w:rPr>
          <w:i/>
          <w:lang w:val="en-US"/>
        </w:rPr>
        <w:t xml:space="preserve"> F</w:t>
      </w:r>
      <w:r w:rsidRPr="00B6152C">
        <w:rPr>
          <w:lang w:val="en-US"/>
        </w:rPr>
        <w:t xml:space="preserve">(1,25) = 0.13, </w:t>
      </w:r>
      <w:proofErr w:type="spellStart"/>
      <w:r w:rsidRPr="00B6152C">
        <w:rPr>
          <w:i/>
          <w:lang w:val="en-US"/>
        </w:rPr>
        <w:t>Mse</w:t>
      </w:r>
      <w:proofErr w:type="spellEnd"/>
      <w:r w:rsidRPr="00B6152C">
        <w:rPr>
          <w:i/>
          <w:lang w:val="en-US"/>
        </w:rPr>
        <w:t xml:space="preserve"> = </w:t>
      </w:r>
      <w:r w:rsidRPr="00B6152C">
        <w:rPr>
          <w:lang w:val="en-US"/>
        </w:rPr>
        <w:t xml:space="preserve">0.82, </w:t>
      </w:r>
      <w:r w:rsidRPr="00B6152C">
        <w:rPr>
          <w:i/>
          <w:lang w:val="en-US"/>
        </w:rPr>
        <w:t xml:space="preserve">p </w:t>
      </w:r>
      <w:r w:rsidRPr="00B6152C">
        <w:rPr>
          <w:lang w:val="en-US"/>
        </w:rPr>
        <w:t>= .72; Group x Item type:</w:t>
      </w:r>
      <w:r w:rsidRPr="00B6152C">
        <w:rPr>
          <w:i/>
          <w:lang w:val="en-US"/>
        </w:rPr>
        <w:t xml:space="preserve"> F</w:t>
      </w:r>
      <w:r w:rsidRPr="00B6152C">
        <w:rPr>
          <w:lang w:val="en-US"/>
        </w:rPr>
        <w:t xml:space="preserve">(2,50) = 0.50, </w:t>
      </w:r>
      <w:proofErr w:type="spellStart"/>
      <w:r w:rsidRPr="00B6152C">
        <w:rPr>
          <w:i/>
          <w:lang w:val="en-US"/>
        </w:rPr>
        <w:t>Mse</w:t>
      </w:r>
      <w:proofErr w:type="spellEnd"/>
      <w:r w:rsidRPr="00B6152C">
        <w:rPr>
          <w:i/>
          <w:lang w:val="en-US"/>
        </w:rPr>
        <w:t xml:space="preserve"> = </w:t>
      </w:r>
      <w:r w:rsidRPr="00B6152C">
        <w:rPr>
          <w:lang w:val="en-US"/>
        </w:rPr>
        <w:t xml:space="preserve">2.05, </w:t>
      </w:r>
      <w:r w:rsidRPr="00B6152C">
        <w:rPr>
          <w:i/>
          <w:lang w:val="en-US"/>
        </w:rPr>
        <w:t xml:space="preserve">p </w:t>
      </w:r>
      <w:r w:rsidRPr="00B6152C">
        <w:rPr>
          <w:lang w:val="en-US"/>
        </w:rPr>
        <w:t>= .61; Group x Condition x Item type:</w:t>
      </w:r>
      <w:r w:rsidRPr="00B6152C">
        <w:rPr>
          <w:i/>
          <w:lang w:val="en-US"/>
        </w:rPr>
        <w:t xml:space="preserve"> F</w:t>
      </w:r>
      <w:r w:rsidRPr="00B6152C">
        <w:rPr>
          <w:lang w:val="en-US"/>
        </w:rPr>
        <w:t xml:space="preserve">(2,50) = 0.30, </w:t>
      </w:r>
      <w:proofErr w:type="spellStart"/>
      <w:r w:rsidRPr="00B6152C">
        <w:rPr>
          <w:i/>
          <w:lang w:val="en-US"/>
        </w:rPr>
        <w:t>Mse</w:t>
      </w:r>
      <w:proofErr w:type="spellEnd"/>
      <w:r w:rsidRPr="00B6152C">
        <w:rPr>
          <w:i/>
          <w:lang w:val="en-US"/>
        </w:rPr>
        <w:t xml:space="preserve"> = </w:t>
      </w:r>
      <w:r w:rsidRPr="00B6152C">
        <w:rPr>
          <w:lang w:val="en-US"/>
        </w:rPr>
        <w:t xml:space="preserve">1.57, </w:t>
      </w:r>
      <w:r w:rsidRPr="00B6152C">
        <w:rPr>
          <w:i/>
          <w:lang w:val="en-US"/>
        </w:rPr>
        <w:t xml:space="preserve">p </w:t>
      </w:r>
      <w:r w:rsidRPr="00B6152C">
        <w:rPr>
          <w:lang w:val="en-US"/>
        </w:rPr>
        <w:t>= .74). These results are illustrated in Figure 1 (Top panels).</w:t>
      </w:r>
    </w:p>
    <w:p w14:paraId="741D585F" w14:textId="77777777" w:rsidR="005D647E" w:rsidRPr="00B6152C" w:rsidRDefault="00241310" w:rsidP="00B6152C">
      <w:pPr>
        <w:spacing w:line="480" w:lineRule="auto"/>
        <w:jc w:val="center"/>
        <w:rPr>
          <w:lang w:val="en-US"/>
        </w:rPr>
      </w:pPr>
      <w:r w:rsidRPr="00B6152C">
        <w:rPr>
          <w:lang w:val="en-US"/>
        </w:rPr>
        <w:t>&lt;Figure 1 about here&gt;</w:t>
      </w:r>
    </w:p>
    <w:p w14:paraId="7881CA0E" w14:textId="5CE23DF6" w:rsidR="0083543F" w:rsidRPr="00B6152C" w:rsidRDefault="0083543F" w:rsidP="00B6152C">
      <w:pPr>
        <w:spacing w:line="480" w:lineRule="auto"/>
        <w:jc w:val="both"/>
        <w:rPr>
          <w:b/>
          <w:bCs/>
          <w:lang w:val="en-US"/>
        </w:rPr>
      </w:pPr>
      <w:r w:rsidRPr="00B6152C">
        <w:rPr>
          <w:b/>
          <w:bCs/>
          <w:lang w:val="en-US"/>
        </w:rPr>
        <w:t>False recognition</w:t>
      </w:r>
      <w:r w:rsidR="00C21D3B" w:rsidRPr="00B6152C">
        <w:rPr>
          <w:b/>
          <w:bCs/>
          <w:lang w:val="en-US"/>
        </w:rPr>
        <w:t xml:space="preserve">. </w:t>
      </w:r>
      <w:r w:rsidRPr="00B6152C">
        <w:rPr>
          <w:lang w:val="en-US"/>
        </w:rPr>
        <w:t xml:space="preserve">The results of the mixed ANOVA on “yes” responses for distractors revealed a main effect of group, </w:t>
      </w:r>
      <w:r w:rsidRPr="00B6152C">
        <w:rPr>
          <w:i/>
          <w:lang w:val="en-US"/>
        </w:rPr>
        <w:t>F</w:t>
      </w:r>
      <w:r w:rsidRPr="00B6152C">
        <w:rPr>
          <w:lang w:val="en-US"/>
        </w:rPr>
        <w:t xml:space="preserve">(1, 25) = 7.68, </w:t>
      </w:r>
      <w:proofErr w:type="spellStart"/>
      <w:r w:rsidRPr="00B6152C">
        <w:rPr>
          <w:i/>
          <w:lang w:val="en-US"/>
        </w:rPr>
        <w:t>Mse</w:t>
      </w:r>
      <w:proofErr w:type="spellEnd"/>
      <w:r w:rsidRPr="00B6152C">
        <w:rPr>
          <w:i/>
          <w:lang w:val="en-US"/>
        </w:rPr>
        <w:t xml:space="preserve"> </w:t>
      </w:r>
      <w:r w:rsidRPr="00B6152C">
        <w:rPr>
          <w:lang w:val="en-US"/>
        </w:rPr>
        <w:t xml:space="preserve">= 2.90,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.24, with amnesic patients having a higher false recognition rate (</w:t>
      </w:r>
      <w:r w:rsidRPr="00B6152C">
        <w:rPr>
          <w:i/>
          <w:iCs/>
          <w:lang w:val="en-US"/>
        </w:rPr>
        <w:t>M</w:t>
      </w:r>
      <w:r w:rsidRPr="00B6152C">
        <w:rPr>
          <w:lang w:val="en-US"/>
        </w:rPr>
        <w:t xml:space="preserve"> = .35) than controls (</w:t>
      </w:r>
      <w:r w:rsidRPr="00B6152C">
        <w:rPr>
          <w:i/>
          <w:iCs/>
          <w:lang w:val="en-US"/>
        </w:rPr>
        <w:t>M</w:t>
      </w:r>
      <w:r w:rsidRPr="00B6152C">
        <w:rPr>
          <w:lang w:val="en-US"/>
        </w:rPr>
        <w:t xml:space="preserve"> = .19). A main effect of Item type was also found, </w:t>
      </w:r>
      <w:r w:rsidRPr="00B6152C">
        <w:rPr>
          <w:i/>
          <w:lang w:val="en-US"/>
        </w:rPr>
        <w:t>F</w:t>
      </w:r>
      <w:r w:rsidRPr="00B6152C">
        <w:rPr>
          <w:lang w:val="en-US"/>
        </w:rPr>
        <w:t xml:space="preserve">(2, 50) = 6.26, </w:t>
      </w:r>
      <w:proofErr w:type="spellStart"/>
      <w:r w:rsidRPr="00B6152C">
        <w:rPr>
          <w:i/>
          <w:lang w:val="en-US"/>
        </w:rPr>
        <w:t>Mse</w:t>
      </w:r>
      <w:proofErr w:type="spellEnd"/>
      <w:r w:rsidRPr="00B6152C">
        <w:rPr>
          <w:i/>
          <w:lang w:val="en-US"/>
        </w:rPr>
        <w:t xml:space="preserve"> </w:t>
      </w:r>
      <w:r w:rsidRPr="00B6152C">
        <w:rPr>
          <w:lang w:val="en-US"/>
        </w:rPr>
        <w:t xml:space="preserve">= 2.09,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.20. This difference was due to the fact that participants had lower false recognition rates for words (</w:t>
      </w:r>
      <w:r w:rsidRPr="00B6152C">
        <w:rPr>
          <w:i/>
          <w:iCs/>
          <w:lang w:val="en-US"/>
        </w:rPr>
        <w:t>M</w:t>
      </w:r>
      <w:r w:rsidRPr="00B6152C">
        <w:rPr>
          <w:lang w:val="en-US"/>
        </w:rPr>
        <w:t xml:space="preserve"> = .19) than for HF nonwords (</w:t>
      </w:r>
      <w:r w:rsidRPr="00B6152C">
        <w:rPr>
          <w:i/>
          <w:iCs/>
          <w:lang w:val="en-US"/>
        </w:rPr>
        <w:t>M</w:t>
      </w:r>
      <w:r w:rsidRPr="00B6152C">
        <w:rPr>
          <w:lang w:val="en-US"/>
        </w:rPr>
        <w:t xml:space="preserve"> = .33), </w:t>
      </w:r>
      <w:r w:rsidRPr="00B6152C">
        <w:rPr>
          <w:i/>
          <w:lang w:val="en-US"/>
        </w:rPr>
        <w:t>F</w:t>
      </w:r>
      <w:r w:rsidRPr="00B6152C">
        <w:rPr>
          <w:lang w:val="en-US"/>
        </w:rPr>
        <w:t xml:space="preserve">(1, 25) = 14.18, </w:t>
      </w:r>
      <w:proofErr w:type="spellStart"/>
      <w:r w:rsidRPr="00B6152C">
        <w:rPr>
          <w:i/>
          <w:lang w:val="en-US"/>
        </w:rPr>
        <w:t>Mse</w:t>
      </w:r>
      <w:proofErr w:type="spellEnd"/>
      <w:r w:rsidRPr="00B6152C">
        <w:rPr>
          <w:i/>
          <w:lang w:val="en-US"/>
        </w:rPr>
        <w:t xml:space="preserve"> </w:t>
      </w:r>
      <w:r w:rsidRPr="00B6152C">
        <w:rPr>
          <w:lang w:val="en-US"/>
        </w:rPr>
        <w:t xml:space="preserve">= 0.82, </w:t>
      </w:r>
      <w:r w:rsidRPr="00B6152C">
        <w:rPr>
          <w:i/>
          <w:iCs/>
          <w:lang w:val="en-US"/>
        </w:rPr>
        <w:t>p</w:t>
      </w:r>
      <w:r w:rsidRPr="00B6152C">
        <w:rPr>
          <w:lang w:val="en-US"/>
        </w:rPr>
        <w:t xml:space="preserve">&lt;.001. Furthermore, albeit not significant, a Group x Retrieval Condition x Item type interaction of medium effect size was found, </w:t>
      </w:r>
      <w:r w:rsidRPr="00B6152C">
        <w:rPr>
          <w:i/>
          <w:lang w:val="en-US"/>
        </w:rPr>
        <w:t>F</w:t>
      </w:r>
      <w:r w:rsidRPr="00B6152C">
        <w:rPr>
          <w:lang w:val="en-US"/>
        </w:rPr>
        <w:t xml:space="preserve">(2, 50) = 2.78, </w:t>
      </w:r>
      <w:proofErr w:type="spellStart"/>
      <w:r w:rsidRPr="00B6152C">
        <w:rPr>
          <w:i/>
          <w:lang w:val="en-US"/>
        </w:rPr>
        <w:t>Mse</w:t>
      </w:r>
      <w:proofErr w:type="spellEnd"/>
      <w:r w:rsidRPr="00B6152C">
        <w:rPr>
          <w:i/>
          <w:lang w:val="en-US"/>
        </w:rPr>
        <w:t xml:space="preserve"> </w:t>
      </w:r>
      <w:r w:rsidRPr="00B6152C">
        <w:rPr>
          <w:lang w:val="en-US"/>
        </w:rPr>
        <w:t xml:space="preserve">= 1.44, </w:t>
      </w:r>
      <w:r w:rsidRPr="00B6152C">
        <w:rPr>
          <w:i/>
          <w:iCs/>
          <w:lang w:val="en-US"/>
        </w:rPr>
        <w:t>p</w:t>
      </w:r>
      <w:r w:rsidRPr="00B6152C">
        <w:rPr>
          <w:lang w:val="en-US"/>
        </w:rPr>
        <w:t xml:space="preserve"> = .07,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.10. As we had strong hypotheses regarding how patients and controls should react to our fluency manipulation, we decided to further explore this interaction. Planned contrast comparisons revealed that HF</w:t>
      </w:r>
      <w:r w:rsidR="006E7E09" w:rsidRPr="00B6152C">
        <w:rPr>
          <w:lang w:val="en-US"/>
        </w:rPr>
        <w:t xml:space="preserve"> nonword</w:t>
      </w:r>
      <w:r w:rsidRPr="00B6152C">
        <w:rPr>
          <w:lang w:val="en-US"/>
        </w:rPr>
        <w:t xml:space="preserve"> distractors were recognized at a higher rate in the oral motor condition (</w:t>
      </w:r>
      <w:r w:rsidRPr="00B6152C">
        <w:rPr>
          <w:i/>
          <w:iCs/>
          <w:lang w:val="en-US"/>
        </w:rPr>
        <w:t>M</w:t>
      </w:r>
      <w:r w:rsidRPr="00B6152C">
        <w:rPr>
          <w:lang w:val="en-US"/>
        </w:rPr>
        <w:t xml:space="preserve"> = .32) than in the non-oral motor condition (</w:t>
      </w:r>
      <w:r w:rsidRPr="00B6152C">
        <w:rPr>
          <w:i/>
          <w:iCs/>
          <w:lang w:val="en-US"/>
        </w:rPr>
        <w:t>M</w:t>
      </w:r>
      <w:r w:rsidR="00547E4A" w:rsidRPr="00B6152C">
        <w:rPr>
          <w:i/>
          <w:iCs/>
          <w:lang w:val="en-US"/>
        </w:rPr>
        <w:t xml:space="preserve"> </w:t>
      </w:r>
      <w:r w:rsidRPr="00B6152C">
        <w:rPr>
          <w:lang w:val="en-US"/>
        </w:rPr>
        <w:t>=</w:t>
      </w:r>
      <w:r w:rsidR="00547E4A" w:rsidRPr="00B6152C">
        <w:rPr>
          <w:lang w:val="en-US"/>
        </w:rPr>
        <w:t xml:space="preserve"> </w:t>
      </w:r>
      <w:r w:rsidRPr="00B6152C">
        <w:rPr>
          <w:lang w:val="en-US"/>
        </w:rPr>
        <w:t xml:space="preserve">.16) by control participants, </w:t>
      </w:r>
      <w:r w:rsidRPr="00B6152C">
        <w:rPr>
          <w:i/>
          <w:lang w:val="en-US"/>
        </w:rPr>
        <w:t>F</w:t>
      </w:r>
      <w:r w:rsidRPr="00B6152C">
        <w:rPr>
          <w:lang w:val="en-US"/>
        </w:rPr>
        <w:t xml:space="preserve">(1, 25) = 5.94, </w:t>
      </w:r>
      <w:proofErr w:type="spellStart"/>
      <w:r w:rsidRPr="00B6152C">
        <w:rPr>
          <w:i/>
          <w:lang w:val="en-US"/>
        </w:rPr>
        <w:t>Mse</w:t>
      </w:r>
      <w:proofErr w:type="spellEnd"/>
      <w:r w:rsidRPr="00B6152C">
        <w:rPr>
          <w:i/>
          <w:lang w:val="en-US"/>
        </w:rPr>
        <w:t xml:space="preserve"> </w:t>
      </w:r>
      <w:r w:rsidRPr="00B6152C">
        <w:rPr>
          <w:lang w:val="en-US"/>
        </w:rPr>
        <w:t xml:space="preserve">= 0.97, </w:t>
      </w:r>
      <w:r w:rsidRPr="00B6152C">
        <w:rPr>
          <w:i/>
          <w:iCs/>
          <w:lang w:val="en-US"/>
        </w:rPr>
        <w:t>p</w:t>
      </w:r>
      <w:r w:rsidRPr="00B6152C">
        <w:rPr>
          <w:lang w:val="en-US"/>
        </w:rPr>
        <w:t xml:space="preserve"> = .02, but not by amnesic patients (</w:t>
      </w:r>
      <w:r w:rsidRPr="00B6152C">
        <w:rPr>
          <w:i/>
          <w:iCs/>
          <w:lang w:val="en-US"/>
        </w:rPr>
        <w:t>M</w:t>
      </w:r>
      <w:r w:rsidRPr="00B6152C">
        <w:rPr>
          <w:lang w:val="en-US"/>
        </w:rPr>
        <w:t xml:space="preserve"> = .41 vs. .42), </w:t>
      </w:r>
      <w:r w:rsidRPr="00B6152C">
        <w:rPr>
          <w:i/>
          <w:lang w:val="en-US"/>
        </w:rPr>
        <w:t>F</w:t>
      </w:r>
      <w:r w:rsidRPr="00B6152C">
        <w:rPr>
          <w:lang w:val="en-US"/>
        </w:rPr>
        <w:t xml:space="preserve">(1, 25) = 0.00, </w:t>
      </w:r>
      <w:proofErr w:type="spellStart"/>
      <w:r w:rsidRPr="00B6152C">
        <w:rPr>
          <w:i/>
          <w:lang w:val="en-US"/>
        </w:rPr>
        <w:t>Mse</w:t>
      </w:r>
      <w:proofErr w:type="spellEnd"/>
      <w:r w:rsidRPr="00B6152C">
        <w:rPr>
          <w:i/>
          <w:lang w:val="en-US"/>
        </w:rPr>
        <w:t xml:space="preserve"> </w:t>
      </w:r>
      <w:r w:rsidRPr="00B6152C">
        <w:rPr>
          <w:lang w:val="en-US"/>
        </w:rPr>
        <w:t xml:space="preserve">= 0.97, </w:t>
      </w:r>
      <w:r w:rsidRPr="00B6152C">
        <w:rPr>
          <w:i/>
          <w:iCs/>
          <w:lang w:val="en-US"/>
        </w:rPr>
        <w:t>p</w:t>
      </w:r>
      <w:r w:rsidRPr="00B6152C">
        <w:rPr>
          <w:lang w:val="en-US"/>
        </w:rPr>
        <w:t xml:space="preserve"> = .99. On the reverse, no such differences were found for natural words or LF nonwords, all </w:t>
      </w:r>
      <w:r w:rsidRPr="00B6152C">
        <w:rPr>
          <w:i/>
          <w:iCs/>
          <w:lang w:val="en-US"/>
        </w:rPr>
        <w:t>F</w:t>
      </w:r>
      <w:r w:rsidRPr="00B6152C">
        <w:rPr>
          <w:lang w:val="en-US"/>
        </w:rPr>
        <w:t xml:space="preserve">&lt;1.61, </w:t>
      </w:r>
      <w:proofErr w:type="spellStart"/>
      <w:r w:rsidRPr="00B6152C">
        <w:rPr>
          <w:i/>
          <w:iCs/>
          <w:lang w:val="en-US"/>
        </w:rPr>
        <w:t>ps</w:t>
      </w:r>
      <w:proofErr w:type="spellEnd"/>
      <w:r w:rsidRPr="00B6152C">
        <w:rPr>
          <w:lang w:val="en-US"/>
        </w:rPr>
        <w:t xml:space="preserve">&gt;.22. No other main or interaction effect reached </w:t>
      </w:r>
      <w:r w:rsidRPr="00B6152C">
        <w:rPr>
          <w:lang w:val="en-US"/>
        </w:rPr>
        <w:lastRenderedPageBreak/>
        <w:t xml:space="preserve">significance (Retrieval condition: </w:t>
      </w:r>
      <w:r w:rsidRPr="00B6152C">
        <w:rPr>
          <w:i/>
          <w:lang w:val="en-US"/>
        </w:rPr>
        <w:t>F</w:t>
      </w:r>
      <w:r w:rsidRPr="00B6152C">
        <w:rPr>
          <w:lang w:val="en-US"/>
        </w:rPr>
        <w:t xml:space="preserve">(1,25) = 2.14, </w:t>
      </w:r>
      <w:proofErr w:type="spellStart"/>
      <w:r w:rsidRPr="00B6152C">
        <w:rPr>
          <w:i/>
          <w:lang w:val="en-US"/>
        </w:rPr>
        <w:t>Mse</w:t>
      </w:r>
      <w:proofErr w:type="spellEnd"/>
      <w:r w:rsidRPr="00B6152C">
        <w:rPr>
          <w:i/>
          <w:lang w:val="en-US"/>
        </w:rPr>
        <w:t xml:space="preserve"> = </w:t>
      </w:r>
      <w:r w:rsidRPr="00B6152C">
        <w:rPr>
          <w:lang w:val="en-US"/>
        </w:rPr>
        <w:t xml:space="preserve">0.73, </w:t>
      </w:r>
      <w:r w:rsidRPr="00B6152C">
        <w:rPr>
          <w:i/>
          <w:lang w:val="en-US"/>
        </w:rPr>
        <w:t xml:space="preserve">p </w:t>
      </w:r>
      <w:r w:rsidRPr="00B6152C">
        <w:rPr>
          <w:lang w:val="en-US"/>
        </w:rPr>
        <w:t>= .16; Group x Condition:</w:t>
      </w:r>
      <w:r w:rsidRPr="00B6152C">
        <w:rPr>
          <w:i/>
          <w:lang w:val="en-US"/>
        </w:rPr>
        <w:t xml:space="preserve"> F</w:t>
      </w:r>
      <w:r w:rsidRPr="00B6152C">
        <w:rPr>
          <w:lang w:val="en-US"/>
        </w:rPr>
        <w:t xml:space="preserve">(1,25) = 0.03, </w:t>
      </w:r>
      <w:proofErr w:type="spellStart"/>
      <w:r w:rsidRPr="00B6152C">
        <w:rPr>
          <w:i/>
          <w:lang w:val="en-US"/>
        </w:rPr>
        <w:t>Mse</w:t>
      </w:r>
      <w:proofErr w:type="spellEnd"/>
      <w:r w:rsidRPr="00B6152C">
        <w:rPr>
          <w:i/>
          <w:lang w:val="en-US"/>
        </w:rPr>
        <w:t xml:space="preserve"> = </w:t>
      </w:r>
      <w:r w:rsidRPr="00B6152C">
        <w:rPr>
          <w:lang w:val="en-US"/>
        </w:rPr>
        <w:t xml:space="preserve">0.73, </w:t>
      </w:r>
      <w:r w:rsidRPr="00B6152C">
        <w:rPr>
          <w:i/>
          <w:lang w:val="en-US"/>
        </w:rPr>
        <w:t xml:space="preserve">p </w:t>
      </w:r>
      <w:r w:rsidRPr="00B6152C">
        <w:rPr>
          <w:lang w:val="en-US"/>
        </w:rPr>
        <w:t>= .87; Group x Item type:</w:t>
      </w:r>
      <w:r w:rsidRPr="00B6152C">
        <w:rPr>
          <w:i/>
          <w:lang w:val="en-US"/>
        </w:rPr>
        <w:t xml:space="preserve"> F</w:t>
      </w:r>
      <w:r w:rsidRPr="00B6152C">
        <w:rPr>
          <w:lang w:val="en-US"/>
        </w:rPr>
        <w:t xml:space="preserve">(2,50) = 0.62, </w:t>
      </w:r>
      <w:proofErr w:type="spellStart"/>
      <w:r w:rsidRPr="00B6152C">
        <w:rPr>
          <w:i/>
          <w:lang w:val="en-US"/>
        </w:rPr>
        <w:t>Mse</w:t>
      </w:r>
      <w:proofErr w:type="spellEnd"/>
      <w:r w:rsidRPr="00B6152C">
        <w:rPr>
          <w:i/>
          <w:lang w:val="en-US"/>
        </w:rPr>
        <w:t xml:space="preserve"> = </w:t>
      </w:r>
      <w:r w:rsidRPr="00B6152C">
        <w:rPr>
          <w:lang w:val="en-US"/>
        </w:rPr>
        <w:t xml:space="preserve">2.09, </w:t>
      </w:r>
      <w:r w:rsidRPr="00B6152C">
        <w:rPr>
          <w:i/>
          <w:lang w:val="en-US"/>
        </w:rPr>
        <w:t xml:space="preserve">p </w:t>
      </w:r>
      <w:r w:rsidRPr="00B6152C">
        <w:rPr>
          <w:lang w:val="en-US"/>
        </w:rPr>
        <w:t>= .54; Condition x Item type:</w:t>
      </w:r>
      <w:r w:rsidRPr="00B6152C">
        <w:rPr>
          <w:i/>
          <w:lang w:val="en-US"/>
        </w:rPr>
        <w:t xml:space="preserve"> F</w:t>
      </w:r>
      <w:r w:rsidRPr="00B6152C">
        <w:rPr>
          <w:lang w:val="en-US"/>
        </w:rPr>
        <w:t xml:space="preserve">(2,50) = 0.49, </w:t>
      </w:r>
      <w:proofErr w:type="spellStart"/>
      <w:r w:rsidRPr="00B6152C">
        <w:rPr>
          <w:i/>
          <w:lang w:val="en-US"/>
        </w:rPr>
        <w:t>Mse</w:t>
      </w:r>
      <w:proofErr w:type="spellEnd"/>
      <w:r w:rsidRPr="00B6152C">
        <w:rPr>
          <w:i/>
          <w:lang w:val="en-US"/>
        </w:rPr>
        <w:t xml:space="preserve"> = </w:t>
      </w:r>
      <w:r w:rsidRPr="00B6152C">
        <w:rPr>
          <w:lang w:val="en-US"/>
        </w:rPr>
        <w:t xml:space="preserve">1.44, </w:t>
      </w:r>
      <w:r w:rsidRPr="00B6152C">
        <w:rPr>
          <w:i/>
          <w:lang w:val="en-US"/>
        </w:rPr>
        <w:t xml:space="preserve">p </w:t>
      </w:r>
      <w:r w:rsidRPr="00B6152C">
        <w:rPr>
          <w:lang w:val="en-US"/>
        </w:rPr>
        <w:t>= .62). These results are displayed in Figure 1 (Bottom panels).</w:t>
      </w:r>
    </w:p>
    <w:p w14:paraId="54CC26C3" w14:textId="3C11B0D7" w:rsidR="007F6326" w:rsidRPr="00B6152C" w:rsidRDefault="007F6326" w:rsidP="00B6152C">
      <w:pPr>
        <w:spacing w:line="480" w:lineRule="auto"/>
        <w:jc w:val="both"/>
        <w:rPr>
          <w:b/>
          <w:bCs/>
          <w:lang w:val="en-US"/>
        </w:rPr>
      </w:pPr>
      <w:r w:rsidRPr="00B6152C">
        <w:rPr>
          <w:b/>
          <w:bCs/>
          <w:lang w:val="en-US"/>
        </w:rPr>
        <w:t>Sensitivity</w:t>
      </w:r>
      <w:r w:rsidR="00C21D3B" w:rsidRPr="00B6152C">
        <w:rPr>
          <w:b/>
          <w:bCs/>
          <w:lang w:val="en-US"/>
        </w:rPr>
        <w:t xml:space="preserve">. </w:t>
      </w:r>
      <w:r w:rsidRPr="00B6152C">
        <w:rPr>
          <w:lang w:val="en-US"/>
        </w:rPr>
        <w:t xml:space="preserve">Results revealed </w:t>
      </w:r>
      <w:r w:rsidR="00FB6343" w:rsidRPr="00B6152C">
        <w:rPr>
          <w:lang w:val="en-US"/>
        </w:rPr>
        <w:t xml:space="preserve">a main effect of group, </w:t>
      </w:r>
      <w:r w:rsidR="00FB6343" w:rsidRPr="00B6152C">
        <w:rPr>
          <w:i/>
          <w:iCs/>
          <w:lang w:val="en-US"/>
        </w:rPr>
        <w:t>F</w:t>
      </w:r>
      <w:r w:rsidR="00FB6343" w:rsidRPr="00B6152C">
        <w:rPr>
          <w:lang w:val="en-US"/>
        </w:rPr>
        <w:t xml:space="preserve">(1, 25) = 32.50, </w:t>
      </w:r>
      <w:proofErr w:type="spellStart"/>
      <w:r w:rsidR="00FB6343" w:rsidRPr="00B6152C">
        <w:rPr>
          <w:i/>
          <w:iCs/>
          <w:lang w:val="en-US"/>
        </w:rPr>
        <w:t>MSe</w:t>
      </w:r>
      <w:proofErr w:type="spellEnd"/>
      <w:r w:rsidR="00FB6343" w:rsidRPr="00B6152C">
        <w:rPr>
          <w:lang w:val="en-US"/>
        </w:rPr>
        <w:t xml:space="preserve"> = 1.29, </w:t>
      </w:r>
      <w:r w:rsidR="00FB6343" w:rsidRPr="00B6152C">
        <w:rPr>
          <w:i/>
          <w:lang w:val="en-US"/>
        </w:rPr>
        <w:sym w:font="Symbol" w:char="F068"/>
      </w:r>
      <w:r w:rsidR="00FB6343" w:rsidRPr="00B6152C">
        <w:rPr>
          <w:i/>
          <w:vertAlign w:val="subscript"/>
          <w:lang w:val="en-US"/>
        </w:rPr>
        <w:t>p</w:t>
      </w:r>
      <w:r w:rsidR="00FB6343" w:rsidRPr="00B6152C">
        <w:rPr>
          <w:i/>
          <w:vertAlign w:val="superscript"/>
          <w:lang w:val="en-US"/>
        </w:rPr>
        <w:t xml:space="preserve">2 </w:t>
      </w:r>
      <w:r w:rsidR="00FB6343" w:rsidRPr="00B6152C">
        <w:rPr>
          <w:lang w:val="en-US"/>
        </w:rPr>
        <w:t xml:space="preserve">= .56. Controls were better at discriminating between studied items and </w:t>
      </w:r>
      <w:r w:rsidR="003B6296" w:rsidRPr="00B6152C">
        <w:rPr>
          <w:lang w:val="en-US"/>
        </w:rPr>
        <w:t>distractors</w:t>
      </w:r>
      <w:r w:rsidR="00FB6343" w:rsidRPr="00B6152C">
        <w:rPr>
          <w:lang w:val="en-US"/>
        </w:rPr>
        <w:t xml:space="preserve"> (</w:t>
      </w:r>
      <w:r w:rsidR="00FB6343" w:rsidRPr="00B6152C">
        <w:rPr>
          <w:i/>
          <w:iCs/>
          <w:lang w:val="en-US"/>
        </w:rPr>
        <w:t>M</w:t>
      </w:r>
      <w:r w:rsidR="00FB6343" w:rsidRPr="00B6152C">
        <w:rPr>
          <w:lang w:val="en-US"/>
        </w:rPr>
        <w:t xml:space="preserve"> = 1.</w:t>
      </w:r>
      <w:r w:rsidR="00A20D76" w:rsidRPr="00B6152C">
        <w:rPr>
          <w:lang w:val="en-US"/>
        </w:rPr>
        <w:t>56</w:t>
      </w:r>
      <w:r w:rsidR="00FB6343" w:rsidRPr="00B6152C">
        <w:rPr>
          <w:lang w:val="en-US"/>
        </w:rPr>
        <w:t>) than amnesic patients (</w:t>
      </w:r>
      <w:r w:rsidR="00FB6343" w:rsidRPr="00B6152C">
        <w:rPr>
          <w:i/>
          <w:iCs/>
          <w:lang w:val="en-US"/>
        </w:rPr>
        <w:t>M</w:t>
      </w:r>
      <w:r w:rsidR="00FB6343" w:rsidRPr="00B6152C">
        <w:rPr>
          <w:lang w:val="en-US"/>
        </w:rPr>
        <w:t xml:space="preserve"> = 0.</w:t>
      </w:r>
      <w:r w:rsidR="00A20D76" w:rsidRPr="00B6152C">
        <w:rPr>
          <w:lang w:val="en-US"/>
        </w:rPr>
        <w:t>48</w:t>
      </w:r>
      <w:r w:rsidR="00FB6343" w:rsidRPr="00B6152C">
        <w:rPr>
          <w:lang w:val="en-US"/>
        </w:rPr>
        <w:t xml:space="preserve">). </w:t>
      </w:r>
      <w:r w:rsidRPr="00B6152C">
        <w:rPr>
          <w:lang w:val="en-US"/>
        </w:rPr>
        <w:t xml:space="preserve">Participants’ ability to discriminate between studied items and </w:t>
      </w:r>
      <w:r w:rsidR="003B6296" w:rsidRPr="00B6152C">
        <w:rPr>
          <w:lang w:val="en-US"/>
        </w:rPr>
        <w:t>distractors</w:t>
      </w:r>
      <w:r w:rsidRPr="00B6152C">
        <w:rPr>
          <w:lang w:val="en-US"/>
        </w:rPr>
        <w:t xml:space="preserve"> </w:t>
      </w:r>
      <w:r w:rsidR="00FB6343" w:rsidRPr="00B6152C">
        <w:rPr>
          <w:lang w:val="en-US"/>
        </w:rPr>
        <w:t xml:space="preserve">was also found to depend </w:t>
      </w:r>
      <w:r w:rsidRPr="00B6152C">
        <w:rPr>
          <w:lang w:val="en-US"/>
        </w:rPr>
        <w:t xml:space="preserve">on the type of items, </w:t>
      </w:r>
      <w:r w:rsidRPr="00B6152C">
        <w:rPr>
          <w:i/>
          <w:iCs/>
          <w:lang w:val="en-US"/>
        </w:rPr>
        <w:t>F</w:t>
      </w:r>
      <w:r w:rsidRPr="00B6152C">
        <w:rPr>
          <w:lang w:val="en-US"/>
        </w:rPr>
        <w:t>(2, 50) = 12.1</w:t>
      </w:r>
      <w:r w:rsidR="00547E4A" w:rsidRPr="00B6152C">
        <w:rPr>
          <w:lang w:val="en-US"/>
        </w:rPr>
        <w:t>5</w:t>
      </w:r>
      <w:r w:rsidRPr="00B6152C">
        <w:rPr>
          <w:lang w:val="en-US"/>
        </w:rPr>
        <w:t xml:space="preserve">, </w:t>
      </w:r>
      <w:proofErr w:type="spellStart"/>
      <w:r w:rsidRPr="00B6152C">
        <w:rPr>
          <w:i/>
          <w:iCs/>
          <w:lang w:val="en-US"/>
        </w:rPr>
        <w:t>MSe</w:t>
      </w:r>
      <w:proofErr w:type="spellEnd"/>
      <w:r w:rsidRPr="00B6152C">
        <w:rPr>
          <w:lang w:val="en-US"/>
        </w:rPr>
        <w:t xml:space="preserve"> = 0.53, </w:t>
      </w:r>
      <w:r w:rsidRPr="00B6152C">
        <w:rPr>
          <w:i/>
          <w:lang w:val="en-US"/>
        </w:rPr>
        <w:sym w:font="Symbol" w:char="F068"/>
      </w:r>
      <w:r w:rsidRPr="00B6152C">
        <w:rPr>
          <w:i/>
          <w:vertAlign w:val="subscript"/>
          <w:lang w:val="en-US"/>
        </w:rPr>
        <w:t>p</w:t>
      </w:r>
      <w:r w:rsidRPr="00B6152C">
        <w:rPr>
          <w:i/>
          <w:vertAlign w:val="superscript"/>
          <w:lang w:val="en-US"/>
        </w:rPr>
        <w:t xml:space="preserve">2 </w:t>
      </w:r>
      <w:r w:rsidRPr="00B6152C">
        <w:rPr>
          <w:lang w:val="en-US"/>
        </w:rPr>
        <w:t>= .33. Planned comparisons revealed higher sensibility score for natural words (</w:t>
      </w:r>
      <w:r w:rsidRPr="00B6152C">
        <w:rPr>
          <w:i/>
          <w:iCs/>
          <w:lang w:val="en-US"/>
        </w:rPr>
        <w:t>M</w:t>
      </w:r>
      <w:r w:rsidRPr="00B6152C">
        <w:rPr>
          <w:lang w:val="en-US"/>
        </w:rPr>
        <w:t xml:space="preserve"> = </w:t>
      </w:r>
      <w:r w:rsidR="00EE7DF1" w:rsidRPr="00B6152C">
        <w:rPr>
          <w:lang w:val="en-US"/>
        </w:rPr>
        <w:t>1.</w:t>
      </w:r>
      <w:r w:rsidR="00A20D76" w:rsidRPr="00B6152C">
        <w:rPr>
          <w:lang w:val="en-US"/>
        </w:rPr>
        <w:t>44</w:t>
      </w:r>
      <w:r w:rsidRPr="00B6152C">
        <w:rPr>
          <w:lang w:val="en-US"/>
        </w:rPr>
        <w:t xml:space="preserve">) than for </w:t>
      </w:r>
      <w:r w:rsidR="00CB33C8" w:rsidRPr="00B6152C">
        <w:rPr>
          <w:lang w:val="en-US"/>
        </w:rPr>
        <w:t>HF nonwords</w:t>
      </w:r>
      <w:r w:rsidRPr="00B6152C">
        <w:rPr>
          <w:lang w:val="en-US"/>
        </w:rPr>
        <w:t xml:space="preserve"> (</w:t>
      </w:r>
      <w:r w:rsidRPr="00B6152C">
        <w:rPr>
          <w:i/>
          <w:iCs/>
          <w:lang w:val="en-US"/>
        </w:rPr>
        <w:t>M</w:t>
      </w:r>
      <w:r w:rsidRPr="00B6152C">
        <w:rPr>
          <w:lang w:val="en-US"/>
        </w:rPr>
        <w:t xml:space="preserve"> = .</w:t>
      </w:r>
      <w:r w:rsidR="00A20D76" w:rsidRPr="00B6152C">
        <w:rPr>
          <w:lang w:val="en-US"/>
        </w:rPr>
        <w:t>76</w:t>
      </w:r>
      <w:r w:rsidRPr="00B6152C">
        <w:rPr>
          <w:lang w:val="en-US"/>
        </w:rPr>
        <w:t xml:space="preserve">), </w:t>
      </w:r>
      <w:r w:rsidRPr="00B6152C">
        <w:rPr>
          <w:i/>
          <w:iCs/>
          <w:lang w:val="en-US"/>
        </w:rPr>
        <w:t>F</w:t>
      </w:r>
      <w:r w:rsidRPr="00B6152C">
        <w:rPr>
          <w:lang w:val="en-US"/>
        </w:rPr>
        <w:t>(</w:t>
      </w:r>
      <w:r w:rsidR="00EE7DF1" w:rsidRPr="00B6152C">
        <w:rPr>
          <w:lang w:val="en-US"/>
        </w:rPr>
        <w:t>2</w:t>
      </w:r>
      <w:r w:rsidRPr="00B6152C">
        <w:rPr>
          <w:lang w:val="en-US"/>
        </w:rPr>
        <w:t xml:space="preserve">, </w:t>
      </w:r>
      <w:r w:rsidR="00EE7DF1" w:rsidRPr="00B6152C">
        <w:rPr>
          <w:lang w:val="en-US"/>
        </w:rPr>
        <w:t>50</w:t>
      </w:r>
      <w:r w:rsidRPr="00B6152C">
        <w:rPr>
          <w:lang w:val="en-US"/>
        </w:rPr>
        <w:t xml:space="preserve">) = </w:t>
      </w:r>
      <w:r w:rsidR="00EE7DF1" w:rsidRPr="00B6152C">
        <w:rPr>
          <w:lang w:val="en-US"/>
        </w:rPr>
        <w:t>4</w:t>
      </w:r>
      <w:r w:rsidRPr="00B6152C">
        <w:rPr>
          <w:lang w:val="en-US"/>
        </w:rPr>
        <w:t>.</w:t>
      </w:r>
      <w:r w:rsidR="00EE7DF1" w:rsidRPr="00B6152C">
        <w:rPr>
          <w:lang w:val="en-US"/>
        </w:rPr>
        <w:t>56</w:t>
      </w:r>
      <w:r w:rsidRPr="00B6152C">
        <w:rPr>
          <w:lang w:val="en-US"/>
        </w:rPr>
        <w:t xml:space="preserve">, </w:t>
      </w:r>
      <w:proofErr w:type="spellStart"/>
      <w:r w:rsidRPr="00B6152C">
        <w:rPr>
          <w:i/>
          <w:iCs/>
          <w:lang w:val="en-US"/>
        </w:rPr>
        <w:t>MSe</w:t>
      </w:r>
      <w:proofErr w:type="spellEnd"/>
      <w:r w:rsidRPr="00B6152C">
        <w:rPr>
          <w:lang w:val="en-US"/>
        </w:rPr>
        <w:t xml:space="preserve"> = 0.</w:t>
      </w:r>
      <w:r w:rsidR="00EE7DF1" w:rsidRPr="00B6152C">
        <w:rPr>
          <w:lang w:val="en-US"/>
        </w:rPr>
        <w:t>14</w:t>
      </w:r>
      <w:r w:rsidRPr="00B6152C">
        <w:rPr>
          <w:lang w:val="en-US"/>
        </w:rPr>
        <w:t xml:space="preserve">, </w:t>
      </w:r>
      <w:r w:rsidRPr="00B6152C">
        <w:rPr>
          <w:i/>
          <w:iCs/>
          <w:lang w:val="en-US"/>
        </w:rPr>
        <w:t xml:space="preserve">p </w:t>
      </w:r>
      <w:r w:rsidR="00EE7DF1" w:rsidRPr="00B6152C">
        <w:rPr>
          <w:lang w:val="en-US"/>
        </w:rPr>
        <w:t>&lt;</w:t>
      </w:r>
      <w:r w:rsidRPr="00B6152C">
        <w:rPr>
          <w:lang w:val="en-US"/>
        </w:rPr>
        <w:t xml:space="preserve"> .00</w:t>
      </w:r>
      <w:r w:rsidR="00EE7DF1" w:rsidRPr="00B6152C">
        <w:rPr>
          <w:lang w:val="en-US"/>
        </w:rPr>
        <w:t>1</w:t>
      </w:r>
      <w:r w:rsidRPr="00B6152C">
        <w:rPr>
          <w:lang w:val="en-US"/>
        </w:rPr>
        <w:t xml:space="preserve">, or </w:t>
      </w:r>
      <w:r w:rsidR="00CB33C8" w:rsidRPr="00B6152C">
        <w:rPr>
          <w:lang w:val="en-US"/>
        </w:rPr>
        <w:t>LF</w:t>
      </w:r>
      <w:r w:rsidRPr="00B6152C">
        <w:rPr>
          <w:lang w:val="en-US"/>
        </w:rPr>
        <w:t xml:space="preserve"> nonwords (</w:t>
      </w:r>
      <w:r w:rsidRPr="00B6152C">
        <w:rPr>
          <w:i/>
          <w:iCs/>
          <w:lang w:val="en-US"/>
        </w:rPr>
        <w:t xml:space="preserve">M </w:t>
      </w:r>
      <w:r w:rsidRPr="00B6152C">
        <w:rPr>
          <w:lang w:val="en-US"/>
        </w:rPr>
        <w:t xml:space="preserve">= </w:t>
      </w:r>
      <w:r w:rsidR="00A20D76" w:rsidRPr="00B6152C">
        <w:rPr>
          <w:lang w:val="en-US"/>
        </w:rPr>
        <w:t>0.86</w:t>
      </w:r>
      <w:r w:rsidRPr="00B6152C">
        <w:rPr>
          <w:lang w:val="en-US"/>
        </w:rPr>
        <w:t xml:space="preserve">), </w:t>
      </w:r>
      <w:r w:rsidRPr="00B6152C">
        <w:rPr>
          <w:i/>
          <w:iCs/>
          <w:lang w:val="en-US"/>
        </w:rPr>
        <w:t>F</w:t>
      </w:r>
      <w:r w:rsidRPr="00B6152C">
        <w:rPr>
          <w:lang w:val="en-US"/>
        </w:rPr>
        <w:t>(</w:t>
      </w:r>
      <w:r w:rsidR="00EE7DF1" w:rsidRPr="00B6152C">
        <w:rPr>
          <w:lang w:val="en-US"/>
        </w:rPr>
        <w:t>2</w:t>
      </w:r>
      <w:r w:rsidRPr="00B6152C">
        <w:rPr>
          <w:lang w:val="en-US"/>
        </w:rPr>
        <w:t xml:space="preserve">, </w:t>
      </w:r>
      <w:r w:rsidR="00EE7DF1" w:rsidRPr="00B6152C">
        <w:rPr>
          <w:lang w:val="en-US"/>
        </w:rPr>
        <w:t>50</w:t>
      </w:r>
      <w:r w:rsidRPr="00B6152C">
        <w:rPr>
          <w:lang w:val="en-US"/>
        </w:rPr>
        <w:t xml:space="preserve">) = </w:t>
      </w:r>
      <w:r w:rsidR="00EE7DF1" w:rsidRPr="00B6152C">
        <w:rPr>
          <w:lang w:val="en-US"/>
        </w:rPr>
        <w:t>3</w:t>
      </w:r>
      <w:r w:rsidRPr="00B6152C">
        <w:rPr>
          <w:lang w:val="en-US"/>
        </w:rPr>
        <w:t>.</w:t>
      </w:r>
      <w:r w:rsidR="00EE7DF1" w:rsidRPr="00B6152C">
        <w:rPr>
          <w:lang w:val="en-US"/>
        </w:rPr>
        <w:t>89</w:t>
      </w:r>
      <w:r w:rsidRPr="00B6152C">
        <w:rPr>
          <w:lang w:val="en-US"/>
        </w:rPr>
        <w:t xml:space="preserve">, </w:t>
      </w:r>
      <w:proofErr w:type="spellStart"/>
      <w:r w:rsidRPr="00B6152C">
        <w:rPr>
          <w:i/>
          <w:iCs/>
          <w:lang w:val="en-US"/>
        </w:rPr>
        <w:t>MSe</w:t>
      </w:r>
      <w:proofErr w:type="spellEnd"/>
      <w:r w:rsidRPr="00B6152C">
        <w:rPr>
          <w:lang w:val="en-US"/>
        </w:rPr>
        <w:t xml:space="preserve"> = 0.</w:t>
      </w:r>
      <w:r w:rsidR="00EE7DF1" w:rsidRPr="00B6152C">
        <w:rPr>
          <w:lang w:val="en-US"/>
        </w:rPr>
        <w:t>14</w:t>
      </w:r>
      <w:r w:rsidRPr="00B6152C">
        <w:rPr>
          <w:lang w:val="en-US"/>
        </w:rPr>
        <w:t xml:space="preserve">, </w:t>
      </w:r>
      <w:r w:rsidRPr="00B6152C">
        <w:rPr>
          <w:i/>
          <w:iCs/>
          <w:lang w:val="en-US"/>
        </w:rPr>
        <w:t>p</w:t>
      </w:r>
      <w:r w:rsidRPr="00B6152C">
        <w:rPr>
          <w:lang w:val="en-US"/>
        </w:rPr>
        <w:t xml:space="preserve"> </w:t>
      </w:r>
      <w:r w:rsidR="00EE7DF1" w:rsidRPr="00B6152C">
        <w:rPr>
          <w:lang w:val="en-US"/>
        </w:rPr>
        <w:t>&lt;</w:t>
      </w:r>
      <w:r w:rsidRPr="00B6152C">
        <w:rPr>
          <w:lang w:val="en-US"/>
        </w:rPr>
        <w:t xml:space="preserve"> .0</w:t>
      </w:r>
      <w:r w:rsidR="00EE7DF1" w:rsidRPr="00B6152C">
        <w:rPr>
          <w:lang w:val="en-US"/>
        </w:rPr>
        <w:t>01</w:t>
      </w:r>
      <w:r w:rsidRPr="00B6152C">
        <w:rPr>
          <w:lang w:val="en-US"/>
        </w:rPr>
        <w:t>.</w:t>
      </w:r>
      <w:r w:rsidR="00FB6343" w:rsidRPr="00B6152C">
        <w:rPr>
          <w:lang w:val="en-US"/>
        </w:rPr>
        <w:t xml:space="preserve"> </w:t>
      </w:r>
      <w:r w:rsidRPr="00B6152C">
        <w:rPr>
          <w:lang w:val="en-US"/>
        </w:rPr>
        <w:t xml:space="preserve">No </w:t>
      </w:r>
      <w:r w:rsidR="00FB6343" w:rsidRPr="00B6152C">
        <w:rPr>
          <w:lang w:val="en-US"/>
        </w:rPr>
        <w:t xml:space="preserve">other </w:t>
      </w:r>
      <w:r w:rsidR="00EE7DF1" w:rsidRPr="00B6152C">
        <w:rPr>
          <w:lang w:val="en-US"/>
        </w:rPr>
        <w:t>main or interaction</w:t>
      </w:r>
      <w:r w:rsidRPr="00B6152C">
        <w:rPr>
          <w:lang w:val="en-US"/>
        </w:rPr>
        <w:t xml:space="preserve"> effects were found, </w:t>
      </w:r>
      <w:r w:rsidRPr="00B6152C">
        <w:rPr>
          <w:i/>
          <w:iCs/>
          <w:lang w:val="en-US"/>
        </w:rPr>
        <w:t>F</w:t>
      </w:r>
      <w:r w:rsidR="00FB6343" w:rsidRPr="00B6152C">
        <w:rPr>
          <w:lang w:val="en-US"/>
        </w:rPr>
        <w:t>s</w:t>
      </w:r>
      <w:r w:rsidRPr="00B6152C">
        <w:rPr>
          <w:lang w:val="en-US"/>
        </w:rPr>
        <w:t xml:space="preserve"> </w:t>
      </w:r>
      <w:r w:rsidR="00FB6343" w:rsidRPr="00B6152C">
        <w:rPr>
          <w:lang w:val="en-US"/>
        </w:rPr>
        <w:t>&lt;</w:t>
      </w:r>
      <w:r w:rsidRPr="00B6152C">
        <w:rPr>
          <w:lang w:val="en-US"/>
        </w:rPr>
        <w:t xml:space="preserve"> </w:t>
      </w:r>
      <w:r w:rsidR="00FB6343" w:rsidRPr="00B6152C">
        <w:rPr>
          <w:lang w:val="en-US"/>
        </w:rPr>
        <w:t>1</w:t>
      </w:r>
      <w:r w:rsidRPr="00B6152C">
        <w:rPr>
          <w:lang w:val="en-US"/>
        </w:rPr>
        <w:t>.</w:t>
      </w:r>
      <w:r w:rsidR="00FB6343" w:rsidRPr="00B6152C">
        <w:rPr>
          <w:lang w:val="en-US"/>
        </w:rPr>
        <w:t>74</w:t>
      </w:r>
      <w:r w:rsidRPr="00B6152C">
        <w:rPr>
          <w:lang w:val="en-US"/>
        </w:rPr>
        <w:t xml:space="preserve">, </w:t>
      </w:r>
      <w:proofErr w:type="spellStart"/>
      <w:r w:rsidRPr="00B6152C">
        <w:rPr>
          <w:i/>
          <w:iCs/>
          <w:lang w:val="en-US"/>
        </w:rPr>
        <w:t>p</w:t>
      </w:r>
      <w:r w:rsidR="00FB6343" w:rsidRPr="00B6152C">
        <w:rPr>
          <w:i/>
          <w:iCs/>
          <w:lang w:val="en-US"/>
        </w:rPr>
        <w:t>s</w:t>
      </w:r>
      <w:proofErr w:type="spellEnd"/>
      <w:r w:rsidRPr="00B6152C">
        <w:rPr>
          <w:lang w:val="en-US"/>
        </w:rPr>
        <w:t xml:space="preserve"> </w:t>
      </w:r>
      <w:r w:rsidR="00FB6343" w:rsidRPr="00B6152C">
        <w:rPr>
          <w:lang w:val="en-US"/>
        </w:rPr>
        <w:t>&gt;</w:t>
      </w:r>
      <w:r w:rsidRPr="00B6152C">
        <w:rPr>
          <w:lang w:val="en-US"/>
        </w:rPr>
        <w:t xml:space="preserve"> .</w:t>
      </w:r>
      <w:r w:rsidR="00FB6343" w:rsidRPr="00B6152C">
        <w:rPr>
          <w:lang w:val="en-US"/>
        </w:rPr>
        <w:t>18</w:t>
      </w:r>
      <w:r w:rsidR="00913A6A" w:rsidRPr="00B6152C">
        <w:rPr>
          <w:lang w:val="en-US"/>
        </w:rPr>
        <w:t xml:space="preserve"> (see Table 2)</w:t>
      </w:r>
      <w:r w:rsidR="00FB6343" w:rsidRPr="00B6152C">
        <w:rPr>
          <w:lang w:val="en-US"/>
        </w:rPr>
        <w:t>.</w:t>
      </w:r>
    </w:p>
    <w:p w14:paraId="36F7EB65" w14:textId="77777777" w:rsidR="005D647E" w:rsidRPr="00B6152C" w:rsidRDefault="005D647E" w:rsidP="00B6152C">
      <w:pPr>
        <w:spacing w:line="480" w:lineRule="auto"/>
        <w:jc w:val="center"/>
        <w:rPr>
          <w:lang w:val="en-US"/>
        </w:rPr>
      </w:pPr>
      <w:r w:rsidRPr="00B6152C">
        <w:rPr>
          <w:lang w:val="en-US"/>
        </w:rPr>
        <w:t>&lt; Table 2 about here &gt;</w:t>
      </w:r>
    </w:p>
    <w:p w14:paraId="207B91DC" w14:textId="27BD8986" w:rsidR="007F6326" w:rsidRPr="00B6152C" w:rsidRDefault="007F6326" w:rsidP="00B6152C">
      <w:pPr>
        <w:spacing w:line="480" w:lineRule="auto"/>
        <w:jc w:val="both"/>
        <w:rPr>
          <w:b/>
          <w:bCs/>
          <w:lang w:val="en-US"/>
        </w:rPr>
      </w:pPr>
      <w:r w:rsidRPr="00B6152C">
        <w:rPr>
          <w:b/>
          <w:bCs/>
          <w:lang w:val="en-US"/>
        </w:rPr>
        <w:t>Response Bias</w:t>
      </w:r>
      <w:r w:rsidR="00C21D3B" w:rsidRPr="00B6152C">
        <w:rPr>
          <w:b/>
          <w:bCs/>
          <w:lang w:val="en-US"/>
        </w:rPr>
        <w:t xml:space="preserve">. </w:t>
      </w:r>
      <w:r w:rsidR="00EE7DF1" w:rsidRPr="00B6152C">
        <w:rPr>
          <w:lang w:val="en-US"/>
        </w:rPr>
        <w:t xml:space="preserve">Results revealed a significant Condition x Item interaction, </w:t>
      </w:r>
      <w:r w:rsidR="00EE7DF1" w:rsidRPr="00B6152C">
        <w:rPr>
          <w:i/>
          <w:iCs/>
          <w:lang w:val="en-US"/>
        </w:rPr>
        <w:t>F</w:t>
      </w:r>
      <w:r w:rsidR="00EE7DF1" w:rsidRPr="00B6152C">
        <w:rPr>
          <w:lang w:val="en-US"/>
        </w:rPr>
        <w:t xml:space="preserve">(2, 50) = 7.45, </w:t>
      </w:r>
      <w:proofErr w:type="spellStart"/>
      <w:r w:rsidR="00EE7DF1" w:rsidRPr="00B6152C">
        <w:rPr>
          <w:i/>
          <w:iCs/>
          <w:lang w:val="en-US"/>
        </w:rPr>
        <w:t>MSe</w:t>
      </w:r>
      <w:proofErr w:type="spellEnd"/>
      <w:r w:rsidR="00EE7DF1" w:rsidRPr="00B6152C">
        <w:rPr>
          <w:lang w:val="en-US"/>
        </w:rPr>
        <w:t xml:space="preserve"> = 0.11, </w:t>
      </w:r>
      <w:r w:rsidR="00EE7DF1" w:rsidRPr="00B6152C">
        <w:rPr>
          <w:i/>
          <w:lang w:val="en-US"/>
        </w:rPr>
        <w:sym w:font="Symbol" w:char="F068"/>
      </w:r>
      <w:r w:rsidR="00EE7DF1" w:rsidRPr="00B6152C">
        <w:rPr>
          <w:i/>
          <w:vertAlign w:val="subscript"/>
          <w:lang w:val="en-US"/>
        </w:rPr>
        <w:t>p</w:t>
      </w:r>
      <w:r w:rsidR="00EE7DF1" w:rsidRPr="00B6152C">
        <w:rPr>
          <w:i/>
          <w:vertAlign w:val="superscript"/>
          <w:lang w:val="en-US"/>
        </w:rPr>
        <w:t xml:space="preserve">2 </w:t>
      </w:r>
      <w:r w:rsidR="00EE7DF1" w:rsidRPr="00B6152C">
        <w:rPr>
          <w:lang w:val="en-US"/>
        </w:rPr>
        <w:t xml:space="preserve">= .23. </w:t>
      </w:r>
      <w:r w:rsidR="00CB33C8" w:rsidRPr="00B6152C">
        <w:rPr>
          <w:lang w:val="en-US"/>
        </w:rPr>
        <w:t>This effect resulted from the fact that</w:t>
      </w:r>
      <w:r w:rsidR="00EE7DF1" w:rsidRPr="00B6152C">
        <w:rPr>
          <w:lang w:val="en-US"/>
        </w:rPr>
        <w:t xml:space="preserve"> participants responded more conservatively for </w:t>
      </w:r>
      <w:r w:rsidR="00CB33C8" w:rsidRPr="00B6152C">
        <w:rPr>
          <w:lang w:val="en-US"/>
        </w:rPr>
        <w:t xml:space="preserve">HF nonwords in the </w:t>
      </w:r>
      <w:r w:rsidR="00197DC4" w:rsidRPr="00B6152C">
        <w:rPr>
          <w:lang w:val="en-US"/>
        </w:rPr>
        <w:t>non-oral</w:t>
      </w:r>
      <w:r w:rsidR="00CB33C8" w:rsidRPr="00B6152C">
        <w:rPr>
          <w:lang w:val="en-US"/>
        </w:rPr>
        <w:t xml:space="preserve"> motor condition</w:t>
      </w:r>
      <w:r w:rsidR="00EE7DF1" w:rsidRPr="00B6152C">
        <w:rPr>
          <w:lang w:val="en-US"/>
        </w:rPr>
        <w:t xml:space="preserve"> (</w:t>
      </w:r>
      <w:r w:rsidR="00EE7DF1" w:rsidRPr="00B6152C">
        <w:rPr>
          <w:i/>
          <w:iCs/>
          <w:lang w:val="en-US"/>
        </w:rPr>
        <w:t>M</w:t>
      </w:r>
      <w:r w:rsidR="00EE7DF1" w:rsidRPr="00B6152C">
        <w:rPr>
          <w:lang w:val="en-US"/>
        </w:rPr>
        <w:t xml:space="preserve"> = .</w:t>
      </w:r>
      <w:r w:rsidR="008B57EB" w:rsidRPr="00B6152C">
        <w:rPr>
          <w:lang w:val="en-US"/>
        </w:rPr>
        <w:t>2</w:t>
      </w:r>
      <w:r w:rsidR="00A20D76" w:rsidRPr="00B6152C">
        <w:rPr>
          <w:lang w:val="en-US"/>
        </w:rPr>
        <w:t>8</w:t>
      </w:r>
      <w:r w:rsidR="00EE7DF1" w:rsidRPr="00B6152C">
        <w:rPr>
          <w:lang w:val="en-US"/>
        </w:rPr>
        <w:t xml:space="preserve">) than </w:t>
      </w:r>
      <w:r w:rsidR="00CB33C8" w:rsidRPr="00B6152C">
        <w:rPr>
          <w:lang w:val="en-US"/>
        </w:rPr>
        <w:t>in the oral motor condition</w:t>
      </w:r>
      <w:r w:rsidR="00EE7DF1" w:rsidRPr="00B6152C">
        <w:rPr>
          <w:lang w:val="en-US"/>
        </w:rPr>
        <w:t xml:space="preserve"> (</w:t>
      </w:r>
      <w:r w:rsidR="00EE7DF1" w:rsidRPr="00B6152C">
        <w:rPr>
          <w:i/>
          <w:iCs/>
          <w:lang w:val="en-US"/>
        </w:rPr>
        <w:t>M</w:t>
      </w:r>
      <w:r w:rsidR="00EE7DF1" w:rsidRPr="00B6152C">
        <w:rPr>
          <w:lang w:val="en-US"/>
        </w:rPr>
        <w:t xml:space="preserve"> = </w:t>
      </w:r>
      <w:r w:rsidR="008B57EB" w:rsidRPr="00B6152C">
        <w:rPr>
          <w:lang w:val="en-US"/>
        </w:rPr>
        <w:t>-</w:t>
      </w:r>
      <w:r w:rsidR="00EE7DF1" w:rsidRPr="00B6152C">
        <w:rPr>
          <w:lang w:val="en-US"/>
        </w:rPr>
        <w:t>.</w:t>
      </w:r>
      <w:r w:rsidR="008B57EB" w:rsidRPr="00B6152C">
        <w:rPr>
          <w:lang w:val="en-US"/>
        </w:rPr>
        <w:t>0</w:t>
      </w:r>
      <w:r w:rsidR="00A20D76" w:rsidRPr="00B6152C">
        <w:rPr>
          <w:lang w:val="en-US"/>
        </w:rPr>
        <w:t>5</w:t>
      </w:r>
      <w:r w:rsidR="00EE7DF1" w:rsidRPr="00B6152C">
        <w:rPr>
          <w:lang w:val="en-US"/>
        </w:rPr>
        <w:t xml:space="preserve">), </w:t>
      </w:r>
      <w:r w:rsidR="00EE7DF1" w:rsidRPr="00B6152C">
        <w:rPr>
          <w:i/>
          <w:iCs/>
          <w:lang w:val="en-US"/>
        </w:rPr>
        <w:t>F</w:t>
      </w:r>
      <w:r w:rsidR="00EE7DF1" w:rsidRPr="00B6152C">
        <w:rPr>
          <w:lang w:val="en-US"/>
        </w:rPr>
        <w:t>(</w:t>
      </w:r>
      <w:r w:rsidR="008B57EB" w:rsidRPr="00B6152C">
        <w:rPr>
          <w:lang w:val="en-US"/>
        </w:rPr>
        <w:t>2</w:t>
      </w:r>
      <w:r w:rsidR="00EE7DF1" w:rsidRPr="00B6152C">
        <w:rPr>
          <w:lang w:val="en-US"/>
        </w:rPr>
        <w:t xml:space="preserve">, </w:t>
      </w:r>
      <w:r w:rsidR="008B57EB" w:rsidRPr="00B6152C">
        <w:rPr>
          <w:lang w:val="en-US"/>
        </w:rPr>
        <w:t>50</w:t>
      </w:r>
      <w:r w:rsidR="00EE7DF1" w:rsidRPr="00B6152C">
        <w:rPr>
          <w:lang w:val="en-US"/>
        </w:rPr>
        <w:t xml:space="preserve">) = </w:t>
      </w:r>
      <w:r w:rsidR="008B57EB" w:rsidRPr="00B6152C">
        <w:rPr>
          <w:lang w:val="en-US"/>
        </w:rPr>
        <w:t>3</w:t>
      </w:r>
      <w:r w:rsidR="00EE7DF1" w:rsidRPr="00B6152C">
        <w:rPr>
          <w:lang w:val="en-US"/>
        </w:rPr>
        <w:t>.0</w:t>
      </w:r>
      <w:r w:rsidR="008B57EB" w:rsidRPr="00B6152C">
        <w:rPr>
          <w:lang w:val="en-US"/>
        </w:rPr>
        <w:t>3</w:t>
      </w:r>
      <w:r w:rsidR="00EE7DF1" w:rsidRPr="00B6152C">
        <w:rPr>
          <w:lang w:val="en-US"/>
        </w:rPr>
        <w:t xml:space="preserve">, </w:t>
      </w:r>
      <w:proofErr w:type="spellStart"/>
      <w:r w:rsidR="00EE7DF1" w:rsidRPr="00B6152C">
        <w:rPr>
          <w:i/>
          <w:iCs/>
          <w:lang w:val="en-US"/>
        </w:rPr>
        <w:t>MSe</w:t>
      </w:r>
      <w:proofErr w:type="spellEnd"/>
      <w:r w:rsidR="00EE7DF1" w:rsidRPr="00B6152C">
        <w:rPr>
          <w:lang w:val="en-US"/>
        </w:rPr>
        <w:t xml:space="preserve"> = </w:t>
      </w:r>
      <w:r w:rsidR="008B57EB" w:rsidRPr="00B6152C">
        <w:rPr>
          <w:lang w:val="en-US"/>
        </w:rPr>
        <w:t>0</w:t>
      </w:r>
      <w:r w:rsidR="00EE7DF1" w:rsidRPr="00B6152C">
        <w:rPr>
          <w:lang w:val="en-US"/>
        </w:rPr>
        <w:t>.</w:t>
      </w:r>
      <w:r w:rsidR="008B57EB" w:rsidRPr="00B6152C">
        <w:rPr>
          <w:lang w:val="en-US"/>
        </w:rPr>
        <w:t>11</w:t>
      </w:r>
      <w:r w:rsidR="00EE7DF1" w:rsidRPr="00B6152C">
        <w:rPr>
          <w:lang w:val="en-US"/>
        </w:rPr>
        <w:t xml:space="preserve">, </w:t>
      </w:r>
      <w:r w:rsidR="008B57EB" w:rsidRPr="00B6152C">
        <w:rPr>
          <w:i/>
          <w:lang w:val="en-US"/>
        </w:rPr>
        <w:t>p</w:t>
      </w:r>
      <w:r w:rsidR="00CB33C8" w:rsidRPr="00B6152C">
        <w:rPr>
          <w:i/>
          <w:vertAlign w:val="superscript"/>
          <w:lang w:val="en-US"/>
        </w:rPr>
        <w:t xml:space="preserve"> </w:t>
      </w:r>
      <w:r w:rsidR="00CB33C8" w:rsidRPr="00B6152C">
        <w:rPr>
          <w:lang w:val="en-US"/>
        </w:rPr>
        <w:t>= .</w:t>
      </w:r>
      <w:r w:rsidR="008B57EB" w:rsidRPr="00B6152C">
        <w:rPr>
          <w:lang w:val="en-US"/>
        </w:rPr>
        <w:t>01</w:t>
      </w:r>
      <w:r w:rsidR="00CB33C8" w:rsidRPr="00B6152C">
        <w:rPr>
          <w:lang w:val="en-US"/>
        </w:rPr>
        <w:t>, while no such difference were found for the natural words or the LF nonwords</w:t>
      </w:r>
      <w:r w:rsidR="008B57EB" w:rsidRPr="00B6152C">
        <w:rPr>
          <w:lang w:val="en-US"/>
        </w:rPr>
        <w:t xml:space="preserve">, all </w:t>
      </w:r>
      <w:r w:rsidR="008B57EB" w:rsidRPr="00B6152C">
        <w:rPr>
          <w:i/>
          <w:iCs/>
          <w:lang w:val="en-US"/>
        </w:rPr>
        <w:t>Fs</w:t>
      </w:r>
      <w:r w:rsidR="008B57EB" w:rsidRPr="00B6152C">
        <w:rPr>
          <w:lang w:val="en-US"/>
        </w:rPr>
        <w:t xml:space="preserve"> &lt; 1, </w:t>
      </w:r>
      <w:proofErr w:type="spellStart"/>
      <w:r w:rsidR="008B57EB" w:rsidRPr="00B6152C">
        <w:rPr>
          <w:i/>
          <w:iCs/>
          <w:lang w:val="en-US"/>
        </w:rPr>
        <w:t>ps</w:t>
      </w:r>
      <w:proofErr w:type="spellEnd"/>
      <w:r w:rsidR="008B57EB" w:rsidRPr="00B6152C">
        <w:rPr>
          <w:lang w:val="en-US"/>
        </w:rPr>
        <w:t xml:space="preserve"> &gt; .56</w:t>
      </w:r>
      <w:r w:rsidR="00EE7DF1" w:rsidRPr="00B6152C">
        <w:rPr>
          <w:lang w:val="en-US"/>
        </w:rPr>
        <w:t xml:space="preserve">. No other </w:t>
      </w:r>
      <w:r w:rsidR="008B57EB" w:rsidRPr="00B6152C">
        <w:rPr>
          <w:lang w:val="en-US"/>
        </w:rPr>
        <w:t xml:space="preserve">main or interaction </w:t>
      </w:r>
      <w:r w:rsidR="00EE7DF1" w:rsidRPr="00B6152C">
        <w:rPr>
          <w:lang w:val="en-US"/>
        </w:rPr>
        <w:t>effects reached significance,</w:t>
      </w:r>
      <w:r w:rsidR="00CB33C8" w:rsidRPr="00B6152C">
        <w:rPr>
          <w:lang w:val="en-US"/>
        </w:rPr>
        <w:t xml:space="preserve"> </w:t>
      </w:r>
      <w:r w:rsidR="00EE7DF1" w:rsidRPr="00B6152C">
        <w:rPr>
          <w:lang w:val="en-US"/>
        </w:rPr>
        <w:t xml:space="preserve">all </w:t>
      </w:r>
      <w:r w:rsidR="00EE7DF1" w:rsidRPr="00B6152C">
        <w:rPr>
          <w:i/>
          <w:iCs/>
          <w:lang w:val="en-US"/>
        </w:rPr>
        <w:t>Fs</w:t>
      </w:r>
      <w:r w:rsidR="00EE7DF1" w:rsidRPr="00B6152C">
        <w:rPr>
          <w:lang w:val="en-US"/>
        </w:rPr>
        <w:t xml:space="preserve"> &lt; </w:t>
      </w:r>
      <w:r w:rsidR="00CB33C8" w:rsidRPr="00B6152C">
        <w:rPr>
          <w:lang w:val="en-US"/>
        </w:rPr>
        <w:t>0</w:t>
      </w:r>
      <w:r w:rsidR="00EE7DF1" w:rsidRPr="00B6152C">
        <w:rPr>
          <w:lang w:val="en-US"/>
        </w:rPr>
        <w:t>.</w:t>
      </w:r>
      <w:r w:rsidR="00CB33C8" w:rsidRPr="00B6152C">
        <w:rPr>
          <w:lang w:val="en-US"/>
        </w:rPr>
        <w:t>7</w:t>
      </w:r>
      <w:r w:rsidR="00EE7DF1" w:rsidRPr="00B6152C">
        <w:rPr>
          <w:lang w:val="en-US"/>
        </w:rPr>
        <w:t xml:space="preserve">4, </w:t>
      </w:r>
      <w:proofErr w:type="spellStart"/>
      <w:r w:rsidR="00EE7DF1" w:rsidRPr="00B6152C">
        <w:rPr>
          <w:i/>
          <w:iCs/>
          <w:lang w:val="en-US"/>
        </w:rPr>
        <w:t>ps</w:t>
      </w:r>
      <w:proofErr w:type="spellEnd"/>
      <w:r w:rsidR="00EE7DF1" w:rsidRPr="00B6152C">
        <w:rPr>
          <w:lang w:val="en-US"/>
        </w:rPr>
        <w:t xml:space="preserve"> &gt; .</w:t>
      </w:r>
      <w:r w:rsidR="00CB33C8" w:rsidRPr="00B6152C">
        <w:rPr>
          <w:lang w:val="en-US"/>
        </w:rPr>
        <w:t>48</w:t>
      </w:r>
      <w:r w:rsidR="00913A6A" w:rsidRPr="00B6152C">
        <w:rPr>
          <w:lang w:val="en-US"/>
        </w:rPr>
        <w:t xml:space="preserve"> (see Table 2)</w:t>
      </w:r>
      <w:r w:rsidR="00EE7DF1" w:rsidRPr="00B6152C">
        <w:rPr>
          <w:lang w:val="en-US"/>
        </w:rPr>
        <w:t>.</w:t>
      </w:r>
    </w:p>
    <w:p w14:paraId="3F975BFF" w14:textId="77777777" w:rsidR="00CB33C8" w:rsidRPr="00B6152C" w:rsidRDefault="00CB33C8" w:rsidP="00B6152C">
      <w:pPr>
        <w:spacing w:line="480" w:lineRule="auto"/>
        <w:jc w:val="both"/>
        <w:rPr>
          <w:lang w:val="en-US"/>
        </w:rPr>
      </w:pPr>
      <w:r w:rsidRPr="00B6152C">
        <w:rPr>
          <w:lang w:val="en-US"/>
        </w:rPr>
        <w:t xml:space="preserve">Overall, the results of the signal detection analysis indicated that the fluency effect observed for HF nonwords in the oral motor condition </w:t>
      </w:r>
      <w:r w:rsidR="008B57EB" w:rsidRPr="00B6152C">
        <w:rPr>
          <w:lang w:val="en-US"/>
        </w:rPr>
        <w:t>seems to</w:t>
      </w:r>
      <w:r w:rsidRPr="00B6152C">
        <w:rPr>
          <w:lang w:val="en-US"/>
        </w:rPr>
        <w:t xml:space="preserve"> be due to a change in participants’ response criterion rather than to a change in their ability to discriminate between studied items and </w:t>
      </w:r>
      <w:r w:rsidR="003B6296" w:rsidRPr="00B6152C">
        <w:rPr>
          <w:lang w:val="en-US"/>
        </w:rPr>
        <w:t>distractors</w:t>
      </w:r>
      <w:r w:rsidRPr="00B6152C">
        <w:rPr>
          <w:lang w:val="en-US"/>
        </w:rPr>
        <w:t>.</w:t>
      </w:r>
    </w:p>
    <w:p w14:paraId="2CB10C85" w14:textId="158CC0E5" w:rsidR="0087712A" w:rsidRPr="00B6152C" w:rsidRDefault="0087712A" w:rsidP="00B6152C">
      <w:pPr>
        <w:spacing w:line="480" w:lineRule="auto"/>
        <w:jc w:val="both"/>
        <w:rPr>
          <w:b/>
          <w:bCs/>
          <w:lang w:val="en-US"/>
        </w:rPr>
      </w:pPr>
      <w:r w:rsidRPr="00B6152C">
        <w:rPr>
          <w:b/>
          <w:bCs/>
          <w:lang w:val="en-US"/>
        </w:rPr>
        <w:t xml:space="preserve">Individual </w:t>
      </w:r>
      <w:r w:rsidR="005A0664" w:rsidRPr="00B6152C">
        <w:rPr>
          <w:b/>
          <w:bCs/>
          <w:lang w:val="en-US"/>
        </w:rPr>
        <w:t>data</w:t>
      </w:r>
    </w:p>
    <w:p w14:paraId="1F3A1DB7" w14:textId="6E18F543" w:rsidR="00A15FC5" w:rsidRPr="00B6152C" w:rsidRDefault="00342C8A" w:rsidP="00B6152C">
      <w:pPr>
        <w:spacing w:line="480" w:lineRule="auto"/>
        <w:jc w:val="both"/>
        <w:rPr>
          <w:lang w:val="en-US"/>
        </w:rPr>
      </w:pPr>
      <w:r w:rsidRPr="00B6152C">
        <w:rPr>
          <w:b/>
          <w:bCs/>
          <w:lang w:val="en-US"/>
        </w:rPr>
        <w:t>Descriptive analyses.</w:t>
      </w:r>
      <w:r w:rsidRPr="00B6152C">
        <w:rPr>
          <w:lang w:val="en-US"/>
        </w:rPr>
        <w:t xml:space="preserve"> </w:t>
      </w:r>
      <w:r w:rsidR="0087712A" w:rsidRPr="00B6152C">
        <w:rPr>
          <w:lang w:val="en-US"/>
        </w:rPr>
        <w:t xml:space="preserve">In order to ensure that the pattern demonstrated by amnesic patients at the group level (i.e., reliance on fluency for hits but not for </w:t>
      </w:r>
      <w:r w:rsidR="003B6296" w:rsidRPr="00B6152C">
        <w:rPr>
          <w:lang w:val="en-US"/>
        </w:rPr>
        <w:t>distractors</w:t>
      </w:r>
      <w:r w:rsidR="0087712A" w:rsidRPr="00B6152C">
        <w:rPr>
          <w:lang w:val="en-US"/>
        </w:rPr>
        <w:t xml:space="preserve">) </w:t>
      </w:r>
      <w:r w:rsidR="00ED2E85" w:rsidRPr="00B6152C">
        <w:rPr>
          <w:lang w:val="en-US"/>
        </w:rPr>
        <w:t xml:space="preserve">could also be found at the individual </w:t>
      </w:r>
      <w:r w:rsidR="00ED2E85" w:rsidRPr="00B6152C">
        <w:rPr>
          <w:lang w:val="en-US"/>
        </w:rPr>
        <w:lastRenderedPageBreak/>
        <w:t>level,</w:t>
      </w:r>
      <w:r w:rsidR="00F87279" w:rsidRPr="00B6152C">
        <w:rPr>
          <w:lang w:val="en-US"/>
        </w:rPr>
        <w:t xml:space="preserve"> </w:t>
      </w:r>
      <w:r w:rsidR="005A0664" w:rsidRPr="00B6152C">
        <w:rPr>
          <w:lang w:val="en-US"/>
        </w:rPr>
        <w:t>we compared</w:t>
      </w:r>
      <w:r w:rsidR="00ED2E85" w:rsidRPr="00B6152C">
        <w:rPr>
          <w:lang w:val="en-US"/>
        </w:rPr>
        <w:t xml:space="preserve"> </w:t>
      </w:r>
      <w:r w:rsidR="00EF59B2" w:rsidRPr="00B6152C">
        <w:rPr>
          <w:lang w:val="en-US"/>
        </w:rPr>
        <w:t>for each participant separately</w:t>
      </w:r>
      <w:r w:rsidR="00ED2E85" w:rsidRPr="00B6152C">
        <w:rPr>
          <w:lang w:val="en-US"/>
        </w:rPr>
        <w:t xml:space="preserve"> </w:t>
      </w:r>
      <w:r w:rsidR="005A0664" w:rsidRPr="00B6152C">
        <w:rPr>
          <w:lang w:val="en-US"/>
        </w:rPr>
        <w:t>the</w:t>
      </w:r>
      <w:r w:rsidR="00F87279" w:rsidRPr="00B6152C">
        <w:rPr>
          <w:lang w:val="en-US"/>
        </w:rPr>
        <w:t xml:space="preserve"> number of </w:t>
      </w:r>
      <w:r w:rsidR="00ED2E85" w:rsidRPr="00B6152C">
        <w:rPr>
          <w:lang w:val="en-US"/>
        </w:rPr>
        <w:t>“yes” response</w:t>
      </w:r>
      <w:r w:rsidR="00EF59B2" w:rsidRPr="00B6152C">
        <w:rPr>
          <w:lang w:val="en-US"/>
        </w:rPr>
        <w:t>s</w:t>
      </w:r>
      <w:r w:rsidR="00ED2E85" w:rsidRPr="00B6152C">
        <w:rPr>
          <w:lang w:val="en-US"/>
        </w:rPr>
        <w:t xml:space="preserve"> </w:t>
      </w:r>
      <w:r w:rsidR="005A0664" w:rsidRPr="00B6152C">
        <w:rPr>
          <w:lang w:val="en-US"/>
        </w:rPr>
        <w:t>for</w:t>
      </w:r>
      <w:r w:rsidR="00ED2E85" w:rsidRPr="00B6152C">
        <w:rPr>
          <w:lang w:val="en-US"/>
        </w:rPr>
        <w:t xml:space="preserve"> H</w:t>
      </w:r>
      <w:r w:rsidR="00F87279" w:rsidRPr="00B6152C">
        <w:rPr>
          <w:lang w:val="en-US"/>
        </w:rPr>
        <w:t>F</w:t>
      </w:r>
      <w:r w:rsidR="00ED2E85" w:rsidRPr="00B6152C">
        <w:rPr>
          <w:lang w:val="en-US"/>
        </w:rPr>
        <w:t xml:space="preserve"> nonwords in the oral motor and </w:t>
      </w:r>
      <w:r w:rsidR="00197DC4" w:rsidRPr="00B6152C">
        <w:rPr>
          <w:lang w:val="en-US"/>
        </w:rPr>
        <w:t>non-oral</w:t>
      </w:r>
      <w:r w:rsidR="00ED2E85" w:rsidRPr="00B6152C">
        <w:rPr>
          <w:lang w:val="en-US"/>
        </w:rPr>
        <w:t xml:space="preserve"> motor condition.</w:t>
      </w:r>
    </w:p>
    <w:p w14:paraId="1392AF54" w14:textId="1942366D" w:rsidR="00A15FC5" w:rsidRPr="00B6152C" w:rsidRDefault="00A15FC5" w:rsidP="00B6152C">
      <w:pPr>
        <w:spacing w:line="480" w:lineRule="auto"/>
        <w:jc w:val="both"/>
        <w:rPr>
          <w:lang w:val="en-US"/>
        </w:rPr>
      </w:pPr>
      <w:r w:rsidRPr="00B6152C">
        <w:rPr>
          <w:lang w:val="en-US"/>
        </w:rPr>
        <w:t>Regarding amnesic patients, r</w:t>
      </w:r>
      <w:r w:rsidR="00F87279" w:rsidRPr="00B6152C">
        <w:rPr>
          <w:lang w:val="en-US"/>
        </w:rPr>
        <w:t>esults revealed that</w:t>
      </w:r>
      <w:r w:rsidR="00EF59B2" w:rsidRPr="00B6152C">
        <w:rPr>
          <w:lang w:val="en-US"/>
        </w:rPr>
        <w:t xml:space="preserve"> </w:t>
      </w:r>
      <w:r w:rsidR="00F87279" w:rsidRPr="00B6152C">
        <w:rPr>
          <w:lang w:val="en-US"/>
        </w:rPr>
        <w:t xml:space="preserve">7 patients out of 9 </w:t>
      </w:r>
      <w:r w:rsidR="005A0664" w:rsidRPr="00B6152C">
        <w:rPr>
          <w:lang w:val="en-US"/>
        </w:rPr>
        <w:t>numerically</w:t>
      </w:r>
      <w:r w:rsidR="00F87279" w:rsidRPr="00B6152C">
        <w:rPr>
          <w:lang w:val="en-US"/>
        </w:rPr>
        <w:t xml:space="preserve"> gave more “yes” responses </w:t>
      </w:r>
      <w:r w:rsidR="00EF59B2" w:rsidRPr="00B6152C">
        <w:rPr>
          <w:lang w:val="en-US"/>
        </w:rPr>
        <w:t xml:space="preserve">for targets </w:t>
      </w:r>
      <w:r w:rsidR="00F87279" w:rsidRPr="00B6152C">
        <w:rPr>
          <w:lang w:val="en-US"/>
        </w:rPr>
        <w:t xml:space="preserve">in the oral motor condition </w:t>
      </w:r>
      <w:r w:rsidR="00EF59B2" w:rsidRPr="00B6152C">
        <w:rPr>
          <w:lang w:val="en-US"/>
        </w:rPr>
        <w:t>as compared to</w:t>
      </w:r>
      <w:r w:rsidR="00F87279" w:rsidRPr="00B6152C">
        <w:rPr>
          <w:lang w:val="en-US"/>
        </w:rPr>
        <w:t xml:space="preserve"> the </w:t>
      </w:r>
      <w:r w:rsidR="00197DC4" w:rsidRPr="00B6152C">
        <w:rPr>
          <w:lang w:val="en-US"/>
        </w:rPr>
        <w:t>non-oral</w:t>
      </w:r>
      <w:r w:rsidR="00F87279" w:rsidRPr="00B6152C">
        <w:rPr>
          <w:lang w:val="en-US"/>
        </w:rPr>
        <w:t xml:space="preserve"> motor condition. The 2 remaining patients showed no differences between the two conditions. On the reverse, analyses conducted on </w:t>
      </w:r>
      <w:r w:rsidR="00547E4A" w:rsidRPr="00B6152C">
        <w:rPr>
          <w:lang w:val="en-US"/>
        </w:rPr>
        <w:t>distractors</w:t>
      </w:r>
      <w:r w:rsidR="00F87279" w:rsidRPr="00B6152C">
        <w:rPr>
          <w:lang w:val="en-US"/>
        </w:rPr>
        <w:t xml:space="preserve"> revealed no differences between the oral motor and the </w:t>
      </w:r>
      <w:r w:rsidR="00197DC4" w:rsidRPr="00B6152C">
        <w:rPr>
          <w:lang w:val="en-US"/>
        </w:rPr>
        <w:t>non-oral</w:t>
      </w:r>
      <w:r w:rsidR="00F87279" w:rsidRPr="00B6152C">
        <w:rPr>
          <w:lang w:val="en-US"/>
        </w:rPr>
        <w:t xml:space="preserve"> motor condition for 6 patients</w:t>
      </w:r>
      <w:r w:rsidR="00904A2F" w:rsidRPr="00B6152C">
        <w:rPr>
          <w:lang w:val="en-US"/>
        </w:rPr>
        <w:t xml:space="preserve">. Two patients gave more “yes” responses for </w:t>
      </w:r>
      <w:r w:rsidR="003B6296" w:rsidRPr="00B6152C">
        <w:rPr>
          <w:lang w:val="en-US"/>
        </w:rPr>
        <w:t>distractors</w:t>
      </w:r>
      <w:r w:rsidR="00904A2F" w:rsidRPr="00B6152C">
        <w:rPr>
          <w:lang w:val="en-US"/>
        </w:rPr>
        <w:t xml:space="preserve"> in the oral motor condition and only one patient was found to demonstrate a</w:t>
      </w:r>
      <w:r w:rsidR="005A0664" w:rsidRPr="00B6152C">
        <w:rPr>
          <w:lang w:val="en-US"/>
        </w:rPr>
        <w:t xml:space="preserve">n </w:t>
      </w:r>
      <w:r w:rsidR="00904A2F" w:rsidRPr="00B6152C">
        <w:rPr>
          <w:lang w:val="en-US"/>
        </w:rPr>
        <w:t xml:space="preserve">advantage for the non-oral motor condition. In sum, </w:t>
      </w:r>
      <w:r w:rsidR="00197DC4" w:rsidRPr="00B6152C">
        <w:rPr>
          <w:lang w:val="en-US"/>
        </w:rPr>
        <w:t>6</w:t>
      </w:r>
      <w:r w:rsidR="00904A2F" w:rsidRPr="00B6152C">
        <w:rPr>
          <w:lang w:val="en-US"/>
        </w:rPr>
        <w:t xml:space="preserve"> out of 9 patients were found to rely on fluency for targets, but not for </w:t>
      </w:r>
      <w:r w:rsidR="003B6296" w:rsidRPr="00B6152C">
        <w:rPr>
          <w:lang w:val="en-US"/>
        </w:rPr>
        <w:t>distractors</w:t>
      </w:r>
      <w:r w:rsidR="00904A2F" w:rsidRPr="00B6152C">
        <w:rPr>
          <w:lang w:val="en-US"/>
        </w:rPr>
        <w:t xml:space="preserve">; </w:t>
      </w:r>
      <w:r w:rsidR="00197DC4" w:rsidRPr="00B6152C">
        <w:rPr>
          <w:lang w:val="en-US"/>
        </w:rPr>
        <w:t>one</w:t>
      </w:r>
      <w:r w:rsidR="00904A2F" w:rsidRPr="00B6152C">
        <w:rPr>
          <w:lang w:val="en-US"/>
        </w:rPr>
        <w:t xml:space="preserve"> patient w</w:t>
      </w:r>
      <w:r w:rsidR="00603F71" w:rsidRPr="00B6152C">
        <w:rPr>
          <w:lang w:val="en-US"/>
        </w:rPr>
        <w:t>as</w:t>
      </w:r>
      <w:r w:rsidR="00904A2F" w:rsidRPr="00B6152C">
        <w:rPr>
          <w:lang w:val="en-US"/>
        </w:rPr>
        <w:t xml:space="preserve"> found to rely on fluency for </w:t>
      </w:r>
      <w:r w:rsidR="003B6296" w:rsidRPr="00B6152C">
        <w:rPr>
          <w:lang w:val="en-US"/>
        </w:rPr>
        <w:t>distractors</w:t>
      </w:r>
      <w:r w:rsidR="00904A2F" w:rsidRPr="00B6152C">
        <w:rPr>
          <w:lang w:val="en-US"/>
        </w:rPr>
        <w:t xml:space="preserve">, but not for hits; </w:t>
      </w:r>
      <w:r w:rsidR="00197DC4" w:rsidRPr="00B6152C">
        <w:rPr>
          <w:lang w:val="en-US"/>
        </w:rPr>
        <w:t>one</w:t>
      </w:r>
      <w:r w:rsidR="00904A2F" w:rsidRPr="00B6152C">
        <w:rPr>
          <w:lang w:val="en-US"/>
        </w:rPr>
        <w:t xml:space="preserve"> patient used fluency for both type of items</w:t>
      </w:r>
      <w:r w:rsidR="00F45406" w:rsidRPr="00B6152C">
        <w:rPr>
          <w:lang w:val="en-US"/>
        </w:rPr>
        <w:t>;</w:t>
      </w:r>
      <w:r w:rsidR="00197DC4" w:rsidRPr="00B6152C">
        <w:rPr>
          <w:lang w:val="en-US"/>
        </w:rPr>
        <w:t xml:space="preserve"> the last patient relied on fluency neither for targets nor for </w:t>
      </w:r>
      <w:r w:rsidR="003B6296" w:rsidRPr="00B6152C">
        <w:rPr>
          <w:lang w:val="en-US"/>
        </w:rPr>
        <w:t>distractors</w:t>
      </w:r>
      <w:r w:rsidR="00603F71" w:rsidRPr="00B6152C">
        <w:rPr>
          <w:lang w:val="en-US"/>
        </w:rPr>
        <w:t>.</w:t>
      </w:r>
    </w:p>
    <w:p w14:paraId="7D5CE5AE" w14:textId="19299B60" w:rsidR="00A15FC5" w:rsidRPr="00B6152C" w:rsidRDefault="00A15FC5" w:rsidP="00B6152C">
      <w:pPr>
        <w:spacing w:line="480" w:lineRule="auto"/>
        <w:jc w:val="both"/>
        <w:rPr>
          <w:lang w:val="en-US"/>
        </w:rPr>
      </w:pPr>
      <w:r w:rsidRPr="00B6152C">
        <w:rPr>
          <w:lang w:val="en-US"/>
        </w:rPr>
        <w:t>Regarding control participants, results indicated that 6 participants out of 18 gave more “yes” responses for both targets and distractors in the oral-motor condition as compared to the non-oral motor condition. Four participants gave more “yes” responses</w:t>
      </w:r>
      <w:r w:rsidR="00EF59B2" w:rsidRPr="00B6152C">
        <w:rPr>
          <w:lang w:val="en-US"/>
        </w:rPr>
        <w:t xml:space="preserve"> </w:t>
      </w:r>
      <w:r w:rsidRPr="00B6152C">
        <w:rPr>
          <w:lang w:val="en-US"/>
        </w:rPr>
        <w:t>for targets</w:t>
      </w:r>
      <w:r w:rsidR="00EF59B2" w:rsidRPr="00B6152C">
        <w:rPr>
          <w:lang w:val="en-US"/>
        </w:rPr>
        <w:t xml:space="preserve"> only in the oral motor condition as compared to the non-oral condition,</w:t>
      </w:r>
      <w:r w:rsidRPr="00B6152C">
        <w:rPr>
          <w:lang w:val="en-US"/>
        </w:rPr>
        <w:t xml:space="preserve"> </w:t>
      </w:r>
      <w:r w:rsidR="00EF59B2" w:rsidRPr="00B6152C">
        <w:rPr>
          <w:lang w:val="en-US"/>
        </w:rPr>
        <w:t xml:space="preserve">and </w:t>
      </w:r>
      <w:r w:rsidRPr="00B6152C">
        <w:rPr>
          <w:lang w:val="en-US"/>
        </w:rPr>
        <w:t>4 participants gave more “yes” responses</w:t>
      </w:r>
      <w:r w:rsidR="00EF59B2" w:rsidRPr="00B6152C">
        <w:rPr>
          <w:lang w:val="en-US"/>
        </w:rPr>
        <w:t xml:space="preserve"> for </w:t>
      </w:r>
      <w:r w:rsidRPr="00B6152C">
        <w:rPr>
          <w:lang w:val="en-US"/>
        </w:rPr>
        <w:t>distractors</w:t>
      </w:r>
      <w:r w:rsidR="00EF59B2" w:rsidRPr="00B6152C">
        <w:rPr>
          <w:lang w:val="en-US"/>
        </w:rPr>
        <w:t xml:space="preserve"> only in the oral motor condition as compared to the non-oral motor condition</w:t>
      </w:r>
      <w:r w:rsidRPr="00B6152C">
        <w:rPr>
          <w:lang w:val="en-US"/>
        </w:rPr>
        <w:t xml:space="preserve">. Finally, the remaining 4 participants </w:t>
      </w:r>
      <w:r w:rsidR="00EF59B2" w:rsidRPr="00B6152C">
        <w:rPr>
          <w:lang w:val="en-US"/>
        </w:rPr>
        <w:t>appeared to rely on fluency n</w:t>
      </w:r>
      <w:r w:rsidRPr="00B6152C">
        <w:rPr>
          <w:lang w:val="en-US"/>
        </w:rPr>
        <w:t xml:space="preserve">either for targets </w:t>
      </w:r>
      <w:r w:rsidR="00EF59B2" w:rsidRPr="00B6152C">
        <w:rPr>
          <w:lang w:val="en-US"/>
        </w:rPr>
        <w:t>n</w:t>
      </w:r>
      <w:r w:rsidRPr="00B6152C">
        <w:rPr>
          <w:lang w:val="en-US"/>
        </w:rPr>
        <w:t>o</w:t>
      </w:r>
      <w:r w:rsidR="00EF59B2" w:rsidRPr="00B6152C">
        <w:rPr>
          <w:lang w:val="en-US"/>
        </w:rPr>
        <w:t>r</w:t>
      </w:r>
      <w:r w:rsidRPr="00B6152C">
        <w:rPr>
          <w:lang w:val="en-US"/>
        </w:rPr>
        <w:t xml:space="preserve"> for distractors.</w:t>
      </w:r>
    </w:p>
    <w:p w14:paraId="1FAE7055" w14:textId="1789CD30" w:rsidR="00376C6C" w:rsidRPr="00B6152C" w:rsidRDefault="006C17D1" w:rsidP="00B6152C">
      <w:pPr>
        <w:spacing w:line="480" w:lineRule="auto"/>
        <w:jc w:val="both"/>
        <w:rPr>
          <w:lang w:val="en-US"/>
        </w:rPr>
      </w:pPr>
      <w:r w:rsidRPr="00B6152C">
        <w:rPr>
          <w:b/>
          <w:bCs/>
          <w:lang w:val="en-US"/>
        </w:rPr>
        <w:t>Mixed</w:t>
      </w:r>
      <w:r w:rsidR="002A2CF5" w:rsidRPr="00B6152C">
        <w:rPr>
          <w:b/>
          <w:bCs/>
          <w:lang w:val="en-US"/>
        </w:rPr>
        <w:t>-effects</w:t>
      </w:r>
      <w:r w:rsidRPr="00B6152C">
        <w:rPr>
          <w:b/>
          <w:bCs/>
          <w:lang w:val="en-US"/>
        </w:rPr>
        <w:t xml:space="preserve"> model.</w:t>
      </w:r>
      <w:r w:rsidRPr="00B6152C">
        <w:rPr>
          <w:lang w:val="en-US"/>
        </w:rPr>
        <w:t xml:space="preserve"> As </w:t>
      </w:r>
      <w:r w:rsidR="00C21D3B" w:rsidRPr="00B6152C">
        <w:rPr>
          <w:lang w:val="en-US"/>
        </w:rPr>
        <w:t xml:space="preserve">analyzing the global proportion of </w:t>
      </w:r>
      <w:r w:rsidRPr="00B6152C">
        <w:rPr>
          <w:lang w:val="en-US"/>
        </w:rPr>
        <w:t xml:space="preserve">“yes” response </w:t>
      </w:r>
      <w:r w:rsidR="00C21D3B" w:rsidRPr="00B6152C">
        <w:rPr>
          <w:lang w:val="en-US"/>
        </w:rPr>
        <w:t>did not allow testing whether</w:t>
      </w:r>
      <w:r w:rsidRPr="00B6152C">
        <w:rPr>
          <w:lang w:val="en-US"/>
        </w:rPr>
        <w:t xml:space="preserve"> </w:t>
      </w:r>
      <w:r w:rsidR="002A2CF5" w:rsidRPr="00B6152C">
        <w:rPr>
          <w:lang w:val="en-US"/>
        </w:rPr>
        <w:t xml:space="preserve">the pattern of responses observed at the group level is reliable for each participant across group </w:t>
      </w:r>
      <w:r w:rsidR="00C21D3B" w:rsidRPr="00B6152C">
        <w:rPr>
          <w:lang w:val="en-US"/>
        </w:rPr>
        <w:t xml:space="preserve">on a trial-by-trial basis, </w:t>
      </w:r>
      <w:r w:rsidR="00376C6C" w:rsidRPr="00B6152C">
        <w:rPr>
          <w:lang w:val="en-US"/>
        </w:rPr>
        <w:t>two</w:t>
      </w:r>
      <w:r w:rsidR="002A2CF5" w:rsidRPr="00B6152C">
        <w:rPr>
          <w:lang w:val="en-US"/>
        </w:rPr>
        <w:t xml:space="preserve"> </w:t>
      </w:r>
      <w:r w:rsidR="00C21D3B" w:rsidRPr="00B6152C">
        <w:rPr>
          <w:lang w:val="en-US"/>
        </w:rPr>
        <w:t>additional mixed-effects modelling</w:t>
      </w:r>
      <w:r w:rsidR="00376C6C" w:rsidRPr="00B6152C">
        <w:rPr>
          <w:lang w:val="en-US"/>
        </w:rPr>
        <w:t>s</w:t>
      </w:r>
      <w:r w:rsidR="00C21D3B" w:rsidRPr="00B6152C">
        <w:rPr>
          <w:lang w:val="en-US"/>
        </w:rPr>
        <w:t xml:space="preserve"> (binary logistic regression</w:t>
      </w:r>
      <w:r w:rsidR="00376C6C" w:rsidRPr="00B6152C">
        <w:rPr>
          <w:lang w:val="en-US"/>
        </w:rPr>
        <w:t>s</w:t>
      </w:r>
      <w:r w:rsidR="00C21D3B" w:rsidRPr="00B6152C">
        <w:rPr>
          <w:lang w:val="en-US"/>
        </w:rPr>
        <w:t>)</w:t>
      </w:r>
      <w:r w:rsidR="002A2CF5" w:rsidRPr="00B6152C">
        <w:rPr>
          <w:lang w:val="en-US"/>
        </w:rPr>
        <w:t xml:space="preserve"> </w:t>
      </w:r>
      <w:r w:rsidR="00C21D3B" w:rsidRPr="00B6152C">
        <w:rPr>
          <w:lang w:val="en-US"/>
        </w:rPr>
        <w:t>w</w:t>
      </w:r>
      <w:r w:rsidR="00376C6C" w:rsidRPr="00B6152C">
        <w:rPr>
          <w:lang w:val="en-US"/>
        </w:rPr>
        <w:t>ere</w:t>
      </w:r>
      <w:r w:rsidR="00C21D3B" w:rsidRPr="00B6152C">
        <w:rPr>
          <w:lang w:val="en-US"/>
        </w:rPr>
        <w:t xml:space="preserve"> also conducted </w:t>
      </w:r>
      <w:r w:rsidR="00376C6C" w:rsidRPr="00B6152C">
        <w:rPr>
          <w:lang w:val="en-US"/>
        </w:rPr>
        <w:t xml:space="preserve">for targets and distractors separately </w:t>
      </w:r>
      <w:r w:rsidR="001F2756" w:rsidRPr="00B6152C">
        <w:rPr>
          <w:lang w:val="en-US"/>
        </w:rPr>
        <w:t xml:space="preserve">using </w:t>
      </w:r>
      <w:r w:rsidR="00886276" w:rsidRPr="00B6152C">
        <w:rPr>
          <w:lang w:val="en-US"/>
        </w:rPr>
        <w:t>SPSS (version 25)</w:t>
      </w:r>
      <w:r w:rsidR="00C21D3B" w:rsidRPr="00B6152C">
        <w:rPr>
          <w:lang w:val="en-US"/>
        </w:rPr>
        <w:t xml:space="preserve"> to further</w:t>
      </w:r>
      <w:r w:rsidR="001F2756" w:rsidRPr="00B6152C">
        <w:rPr>
          <w:lang w:val="en-US"/>
        </w:rPr>
        <w:t xml:space="preserve"> </w:t>
      </w:r>
      <w:r w:rsidR="00C21D3B" w:rsidRPr="00B6152C">
        <w:rPr>
          <w:lang w:val="en-US"/>
        </w:rPr>
        <w:t>investigate our previous results. Trials were modelled as level</w:t>
      </w:r>
      <w:r w:rsidR="001F2756" w:rsidRPr="00B6152C">
        <w:rPr>
          <w:lang w:val="en-US"/>
        </w:rPr>
        <w:t xml:space="preserve"> </w:t>
      </w:r>
      <w:r w:rsidR="00C21D3B" w:rsidRPr="00B6152C">
        <w:rPr>
          <w:lang w:val="en-US"/>
        </w:rPr>
        <w:t>1 units and participants as level 2 units. Subjects and items</w:t>
      </w:r>
      <w:r w:rsidR="001F2756" w:rsidRPr="00B6152C">
        <w:rPr>
          <w:lang w:val="en-US"/>
        </w:rPr>
        <w:t xml:space="preserve"> </w:t>
      </w:r>
      <w:r w:rsidR="00C21D3B" w:rsidRPr="00B6152C">
        <w:rPr>
          <w:lang w:val="en-US"/>
        </w:rPr>
        <w:t>were modelled as crossed random effects. More specifically,</w:t>
      </w:r>
      <w:r w:rsidR="001F2756" w:rsidRPr="00B6152C">
        <w:rPr>
          <w:lang w:val="en-US"/>
        </w:rPr>
        <w:t xml:space="preserve"> </w:t>
      </w:r>
      <w:r w:rsidR="00C21D3B" w:rsidRPr="00B6152C">
        <w:rPr>
          <w:lang w:val="en-US"/>
        </w:rPr>
        <w:t>the model included random intercepts for both subject and</w:t>
      </w:r>
      <w:r w:rsidR="001F2756" w:rsidRPr="00B6152C">
        <w:rPr>
          <w:lang w:val="en-US"/>
        </w:rPr>
        <w:t xml:space="preserve"> </w:t>
      </w:r>
      <w:r w:rsidR="00C21D3B" w:rsidRPr="00B6152C">
        <w:rPr>
          <w:lang w:val="en-US"/>
        </w:rPr>
        <w:t>item, and by-subject random slopes. The dependent variable</w:t>
      </w:r>
      <w:r w:rsidR="001F2756" w:rsidRPr="00B6152C">
        <w:rPr>
          <w:lang w:val="en-US"/>
        </w:rPr>
        <w:t xml:space="preserve"> </w:t>
      </w:r>
      <w:r w:rsidR="00C21D3B" w:rsidRPr="00B6152C">
        <w:rPr>
          <w:lang w:val="en-US"/>
        </w:rPr>
        <w:t xml:space="preserve">represented whether participants </w:t>
      </w:r>
      <w:r w:rsidR="001F2756" w:rsidRPr="00B6152C">
        <w:rPr>
          <w:lang w:val="en-US"/>
        </w:rPr>
        <w:t xml:space="preserve">gave a “yes” response to </w:t>
      </w:r>
      <w:r w:rsidR="00A97ADB" w:rsidRPr="00B6152C">
        <w:rPr>
          <w:lang w:val="en-US"/>
        </w:rPr>
        <w:t>each item</w:t>
      </w:r>
      <w:r w:rsidR="00C21D3B" w:rsidRPr="00B6152C">
        <w:rPr>
          <w:lang w:val="en-US"/>
        </w:rPr>
        <w:t>.</w:t>
      </w:r>
      <w:r w:rsidR="001F2756" w:rsidRPr="00B6152C">
        <w:rPr>
          <w:lang w:val="en-US"/>
        </w:rPr>
        <w:t xml:space="preserve"> </w:t>
      </w:r>
      <w:r w:rsidR="00C21D3B" w:rsidRPr="00B6152C">
        <w:rPr>
          <w:lang w:val="en-US"/>
        </w:rPr>
        <w:t xml:space="preserve">The </w:t>
      </w:r>
      <w:r w:rsidR="001F2756" w:rsidRPr="00B6152C">
        <w:rPr>
          <w:lang w:val="en-US"/>
        </w:rPr>
        <w:t>group</w:t>
      </w:r>
      <w:r w:rsidR="00C21D3B" w:rsidRPr="00B6152C">
        <w:rPr>
          <w:lang w:val="en-US"/>
        </w:rPr>
        <w:t xml:space="preserve"> was</w:t>
      </w:r>
      <w:r w:rsidR="001F2756" w:rsidRPr="00B6152C">
        <w:rPr>
          <w:lang w:val="en-US"/>
        </w:rPr>
        <w:t xml:space="preserve"> </w:t>
      </w:r>
      <w:r w:rsidR="00C21D3B" w:rsidRPr="00B6152C">
        <w:rPr>
          <w:lang w:val="en-US"/>
        </w:rPr>
        <w:t>added as first-</w:t>
      </w:r>
      <w:r w:rsidR="00C21D3B" w:rsidRPr="00B6152C">
        <w:rPr>
          <w:lang w:val="en-US"/>
        </w:rPr>
        <w:lastRenderedPageBreak/>
        <w:t xml:space="preserve">level predictor, the </w:t>
      </w:r>
      <w:r w:rsidR="001F2756" w:rsidRPr="00B6152C">
        <w:rPr>
          <w:lang w:val="en-US"/>
        </w:rPr>
        <w:t>retrieval condition</w:t>
      </w:r>
      <w:r w:rsidR="00C21D3B" w:rsidRPr="00B6152C">
        <w:rPr>
          <w:lang w:val="en-US"/>
        </w:rPr>
        <w:t xml:space="preserve"> given as</w:t>
      </w:r>
      <w:r w:rsidR="001F2756" w:rsidRPr="00B6152C">
        <w:rPr>
          <w:lang w:val="en-US"/>
        </w:rPr>
        <w:t xml:space="preserve"> </w:t>
      </w:r>
      <w:r w:rsidR="00C21D3B" w:rsidRPr="00B6152C">
        <w:rPr>
          <w:lang w:val="en-US"/>
        </w:rPr>
        <w:t xml:space="preserve">second-level predictor, and </w:t>
      </w:r>
      <w:r w:rsidR="001F2756" w:rsidRPr="00B6152C">
        <w:rPr>
          <w:lang w:val="en-US"/>
        </w:rPr>
        <w:t>item type was added as third-level predictor. C</w:t>
      </w:r>
      <w:r w:rsidR="00C21D3B" w:rsidRPr="00B6152C">
        <w:rPr>
          <w:lang w:val="en-US"/>
        </w:rPr>
        <w:t>ross-level interaction</w:t>
      </w:r>
      <w:r w:rsidR="001F2756" w:rsidRPr="00B6152C">
        <w:rPr>
          <w:lang w:val="en-US"/>
        </w:rPr>
        <w:t>s</w:t>
      </w:r>
      <w:r w:rsidR="00C21D3B" w:rsidRPr="00B6152C">
        <w:rPr>
          <w:lang w:val="en-US"/>
        </w:rPr>
        <w:t xml:space="preserve"> </w:t>
      </w:r>
      <w:r w:rsidR="001F2756" w:rsidRPr="00B6152C">
        <w:rPr>
          <w:lang w:val="en-US"/>
        </w:rPr>
        <w:t xml:space="preserve">between these variables </w:t>
      </w:r>
      <w:r w:rsidR="00C21D3B" w:rsidRPr="00B6152C">
        <w:rPr>
          <w:lang w:val="en-US"/>
        </w:rPr>
        <w:t>w</w:t>
      </w:r>
      <w:r w:rsidR="001F2756" w:rsidRPr="00B6152C">
        <w:rPr>
          <w:lang w:val="en-US"/>
        </w:rPr>
        <w:t>ere</w:t>
      </w:r>
      <w:r w:rsidR="00C21D3B" w:rsidRPr="00B6152C">
        <w:rPr>
          <w:lang w:val="en-US"/>
        </w:rPr>
        <w:t xml:space="preserve"> also investigate</w:t>
      </w:r>
      <w:r w:rsidR="001F2756" w:rsidRPr="00B6152C">
        <w:rPr>
          <w:lang w:val="en-US"/>
        </w:rPr>
        <w:t>d</w:t>
      </w:r>
      <w:r w:rsidR="00C21D3B" w:rsidRPr="00B6152C">
        <w:rPr>
          <w:lang w:val="en-US"/>
        </w:rPr>
        <w:t>. The t</w:t>
      </w:r>
      <w:r w:rsidR="001F2756" w:rsidRPr="00B6152C">
        <w:rPr>
          <w:lang w:val="en-US"/>
        </w:rPr>
        <w:t>hree</w:t>
      </w:r>
      <w:r w:rsidR="00C21D3B" w:rsidRPr="00B6152C">
        <w:rPr>
          <w:lang w:val="en-US"/>
        </w:rPr>
        <w:t xml:space="preserve"> main effect estimates were conditional</w:t>
      </w:r>
      <w:r w:rsidR="001F2756" w:rsidRPr="00B6152C">
        <w:rPr>
          <w:lang w:val="en-US"/>
        </w:rPr>
        <w:t xml:space="preserve"> </w:t>
      </w:r>
      <w:r w:rsidR="00C21D3B" w:rsidRPr="00B6152C">
        <w:rPr>
          <w:lang w:val="en-US"/>
        </w:rPr>
        <w:t>upon set default values so, in the model, the main</w:t>
      </w:r>
      <w:r w:rsidR="001F2756" w:rsidRPr="00B6152C">
        <w:rPr>
          <w:lang w:val="en-US"/>
        </w:rPr>
        <w:t xml:space="preserve"> </w:t>
      </w:r>
      <w:r w:rsidR="00C21D3B" w:rsidRPr="00B6152C">
        <w:rPr>
          <w:lang w:val="en-US"/>
        </w:rPr>
        <w:t>effect of one variable represented its effect when the other</w:t>
      </w:r>
      <w:r w:rsidR="001F2756" w:rsidRPr="00B6152C">
        <w:rPr>
          <w:lang w:val="en-US"/>
        </w:rPr>
        <w:t xml:space="preserve">s </w:t>
      </w:r>
      <w:r w:rsidR="00C21D3B" w:rsidRPr="00B6152C">
        <w:rPr>
          <w:lang w:val="en-US"/>
        </w:rPr>
        <w:t>w</w:t>
      </w:r>
      <w:r w:rsidR="001F2756" w:rsidRPr="00B6152C">
        <w:rPr>
          <w:lang w:val="en-US"/>
        </w:rPr>
        <w:t>ere</w:t>
      </w:r>
      <w:r w:rsidR="00C21D3B" w:rsidRPr="00B6152C">
        <w:rPr>
          <w:lang w:val="en-US"/>
        </w:rPr>
        <w:t xml:space="preserve"> at </w:t>
      </w:r>
      <w:r w:rsidR="001F2756" w:rsidRPr="00B6152C">
        <w:rPr>
          <w:lang w:val="en-US"/>
        </w:rPr>
        <w:t>their</w:t>
      </w:r>
      <w:r w:rsidR="00C21D3B" w:rsidRPr="00B6152C">
        <w:rPr>
          <w:lang w:val="en-US"/>
        </w:rPr>
        <w:t xml:space="preserve"> default value. The default value for </w:t>
      </w:r>
      <w:r w:rsidR="001F2756" w:rsidRPr="00B6152C">
        <w:rPr>
          <w:lang w:val="en-US"/>
        </w:rPr>
        <w:t xml:space="preserve">group </w:t>
      </w:r>
      <w:r w:rsidR="00C21D3B" w:rsidRPr="00B6152C">
        <w:rPr>
          <w:lang w:val="en-US"/>
        </w:rPr>
        <w:t>was “</w:t>
      </w:r>
      <w:r w:rsidR="001F2756" w:rsidRPr="00B6152C">
        <w:rPr>
          <w:lang w:val="en-US"/>
        </w:rPr>
        <w:t>control</w:t>
      </w:r>
      <w:r w:rsidR="00C21D3B" w:rsidRPr="00B6152C">
        <w:rPr>
          <w:lang w:val="en-US"/>
        </w:rPr>
        <w:t>”</w:t>
      </w:r>
      <w:r w:rsidR="001F2756" w:rsidRPr="00B6152C">
        <w:rPr>
          <w:lang w:val="en-US"/>
        </w:rPr>
        <w:t>.</w:t>
      </w:r>
      <w:r w:rsidR="00C21D3B" w:rsidRPr="00B6152C">
        <w:rPr>
          <w:lang w:val="en-US"/>
        </w:rPr>
        <w:t xml:space="preserve"> The default value for the </w:t>
      </w:r>
      <w:r w:rsidR="001F2756" w:rsidRPr="00B6152C">
        <w:rPr>
          <w:lang w:val="en-US"/>
        </w:rPr>
        <w:t>retrieval condition</w:t>
      </w:r>
      <w:r w:rsidR="00C21D3B" w:rsidRPr="00B6152C">
        <w:rPr>
          <w:lang w:val="en-US"/>
        </w:rPr>
        <w:t xml:space="preserve"> </w:t>
      </w:r>
      <w:r w:rsidR="001F2756" w:rsidRPr="00B6152C">
        <w:rPr>
          <w:lang w:val="en-US"/>
        </w:rPr>
        <w:t xml:space="preserve">and item type </w:t>
      </w:r>
      <w:r w:rsidR="00C21D3B" w:rsidRPr="00B6152C">
        <w:rPr>
          <w:lang w:val="en-US"/>
        </w:rPr>
        <w:t>w</w:t>
      </w:r>
      <w:r w:rsidR="001F2756" w:rsidRPr="00B6152C">
        <w:rPr>
          <w:lang w:val="en-US"/>
        </w:rPr>
        <w:t>ere</w:t>
      </w:r>
      <w:r w:rsidR="00C21D3B" w:rsidRPr="00B6152C">
        <w:rPr>
          <w:lang w:val="en-US"/>
        </w:rPr>
        <w:t xml:space="preserve"> “</w:t>
      </w:r>
      <w:r w:rsidR="001F2756" w:rsidRPr="00B6152C">
        <w:rPr>
          <w:lang w:val="en-US"/>
        </w:rPr>
        <w:t>non-oral motor</w:t>
      </w:r>
      <w:r w:rsidR="00C21D3B" w:rsidRPr="00B6152C">
        <w:rPr>
          <w:lang w:val="en-US"/>
        </w:rPr>
        <w:t>”</w:t>
      </w:r>
      <w:r w:rsidR="001F2756" w:rsidRPr="00B6152C">
        <w:rPr>
          <w:lang w:val="en-US"/>
        </w:rPr>
        <w:t xml:space="preserve"> and “HF”, respectively.</w:t>
      </w:r>
      <w:r w:rsidR="00C21D3B" w:rsidRPr="00B6152C">
        <w:rPr>
          <w:lang w:val="en-US"/>
        </w:rPr>
        <w:t xml:space="preserve"> This mixed</w:t>
      </w:r>
      <w:r w:rsidR="001F2756" w:rsidRPr="00B6152C">
        <w:rPr>
          <w:lang w:val="en-US"/>
        </w:rPr>
        <w:t>-</w:t>
      </w:r>
      <w:r w:rsidR="00C21D3B" w:rsidRPr="00B6152C">
        <w:rPr>
          <w:lang w:val="en-US"/>
        </w:rPr>
        <w:t>effects</w:t>
      </w:r>
      <w:r w:rsidR="001F2756" w:rsidRPr="00B6152C">
        <w:rPr>
          <w:lang w:val="en-US"/>
        </w:rPr>
        <w:t xml:space="preserve"> </w:t>
      </w:r>
      <w:r w:rsidR="00C21D3B" w:rsidRPr="00B6152C">
        <w:rPr>
          <w:lang w:val="en-US"/>
        </w:rPr>
        <w:t>analysis included trials as level</w:t>
      </w:r>
      <w:r w:rsidR="001F2756" w:rsidRPr="00B6152C">
        <w:rPr>
          <w:lang w:val="en-US"/>
        </w:rPr>
        <w:t xml:space="preserve"> </w:t>
      </w:r>
      <w:r w:rsidR="00C21D3B" w:rsidRPr="00B6152C">
        <w:rPr>
          <w:lang w:val="en-US"/>
        </w:rPr>
        <w:t>1 units (n=</w:t>
      </w:r>
      <w:r w:rsidR="001F2756" w:rsidRPr="00B6152C">
        <w:rPr>
          <w:lang w:val="en-US"/>
        </w:rPr>
        <w:t>1296</w:t>
      </w:r>
      <w:r w:rsidR="00C21D3B" w:rsidRPr="00B6152C">
        <w:rPr>
          <w:lang w:val="en-US"/>
        </w:rPr>
        <w:t>) and participants as level 2 units (n=</w:t>
      </w:r>
      <w:r w:rsidR="00376C6C" w:rsidRPr="00B6152C">
        <w:rPr>
          <w:lang w:val="en-US"/>
        </w:rPr>
        <w:t>27</w:t>
      </w:r>
      <w:r w:rsidR="00C21D3B" w:rsidRPr="00B6152C">
        <w:rPr>
          <w:lang w:val="en-US"/>
        </w:rPr>
        <w:t>).</w:t>
      </w:r>
    </w:p>
    <w:p w14:paraId="64016D31" w14:textId="72822722" w:rsidR="00C21D3B" w:rsidRPr="00B6152C" w:rsidRDefault="00376C6C" w:rsidP="00B6152C">
      <w:pPr>
        <w:autoSpaceDE w:val="0"/>
        <w:autoSpaceDN w:val="0"/>
        <w:adjustRightInd w:val="0"/>
        <w:spacing w:after="0" w:line="480" w:lineRule="auto"/>
        <w:jc w:val="both"/>
        <w:rPr>
          <w:lang w:val="en-US"/>
        </w:rPr>
      </w:pPr>
      <w:r w:rsidRPr="00B6152C">
        <w:rPr>
          <w:i/>
          <w:iCs/>
          <w:lang w:val="en-US"/>
        </w:rPr>
        <w:t>Hit.</w:t>
      </w:r>
      <w:r w:rsidRPr="00B6152C">
        <w:rPr>
          <w:lang w:val="en-US"/>
        </w:rPr>
        <w:t xml:space="preserve"> </w:t>
      </w:r>
      <w:r w:rsidR="00C21D3B" w:rsidRPr="00B6152C">
        <w:rPr>
          <w:lang w:val="en-US"/>
        </w:rPr>
        <w:t xml:space="preserve">The results revealed that the effect of </w:t>
      </w:r>
      <w:r w:rsidR="002B4CA3" w:rsidRPr="00B6152C">
        <w:rPr>
          <w:lang w:val="en-US"/>
        </w:rPr>
        <w:t>group</w:t>
      </w:r>
      <w:r w:rsidR="00C21D3B" w:rsidRPr="00B6152C">
        <w:rPr>
          <w:lang w:val="en-US"/>
        </w:rPr>
        <w:t xml:space="preserve">, </w:t>
      </w:r>
      <w:r w:rsidR="00C21D3B" w:rsidRPr="00B6152C">
        <w:rPr>
          <w:i/>
          <w:iCs/>
          <w:lang w:val="en-US"/>
        </w:rPr>
        <w:t>β</w:t>
      </w:r>
      <w:r w:rsidR="00C21D3B" w:rsidRPr="00B6152C">
        <w:rPr>
          <w:lang w:val="en-US"/>
        </w:rPr>
        <w:t>=</w:t>
      </w:r>
      <w:r w:rsidR="002B4CA3" w:rsidRPr="00B6152C">
        <w:rPr>
          <w:lang w:val="en-US"/>
        </w:rPr>
        <w:t>-</w:t>
      </w:r>
      <w:r w:rsidR="00C21D3B" w:rsidRPr="00B6152C">
        <w:rPr>
          <w:lang w:val="en-US"/>
        </w:rPr>
        <w:t>.</w:t>
      </w:r>
      <w:r w:rsidR="002B4CA3" w:rsidRPr="00B6152C">
        <w:rPr>
          <w:lang w:val="en-US"/>
        </w:rPr>
        <w:t>3</w:t>
      </w:r>
      <w:r w:rsidR="00C21D3B" w:rsidRPr="00B6152C">
        <w:rPr>
          <w:lang w:val="en-US"/>
        </w:rPr>
        <w:t>5,</w:t>
      </w:r>
      <w:r w:rsidR="002B4CA3" w:rsidRPr="00B6152C">
        <w:rPr>
          <w:lang w:val="en-US"/>
        </w:rPr>
        <w:t xml:space="preserve"> </w:t>
      </w:r>
      <w:r w:rsidR="00C21D3B" w:rsidRPr="00B6152C">
        <w:rPr>
          <w:i/>
          <w:iCs/>
          <w:lang w:val="en-US"/>
        </w:rPr>
        <w:t>SE</w:t>
      </w:r>
      <w:r w:rsidR="00C21D3B" w:rsidRPr="00B6152C">
        <w:rPr>
          <w:lang w:val="en-US"/>
        </w:rPr>
        <w:t>=.</w:t>
      </w:r>
      <w:r w:rsidR="002B4CA3" w:rsidRPr="00B6152C">
        <w:rPr>
          <w:lang w:val="en-US"/>
        </w:rPr>
        <w:t>18</w:t>
      </w:r>
      <w:r w:rsidR="00C21D3B" w:rsidRPr="00B6152C">
        <w:rPr>
          <w:lang w:val="en-US"/>
        </w:rPr>
        <w:t xml:space="preserve">, </w:t>
      </w:r>
      <w:r w:rsidR="00C21D3B" w:rsidRPr="00B6152C">
        <w:rPr>
          <w:i/>
          <w:iCs/>
          <w:lang w:val="en-US"/>
        </w:rPr>
        <w:t>p</w:t>
      </w:r>
      <w:r w:rsidR="002B4CA3" w:rsidRPr="00B6152C">
        <w:rPr>
          <w:lang w:val="en-US"/>
        </w:rPr>
        <w:t>=</w:t>
      </w:r>
      <w:r w:rsidR="00C21D3B" w:rsidRPr="00B6152C">
        <w:rPr>
          <w:lang w:val="en-US"/>
        </w:rPr>
        <w:t>.0</w:t>
      </w:r>
      <w:r w:rsidR="002B4CA3" w:rsidRPr="00B6152C">
        <w:rPr>
          <w:lang w:val="en-US"/>
        </w:rPr>
        <w:t>4</w:t>
      </w:r>
      <w:r w:rsidR="00C21D3B" w:rsidRPr="00B6152C">
        <w:rPr>
          <w:lang w:val="en-US"/>
        </w:rPr>
        <w:t xml:space="preserve">, and the </w:t>
      </w:r>
      <w:r w:rsidR="002B4CA3" w:rsidRPr="00B6152C">
        <w:rPr>
          <w:lang w:val="en-US"/>
        </w:rPr>
        <w:t>retrieval condition</w:t>
      </w:r>
      <w:r w:rsidR="00C21D3B" w:rsidRPr="00B6152C">
        <w:rPr>
          <w:lang w:val="en-US"/>
        </w:rPr>
        <w:t xml:space="preserve"> × </w:t>
      </w:r>
      <w:r w:rsidR="002B4CA3" w:rsidRPr="00B6152C">
        <w:rPr>
          <w:lang w:val="en-US"/>
        </w:rPr>
        <w:t xml:space="preserve">item type </w:t>
      </w:r>
      <w:r w:rsidR="00C21D3B" w:rsidRPr="00B6152C">
        <w:rPr>
          <w:lang w:val="en-US"/>
        </w:rPr>
        <w:t xml:space="preserve">interaction, </w:t>
      </w:r>
      <w:r w:rsidR="00C21D3B" w:rsidRPr="00B6152C">
        <w:rPr>
          <w:i/>
          <w:iCs/>
          <w:lang w:val="en-US"/>
        </w:rPr>
        <w:t>β</w:t>
      </w:r>
      <w:r w:rsidR="00C21D3B" w:rsidRPr="00B6152C">
        <w:rPr>
          <w:lang w:val="en-US"/>
        </w:rPr>
        <w:t>=.</w:t>
      </w:r>
      <w:r w:rsidR="002B4CA3" w:rsidRPr="00B6152C">
        <w:rPr>
          <w:lang w:val="en-US"/>
        </w:rPr>
        <w:t>4</w:t>
      </w:r>
      <w:r w:rsidR="00C21D3B" w:rsidRPr="00B6152C">
        <w:rPr>
          <w:lang w:val="en-US"/>
        </w:rPr>
        <w:t xml:space="preserve">6, </w:t>
      </w:r>
      <w:r w:rsidR="00C21D3B" w:rsidRPr="00B6152C">
        <w:rPr>
          <w:i/>
          <w:iCs/>
          <w:lang w:val="en-US"/>
        </w:rPr>
        <w:t>SE</w:t>
      </w:r>
      <w:r w:rsidR="00C21D3B" w:rsidRPr="00B6152C">
        <w:rPr>
          <w:lang w:val="en-US"/>
        </w:rPr>
        <w:t>=.</w:t>
      </w:r>
      <w:r w:rsidR="002B4CA3" w:rsidRPr="00B6152C">
        <w:rPr>
          <w:lang w:val="en-US"/>
        </w:rPr>
        <w:t>16</w:t>
      </w:r>
      <w:r w:rsidR="00C21D3B" w:rsidRPr="00B6152C">
        <w:rPr>
          <w:lang w:val="en-US"/>
        </w:rPr>
        <w:t xml:space="preserve">, </w:t>
      </w:r>
      <w:r w:rsidR="00C21D3B" w:rsidRPr="00B6152C">
        <w:rPr>
          <w:i/>
          <w:iCs/>
          <w:lang w:val="en-US"/>
        </w:rPr>
        <w:t>p</w:t>
      </w:r>
      <w:r w:rsidR="002B4CA3" w:rsidRPr="00B6152C">
        <w:rPr>
          <w:lang w:val="en-US"/>
        </w:rPr>
        <w:t>=</w:t>
      </w:r>
      <w:r w:rsidR="00C21D3B" w:rsidRPr="00B6152C">
        <w:rPr>
          <w:lang w:val="en-US"/>
        </w:rPr>
        <w:t>.0</w:t>
      </w:r>
      <w:r w:rsidR="002B4CA3" w:rsidRPr="00B6152C">
        <w:rPr>
          <w:lang w:val="en-US"/>
        </w:rPr>
        <w:t>3</w:t>
      </w:r>
      <w:r w:rsidR="00C21D3B" w:rsidRPr="00B6152C">
        <w:rPr>
          <w:lang w:val="en-US"/>
        </w:rPr>
        <w:t>, were significant.</w:t>
      </w:r>
      <w:r w:rsidR="002B4CA3" w:rsidRPr="00B6152C">
        <w:rPr>
          <w:lang w:val="en-US"/>
        </w:rPr>
        <w:t xml:space="preserve"> </w:t>
      </w:r>
      <w:r w:rsidR="00C21D3B" w:rsidRPr="00B6152C">
        <w:rPr>
          <w:lang w:val="en-US"/>
        </w:rPr>
        <w:t xml:space="preserve">Follow-up mixed-effects analyses for each </w:t>
      </w:r>
      <w:r w:rsidR="00914579" w:rsidRPr="00B6152C">
        <w:rPr>
          <w:lang w:val="en-US"/>
        </w:rPr>
        <w:t>item type</w:t>
      </w:r>
      <w:r w:rsidR="00A4215A" w:rsidRPr="00B6152C">
        <w:rPr>
          <w:lang w:val="en-US"/>
        </w:rPr>
        <w:t xml:space="preserve"> (</w:t>
      </w:r>
      <w:r w:rsidR="00914579" w:rsidRPr="00B6152C">
        <w:rPr>
          <w:lang w:val="en-US"/>
        </w:rPr>
        <w:t>HF, LF, word</w:t>
      </w:r>
      <w:r w:rsidR="00A4215A" w:rsidRPr="00B6152C">
        <w:rPr>
          <w:lang w:val="en-US"/>
        </w:rPr>
        <w:t>)</w:t>
      </w:r>
      <w:r w:rsidR="002B4CA3" w:rsidRPr="00B6152C">
        <w:rPr>
          <w:lang w:val="en-US"/>
        </w:rPr>
        <w:t xml:space="preserve"> </w:t>
      </w:r>
      <w:r w:rsidR="00C21D3B" w:rsidRPr="00B6152C">
        <w:rPr>
          <w:lang w:val="en-US"/>
        </w:rPr>
        <w:t xml:space="preserve">revealed that </w:t>
      </w:r>
      <w:r w:rsidR="005C7ED0" w:rsidRPr="00B6152C">
        <w:rPr>
          <w:lang w:val="en-US"/>
        </w:rPr>
        <w:t xml:space="preserve">HF nonwords, but not the other item types, increased the likelihood of a participant to give a “yes” response in the </w:t>
      </w:r>
      <w:r w:rsidR="00A4215A" w:rsidRPr="00B6152C">
        <w:rPr>
          <w:lang w:val="en-US"/>
        </w:rPr>
        <w:t>oral motor condition,</w:t>
      </w:r>
      <w:r w:rsidR="00C21D3B" w:rsidRPr="00B6152C">
        <w:rPr>
          <w:lang w:val="en-US"/>
        </w:rPr>
        <w:t xml:space="preserve"> </w:t>
      </w:r>
      <w:r w:rsidR="00C21D3B" w:rsidRPr="00B6152C">
        <w:rPr>
          <w:i/>
          <w:iCs/>
          <w:lang w:val="en-US"/>
        </w:rPr>
        <w:t>β</w:t>
      </w:r>
      <w:r w:rsidR="00C21D3B" w:rsidRPr="00B6152C">
        <w:rPr>
          <w:lang w:val="en-US"/>
        </w:rPr>
        <w:t>=.</w:t>
      </w:r>
      <w:r w:rsidR="00A4215A" w:rsidRPr="00B6152C">
        <w:rPr>
          <w:lang w:val="en-US"/>
        </w:rPr>
        <w:t>6</w:t>
      </w:r>
      <w:r w:rsidR="00C21D3B" w:rsidRPr="00B6152C">
        <w:rPr>
          <w:lang w:val="en-US"/>
        </w:rPr>
        <w:t xml:space="preserve">5, </w:t>
      </w:r>
      <w:r w:rsidR="00C21D3B" w:rsidRPr="00B6152C">
        <w:rPr>
          <w:i/>
          <w:iCs/>
          <w:lang w:val="en-US"/>
        </w:rPr>
        <w:t>SE</w:t>
      </w:r>
      <w:r w:rsidR="00C21D3B" w:rsidRPr="00B6152C">
        <w:rPr>
          <w:lang w:val="en-US"/>
        </w:rPr>
        <w:t>=.</w:t>
      </w:r>
      <w:r w:rsidR="00A4215A" w:rsidRPr="00B6152C">
        <w:rPr>
          <w:lang w:val="en-US"/>
        </w:rPr>
        <w:t>1</w:t>
      </w:r>
      <w:r w:rsidR="00C21D3B" w:rsidRPr="00B6152C">
        <w:rPr>
          <w:lang w:val="en-US"/>
        </w:rPr>
        <w:t xml:space="preserve">7, </w:t>
      </w:r>
      <w:r w:rsidR="00C21D3B" w:rsidRPr="00B6152C">
        <w:rPr>
          <w:i/>
          <w:iCs/>
          <w:lang w:val="en-US"/>
        </w:rPr>
        <w:t>p</w:t>
      </w:r>
      <w:r w:rsidR="00A4215A" w:rsidRPr="00B6152C">
        <w:rPr>
          <w:lang w:val="en-US"/>
        </w:rPr>
        <w:t>=</w:t>
      </w:r>
      <w:r w:rsidR="00C21D3B" w:rsidRPr="00B6152C">
        <w:rPr>
          <w:lang w:val="en-US"/>
        </w:rPr>
        <w:t>.01</w:t>
      </w:r>
      <w:r w:rsidR="00A4215A" w:rsidRPr="00B6152C">
        <w:rPr>
          <w:lang w:val="en-US"/>
        </w:rPr>
        <w:t>7</w:t>
      </w:r>
      <w:r w:rsidR="00C21D3B" w:rsidRPr="00B6152C">
        <w:rPr>
          <w:lang w:val="en-US"/>
        </w:rPr>
        <w:t xml:space="preserve">, </w:t>
      </w:r>
      <w:r w:rsidR="00A4215A" w:rsidRPr="00B6152C">
        <w:rPr>
          <w:lang w:val="en-US"/>
        </w:rPr>
        <w:t xml:space="preserve">but not </w:t>
      </w:r>
      <w:r w:rsidR="005C7ED0" w:rsidRPr="00B6152C">
        <w:rPr>
          <w:lang w:val="en-US"/>
        </w:rPr>
        <w:t>in the non-oral motor condition</w:t>
      </w:r>
      <w:r w:rsidR="00C21D3B" w:rsidRPr="00B6152C">
        <w:rPr>
          <w:lang w:val="en-US"/>
        </w:rPr>
        <w:t>,</w:t>
      </w:r>
      <w:r w:rsidR="00A4215A" w:rsidRPr="00B6152C">
        <w:rPr>
          <w:lang w:val="en-US"/>
        </w:rPr>
        <w:t xml:space="preserve"> </w:t>
      </w:r>
      <w:r w:rsidR="005C7ED0" w:rsidRPr="00B6152C">
        <w:rPr>
          <w:i/>
          <w:iCs/>
          <w:lang w:val="en-US"/>
        </w:rPr>
        <w:t>β</w:t>
      </w:r>
      <w:r w:rsidR="005C7ED0" w:rsidRPr="00B6152C">
        <w:rPr>
          <w:lang w:val="en-US"/>
        </w:rPr>
        <w:t xml:space="preserve">=.25, </w:t>
      </w:r>
      <w:r w:rsidR="005C7ED0" w:rsidRPr="00B6152C">
        <w:rPr>
          <w:i/>
          <w:iCs/>
          <w:lang w:val="en-US"/>
        </w:rPr>
        <w:t>SE</w:t>
      </w:r>
      <w:r w:rsidR="005C7ED0" w:rsidRPr="00B6152C">
        <w:rPr>
          <w:lang w:val="en-US"/>
        </w:rPr>
        <w:t xml:space="preserve">=.16, </w:t>
      </w:r>
      <w:r w:rsidR="005C7ED0" w:rsidRPr="00B6152C">
        <w:rPr>
          <w:i/>
          <w:iCs/>
          <w:lang w:val="en-US"/>
        </w:rPr>
        <w:t>p</w:t>
      </w:r>
      <w:r w:rsidR="005C7ED0" w:rsidRPr="00B6152C">
        <w:rPr>
          <w:lang w:val="en-US"/>
        </w:rPr>
        <w:t>=.14</w:t>
      </w:r>
      <w:r w:rsidR="00A4215A" w:rsidRPr="00B6152C">
        <w:rPr>
          <w:lang w:val="en-US"/>
        </w:rPr>
        <w:t>.</w:t>
      </w:r>
    </w:p>
    <w:p w14:paraId="0D24307C" w14:textId="2D3DF7CE" w:rsidR="002F1591" w:rsidRPr="00B6152C" w:rsidRDefault="00914579" w:rsidP="00B6152C">
      <w:pPr>
        <w:spacing w:line="480" w:lineRule="auto"/>
        <w:jc w:val="both"/>
        <w:rPr>
          <w:lang w:val="en-US"/>
        </w:rPr>
      </w:pPr>
      <w:r w:rsidRPr="00B6152C">
        <w:rPr>
          <w:i/>
          <w:iCs/>
          <w:lang w:val="en-US"/>
        </w:rPr>
        <w:t>False recognition.</w:t>
      </w:r>
      <w:r w:rsidRPr="00B6152C">
        <w:rPr>
          <w:lang w:val="en-US"/>
        </w:rPr>
        <w:t xml:space="preserve"> The effect of group, </w:t>
      </w:r>
      <w:r w:rsidRPr="00B6152C">
        <w:rPr>
          <w:i/>
          <w:iCs/>
          <w:lang w:val="en-US"/>
        </w:rPr>
        <w:t>β</w:t>
      </w:r>
      <w:r w:rsidRPr="00B6152C">
        <w:rPr>
          <w:lang w:val="en-US"/>
        </w:rPr>
        <w:t xml:space="preserve">=-.75, </w:t>
      </w:r>
      <w:r w:rsidRPr="00B6152C">
        <w:rPr>
          <w:i/>
          <w:iCs/>
          <w:lang w:val="en-US"/>
        </w:rPr>
        <w:t>SE</w:t>
      </w:r>
      <w:r w:rsidRPr="00B6152C">
        <w:rPr>
          <w:lang w:val="en-US"/>
        </w:rPr>
        <w:t xml:space="preserve">=.48, </w:t>
      </w:r>
      <w:r w:rsidRPr="00B6152C">
        <w:rPr>
          <w:i/>
          <w:iCs/>
          <w:lang w:val="en-US"/>
        </w:rPr>
        <w:t>p</w:t>
      </w:r>
      <w:r w:rsidRPr="00B6152C">
        <w:rPr>
          <w:lang w:val="en-US"/>
        </w:rPr>
        <w:t xml:space="preserve">=.03, and item type, </w:t>
      </w:r>
      <w:r w:rsidRPr="00B6152C">
        <w:rPr>
          <w:i/>
          <w:iCs/>
          <w:lang w:val="en-US"/>
        </w:rPr>
        <w:t>β</w:t>
      </w:r>
      <w:r w:rsidR="005C7ED0" w:rsidRPr="00B6152C">
        <w:rPr>
          <w:lang w:val="en-US"/>
        </w:rPr>
        <w:t>=</w:t>
      </w:r>
      <w:r w:rsidRPr="00B6152C">
        <w:rPr>
          <w:lang w:val="en-US"/>
        </w:rPr>
        <w:t xml:space="preserve">-.99, </w:t>
      </w:r>
      <w:r w:rsidRPr="00B6152C">
        <w:rPr>
          <w:i/>
          <w:iCs/>
          <w:lang w:val="en-US"/>
        </w:rPr>
        <w:t>SE</w:t>
      </w:r>
      <w:r w:rsidR="005C7ED0" w:rsidRPr="00B6152C">
        <w:rPr>
          <w:lang w:val="en-US"/>
        </w:rPr>
        <w:t>=</w:t>
      </w:r>
      <w:r w:rsidRPr="00B6152C">
        <w:rPr>
          <w:lang w:val="en-US"/>
        </w:rPr>
        <w:t xml:space="preserve">.42, </w:t>
      </w:r>
      <w:r w:rsidRPr="00B6152C">
        <w:rPr>
          <w:i/>
          <w:iCs/>
          <w:lang w:val="en-US"/>
        </w:rPr>
        <w:t>p</w:t>
      </w:r>
      <w:r w:rsidR="005C7ED0" w:rsidRPr="00B6152C">
        <w:rPr>
          <w:lang w:val="en-US"/>
        </w:rPr>
        <w:t>=</w:t>
      </w:r>
      <w:r w:rsidRPr="00B6152C">
        <w:rPr>
          <w:lang w:val="en-US"/>
        </w:rPr>
        <w:t xml:space="preserve">.004 were significant. Critically, a significant group x retrieval condition × item type interaction was also found, </w:t>
      </w:r>
      <w:r w:rsidRPr="00B6152C">
        <w:rPr>
          <w:i/>
          <w:iCs/>
          <w:lang w:val="en-US"/>
        </w:rPr>
        <w:t>β</w:t>
      </w:r>
      <w:r w:rsidRPr="00B6152C">
        <w:rPr>
          <w:lang w:val="en-US"/>
        </w:rPr>
        <w:t xml:space="preserve">=-.36, </w:t>
      </w:r>
      <w:r w:rsidRPr="00B6152C">
        <w:rPr>
          <w:i/>
          <w:iCs/>
          <w:lang w:val="en-US"/>
        </w:rPr>
        <w:t>SE</w:t>
      </w:r>
      <w:r w:rsidRPr="00B6152C">
        <w:rPr>
          <w:lang w:val="en-US"/>
        </w:rPr>
        <w:t xml:space="preserve">=.24, </w:t>
      </w:r>
      <w:r w:rsidRPr="00B6152C">
        <w:rPr>
          <w:i/>
          <w:iCs/>
          <w:lang w:val="en-US"/>
        </w:rPr>
        <w:t>p</w:t>
      </w:r>
      <w:r w:rsidRPr="00B6152C">
        <w:rPr>
          <w:lang w:val="en-US"/>
        </w:rPr>
        <w:t>=.04. Follow-up mixed-effects analyses for each group</w:t>
      </w:r>
      <w:r w:rsidR="005C7ED0" w:rsidRPr="00B6152C">
        <w:rPr>
          <w:lang w:val="en-US"/>
        </w:rPr>
        <w:t xml:space="preserve"> indicated</w:t>
      </w:r>
      <w:r w:rsidRPr="00B6152C">
        <w:rPr>
          <w:lang w:val="en-US"/>
        </w:rPr>
        <w:t xml:space="preserve"> that the </w:t>
      </w:r>
      <w:r w:rsidR="005C7ED0" w:rsidRPr="00B6152C">
        <w:rPr>
          <w:lang w:val="en-US"/>
        </w:rPr>
        <w:t xml:space="preserve">probability of giving a “yes” response </w:t>
      </w:r>
      <w:r w:rsidR="002F1591" w:rsidRPr="00B6152C">
        <w:rPr>
          <w:lang w:val="en-US"/>
        </w:rPr>
        <w:t xml:space="preserve">for HF nonwords, but not the other item types, </w:t>
      </w:r>
      <w:r w:rsidR="008F5B19" w:rsidRPr="00B6152C">
        <w:rPr>
          <w:lang w:val="en-US"/>
        </w:rPr>
        <w:t>was higher in</w:t>
      </w:r>
      <w:r w:rsidR="002F1591" w:rsidRPr="00B6152C">
        <w:rPr>
          <w:lang w:val="en-US"/>
        </w:rPr>
        <w:t xml:space="preserve"> the </w:t>
      </w:r>
      <w:r w:rsidR="008F5B19" w:rsidRPr="00B6152C">
        <w:rPr>
          <w:lang w:val="en-US"/>
        </w:rPr>
        <w:t xml:space="preserve">oral-motor </w:t>
      </w:r>
      <w:r w:rsidR="002F1591" w:rsidRPr="00B6152C">
        <w:rPr>
          <w:lang w:val="en-US"/>
        </w:rPr>
        <w:t xml:space="preserve">retrieval condition </w:t>
      </w:r>
      <w:r w:rsidR="008F5B19" w:rsidRPr="00B6152C">
        <w:rPr>
          <w:lang w:val="en-US"/>
        </w:rPr>
        <w:t>for</w:t>
      </w:r>
      <w:r w:rsidR="002F1591" w:rsidRPr="00B6152C">
        <w:rPr>
          <w:lang w:val="en-US"/>
        </w:rPr>
        <w:t xml:space="preserve"> the control group,</w:t>
      </w:r>
      <w:r w:rsidRPr="00B6152C">
        <w:rPr>
          <w:lang w:val="en-US"/>
        </w:rPr>
        <w:t xml:space="preserve"> </w:t>
      </w:r>
      <w:r w:rsidRPr="00B6152C">
        <w:rPr>
          <w:i/>
          <w:iCs/>
          <w:lang w:val="en-US"/>
        </w:rPr>
        <w:t>β</w:t>
      </w:r>
      <w:r w:rsidRPr="00B6152C">
        <w:rPr>
          <w:lang w:val="en-US"/>
        </w:rPr>
        <w:t>=.</w:t>
      </w:r>
      <w:r w:rsidR="002F1591" w:rsidRPr="00B6152C">
        <w:rPr>
          <w:lang w:val="en-US"/>
        </w:rPr>
        <w:t>56</w:t>
      </w:r>
      <w:r w:rsidRPr="00B6152C">
        <w:rPr>
          <w:lang w:val="en-US"/>
        </w:rPr>
        <w:t xml:space="preserve">, </w:t>
      </w:r>
      <w:r w:rsidRPr="00B6152C">
        <w:rPr>
          <w:i/>
          <w:iCs/>
          <w:lang w:val="en-US"/>
        </w:rPr>
        <w:t>SE</w:t>
      </w:r>
      <w:r w:rsidRPr="00B6152C">
        <w:rPr>
          <w:lang w:val="en-US"/>
        </w:rPr>
        <w:t>=.</w:t>
      </w:r>
      <w:r w:rsidR="002F1591" w:rsidRPr="00B6152C">
        <w:rPr>
          <w:lang w:val="en-US"/>
        </w:rPr>
        <w:t>2</w:t>
      </w:r>
      <w:r w:rsidRPr="00B6152C">
        <w:rPr>
          <w:lang w:val="en-US"/>
        </w:rPr>
        <w:t xml:space="preserve">7, </w:t>
      </w:r>
      <w:r w:rsidRPr="00B6152C">
        <w:rPr>
          <w:i/>
          <w:iCs/>
          <w:lang w:val="en-US"/>
        </w:rPr>
        <w:t>p</w:t>
      </w:r>
      <w:r w:rsidR="002F1591" w:rsidRPr="00B6152C">
        <w:rPr>
          <w:lang w:val="en-US"/>
        </w:rPr>
        <w:t>=</w:t>
      </w:r>
      <w:r w:rsidRPr="00B6152C">
        <w:rPr>
          <w:lang w:val="en-US"/>
        </w:rPr>
        <w:t>.0</w:t>
      </w:r>
      <w:r w:rsidR="002F1591" w:rsidRPr="00B6152C">
        <w:rPr>
          <w:lang w:val="en-US"/>
        </w:rPr>
        <w:t>3</w:t>
      </w:r>
      <w:r w:rsidRPr="00B6152C">
        <w:rPr>
          <w:lang w:val="en-US"/>
        </w:rPr>
        <w:t xml:space="preserve">, </w:t>
      </w:r>
      <w:r w:rsidR="002F1591" w:rsidRPr="00B6152C">
        <w:rPr>
          <w:lang w:val="en-US"/>
        </w:rPr>
        <w:t xml:space="preserve">but not </w:t>
      </w:r>
      <w:r w:rsidR="008F5B19" w:rsidRPr="00B6152C">
        <w:rPr>
          <w:lang w:val="en-US"/>
        </w:rPr>
        <w:t>for</w:t>
      </w:r>
      <w:r w:rsidR="002F1591" w:rsidRPr="00B6152C">
        <w:rPr>
          <w:lang w:val="en-US"/>
        </w:rPr>
        <w:t xml:space="preserve"> the amnesic group</w:t>
      </w:r>
      <w:r w:rsidRPr="00B6152C">
        <w:rPr>
          <w:lang w:val="en-US"/>
        </w:rPr>
        <w:t>,</w:t>
      </w:r>
      <w:r w:rsidR="002F1591" w:rsidRPr="00B6152C">
        <w:rPr>
          <w:lang w:val="en-US"/>
        </w:rPr>
        <w:t xml:space="preserve"> </w:t>
      </w:r>
      <w:r w:rsidRPr="00B6152C">
        <w:rPr>
          <w:i/>
          <w:iCs/>
          <w:lang w:val="en-US"/>
        </w:rPr>
        <w:t>β</w:t>
      </w:r>
      <w:r w:rsidRPr="00B6152C">
        <w:rPr>
          <w:lang w:val="en-US"/>
        </w:rPr>
        <w:t>=.</w:t>
      </w:r>
      <w:r w:rsidR="002F1591" w:rsidRPr="00B6152C">
        <w:rPr>
          <w:lang w:val="en-US"/>
        </w:rPr>
        <w:t>1</w:t>
      </w:r>
      <w:r w:rsidRPr="00B6152C">
        <w:rPr>
          <w:lang w:val="en-US"/>
        </w:rPr>
        <w:t xml:space="preserve">2, </w:t>
      </w:r>
      <w:r w:rsidRPr="00B6152C">
        <w:rPr>
          <w:i/>
          <w:iCs/>
          <w:lang w:val="en-US"/>
        </w:rPr>
        <w:t>SE</w:t>
      </w:r>
      <w:r w:rsidRPr="00B6152C">
        <w:rPr>
          <w:lang w:val="en-US"/>
        </w:rPr>
        <w:t xml:space="preserve">=.59, </w:t>
      </w:r>
      <w:r w:rsidRPr="00B6152C">
        <w:rPr>
          <w:i/>
          <w:iCs/>
          <w:lang w:val="en-US"/>
        </w:rPr>
        <w:t>p</w:t>
      </w:r>
      <w:r w:rsidRPr="00B6152C">
        <w:rPr>
          <w:lang w:val="en-US"/>
        </w:rPr>
        <w:t>=.</w:t>
      </w:r>
      <w:r w:rsidR="002F1591" w:rsidRPr="00B6152C">
        <w:rPr>
          <w:lang w:val="en-US"/>
        </w:rPr>
        <w:t>64.</w:t>
      </w:r>
    </w:p>
    <w:p w14:paraId="0CE57574" w14:textId="2403B0B4" w:rsidR="00342C8A" w:rsidRPr="00B6152C" w:rsidRDefault="00342C8A" w:rsidP="00B6152C">
      <w:pPr>
        <w:spacing w:line="480" w:lineRule="auto"/>
        <w:jc w:val="both"/>
        <w:rPr>
          <w:lang w:val="en-US"/>
        </w:rPr>
      </w:pPr>
      <w:r w:rsidRPr="00B6152C">
        <w:rPr>
          <w:lang w:val="en-US"/>
        </w:rPr>
        <w:t>Overall, these results indicated that the differences found in fluency use at the group level could also be observed at the individual level. Moreover, our data indicate that the pattern of results revealed at the group level in amnesic participants (i.e., use of fluency for targets, but not for distractors) appears relatively stable from patient to patient.</w:t>
      </w:r>
    </w:p>
    <w:p w14:paraId="619813E6" w14:textId="77777777" w:rsidR="0083543F" w:rsidRPr="00B6152C" w:rsidRDefault="0083543F" w:rsidP="00B6152C">
      <w:pPr>
        <w:spacing w:line="480" w:lineRule="auto"/>
        <w:jc w:val="center"/>
        <w:rPr>
          <w:b/>
          <w:lang w:val="en-US"/>
        </w:rPr>
      </w:pPr>
      <w:r w:rsidRPr="00B6152C">
        <w:rPr>
          <w:b/>
          <w:lang w:val="en-US"/>
        </w:rPr>
        <w:t>Discussion</w:t>
      </w:r>
    </w:p>
    <w:p w14:paraId="22403686" w14:textId="77777777" w:rsidR="0083543F" w:rsidRPr="00B6152C" w:rsidRDefault="0083543F" w:rsidP="00B6152C">
      <w:pPr>
        <w:spacing w:line="480" w:lineRule="auto"/>
        <w:jc w:val="both"/>
        <w:rPr>
          <w:lang w:val="en-US"/>
        </w:rPr>
      </w:pPr>
      <w:r w:rsidRPr="00B6152C">
        <w:rPr>
          <w:lang w:val="en-US"/>
        </w:rPr>
        <w:t xml:space="preserve">The primary aim of the present study was to document a possible evolution in the use of fluency in amnesia when it is experienced at a motor/lexical level. Confirming previous findings obtained using </w:t>
      </w:r>
      <w:r w:rsidRPr="00B6152C">
        <w:rPr>
          <w:lang w:val="en-US"/>
        </w:rPr>
        <w:lastRenderedPageBreak/>
        <w:t xml:space="preserve">perceptual or conceptual fluency </w:t>
      </w:r>
      <w:r w:rsidRPr="00B6152C">
        <w:rPr>
          <w:noProof/>
          <w:lang w:val="en-US"/>
        </w:rPr>
        <w:t>(Geurten, Bastin, et al., 2020; Ozubko &amp; Yonelinas, 2014)</w:t>
      </w:r>
      <w:r w:rsidRPr="00B6152C">
        <w:rPr>
          <w:lang w:val="en-US"/>
        </w:rPr>
        <w:t xml:space="preserve">, our data suggest that amnesic patients do not rely </w:t>
      </w:r>
      <w:r w:rsidR="00A36BEC" w:rsidRPr="00B6152C">
        <w:rPr>
          <w:lang w:val="en-US"/>
        </w:rPr>
        <w:t>o</w:t>
      </w:r>
      <w:r w:rsidRPr="00B6152C">
        <w:rPr>
          <w:lang w:val="en-US"/>
        </w:rPr>
        <w:t xml:space="preserve">n fluency in the same way </w:t>
      </w:r>
      <w:r w:rsidR="00A36BEC" w:rsidRPr="00B6152C">
        <w:rPr>
          <w:lang w:val="en-US"/>
        </w:rPr>
        <w:t xml:space="preserve">as </w:t>
      </w:r>
      <w:r w:rsidRPr="00B6152C">
        <w:rPr>
          <w:lang w:val="en-US"/>
        </w:rPr>
        <w:t xml:space="preserve">healthy controls when making recognition decisions. Specifically, while control participants present a pattern consistent with a reliance on fluency for both studied and unstudied items, giving more “yes” responses to fluent items (i.e., easy-to-pronounce nonwords) in the oral motor condition than in the non-oral motor condition, amnesic patients appear to use fluency as a cue for memory only for studied items. Indeed, no differences were found between the rate of “yes” responses of easy-to-pronounce unstudied items in the oral motor condition as compared to the non-oral motor condition.  </w:t>
      </w:r>
    </w:p>
    <w:p w14:paraId="14786F99" w14:textId="77777777" w:rsidR="0083543F" w:rsidRPr="00B6152C" w:rsidRDefault="0083543F" w:rsidP="00B6152C">
      <w:pPr>
        <w:spacing w:line="480" w:lineRule="auto"/>
        <w:jc w:val="both"/>
        <w:rPr>
          <w:lang w:val="en-US"/>
        </w:rPr>
      </w:pPr>
      <w:r w:rsidRPr="00B6152C">
        <w:rPr>
          <w:lang w:val="en-US"/>
        </w:rPr>
        <w:t xml:space="preserve">Regarding the results obtained by control participants, our findings are interesting because they replicate the pattern obtained by </w:t>
      </w:r>
      <w:r w:rsidRPr="00B6152C">
        <w:rPr>
          <w:noProof/>
          <w:lang w:val="en-US"/>
        </w:rPr>
        <w:t>Whittlesea and Williams (2000)</w:t>
      </w:r>
      <w:r w:rsidRPr="00B6152C">
        <w:rPr>
          <w:lang w:val="en-US"/>
        </w:rPr>
        <w:t xml:space="preserve">, showing that nonwords that are easy to pronounce can generate a subjective feeling of fluency able to influence memory decisions while items with higher levels of absolute fluency (i.e., natural words) do not. This is consistent with the attribution-discrepancy model </w:t>
      </w:r>
      <w:r w:rsidRPr="00B6152C">
        <w:rPr>
          <w:noProof/>
          <w:lang w:val="en-US"/>
        </w:rPr>
        <w:t>(Whittlesea &amp; Williams, 2001a, 2001b)</w:t>
      </w:r>
      <w:r w:rsidRPr="00B6152C">
        <w:rPr>
          <w:lang w:val="en-US"/>
        </w:rPr>
        <w:t xml:space="preserve"> according to which differences between fluency expectations and outcomes are more important than the absolute level of processing ease to produce a feeling of fluency. Furthermore, the fact that the fluency effect for easy-to-pronounce nonwords disappeared in the non-oral motor condition where the subvocal articulation of the items was prohibited suggests that the feeling of fluency influencing participants’ responses in the oral motor condition truly resulted from an enhanced processing fluency at a motor level </w:t>
      </w:r>
      <w:r w:rsidRPr="00B6152C">
        <w:rPr>
          <w:noProof/>
          <w:lang w:val="en-US"/>
        </w:rPr>
        <w:t>(e.g., Topolinski, 2012)</w:t>
      </w:r>
      <w:r w:rsidRPr="00B6152C">
        <w:rPr>
          <w:lang w:val="en-US"/>
        </w:rPr>
        <w:t xml:space="preserve">, confirming that our manipulation was successful to produce a fluency effect that was neither of a perceptual nor a conceptual nature, but was associated with a </w:t>
      </w:r>
      <w:r w:rsidRPr="00B6152C">
        <w:rPr>
          <w:rFonts w:cstheme="minorHAnsi"/>
          <w:lang w:val="en-US"/>
        </w:rPr>
        <w:t>motor</w:t>
      </w:r>
      <w:r w:rsidRPr="00B6152C">
        <w:rPr>
          <w:lang w:val="en-US"/>
        </w:rPr>
        <w:t>/lexical phenomenology.</w:t>
      </w:r>
      <w:r w:rsidR="008C7D0B" w:rsidRPr="00B6152C">
        <w:rPr>
          <w:lang w:val="en-US"/>
        </w:rPr>
        <w:t xml:space="preserve"> Furthermore, as a study recently failed to replicate the mediating role of motor movements in fluency-based memory (</w:t>
      </w:r>
      <w:proofErr w:type="spellStart"/>
      <w:r w:rsidR="008C7D0B" w:rsidRPr="00B6152C">
        <w:rPr>
          <w:lang w:val="en-US"/>
        </w:rPr>
        <w:t>Westerman</w:t>
      </w:r>
      <w:proofErr w:type="spellEnd"/>
      <w:r w:rsidR="008C7D0B" w:rsidRPr="00B6152C">
        <w:rPr>
          <w:lang w:val="en-US"/>
        </w:rPr>
        <w:t xml:space="preserve">, </w:t>
      </w:r>
      <w:proofErr w:type="spellStart"/>
      <w:r w:rsidR="008C7D0B" w:rsidRPr="00B6152C">
        <w:rPr>
          <w:lang w:val="en-US"/>
        </w:rPr>
        <w:t>Klin</w:t>
      </w:r>
      <w:proofErr w:type="spellEnd"/>
      <w:r w:rsidR="008C7D0B" w:rsidRPr="00B6152C">
        <w:rPr>
          <w:lang w:val="en-US"/>
        </w:rPr>
        <w:t xml:space="preserve">, &amp; </w:t>
      </w:r>
      <w:proofErr w:type="spellStart"/>
      <w:r w:rsidR="008C7D0B" w:rsidRPr="00B6152C">
        <w:rPr>
          <w:lang w:val="en-US"/>
        </w:rPr>
        <w:t>Lanska</w:t>
      </w:r>
      <w:proofErr w:type="spellEnd"/>
      <w:r w:rsidR="008C7D0B" w:rsidRPr="00B6152C">
        <w:rPr>
          <w:lang w:val="en-US"/>
        </w:rPr>
        <w:t xml:space="preserve">, 2015), </w:t>
      </w:r>
      <w:bookmarkStart w:id="5" w:name="_Hlk81464618"/>
      <w:r w:rsidR="008C7D0B" w:rsidRPr="00B6152C">
        <w:rPr>
          <w:lang w:val="en-US"/>
        </w:rPr>
        <w:t xml:space="preserve">our results provide evidence that the motor-movement effect can </w:t>
      </w:r>
      <w:bookmarkEnd w:id="5"/>
      <w:r w:rsidR="008C7D0B" w:rsidRPr="00B6152C">
        <w:rPr>
          <w:lang w:val="en-US"/>
        </w:rPr>
        <w:t xml:space="preserve">be found using procedure and stimuli differing from those used by </w:t>
      </w:r>
      <w:proofErr w:type="spellStart"/>
      <w:r w:rsidR="008C7D0B" w:rsidRPr="00B6152C">
        <w:rPr>
          <w:lang w:val="en-US"/>
        </w:rPr>
        <w:t>Topolinski</w:t>
      </w:r>
      <w:proofErr w:type="spellEnd"/>
      <w:r w:rsidR="008C7D0B" w:rsidRPr="00B6152C">
        <w:rPr>
          <w:lang w:val="en-US"/>
        </w:rPr>
        <w:t xml:space="preserve"> (2012; </w:t>
      </w:r>
      <w:proofErr w:type="spellStart"/>
      <w:r w:rsidR="008C7D0B" w:rsidRPr="00B6152C">
        <w:rPr>
          <w:lang w:val="en-US"/>
        </w:rPr>
        <w:t>Topolinski</w:t>
      </w:r>
      <w:proofErr w:type="spellEnd"/>
      <w:r w:rsidR="008C7D0B" w:rsidRPr="00B6152C">
        <w:rPr>
          <w:lang w:val="en-US"/>
        </w:rPr>
        <w:t xml:space="preserve"> &amp; </w:t>
      </w:r>
      <w:proofErr w:type="spellStart"/>
      <w:r w:rsidR="008C7D0B" w:rsidRPr="00B6152C">
        <w:rPr>
          <w:lang w:val="en-US"/>
        </w:rPr>
        <w:t>Strack</w:t>
      </w:r>
      <w:proofErr w:type="spellEnd"/>
      <w:r w:rsidR="008C7D0B" w:rsidRPr="00B6152C">
        <w:rPr>
          <w:lang w:val="en-US"/>
        </w:rPr>
        <w:t>, 2009).</w:t>
      </w:r>
    </w:p>
    <w:p w14:paraId="6B5E0DE8" w14:textId="77777777" w:rsidR="0083543F" w:rsidRPr="00B6152C" w:rsidRDefault="0083543F" w:rsidP="00B6152C">
      <w:pPr>
        <w:spacing w:line="480" w:lineRule="auto"/>
        <w:jc w:val="both"/>
        <w:rPr>
          <w:rFonts w:cstheme="minorHAnsi"/>
          <w:lang w:val="en-US"/>
        </w:rPr>
      </w:pPr>
      <w:r w:rsidRPr="00B6152C">
        <w:rPr>
          <w:rFonts w:cstheme="minorHAnsi"/>
          <w:lang w:val="en-US"/>
        </w:rPr>
        <w:lastRenderedPageBreak/>
        <w:t xml:space="preserve">The most important finding of the present study, however, concerns the pattern of results demonstrated by amnesic patients. Indeed, in addition to show that amnesic patients can rely on motor fluency to guide their memory decisions, confirming that neither the ability to experience fluency nor the ability to attribute fluency to the past are impaired in amnesia </w:t>
      </w:r>
      <w:r w:rsidRPr="00B6152C">
        <w:rPr>
          <w:rFonts w:cstheme="minorHAnsi"/>
          <w:noProof/>
          <w:lang w:val="en-US"/>
        </w:rPr>
        <w:t>(see also Geurten, Bastin, et al., 2020; Geurten &amp; Willems, 2017)</w:t>
      </w:r>
      <w:r w:rsidRPr="00B6152C">
        <w:rPr>
          <w:rFonts w:cstheme="minorHAnsi"/>
          <w:lang w:val="en-US"/>
        </w:rPr>
        <w:t xml:space="preserve">, our data indicate that patients tend to use fluency </w:t>
      </w:r>
      <w:r w:rsidR="008C7D0B" w:rsidRPr="00B6152C">
        <w:rPr>
          <w:rFonts w:cstheme="minorHAnsi"/>
          <w:lang w:val="en-US"/>
        </w:rPr>
        <w:t xml:space="preserve">in the same way than controls </w:t>
      </w:r>
      <w:r w:rsidRPr="00B6152C">
        <w:rPr>
          <w:rFonts w:cstheme="minorHAnsi"/>
          <w:lang w:val="en-US"/>
        </w:rPr>
        <w:t xml:space="preserve">only for studied items, not for distractors. Several factors could account for these findings. First, it is possible that – while not totally impaired – the ability to experience fluency was reduced in amnesic patients, making more difficult for them to experience subtle enhancement of fluency (i.e., unstudied items), but allowing them to detect higher level of fluency (i.e., studied items that combined fluency from preexposure and oral motor articulation). Given the number of previous studies showing no differences in the ability of patients and controls to experience fluency outside the memory domain </w:t>
      </w:r>
      <w:r w:rsidRPr="00B6152C">
        <w:rPr>
          <w:rFonts w:cstheme="minorHAnsi"/>
          <w:noProof/>
          <w:lang w:val="en-US"/>
        </w:rPr>
        <w:t>(Conroy, Hopkins, &amp; Squire, 2005; Squire, 2004; Verfaellie &amp; Keane, 2002)</w:t>
      </w:r>
      <w:r w:rsidRPr="00B6152C">
        <w:rPr>
          <w:rFonts w:cstheme="minorHAnsi"/>
          <w:lang w:val="en-US"/>
        </w:rPr>
        <w:t xml:space="preserve">, however, this hypothesis seems quite unlikely. An alternative explanation could be that amnesic patients simply set a more conservative criterion than controls before deciding to rely on the fluency signal. Indeed, if amnesic patients only use fluency when the amount of fluency experienced is higher than a certain threshold, it could explain why their recognition performance was influenced by fluency for studied items, but not for distractors. This postulate is consistent with some findings reported by </w:t>
      </w:r>
      <w:r w:rsidRPr="00B6152C">
        <w:rPr>
          <w:rFonts w:cstheme="minorHAnsi"/>
          <w:noProof/>
          <w:lang w:val="en-US"/>
        </w:rPr>
        <w:t>Verfaellie, Sullivan Giovanello, and Keane (2001)</w:t>
      </w:r>
      <w:r w:rsidRPr="00B6152C">
        <w:rPr>
          <w:rFonts w:cstheme="minorHAnsi"/>
          <w:lang w:val="en-US"/>
        </w:rPr>
        <w:t xml:space="preserve"> showing that inducing amnesic patients to relax their response criterion improved their recognition performance by enhancing familiarity-based responses.</w:t>
      </w:r>
    </w:p>
    <w:p w14:paraId="12486882" w14:textId="0322C945" w:rsidR="0083543F" w:rsidRPr="00B6152C" w:rsidRDefault="0083543F" w:rsidP="00B6152C">
      <w:pPr>
        <w:spacing w:line="480" w:lineRule="auto"/>
        <w:jc w:val="both"/>
        <w:rPr>
          <w:lang w:val="en-US"/>
        </w:rPr>
      </w:pPr>
      <w:r w:rsidRPr="00B6152C">
        <w:rPr>
          <w:lang w:val="en-US"/>
        </w:rPr>
        <w:t xml:space="preserve">Moreover, the latter hypothesis is interesting because it suggested that some metacognitive changes occur at the level of attribution processes, making participants more careful in their use of fluency, possibly in an attempt to avoid memory errors. In substance, this theory is consistent with the hypotheses made by </w:t>
      </w:r>
      <w:proofErr w:type="spellStart"/>
      <w:r w:rsidRPr="00B6152C">
        <w:rPr>
          <w:lang w:val="en-US"/>
        </w:rPr>
        <w:t>Ozubko</w:t>
      </w:r>
      <w:proofErr w:type="spellEnd"/>
      <w:r w:rsidRPr="00B6152C">
        <w:rPr>
          <w:lang w:val="en-US"/>
        </w:rPr>
        <w:t xml:space="preserve"> and </w:t>
      </w:r>
      <w:proofErr w:type="spellStart"/>
      <w:r w:rsidRPr="00B6152C">
        <w:rPr>
          <w:lang w:val="en-US"/>
        </w:rPr>
        <w:t>Yonelinas</w:t>
      </w:r>
      <w:proofErr w:type="spellEnd"/>
      <w:r w:rsidRPr="00B6152C">
        <w:rPr>
          <w:lang w:val="en-US"/>
        </w:rPr>
        <w:t xml:space="preserve"> </w:t>
      </w:r>
      <w:r w:rsidRPr="00B6152C">
        <w:rPr>
          <w:noProof/>
          <w:lang w:val="en-US"/>
        </w:rPr>
        <w:t>(2014, see also Geurten, Bastin, et al., 2020; Geurten &amp; Willems, 2017; Geurten, Willems, Salmon, &amp; Bastin, 2020)</w:t>
      </w:r>
      <w:r w:rsidRPr="00B6152C">
        <w:rPr>
          <w:lang w:val="en-US"/>
        </w:rPr>
        <w:t xml:space="preserve"> to explain the reduction of fluency-based memory decision in amnesia. The pattern of results obtained in our study, however, is the exact opposite of the one observed by these authors. Indeed, in </w:t>
      </w:r>
      <w:proofErr w:type="spellStart"/>
      <w:r w:rsidRPr="00B6152C">
        <w:rPr>
          <w:lang w:val="en-US"/>
        </w:rPr>
        <w:t>Ozubko</w:t>
      </w:r>
      <w:proofErr w:type="spellEnd"/>
      <w:r w:rsidRPr="00B6152C">
        <w:rPr>
          <w:lang w:val="en-US"/>
        </w:rPr>
        <w:t xml:space="preserve"> and </w:t>
      </w:r>
      <w:proofErr w:type="spellStart"/>
      <w:r w:rsidRPr="00B6152C">
        <w:rPr>
          <w:lang w:val="en-US"/>
        </w:rPr>
        <w:t>Yonelinas</w:t>
      </w:r>
      <w:proofErr w:type="spellEnd"/>
      <w:r w:rsidRPr="00B6152C">
        <w:rPr>
          <w:lang w:val="en-US"/>
        </w:rPr>
        <w:t xml:space="preserve">’ study (2014), </w:t>
      </w:r>
      <w:r w:rsidRPr="00B6152C">
        <w:rPr>
          <w:lang w:val="en-US"/>
        </w:rPr>
        <w:lastRenderedPageBreak/>
        <w:t xml:space="preserve">amnesic patients appeared to rely on fluency for distractors, but not for targets, a finding that has led them to postulate that patients with amnesia are reluctant to use fluency when the experienced feeling of fluency is higher than what they believe they should be able to experience given their memory problems. </w:t>
      </w:r>
      <w:r w:rsidR="007D20D4" w:rsidRPr="00B6152C">
        <w:rPr>
          <w:lang w:val="en-US"/>
        </w:rPr>
        <w:t>An</w:t>
      </w:r>
      <w:r w:rsidRPr="00B6152C">
        <w:rPr>
          <w:lang w:val="en-US"/>
        </w:rPr>
        <w:t xml:space="preserve"> explanation </w:t>
      </w:r>
      <w:r w:rsidR="007D20D4" w:rsidRPr="00B6152C">
        <w:rPr>
          <w:lang w:val="en-US"/>
        </w:rPr>
        <w:t xml:space="preserve">for </w:t>
      </w:r>
      <w:r w:rsidRPr="00B6152C">
        <w:rPr>
          <w:lang w:val="en-US"/>
        </w:rPr>
        <w:t>these opposite results</w:t>
      </w:r>
      <w:r w:rsidR="007D20D4" w:rsidRPr="00B6152C">
        <w:rPr>
          <w:lang w:val="en-US"/>
        </w:rPr>
        <w:t xml:space="preserve"> could be </w:t>
      </w:r>
      <w:r w:rsidRPr="00B6152C">
        <w:rPr>
          <w:lang w:val="en-US"/>
        </w:rPr>
        <w:t xml:space="preserve">that, in their attempt to avoid fluency-based memory illusions, amnesic patients both (a) set a more conservative response criterion in order to prevent weak feelings of fluency to influence their decisions and (b) disqualify higher feeling of fluency when they could not attribute it to the past with a sufficient level of confidence, e.g. when an alternative source of fluency is detected </w:t>
      </w:r>
      <w:r w:rsidRPr="00B6152C">
        <w:rPr>
          <w:noProof/>
          <w:lang w:val="en-US"/>
        </w:rPr>
        <w:t>(Geurten, Bastin, et al., 2020)</w:t>
      </w:r>
      <w:r w:rsidRPr="00B6152C">
        <w:rPr>
          <w:lang w:val="en-US"/>
        </w:rPr>
        <w:t>. In the study</w:t>
      </w:r>
      <w:r w:rsidR="00212A89" w:rsidRPr="00B6152C">
        <w:rPr>
          <w:noProof/>
          <w:lang w:val="en-US"/>
        </w:rPr>
        <w:t xml:space="preserve"> of Ozubko and Yonelinas (2014),</w:t>
      </w:r>
      <w:r w:rsidRPr="00B6152C">
        <w:rPr>
          <w:lang w:val="en-US"/>
        </w:rPr>
        <w:t xml:space="preserve"> </w:t>
      </w:r>
      <w:r w:rsidR="00212A89" w:rsidRPr="00B6152C">
        <w:rPr>
          <w:lang w:val="en-US"/>
        </w:rPr>
        <w:t xml:space="preserve">the conceptual fluency manipulation was clearly visible possibly explaining why, when the level of experienced fluency was too high, patients showed no hesitation in disqualifying the fluency signal. On the reverse, in the present experiment, </w:t>
      </w:r>
      <w:r w:rsidRPr="00B6152C">
        <w:rPr>
          <w:lang w:val="en-US"/>
        </w:rPr>
        <w:t>the fluency experience t</w:t>
      </w:r>
      <w:r w:rsidR="00212A89" w:rsidRPr="00B6152C">
        <w:rPr>
          <w:lang w:val="en-US"/>
        </w:rPr>
        <w:t>ook</w:t>
      </w:r>
      <w:r w:rsidRPr="00B6152C">
        <w:rPr>
          <w:lang w:val="en-US"/>
        </w:rPr>
        <w:t xml:space="preserve"> root in the phonotactic characteristics of the stimuli, a manipulation that is potentially extremely difficult to detect. </w:t>
      </w:r>
      <w:r w:rsidR="00212A89" w:rsidRPr="00B6152C">
        <w:rPr>
          <w:lang w:val="en-US"/>
        </w:rPr>
        <w:t xml:space="preserve">Furthermore, a study of </w:t>
      </w:r>
      <w:r w:rsidR="00F66A2D" w:rsidRPr="00B6152C">
        <w:rPr>
          <w:lang w:val="en-US"/>
        </w:rPr>
        <w:t xml:space="preserve">Silva, </w:t>
      </w:r>
      <w:proofErr w:type="spellStart"/>
      <w:r w:rsidR="00F66A2D" w:rsidRPr="00B6152C">
        <w:rPr>
          <w:lang w:val="en-US"/>
        </w:rPr>
        <w:t>Chrobot</w:t>
      </w:r>
      <w:proofErr w:type="spellEnd"/>
      <w:r w:rsidR="00F66A2D" w:rsidRPr="00B6152C">
        <w:rPr>
          <w:lang w:val="en-US"/>
        </w:rPr>
        <w:t xml:space="preserve">, Newman, Schwarz, &amp; </w:t>
      </w:r>
      <w:proofErr w:type="spellStart"/>
      <w:r w:rsidR="00F66A2D" w:rsidRPr="00B6152C">
        <w:rPr>
          <w:lang w:val="en-US"/>
        </w:rPr>
        <w:t>Topolinski</w:t>
      </w:r>
      <w:proofErr w:type="spellEnd"/>
      <w:r w:rsidR="00F66A2D" w:rsidRPr="00B6152C">
        <w:rPr>
          <w:lang w:val="en-US"/>
        </w:rPr>
        <w:t xml:space="preserve"> (2017) revealed that even when explicitly trained and instructed to ignore the oral-motor effect, participants failed to correct for the impact of this type of fluency on their judgments, suggesting that even if our participants had detected the manipulation it would not have been enough for them to suppress the fluency effect. </w:t>
      </w:r>
      <w:r w:rsidRPr="00B6152C">
        <w:rPr>
          <w:lang w:val="en-US"/>
        </w:rPr>
        <w:t xml:space="preserve">According to this new hypothesis of a dual-threshold pressure, differences between amnesic and control participant in the use of fluency thus occur because patients with amnesia metacognitively reduce the window within which they tolerate to attribute a feeling of fluency to their memory. </w:t>
      </w:r>
    </w:p>
    <w:p w14:paraId="7EDDF400" w14:textId="0AA457B9" w:rsidR="0083543F" w:rsidRPr="00B6152C" w:rsidRDefault="0083543F" w:rsidP="00B6152C">
      <w:pPr>
        <w:spacing w:line="480" w:lineRule="auto"/>
        <w:jc w:val="both"/>
        <w:rPr>
          <w:lang w:val="en-US"/>
        </w:rPr>
      </w:pPr>
      <w:r w:rsidRPr="00B6152C">
        <w:rPr>
          <w:lang w:val="en-US"/>
        </w:rPr>
        <w:t>The data collected in the present experiment do not allow us to decide between these two hypotheses. Future experiments should thus be conducted</w:t>
      </w:r>
      <w:r w:rsidR="003B6296" w:rsidRPr="00B6152C">
        <w:rPr>
          <w:lang w:val="en-US"/>
        </w:rPr>
        <w:t>, first, to replicate the present findings (as most studies on amnesic patients, our sample size remained quite small) and, second,</w:t>
      </w:r>
      <w:r w:rsidRPr="00B6152C">
        <w:rPr>
          <w:lang w:val="en-US"/>
        </w:rPr>
        <w:t xml:space="preserve"> to determine which </w:t>
      </w:r>
      <w:r w:rsidR="003B6296" w:rsidRPr="00B6152C">
        <w:rPr>
          <w:lang w:val="en-US"/>
        </w:rPr>
        <w:t>hypothesis</w:t>
      </w:r>
      <w:r w:rsidRPr="00B6152C">
        <w:rPr>
          <w:lang w:val="en-US"/>
        </w:rPr>
        <w:t xml:space="preserve"> is more likely to account for the pattern of performance observed in amnesia. This could be done, for example, by examining how amnesic patients’ recognition performance evolves when both the strength and the phenomenology of the fluency signal are manipulated within the same </w:t>
      </w:r>
      <w:r w:rsidRPr="00B6152C">
        <w:rPr>
          <w:lang w:val="en-US"/>
        </w:rPr>
        <w:lastRenderedPageBreak/>
        <w:t xml:space="preserve">experiment. </w:t>
      </w:r>
      <w:r w:rsidR="00345F12" w:rsidRPr="00B6152C">
        <w:rPr>
          <w:lang w:val="en-US"/>
        </w:rPr>
        <w:t>Additionally, the present study should also be replicated using a</w:t>
      </w:r>
      <w:r w:rsidR="00A97ADB" w:rsidRPr="00B6152C">
        <w:rPr>
          <w:lang w:val="en-US"/>
        </w:rPr>
        <w:t xml:space="preserve"> different</w:t>
      </w:r>
      <w:r w:rsidR="00345F12" w:rsidRPr="00B6152C">
        <w:rPr>
          <w:lang w:val="en-US"/>
        </w:rPr>
        <w:t xml:space="preserve"> type of manipulation to suppress subvocalization in the non-oral motor condition. Indeed, according to the classical study of </w:t>
      </w:r>
      <w:proofErr w:type="spellStart"/>
      <w:r w:rsidR="00345F12" w:rsidRPr="00B6152C">
        <w:rPr>
          <w:lang w:val="en-US"/>
        </w:rPr>
        <w:t>Strack</w:t>
      </w:r>
      <w:proofErr w:type="spellEnd"/>
      <w:r w:rsidR="00345F12" w:rsidRPr="00B6152C">
        <w:rPr>
          <w:lang w:val="en-US"/>
        </w:rPr>
        <w:t>, Martin, &amp; Stepper (1988), it is possible that keeping a stick between one’s teeth did not only interfere with articulation resources but also induce</w:t>
      </w:r>
      <w:r w:rsidR="00A97ADB" w:rsidRPr="00B6152C">
        <w:rPr>
          <w:lang w:val="en-US"/>
        </w:rPr>
        <w:t>d</w:t>
      </w:r>
      <w:r w:rsidR="00345F12" w:rsidRPr="00B6152C">
        <w:rPr>
          <w:lang w:val="en-US"/>
        </w:rPr>
        <w:t xml:space="preserve"> a positive mood. Although a replication report including 17 groups </w:t>
      </w:r>
      <w:r w:rsidR="00A97ADB" w:rsidRPr="00B6152C">
        <w:rPr>
          <w:lang w:val="en-US"/>
        </w:rPr>
        <w:t xml:space="preserve">recently </w:t>
      </w:r>
      <w:r w:rsidR="00345F12" w:rsidRPr="00B6152C">
        <w:rPr>
          <w:lang w:val="en-US"/>
        </w:rPr>
        <w:t>failed to replicate this effect (</w:t>
      </w:r>
      <w:proofErr w:type="spellStart"/>
      <w:r w:rsidR="00DC0B63" w:rsidRPr="00B6152C">
        <w:rPr>
          <w:lang w:val="en-US"/>
        </w:rPr>
        <w:t>Wagenmakers</w:t>
      </w:r>
      <w:proofErr w:type="spellEnd"/>
      <w:r w:rsidR="00DC0B63" w:rsidRPr="00B6152C">
        <w:rPr>
          <w:lang w:val="en-US"/>
        </w:rPr>
        <w:t>, et al., 2016), confirming our results using another procedure would remove any ambiguities regarding this issue</w:t>
      </w:r>
      <w:r w:rsidR="00345F12" w:rsidRPr="00B6152C">
        <w:rPr>
          <w:lang w:val="en-US"/>
        </w:rPr>
        <w:t>.</w:t>
      </w:r>
      <w:r w:rsidR="00DC0B63" w:rsidRPr="00B6152C">
        <w:rPr>
          <w:lang w:val="en-US"/>
        </w:rPr>
        <w:t xml:space="preserve"> </w:t>
      </w:r>
      <w:r w:rsidRPr="00B6152C">
        <w:rPr>
          <w:lang w:val="en-US"/>
        </w:rPr>
        <w:t xml:space="preserve">Despite this limitation, however, our findings already appear to provide some major information regarding fluency-based memory functioning in amnesia. Indeed, the present results add to the small amount of data that have recently shown that attributional processes—which have long been assumed to account for the emergence of familiarity </w:t>
      </w:r>
      <w:r w:rsidRPr="00B6152C">
        <w:rPr>
          <w:noProof/>
          <w:lang w:val="en-US"/>
        </w:rPr>
        <w:t>(Jacoby &amp; Dallas, 1981)</w:t>
      </w:r>
      <w:r w:rsidRPr="00B6152C">
        <w:rPr>
          <w:lang w:val="en-US"/>
        </w:rPr>
        <w:t xml:space="preserve">—are probably not impaired in amnesia but adjust themselves to compensate for the loss of control recollection processes. Specifically, these changes seem to induce patients to become more conservative in their use of fluency, leading to a reduction of familiarity-based memory decisions in an attempt to avoid memory errors </w:t>
      </w:r>
      <w:r w:rsidRPr="00B6152C">
        <w:rPr>
          <w:noProof/>
          <w:lang w:val="en-US"/>
        </w:rPr>
        <w:t>(Geurten, Bastin, et al., 2020; Geurten &amp; Willems, 2017; Ozubko &amp; Yonelinas, 2014)</w:t>
      </w:r>
      <w:r w:rsidRPr="00B6152C">
        <w:rPr>
          <w:lang w:val="en-US"/>
        </w:rPr>
        <w:t>. Intriguingly, our results also reveal that various behavioral patterns may be observed in amnesic patients depending on how fluency is enhanced, suggesting that attribution processes may be flexible enough to adapt in such a way as to take the task’s characteristics into consideration when they have to decide whether it is appropriate to interpret fluency as a sign of past encounter.</w:t>
      </w:r>
      <w:r w:rsidRPr="00B6152C">
        <w:rPr>
          <w:lang w:val="en-US"/>
        </w:rPr>
        <w:br w:type="page"/>
      </w:r>
    </w:p>
    <w:p w14:paraId="23E6ADB8" w14:textId="77777777" w:rsidR="0083543F" w:rsidRPr="00B6152C" w:rsidRDefault="0083543F" w:rsidP="00B6152C">
      <w:pPr>
        <w:spacing w:line="480" w:lineRule="auto"/>
        <w:jc w:val="center"/>
        <w:rPr>
          <w:b/>
          <w:lang w:val="en-US"/>
        </w:rPr>
      </w:pPr>
      <w:r w:rsidRPr="00B6152C">
        <w:rPr>
          <w:b/>
          <w:lang w:val="en-US"/>
        </w:rPr>
        <w:lastRenderedPageBreak/>
        <w:t>References</w:t>
      </w:r>
    </w:p>
    <w:p w14:paraId="63A34049" w14:textId="77777777" w:rsidR="00F91FD2" w:rsidRPr="00B6152C" w:rsidRDefault="00F91FD2" w:rsidP="00B6152C">
      <w:pPr>
        <w:pStyle w:val="EndNoteBibliography"/>
        <w:spacing w:after="0" w:line="480" w:lineRule="auto"/>
        <w:ind w:left="720" w:hanging="720"/>
      </w:pPr>
      <w:r w:rsidRPr="00B6152C">
        <w:t xml:space="preserve">Addante, R. J., Ranganath, C., Olichney, J., &amp; Yonelinas, A. P. (2012). Neurophysiological evidence for a recollection impairment in amnesia patients that leaves familiarity intact. </w:t>
      </w:r>
      <w:r w:rsidRPr="00B6152C">
        <w:rPr>
          <w:i/>
        </w:rPr>
        <w:t>Neuropsychologia, 50</w:t>
      </w:r>
      <w:r w:rsidRPr="00B6152C">
        <w:t>(13), 3004–3014. doi:10.1016/j.neuropsychologia.2012.07.038</w:t>
      </w:r>
    </w:p>
    <w:p w14:paraId="08E62590" w14:textId="77777777" w:rsidR="00F91FD2" w:rsidRPr="00B6152C" w:rsidRDefault="00F91FD2" w:rsidP="00B6152C">
      <w:pPr>
        <w:pStyle w:val="EndNoteBibliography"/>
        <w:spacing w:after="0" w:line="480" w:lineRule="auto"/>
        <w:ind w:left="720" w:hanging="720"/>
      </w:pPr>
      <w:r w:rsidRPr="00B6152C">
        <w:t xml:space="preserve">Aly, M., Knight, R. T., &amp; Yonelinas, A. P. (2010). Faces are special but not too special: Spared face recognition in amnesia is based on familiarity. </w:t>
      </w:r>
      <w:r w:rsidRPr="00B6152C">
        <w:rPr>
          <w:i/>
        </w:rPr>
        <w:t>Neuropsychologia, 48</w:t>
      </w:r>
      <w:r w:rsidRPr="00B6152C">
        <w:t>(13), 3941–3948. doi:10.1016/j.neuropsychologia.2010.09.005</w:t>
      </w:r>
    </w:p>
    <w:p w14:paraId="003BAE27" w14:textId="77777777" w:rsidR="00F91FD2" w:rsidRPr="00B6152C" w:rsidRDefault="00F91FD2" w:rsidP="00B6152C">
      <w:pPr>
        <w:pStyle w:val="EndNoteBibliography"/>
        <w:spacing w:after="0" w:line="480" w:lineRule="auto"/>
        <w:ind w:left="720" w:hanging="720"/>
      </w:pPr>
      <w:r w:rsidRPr="00B6152C">
        <w:t xml:space="preserve">Bastin, C., Besson, G., Simon, J., Delhaye, E., Geurten, M., Willems, S., &amp; Salmon, E. (2019). An integrative memory model of recollection and familiarity to understand memory deficits. </w:t>
      </w:r>
      <w:r w:rsidRPr="00B6152C">
        <w:rPr>
          <w:i/>
        </w:rPr>
        <w:t>Behavioral and Brain Sciences, 42</w:t>
      </w:r>
      <w:r w:rsidRPr="00B6152C">
        <w:t>, e281. doi:10.1017/S0140525X19000621</w:t>
      </w:r>
    </w:p>
    <w:p w14:paraId="0C94C16C" w14:textId="77777777" w:rsidR="00F91FD2" w:rsidRPr="00B6152C" w:rsidRDefault="00F91FD2" w:rsidP="00B6152C">
      <w:pPr>
        <w:pStyle w:val="EndNoteBibliography"/>
        <w:spacing w:after="0" w:line="480" w:lineRule="auto"/>
        <w:ind w:left="720" w:hanging="720"/>
      </w:pPr>
      <w:r w:rsidRPr="00B6152C">
        <w:t xml:space="preserve">Conroy, M. A., Hopkins, R. O., &amp; Squire, L. (2005). On the contribution of perceptual fluency and priming to recognition memory. </w:t>
      </w:r>
      <w:r w:rsidRPr="00B6152C">
        <w:rPr>
          <w:i/>
        </w:rPr>
        <w:t>Cognitive, Affective, &amp; Behavioral Neuroscience, 5</w:t>
      </w:r>
      <w:r w:rsidRPr="00B6152C">
        <w:t>(1), 14–20. doi:10.3758/CABN.5.1.14</w:t>
      </w:r>
    </w:p>
    <w:p w14:paraId="41CD0901" w14:textId="77777777" w:rsidR="00F91FD2" w:rsidRPr="00B6152C" w:rsidRDefault="00F91FD2" w:rsidP="00B6152C">
      <w:pPr>
        <w:pStyle w:val="EndNoteBibliography"/>
        <w:spacing w:after="0" w:line="480" w:lineRule="auto"/>
        <w:ind w:left="720" w:hanging="720"/>
      </w:pPr>
      <w:r w:rsidRPr="00B6152C">
        <w:t xml:space="preserve">Geurten, M., Bastin, C., Salmon, E., &amp; Willems, S. (2020). Hunting down the source: How amnesic patients avoid fluency-based memory errors. </w:t>
      </w:r>
      <w:r w:rsidRPr="00B6152C">
        <w:rPr>
          <w:i/>
        </w:rPr>
        <w:t>Neuropsychology, 34</w:t>
      </w:r>
      <w:r w:rsidRPr="00B6152C">
        <w:t>(1), 15–23. doi:10.1037/neu0000566</w:t>
      </w:r>
    </w:p>
    <w:p w14:paraId="71DF3920" w14:textId="77777777" w:rsidR="00F91FD2" w:rsidRPr="00B6152C" w:rsidRDefault="00F91FD2" w:rsidP="00B6152C">
      <w:pPr>
        <w:pStyle w:val="EndNoteBibliography"/>
        <w:spacing w:after="0" w:line="480" w:lineRule="auto"/>
        <w:ind w:left="720" w:hanging="720"/>
      </w:pPr>
      <w:r w:rsidRPr="00B6152C">
        <w:t xml:space="preserve">Geurten, M., &amp; Willems, S. (2017). The learned reinterpretation of fluency in amnesia. </w:t>
      </w:r>
      <w:r w:rsidRPr="00B6152C">
        <w:rPr>
          <w:i/>
        </w:rPr>
        <w:t>Neuropsychologia, 101</w:t>
      </w:r>
      <w:r w:rsidRPr="00B6152C">
        <w:t>, 10–16. doi:10.1016/j.neuropsychologia.2017.05.012</w:t>
      </w:r>
    </w:p>
    <w:p w14:paraId="1B9F8660" w14:textId="77777777" w:rsidR="00F91FD2" w:rsidRPr="00B6152C" w:rsidRDefault="00F91FD2" w:rsidP="00B6152C">
      <w:pPr>
        <w:pStyle w:val="EndNoteBibliography"/>
        <w:spacing w:after="0" w:line="480" w:lineRule="auto"/>
        <w:ind w:left="720" w:hanging="720"/>
      </w:pPr>
      <w:r w:rsidRPr="00B6152C">
        <w:t xml:space="preserve">Geurten, M., Willems, S., Salmon, E., &amp; Bastin, C. (2020). Fluency-Based Memory Decisions in Alzheimer’s Disease: A Matter of Source Detection? </w:t>
      </w:r>
      <w:r w:rsidRPr="00B6152C">
        <w:rPr>
          <w:i/>
        </w:rPr>
        <w:t>Neuropsychology, 34</w:t>
      </w:r>
      <w:r w:rsidRPr="00B6152C">
        <w:t>(2), 176–185. doi:10.1037/neu0000605</w:t>
      </w:r>
    </w:p>
    <w:p w14:paraId="51F2CD31" w14:textId="77777777" w:rsidR="00F91FD2" w:rsidRPr="00B6152C" w:rsidRDefault="00F91FD2" w:rsidP="00B6152C">
      <w:pPr>
        <w:pStyle w:val="EndNoteBibliography"/>
        <w:spacing w:after="0" w:line="480" w:lineRule="auto"/>
        <w:ind w:left="720" w:hanging="720"/>
      </w:pPr>
      <w:r w:rsidRPr="00B6152C">
        <w:t xml:space="preserve">Jacoby, L. L., &amp; Dallas, M. (1981). On the relationship between autobiographical memory and perceptual learning. </w:t>
      </w:r>
      <w:r w:rsidRPr="00B6152C">
        <w:rPr>
          <w:i/>
        </w:rPr>
        <w:t>Journal of Experimental Psychology: General, 110</w:t>
      </w:r>
      <w:r w:rsidRPr="00B6152C">
        <w:t>(3), 306–340. doi:10.1037/0096-3445.110.3.306</w:t>
      </w:r>
    </w:p>
    <w:p w14:paraId="6AB6B31B" w14:textId="77777777" w:rsidR="00F91FD2" w:rsidRPr="00B6152C" w:rsidRDefault="00F91FD2" w:rsidP="00B6152C">
      <w:pPr>
        <w:pStyle w:val="EndNoteBibliography"/>
        <w:spacing w:after="0" w:line="480" w:lineRule="auto"/>
        <w:ind w:left="720" w:hanging="720"/>
      </w:pPr>
      <w:r w:rsidRPr="00B6152C">
        <w:lastRenderedPageBreak/>
        <w:t xml:space="preserve">Jacoby, L. L., &amp; Whitehouse, K. (1989). An illusion of memory: False recognition influenced by unconscious perception. </w:t>
      </w:r>
      <w:r w:rsidRPr="00B6152C">
        <w:rPr>
          <w:i/>
        </w:rPr>
        <w:t>Journal of Experimental Psychology: General, 118</w:t>
      </w:r>
      <w:r w:rsidRPr="00B6152C">
        <w:t>(2), 126–135. doi:10.1037/0096-3445.118.2.126</w:t>
      </w:r>
    </w:p>
    <w:p w14:paraId="7E01F8A2" w14:textId="77777777" w:rsidR="00F91FD2" w:rsidRPr="00B6152C" w:rsidRDefault="00F91FD2" w:rsidP="00B6152C">
      <w:pPr>
        <w:pStyle w:val="EndNoteBibliography"/>
        <w:spacing w:after="0" w:line="480" w:lineRule="auto"/>
        <w:ind w:left="720" w:hanging="720"/>
      </w:pPr>
      <w:r w:rsidRPr="00B6152C">
        <w:t xml:space="preserve">Keane, M. M., Orlando, F., &amp; Verfaellie, M. (2006). Increasing the salience of fluency cues reduces the recognition memory impairment in amnesia. </w:t>
      </w:r>
      <w:r w:rsidRPr="00B6152C">
        <w:rPr>
          <w:i/>
        </w:rPr>
        <w:t>Neuropsychologia, 44</w:t>
      </w:r>
      <w:r w:rsidRPr="00B6152C">
        <w:t>(5), 834–839. doi:10.1016/j.neuropsychologia.2005.08.003</w:t>
      </w:r>
    </w:p>
    <w:p w14:paraId="2CAC5949" w14:textId="77777777" w:rsidR="00F91FD2" w:rsidRPr="00B6152C" w:rsidRDefault="00F91FD2" w:rsidP="00B6152C">
      <w:pPr>
        <w:pStyle w:val="EndNoteBibliography"/>
        <w:spacing w:after="0" w:line="480" w:lineRule="auto"/>
        <w:ind w:left="720" w:hanging="720"/>
      </w:pPr>
      <w:r w:rsidRPr="00B6152C">
        <w:t xml:space="preserve">Kelley, C. M., &amp; Rhodes, M. G. (2002). Making sense and nonsense of experience: Attributions in memory and judgment </w:t>
      </w:r>
      <w:r w:rsidRPr="00B6152C">
        <w:rPr>
          <w:i/>
        </w:rPr>
        <w:t>Psychology of Learning and Motivation</w:t>
      </w:r>
      <w:r w:rsidRPr="00B6152C">
        <w:t xml:space="preserve"> (Vol. 41, pp. 293–320): Academic Press.</w:t>
      </w:r>
    </w:p>
    <w:p w14:paraId="6AEA17DD" w14:textId="77777777" w:rsidR="00F91FD2" w:rsidRPr="00B6152C" w:rsidRDefault="00F91FD2" w:rsidP="00B6152C">
      <w:pPr>
        <w:pStyle w:val="EndNoteBibliography"/>
        <w:spacing w:after="0" w:line="480" w:lineRule="auto"/>
        <w:ind w:left="720" w:hanging="720"/>
      </w:pPr>
      <w:r w:rsidRPr="00B6152C">
        <w:t xml:space="preserve">Majerus, S., Linden, M. V. d., Mulder, L., Meulemans, T., &amp; Peters, F. (2004). Verbal short-term memory reflects the sublexical organization of the phonological language network: Evidence from an incidental phonotactic learning paradigm. </w:t>
      </w:r>
      <w:r w:rsidRPr="00B6152C">
        <w:rPr>
          <w:i/>
        </w:rPr>
        <w:t>Journal of Memory and Language, 51</w:t>
      </w:r>
      <w:r w:rsidRPr="00B6152C">
        <w:t>(2), 297–306. doi:10.1016/j.jml.2004.05.002</w:t>
      </w:r>
    </w:p>
    <w:p w14:paraId="31A26B07" w14:textId="77777777" w:rsidR="00F91FD2" w:rsidRPr="00B6152C" w:rsidRDefault="00F91FD2" w:rsidP="00B6152C">
      <w:pPr>
        <w:pStyle w:val="EndNoteBibliography"/>
        <w:spacing w:after="0" w:line="480" w:lineRule="auto"/>
        <w:ind w:left="720" w:hanging="720"/>
      </w:pPr>
      <w:r w:rsidRPr="00B6152C">
        <w:t xml:space="preserve">Ozubko, J. D., &amp; Yonelinas, A. P. (2014). The disruptive effects of processing fluency on familiarity-based recognition in amnesia. </w:t>
      </w:r>
      <w:r w:rsidRPr="00B6152C">
        <w:rPr>
          <w:i/>
        </w:rPr>
        <w:t>Neuropsychologia, 54</w:t>
      </w:r>
      <w:r w:rsidRPr="00B6152C">
        <w:t>, 59–67. doi:10.1016/j.neuropsychologia.2013.12.008</w:t>
      </w:r>
    </w:p>
    <w:p w14:paraId="571EC9A2" w14:textId="78DD74F2" w:rsidR="00345F12" w:rsidRPr="00B6152C" w:rsidRDefault="00345F12" w:rsidP="00B6152C">
      <w:pPr>
        <w:pStyle w:val="EndNoteBibliography"/>
        <w:spacing w:after="0" w:line="480" w:lineRule="auto"/>
        <w:ind w:left="720" w:hanging="720"/>
      </w:pPr>
      <w:r w:rsidRPr="00B6152C">
        <w:t xml:space="preserve">Silva, R. R., Chrobot, N., Newman, E., Schwarz, N., &amp; Topolinski, S. (2017). Make It Short and Easy: Username Complexity Determines Trustworthiness Above and Beyond Objective Reputation. </w:t>
      </w:r>
      <w:r w:rsidRPr="00B6152C">
        <w:rPr>
          <w:i/>
          <w:iCs/>
        </w:rPr>
        <w:t>Frontiers in Psychology, 8</w:t>
      </w:r>
      <w:r w:rsidRPr="00B6152C">
        <w:t>(2200). doi:10.3389/fpsyg.2017.02200</w:t>
      </w:r>
    </w:p>
    <w:p w14:paraId="3EF0BB31" w14:textId="7E7B3149" w:rsidR="00F91FD2" w:rsidRPr="00B6152C" w:rsidRDefault="00F91FD2" w:rsidP="00B6152C">
      <w:pPr>
        <w:pStyle w:val="EndNoteBibliography"/>
        <w:spacing w:after="0" w:line="480" w:lineRule="auto"/>
        <w:ind w:left="720" w:hanging="720"/>
      </w:pPr>
      <w:r w:rsidRPr="00B6152C">
        <w:t xml:space="preserve">Squire, L. (2004). Memory systems of the brain: A brief history and current perspective. </w:t>
      </w:r>
      <w:r w:rsidRPr="00B6152C">
        <w:rPr>
          <w:i/>
        </w:rPr>
        <w:t>Neurobiology of Learning and Memory, 82</w:t>
      </w:r>
      <w:r w:rsidRPr="00B6152C">
        <w:t>(3), 171-177. doi:http://dx.doi.org/10.1016/j.nlm.2004.06.005</w:t>
      </w:r>
    </w:p>
    <w:p w14:paraId="01526BA3" w14:textId="38C67179" w:rsidR="00345F12" w:rsidRPr="00B6152C" w:rsidRDefault="00345F12" w:rsidP="00B6152C">
      <w:pPr>
        <w:pStyle w:val="EndNoteBibliography"/>
        <w:spacing w:after="0" w:line="480" w:lineRule="auto"/>
        <w:ind w:left="720" w:hanging="720"/>
      </w:pPr>
      <w:r w:rsidRPr="00B6152C">
        <w:t xml:space="preserve">Strack, F., Martin, L. L., &amp; Stepper, S. (1988). Inhibiting and facilitating conditions of the human smile: a nonobtrusive test of the facial feedback hypothesis. </w:t>
      </w:r>
      <w:r w:rsidRPr="00B6152C">
        <w:rPr>
          <w:i/>
          <w:iCs/>
        </w:rPr>
        <w:t>Journal of Personnality and Social Psychology, 54</w:t>
      </w:r>
      <w:r w:rsidRPr="00B6152C">
        <w:t>(5), 768–777. doi:10.1037//0022-3514.54.5.768</w:t>
      </w:r>
    </w:p>
    <w:p w14:paraId="344A23DD" w14:textId="77793E28" w:rsidR="00F91FD2" w:rsidRPr="00B6152C" w:rsidRDefault="00F91FD2" w:rsidP="00B6152C">
      <w:pPr>
        <w:pStyle w:val="EndNoteBibliography"/>
        <w:spacing w:after="0" w:line="480" w:lineRule="auto"/>
        <w:ind w:left="720" w:hanging="720"/>
      </w:pPr>
      <w:r w:rsidRPr="00B6152C">
        <w:t xml:space="preserve">Topolinski, S. (2012). The sensorimotor contributions to implicit memory, familiarity, and recollection. </w:t>
      </w:r>
      <w:r w:rsidRPr="00B6152C">
        <w:rPr>
          <w:i/>
        </w:rPr>
        <w:t>Journal of Experimental Psychology: General, 141</w:t>
      </w:r>
      <w:r w:rsidRPr="00B6152C">
        <w:t>(2), 260–281. doi:10.1037/a0025658</w:t>
      </w:r>
    </w:p>
    <w:p w14:paraId="1B4E9FB1" w14:textId="77777777" w:rsidR="00F91FD2" w:rsidRPr="00B6152C" w:rsidRDefault="00F91FD2" w:rsidP="00B6152C">
      <w:pPr>
        <w:pStyle w:val="EndNoteBibliography"/>
        <w:spacing w:after="0" w:line="480" w:lineRule="auto"/>
        <w:ind w:left="720" w:hanging="720"/>
      </w:pPr>
      <w:r w:rsidRPr="00B6152C">
        <w:lastRenderedPageBreak/>
        <w:t xml:space="preserve">Topolinski, S., &amp; Strack, F. (2009). Motormouth: Mere exposure depends on stimulus-specific motor simulations. </w:t>
      </w:r>
      <w:r w:rsidRPr="00B6152C">
        <w:rPr>
          <w:i/>
        </w:rPr>
        <w:t>Journal of Experimental Psychology: Learning, Memory, and Cognition, 35</w:t>
      </w:r>
      <w:r w:rsidRPr="00B6152C">
        <w:t>(2), 423–433. doi:10.1037/a0014504</w:t>
      </w:r>
    </w:p>
    <w:p w14:paraId="32510AF0" w14:textId="77777777" w:rsidR="00F91FD2" w:rsidRPr="00B6152C" w:rsidRDefault="00F91FD2" w:rsidP="00B6152C">
      <w:pPr>
        <w:pStyle w:val="EndNoteBibliography"/>
        <w:spacing w:after="0" w:line="480" w:lineRule="auto"/>
        <w:ind w:left="720" w:hanging="720"/>
      </w:pPr>
      <w:r w:rsidRPr="00B6152C">
        <w:t xml:space="preserve">Verfaellie, M., &amp; Keane, M. M. (2002). Impaired and preserved memory processes in amnesia. In L. Squire &amp; D. L. Schacter (Eds.), </w:t>
      </w:r>
      <w:r w:rsidRPr="00B6152C">
        <w:rPr>
          <w:i/>
        </w:rPr>
        <w:t>Neuropsyhology of Memory</w:t>
      </w:r>
      <w:r w:rsidRPr="00B6152C">
        <w:t xml:space="preserve"> (pp. 35–46). New York: Guilford Press.</w:t>
      </w:r>
    </w:p>
    <w:p w14:paraId="6A1D7785" w14:textId="77777777" w:rsidR="00F91FD2" w:rsidRPr="00B6152C" w:rsidRDefault="00F91FD2" w:rsidP="00B6152C">
      <w:pPr>
        <w:pStyle w:val="EndNoteBibliography"/>
        <w:spacing w:after="0" w:line="480" w:lineRule="auto"/>
        <w:ind w:left="720" w:hanging="720"/>
      </w:pPr>
      <w:r w:rsidRPr="00B6152C">
        <w:t xml:space="preserve">Verfaellie, M., Sullivan Giovanello, K., &amp; Keane, M. M. (2001). Recognition memory in amnesia: Effects of relaxing response criteria. </w:t>
      </w:r>
      <w:r w:rsidRPr="00B6152C">
        <w:rPr>
          <w:i/>
        </w:rPr>
        <w:t>Cognitive, Affective, &amp; Behavioral Neuroscience, 1</w:t>
      </w:r>
      <w:r w:rsidRPr="00B6152C">
        <w:t>(1), 3–9. doi:10.3758/CABN.1.1.3</w:t>
      </w:r>
    </w:p>
    <w:p w14:paraId="1595AE72" w14:textId="7F262FDC" w:rsidR="00345F12" w:rsidRPr="00B6152C" w:rsidRDefault="00345F12" w:rsidP="00B6152C">
      <w:pPr>
        <w:pStyle w:val="EndNoteBibliography"/>
        <w:spacing w:after="0" w:line="480" w:lineRule="auto"/>
        <w:ind w:left="720" w:hanging="720"/>
      </w:pPr>
      <w:r w:rsidRPr="00B6152C">
        <w:t xml:space="preserve">Wagenmakers, E.-J., Beek, T., Dijkhoff, L., Gronau, Q. F., Acosta, A., Adams, R. B., . . . Zwaan, R. A. (2016). Registered Replication Report:Strack, Martin, &amp; Stepper (1988). </w:t>
      </w:r>
      <w:r w:rsidRPr="00B6152C">
        <w:rPr>
          <w:i/>
          <w:iCs/>
        </w:rPr>
        <w:t>Perspectives on Psychological Science, 11</w:t>
      </w:r>
      <w:r w:rsidRPr="00B6152C">
        <w:t>(6), 917–928. doi:10.1177/1745691616674458</w:t>
      </w:r>
    </w:p>
    <w:p w14:paraId="077F1D76" w14:textId="0BD8C1F6" w:rsidR="00F91FD2" w:rsidRPr="00B6152C" w:rsidRDefault="00F91FD2" w:rsidP="00B6152C">
      <w:pPr>
        <w:pStyle w:val="EndNoteBibliography"/>
        <w:spacing w:after="0" w:line="480" w:lineRule="auto"/>
        <w:ind w:left="720" w:hanging="720"/>
      </w:pPr>
      <w:r w:rsidRPr="00B6152C">
        <w:t xml:space="preserve">Wechsler, D. (1997). </w:t>
      </w:r>
      <w:r w:rsidRPr="00B6152C">
        <w:rPr>
          <w:i/>
        </w:rPr>
        <w:t>WMS-III: Wechsler memory scale administration and scoring manual</w:t>
      </w:r>
      <w:r w:rsidRPr="00B6152C">
        <w:t>: Psychological Corporation.</w:t>
      </w:r>
    </w:p>
    <w:p w14:paraId="3299D9D0" w14:textId="77777777" w:rsidR="00F91FD2" w:rsidRPr="00B6152C" w:rsidRDefault="00F91FD2" w:rsidP="00B6152C">
      <w:pPr>
        <w:pStyle w:val="EndNoteBibliography"/>
        <w:spacing w:after="0" w:line="480" w:lineRule="auto"/>
        <w:ind w:left="720" w:hanging="720"/>
      </w:pPr>
      <w:r w:rsidRPr="00B6152C">
        <w:rPr>
          <w:lang w:val="de-DE"/>
        </w:rPr>
        <w:t xml:space="preserve">Wechsler, D., &amp; Hsiao-pin, C. (2011). </w:t>
      </w:r>
      <w:r w:rsidRPr="00B6152C">
        <w:t xml:space="preserve">WASI II: Wechsler Abbreviated Scale of Intelligence. 2nd. </w:t>
      </w:r>
      <w:r w:rsidRPr="00B6152C">
        <w:rPr>
          <w:i/>
        </w:rPr>
        <w:t>Psychological Corporation</w:t>
      </w:r>
      <w:r w:rsidRPr="00B6152C">
        <w:t xml:space="preserve">. </w:t>
      </w:r>
    </w:p>
    <w:p w14:paraId="5345BEE7" w14:textId="77777777" w:rsidR="00B01330" w:rsidRPr="00B6152C" w:rsidRDefault="00B01330" w:rsidP="00B6152C">
      <w:pPr>
        <w:pStyle w:val="EndNoteBibliography"/>
        <w:spacing w:after="0" w:line="480" w:lineRule="auto"/>
        <w:ind w:left="720" w:hanging="720"/>
      </w:pPr>
      <w:r w:rsidRPr="00B6152C">
        <w:t xml:space="preserve">Westerman, D. L., Klin, C. M., &amp; Lanska, M. (2015). On the (elusive) role of oral motor-movements in fluency-based memory illusions. </w:t>
      </w:r>
      <w:r w:rsidRPr="00B6152C">
        <w:rPr>
          <w:i/>
          <w:iCs/>
        </w:rPr>
        <w:t>Journal of Experimental Psychology: Learning, Memory, and Cognition, 41</w:t>
      </w:r>
      <w:r w:rsidRPr="00B6152C">
        <w:t>(4), 1003–1013. doi:10.1037/xlm0000094</w:t>
      </w:r>
    </w:p>
    <w:p w14:paraId="35B9828E" w14:textId="77777777" w:rsidR="00F91FD2" w:rsidRPr="00B6152C" w:rsidRDefault="00F91FD2" w:rsidP="00B6152C">
      <w:pPr>
        <w:pStyle w:val="EndNoteBibliography"/>
        <w:spacing w:after="0" w:line="480" w:lineRule="auto"/>
        <w:ind w:left="720" w:hanging="720"/>
      </w:pPr>
      <w:r w:rsidRPr="00B6152C">
        <w:t xml:space="preserve">Whittlesea, B. W. A. (1993). Illusions of familiarity. </w:t>
      </w:r>
      <w:r w:rsidRPr="00B6152C">
        <w:rPr>
          <w:i/>
        </w:rPr>
        <w:t>Journal of Experimental Psychology: Learning, Memory, and Cognition, 19</w:t>
      </w:r>
      <w:r w:rsidRPr="00B6152C">
        <w:t>(6), 1235–1253. doi:10.1037/0278-7393.19.6.1235</w:t>
      </w:r>
    </w:p>
    <w:p w14:paraId="28D244E0" w14:textId="77777777" w:rsidR="00F91FD2" w:rsidRPr="00B6152C" w:rsidRDefault="00F91FD2" w:rsidP="00B6152C">
      <w:pPr>
        <w:pStyle w:val="EndNoteBibliography"/>
        <w:spacing w:after="0" w:line="480" w:lineRule="auto"/>
        <w:ind w:left="720" w:hanging="720"/>
      </w:pPr>
      <w:r w:rsidRPr="00B6152C">
        <w:t xml:space="preserve">Whittlesea, B. W. A., &amp; Williams, L. D. (2000). The source of feelings of familiarity: The discrepancy-attribution hypothesis. </w:t>
      </w:r>
      <w:r w:rsidRPr="00B6152C">
        <w:rPr>
          <w:i/>
        </w:rPr>
        <w:t>Journal of Experimental Psychology: Learning, Memory, and Cognition, 26</w:t>
      </w:r>
      <w:r w:rsidRPr="00B6152C">
        <w:t>(3), 547–565. doi:10.1037/0278-7393.26.3.547</w:t>
      </w:r>
    </w:p>
    <w:p w14:paraId="25A8FD33" w14:textId="77777777" w:rsidR="00F91FD2" w:rsidRPr="00B6152C" w:rsidRDefault="00F91FD2" w:rsidP="00B6152C">
      <w:pPr>
        <w:pStyle w:val="EndNoteBibliography"/>
        <w:spacing w:after="0" w:line="480" w:lineRule="auto"/>
        <w:ind w:left="720" w:hanging="720"/>
      </w:pPr>
      <w:r w:rsidRPr="00B6152C">
        <w:lastRenderedPageBreak/>
        <w:t xml:space="preserve">Whittlesea, B. W. A., &amp; Williams, L. D. (2001a). The discrepancy-attribution hypothesis: I. The heuristic basis of feelings and familiarity. </w:t>
      </w:r>
      <w:r w:rsidRPr="00B6152C">
        <w:rPr>
          <w:i/>
        </w:rPr>
        <w:t>Journal of Experimental Psychology: Learning, Memory, and Cognition, 27</w:t>
      </w:r>
      <w:r w:rsidRPr="00B6152C">
        <w:t>(1), 3–13. doi:10.1037/0278-7393.27.1.3</w:t>
      </w:r>
    </w:p>
    <w:p w14:paraId="5F064D5D" w14:textId="77777777" w:rsidR="00F91FD2" w:rsidRPr="00B6152C" w:rsidRDefault="00F91FD2" w:rsidP="00B6152C">
      <w:pPr>
        <w:pStyle w:val="EndNoteBibliography"/>
        <w:spacing w:line="480" w:lineRule="auto"/>
        <w:ind w:left="720" w:hanging="720"/>
      </w:pPr>
      <w:r w:rsidRPr="00B6152C">
        <w:t xml:space="preserve">Whittlesea, B. W. A., &amp; Williams, L. D. (2001b). The discrepancy-attribution hypothesis: II. Expectation, uncertainty, surprise, and feelings of familiarity. </w:t>
      </w:r>
      <w:r w:rsidRPr="00B6152C">
        <w:rPr>
          <w:i/>
        </w:rPr>
        <w:t>Journal of Experimental Psychology: Learning, Memory, and Cognition, 27</w:t>
      </w:r>
      <w:r w:rsidRPr="00B6152C">
        <w:t>(1), 14–33. doi:10.1037/0278-7393.27.1.14</w:t>
      </w:r>
    </w:p>
    <w:p w14:paraId="0FD2DFB3" w14:textId="77777777" w:rsidR="0083543F" w:rsidRPr="00B6152C" w:rsidRDefault="0083543F" w:rsidP="00B6152C">
      <w:pPr>
        <w:spacing w:line="480" w:lineRule="auto"/>
        <w:rPr>
          <w:lang w:val="en-US"/>
        </w:rPr>
      </w:pPr>
    </w:p>
    <w:p w14:paraId="27DC939F" w14:textId="77777777" w:rsidR="0083543F" w:rsidRPr="00B6152C" w:rsidRDefault="0083543F" w:rsidP="00B6152C">
      <w:pPr>
        <w:spacing w:line="480" w:lineRule="auto"/>
        <w:rPr>
          <w:lang w:val="en-US"/>
        </w:rPr>
      </w:pPr>
      <w:r w:rsidRPr="00B6152C">
        <w:rPr>
          <w:lang w:val="en-US"/>
        </w:rPr>
        <w:br w:type="page"/>
      </w:r>
    </w:p>
    <w:p w14:paraId="5417FA13" w14:textId="77777777" w:rsidR="005D647E" w:rsidRPr="00B6152C" w:rsidRDefault="005D647E" w:rsidP="00B6152C">
      <w:pPr>
        <w:spacing w:line="480" w:lineRule="auto"/>
        <w:rPr>
          <w:lang w:val="en-US"/>
        </w:rPr>
      </w:pPr>
      <w:r w:rsidRPr="00B6152C">
        <w:rPr>
          <w:lang w:val="en-US"/>
        </w:rPr>
        <w:lastRenderedPageBreak/>
        <w:t>Table 1</w:t>
      </w:r>
    </w:p>
    <w:p w14:paraId="36E19766" w14:textId="77777777" w:rsidR="005D647E" w:rsidRPr="00B6152C" w:rsidRDefault="005D647E" w:rsidP="00B6152C">
      <w:pPr>
        <w:spacing w:line="480" w:lineRule="auto"/>
        <w:rPr>
          <w:i/>
          <w:lang w:val="en-US"/>
        </w:rPr>
      </w:pPr>
      <w:r w:rsidRPr="00B6152C">
        <w:rPr>
          <w:i/>
          <w:lang w:val="en-US"/>
        </w:rPr>
        <w:t>Summary of Amnesic Patients’ Characteristics</w:t>
      </w:r>
    </w:p>
    <w:tbl>
      <w:tblPr>
        <w:tblW w:w="5000" w:type="pct"/>
        <w:tblCellMar>
          <w:left w:w="70" w:type="dxa"/>
          <w:right w:w="70" w:type="dxa"/>
        </w:tblCellMar>
        <w:tblLook w:val="00A0" w:firstRow="1" w:lastRow="0" w:firstColumn="1" w:lastColumn="0" w:noHBand="0" w:noVBand="0"/>
      </w:tblPr>
      <w:tblGrid>
        <w:gridCol w:w="2058"/>
        <w:gridCol w:w="548"/>
        <w:gridCol w:w="477"/>
        <w:gridCol w:w="1187"/>
        <w:gridCol w:w="541"/>
        <w:gridCol w:w="494"/>
        <w:gridCol w:w="533"/>
        <w:gridCol w:w="539"/>
        <w:gridCol w:w="486"/>
        <w:gridCol w:w="167"/>
        <w:gridCol w:w="597"/>
        <w:gridCol w:w="532"/>
        <w:gridCol w:w="459"/>
        <w:gridCol w:w="454"/>
      </w:tblGrid>
      <w:tr w:rsidR="005D647E" w:rsidRPr="00B6152C" w14:paraId="44F2350C" w14:textId="77777777" w:rsidTr="00C54014">
        <w:trPr>
          <w:trHeight w:val="660"/>
        </w:trPr>
        <w:tc>
          <w:tcPr>
            <w:tcW w:w="1135" w:type="pct"/>
            <w:tcBorders>
              <w:top w:val="single" w:sz="4" w:space="0" w:color="auto"/>
              <w:left w:val="nil"/>
              <w:bottom w:val="nil"/>
              <w:right w:val="nil"/>
            </w:tcBorders>
            <w:noWrap/>
            <w:vAlign w:val="bottom"/>
          </w:tcPr>
          <w:p w14:paraId="0779FE7F" w14:textId="77777777" w:rsidR="005D647E" w:rsidRPr="00B6152C" w:rsidRDefault="005D647E" w:rsidP="00B6152C">
            <w:pPr>
              <w:spacing w:line="480" w:lineRule="auto"/>
              <w:rPr>
                <w:lang w:val="en-US"/>
              </w:rPr>
            </w:pPr>
          </w:p>
        </w:tc>
        <w:tc>
          <w:tcPr>
            <w:tcW w:w="302" w:type="pct"/>
            <w:tcBorders>
              <w:top w:val="single" w:sz="4" w:space="0" w:color="auto"/>
              <w:left w:val="nil"/>
              <w:bottom w:val="nil"/>
              <w:right w:val="nil"/>
            </w:tcBorders>
            <w:noWrap/>
            <w:vAlign w:val="bottom"/>
          </w:tcPr>
          <w:p w14:paraId="6E250AD3" w14:textId="77777777" w:rsidR="005D647E" w:rsidRPr="00B6152C" w:rsidRDefault="005D647E" w:rsidP="00B6152C">
            <w:pPr>
              <w:spacing w:line="480" w:lineRule="auto"/>
              <w:rPr>
                <w:lang w:val="en-US"/>
              </w:rPr>
            </w:pPr>
          </w:p>
        </w:tc>
        <w:tc>
          <w:tcPr>
            <w:tcW w:w="917" w:type="pct"/>
            <w:gridSpan w:val="2"/>
            <w:tcBorders>
              <w:top w:val="single" w:sz="4" w:space="0" w:color="auto"/>
              <w:left w:val="nil"/>
              <w:bottom w:val="nil"/>
              <w:right w:val="nil"/>
            </w:tcBorders>
            <w:noWrap/>
            <w:vAlign w:val="bottom"/>
          </w:tcPr>
          <w:p w14:paraId="1E1D45CD" w14:textId="77777777" w:rsidR="005D647E" w:rsidRPr="00B6152C" w:rsidRDefault="005D647E" w:rsidP="00B6152C">
            <w:pPr>
              <w:spacing w:line="480" w:lineRule="auto"/>
              <w:rPr>
                <w:lang w:val="en-US"/>
              </w:rPr>
            </w:pPr>
          </w:p>
        </w:tc>
        <w:tc>
          <w:tcPr>
            <w:tcW w:w="1429" w:type="pct"/>
            <w:gridSpan w:val="5"/>
            <w:tcBorders>
              <w:top w:val="single" w:sz="4" w:space="0" w:color="auto"/>
              <w:left w:val="nil"/>
              <w:bottom w:val="nil"/>
              <w:right w:val="nil"/>
            </w:tcBorders>
            <w:vAlign w:val="bottom"/>
          </w:tcPr>
          <w:p w14:paraId="640B9AC5" w14:textId="77777777" w:rsidR="005D647E" w:rsidRPr="00B6152C" w:rsidRDefault="005D647E" w:rsidP="00B6152C">
            <w:pPr>
              <w:spacing w:line="480" w:lineRule="auto"/>
              <w:jc w:val="center"/>
              <w:rPr>
                <w:lang w:val="en-US"/>
              </w:rPr>
            </w:pPr>
            <w:r w:rsidRPr="00B6152C">
              <w:rPr>
                <w:lang w:val="en-US"/>
              </w:rPr>
              <w:t>WASI–II</w:t>
            </w:r>
          </w:p>
        </w:tc>
        <w:tc>
          <w:tcPr>
            <w:tcW w:w="92" w:type="pct"/>
            <w:tcBorders>
              <w:top w:val="single" w:sz="4" w:space="0" w:color="auto"/>
              <w:left w:val="nil"/>
              <w:right w:val="nil"/>
            </w:tcBorders>
          </w:tcPr>
          <w:p w14:paraId="2C3D547B" w14:textId="77777777" w:rsidR="005D647E" w:rsidRPr="00B6152C" w:rsidRDefault="005D647E" w:rsidP="00B6152C">
            <w:pPr>
              <w:spacing w:line="480" w:lineRule="auto"/>
              <w:jc w:val="center"/>
              <w:rPr>
                <w:lang w:val="en-US"/>
              </w:rPr>
            </w:pPr>
          </w:p>
        </w:tc>
        <w:tc>
          <w:tcPr>
            <w:tcW w:w="1126" w:type="pct"/>
            <w:gridSpan w:val="4"/>
            <w:tcBorders>
              <w:top w:val="single" w:sz="4" w:space="0" w:color="auto"/>
              <w:left w:val="nil"/>
              <w:bottom w:val="nil"/>
              <w:right w:val="nil"/>
            </w:tcBorders>
            <w:noWrap/>
            <w:vAlign w:val="bottom"/>
          </w:tcPr>
          <w:p w14:paraId="47DEAF27" w14:textId="77777777" w:rsidR="005D647E" w:rsidRPr="00B6152C" w:rsidRDefault="005D647E" w:rsidP="00B6152C">
            <w:pPr>
              <w:spacing w:line="480" w:lineRule="auto"/>
              <w:jc w:val="center"/>
              <w:rPr>
                <w:lang w:val="en-US"/>
              </w:rPr>
            </w:pPr>
            <w:r w:rsidRPr="00B6152C">
              <w:rPr>
                <w:lang w:val="en-US"/>
              </w:rPr>
              <w:t>WMS-III</w:t>
            </w:r>
          </w:p>
        </w:tc>
      </w:tr>
      <w:tr w:rsidR="005D647E" w:rsidRPr="00B6152C" w14:paraId="39B31354" w14:textId="77777777" w:rsidTr="00C54014">
        <w:trPr>
          <w:trHeight w:val="390"/>
        </w:trPr>
        <w:tc>
          <w:tcPr>
            <w:tcW w:w="1135" w:type="pct"/>
            <w:tcBorders>
              <w:top w:val="nil"/>
              <w:left w:val="nil"/>
              <w:bottom w:val="single" w:sz="4" w:space="0" w:color="auto"/>
              <w:right w:val="nil"/>
            </w:tcBorders>
            <w:noWrap/>
            <w:vAlign w:val="bottom"/>
          </w:tcPr>
          <w:p w14:paraId="1AE9EAF3" w14:textId="77777777" w:rsidR="005D647E" w:rsidRPr="00B6152C" w:rsidRDefault="005D647E" w:rsidP="00B6152C">
            <w:pPr>
              <w:spacing w:line="480" w:lineRule="auto"/>
              <w:rPr>
                <w:lang w:val="en-US"/>
              </w:rPr>
            </w:pPr>
            <w:r w:rsidRPr="00B6152C">
              <w:rPr>
                <w:lang w:val="en-US"/>
              </w:rPr>
              <w:t>Etiology</w:t>
            </w:r>
          </w:p>
        </w:tc>
        <w:tc>
          <w:tcPr>
            <w:tcW w:w="302" w:type="pct"/>
            <w:tcBorders>
              <w:top w:val="nil"/>
              <w:left w:val="nil"/>
              <w:bottom w:val="single" w:sz="4" w:space="0" w:color="auto"/>
              <w:right w:val="nil"/>
            </w:tcBorders>
            <w:noWrap/>
            <w:vAlign w:val="bottom"/>
          </w:tcPr>
          <w:p w14:paraId="1AE71ABC" w14:textId="77777777" w:rsidR="005D647E" w:rsidRPr="00B6152C" w:rsidRDefault="005D647E" w:rsidP="00B6152C">
            <w:pPr>
              <w:spacing w:line="480" w:lineRule="auto"/>
              <w:jc w:val="center"/>
              <w:rPr>
                <w:lang w:val="en-US"/>
              </w:rPr>
            </w:pPr>
            <w:r w:rsidRPr="00B6152C">
              <w:rPr>
                <w:lang w:val="en-US"/>
              </w:rPr>
              <w:t>Age</w:t>
            </w:r>
          </w:p>
        </w:tc>
        <w:tc>
          <w:tcPr>
            <w:tcW w:w="263" w:type="pct"/>
            <w:tcBorders>
              <w:top w:val="nil"/>
              <w:left w:val="nil"/>
              <w:bottom w:val="single" w:sz="4" w:space="0" w:color="auto"/>
              <w:right w:val="nil"/>
            </w:tcBorders>
            <w:noWrap/>
            <w:vAlign w:val="bottom"/>
          </w:tcPr>
          <w:p w14:paraId="2EF96974" w14:textId="77777777" w:rsidR="005D647E" w:rsidRPr="00B6152C" w:rsidRDefault="005D647E" w:rsidP="00B6152C">
            <w:pPr>
              <w:spacing w:line="480" w:lineRule="auto"/>
              <w:jc w:val="center"/>
              <w:rPr>
                <w:lang w:val="en-US"/>
              </w:rPr>
            </w:pPr>
            <w:r w:rsidRPr="00B6152C">
              <w:rPr>
                <w:lang w:val="en-US"/>
              </w:rPr>
              <w:t>Ed.</w:t>
            </w:r>
          </w:p>
        </w:tc>
        <w:tc>
          <w:tcPr>
            <w:tcW w:w="654" w:type="pct"/>
            <w:tcBorders>
              <w:top w:val="nil"/>
              <w:left w:val="nil"/>
              <w:bottom w:val="single" w:sz="4" w:space="0" w:color="auto"/>
              <w:right w:val="nil"/>
            </w:tcBorders>
            <w:noWrap/>
            <w:vAlign w:val="bottom"/>
          </w:tcPr>
          <w:p w14:paraId="314F41BC" w14:textId="77777777" w:rsidR="005D647E" w:rsidRPr="00B6152C" w:rsidRDefault="005D647E" w:rsidP="00B6152C">
            <w:pPr>
              <w:spacing w:line="480" w:lineRule="auto"/>
              <w:jc w:val="center"/>
              <w:rPr>
                <w:lang w:val="en-US"/>
              </w:rPr>
            </w:pPr>
            <w:r w:rsidRPr="00B6152C">
              <w:rPr>
                <w:lang w:val="en-US"/>
              </w:rPr>
              <w:t>TD (years)</w:t>
            </w:r>
          </w:p>
        </w:tc>
        <w:tc>
          <w:tcPr>
            <w:tcW w:w="298" w:type="pct"/>
            <w:tcBorders>
              <w:top w:val="single" w:sz="4" w:space="0" w:color="auto"/>
              <w:left w:val="nil"/>
              <w:bottom w:val="single" w:sz="4" w:space="0" w:color="auto"/>
              <w:right w:val="nil"/>
            </w:tcBorders>
          </w:tcPr>
          <w:p w14:paraId="4899A4C9" w14:textId="77777777" w:rsidR="005D647E" w:rsidRPr="00B6152C" w:rsidRDefault="005D647E" w:rsidP="00B6152C">
            <w:pPr>
              <w:spacing w:line="480" w:lineRule="auto"/>
              <w:jc w:val="center"/>
              <w:rPr>
                <w:lang w:val="en-US"/>
              </w:rPr>
            </w:pPr>
            <w:r w:rsidRPr="00B6152C">
              <w:rPr>
                <w:lang w:val="en-US"/>
              </w:rPr>
              <w:t>Tot</w:t>
            </w:r>
          </w:p>
        </w:tc>
        <w:tc>
          <w:tcPr>
            <w:tcW w:w="272" w:type="pct"/>
            <w:tcBorders>
              <w:top w:val="single" w:sz="4" w:space="0" w:color="auto"/>
              <w:left w:val="nil"/>
              <w:bottom w:val="single" w:sz="4" w:space="0" w:color="auto"/>
              <w:right w:val="nil"/>
            </w:tcBorders>
          </w:tcPr>
          <w:p w14:paraId="4953848B" w14:textId="77777777" w:rsidR="005D647E" w:rsidRPr="00B6152C" w:rsidRDefault="005D647E" w:rsidP="00B6152C">
            <w:pPr>
              <w:spacing w:line="480" w:lineRule="auto"/>
              <w:jc w:val="center"/>
              <w:rPr>
                <w:lang w:val="en-US"/>
              </w:rPr>
            </w:pPr>
            <w:r w:rsidRPr="00B6152C">
              <w:rPr>
                <w:lang w:val="en-US"/>
              </w:rPr>
              <w:t>Ma</w:t>
            </w:r>
          </w:p>
        </w:tc>
        <w:tc>
          <w:tcPr>
            <w:tcW w:w="294" w:type="pct"/>
            <w:tcBorders>
              <w:top w:val="single" w:sz="4" w:space="0" w:color="auto"/>
              <w:left w:val="nil"/>
              <w:bottom w:val="single" w:sz="4" w:space="0" w:color="auto"/>
              <w:right w:val="nil"/>
            </w:tcBorders>
          </w:tcPr>
          <w:p w14:paraId="241093F3" w14:textId="77777777" w:rsidR="005D647E" w:rsidRPr="00B6152C" w:rsidRDefault="005D647E" w:rsidP="00B6152C">
            <w:pPr>
              <w:spacing w:line="480" w:lineRule="auto"/>
              <w:jc w:val="center"/>
              <w:rPr>
                <w:lang w:val="en-US"/>
              </w:rPr>
            </w:pPr>
            <w:r w:rsidRPr="00B6152C">
              <w:rPr>
                <w:lang w:val="en-US"/>
              </w:rPr>
              <w:t>Sim</w:t>
            </w:r>
          </w:p>
        </w:tc>
        <w:tc>
          <w:tcPr>
            <w:tcW w:w="297" w:type="pct"/>
            <w:tcBorders>
              <w:top w:val="single" w:sz="4" w:space="0" w:color="auto"/>
              <w:left w:val="nil"/>
              <w:bottom w:val="single" w:sz="4" w:space="0" w:color="auto"/>
              <w:right w:val="nil"/>
            </w:tcBorders>
          </w:tcPr>
          <w:p w14:paraId="2B08A7BF" w14:textId="77777777" w:rsidR="005D647E" w:rsidRPr="00B6152C" w:rsidRDefault="005D647E" w:rsidP="00B6152C">
            <w:pPr>
              <w:spacing w:line="480" w:lineRule="auto"/>
              <w:jc w:val="center"/>
              <w:rPr>
                <w:lang w:val="en-US"/>
              </w:rPr>
            </w:pPr>
            <w:proofErr w:type="spellStart"/>
            <w:r w:rsidRPr="00B6152C">
              <w:rPr>
                <w:lang w:val="en-US"/>
              </w:rPr>
              <w:t>Voc</w:t>
            </w:r>
            <w:proofErr w:type="spellEnd"/>
          </w:p>
        </w:tc>
        <w:tc>
          <w:tcPr>
            <w:tcW w:w="268" w:type="pct"/>
            <w:tcBorders>
              <w:top w:val="single" w:sz="4" w:space="0" w:color="auto"/>
              <w:left w:val="nil"/>
              <w:bottom w:val="single" w:sz="4" w:space="0" w:color="auto"/>
              <w:right w:val="nil"/>
            </w:tcBorders>
          </w:tcPr>
          <w:p w14:paraId="06181565" w14:textId="77777777" w:rsidR="005D647E" w:rsidRPr="00B6152C" w:rsidRDefault="005D647E" w:rsidP="00B6152C">
            <w:pPr>
              <w:spacing w:line="480" w:lineRule="auto"/>
              <w:jc w:val="center"/>
              <w:rPr>
                <w:lang w:val="en-US"/>
              </w:rPr>
            </w:pPr>
            <w:r w:rsidRPr="00B6152C">
              <w:rPr>
                <w:lang w:val="en-US"/>
              </w:rPr>
              <w:t>Blo</w:t>
            </w:r>
          </w:p>
        </w:tc>
        <w:tc>
          <w:tcPr>
            <w:tcW w:w="92" w:type="pct"/>
            <w:tcBorders>
              <w:left w:val="nil"/>
              <w:bottom w:val="single" w:sz="4" w:space="0" w:color="auto"/>
              <w:right w:val="nil"/>
            </w:tcBorders>
          </w:tcPr>
          <w:p w14:paraId="64F97059" w14:textId="77777777" w:rsidR="005D647E" w:rsidRPr="00B6152C" w:rsidRDefault="005D647E" w:rsidP="00B6152C">
            <w:pPr>
              <w:spacing w:line="480" w:lineRule="auto"/>
              <w:jc w:val="center"/>
              <w:rPr>
                <w:lang w:val="en-US"/>
              </w:rPr>
            </w:pPr>
          </w:p>
        </w:tc>
        <w:tc>
          <w:tcPr>
            <w:tcW w:w="329" w:type="pct"/>
            <w:tcBorders>
              <w:top w:val="single" w:sz="4" w:space="0" w:color="auto"/>
              <w:left w:val="nil"/>
              <w:bottom w:val="single" w:sz="4" w:space="0" w:color="auto"/>
              <w:right w:val="nil"/>
            </w:tcBorders>
            <w:noWrap/>
            <w:vAlign w:val="bottom"/>
          </w:tcPr>
          <w:p w14:paraId="5057EA10" w14:textId="77777777" w:rsidR="005D647E" w:rsidRPr="00B6152C" w:rsidRDefault="005D647E" w:rsidP="00B6152C">
            <w:pPr>
              <w:spacing w:line="480" w:lineRule="auto"/>
              <w:jc w:val="center"/>
              <w:rPr>
                <w:lang w:val="en-US"/>
              </w:rPr>
            </w:pPr>
            <w:r w:rsidRPr="00B6152C">
              <w:rPr>
                <w:lang w:val="en-US"/>
              </w:rPr>
              <w:t>WM</w:t>
            </w:r>
          </w:p>
        </w:tc>
        <w:tc>
          <w:tcPr>
            <w:tcW w:w="293" w:type="pct"/>
            <w:tcBorders>
              <w:top w:val="single" w:sz="4" w:space="0" w:color="auto"/>
              <w:left w:val="nil"/>
              <w:bottom w:val="single" w:sz="4" w:space="0" w:color="auto"/>
              <w:right w:val="nil"/>
            </w:tcBorders>
            <w:noWrap/>
            <w:vAlign w:val="bottom"/>
          </w:tcPr>
          <w:p w14:paraId="57BB3896" w14:textId="77777777" w:rsidR="005D647E" w:rsidRPr="00B6152C" w:rsidRDefault="005D647E" w:rsidP="00B6152C">
            <w:pPr>
              <w:spacing w:line="480" w:lineRule="auto"/>
              <w:jc w:val="center"/>
              <w:rPr>
                <w:lang w:val="en-US"/>
              </w:rPr>
            </w:pPr>
            <w:r w:rsidRPr="00B6152C">
              <w:rPr>
                <w:lang w:val="en-US"/>
              </w:rPr>
              <w:t>GM</w:t>
            </w:r>
          </w:p>
        </w:tc>
        <w:tc>
          <w:tcPr>
            <w:tcW w:w="253" w:type="pct"/>
            <w:tcBorders>
              <w:top w:val="single" w:sz="4" w:space="0" w:color="auto"/>
              <w:left w:val="nil"/>
              <w:bottom w:val="single" w:sz="4" w:space="0" w:color="auto"/>
              <w:right w:val="nil"/>
            </w:tcBorders>
            <w:noWrap/>
            <w:vAlign w:val="bottom"/>
          </w:tcPr>
          <w:p w14:paraId="4476A4FD" w14:textId="77777777" w:rsidR="005D647E" w:rsidRPr="00B6152C" w:rsidRDefault="005D647E" w:rsidP="00B6152C">
            <w:pPr>
              <w:spacing w:line="480" w:lineRule="auto"/>
              <w:jc w:val="center"/>
              <w:rPr>
                <w:lang w:val="en-US"/>
              </w:rPr>
            </w:pPr>
            <w:r w:rsidRPr="00B6152C">
              <w:rPr>
                <w:lang w:val="en-US"/>
              </w:rPr>
              <w:t>AD</w:t>
            </w:r>
          </w:p>
        </w:tc>
        <w:tc>
          <w:tcPr>
            <w:tcW w:w="252" w:type="pct"/>
            <w:tcBorders>
              <w:top w:val="single" w:sz="4" w:space="0" w:color="auto"/>
              <w:left w:val="nil"/>
              <w:bottom w:val="single" w:sz="4" w:space="0" w:color="auto"/>
              <w:right w:val="nil"/>
            </w:tcBorders>
            <w:noWrap/>
            <w:vAlign w:val="bottom"/>
          </w:tcPr>
          <w:p w14:paraId="16A4573A" w14:textId="77777777" w:rsidR="005D647E" w:rsidRPr="00B6152C" w:rsidRDefault="005D647E" w:rsidP="00B6152C">
            <w:pPr>
              <w:spacing w:line="480" w:lineRule="auto"/>
              <w:jc w:val="center"/>
              <w:rPr>
                <w:lang w:val="en-US"/>
              </w:rPr>
            </w:pPr>
            <w:r w:rsidRPr="00B6152C">
              <w:rPr>
                <w:lang w:val="en-US"/>
              </w:rPr>
              <w:t>VD</w:t>
            </w:r>
          </w:p>
        </w:tc>
      </w:tr>
      <w:tr w:rsidR="005D647E" w:rsidRPr="00B6152C" w14:paraId="446BAC63" w14:textId="77777777" w:rsidTr="00C54014">
        <w:trPr>
          <w:trHeight w:val="300"/>
        </w:trPr>
        <w:tc>
          <w:tcPr>
            <w:tcW w:w="1135" w:type="pct"/>
            <w:tcBorders>
              <w:top w:val="nil"/>
              <w:left w:val="nil"/>
              <w:bottom w:val="nil"/>
              <w:right w:val="nil"/>
            </w:tcBorders>
            <w:shd w:val="clear" w:color="000000" w:fill="FFFFFF"/>
            <w:noWrap/>
            <w:vAlign w:val="bottom"/>
          </w:tcPr>
          <w:p w14:paraId="25F94D64" w14:textId="77777777" w:rsidR="005D647E" w:rsidRPr="00B6152C" w:rsidRDefault="005D647E" w:rsidP="00B6152C">
            <w:pPr>
              <w:spacing w:line="480" w:lineRule="auto"/>
              <w:rPr>
                <w:lang w:val="en-US"/>
              </w:rPr>
            </w:pPr>
            <w:r w:rsidRPr="00B6152C">
              <w:rPr>
                <w:lang w:val="en-US"/>
              </w:rPr>
              <w:t>Anoxia</w:t>
            </w:r>
          </w:p>
        </w:tc>
        <w:tc>
          <w:tcPr>
            <w:tcW w:w="302" w:type="pct"/>
            <w:tcBorders>
              <w:top w:val="single" w:sz="4" w:space="0" w:color="auto"/>
              <w:left w:val="nil"/>
              <w:bottom w:val="nil"/>
              <w:right w:val="nil"/>
            </w:tcBorders>
            <w:shd w:val="clear" w:color="auto" w:fill="auto"/>
            <w:noWrap/>
            <w:vAlign w:val="bottom"/>
          </w:tcPr>
          <w:p w14:paraId="681AC0EE" w14:textId="77777777" w:rsidR="005D647E" w:rsidRPr="00B6152C" w:rsidRDefault="005D647E" w:rsidP="00B6152C">
            <w:pPr>
              <w:spacing w:line="480" w:lineRule="auto"/>
              <w:jc w:val="center"/>
              <w:rPr>
                <w:lang w:val="en-US"/>
              </w:rPr>
            </w:pPr>
            <w:r w:rsidRPr="00B6152C">
              <w:rPr>
                <w:lang w:val="en-US"/>
              </w:rPr>
              <w:t>36</w:t>
            </w:r>
          </w:p>
        </w:tc>
        <w:tc>
          <w:tcPr>
            <w:tcW w:w="263" w:type="pct"/>
            <w:tcBorders>
              <w:top w:val="nil"/>
              <w:left w:val="nil"/>
              <w:bottom w:val="nil"/>
              <w:right w:val="nil"/>
            </w:tcBorders>
            <w:shd w:val="clear" w:color="000000" w:fill="FFFFFF"/>
            <w:noWrap/>
            <w:vAlign w:val="bottom"/>
          </w:tcPr>
          <w:p w14:paraId="65684EDD" w14:textId="77777777" w:rsidR="005D647E" w:rsidRPr="00B6152C" w:rsidRDefault="005D647E" w:rsidP="00B6152C">
            <w:pPr>
              <w:spacing w:line="480" w:lineRule="auto"/>
              <w:jc w:val="center"/>
              <w:rPr>
                <w:lang w:val="en-US"/>
              </w:rPr>
            </w:pPr>
            <w:r w:rsidRPr="00B6152C">
              <w:rPr>
                <w:lang w:val="en-US"/>
              </w:rPr>
              <w:t>14</w:t>
            </w:r>
          </w:p>
        </w:tc>
        <w:tc>
          <w:tcPr>
            <w:tcW w:w="654" w:type="pct"/>
            <w:tcBorders>
              <w:top w:val="nil"/>
              <w:left w:val="nil"/>
              <w:bottom w:val="nil"/>
              <w:right w:val="nil"/>
            </w:tcBorders>
            <w:shd w:val="clear" w:color="000000" w:fill="FFFFFF"/>
            <w:noWrap/>
          </w:tcPr>
          <w:p w14:paraId="6DA65D68" w14:textId="77777777" w:rsidR="005D647E" w:rsidRPr="00B6152C" w:rsidRDefault="005D647E" w:rsidP="00B6152C">
            <w:pPr>
              <w:spacing w:line="480" w:lineRule="auto"/>
              <w:jc w:val="center"/>
              <w:rPr>
                <w:lang w:val="en-US"/>
              </w:rPr>
            </w:pPr>
            <w:r w:rsidRPr="00B6152C">
              <w:rPr>
                <w:lang w:val="en-US"/>
              </w:rPr>
              <w:t>2</w:t>
            </w:r>
          </w:p>
        </w:tc>
        <w:tc>
          <w:tcPr>
            <w:tcW w:w="298" w:type="pct"/>
            <w:tcBorders>
              <w:top w:val="nil"/>
              <w:left w:val="nil"/>
              <w:bottom w:val="nil"/>
              <w:right w:val="nil"/>
            </w:tcBorders>
            <w:vAlign w:val="bottom"/>
          </w:tcPr>
          <w:p w14:paraId="225A58EB" w14:textId="77777777" w:rsidR="005D647E" w:rsidRPr="00B6152C" w:rsidRDefault="005D647E" w:rsidP="00B6152C">
            <w:pPr>
              <w:spacing w:line="480" w:lineRule="auto"/>
              <w:jc w:val="center"/>
              <w:rPr>
                <w:lang w:val="en-US"/>
              </w:rPr>
            </w:pPr>
            <w:r w:rsidRPr="00B6152C">
              <w:rPr>
                <w:lang w:val="en-US"/>
              </w:rPr>
              <w:t>100</w:t>
            </w:r>
          </w:p>
        </w:tc>
        <w:tc>
          <w:tcPr>
            <w:tcW w:w="272" w:type="pct"/>
            <w:tcBorders>
              <w:top w:val="nil"/>
              <w:left w:val="nil"/>
              <w:bottom w:val="nil"/>
              <w:right w:val="nil"/>
            </w:tcBorders>
            <w:vAlign w:val="bottom"/>
          </w:tcPr>
          <w:p w14:paraId="7F11E5D7" w14:textId="77777777" w:rsidR="005D647E" w:rsidRPr="00B6152C" w:rsidRDefault="005D647E" w:rsidP="00B6152C">
            <w:pPr>
              <w:spacing w:line="480" w:lineRule="auto"/>
              <w:jc w:val="center"/>
              <w:rPr>
                <w:lang w:val="en-US"/>
              </w:rPr>
            </w:pPr>
            <w:r w:rsidRPr="00B6152C">
              <w:rPr>
                <w:lang w:val="en-US"/>
              </w:rPr>
              <w:t>10</w:t>
            </w:r>
          </w:p>
        </w:tc>
        <w:tc>
          <w:tcPr>
            <w:tcW w:w="294" w:type="pct"/>
            <w:tcBorders>
              <w:top w:val="nil"/>
              <w:left w:val="nil"/>
              <w:bottom w:val="nil"/>
              <w:right w:val="nil"/>
            </w:tcBorders>
            <w:vAlign w:val="bottom"/>
          </w:tcPr>
          <w:p w14:paraId="6CAB6B54" w14:textId="77777777" w:rsidR="005D647E" w:rsidRPr="00B6152C" w:rsidRDefault="005D647E" w:rsidP="00B6152C">
            <w:pPr>
              <w:spacing w:line="480" w:lineRule="auto"/>
              <w:jc w:val="center"/>
              <w:rPr>
                <w:lang w:val="en-US"/>
              </w:rPr>
            </w:pPr>
            <w:r w:rsidRPr="00B6152C">
              <w:rPr>
                <w:lang w:val="en-US"/>
              </w:rPr>
              <w:t>10</w:t>
            </w:r>
          </w:p>
        </w:tc>
        <w:tc>
          <w:tcPr>
            <w:tcW w:w="297" w:type="pct"/>
            <w:tcBorders>
              <w:top w:val="nil"/>
              <w:left w:val="nil"/>
              <w:bottom w:val="nil"/>
              <w:right w:val="nil"/>
            </w:tcBorders>
          </w:tcPr>
          <w:p w14:paraId="07416A08" w14:textId="77777777" w:rsidR="005D647E" w:rsidRPr="00B6152C" w:rsidRDefault="005D647E" w:rsidP="00B6152C">
            <w:pPr>
              <w:spacing w:line="480" w:lineRule="auto"/>
              <w:jc w:val="center"/>
              <w:rPr>
                <w:lang w:val="en-US"/>
              </w:rPr>
            </w:pPr>
            <w:r w:rsidRPr="00B6152C">
              <w:rPr>
                <w:lang w:val="en-US"/>
              </w:rPr>
              <w:t>11</w:t>
            </w:r>
          </w:p>
        </w:tc>
        <w:tc>
          <w:tcPr>
            <w:tcW w:w="268" w:type="pct"/>
            <w:tcBorders>
              <w:top w:val="nil"/>
              <w:left w:val="nil"/>
              <w:bottom w:val="nil"/>
              <w:right w:val="nil"/>
            </w:tcBorders>
          </w:tcPr>
          <w:p w14:paraId="738D79C3" w14:textId="77777777" w:rsidR="005D647E" w:rsidRPr="00B6152C" w:rsidRDefault="005D647E" w:rsidP="00B6152C">
            <w:pPr>
              <w:spacing w:line="480" w:lineRule="auto"/>
              <w:jc w:val="center"/>
              <w:rPr>
                <w:lang w:val="en-US"/>
              </w:rPr>
            </w:pPr>
            <w:r w:rsidRPr="00B6152C">
              <w:rPr>
                <w:lang w:val="en-US"/>
              </w:rPr>
              <w:t>9</w:t>
            </w:r>
          </w:p>
        </w:tc>
        <w:tc>
          <w:tcPr>
            <w:tcW w:w="92" w:type="pct"/>
            <w:tcBorders>
              <w:top w:val="nil"/>
              <w:left w:val="nil"/>
              <w:bottom w:val="nil"/>
              <w:right w:val="nil"/>
            </w:tcBorders>
          </w:tcPr>
          <w:p w14:paraId="15852B46"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30D9D29B" w14:textId="77777777" w:rsidR="005D647E" w:rsidRPr="00B6152C" w:rsidRDefault="005D647E" w:rsidP="00B6152C">
            <w:pPr>
              <w:spacing w:line="480" w:lineRule="auto"/>
              <w:jc w:val="center"/>
              <w:rPr>
                <w:lang w:val="en-US"/>
              </w:rPr>
            </w:pPr>
            <w:r w:rsidRPr="00B6152C">
              <w:rPr>
                <w:lang w:val="en-US"/>
              </w:rPr>
              <w:t>91</w:t>
            </w:r>
          </w:p>
        </w:tc>
        <w:tc>
          <w:tcPr>
            <w:tcW w:w="293" w:type="pct"/>
            <w:tcBorders>
              <w:top w:val="nil"/>
              <w:left w:val="nil"/>
              <w:bottom w:val="nil"/>
              <w:right w:val="nil"/>
            </w:tcBorders>
            <w:shd w:val="clear" w:color="auto" w:fill="auto"/>
            <w:noWrap/>
            <w:vAlign w:val="bottom"/>
          </w:tcPr>
          <w:p w14:paraId="2F71444C" w14:textId="77777777" w:rsidR="005D647E" w:rsidRPr="00B6152C" w:rsidRDefault="005D647E" w:rsidP="00B6152C">
            <w:pPr>
              <w:spacing w:line="480" w:lineRule="auto"/>
              <w:jc w:val="center"/>
              <w:rPr>
                <w:lang w:val="en-US"/>
              </w:rPr>
            </w:pPr>
            <w:r w:rsidRPr="00B6152C">
              <w:rPr>
                <w:lang w:val="en-US"/>
              </w:rPr>
              <w:t>59</w:t>
            </w:r>
          </w:p>
        </w:tc>
        <w:tc>
          <w:tcPr>
            <w:tcW w:w="253" w:type="pct"/>
            <w:tcBorders>
              <w:top w:val="nil"/>
              <w:left w:val="nil"/>
              <w:bottom w:val="nil"/>
              <w:right w:val="nil"/>
            </w:tcBorders>
            <w:shd w:val="clear" w:color="auto" w:fill="auto"/>
            <w:noWrap/>
            <w:vAlign w:val="bottom"/>
          </w:tcPr>
          <w:p w14:paraId="2755F619" w14:textId="77777777" w:rsidR="005D647E" w:rsidRPr="00B6152C" w:rsidRDefault="005D647E" w:rsidP="00B6152C">
            <w:pPr>
              <w:spacing w:line="480" w:lineRule="auto"/>
              <w:jc w:val="center"/>
              <w:rPr>
                <w:lang w:val="en-US"/>
              </w:rPr>
            </w:pPr>
            <w:r w:rsidRPr="00B6152C">
              <w:rPr>
                <w:lang w:val="en-US"/>
              </w:rPr>
              <w:t>57</w:t>
            </w:r>
          </w:p>
        </w:tc>
        <w:tc>
          <w:tcPr>
            <w:tcW w:w="252" w:type="pct"/>
            <w:tcBorders>
              <w:top w:val="nil"/>
              <w:left w:val="nil"/>
              <w:bottom w:val="nil"/>
              <w:right w:val="nil"/>
            </w:tcBorders>
            <w:shd w:val="clear" w:color="auto" w:fill="auto"/>
            <w:noWrap/>
            <w:vAlign w:val="bottom"/>
          </w:tcPr>
          <w:p w14:paraId="27CED26F" w14:textId="77777777" w:rsidR="005D647E" w:rsidRPr="00B6152C" w:rsidRDefault="005D647E" w:rsidP="00B6152C">
            <w:pPr>
              <w:spacing w:line="480" w:lineRule="auto"/>
              <w:jc w:val="center"/>
              <w:rPr>
                <w:lang w:val="en-US"/>
              </w:rPr>
            </w:pPr>
            <w:r w:rsidRPr="00B6152C">
              <w:rPr>
                <w:lang w:val="en-US"/>
              </w:rPr>
              <w:t>75</w:t>
            </w:r>
          </w:p>
        </w:tc>
      </w:tr>
      <w:tr w:rsidR="005D647E" w:rsidRPr="00B6152C" w14:paraId="52CF1848" w14:textId="77777777" w:rsidTr="00C54014">
        <w:trPr>
          <w:trHeight w:val="300"/>
        </w:trPr>
        <w:tc>
          <w:tcPr>
            <w:tcW w:w="1135" w:type="pct"/>
            <w:tcBorders>
              <w:top w:val="nil"/>
              <w:left w:val="nil"/>
              <w:bottom w:val="nil"/>
              <w:right w:val="nil"/>
            </w:tcBorders>
            <w:shd w:val="clear" w:color="000000" w:fill="FFFFFF"/>
            <w:noWrap/>
            <w:vAlign w:val="bottom"/>
          </w:tcPr>
          <w:p w14:paraId="71C1376A" w14:textId="77777777" w:rsidR="005D647E" w:rsidRPr="00B6152C" w:rsidRDefault="005D647E" w:rsidP="00B6152C">
            <w:pPr>
              <w:spacing w:line="480" w:lineRule="auto"/>
              <w:rPr>
                <w:lang w:val="en-US"/>
              </w:rPr>
            </w:pPr>
            <w:r w:rsidRPr="00B6152C">
              <w:rPr>
                <w:lang w:val="en-US"/>
              </w:rPr>
              <w:t>Anoxia</w:t>
            </w:r>
          </w:p>
        </w:tc>
        <w:tc>
          <w:tcPr>
            <w:tcW w:w="302" w:type="pct"/>
            <w:tcBorders>
              <w:top w:val="nil"/>
              <w:left w:val="nil"/>
              <w:bottom w:val="nil"/>
              <w:right w:val="nil"/>
            </w:tcBorders>
            <w:shd w:val="clear" w:color="auto" w:fill="auto"/>
            <w:noWrap/>
            <w:vAlign w:val="bottom"/>
          </w:tcPr>
          <w:p w14:paraId="1C77DB77" w14:textId="77777777" w:rsidR="005D647E" w:rsidRPr="00B6152C" w:rsidRDefault="005D647E" w:rsidP="00B6152C">
            <w:pPr>
              <w:spacing w:line="480" w:lineRule="auto"/>
              <w:jc w:val="center"/>
              <w:rPr>
                <w:lang w:val="en-US"/>
              </w:rPr>
            </w:pPr>
            <w:r w:rsidRPr="00B6152C">
              <w:rPr>
                <w:lang w:val="en-US"/>
              </w:rPr>
              <w:t>22</w:t>
            </w:r>
          </w:p>
        </w:tc>
        <w:tc>
          <w:tcPr>
            <w:tcW w:w="263" w:type="pct"/>
            <w:tcBorders>
              <w:top w:val="nil"/>
              <w:left w:val="nil"/>
              <w:bottom w:val="nil"/>
              <w:right w:val="nil"/>
            </w:tcBorders>
            <w:shd w:val="clear" w:color="000000" w:fill="FFFFFF"/>
            <w:noWrap/>
            <w:vAlign w:val="bottom"/>
          </w:tcPr>
          <w:p w14:paraId="3D2B24BF" w14:textId="77777777" w:rsidR="005D647E" w:rsidRPr="00B6152C" w:rsidRDefault="005D647E" w:rsidP="00B6152C">
            <w:pPr>
              <w:spacing w:line="480" w:lineRule="auto"/>
              <w:jc w:val="center"/>
              <w:rPr>
                <w:lang w:val="en-US"/>
              </w:rPr>
            </w:pPr>
            <w:r w:rsidRPr="00B6152C">
              <w:rPr>
                <w:lang w:val="en-US"/>
              </w:rPr>
              <w:t>13</w:t>
            </w:r>
          </w:p>
        </w:tc>
        <w:tc>
          <w:tcPr>
            <w:tcW w:w="654" w:type="pct"/>
            <w:tcBorders>
              <w:top w:val="nil"/>
              <w:left w:val="nil"/>
              <w:bottom w:val="nil"/>
              <w:right w:val="nil"/>
            </w:tcBorders>
            <w:shd w:val="clear" w:color="000000" w:fill="FFFFFF"/>
            <w:noWrap/>
          </w:tcPr>
          <w:p w14:paraId="3B2D75EC" w14:textId="77777777" w:rsidR="005D647E" w:rsidRPr="00B6152C" w:rsidRDefault="005D647E" w:rsidP="00B6152C">
            <w:pPr>
              <w:spacing w:line="480" w:lineRule="auto"/>
              <w:jc w:val="center"/>
              <w:rPr>
                <w:lang w:val="en-US"/>
              </w:rPr>
            </w:pPr>
            <w:r w:rsidRPr="00B6152C">
              <w:rPr>
                <w:lang w:val="en-US"/>
              </w:rPr>
              <w:t>8</w:t>
            </w:r>
          </w:p>
        </w:tc>
        <w:tc>
          <w:tcPr>
            <w:tcW w:w="298" w:type="pct"/>
            <w:tcBorders>
              <w:top w:val="nil"/>
              <w:left w:val="nil"/>
              <w:bottom w:val="nil"/>
              <w:right w:val="nil"/>
            </w:tcBorders>
            <w:vAlign w:val="bottom"/>
          </w:tcPr>
          <w:p w14:paraId="5A11C3F6" w14:textId="77777777" w:rsidR="005D647E" w:rsidRPr="00B6152C" w:rsidRDefault="005D647E" w:rsidP="00B6152C">
            <w:pPr>
              <w:spacing w:line="480" w:lineRule="auto"/>
              <w:jc w:val="center"/>
              <w:rPr>
                <w:lang w:val="en-US"/>
              </w:rPr>
            </w:pPr>
            <w:r w:rsidRPr="00B6152C">
              <w:rPr>
                <w:lang w:val="en-US"/>
              </w:rPr>
              <w:t>99</w:t>
            </w:r>
          </w:p>
        </w:tc>
        <w:tc>
          <w:tcPr>
            <w:tcW w:w="272" w:type="pct"/>
            <w:tcBorders>
              <w:top w:val="nil"/>
              <w:left w:val="nil"/>
              <w:bottom w:val="nil"/>
              <w:right w:val="nil"/>
            </w:tcBorders>
            <w:vAlign w:val="bottom"/>
          </w:tcPr>
          <w:p w14:paraId="76979D6A" w14:textId="77777777" w:rsidR="005D647E" w:rsidRPr="00B6152C" w:rsidRDefault="005D647E" w:rsidP="00B6152C">
            <w:pPr>
              <w:spacing w:line="480" w:lineRule="auto"/>
              <w:jc w:val="center"/>
              <w:rPr>
                <w:lang w:val="en-US"/>
              </w:rPr>
            </w:pPr>
            <w:r w:rsidRPr="00B6152C">
              <w:rPr>
                <w:lang w:val="en-US"/>
              </w:rPr>
              <w:t>10</w:t>
            </w:r>
          </w:p>
        </w:tc>
        <w:tc>
          <w:tcPr>
            <w:tcW w:w="294" w:type="pct"/>
            <w:tcBorders>
              <w:top w:val="nil"/>
              <w:left w:val="nil"/>
              <w:bottom w:val="nil"/>
              <w:right w:val="nil"/>
            </w:tcBorders>
            <w:vAlign w:val="bottom"/>
          </w:tcPr>
          <w:p w14:paraId="317EDEAC" w14:textId="77777777" w:rsidR="005D647E" w:rsidRPr="00B6152C" w:rsidRDefault="005D647E" w:rsidP="00B6152C">
            <w:pPr>
              <w:spacing w:line="480" w:lineRule="auto"/>
              <w:jc w:val="center"/>
              <w:rPr>
                <w:lang w:val="en-US"/>
              </w:rPr>
            </w:pPr>
            <w:r w:rsidRPr="00B6152C">
              <w:rPr>
                <w:lang w:val="en-US"/>
              </w:rPr>
              <w:t>9</w:t>
            </w:r>
          </w:p>
        </w:tc>
        <w:tc>
          <w:tcPr>
            <w:tcW w:w="297" w:type="pct"/>
            <w:tcBorders>
              <w:top w:val="nil"/>
              <w:left w:val="nil"/>
              <w:bottom w:val="nil"/>
              <w:right w:val="nil"/>
            </w:tcBorders>
          </w:tcPr>
          <w:p w14:paraId="6B314D5D" w14:textId="77777777" w:rsidR="005D647E" w:rsidRPr="00B6152C" w:rsidRDefault="005D647E" w:rsidP="00B6152C">
            <w:pPr>
              <w:spacing w:line="480" w:lineRule="auto"/>
              <w:jc w:val="center"/>
              <w:rPr>
                <w:lang w:val="en-US"/>
              </w:rPr>
            </w:pPr>
            <w:r w:rsidRPr="00B6152C">
              <w:rPr>
                <w:lang w:val="en-US"/>
              </w:rPr>
              <w:t>9</w:t>
            </w:r>
          </w:p>
        </w:tc>
        <w:tc>
          <w:tcPr>
            <w:tcW w:w="268" w:type="pct"/>
            <w:tcBorders>
              <w:top w:val="nil"/>
              <w:left w:val="nil"/>
              <w:bottom w:val="nil"/>
              <w:right w:val="nil"/>
            </w:tcBorders>
          </w:tcPr>
          <w:p w14:paraId="5D71E3AB" w14:textId="77777777" w:rsidR="005D647E" w:rsidRPr="00B6152C" w:rsidRDefault="005D647E" w:rsidP="00B6152C">
            <w:pPr>
              <w:spacing w:line="480" w:lineRule="auto"/>
              <w:jc w:val="center"/>
              <w:rPr>
                <w:lang w:val="en-US"/>
              </w:rPr>
            </w:pPr>
            <w:r w:rsidRPr="00B6152C">
              <w:rPr>
                <w:lang w:val="en-US"/>
              </w:rPr>
              <w:t>11</w:t>
            </w:r>
          </w:p>
        </w:tc>
        <w:tc>
          <w:tcPr>
            <w:tcW w:w="92" w:type="pct"/>
            <w:tcBorders>
              <w:top w:val="nil"/>
              <w:left w:val="nil"/>
              <w:bottom w:val="nil"/>
              <w:right w:val="nil"/>
            </w:tcBorders>
          </w:tcPr>
          <w:p w14:paraId="7537ECC3"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7D82E647" w14:textId="77777777" w:rsidR="005D647E" w:rsidRPr="00B6152C" w:rsidRDefault="005D647E" w:rsidP="00B6152C">
            <w:pPr>
              <w:spacing w:line="480" w:lineRule="auto"/>
              <w:jc w:val="center"/>
              <w:rPr>
                <w:lang w:val="en-US"/>
              </w:rPr>
            </w:pPr>
            <w:r w:rsidRPr="00B6152C">
              <w:rPr>
                <w:lang w:val="en-US"/>
              </w:rPr>
              <w:t>90</w:t>
            </w:r>
          </w:p>
        </w:tc>
        <w:tc>
          <w:tcPr>
            <w:tcW w:w="293" w:type="pct"/>
            <w:tcBorders>
              <w:top w:val="nil"/>
              <w:left w:val="nil"/>
              <w:bottom w:val="nil"/>
              <w:right w:val="nil"/>
            </w:tcBorders>
            <w:shd w:val="clear" w:color="auto" w:fill="auto"/>
            <w:noWrap/>
            <w:vAlign w:val="bottom"/>
          </w:tcPr>
          <w:p w14:paraId="21C9324C" w14:textId="77777777" w:rsidR="005D647E" w:rsidRPr="00B6152C" w:rsidRDefault="005D647E" w:rsidP="00B6152C">
            <w:pPr>
              <w:spacing w:line="480" w:lineRule="auto"/>
              <w:jc w:val="center"/>
              <w:rPr>
                <w:lang w:val="en-US"/>
              </w:rPr>
            </w:pPr>
            <w:r w:rsidRPr="00B6152C">
              <w:rPr>
                <w:lang w:val="en-US"/>
              </w:rPr>
              <w:t>61</w:t>
            </w:r>
          </w:p>
        </w:tc>
        <w:tc>
          <w:tcPr>
            <w:tcW w:w="253" w:type="pct"/>
            <w:tcBorders>
              <w:top w:val="nil"/>
              <w:left w:val="nil"/>
              <w:bottom w:val="nil"/>
              <w:right w:val="nil"/>
            </w:tcBorders>
            <w:shd w:val="clear" w:color="auto" w:fill="auto"/>
            <w:noWrap/>
            <w:vAlign w:val="bottom"/>
          </w:tcPr>
          <w:p w14:paraId="3E9B54DE" w14:textId="77777777" w:rsidR="005D647E" w:rsidRPr="00B6152C" w:rsidRDefault="005D647E" w:rsidP="00B6152C">
            <w:pPr>
              <w:spacing w:line="480" w:lineRule="auto"/>
              <w:jc w:val="center"/>
              <w:rPr>
                <w:lang w:val="en-US"/>
              </w:rPr>
            </w:pPr>
            <w:r w:rsidRPr="00B6152C">
              <w:rPr>
                <w:lang w:val="en-US"/>
              </w:rPr>
              <w:t>65</w:t>
            </w:r>
          </w:p>
        </w:tc>
        <w:tc>
          <w:tcPr>
            <w:tcW w:w="252" w:type="pct"/>
            <w:tcBorders>
              <w:top w:val="nil"/>
              <w:left w:val="nil"/>
              <w:bottom w:val="nil"/>
              <w:right w:val="nil"/>
            </w:tcBorders>
            <w:shd w:val="clear" w:color="auto" w:fill="auto"/>
            <w:noWrap/>
            <w:vAlign w:val="bottom"/>
          </w:tcPr>
          <w:p w14:paraId="68139885" w14:textId="77777777" w:rsidR="005D647E" w:rsidRPr="00B6152C" w:rsidRDefault="005D647E" w:rsidP="00B6152C">
            <w:pPr>
              <w:spacing w:line="480" w:lineRule="auto"/>
              <w:jc w:val="center"/>
              <w:rPr>
                <w:lang w:val="en-US"/>
              </w:rPr>
            </w:pPr>
            <w:r w:rsidRPr="00B6152C">
              <w:rPr>
                <w:lang w:val="en-US"/>
              </w:rPr>
              <w:t>68</w:t>
            </w:r>
          </w:p>
        </w:tc>
      </w:tr>
      <w:tr w:rsidR="005D647E" w:rsidRPr="00B6152C" w14:paraId="04B93384" w14:textId="77777777" w:rsidTr="00C54014">
        <w:trPr>
          <w:trHeight w:val="300"/>
        </w:trPr>
        <w:tc>
          <w:tcPr>
            <w:tcW w:w="1135" w:type="pct"/>
            <w:tcBorders>
              <w:top w:val="nil"/>
              <w:left w:val="nil"/>
              <w:bottom w:val="nil"/>
              <w:right w:val="nil"/>
            </w:tcBorders>
            <w:shd w:val="clear" w:color="000000" w:fill="FFFFFF"/>
            <w:noWrap/>
            <w:vAlign w:val="bottom"/>
          </w:tcPr>
          <w:p w14:paraId="6DE3668F" w14:textId="77777777" w:rsidR="005D647E" w:rsidRPr="00B6152C" w:rsidRDefault="005D647E" w:rsidP="00B6152C">
            <w:pPr>
              <w:spacing w:line="480" w:lineRule="auto"/>
              <w:rPr>
                <w:lang w:val="en-US"/>
              </w:rPr>
            </w:pPr>
            <w:r w:rsidRPr="00B6152C">
              <w:rPr>
                <w:lang w:val="en-US"/>
              </w:rPr>
              <w:t>Anoxia</w:t>
            </w:r>
          </w:p>
        </w:tc>
        <w:tc>
          <w:tcPr>
            <w:tcW w:w="302" w:type="pct"/>
            <w:tcBorders>
              <w:top w:val="nil"/>
              <w:left w:val="nil"/>
              <w:bottom w:val="nil"/>
              <w:right w:val="nil"/>
            </w:tcBorders>
            <w:shd w:val="clear" w:color="auto" w:fill="auto"/>
            <w:noWrap/>
            <w:vAlign w:val="bottom"/>
          </w:tcPr>
          <w:p w14:paraId="47E26513" w14:textId="77777777" w:rsidR="005D647E" w:rsidRPr="00B6152C" w:rsidRDefault="005D647E" w:rsidP="00B6152C">
            <w:pPr>
              <w:spacing w:line="480" w:lineRule="auto"/>
              <w:jc w:val="center"/>
              <w:rPr>
                <w:lang w:val="en-US"/>
              </w:rPr>
            </w:pPr>
            <w:r w:rsidRPr="00B6152C">
              <w:rPr>
                <w:lang w:val="en-US"/>
              </w:rPr>
              <w:t>24</w:t>
            </w:r>
          </w:p>
        </w:tc>
        <w:tc>
          <w:tcPr>
            <w:tcW w:w="263" w:type="pct"/>
            <w:tcBorders>
              <w:top w:val="nil"/>
              <w:left w:val="nil"/>
              <w:bottom w:val="nil"/>
              <w:right w:val="nil"/>
            </w:tcBorders>
            <w:shd w:val="clear" w:color="000000" w:fill="FFFFFF"/>
            <w:noWrap/>
            <w:vAlign w:val="bottom"/>
          </w:tcPr>
          <w:p w14:paraId="534C5DBF" w14:textId="77777777" w:rsidR="005D647E" w:rsidRPr="00B6152C" w:rsidRDefault="005D647E" w:rsidP="00B6152C">
            <w:pPr>
              <w:spacing w:line="480" w:lineRule="auto"/>
              <w:jc w:val="center"/>
              <w:rPr>
                <w:lang w:val="en-US"/>
              </w:rPr>
            </w:pPr>
            <w:r w:rsidRPr="00B6152C">
              <w:rPr>
                <w:lang w:val="en-US"/>
              </w:rPr>
              <w:t>12</w:t>
            </w:r>
          </w:p>
        </w:tc>
        <w:tc>
          <w:tcPr>
            <w:tcW w:w="654" w:type="pct"/>
            <w:tcBorders>
              <w:top w:val="nil"/>
              <w:left w:val="nil"/>
              <w:bottom w:val="nil"/>
              <w:right w:val="nil"/>
            </w:tcBorders>
            <w:shd w:val="clear" w:color="000000" w:fill="FFFFFF"/>
            <w:noWrap/>
          </w:tcPr>
          <w:p w14:paraId="33B54C0B" w14:textId="77777777" w:rsidR="005D647E" w:rsidRPr="00B6152C" w:rsidRDefault="005D647E" w:rsidP="00B6152C">
            <w:pPr>
              <w:spacing w:line="480" w:lineRule="auto"/>
              <w:jc w:val="center"/>
              <w:rPr>
                <w:lang w:val="en-US"/>
              </w:rPr>
            </w:pPr>
            <w:r w:rsidRPr="00B6152C">
              <w:rPr>
                <w:lang w:val="en-US"/>
              </w:rPr>
              <w:t>3</w:t>
            </w:r>
          </w:p>
        </w:tc>
        <w:tc>
          <w:tcPr>
            <w:tcW w:w="298" w:type="pct"/>
            <w:tcBorders>
              <w:top w:val="nil"/>
              <w:left w:val="nil"/>
              <w:bottom w:val="nil"/>
              <w:right w:val="nil"/>
            </w:tcBorders>
            <w:vAlign w:val="bottom"/>
          </w:tcPr>
          <w:p w14:paraId="4D330BCD" w14:textId="77777777" w:rsidR="005D647E" w:rsidRPr="00B6152C" w:rsidRDefault="005D647E" w:rsidP="00B6152C">
            <w:pPr>
              <w:spacing w:line="480" w:lineRule="auto"/>
              <w:jc w:val="center"/>
              <w:rPr>
                <w:lang w:val="en-US"/>
              </w:rPr>
            </w:pPr>
            <w:r w:rsidRPr="00B6152C">
              <w:rPr>
                <w:lang w:val="en-US"/>
              </w:rPr>
              <w:t>98</w:t>
            </w:r>
          </w:p>
        </w:tc>
        <w:tc>
          <w:tcPr>
            <w:tcW w:w="272" w:type="pct"/>
            <w:tcBorders>
              <w:top w:val="nil"/>
              <w:left w:val="nil"/>
              <w:bottom w:val="nil"/>
              <w:right w:val="nil"/>
            </w:tcBorders>
            <w:vAlign w:val="bottom"/>
          </w:tcPr>
          <w:p w14:paraId="3A588E17" w14:textId="77777777" w:rsidR="005D647E" w:rsidRPr="00B6152C" w:rsidRDefault="005D647E" w:rsidP="00B6152C">
            <w:pPr>
              <w:spacing w:line="480" w:lineRule="auto"/>
              <w:jc w:val="center"/>
              <w:rPr>
                <w:lang w:val="en-US"/>
              </w:rPr>
            </w:pPr>
            <w:r w:rsidRPr="00B6152C">
              <w:rPr>
                <w:lang w:val="en-US"/>
              </w:rPr>
              <w:t>8</w:t>
            </w:r>
          </w:p>
        </w:tc>
        <w:tc>
          <w:tcPr>
            <w:tcW w:w="294" w:type="pct"/>
            <w:tcBorders>
              <w:top w:val="nil"/>
              <w:left w:val="nil"/>
              <w:bottom w:val="nil"/>
              <w:right w:val="nil"/>
            </w:tcBorders>
            <w:vAlign w:val="bottom"/>
          </w:tcPr>
          <w:p w14:paraId="724FE14B" w14:textId="77777777" w:rsidR="005D647E" w:rsidRPr="00B6152C" w:rsidRDefault="005D647E" w:rsidP="00B6152C">
            <w:pPr>
              <w:spacing w:line="480" w:lineRule="auto"/>
              <w:jc w:val="center"/>
              <w:rPr>
                <w:lang w:val="en-US"/>
              </w:rPr>
            </w:pPr>
            <w:r w:rsidRPr="00B6152C">
              <w:rPr>
                <w:lang w:val="en-US"/>
              </w:rPr>
              <w:t>9</w:t>
            </w:r>
          </w:p>
        </w:tc>
        <w:tc>
          <w:tcPr>
            <w:tcW w:w="297" w:type="pct"/>
            <w:tcBorders>
              <w:top w:val="nil"/>
              <w:left w:val="nil"/>
              <w:bottom w:val="nil"/>
              <w:right w:val="nil"/>
            </w:tcBorders>
          </w:tcPr>
          <w:p w14:paraId="7D82EB62" w14:textId="77777777" w:rsidR="005D647E" w:rsidRPr="00B6152C" w:rsidRDefault="005D647E" w:rsidP="00B6152C">
            <w:pPr>
              <w:spacing w:line="480" w:lineRule="auto"/>
              <w:jc w:val="center"/>
              <w:rPr>
                <w:lang w:val="en-US"/>
              </w:rPr>
            </w:pPr>
            <w:r w:rsidRPr="00B6152C">
              <w:rPr>
                <w:lang w:val="en-US"/>
              </w:rPr>
              <w:t>11</w:t>
            </w:r>
          </w:p>
        </w:tc>
        <w:tc>
          <w:tcPr>
            <w:tcW w:w="268" w:type="pct"/>
            <w:tcBorders>
              <w:top w:val="nil"/>
              <w:left w:val="nil"/>
              <w:bottom w:val="nil"/>
              <w:right w:val="nil"/>
            </w:tcBorders>
          </w:tcPr>
          <w:p w14:paraId="228D1998" w14:textId="77777777" w:rsidR="005D647E" w:rsidRPr="00B6152C" w:rsidRDefault="005D647E" w:rsidP="00B6152C">
            <w:pPr>
              <w:spacing w:line="480" w:lineRule="auto"/>
              <w:jc w:val="center"/>
              <w:rPr>
                <w:lang w:val="en-US"/>
              </w:rPr>
            </w:pPr>
            <w:r w:rsidRPr="00B6152C">
              <w:rPr>
                <w:lang w:val="en-US"/>
              </w:rPr>
              <w:t>10</w:t>
            </w:r>
          </w:p>
        </w:tc>
        <w:tc>
          <w:tcPr>
            <w:tcW w:w="92" w:type="pct"/>
            <w:tcBorders>
              <w:top w:val="nil"/>
              <w:left w:val="nil"/>
              <w:bottom w:val="nil"/>
              <w:right w:val="nil"/>
            </w:tcBorders>
          </w:tcPr>
          <w:p w14:paraId="1A1BB3F6"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33D3B2BE" w14:textId="77777777" w:rsidR="005D647E" w:rsidRPr="00B6152C" w:rsidRDefault="005D647E" w:rsidP="00B6152C">
            <w:pPr>
              <w:spacing w:line="480" w:lineRule="auto"/>
              <w:jc w:val="center"/>
              <w:rPr>
                <w:lang w:val="en-US"/>
              </w:rPr>
            </w:pPr>
            <w:r w:rsidRPr="00B6152C">
              <w:rPr>
                <w:lang w:val="en-US"/>
              </w:rPr>
              <w:t>79</w:t>
            </w:r>
          </w:p>
        </w:tc>
        <w:tc>
          <w:tcPr>
            <w:tcW w:w="293" w:type="pct"/>
            <w:tcBorders>
              <w:top w:val="nil"/>
              <w:left w:val="nil"/>
              <w:bottom w:val="nil"/>
              <w:right w:val="nil"/>
            </w:tcBorders>
            <w:shd w:val="clear" w:color="auto" w:fill="auto"/>
            <w:noWrap/>
            <w:vAlign w:val="bottom"/>
          </w:tcPr>
          <w:p w14:paraId="5B7CFCB6" w14:textId="77777777" w:rsidR="005D647E" w:rsidRPr="00B6152C" w:rsidRDefault="005D647E" w:rsidP="00B6152C">
            <w:pPr>
              <w:spacing w:line="480" w:lineRule="auto"/>
              <w:jc w:val="center"/>
              <w:rPr>
                <w:lang w:val="en-US"/>
              </w:rPr>
            </w:pPr>
            <w:r w:rsidRPr="00B6152C">
              <w:rPr>
                <w:lang w:val="en-US"/>
              </w:rPr>
              <w:t>41</w:t>
            </w:r>
          </w:p>
        </w:tc>
        <w:tc>
          <w:tcPr>
            <w:tcW w:w="253" w:type="pct"/>
            <w:tcBorders>
              <w:top w:val="nil"/>
              <w:left w:val="nil"/>
              <w:bottom w:val="nil"/>
              <w:right w:val="nil"/>
            </w:tcBorders>
            <w:shd w:val="clear" w:color="auto" w:fill="auto"/>
            <w:noWrap/>
            <w:vAlign w:val="bottom"/>
          </w:tcPr>
          <w:p w14:paraId="64F7BC37" w14:textId="77777777" w:rsidR="005D647E" w:rsidRPr="00B6152C" w:rsidRDefault="005D647E" w:rsidP="00B6152C">
            <w:pPr>
              <w:spacing w:line="480" w:lineRule="auto"/>
              <w:jc w:val="center"/>
              <w:rPr>
                <w:lang w:val="en-US"/>
              </w:rPr>
            </w:pPr>
            <w:r w:rsidRPr="00B6152C">
              <w:rPr>
                <w:lang w:val="en-US"/>
              </w:rPr>
              <w:t>54</w:t>
            </w:r>
          </w:p>
        </w:tc>
        <w:tc>
          <w:tcPr>
            <w:tcW w:w="252" w:type="pct"/>
            <w:tcBorders>
              <w:top w:val="nil"/>
              <w:left w:val="nil"/>
              <w:bottom w:val="nil"/>
              <w:right w:val="nil"/>
            </w:tcBorders>
            <w:shd w:val="clear" w:color="auto" w:fill="auto"/>
            <w:noWrap/>
            <w:vAlign w:val="bottom"/>
          </w:tcPr>
          <w:p w14:paraId="0EFC6B9E" w14:textId="77777777" w:rsidR="005D647E" w:rsidRPr="00B6152C" w:rsidRDefault="005D647E" w:rsidP="00B6152C">
            <w:pPr>
              <w:spacing w:line="480" w:lineRule="auto"/>
              <w:jc w:val="center"/>
              <w:rPr>
                <w:lang w:val="en-US"/>
              </w:rPr>
            </w:pPr>
            <w:r w:rsidRPr="00B6152C">
              <w:rPr>
                <w:lang w:val="en-US"/>
              </w:rPr>
              <w:t>45</w:t>
            </w:r>
          </w:p>
        </w:tc>
      </w:tr>
      <w:tr w:rsidR="005D647E" w:rsidRPr="00B6152C" w14:paraId="1C86A4EA" w14:textId="77777777" w:rsidTr="00C54014">
        <w:trPr>
          <w:trHeight w:val="300"/>
        </w:trPr>
        <w:tc>
          <w:tcPr>
            <w:tcW w:w="1135" w:type="pct"/>
            <w:tcBorders>
              <w:top w:val="nil"/>
              <w:left w:val="nil"/>
              <w:bottom w:val="nil"/>
              <w:right w:val="nil"/>
            </w:tcBorders>
            <w:shd w:val="clear" w:color="000000" w:fill="FFFFFF"/>
            <w:noWrap/>
            <w:vAlign w:val="bottom"/>
          </w:tcPr>
          <w:p w14:paraId="4FF9FB63" w14:textId="77777777" w:rsidR="005D647E" w:rsidRPr="00B6152C" w:rsidRDefault="005D647E" w:rsidP="00B6152C">
            <w:pPr>
              <w:spacing w:line="480" w:lineRule="auto"/>
              <w:rPr>
                <w:lang w:val="en-US"/>
              </w:rPr>
            </w:pPr>
            <w:r w:rsidRPr="00B6152C">
              <w:rPr>
                <w:lang w:val="en-US"/>
              </w:rPr>
              <w:t>Encephalitis</w:t>
            </w:r>
          </w:p>
        </w:tc>
        <w:tc>
          <w:tcPr>
            <w:tcW w:w="302" w:type="pct"/>
            <w:tcBorders>
              <w:top w:val="nil"/>
              <w:left w:val="nil"/>
              <w:bottom w:val="nil"/>
              <w:right w:val="nil"/>
            </w:tcBorders>
            <w:shd w:val="clear" w:color="auto" w:fill="auto"/>
            <w:noWrap/>
            <w:vAlign w:val="bottom"/>
          </w:tcPr>
          <w:p w14:paraId="442DD3CA" w14:textId="77777777" w:rsidR="005D647E" w:rsidRPr="00B6152C" w:rsidRDefault="005D647E" w:rsidP="00B6152C">
            <w:pPr>
              <w:spacing w:line="480" w:lineRule="auto"/>
              <w:jc w:val="center"/>
              <w:rPr>
                <w:lang w:val="en-US"/>
              </w:rPr>
            </w:pPr>
            <w:r w:rsidRPr="00B6152C">
              <w:rPr>
                <w:lang w:val="en-US"/>
              </w:rPr>
              <w:t>25</w:t>
            </w:r>
          </w:p>
        </w:tc>
        <w:tc>
          <w:tcPr>
            <w:tcW w:w="263" w:type="pct"/>
            <w:tcBorders>
              <w:top w:val="nil"/>
              <w:left w:val="nil"/>
              <w:bottom w:val="nil"/>
              <w:right w:val="nil"/>
            </w:tcBorders>
            <w:shd w:val="clear" w:color="000000" w:fill="FFFFFF"/>
            <w:noWrap/>
            <w:vAlign w:val="bottom"/>
          </w:tcPr>
          <w:p w14:paraId="2D22C985" w14:textId="77777777" w:rsidR="005D647E" w:rsidRPr="00B6152C" w:rsidRDefault="005D647E" w:rsidP="00B6152C">
            <w:pPr>
              <w:spacing w:line="480" w:lineRule="auto"/>
              <w:jc w:val="center"/>
              <w:rPr>
                <w:lang w:val="en-US"/>
              </w:rPr>
            </w:pPr>
            <w:r w:rsidRPr="00B6152C">
              <w:rPr>
                <w:lang w:val="en-US"/>
              </w:rPr>
              <w:t>12</w:t>
            </w:r>
          </w:p>
        </w:tc>
        <w:tc>
          <w:tcPr>
            <w:tcW w:w="654" w:type="pct"/>
            <w:tcBorders>
              <w:top w:val="nil"/>
              <w:left w:val="nil"/>
              <w:bottom w:val="nil"/>
              <w:right w:val="nil"/>
            </w:tcBorders>
            <w:shd w:val="clear" w:color="000000" w:fill="FFFFFF"/>
            <w:noWrap/>
          </w:tcPr>
          <w:p w14:paraId="2A99C4B1" w14:textId="77777777" w:rsidR="005D647E" w:rsidRPr="00B6152C" w:rsidRDefault="005D647E" w:rsidP="00B6152C">
            <w:pPr>
              <w:spacing w:line="480" w:lineRule="auto"/>
              <w:jc w:val="center"/>
              <w:rPr>
                <w:lang w:val="en-US"/>
              </w:rPr>
            </w:pPr>
            <w:r w:rsidRPr="00B6152C">
              <w:rPr>
                <w:lang w:val="en-US"/>
              </w:rPr>
              <w:t>1</w:t>
            </w:r>
          </w:p>
        </w:tc>
        <w:tc>
          <w:tcPr>
            <w:tcW w:w="298" w:type="pct"/>
            <w:tcBorders>
              <w:top w:val="nil"/>
              <w:left w:val="nil"/>
              <w:bottom w:val="nil"/>
              <w:right w:val="nil"/>
            </w:tcBorders>
            <w:vAlign w:val="bottom"/>
          </w:tcPr>
          <w:p w14:paraId="681B77D1" w14:textId="77777777" w:rsidR="005D647E" w:rsidRPr="00B6152C" w:rsidRDefault="005D647E" w:rsidP="00B6152C">
            <w:pPr>
              <w:spacing w:line="480" w:lineRule="auto"/>
              <w:jc w:val="center"/>
              <w:rPr>
                <w:lang w:val="en-US"/>
              </w:rPr>
            </w:pPr>
            <w:r w:rsidRPr="00B6152C">
              <w:rPr>
                <w:lang w:val="en-US"/>
              </w:rPr>
              <w:t>90</w:t>
            </w:r>
          </w:p>
        </w:tc>
        <w:tc>
          <w:tcPr>
            <w:tcW w:w="272" w:type="pct"/>
            <w:tcBorders>
              <w:top w:val="nil"/>
              <w:left w:val="nil"/>
              <w:bottom w:val="nil"/>
              <w:right w:val="nil"/>
            </w:tcBorders>
            <w:vAlign w:val="bottom"/>
          </w:tcPr>
          <w:p w14:paraId="00D06BA4" w14:textId="77777777" w:rsidR="005D647E" w:rsidRPr="00B6152C" w:rsidRDefault="005D647E" w:rsidP="00B6152C">
            <w:pPr>
              <w:spacing w:line="480" w:lineRule="auto"/>
              <w:jc w:val="center"/>
              <w:rPr>
                <w:lang w:val="en-US"/>
              </w:rPr>
            </w:pPr>
            <w:r w:rsidRPr="00B6152C">
              <w:rPr>
                <w:lang w:val="en-US"/>
              </w:rPr>
              <w:t>11</w:t>
            </w:r>
          </w:p>
        </w:tc>
        <w:tc>
          <w:tcPr>
            <w:tcW w:w="294" w:type="pct"/>
            <w:tcBorders>
              <w:top w:val="nil"/>
              <w:left w:val="nil"/>
              <w:bottom w:val="nil"/>
              <w:right w:val="nil"/>
            </w:tcBorders>
            <w:vAlign w:val="bottom"/>
          </w:tcPr>
          <w:p w14:paraId="56BE1678" w14:textId="77777777" w:rsidR="005D647E" w:rsidRPr="00B6152C" w:rsidRDefault="005D647E" w:rsidP="00B6152C">
            <w:pPr>
              <w:spacing w:line="480" w:lineRule="auto"/>
              <w:jc w:val="center"/>
              <w:rPr>
                <w:lang w:val="en-US"/>
              </w:rPr>
            </w:pPr>
            <w:r w:rsidRPr="00B6152C">
              <w:rPr>
                <w:lang w:val="en-US"/>
              </w:rPr>
              <w:t>3</w:t>
            </w:r>
          </w:p>
        </w:tc>
        <w:tc>
          <w:tcPr>
            <w:tcW w:w="297" w:type="pct"/>
            <w:tcBorders>
              <w:top w:val="nil"/>
              <w:left w:val="nil"/>
              <w:bottom w:val="nil"/>
              <w:right w:val="nil"/>
            </w:tcBorders>
          </w:tcPr>
          <w:p w14:paraId="5570D3A8" w14:textId="77777777" w:rsidR="005D647E" w:rsidRPr="00B6152C" w:rsidRDefault="005D647E" w:rsidP="00B6152C">
            <w:pPr>
              <w:spacing w:line="480" w:lineRule="auto"/>
              <w:jc w:val="center"/>
              <w:rPr>
                <w:lang w:val="en-US"/>
              </w:rPr>
            </w:pPr>
            <w:r w:rsidRPr="00B6152C">
              <w:rPr>
                <w:lang w:val="en-US"/>
              </w:rPr>
              <w:t>8</w:t>
            </w:r>
          </w:p>
        </w:tc>
        <w:tc>
          <w:tcPr>
            <w:tcW w:w="268" w:type="pct"/>
            <w:tcBorders>
              <w:top w:val="nil"/>
              <w:left w:val="nil"/>
              <w:bottom w:val="nil"/>
              <w:right w:val="nil"/>
            </w:tcBorders>
          </w:tcPr>
          <w:p w14:paraId="6474C612" w14:textId="77777777" w:rsidR="005D647E" w:rsidRPr="00B6152C" w:rsidRDefault="005D647E" w:rsidP="00B6152C">
            <w:pPr>
              <w:spacing w:line="480" w:lineRule="auto"/>
              <w:jc w:val="center"/>
              <w:rPr>
                <w:lang w:val="en-US"/>
              </w:rPr>
            </w:pPr>
            <w:r w:rsidRPr="00B6152C">
              <w:rPr>
                <w:lang w:val="en-US"/>
              </w:rPr>
              <w:t>10</w:t>
            </w:r>
          </w:p>
        </w:tc>
        <w:tc>
          <w:tcPr>
            <w:tcW w:w="92" w:type="pct"/>
            <w:tcBorders>
              <w:top w:val="nil"/>
              <w:left w:val="nil"/>
              <w:bottom w:val="nil"/>
              <w:right w:val="nil"/>
            </w:tcBorders>
          </w:tcPr>
          <w:p w14:paraId="6EDF8BE9"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11074EA7" w14:textId="77777777" w:rsidR="005D647E" w:rsidRPr="00B6152C" w:rsidRDefault="005D647E" w:rsidP="00B6152C">
            <w:pPr>
              <w:spacing w:line="480" w:lineRule="auto"/>
              <w:jc w:val="center"/>
              <w:rPr>
                <w:lang w:val="en-US"/>
              </w:rPr>
            </w:pPr>
            <w:r w:rsidRPr="00B6152C">
              <w:rPr>
                <w:lang w:val="en-US"/>
              </w:rPr>
              <w:t>90</w:t>
            </w:r>
          </w:p>
        </w:tc>
        <w:tc>
          <w:tcPr>
            <w:tcW w:w="293" w:type="pct"/>
            <w:tcBorders>
              <w:top w:val="nil"/>
              <w:left w:val="nil"/>
              <w:bottom w:val="nil"/>
              <w:right w:val="nil"/>
            </w:tcBorders>
            <w:shd w:val="clear" w:color="auto" w:fill="auto"/>
            <w:noWrap/>
            <w:vAlign w:val="bottom"/>
          </w:tcPr>
          <w:p w14:paraId="60610A73" w14:textId="77777777" w:rsidR="005D647E" w:rsidRPr="00B6152C" w:rsidRDefault="005D647E" w:rsidP="00B6152C">
            <w:pPr>
              <w:spacing w:line="480" w:lineRule="auto"/>
              <w:jc w:val="center"/>
              <w:rPr>
                <w:lang w:val="en-US"/>
              </w:rPr>
            </w:pPr>
            <w:r w:rsidRPr="00B6152C">
              <w:rPr>
                <w:lang w:val="en-US"/>
              </w:rPr>
              <w:t>50</w:t>
            </w:r>
          </w:p>
        </w:tc>
        <w:tc>
          <w:tcPr>
            <w:tcW w:w="253" w:type="pct"/>
            <w:tcBorders>
              <w:top w:val="nil"/>
              <w:left w:val="nil"/>
              <w:bottom w:val="nil"/>
              <w:right w:val="nil"/>
            </w:tcBorders>
            <w:shd w:val="clear" w:color="auto" w:fill="auto"/>
            <w:noWrap/>
            <w:vAlign w:val="bottom"/>
          </w:tcPr>
          <w:p w14:paraId="05DAB6F2" w14:textId="77777777" w:rsidR="005D647E" w:rsidRPr="00B6152C" w:rsidRDefault="005D647E" w:rsidP="00B6152C">
            <w:pPr>
              <w:spacing w:line="480" w:lineRule="auto"/>
              <w:jc w:val="center"/>
              <w:rPr>
                <w:lang w:val="en-US"/>
              </w:rPr>
            </w:pPr>
            <w:r w:rsidRPr="00B6152C">
              <w:rPr>
                <w:lang w:val="en-US"/>
              </w:rPr>
              <w:t>51</w:t>
            </w:r>
          </w:p>
        </w:tc>
        <w:tc>
          <w:tcPr>
            <w:tcW w:w="252" w:type="pct"/>
            <w:tcBorders>
              <w:top w:val="nil"/>
              <w:left w:val="nil"/>
              <w:bottom w:val="nil"/>
              <w:right w:val="nil"/>
            </w:tcBorders>
            <w:shd w:val="clear" w:color="auto" w:fill="auto"/>
            <w:noWrap/>
            <w:vAlign w:val="bottom"/>
          </w:tcPr>
          <w:p w14:paraId="32A91B3C" w14:textId="77777777" w:rsidR="005D647E" w:rsidRPr="00B6152C" w:rsidRDefault="005D647E" w:rsidP="00B6152C">
            <w:pPr>
              <w:spacing w:line="480" w:lineRule="auto"/>
              <w:jc w:val="center"/>
              <w:rPr>
                <w:lang w:val="en-US"/>
              </w:rPr>
            </w:pPr>
            <w:r w:rsidRPr="00B6152C">
              <w:rPr>
                <w:lang w:val="en-US"/>
              </w:rPr>
              <w:t>58</w:t>
            </w:r>
          </w:p>
        </w:tc>
      </w:tr>
      <w:tr w:rsidR="005D647E" w:rsidRPr="00B6152C" w14:paraId="0B18A505" w14:textId="77777777" w:rsidTr="00C54014">
        <w:trPr>
          <w:trHeight w:val="300"/>
        </w:trPr>
        <w:tc>
          <w:tcPr>
            <w:tcW w:w="1135" w:type="pct"/>
            <w:tcBorders>
              <w:top w:val="nil"/>
              <w:left w:val="nil"/>
              <w:bottom w:val="nil"/>
              <w:right w:val="nil"/>
            </w:tcBorders>
            <w:shd w:val="clear" w:color="000000" w:fill="FFFFFF"/>
            <w:noWrap/>
            <w:vAlign w:val="bottom"/>
          </w:tcPr>
          <w:p w14:paraId="74716FDC" w14:textId="77777777" w:rsidR="005D647E" w:rsidRPr="00B6152C" w:rsidRDefault="005D647E" w:rsidP="00B6152C">
            <w:pPr>
              <w:spacing w:line="480" w:lineRule="auto"/>
              <w:rPr>
                <w:lang w:val="en-US"/>
              </w:rPr>
            </w:pPr>
            <w:r w:rsidRPr="00B6152C">
              <w:rPr>
                <w:lang w:val="en-US"/>
              </w:rPr>
              <w:t>Encephalitis</w:t>
            </w:r>
          </w:p>
        </w:tc>
        <w:tc>
          <w:tcPr>
            <w:tcW w:w="302" w:type="pct"/>
            <w:tcBorders>
              <w:top w:val="nil"/>
              <w:left w:val="nil"/>
              <w:bottom w:val="nil"/>
              <w:right w:val="nil"/>
            </w:tcBorders>
            <w:shd w:val="clear" w:color="auto" w:fill="auto"/>
            <w:noWrap/>
            <w:vAlign w:val="bottom"/>
          </w:tcPr>
          <w:p w14:paraId="3EDD365F" w14:textId="77777777" w:rsidR="005D647E" w:rsidRPr="00B6152C" w:rsidRDefault="005D647E" w:rsidP="00B6152C">
            <w:pPr>
              <w:spacing w:line="480" w:lineRule="auto"/>
              <w:jc w:val="center"/>
              <w:rPr>
                <w:lang w:val="en-US"/>
              </w:rPr>
            </w:pPr>
            <w:r w:rsidRPr="00B6152C">
              <w:rPr>
                <w:lang w:val="en-US"/>
              </w:rPr>
              <w:t>41</w:t>
            </w:r>
          </w:p>
        </w:tc>
        <w:tc>
          <w:tcPr>
            <w:tcW w:w="263" w:type="pct"/>
            <w:tcBorders>
              <w:top w:val="nil"/>
              <w:left w:val="nil"/>
              <w:bottom w:val="nil"/>
              <w:right w:val="nil"/>
            </w:tcBorders>
            <w:shd w:val="clear" w:color="000000" w:fill="FFFFFF"/>
            <w:noWrap/>
            <w:vAlign w:val="bottom"/>
          </w:tcPr>
          <w:p w14:paraId="477BA045" w14:textId="77777777" w:rsidR="005D647E" w:rsidRPr="00B6152C" w:rsidRDefault="005D647E" w:rsidP="00B6152C">
            <w:pPr>
              <w:spacing w:line="480" w:lineRule="auto"/>
              <w:jc w:val="center"/>
              <w:rPr>
                <w:lang w:val="en-US"/>
              </w:rPr>
            </w:pPr>
            <w:r w:rsidRPr="00B6152C">
              <w:rPr>
                <w:lang w:val="en-US"/>
              </w:rPr>
              <w:t>15</w:t>
            </w:r>
          </w:p>
        </w:tc>
        <w:tc>
          <w:tcPr>
            <w:tcW w:w="654" w:type="pct"/>
            <w:tcBorders>
              <w:top w:val="nil"/>
              <w:left w:val="nil"/>
              <w:bottom w:val="nil"/>
              <w:right w:val="nil"/>
            </w:tcBorders>
            <w:shd w:val="clear" w:color="000000" w:fill="FFFFFF"/>
            <w:noWrap/>
          </w:tcPr>
          <w:p w14:paraId="6CC05506" w14:textId="77777777" w:rsidR="005D647E" w:rsidRPr="00B6152C" w:rsidRDefault="005D647E" w:rsidP="00B6152C">
            <w:pPr>
              <w:spacing w:line="480" w:lineRule="auto"/>
              <w:jc w:val="center"/>
              <w:rPr>
                <w:lang w:val="en-US"/>
              </w:rPr>
            </w:pPr>
            <w:r w:rsidRPr="00B6152C">
              <w:rPr>
                <w:lang w:val="en-US"/>
              </w:rPr>
              <w:t>1</w:t>
            </w:r>
          </w:p>
        </w:tc>
        <w:tc>
          <w:tcPr>
            <w:tcW w:w="298" w:type="pct"/>
            <w:tcBorders>
              <w:top w:val="nil"/>
              <w:left w:val="nil"/>
              <w:bottom w:val="nil"/>
              <w:right w:val="nil"/>
            </w:tcBorders>
            <w:vAlign w:val="bottom"/>
          </w:tcPr>
          <w:p w14:paraId="298ABED8" w14:textId="77777777" w:rsidR="005D647E" w:rsidRPr="00B6152C" w:rsidRDefault="005D647E" w:rsidP="00B6152C">
            <w:pPr>
              <w:spacing w:line="480" w:lineRule="auto"/>
              <w:jc w:val="center"/>
              <w:rPr>
                <w:lang w:val="en-US"/>
              </w:rPr>
            </w:pPr>
            <w:r w:rsidRPr="00B6152C">
              <w:rPr>
                <w:lang w:val="en-US"/>
              </w:rPr>
              <w:t>104</w:t>
            </w:r>
          </w:p>
        </w:tc>
        <w:tc>
          <w:tcPr>
            <w:tcW w:w="272" w:type="pct"/>
            <w:tcBorders>
              <w:top w:val="nil"/>
              <w:left w:val="nil"/>
              <w:bottom w:val="nil"/>
              <w:right w:val="nil"/>
            </w:tcBorders>
            <w:vAlign w:val="bottom"/>
          </w:tcPr>
          <w:p w14:paraId="4AC81B17" w14:textId="77777777" w:rsidR="005D647E" w:rsidRPr="00B6152C" w:rsidRDefault="005D647E" w:rsidP="00B6152C">
            <w:pPr>
              <w:spacing w:line="480" w:lineRule="auto"/>
              <w:jc w:val="center"/>
              <w:rPr>
                <w:lang w:val="en-US"/>
              </w:rPr>
            </w:pPr>
            <w:r w:rsidRPr="00B6152C">
              <w:rPr>
                <w:lang w:val="en-US"/>
              </w:rPr>
              <w:t>11</w:t>
            </w:r>
          </w:p>
        </w:tc>
        <w:tc>
          <w:tcPr>
            <w:tcW w:w="294" w:type="pct"/>
            <w:tcBorders>
              <w:top w:val="nil"/>
              <w:left w:val="nil"/>
              <w:bottom w:val="nil"/>
              <w:right w:val="nil"/>
            </w:tcBorders>
            <w:vAlign w:val="bottom"/>
          </w:tcPr>
          <w:p w14:paraId="79C42B27" w14:textId="77777777" w:rsidR="005D647E" w:rsidRPr="00B6152C" w:rsidRDefault="005D647E" w:rsidP="00B6152C">
            <w:pPr>
              <w:spacing w:line="480" w:lineRule="auto"/>
              <w:jc w:val="center"/>
              <w:rPr>
                <w:lang w:val="en-US"/>
              </w:rPr>
            </w:pPr>
            <w:r w:rsidRPr="00B6152C">
              <w:rPr>
                <w:lang w:val="en-US"/>
              </w:rPr>
              <w:t>10</w:t>
            </w:r>
          </w:p>
        </w:tc>
        <w:tc>
          <w:tcPr>
            <w:tcW w:w="297" w:type="pct"/>
            <w:tcBorders>
              <w:top w:val="nil"/>
              <w:left w:val="nil"/>
              <w:bottom w:val="nil"/>
              <w:right w:val="nil"/>
            </w:tcBorders>
          </w:tcPr>
          <w:p w14:paraId="75B86349" w14:textId="77777777" w:rsidR="005D647E" w:rsidRPr="00B6152C" w:rsidRDefault="005D647E" w:rsidP="00B6152C">
            <w:pPr>
              <w:spacing w:line="480" w:lineRule="auto"/>
              <w:jc w:val="center"/>
              <w:rPr>
                <w:lang w:val="en-US"/>
              </w:rPr>
            </w:pPr>
            <w:r w:rsidRPr="00B6152C">
              <w:rPr>
                <w:lang w:val="en-US"/>
              </w:rPr>
              <w:t>10</w:t>
            </w:r>
          </w:p>
        </w:tc>
        <w:tc>
          <w:tcPr>
            <w:tcW w:w="268" w:type="pct"/>
            <w:tcBorders>
              <w:top w:val="nil"/>
              <w:left w:val="nil"/>
              <w:bottom w:val="nil"/>
              <w:right w:val="nil"/>
            </w:tcBorders>
          </w:tcPr>
          <w:p w14:paraId="3DC5EBEB" w14:textId="77777777" w:rsidR="005D647E" w:rsidRPr="00B6152C" w:rsidRDefault="005D647E" w:rsidP="00B6152C">
            <w:pPr>
              <w:spacing w:line="480" w:lineRule="auto"/>
              <w:jc w:val="center"/>
              <w:rPr>
                <w:lang w:val="en-US"/>
              </w:rPr>
            </w:pPr>
            <w:r w:rsidRPr="00B6152C">
              <w:rPr>
                <w:lang w:val="en-US"/>
              </w:rPr>
              <w:t>12</w:t>
            </w:r>
          </w:p>
        </w:tc>
        <w:tc>
          <w:tcPr>
            <w:tcW w:w="92" w:type="pct"/>
            <w:tcBorders>
              <w:top w:val="nil"/>
              <w:left w:val="nil"/>
              <w:bottom w:val="nil"/>
              <w:right w:val="nil"/>
            </w:tcBorders>
          </w:tcPr>
          <w:p w14:paraId="6CF86EB6"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11BC1BE1" w14:textId="77777777" w:rsidR="005D647E" w:rsidRPr="00B6152C" w:rsidRDefault="005D647E" w:rsidP="00B6152C">
            <w:pPr>
              <w:spacing w:line="480" w:lineRule="auto"/>
              <w:jc w:val="center"/>
              <w:rPr>
                <w:lang w:val="en-US"/>
              </w:rPr>
            </w:pPr>
            <w:r w:rsidRPr="00B6152C">
              <w:rPr>
                <w:lang w:val="en-US"/>
              </w:rPr>
              <w:t>97</w:t>
            </w:r>
          </w:p>
        </w:tc>
        <w:tc>
          <w:tcPr>
            <w:tcW w:w="293" w:type="pct"/>
            <w:tcBorders>
              <w:top w:val="nil"/>
              <w:left w:val="nil"/>
              <w:bottom w:val="nil"/>
              <w:right w:val="nil"/>
            </w:tcBorders>
            <w:shd w:val="clear" w:color="auto" w:fill="auto"/>
            <w:noWrap/>
            <w:vAlign w:val="bottom"/>
          </w:tcPr>
          <w:p w14:paraId="78863F9B" w14:textId="77777777" w:rsidR="005D647E" w:rsidRPr="00B6152C" w:rsidRDefault="005D647E" w:rsidP="00B6152C">
            <w:pPr>
              <w:spacing w:line="480" w:lineRule="auto"/>
              <w:jc w:val="center"/>
              <w:rPr>
                <w:lang w:val="en-US"/>
              </w:rPr>
            </w:pPr>
            <w:r w:rsidRPr="00B6152C">
              <w:rPr>
                <w:lang w:val="en-US"/>
              </w:rPr>
              <w:t>55</w:t>
            </w:r>
          </w:p>
        </w:tc>
        <w:tc>
          <w:tcPr>
            <w:tcW w:w="253" w:type="pct"/>
            <w:tcBorders>
              <w:top w:val="nil"/>
              <w:left w:val="nil"/>
              <w:bottom w:val="nil"/>
              <w:right w:val="nil"/>
            </w:tcBorders>
            <w:shd w:val="clear" w:color="auto" w:fill="auto"/>
            <w:noWrap/>
            <w:vAlign w:val="bottom"/>
          </w:tcPr>
          <w:p w14:paraId="51431857" w14:textId="77777777" w:rsidR="005D647E" w:rsidRPr="00B6152C" w:rsidRDefault="005D647E" w:rsidP="00B6152C">
            <w:pPr>
              <w:spacing w:line="480" w:lineRule="auto"/>
              <w:jc w:val="center"/>
              <w:rPr>
                <w:lang w:val="en-US"/>
              </w:rPr>
            </w:pPr>
            <w:r w:rsidRPr="00B6152C">
              <w:rPr>
                <w:lang w:val="en-US"/>
              </w:rPr>
              <w:t>59</w:t>
            </w:r>
          </w:p>
        </w:tc>
        <w:tc>
          <w:tcPr>
            <w:tcW w:w="252" w:type="pct"/>
            <w:tcBorders>
              <w:top w:val="nil"/>
              <w:left w:val="nil"/>
              <w:bottom w:val="nil"/>
              <w:right w:val="nil"/>
            </w:tcBorders>
            <w:shd w:val="clear" w:color="auto" w:fill="auto"/>
            <w:noWrap/>
            <w:vAlign w:val="bottom"/>
          </w:tcPr>
          <w:p w14:paraId="1609A557" w14:textId="77777777" w:rsidR="005D647E" w:rsidRPr="00B6152C" w:rsidRDefault="005D647E" w:rsidP="00B6152C">
            <w:pPr>
              <w:spacing w:line="480" w:lineRule="auto"/>
              <w:jc w:val="center"/>
              <w:rPr>
                <w:lang w:val="en-US"/>
              </w:rPr>
            </w:pPr>
            <w:r w:rsidRPr="00B6152C">
              <w:rPr>
                <w:lang w:val="en-US"/>
              </w:rPr>
              <w:t>61</w:t>
            </w:r>
          </w:p>
        </w:tc>
      </w:tr>
      <w:tr w:rsidR="005D647E" w:rsidRPr="00B6152C" w14:paraId="521AE165" w14:textId="77777777" w:rsidTr="00C54014">
        <w:trPr>
          <w:trHeight w:val="300"/>
        </w:trPr>
        <w:tc>
          <w:tcPr>
            <w:tcW w:w="1135" w:type="pct"/>
            <w:tcBorders>
              <w:top w:val="nil"/>
              <w:left w:val="nil"/>
              <w:bottom w:val="nil"/>
              <w:right w:val="nil"/>
            </w:tcBorders>
            <w:shd w:val="clear" w:color="000000" w:fill="FFFFFF"/>
            <w:noWrap/>
            <w:vAlign w:val="bottom"/>
          </w:tcPr>
          <w:p w14:paraId="4B7F5CF3" w14:textId="77777777" w:rsidR="005D647E" w:rsidRPr="00B6152C" w:rsidRDefault="005D647E" w:rsidP="00B6152C">
            <w:pPr>
              <w:spacing w:line="480" w:lineRule="auto"/>
              <w:rPr>
                <w:lang w:val="en-US"/>
              </w:rPr>
            </w:pPr>
            <w:r w:rsidRPr="00B6152C">
              <w:rPr>
                <w:lang w:val="en-US"/>
              </w:rPr>
              <w:t>Closed-head injury</w:t>
            </w:r>
          </w:p>
        </w:tc>
        <w:tc>
          <w:tcPr>
            <w:tcW w:w="302" w:type="pct"/>
            <w:tcBorders>
              <w:top w:val="nil"/>
              <w:left w:val="nil"/>
              <w:bottom w:val="nil"/>
              <w:right w:val="nil"/>
            </w:tcBorders>
            <w:shd w:val="clear" w:color="auto" w:fill="auto"/>
            <w:noWrap/>
            <w:vAlign w:val="bottom"/>
          </w:tcPr>
          <w:p w14:paraId="701DAF97" w14:textId="77777777" w:rsidR="005D647E" w:rsidRPr="00B6152C" w:rsidRDefault="005D647E" w:rsidP="00B6152C">
            <w:pPr>
              <w:spacing w:line="480" w:lineRule="auto"/>
              <w:jc w:val="center"/>
              <w:rPr>
                <w:lang w:val="en-US"/>
              </w:rPr>
            </w:pPr>
            <w:r w:rsidRPr="00B6152C">
              <w:rPr>
                <w:lang w:val="en-US"/>
              </w:rPr>
              <w:t>52</w:t>
            </w:r>
          </w:p>
        </w:tc>
        <w:tc>
          <w:tcPr>
            <w:tcW w:w="263" w:type="pct"/>
            <w:tcBorders>
              <w:top w:val="nil"/>
              <w:left w:val="nil"/>
              <w:bottom w:val="nil"/>
              <w:right w:val="nil"/>
            </w:tcBorders>
            <w:shd w:val="clear" w:color="000000" w:fill="FFFFFF"/>
            <w:noWrap/>
            <w:vAlign w:val="bottom"/>
          </w:tcPr>
          <w:p w14:paraId="3DE6217A" w14:textId="77777777" w:rsidR="005D647E" w:rsidRPr="00B6152C" w:rsidRDefault="005D647E" w:rsidP="00B6152C">
            <w:pPr>
              <w:spacing w:line="480" w:lineRule="auto"/>
              <w:jc w:val="center"/>
              <w:rPr>
                <w:lang w:val="en-US"/>
              </w:rPr>
            </w:pPr>
            <w:r w:rsidRPr="00B6152C">
              <w:rPr>
                <w:lang w:val="en-US"/>
              </w:rPr>
              <w:t>16</w:t>
            </w:r>
          </w:p>
        </w:tc>
        <w:tc>
          <w:tcPr>
            <w:tcW w:w="654" w:type="pct"/>
            <w:tcBorders>
              <w:top w:val="nil"/>
              <w:left w:val="nil"/>
              <w:bottom w:val="nil"/>
              <w:right w:val="nil"/>
            </w:tcBorders>
            <w:shd w:val="clear" w:color="000000" w:fill="FFFFFF"/>
            <w:noWrap/>
          </w:tcPr>
          <w:p w14:paraId="409F1545" w14:textId="77777777" w:rsidR="005D647E" w:rsidRPr="00B6152C" w:rsidRDefault="005D647E" w:rsidP="00B6152C">
            <w:pPr>
              <w:spacing w:line="480" w:lineRule="auto"/>
              <w:jc w:val="center"/>
              <w:rPr>
                <w:lang w:val="en-US"/>
              </w:rPr>
            </w:pPr>
            <w:r w:rsidRPr="00B6152C">
              <w:rPr>
                <w:lang w:val="en-US"/>
              </w:rPr>
              <w:t>3</w:t>
            </w:r>
          </w:p>
        </w:tc>
        <w:tc>
          <w:tcPr>
            <w:tcW w:w="298" w:type="pct"/>
            <w:tcBorders>
              <w:top w:val="nil"/>
              <w:left w:val="nil"/>
              <w:bottom w:val="nil"/>
              <w:right w:val="nil"/>
            </w:tcBorders>
            <w:vAlign w:val="bottom"/>
          </w:tcPr>
          <w:p w14:paraId="31FFCAA3" w14:textId="77777777" w:rsidR="005D647E" w:rsidRPr="00B6152C" w:rsidRDefault="005D647E" w:rsidP="00B6152C">
            <w:pPr>
              <w:spacing w:line="480" w:lineRule="auto"/>
              <w:jc w:val="center"/>
              <w:rPr>
                <w:lang w:val="en-US"/>
              </w:rPr>
            </w:pPr>
            <w:r w:rsidRPr="00B6152C">
              <w:rPr>
                <w:lang w:val="en-US"/>
              </w:rPr>
              <w:t>106</w:t>
            </w:r>
          </w:p>
        </w:tc>
        <w:tc>
          <w:tcPr>
            <w:tcW w:w="272" w:type="pct"/>
            <w:tcBorders>
              <w:top w:val="nil"/>
              <w:left w:val="nil"/>
              <w:bottom w:val="nil"/>
              <w:right w:val="nil"/>
            </w:tcBorders>
            <w:vAlign w:val="bottom"/>
          </w:tcPr>
          <w:p w14:paraId="3D0DAF80" w14:textId="77777777" w:rsidR="005D647E" w:rsidRPr="00B6152C" w:rsidRDefault="005D647E" w:rsidP="00B6152C">
            <w:pPr>
              <w:spacing w:line="480" w:lineRule="auto"/>
              <w:jc w:val="center"/>
              <w:rPr>
                <w:lang w:val="en-US"/>
              </w:rPr>
            </w:pPr>
            <w:r w:rsidRPr="00B6152C">
              <w:rPr>
                <w:lang w:val="en-US"/>
              </w:rPr>
              <w:t>11</w:t>
            </w:r>
          </w:p>
        </w:tc>
        <w:tc>
          <w:tcPr>
            <w:tcW w:w="294" w:type="pct"/>
            <w:tcBorders>
              <w:top w:val="nil"/>
              <w:left w:val="nil"/>
              <w:bottom w:val="nil"/>
              <w:right w:val="nil"/>
            </w:tcBorders>
            <w:vAlign w:val="bottom"/>
          </w:tcPr>
          <w:p w14:paraId="511284A3" w14:textId="77777777" w:rsidR="005D647E" w:rsidRPr="00B6152C" w:rsidRDefault="005D647E" w:rsidP="00B6152C">
            <w:pPr>
              <w:spacing w:line="480" w:lineRule="auto"/>
              <w:jc w:val="center"/>
              <w:rPr>
                <w:lang w:val="en-US"/>
              </w:rPr>
            </w:pPr>
            <w:r w:rsidRPr="00B6152C">
              <w:rPr>
                <w:lang w:val="en-US"/>
              </w:rPr>
              <w:t>13</w:t>
            </w:r>
          </w:p>
        </w:tc>
        <w:tc>
          <w:tcPr>
            <w:tcW w:w="297" w:type="pct"/>
            <w:tcBorders>
              <w:top w:val="nil"/>
              <w:left w:val="nil"/>
              <w:bottom w:val="nil"/>
              <w:right w:val="nil"/>
            </w:tcBorders>
          </w:tcPr>
          <w:p w14:paraId="4E773176" w14:textId="77777777" w:rsidR="005D647E" w:rsidRPr="00B6152C" w:rsidRDefault="005D647E" w:rsidP="00B6152C">
            <w:pPr>
              <w:spacing w:line="480" w:lineRule="auto"/>
              <w:jc w:val="center"/>
              <w:rPr>
                <w:lang w:val="en-US"/>
              </w:rPr>
            </w:pPr>
            <w:r w:rsidRPr="00B6152C">
              <w:rPr>
                <w:lang w:val="en-US"/>
              </w:rPr>
              <w:t>9</w:t>
            </w:r>
          </w:p>
        </w:tc>
        <w:tc>
          <w:tcPr>
            <w:tcW w:w="268" w:type="pct"/>
            <w:tcBorders>
              <w:top w:val="nil"/>
              <w:left w:val="nil"/>
              <w:bottom w:val="nil"/>
              <w:right w:val="nil"/>
            </w:tcBorders>
          </w:tcPr>
          <w:p w14:paraId="4DB16A50" w14:textId="77777777" w:rsidR="005D647E" w:rsidRPr="00B6152C" w:rsidRDefault="005D647E" w:rsidP="00B6152C">
            <w:pPr>
              <w:spacing w:line="480" w:lineRule="auto"/>
              <w:jc w:val="center"/>
              <w:rPr>
                <w:lang w:val="en-US"/>
              </w:rPr>
            </w:pPr>
            <w:r w:rsidRPr="00B6152C">
              <w:rPr>
                <w:lang w:val="en-US"/>
              </w:rPr>
              <w:t>12</w:t>
            </w:r>
          </w:p>
        </w:tc>
        <w:tc>
          <w:tcPr>
            <w:tcW w:w="92" w:type="pct"/>
            <w:tcBorders>
              <w:top w:val="nil"/>
              <w:left w:val="nil"/>
              <w:bottom w:val="nil"/>
              <w:right w:val="nil"/>
            </w:tcBorders>
          </w:tcPr>
          <w:p w14:paraId="2A484EDD"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330638EC" w14:textId="77777777" w:rsidR="005D647E" w:rsidRPr="00B6152C" w:rsidRDefault="005D647E" w:rsidP="00B6152C">
            <w:pPr>
              <w:spacing w:line="480" w:lineRule="auto"/>
              <w:jc w:val="center"/>
              <w:rPr>
                <w:lang w:val="en-US"/>
              </w:rPr>
            </w:pPr>
            <w:r w:rsidRPr="00B6152C">
              <w:rPr>
                <w:lang w:val="en-US"/>
              </w:rPr>
              <w:t>105</w:t>
            </w:r>
          </w:p>
        </w:tc>
        <w:tc>
          <w:tcPr>
            <w:tcW w:w="293" w:type="pct"/>
            <w:tcBorders>
              <w:top w:val="nil"/>
              <w:left w:val="nil"/>
              <w:bottom w:val="nil"/>
              <w:right w:val="nil"/>
            </w:tcBorders>
            <w:shd w:val="clear" w:color="auto" w:fill="auto"/>
            <w:noWrap/>
            <w:vAlign w:val="bottom"/>
          </w:tcPr>
          <w:p w14:paraId="10C277E6" w14:textId="77777777" w:rsidR="005D647E" w:rsidRPr="00B6152C" w:rsidRDefault="005D647E" w:rsidP="00B6152C">
            <w:pPr>
              <w:spacing w:line="480" w:lineRule="auto"/>
              <w:jc w:val="center"/>
              <w:rPr>
                <w:lang w:val="en-US"/>
              </w:rPr>
            </w:pPr>
            <w:r w:rsidRPr="00B6152C">
              <w:rPr>
                <w:lang w:val="en-US"/>
              </w:rPr>
              <w:t>62</w:t>
            </w:r>
          </w:p>
        </w:tc>
        <w:tc>
          <w:tcPr>
            <w:tcW w:w="253" w:type="pct"/>
            <w:tcBorders>
              <w:top w:val="nil"/>
              <w:left w:val="nil"/>
              <w:bottom w:val="nil"/>
              <w:right w:val="nil"/>
            </w:tcBorders>
            <w:shd w:val="clear" w:color="auto" w:fill="auto"/>
            <w:noWrap/>
            <w:vAlign w:val="bottom"/>
          </w:tcPr>
          <w:p w14:paraId="0F7E74F2" w14:textId="77777777" w:rsidR="005D647E" w:rsidRPr="00B6152C" w:rsidRDefault="005D647E" w:rsidP="00B6152C">
            <w:pPr>
              <w:spacing w:line="480" w:lineRule="auto"/>
              <w:jc w:val="center"/>
              <w:rPr>
                <w:lang w:val="en-US"/>
              </w:rPr>
            </w:pPr>
            <w:r w:rsidRPr="00B6152C">
              <w:rPr>
                <w:lang w:val="en-US"/>
              </w:rPr>
              <w:t>69</w:t>
            </w:r>
          </w:p>
        </w:tc>
        <w:tc>
          <w:tcPr>
            <w:tcW w:w="252" w:type="pct"/>
            <w:tcBorders>
              <w:top w:val="nil"/>
              <w:left w:val="nil"/>
              <w:bottom w:val="nil"/>
              <w:right w:val="nil"/>
            </w:tcBorders>
            <w:shd w:val="clear" w:color="auto" w:fill="auto"/>
            <w:noWrap/>
            <w:vAlign w:val="bottom"/>
          </w:tcPr>
          <w:p w14:paraId="015918D9" w14:textId="77777777" w:rsidR="005D647E" w:rsidRPr="00B6152C" w:rsidRDefault="005D647E" w:rsidP="00B6152C">
            <w:pPr>
              <w:spacing w:line="480" w:lineRule="auto"/>
              <w:jc w:val="center"/>
              <w:rPr>
                <w:lang w:val="en-US"/>
              </w:rPr>
            </w:pPr>
            <w:r w:rsidRPr="00B6152C">
              <w:rPr>
                <w:lang w:val="en-US"/>
              </w:rPr>
              <w:t>68</w:t>
            </w:r>
          </w:p>
        </w:tc>
      </w:tr>
      <w:tr w:rsidR="005D647E" w:rsidRPr="00B6152C" w14:paraId="29227245" w14:textId="77777777" w:rsidTr="00C54014">
        <w:trPr>
          <w:trHeight w:val="300"/>
        </w:trPr>
        <w:tc>
          <w:tcPr>
            <w:tcW w:w="1135" w:type="pct"/>
            <w:tcBorders>
              <w:top w:val="nil"/>
              <w:left w:val="nil"/>
              <w:bottom w:val="nil"/>
              <w:right w:val="nil"/>
            </w:tcBorders>
            <w:shd w:val="clear" w:color="000000" w:fill="FFFFFF"/>
            <w:noWrap/>
            <w:vAlign w:val="bottom"/>
          </w:tcPr>
          <w:p w14:paraId="6C45D21B" w14:textId="77777777" w:rsidR="005D647E" w:rsidRPr="00B6152C" w:rsidRDefault="005D647E" w:rsidP="00B6152C">
            <w:pPr>
              <w:spacing w:line="480" w:lineRule="auto"/>
              <w:rPr>
                <w:lang w:val="en-US"/>
              </w:rPr>
            </w:pPr>
            <w:r w:rsidRPr="00B6152C">
              <w:rPr>
                <w:lang w:val="en-US"/>
              </w:rPr>
              <w:t>Closed-head injury</w:t>
            </w:r>
          </w:p>
        </w:tc>
        <w:tc>
          <w:tcPr>
            <w:tcW w:w="302" w:type="pct"/>
            <w:tcBorders>
              <w:top w:val="nil"/>
              <w:left w:val="nil"/>
              <w:bottom w:val="nil"/>
              <w:right w:val="nil"/>
            </w:tcBorders>
            <w:shd w:val="clear" w:color="auto" w:fill="auto"/>
            <w:noWrap/>
            <w:vAlign w:val="bottom"/>
          </w:tcPr>
          <w:p w14:paraId="4D9A491F" w14:textId="77777777" w:rsidR="005D647E" w:rsidRPr="00B6152C" w:rsidRDefault="005D647E" w:rsidP="00B6152C">
            <w:pPr>
              <w:spacing w:line="480" w:lineRule="auto"/>
              <w:jc w:val="center"/>
              <w:rPr>
                <w:lang w:val="en-US"/>
              </w:rPr>
            </w:pPr>
            <w:r w:rsidRPr="00B6152C">
              <w:rPr>
                <w:lang w:val="en-US"/>
              </w:rPr>
              <w:t>33</w:t>
            </w:r>
          </w:p>
        </w:tc>
        <w:tc>
          <w:tcPr>
            <w:tcW w:w="263" w:type="pct"/>
            <w:tcBorders>
              <w:top w:val="nil"/>
              <w:left w:val="nil"/>
              <w:bottom w:val="nil"/>
              <w:right w:val="nil"/>
            </w:tcBorders>
            <w:shd w:val="clear" w:color="000000" w:fill="FFFFFF"/>
            <w:noWrap/>
            <w:vAlign w:val="bottom"/>
          </w:tcPr>
          <w:p w14:paraId="32F41915" w14:textId="77777777" w:rsidR="005D647E" w:rsidRPr="00B6152C" w:rsidRDefault="005D647E" w:rsidP="00B6152C">
            <w:pPr>
              <w:spacing w:line="480" w:lineRule="auto"/>
              <w:jc w:val="center"/>
              <w:rPr>
                <w:lang w:val="en-US"/>
              </w:rPr>
            </w:pPr>
            <w:r w:rsidRPr="00B6152C">
              <w:rPr>
                <w:lang w:val="en-US"/>
              </w:rPr>
              <w:t>10</w:t>
            </w:r>
          </w:p>
        </w:tc>
        <w:tc>
          <w:tcPr>
            <w:tcW w:w="654" w:type="pct"/>
            <w:tcBorders>
              <w:top w:val="nil"/>
              <w:left w:val="nil"/>
              <w:bottom w:val="nil"/>
              <w:right w:val="nil"/>
            </w:tcBorders>
            <w:shd w:val="clear" w:color="000000" w:fill="FFFFFF"/>
            <w:noWrap/>
          </w:tcPr>
          <w:p w14:paraId="597306E8" w14:textId="77777777" w:rsidR="005D647E" w:rsidRPr="00B6152C" w:rsidRDefault="005D647E" w:rsidP="00B6152C">
            <w:pPr>
              <w:spacing w:line="480" w:lineRule="auto"/>
              <w:jc w:val="center"/>
              <w:rPr>
                <w:lang w:val="en-US"/>
              </w:rPr>
            </w:pPr>
            <w:r w:rsidRPr="00B6152C">
              <w:rPr>
                <w:lang w:val="en-US"/>
              </w:rPr>
              <w:t>2</w:t>
            </w:r>
          </w:p>
        </w:tc>
        <w:tc>
          <w:tcPr>
            <w:tcW w:w="298" w:type="pct"/>
            <w:tcBorders>
              <w:top w:val="nil"/>
              <w:left w:val="nil"/>
              <w:bottom w:val="nil"/>
              <w:right w:val="nil"/>
            </w:tcBorders>
            <w:vAlign w:val="bottom"/>
          </w:tcPr>
          <w:p w14:paraId="2CDCC8AD" w14:textId="77777777" w:rsidR="005D647E" w:rsidRPr="00B6152C" w:rsidRDefault="005D647E" w:rsidP="00B6152C">
            <w:pPr>
              <w:spacing w:line="480" w:lineRule="auto"/>
              <w:jc w:val="center"/>
              <w:rPr>
                <w:lang w:val="en-US"/>
              </w:rPr>
            </w:pPr>
            <w:r w:rsidRPr="00B6152C">
              <w:rPr>
                <w:lang w:val="en-US"/>
              </w:rPr>
              <w:t>90</w:t>
            </w:r>
          </w:p>
        </w:tc>
        <w:tc>
          <w:tcPr>
            <w:tcW w:w="272" w:type="pct"/>
            <w:tcBorders>
              <w:top w:val="nil"/>
              <w:left w:val="nil"/>
              <w:bottom w:val="nil"/>
              <w:right w:val="nil"/>
            </w:tcBorders>
            <w:vAlign w:val="bottom"/>
          </w:tcPr>
          <w:p w14:paraId="2D0B58E2" w14:textId="77777777" w:rsidR="005D647E" w:rsidRPr="00B6152C" w:rsidRDefault="005D647E" w:rsidP="00B6152C">
            <w:pPr>
              <w:spacing w:line="480" w:lineRule="auto"/>
              <w:jc w:val="center"/>
              <w:rPr>
                <w:lang w:val="en-US"/>
              </w:rPr>
            </w:pPr>
            <w:r w:rsidRPr="00B6152C">
              <w:rPr>
                <w:lang w:val="en-US"/>
              </w:rPr>
              <w:t>7</w:t>
            </w:r>
          </w:p>
        </w:tc>
        <w:tc>
          <w:tcPr>
            <w:tcW w:w="294" w:type="pct"/>
            <w:tcBorders>
              <w:top w:val="nil"/>
              <w:left w:val="nil"/>
              <w:bottom w:val="nil"/>
              <w:right w:val="nil"/>
            </w:tcBorders>
            <w:vAlign w:val="bottom"/>
          </w:tcPr>
          <w:p w14:paraId="275DAD3F" w14:textId="77777777" w:rsidR="005D647E" w:rsidRPr="00B6152C" w:rsidRDefault="005D647E" w:rsidP="00B6152C">
            <w:pPr>
              <w:spacing w:line="480" w:lineRule="auto"/>
              <w:jc w:val="center"/>
              <w:rPr>
                <w:lang w:val="en-US"/>
              </w:rPr>
            </w:pPr>
            <w:r w:rsidRPr="00B6152C">
              <w:rPr>
                <w:lang w:val="en-US"/>
              </w:rPr>
              <w:t>11</w:t>
            </w:r>
          </w:p>
        </w:tc>
        <w:tc>
          <w:tcPr>
            <w:tcW w:w="297" w:type="pct"/>
            <w:tcBorders>
              <w:top w:val="nil"/>
              <w:left w:val="nil"/>
              <w:bottom w:val="nil"/>
              <w:right w:val="nil"/>
            </w:tcBorders>
          </w:tcPr>
          <w:p w14:paraId="4FCC06E1" w14:textId="77777777" w:rsidR="005D647E" w:rsidRPr="00B6152C" w:rsidRDefault="005D647E" w:rsidP="00B6152C">
            <w:pPr>
              <w:spacing w:line="480" w:lineRule="auto"/>
              <w:jc w:val="center"/>
              <w:rPr>
                <w:lang w:val="en-US"/>
              </w:rPr>
            </w:pPr>
            <w:r w:rsidRPr="00B6152C">
              <w:rPr>
                <w:lang w:val="en-US"/>
              </w:rPr>
              <w:t>7</w:t>
            </w:r>
          </w:p>
        </w:tc>
        <w:tc>
          <w:tcPr>
            <w:tcW w:w="268" w:type="pct"/>
            <w:tcBorders>
              <w:top w:val="nil"/>
              <w:left w:val="nil"/>
              <w:bottom w:val="nil"/>
              <w:right w:val="nil"/>
            </w:tcBorders>
          </w:tcPr>
          <w:p w14:paraId="6130BA08" w14:textId="77777777" w:rsidR="005D647E" w:rsidRPr="00B6152C" w:rsidRDefault="005D647E" w:rsidP="00B6152C">
            <w:pPr>
              <w:spacing w:line="480" w:lineRule="auto"/>
              <w:jc w:val="center"/>
              <w:rPr>
                <w:lang w:val="en-US"/>
              </w:rPr>
            </w:pPr>
            <w:r w:rsidRPr="00B6152C">
              <w:rPr>
                <w:lang w:val="en-US"/>
              </w:rPr>
              <w:t>7</w:t>
            </w:r>
          </w:p>
        </w:tc>
        <w:tc>
          <w:tcPr>
            <w:tcW w:w="92" w:type="pct"/>
            <w:tcBorders>
              <w:top w:val="nil"/>
              <w:left w:val="nil"/>
              <w:bottom w:val="nil"/>
              <w:right w:val="nil"/>
            </w:tcBorders>
          </w:tcPr>
          <w:p w14:paraId="255DAC02" w14:textId="77777777" w:rsidR="005D647E" w:rsidRPr="00B6152C" w:rsidRDefault="005D647E" w:rsidP="00B6152C">
            <w:pPr>
              <w:spacing w:line="480" w:lineRule="auto"/>
              <w:jc w:val="center"/>
              <w:rPr>
                <w:lang w:val="en-US"/>
              </w:rPr>
            </w:pPr>
          </w:p>
        </w:tc>
        <w:tc>
          <w:tcPr>
            <w:tcW w:w="329" w:type="pct"/>
            <w:tcBorders>
              <w:top w:val="nil"/>
              <w:left w:val="nil"/>
              <w:bottom w:val="nil"/>
              <w:right w:val="nil"/>
            </w:tcBorders>
            <w:shd w:val="clear" w:color="auto" w:fill="auto"/>
            <w:noWrap/>
            <w:vAlign w:val="bottom"/>
          </w:tcPr>
          <w:p w14:paraId="159CA02C" w14:textId="77777777" w:rsidR="005D647E" w:rsidRPr="00B6152C" w:rsidRDefault="005D647E" w:rsidP="00B6152C">
            <w:pPr>
              <w:spacing w:line="480" w:lineRule="auto"/>
              <w:jc w:val="center"/>
              <w:rPr>
                <w:lang w:val="en-US"/>
              </w:rPr>
            </w:pPr>
            <w:r w:rsidRPr="00B6152C">
              <w:rPr>
                <w:lang w:val="en-US"/>
              </w:rPr>
              <w:t>91</w:t>
            </w:r>
          </w:p>
        </w:tc>
        <w:tc>
          <w:tcPr>
            <w:tcW w:w="293" w:type="pct"/>
            <w:tcBorders>
              <w:top w:val="nil"/>
              <w:left w:val="nil"/>
              <w:bottom w:val="nil"/>
              <w:right w:val="nil"/>
            </w:tcBorders>
            <w:shd w:val="clear" w:color="auto" w:fill="auto"/>
            <w:noWrap/>
            <w:vAlign w:val="bottom"/>
          </w:tcPr>
          <w:p w14:paraId="34B96A7D" w14:textId="77777777" w:rsidR="005D647E" w:rsidRPr="00B6152C" w:rsidRDefault="005D647E" w:rsidP="00B6152C">
            <w:pPr>
              <w:spacing w:line="480" w:lineRule="auto"/>
              <w:jc w:val="center"/>
              <w:rPr>
                <w:lang w:val="en-US"/>
              </w:rPr>
            </w:pPr>
            <w:r w:rsidRPr="00B6152C">
              <w:rPr>
                <w:lang w:val="en-US"/>
              </w:rPr>
              <w:t>63</w:t>
            </w:r>
          </w:p>
        </w:tc>
        <w:tc>
          <w:tcPr>
            <w:tcW w:w="253" w:type="pct"/>
            <w:tcBorders>
              <w:top w:val="nil"/>
              <w:left w:val="nil"/>
              <w:bottom w:val="nil"/>
              <w:right w:val="nil"/>
            </w:tcBorders>
            <w:shd w:val="clear" w:color="auto" w:fill="auto"/>
            <w:noWrap/>
            <w:vAlign w:val="bottom"/>
          </w:tcPr>
          <w:p w14:paraId="48370138" w14:textId="77777777" w:rsidR="005D647E" w:rsidRPr="00B6152C" w:rsidRDefault="005D647E" w:rsidP="00B6152C">
            <w:pPr>
              <w:spacing w:line="480" w:lineRule="auto"/>
              <w:jc w:val="center"/>
              <w:rPr>
                <w:lang w:val="en-US"/>
              </w:rPr>
            </w:pPr>
            <w:r w:rsidRPr="00B6152C">
              <w:rPr>
                <w:lang w:val="en-US"/>
              </w:rPr>
              <w:t>60</w:t>
            </w:r>
          </w:p>
        </w:tc>
        <w:tc>
          <w:tcPr>
            <w:tcW w:w="252" w:type="pct"/>
            <w:tcBorders>
              <w:top w:val="nil"/>
              <w:left w:val="nil"/>
              <w:bottom w:val="nil"/>
              <w:right w:val="nil"/>
            </w:tcBorders>
            <w:shd w:val="clear" w:color="auto" w:fill="auto"/>
            <w:noWrap/>
            <w:vAlign w:val="bottom"/>
          </w:tcPr>
          <w:p w14:paraId="0136A9F3" w14:textId="77777777" w:rsidR="005D647E" w:rsidRPr="00B6152C" w:rsidRDefault="005D647E" w:rsidP="00B6152C">
            <w:pPr>
              <w:spacing w:line="480" w:lineRule="auto"/>
              <w:jc w:val="center"/>
              <w:rPr>
                <w:lang w:val="en-US"/>
              </w:rPr>
            </w:pPr>
            <w:r w:rsidRPr="00B6152C">
              <w:rPr>
                <w:lang w:val="en-US"/>
              </w:rPr>
              <w:t>72</w:t>
            </w:r>
          </w:p>
        </w:tc>
      </w:tr>
      <w:tr w:rsidR="005D647E" w:rsidRPr="00B6152C" w14:paraId="508F0C74" w14:textId="77777777" w:rsidTr="00C54014">
        <w:trPr>
          <w:trHeight w:val="300"/>
        </w:trPr>
        <w:tc>
          <w:tcPr>
            <w:tcW w:w="1135" w:type="pct"/>
            <w:tcBorders>
              <w:top w:val="nil"/>
              <w:left w:val="nil"/>
              <w:right w:val="nil"/>
            </w:tcBorders>
            <w:shd w:val="clear" w:color="000000" w:fill="FFFFFF"/>
            <w:noWrap/>
            <w:vAlign w:val="bottom"/>
          </w:tcPr>
          <w:p w14:paraId="2986943D" w14:textId="77777777" w:rsidR="005D647E" w:rsidRPr="00B6152C" w:rsidRDefault="005D647E" w:rsidP="00B6152C">
            <w:pPr>
              <w:spacing w:line="480" w:lineRule="auto"/>
              <w:rPr>
                <w:lang w:val="en-US"/>
              </w:rPr>
            </w:pPr>
            <w:r w:rsidRPr="00B6152C">
              <w:rPr>
                <w:lang w:val="en-US"/>
              </w:rPr>
              <w:t>Closed-head injury</w:t>
            </w:r>
          </w:p>
        </w:tc>
        <w:tc>
          <w:tcPr>
            <w:tcW w:w="302" w:type="pct"/>
            <w:tcBorders>
              <w:top w:val="nil"/>
              <w:left w:val="nil"/>
              <w:right w:val="nil"/>
            </w:tcBorders>
            <w:shd w:val="clear" w:color="auto" w:fill="auto"/>
            <w:noWrap/>
            <w:vAlign w:val="bottom"/>
          </w:tcPr>
          <w:p w14:paraId="2AF1BEF7" w14:textId="77777777" w:rsidR="005D647E" w:rsidRPr="00B6152C" w:rsidRDefault="005D647E" w:rsidP="00B6152C">
            <w:pPr>
              <w:spacing w:line="480" w:lineRule="auto"/>
              <w:jc w:val="center"/>
              <w:rPr>
                <w:lang w:val="en-US"/>
              </w:rPr>
            </w:pPr>
            <w:r w:rsidRPr="00B6152C">
              <w:rPr>
                <w:lang w:val="en-US"/>
              </w:rPr>
              <w:t>31</w:t>
            </w:r>
          </w:p>
        </w:tc>
        <w:tc>
          <w:tcPr>
            <w:tcW w:w="263" w:type="pct"/>
            <w:tcBorders>
              <w:top w:val="nil"/>
              <w:left w:val="nil"/>
              <w:right w:val="nil"/>
            </w:tcBorders>
            <w:shd w:val="clear" w:color="000000" w:fill="FFFFFF"/>
            <w:noWrap/>
            <w:vAlign w:val="bottom"/>
          </w:tcPr>
          <w:p w14:paraId="1737E0EA" w14:textId="77777777" w:rsidR="005D647E" w:rsidRPr="00B6152C" w:rsidRDefault="005D647E" w:rsidP="00B6152C">
            <w:pPr>
              <w:spacing w:line="480" w:lineRule="auto"/>
              <w:jc w:val="center"/>
              <w:rPr>
                <w:lang w:val="en-US"/>
              </w:rPr>
            </w:pPr>
            <w:r w:rsidRPr="00B6152C">
              <w:rPr>
                <w:lang w:val="en-US"/>
              </w:rPr>
              <w:t>20</w:t>
            </w:r>
          </w:p>
        </w:tc>
        <w:tc>
          <w:tcPr>
            <w:tcW w:w="654" w:type="pct"/>
            <w:tcBorders>
              <w:top w:val="nil"/>
              <w:left w:val="nil"/>
              <w:right w:val="nil"/>
            </w:tcBorders>
            <w:shd w:val="clear" w:color="000000" w:fill="FFFFFF"/>
            <w:noWrap/>
          </w:tcPr>
          <w:p w14:paraId="55BC1E4D" w14:textId="77777777" w:rsidR="005D647E" w:rsidRPr="00B6152C" w:rsidRDefault="005D647E" w:rsidP="00B6152C">
            <w:pPr>
              <w:spacing w:line="480" w:lineRule="auto"/>
              <w:jc w:val="center"/>
              <w:rPr>
                <w:lang w:val="en-US"/>
              </w:rPr>
            </w:pPr>
            <w:r w:rsidRPr="00B6152C">
              <w:rPr>
                <w:lang w:val="en-US"/>
              </w:rPr>
              <w:t>4</w:t>
            </w:r>
          </w:p>
        </w:tc>
        <w:tc>
          <w:tcPr>
            <w:tcW w:w="298" w:type="pct"/>
            <w:tcBorders>
              <w:top w:val="nil"/>
              <w:left w:val="nil"/>
              <w:right w:val="nil"/>
            </w:tcBorders>
            <w:vAlign w:val="bottom"/>
          </w:tcPr>
          <w:p w14:paraId="2CE35564" w14:textId="77777777" w:rsidR="005D647E" w:rsidRPr="00B6152C" w:rsidRDefault="005D647E" w:rsidP="00B6152C">
            <w:pPr>
              <w:spacing w:line="480" w:lineRule="auto"/>
              <w:jc w:val="center"/>
              <w:rPr>
                <w:lang w:val="en-US"/>
              </w:rPr>
            </w:pPr>
            <w:r w:rsidRPr="00B6152C">
              <w:rPr>
                <w:lang w:val="en-US"/>
              </w:rPr>
              <w:t>120</w:t>
            </w:r>
          </w:p>
        </w:tc>
        <w:tc>
          <w:tcPr>
            <w:tcW w:w="272" w:type="pct"/>
            <w:tcBorders>
              <w:top w:val="nil"/>
              <w:left w:val="nil"/>
              <w:right w:val="nil"/>
            </w:tcBorders>
            <w:vAlign w:val="bottom"/>
          </w:tcPr>
          <w:p w14:paraId="284F9E38" w14:textId="77777777" w:rsidR="005D647E" w:rsidRPr="00B6152C" w:rsidRDefault="005D647E" w:rsidP="00B6152C">
            <w:pPr>
              <w:spacing w:line="480" w:lineRule="auto"/>
              <w:jc w:val="center"/>
              <w:rPr>
                <w:lang w:val="en-US"/>
              </w:rPr>
            </w:pPr>
            <w:r w:rsidRPr="00B6152C">
              <w:rPr>
                <w:lang w:val="en-US"/>
              </w:rPr>
              <w:t>14</w:t>
            </w:r>
          </w:p>
        </w:tc>
        <w:tc>
          <w:tcPr>
            <w:tcW w:w="294" w:type="pct"/>
            <w:tcBorders>
              <w:top w:val="nil"/>
              <w:left w:val="nil"/>
              <w:right w:val="nil"/>
            </w:tcBorders>
            <w:vAlign w:val="bottom"/>
          </w:tcPr>
          <w:p w14:paraId="1175895D" w14:textId="77777777" w:rsidR="005D647E" w:rsidRPr="00B6152C" w:rsidRDefault="005D647E" w:rsidP="00B6152C">
            <w:pPr>
              <w:spacing w:line="480" w:lineRule="auto"/>
              <w:jc w:val="center"/>
              <w:rPr>
                <w:lang w:val="en-US"/>
              </w:rPr>
            </w:pPr>
            <w:r w:rsidRPr="00B6152C">
              <w:rPr>
                <w:lang w:val="en-US"/>
              </w:rPr>
              <w:t>14</w:t>
            </w:r>
          </w:p>
        </w:tc>
        <w:tc>
          <w:tcPr>
            <w:tcW w:w="297" w:type="pct"/>
            <w:tcBorders>
              <w:top w:val="nil"/>
              <w:left w:val="nil"/>
              <w:right w:val="nil"/>
            </w:tcBorders>
          </w:tcPr>
          <w:p w14:paraId="65235F0B" w14:textId="77777777" w:rsidR="005D647E" w:rsidRPr="00B6152C" w:rsidRDefault="005D647E" w:rsidP="00B6152C">
            <w:pPr>
              <w:spacing w:line="480" w:lineRule="auto"/>
              <w:jc w:val="center"/>
              <w:rPr>
                <w:lang w:val="en-US"/>
              </w:rPr>
            </w:pPr>
            <w:r w:rsidRPr="00B6152C">
              <w:rPr>
                <w:lang w:val="en-US"/>
              </w:rPr>
              <w:t>13</w:t>
            </w:r>
          </w:p>
        </w:tc>
        <w:tc>
          <w:tcPr>
            <w:tcW w:w="268" w:type="pct"/>
            <w:tcBorders>
              <w:top w:val="nil"/>
              <w:left w:val="nil"/>
              <w:right w:val="nil"/>
            </w:tcBorders>
          </w:tcPr>
          <w:p w14:paraId="190213EC" w14:textId="77777777" w:rsidR="005D647E" w:rsidRPr="00B6152C" w:rsidRDefault="005D647E" w:rsidP="00B6152C">
            <w:pPr>
              <w:spacing w:line="480" w:lineRule="auto"/>
              <w:jc w:val="center"/>
              <w:rPr>
                <w:lang w:val="en-US"/>
              </w:rPr>
            </w:pPr>
            <w:r w:rsidRPr="00B6152C">
              <w:rPr>
                <w:lang w:val="en-US"/>
              </w:rPr>
              <w:t>15</w:t>
            </w:r>
          </w:p>
        </w:tc>
        <w:tc>
          <w:tcPr>
            <w:tcW w:w="92" w:type="pct"/>
            <w:tcBorders>
              <w:top w:val="nil"/>
              <w:left w:val="nil"/>
              <w:right w:val="nil"/>
            </w:tcBorders>
          </w:tcPr>
          <w:p w14:paraId="7FC2FFED" w14:textId="77777777" w:rsidR="005D647E" w:rsidRPr="00B6152C" w:rsidRDefault="005D647E" w:rsidP="00B6152C">
            <w:pPr>
              <w:spacing w:line="480" w:lineRule="auto"/>
              <w:jc w:val="center"/>
              <w:rPr>
                <w:lang w:val="en-US"/>
              </w:rPr>
            </w:pPr>
          </w:p>
        </w:tc>
        <w:tc>
          <w:tcPr>
            <w:tcW w:w="329" w:type="pct"/>
            <w:tcBorders>
              <w:top w:val="nil"/>
              <w:left w:val="nil"/>
              <w:right w:val="nil"/>
            </w:tcBorders>
            <w:shd w:val="clear" w:color="auto" w:fill="auto"/>
            <w:noWrap/>
            <w:vAlign w:val="bottom"/>
          </w:tcPr>
          <w:p w14:paraId="76E113F7" w14:textId="77777777" w:rsidR="005D647E" w:rsidRPr="00B6152C" w:rsidRDefault="005D647E" w:rsidP="00B6152C">
            <w:pPr>
              <w:spacing w:line="480" w:lineRule="auto"/>
              <w:jc w:val="center"/>
              <w:rPr>
                <w:lang w:val="en-US"/>
              </w:rPr>
            </w:pPr>
            <w:r w:rsidRPr="00B6152C">
              <w:rPr>
                <w:lang w:val="en-US"/>
              </w:rPr>
              <w:t>92</w:t>
            </w:r>
          </w:p>
        </w:tc>
        <w:tc>
          <w:tcPr>
            <w:tcW w:w="293" w:type="pct"/>
            <w:tcBorders>
              <w:top w:val="nil"/>
              <w:left w:val="nil"/>
              <w:right w:val="nil"/>
            </w:tcBorders>
            <w:shd w:val="clear" w:color="auto" w:fill="auto"/>
            <w:noWrap/>
            <w:vAlign w:val="bottom"/>
          </w:tcPr>
          <w:p w14:paraId="33C7E816" w14:textId="77777777" w:rsidR="005D647E" w:rsidRPr="00B6152C" w:rsidRDefault="005D647E" w:rsidP="00B6152C">
            <w:pPr>
              <w:spacing w:line="480" w:lineRule="auto"/>
              <w:jc w:val="center"/>
              <w:rPr>
                <w:lang w:val="en-US"/>
              </w:rPr>
            </w:pPr>
            <w:r w:rsidRPr="00B6152C">
              <w:rPr>
                <w:lang w:val="en-US"/>
              </w:rPr>
              <w:t>62</w:t>
            </w:r>
          </w:p>
        </w:tc>
        <w:tc>
          <w:tcPr>
            <w:tcW w:w="253" w:type="pct"/>
            <w:tcBorders>
              <w:top w:val="nil"/>
              <w:left w:val="nil"/>
              <w:right w:val="nil"/>
            </w:tcBorders>
            <w:shd w:val="clear" w:color="auto" w:fill="auto"/>
            <w:noWrap/>
            <w:vAlign w:val="bottom"/>
          </w:tcPr>
          <w:p w14:paraId="171F697D" w14:textId="77777777" w:rsidR="005D647E" w:rsidRPr="00B6152C" w:rsidRDefault="005D647E" w:rsidP="00B6152C">
            <w:pPr>
              <w:spacing w:line="480" w:lineRule="auto"/>
              <w:jc w:val="center"/>
              <w:rPr>
                <w:lang w:val="en-US"/>
              </w:rPr>
            </w:pPr>
            <w:r w:rsidRPr="00B6152C">
              <w:rPr>
                <w:lang w:val="en-US"/>
              </w:rPr>
              <w:t>60</w:t>
            </w:r>
          </w:p>
        </w:tc>
        <w:tc>
          <w:tcPr>
            <w:tcW w:w="252" w:type="pct"/>
            <w:tcBorders>
              <w:top w:val="nil"/>
              <w:left w:val="nil"/>
              <w:right w:val="nil"/>
            </w:tcBorders>
            <w:shd w:val="clear" w:color="auto" w:fill="auto"/>
            <w:noWrap/>
            <w:vAlign w:val="bottom"/>
          </w:tcPr>
          <w:p w14:paraId="2B1E9D8E" w14:textId="77777777" w:rsidR="005D647E" w:rsidRPr="00B6152C" w:rsidRDefault="005D647E" w:rsidP="00B6152C">
            <w:pPr>
              <w:spacing w:line="480" w:lineRule="auto"/>
              <w:jc w:val="center"/>
              <w:rPr>
                <w:lang w:val="en-US"/>
              </w:rPr>
            </w:pPr>
            <w:r w:rsidRPr="00B6152C">
              <w:rPr>
                <w:lang w:val="en-US"/>
              </w:rPr>
              <w:t>64</w:t>
            </w:r>
          </w:p>
        </w:tc>
      </w:tr>
      <w:tr w:rsidR="005D647E" w:rsidRPr="00B6152C" w14:paraId="24D3FE84" w14:textId="77777777" w:rsidTr="00C54014">
        <w:trPr>
          <w:trHeight w:val="300"/>
        </w:trPr>
        <w:tc>
          <w:tcPr>
            <w:tcW w:w="1135" w:type="pct"/>
            <w:tcBorders>
              <w:top w:val="nil"/>
              <w:left w:val="nil"/>
              <w:bottom w:val="single" w:sz="4" w:space="0" w:color="auto"/>
              <w:right w:val="nil"/>
            </w:tcBorders>
            <w:shd w:val="clear" w:color="000000" w:fill="FFFFFF"/>
            <w:noWrap/>
            <w:vAlign w:val="bottom"/>
          </w:tcPr>
          <w:p w14:paraId="1ADD9D01" w14:textId="77777777" w:rsidR="005D647E" w:rsidRPr="00B6152C" w:rsidRDefault="005D647E" w:rsidP="00B6152C">
            <w:pPr>
              <w:spacing w:line="480" w:lineRule="auto"/>
              <w:rPr>
                <w:lang w:val="en-US"/>
              </w:rPr>
            </w:pPr>
            <w:r w:rsidRPr="00B6152C">
              <w:rPr>
                <w:lang w:val="en-US"/>
              </w:rPr>
              <w:t>Closed-head injury</w:t>
            </w:r>
          </w:p>
        </w:tc>
        <w:tc>
          <w:tcPr>
            <w:tcW w:w="302" w:type="pct"/>
            <w:tcBorders>
              <w:top w:val="nil"/>
              <w:left w:val="nil"/>
              <w:bottom w:val="single" w:sz="4" w:space="0" w:color="auto"/>
              <w:right w:val="nil"/>
            </w:tcBorders>
            <w:shd w:val="clear" w:color="auto" w:fill="auto"/>
            <w:noWrap/>
            <w:vAlign w:val="bottom"/>
          </w:tcPr>
          <w:p w14:paraId="42DCE131" w14:textId="77777777" w:rsidR="005D647E" w:rsidRPr="00B6152C" w:rsidRDefault="005D647E" w:rsidP="00B6152C">
            <w:pPr>
              <w:spacing w:line="480" w:lineRule="auto"/>
              <w:jc w:val="center"/>
              <w:rPr>
                <w:lang w:val="en-US"/>
              </w:rPr>
            </w:pPr>
            <w:r w:rsidRPr="00B6152C">
              <w:rPr>
                <w:lang w:val="en-US"/>
              </w:rPr>
              <w:t>46</w:t>
            </w:r>
          </w:p>
        </w:tc>
        <w:tc>
          <w:tcPr>
            <w:tcW w:w="263" w:type="pct"/>
            <w:tcBorders>
              <w:top w:val="nil"/>
              <w:left w:val="nil"/>
              <w:bottom w:val="single" w:sz="4" w:space="0" w:color="auto"/>
              <w:right w:val="nil"/>
            </w:tcBorders>
            <w:shd w:val="clear" w:color="000000" w:fill="FFFFFF"/>
            <w:noWrap/>
            <w:vAlign w:val="bottom"/>
          </w:tcPr>
          <w:p w14:paraId="2EB7E6A0" w14:textId="77777777" w:rsidR="005D647E" w:rsidRPr="00B6152C" w:rsidRDefault="005D647E" w:rsidP="00B6152C">
            <w:pPr>
              <w:spacing w:line="480" w:lineRule="auto"/>
              <w:jc w:val="center"/>
              <w:rPr>
                <w:lang w:val="en-US"/>
              </w:rPr>
            </w:pPr>
            <w:r w:rsidRPr="00B6152C">
              <w:rPr>
                <w:lang w:val="en-US"/>
              </w:rPr>
              <w:t>14</w:t>
            </w:r>
          </w:p>
        </w:tc>
        <w:tc>
          <w:tcPr>
            <w:tcW w:w="654" w:type="pct"/>
            <w:tcBorders>
              <w:top w:val="nil"/>
              <w:left w:val="nil"/>
              <w:bottom w:val="single" w:sz="4" w:space="0" w:color="auto"/>
              <w:right w:val="nil"/>
            </w:tcBorders>
            <w:shd w:val="clear" w:color="000000" w:fill="FFFFFF"/>
            <w:noWrap/>
          </w:tcPr>
          <w:p w14:paraId="60174916" w14:textId="77777777" w:rsidR="005D647E" w:rsidRPr="00B6152C" w:rsidRDefault="005D647E" w:rsidP="00B6152C">
            <w:pPr>
              <w:spacing w:line="480" w:lineRule="auto"/>
              <w:jc w:val="center"/>
              <w:rPr>
                <w:lang w:val="en-US"/>
              </w:rPr>
            </w:pPr>
            <w:r w:rsidRPr="00B6152C">
              <w:rPr>
                <w:lang w:val="en-US"/>
              </w:rPr>
              <w:t>13</w:t>
            </w:r>
          </w:p>
        </w:tc>
        <w:tc>
          <w:tcPr>
            <w:tcW w:w="298" w:type="pct"/>
            <w:tcBorders>
              <w:top w:val="nil"/>
              <w:left w:val="nil"/>
              <w:bottom w:val="single" w:sz="4" w:space="0" w:color="auto"/>
              <w:right w:val="nil"/>
            </w:tcBorders>
            <w:vAlign w:val="bottom"/>
          </w:tcPr>
          <w:p w14:paraId="785BBD56" w14:textId="77777777" w:rsidR="005D647E" w:rsidRPr="00B6152C" w:rsidRDefault="005D647E" w:rsidP="00B6152C">
            <w:pPr>
              <w:spacing w:line="480" w:lineRule="auto"/>
              <w:jc w:val="center"/>
              <w:rPr>
                <w:lang w:val="en-US"/>
              </w:rPr>
            </w:pPr>
            <w:r w:rsidRPr="00B6152C">
              <w:rPr>
                <w:lang w:val="en-US"/>
              </w:rPr>
              <w:t>96</w:t>
            </w:r>
          </w:p>
        </w:tc>
        <w:tc>
          <w:tcPr>
            <w:tcW w:w="272" w:type="pct"/>
            <w:tcBorders>
              <w:top w:val="nil"/>
              <w:left w:val="nil"/>
              <w:bottom w:val="single" w:sz="4" w:space="0" w:color="auto"/>
              <w:right w:val="nil"/>
            </w:tcBorders>
            <w:vAlign w:val="bottom"/>
          </w:tcPr>
          <w:p w14:paraId="727B7F1B" w14:textId="77777777" w:rsidR="005D647E" w:rsidRPr="00B6152C" w:rsidRDefault="005D647E" w:rsidP="00B6152C">
            <w:pPr>
              <w:spacing w:line="480" w:lineRule="auto"/>
              <w:jc w:val="center"/>
              <w:rPr>
                <w:lang w:val="en-US"/>
              </w:rPr>
            </w:pPr>
            <w:r w:rsidRPr="00B6152C">
              <w:rPr>
                <w:lang w:val="en-US"/>
              </w:rPr>
              <w:t>10</w:t>
            </w:r>
          </w:p>
        </w:tc>
        <w:tc>
          <w:tcPr>
            <w:tcW w:w="294" w:type="pct"/>
            <w:tcBorders>
              <w:top w:val="nil"/>
              <w:left w:val="nil"/>
              <w:bottom w:val="single" w:sz="4" w:space="0" w:color="auto"/>
              <w:right w:val="nil"/>
            </w:tcBorders>
            <w:vAlign w:val="bottom"/>
          </w:tcPr>
          <w:p w14:paraId="06C81A2F" w14:textId="77777777" w:rsidR="005D647E" w:rsidRPr="00B6152C" w:rsidRDefault="005D647E" w:rsidP="00B6152C">
            <w:pPr>
              <w:spacing w:line="480" w:lineRule="auto"/>
              <w:jc w:val="center"/>
              <w:rPr>
                <w:lang w:val="en-US"/>
              </w:rPr>
            </w:pPr>
            <w:r w:rsidRPr="00B6152C">
              <w:rPr>
                <w:lang w:val="en-US"/>
              </w:rPr>
              <w:t>8</w:t>
            </w:r>
          </w:p>
        </w:tc>
        <w:tc>
          <w:tcPr>
            <w:tcW w:w="297" w:type="pct"/>
            <w:tcBorders>
              <w:top w:val="nil"/>
              <w:left w:val="nil"/>
              <w:bottom w:val="single" w:sz="4" w:space="0" w:color="auto"/>
              <w:right w:val="nil"/>
            </w:tcBorders>
          </w:tcPr>
          <w:p w14:paraId="45A13BCA" w14:textId="77777777" w:rsidR="005D647E" w:rsidRPr="00B6152C" w:rsidRDefault="005D647E" w:rsidP="00B6152C">
            <w:pPr>
              <w:spacing w:line="480" w:lineRule="auto"/>
              <w:jc w:val="center"/>
              <w:rPr>
                <w:lang w:val="en-US"/>
              </w:rPr>
            </w:pPr>
            <w:r w:rsidRPr="00B6152C">
              <w:rPr>
                <w:lang w:val="en-US"/>
              </w:rPr>
              <w:t>9</w:t>
            </w:r>
          </w:p>
        </w:tc>
        <w:tc>
          <w:tcPr>
            <w:tcW w:w="268" w:type="pct"/>
            <w:tcBorders>
              <w:top w:val="nil"/>
              <w:left w:val="nil"/>
              <w:bottom w:val="single" w:sz="4" w:space="0" w:color="auto"/>
              <w:right w:val="nil"/>
            </w:tcBorders>
          </w:tcPr>
          <w:p w14:paraId="557F8F7F" w14:textId="77777777" w:rsidR="005D647E" w:rsidRPr="00B6152C" w:rsidRDefault="005D647E" w:rsidP="00B6152C">
            <w:pPr>
              <w:spacing w:line="480" w:lineRule="auto"/>
              <w:jc w:val="center"/>
              <w:rPr>
                <w:lang w:val="en-US"/>
              </w:rPr>
            </w:pPr>
            <w:r w:rsidRPr="00B6152C">
              <w:rPr>
                <w:lang w:val="en-US"/>
              </w:rPr>
              <w:t>9</w:t>
            </w:r>
          </w:p>
        </w:tc>
        <w:tc>
          <w:tcPr>
            <w:tcW w:w="92" w:type="pct"/>
            <w:tcBorders>
              <w:top w:val="nil"/>
              <w:left w:val="nil"/>
              <w:bottom w:val="single" w:sz="4" w:space="0" w:color="auto"/>
              <w:right w:val="nil"/>
            </w:tcBorders>
          </w:tcPr>
          <w:p w14:paraId="19B0D02F" w14:textId="77777777" w:rsidR="005D647E" w:rsidRPr="00B6152C" w:rsidRDefault="005D647E" w:rsidP="00B6152C">
            <w:pPr>
              <w:spacing w:line="480" w:lineRule="auto"/>
              <w:jc w:val="center"/>
              <w:rPr>
                <w:lang w:val="en-US"/>
              </w:rPr>
            </w:pPr>
          </w:p>
        </w:tc>
        <w:tc>
          <w:tcPr>
            <w:tcW w:w="329" w:type="pct"/>
            <w:tcBorders>
              <w:top w:val="nil"/>
              <w:left w:val="nil"/>
              <w:bottom w:val="single" w:sz="4" w:space="0" w:color="auto"/>
              <w:right w:val="nil"/>
            </w:tcBorders>
            <w:shd w:val="clear" w:color="auto" w:fill="auto"/>
            <w:noWrap/>
            <w:vAlign w:val="bottom"/>
          </w:tcPr>
          <w:p w14:paraId="2F2F54C5" w14:textId="77777777" w:rsidR="005D647E" w:rsidRPr="00B6152C" w:rsidRDefault="005D647E" w:rsidP="00B6152C">
            <w:pPr>
              <w:spacing w:line="480" w:lineRule="auto"/>
              <w:jc w:val="center"/>
              <w:rPr>
                <w:lang w:val="en-US"/>
              </w:rPr>
            </w:pPr>
            <w:r w:rsidRPr="00B6152C">
              <w:rPr>
                <w:lang w:val="en-US"/>
              </w:rPr>
              <w:t>77</w:t>
            </w:r>
          </w:p>
        </w:tc>
        <w:tc>
          <w:tcPr>
            <w:tcW w:w="293" w:type="pct"/>
            <w:tcBorders>
              <w:top w:val="nil"/>
              <w:left w:val="nil"/>
              <w:bottom w:val="single" w:sz="4" w:space="0" w:color="auto"/>
              <w:right w:val="nil"/>
            </w:tcBorders>
            <w:shd w:val="clear" w:color="auto" w:fill="auto"/>
            <w:noWrap/>
            <w:vAlign w:val="bottom"/>
          </w:tcPr>
          <w:p w14:paraId="45D3DE29" w14:textId="77777777" w:rsidR="005D647E" w:rsidRPr="00B6152C" w:rsidRDefault="005D647E" w:rsidP="00B6152C">
            <w:pPr>
              <w:spacing w:line="480" w:lineRule="auto"/>
              <w:jc w:val="center"/>
              <w:rPr>
                <w:lang w:val="en-US"/>
              </w:rPr>
            </w:pPr>
            <w:r w:rsidRPr="00B6152C">
              <w:rPr>
                <w:lang w:val="en-US"/>
              </w:rPr>
              <w:t>66</w:t>
            </w:r>
          </w:p>
        </w:tc>
        <w:tc>
          <w:tcPr>
            <w:tcW w:w="253" w:type="pct"/>
            <w:tcBorders>
              <w:top w:val="nil"/>
              <w:left w:val="nil"/>
              <w:bottom w:val="single" w:sz="4" w:space="0" w:color="auto"/>
              <w:right w:val="nil"/>
            </w:tcBorders>
            <w:shd w:val="clear" w:color="auto" w:fill="auto"/>
            <w:noWrap/>
            <w:vAlign w:val="bottom"/>
          </w:tcPr>
          <w:p w14:paraId="6BFEA781" w14:textId="77777777" w:rsidR="005D647E" w:rsidRPr="00B6152C" w:rsidRDefault="005D647E" w:rsidP="00B6152C">
            <w:pPr>
              <w:spacing w:line="480" w:lineRule="auto"/>
              <w:jc w:val="center"/>
              <w:rPr>
                <w:lang w:val="en-US"/>
              </w:rPr>
            </w:pPr>
            <w:r w:rsidRPr="00B6152C">
              <w:rPr>
                <w:lang w:val="en-US"/>
              </w:rPr>
              <w:t>63</w:t>
            </w:r>
          </w:p>
        </w:tc>
        <w:tc>
          <w:tcPr>
            <w:tcW w:w="252" w:type="pct"/>
            <w:tcBorders>
              <w:top w:val="nil"/>
              <w:left w:val="nil"/>
              <w:bottom w:val="single" w:sz="4" w:space="0" w:color="auto"/>
              <w:right w:val="nil"/>
            </w:tcBorders>
            <w:shd w:val="clear" w:color="auto" w:fill="auto"/>
            <w:noWrap/>
            <w:vAlign w:val="bottom"/>
          </w:tcPr>
          <w:p w14:paraId="236CED30" w14:textId="77777777" w:rsidR="005D647E" w:rsidRPr="00B6152C" w:rsidRDefault="005D647E" w:rsidP="00B6152C">
            <w:pPr>
              <w:spacing w:line="480" w:lineRule="auto"/>
              <w:jc w:val="center"/>
              <w:rPr>
                <w:lang w:val="en-US"/>
              </w:rPr>
            </w:pPr>
            <w:r w:rsidRPr="00B6152C">
              <w:rPr>
                <w:lang w:val="en-US"/>
              </w:rPr>
              <w:t>64</w:t>
            </w:r>
          </w:p>
        </w:tc>
      </w:tr>
    </w:tbl>
    <w:p w14:paraId="73D7CAA4" w14:textId="77777777" w:rsidR="005D647E" w:rsidRPr="00B6152C" w:rsidRDefault="005D647E" w:rsidP="00B6152C">
      <w:pPr>
        <w:spacing w:line="480" w:lineRule="auto"/>
        <w:jc w:val="both"/>
        <w:rPr>
          <w:sz w:val="20"/>
          <w:szCs w:val="20"/>
          <w:lang w:val="en-US"/>
        </w:rPr>
      </w:pPr>
      <w:r w:rsidRPr="00B6152C">
        <w:rPr>
          <w:i/>
          <w:sz w:val="20"/>
          <w:szCs w:val="20"/>
          <w:lang w:val="en-US"/>
        </w:rPr>
        <w:t xml:space="preserve">Notes. </w:t>
      </w:r>
      <w:r w:rsidRPr="00B6152C">
        <w:rPr>
          <w:sz w:val="20"/>
          <w:szCs w:val="20"/>
          <w:lang w:val="en-US"/>
        </w:rPr>
        <w:t xml:space="preserve">WASI–II: Wechsler Abbreviate Scale of Intelligence – Second edition; Tot: total score for the WASI-II; Ma: Matrix score; Sim: Similarities score; </w:t>
      </w:r>
      <w:proofErr w:type="spellStart"/>
      <w:r w:rsidRPr="00B6152C">
        <w:rPr>
          <w:sz w:val="20"/>
          <w:szCs w:val="20"/>
          <w:lang w:val="en-US"/>
        </w:rPr>
        <w:t>Voc</w:t>
      </w:r>
      <w:proofErr w:type="spellEnd"/>
      <w:r w:rsidRPr="00B6152C">
        <w:rPr>
          <w:sz w:val="20"/>
          <w:szCs w:val="20"/>
          <w:lang w:val="en-US"/>
        </w:rPr>
        <w:t>: Vocabulary score; Blo: Block Design score; WMS–III: Wechsler Memory Scale – third edition; Ed.: education in years; TD: Time since Diagnosis; WM: working memory index; GM: general memory index; AD: auditory delay index; VD: verbal delay index.</w:t>
      </w:r>
    </w:p>
    <w:p w14:paraId="3885FABA" w14:textId="77777777" w:rsidR="005D647E" w:rsidRPr="00B6152C" w:rsidRDefault="005D647E" w:rsidP="00B6152C">
      <w:pPr>
        <w:spacing w:line="480" w:lineRule="auto"/>
        <w:rPr>
          <w:lang w:val="en-US"/>
        </w:rPr>
      </w:pPr>
      <w:r w:rsidRPr="00B6152C">
        <w:rPr>
          <w:lang w:val="en-US"/>
        </w:rPr>
        <w:br w:type="page"/>
      </w:r>
    </w:p>
    <w:p w14:paraId="06F082DF" w14:textId="77777777" w:rsidR="005D647E" w:rsidRPr="00B6152C" w:rsidRDefault="005D647E" w:rsidP="00B6152C">
      <w:pPr>
        <w:spacing w:line="480" w:lineRule="auto"/>
        <w:jc w:val="both"/>
        <w:rPr>
          <w:rFonts w:cstheme="minorHAnsi"/>
          <w:lang w:val="en-US"/>
        </w:rPr>
      </w:pPr>
      <w:r w:rsidRPr="00B6152C">
        <w:rPr>
          <w:rFonts w:cstheme="minorHAnsi"/>
          <w:lang w:val="en-US"/>
        </w:rPr>
        <w:lastRenderedPageBreak/>
        <w:t>Table 2</w:t>
      </w:r>
    </w:p>
    <w:p w14:paraId="53D95B8F" w14:textId="2D918C8F" w:rsidR="005D647E" w:rsidRPr="00B6152C" w:rsidRDefault="00886276" w:rsidP="00B6152C">
      <w:pPr>
        <w:spacing w:line="480" w:lineRule="auto"/>
        <w:jc w:val="both"/>
        <w:rPr>
          <w:rFonts w:cstheme="minorHAnsi"/>
          <w:i/>
          <w:lang w:val="en-US"/>
        </w:rPr>
      </w:pPr>
      <w:bookmarkStart w:id="6" w:name="_Hlk81904148"/>
      <w:r w:rsidRPr="00B6152C">
        <w:rPr>
          <w:rFonts w:cstheme="minorHAnsi"/>
          <w:i/>
          <w:lang w:val="en-US"/>
        </w:rPr>
        <w:t>Mean</w:t>
      </w:r>
      <w:r w:rsidR="005D647E" w:rsidRPr="00B6152C">
        <w:rPr>
          <w:rFonts w:cstheme="minorHAnsi"/>
          <w:i/>
          <w:lang w:val="en-US"/>
        </w:rPr>
        <w:t>s of Sensitivity (d’) and Response bias (C) by Group for the Two Conditions (Oral vs. Non Oral) and the Three Item Type (Words, HF nonwords, LF nonwords).</w:t>
      </w:r>
    </w:p>
    <w:bookmarkEnd w:id="6"/>
    <w:tbl>
      <w:tblPr>
        <w:tblStyle w:val="Grilledutableau"/>
        <w:tblW w:w="5000" w:type="pct"/>
        <w:tblLook w:val="04A0" w:firstRow="1" w:lastRow="0" w:firstColumn="1" w:lastColumn="0" w:noHBand="0" w:noVBand="1"/>
      </w:tblPr>
      <w:tblGrid>
        <w:gridCol w:w="2530"/>
        <w:gridCol w:w="1992"/>
        <w:gridCol w:w="1014"/>
        <w:gridCol w:w="1246"/>
        <w:gridCol w:w="1027"/>
        <w:gridCol w:w="1263"/>
      </w:tblGrid>
      <w:tr w:rsidR="005D647E" w:rsidRPr="00B6152C" w14:paraId="14E563E5" w14:textId="77777777" w:rsidTr="00C54014">
        <w:tc>
          <w:tcPr>
            <w:tcW w:w="1394" w:type="pct"/>
            <w:vMerge w:val="restart"/>
            <w:tcBorders>
              <w:left w:val="nil"/>
              <w:right w:val="nil"/>
            </w:tcBorders>
          </w:tcPr>
          <w:p w14:paraId="549A5FC7" w14:textId="77777777" w:rsidR="005D647E" w:rsidRPr="00B6152C" w:rsidRDefault="005D647E" w:rsidP="00B6152C">
            <w:pPr>
              <w:spacing w:line="480" w:lineRule="auto"/>
              <w:jc w:val="both"/>
              <w:rPr>
                <w:rFonts w:cstheme="minorHAnsi"/>
                <w:lang w:val="en-US"/>
              </w:rPr>
            </w:pPr>
          </w:p>
        </w:tc>
        <w:tc>
          <w:tcPr>
            <w:tcW w:w="1098" w:type="pct"/>
            <w:vMerge w:val="restart"/>
            <w:tcBorders>
              <w:left w:val="nil"/>
              <w:right w:val="nil"/>
            </w:tcBorders>
          </w:tcPr>
          <w:p w14:paraId="41594589" w14:textId="77777777" w:rsidR="005D647E" w:rsidRPr="00B6152C" w:rsidRDefault="005D647E" w:rsidP="00B6152C">
            <w:pPr>
              <w:spacing w:line="480" w:lineRule="auto"/>
              <w:jc w:val="both"/>
              <w:rPr>
                <w:rFonts w:cstheme="minorHAnsi"/>
                <w:lang w:val="en-US"/>
              </w:rPr>
            </w:pPr>
          </w:p>
        </w:tc>
        <w:tc>
          <w:tcPr>
            <w:tcW w:w="1246" w:type="pct"/>
            <w:gridSpan w:val="2"/>
            <w:tcBorders>
              <w:left w:val="nil"/>
              <w:bottom w:val="single" w:sz="4" w:space="0" w:color="auto"/>
              <w:right w:val="nil"/>
            </w:tcBorders>
          </w:tcPr>
          <w:p w14:paraId="18CD765C" w14:textId="77777777" w:rsidR="005D647E" w:rsidRPr="00B6152C" w:rsidRDefault="005D647E" w:rsidP="00B6152C">
            <w:pPr>
              <w:spacing w:line="480" w:lineRule="auto"/>
              <w:jc w:val="center"/>
              <w:rPr>
                <w:rFonts w:cstheme="minorHAnsi"/>
                <w:lang w:val="en-US"/>
              </w:rPr>
            </w:pPr>
            <w:r w:rsidRPr="00B6152C">
              <w:rPr>
                <w:rFonts w:cstheme="minorHAnsi"/>
                <w:lang w:val="en-US"/>
              </w:rPr>
              <w:t>Amnesic (n = 9)</w:t>
            </w:r>
          </w:p>
        </w:tc>
        <w:tc>
          <w:tcPr>
            <w:tcW w:w="1262" w:type="pct"/>
            <w:gridSpan w:val="2"/>
            <w:tcBorders>
              <w:left w:val="nil"/>
              <w:bottom w:val="single" w:sz="4" w:space="0" w:color="auto"/>
              <w:right w:val="nil"/>
            </w:tcBorders>
          </w:tcPr>
          <w:p w14:paraId="1D4255E1" w14:textId="77777777" w:rsidR="005D647E" w:rsidRPr="00B6152C" w:rsidRDefault="005D647E" w:rsidP="00B6152C">
            <w:pPr>
              <w:spacing w:line="480" w:lineRule="auto"/>
              <w:jc w:val="center"/>
              <w:rPr>
                <w:rFonts w:cstheme="minorHAnsi"/>
                <w:lang w:val="en-US"/>
              </w:rPr>
            </w:pPr>
            <w:r w:rsidRPr="00B6152C">
              <w:rPr>
                <w:rFonts w:cstheme="minorHAnsi"/>
                <w:lang w:val="en-US"/>
              </w:rPr>
              <w:t>Control (n = 18)</w:t>
            </w:r>
          </w:p>
        </w:tc>
      </w:tr>
      <w:tr w:rsidR="005D647E" w:rsidRPr="00B6152C" w14:paraId="651DDA9E" w14:textId="77777777" w:rsidTr="00C54014">
        <w:tc>
          <w:tcPr>
            <w:tcW w:w="1394" w:type="pct"/>
            <w:vMerge/>
            <w:tcBorders>
              <w:left w:val="nil"/>
              <w:bottom w:val="single" w:sz="4" w:space="0" w:color="auto"/>
              <w:right w:val="nil"/>
            </w:tcBorders>
          </w:tcPr>
          <w:p w14:paraId="3F3602C9" w14:textId="77777777" w:rsidR="005D647E" w:rsidRPr="00B6152C" w:rsidRDefault="005D647E" w:rsidP="00B6152C">
            <w:pPr>
              <w:spacing w:line="480" w:lineRule="auto"/>
              <w:jc w:val="center"/>
              <w:rPr>
                <w:rFonts w:cstheme="minorHAnsi"/>
                <w:lang w:val="en-US"/>
              </w:rPr>
            </w:pPr>
          </w:p>
        </w:tc>
        <w:tc>
          <w:tcPr>
            <w:tcW w:w="1098" w:type="pct"/>
            <w:vMerge/>
            <w:tcBorders>
              <w:left w:val="nil"/>
              <w:bottom w:val="single" w:sz="4" w:space="0" w:color="auto"/>
              <w:right w:val="nil"/>
            </w:tcBorders>
          </w:tcPr>
          <w:p w14:paraId="1615B483" w14:textId="77777777" w:rsidR="005D647E" w:rsidRPr="00B6152C" w:rsidRDefault="005D647E" w:rsidP="00B6152C">
            <w:pPr>
              <w:spacing w:line="480" w:lineRule="auto"/>
              <w:jc w:val="center"/>
              <w:rPr>
                <w:rFonts w:cstheme="minorHAnsi"/>
                <w:lang w:val="en-US"/>
              </w:rPr>
            </w:pPr>
          </w:p>
        </w:tc>
        <w:tc>
          <w:tcPr>
            <w:tcW w:w="559" w:type="pct"/>
            <w:tcBorders>
              <w:left w:val="nil"/>
              <w:bottom w:val="single" w:sz="4" w:space="0" w:color="auto"/>
              <w:right w:val="nil"/>
            </w:tcBorders>
          </w:tcPr>
          <w:p w14:paraId="59BAB0BF" w14:textId="77777777" w:rsidR="005D647E" w:rsidRPr="00B6152C" w:rsidRDefault="005D647E" w:rsidP="00B6152C">
            <w:pPr>
              <w:spacing w:line="480" w:lineRule="auto"/>
              <w:jc w:val="center"/>
              <w:rPr>
                <w:rFonts w:cstheme="minorHAnsi"/>
                <w:lang w:val="en-US"/>
              </w:rPr>
            </w:pPr>
            <w:r w:rsidRPr="00B6152C">
              <w:rPr>
                <w:rFonts w:cstheme="minorHAnsi"/>
                <w:lang w:val="en-US"/>
              </w:rPr>
              <w:t>ORO</w:t>
            </w:r>
          </w:p>
        </w:tc>
        <w:tc>
          <w:tcPr>
            <w:tcW w:w="687" w:type="pct"/>
            <w:tcBorders>
              <w:left w:val="nil"/>
              <w:bottom w:val="single" w:sz="4" w:space="0" w:color="auto"/>
              <w:right w:val="nil"/>
            </w:tcBorders>
          </w:tcPr>
          <w:p w14:paraId="6A1B8133" w14:textId="77777777" w:rsidR="005D647E" w:rsidRPr="00B6152C" w:rsidRDefault="005D647E" w:rsidP="00B6152C">
            <w:pPr>
              <w:spacing w:line="480" w:lineRule="auto"/>
              <w:jc w:val="center"/>
              <w:rPr>
                <w:rFonts w:cstheme="minorHAnsi"/>
                <w:lang w:val="en-US"/>
              </w:rPr>
            </w:pPr>
            <w:r w:rsidRPr="00B6152C">
              <w:rPr>
                <w:rFonts w:cstheme="minorHAnsi"/>
                <w:lang w:val="en-US"/>
              </w:rPr>
              <w:t>NORO</w:t>
            </w:r>
          </w:p>
        </w:tc>
        <w:tc>
          <w:tcPr>
            <w:tcW w:w="566" w:type="pct"/>
            <w:tcBorders>
              <w:left w:val="nil"/>
              <w:bottom w:val="single" w:sz="4" w:space="0" w:color="auto"/>
              <w:right w:val="nil"/>
            </w:tcBorders>
          </w:tcPr>
          <w:p w14:paraId="3C387E5C" w14:textId="77777777" w:rsidR="005D647E" w:rsidRPr="00B6152C" w:rsidRDefault="005D647E" w:rsidP="00B6152C">
            <w:pPr>
              <w:spacing w:line="480" w:lineRule="auto"/>
              <w:jc w:val="center"/>
              <w:rPr>
                <w:rFonts w:cstheme="minorHAnsi"/>
                <w:lang w:val="en-US"/>
              </w:rPr>
            </w:pPr>
            <w:r w:rsidRPr="00B6152C">
              <w:rPr>
                <w:rFonts w:cstheme="minorHAnsi"/>
                <w:lang w:val="en-US"/>
              </w:rPr>
              <w:t>ORO</w:t>
            </w:r>
          </w:p>
        </w:tc>
        <w:tc>
          <w:tcPr>
            <w:tcW w:w="696" w:type="pct"/>
            <w:tcBorders>
              <w:left w:val="nil"/>
              <w:bottom w:val="single" w:sz="4" w:space="0" w:color="auto"/>
              <w:right w:val="nil"/>
            </w:tcBorders>
          </w:tcPr>
          <w:p w14:paraId="5E545A6C" w14:textId="77777777" w:rsidR="005D647E" w:rsidRPr="00B6152C" w:rsidRDefault="005D647E" w:rsidP="00B6152C">
            <w:pPr>
              <w:spacing w:line="480" w:lineRule="auto"/>
              <w:jc w:val="center"/>
              <w:rPr>
                <w:rFonts w:cstheme="minorHAnsi"/>
                <w:lang w:val="en-US"/>
              </w:rPr>
            </w:pPr>
            <w:r w:rsidRPr="00B6152C">
              <w:rPr>
                <w:rFonts w:cstheme="minorHAnsi"/>
                <w:lang w:val="en-US"/>
              </w:rPr>
              <w:t>NORO</w:t>
            </w:r>
          </w:p>
        </w:tc>
      </w:tr>
      <w:tr w:rsidR="005D647E" w:rsidRPr="00B6152C" w14:paraId="5AAF13CB" w14:textId="77777777" w:rsidTr="00C54014">
        <w:tc>
          <w:tcPr>
            <w:tcW w:w="1394" w:type="pct"/>
            <w:tcBorders>
              <w:top w:val="nil"/>
              <w:left w:val="nil"/>
              <w:bottom w:val="nil"/>
              <w:right w:val="nil"/>
            </w:tcBorders>
          </w:tcPr>
          <w:p w14:paraId="4558C321" w14:textId="77777777" w:rsidR="005D647E" w:rsidRPr="00B6152C" w:rsidRDefault="005D647E" w:rsidP="00B6152C">
            <w:pPr>
              <w:spacing w:line="480" w:lineRule="auto"/>
              <w:jc w:val="both"/>
              <w:rPr>
                <w:rFonts w:cstheme="minorHAnsi"/>
                <w:lang w:val="en-US"/>
              </w:rPr>
            </w:pPr>
            <w:r w:rsidRPr="00B6152C">
              <w:rPr>
                <w:rFonts w:cstheme="minorHAnsi"/>
                <w:lang w:val="en-US"/>
              </w:rPr>
              <w:t>Sensitivity (d’)</w:t>
            </w:r>
          </w:p>
        </w:tc>
        <w:tc>
          <w:tcPr>
            <w:tcW w:w="1098" w:type="pct"/>
            <w:tcBorders>
              <w:top w:val="nil"/>
              <w:left w:val="nil"/>
              <w:bottom w:val="nil"/>
              <w:right w:val="nil"/>
            </w:tcBorders>
          </w:tcPr>
          <w:p w14:paraId="794299C2" w14:textId="77777777" w:rsidR="005D647E" w:rsidRPr="00B6152C" w:rsidRDefault="005D647E" w:rsidP="00B6152C">
            <w:pPr>
              <w:spacing w:line="480" w:lineRule="auto"/>
              <w:jc w:val="both"/>
              <w:rPr>
                <w:rFonts w:cstheme="minorHAnsi"/>
                <w:lang w:val="en-US"/>
              </w:rPr>
            </w:pPr>
            <w:r w:rsidRPr="00B6152C">
              <w:rPr>
                <w:rFonts w:cstheme="minorHAnsi"/>
                <w:lang w:val="en-US"/>
              </w:rPr>
              <w:t>Words</w:t>
            </w:r>
          </w:p>
        </w:tc>
        <w:tc>
          <w:tcPr>
            <w:tcW w:w="559" w:type="pct"/>
            <w:tcBorders>
              <w:top w:val="nil"/>
              <w:left w:val="nil"/>
              <w:bottom w:val="nil"/>
              <w:right w:val="nil"/>
            </w:tcBorders>
          </w:tcPr>
          <w:p w14:paraId="0B11A057" w14:textId="77777777" w:rsidR="005D647E" w:rsidRPr="00B6152C" w:rsidRDefault="005D647E" w:rsidP="00B6152C">
            <w:pPr>
              <w:spacing w:line="480" w:lineRule="auto"/>
              <w:jc w:val="center"/>
              <w:rPr>
                <w:rFonts w:cstheme="minorHAnsi"/>
                <w:lang w:val="en-US"/>
              </w:rPr>
            </w:pPr>
            <w:r w:rsidRPr="00B6152C">
              <w:rPr>
                <w:rFonts w:cstheme="minorHAnsi"/>
                <w:lang w:val="en-US"/>
              </w:rPr>
              <w:t>0.77</w:t>
            </w:r>
          </w:p>
        </w:tc>
        <w:tc>
          <w:tcPr>
            <w:tcW w:w="687" w:type="pct"/>
            <w:tcBorders>
              <w:top w:val="nil"/>
              <w:left w:val="nil"/>
              <w:bottom w:val="nil"/>
              <w:right w:val="nil"/>
            </w:tcBorders>
          </w:tcPr>
          <w:p w14:paraId="3E40DCA2" w14:textId="77777777" w:rsidR="005D647E" w:rsidRPr="00B6152C" w:rsidRDefault="005D647E" w:rsidP="00B6152C">
            <w:pPr>
              <w:spacing w:line="480" w:lineRule="auto"/>
              <w:jc w:val="center"/>
              <w:rPr>
                <w:rFonts w:cstheme="minorHAnsi"/>
                <w:lang w:val="en-US"/>
              </w:rPr>
            </w:pPr>
            <w:r w:rsidRPr="00B6152C">
              <w:rPr>
                <w:rFonts w:cstheme="minorHAnsi"/>
                <w:lang w:val="en-US"/>
              </w:rPr>
              <w:t>1.05</w:t>
            </w:r>
          </w:p>
        </w:tc>
        <w:tc>
          <w:tcPr>
            <w:tcW w:w="566" w:type="pct"/>
            <w:tcBorders>
              <w:top w:val="nil"/>
              <w:left w:val="nil"/>
              <w:bottom w:val="nil"/>
              <w:right w:val="nil"/>
            </w:tcBorders>
          </w:tcPr>
          <w:p w14:paraId="595D0113" w14:textId="77777777" w:rsidR="005D647E" w:rsidRPr="00B6152C" w:rsidRDefault="005D647E" w:rsidP="00B6152C">
            <w:pPr>
              <w:spacing w:line="480" w:lineRule="auto"/>
              <w:jc w:val="center"/>
              <w:rPr>
                <w:rFonts w:cstheme="minorHAnsi"/>
                <w:lang w:val="en-US"/>
              </w:rPr>
            </w:pPr>
            <w:r w:rsidRPr="00B6152C">
              <w:rPr>
                <w:rFonts w:cstheme="minorHAnsi"/>
                <w:lang w:val="en-US"/>
              </w:rPr>
              <w:t>1.93</w:t>
            </w:r>
          </w:p>
        </w:tc>
        <w:tc>
          <w:tcPr>
            <w:tcW w:w="696" w:type="pct"/>
            <w:tcBorders>
              <w:top w:val="nil"/>
              <w:left w:val="nil"/>
              <w:bottom w:val="nil"/>
              <w:right w:val="nil"/>
            </w:tcBorders>
          </w:tcPr>
          <w:p w14:paraId="5FFF2804" w14:textId="77777777" w:rsidR="005D647E" w:rsidRPr="00B6152C" w:rsidRDefault="005D647E" w:rsidP="00B6152C">
            <w:pPr>
              <w:spacing w:line="480" w:lineRule="auto"/>
              <w:jc w:val="center"/>
              <w:rPr>
                <w:rFonts w:cstheme="minorHAnsi"/>
                <w:lang w:val="en-US"/>
              </w:rPr>
            </w:pPr>
            <w:r w:rsidRPr="00B6152C">
              <w:rPr>
                <w:rFonts w:cstheme="minorHAnsi"/>
                <w:lang w:val="en-US"/>
              </w:rPr>
              <w:t>1.99</w:t>
            </w:r>
          </w:p>
        </w:tc>
      </w:tr>
      <w:tr w:rsidR="005D647E" w:rsidRPr="00B6152C" w14:paraId="535CD16A" w14:textId="77777777" w:rsidTr="00C54014">
        <w:tc>
          <w:tcPr>
            <w:tcW w:w="1394" w:type="pct"/>
            <w:tcBorders>
              <w:top w:val="nil"/>
              <w:left w:val="nil"/>
              <w:bottom w:val="nil"/>
              <w:right w:val="nil"/>
            </w:tcBorders>
          </w:tcPr>
          <w:p w14:paraId="099733A2" w14:textId="77777777" w:rsidR="005D647E" w:rsidRPr="00B6152C" w:rsidRDefault="005D647E" w:rsidP="00B6152C">
            <w:pPr>
              <w:spacing w:line="480" w:lineRule="auto"/>
              <w:jc w:val="both"/>
              <w:rPr>
                <w:rFonts w:cstheme="minorHAnsi"/>
                <w:lang w:val="en-US"/>
              </w:rPr>
            </w:pPr>
          </w:p>
        </w:tc>
        <w:tc>
          <w:tcPr>
            <w:tcW w:w="1098" w:type="pct"/>
            <w:tcBorders>
              <w:top w:val="nil"/>
              <w:left w:val="nil"/>
              <w:bottom w:val="nil"/>
              <w:right w:val="nil"/>
            </w:tcBorders>
          </w:tcPr>
          <w:p w14:paraId="08A47C03" w14:textId="77777777" w:rsidR="005D647E" w:rsidRPr="00B6152C" w:rsidRDefault="005D647E" w:rsidP="00B6152C">
            <w:pPr>
              <w:spacing w:line="480" w:lineRule="auto"/>
              <w:jc w:val="both"/>
              <w:rPr>
                <w:rFonts w:cstheme="minorHAnsi"/>
                <w:lang w:val="en-US"/>
              </w:rPr>
            </w:pPr>
            <w:r w:rsidRPr="00B6152C">
              <w:rPr>
                <w:rFonts w:cstheme="minorHAnsi"/>
                <w:lang w:val="en-US"/>
              </w:rPr>
              <w:t>HF nonwords</w:t>
            </w:r>
          </w:p>
        </w:tc>
        <w:tc>
          <w:tcPr>
            <w:tcW w:w="559" w:type="pct"/>
            <w:tcBorders>
              <w:top w:val="nil"/>
              <w:left w:val="nil"/>
              <w:bottom w:val="nil"/>
              <w:right w:val="nil"/>
            </w:tcBorders>
          </w:tcPr>
          <w:p w14:paraId="29362E5F" w14:textId="77777777" w:rsidR="005D647E" w:rsidRPr="00B6152C" w:rsidRDefault="005D647E" w:rsidP="00B6152C">
            <w:pPr>
              <w:spacing w:line="480" w:lineRule="auto"/>
              <w:jc w:val="center"/>
              <w:rPr>
                <w:rFonts w:cstheme="minorHAnsi"/>
                <w:lang w:val="en-US"/>
              </w:rPr>
            </w:pPr>
            <w:r w:rsidRPr="00B6152C">
              <w:rPr>
                <w:rFonts w:cstheme="minorHAnsi"/>
                <w:lang w:val="en-US"/>
              </w:rPr>
              <w:t>0.44</w:t>
            </w:r>
          </w:p>
        </w:tc>
        <w:tc>
          <w:tcPr>
            <w:tcW w:w="687" w:type="pct"/>
            <w:tcBorders>
              <w:top w:val="nil"/>
              <w:left w:val="nil"/>
              <w:bottom w:val="nil"/>
              <w:right w:val="nil"/>
            </w:tcBorders>
          </w:tcPr>
          <w:p w14:paraId="1E9DBD98" w14:textId="77777777" w:rsidR="005D647E" w:rsidRPr="00B6152C" w:rsidRDefault="005D647E" w:rsidP="00B6152C">
            <w:pPr>
              <w:spacing w:line="480" w:lineRule="auto"/>
              <w:jc w:val="center"/>
              <w:rPr>
                <w:rFonts w:cstheme="minorHAnsi"/>
                <w:lang w:val="en-US"/>
              </w:rPr>
            </w:pPr>
            <w:r w:rsidRPr="00B6152C">
              <w:rPr>
                <w:rFonts w:cstheme="minorHAnsi"/>
                <w:lang w:val="en-US"/>
              </w:rPr>
              <w:t>0.03</w:t>
            </w:r>
          </w:p>
        </w:tc>
        <w:tc>
          <w:tcPr>
            <w:tcW w:w="566" w:type="pct"/>
            <w:tcBorders>
              <w:top w:val="nil"/>
              <w:left w:val="nil"/>
              <w:bottom w:val="nil"/>
              <w:right w:val="nil"/>
            </w:tcBorders>
          </w:tcPr>
          <w:p w14:paraId="247F23D9" w14:textId="77777777" w:rsidR="005D647E" w:rsidRPr="00B6152C" w:rsidRDefault="005D647E" w:rsidP="00B6152C">
            <w:pPr>
              <w:spacing w:line="480" w:lineRule="auto"/>
              <w:jc w:val="center"/>
              <w:rPr>
                <w:rFonts w:cstheme="minorHAnsi"/>
                <w:lang w:val="en-US"/>
              </w:rPr>
            </w:pPr>
            <w:r w:rsidRPr="00B6152C">
              <w:rPr>
                <w:rFonts w:cstheme="minorHAnsi"/>
                <w:lang w:val="en-US"/>
              </w:rPr>
              <w:t>1.24</w:t>
            </w:r>
          </w:p>
        </w:tc>
        <w:tc>
          <w:tcPr>
            <w:tcW w:w="696" w:type="pct"/>
            <w:tcBorders>
              <w:top w:val="nil"/>
              <w:left w:val="nil"/>
              <w:bottom w:val="nil"/>
              <w:right w:val="nil"/>
            </w:tcBorders>
          </w:tcPr>
          <w:p w14:paraId="3C8EF514" w14:textId="77777777" w:rsidR="005D647E" w:rsidRPr="00B6152C" w:rsidRDefault="005D647E" w:rsidP="00B6152C">
            <w:pPr>
              <w:spacing w:line="480" w:lineRule="auto"/>
              <w:jc w:val="center"/>
              <w:rPr>
                <w:rFonts w:cstheme="minorHAnsi"/>
                <w:lang w:val="en-US"/>
              </w:rPr>
            </w:pPr>
            <w:r w:rsidRPr="00B6152C">
              <w:rPr>
                <w:rFonts w:cstheme="minorHAnsi"/>
                <w:lang w:val="en-US"/>
              </w:rPr>
              <w:t>1.42</w:t>
            </w:r>
          </w:p>
        </w:tc>
      </w:tr>
      <w:tr w:rsidR="005D647E" w:rsidRPr="00B6152C" w14:paraId="35420B8B" w14:textId="77777777" w:rsidTr="00C54014">
        <w:tc>
          <w:tcPr>
            <w:tcW w:w="1394" w:type="pct"/>
            <w:tcBorders>
              <w:top w:val="nil"/>
              <w:left w:val="nil"/>
              <w:bottom w:val="nil"/>
              <w:right w:val="nil"/>
            </w:tcBorders>
          </w:tcPr>
          <w:p w14:paraId="2ADA9E7C" w14:textId="77777777" w:rsidR="005D647E" w:rsidRPr="00B6152C" w:rsidRDefault="005D647E" w:rsidP="00B6152C">
            <w:pPr>
              <w:spacing w:line="480" w:lineRule="auto"/>
              <w:jc w:val="both"/>
              <w:rPr>
                <w:rFonts w:cstheme="minorHAnsi"/>
                <w:lang w:val="en-US"/>
              </w:rPr>
            </w:pPr>
          </w:p>
        </w:tc>
        <w:tc>
          <w:tcPr>
            <w:tcW w:w="1098" w:type="pct"/>
            <w:tcBorders>
              <w:top w:val="nil"/>
              <w:left w:val="nil"/>
              <w:bottom w:val="nil"/>
              <w:right w:val="nil"/>
            </w:tcBorders>
          </w:tcPr>
          <w:p w14:paraId="1FFEBFC2" w14:textId="77777777" w:rsidR="005D647E" w:rsidRPr="00B6152C" w:rsidRDefault="005D647E" w:rsidP="00B6152C">
            <w:pPr>
              <w:spacing w:line="480" w:lineRule="auto"/>
              <w:jc w:val="both"/>
              <w:rPr>
                <w:rFonts w:cstheme="minorHAnsi"/>
                <w:lang w:val="en-US"/>
              </w:rPr>
            </w:pPr>
            <w:r w:rsidRPr="00B6152C">
              <w:rPr>
                <w:rFonts w:cstheme="minorHAnsi"/>
                <w:lang w:val="en-US"/>
              </w:rPr>
              <w:t>LF nonwords</w:t>
            </w:r>
          </w:p>
        </w:tc>
        <w:tc>
          <w:tcPr>
            <w:tcW w:w="559" w:type="pct"/>
            <w:tcBorders>
              <w:top w:val="nil"/>
              <w:left w:val="nil"/>
              <w:bottom w:val="nil"/>
              <w:right w:val="nil"/>
            </w:tcBorders>
          </w:tcPr>
          <w:p w14:paraId="0B0F3E9C" w14:textId="77777777" w:rsidR="005D647E" w:rsidRPr="00B6152C" w:rsidRDefault="005D647E" w:rsidP="00B6152C">
            <w:pPr>
              <w:spacing w:line="480" w:lineRule="auto"/>
              <w:jc w:val="center"/>
              <w:rPr>
                <w:rFonts w:cstheme="minorHAnsi"/>
                <w:lang w:val="en-US"/>
              </w:rPr>
            </w:pPr>
            <w:r w:rsidRPr="00B6152C">
              <w:rPr>
                <w:rFonts w:cstheme="minorHAnsi"/>
                <w:lang w:val="en-US"/>
              </w:rPr>
              <w:t>0.03</w:t>
            </w:r>
          </w:p>
        </w:tc>
        <w:tc>
          <w:tcPr>
            <w:tcW w:w="687" w:type="pct"/>
            <w:tcBorders>
              <w:top w:val="nil"/>
              <w:left w:val="nil"/>
              <w:bottom w:val="nil"/>
              <w:right w:val="nil"/>
            </w:tcBorders>
          </w:tcPr>
          <w:p w14:paraId="62E1A4EF" w14:textId="77777777" w:rsidR="005D647E" w:rsidRPr="00B6152C" w:rsidRDefault="005D647E" w:rsidP="00B6152C">
            <w:pPr>
              <w:spacing w:line="480" w:lineRule="auto"/>
              <w:jc w:val="center"/>
              <w:rPr>
                <w:rFonts w:cstheme="minorHAnsi"/>
                <w:lang w:val="en-US"/>
              </w:rPr>
            </w:pPr>
            <w:r w:rsidRPr="00B6152C">
              <w:rPr>
                <w:rFonts w:cstheme="minorHAnsi"/>
                <w:lang w:val="en-US"/>
              </w:rPr>
              <w:t>0.63</w:t>
            </w:r>
          </w:p>
        </w:tc>
        <w:tc>
          <w:tcPr>
            <w:tcW w:w="566" w:type="pct"/>
            <w:tcBorders>
              <w:top w:val="nil"/>
              <w:left w:val="nil"/>
              <w:bottom w:val="nil"/>
              <w:right w:val="nil"/>
            </w:tcBorders>
          </w:tcPr>
          <w:p w14:paraId="058162DC" w14:textId="77777777" w:rsidR="005D647E" w:rsidRPr="00B6152C" w:rsidRDefault="005D647E" w:rsidP="00B6152C">
            <w:pPr>
              <w:spacing w:line="480" w:lineRule="auto"/>
              <w:jc w:val="center"/>
              <w:rPr>
                <w:rFonts w:cstheme="minorHAnsi"/>
                <w:lang w:val="en-US"/>
              </w:rPr>
            </w:pPr>
            <w:r w:rsidRPr="00B6152C">
              <w:rPr>
                <w:rFonts w:cstheme="minorHAnsi"/>
                <w:lang w:val="en-US"/>
              </w:rPr>
              <w:t>1.40</w:t>
            </w:r>
          </w:p>
        </w:tc>
        <w:tc>
          <w:tcPr>
            <w:tcW w:w="696" w:type="pct"/>
            <w:tcBorders>
              <w:top w:val="nil"/>
              <w:left w:val="nil"/>
              <w:bottom w:val="nil"/>
              <w:right w:val="nil"/>
            </w:tcBorders>
          </w:tcPr>
          <w:p w14:paraId="4FBA32F7" w14:textId="77777777" w:rsidR="005D647E" w:rsidRPr="00B6152C" w:rsidRDefault="005D647E" w:rsidP="00B6152C">
            <w:pPr>
              <w:spacing w:line="480" w:lineRule="auto"/>
              <w:jc w:val="center"/>
              <w:rPr>
                <w:rFonts w:cstheme="minorHAnsi"/>
                <w:lang w:val="en-US"/>
              </w:rPr>
            </w:pPr>
            <w:r w:rsidRPr="00B6152C">
              <w:rPr>
                <w:rFonts w:cstheme="minorHAnsi"/>
                <w:lang w:val="en-US"/>
              </w:rPr>
              <w:t>1.39</w:t>
            </w:r>
          </w:p>
        </w:tc>
      </w:tr>
      <w:tr w:rsidR="005D647E" w:rsidRPr="00B6152C" w14:paraId="4DF2872D" w14:textId="77777777" w:rsidTr="00C54014">
        <w:tc>
          <w:tcPr>
            <w:tcW w:w="1394" w:type="pct"/>
            <w:tcBorders>
              <w:top w:val="nil"/>
              <w:left w:val="nil"/>
              <w:bottom w:val="nil"/>
              <w:right w:val="nil"/>
            </w:tcBorders>
          </w:tcPr>
          <w:p w14:paraId="41C196DB" w14:textId="77777777" w:rsidR="005D647E" w:rsidRPr="00B6152C" w:rsidRDefault="005D647E" w:rsidP="00B6152C">
            <w:pPr>
              <w:spacing w:line="480" w:lineRule="auto"/>
              <w:jc w:val="both"/>
              <w:rPr>
                <w:rFonts w:cstheme="minorHAnsi"/>
                <w:lang w:val="en-US"/>
              </w:rPr>
            </w:pPr>
            <w:r w:rsidRPr="00B6152C">
              <w:rPr>
                <w:rFonts w:cstheme="minorHAnsi"/>
                <w:lang w:val="en-US"/>
              </w:rPr>
              <w:t>Response bias (C)</w:t>
            </w:r>
          </w:p>
        </w:tc>
        <w:tc>
          <w:tcPr>
            <w:tcW w:w="1098" w:type="pct"/>
            <w:tcBorders>
              <w:top w:val="nil"/>
              <w:left w:val="nil"/>
              <w:bottom w:val="nil"/>
              <w:right w:val="nil"/>
            </w:tcBorders>
          </w:tcPr>
          <w:p w14:paraId="3AC534B6" w14:textId="77777777" w:rsidR="005D647E" w:rsidRPr="00B6152C" w:rsidRDefault="005D647E" w:rsidP="00B6152C">
            <w:pPr>
              <w:spacing w:line="480" w:lineRule="auto"/>
              <w:jc w:val="both"/>
              <w:rPr>
                <w:rFonts w:cstheme="minorHAnsi"/>
                <w:lang w:val="en-US"/>
              </w:rPr>
            </w:pPr>
            <w:r w:rsidRPr="00B6152C">
              <w:rPr>
                <w:rFonts w:cstheme="minorHAnsi"/>
                <w:lang w:val="en-US"/>
              </w:rPr>
              <w:t>Words</w:t>
            </w:r>
          </w:p>
        </w:tc>
        <w:tc>
          <w:tcPr>
            <w:tcW w:w="559" w:type="pct"/>
            <w:tcBorders>
              <w:top w:val="nil"/>
              <w:left w:val="nil"/>
              <w:bottom w:val="nil"/>
              <w:right w:val="nil"/>
            </w:tcBorders>
          </w:tcPr>
          <w:p w14:paraId="3A840C33" w14:textId="77777777" w:rsidR="005D647E" w:rsidRPr="00B6152C" w:rsidRDefault="005D647E" w:rsidP="00B6152C">
            <w:pPr>
              <w:spacing w:line="480" w:lineRule="auto"/>
              <w:jc w:val="center"/>
              <w:rPr>
                <w:rFonts w:cstheme="minorHAnsi"/>
                <w:lang w:val="en-US"/>
              </w:rPr>
            </w:pPr>
            <w:r w:rsidRPr="00B6152C">
              <w:rPr>
                <w:rFonts w:cstheme="minorHAnsi"/>
                <w:lang w:val="en-US"/>
              </w:rPr>
              <w:t>0.18</w:t>
            </w:r>
          </w:p>
        </w:tc>
        <w:tc>
          <w:tcPr>
            <w:tcW w:w="687" w:type="pct"/>
            <w:tcBorders>
              <w:top w:val="nil"/>
              <w:left w:val="nil"/>
              <w:bottom w:val="nil"/>
              <w:right w:val="nil"/>
            </w:tcBorders>
          </w:tcPr>
          <w:p w14:paraId="76D4D172" w14:textId="77777777" w:rsidR="005D647E" w:rsidRPr="00B6152C" w:rsidRDefault="005D647E" w:rsidP="00B6152C">
            <w:pPr>
              <w:spacing w:line="480" w:lineRule="auto"/>
              <w:jc w:val="center"/>
              <w:rPr>
                <w:rFonts w:cstheme="minorHAnsi"/>
                <w:lang w:val="en-US"/>
              </w:rPr>
            </w:pPr>
            <w:r w:rsidRPr="00B6152C">
              <w:rPr>
                <w:rFonts w:cstheme="minorHAnsi"/>
                <w:lang w:val="en-US"/>
              </w:rPr>
              <w:t>0.18</w:t>
            </w:r>
          </w:p>
        </w:tc>
        <w:tc>
          <w:tcPr>
            <w:tcW w:w="566" w:type="pct"/>
            <w:tcBorders>
              <w:top w:val="nil"/>
              <w:left w:val="nil"/>
              <w:bottom w:val="nil"/>
              <w:right w:val="nil"/>
            </w:tcBorders>
          </w:tcPr>
          <w:p w14:paraId="5D740935" w14:textId="77777777" w:rsidR="005D647E" w:rsidRPr="00B6152C" w:rsidRDefault="005D647E" w:rsidP="00B6152C">
            <w:pPr>
              <w:spacing w:line="480" w:lineRule="auto"/>
              <w:jc w:val="center"/>
              <w:rPr>
                <w:rFonts w:cstheme="minorHAnsi"/>
                <w:lang w:val="en-US"/>
              </w:rPr>
            </w:pPr>
            <w:r w:rsidRPr="00B6152C">
              <w:rPr>
                <w:rFonts w:cstheme="minorHAnsi"/>
                <w:lang w:val="en-US"/>
              </w:rPr>
              <w:t>0.25</w:t>
            </w:r>
          </w:p>
        </w:tc>
        <w:tc>
          <w:tcPr>
            <w:tcW w:w="696" w:type="pct"/>
            <w:tcBorders>
              <w:top w:val="nil"/>
              <w:left w:val="nil"/>
              <w:bottom w:val="nil"/>
              <w:right w:val="nil"/>
            </w:tcBorders>
          </w:tcPr>
          <w:p w14:paraId="47922DC4" w14:textId="77777777" w:rsidR="005D647E" w:rsidRPr="00B6152C" w:rsidRDefault="005D647E" w:rsidP="00B6152C">
            <w:pPr>
              <w:spacing w:line="480" w:lineRule="auto"/>
              <w:jc w:val="center"/>
              <w:rPr>
                <w:rFonts w:cstheme="minorHAnsi"/>
                <w:lang w:val="en-US"/>
              </w:rPr>
            </w:pPr>
            <w:r w:rsidRPr="00B6152C">
              <w:rPr>
                <w:rFonts w:cstheme="minorHAnsi"/>
                <w:lang w:val="en-US"/>
              </w:rPr>
              <w:t>0.27</w:t>
            </w:r>
          </w:p>
        </w:tc>
      </w:tr>
      <w:tr w:rsidR="005D647E" w:rsidRPr="00B6152C" w14:paraId="5E869B75" w14:textId="77777777" w:rsidTr="00C54014">
        <w:tc>
          <w:tcPr>
            <w:tcW w:w="1394" w:type="pct"/>
            <w:tcBorders>
              <w:top w:val="nil"/>
              <w:left w:val="nil"/>
              <w:bottom w:val="nil"/>
              <w:right w:val="nil"/>
            </w:tcBorders>
          </w:tcPr>
          <w:p w14:paraId="6C38B46B" w14:textId="77777777" w:rsidR="005D647E" w:rsidRPr="00B6152C" w:rsidRDefault="005D647E" w:rsidP="00B6152C">
            <w:pPr>
              <w:spacing w:line="480" w:lineRule="auto"/>
              <w:jc w:val="both"/>
              <w:rPr>
                <w:rFonts w:cstheme="minorHAnsi"/>
                <w:lang w:val="en-US"/>
              </w:rPr>
            </w:pPr>
          </w:p>
        </w:tc>
        <w:tc>
          <w:tcPr>
            <w:tcW w:w="1098" w:type="pct"/>
            <w:tcBorders>
              <w:top w:val="nil"/>
              <w:left w:val="nil"/>
              <w:bottom w:val="nil"/>
              <w:right w:val="nil"/>
            </w:tcBorders>
          </w:tcPr>
          <w:p w14:paraId="566E5C5D" w14:textId="77777777" w:rsidR="005D647E" w:rsidRPr="00B6152C" w:rsidRDefault="005D647E" w:rsidP="00B6152C">
            <w:pPr>
              <w:spacing w:line="480" w:lineRule="auto"/>
              <w:jc w:val="both"/>
              <w:rPr>
                <w:rFonts w:cstheme="minorHAnsi"/>
                <w:lang w:val="en-US"/>
              </w:rPr>
            </w:pPr>
            <w:r w:rsidRPr="00B6152C">
              <w:rPr>
                <w:rFonts w:cstheme="minorHAnsi"/>
                <w:lang w:val="en-US"/>
              </w:rPr>
              <w:t>HF nonwords</w:t>
            </w:r>
          </w:p>
        </w:tc>
        <w:tc>
          <w:tcPr>
            <w:tcW w:w="559" w:type="pct"/>
            <w:tcBorders>
              <w:top w:val="nil"/>
              <w:left w:val="nil"/>
              <w:bottom w:val="nil"/>
              <w:right w:val="nil"/>
            </w:tcBorders>
          </w:tcPr>
          <w:p w14:paraId="62DA4069" w14:textId="77777777" w:rsidR="005D647E" w:rsidRPr="00B6152C" w:rsidRDefault="005D647E" w:rsidP="00B6152C">
            <w:pPr>
              <w:spacing w:line="480" w:lineRule="auto"/>
              <w:jc w:val="center"/>
              <w:rPr>
                <w:rFonts w:cstheme="minorHAnsi"/>
                <w:lang w:val="en-US"/>
              </w:rPr>
            </w:pPr>
            <w:r w:rsidRPr="00B6152C">
              <w:rPr>
                <w:rFonts w:cstheme="minorHAnsi"/>
                <w:lang w:val="en-US"/>
              </w:rPr>
              <w:t>0.04</w:t>
            </w:r>
          </w:p>
        </w:tc>
        <w:tc>
          <w:tcPr>
            <w:tcW w:w="687" w:type="pct"/>
            <w:tcBorders>
              <w:top w:val="nil"/>
              <w:left w:val="nil"/>
              <w:bottom w:val="nil"/>
              <w:right w:val="nil"/>
            </w:tcBorders>
          </w:tcPr>
          <w:p w14:paraId="69E5FA2C" w14:textId="77777777" w:rsidR="005D647E" w:rsidRPr="00B6152C" w:rsidRDefault="005D647E" w:rsidP="00B6152C">
            <w:pPr>
              <w:spacing w:line="480" w:lineRule="auto"/>
              <w:jc w:val="center"/>
              <w:rPr>
                <w:rFonts w:cstheme="minorHAnsi"/>
                <w:lang w:val="en-US"/>
              </w:rPr>
            </w:pPr>
            <w:r w:rsidRPr="00B6152C">
              <w:rPr>
                <w:rFonts w:cstheme="minorHAnsi"/>
                <w:lang w:val="en-US"/>
              </w:rPr>
              <w:t>0.24</w:t>
            </w:r>
          </w:p>
        </w:tc>
        <w:tc>
          <w:tcPr>
            <w:tcW w:w="566" w:type="pct"/>
            <w:tcBorders>
              <w:top w:val="nil"/>
              <w:left w:val="nil"/>
              <w:bottom w:val="nil"/>
              <w:right w:val="nil"/>
            </w:tcBorders>
          </w:tcPr>
          <w:p w14:paraId="36BB57C1" w14:textId="77777777" w:rsidR="005D647E" w:rsidRPr="00B6152C" w:rsidRDefault="005D647E" w:rsidP="00B6152C">
            <w:pPr>
              <w:spacing w:line="480" w:lineRule="auto"/>
              <w:jc w:val="center"/>
              <w:rPr>
                <w:rFonts w:cstheme="minorHAnsi"/>
                <w:lang w:val="en-US"/>
              </w:rPr>
            </w:pPr>
            <w:r w:rsidRPr="00B6152C">
              <w:rPr>
                <w:rFonts w:cstheme="minorHAnsi"/>
                <w:lang w:val="en-US"/>
              </w:rPr>
              <w:t>-0.14</w:t>
            </w:r>
          </w:p>
        </w:tc>
        <w:tc>
          <w:tcPr>
            <w:tcW w:w="696" w:type="pct"/>
            <w:tcBorders>
              <w:top w:val="nil"/>
              <w:left w:val="nil"/>
              <w:bottom w:val="nil"/>
              <w:right w:val="nil"/>
            </w:tcBorders>
          </w:tcPr>
          <w:p w14:paraId="4C2264EC" w14:textId="77777777" w:rsidR="005D647E" w:rsidRPr="00B6152C" w:rsidRDefault="005D647E" w:rsidP="00B6152C">
            <w:pPr>
              <w:spacing w:line="480" w:lineRule="auto"/>
              <w:jc w:val="center"/>
              <w:rPr>
                <w:rFonts w:cstheme="minorHAnsi"/>
                <w:lang w:val="en-US"/>
              </w:rPr>
            </w:pPr>
            <w:r w:rsidRPr="00B6152C">
              <w:rPr>
                <w:rFonts w:cstheme="minorHAnsi"/>
                <w:lang w:val="en-US"/>
              </w:rPr>
              <w:t>0.31</w:t>
            </w:r>
          </w:p>
        </w:tc>
      </w:tr>
      <w:tr w:rsidR="005D647E" w:rsidRPr="00B6152C" w14:paraId="242AE867" w14:textId="77777777" w:rsidTr="00C54014">
        <w:tc>
          <w:tcPr>
            <w:tcW w:w="1394" w:type="pct"/>
            <w:tcBorders>
              <w:top w:val="nil"/>
              <w:left w:val="nil"/>
              <w:bottom w:val="single" w:sz="4" w:space="0" w:color="auto"/>
              <w:right w:val="nil"/>
            </w:tcBorders>
          </w:tcPr>
          <w:p w14:paraId="6D06BCA8" w14:textId="77777777" w:rsidR="005D647E" w:rsidRPr="00B6152C" w:rsidRDefault="005D647E" w:rsidP="00B6152C">
            <w:pPr>
              <w:spacing w:line="480" w:lineRule="auto"/>
              <w:jc w:val="both"/>
              <w:rPr>
                <w:rFonts w:cstheme="minorHAnsi"/>
                <w:lang w:val="en-US"/>
              </w:rPr>
            </w:pPr>
          </w:p>
        </w:tc>
        <w:tc>
          <w:tcPr>
            <w:tcW w:w="1098" w:type="pct"/>
            <w:tcBorders>
              <w:top w:val="nil"/>
              <w:left w:val="nil"/>
              <w:bottom w:val="single" w:sz="4" w:space="0" w:color="auto"/>
              <w:right w:val="nil"/>
            </w:tcBorders>
          </w:tcPr>
          <w:p w14:paraId="36805B1D" w14:textId="77777777" w:rsidR="005D647E" w:rsidRPr="00B6152C" w:rsidRDefault="005D647E" w:rsidP="00B6152C">
            <w:pPr>
              <w:spacing w:line="480" w:lineRule="auto"/>
              <w:jc w:val="both"/>
              <w:rPr>
                <w:rFonts w:cstheme="minorHAnsi"/>
                <w:lang w:val="en-US"/>
              </w:rPr>
            </w:pPr>
            <w:r w:rsidRPr="00B6152C">
              <w:rPr>
                <w:rFonts w:cstheme="minorHAnsi"/>
                <w:lang w:val="en-US"/>
              </w:rPr>
              <w:t>LF nonwords</w:t>
            </w:r>
          </w:p>
        </w:tc>
        <w:tc>
          <w:tcPr>
            <w:tcW w:w="559" w:type="pct"/>
            <w:tcBorders>
              <w:top w:val="nil"/>
              <w:left w:val="nil"/>
              <w:bottom w:val="single" w:sz="4" w:space="0" w:color="auto"/>
              <w:right w:val="nil"/>
            </w:tcBorders>
          </w:tcPr>
          <w:p w14:paraId="75343888" w14:textId="77777777" w:rsidR="005D647E" w:rsidRPr="00B6152C" w:rsidRDefault="005D647E" w:rsidP="00B6152C">
            <w:pPr>
              <w:spacing w:line="480" w:lineRule="auto"/>
              <w:jc w:val="center"/>
              <w:rPr>
                <w:rFonts w:cstheme="minorHAnsi"/>
                <w:lang w:val="en-US"/>
              </w:rPr>
            </w:pPr>
            <w:r w:rsidRPr="00B6152C">
              <w:rPr>
                <w:rFonts w:cstheme="minorHAnsi"/>
                <w:lang w:val="en-US"/>
              </w:rPr>
              <w:t>0.29</w:t>
            </w:r>
          </w:p>
        </w:tc>
        <w:tc>
          <w:tcPr>
            <w:tcW w:w="687" w:type="pct"/>
            <w:tcBorders>
              <w:top w:val="nil"/>
              <w:left w:val="nil"/>
              <w:bottom w:val="single" w:sz="4" w:space="0" w:color="auto"/>
              <w:right w:val="nil"/>
            </w:tcBorders>
          </w:tcPr>
          <w:p w14:paraId="6F69A0CE" w14:textId="77777777" w:rsidR="005D647E" w:rsidRPr="00B6152C" w:rsidRDefault="005D647E" w:rsidP="00B6152C">
            <w:pPr>
              <w:spacing w:line="480" w:lineRule="auto"/>
              <w:jc w:val="center"/>
              <w:rPr>
                <w:rFonts w:cstheme="minorHAnsi"/>
                <w:lang w:val="en-US"/>
              </w:rPr>
            </w:pPr>
            <w:r w:rsidRPr="00B6152C">
              <w:rPr>
                <w:rFonts w:cstheme="minorHAnsi"/>
                <w:lang w:val="en-US"/>
              </w:rPr>
              <w:t>0.14</w:t>
            </w:r>
          </w:p>
        </w:tc>
        <w:tc>
          <w:tcPr>
            <w:tcW w:w="566" w:type="pct"/>
            <w:tcBorders>
              <w:top w:val="nil"/>
              <w:left w:val="nil"/>
              <w:bottom w:val="single" w:sz="4" w:space="0" w:color="auto"/>
              <w:right w:val="nil"/>
            </w:tcBorders>
          </w:tcPr>
          <w:p w14:paraId="424AF227" w14:textId="77777777" w:rsidR="005D647E" w:rsidRPr="00B6152C" w:rsidRDefault="005D647E" w:rsidP="00B6152C">
            <w:pPr>
              <w:spacing w:line="480" w:lineRule="auto"/>
              <w:jc w:val="center"/>
              <w:rPr>
                <w:rFonts w:cstheme="minorHAnsi"/>
                <w:lang w:val="en-US"/>
              </w:rPr>
            </w:pPr>
            <w:r w:rsidRPr="00B6152C">
              <w:rPr>
                <w:rFonts w:cstheme="minorHAnsi"/>
                <w:lang w:val="en-US"/>
              </w:rPr>
              <w:t>0.15</w:t>
            </w:r>
          </w:p>
        </w:tc>
        <w:tc>
          <w:tcPr>
            <w:tcW w:w="696" w:type="pct"/>
            <w:tcBorders>
              <w:top w:val="nil"/>
              <w:left w:val="nil"/>
              <w:bottom w:val="single" w:sz="4" w:space="0" w:color="auto"/>
              <w:right w:val="nil"/>
            </w:tcBorders>
          </w:tcPr>
          <w:p w14:paraId="50388A9F" w14:textId="77777777" w:rsidR="005D647E" w:rsidRPr="00B6152C" w:rsidRDefault="005D647E" w:rsidP="00B6152C">
            <w:pPr>
              <w:spacing w:line="480" w:lineRule="auto"/>
              <w:jc w:val="center"/>
              <w:rPr>
                <w:rFonts w:cstheme="minorHAnsi"/>
                <w:lang w:val="en-US"/>
              </w:rPr>
            </w:pPr>
            <w:r w:rsidRPr="00B6152C">
              <w:rPr>
                <w:rFonts w:cstheme="minorHAnsi"/>
                <w:lang w:val="en-US"/>
              </w:rPr>
              <w:t>-0.07</w:t>
            </w:r>
          </w:p>
        </w:tc>
      </w:tr>
    </w:tbl>
    <w:p w14:paraId="1D228DD0" w14:textId="77777777" w:rsidR="005D647E" w:rsidRPr="00B6152C" w:rsidRDefault="005D647E" w:rsidP="00B6152C">
      <w:pPr>
        <w:spacing w:line="480" w:lineRule="auto"/>
        <w:jc w:val="both"/>
        <w:rPr>
          <w:rStyle w:val="Accentuationlgre"/>
          <w:rFonts w:cstheme="minorHAnsi"/>
          <w:color w:val="000000" w:themeColor="text1"/>
          <w:lang w:val="en-US"/>
        </w:rPr>
      </w:pPr>
      <w:r w:rsidRPr="00B6152C">
        <w:rPr>
          <w:rStyle w:val="Accentuationlgre"/>
          <w:rFonts w:cstheme="minorHAnsi"/>
          <w:b/>
          <w:color w:val="000000" w:themeColor="text1"/>
          <w:lang w:val="en-US"/>
        </w:rPr>
        <w:t>Note.</w:t>
      </w:r>
      <w:r w:rsidRPr="00B6152C">
        <w:rPr>
          <w:rStyle w:val="Accentuationlgre"/>
          <w:rFonts w:cstheme="minorHAnsi"/>
          <w:color w:val="000000" w:themeColor="text1"/>
          <w:lang w:val="en-US"/>
        </w:rPr>
        <w:t xml:space="preserve"> Standard Errors ranged from .09-.23 for d’ and C.</w:t>
      </w:r>
    </w:p>
    <w:p w14:paraId="42235DEA" w14:textId="19450BEA" w:rsidR="00603F71" w:rsidRPr="00B6152C" w:rsidRDefault="00603F71" w:rsidP="00B6152C">
      <w:pPr>
        <w:spacing w:line="480" w:lineRule="auto"/>
        <w:rPr>
          <w:rStyle w:val="Accentuationlgre"/>
          <w:rFonts w:cstheme="minorHAnsi"/>
          <w:color w:val="000000" w:themeColor="text1"/>
          <w:lang w:val="en-US"/>
        </w:rPr>
      </w:pPr>
    </w:p>
    <w:p w14:paraId="61D6A370" w14:textId="77777777" w:rsidR="00241310" w:rsidRPr="00B6152C" w:rsidRDefault="00241310" w:rsidP="00B6152C">
      <w:pPr>
        <w:spacing w:line="480" w:lineRule="auto"/>
        <w:rPr>
          <w:lang w:val="en-US"/>
        </w:rPr>
      </w:pPr>
      <w:r w:rsidRPr="00B6152C">
        <w:rPr>
          <w:lang w:val="en-US"/>
        </w:rPr>
        <w:br w:type="page"/>
      </w:r>
    </w:p>
    <w:p w14:paraId="0248D9D5" w14:textId="77777777" w:rsidR="0018702C" w:rsidRPr="00B6152C" w:rsidRDefault="0018702C" w:rsidP="00B6152C">
      <w:pPr>
        <w:spacing w:line="480" w:lineRule="auto"/>
        <w:jc w:val="center"/>
        <w:rPr>
          <w:b/>
          <w:bCs/>
          <w:lang w:val="en-US"/>
        </w:rPr>
      </w:pPr>
      <w:r w:rsidRPr="00B6152C">
        <w:rPr>
          <w:b/>
          <w:bCs/>
          <w:lang w:val="en-US"/>
        </w:rPr>
        <w:lastRenderedPageBreak/>
        <w:t>Figure caption</w:t>
      </w:r>
    </w:p>
    <w:p w14:paraId="3FD96133" w14:textId="77777777" w:rsidR="0018702C" w:rsidRPr="00B6152C" w:rsidRDefault="0018702C" w:rsidP="00B6152C">
      <w:pPr>
        <w:spacing w:line="480" w:lineRule="auto"/>
        <w:jc w:val="both"/>
        <w:rPr>
          <w:lang w:val="en-US"/>
        </w:rPr>
      </w:pPr>
      <w:r w:rsidRPr="00B6152C">
        <w:rPr>
          <w:b/>
          <w:bCs/>
          <w:lang w:val="en-US"/>
        </w:rPr>
        <w:t>Figure 1.</w:t>
      </w:r>
      <w:r w:rsidRPr="00B6152C">
        <w:rPr>
          <w:lang w:val="en-US"/>
        </w:rPr>
        <w:t xml:space="preserve"> Rate of hit (top panels) and false recognition rate (bottom panels) for or two groups (amnesic vs. control) in the two experimental conditions (oral motor vs. non-oral motor)</w:t>
      </w:r>
    </w:p>
    <w:p w14:paraId="1172AA70" w14:textId="77777777" w:rsidR="0018702C" w:rsidRPr="00B6152C" w:rsidRDefault="0018702C" w:rsidP="00B6152C">
      <w:pPr>
        <w:spacing w:line="480" w:lineRule="auto"/>
        <w:jc w:val="both"/>
        <w:rPr>
          <w:noProof/>
          <w:sz w:val="20"/>
          <w:szCs w:val="20"/>
          <w:lang w:val="en-US"/>
        </w:rPr>
      </w:pPr>
    </w:p>
    <w:p w14:paraId="77014B0C" w14:textId="7350DCC1" w:rsidR="00241310" w:rsidRPr="00B6152C" w:rsidRDefault="00BF37CF" w:rsidP="00B6152C">
      <w:pPr>
        <w:spacing w:line="480" w:lineRule="auto"/>
        <w:jc w:val="both"/>
        <w:rPr>
          <w:sz w:val="20"/>
          <w:szCs w:val="20"/>
          <w:lang w:val="en-US"/>
        </w:rPr>
      </w:pPr>
      <w:r w:rsidRPr="00B6152C">
        <w:rPr>
          <w:noProof/>
          <w:sz w:val="20"/>
          <w:szCs w:val="20"/>
          <w:lang w:eastAsia="fr-BE"/>
        </w:rPr>
        <w:drawing>
          <wp:inline distT="0" distB="0" distL="0" distR="0" wp14:anchorId="0031D53F" wp14:editId="343CC705">
            <wp:extent cx="5760720" cy="3581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81400"/>
                    </a:xfrm>
                    <a:prstGeom prst="rect">
                      <a:avLst/>
                    </a:prstGeom>
                  </pic:spPr>
                </pic:pic>
              </a:graphicData>
            </a:graphic>
          </wp:inline>
        </w:drawing>
      </w:r>
    </w:p>
    <w:p w14:paraId="07A90CB0" w14:textId="57A42EED" w:rsidR="00516218" w:rsidRPr="00B6152C" w:rsidRDefault="00516218" w:rsidP="00B6152C">
      <w:pPr>
        <w:rPr>
          <w:lang w:val="en-US"/>
        </w:rPr>
      </w:pPr>
      <w:r w:rsidRPr="00B6152C">
        <w:rPr>
          <w:lang w:val="en-US"/>
        </w:rPr>
        <w:br w:type="page"/>
      </w:r>
    </w:p>
    <w:p w14:paraId="50A92924" w14:textId="2034DE50" w:rsidR="00706827" w:rsidRPr="00B6152C" w:rsidRDefault="00516218" w:rsidP="00B6152C">
      <w:pPr>
        <w:spacing w:line="480" w:lineRule="auto"/>
        <w:jc w:val="center"/>
        <w:rPr>
          <w:b/>
          <w:bCs/>
          <w:lang w:val="en-US"/>
        </w:rPr>
      </w:pPr>
      <w:r w:rsidRPr="00B6152C">
        <w:rPr>
          <w:b/>
          <w:bCs/>
          <w:lang w:val="en-US"/>
        </w:rPr>
        <w:lastRenderedPageBreak/>
        <w:t>Appendix</w:t>
      </w:r>
    </w:p>
    <w:p w14:paraId="7B588331" w14:textId="35A70AA8" w:rsidR="00706827" w:rsidRPr="00B6152C" w:rsidRDefault="00516218" w:rsidP="00B6152C">
      <w:pPr>
        <w:spacing w:line="360" w:lineRule="auto"/>
        <w:jc w:val="both"/>
        <w:rPr>
          <w:lang w:val="en-US"/>
        </w:rPr>
      </w:pPr>
      <w:r w:rsidRPr="00B6152C">
        <w:rPr>
          <w:lang w:val="en-US"/>
        </w:rPr>
        <w:t xml:space="preserve">Sets of </w:t>
      </w:r>
      <w:proofErr w:type="spellStart"/>
      <w:r w:rsidRPr="00B6152C">
        <w:rPr>
          <w:lang w:val="en-US"/>
        </w:rPr>
        <w:t>bisyllabic</w:t>
      </w:r>
      <w:proofErr w:type="spellEnd"/>
      <w:r w:rsidRPr="00B6152C">
        <w:rPr>
          <w:lang w:val="en-US"/>
        </w:rPr>
        <w:t xml:space="preserve"> items retrieved that have served as stimuli in the present experiment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43"/>
        <w:gridCol w:w="2370"/>
        <w:gridCol w:w="2090"/>
      </w:tblGrid>
      <w:tr w:rsidR="00516218" w:rsidRPr="00B6152C" w14:paraId="76CE4DE4" w14:textId="77777777" w:rsidTr="00516218">
        <w:trPr>
          <w:trHeight w:val="249"/>
        </w:trPr>
        <w:tc>
          <w:tcPr>
            <w:tcW w:w="1306" w:type="pct"/>
            <w:tcBorders>
              <w:top w:val="single" w:sz="4" w:space="0" w:color="auto"/>
              <w:bottom w:val="single" w:sz="4" w:space="0" w:color="auto"/>
            </w:tcBorders>
            <w:noWrap/>
            <w:hideMark/>
          </w:tcPr>
          <w:p w14:paraId="011CE333" w14:textId="77777777" w:rsidR="00516218" w:rsidRPr="00B6152C" w:rsidRDefault="00516218" w:rsidP="00B6152C">
            <w:pPr>
              <w:rPr>
                <w:rFonts w:eastAsia="Times New Roman" w:cstheme="minorHAnsi"/>
                <w:b/>
                <w:bCs/>
                <w:color w:val="000000"/>
                <w:sz w:val="20"/>
                <w:szCs w:val="20"/>
                <w:lang w:eastAsia="fr-BE"/>
              </w:rPr>
            </w:pPr>
            <w:r w:rsidRPr="00B6152C">
              <w:rPr>
                <w:rFonts w:eastAsia="Times New Roman" w:cstheme="minorHAnsi"/>
                <w:b/>
                <w:bCs/>
                <w:color w:val="000000"/>
                <w:sz w:val="20"/>
                <w:szCs w:val="20"/>
                <w:lang w:eastAsia="fr-BE"/>
              </w:rPr>
              <w:t>Item type</w:t>
            </w:r>
          </w:p>
        </w:tc>
        <w:tc>
          <w:tcPr>
            <w:tcW w:w="1236" w:type="pct"/>
            <w:tcBorders>
              <w:top w:val="single" w:sz="4" w:space="0" w:color="auto"/>
              <w:bottom w:val="single" w:sz="4" w:space="0" w:color="auto"/>
            </w:tcBorders>
            <w:noWrap/>
            <w:hideMark/>
          </w:tcPr>
          <w:p w14:paraId="4C44D60C" w14:textId="77777777" w:rsidR="00516218" w:rsidRPr="00B6152C" w:rsidRDefault="00516218" w:rsidP="00B6152C">
            <w:pPr>
              <w:rPr>
                <w:rFonts w:eastAsia="Times New Roman" w:cstheme="minorHAnsi"/>
                <w:b/>
                <w:bCs/>
                <w:color w:val="000000"/>
                <w:sz w:val="20"/>
                <w:szCs w:val="20"/>
                <w:lang w:eastAsia="fr-BE"/>
              </w:rPr>
            </w:pPr>
            <w:r w:rsidRPr="00B6152C">
              <w:rPr>
                <w:rFonts w:eastAsia="Times New Roman" w:cstheme="minorHAnsi"/>
                <w:b/>
                <w:bCs/>
                <w:color w:val="000000"/>
                <w:sz w:val="20"/>
                <w:szCs w:val="20"/>
                <w:lang w:eastAsia="fr-BE"/>
              </w:rPr>
              <w:t>Stimuli</w:t>
            </w:r>
          </w:p>
        </w:tc>
        <w:tc>
          <w:tcPr>
            <w:tcW w:w="1306" w:type="pct"/>
            <w:tcBorders>
              <w:top w:val="single" w:sz="4" w:space="0" w:color="auto"/>
              <w:bottom w:val="single" w:sz="4" w:space="0" w:color="auto"/>
            </w:tcBorders>
            <w:noWrap/>
            <w:hideMark/>
          </w:tcPr>
          <w:p w14:paraId="07D45EE2" w14:textId="77777777" w:rsidR="00516218" w:rsidRPr="00B6152C" w:rsidRDefault="00516218" w:rsidP="00B6152C">
            <w:pPr>
              <w:rPr>
                <w:rFonts w:eastAsia="Times New Roman" w:cstheme="minorHAnsi"/>
                <w:b/>
                <w:bCs/>
                <w:color w:val="000000"/>
                <w:sz w:val="20"/>
                <w:szCs w:val="20"/>
                <w:lang w:eastAsia="fr-BE"/>
              </w:rPr>
            </w:pPr>
            <w:r w:rsidRPr="00B6152C">
              <w:rPr>
                <w:rFonts w:eastAsia="Times New Roman" w:cstheme="minorHAnsi"/>
                <w:b/>
                <w:bCs/>
                <w:color w:val="000000"/>
                <w:sz w:val="20"/>
                <w:szCs w:val="20"/>
                <w:lang w:eastAsia="fr-BE"/>
              </w:rPr>
              <w:t>Item type</w:t>
            </w:r>
          </w:p>
        </w:tc>
        <w:tc>
          <w:tcPr>
            <w:tcW w:w="1153" w:type="pct"/>
            <w:tcBorders>
              <w:top w:val="single" w:sz="4" w:space="0" w:color="auto"/>
              <w:bottom w:val="single" w:sz="4" w:space="0" w:color="auto"/>
            </w:tcBorders>
            <w:noWrap/>
            <w:hideMark/>
          </w:tcPr>
          <w:p w14:paraId="7948BED8" w14:textId="77777777" w:rsidR="00516218" w:rsidRPr="00B6152C" w:rsidRDefault="00516218" w:rsidP="00B6152C">
            <w:pPr>
              <w:rPr>
                <w:rFonts w:eastAsia="Times New Roman" w:cstheme="minorHAnsi"/>
                <w:b/>
                <w:bCs/>
                <w:color w:val="000000"/>
                <w:sz w:val="20"/>
                <w:szCs w:val="20"/>
                <w:lang w:eastAsia="fr-BE"/>
              </w:rPr>
            </w:pPr>
            <w:r w:rsidRPr="00B6152C">
              <w:rPr>
                <w:rFonts w:eastAsia="Times New Roman" w:cstheme="minorHAnsi"/>
                <w:b/>
                <w:bCs/>
                <w:color w:val="000000"/>
                <w:sz w:val="20"/>
                <w:szCs w:val="20"/>
                <w:lang w:eastAsia="fr-BE"/>
              </w:rPr>
              <w:t>Stimuli</w:t>
            </w:r>
          </w:p>
        </w:tc>
      </w:tr>
      <w:tr w:rsidR="00516218" w:rsidRPr="00B6152C" w14:paraId="15C34342" w14:textId="77777777" w:rsidTr="00516218">
        <w:trPr>
          <w:trHeight w:val="249"/>
        </w:trPr>
        <w:tc>
          <w:tcPr>
            <w:tcW w:w="1306" w:type="pct"/>
            <w:tcBorders>
              <w:top w:val="single" w:sz="4" w:space="0" w:color="auto"/>
            </w:tcBorders>
            <w:noWrap/>
            <w:hideMark/>
          </w:tcPr>
          <w:p w14:paraId="638F138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tcBorders>
              <w:top w:val="single" w:sz="4" w:space="0" w:color="auto"/>
            </w:tcBorders>
            <w:noWrap/>
            <w:hideMark/>
          </w:tcPr>
          <w:p w14:paraId="02EDB51C" w14:textId="5F77DEE4"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C</w:t>
            </w:r>
            <w:r w:rsidR="00516218" w:rsidRPr="00B6152C">
              <w:rPr>
                <w:rFonts w:eastAsia="Times New Roman" w:cstheme="minorHAnsi"/>
                <w:color w:val="000000"/>
                <w:sz w:val="20"/>
                <w:szCs w:val="20"/>
                <w:lang w:eastAsia="fr-BE"/>
              </w:rPr>
              <w:t>hoyer</w:t>
            </w:r>
          </w:p>
        </w:tc>
        <w:tc>
          <w:tcPr>
            <w:tcW w:w="1306" w:type="pct"/>
            <w:tcBorders>
              <w:top w:val="single" w:sz="4" w:space="0" w:color="auto"/>
            </w:tcBorders>
            <w:noWrap/>
            <w:hideMark/>
          </w:tcPr>
          <w:p w14:paraId="74499F14"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tcBorders>
              <w:top w:val="single" w:sz="4" w:space="0" w:color="auto"/>
            </w:tcBorders>
            <w:noWrap/>
            <w:hideMark/>
          </w:tcPr>
          <w:p w14:paraId="4768AD0A" w14:textId="15FD4D21"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J</w:t>
            </w:r>
            <w:r w:rsidR="00516218" w:rsidRPr="00B6152C">
              <w:rPr>
                <w:rFonts w:eastAsia="Times New Roman" w:cstheme="minorHAnsi"/>
                <w:color w:val="000000"/>
                <w:sz w:val="20"/>
                <w:szCs w:val="20"/>
                <w:lang w:eastAsia="fr-BE"/>
              </w:rPr>
              <w:t>ument</w:t>
            </w:r>
          </w:p>
        </w:tc>
      </w:tr>
      <w:tr w:rsidR="00516218" w:rsidRPr="00B6152C" w14:paraId="2B217FF6" w14:textId="77777777" w:rsidTr="00516218">
        <w:trPr>
          <w:trHeight w:val="249"/>
        </w:trPr>
        <w:tc>
          <w:tcPr>
            <w:tcW w:w="1306" w:type="pct"/>
            <w:noWrap/>
            <w:hideMark/>
          </w:tcPr>
          <w:p w14:paraId="7EF800A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0B3E2A64" w14:textId="0DB91E12"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M</w:t>
            </w:r>
            <w:r w:rsidR="00516218" w:rsidRPr="00B6152C">
              <w:rPr>
                <w:rFonts w:eastAsia="Times New Roman" w:cstheme="minorHAnsi"/>
                <w:color w:val="000000"/>
                <w:sz w:val="20"/>
                <w:szCs w:val="20"/>
                <w:lang w:eastAsia="fr-BE"/>
              </w:rPr>
              <w:t>iteuse</w:t>
            </w:r>
          </w:p>
        </w:tc>
        <w:tc>
          <w:tcPr>
            <w:tcW w:w="1306" w:type="pct"/>
            <w:noWrap/>
            <w:hideMark/>
          </w:tcPr>
          <w:p w14:paraId="6AECED7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1E5E8503" w14:textId="4AA88B6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iailleuse</w:t>
            </w:r>
          </w:p>
        </w:tc>
      </w:tr>
      <w:tr w:rsidR="00516218" w:rsidRPr="00B6152C" w14:paraId="217167C4" w14:textId="77777777" w:rsidTr="00516218">
        <w:trPr>
          <w:trHeight w:val="249"/>
        </w:trPr>
        <w:tc>
          <w:tcPr>
            <w:tcW w:w="1306" w:type="pct"/>
            <w:noWrap/>
            <w:hideMark/>
          </w:tcPr>
          <w:p w14:paraId="3F36B8D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315ECE7A" w14:textId="0BF1CB02"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B</w:t>
            </w:r>
            <w:r w:rsidR="00516218" w:rsidRPr="00B6152C">
              <w:rPr>
                <w:rFonts w:eastAsia="Times New Roman" w:cstheme="minorHAnsi"/>
                <w:color w:val="000000"/>
                <w:sz w:val="20"/>
                <w:szCs w:val="20"/>
                <w:lang w:eastAsia="fr-BE"/>
              </w:rPr>
              <w:t>adine</w:t>
            </w:r>
          </w:p>
        </w:tc>
        <w:tc>
          <w:tcPr>
            <w:tcW w:w="1306" w:type="pct"/>
            <w:noWrap/>
            <w:hideMark/>
          </w:tcPr>
          <w:p w14:paraId="1D23F02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06C07C68" w14:textId="6FDB7070"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D</w:t>
            </w:r>
            <w:r w:rsidR="00516218" w:rsidRPr="00B6152C">
              <w:rPr>
                <w:rFonts w:eastAsia="Times New Roman" w:cstheme="minorHAnsi"/>
                <w:color w:val="000000"/>
                <w:sz w:val="20"/>
                <w:szCs w:val="20"/>
                <w:lang w:eastAsia="fr-BE"/>
              </w:rPr>
              <w:t>iatribe</w:t>
            </w:r>
          </w:p>
        </w:tc>
      </w:tr>
      <w:tr w:rsidR="00516218" w:rsidRPr="00B6152C" w14:paraId="1D6AE900" w14:textId="77777777" w:rsidTr="00516218">
        <w:trPr>
          <w:trHeight w:val="249"/>
        </w:trPr>
        <w:tc>
          <w:tcPr>
            <w:tcW w:w="1306" w:type="pct"/>
            <w:noWrap/>
            <w:hideMark/>
          </w:tcPr>
          <w:p w14:paraId="16A696B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0FF062B1" w14:textId="36BB7199"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istache</w:t>
            </w:r>
          </w:p>
        </w:tc>
        <w:tc>
          <w:tcPr>
            <w:tcW w:w="1306" w:type="pct"/>
            <w:noWrap/>
            <w:hideMark/>
          </w:tcPr>
          <w:p w14:paraId="1406D7F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659843B8" w14:textId="6EA0AD0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Ri</w:t>
            </w:r>
            <w:r w:rsidR="00516218" w:rsidRPr="00B6152C">
              <w:rPr>
                <w:rFonts w:eastAsia="Times New Roman" w:cstheme="minorHAnsi"/>
                <w:color w:val="000000"/>
                <w:sz w:val="20"/>
                <w:szCs w:val="20"/>
                <w:lang w:eastAsia="fr-BE"/>
              </w:rPr>
              <w:t>chement</w:t>
            </w:r>
          </w:p>
        </w:tc>
      </w:tr>
      <w:tr w:rsidR="00516218" w:rsidRPr="00B6152C" w14:paraId="47C7C96C" w14:textId="77777777" w:rsidTr="00516218">
        <w:trPr>
          <w:trHeight w:val="249"/>
        </w:trPr>
        <w:tc>
          <w:tcPr>
            <w:tcW w:w="1306" w:type="pct"/>
            <w:noWrap/>
            <w:hideMark/>
          </w:tcPr>
          <w:p w14:paraId="297961D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30AB61D4" w14:textId="6DB86D83"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F</w:t>
            </w:r>
            <w:r w:rsidR="00516218" w:rsidRPr="00B6152C">
              <w:rPr>
                <w:rFonts w:eastAsia="Times New Roman" w:cstheme="minorHAnsi"/>
                <w:color w:val="000000"/>
                <w:sz w:val="20"/>
                <w:szCs w:val="20"/>
                <w:lang w:eastAsia="fr-BE"/>
              </w:rPr>
              <w:t>louer</w:t>
            </w:r>
          </w:p>
        </w:tc>
        <w:tc>
          <w:tcPr>
            <w:tcW w:w="1306" w:type="pct"/>
            <w:noWrap/>
            <w:hideMark/>
          </w:tcPr>
          <w:p w14:paraId="39D4CAF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337C6F54" w14:textId="15F7CA99"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N</w:t>
            </w:r>
            <w:r w:rsidR="00516218" w:rsidRPr="00B6152C">
              <w:rPr>
                <w:rFonts w:eastAsia="Times New Roman" w:cstheme="minorHAnsi"/>
                <w:color w:val="000000"/>
                <w:sz w:val="20"/>
                <w:szCs w:val="20"/>
                <w:lang w:eastAsia="fr-BE"/>
              </w:rPr>
              <w:t>oyée</w:t>
            </w:r>
          </w:p>
        </w:tc>
      </w:tr>
      <w:tr w:rsidR="00516218" w:rsidRPr="00B6152C" w14:paraId="4FF7CFAC" w14:textId="77777777" w:rsidTr="00516218">
        <w:trPr>
          <w:trHeight w:val="249"/>
        </w:trPr>
        <w:tc>
          <w:tcPr>
            <w:tcW w:w="1306" w:type="pct"/>
            <w:noWrap/>
            <w:hideMark/>
          </w:tcPr>
          <w:p w14:paraId="56872141"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19139F78" w14:textId="6D94621D"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A</w:t>
            </w:r>
            <w:r w:rsidR="00516218" w:rsidRPr="00B6152C">
              <w:rPr>
                <w:rFonts w:eastAsia="Times New Roman" w:cstheme="minorHAnsi"/>
                <w:color w:val="000000"/>
                <w:sz w:val="20"/>
                <w:szCs w:val="20"/>
                <w:lang w:eastAsia="fr-BE"/>
              </w:rPr>
              <w:t>bstrait</w:t>
            </w:r>
          </w:p>
        </w:tc>
        <w:tc>
          <w:tcPr>
            <w:tcW w:w="1306" w:type="pct"/>
            <w:noWrap/>
            <w:hideMark/>
          </w:tcPr>
          <w:p w14:paraId="20D984CE"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53C88DE1" w14:textId="1E21532C"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Ti</w:t>
            </w:r>
            <w:r w:rsidR="00516218" w:rsidRPr="00B6152C">
              <w:rPr>
                <w:rFonts w:eastAsia="Times New Roman" w:cstheme="minorHAnsi"/>
                <w:color w:val="000000"/>
                <w:sz w:val="20"/>
                <w:szCs w:val="20"/>
                <w:lang w:eastAsia="fr-BE"/>
              </w:rPr>
              <w:t>ntement</w:t>
            </w:r>
          </w:p>
        </w:tc>
      </w:tr>
      <w:tr w:rsidR="00516218" w:rsidRPr="00B6152C" w14:paraId="4C8F5F8C" w14:textId="77777777" w:rsidTr="00516218">
        <w:trPr>
          <w:trHeight w:val="249"/>
        </w:trPr>
        <w:tc>
          <w:tcPr>
            <w:tcW w:w="1306" w:type="pct"/>
            <w:noWrap/>
            <w:hideMark/>
          </w:tcPr>
          <w:p w14:paraId="70E6D8A4"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6311FFA4" w14:textId="354D466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T</w:t>
            </w:r>
            <w:r w:rsidR="00516218" w:rsidRPr="00B6152C">
              <w:rPr>
                <w:rFonts w:eastAsia="Times New Roman" w:cstheme="minorHAnsi"/>
                <w:color w:val="000000"/>
                <w:sz w:val="20"/>
                <w:szCs w:val="20"/>
                <w:lang w:eastAsia="fr-BE"/>
              </w:rPr>
              <w:t>ourneur</w:t>
            </w:r>
          </w:p>
        </w:tc>
        <w:tc>
          <w:tcPr>
            <w:tcW w:w="1306" w:type="pct"/>
            <w:noWrap/>
            <w:hideMark/>
          </w:tcPr>
          <w:p w14:paraId="44891E5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5B5E527D" w14:textId="00C7871C"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C</w:t>
            </w:r>
            <w:r w:rsidR="00516218" w:rsidRPr="00B6152C">
              <w:rPr>
                <w:rFonts w:eastAsia="Times New Roman" w:cstheme="minorHAnsi"/>
                <w:color w:val="000000"/>
                <w:sz w:val="20"/>
                <w:szCs w:val="20"/>
                <w:lang w:eastAsia="fr-BE"/>
              </w:rPr>
              <w:t>ommode</w:t>
            </w:r>
          </w:p>
        </w:tc>
      </w:tr>
      <w:tr w:rsidR="00516218" w:rsidRPr="00B6152C" w14:paraId="27232EE2" w14:textId="77777777" w:rsidTr="00516218">
        <w:trPr>
          <w:trHeight w:val="249"/>
        </w:trPr>
        <w:tc>
          <w:tcPr>
            <w:tcW w:w="1306" w:type="pct"/>
            <w:noWrap/>
            <w:hideMark/>
          </w:tcPr>
          <w:p w14:paraId="33516B6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55923DAF" w14:textId="4E9A5F6E"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D</w:t>
            </w:r>
            <w:r w:rsidR="00516218" w:rsidRPr="00B6152C">
              <w:rPr>
                <w:rFonts w:eastAsia="Times New Roman" w:cstheme="minorHAnsi"/>
                <w:color w:val="000000"/>
                <w:sz w:val="20"/>
                <w:szCs w:val="20"/>
                <w:lang w:eastAsia="fr-BE"/>
              </w:rPr>
              <w:t>rainage</w:t>
            </w:r>
          </w:p>
        </w:tc>
        <w:tc>
          <w:tcPr>
            <w:tcW w:w="1306" w:type="pct"/>
            <w:noWrap/>
            <w:hideMark/>
          </w:tcPr>
          <w:p w14:paraId="665558A9"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73372F6C" w14:textId="140B7F7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artie</w:t>
            </w:r>
          </w:p>
        </w:tc>
      </w:tr>
      <w:tr w:rsidR="00516218" w:rsidRPr="00B6152C" w14:paraId="52ED0EB8" w14:textId="77777777" w:rsidTr="00516218">
        <w:trPr>
          <w:trHeight w:val="249"/>
        </w:trPr>
        <w:tc>
          <w:tcPr>
            <w:tcW w:w="1306" w:type="pct"/>
            <w:noWrap/>
            <w:hideMark/>
          </w:tcPr>
          <w:p w14:paraId="0BCA5644"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6C5C3116" w14:textId="62D6DEF7"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B</w:t>
            </w:r>
            <w:r w:rsidR="00516218" w:rsidRPr="00B6152C">
              <w:rPr>
                <w:rFonts w:eastAsia="Times New Roman" w:cstheme="minorHAnsi"/>
                <w:color w:val="000000"/>
                <w:sz w:val="20"/>
                <w:szCs w:val="20"/>
                <w:lang w:eastAsia="fr-BE"/>
              </w:rPr>
              <w:t>rillant</w:t>
            </w:r>
          </w:p>
        </w:tc>
        <w:tc>
          <w:tcPr>
            <w:tcW w:w="1306" w:type="pct"/>
            <w:noWrap/>
            <w:hideMark/>
          </w:tcPr>
          <w:p w14:paraId="27D416A6"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0E75A950" w14:textId="7CB555C1"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R</w:t>
            </w:r>
            <w:r w:rsidR="00516218" w:rsidRPr="00B6152C">
              <w:rPr>
                <w:rFonts w:eastAsia="Times New Roman" w:cstheme="minorHAnsi"/>
                <w:color w:val="000000"/>
                <w:sz w:val="20"/>
                <w:szCs w:val="20"/>
                <w:lang w:eastAsia="fr-BE"/>
              </w:rPr>
              <w:t>adis</w:t>
            </w:r>
          </w:p>
        </w:tc>
      </w:tr>
      <w:tr w:rsidR="00516218" w:rsidRPr="00B6152C" w14:paraId="0CA94910" w14:textId="77777777" w:rsidTr="00516218">
        <w:trPr>
          <w:trHeight w:val="249"/>
        </w:trPr>
        <w:tc>
          <w:tcPr>
            <w:tcW w:w="1306" w:type="pct"/>
            <w:noWrap/>
            <w:hideMark/>
          </w:tcPr>
          <w:p w14:paraId="6B5A8C9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0BCFB42E" w14:textId="4614D6C2"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ingre</w:t>
            </w:r>
          </w:p>
        </w:tc>
        <w:tc>
          <w:tcPr>
            <w:tcW w:w="1306" w:type="pct"/>
            <w:noWrap/>
            <w:hideMark/>
          </w:tcPr>
          <w:p w14:paraId="3A3FF4F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42A69B86" w14:textId="66642ABE"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R</w:t>
            </w:r>
            <w:r w:rsidR="00516218" w:rsidRPr="00B6152C">
              <w:rPr>
                <w:rFonts w:eastAsia="Times New Roman" w:cstheme="minorHAnsi"/>
                <w:color w:val="000000"/>
                <w:sz w:val="20"/>
                <w:szCs w:val="20"/>
                <w:lang w:eastAsia="fr-BE"/>
              </w:rPr>
              <w:t>ocheuse</w:t>
            </w:r>
          </w:p>
        </w:tc>
      </w:tr>
      <w:tr w:rsidR="00516218" w:rsidRPr="00B6152C" w14:paraId="0221D4BB" w14:textId="77777777" w:rsidTr="00516218">
        <w:trPr>
          <w:trHeight w:val="249"/>
        </w:trPr>
        <w:tc>
          <w:tcPr>
            <w:tcW w:w="1306" w:type="pct"/>
            <w:noWrap/>
            <w:hideMark/>
          </w:tcPr>
          <w:p w14:paraId="5564951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0EB7BE77" w14:textId="42C74D5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C</w:t>
            </w:r>
            <w:r w:rsidR="00516218" w:rsidRPr="00B6152C">
              <w:rPr>
                <w:rFonts w:eastAsia="Times New Roman" w:cstheme="minorHAnsi"/>
                <w:color w:val="000000"/>
                <w:sz w:val="20"/>
                <w:szCs w:val="20"/>
                <w:lang w:eastAsia="fr-BE"/>
              </w:rPr>
              <w:t>arpette</w:t>
            </w:r>
          </w:p>
        </w:tc>
        <w:tc>
          <w:tcPr>
            <w:tcW w:w="1306" w:type="pct"/>
            <w:noWrap/>
            <w:hideMark/>
          </w:tcPr>
          <w:p w14:paraId="3A12966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76219A1A" w14:textId="4C312F5B"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irate</w:t>
            </w:r>
          </w:p>
        </w:tc>
      </w:tr>
      <w:tr w:rsidR="00516218" w:rsidRPr="00B6152C" w14:paraId="20BF4CC5" w14:textId="77777777" w:rsidTr="00516218">
        <w:trPr>
          <w:trHeight w:val="249"/>
        </w:trPr>
        <w:tc>
          <w:tcPr>
            <w:tcW w:w="1306" w:type="pct"/>
            <w:noWrap/>
            <w:hideMark/>
          </w:tcPr>
          <w:p w14:paraId="66EAB20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54BC4A7A" w14:textId="5337F44E"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P</w:t>
            </w:r>
            <w:r w:rsidR="00516218" w:rsidRPr="00B6152C">
              <w:rPr>
                <w:rFonts w:eastAsia="Times New Roman" w:cstheme="minorHAnsi"/>
                <w:color w:val="000000"/>
                <w:sz w:val="20"/>
                <w:szCs w:val="20"/>
                <w:lang w:eastAsia="fr-BE"/>
              </w:rPr>
              <w:t>apier</w:t>
            </w:r>
          </w:p>
        </w:tc>
        <w:tc>
          <w:tcPr>
            <w:tcW w:w="1306" w:type="pct"/>
            <w:noWrap/>
            <w:hideMark/>
          </w:tcPr>
          <w:p w14:paraId="568200F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546AD020" w14:textId="07A20821"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G</w:t>
            </w:r>
            <w:r w:rsidR="00516218" w:rsidRPr="00B6152C">
              <w:rPr>
                <w:rFonts w:eastAsia="Times New Roman" w:cstheme="minorHAnsi"/>
                <w:color w:val="000000"/>
                <w:sz w:val="20"/>
                <w:szCs w:val="20"/>
                <w:lang w:eastAsia="fr-BE"/>
              </w:rPr>
              <w:t>agnant</w:t>
            </w:r>
          </w:p>
        </w:tc>
      </w:tr>
      <w:tr w:rsidR="00516218" w:rsidRPr="00B6152C" w14:paraId="1BC12015" w14:textId="77777777" w:rsidTr="00516218">
        <w:trPr>
          <w:trHeight w:val="249"/>
        </w:trPr>
        <w:tc>
          <w:tcPr>
            <w:tcW w:w="1306" w:type="pct"/>
            <w:noWrap/>
            <w:hideMark/>
          </w:tcPr>
          <w:p w14:paraId="65F0DFAE"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64C2064D" w14:textId="4BF92A16"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C</w:t>
            </w:r>
            <w:r w:rsidR="00516218" w:rsidRPr="00B6152C">
              <w:rPr>
                <w:rFonts w:eastAsia="Times New Roman" w:cstheme="minorHAnsi"/>
                <w:color w:val="000000"/>
                <w:sz w:val="20"/>
                <w:szCs w:val="20"/>
                <w:lang w:eastAsia="fr-BE"/>
              </w:rPr>
              <w:t>hipie</w:t>
            </w:r>
          </w:p>
        </w:tc>
        <w:tc>
          <w:tcPr>
            <w:tcW w:w="1306" w:type="pct"/>
            <w:noWrap/>
            <w:hideMark/>
          </w:tcPr>
          <w:p w14:paraId="0278ADF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6AB7799B" w14:textId="2528BFC6"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E</w:t>
            </w:r>
            <w:r w:rsidR="00516218" w:rsidRPr="00B6152C">
              <w:rPr>
                <w:rFonts w:eastAsia="Times New Roman" w:cstheme="minorHAnsi"/>
                <w:color w:val="000000"/>
                <w:sz w:val="20"/>
                <w:szCs w:val="20"/>
                <w:lang w:eastAsia="fr-BE"/>
              </w:rPr>
              <w:t>sbroufe</w:t>
            </w:r>
          </w:p>
        </w:tc>
      </w:tr>
      <w:tr w:rsidR="00516218" w:rsidRPr="00B6152C" w14:paraId="2CBB94D7" w14:textId="77777777" w:rsidTr="00516218">
        <w:trPr>
          <w:trHeight w:val="249"/>
        </w:trPr>
        <w:tc>
          <w:tcPr>
            <w:tcW w:w="1306" w:type="pct"/>
            <w:noWrap/>
            <w:hideMark/>
          </w:tcPr>
          <w:p w14:paraId="5AF877E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091CD48E" w14:textId="2661C17D"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Si</w:t>
            </w:r>
            <w:r w:rsidR="00516218" w:rsidRPr="00B6152C">
              <w:rPr>
                <w:rFonts w:eastAsia="Times New Roman" w:cstheme="minorHAnsi"/>
                <w:color w:val="000000"/>
                <w:sz w:val="20"/>
                <w:szCs w:val="20"/>
                <w:lang w:eastAsia="fr-BE"/>
              </w:rPr>
              <w:t>gle</w:t>
            </w:r>
          </w:p>
        </w:tc>
        <w:tc>
          <w:tcPr>
            <w:tcW w:w="1306" w:type="pct"/>
            <w:noWrap/>
            <w:hideMark/>
          </w:tcPr>
          <w:p w14:paraId="3212F3D3"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1C20ADE3" w14:textId="0BAF2700"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O</w:t>
            </w:r>
            <w:r w:rsidR="00516218" w:rsidRPr="00B6152C">
              <w:rPr>
                <w:rFonts w:eastAsia="Times New Roman" w:cstheme="minorHAnsi"/>
                <w:color w:val="000000"/>
                <w:sz w:val="20"/>
                <w:szCs w:val="20"/>
                <w:lang w:eastAsia="fr-BE"/>
              </w:rPr>
              <w:t>sselet</w:t>
            </w:r>
          </w:p>
        </w:tc>
      </w:tr>
      <w:tr w:rsidR="00516218" w:rsidRPr="00B6152C" w14:paraId="6F05B740" w14:textId="77777777" w:rsidTr="00516218">
        <w:trPr>
          <w:trHeight w:val="249"/>
        </w:trPr>
        <w:tc>
          <w:tcPr>
            <w:tcW w:w="1306" w:type="pct"/>
            <w:noWrap/>
            <w:hideMark/>
          </w:tcPr>
          <w:p w14:paraId="3349B88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2E37C96A" w14:textId="71D71F56"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U</w:t>
            </w:r>
            <w:r w:rsidR="00516218" w:rsidRPr="00B6152C">
              <w:rPr>
                <w:rFonts w:eastAsia="Times New Roman" w:cstheme="minorHAnsi"/>
                <w:color w:val="000000"/>
                <w:sz w:val="20"/>
                <w:szCs w:val="20"/>
                <w:lang w:eastAsia="fr-BE"/>
              </w:rPr>
              <w:t>rger</w:t>
            </w:r>
          </w:p>
        </w:tc>
        <w:tc>
          <w:tcPr>
            <w:tcW w:w="1306" w:type="pct"/>
            <w:noWrap/>
            <w:hideMark/>
          </w:tcPr>
          <w:p w14:paraId="2D36A2D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241259A4" w14:textId="691CE348"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G</w:t>
            </w:r>
            <w:r w:rsidR="00516218" w:rsidRPr="00B6152C">
              <w:rPr>
                <w:rFonts w:eastAsia="Times New Roman" w:cstheme="minorHAnsi"/>
                <w:color w:val="000000"/>
                <w:sz w:val="20"/>
                <w:szCs w:val="20"/>
                <w:lang w:eastAsia="fr-BE"/>
              </w:rPr>
              <w:t>adoue</w:t>
            </w:r>
          </w:p>
        </w:tc>
      </w:tr>
      <w:tr w:rsidR="00516218" w:rsidRPr="00B6152C" w14:paraId="0FF8E536" w14:textId="77777777" w:rsidTr="00516218">
        <w:trPr>
          <w:trHeight w:val="249"/>
        </w:trPr>
        <w:tc>
          <w:tcPr>
            <w:tcW w:w="1306" w:type="pct"/>
            <w:noWrap/>
            <w:hideMark/>
          </w:tcPr>
          <w:p w14:paraId="495407D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236" w:type="pct"/>
            <w:noWrap/>
            <w:hideMark/>
          </w:tcPr>
          <w:p w14:paraId="37BC9041" w14:textId="1BFCA376"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L</w:t>
            </w:r>
            <w:r w:rsidR="00516218" w:rsidRPr="00B6152C">
              <w:rPr>
                <w:rFonts w:eastAsia="Times New Roman" w:cstheme="minorHAnsi"/>
                <w:color w:val="000000"/>
                <w:sz w:val="20"/>
                <w:szCs w:val="20"/>
                <w:lang w:eastAsia="fr-BE"/>
              </w:rPr>
              <w:t>otus</w:t>
            </w:r>
          </w:p>
        </w:tc>
        <w:tc>
          <w:tcPr>
            <w:tcW w:w="1306" w:type="pct"/>
            <w:noWrap/>
            <w:hideMark/>
          </w:tcPr>
          <w:p w14:paraId="57F6D159"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word</w:t>
            </w:r>
            <w:proofErr w:type="spellEnd"/>
          </w:p>
        </w:tc>
        <w:tc>
          <w:tcPr>
            <w:tcW w:w="1153" w:type="pct"/>
            <w:noWrap/>
            <w:hideMark/>
          </w:tcPr>
          <w:p w14:paraId="32CA24F7" w14:textId="2E0F7100" w:rsidR="00516218" w:rsidRPr="00B6152C" w:rsidRDefault="009B484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C</w:t>
            </w:r>
            <w:r w:rsidR="00516218" w:rsidRPr="00B6152C">
              <w:rPr>
                <w:rFonts w:eastAsia="Times New Roman" w:cstheme="minorHAnsi"/>
                <w:color w:val="000000"/>
                <w:sz w:val="20"/>
                <w:szCs w:val="20"/>
                <w:lang w:eastAsia="fr-BE"/>
              </w:rPr>
              <w:t>harade</w:t>
            </w:r>
          </w:p>
        </w:tc>
      </w:tr>
      <w:tr w:rsidR="00516218" w:rsidRPr="00B6152C" w14:paraId="118DB1C2" w14:textId="77777777" w:rsidTr="00516218">
        <w:trPr>
          <w:trHeight w:val="249"/>
        </w:trPr>
        <w:tc>
          <w:tcPr>
            <w:tcW w:w="1306" w:type="pct"/>
            <w:noWrap/>
            <w:hideMark/>
          </w:tcPr>
          <w:p w14:paraId="5A7DF50C"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2D2EC28C"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Fuznuv</w:t>
            </w:r>
            <w:proofErr w:type="spellEnd"/>
          </w:p>
        </w:tc>
        <w:tc>
          <w:tcPr>
            <w:tcW w:w="1306" w:type="pct"/>
            <w:noWrap/>
            <w:hideMark/>
          </w:tcPr>
          <w:p w14:paraId="75EA51F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3958750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Nobzob</w:t>
            </w:r>
            <w:proofErr w:type="spellEnd"/>
          </w:p>
        </w:tc>
      </w:tr>
      <w:tr w:rsidR="00516218" w:rsidRPr="00B6152C" w14:paraId="50701D85" w14:textId="77777777" w:rsidTr="00516218">
        <w:trPr>
          <w:trHeight w:val="249"/>
        </w:trPr>
        <w:tc>
          <w:tcPr>
            <w:tcW w:w="1306" w:type="pct"/>
            <w:noWrap/>
            <w:hideMark/>
          </w:tcPr>
          <w:p w14:paraId="03E925C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225A6BD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Chodfang</w:t>
            </w:r>
            <w:proofErr w:type="spellEnd"/>
          </w:p>
        </w:tc>
        <w:tc>
          <w:tcPr>
            <w:tcW w:w="1306" w:type="pct"/>
            <w:noWrap/>
            <w:hideMark/>
          </w:tcPr>
          <w:p w14:paraId="01E8650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4B77DD4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Mizgnob</w:t>
            </w:r>
            <w:proofErr w:type="spellEnd"/>
          </w:p>
        </w:tc>
      </w:tr>
      <w:tr w:rsidR="00516218" w:rsidRPr="00B6152C" w14:paraId="5F53A177" w14:textId="77777777" w:rsidTr="00516218">
        <w:trPr>
          <w:trHeight w:val="249"/>
        </w:trPr>
        <w:tc>
          <w:tcPr>
            <w:tcW w:w="1306" w:type="pct"/>
            <w:noWrap/>
            <w:hideMark/>
          </w:tcPr>
          <w:p w14:paraId="7829616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68B0123"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Chubtug</w:t>
            </w:r>
            <w:proofErr w:type="spellEnd"/>
          </w:p>
        </w:tc>
        <w:tc>
          <w:tcPr>
            <w:tcW w:w="1306" w:type="pct"/>
            <w:noWrap/>
            <w:hideMark/>
          </w:tcPr>
          <w:p w14:paraId="7DB78FA0"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60DED4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Lumduz</w:t>
            </w:r>
            <w:proofErr w:type="spellEnd"/>
          </w:p>
        </w:tc>
      </w:tr>
      <w:tr w:rsidR="00516218" w:rsidRPr="00B6152C" w14:paraId="665F3B1B" w14:textId="77777777" w:rsidTr="00516218">
        <w:trPr>
          <w:trHeight w:val="249"/>
        </w:trPr>
        <w:tc>
          <w:tcPr>
            <w:tcW w:w="1306" w:type="pct"/>
            <w:noWrap/>
            <w:hideMark/>
          </w:tcPr>
          <w:p w14:paraId="26663DA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3B5901D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Kêpboeug</w:t>
            </w:r>
            <w:proofErr w:type="spellEnd"/>
          </w:p>
        </w:tc>
        <w:tc>
          <w:tcPr>
            <w:tcW w:w="1306" w:type="pct"/>
            <w:noWrap/>
            <w:hideMark/>
          </w:tcPr>
          <w:p w14:paraId="60A7A550"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1A7DC79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Kanfoeub</w:t>
            </w:r>
            <w:proofErr w:type="spellEnd"/>
          </w:p>
        </w:tc>
      </w:tr>
      <w:tr w:rsidR="00516218" w:rsidRPr="00B6152C" w14:paraId="77373D2F" w14:textId="77777777" w:rsidTr="00516218">
        <w:trPr>
          <w:trHeight w:val="249"/>
        </w:trPr>
        <w:tc>
          <w:tcPr>
            <w:tcW w:w="1306" w:type="pct"/>
            <w:noWrap/>
            <w:hideMark/>
          </w:tcPr>
          <w:p w14:paraId="6E6B64A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29025A4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Kêpbub</w:t>
            </w:r>
            <w:proofErr w:type="spellEnd"/>
          </w:p>
        </w:tc>
        <w:tc>
          <w:tcPr>
            <w:tcW w:w="1306" w:type="pct"/>
            <w:noWrap/>
            <w:hideMark/>
          </w:tcPr>
          <w:p w14:paraId="5A4F15C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27049E3C"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Ruvvov</w:t>
            </w:r>
            <w:proofErr w:type="spellEnd"/>
          </w:p>
        </w:tc>
      </w:tr>
      <w:tr w:rsidR="00516218" w:rsidRPr="00B6152C" w14:paraId="62282777" w14:textId="77777777" w:rsidTr="00516218">
        <w:trPr>
          <w:trHeight w:val="249"/>
        </w:trPr>
        <w:tc>
          <w:tcPr>
            <w:tcW w:w="1306" w:type="pct"/>
            <w:noWrap/>
            <w:hideMark/>
          </w:tcPr>
          <w:p w14:paraId="1D3328AA"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4EABCD8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Rainzkêg</w:t>
            </w:r>
            <w:proofErr w:type="spellEnd"/>
          </w:p>
        </w:tc>
        <w:tc>
          <w:tcPr>
            <w:tcW w:w="1306" w:type="pct"/>
            <w:noWrap/>
            <w:hideMark/>
          </w:tcPr>
          <w:p w14:paraId="2FF7E692"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5455298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Punbtonr</w:t>
            </w:r>
            <w:proofErr w:type="spellEnd"/>
          </w:p>
        </w:tc>
      </w:tr>
      <w:tr w:rsidR="00516218" w:rsidRPr="00B6152C" w14:paraId="646135A7" w14:textId="77777777" w:rsidTr="00516218">
        <w:trPr>
          <w:trHeight w:val="249"/>
        </w:trPr>
        <w:tc>
          <w:tcPr>
            <w:tcW w:w="1306" w:type="pct"/>
            <w:noWrap/>
            <w:hideMark/>
          </w:tcPr>
          <w:p w14:paraId="397EFC3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579F7B3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Lunsdainb</w:t>
            </w:r>
            <w:proofErr w:type="spellEnd"/>
          </w:p>
        </w:tc>
        <w:tc>
          <w:tcPr>
            <w:tcW w:w="1306" w:type="pct"/>
            <w:noWrap/>
            <w:hideMark/>
          </w:tcPr>
          <w:p w14:paraId="1C47AD27"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4CA6A6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Mubtaing</w:t>
            </w:r>
            <w:proofErr w:type="spellEnd"/>
          </w:p>
        </w:tc>
      </w:tr>
      <w:tr w:rsidR="00516218" w:rsidRPr="00B6152C" w14:paraId="627B9F6B" w14:textId="77777777" w:rsidTr="00516218">
        <w:trPr>
          <w:trHeight w:val="249"/>
        </w:trPr>
        <w:tc>
          <w:tcPr>
            <w:tcW w:w="1306" w:type="pct"/>
            <w:noWrap/>
            <w:hideMark/>
          </w:tcPr>
          <w:p w14:paraId="00543D0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3AB53A7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Kungzonne</w:t>
            </w:r>
            <w:proofErr w:type="spellEnd"/>
          </w:p>
        </w:tc>
        <w:tc>
          <w:tcPr>
            <w:tcW w:w="1306" w:type="pct"/>
            <w:noWrap/>
            <w:hideMark/>
          </w:tcPr>
          <w:p w14:paraId="558FA3D1"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28C7BF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Dagnerun</w:t>
            </w:r>
            <w:proofErr w:type="spellEnd"/>
          </w:p>
        </w:tc>
      </w:tr>
      <w:tr w:rsidR="00516218" w:rsidRPr="00B6152C" w14:paraId="7B620F46" w14:textId="77777777" w:rsidTr="00516218">
        <w:trPr>
          <w:trHeight w:val="249"/>
        </w:trPr>
        <w:tc>
          <w:tcPr>
            <w:tcW w:w="1306" w:type="pct"/>
            <w:noWrap/>
            <w:hideMark/>
          </w:tcPr>
          <w:p w14:paraId="3B9FC808"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BC9A48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Tonznoz</w:t>
            </w:r>
            <w:proofErr w:type="spellEnd"/>
          </w:p>
        </w:tc>
        <w:tc>
          <w:tcPr>
            <w:tcW w:w="1306" w:type="pct"/>
            <w:noWrap/>
            <w:hideMark/>
          </w:tcPr>
          <w:p w14:paraId="01BAF0F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7BBC219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Chobchyf</w:t>
            </w:r>
            <w:proofErr w:type="spellEnd"/>
          </w:p>
        </w:tc>
      </w:tr>
      <w:tr w:rsidR="00516218" w:rsidRPr="00B6152C" w14:paraId="42AB0C44" w14:textId="77777777" w:rsidTr="00516218">
        <w:trPr>
          <w:trHeight w:val="249"/>
        </w:trPr>
        <w:tc>
          <w:tcPr>
            <w:tcW w:w="1306" w:type="pct"/>
            <w:noWrap/>
            <w:hideMark/>
          </w:tcPr>
          <w:p w14:paraId="7BF0EAC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46C12A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zunpanb</w:t>
            </w:r>
            <w:proofErr w:type="spellEnd"/>
          </w:p>
        </w:tc>
        <w:tc>
          <w:tcPr>
            <w:tcW w:w="1306" w:type="pct"/>
            <w:noWrap/>
            <w:hideMark/>
          </w:tcPr>
          <w:p w14:paraId="2115B28C"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586F58B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Pozpanm</w:t>
            </w:r>
            <w:proofErr w:type="spellEnd"/>
          </w:p>
        </w:tc>
      </w:tr>
      <w:tr w:rsidR="00516218" w:rsidRPr="00B6152C" w14:paraId="1A8E496B" w14:textId="77777777" w:rsidTr="00516218">
        <w:trPr>
          <w:trHeight w:val="249"/>
        </w:trPr>
        <w:tc>
          <w:tcPr>
            <w:tcW w:w="1306" w:type="pct"/>
            <w:noWrap/>
            <w:hideMark/>
          </w:tcPr>
          <w:p w14:paraId="370277DA"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4BCB64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Lofpainb</w:t>
            </w:r>
            <w:proofErr w:type="spellEnd"/>
          </w:p>
        </w:tc>
        <w:tc>
          <w:tcPr>
            <w:tcW w:w="1306" w:type="pct"/>
            <w:noWrap/>
            <w:hideMark/>
          </w:tcPr>
          <w:p w14:paraId="06AA3BC2"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4BC33327"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Fummuv</w:t>
            </w:r>
            <w:proofErr w:type="spellEnd"/>
          </w:p>
        </w:tc>
      </w:tr>
      <w:tr w:rsidR="00516218" w:rsidRPr="00B6152C" w14:paraId="15BB705F" w14:textId="77777777" w:rsidTr="00516218">
        <w:trPr>
          <w:trHeight w:val="249"/>
        </w:trPr>
        <w:tc>
          <w:tcPr>
            <w:tcW w:w="1306" w:type="pct"/>
            <w:noWrap/>
            <w:hideMark/>
          </w:tcPr>
          <w:p w14:paraId="5FA3571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18505F81"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Kogzaf</w:t>
            </w:r>
            <w:proofErr w:type="spellEnd"/>
          </w:p>
        </w:tc>
        <w:tc>
          <w:tcPr>
            <w:tcW w:w="1306" w:type="pct"/>
            <w:noWrap/>
            <w:hideMark/>
          </w:tcPr>
          <w:p w14:paraId="5E6C850B"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438E52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Ronbronb</w:t>
            </w:r>
            <w:proofErr w:type="spellEnd"/>
          </w:p>
        </w:tc>
      </w:tr>
      <w:tr w:rsidR="00516218" w:rsidRPr="00B6152C" w14:paraId="113876BF" w14:textId="77777777" w:rsidTr="00516218">
        <w:trPr>
          <w:trHeight w:val="249"/>
        </w:trPr>
        <w:tc>
          <w:tcPr>
            <w:tcW w:w="1306" w:type="pct"/>
            <w:noWrap/>
            <w:hideMark/>
          </w:tcPr>
          <w:p w14:paraId="52D29B44"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49B66B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Munzdunm</w:t>
            </w:r>
            <w:proofErr w:type="spellEnd"/>
          </w:p>
        </w:tc>
        <w:tc>
          <w:tcPr>
            <w:tcW w:w="1306" w:type="pct"/>
            <w:noWrap/>
            <w:hideMark/>
          </w:tcPr>
          <w:p w14:paraId="08C0E46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6B0746E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Muffanp</w:t>
            </w:r>
            <w:proofErr w:type="spellEnd"/>
          </w:p>
        </w:tc>
      </w:tr>
      <w:tr w:rsidR="00516218" w:rsidRPr="00B6152C" w14:paraId="10E7884F" w14:textId="77777777" w:rsidTr="00516218">
        <w:trPr>
          <w:trHeight w:val="249"/>
        </w:trPr>
        <w:tc>
          <w:tcPr>
            <w:tcW w:w="1306" w:type="pct"/>
            <w:noWrap/>
            <w:hideMark/>
          </w:tcPr>
          <w:p w14:paraId="3E303B0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5B564E5E"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Gofsoeub</w:t>
            </w:r>
            <w:proofErr w:type="spellEnd"/>
          </w:p>
        </w:tc>
        <w:tc>
          <w:tcPr>
            <w:tcW w:w="1306" w:type="pct"/>
            <w:noWrap/>
            <w:hideMark/>
          </w:tcPr>
          <w:p w14:paraId="19095487"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15FC737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Dunbzod</w:t>
            </w:r>
            <w:proofErr w:type="spellEnd"/>
          </w:p>
        </w:tc>
      </w:tr>
      <w:tr w:rsidR="00516218" w:rsidRPr="00B6152C" w14:paraId="29AD093E" w14:textId="77777777" w:rsidTr="00516218">
        <w:trPr>
          <w:trHeight w:val="249"/>
        </w:trPr>
        <w:tc>
          <w:tcPr>
            <w:tcW w:w="1306" w:type="pct"/>
            <w:noWrap/>
            <w:hideMark/>
          </w:tcPr>
          <w:p w14:paraId="1D6508E1"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481272D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Poemduk</w:t>
            </w:r>
            <w:proofErr w:type="spellEnd"/>
          </w:p>
        </w:tc>
        <w:tc>
          <w:tcPr>
            <w:tcW w:w="1306" w:type="pct"/>
            <w:noWrap/>
            <w:hideMark/>
          </w:tcPr>
          <w:p w14:paraId="06CC4015"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64C30BE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Vonllug</w:t>
            </w:r>
            <w:proofErr w:type="spellEnd"/>
          </w:p>
        </w:tc>
      </w:tr>
      <w:tr w:rsidR="00516218" w:rsidRPr="00B6152C" w14:paraId="780950B2" w14:textId="77777777" w:rsidTr="00516218">
        <w:trPr>
          <w:trHeight w:val="249"/>
        </w:trPr>
        <w:tc>
          <w:tcPr>
            <w:tcW w:w="1306" w:type="pct"/>
            <w:noWrap/>
            <w:hideMark/>
          </w:tcPr>
          <w:p w14:paraId="6E486550"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A63AD7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Rozfryed</w:t>
            </w:r>
            <w:proofErr w:type="spellEnd"/>
          </w:p>
        </w:tc>
        <w:tc>
          <w:tcPr>
            <w:tcW w:w="1306" w:type="pct"/>
            <w:noWrap/>
            <w:hideMark/>
          </w:tcPr>
          <w:p w14:paraId="0D0199C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LF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1176077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Vetsuicf</w:t>
            </w:r>
            <w:proofErr w:type="spellEnd"/>
          </w:p>
        </w:tc>
      </w:tr>
      <w:tr w:rsidR="00516218" w:rsidRPr="00B6152C" w14:paraId="376ADD7D" w14:textId="77777777" w:rsidTr="00516218">
        <w:trPr>
          <w:trHeight w:val="249"/>
        </w:trPr>
        <w:tc>
          <w:tcPr>
            <w:tcW w:w="1306" w:type="pct"/>
            <w:noWrap/>
            <w:hideMark/>
          </w:tcPr>
          <w:p w14:paraId="1869AF28"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297159FD"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Chamchaze</w:t>
            </w:r>
            <w:proofErr w:type="spellEnd"/>
          </w:p>
        </w:tc>
        <w:tc>
          <w:tcPr>
            <w:tcW w:w="1306" w:type="pct"/>
            <w:noWrap/>
            <w:hideMark/>
          </w:tcPr>
          <w:p w14:paraId="7C960B2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233806D5"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Cubtale</w:t>
            </w:r>
            <w:proofErr w:type="spellEnd"/>
          </w:p>
        </w:tc>
      </w:tr>
      <w:tr w:rsidR="00516218" w:rsidRPr="00B6152C" w14:paraId="3A3A34B9" w14:textId="77777777" w:rsidTr="00516218">
        <w:trPr>
          <w:trHeight w:val="249"/>
        </w:trPr>
        <w:tc>
          <w:tcPr>
            <w:tcW w:w="1306" w:type="pct"/>
            <w:noWrap/>
            <w:hideMark/>
          </w:tcPr>
          <w:p w14:paraId="19BFE286"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161E78C"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Komsar</w:t>
            </w:r>
            <w:proofErr w:type="spellEnd"/>
          </w:p>
        </w:tc>
        <w:tc>
          <w:tcPr>
            <w:tcW w:w="1306" w:type="pct"/>
            <w:noWrap/>
            <w:hideMark/>
          </w:tcPr>
          <w:p w14:paraId="53FCE0E4"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274C6E8F"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Fitsique</w:t>
            </w:r>
            <w:proofErr w:type="spellEnd"/>
          </w:p>
        </w:tc>
      </w:tr>
      <w:tr w:rsidR="00516218" w:rsidRPr="00B6152C" w14:paraId="1BA0C135" w14:textId="77777777" w:rsidTr="00516218">
        <w:trPr>
          <w:trHeight w:val="249"/>
        </w:trPr>
        <w:tc>
          <w:tcPr>
            <w:tcW w:w="1306" w:type="pct"/>
            <w:noWrap/>
            <w:hideMark/>
          </w:tcPr>
          <w:p w14:paraId="66056FB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99B25B4"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Lonchofe</w:t>
            </w:r>
            <w:proofErr w:type="spellEnd"/>
          </w:p>
        </w:tc>
        <w:tc>
          <w:tcPr>
            <w:tcW w:w="1306" w:type="pct"/>
            <w:noWrap/>
            <w:hideMark/>
          </w:tcPr>
          <w:p w14:paraId="5002580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4F73B0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Consgule</w:t>
            </w:r>
            <w:proofErr w:type="spellEnd"/>
          </w:p>
        </w:tc>
      </w:tr>
      <w:tr w:rsidR="00516218" w:rsidRPr="00B6152C" w14:paraId="12A4DB51" w14:textId="77777777" w:rsidTr="00516218">
        <w:trPr>
          <w:trHeight w:val="249"/>
        </w:trPr>
        <w:tc>
          <w:tcPr>
            <w:tcW w:w="1306" w:type="pct"/>
            <w:noWrap/>
            <w:hideMark/>
          </w:tcPr>
          <w:p w14:paraId="0120C82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1AC297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Zansbof</w:t>
            </w:r>
            <w:proofErr w:type="spellEnd"/>
          </w:p>
        </w:tc>
        <w:tc>
          <w:tcPr>
            <w:tcW w:w="1306" w:type="pct"/>
            <w:noWrap/>
            <w:hideMark/>
          </w:tcPr>
          <w:p w14:paraId="24C04A4C"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7FEF1927"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Romruque</w:t>
            </w:r>
            <w:proofErr w:type="spellEnd"/>
          </w:p>
        </w:tc>
      </w:tr>
      <w:tr w:rsidR="00516218" w:rsidRPr="00B6152C" w14:paraId="18EC2C3E" w14:textId="77777777" w:rsidTr="00516218">
        <w:trPr>
          <w:trHeight w:val="249"/>
        </w:trPr>
        <w:tc>
          <w:tcPr>
            <w:tcW w:w="1306" w:type="pct"/>
            <w:noWrap/>
            <w:hideMark/>
          </w:tcPr>
          <w:p w14:paraId="597E6680"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12F1F8E"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Badmafe</w:t>
            </w:r>
            <w:proofErr w:type="spellEnd"/>
          </w:p>
        </w:tc>
        <w:tc>
          <w:tcPr>
            <w:tcW w:w="1306" w:type="pct"/>
            <w:noWrap/>
            <w:hideMark/>
          </w:tcPr>
          <w:p w14:paraId="67DA695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410932BC"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Tidlive</w:t>
            </w:r>
            <w:proofErr w:type="spellEnd"/>
          </w:p>
        </w:tc>
      </w:tr>
      <w:tr w:rsidR="00516218" w:rsidRPr="00B6152C" w14:paraId="4962A259" w14:textId="77777777" w:rsidTr="00516218">
        <w:trPr>
          <w:trHeight w:val="249"/>
        </w:trPr>
        <w:tc>
          <w:tcPr>
            <w:tcW w:w="1306" w:type="pct"/>
            <w:noWrap/>
            <w:hideMark/>
          </w:tcPr>
          <w:p w14:paraId="376A071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799FAD09"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Pebmun</w:t>
            </w:r>
            <w:proofErr w:type="spellEnd"/>
          </w:p>
        </w:tc>
        <w:tc>
          <w:tcPr>
            <w:tcW w:w="1306" w:type="pct"/>
            <w:noWrap/>
            <w:hideMark/>
          </w:tcPr>
          <w:p w14:paraId="7DBE39B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5B9F117"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Sasale</w:t>
            </w:r>
            <w:proofErr w:type="spellEnd"/>
          </w:p>
        </w:tc>
      </w:tr>
      <w:tr w:rsidR="00516218" w:rsidRPr="00B6152C" w14:paraId="32F470DB" w14:textId="77777777" w:rsidTr="00516218">
        <w:trPr>
          <w:trHeight w:val="249"/>
        </w:trPr>
        <w:tc>
          <w:tcPr>
            <w:tcW w:w="1306" w:type="pct"/>
            <w:noWrap/>
            <w:hideMark/>
          </w:tcPr>
          <w:p w14:paraId="67FB0380"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23C2372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Chobtad</w:t>
            </w:r>
            <w:proofErr w:type="spellEnd"/>
          </w:p>
        </w:tc>
        <w:tc>
          <w:tcPr>
            <w:tcW w:w="1306" w:type="pct"/>
            <w:noWrap/>
            <w:hideMark/>
          </w:tcPr>
          <w:p w14:paraId="6CCB3526"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4AC2EC6A"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Podsule</w:t>
            </w:r>
            <w:proofErr w:type="spellEnd"/>
          </w:p>
        </w:tc>
      </w:tr>
      <w:tr w:rsidR="00516218" w:rsidRPr="00B6152C" w14:paraId="2F9C98C2" w14:textId="77777777" w:rsidTr="00516218">
        <w:trPr>
          <w:trHeight w:val="249"/>
        </w:trPr>
        <w:tc>
          <w:tcPr>
            <w:tcW w:w="1306" w:type="pct"/>
            <w:noWrap/>
            <w:hideMark/>
          </w:tcPr>
          <w:p w14:paraId="669A4CE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488662B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Cutfique</w:t>
            </w:r>
            <w:proofErr w:type="spellEnd"/>
          </w:p>
        </w:tc>
        <w:tc>
          <w:tcPr>
            <w:tcW w:w="1306" w:type="pct"/>
            <w:noWrap/>
            <w:hideMark/>
          </w:tcPr>
          <w:p w14:paraId="6684C90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F223D76"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Suslet</w:t>
            </w:r>
            <w:proofErr w:type="spellEnd"/>
          </w:p>
        </w:tc>
      </w:tr>
      <w:tr w:rsidR="00516218" w:rsidRPr="00B6152C" w14:paraId="14EE5DBB" w14:textId="77777777" w:rsidTr="00516218">
        <w:trPr>
          <w:trHeight w:val="249"/>
        </w:trPr>
        <w:tc>
          <w:tcPr>
            <w:tcW w:w="1306" w:type="pct"/>
            <w:noWrap/>
            <w:hideMark/>
          </w:tcPr>
          <w:p w14:paraId="259D097E"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1481F766"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Rêmsante</w:t>
            </w:r>
            <w:proofErr w:type="spellEnd"/>
          </w:p>
        </w:tc>
        <w:tc>
          <w:tcPr>
            <w:tcW w:w="1306" w:type="pct"/>
            <w:noWrap/>
            <w:hideMark/>
          </w:tcPr>
          <w:p w14:paraId="58FCC89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74A91097"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Vontibe</w:t>
            </w:r>
            <w:proofErr w:type="spellEnd"/>
          </w:p>
        </w:tc>
      </w:tr>
      <w:tr w:rsidR="00516218" w:rsidRPr="00B6152C" w14:paraId="0FE50D67" w14:textId="77777777" w:rsidTr="00516218">
        <w:trPr>
          <w:trHeight w:val="249"/>
        </w:trPr>
        <w:tc>
          <w:tcPr>
            <w:tcW w:w="1306" w:type="pct"/>
            <w:noWrap/>
            <w:hideMark/>
          </w:tcPr>
          <w:p w14:paraId="178E7F91"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50C08CB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Fêctime</w:t>
            </w:r>
            <w:proofErr w:type="spellEnd"/>
          </w:p>
        </w:tc>
        <w:tc>
          <w:tcPr>
            <w:tcW w:w="1306" w:type="pct"/>
            <w:noWrap/>
            <w:hideMark/>
          </w:tcPr>
          <w:p w14:paraId="05E3BE7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D0EE7F3"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Tobnaile</w:t>
            </w:r>
            <w:proofErr w:type="spellEnd"/>
          </w:p>
        </w:tc>
      </w:tr>
      <w:tr w:rsidR="00516218" w:rsidRPr="00B6152C" w14:paraId="43C4FFE1" w14:textId="77777777" w:rsidTr="00516218">
        <w:trPr>
          <w:trHeight w:val="249"/>
        </w:trPr>
        <w:tc>
          <w:tcPr>
            <w:tcW w:w="1306" w:type="pct"/>
            <w:noWrap/>
            <w:hideMark/>
          </w:tcPr>
          <w:p w14:paraId="613FDDC4"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A2B8EA1"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Cusbousse</w:t>
            </w:r>
            <w:proofErr w:type="spellEnd"/>
          </w:p>
        </w:tc>
        <w:tc>
          <w:tcPr>
            <w:tcW w:w="1306" w:type="pct"/>
            <w:noWrap/>
            <w:hideMark/>
          </w:tcPr>
          <w:p w14:paraId="240B9BF1"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6C6A4424"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Vancelab</w:t>
            </w:r>
            <w:proofErr w:type="spellEnd"/>
          </w:p>
        </w:tc>
      </w:tr>
      <w:tr w:rsidR="00516218" w:rsidRPr="00B6152C" w14:paraId="4D77774F" w14:textId="77777777" w:rsidTr="00516218">
        <w:trPr>
          <w:trHeight w:val="249"/>
        </w:trPr>
        <w:tc>
          <w:tcPr>
            <w:tcW w:w="1306" w:type="pct"/>
            <w:noWrap/>
            <w:hideMark/>
          </w:tcPr>
          <w:p w14:paraId="77993CAB"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4CB95578"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Guprove</w:t>
            </w:r>
            <w:proofErr w:type="spellEnd"/>
          </w:p>
        </w:tc>
        <w:tc>
          <w:tcPr>
            <w:tcW w:w="1306" w:type="pct"/>
            <w:noWrap/>
            <w:hideMark/>
          </w:tcPr>
          <w:p w14:paraId="7D10C56A"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07727822"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Vailrude</w:t>
            </w:r>
            <w:proofErr w:type="spellEnd"/>
          </w:p>
        </w:tc>
      </w:tr>
      <w:tr w:rsidR="00516218" w:rsidRPr="00B6152C" w14:paraId="66704DB4" w14:textId="77777777" w:rsidTr="00516218">
        <w:trPr>
          <w:trHeight w:val="249"/>
        </w:trPr>
        <w:tc>
          <w:tcPr>
            <w:tcW w:w="1306" w:type="pct"/>
            <w:noWrap/>
            <w:hideMark/>
          </w:tcPr>
          <w:p w14:paraId="7B28EC0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6BF4FDE6"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Mantise</w:t>
            </w:r>
            <w:proofErr w:type="spellEnd"/>
          </w:p>
        </w:tc>
        <w:tc>
          <w:tcPr>
            <w:tcW w:w="1306" w:type="pct"/>
            <w:noWrap/>
            <w:hideMark/>
          </w:tcPr>
          <w:p w14:paraId="30BD438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67D4B6A9"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Cancosse</w:t>
            </w:r>
            <w:proofErr w:type="spellEnd"/>
          </w:p>
        </w:tc>
      </w:tr>
      <w:tr w:rsidR="00516218" w:rsidRPr="00B6152C" w14:paraId="3B151F3F" w14:textId="77777777" w:rsidTr="00516218">
        <w:trPr>
          <w:trHeight w:val="249"/>
        </w:trPr>
        <w:tc>
          <w:tcPr>
            <w:tcW w:w="1306" w:type="pct"/>
            <w:noWrap/>
            <w:hideMark/>
          </w:tcPr>
          <w:p w14:paraId="7D61EA33"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30629160"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Rairnit</w:t>
            </w:r>
            <w:proofErr w:type="spellEnd"/>
          </w:p>
        </w:tc>
        <w:tc>
          <w:tcPr>
            <w:tcW w:w="1306" w:type="pct"/>
            <w:noWrap/>
            <w:hideMark/>
          </w:tcPr>
          <w:p w14:paraId="506FEA9D"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70886199"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Poquemet</w:t>
            </w:r>
            <w:proofErr w:type="spellEnd"/>
          </w:p>
        </w:tc>
      </w:tr>
      <w:tr w:rsidR="00516218" w:rsidRPr="00B6152C" w14:paraId="321AC4DD" w14:textId="77777777" w:rsidTr="00516218">
        <w:trPr>
          <w:trHeight w:val="249"/>
        </w:trPr>
        <w:tc>
          <w:tcPr>
            <w:tcW w:w="1306" w:type="pct"/>
            <w:noWrap/>
            <w:hideMark/>
          </w:tcPr>
          <w:p w14:paraId="345C86AF"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noWrap/>
            <w:hideMark/>
          </w:tcPr>
          <w:p w14:paraId="5CA7B666"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Duplur</w:t>
            </w:r>
            <w:proofErr w:type="spellEnd"/>
          </w:p>
        </w:tc>
        <w:tc>
          <w:tcPr>
            <w:tcW w:w="1306" w:type="pct"/>
            <w:noWrap/>
            <w:hideMark/>
          </w:tcPr>
          <w:p w14:paraId="290D4431"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noWrap/>
            <w:hideMark/>
          </w:tcPr>
          <w:p w14:paraId="7CFDDD2B"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Vacefofe</w:t>
            </w:r>
            <w:proofErr w:type="spellEnd"/>
          </w:p>
        </w:tc>
      </w:tr>
      <w:tr w:rsidR="00516218" w:rsidRPr="00516218" w14:paraId="5BDFBB2D" w14:textId="77777777" w:rsidTr="00516218">
        <w:trPr>
          <w:trHeight w:val="249"/>
        </w:trPr>
        <w:tc>
          <w:tcPr>
            <w:tcW w:w="1306" w:type="pct"/>
            <w:tcBorders>
              <w:bottom w:val="single" w:sz="4" w:space="0" w:color="auto"/>
            </w:tcBorders>
            <w:noWrap/>
            <w:hideMark/>
          </w:tcPr>
          <w:p w14:paraId="47FF3112"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236" w:type="pct"/>
            <w:tcBorders>
              <w:bottom w:val="single" w:sz="4" w:space="0" w:color="auto"/>
            </w:tcBorders>
            <w:noWrap/>
            <w:hideMark/>
          </w:tcPr>
          <w:p w14:paraId="240A50C3" w14:textId="77777777" w:rsidR="00516218" w:rsidRPr="00B6152C"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Beltil</w:t>
            </w:r>
            <w:proofErr w:type="spellEnd"/>
          </w:p>
        </w:tc>
        <w:tc>
          <w:tcPr>
            <w:tcW w:w="1306" w:type="pct"/>
            <w:tcBorders>
              <w:bottom w:val="single" w:sz="4" w:space="0" w:color="auto"/>
            </w:tcBorders>
            <w:noWrap/>
            <w:hideMark/>
          </w:tcPr>
          <w:p w14:paraId="3AC91EC9" w14:textId="77777777" w:rsidR="00516218" w:rsidRPr="00B6152C" w:rsidRDefault="00516218" w:rsidP="00B6152C">
            <w:pPr>
              <w:rPr>
                <w:rFonts w:eastAsia="Times New Roman" w:cstheme="minorHAnsi"/>
                <w:color w:val="000000"/>
                <w:sz w:val="20"/>
                <w:szCs w:val="20"/>
                <w:lang w:eastAsia="fr-BE"/>
              </w:rPr>
            </w:pPr>
            <w:r w:rsidRPr="00B6152C">
              <w:rPr>
                <w:rFonts w:eastAsia="Times New Roman" w:cstheme="minorHAnsi"/>
                <w:color w:val="000000"/>
                <w:sz w:val="20"/>
                <w:szCs w:val="20"/>
                <w:lang w:eastAsia="fr-BE"/>
              </w:rPr>
              <w:t xml:space="preserve">HF </w:t>
            </w:r>
            <w:proofErr w:type="spellStart"/>
            <w:r w:rsidRPr="00B6152C">
              <w:rPr>
                <w:rFonts w:eastAsia="Times New Roman" w:cstheme="minorHAnsi"/>
                <w:color w:val="000000"/>
                <w:sz w:val="20"/>
                <w:szCs w:val="20"/>
                <w:lang w:eastAsia="fr-BE"/>
              </w:rPr>
              <w:t>nonword</w:t>
            </w:r>
            <w:proofErr w:type="spellEnd"/>
          </w:p>
        </w:tc>
        <w:tc>
          <w:tcPr>
            <w:tcW w:w="1153" w:type="pct"/>
            <w:tcBorders>
              <w:bottom w:val="single" w:sz="4" w:space="0" w:color="auto"/>
            </w:tcBorders>
            <w:noWrap/>
            <w:hideMark/>
          </w:tcPr>
          <w:p w14:paraId="50AEC59B" w14:textId="77777777" w:rsidR="00516218" w:rsidRPr="00516218" w:rsidRDefault="00516218" w:rsidP="00B6152C">
            <w:pPr>
              <w:rPr>
                <w:rFonts w:eastAsia="Times New Roman" w:cstheme="minorHAnsi"/>
                <w:color w:val="000000"/>
                <w:sz w:val="20"/>
                <w:szCs w:val="20"/>
                <w:lang w:eastAsia="fr-BE"/>
              </w:rPr>
            </w:pPr>
            <w:proofErr w:type="spellStart"/>
            <w:r w:rsidRPr="00B6152C">
              <w:rPr>
                <w:rFonts w:eastAsia="Times New Roman" w:cstheme="minorHAnsi"/>
                <w:color w:val="000000"/>
                <w:sz w:val="20"/>
                <w:szCs w:val="20"/>
                <w:lang w:eastAsia="fr-BE"/>
              </w:rPr>
              <w:t>Valtrob</w:t>
            </w:r>
            <w:proofErr w:type="spellEnd"/>
          </w:p>
        </w:tc>
      </w:tr>
    </w:tbl>
    <w:p w14:paraId="0DADE50B" w14:textId="77777777" w:rsidR="00177449" w:rsidRPr="004F7253" w:rsidRDefault="00177449" w:rsidP="00B6152C">
      <w:pPr>
        <w:spacing w:line="240" w:lineRule="auto"/>
        <w:rPr>
          <w:lang w:val="en-US"/>
        </w:rPr>
      </w:pPr>
    </w:p>
    <w:sectPr w:rsidR="00177449" w:rsidRPr="004F725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15B4" w14:textId="77777777" w:rsidR="00E266B1" w:rsidRDefault="00E266B1" w:rsidP="009243DD">
      <w:pPr>
        <w:spacing w:after="0" w:line="240" w:lineRule="auto"/>
      </w:pPr>
      <w:r>
        <w:separator/>
      </w:r>
    </w:p>
  </w:endnote>
  <w:endnote w:type="continuationSeparator" w:id="0">
    <w:p w14:paraId="7C5737D6" w14:textId="77777777" w:rsidR="00E266B1" w:rsidRDefault="00E266B1" w:rsidP="0092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09886"/>
      <w:docPartObj>
        <w:docPartGallery w:val="Page Numbers (Bottom of Page)"/>
        <w:docPartUnique/>
      </w:docPartObj>
    </w:sdtPr>
    <w:sdtEndPr/>
    <w:sdtContent>
      <w:p w14:paraId="61157208" w14:textId="77777777" w:rsidR="009243DD" w:rsidRDefault="009243DD">
        <w:pPr>
          <w:pStyle w:val="Pieddepage"/>
          <w:jc w:val="right"/>
        </w:pPr>
        <w:r>
          <w:fldChar w:fldCharType="begin"/>
        </w:r>
        <w:r>
          <w:instrText>PAGE   \* MERGEFORMAT</w:instrText>
        </w:r>
        <w:r>
          <w:fldChar w:fldCharType="separate"/>
        </w:r>
        <w:r w:rsidR="000B6171" w:rsidRPr="000B6171">
          <w:rPr>
            <w:noProof/>
            <w:lang w:val="fr-FR"/>
          </w:rPr>
          <w:t>15</w:t>
        </w:r>
        <w:r>
          <w:fldChar w:fldCharType="end"/>
        </w:r>
      </w:p>
    </w:sdtContent>
  </w:sdt>
  <w:p w14:paraId="0EC48F7A" w14:textId="77777777" w:rsidR="009243DD" w:rsidRDefault="009243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2F7F" w14:textId="77777777" w:rsidR="00E266B1" w:rsidRDefault="00E266B1" w:rsidP="009243DD">
      <w:pPr>
        <w:spacing w:after="0" w:line="240" w:lineRule="auto"/>
      </w:pPr>
      <w:r>
        <w:separator/>
      </w:r>
    </w:p>
  </w:footnote>
  <w:footnote w:type="continuationSeparator" w:id="0">
    <w:p w14:paraId="0C03E576" w14:textId="77777777" w:rsidR="00E266B1" w:rsidRDefault="00E266B1" w:rsidP="00924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38B3"/>
    <w:multiLevelType w:val="multilevel"/>
    <w:tmpl w:val="C9044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922B9B"/>
    <w:multiLevelType w:val="hybridMultilevel"/>
    <w:tmpl w:val="02FCF7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89652E9"/>
    <w:multiLevelType w:val="multilevel"/>
    <w:tmpl w:val="16EC9F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3543F"/>
    <w:rsid w:val="000124C8"/>
    <w:rsid w:val="0001768F"/>
    <w:rsid w:val="00037898"/>
    <w:rsid w:val="00070A3D"/>
    <w:rsid w:val="00073328"/>
    <w:rsid w:val="000B2FBF"/>
    <w:rsid w:val="000B6171"/>
    <w:rsid w:val="000B7403"/>
    <w:rsid w:val="000B7421"/>
    <w:rsid w:val="000C5C92"/>
    <w:rsid w:val="000F63FD"/>
    <w:rsid w:val="001624BB"/>
    <w:rsid w:val="00177449"/>
    <w:rsid w:val="0018702C"/>
    <w:rsid w:val="00187292"/>
    <w:rsid w:val="00197DC4"/>
    <w:rsid w:val="001C4226"/>
    <w:rsid w:val="001D1D75"/>
    <w:rsid w:val="001D3717"/>
    <w:rsid w:val="001E1BAD"/>
    <w:rsid w:val="001F1F89"/>
    <w:rsid w:val="001F2756"/>
    <w:rsid w:val="00212A89"/>
    <w:rsid w:val="00216728"/>
    <w:rsid w:val="00216DA8"/>
    <w:rsid w:val="00230E31"/>
    <w:rsid w:val="00241310"/>
    <w:rsid w:val="00265B67"/>
    <w:rsid w:val="00266EA7"/>
    <w:rsid w:val="002A2CF5"/>
    <w:rsid w:val="002B4CA3"/>
    <w:rsid w:val="002B6DED"/>
    <w:rsid w:val="002C3B75"/>
    <w:rsid w:val="002C6523"/>
    <w:rsid w:val="002D436B"/>
    <w:rsid w:val="002D7B28"/>
    <w:rsid w:val="002E1311"/>
    <w:rsid w:val="002E5F00"/>
    <w:rsid w:val="002F1591"/>
    <w:rsid w:val="002F3770"/>
    <w:rsid w:val="00314F54"/>
    <w:rsid w:val="00342C8A"/>
    <w:rsid w:val="003448F3"/>
    <w:rsid w:val="00345F12"/>
    <w:rsid w:val="00376C6C"/>
    <w:rsid w:val="003A4347"/>
    <w:rsid w:val="003B6296"/>
    <w:rsid w:val="0044355B"/>
    <w:rsid w:val="00452608"/>
    <w:rsid w:val="00470858"/>
    <w:rsid w:val="004729BA"/>
    <w:rsid w:val="004756F9"/>
    <w:rsid w:val="0049402A"/>
    <w:rsid w:val="004C5493"/>
    <w:rsid w:val="004F7253"/>
    <w:rsid w:val="00502527"/>
    <w:rsid w:val="005138A1"/>
    <w:rsid w:val="00516218"/>
    <w:rsid w:val="0052657A"/>
    <w:rsid w:val="00542F67"/>
    <w:rsid w:val="00547E4A"/>
    <w:rsid w:val="00571B79"/>
    <w:rsid w:val="005912AB"/>
    <w:rsid w:val="005A0664"/>
    <w:rsid w:val="005A4B0F"/>
    <w:rsid w:val="005B7DB1"/>
    <w:rsid w:val="005C7ED0"/>
    <w:rsid w:val="005D647E"/>
    <w:rsid w:val="00603F71"/>
    <w:rsid w:val="00613CD8"/>
    <w:rsid w:val="00627C5E"/>
    <w:rsid w:val="00643CD1"/>
    <w:rsid w:val="00644AFB"/>
    <w:rsid w:val="006603B9"/>
    <w:rsid w:val="00667B3A"/>
    <w:rsid w:val="006725C4"/>
    <w:rsid w:val="00673BAC"/>
    <w:rsid w:val="006840C6"/>
    <w:rsid w:val="006C17D1"/>
    <w:rsid w:val="006E7E09"/>
    <w:rsid w:val="00706827"/>
    <w:rsid w:val="00713CD3"/>
    <w:rsid w:val="00734CB0"/>
    <w:rsid w:val="007650EB"/>
    <w:rsid w:val="00784406"/>
    <w:rsid w:val="007877F6"/>
    <w:rsid w:val="007A7F8C"/>
    <w:rsid w:val="007C6649"/>
    <w:rsid w:val="007D20D4"/>
    <w:rsid w:val="007E0313"/>
    <w:rsid w:val="007E3C99"/>
    <w:rsid w:val="007F6326"/>
    <w:rsid w:val="00823104"/>
    <w:rsid w:val="0083543F"/>
    <w:rsid w:val="0087712A"/>
    <w:rsid w:val="00886276"/>
    <w:rsid w:val="008B57EB"/>
    <w:rsid w:val="008C1DC5"/>
    <w:rsid w:val="008C37A5"/>
    <w:rsid w:val="008C5ED4"/>
    <w:rsid w:val="008C7D0B"/>
    <w:rsid w:val="008E2B7F"/>
    <w:rsid w:val="008E51A8"/>
    <w:rsid w:val="008E54B9"/>
    <w:rsid w:val="008E5FC0"/>
    <w:rsid w:val="008E7C94"/>
    <w:rsid w:val="008F5B19"/>
    <w:rsid w:val="008F71DD"/>
    <w:rsid w:val="00904A2F"/>
    <w:rsid w:val="00913A6A"/>
    <w:rsid w:val="00914579"/>
    <w:rsid w:val="009155A4"/>
    <w:rsid w:val="00923FDC"/>
    <w:rsid w:val="009243DD"/>
    <w:rsid w:val="009A354E"/>
    <w:rsid w:val="009B4848"/>
    <w:rsid w:val="00A15FC5"/>
    <w:rsid w:val="00A20D76"/>
    <w:rsid w:val="00A36BEC"/>
    <w:rsid w:val="00A4215A"/>
    <w:rsid w:val="00A54386"/>
    <w:rsid w:val="00A56196"/>
    <w:rsid w:val="00A810AF"/>
    <w:rsid w:val="00A973B2"/>
    <w:rsid w:val="00A97ADB"/>
    <w:rsid w:val="00AA2366"/>
    <w:rsid w:val="00AE7818"/>
    <w:rsid w:val="00B01330"/>
    <w:rsid w:val="00B04B51"/>
    <w:rsid w:val="00B524FD"/>
    <w:rsid w:val="00B6152C"/>
    <w:rsid w:val="00B85ACF"/>
    <w:rsid w:val="00B9229D"/>
    <w:rsid w:val="00BD1638"/>
    <w:rsid w:val="00BF37CF"/>
    <w:rsid w:val="00C161F0"/>
    <w:rsid w:val="00C21D3B"/>
    <w:rsid w:val="00C318BA"/>
    <w:rsid w:val="00C33C45"/>
    <w:rsid w:val="00C5682D"/>
    <w:rsid w:val="00CA307C"/>
    <w:rsid w:val="00CB33C8"/>
    <w:rsid w:val="00D07FA8"/>
    <w:rsid w:val="00D21C4C"/>
    <w:rsid w:val="00D23307"/>
    <w:rsid w:val="00D52C97"/>
    <w:rsid w:val="00D53E20"/>
    <w:rsid w:val="00D83C0D"/>
    <w:rsid w:val="00DC0B63"/>
    <w:rsid w:val="00DC1FF7"/>
    <w:rsid w:val="00E03DE6"/>
    <w:rsid w:val="00E12EAC"/>
    <w:rsid w:val="00E266B1"/>
    <w:rsid w:val="00E373BF"/>
    <w:rsid w:val="00E5385A"/>
    <w:rsid w:val="00E55F93"/>
    <w:rsid w:val="00E859DF"/>
    <w:rsid w:val="00E9777D"/>
    <w:rsid w:val="00EC462D"/>
    <w:rsid w:val="00ED2E85"/>
    <w:rsid w:val="00EE7DF1"/>
    <w:rsid w:val="00EF37EB"/>
    <w:rsid w:val="00EF59B2"/>
    <w:rsid w:val="00F201A6"/>
    <w:rsid w:val="00F45406"/>
    <w:rsid w:val="00F61969"/>
    <w:rsid w:val="00F66A2D"/>
    <w:rsid w:val="00F87279"/>
    <w:rsid w:val="00F90C4F"/>
    <w:rsid w:val="00F90E03"/>
    <w:rsid w:val="00F91FD2"/>
    <w:rsid w:val="00FB5827"/>
    <w:rsid w:val="00FB63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B98C"/>
  <w15:chartTrackingRefBased/>
  <w15:docId w15:val="{8522C66A-22E7-4040-A0D4-E5F45A0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3F"/>
  </w:style>
  <w:style w:type="paragraph" w:styleId="Titre3">
    <w:name w:val="heading 3"/>
    <w:basedOn w:val="Normal"/>
    <w:link w:val="Titre3Car"/>
    <w:uiPriority w:val="9"/>
    <w:qFormat/>
    <w:rsid w:val="0083543F"/>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3543F"/>
    <w:rPr>
      <w:rFonts w:ascii="Times New Roman" w:eastAsia="Times New Roman" w:hAnsi="Times New Roman" w:cs="Times New Roman"/>
      <w:b/>
      <w:bCs/>
      <w:sz w:val="27"/>
      <w:szCs w:val="27"/>
      <w:lang w:eastAsia="fr-BE"/>
    </w:rPr>
  </w:style>
  <w:style w:type="character" w:styleId="Accentuation">
    <w:name w:val="Emphasis"/>
    <w:basedOn w:val="Policepardfaut"/>
    <w:uiPriority w:val="20"/>
    <w:qFormat/>
    <w:rsid w:val="0083543F"/>
    <w:rPr>
      <w:i/>
      <w:iCs/>
    </w:rPr>
  </w:style>
  <w:style w:type="paragraph" w:styleId="Textedebulles">
    <w:name w:val="Balloon Text"/>
    <w:basedOn w:val="Normal"/>
    <w:link w:val="TextedebullesCar"/>
    <w:uiPriority w:val="99"/>
    <w:semiHidden/>
    <w:unhideWhenUsed/>
    <w:rsid w:val="008354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543F"/>
    <w:rPr>
      <w:rFonts w:ascii="Segoe UI" w:hAnsi="Segoe UI" w:cs="Segoe UI"/>
      <w:sz w:val="18"/>
      <w:szCs w:val="18"/>
    </w:rPr>
  </w:style>
  <w:style w:type="character" w:styleId="Marquedecommentaire">
    <w:name w:val="annotation reference"/>
    <w:basedOn w:val="Policepardfaut"/>
    <w:uiPriority w:val="99"/>
    <w:semiHidden/>
    <w:unhideWhenUsed/>
    <w:rsid w:val="0083543F"/>
    <w:rPr>
      <w:sz w:val="16"/>
      <w:szCs w:val="16"/>
    </w:rPr>
  </w:style>
  <w:style w:type="paragraph" w:styleId="Commentaire">
    <w:name w:val="annotation text"/>
    <w:basedOn w:val="Normal"/>
    <w:link w:val="CommentaireCar"/>
    <w:uiPriority w:val="99"/>
    <w:semiHidden/>
    <w:unhideWhenUsed/>
    <w:rsid w:val="0083543F"/>
    <w:pPr>
      <w:spacing w:line="240" w:lineRule="auto"/>
    </w:pPr>
    <w:rPr>
      <w:sz w:val="20"/>
      <w:szCs w:val="20"/>
    </w:rPr>
  </w:style>
  <w:style w:type="character" w:customStyle="1" w:styleId="CommentaireCar">
    <w:name w:val="Commentaire Car"/>
    <w:basedOn w:val="Policepardfaut"/>
    <w:link w:val="Commentaire"/>
    <w:uiPriority w:val="99"/>
    <w:semiHidden/>
    <w:rsid w:val="0083543F"/>
    <w:rPr>
      <w:sz w:val="20"/>
      <w:szCs w:val="20"/>
    </w:rPr>
  </w:style>
  <w:style w:type="paragraph" w:styleId="Objetducommentaire">
    <w:name w:val="annotation subject"/>
    <w:basedOn w:val="Commentaire"/>
    <w:next w:val="Commentaire"/>
    <w:link w:val="ObjetducommentaireCar"/>
    <w:uiPriority w:val="99"/>
    <w:semiHidden/>
    <w:unhideWhenUsed/>
    <w:rsid w:val="0083543F"/>
    <w:rPr>
      <w:b/>
      <w:bCs/>
    </w:rPr>
  </w:style>
  <w:style w:type="character" w:customStyle="1" w:styleId="ObjetducommentaireCar">
    <w:name w:val="Objet du commentaire Car"/>
    <w:basedOn w:val="CommentaireCar"/>
    <w:link w:val="Objetducommentaire"/>
    <w:uiPriority w:val="99"/>
    <w:semiHidden/>
    <w:rsid w:val="0083543F"/>
    <w:rPr>
      <w:b/>
      <w:bCs/>
      <w:sz w:val="20"/>
      <w:szCs w:val="20"/>
    </w:rPr>
  </w:style>
  <w:style w:type="character" w:customStyle="1" w:styleId="tagtrans">
    <w:name w:val="tag_trans"/>
    <w:basedOn w:val="Policepardfaut"/>
    <w:rsid w:val="0083543F"/>
  </w:style>
  <w:style w:type="character" w:styleId="Lienhypertexte">
    <w:name w:val="Hyperlink"/>
    <w:basedOn w:val="Policepardfaut"/>
    <w:uiPriority w:val="99"/>
    <w:unhideWhenUsed/>
    <w:rsid w:val="0083543F"/>
    <w:rPr>
      <w:color w:val="0000FF"/>
      <w:u w:val="single"/>
    </w:rPr>
  </w:style>
  <w:style w:type="paragraph" w:customStyle="1" w:styleId="EndNoteBibliographyTitle">
    <w:name w:val="EndNote Bibliography Title"/>
    <w:basedOn w:val="Normal"/>
    <w:link w:val="EndNoteBibliographyTitleCar"/>
    <w:rsid w:val="0083543F"/>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83543F"/>
    <w:rPr>
      <w:rFonts w:ascii="Calibri" w:hAnsi="Calibri" w:cs="Calibri"/>
      <w:noProof/>
      <w:lang w:val="en-US"/>
    </w:rPr>
  </w:style>
  <w:style w:type="paragraph" w:customStyle="1" w:styleId="EndNoteBibliography">
    <w:name w:val="EndNote Bibliography"/>
    <w:basedOn w:val="Normal"/>
    <w:link w:val="EndNoteBibliographyCar"/>
    <w:rsid w:val="0083543F"/>
    <w:pPr>
      <w:spacing w:line="240" w:lineRule="auto"/>
      <w:jc w:val="both"/>
    </w:pPr>
    <w:rPr>
      <w:rFonts w:ascii="Calibri" w:hAnsi="Calibri" w:cs="Calibri"/>
      <w:noProof/>
      <w:lang w:val="en-US"/>
    </w:rPr>
  </w:style>
  <w:style w:type="character" w:customStyle="1" w:styleId="EndNoteBibliographyCar">
    <w:name w:val="EndNote Bibliography Car"/>
    <w:basedOn w:val="Policepardfaut"/>
    <w:link w:val="EndNoteBibliography"/>
    <w:rsid w:val="0083543F"/>
    <w:rPr>
      <w:rFonts w:ascii="Calibri" w:hAnsi="Calibri" w:cs="Calibri"/>
      <w:noProof/>
      <w:lang w:val="en-US"/>
    </w:rPr>
  </w:style>
  <w:style w:type="character" w:customStyle="1" w:styleId="Mentionnonrsolue1">
    <w:name w:val="Mention non résolue1"/>
    <w:basedOn w:val="Policepardfaut"/>
    <w:uiPriority w:val="99"/>
    <w:semiHidden/>
    <w:unhideWhenUsed/>
    <w:rsid w:val="0083543F"/>
    <w:rPr>
      <w:color w:val="605E5C"/>
      <w:shd w:val="clear" w:color="auto" w:fill="E1DFDD"/>
    </w:rPr>
  </w:style>
  <w:style w:type="paragraph" w:styleId="Paragraphedeliste">
    <w:name w:val="List Paragraph"/>
    <w:basedOn w:val="Normal"/>
    <w:uiPriority w:val="34"/>
    <w:qFormat/>
    <w:rsid w:val="007877F6"/>
    <w:pPr>
      <w:ind w:left="720"/>
      <w:contextualSpacing/>
    </w:pPr>
  </w:style>
  <w:style w:type="paragraph" w:styleId="En-tte">
    <w:name w:val="header"/>
    <w:basedOn w:val="Normal"/>
    <w:link w:val="En-tteCar"/>
    <w:uiPriority w:val="99"/>
    <w:unhideWhenUsed/>
    <w:rsid w:val="009243DD"/>
    <w:pPr>
      <w:tabs>
        <w:tab w:val="center" w:pos="4536"/>
        <w:tab w:val="right" w:pos="9072"/>
      </w:tabs>
      <w:spacing w:after="0" w:line="240" w:lineRule="auto"/>
    </w:pPr>
  </w:style>
  <w:style w:type="character" w:customStyle="1" w:styleId="En-tteCar">
    <w:name w:val="En-tête Car"/>
    <w:basedOn w:val="Policepardfaut"/>
    <w:link w:val="En-tte"/>
    <w:uiPriority w:val="99"/>
    <w:rsid w:val="009243DD"/>
  </w:style>
  <w:style w:type="paragraph" w:styleId="Pieddepage">
    <w:name w:val="footer"/>
    <w:basedOn w:val="Normal"/>
    <w:link w:val="PieddepageCar"/>
    <w:uiPriority w:val="99"/>
    <w:unhideWhenUsed/>
    <w:rsid w:val="009243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3DD"/>
  </w:style>
  <w:style w:type="table" w:styleId="Grilledutableau">
    <w:name w:val="Table Grid"/>
    <w:basedOn w:val="TableauNormal"/>
    <w:uiPriority w:val="39"/>
    <w:rsid w:val="00B9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B9229D"/>
    <w:rPr>
      <w:i/>
      <w:iCs/>
    </w:rPr>
  </w:style>
  <w:style w:type="character" w:customStyle="1" w:styleId="apple-converted-space">
    <w:name w:val="apple-converted-space"/>
    <w:basedOn w:val="Policepardfaut"/>
    <w:rsid w:val="00E5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8579">
      <w:bodyDiv w:val="1"/>
      <w:marLeft w:val="0"/>
      <w:marRight w:val="0"/>
      <w:marTop w:val="0"/>
      <w:marBottom w:val="0"/>
      <w:divBdr>
        <w:top w:val="none" w:sz="0" w:space="0" w:color="auto"/>
        <w:left w:val="none" w:sz="0" w:space="0" w:color="auto"/>
        <w:bottom w:val="none" w:sz="0" w:space="0" w:color="auto"/>
        <w:right w:val="none" w:sz="0" w:space="0" w:color="auto"/>
      </w:divBdr>
    </w:div>
    <w:div w:id="1286155817">
      <w:bodyDiv w:val="1"/>
      <w:marLeft w:val="0"/>
      <w:marRight w:val="0"/>
      <w:marTop w:val="0"/>
      <w:marBottom w:val="0"/>
      <w:divBdr>
        <w:top w:val="none" w:sz="0" w:space="0" w:color="auto"/>
        <w:left w:val="none" w:sz="0" w:space="0" w:color="auto"/>
        <w:bottom w:val="none" w:sz="0" w:space="0" w:color="auto"/>
        <w:right w:val="none" w:sz="0" w:space="0" w:color="auto"/>
      </w:divBdr>
    </w:div>
    <w:div w:id="1783063078">
      <w:bodyDiv w:val="1"/>
      <w:marLeft w:val="0"/>
      <w:marRight w:val="0"/>
      <w:marTop w:val="0"/>
      <w:marBottom w:val="0"/>
      <w:divBdr>
        <w:top w:val="none" w:sz="0" w:space="0" w:color="auto"/>
        <w:left w:val="none" w:sz="0" w:space="0" w:color="auto"/>
        <w:bottom w:val="none" w:sz="0" w:space="0" w:color="auto"/>
        <w:right w:val="none" w:sz="0" w:space="0" w:color="auto"/>
      </w:divBdr>
    </w:div>
    <w:div w:id="19103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795D-9AF8-4CEF-91AC-CE8CA81B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7606</Words>
  <Characters>41835</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Geurten</dc:creator>
  <cp:keywords/>
  <dc:description/>
  <cp:lastModifiedBy>Marie Geurten</cp:lastModifiedBy>
  <cp:revision>5</cp:revision>
  <cp:lastPrinted>2021-08-25T07:07:00Z</cp:lastPrinted>
  <dcterms:created xsi:type="dcterms:W3CDTF">2021-09-07T08:31:00Z</dcterms:created>
  <dcterms:modified xsi:type="dcterms:W3CDTF">2021-11-08T10:14:00Z</dcterms:modified>
</cp:coreProperties>
</file>