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1367"/>
      </w:tblGrid>
      <w:tr w:rsidR="000F1BE4" w:rsidRPr="000F1BE4" w:rsidTr="000F1BE4">
        <w:trPr>
          <w:tblCellSpacing w:w="15" w:type="dxa"/>
        </w:trPr>
        <w:tc>
          <w:tcPr>
            <w:tcW w:w="0" w:type="auto"/>
            <w:vAlign w:val="center"/>
            <w:hideMark/>
          </w:tcPr>
          <w:p w:rsidR="000F1BE4" w:rsidRPr="000F1BE4" w:rsidRDefault="000F1BE4" w:rsidP="000F1BE4">
            <w:pPr>
              <w:spacing w:after="0" w:line="240" w:lineRule="auto"/>
              <w:outlineLvl w:val="3"/>
              <w:rPr>
                <w:rFonts w:ascii="Times New Roman" w:eastAsia="Times New Roman" w:hAnsi="Times New Roman" w:cs="Times New Roman"/>
                <w:b/>
                <w:bCs/>
                <w:sz w:val="24"/>
                <w:szCs w:val="24"/>
                <w:lang w:eastAsia="fr-BE"/>
              </w:rPr>
            </w:pPr>
            <w:r w:rsidRPr="000F1BE4">
              <w:rPr>
                <w:rFonts w:ascii="Times New Roman" w:eastAsia="Times New Roman" w:hAnsi="Times New Roman" w:cs="Times New Roman"/>
                <w:b/>
                <w:bCs/>
                <w:sz w:val="24"/>
                <w:szCs w:val="24"/>
                <w:lang w:eastAsia="fr-BE"/>
              </w:rPr>
              <w:t>Introduction</w:t>
            </w:r>
          </w:p>
        </w:tc>
      </w:tr>
    </w:tbl>
    <w:p w:rsidR="000F1BE4" w:rsidRPr="000F1BE4" w:rsidRDefault="000F1BE4" w:rsidP="000F1BE4">
      <w:pPr>
        <w:spacing w:after="0" w:line="240" w:lineRule="auto"/>
        <w:jc w:val="both"/>
        <w:rPr>
          <w:rFonts w:ascii="Times New Roman" w:eastAsia="Times New Roman" w:hAnsi="Times New Roman" w:cs="Times New Roman"/>
          <w:sz w:val="24"/>
          <w:szCs w:val="24"/>
          <w:lang w:eastAsia="fr-BE"/>
        </w:rPr>
      </w:pPr>
      <w:r w:rsidRPr="000F1BE4">
        <w:rPr>
          <w:rFonts w:ascii="Verdana" w:eastAsia="Times New Roman" w:hAnsi="Verdana" w:cs="Times New Roman"/>
          <w:i/>
          <w:iCs/>
          <w:color w:val="565656"/>
          <w:sz w:val="18"/>
          <w:szCs w:val="18"/>
          <w:shd w:val="clear" w:color="auto" w:fill="F5F5F5"/>
          <w:lang w:eastAsia="fr-BE"/>
        </w:rPr>
        <w:t>L’insuffisance rénale chronique est définie par le débit de filtration glomérulaire et l’albuminurie. Ces variables sont également utilisées pour apprécier risque cardiovasculaire et d’insuffisance rénale terminale. L’albuminurie est souvent indisponible. Weaver et al. [1] ont développé une équation estimant le ratio albumine/</w:t>
      </w:r>
      <w:proofErr w:type="gramStart"/>
      <w:r w:rsidRPr="000F1BE4">
        <w:rPr>
          <w:rFonts w:ascii="Verdana" w:eastAsia="Times New Roman" w:hAnsi="Verdana" w:cs="Times New Roman"/>
          <w:i/>
          <w:iCs/>
          <w:color w:val="565656"/>
          <w:sz w:val="18"/>
          <w:szCs w:val="18"/>
          <w:shd w:val="clear" w:color="auto" w:fill="F5F5F5"/>
          <w:lang w:eastAsia="fr-BE"/>
        </w:rPr>
        <w:t>créatinine(</w:t>
      </w:r>
      <w:proofErr w:type="gramEnd"/>
      <w:r w:rsidRPr="000F1BE4">
        <w:rPr>
          <w:rFonts w:ascii="Verdana" w:eastAsia="Times New Roman" w:hAnsi="Verdana" w:cs="Times New Roman"/>
          <w:i/>
          <w:iCs/>
          <w:color w:val="565656"/>
          <w:sz w:val="18"/>
          <w:szCs w:val="18"/>
          <w:shd w:val="clear" w:color="auto" w:fill="F5F5F5"/>
          <w:lang w:eastAsia="fr-BE"/>
        </w:rPr>
        <w:t>ACR) au départ du ratio protéine/créatinine(PCR). Nous évaluons la performance de l’équation dans notre population.</w:t>
      </w:r>
    </w:p>
    <w:tbl>
      <w:tblPr>
        <w:tblW w:w="0" w:type="auto"/>
        <w:tblCellSpacing w:w="15" w:type="dxa"/>
        <w:tblCellMar>
          <w:left w:w="0" w:type="dxa"/>
          <w:right w:w="0" w:type="dxa"/>
        </w:tblCellMar>
        <w:tblLook w:val="04A0" w:firstRow="1" w:lastRow="0" w:firstColumn="1" w:lastColumn="0" w:noHBand="0" w:noVBand="1"/>
      </w:tblPr>
      <w:tblGrid>
        <w:gridCol w:w="1247"/>
      </w:tblGrid>
      <w:tr w:rsidR="000F1BE4" w:rsidRPr="000F1BE4" w:rsidTr="000F1BE4">
        <w:trPr>
          <w:tblCellSpacing w:w="15" w:type="dxa"/>
        </w:trPr>
        <w:tc>
          <w:tcPr>
            <w:tcW w:w="0" w:type="auto"/>
            <w:vAlign w:val="center"/>
            <w:hideMark/>
          </w:tcPr>
          <w:p w:rsidR="000F1BE4" w:rsidRPr="000F1BE4" w:rsidRDefault="000F1BE4" w:rsidP="000F1BE4">
            <w:pPr>
              <w:spacing w:after="0" w:line="240" w:lineRule="auto"/>
              <w:outlineLvl w:val="3"/>
              <w:rPr>
                <w:rFonts w:ascii="Times New Roman" w:eastAsia="Times New Roman" w:hAnsi="Times New Roman" w:cs="Times New Roman"/>
                <w:b/>
                <w:bCs/>
                <w:sz w:val="24"/>
                <w:szCs w:val="24"/>
                <w:lang w:eastAsia="fr-BE"/>
              </w:rPr>
            </w:pPr>
            <w:r w:rsidRPr="000F1BE4">
              <w:rPr>
                <w:rFonts w:ascii="Times New Roman" w:eastAsia="Times New Roman" w:hAnsi="Times New Roman" w:cs="Times New Roman"/>
                <w:b/>
                <w:bCs/>
                <w:sz w:val="24"/>
                <w:szCs w:val="24"/>
                <w:lang w:eastAsia="fr-BE"/>
              </w:rPr>
              <w:t>Description</w:t>
            </w:r>
          </w:p>
        </w:tc>
      </w:tr>
    </w:tbl>
    <w:p w:rsidR="000F1BE4" w:rsidRPr="000F1BE4" w:rsidRDefault="000F1BE4" w:rsidP="000F1BE4">
      <w:pPr>
        <w:spacing w:after="0" w:line="240" w:lineRule="auto"/>
        <w:jc w:val="both"/>
        <w:rPr>
          <w:rFonts w:ascii="Times New Roman" w:eastAsia="Times New Roman" w:hAnsi="Times New Roman" w:cs="Times New Roman"/>
          <w:sz w:val="24"/>
          <w:szCs w:val="24"/>
          <w:lang w:eastAsia="fr-BE"/>
        </w:rPr>
      </w:pPr>
      <w:r w:rsidRPr="000F1BE4">
        <w:rPr>
          <w:rFonts w:ascii="Verdana" w:eastAsia="Times New Roman" w:hAnsi="Verdana" w:cs="Times New Roman"/>
          <w:i/>
          <w:iCs/>
          <w:color w:val="565656"/>
          <w:sz w:val="18"/>
          <w:szCs w:val="18"/>
          <w:shd w:val="clear" w:color="auto" w:fill="F5F5F5"/>
          <w:lang w:eastAsia="fr-BE"/>
        </w:rPr>
        <w:t>Dans un CHU, nous avons analysé rétrospectivement les mesures d’ACR (</w:t>
      </w:r>
      <w:proofErr w:type="spellStart"/>
      <w:r w:rsidRPr="000F1BE4">
        <w:rPr>
          <w:rFonts w:ascii="Verdana" w:eastAsia="Times New Roman" w:hAnsi="Verdana" w:cs="Times New Roman"/>
          <w:i/>
          <w:iCs/>
          <w:color w:val="565656"/>
          <w:sz w:val="18"/>
          <w:szCs w:val="18"/>
          <w:shd w:val="clear" w:color="auto" w:fill="F5F5F5"/>
          <w:lang w:eastAsia="fr-BE"/>
        </w:rPr>
        <w:t>ACRm</w:t>
      </w:r>
      <w:proofErr w:type="spellEnd"/>
      <w:r w:rsidRPr="000F1BE4">
        <w:rPr>
          <w:rFonts w:ascii="Verdana" w:eastAsia="Times New Roman" w:hAnsi="Verdana" w:cs="Times New Roman"/>
          <w:i/>
          <w:iCs/>
          <w:color w:val="565656"/>
          <w:sz w:val="18"/>
          <w:szCs w:val="18"/>
          <w:shd w:val="clear" w:color="auto" w:fill="F5F5F5"/>
          <w:lang w:eastAsia="fr-BE"/>
        </w:rPr>
        <w:t>) et PCR (</w:t>
      </w:r>
      <w:proofErr w:type="spellStart"/>
      <w:r w:rsidRPr="000F1BE4">
        <w:rPr>
          <w:rFonts w:ascii="Verdana" w:eastAsia="Times New Roman" w:hAnsi="Verdana" w:cs="Times New Roman"/>
          <w:i/>
          <w:iCs/>
          <w:color w:val="565656"/>
          <w:sz w:val="18"/>
          <w:szCs w:val="18"/>
          <w:shd w:val="clear" w:color="auto" w:fill="F5F5F5"/>
          <w:lang w:eastAsia="fr-BE"/>
        </w:rPr>
        <w:t>PCRm</w:t>
      </w:r>
      <w:proofErr w:type="spellEnd"/>
      <w:r w:rsidRPr="000F1BE4">
        <w:rPr>
          <w:rFonts w:ascii="Verdana" w:eastAsia="Times New Roman" w:hAnsi="Verdana" w:cs="Times New Roman"/>
          <w:i/>
          <w:iCs/>
          <w:color w:val="565656"/>
          <w:sz w:val="18"/>
          <w:szCs w:val="18"/>
          <w:shd w:val="clear" w:color="auto" w:fill="F5F5F5"/>
          <w:lang w:eastAsia="fr-BE"/>
        </w:rPr>
        <w:t xml:space="preserve">) obtenus sur même échantillon sur deux analyseurs (Roche </w:t>
      </w:r>
      <w:proofErr w:type="spellStart"/>
      <w:r w:rsidRPr="000F1BE4">
        <w:rPr>
          <w:rFonts w:ascii="Verdana" w:eastAsia="Times New Roman" w:hAnsi="Verdana" w:cs="Times New Roman"/>
          <w:i/>
          <w:iCs/>
          <w:color w:val="565656"/>
          <w:sz w:val="18"/>
          <w:szCs w:val="18"/>
          <w:shd w:val="clear" w:color="auto" w:fill="F5F5F5"/>
          <w:lang w:eastAsia="fr-BE"/>
        </w:rPr>
        <w:t>Cobas</w:t>
      </w:r>
      <w:proofErr w:type="spellEnd"/>
      <w:r w:rsidRPr="000F1BE4">
        <w:rPr>
          <w:rFonts w:ascii="Verdana" w:eastAsia="Times New Roman" w:hAnsi="Verdana" w:cs="Times New Roman"/>
          <w:i/>
          <w:iCs/>
          <w:color w:val="565656"/>
          <w:sz w:val="18"/>
          <w:szCs w:val="18"/>
          <w:shd w:val="clear" w:color="auto" w:fill="F5F5F5"/>
          <w:lang w:eastAsia="fr-BE"/>
        </w:rPr>
        <w:t xml:space="preserve"> 2018-2019 ; Abbott </w:t>
      </w:r>
      <w:proofErr w:type="spellStart"/>
      <w:r w:rsidRPr="000F1BE4">
        <w:rPr>
          <w:rFonts w:ascii="Verdana" w:eastAsia="Times New Roman" w:hAnsi="Verdana" w:cs="Times New Roman"/>
          <w:i/>
          <w:iCs/>
          <w:color w:val="565656"/>
          <w:sz w:val="18"/>
          <w:szCs w:val="18"/>
          <w:shd w:val="clear" w:color="auto" w:fill="F5F5F5"/>
          <w:lang w:eastAsia="fr-BE"/>
        </w:rPr>
        <w:t>Alinity</w:t>
      </w:r>
      <w:proofErr w:type="spellEnd"/>
      <w:r w:rsidRPr="000F1BE4">
        <w:rPr>
          <w:rFonts w:ascii="Verdana" w:eastAsia="Times New Roman" w:hAnsi="Verdana" w:cs="Times New Roman"/>
          <w:i/>
          <w:iCs/>
          <w:color w:val="565656"/>
          <w:sz w:val="18"/>
          <w:szCs w:val="18"/>
          <w:shd w:val="clear" w:color="auto" w:fill="F5F5F5"/>
          <w:lang w:eastAsia="fr-BE"/>
        </w:rPr>
        <w:t xml:space="preserve"> 2019-2020).</w:t>
      </w:r>
    </w:p>
    <w:tbl>
      <w:tblPr>
        <w:tblW w:w="0" w:type="auto"/>
        <w:tblCellSpacing w:w="15" w:type="dxa"/>
        <w:tblCellMar>
          <w:left w:w="0" w:type="dxa"/>
          <w:right w:w="0" w:type="dxa"/>
        </w:tblCellMar>
        <w:tblLook w:val="04A0" w:firstRow="1" w:lastRow="0" w:firstColumn="1" w:lastColumn="0" w:noHBand="0" w:noVBand="1"/>
      </w:tblPr>
      <w:tblGrid>
        <w:gridCol w:w="1060"/>
      </w:tblGrid>
      <w:tr w:rsidR="000F1BE4" w:rsidRPr="000F1BE4" w:rsidTr="000F1BE4">
        <w:trPr>
          <w:tblCellSpacing w:w="15" w:type="dxa"/>
        </w:trPr>
        <w:tc>
          <w:tcPr>
            <w:tcW w:w="0" w:type="auto"/>
            <w:vAlign w:val="center"/>
            <w:hideMark/>
          </w:tcPr>
          <w:p w:rsidR="000F1BE4" w:rsidRPr="000F1BE4" w:rsidRDefault="000F1BE4" w:rsidP="000F1BE4">
            <w:pPr>
              <w:spacing w:after="0" w:line="240" w:lineRule="auto"/>
              <w:outlineLvl w:val="3"/>
              <w:rPr>
                <w:rFonts w:ascii="Times New Roman" w:eastAsia="Times New Roman" w:hAnsi="Times New Roman" w:cs="Times New Roman"/>
                <w:b/>
                <w:bCs/>
                <w:sz w:val="24"/>
                <w:szCs w:val="24"/>
                <w:lang w:eastAsia="fr-BE"/>
              </w:rPr>
            </w:pPr>
            <w:r w:rsidRPr="000F1BE4">
              <w:rPr>
                <w:rFonts w:ascii="Times New Roman" w:eastAsia="Times New Roman" w:hAnsi="Times New Roman" w:cs="Times New Roman"/>
                <w:b/>
                <w:bCs/>
                <w:sz w:val="24"/>
                <w:szCs w:val="24"/>
                <w:lang w:eastAsia="fr-BE"/>
              </w:rPr>
              <w:t>Méthodes</w:t>
            </w:r>
          </w:p>
        </w:tc>
      </w:tr>
    </w:tbl>
    <w:p w:rsidR="000F1BE4" w:rsidRPr="000F1BE4" w:rsidRDefault="000F1BE4" w:rsidP="000F1BE4">
      <w:pPr>
        <w:spacing w:after="0" w:line="240" w:lineRule="auto"/>
        <w:jc w:val="both"/>
        <w:rPr>
          <w:rFonts w:ascii="Times New Roman" w:eastAsia="Times New Roman" w:hAnsi="Times New Roman" w:cs="Times New Roman"/>
          <w:sz w:val="24"/>
          <w:szCs w:val="24"/>
          <w:lang w:eastAsia="fr-BE"/>
        </w:rPr>
      </w:pPr>
      <w:r w:rsidRPr="000F1BE4">
        <w:rPr>
          <w:rFonts w:ascii="Verdana" w:eastAsia="Times New Roman" w:hAnsi="Verdana" w:cs="Times New Roman"/>
          <w:i/>
          <w:iCs/>
          <w:color w:val="565656"/>
          <w:sz w:val="18"/>
          <w:szCs w:val="18"/>
          <w:shd w:val="clear" w:color="auto" w:fill="F5F5F5"/>
          <w:lang w:eastAsia="fr-BE"/>
        </w:rPr>
        <w:t xml:space="preserve">Les patients furent classés selon KDIGO (A1-A2-A3). Nous avons ensuite comparé les classifications KDIGO des </w:t>
      </w:r>
      <w:proofErr w:type="spellStart"/>
      <w:r w:rsidRPr="000F1BE4">
        <w:rPr>
          <w:rFonts w:ascii="Verdana" w:eastAsia="Times New Roman" w:hAnsi="Verdana" w:cs="Times New Roman"/>
          <w:i/>
          <w:iCs/>
          <w:color w:val="565656"/>
          <w:sz w:val="18"/>
          <w:szCs w:val="18"/>
          <w:shd w:val="clear" w:color="auto" w:fill="F5F5F5"/>
          <w:lang w:eastAsia="fr-BE"/>
        </w:rPr>
        <w:t>ACRe</w:t>
      </w:r>
      <w:proofErr w:type="spellEnd"/>
      <w:r w:rsidRPr="000F1BE4">
        <w:rPr>
          <w:rFonts w:ascii="Verdana" w:eastAsia="Times New Roman" w:hAnsi="Verdana" w:cs="Times New Roman"/>
          <w:i/>
          <w:iCs/>
          <w:color w:val="565656"/>
          <w:sz w:val="18"/>
          <w:szCs w:val="18"/>
          <w:shd w:val="clear" w:color="auto" w:fill="F5F5F5"/>
          <w:lang w:eastAsia="fr-BE"/>
        </w:rPr>
        <w:t xml:space="preserve"> et </w:t>
      </w:r>
      <w:proofErr w:type="spellStart"/>
      <w:r w:rsidRPr="000F1BE4">
        <w:rPr>
          <w:rFonts w:ascii="Verdana" w:eastAsia="Times New Roman" w:hAnsi="Verdana" w:cs="Times New Roman"/>
          <w:i/>
          <w:iCs/>
          <w:color w:val="565656"/>
          <w:sz w:val="18"/>
          <w:szCs w:val="18"/>
          <w:shd w:val="clear" w:color="auto" w:fill="F5F5F5"/>
          <w:lang w:eastAsia="fr-BE"/>
        </w:rPr>
        <w:t>ACRm</w:t>
      </w:r>
      <w:proofErr w:type="spellEnd"/>
      <w:r w:rsidRPr="000F1BE4">
        <w:rPr>
          <w:rFonts w:ascii="Verdana" w:eastAsia="Times New Roman" w:hAnsi="Verdana" w:cs="Times New Roman"/>
          <w:i/>
          <w:iCs/>
          <w:color w:val="565656"/>
          <w:sz w:val="18"/>
          <w:szCs w:val="18"/>
          <w:shd w:val="clear" w:color="auto" w:fill="F5F5F5"/>
          <w:lang w:eastAsia="fr-BE"/>
        </w:rPr>
        <w:t xml:space="preserve"> obtenus. La sensibilité, spécificité, valeur prédictive positive (VPP) et valeur prédictive négative (VPN) de </w:t>
      </w:r>
      <w:proofErr w:type="spellStart"/>
      <w:r w:rsidRPr="000F1BE4">
        <w:rPr>
          <w:rFonts w:ascii="Verdana" w:eastAsia="Times New Roman" w:hAnsi="Verdana" w:cs="Times New Roman"/>
          <w:i/>
          <w:iCs/>
          <w:color w:val="565656"/>
          <w:sz w:val="18"/>
          <w:szCs w:val="18"/>
          <w:shd w:val="clear" w:color="auto" w:fill="F5F5F5"/>
          <w:lang w:eastAsia="fr-BE"/>
        </w:rPr>
        <w:t>l’ACRe</w:t>
      </w:r>
      <w:proofErr w:type="spellEnd"/>
      <w:r w:rsidRPr="000F1BE4">
        <w:rPr>
          <w:rFonts w:ascii="Verdana" w:eastAsia="Times New Roman" w:hAnsi="Verdana" w:cs="Times New Roman"/>
          <w:i/>
          <w:iCs/>
          <w:color w:val="565656"/>
          <w:sz w:val="18"/>
          <w:szCs w:val="18"/>
          <w:shd w:val="clear" w:color="auto" w:fill="F5F5F5"/>
          <w:lang w:eastAsia="fr-BE"/>
        </w:rPr>
        <w:t xml:space="preserve"> contre </w:t>
      </w:r>
      <w:proofErr w:type="spellStart"/>
      <w:r w:rsidRPr="000F1BE4">
        <w:rPr>
          <w:rFonts w:ascii="Verdana" w:eastAsia="Times New Roman" w:hAnsi="Verdana" w:cs="Times New Roman"/>
          <w:i/>
          <w:iCs/>
          <w:color w:val="565656"/>
          <w:sz w:val="18"/>
          <w:szCs w:val="18"/>
          <w:shd w:val="clear" w:color="auto" w:fill="F5F5F5"/>
          <w:lang w:eastAsia="fr-BE"/>
        </w:rPr>
        <w:t>ACRm</w:t>
      </w:r>
      <w:proofErr w:type="spellEnd"/>
      <w:r w:rsidRPr="000F1BE4">
        <w:rPr>
          <w:rFonts w:ascii="Verdana" w:eastAsia="Times New Roman" w:hAnsi="Verdana" w:cs="Times New Roman"/>
          <w:i/>
          <w:iCs/>
          <w:color w:val="565656"/>
          <w:sz w:val="18"/>
          <w:szCs w:val="18"/>
          <w:shd w:val="clear" w:color="auto" w:fill="F5F5F5"/>
          <w:lang w:eastAsia="fr-BE"/>
        </w:rPr>
        <w:t xml:space="preserve"> furent calculées selon les valeurs seuils : A1/A2 contre A3 (30mg/g) ou A1 contre A2/3 (300mg/g).</w:t>
      </w:r>
    </w:p>
    <w:tbl>
      <w:tblPr>
        <w:tblW w:w="0" w:type="auto"/>
        <w:tblCellSpacing w:w="15" w:type="dxa"/>
        <w:tblCellMar>
          <w:left w:w="0" w:type="dxa"/>
          <w:right w:w="0" w:type="dxa"/>
        </w:tblCellMar>
        <w:tblLook w:val="04A0" w:firstRow="1" w:lastRow="0" w:firstColumn="1" w:lastColumn="0" w:noHBand="0" w:noVBand="1"/>
      </w:tblPr>
      <w:tblGrid>
        <w:gridCol w:w="1007"/>
      </w:tblGrid>
      <w:tr w:rsidR="000F1BE4" w:rsidRPr="000F1BE4" w:rsidTr="000F1BE4">
        <w:trPr>
          <w:tblCellSpacing w:w="15" w:type="dxa"/>
        </w:trPr>
        <w:tc>
          <w:tcPr>
            <w:tcW w:w="0" w:type="auto"/>
            <w:vAlign w:val="center"/>
            <w:hideMark/>
          </w:tcPr>
          <w:p w:rsidR="000F1BE4" w:rsidRPr="000F1BE4" w:rsidRDefault="000F1BE4" w:rsidP="000F1BE4">
            <w:pPr>
              <w:spacing w:after="0" w:line="240" w:lineRule="auto"/>
              <w:outlineLvl w:val="3"/>
              <w:rPr>
                <w:rFonts w:ascii="Times New Roman" w:eastAsia="Times New Roman" w:hAnsi="Times New Roman" w:cs="Times New Roman"/>
                <w:b/>
                <w:bCs/>
                <w:sz w:val="24"/>
                <w:szCs w:val="24"/>
                <w:lang w:eastAsia="fr-BE"/>
              </w:rPr>
            </w:pPr>
            <w:r w:rsidRPr="000F1BE4">
              <w:rPr>
                <w:rFonts w:ascii="Times New Roman" w:eastAsia="Times New Roman" w:hAnsi="Times New Roman" w:cs="Times New Roman"/>
                <w:b/>
                <w:bCs/>
                <w:sz w:val="24"/>
                <w:szCs w:val="24"/>
                <w:lang w:eastAsia="fr-BE"/>
              </w:rPr>
              <w:t>Résultats</w:t>
            </w:r>
          </w:p>
        </w:tc>
      </w:tr>
    </w:tbl>
    <w:p w:rsidR="000F1BE4" w:rsidRPr="000F1BE4" w:rsidRDefault="000F1BE4" w:rsidP="000F1BE4">
      <w:pPr>
        <w:spacing w:after="0" w:line="240" w:lineRule="auto"/>
        <w:jc w:val="both"/>
        <w:rPr>
          <w:rFonts w:ascii="Times New Roman" w:eastAsia="Times New Roman" w:hAnsi="Times New Roman" w:cs="Times New Roman"/>
          <w:sz w:val="24"/>
          <w:szCs w:val="24"/>
          <w:lang w:eastAsia="fr-BE"/>
        </w:rPr>
      </w:pPr>
      <w:r w:rsidRPr="000F1BE4">
        <w:rPr>
          <w:rFonts w:ascii="Verdana" w:eastAsia="Times New Roman" w:hAnsi="Verdana" w:cs="Times New Roman"/>
          <w:i/>
          <w:iCs/>
          <w:color w:val="565656"/>
          <w:sz w:val="18"/>
          <w:szCs w:val="18"/>
          <w:shd w:val="clear" w:color="auto" w:fill="F5F5F5"/>
          <w:lang w:eastAsia="fr-BE"/>
        </w:rPr>
        <w:t>2633 et 2386 </w:t>
      </w:r>
      <w:proofErr w:type="spellStart"/>
      <w:r w:rsidRPr="000F1BE4">
        <w:rPr>
          <w:rFonts w:ascii="Verdana" w:eastAsia="Times New Roman" w:hAnsi="Verdana" w:cs="Times New Roman"/>
          <w:i/>
          <w:iCs/>
          <w:color w:val="565656"/>
          <w:sz w:val="18"/>
          <w:szCs w:val="18"/>
          <w:shd w:val="clear" w:color="auto" w:fill="F5F5F5"/>
          <w:lang w:eastAsia="fr-BE"/>
        </w:rPr>
        <w:t>ACRm</w:t>
      </w:r>
      <w:proofErr w:type="spellEnd"/>
      <w:r w:rsidRPr="000F1BE4">
        <w:rPr>
          <w:rFonts w:ascii="Verdana" w:eastAsia="Times New Roman" w:hAnsi="Verdana" w:cs="Times New Roman"/>
          <w:i/>
          <w:iCs/>
          <w:color w:val="565656"/>
          <w:sz w:val="18"/>
          <w:szCs w:val="18"/>
          <w:shd w:val="clear" w:color="auto" w:fill="F5F5F5"/>
          <w:lang w:eastAsia="fr-BE"/>
        </w:rPr>
        <w:t xml:space="preserve"> et </w:t>
      </w:r>
      <w:proofErr w:type="spellStart"/>
      <w:r w:rsidRPr="000F1BE4">
        <w:rPr>
          <w:rFonts w:ascii="Verdana" w:eastAsia="Times New Roman" w:hAnsi="Verdana" w:cs="Times New Roman"/>
          <w:i/>
          <w:iCs/>
          <w:color w:val="565656"/>
          <w:sz w:val="18"/>
          <w:szCs w:val="18"/>
          <w:shd w:val="clear" w:color="auto" w:fill="F5F5F5"/>
          <w:lang w:eastAsia="fr-BE"/>
        </w:rPr>
        <w:t>PCRm</w:t>
      </w:r>
      <w:proofErr w:type="spellEnd"/>
      <w:r w:rsidRPr="000F1BE4">
        <w:rPr>
          <w:rFonts w:ascii="Verdana" w:eastAsia="Times New Roman" w:hAnsi="Verdana" w:cs="Times New Roman"/>
          <w:i/>
          <w:iCs/>
          <w:color w:val="565656"/>
          <w:sz w:val="18"/>
          <w:szCs w:val="18"/>
          <w:shd w:val="clear" w:color="auto" w:fill="F5F5F5"/>
          <w:lang w:eastAsia="fr-BE"/>
        </w:rPr>
        <w:t xml:space="preserve"> ont été réalisées sur Roche et Abbott, respectivement. L’âge moyen était 63 et 64 ans ; 43 et 41 % étaient des femmes ; 74 et 78 % étaient diabétiques avec Roche et Abbott, respectivement. La proportion de patient avec ACRm-A1 était 65,6/64,2 % ; A2 25,5/25,5 % ; A3 8,8/10,3 % (Roche/Abbott respectivement). La proportion de patient avec un ACRe-A1 était 64,7/62,5 % ; A2 25,7/25,8 % ; A3 9,6/11,7 % (Roche/Abbott respectivement). S’agissant du seuil 30mg/g, la sensibilité était 85/89 %, spécificité 91/92 %, VPP 83/85 %, VPN 92/94 % (Roche/Abbott respectivement). Pour le seuil 300mg/g, la sensibilité était 93/98 %, spécificité 98/98 %, VPP 86/87 %, VPN 99/99,8 % (Roche/Abbott respectivement) (</w:t>
      </w:r>
      <w:hyperlink r:id="rId4" w:history="1">
        <w:r w:rsidRPr="000F1BE4">
          <w:rPr>
            <w:rFonts w:ascii="Verdana" w:eastAsia="Times New Roman" w:hAnsi="Verdana" w:cs="Times New Roman"/>
            <w:b/>
            <w:bCs/>
            <w:i/>
            <w:iCs/>
            <w:color w:val="FF6600"/>
            <w:sz w:val="18"/>
            <w:szCs w:val="18"/>
            <w:u w:val="single"/>
            <w:shd w:val="clear" w:color="auto" w:fill="F5F5F5"/>
            <w:lang w:eastAsia="fr-BE"/>
          </w:rPr>
          <w:t>Tableau 1</w:t>
        </w:r>
      </w:hyperlink>
      <w:r w:rsidRPr="000F1BE4">
        <w:rPr>
          <w:rFonts w:ascii="Verdana" w:eastAsia="Times New Roman" w:hAnsi="Verdana" w:cs="Times New Roman"/>
          <w:i/>
          <w:iCs/>
          <w:color w:val="565656"/>
          <w:sz w:val="18"/>
          <w:szCs w:val="18"/>
          <w:shd w:val="clear" w:color="auto" w:fill="F5F5F5"/>
          <w:lang w:eastAsia="fr-BE"/>
        </w:rPr>
        <w:t>).</w:t>
      </w:r>
    </w:p>
    <w:tbl>
      <w:tblPr>
        <w:tblW w:w="0" w:type="auto"/>
        <w:tblCellSpacing w:w="15" w:type="dxa"/>
        <w:tblCellMar>
          <w:left w:w="0" w:type="dxa"/>
          <w:right w:w="0" w:type="dxa"/>
        </w:tblCellMar>
        <w:tblLook w:val="04A0" w:firstRow="1" w:lastRow="0" w:firstColumn="1" w:lastColumn="0" w:noHBand="0" w:noVBand="1"/>
      </w:tblPr>
      <w:tblGrid>
        <w:gridCol w:w="1208"/>
      </w:tblGrid>
      <w:tr w:rsidR="000F1BE4" w:rsidRPr="000F1BE4" w:rsidTr="000F1BE4">
        <w:trPr>
          <w:tblCellSpacing w:w="15" w:type="dxa"/>
        </w:trPr>
        <w:tc>
          <w:tcPr>
            <w:tcW w:w="0" w:type="auto"/>
            <w:vAlign w:val="center"/>
            <w:hideMark/>
          </w:tcPr>
          <w:p w:rsidR="000F1BE4" w:rsidRPr="000F1BE4" w:rsidRDefault="000F1BE4" w:rsidP="000F1BE4">
            <w:pPr>
              <w:spacing w:after="0" w:line="240" w:lineRule="auto"/>
              <w:outlineLvl w:val="3"/>
              <w:rPr>
                <w:rFonts w:ascii="Times New Roman" w:eastAsia="Times New Roman" w:hAnsi="Times New Roman" w:cs="Times New Roman"/>
                <w:b/>
                <w:bCs/>
                <w:sz w:val="24"/>
                <w:szCs w:val="24"/>
                <w:lang w:eastAsia="fr-BE"/>
              </w:rPr>
            </w:pPr>
            <w:r w:rsidRPr="000F1BE4">
              <w:rPr>
                <w:rFonts w:ascii="Times New Roman" w:eastAsia="Times New Roman" w:hAnsi="Times New Roman" w:cs="Times New Roman"/>
                <w:b/>
                <w:bCs/>
                <w:sz w:val="24"/>
                <w:szCs w:val="24"/>
                <w:lang w:eastAsia="fr-BE"/>
              </w:rPr>
              <w:t>Conclusion</w:t>
            </w:r>
          </w:p>
        </w:tc>
      </w:tr>
    </w:tbl>
    <w:p w:rsidR="000F1BE4" w:rsidRPr="000F1BE4" w:rsidRDefault="000F1BE4" w:rsidP="000F1BE4">
      <w:pPr>
        <w:spacing w:after="0" w:line="240" w:lineRule="auto"/>
        <w:jc w:val="both"/>
        <w:rPr>
          <w:rFonts w:ascii="Times New Roman" w:eastAsia="Times New Roman" w:hAnsi="Times New Roman" w:cs="Times New Roman"/>
          <w:sz w:val="24"/>
          <w:szCs w:val="24"/>
          <w:lang w:eastAsia="fr-BE"/>
        </w:rPr>
      </w:pPr>
      <w:r w:rsidRPr="000F1BE4">
        <w:rPr>
          <w:rFonts w:ascii="Verdana" w:eastAsia="Times New Roman" w:hAnsi="Verdana" w:cs="Times New Roman"/>
          <w:i/>
          <w:iCs/>
          <w:color w:val="565656"/>
          <w:sz w:val="18"/>
          <w:szCs w:val="18"/>
          <w:shd w:val="clear" w:color="auto" w:fill="F5F5F5"/>
          <w:lang w:eastAsia="fr-BE"/>
        </w:rPr>
        <w:t xml:space="preserve">Une bonne concordance fût observée entre </w:t>
      </w:r>
      <w:proofErr w:type="spellStart"/>
      <w:r w:rsidRPr="000F1BE4">
        <w:rPr>
          <w:rFonts w:ascii="Verdana" w:eastAsia="Times New Roman" w:hAnsi="Verdana" w:cs="Times New Roman"/>
          <w:i/>
          <w:iCs/>
          <w:color w:val="565656"/>
          <w:sz w:val="18"/>
          <w:szCs w:val="18"/>
          <w:shd w:val="clear" w:color="auto" w:fill="F5F5F5"/>
          <w:lang w:eastAsia="fr-BE"/>
        </w:rPr>
        <w:t>ACRe</w:t>
      </w:r>
      <w:proofErr w:type="spellEnd"/>
      <w:r w:rsidRPr="000F1BE4">
        <w:rPr>
          <w:rFonts w:ascii="Verdana" w:eastAsia="Times New Roman" w:hAnsi="Verdana" w:cs="Times New Roman"/>
          <w:i/>
          <w:iCs/>
          <w:color w:val="565656"/>
          <w:sz w:val="18"/>
          <w:szCs w:val="18"/>
          <w:shd w:val="clear" w:color="auto" w:fill="F5F5F5"/>
          <w:lang w:eastAsia="fr-BE"/>
        </w:rPr>
        <w:t xml:space="preserve"> et </w:t>
      </w:r>
      <w:proofErr w:type="spellStart"/>
      <w:r w:rsidRPr="000F1BE4">
        <w:rPr>
          <w:rFonts w:ascii="Verdana" w:eastAsia="Times New Roman" w:hAnsi="Verdana" w:cs="Times New Roman"/>
          <w:i/>
          <w:iCs/>
          <w:color w:val="565656"/>
          <w:sz w:val="18"/>
          <w:szCs w:val="18"/>
          <w:shd w:val="clear" w:color="auto" w:fill="F5F5F5"/>
          <w:lang w:eastAsia="fr-BE"/>
        </w:rPr>
        <w:t>ACRm</w:t>
      </w:r>
      <w:proofErr w:type="spellEnd"/>
      <w:r w:rsidRPr="000F1BE4">
        <w:rPr>
          <w:rFonts w:ascii="Verdana" w:eastAsia="Times New Roman" w:hAnsi="Verdana" w:cs="Times New Roman"/>
          <w:i/>
          <w:iCs/>
          <w:color w:val="565656"/>
          <w:sz w:val="18"/>
          <w:szCs w:val="18"/>
          <w:shd w:val="clear" w:color="auto" w:fill="F5F5F5"/>
          <w:lang w:eastAsia="fr-BE"/>
        </w:rPr>
        <w:t xml:space="preserve"> par l’équation de Weaver. Aucun patient avec un ACRm-A3 n’a été classé en ACRe-A1 par l’équation. La VPN est donc excellente. En conclusion, l’ACR doit être mesuré en pratique clinique lorsque requis, mais un </w:t>
      </w:r>
      <w:proofErr w:type="spellStart"/>
      <w:r w:rsidRPr="000F1BE4">
        <w:rPr>
          <w:rFonts w:ascii="Verdana" w:eastAsia="Times New Roman" w:hAnsi="Verdana" w:cs="Times New Roman"/>
          <w:i/>
          <w:iCs/>
          <w:color w:val="565656"/>
          <w:sz w:val="18"/>
          <w:szCs w:val="18"/>
          <w:shd w:val="clear" w:color="auto" w:fill="F5F5F5"/>
          <w:lang w:eastAsia="fr-BE"/>
        </w:rPr>
        <w:t>ACRe</w:t>
      </w:r>
      <w:proofErr w:type="spellEnd"/>
      <w:r w:rsidRPr="000F1BE4">
        <w:rPr>
          <w:rFonts w:ascii="Verdana" w:eastAsia="Times New Roman" w:hAnsi="Verdana" w:cs="Times New Roman"/>
          <w:i/>
          <w:iCs/>
          <w:color w:val="565656"/>
          <w:sz w:val="18"/>
          <w:szCs w:val="18"/>
          <w:shd w:val="clear" w:color="auto" w:fill="F5F5F5"/>
          <w:lang w:eastAsia="fr-BE"/>
        </w:rPr>
        <w:t xml:space="preserve"> peut raisonnablement être obtenu à partir d’un PCR avec l’équation de Weaver et fourni une estimation précise à des fins de recherche rétrospective.</w:t>
      </w:r>
    </w:p>
    <w:p w:rsidR="008D7DCF" w:rsidRDefault="008D7DCF">
      <w:bookmarkStart w:id="0" w:name="_GoBack"/>
      <w:bookmarkEnd w:id="0"/>
    </w:p>
    <w:sectPr w:rsidR="008D7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E4"/>
    <w:rsid w:val="000F1BE4"/>
    <w:rsid w:val="008D7D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514A4-5837-4306-9290-A30C8DD9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Normal"/>
    <w:link w:val="Titre4Car"/>
    <w:uiPriority w:val="9"/>
    <w:qFormat/>
    <w:rsid w:val="000F1BE4"/>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F1BE4"/>
    <w:rPr>
      <w:rFonts w:ascii="Times New Roman" w:eastAsia="Times New Roman" w:hAnsi="Times New Roman" w:cs="Times New Roman"/>
      <w:b/>
      <w:bCs/>
      <w:sz w:val="24"/>
      <w:szCs w:val="24"/>
      <w:lang w:eastAsia="fr-BE"/>
    </w:rPr>
  </w:style>
  <w:style w:type="paragraph" w:customStyle="1" w:styleId="textenormal1">
    <w:name w:val="textenormal1"/>
    <w:basedOn w:val="Normal"/>
    <w:rsid w:val="000F1BE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0F1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5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consulte.com/ajax/moduleContexteArticle/article/1468652/tableau/tbl0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Delanaye</dc:creator>
  <cp:keywords/>
  <dc:description/>
  <cp:lastModifiedBy>Pierre Delanaye</cp:lastModifiedBy>
  <cp:revision>1</cp:revision>
  <dcterms:created xsi:type="dcterms:W3CDTF">2021-10-08T11:45:00Z</dcterms:created>
  <dcterms:modified xsi:type="dcterms:W3CDTF">2021-10-08T11:46:00Z</dcterms:modified>
</cp:coreProperties>
</file>