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1D58" w14:textId="3E97ED6A" w:rsidR="009505A8" w:rsidRPr="00D00979" w:rsidRDefault="00CE1795" w:rsidP="00D7623A">
      <w:pPr>
        <w:pStyle w:val="Titre"/>
        <w:jc w:val="center"/>
        <w:rPr>
          <w:rFonts w:ascii="Times New Roman" w:hAnsi="Times New Roman" w:cs="Times New Roman"/>
          <w:sz w:val="22"/>
          <w:szCs w:val="22"/>
          <w:lang w:val="en-US"/>
        </w:rPr>
      </w:pPr>
      <w:bookmarkStart w:id="0" w:name="_Toc76652176"/>
      <w:r w:rsidRPr="00D00979">
        <w:rPr>
          <w:rFonts w:ascii="Times New Roman" w:hAnsi="Times New Roman" w:cs="Times New Roman"/>
          <w:sz w:val="22"/>
          <w:szCs w:val="22"/>
          <w:lang w:val="en-US"/>
        </w:rPr>
        <w:t xml:space="preserve">Migrant </w:t>
      </w:r>
      <w:r w:rsidR="00FC30B8" w:rsidRPr="00D00979">
        <w:rPr>
          <w:rFonts w:ascii="Times New Roman" w:hAnsi="Times New Roman" w:cs="Times New Roman"/>
          <w:sz w:val="22"/>
          <w:szCs w:val="22"/>
          <w:lang w:val="en-US"/>
        </w:rPr>
        <w:t>job</w:t>
      </w:r>
      <w:r w:rsidRPr="00D00979">
        <w:rPr>
          <w:rFonts w:ascii="Times New Roman" w:hAnsi="Times New Roman" w:cs="Times New Roman"/>
          <w:sz w:val="22"/>
          <w:szCs w:val="22"/>
          <w:lang w:val="en-US"/>
        </w:rPr>
        <w:t>seekers</w:t>
      </w:r>
      <w:r w:rsidR="0093434D" w:rsidRPr="00D00979">
        <w:rPr>
          <w:rFonts w:ascii="Times New Roman" w:hAnsi="Times New Roman" w:cs="Times New Roman"/>
          <w:sz w:val="22"/>
          <w:szCs w:val="22"/>
          <w:lang w:val="en-US"/>
        </w:rPr>
        <w:t>, right of residence and</w:t>
      </w:r>
      <w:r w:rsidRPr="00D00979">
        <w:rPr>
          <w:rFonts w:ascii="Times New Roman" w:hAnsi="Times New Roman" w:cs="Times New Roman"/>
          <w:sz w:val="22"/>
          <w:szCs w:val="22"/>
          <w:lang w:val="en-US"/>
        </w:rPr>
        <w:t xml:space="preserve"> access to </w:t>
      </w:r>
      <w:r w:rsidR="00823AE5" w:rsidRPr="00D00979">
        <w:rPr>
          <w:rFonts w:ascii="Times New Roman" w:hAnsi="Times New Roman" w:cs="Times New Roman"/>
          <w:sz w:val="22"/>
          <w:szCs w:val="22"/>
          <w:lang w:val="en-US"/>
        </w:rPr>
        <w:t>welfare</w:t>
      </w:r>
      <w:r w:rsidR="00C955C9">
        <w:rPr>
          <w:rFonts w:ascii="Times New Roman" w:hAnsi="Times New Roman" w:cs="Times New Roman"/>
          <w:sz w:val="22"/>
          <w:szCs w:val="22"/>
          <w:lang w:val="en-US"/>
        </w:rPr>
        <w:t xml:space="preserve"> benefits</w:t>
      </w:r>
      <w:r w:rsidRPr="00D00979">
        <w:rPr>
          <w:rFonts w:ascii="Times New Roman" w:hAnsi="Times New Roman" w:cs="Times New Roman"/>
          <w:sz w:val="22"/>
          <w:szCs w:val="22"/>
          <w:lang w:val="en-US"/>
        </w:rPr>
        <w:t>: One step forward, two steps backwards?</w:t>
      </w:r>
      <w:bookmarkEnd w:id="0"/>
      <w:r w:rsidRPr="00D00979">
        <w:rPr>
          <w:rFonts w:ascii="Times New Roman" w:hAnsi="Times New Roman" w:cs="Times New Roman"/>
          <w:sz w:val="22"/>
          <w:szCs w:val="22"/>
          <w:lang w:val="en-US"/>
        </w:rPr>
        <w:t xml:space="preserve"> </w:t>
      </w:r>
    </w:p>
    <w:p w14:paraId="33B41FD7" w14:textId="77777777" w:rsidR="00F029CC" w:rsidRPr="00D00979" w:rsidRDefault="00F029CC" w:rsidP="00D7623A">
      <w:pPr>
        <w:pStyle w:val="Corps"/>
        <w:rPr>
          <w:rFonts w:ascii="Times New Roman" w:hAnsi="Times New Roman" w:cs="Times New Roman"/>
          <w:lang w:val="en-US"/>
        </w:rPr>
      </w:pPr>
    </w:p>
    <w:p w14:paraId="2A25D47F" w14:textId="18350376" w:rsidR="00D8472A" w:rsidRPr="00D00979" w:rsidRDefault="00CE1795" w:rsidP="00D7623A">
      <w:pPr>
        <w:pStyle w:val="Corps"/>
        <w:jc w:val="center"/>
        <w:rPr>
          <w:rFonts w:ascii="Times New Roman" w:hAnsi="Times New Roman" w:cs="Times New Roman"/>
          <w:b/>
          <w:bCs/>
          <w:lang w:val="en-US"/>
        </w:rPr>
      </w:pPr>
      <w:r w:rsidRPr="00D00979">
        <w:rPr>
          <w:rFonts w:ascii="Times New Roman" w:hAnsi="Times New Roman" w:cs="Times New Roman"/>
          <w:b/>
          <w:bCs/>
          <w:lang w:val="en-US"/>
        </w:rPr>
        <w:t>Maxime Tecqmenne</w:t>
      </w:r>
      <w:r w:rsidR="00370D40">
        <w:rPr>
          <w:rStyle w:val="Appelnotedebasdep"/>
          <w:rFonts w:ascii="Times New Roman" w:hAnsi="Times New Roman" w:cs="Times New Roman"/>
          <w:b/>
          <w:bCs/>
          <w:lang w:val="en-US"/>
        </w:rPr>
        <w:footnoteReference w:customMarkFollows="1" w:id="2"/>
        <w:t>*</w:t>
      </w:r>
    </w:p>
    <w:p w14:paraId="7B556A50" w14:textId="20620F9D" w:rsidR="00D7623A" w:rsidRPr="00D00979" w:rsidRDefault="00D7623A" w:rsidP="00D7623A">
      <w:pPr>
        <w:pStyle w:val="Corps"/>
        <w:jc w:val="center"/>
        <w:rPr>
          <w:rFonts w:ascii="Times New Roman" w:hAnsi="Times New Roman" w:cs="Times New Roman"/>
          <w:i/>
          <w:iCs/>
          <w:lang w:val="en-US"/>
        </w:rPr>
      </w:pPr>
      <w:r w:rsidRPr="00D00979">
        <w:rPr>
          <w:rFonts w:ascii="Times New Roman" w:hAnsi="Times New Roman" w:cs="Times New Roman"/>
          <w:i/>
          <w:iCs/>
          <w:lang w:val="en-US"/>
        </w:rPr>
        <w:t>University of Liège</w:t>
      </w:r>
    </w:p>
    <w:p w14:paraId="6CFDB4C7" w14:textId="77777777" w:rsidR="00D7623A" w:rsidRPr="00D00979" w:rsidRDefault="00D7623A" w:rsidP="00D7623A">
      <w:pPr>
        <w:pStyle w:val="Corps"/>
        <w:jc w:val="center"/>
        <w:rPr>
          <w:rFonts w:ascii="Times New Roman" w:hAnsi="Times New Roman" w:cs="Times New Roman"/>
          <w:lang w:val="en-US"/>
        </w:rPr>
      </w:pPr>
    </w:p>
    <w:p w14:paraId="402E9822" w14:textId="4A4F012C" w:rsidR="004A7683" w:rsidRPr="00D00979" w:rsidRDefault="00A776DE" w:rsidP="00D7623A">
      <w:pPr>
        <w:pStyle w:val="Corps"/>
        <w:jc w:val="both"/>
        <w:rPr>
          <w:rFonts w:ascii="Times New Roman" w:hAnsi="Times New Roman" w:cs="Times New Roman"/>
          <w:i/>
          <w:iCs/>
          <w:lang w:val="en-US"/>
        </w:rPr>
      </w:pPr>
      <w:r w:rsidRPr="00D00979">
        <w:rPr>
          <w:rFonts w:ascii="Times New Roman" w:hAnsi="Times New Roman" w:cs="Times New Roman"/>
          <w:i/>
          <w:iCs/>
          <w:lang w:val="en-US"/>
        </w:rPr>
        <w:t>In the aftermath of the Court’s judgments in</w:t>
      </w:r>
      <w:r w:rsidR="00A43C9B" w:rsidRPr="00D00979">
        <w:rPr>
          <w:rFonts w:ascii="Times New Roman" w:hAnsi="Times New Roman" w:cs="Times New Roman"/>
          <w:i/>
          <w:iCs/>
          <w:lang w:val="en-US"/>
        </w:rPr>
        <w:t xml:space="preserve"> Dano and Alimanovic, there </w:t>
      </w:r>
      <w:r w:rsidR="008E1E5F" w:rsidRPr="00D00979">
        <w:rPr>
          <w:rFonts w:ascii="Times New Roman" w:hAnsi="Times New Roman" w:cs="Times New Roman"/>
          <w:i/>
          <w:iCs/>
          <w:lang w:val="en-US"/>
        </w:rPr>
        <w:t>remained</w:t>
      </w:r>
      <w:r w:rsidR="00A43C9B" w:rsidRPr="00D00979">
        <w:rPr>
          <w:rFonts w:ascii="Times New Roman" w:hAnsi="Times New Roman" w:cs="Times New Roman"/>
          <w:i/>
          <w:iCs/>
          <w:lang w:val="en-US"/>
        </w:rPr>
        <w:t xml:space="preserve"> considerable uncertainty about the interplay between the equal treatment guarantees vested in Union citizens by Articles 18, 21 and 45 TFEU and the different legislative measures adopted to give effect to these Treaty provisions. In this context, t</w:t>
      </w:r>
      <w:r w:rsidR="006759B6" w:rsidRPr="00D00979">
        <w:rPr>
          <w:rFonts w:ascii="Times New Roman" w:hAnsi="Times New Roman" w:cs="Times New Roman"/>
          <w:i/>
          <w:iCs/>
          <w:lang w:val="en-US"/>
        </w:rPr>
        <w:t xml:space="preserve">his article seeks to </w:t>
      </w:r>
      <w:r w:rsidR="00A43C9B" w:rsidRPr="00D00979">
        <w:rPr>
          <w:rFonts w:ascii="Times New Roman" w:hAnsi="Times New Roman" w:cs="Times New Roman"/>
          <w:i/>
          <w:iCs/>
          <w:lang w:val="en-US"/>
        </w:rPr>
        <w:t>cast some</w:t>
      </w:r>
      <w:r w:rsidR="006759B6" w:rsidRPr="00D00979">
        <w:rPr>
          <w:rFonts w:ascii="Times New Roman" w:hAnsi="Times New Roman" w:cs="Times New Roman"/>
          <w:i/>
          <w:iCs/>
          <w:lang w:val="en-US"/>
        </w:rPr>
        <w:t xml:space="preserve"> light on the </w:t>
      </w:r>
      <w:r w:rsidR="00A43C9B" w:rsidRPr="00D00979">
        <w:rPr>
          <w:rFonts w:ascii="Times New Roman" w:hAnsi="Times New Roman" w:cs="Times New Roman"/>
          <w:i/>
          <w:iCs/>
          <w:lang w:val="en-US"/>
        </w:rPr>
        <w:t>rather ambiguous</w:t>
      </w:r>
      <w:r w:rsidR="006759B6" w:rsidRPr="00D00979">
        <w:rPr>
          <w:rFonts w:ascii="Times New Roman" w:hAnsi="Times New Roman" w:cs="Times New Roman"/>
          <w:i/>
          <w:iCs/>
          <w:lang w:val="en-US"/>
        </w:rPr>
        <w:t xml:space="preserve"> </w:t>
      </w:r>
      <w:r w:rsidR="00A43C9B" w:rsidRPr="00D00979">
        <w:rPr>
          <w:rFonts w:ascii="Times New Roman" w:hAnsi="Times New Roman" w:cs="Times New Roman"/>
          <w:i/>
          <w:iCs/>
          <w:lang w:val="en-US"/>
        </w:rPr>
        <w:t>relationship</w:t>
      </w:r>
      <w:r w:rsidR="004A7683" w:rsidRPr="00D00979">
        <w:rPr>
          <w:rFonts w:ascii="Times New Roman" w:hAnsi="Times New Roman" w:cs="Times New Roman"/>
          <w:i/>
          <w:iCs/>
          <w:lang w:val="en-US"/>
        </w:rPr>
        <w:t xml:space="preserve"> between Directive 2004/38 and Regulation 492/2011</w:t>
      </w:r>
      <w:r w:rsidR="00A43C9B" w:rsidRPr="00D00979">
        <w:rPr>
          <w:rFonts w:ascii="Times New Roman" w:hAnsi="Times New Roman" w:cs="Times New Roman"/>
          <w:i/>
          <w:iCs/>
          <w:lang w:val="en-US"/>
        </w:rPr>
        <w:t>. I</w:t>
      </w:r>
      <w:r w:rsidR="004A7683" w:rsidRPr="00D00979">
        <w:rPr>
          <w:rFonts w:ascii="Times New Roman" w:hAnsi="Times New Roman" w:cs="Times New Roman"/>
          <w:i/>
          <w:iCs/>
          <w:lang w:val="en-US"/>
        </w:rPr>
        <w:t>t is essentially suggested that the limitations on the right of equal treatment featured in Article 24(2) of the Citizenship Directive cannot be relied upon as such in order to circumscribe the equal treatment guarantees conferred upon “worker</w:t>
      </w:r>
      <w:r w:rsidR="00A43C9B" w:rsidRPr="00D00979">
        <w:rPr>
          <w:rFonts w:ascii="Times New Roman" w:hAnsi="Times New Roman" w:cs="Times New Roman"/>
          <w:i/>
          <w:iCs/>
          <w:lang w:val="en-US"/>
        </w:rPr>
        <w:t>s</w:t>
      </w:r>
      <w:r w:rsidR="004A7683" w:rsidRPr="00D00979">
        <w:rPr>
          <w:rFonts w:ascii="Times New Roman" w:hAnsi="Times New Roman" w:cs="Times New Roman"/>
          <w:i/>
          <w:iCs/>
          <w:lang w:val="en-US"/>
        </w:rPr>
        <w:t xml:space="preserve">” </w:t>
      </w:r>
      <w:r w:rsidR="00A43C9B" w:rsidRPr="00D00979">
        <w:rPr>
          <w:rFonts w:ascii="Times New Roman" w:hAnsi="Times New Roman" w:cs="Times New Roman"/>
          <w:i/>
          <w:iCs/>
          <w:lang w:val="en-US"/>
        </w:rPr>
        <w:t>by</w:t>
      </w:r>
      <w:r w:rsidR="004A7683" w:rsidRPr="00D00979">
        <w:rPr>
          <w:rFonts w:ascii="Times New Roman" w:hAnsi="Times New Roman" w:cs="Times New Roman"/>
          <w:i/>
          <w:iCs/>
          <w:lang w:val="en-US"/>
        </w:rPr>
        <w:t xml:space="preserve"> Article 7(2) of the Workers’ Regulation. </w:t>
      </w:r>
      <w:r w:rsidR="00A43C9B" w:rsidRPr="00D00979">
        <w:rPr>
          <w:rFonts w:ascii="Times New Roman" w:hAnsi="Times New Roman" w:cs="Times New Roman"/>
          <w:i/>
          <w:iCs/>
          <w:lang w:val="en-US"/>
        </w:rPr>
        <w:t>At the same time, though</w:t>
      </w:r>
      <w:r w:rsidR="004A7683" w:rsidRPr="00D00979">
        <w:rPr>
          <w:rFonts w:ascii="Times New Roman" w:hAnsi="Times New Roman" w:cs="Times New Roman"/>
          <w:i/>
          <w:iCs/>
          <w:lang w:val="en-US"/>
        </w:rPr>
        <w:t>, it would appear that the Court has accepted – albeit somewhat implicitly – that the Member States may effectively restrict migrant workers’ equality rights on the basis of integration requirements inspired to some extent by the requirements expressed in the Directive.</w:t>
      </w:r>
    </w:p>
    <w:p w14:paraId="3C781C29" w14:textId="77777777" w:rsidR="004A7683" w:rsidRPr="00D00979" w:rsidRDefault="004A7683" w:rsidP="00171F8F">
      <w:pPr>
        <w:pStyle w:val="Corps"/>
        <w:rPr>
          <w:rFonts w:ascii="Times New Roman" w:hAnsi="Times New Roman" w:cs="Times New Roman"/>
          <w:lang w:val="en-US"/>
        </w:rPr>
      </w:pPr>
    </w:p>
    <w:p w14:paraId="23556683" w14:textId="106C4294" w:rsidR="00FB6695" w:rsidRPr="00D00979" w:rsidRDefault="00CE1795" w:rsidP="00D7623A">
      <w:pPr>
        <w:pStyle w:val="Titre2"/>
        <w:rPr>
          <w:rFonts w:ascii="Times New Roman" w:hAnsi="Times New Roman" w:cs="Times New Roman"/>
          <w:sz w:val="22"/>
          <w:szCs w:val="22"/>
          <w:lang w:val="en-US"/>
        </w:rPr>
      </w:pPr>
      <w:bookmarkStart w:id="1" w:name="_Toc76652177"/>
      <w:r w:rsidRPr="00D00979">
        <w:rPr>
          <w:rFonts w:ascii="Times New Roman" w:hAnsi="Times New Roman" w:cs="Times New Roman"/>
          <w:sz w:val="22"/>
          <w:szCs w:val="22"/>
          <w:lang w:val="en-US"/>
        </w:rPr>
        <w:t>Introduction</w:t>
      </w:r>
      <w:bookmarkEnd w:id="1"/>
    </w:p>
    <w:p w14:paraId="34B59FAD" w14:textId="77777777" w:rsidR="00FF0939" w:rsidRPr="00D00979" w:rsidRDefault="00FF0939" w:rsidP="00D7623A">
      <w:pPr>
        <w:pStyle w:val="Corps"/>
        <w:jc w:val="both"/>
        <w:rPr>
          <w:rFonts w:ascii="Times New Roman" w:hAnsi="Times New Roman" w:cs="Times New Roman"/>
          <w:lang w:val="en-US"/>
        </w:rPr>
      </w:pPr>
    </w:p>
    <w:p w14:paraId="4192E353" w14:textId="58ACEFB4" w:rsidR="00213890" w:rsidRPr="00D00979" w:rsidRDefault="00FF0939" w:rsidP="00D7623A">
      <w:pPr>
        <w:pStyle w:val="Corps"/>
        <w:jc w:val="both"/>
        <w:rPr>
          <w:rFonts w:ascii="Times New Roman" w:hAnsi="Times New Roman" w:cs="Times New Roman"/>
          <w:lang w:val="en-US"/>
        </w:rPr>
      </w:pPr>
      <w:r w:rsidRPr="00D00979">
        <w:rPr>
          <w:rFonts w:ascii="Times New Roman" w:hAnsi="Times New Roman" w:cs="Times New Roman"/>
          <w:lang w:val="en-US"/>
        </w:rPr>
        <w:t>Over the past few years, some of the most basic tenets of freedom of movement of persons - including, but not limited to free movement itself and equal treatment - have been subject to heated legal and political debates across the European Union</w:t>
      </w:r>
      <w:r w:rsidR="004143FA" w:rsidRPr="00D00979">
        <w:rPr>
          <w:rFonts w:ascii="Times New Roman" w:hAnsi="Times New Roman" w:cs="Times New Roman"/>
          <w:lang w:val="en-US"/>
        </w:rPr>
        <w:t xml:space="preserve"> (“EU”)</w:t>
      </w:r>
      <w:r w:rsidRPr="00D00979">
        <w:rPr>
          <w:rFonts w:ascii="Times New Roman" w:hAnsi="Times New Roman" w:cs="Times New Roman"/>
          <w:lang w:val="en-US"/>
        </w:rPr>
        <w:t>. There is, in particular, considerable controversy about the extent to which migrant Union citizens should be granted access to social assistance in another Member State</w:t>
      </w:r>
      <w:r w:rsidR="00442644" w:rsidRPr="00D00979">
        <w:rPr>
          <w:rFonts w:ascii="Times New Roman" w:hAnsi="Times New Roman" w:cs="Times New Roman"/>
          <w:lang w:val="en-US"/>
        </w:rPr>
        <w:t>.</w:t>
      </w:r>
      <w:r w:rsidR="00442644" w:rsidRPr="00D00979">
        <w:rPr>
          <w:rStyle w:val="Aucun"/>
          <w:rFonts w:ascii="Times New Roman" w:eastAsia="Times New Roman" w:hAnsi="Times New Roman" w:cs="Times New Roman"/>
          <w:vertAlign w:val="superscript"/>
        </w:rPr>
        <w:footnoteReference w:id="3"/>
      </w:r>
      <w:r w:rsidR="00442644" w:rsidRPr="00D00979">
        <w:rPr>
          <w:rFonts w:ascii="Times New Roman" w:hAnsi="Times New Roman" w:cs="Times New Roman"/>
          <w:lang w:val="en-US"/>
        </w:rPr>
        <w:t xml:space="preserve"> It is generally recognised that </w:t>
      </w:r>
      <w:r w:rsidR="004143FA" w:rsidRPr="00D00979">
        <w:rPr>
          <w:rFonts w:ascii="Times New Roman" w:hAnsi="Times New Roman" w:cs="Times New Roman"/>
          <w:lang w:val="en-US"/>
        </w:rPr>
        <w:t xml:space="preserve">EU </w:t>
      </w:r>
      <w:r w:rsidR="00442644" w:rsidRPr="00D00979">
        <w:rPr>
          <w:rFonts w:ascii="Times New Roman" w:hAnsi="Times New Roman" w:cs="Times New Roman"/>
          <w:lang w:val="en-US"/>
        </w:rPr>
        <w:t xml:space="preserve">Member States should </w:t>
      </w:r>
      <w:r w:rsidR="00584B59" w:rsidRPr="00D00979">
        <w:rPr>
          <w:rFonts w:ascii="Times New Roman" w:hAnsi="Times New Roman" w:cs="Times New Roman"/>
          <w:lang w:val="en-US"/>
        </w:rPr>
        <w:t xml:space="preserve">in principle </w:t>
      </w:r>
      <w:r w:rsidR="00542D56" w:rsidRPr="00D00979">
        <w:rPr>
          <w:rStyle w:val="Aucun"/>
          <w:rFonts w:ascii="Times New Roman" w:hAnsi="Times New Roman" w:cs="Times New Roman"/>
          <w:lang w:val="en-US"/>
        </w:rPr>
        <w:t>demonstrate</w:t>
      </w:r>
      <w:r w:rsidR="00442644" w:rsidRPr="00D00979">
        <w:rPr>
          <w:rFonts w:ascii="Times New Roman" w:hAnsi="Times New Roman" w:cs="Times New Roman"/>
          <w:lang w:val="en-US"/>
        </w:rPr>
        <w:t xml:space="preserve"> a certain degree of financial solidarity towards </w:t>
      </w:r>
      <w:r w:rsidR="0057658A" w:rsidRPr="00D00979">
        <w:rPr>
          <w:rFonts w:ascii="Times New Roman" w:hAnsi="Times New Roman" w:cs="Times New Roman"/>
          <w:lang w:val="en-US"/>
        </w:rPr>
        <w:t>Union citizens</w:t>
      </w:r>
      <w:r w:rsidR="00442644" w:rsidRPr="00D00979">
        <w:rPr>
          <w:rFonts w:ascii="Times New Roman" w:hAnsi="Times New Roman" w:cs="Times New Roman"/>
          <w:lang w:val="en-US"/>
        </w:rPr>
        <w:t>. At the same time, the European Court of Justice (</w:t>
      </w:r>
      <w:r w:rsidR="009C5520" w:rsidRPr="00D00979">
        <w:rPr>
          <w:rFonts w:ascii="Times New Roman" w:hAnsi="Times New Roman" w:cs="Times New Roman"/>
          <w:lang w:val="en-US"/>
        </w:rPr>
        <w:t>“</w:t>
      </w:r>
      <w:r w:rsidR="00442644" w:rsidRPr="00D00979">
        <w:rPr>
          <w:rFonts w:ascii="Times New Roman" w:hAnsi="Times New Roman" w:cs="Times New Roman"/>
          <w:lang w:val="en-US"/>
        </w:rPr>
        <w:t>the Court</w:t>
      </w:r>
      <w:r w:rsidR="009C5520" w:rsidRPr="00D00979">
        <w:rPr>
          <w:rFonts w:ascii="Times New Roman" w:hAnsi="Times New Roman" w:cs="Times New Roman"/>
          <w:lang w:val="en-US"/>
        </w:rPr>
        <w:t>”</w:t>
      </w:r>
      <w:r w:rsidR="00442644" w:rsidRPr="00D00979">
        <w:rPr>
          <w:rFonts w:ascii="Times New Roman" w:hAnsi="Times New Roman" w:cs="Times New Roman"/>
          <w:lang w:val="en-US"/>
        </w:rPr>
        <w:t xml:space="preserve">) has recognised that the host </w:t>
      </w:r>
      <w:r w:rsidR="00633AFA" w:rsidRPr="00D00979">
        <w:rPr>
          <w:rFonts w:ascii="Times New Roman" w:hAnsi="Times New Roman" w:cs="Times New Roman"/>
          <w:lang w:val="en-US"/>
        </w:rPr>
        <w:t>S</w:t>
      </w:r>
      <w:r w:rsidR="00442644" w:rsidRPr="00D00979">
        <w:rPr>
          <w:rFonts w:ascii="Times New Roman" w:hAnsi="Times New Roman" w:cs="Times New Roman"/>
          <w:lang w:val="en-US"/>
        </w:rPr>
        <w:t xml:space="preserve">tate authorities </w:t>
      </w:r>
      <w:r w:rsidR="00633AFA" w:rsidRPr="00D00979">
        <w:rPr>
          <w:rFonts w:ascii="Times New Roman" w:hAnsi="Times New Roman" w:cs="Times New Roman"/>
          <w:lang w:val="en-US"/>
        </w:rPr>
        <w:t>ultimately remain competent to control</w:t>
      </w:r>
      <w:r w:rsidR="00442644" w:rsidRPr="00D00979">
        <w:rPr>
          <w:rFonts w:ascii="Times New Roman" w:hAnsi="Times New Roman" w:cs="Times New Roman"/>
          <w:lang w:val="en-US"/>
        </w:rPr>
        <w:t xml:space="preserve"> the conditions for entitlement to their national social assistance schemes.</w:t>
      </w:r>
      <w:r w:rsidR="00442644" w:rsidRPr="00D00979">
        <w:rPr>
          <w:rStyle w:val="Aucun"/>
          <w:rFonts w:ascii="Times New Roman" w:eastAsia="Times New Roman" w:hAnsi="Times New Roman" w:cs="Times New Roman"/>
          <w:vertAlign w:val="superscript"/>
        </w:rPr>
        <w:footnoteReference w:id="4"/>
      </w:r>
      <w:r w:rsidR="00F96D1B" w:rsidRPr="00D00979">
        <w:rPr>
          <w:rFonts w:ascii="Times New Roman" w:hAnsi="Times New Roman" w:cs="Times New Roman"/>
          <w:lang w:val="en-US"/>
        </w:rPr>
        <w:t xml:space="preserve"> </w:t>
      </w:r>
      <w:r w:rsidR="00B94CDC" w:rsidRPr="00D00979">
        <w:rPr>
          <w:rFonts w:ascii="Times New Roman" w:hAnsi="Times New Roman" w:cs="Times New Roman"/>
          <w:lang w:val="en-US"/>
        </w:rPr>
        <w:t xml:space="preserve">In the absence of harmonisation in the area of social security, </w:t>
      </w:r>
      <w:r w:rsidR="00584B59" w:rsidRPr="00D00979">
        <w:rPr>
          <w:rFonts w:ascii="Times New Roman" w:hAnsi="Times New Roman" w:cs="Times New Roman"/>
          <w:lang w:val="en-US"/>
        </w:rPr>
        <w:t>the</w:t>
      </w:r>
      <w:r w:rsidR="00B94CDC" w:rsidRPr="00D00979">
        <w:rPr>
          <w:rFonts w:ascii="Times New Roman" w:hAnsi="Times New Roman" w:cs="Times New Roman"/>
          <w:lang w:val="en-US"/>
        </w:rPr>
        <w:t xml:space="preserve"> </w:t>
      </w:r>
      <w:r w:rsidR="00584B59" w:rsidRPr="00D00979">
        <w:rPr>
          <w:rFonts w:ascii="Times New Roman" w:hAnsi="Times New Roman" w:cs="Times New Roman"/>
          <w:lang w:val="en-US"/>
        </w:rPr>
        <w:t>M</w:t>
      </w:r>
      <w:r w:rsidR="00B94CDC" w:rsidRPr="00D00979">
        <w:rPr>
          <w:rFonts w:ascii="Times New Roman" w:hAnsi="Times New Roman" w:cs="Times New Roman"/>
          <w:lang w:val="en-US"/>
        </w:rPr>
        <w:t xml:space="preserve">ember </w:t>
      </w:r>
      <w:r w:rsidR="00584B59" w:rsidRPr="00D00979">
        <w:rPr>
          <w:rFonts w:ascii="Times New Roman" w:hAnsi="Times New Roman" w:cs="Times New Roman"/>
          <w:lang w:val="en-US"/>
        </w:rPr>
        <w:t>S</w:t>
      </w:r>
      <w:r w:rsidR="00B94CDC" w:rsidRPr="00D00979">
        <w:rPr>
          <w:rFonts w:ascii="Times New Roman" w:hAnsi="Times New Roman" w:cs="Times New Roman"/>
          <w:lang w:val="en-US"/>
        </w:rPr>
        <w:t>tates effectively retain a wide degree of regulatory autonomy when it comes to defining the conditions for cross-border access to their national social assistance and social security systems.</w:t>
      </w:r>
      <w:r w:rsidR="00B94CDC" w:rsidRPr="00D00979">
        <w:rPr>
          <w:rStyle w:val="Aucun"/>
          <w:rFonts w:ascii="Times New Roman" w:eastAsia="Times New Roman" w:hAnsi="Times New Roman" w:cs="Times New Roman"/>
          <w:vertAlign w:val="superscript"/>
        </w:rPr>
        <w:footnoteReference w:id="5"/>
      </w:r>
      <w:r w:rsidR="00B94CDC" w:rsidRPr="00D00979">
        <w:rPr>
          <w:rFonts w:ascii="Times New Roman" w:hAnsi="Times New Roman" w:cs="Times New Roman"/>
          <w:lang w:val="en-US"/>
        </w:rPr>
        <w:t xml:space="preserve"> </w:t>
      </w:r>
      <w:r w:rsidR="00F96D1B" w:rsidRPr="00D00979">
        <w:rPr>
          <w:rFonts w:ascii="Times New Roman" w:hAnsi="Times New Roman" w:cs="Times New Roman"/>
          <w:lang w:val="en-US"/>
        </w:rPr>
        <w:t xml:space="preserve">In its “real link” case-law, the Court </w:t>
      </w:r>
      <w:r w:rsidR="001A0BEA" w:rsidRPr="00D00979">
        <w:rPr>
          <w:rFonts w:ascii="Times New Roman" w:hAnsi="Times New Roman" w:cs="Times New Roman"/>
          <w:lang w:val="en-US"/>
        </w:rPr>
        <w:t>essentially</w:t>
      </w:r>
      <w:r w:rsidR="00F96D1B" w:rsidRPr="00D00979">
        <w:rPr>
          <w:rFonts w:ascii="Times New Roman" w:hAnsi="Times New Roman" w:cs="Times New Roman"/>
          <w:lang w:val="en-US"/>
        </w:rPr>
        <w:t xml:space="preserve"> recognized that the Member States may foreclose cross-border access to social assistance on the basis of indirectly discriminatory right-to-reside tests,</w:t>
      </w:r>
      <w:r w:rsidR="00F96D1B" w:rsidRPr="00D00979">
        <w:rPr>
          <w:rStyle w:val="Appelnotedebasdep"/>
          <w:rFonts w:ascii="Times New Roman" w:hAnsi="Times New Roman" w:cs="Times New Roman"/>
          <w:lang w:val="en-US"/>
        </w:rPr>
        <w:footnoteReference w:id="6"/>
      </w:r>
      <w:r w:rsidR="00F96D1B" w:rsidRPr="00D00979">
        <w:rPr>
          <w:rFonts w:ascii="Times New Roman" w:hAnsi="Times New Roman" w:cs="Times New Roman"/>
          <w:lang w:val="en-US"/>
        </w:rPr>
        <w:t xml:space="preserve"> provided that they are objectively justified by a legitimate public interest.</w:t>
      </w:r>
      <w:r w:rsidR="00442644" w:rsidRPr="00D00979">
        <w:rPr>
          <w:rFonts w:ascii="Times New Roman" w:hAnsi="Times New Roman" w:cs="Times New Roman"/>
          <w:lang w:val="en-US"/>
        </w:rPr>
        <w:t xml:space="preserve"> In the exercise of that power, they must </w:t>
      </w:r>
      <w:r w:rsidR="00FD2A3A" w:rsidRPr="00D00979">
        <w:rPr>
          <w:rFonts w:ascii="Times New Roman" w:hAnsi="Times New Roman" w:cs="Times New Roman"/>
          <w:lang w:val="en-US"/>
        </w:rPr>
        <w:t xml:space="preserve">nevertheless </w:t>
      </w:r>
      <w:r w:rsidR="00442644" w:rsidRPr="00D00979">
        <w:rPr>
          <w:rFonts w:ascii="Times New Roman" w:hAnsi="Times New Roman" w:cs="Times New Roman"/>
          <w:lang w:val="en-US"/>
        </w:rPr>
        <w:t xml:space="preserve">ensure compliance with </w:t>
      </w:r>
      <w:r w:rsidR="00442644" w:rsidRPr="00D00979">
        <w:rPr>
          <w:rFonts w:ascii="Times New Roman" w:hAnsi="Times New Roman" w:cs="Times New Roman"/>
          <w:lang w:val="en-US"/>
        </w:rPr>
        <w:lastRenderedPageBreak/>
        <w:t xml:space="preserve">the fundamental freedoms featured in the Treaties and, in particular, the </w:t>
      </w:r>
      <w:r w:rsidR="009647DD" w:rsidRPr="00D00979">
        <w:rPr>
          <w:rFonts w:ascii="Times New Roman" w:hAnsi="Times New Roman" w:cs="Times New Roman"/>
          <w:lang w:val="en-US"/>
        </w:rPr>
        <w:t>principle of equal treatment</w:t>
      </w:r>
      <w:r w:rsidR="00442644" w:rsidRPr="00D00979">
        <w:rPr>
          <w:rFonts w:ascii="Times New Roman" w:hAnsi="Times New Roman" w:cs="Times New Roman"/>
          <w:lang w:val="en-US"/>
        </w:rPr>
        <w:t xml:space="preserve"> </w:t>
      </w:r>
      <w:r w:rsidR="00D54C6F" w:rsidRPr="00D00979">
        <w:rPr>
          <w:rFonts w:ascii="Times New Roman" w:hAnsi="Times New Roman" w:cs="Times New Roman"/>
          <w:lang w:val="en-US"/>
        </w:rPr>
        <w:t>flowing therefrom</w:t>
      </w:r>
      <w:r w:rsidR="00442644" w:rsidRPr="00D00979">
        <w:rPr>
          <w:rStyle w:val="Aucun"/>
          <w:rFonts w:ascii="Times New Roman" w:eastAsia="Times New Roman" w:hAnsi="Times New Roman" w:cs="Times New Roman"/>
          <w:vertAlign w:val="superscript"/>
        </w:rPr>
        <w:footnoteReference w:id="7"/>
      </w:r>
      <w:r w:rsidR="00442644" w:rsidRPr="00D00979">
        <w:rPr>
          <w:rFonts w:ascii="Times New Roman" w:hAnsi="Times New Roman" w:cs="Times New Roman"/>
          <w:lang w:val="en-US"/>
        </w:rPr>
        <w:t>.</w:t>
      </w:r>
      <w:r w:rsidR="00867989" w:rsidRPr="00D00979">
        <w:rPr>
          <w:rFonts w:ascii="Times New Roman" w:hAnsi="Times New Roman" w:cs="Times New Roman"/>
          <w:lang w:val="en-US"/>
        </w:rPr>
        <w:t xml:space="preserve"> </w:t>
      </w:r>
    </w:p>
    <w:p w14:paraId="4E6520E5" w14:textId="77777777" w:rsidR="00D7623A" w:rsidRPr="00D00979" w:rsidRDefault="00D7623A" w:rsidP="00D7623A">
      <w:pPr>
        <w:pStyle w:val="Corps"/>
        <w:jc w:val="both"/>
        <w:rPr>
          <w:rFonts w:ascii="Times New Roman" w:hAnsi="Times New Roman" w:cs="Times New Roman"/>
          <w:lang w:val="en-US"/>
        </w:rPr>
      </w:pPr>
    </w:p>
    <w:p w14:paraId="43401515" w14:textId="47E10B74" w:rsidR="00486856" w:rsidRPr="00D00979" w:rsidRDefault="00021A9E" w:rsidP="00D7623A">
      <w:pPr>
        <w:pStyle w:val="Corps"/>
        <w:jc w:val="both"/>
        <w:rPr>
          <w:rFonts w:ascii="Times New Roman" w:hAnsi="Times New Roman" w:cs="Times New Roman"/>
          <w:lang w:val="en-US"/>
        </w:rPr>
      </w:pPr>
      <w:r w:rsidRPr="00D00979">
        <w:rPr>
          <w:rFonts w:ascii="Times New Roman" w:hAnsi="Times New Roman" w:cs="Times New Roman"/>
          <w:lang w:val="en-US"/>
        </w:rPr>
        <w:t xml:space="preserve">It remains somewhat unclear, </w:t>
      </w:r>
      <w:r w:rsidR="00213890" w:rsidRPr="00D00979">
        <w:rPr>
          <w:rFonts w:ascii="Times New Roman" w:hAnsi="Times New Roman" w:cs="Times New Roman"/>
          <w:lang w:val="en-US"/>
        </w:rPr>
        <w:t>however</w:t>
      </w:r>
      <w:r w:rsidRPr="00D00979">
        <w:rPr>
          <w:rFonts w:ascii="Times New Roman" w:hAnsi="Times New Roman" w:cs="Times New Roman"/>
          <w:lang w:val="en-US"/>
        </w:rPr>
        <w:t xml:space="preserve">, whether and to what extent the principle of equal treatment may be relied upon by </w:t>
      </w:r>
      <w:r w:rsidR="005C2F14" w:rsidRPr="00D00979">
        <w:rPr>
          <w:rFonts w:ascii="Times New Roman" w:hAnsi="Times New Roman" w:cs="Times New Roman"/>
          <w:lang w:val="en-US"/>
        </w:rPr>
        <w:t xml:space="preserve">different categories of </w:t>
      </w:r>
      <w:r w:rsidRPr="00D00979">
        <w:rPr>
          <w:rFonts w:ascii="Times New Roman" w:hAnsi="Times New Roman" w:cs="Times New Roman"/>
          <w:lang w:val="en-US"/>
        </w:rPr>
        <w:t xml:space="preserve">individuals in order to obtain social </w:t>
      </w:r>
      <w:r w:rsidR="00584B59" w:rsidRPr="00D00979">
        <w:rPr>
          <w:rFonts w:ascii="Times New Roman" w:hAnsi="Times New Roman" w:cs="Times New Roman"/>
          <w:lang w:val="en-US"/>
        </w:rPr>
        <w:t>benefits</w:t>
      </w:r>
      <w:r w:rsidRPr="00D00979">
        <w:rPr>
          <w:rFonts w:ascii="Times New Roman" w:hAnsi="Times New Roman" w:cs="Times New Roman"/>
          <w:lang w:val="en-US"/>
        </w:rPr>
        <w:t xml:space="preserve"> in the host </w:t>
      </w:r>
      <w:r w:rsidR="00120E87" w:rsidRPr="00D00979">
        <w:rPr>
          <w:rFonts w:ascii="Times New Roman" w:hAnsi="Times New Roman" w:cs="Times New Roman"/>
          <w:lang w:val="en-US"/>
        </w:rPr>
        <w:t>S</w:t>
      </w:r>
      <w:r w:rsidRPr="00D00979">
        <w:rPr>
          <w:rFonts w:ascii="Times New Roman" w:hAnsi="Times New Roman" w:cs="Times New Roman"/>
          <w:lang w:val="en-US"/>
        </w:rPr>
        <w:t>tate.</w:t>
      </w:r>
      <w:r w:rsidR="005C2F14" w:rsidRPr="00D00979">
        <w:rPr>
          <w:rFonts w:ascii="Times New Roman" w:hAnsi="Times New Roman" w:cs="Times New Roman"/>
          <w:lang w:val="en-US"/>
        </w:rPr>
        <w:t xml:space="preserve"> </w:t>
      </w:r>
      <w:r w:rsidR="00213890" w:rsidRPr="00D00979">
        <w:rPr>
          <w:rFonts w:ascii="Times New Roman" w:hAnsi="Times New Roman" w:cs="Times New Roman"/>
          <w:lang w:val="en-US"/>
        </w:rPr>
        <w:t>The adoption of Directive 2004/38 (“the Citizenship Directive”)</w:t>
      </w:r>
      <w:r w:rsidR="00213890" w:rsidRPr="00D00979">
        <w:rPr>
          <w:rStyle w:val="Appelnotedebasdep"/>
          <w:rFonts w:ascii="Times New Roman" w:hAnsi="Times New Roman" w:cs="Times New Roman"/>
          <w:lang w:val="en-US"/>
        </w:rPr>
        <w:footnoteReference w:id="8"/>
      </w:r>
      <w:r w:rsidR="00213890" w:rsidRPr="00D00979">
        <w:rPr>
          <w:rFonts w:ascii="Times New Roman" w:hAnsi="Times New Roman" w:cs="Times New Roman"/>
          <w:lang w:val="en-US"/>
        </w:rPr>
        <w:t xml:space="preserve"> was </w:t>
      </w:r>
      <w:r w:rsidR="0037135A" w:rsidRPr="00D00979">
        <w:rPr>
          <w:rFonts w:ascii="Times New Roman" w:hAnsi="Times New Roman" w:cs="Times New Roman"/>
          <w:lang w:val="en-US"/>
        </w:rPr>
        <w:t>intended</w:t>
      </w:r>
      <w:r w:rsidR="00213890" w:rsidRPr="00D00979">
        <w:rPr>
          <w:rFonts w:ascii="Times New Roman" w:hAnsi="Times New Roman" w:cs="Times New Roman"/>
          <w:lang w:val="en-US"/>
        </w:rPr>
        <w:t xml:space="preserve"> to bring about much-needed clarity in that respect. Its stated aim was indeed to “remedy the piecemeal approach to the right to free movement”</w:t>
      </w:r>
      <w:r w:rsidR="00213890" w:rsidRPr="00D00979">
        <w:rPr>
          <w:rStyle w:val="Appelnotedebasdep"/>
          <w:rFonts w:ascii="Times New Roman" w:hAnsi="Times New Roman" w:cs="Times New Roman"/>
          <w:lang w:val="en-US"/>
        </w:rPr>
        <w:footnoteReference w:id="9"/>
      </w:r>
      <w:r w:rsidR="00213890" w:rsidRPr="00D00979">
        <w:rPr>
          <w:rFonts w:ascii="Times New Roman" w:hAnsi="Times New Roman" w:cs="Times New Roman"/>
          <w:lang w:val="en-US"/>
        </w:rPr>
        <w:t xml:space="preserve"> in favour of “more predictable rights for economically inactive Union citizens”.</w:t>
      </w:r>
      <w:r w:rsidR="00213890" w:rsidRPr="00D00979">
        <w:rPr>
          <w:rStyle w:val="Appelnotedebasdep"/>
          <w:rFonts w:ascii="Times New Roman" w:hAnsi="Times New Roman" w:cs="Times New Roman"/>
          <w:lang w:val="en-US"/>
        </w:rPr>
        <w:footnoteReference w:id="10"/>
      </w:r>
      <w:r w:rsidR="00213890" w:rsidRPr="00D00979">
        <w:rPr>
          <w:rFonts w:ascii="Times New Roman" w:hAnsi="Times New Roman" w:cs="Times New Roman"/>
          <w:lang w:val="en-US"/>
        </w:rPr>
        <w:t xml:space="preserve"> </w:t>
      </w:r>
      <w:r w:rsidR="005C2F14" w:rsidRPr="00D00979">
        <w:rPr>
          <w:rFonts w:ascii="Times New Roman" w:hAnsi="Times New Roman" w:cs="Times New Roman"/>
          <w:lang w:val="en-US"/>
        </w:rPr>
        <w:t xml:space="preserve">Perhaps somewhat surprisingly, </w:t>
      </w:r>
      <w:r w:rsidR="00213890" w:rsidRPr="00D00979">
        <w:rPr>
          <w:rFonts w:ascii="Times New Roman" w:hAnsi="Times New Roman" w:cs="Times New Roman"/>
          <w:lang w:val="en-US"/>
        </w:rPr>
        <w:t>though</w:t>
      </w:r>
      <w:r w:rsidR="005C2F14" w:rsidRPr="00D00979">
        <w:rPr>
          <w:rFonts w:ascii="Times New Roman" w:hAnsi="Times New Roman" w:cs="Times New Roman"/>
          <w:lang w:val="en-US"/>
        </w:rPr>
        <w:t>,</w:t>
      </w:r>
      <w:r w:rsidR="00213890" w:rsidRPr="00D00979">
        <w:rPr>
          <w:rFonts w:ascii="Times New Roman" w:hAnsi="Times New Roman" w:cs="Times New Roman"/>
          <w:lang w:val="en-US"/>
        </w:rPr>
        <w:t xml:space="preserve"> </w:t>
      </w:r>
      <w:r w:rsidR="005C2F14" w:rsidRPr="00D00979">
        <w:rPr>
          <w:rFonts w:ascii="Times New Roman" w:hAnsi="Times New Roman" w:cs="Times New Roman"/>
          <w:lang w:val="en-US"/>
        </w:rPr>
        <w:t>the Citizenship Directive</w:t>
      </w:r>
      <w:r w:rsidR="00213890" w:rsidRPr="00D00979">
        <w:rPr>
          <w:rFonts w:ascii="Times New Roman" w:hAnsi="Times New Roman" w:cs="Times New Roman"/>
          <w:lang w:val="en-US"/>
        </w:rPr>
        <w:t xml:space="preserve"> </w:t>
      </w:r>
      <w:r w:rsidR="005C2F14" w:rsidRPr="00D00979">
        <w:rPr>
          <w:rFonts w:ascii="Times New Roman" w:hAnsi="Times New Roman" w:cs="Times New Roman"/>
          <w:lang w:val="en-US"/>
        </w:rPr>
        <w:t>continues to co-exist with other legislative instruments intended to flesh out the limits of the principle of equal treatment in relation to social assistance. Amongst those instruments features Regulation 492/2011 (“the Workers’ Regulation”),</w:t>
      </w:r>
      <w:r w:rsidR="005C2F14" w:rsidRPr="00D00979">
        <w:rPr>
          <w:rStyle w:val="Appelnotedebasdep"/>
          <w:rFonts w:ascii="Times New Roman" w:hAnsi="Times New Roman" w:cs="Times New Roman"/>
          <w:lang w:val="en-US"/>
        </w:rPr>
        <w:footnoteReference w:id="11"/>
      </w:r>
      <w:r w:rsidR="005C2F14" w:rsidRPr="00D00979">
        <w:rPr>
          <w:rFonts w:ascii="Times New Roman" w:hAnsi="Times New Roman" w:cs="Times New Roman"/>
          <w:lang w:val="en-US"/>
        </w:rPr>
        <w:t xml:space="preserve"> which offers </w:t>
      </w:r>
      <w:r w:rsidR="00162210" w:rsidRPr="00D00979">
        <w:rPr>
          <w:rFonts w:ascii="Times New Roman" w:hAnsi="Times New Roman" w:cs="Times New Roman"/>
          <w:lang w:val="en-US"/>
        </w:rPr>
        <w:t>far</w:t>
      </w:r>
      <w:r w:rsidR="005C2F14" w:rsidRPr="00D00979">
        <w:rPr>
          <w:rFonts w:ascii="Times New Roman" w:hAnsi="Times New Roman" w:cs="Times New Roman"/>
          <w:lang w:val="en-US"/>
        </w:rPr>
        <w:t xml:space="preserve">-reaching equal treatment </w:t>
      </w:r>
      <w:r w:rsidR="00162210" w:rsidRPr="00D00979">
        <w:rPr>
          <w:rFonts w:ascii="Times New Roman" w:hAnsi="Times New Roman" w:cs="Times New Roman"/>
          <w:lang w:val="en-US"/>
        </w:rPr>
        <w:t>rights</w:t>
      </w:r>
      <w:r w:rsidR="005C2F14" w:rsidRPr="00D00979">
        <w:rPr>
          <w:rFonts w:ascii="Times New Roman" w:hAnsi="Times New Roman" w:cs="Times New Roman"/>
          <w:lang w:val="en-US"/>
        </w:rPr>
        <w:t xml:space="preserve"> to “workers” in relation to “social </w:t>
      </w:r>
      <w:r w:rsidR="00D15376" w:rsidRPr="00D00979">
        <w:rPr>
          <w:rFonts w:ascii="Times New Roman" w:hAnsi="Times New Roman" w:cs="Times New Roman"/>
          <w:lang w:val="en-US"/>
        </w:rPr>
        <w:t>advantages</w:t>
      </w:r>
      <w:r w:rsidR="005C2F14" w:rsidRPr="00D00979">
        <w:rPr>
          <w:rFonts w:ascii="Times New Roman" w:hAnsi="Times New Roman" w:cs="Times New Roman"/>
          <w:lang w:val="en-US"/>
        </w:rPr>
        <w:t>”</w:t>
      </w:r>
      <w:r w:rsidR="00162210" w:rsidRPr="00D00979">
        <w:rPr>
          <w:rFonts w:ascii="Times New Roman" w:hAnsi="Times New Roman" w:cs="Times New Roman"/>
          <w:lang w:val="en-US"/>
        </w:rPr>
        <w:t xml:space="preserve"> (</w:t>
      </w:r>
      <w:r w:rsidR="00E825A4" w:rsidRPr="00D00979">
        <w:rPr>
          <w:rFonts w:ascii="Times New Roman" w:hAnsi="Times New Roman" w:cs="Times New Roman"/>
          <w:lang w:val="en-US"/>
        </w:rPr>
        <w:t>a</w:t>
      </w:r>
      <w:r w:rsidR="00162210" w:rsidRPr="00D00979">
        <w:rPr>
          <w:rFonts w:ascii="Times New Roman" w:hAnsi="Times New Roman" w:cs="Times New Roman"/>
          <w:lang w:val="en-US"/>
        </w:rPr>
        <w:t>rt. 7(2))</w:t>
      </w:r>
      <w:r w:rsidR="005C2F14" w:rsidRPr="00D00979">
        <w:rPr>
          <w:rFonts w:ascii="Times New Roman" w:hAnsi="Times New Roman" w:cs="Times New Roman"/>
          <w:lang w:val="en-US"/>
        </w:rPr>
        <w:t>.</w:t>
      </w:r>
      <w:r w:rsidR="00213890" w:rsidRPr="00D00979">
        <w:rPr>
          <w:rFonts w:ascii="Times New Roman" w:hAnsi="Times New Roman" w:cs="Times New Roman"/>
          <w:lang w:val="en-US"/>
        </w:rPr>
        <w:t xml:space="preserve"> </w:t>
      </w:r>
      <w:r w:rsidR="00E502D0" w:rsidRPr="00D00979">
        <w:rPr>
          <w:rFonts w:ascii="Times New Roman" w:hAnsi="Times New Roman" w:cs="Times New Roman"/>
          <w:lang w:val="en-US"/>
        </w:rPr>
        <w:t xml:space="preserve">The interaction between those two legislative instruments raises some challenging questions about the interplay between the equal treatment guarantees vested in Union citizens by Articles 18, 21 and 45 </w:t>
      </w:r>
      <w:r w:rsidR="002D50B6" w:rsidRPr="00D00979">
        <w:rPr>
          <w:rFonts w:ascii="Times New Roman" w:hAnsi="Times New Roman" w:cs="Times New Roman"/>
          <w:lang w:val="en-US"/>
        </w:rPr>
        <w:t xml:space="preserve">of the </w:t>
      </w:r>
      <w:r w:rsidR="00E502D0" w:rsidRPr="00D00979">
        <w:rPr>
          <w:rFonts w:ascii="Times New Roman" w:hAnsi="Times New Roman" w:cs="Times New Roman"/>
          <w:lang w:val="en-US"/>
        </w:rPr>
        <w:t>T</w:t>
      </w:r>
      <w:r w:rsidR="002D50B6" w:rsidRPr="00D00979">
        <w:rPr>
          <w:rFonts w:ascii="Times New Roman" w:hAnsi="Times New Roman" w:cs="Times New Roman"/>
          <w:lang w:val="en-US"/>
        </w:rPr>
        <w:t xml:space="preserve">reaty on the </w:t>
      </w:r>
      <w:r w:rsidR="00E502D0" w:rsidRPr="00D00979">
        <w:rPr>
          <w:rFonts w:ascii="Times New Roman" w:hAnsi="Times New Roman" w:cs="Times New Roman"/>
          <w:lang w:val="en-US"/>
        </w:rPr>
        <w:t>F</w:t>
      </w:r>
      <w:r w:rsidR="002D50B6" w:rsidRPr="00D00979">
        <w:rPr>
          <w:rFonts w:ascii="Times New Roman" w:hAnsi="Times New Roman" w:cs="Times New Roman"/>
          <w:lang w:val="en-US"/>
        </w:rPr>
        <w:t xml:space="preserve">unctioning of the </w:t>
      </w:r>
      <w:r w:rsidR="00E502D0" w:rsidRPr="00D00979">
        <w:rPr>
          <w:rFonts w:ascii="Times New Roman" w:hAnsi="Times New Roman" w:cs="Times New Roman"/>
          <w:lang w:val="en-US"/>
        </w:rPr>
        <w:t>E</w:t>
      </w:r>
      <w:r w:rsidR="002D50B6" w:rsidRPr="00D00979">
        <w:rPr>
          <w:rFonts w:ascii="Times New Roman" w:hAnsi="Times New Roman" w:cs="Times New Roman"/>
          <w:lang w:val="en-US"/>
        </w:rPr>
        <w:t xml:space="preserve">uropean </w:t>
      </w:r>
      <w:r w:rsidR="00E502D0" w:rsidRPr="00D00979">
        <w:rPr>
          <w:rFonts w:ascii="Times New Roman" w:hAnsi="Times New Roman" w:cs="Times New Roman"/>
          <w:lang w:val="en-US"/>
        </w:rPr>
        <w:t>U</w:t>
      </w:r>
      <w:r w:rsidR="002D50B6" w:rsidRPr="00D00979">
        <w:rPr>
          <w:rFonts w:ascii="Times New Roman" w:hAnsi="Times New Roman" w:cs="Times New Roman"/>
          <w:lang w:val="en-US"/>
        </w:rPr>
        <w:t>nion (“TFEU”)</w:t>
      </w:r>
      <w:r w:rsidR="00E502D0" w:rsidRPr="00D00979">
        <w:rPr>
          <w:rFonts w:ascii="Times New Roman" w:hAnsi="Times New Roman" w:cs="Times New Roman"/>
          <w:lang w:val="en-US"/>
        </w:rPr>
        <w:t xml:space="preserve"> and the different legislative measures adopted to give effect to these Treaty provisions.</w:t>
      </w:r>
      <w:r w:rsidR="00E502D0" w:rsidRPr="00D00979">
        <w:rPr>
          <w:rStyle w:val="Appelnotedebasdep"/>
          <w:rFonts w:ascii="Times New Roman" w:hAnsi="Times New Roman" w:cs="Times New Roman"/>
          <w:lang w:val="en-US"/>
        </w:rPr>
        <w:footnoteReference w:id="12"/>
      </w:r>
      <w:r w:rsidR="00E502D0" w:rsidRPr="00D00979">
        <w:rPr>
          <w:rFonts w:ascii="Times New Roman" w:hAnsi="Times New Roman" w:cs="Times New Roman"/>
          <w:lang w:val="en-US"/>
        </w:rPr>
        <w:t xml:space="preserve">  </w:t>
      </w:r>
    </w:p>
    <w:p w14:paraId="1489E1B3" w14:textId="77777777" w:rsidR="00D7623A" w:rsidRPr="00D00979" w:rsidRDefault="00D7623A" w:rsidP="00D7623A">
      <w:pPr>
        <w:pStyle w:val="Corps"/>
        <w:jc w:val="both"/>
        <w:rPr>
          <w:rFonts w:ascii="Times New Roman" w:hAnsi="Times New Roman" w:cs="Times New Roman"/>
          <w:lang w:val="en-US"/>
        </w:rPr>
      </w:pPr>
    </w:p>
    <w:p w14:paraId="44A1FBB8" w14:textId="279522C6" w:rsidR="005C2F14" w:rsidRPr="00D00979" w:rsidRDefault="004043C4" w:rsidP="00D7623A">
      <w:pPr>
        <w:autoSpaceDE w:val="0"/>
        <w:autoSpaceDN w:val="0"/>
        <w:adjustRightInd w:val="0"/>
        <w:jc w:val="both"/>
        <w:rPr>
          <w:sz w:val="22"/>
          <w:szCs w:val="22"/>
          <w:lang w:val="en-US"/>
        </w:rPr>
      </w:pPr>
      <w:r w:rsidRPr="00D00979">
        <w:rPr>
          <w:sz w:val="22"/>
          <w:szCs w:val="22"/>
          <w:lang w:val="en-US"/>
        </w:rPr>
        <w:t>One of the most thorny issues encountered by national administrations concerns the</w:t>
      </w:r>
      <w:r w:rsidR="003C60E0" w:rsidRPr="00D00979">
        <w:rPr>
          <w:sz w:val="22"/>
          <w:szCs w:val="22"/>
          <w:lang w:val="en-US"/>
        </w:rPr>
        <w:t xml:space="preserve"> extent to which</w:t>
      </w:r>
      <w:r w:rsidRPr="00D00979">
        <w:rPr>
          <w:sz w:val="22"/>
          <w:szCs w:val="22"/>
          <w:lang w:val="en-US"/>
        </w:rPr>
        <w:t xml:space="preserve"> </w:t>
      </w:r>
      <w:r w:rsidR="00F96D1B" w:rsidRPr="00D00979">
        <w:rPr>
          <w:sz w:val="22"/>
          <w:szCs w:val="22"/>
          <w:lang w:val="en-US"/>
        </w:rPr>
        <w:t>migrant Union jobseekers</w:t>
      </w:r>
      <w:r w:rsidRPr="00D00979">
        <w:rPr>
          <w:sz w:val="22"/>
          <w:szCs w:val="22"/>
          <w:lang w:val="en-US"/>
        </w:rPr>
        <w:t xml:space="preserve"> may rely on </w:t>
      </w:r>
      <w:r w:rsidR="00213890" w:rsidRPr="00D00979">
        <w:rPr>
          <w:sz w:val="22"/>
          <w:szCs w:val="22"/>
          <w:lang w:val="en-US"/>
        </w:rPr>
        <w:t xml:space="preserve">equal treatment guarantees </w:t>
      </w:r>
      <w:r w:rsidR="00BB1A61" w:rsidRPr="00D00979">
        <w:rPr>
          <w:sz w:val="22"/>
          <w:szCs w:val="22"/>
          <w:lang w:val="en-US"/>
        </w:rPr>
        <w:t>in order to obtain</w:t>
      </w:r>
      <w:r w:rsidRPr="00D00979">
        <w:rPr>
          <w:sz w:val="22"/>
          <w:szCs w:val="22"/>
          <w:lang w:val="en-US"/>
        </w:rPr>
        <w:t xml:space="preserve"> </w:t>
      </w:r>
      <w:r w:rsidR="00BB1A61" w:rsidRPr="00D00979">
        <w:rPr>
          <w:sz w:val="22"/>
          <w:szCs w:val="22"/>
          <w:lang w:val="en-US"/>
        </w:rPr>
        <w:t>financial support</w:t>
      </w:r>
      <w:r w:rsidRPr="00D00979">
        <w:rPr>
          <w:sz w:val="22"/>
          <w:szCs w:val="22"/>
          <w:lang w:val="en-US"/>
        </w:rPr>
        <w:t xml:space="preserve"> </w:t>
      </w:r>
      <w:r w:rsidR="00BB1A61" w:rsidRPr="00D00979">
        <w:rPr>
          <w:sz w:val="22"/>
          <w:szCs w:val="22"/>
          <w:lang w:val="en-US"/>
        </w:rPr>
        <w:t>from</w:t>
      </w:r>
      <w:r w:rsidRPr="00D00979">
        <w:rPr>
          <w:sz w:val="22"/>
          <w:szCs w:val="22"/>
          <w:lang w:val="en-US"/>
        </w:rPr>
        <w:t xml:space="preserve"> the host Member State. </w:t>
      </w:r>
      <w:r w:rsidR="005C2F14" w:rsidRPr="00D00979">
        <w:rPr>
          <w:sz w:val="22"/>
          <w:szCs w:val="22"/>
          <w:lang w:val="en-US"/>
        </w:rPr>
        <w:t xml:space="preserve">As potential or past market actors, jobseekers </w:t>
      </w:r>
      <w:r w:rsidR="00DF4233" w:rsidRPr="00D00979">
        <w:rPr>
          <w:sz w:val="22"/>
          <w:szCs w:val="22"/>
          <w:lang w:val="en-US"/>
        </w:rPr>
        <w:t xml:space="preserve">indeed </w:t>
      </w:r>
      <w:r w:rsidR="005C2F14" w:rsidRPr="00D00979">
        <w:rPr>
          <w:sz w:val="22"/>
          <w:szCs w:val="22"/>
          <w:lang w:val="en-US"/>
        </w:rPr>
        <w:t>feature at the borderline between economically active and inactive Union citizens.</w:t>
      </w:r>
      <w:r w:rsidR="006A2221" w:rsidRPr="00D00979">
        <w:rPr>
          <w:sz w:val="22"/>
          <w:szCs w:val="22"/>
          <w:lang w:val="en-US"/>
        </w:rPr>
        <w:t xml:space="preserve"> Because they do not, or no longer, perform an economic activity, they do not belong </w:t>
      </w:r>
      <w:r w:rsidR="006A2221" w:rsidRPr="00D00979">
        <w:rPr>
          <w:rStyle w:val="Aucun"/>
          <w:sz w:val="22"/>
          <w:szCs w:val="22"/>
          <w:lang w:val="en-US"/>
        </w:rPr>
        <w:t>per se</w:t>
      </w:r>
      <w:r w:rsidR="006A2221" w:rsidRPr="00D00979">
        <w:rPr>
          <w:rStyle w:val="Aucun"/>
          <w:i/>
          <w:iCs/>
          <w:sz w:val="22"/>
          <w:szCs w:val="22"/>
          <w:lang w:val="en-US"/>
        </w:rPr>
        <w:t xml:space="preserve"> </w:t>
      </w:r>
      <w:r w:rsidR="006A2221" w:rsidRPr="00D00979">
        <w:rPr>
          <w:sz w:val="22"/>
          <w:szCs w:val="22"/>
          <w:lang w:val="en-US"/>
        </w:rPr>
        <w:t>to the category of economically active citizens.</w:t>
      </w:r>
      <w:r w:rsidR="005C2F14" w:rsidRPr="00D00979">
        <w:rPr>
          <w:sz w:val="22"/>
          <w:szCs w:val="22"/>
          <w:lang w:val="en-US"/>
        </w:rPr>
        <w:t xml:space="preserve"> </w:t>
      </w:r>
      <w:r w:rsidR="006A2221" w:rsidRPr="00D00979">
        <w:rPr>
          <w:sz w:val="22"/>
          <w:szCs w:val="22"/>
          <w:lang w:val="en-US"/>
        </w:rPr>
        <w:t xml:space="preserve">At the same time, they may have undertaken an economic activity in the host state – or are likely to do so in the foreseeable future. </w:t>
      </w:r>
      <w:r w:rsidR="005C2F14" w:rsidRPr="00D00979">
        <w:rPr>
          <w:sz w:val="22"/>
          <w:szCs w:val="22"/>
          <w:lang w:val="en-US"/>
        </w:rPr>
        <w:t xml:space="preserve">As such, </w:t>
      </w:r>
      <w:r w:rsidR="00AA7BB4">
        <w:rPr>
          <w:sz w:val="22"/>
          <w:szCs w:val="22"/>
          <w:lang w:val="en-US"/>
        </w:rPr>
        <w:t>the Court has consistently recognised that they</w:t>
      </w:r>
      <w:r w:rsidR="005C2F14" w:rsidRPr="00D00979">
        <w:rPr>
          <w:sz w:val="22"/>
          <w:szCs w:val="22"/>
          <w:lang w:val="en-US"/>
        </w:rPr>
        <w:t xml:space="preserve"> may derive broad equal treatment guarantees as “workers” within the meaning of Article 7(2) of the Workers’ Regulation;</w:t>
      </w:r>
      <w:r w:rsidR="00AA7BB4">
        <w:rPr>
          <w:rStyle w:val="Appelnotedebasdep"/>
          <w:sz w:val="22"/>
          <w:szCs w:val="22"/>
          <w:lang w:val="en-US"/>
        </w:rPr>
        <w:footnoteReference w:id="13"/>
      </w:r>
      <w:r w:rsidR="005C2F14" w:rsidRPr="00D00979">
        <w:rPr>
          <w:sz w:val="22"/>
          <w:szCs w:val="22"/>
          <w:lang w:val="en-US"/>
        </w:rPr>
        <w:t xml:space="preserve"> while, at the same time, being subject to the limitations imposed on “retained workers”</w:t>
      </w:r>
      <w:r w:rsidR="008F14CE" w:rsidRPr="00D00979">
        <w:rPr>
          <w:sz w:val="22"/>
          <w:szCs w:val="22"/>
          <w:lang w:val="en-US"/>
        </w:rPr>
        <w:t xml:space="preserve"> (</w:t>
      </w:r>
      <w:r w:rsidR="00E825A4" w:rsidRPr="00D00979">
        <w:rPr>
          <w:sz w:val="22"/>
          <w:szCs w:val="22"/>
          <w:lang w:val="en-US"/>
        </w:rPr>
        <w:t>a</w:t>
      </w:r>
      <w:r w:rsidR="008F14CE" w:rsidRPr="00D00979">
        <w:rPr>
          <w:sz w:val="22"/>
          <w:szCs w:val="22"/>
          <w:lang w:val="en-US"/>
        </w:rPr>
        <w:t>rt. 7(3))</w:t>
      </w:r>
      <w:r w:rsidR="005F585D" w:rsidRPr="00D00979">
        <w:rPr>
          <w:sz w:val="22"/>
          <w:szCs w:val="22"/>
          <w:lang w:val="en-US"/>
        </w:rPr>
        <w:t xml:space="preserve"> </w:t>
      </w:r>
      <w:r w:rsidR="005C2F14" w:rsidRPr="00D00979">
        <w:rPr>
          <w:sz w:val="22"/>
          <w:szCs w:val="22"/>
          <w:lang w:val="en-US"/>
        </w:rPr>
        <w:t>and “first-time jobseekers”</w:t>
      </w:r>
      <w:r w:rsidR="008F14CE" w:rsidRPr="00D00979">
        <w:rPr>
          <w:sz w:val="22"/>
          <w:szCs w:val="22"/>
          <w:lang w:val="en-US"/>
        </w:rPr>
        <w:t xml:space="preserve"> (</w:t>
      </w:r>
      <w:r w:rsidR="00E825A4" w:rsidRPr="00D00979">
        <w:rPr>
          <w:sz w:val="22"/>
          <w:szCs w:val="22"/>
          <w:lang w:val="en-US"/>
        </w:rPr>
        <w:t>a</w:t>
      </w:r>
      <w:r w:rsidR="008F14CE" w:rsidRPr="00D00979">
        <w:rPr>
          <w:sz w:val="22"/>
          <w:szCs w:val="22"/>
          <w:lang w:val="en-US"/>
        </w:rPr>
        <w:t>rt. 14(4))</w:t>
      </w:r>
      <w:r w:rsidR="005C2F14" w:rsidRPr="00D00979">
        <w:rPr>
          <w:sz w:val="22"/>
          <w:szCs w:val="22"/>
          <w:lang w:val="en-US"/>
        </w:rPr>
        <w:t xml:space="preserve"> by </w:t>
      </w:r>
      <w:r w:rsidR="005C2F14" w:rsidRPr="00D00979">
        <w:rPr>
          <w:rFonts w:eastAsia="Arial Unicode MS"/>
          <w:sz w:val="22"/>
          <w:szCs w:val="22"/>
          <w:bdr w:val="nil"/>
          <w:lang w:val="en-US"/>
        </w:rPr>
        <w:t>Article 24(2) of the Citizenship Directive.</w:t>
      </w:r>
      <w:r w:rsidR="005C2F14" w:rsidRPr="00D00979">
        <w:rPr>
          <w:sz w:val="22"/>
          <w:szCs w:val="22"/>
          <w:lang w:val="en-US"/>
        </w:rPr>
        <w:t xml:space="preserve"> In the event of overlap between these two instruments, the question therefore arises as to which specific expression of the </w:t>
      </w:r>
      <w:r w:rsidR="00EF4250" w:rsidRPr="00D00979">
        <w:rPr>
          <w:sz w:val="22"/>
          <w:szCs w:val="22"/>
          <w:lang w:val="en-US"/>
        </w:rPr>
        <w:t xml:space="preserve">equality </w:t>
      </w:r>
      <w:r w:rsidR="005C2F14" w:rsidRPr="00D00979">
        <w:rPr>
          <w:sz w:val="22"/>
          <w:szCs w:val="22"/>
          <w:lang w:val="en-US"/>
        </w:rPr>
        <w:t xml:space="preserve">rights linked to the status of worker should prevail. It is sometimes suggested that </w:t>
      </w:r>
      <w:r w:rsidR="005C2F14" w:rsidRPr="00D00979">
        <w:rPr>
          <w:sz w:val="22"/>
          <w:szCs w:val="22"/>
          <w:lang w:val="en-US"/>
        </w:rPr>
        <w:lastRenderedPageBreak/>
        <w:t xml:space="preserve">after the Court’s judgments in </w:t>
      </w:r>
      <w:r w:rsidR="005C2F14" w:rsidRPr="00D00979">
        <w:rPr>
          <w:i/>
          <w:iCs/>
          <w:sz w:val="22"/>
          <w:szCs w:val="22"/>
          <w:lang w:val="en-US"/>
        </w:rPr>
        <w:t>Dano</w:t>
      </w:r>
      <w:r w:rsidR="005C2F14" w:rsidRPr="00D00979">
        <w:rPr>
          <w:sz w:val="22"/>
          <w:szCs w:val="22"/>
          <w:lang w:val="en-US"/>
        </w:rPr>
        <w:t xml:space="preserve"> and </w:t>
      </w:r>
      <w:r w:rsidR="005C2F14" w:rsidRPr="00D00979">
        <w:rPr>
          <w:i/>
          <w:iCs/>
          <w:sz w:val="22"/>
          <w:szCs w:val="22"/>
          <w:lang w:val="en-US"/>
        </w:rPr>
        <w:t>Alimanovic</w:t>
      </w:r>
      <w:r w:rsidR="005C2F14" w:rsidRPr="00D00979">
        <w:rPr>
          <w:sz w:val="22"/>
          <w:szCs w:val="22"/>
          <w:lang w:val="en-US"/>
        </w:rPr>
        <w:t>,</w:t>
      </w:r>
      <w:r w:rsidR="005C2F14" w:rsidRPr="00D00979">
        <w:rPr>
          <w:rStyle w:val="Appelnotedebasdep"/>
          <w:sz w:val="22"/>
          <w:szCs w:val="22"/>
          <w:lang w:val="en-US"/>
        </w:rPr>
        <w:footnoteReference w:id="14"/>
      </w:r>
      <w:r w:rsidR="005C2F14" w:rsidRPr="00D00979">
        <w:rPr>
          <w:sz w:val="22"/>
          <w:szCs w:val="22"/>
          <w:lang w:val="en-US"/>
        </w:rPr>
        <w:t xml:space="preserve"> the limitations expressed in the Citizenship Directive have attained “super-norm status” and may be deemed to “supersede other specific expressions of free movement rights”.</w:t>
      </w:r>
      <w:r w:rsidR="005C2F14" w:rsidRPr="00D00979">
        <w:rPr>
          <w:rStyle w:val="Appelnotedebasdep"/>
          <w:sz w:val="22"/>
          <w:szCs w:val="22"/>
        </w:rPr>
        <w:footnoteReference w:id="15"/>
      </w:r>
      <w:r w:rsidR="005C2F14" w:rsidRPr="00D00979">
        <w:rPr>
          <w:sz w:val="22"/>
          <w:szCs w:val="22"/>
          <w:lang w:val="en-US"/>
        </w:rPr>
        <w:t xml:space="preserve"> In those judgments, the Court focused almost exclusively on a literal interpretation of the conditions expressed by the Directive. More specifically, the Court considerered in </w:t>
      </w:r>
      <w:r w:rsidR="005C2F14" w:rsidRPr="00D00979">
        <w:rPr>
          <w:i/>
          <w:iCs/>
          <w:sz w:val="22"/>
          <w:szCs w:val="22"/>
          <w:lang w:val="en-US"/>
        </w:rPr>
        <w:t>Alimanovic</w:t>
      </w:r>
      <w:r w:rsidR="005C2F14" w:rsidRPr="00D00979">
        <w:rPr>
          <w:sz w:val="22"/>
          <w:szCs w:val="22"/>
          <w:lang w:val="en-US"/>
        </w:rPr>
        <w:t xml:space="preserve"> that as migrant jobseekers Ms Alimanovic and her daughter could be subject to the limitations imposed on </w:t>
      </w:r>
      <w:r w:rsidR="00E82954" w:rsidRPr="00D00979">
        <w:rPr>
          <w:sz w:val="22"/>
          <w:szCs w:val="22"/>
          <w:lang w:val="en-US"/>
        </w:rPr>
        <w:t xml:space="preserve">individuals belonging to the categories of </w:t>
      </w:r>
      <w:r w:rsidR="005C2F14" w:rsidRPr="00D00979">
        <w:rPr>
          <w:sz w:val="22"/>
          <w:szCs w:val="22"/>
          <w:lang w:val="en-US"/>
        </w:rPr>
        <w:t xml:space="preserve">“retained workers” and “first-time jobseekers” by </w:t>
      </w:r>
      <w:r w:rsidR="00E82954" w:rsidRPr="00D00979">
        <w:rPr>
          <w:sz w:val="22"/>
          <w:szCs w:val="22"/>
          <w:lang w:val="en-US"/>
        </w:rPr>
        <w:t xml:space="preserve">virtue of </w:t>
      </w:r>
      <w:r w:rsidR="005C2F14" w:rsidRPr="00D00979">
        <w:rPr>
          <w:sz w:val="22"/>
          <w:szCs w:val="22"/>
          <w:lang w:val="en-US"/>
        </w:rPr>
        <w:t xml:space="preserve">Article 24(2) of the Directive. </w:t>
      </w:r>
      <w:r w:rsidR="003173B2" w:rsidRPr="00D00979">
        <w:rPr>
          <w:sz w:val="22"/>
          <w:szCs w:val="22"/>
          <w:lang w:val="en-US"/>
        </w:rPr>
        <w:t>In doing so</w:t>
      </w:r>
      <w:r w:rsidR="005C2F14" w:rsidRPr="00D00979">
        <w:rPr>
          <w:sz w:val="22"/>
          <w:szCs w:val="22"/>
          <w:lang w:val="en-US"/>
        </w:rPr>
        <w:t xml:space="preserve">, the Court remained oblivious to the possibility </w:t>
      </w:r>
      <w:r w:rsidR="008F1338" w:rsidRPr="00D00979">
        <w:rPr>
          <w:sz w:val="22"/>
          <w:szCs w:val="22"/>
          <w:lang w:val="en-US"/>
        </w:rPr>
        <w:t>vested in</w:t>
      </w:r>
      <w:r w:rsidR="005C2F14" w:rsidRPr="00D00979">
        <w:rPr>
          <w:sz w:val="22"/>
          <w:szCs w:val="22"/>
          <w:lang w:val="en-US"/>
        </w:rPr>
        <w:t xml:space="preserve"> </w:t>
      </w:r>
      <w:r w:rsidR="00A565A1" w:rsidRPr="00D00979">
        <w:rPr>
          <w:sz w:val="22"/>
          <w:szCs w:val="22"/>
          <w:lang w:val="en-US"/>
        </w:rPr>
        <w:t xml:space="preserve">those same </w:t>
      </w:r>
      <w:r w:rsidR="005C2F14" w:rsidRPr="00D00979">
        <w:rPr>
          <w:sz w:val="22"/>
          <w:szCs w:val="22"/>
          <w:lang w:val="en-US"/>
        </w:rPr>
        <w:t xml:space="preserve">migrant jobseekers to draw equal treatment guarantees as regards “social </w:t>
      </w:r>
      <w:r w:rsidR="00D15376" w:rsidRPr="00D00979">
        <w:rPr>
          <w:sz w:val="22"/>
          <w:szCs w:val="22"/>
          <w:lang w:val="en-US"/>
        </w:rPr>
        <w:t>advantages</w:t>
      </w:r>
      <w:r w:rsidR="005C2F14" w:rsidRPr="00D00979">
        <w:rPr>
          <w:sz w:val="22"/>
          <w:szCs w:val="22"/>
          <w:lang w:val="en-US"/>
        </w:rPr>
        <w:t>” from their status as “workers” in accordance with Articles 45(2)</w:t>
      </w:r>
      <w:r w:rsidR="002D50B6" w:rsidRPr="00D00979">
        <w:rPr>
          <w:sz w:val="22"/>
          <w:szCs w:val="22"/>
          <w:lang w:val="en-US"/>
        </w:rPr>
        <w:t xml:space="preserve"> </w:t>
      </w:r>
      <w:r w:rsidR="00E20544" w:rsidRPr="00D00979">
        <w:rPr>
          <w:sz w:val="22"/>
          <w:szCs w:val="22"/>
          <w:lang w:val="en-US"/>
        </w:rPr>
        <w:t>TFEU</w:t>
      </w:r>
      <w:r w:rsidR="005C2F14" w:rsidRPr="00D00979">
        <w:rPr>
          <w:sz w:val="22"/>
          <w:szCs w:val="22"/>
          <w:lang w:val="en-US"/>
        </w:rPr>
        <w:t xml:space="preserve"> and 7(2) of the Workers’ Regulation. </w:t>
      </w:r>
      <w:r w:rsidR="006758E6" w:rsidRPr="00D00979">
        <w:rPr>
          <w:sz w:val="22"/>
          <w:szCs w:val="22"/>
          <w:lang w:val="en-US"/>
        </w:rPr>
        <w:t>By the same token</w:t>
      </w:r>
      <w:r w:rsidR="005C2F14" w:rsidRPr="00D00979">
        <w:rPr>
          <w:sz w:val="22"/>
          <w:szCs w:val="22"/>
          <w:lang w:val="en-US"/>
        </w:rPr>
        <w:t xml:space="preserve">, the Court left unaddressed some challenging questions about the interaction between the Workers’ Regulation and the Citizenship Directive. </w:t>
      </w:r>
      <w:r w:rsidR="005C2F14" w:rsidRPr="00D00979">
        <w:rPr>
          <w:rFonts w:eastAsia="Arial Unicode MS"/>
          <w:sz w:val="22"/>
          <w:szCs w:val="22"/>
          <w:bdr w:val="nil"/>
          <w:lang w:val="en-US"/>
        </w:rPr>
        <w:t xml:space="preserve">In the wake of the Court’s judgments in </w:t>
      </w:r>
      <w:r w:rsidR="005C2F14" w:rsidRPr="00D00979">
        <w:rPr>
          <w:rFonts w:eastAsia="Arial Unicode MS"/>
          <w:i/>
          <w:iCs/>
          <w:sz w:val="22"/>
          <w:szCs w:val="22"/>
          <w:bdr w:val="nil"/>
          <w:lang w:val="en-US"/>
        </w:rPr>
        <w:t xml:space="preserve">Dano </w:t>
      </w:r>
      <w:r w:rsidR="005C2F14" w:rsidRPr="00D00979">
        <w:rPr>
          <w:rFonts w:eastAsia="Arial Unicode MS"/>
          <w:sz w:val="22"/>
          <w:szCs w:val="22"/>
          <w:bdr w:val="nil"/>
          <w:lang w:val="en-US"/>
        </w:rPr>
        <w:t xml:space="preserve">and </w:t>
      </w:r>
      <w:r w:rsidR="005C2F14" w:rsidRPr="00D00979">
        <w:rPr>
          <w:rFonts w:eastAsia="Arial Unicode MS"/>
          <w:i/>
          <w:iCs/>
          <w:sz w:val="22"/>
          <w:szCs w:val="22"/>
          <w:bdr w:val="nil"/>
          <w:lang w:val="en-US"/>
        </w:rPr>
        <w:t>Alimanovic</w:t>
      </w:r>
      <w:r w:rsidR="005C2F14" w:rsidRPr="00D00979">
        <w:rPr>
          <w:rFonts w:eastAsia="Arial Unicode MS"/>
          <w:sz w:val="22"/>
          <w:szCs w:val="22"/>
          <w:bdr w:val="nil"/>
          <w:lang w:val="en-US"/>
        </w:rPr>
        <w:t xml:space="preserve">, it remains </w:t>
      </w:r>
      <w:r w:rsidR="00E502D0" w:rsidRPr="00D00979">
        <w:rPr>
          <w:rFonts w:eastAsia="Arial Unicode MS"/>
          <w:sz w:val="22"/>
          <w:szCs w:val="22"/>
          <w:bdr w:val="nil"/>
          <w:lang w:val="en-US"/>
        </w:rPr>
        <w:t>particularly</w:t>
      </w:r>
      <w:r w:rsidR="005C2F14" w:rsidRPr="00D00979">
        <w:rPr>
          <w:rFonts w:eastAsia="Arial Unicode MS"/>
          <w:sz w:val="22"/>
          <w:szCs w:val="22"/>
          <w:bdr w:val="nil"/>
          <w:lang w:val="en-US"/>
        </w:rPr>
        <w:t xml:space="preserve"> unclear whether and to what extent </w:t>
      </w:r>
      <w:r w:rsidR="005C2F14" w:rsidRPr="00D00979">
        <w:rPr>
          <w:sz w:val="22"/>
          <w:szCs w:val="22"/>
          <w:lang w:val="en-US"/>
        </w:rPr>
        <w:t xml:space="preserve">the </w:t>
      </w:r>
      <w:r w:rsidR="006A2221" w:rsidRPr="00D00979">
        <w:rPr>
          <w:sz w:val="22"/>
          <w:szCs w:val="22"/>
          <w:lang w:val="en-US"/>
        </w:rPr>
        <w:t xml:space="preserve">residence </w:t>
      </w:r>
      <w:r w:rsidR="005C2F14" w:rsidRPr="00D00979">
        <w:rPr>
          <w:sz w:val="22"/>
          <w:szCs w:val="22"/>
          <w:lang w:val="en-US"/>
        </w:rPr>
        <w:t xml:space="preserve">requirements set out </w:t>
      </w:r>
      <w:r w:rsidR="00FC3ABB" w:rsidRPr="00D00979">
        <w:rPr>
          <w:sz w:val="22"/>
          <w:szCs w:val="22"/>
          <w:lang w:val="en-US"/>
        </w:rPr>
        <w:t xml:space="preserve">in </w:t>
      </w:r>
      <w:r w:rsidR="005C2F14" w:rsidRPr="00D00979">
        <w:rPr>
          <w:sz w:val="22"/>
          <w:szCs w:val="22"/>
          <w:lang w:val="en-US"/>
        </w:rPr>
        <w:t xml:space="preserve">the Citizenship Directive may be used to curtail the equal treatment guarantees offered to migrant workers </w:t>
      </w:r>
      <w:r w:rsidR="00FC07A6" w:rsidRPr="00D00979">
        <w:rPr>
          <w:sz w:val="22"/>
          <w:szCs w:val="22"/>
          <w:lang w:val="en-US"/>
        </w:rPr>
        <w:t>by</w:t>
      </w:r>
      <w:r w:rsidR="005C2F14" w:rsidRPr="00D00979">
        <w:rPr>
          <w:sz w:val="22"/>
          <w:szCs w:val="22"/>
          <w:lang w:val="en-US"/>
        </w:rPr>
        <w:t xml:space="preserve"> Regulation 492/2011.</w:t>
      </w:r>
    </w:p>
    <w:p w14:paraId="1FD887E2" w14:textId="77777777" w:rsidR="00D7623A" w:rsidRPr="00D00979" w:rsidRDefault="00D7623A" w:rsidP="00D7623A">
      <w:pPr>
        <w:autoSpaceDE w:val="0"/>
        <w:autoSpaceDN w:val="0"/>
        <w:adjustRightInd w:val="0"/>
        <w:jc w:val="both"/>
        <w:rPr>
          <w:sz w:val="22"/>
          <w:szCs w:val="22"/>
          <w:lang w:val="en-US"/>
        </w:rPr>
      </w:pPr>
    </w:p>
    <w:p w14:paraId="4B66F1BF" w14:textId="06694079" w:rsidR="00656BA9" w:rsidRPr="00D00979" w:rsidRDefault="00E20544" w:rsidP="00D7623A">
      <w:pPr>
        <w:autoSpaceDE w:val="0"/>
        <w:autoSpaceDN w:val="0"/>
        <w:adjustRightInd w:val="0"/>
        <w:jc w:val="both"/>
        <w:rPr>
          <w:sz w:val="22"/>
          <w:szCs w:val="22"/>
          <w:lang w:val="en-US"/>
        </w:rPr>
      </w:pPr>
      <w:r w:rsidRPr="00D00979">
        <w:rPr>
          <w:sz w:val="22"/>
          <w:szCs w:val="22"/>
          <w:lang w:val="en-US"/>
        </w:rPr>
        <w:t xml:space="preserve">Against that backdrop, </w:t>
      </w:r>
      <w:r w:rsidR="00BF2863" w:rsidRPr="00D00979">
        <w:rPr>
          <w:sz w:val="22"/>
          <w:szCs w:val="22"/>
          <w:lang w:val="en-US"/>
        </w:rPr>
        <w:t xml:space="preserve">an analysis of the legal status of jobseekers </w:t>
      </w:r>
      <w:r w:rsidR="0078505E" w:rsidRPr="00D00979">
        <w:rPr>
          <w:sz w:val="22"/>
          <w:szCs w:val="22"/>
          <w:lang w:val="en-US"/>
        </w:rPr>
        <w:t>is</w:t>
      </w:r>
      <w:r w:rsidR="00E82B01" w:rsidRPr="00D00979">
        <w:rPr>
          <w:sz w:val="22"/>
          <w:szCs w:val="22"/>
          <w:lang w:val="en-US"/>
        </w:rPr>
        <w:t xml:space="preserve"> in order as it </w:t>
      </w:r>
      <w:r w:rsidR="00BF2863" w:rsidRPr="00D00979">
        <w:rPr>
          <w:sz w:val="22"/>
          <w:szCs w:val="22"/>
          <w:lang w:val="en-US"/>
        </w:rPr>
        <w:t xml:space="preserve">may help to shed some light on the thorny issues raised by the interaction between the Citizenship Directive and the Workers’ Regulation and, more generally, the intricate set of rules governing </w:t>
      </w:r>
      <w:r w:rsidR="00FB05B6">
        <w:rPr>
          <w:sz w:val="22"/>
          <w:szCs w:val="22"/>
          <w:lang w:val="en-US"/>
        </w:rPr>
        <w:t xml:space="preserve">the legal status of </w:t>
      </w:r>
      <w:r w:rsidR="00BF2863" w:rsidRPr="00D00979">
        <w:rPr>
          <w:sz w:val="22"/>
          <w:szCs w:val="22"/>
          <w:lang w:val="en-US"/>
        </w:rPr>
        <w:t>Union citizens. In that perspective, t</w:t>
      </w:r>
      <w:r w:rsidRPr="00D00979">
        <w:rPr>
          <w:sz w:val="22"/>
          <w:szCs w:val="22"/>
          <w:lang w:val="en-US"/>
        </w:rPr>
        <w:t>he</w:t>
      </w:r>
      <w:r w:rsidR="005C2F14" w:rsidRPr="00D00979">
        <w:rPr>
          <w:sz w:val="22"/>
          <w:szCs w:val="22"/>
          <w:lang w:val="en-US"/>
        </w:rPr>
        <w:t xml:space="preserve"> aim of the present article is to offer </w:t>
      </w:r>
      <w:r w:rsidR="008023FD" w:rsidRPr="00D00979">
        <w:rPr>
          <w:sz w:val="22"/>
          <w:szCs w:val="22"/>
          <w:lang w:val="en-US"/>
        </w:rPr>
        <w:t>an</w:t>
      </w:r>
      <w:r w:rsidR="005C2F14" w:rsidRPr="00D00979">
        <w:rPr>
          <w:sz w:val="22"/>
          <w:szCs w:val="22"/>
          <w:lang w:val="en-US"/>
        </w:rPr>
        <w:t xml:space="preserve"> overview of the Court</w:t>
      </w:r>
      <w:r w:rsidR="00D00979" w:rsidRPr="00D00979">
        <w:rPr>
          <w:sz w:val="22"/>
          <w:szCs w:val="22"/>
          <w:lang w:val="en-US"/>
        </w:rPr>
        <w:t>’s recent jurisprudence</w:t>
      </w:r>
      <w:r w:rsidR="005C2F14" w:rsidRPr="00D00979">
        <w:rPr>
          <w:sz w:val="22"/>
          <w:szCs w:val="22"/>
          <w:lang w:val="en-US"/>
        </w:rPr>
        <w:t xml:space="preserve"> in relation to the scope of equal treatment guarantees offered to migrant Union jobseekers for the purpose of obtaining social welfare in the host State. </w:t>
      </w:r>
      <w:r w:rsidR="00F71D08" w:rsidRPr="00D00979">
        <w:rPr>
          <w:sz w:val="22"/>
          <w:szCs w:val="22"/>
          <w:lang w:val="en-US"/>
        </w:rPr>
        <w:t xml:space="preserve">It is essentially </w:t>
      </w:r>
      <w:r w:rsidR="001B4490" w:rsidRPr="00D00979">
        <w:rPr>
          <w:sz w:val="22"/>
          <w:szCs w:val="22"/>
          <w:lang w:val="en-US"/>
        </w:rPr>
        <w:t xml:space="preserve">suggested </w:t>
      </w:r>
      <w:r w:rsidR="00BF2863" w:rsidRPr="00D00979">
        <w:rPr>
          <w:sz w:val="22"/>
          <w:szCs w:val="22"/>
          <w:lang w:val="en-US"/>
        </w:rPr>
        <w:t>here</w:t>
      </w:r>
      <w:r w:rsidR="00F71D08" w:rsidRPr="00D00979">
        <w:rPr>
          <w:sz w:val="22"/>
          <w:szCs w:val="22"/>
          <w:lang w:val="en-US"/>
        </w:rPr>
        <w:t xml:space="preserve"> that the limitations on the right of equal treatment featured in Article 24(2) of the Citizenship Directive </w:t>
      </w:r>
      <w:r w:rsidR="00801CB3">
        <w:rPr>
          <w:sz w:val="22"/>
          <w:szCs w:val="22"/>
          <w:lang w:val="en-US"/>
        </w:rPr>
        <w:t>may not</w:t>
      </w:r>
      <w:r w:rsidR="00F71D08" w:rsidRPr="00D00979">
        <w:rPr>
          <w:sz w:val="22"/>
          <w:szCs w:val="22"/>
          <w:lang w:val="en-US"/>
        </w:rPr>
        <w:t xml:space="preserve"> be relied upon</w:t>
      </w:r>
      <w:r w:rsidR="00752324" w:rsidRPr="00D00979">
        <w:rPr>
          <w:sz w:val="22"/>
          <w:szCs w:val="22"/>
          <w:lang w:val="en-US"/>
        </w:rPr>
        <w:t xml:space="preserve"> as such</w:t>
      </w:r>
      <w:r w:rsidR="00F71D08" w:rsidRPr="00D00979">
        <w:rPr>
          <w:sz w:val="22"/>
          <w:szCs w:val="22"/>
          <w:lang w:val="en-US"/>
        </w:rPr>
        <w:t xml:space="preserve"> </w:t>
      </w:r>
      <w:r w:rsidR="00E82B01" w:rsidRPr="00D00979">
        <w:rPr>
          <w:sz w:val="22"/>
          <w:szCs w:val="22"/>
          <w:lang w:val="en-US"/>
        </w:rPr>
        <w:t xml:space="preserve">in order </w:t>
      </w:r>
      <w:r w:rsidR="00F71D08" w:rsidRPr="00D00979">
        <w:rPr>
          <w:sz w:val="22"/>
          <w:szCs w:val="22"/>
          <w:lang w:val="en-US"/>
        </w:rPr>
        <w:t xml:space="preserve">to circumscribe the equal treatment guarantees </w:t>
      </w:r>
      <w:r w:rsidR="00397FAC" w:rsidRPr="00D00979">
        <w:rPr>
          <w:sz w:val="22"/>
          <w:szCs w:val="22"/>
          <w:lang w:val="en-US"/>
        </w:rPr>
        <w:t xml:space="preserve">set </w:t>
      </w:r>
      <w:r w:rsidR="00713EA1" w:rsidRPr="00D00979">
        <w:rPr>
          <w:sz w:val="22"/>
          <w:szCs w:val="22"/>
          <w:lang w:val="en-US"/>
        </w:rPr>
        <w:t>forth</w:t>
      </w:r>
      <w:r w:rsidR="00397FAC" w:rsidRPr="00D00979">
        <w:rPr>
          <w:sz w:val="22"/>
          <w:szCs w:val="22"/>
          <w:lang w:val="en-US"/>
        </w:rPr>
        <w:t xml:space="preserve"> in</w:t>
      </w:r>
      <w:r w:rsidR="00F71D08" w:rsidRPr="00D00979">
        <w:rPr>
          <w:sz w:val="22"/>
          <w:szCs w:val="22"/>
          <w:lang w:val="en-US"/>
        </w:rPr>
        <w:t xml:space="preserve"> Article 7(2) of the Workers’ Regulation</w:t>
      </w:r>
      <w:r w:rsidR="00656BA9" w:rsidRPr="00D00979">
        <w:rPr>
          <w:sz w:val="22"/>
          <w:szCs w:val="22"/>
          <w:lang w:val="en-US"/>
        </w:rPr>
        <w:t>. Nonetheless,</w:t>
      </w:r>
      <w:r w:rsidR="00F71D08" w:rsidRPr="00D00979">
        <w:rPr>
          <w:sz w:val="22"/>
          <w:szCs w:val="22"/>
          <w:lang w:val="en-US"/>
        </w:rPr>
        <w:t xml:space="preserve"> </w:t>
      </w:r>
      <w:r w:rsidR="00656BA9" w:rsidRPr="00D00979">
        <w:rPr>
          <w:sz w:val="22"/>
          <w:szCs w:val="22"/>
          <w:lang w:val="en-US"/>
        </w:rPr>
        <w:t>the Court</w:t>
      </w:r>
      <w:r w:rsidR="008023FD" w:rsidRPr="00D00979">
        <w:rPr>
          <w:sz w:val="22"/>
          <w:szCs w:val="22"/>
          <w:lang w:val="en-US"/>
        </w:rPr>
        <w:t xml:space="preserve"> seems </w:t>
      </w:r>
      <w:r w:rsidR="00E1404F">
        <w:rPr>
          <w:sz w:val="22"/>
          <w:szCs w:val="22"/>
          <w:lang w:val="en-US"/>
        </w:rPr>
        <w:t>willing</w:t>
      </w:r>
      <w:r w:rsidR="008023FD" w:rsidRPr="00D00979">
        <w:rPr>
          <w:sz w:val="22"/>
          <w:szCs w:val="22"/>
          <w:lang w:val="en-US"/>
        </w:rPr>
        <w:t xml:space="preserve"> to accept</w:t>
      </w:r>
      <w:r w:rsidR="00656BA9" w:rsidRPr="00D00979">
        <w:rPr>
          <w:sz w:val="22"/>
          <w:szCs w:val="22"/>
          <w:lang w:val="en-US"/>
        </w:rPr>
        <w:t xml:space="preserve"> – albeit somewhat implicitly – that </w:t>
      </w:r>
      <w:r w:rsidR="00F71D08" w:rsidRPr="00D00979">
        <w:rPr>
          <w:sz w:val="22"/>
          <w:szCs w:val="22"/>
          <w:lang w:val="en-US"/>
        </w:rPr>
        <w:t xml:space="preserve">the Member States </w:t>
      </w:r>
      <w:r w:rsidR="00656BA9" w:rsidRPr="00D00979">
        <w:rPr>
          <w:sz w:val="22"/>
          <w:szCs w:val="22"/>
          <w:lang w:val="en-US"/>
        </w:rPr>
        <w:t xml:space="preserve">may effectively </w:t>
      </w:r>
      <w:r w:rsidR="00F71D08" w:rsidRPr="00D00979">
        <w:rPr>
          <w:sz w:val="22"/>
          <w:szCs w:val="22"/>
          <w:lang w:val="en-US"/>
        </w:rPr>
        <w:t>restrict migrant workers’ equality rights on the basis of integration requirements inspired to some extent by the requirements expressed in the Directive.</w:t>
      </w:r>
      <w:r w:rsidR="00BF2863" w:rsidRPr="00D00979">
        <w:rPr>
          <w:sz w:val="22"/>
          <w:szCs w:val="22"/>
          <w:lang w:val="en-US"/>
        </w:rPr>
        <w:t xml:space="preserve"> </w:t>
      </w:r>
    </w:p>
    <w:p w14:paraId="7D9944E5" w14:textId="77777777" w:rsidR="00D7623A" w:rsidRPr="00D00979" w:rsidRDefault="00D7623A" w:rsidP="00D7623A">
      <w:pPr>
        <w:autoSpaceDE w:val="0"/>
        <w:autoSpaceDN w:val="0"/>
        <w:adjustRightInd w:val="0"/>
        <w:jc w:val="both"/>
        <w:rPr>
          <w:sz w:val="22"/>
          <w:szCs w:val="22"/>
          <w:lang w:val="en-US"/>
        </w:rPr>
      </w:pPr>
    </w:p>
    <w:p w14:paraId="2A7ABEC2" w14:textId="3F2699FC" w:rsidR="005C2F14" w:rsidRPr="00D00979" w:rsidRDefault="00F71D08" w:rsidP="00D7623A">
      <w:pPr>
        <w:autoSpaceDE w:val="0"/>
        <w:autoSpaceDN w:val="0"/>
        <w:adjustRightInd w:val="0"/>
        <w:jc w:val="both"/>
        <w:rPr>
          <w:sz w:val="22"/>
          <w:szCs w:val="22"/>
          <w:lang w:val="en-US"/>
        </w:rPr>
      </w:pPr>
      <w:r w:rsidRPr="00D00979">
        <w:rPr>
          <w:sz w:val="22"/>
          <w:szCs w:val="22"/>
          <w:lang w:val="en-US"/>
        </w:rPr>
        <w:t>T</w:t>
      </w:r>
      <w:r w:rsidR="00CB04BC" w:rsidRPr="00D00979">
        <w:rPr>
          <w:sz w:val="22"/>
          <w:szCs w:val="22"/>
          <w:lang w:val="en-US"/>
        </w:rPr>
        <w:t xml:space="preserve">his article </w:t>
      </w:r>
      <w:r w:rsidRPr="00D00979">
        <w:rPr>
          <w:sz w:val="22"/>
          <w:szCs w:val="22"/>
          <w:lang w:val="en-US"/>
        </w:rPr>
        <w:t xml:space="preserve">is structured as follows. Before embarking </w:t>
      </w:r>
      <w:r w:rsidR="00AC4DE4" w:rsidRPr="00D00979">
        <w:rPr>
          <w:sz w:val="22"/>
          <w:szCs w:val="22"/>
          <w:lang w:val="en-US"/>
        </w:rPr>
        <w:t>up</w:t>
      </w:r>
      <w:r w:rsidRPr="00D00979">
        <w:rPr>
          <w:sz w:val="22"/>
          <w:szCs w:val="22"/>
          <w:lang w:val="en-US"/>
        </w:rPr>
        <w:t xml:space="preserve">on an </w:t>
      </w:r>
      <w:r w:rsidR="00E1404F">
        <w:rPr>
          <w:sz w:val="22"/>
          <w:szCs w:val="22"/>
          <w:lang w:val="en-US"/>
        </w:rPr>
        <w:t>analysis</w:t>
      </w:r>
      <w:r w:rsidRPr="00D00979">
        <w:rPr>
          <w:sz w:val="22"/>
          <w:szCs w:val="22"/>
          <w:lang w:val="en-US"/>
        </w:rPr>
        <w:t xml:space="preserve"> of the </w:t>
      </w:r>
      <w:r w:rsidR="00E1404F">
        <w:rPr>
          <w:sz w:val="22"/>
          <w:szCs w:val="22"/>
          <w:lang w:val="en-US"/>
        </w:rPr>
        <w:t xml:space="preserve">rather ambiguous relationship between the Citizenship Directive and the Workers’ Regulation in the light of the Court’s recent case law on Article 7(2) of that Regulation (2), the first section deals with the </w:t>
      </w:r>
      <w:r w:rsidR="00E1404F" w:rsidRPr="00E1404F">
        <w:rPr>
          <w:i/>
          <w:iCs/>
          <w:sz w:val="22"/>
          <w:szCs w:val="22"/>
          <w:lang w:val="en-US"/>
        </w:rPr>
        <w:t>Dano-Alimanovic</w:t>
      </w:r>
      <w:r w:rsidR="00E1404F">
        <w:rPr>
          <w:sz w:val="22"/>
          <w:szCs w:val="22"/>
          <w:lang w:val="en-US"/>
        </w:rPr>
        <w:t xml:space="preserve"> line of case law and, in particular, </w:t>
      </w:r>
      <w:r w:rsidR="00C13BEF">
        <w:rPr>
          <w:sz w:val="22"/>
          <w:szCs w:val="22"/>
          <w:lang w:val="en-US"/>
        </w:rPr>
        <w:t xml:space="preserve">seeks to </w:t>
      </w:r>
      <w:r w:rsidR="00E1404F">
        <w:rPr>
          <w:sz w:val="22"/>
          <w:szCs w:val="22"/>
          <w:lang w:val="en-US"/>
        </w:rPr>
        <w:t>revisi</w:t>
      </w:r>
      <w:r w:rsidR="00C13BEF">
        <w:rPr>
          <w:sz w:val="22"/>
          <w:szCs w:val="22"/>
          <w:lang w:val="en-US"/>
        </w:rPr>
        <w:t>t</w:t>
      </w:r>
      <w:r w:rsidR="00E1404F">
        <w:rPr>
          <w:sz w:val="22"/>
          <w:szCs w:val="22"/>
          <w:lang w:val="en-US"/>
        </w:rPr>
        <w:t xml:space="preserve"> the oft-repeated argument that it represents a radical </w:t>
      </w:r>
      <w:r w:rsidR="00715933">
        <w:rPr>
          <w:sz w:val="22"/>
          <w:szCs w:val="22"/>
          <w:lang w:val="en-US"/>
        </w:rPr>
        <w:t>departure</w:t>
      </w:r>
      <w:r w:rsidR="00E1404F">
        <w:rPr>
          <w:sz w:val="22"/>
          <w:szCs w:val="22"/>
          <w:lang w:val="en-US"/>
        </w:rPr>
        <w:t xml:space="preserve"> </w:t>
      </w:r>
      <w:r w:rsidR="00715933">
        <w:rPr>
          <w:sz w:val="22"/>
          <w:szCs w:val="22"/>
          <w:lang w:val="en-US"/>
        </w:rPr>
        <w:t>from</w:t>
      </w:r>
      <w:r w:rsidR="00E1404F">
        <w:rPr>
          <w:sz w:val="22"/>
          <w:szCs w:val="22"/>
          <w:lang w:val="en-US"/>
        </w:rPr>
        <w:t xml:space="preserve"> </w:t>
      </w:r>
      <w:r w:rsidR="00715933">
        <w:rPr>
          <w:sz w:val="22"/>
          <w:szCs w:val="22"/>
          <w:lang w:val="en-US"/>
        </w:rPr>
        <w:t>the</w:t>
      </w:r>
      <w:r w:rsidR="00E1404F">
        <w:rPr>
          <w:sz w:val="22"/>
          <w:szCs w:val="22"/>
          <w:lang w:val="en-US"/>
        </w:rPr>
        <w:t xml:space="preserve"> early cases on Union citizenship which sets the Citizenship Directive as the “horizon indépassable” of EU free movement law</w:t>
      </w:r>
      <w:r w:rsidR="009657CC" w:rsidRPr="00D00979">
        <w:rPr>
          <w:sz w:val="22"/>
          <w:szCs w:val="22"/>
          <w:lang w:val="en-US"/>
        </w:rPr>
        <w:t>.</w:t>
      </w:r>
    </w:p>
    <w:p w14:paraId="37DF5380" w14:textId="77777777" w:rsidR="00DE2784" w:rsidRPr="00D00979" w:rsidRDefault="00DE2784" w:rsidP="00D7623A">
      <w:pPr>
        <w:pStyle w:val="Corps"/>
        <w:jc w:val="both"/>
        <w:rPr>
          <w:rFonts w:ascii="Times New Roman" w:hAnsi="Times New Roman" w:cs="Times New Roman"/>
          <w:lang w:val="en-US"/>
        </w:rPr>
      </w:pPr>
    </w:p>
    <w:p w14:paraId="02352CCB" w14:textId="3BD9D72D" w:rsidR="00EB57B5" w:rsidRPr="00D00979" w:rsidRDefault="00B53EA8" w:rsidP="00D7623A">
      <w:pPr>
        <w:pStyle w:val="Titrerouge"/>
        <w:jc w:val="both"/>
        <w:rPr>
          <w:rFonts w:ascii="Times New Roman" w:hAnsi="Times New Roman" w:cs="Times New Roman"/>
          <w:color w:val="000000"/>
          <w:sz w:val="22"/>
          <w:szCs w:val="22"/>
          <w:lang w:val="en-US"/>
        </w:rPr>
      </w:pPr>
      <w:bookmarkStart w:id="2" w:name="_Toc76652178"/>
      <w:r w:rsidRPr="00D00979">
        <w:rPr>
          <w:rFonts w:ascii="Times New Roman" w:hAnsi="Times New Roman" w:cs="Times New Roman"/>
          <w:color w:val="000000"/>
          <w:sz w:val="22"/>
          <w:szCs w:val="22"/>
          <w:lang w:val="en-US"/>
        </w:rPr>
        <w:t xml:space="preserve">The </w:t>
      </w:r>
      <w:r w:rsidR="00EB57B5" w:rsidRPr="00D00979">
        <w:rPr>
          <w:rFonts w:ascii="Times New Roman" w:hAnsi="Times New Roman" w:cs="Times New Roman"/>
          <w:color w:val="000000"/>
          <w:sz w:val="22"/>
          <w:szCs w:val="22"/>
          <w:lang w:val="en-US"/>
        </w:rPr>
        <w:t xml:space="preserve">Court’s interpretation of Directive 2004/38 in </w:t>
      </w:r>
      <w:r w:rsidR="00EB57B5" w:rsidRPr="00D00979">
        <w:rPr>
          <w:rFonts w:ascii="Times New Roman" w:hAnsi="Times New Roman" w:cs="Times New Roman"/>
          <w:i/>
          <w:iCs/>
          <w:color w:val="000000"/>
          <w:sz w:val="22"/>
          <w:szCs w:val="22"/>
          <w:lang w:val="en-US"/>
        </w:rPr>
        <w:t>Dano</w:t>
      </w:r>
      <w:r w:rsidR="00EB57B5" w:rsidRPr="00D00979">
        <w:rPr>
          <w:rFonts w:ascii="Times New Roman" w:hAnsi="Times New Roman" w:cs="Times New Roman"/>
          <w:color w:val="000000"/>
          <w:sz w:val="22"/>
          <w:szCs w:val="22"/>
          <w:lang w:val="en-US"/>
        </w:rPr>
        <w:t xml:space="preserve"> and </w:t>
      </w:r>
      <w:r w:rsidR="00EB57B5" w:rsidRPr="00D00979">
        <w:rPr>
          <w:rFonts w:ascii="Times New Roman" w:hAnsi="Times New Roman" w:cs="Times New Roman"/>
          <w:i/>
          <w:iCs/>
          <w:color w:val="000000"/>
          <w:sz w:val="22"/>
          <w:szCs w:val="22"/>
          <w:lang w:val="en-US"/>
        </w:rPr>
        <w:t>Alimanovic</w:t>
      </w:r>
      <w:r w:rsidR="00EB57B5" w:rsidRPr="00D00979">
        <w:rPr>
          <w:rFonts w:ascii="Times New Roman" w:hAnsi="Times New Roman" w:cs="Times New Roman"/>
          <w:color w:val="000000"/>
          <w:sz w:val="22"/>
          <w:szCs w:val="22"/>
          <w:lang w:val="en-US"/>
        </w:rPr>
        <w:t xml:space="preserve">: </w:t>
      </w:r>
      <w:r w:rsidR="00EE0B77">
        <w:rPr>
          <w:rFonts w:ascii="Times New Roman" w:hAnsi="Times New Roman" w:cs="Times New Roman"/>
          <w:color w:val="000000"/>
          <w:sz w:val="22"/>
          <w:szCs w:val="22"/>
          <w:lang w:val="en-US"/>
        </w:rPr>
        <w:t>A break away from the Court’s traditional case law on Union citizenship?</w:t>
      </w:r>
      <w:bookmarkEnd w:id="2"/>
      <w:r w:rsidR="006B18A9" w:rsidRPr="00D00979">
        <w:rPr>
          <w:rFonts w:ascii="Times New Roman" w:hAnsi="Times New Roman" w:cs="Times New Roman"/>
          <w:color w:val="000000"/>
          <w:sz w:val="22"/>
          <w:szCs w:val="22"/>
          <w:lang w:val="en-US"/>
        </w:rPr>
        <w:t xml:space="preserve"> </w:t>
      </w:r>
    </w:p>
    <w:p w14:paraId="0E43BF09" w14:textId="77777777" w:rsidR="00C46D27" w:rsidRPr="00D00979" w:rsidRDefault="00CE1795" w:rsidP="00D7623A">
      <w:pPr>
        <w:pStyle w:val="Corps"/>
        <w:jc w:val="both"/>
        <w:rPr>
          <w:rFonts w:ascii="Times New Roman" w:eastAsia="Times New Roman" w:hAnsi="Times New Roman" w:cs="Times New Roman"/>
          <w:lang w:val="en-US"/>
        </w:rPr>
      </w:pPr>
      <w:r w:rsidRPr="00D00979">
        <w:rPr>
          <w:rFonts w:ascii="Times New Roman" w:hAnsi="Times New Roman" w:cs="Times New Roman"/>
          <w:lang w:val="en-US"/>
        </w:rPr>
        <w:t xml:space="preserve"> </w:t>
      </w:r>
    </w:p>
    <w:p w14:paraId="22346531" w14:textId="06C52E9A" w:rsidR="00FA0EB7" w:rsidRDefault="006B18A9" w:rsidP="005D0768">
      <w:pPr>
        <w:pStyle w:val="Corps"/>
        <w:jc w:val="both"/>
        <w:rPr>
          <w:rFonts w:ascii="Times New Roman" w:eastAsia="Times New Roman" w:hAnsi="Times New Roman" w:cs="Times New Roman"/>
          <w:lang w:val="en-US"/>
        </w:rPr>
      </w:pPr>
      <w:r w:rsidRPr="005D0768">
        <w:rPr>
          <w:rFonts w:ascii="Times New Roman" w:eastAsia="Times New Roman" w:hAnsi="Times New Roman" w:cs="Times New Roman"/>
          <w:lang w:val="en-US"/>
        </w:rPr>
        <w:t xml:space="preserve">In the aftermath of the Court’s </w:t>
      </w:r>
      <w:r w:rsidR="0088136F" w:rsidRPr="005D0768">
        <w:rPr>
          <w:rFonts w:ascii="Times New Roman" w:eastAsia="Times New Roman" w:hAnsi="Times New Roman" w:cs="Times New Roman"/>
          <w:lang w:val="en-US"/>
        </w:rPr>
        <w:t>well-known</w:t>
      </w:r>
      <w:r w:rsidRPr="005D0768">
        <w:rPr>
          <w:rFonts w:ascii="Times New Roman" w:eastAsia="Times New Roman" w:hAnsi="Times New Roman" w:cs="Times New Roman"/>
          <w:lang w:val="en-US"/>
        </w:rPr>
        <w:t xml:space="preserve"> judgments in</w:t>
      </w:r>
      <w:r w:rsidR="0088136F" w:rsidRPr="005D0768">
        <w:rPr>
          <w:rFonts w:ascii="Times New Roman" w:eastAsia="Times New Roman" w:hAnsi="Times New Roman" w:cs="Times New Roman"/>
          <w:lang w:val="en-US"/>
        </w:rPr>
        <w:t xml:space="preserve"> </w:t>
      </w:r>
      <w:r w:rsidR="0088136F" w:rsidRPr="005D0768">
        <w:rPr>
          <w:rFonts w:ascii="Times New Roman" w:eastAsia="Times New Roman" w:hAnsi="Times New Roman" w:cs="Times New Roman"/>
          <w:i/>
          <w:iCs/>
          <w:lang w:val="en-US"/>
        </w:rPr>
        <w:t>Dano</w:t>
      </w:r>
      <w:r w:rsidR="0088136F" w:rsidRPr="005D0768">
        <w:rPr>
          <w:rFonts w:ascii="Times New Roman" w:eastAsia="Times New Roman" w:hAnsi="Times New Roman" w:cs="Times New Roman"/>
          <w:lang w:val="en-US"/>
        </w:rPr>
        <w:t xml:space="preserve"> and </w:t>
      </w:r>
      <w:r w:rsidR="0088136F" w:rsidRPr="005D0768">
        <w:rPr>
          <w:rFonts w:ascii="Times New Roman" w:eastAsia="Times New Roman" w:hAnsi="Times New Roman" w:cs="Times New Roman"/>
          <w:i/>
          <w:iCs/>
          <w:lang w:val="en-US"/>
        </w:rPr>
        <w:t>Alimanovic</w:t>
      </w:r>
      <w:r w:rsidR="00CE1795" w:rsidRPr="005D0768">
        <w:rPr>
          <w:rFonts w:ascii="Times New Roman" w:eastAsia="Times New Roman" w:hAnsi="Times New Roman" w:cs="Times New Roman"/>
          <w:lang w:val="en-US"/>
        </w:rPr>
        <w:t xml:space="preserve">, </w:t>
      </w:r>
      <w:r w:rsidRPr="005D0768">
        <w:rPr>
          <w:rFonts w:ascii="Times New Roman" w:eastAsia="Times New Roman" w:hAnsi="Times New Roman" w:cs="Times New Roman"/>
          <w:lang w:val="en-US"/>
        </w:rPr>
        <w:t>it has</w:t>
      </w:r>
      <w:r w:rsidR="00047222" w:rsidRPr="005D0768">
        <w:rPr>
          <w:rFonts w:ascii="Times New Roman" w:hAnsi="Times New Roman" w:cs="Times New Roman"/>
          <w:lang w:val="en-US"/>
        </w:rPr>
        <w:t xml:space="preserve"> </w:t>
      </w:r>
      <w:r w:rsidRPr="005D0768">
        <w:rPr>
          <w:rFonts w:ascii="Times New Roman" w:hAnsi="Times New Roman" w:cs="Times New Roman"/>
          <w:lang w:val="en-US"/>
        </w:rPr>
        <w:t>often</w:t>
      </w:r>
      <w:r w:rsidR="00047222" w:rsidRPr="005D0768">
        <w:rPr>
          <w:rFonts w:ascii="Times New Roman" w:hAnsi="Times New Roman" w:cs="Times New Roman"/>
          <w:lang w:val="en-US"/>
        </w:rPr>
        <w:t xml:space="preserve"> </w:t>
      </w:r>
      <w:r w:rsidRPr="005D0768">
        <w:rPr>
          <w:rFonts w:ascii="Times New Roman" w:hAnsi="Times New Roman" w:cs="Times New Roman"/>
          <w:lang w:val="en-US"/>
        </w:rPr>
        <w:t xml:space="preserve">been </w:t>
      </w:r>
      <w:r w:rsidR="00047222" w:rsidRPr="005D0768">
        <w:rPr>
          <w:rFonts w:ascii="Times New Roman" w:hAnsi="Times New Roman" w:cs="Times New Roman"/>
          <w:lang w:val="en-US"/>
        </w:rPr>
        <w:t xml:space="preserve">suggested that the limitations expressed in the Citizenship Directive </w:t>
      </w:r>
      <w:r w:rsidR="00D00979" w:rsidRPr="005D0768">
        <w:rPr>
          <w:rFonts w:ascii="Times New Roman" w:hAnsi="Times New Roman" w:cs="Times New Roman"/>
          <w:lang w:val="en-US"/>
        </w:rPr>
        <w:t>have</w:t>
      </w:r>
      <w:r w:rsidR="00047222" w:rsidRPr="005D0768">
        <w:rPr>
          <w:rFonts w:ascii="Times New Roman" w:hAnsi="Times New Roman" w:cs="Times New Roman"/>
          <w:lang w:val="en-US"/>
        </w:rPr>
        <w:t xml:space="preserve"> attained “super-norm status” and may be deemed to “supersede other specific expressions of free movement rights”.</w:t>
      </w:r>
      <w:r w:rsidR="00047222" w:rsidRPr="005D0768">
        <w:rPr>
          <w:rStyle w:val="Appelnotedebasdep"/>
          <w:rFonts w:ascii="Times New Roman" w:hAnsi="Times New Roman" w:cs="Times New Roman"/>
        </w:rPr>
        <w:footnoteReference w:id="16"/>
      </w:r>
      <w:r w:rsidR="00047222" w:rsidRPr="005D0768">
        <w:rPr>
          <w:rFonts w:ascii="Times New Roman" w:hAnsi="Times New Roman" w:cs="Times New Roman"/>
          <w:lang w:val="en-US"/>
        </w:rPr>
        <w:t xml:space="preserve"> </w:t>
      </w:r>
      <w:r w:rsidR="002B04E4" w:rsidRPr="005D0768">
        <w:rPr>
          <w:rFonts w:ascii="Times New Roman" w:eastAsia="Times New Roman" w:hAnsi="Times New Roman" w:cs="Times New Roman"/>
          <w:lang w:val="en-US"/>
        </w:rPr>
        <w:t>One of the most striking features of these judgments is indeed the Court</w:t>
      </w:r>
      <w:r w:rsidR="00CC2E82">
        <w:rPr>
          <w:rFonts w:ascii="Times New Roman" w:eastAsia="Times New Roman" w:hAnsi="Times New Roman" w:cs="Times New Roman"/>
          <w:lang w:val="en-US"/>
        </w:rPr>
        <w:t>’s treatment – or lack thereof - of</w:t>
      </w:r>
      <w:r w:rsidR="002B04E4" w:rsidRPr="005D0768">
        <w:rPr>
          <w:rFonts w:ascii="Times New Roman" w:eastAsia="Times New Roman" w:hAnsi="Times New Roman" w:cs="Times New Roman"/>
          <w:lang w:val="en-US"/>
        </w:rPr>
        <w:t xml:space="preserve"> other </w:t>
      </w:r>
      <w:r w:rsidR="00A2625D">
        <w:rPr>
          <w:rFonts w:ascii="Times New Roman" w:eastAsia="Times New Roman" w:hAnsi="Times New Roman" w:cs="Times New Roman"/>
          <w:lang w:val="en-US"/>
        </w:rPr>
        <w:t xml:space="preserve">provisions on free movement </w:t>
      </w:r>
      <w:r w:rsidR="00BA104C">
        <w:rPr>
          <w:rFonts w:ascii="Times New Roman" w:eastAsia="Times New Roman" w:hAnsi="Times New Roman" w:cs="Times New Roman"/>
          <w:lang w:val="en-US"/>
        </w:rPr>
        <w:t xml:space="preserve">- </w:t>
      </w:r>
      <w:r w:rsidR="002B04E4" w:rsidRPr="005D0768">
        <w:rPr>
          <w:rFonts w:ascii="Times New Roman" w:eastAsia="Times New Roman" w:hAnsi="Times New Roman" w:cs="Times New Roman"/>
          <w:lang w:val="en-US"/>
        </w:rPr>
        <w:t xml:space="preserve">such as the </w:t>
      </w:r>
      <w:r w:rsidR="0091564A">
        <w:rPr>
          <w:rFonts w:ascii="Times New Roman" w:eastAsia="Times New Roman" w:hAnsi="Times New Roman" w:cs="Times New Roman"/>
          <w:lang w:val="en-US"/>
        </w:rPr>
        <w:t>provisions</w:t>
      </w:r>
      <w:r w:rsidR="002B04E4" w:rsidRPr="005D0768">
        <w:rPr>
          <w:rFonts w:ascii="Times New Roman" w:eastAsia="Times New Roman" w:hAnsi="Times New Roman" w:cs="Times New Roman"/>
          <w:lang w:val="en-US"/>
        </w:rPr>
        <w:t xml:space="preserve"> on free </w:t>
      </w:r>
      <w:r w:rsidR="002B04E4" w:rsidRPr="005D0768">
        <w:rPr>
          <w:rFonts w:ascii="Times New Roman" w:eastAsia="Times New Roman" w:hAnsi="Times New Roman" w:cs="Times New Roman"/>
          <w:lang w:val="en-US"/>
        </w:rPr>
        <w:lastRenderedPageBreak/>
        <w:t xml:space="preserve">movement of workers. </w:t>
      </w:r>
      <w:r w:rsidR="0091564A">
        <w:rPr>
          <w:rFonts w:ascii="Times New Roman" w:hAnsi="Times New Roman" w:cs="Times New Roman"/>
          <w:lang w:val="en-US"/>
        </w:rPr>
        <w:t>The</w:t>
      </w:r>
      <w:r w:rsidR="00F55DFA" w:rsidRPr="00F55DFA">
        <w:rPr>
          <w:rFonts w:ascii="Times New Roman" w:hAnsi="Times New Roman" w:cs="Times New Roman"/>
          <w:lang w:val="en-US"/>
        </w:rPr>
        <w:t xml:space="preserve"> Court focused almost exclusively on a literal interpretation of the conditions expressed by the Directive. </w:t>
      </w:r>
      <w:r w:rsidR="00D412A5">
        <w:rPr>
          <w:rFonts w:ascii="Times New Roman" w:hAnsi="Times New Roman" w:cs="Times New Roman"/>
          <w:lang w:val="en-US"/>
        </w:rPr>
        <w:t>More specifically,</w:t>
      </w:r>
      <w:r w:rsidR="00F55DFA" w:rsidRPr="00F55DFA">
        <w:rPr>
          <w:rFonts w:ascii="Times New Roman" w:hAnsi="Times New Roman" w:cs="Times New Roman"/>
          <w:lang w:val="en-US"/>
        </w:rPr>
        <w:t xml:space="preserve"> </w:t>
      </w:r>
      <w:r w:rsidR="004A066B">
        <w:rPr>
          <w:rFonts w:ascii="Times New Roman" w:hAnsi="Times New Roman" w:cs="Times New Roman"/>
          <w:lang w:val="en-US"/>
        </w:rPr>
        <w:t xml:space="preserve">it </w:t>
      </w:r>
      <w:r w:rsidR="00975865" w:rsidRPr="005D0768">
        <w:rPr>
          <w:rFonts w:ascii="Times New Roman" w:eastAsia="Times New Roman" w:hAnsi="Times New Roman" w:cs="Times New Roman"/>
          <w:lang w:val="en-US"/>
        </w:rPr>
        <w:t>insisted on the importance for economically inactive citizens to comply with the right-to-reside tests featured in</w:t>
      </w:r>
      <w:r w:rsidR="00111E97" w:rsidRPr="005D0768">
        <w:rPr>
          <w:rFonts w:ascii="Times New Roman" w:eastAsia="Times New Roman" w:hAnsi="Times New Roman" w:cs="Times New Roman"/>
          <w:lang w:val="en-US"/>
        </w:rPr>
        <w:t xml:space="preserve"> Article 7 of</w:t>
      </w:r>
      <w:r w:rsidR="00975865" w:rsidRPr="005D0768">
        <w:rPr>
          <w:rFonts w:ascii="Times New Roman" w:eastAsia="Times New Roman" w:hAnsi="Times New Roman" w:cs="Times New Roman"/>
          <w:lang w:val="en-US"/>
        </w:rPr>
        <w:t xml:space="preserve"> the Citizenship Directive in order to be able to rely on the equal treatment guarantees provided for by Article 24 of that Directive.</w:t>
      </w:r>
      <w:r w:rsidR="002B04E4" w:rsidRPr="005D0768">
        <w:rPr>
          <w:rFonts w:ascii="Times New Roman" w:eastAsia="Times New Roman" w:hAnsi="Times New Roman" w:cs="Times New Roman"/>
          <w:lang w:val="en-US"/>
        </w:rPr>
        <w:t xml:space="preserve"> The Court’s </w:t>
      </w:r>
      <w:r w:rsidR="00D412A5">
        <w:rPr>
          <w:rFonts w:ascii="Times New Roman" w:eastAsia="Times New Roman" w:hAnsi="Times New Roman" w:cs="Times New Roman"/>
          <w:lang w:val="en-US"/>
        </w:rPr>
        <w:t>strict emphasis on the conditions set out in the Citizenship Directive</w:t>
      </w:r>
      <w:r w:rsidR="002B04E4" w:rsidRPr="005D0768">
        <w:rPr>
          <w:rFonts w:ascii="Times New Roman" w:eastAsia="Times New Roman" w:hAnsi="Times New Roman" w:cs="Times New Roman"/>
          <w:lang w:val="en-US"/>
        </w:rPr>
        <w:t xml:space="preserve"> in </w:t>
      </w:r>
      <w:r w:rsidR="002B04E4" w:rsidRPr="005D0768">
        <w:rPr>
          <w:rFonts w:ascii="Times New Roman" w:eastAsia="Times New Roman" w:hAnsi="Times New Roman" w:cs="Times New Roman"/>
          <w:i/>
          <w:iCs/>
          <w:lang w:val="en-US"/>
        </w:rPr>
        <w:t>Dano</w:t>
      </w:r>
      <w:r w:rsidR="002B04E4" w:rsidRPr="005D0768">
        <w:rPr>
          <w:rFonts w:ascii="Times New Roman" w:eastAsia="Times New Roman" w:hAnsi="Times New Roman" w:cs="Times New Roman"/>
          <w:lang w:val="en-US"/>
        </w:rPr>
        <w:t xml:space="preserve"> may</w:t>
      </w:r>
      <w:r w:rsidR="001C6E92">
        <w:rPr>
          <w:rFonts w:ascii="Times New Roman" w:eastAsia="Times New Roman" w:hAnsi="Times New Roman" w:cs="Times New Roman"/>
          <w:lang w:val="en-US"/>
        </w:rPr>
        <w:t xml:space="preserve"> admittedly</w:t>
      </w:r>
      <w:r w:rsidR="00D412A5">
        <w:rPr>
          <w:rFonts w:ascii="Times New Roman" w:eastAsia="Times New Roman" w:hAnsi="Times New Roman" w:cs="Times New Roman"/>
          <w:lang w:val="en-US"/>
        </w:rPr>
        <w:t xml:space="preserve"> have</w:t>
      </w:r>
      <w:r w:rsidR="002B04E4" w:rsidRPr="005D0768">
        <w:rPr>
          <w:rFonts w:ascii="Times New Roman" w:eastAsia="Times New Roman" w:hAnsi="Times New Roman" w:cs="Times New Roman"/>
          <w:lang w:val="en-US"/>
        </w:rPr>
        <w:t xml:space="preserve"> </w:t>
      </w:r>
      <w:r w:rsidR="001C6E92">
        <w:rPr>
          <w:rFonts w:ascii="Times New Roman" w:eastAsia="Times New Roman" w:hAnsi="Times New Roman" w:cs="Times New Roman"/>
          <w:lang w:val="en-US"/>
        </w:rPr>
        <w:t>be</w:t>
      </w:r>
      <w:r w:rsidR="00D412A5">
        <w:rPr>
          <w:rFonts w:ascii="Times New Roman" w:eastAsia="Times New Roman" w:hAnsi="Times New Roman" w:cs="Times New Roman"/>
          <w:lang w:val="en-US"/>
        </w:rPr>
        <w:t>en</w:t>
      </w:r>
      <w:r w:rsidR="002B04E4" w:rsidRPr="005D0768">
        <w:rPr>
          <w:rFonts w:ascii="Times New Roman" w:eastAsia="Times New Roman" w:hAnsi="Times New Roman" w:cs="Times New Roman"/>
          <w:lang w:val="en-US"/>
        </w:rPr>
        <w:t xml:space="preserve"> justified by the distinctive features of that case </w:t>
      </w:r>
      <w:r w:rsidR="00863AE5">
        <w:rPr>
          <w:rFonts w:ascii="Times New Roman" w:eastAsia="Times New Roman" w:hAnsi="Times New Roman" w:cs="Times New Roman"/>
          <w:lang w:val="en-US"/>
        </w:rPr>
        <w:t xml:space="preserve">- </w:t>
      </w:r>
      <w:r w:rsidR="002B04E4" w:rsidRPr="005D0768">
        <w:rPr>
          <w:rFonts w:ascii="Times New Roman" w:eastAsia="Times New Roman" w:hAnsi="Times New Roman" w:cs="Times New Roman"/>
          <w:lang w:val="en-US"/>
        </w:rPr>
        <w:t xml:space="preserve">Ms. Dano was unemployed and, perhaps more importantly, had not even </w:t>
      </w:r>
      <w:r w:rsidR="00F55DFA">
        <w:rPr>
          <w:rFonts w:ascii="Times New Roman" w:eastAsia="Times New Roman" w:hAnsi="Times New Roman" w:cs="Times New Roman"/>
          <w:lang w:val="en-US"/>
        </w:rPr>
        <w:t>sought</w:t>
      </w:r>
      <w:r w:rsidR="002B04E4" w:rsidRPr="005D0768">
        <w:rPr>
          <w:rFonts w:ascii="Times New Roman" w:eastAsia="Times New Roman" w:hAnsi="Times New Roman" w:cs="Times New Roman"/>
          <w:lang w:val="en-US"/>
        </w:rPr>
        <w:t xml:space="preserve"> </w:t>
      </w:r>
      <w:r w:rsidR="00F55DFA">
        <w:rPr>
          <w:rFonts w:ascii="Times New Roman" w:eastAsia="Times New Roman" w:hAnsi="Times New Roman" w:cs="Times New Roman"/>
          <w:lang w:val="en-US"/>
        </w:rPr>
        <w:t>employment</w:t>
      </w:r>
      <w:r w:rsidR="002B04E4" w:rsidRPr="005D0768">
        <w:rPr>
          <w:rFonts w:ascii="Times New Roman" w:eastAsia="Times New Roman" w:hAnsi="Times New Roman" w:cs="Times New Roman"/>
          <w:lang w:val="en-US"/>
        </w:rPr>
        <w:t xml:space="preserve"> after her arrival in Germany</w:t>
      </w:r>
      <w:r w:rsidR="001C6E92">
        <w:rPr>
          <w:rFonts w:ascii="Times New Roman" w:eastAsia="Times New Roman" w:hAnsi="Times New Roman" w:cs="Times New Roman"/>
          <w:lang w:val="en-US"/>
        </w:rPr>
        <w:t>;</w:t>
      </w:r>
      <w:r w:rsidR="000347CB">
        <w:rPr>
          <w:rStyle w:val="Appelnotedebasdep"/>
          <w:rFonts w:ascii="Times New Roman" w:eastAsia="Times New Roman" w:hAnsi="Times New Roman" w:cs="Times New Roman"/>
          <w:lang w:val="en-US"/>
        </w:rPr>
        <w:footnoteReference w:id="17"/>
      </w:r>
      <w:r w:rsidR="001C6E92">
        <w:rPr>
          <w:rFonts w:ascii="Times New Roman" w:eastAsia="Times New Roman" w:hAnsi="Times New Roman" w:cs="Times New Roman"/>
          <w:lang w:val="en-US"/>
        </w:rPr>
        <w:t xml:space="preserve"> but, i</w:t>
      </w:r>
      <w:r w:rsidR="005D0768" w:rsidRPr="005D0768">
        <w:rPr>
          <w:rFonts w:ascii="Times New Roman" w:eastAsia="Times New Roman" w:hAnsi="Times New Roman" w:cs="Times New Roman"/>
          <w:lang w:val="en-US"/>
        </w:rPr>
        <w:t>n</w:t>
      </w:r>
      <w:r w:rsidR="002B04E4" w:rsidRPr="005D0768">
        <w:rPr>
          <w:rFonts w:ascii="Times New Roman" w:eastAsia="Times New Roman" w:hAnsi="Times New Roman" w:cs="Times New Roman"/>
          <w:lang w:val="en-US"/>
        </w:rPr>
        <w:t xml:space="preserve"> contrast, </w:t>
      </w:r>
      <w:r w:rsidR="005D0768" w:rsidRPr="005D0768">
        <w:rPr>
          <w:rFonts w:ascii="Times New Roman" w:eastAsia="Times New Roman" w:hAnsi="Times New Roman" w:cs="Times New Roman"/>
          <w:lang w:val="en-US"/>
        </w:rPr>
        <w:t xml:space="preserve">its lack of engagement with the rules on free movement of workers in </w:t>
      </w:r>
      <w:r w:rsidR="005D0768" w:rsidRPr="005D0768">
        <w:rPr>
          <w:rFonts w:ascii="Times New Roman" w:eastAsia="Times New Roman" w:hAnsi="Times New Roman" w:cs="Times New Roman"/>
          <w:i/>
          <w:iCs/>
          <w:lang w:val="en-US"/>
        </w:rPr>
        <w:t>Alimanovic</w:t>
      </w:r>
      <w:r w:rsidR="002B04E4" w:rsidRPr="005D0768">
        <w:rPr>
          <w:rFonts w:ascii="Times New Roman" w:eastAsia="Times New Roman" w:hAnsi="Times New Roman" w:cs="Times New Roman"/>
          <w:lang w:val="en-US"/>
        </w:rPr>
        <w:t xml:space="preserve"> is rather more surprising</w:t>
      </w:r>
      <w:r w:rsidR="005D0768" w:rsidRPr="005D0768">
        <w:rPr>
          <w:rFonts w:ascii="Times New Roman" w:eastAsia="Times New Roman" w:hAnsi="Times New Roman" w:cs="Times New Roman"/>
          <w:lang w:val="en-US"/>
        </w:rPr>
        <w:t>.</w:t>
      </w:r>
    </w:p>
    <w:p w14:paraId="51734D6B" w14:textId="77777777" w:rsidR="00FA0EB7" w:rsidRDefault="00FA0EB7" w:rsidP="005D0768">
      <w:pPr>
        <w:pStyle w:val="Corps"/>
        <w:jc w:val="both"/>
        <w:rPr>
          <w:rFonts w:ascii="Times New Roman" w:eastAsia="Times New Roman" w:hAnsi="Times New Roman" w:cs="Times New Roman"/>
          <w:lang w:val="en-US"/>
        </w:rPr>
      </w:pPr>
    </w:p>
    <w:p w14:paraId="3C2BB7E3" w14:textId="363D6798" w:rsidR="007144D3" w:rsidRPr="00FC79AF" w:rsidRDefault="005D0768" w:rsidP="00D7623A">
      <w:pPr>
        <w:pStyle w:val="Corps"/>
        <w:jc w:val="both"/>
        <w:rPr>
          <w:rFonts w:ascii="Times New Roman" w:hAnsi="Times New Roman" w:cs="Times New Roman"/>
          <w:lang w:val="en-US"/>
        </w:rPr>
      </w:pPr>
      <w:r w:rsidRPr="005D0768">
        <w:rPr>
          <w:rFonts w:ascii="Times New Roman" w:eastAsia="Times New Roman" w:hAnsi="Times New Roman" w:cs="Times New Roman"/>
          <w:lang w:val="en-US"/>
        </w:rPr>
        <w:t xml:space="preserve">In </w:t>
      </w:r>
      <w:r w:rsidR="000347CB">
        <w:rPr>
          <w:rFonts w:ascii="Times New Roman" w:eastAsia="Times New Roman" w:hAnsi="Times New Roman" w:cs="Times New Roman"/>
          <w:lang w:val="en-US"/>
        </w:rPr>
        <w:t xml:space="preserve">its </w:t>
      </w:r>
      <w:r w:rsidR="000347CB" w:rsidRPr="000347CB">
        <w:rPr>
          <w:rFonts w:ascii="Times New Roman" w:eastAsia="Times New Roman" w:hAnsi="Times New Roman" w:cs="Times New Roman"/>
          <w:i/>
          <w:iCs/>
          <w:lang w:val="en-US"/>
        </w:rPr>
        <w:t>Alimanovic</w:t>
      </w:r>
      <w:r w:rsidR="000347CB">
        <w:rPr>
          <w:rFonts w:ascii="Times New Roman" w:eastAsia="Times New Roman" w:hAnsi="Times New Roman" w:cs="Times New Roman"/>
          <w:lang w:val="en-US"/>
        </w:rPr>
        <w:t xml:space="preserve"> judgment</w:t>
      </w:r>
      <w:r w:rsidRPr="005D0768">
        <w:rPr>
          <w:rFonts w:ascii="Times New Roman" w:eastAsia="Times New Roman" w:hAnsi="Times New Roman" w:cs="Times New Roman"/>
          <w:lang w:val="en-US"/>
        </w:rPr>
        <w:t xml:space="preserve">, </w:t>
      </w:r>
      <w:r w:rsidRPr="005D0768">
        <w:rPr>
          <w:rFonts w:ascii="Times New Roman" w:hAnsi="Times New Roman" w:cs="Times New Roman"/>
          <w:lang w:val="en-US"/>
        </w:rPr>
        <w:t xml:space="preserve">the </w:t>
      </w:r>
      <w:r w:rsidR="000347CB">
        <w:rPr>
          <w:rFonts w:ascii="Times New Roman" w:hAnsi="Times New Roman" w:cs="Times New Roman"/>
          <w:lang w:val="en-US"/>
        </w:rPr>
        <w:t xml:space="preserve">Grand Chamber of the </w:t>
      </w:r>
      <w:r w:rsidRPr="005D0768">
        <w:rPr>
          <w:rFonts w:ascii="Times New Roman" w:hAnsi="Times New Roman" w:cs="Times New Roman"/>
          <w:lang w:val="en-US"/>
        </w:rPr>
        <w:t xml:space="preserve">Court </w:t>
      </w:r>
      <w:r w:rsidR="00D412A5">
        <w:rPr>
          <w:rFonts w:ascii="Times New Roman" w:hAnsi="Times New Roman" w:cs="Times New Roman"/>
          <w:lang w:val="en-US"/>
        </w:rPr>
        <w:t xml:space="preserve">effectively </w:t>
      </w:r>
      <w:r w:rsidR="0091564A">
        <w:rPr>
          <w:rFonts w:ascii="Times New Roman" w:hAnsi="Times New Roman" w:cs="Times New Roman"/>
          <w:lang w:val="en-US"/>
        </w:rPr>
        <w:t>concluded</w:t>
      </w:r>
      <w:r w:rsidRPr="005D0768">
        <w:rPr>
          <w:rFonts w:ascii="Times New Roman" w:hAnsi="Times New Roman" w:cs="Times New Roman"/>
          <w:lang w:val="en-US"/>
        </w:rPr>
        <w:t xml:space="preserve"> that Ms. Alimanovic and her daughter Sonita, two Swedish nationals who had both been employed in Germany for temporary jobs lasting less than a year before becoming unemployed, could no longer rely on their right of residence as retained workers since the period of six months laid down in Article 7(3)(c) of the Citizenship Directive had elapsed.</w:t>
      </w:r>
      <w:r w:rsidRPr="005D0768">
        <w:rPr>
          <w:rStyle w:val="Aucun"/>
          <w:rFonts w:ascii="Times New Roman" w:eastAsia="Times New Roman" w:hAnsi="Times New Roman" w:cs="Times New Roman"/>
          <w:vertAlign w:val="superscript"/>
        </w:rPr>
        <w:footnoteReference w:id="18"/>
      </w:r>
      <w:r w:rsidRPr="005D0768">
        <w:rPr>
          <w:rFonts w:ascii="Times New Roman" w:hAnsi="Times New Roman" w:cs="Times New Roman"/>
          <w:lang w:val="en-US"/>
        </w:rPr>
        <w:t xml:space="preserve"> As a result, they could not derive a right to reside </w:t>
      </w:r>
      <w:r w:rsidRPr="005D0768">
        <w:rPr>
          <w:rStyle w:val="Aucun"/>
          <w:rFonts w:ascii="Times New Roman" w:hAnsi="Times New Roman" w:cs="Times New Roman"/>
          <w:i/>
          <w:iCs/>
          <w:lang w:val="en-US"/>
        </w:rPr>
        <w:t>on the basis</w:t>
      </w:r>
      <w:r w:rsidRPr="005D0768">
        <w:rPr>
          <w:rFonts w:ascii="Times New Roman" w:hAnsi="Times New Roman" w:cs="Times New Roman"/>
          <w:lang w:val="en-US"/>
        </w:rPr>
        <w:t xml:space="preserve"> of the Directive. The Court subsequently pointed out that, as jobseekers, Ms. Alimanovic and her daughter nevertheless enjoyed a right to reside pursuant to Article 14(4)(b) even after the six-month period mentioned in Article 7(3)(c) of the Citizen’s Rights Directive. At the same time, however, it results from Article 24(2) of that Directive that the Member States retain the power to exclude Union citizens whose right of residence is based solely on Article 14(4)(b) from any entitlement to social assistance.</w:t>
      </w:r>
      <w:r w:rsidRPr="005D0768">
        <w:rPr>
          <w:rStyle w:val="Aucun"/>
          <w:rFonts w:ascii="Times New Roman" w:eastAsia="Times New Roman" w:hAnsi="Times New Roman" w:cs="Times New Roman"/>
          <w:vertAlign w:val="superscript"/>
        </w:rPr>
        <w:footnoteReference w:id="19"/>
      </w:r>
      <w:r w:rsidRPr="005D0768">
        <w:rPr>
          <w:rFonts w:ascii="Times New Roman" w:hAnsi="Times New Roman"/>
          <w:lang w:val="en-US"/>
        </w:rPr>
        <w:t xml:space="preserve"> </w:t>
      </w:r>
      <w:r w:rsidR="00B61833">
        <w:rPr>
          <w:rFonts w:ascii="Times New Roman" w:hAnsi="Times New Roman"/>
          <w:lang w:val="en-US"/>
        </w:rPr>
        <w:t>The</w:t>
      </w:r>
      <w:r w:rsidRPr="005D0768">
        <w:rPr>
          <w:rFonts w:ascii="Times New Roman" w:hAnsi="Times New Roman"/>
          <w:lang w:val="en-US"/>
        </w:rPr>
        <w:t xml:space="preserve"> Court </w:t>
      </w:r>
      <w:r w:rsidR="00B61833">
        <w:rPr>
          <w:rFonts w:ascii="Times New Roman" w:hAnsi="Times New Roman"/>
          <w:lang w:val="en-US"/>
        </w:rPr>
        <w:t xml:space="preserve">therefore </w:t>
      </w:r>
      <w:r w:rsidRPr="005D0768">
        <w:rPr>
          <w:rFonts w:ascii="Times New Roman" w:hAnsi="Times New Roman"/>
          <w:lang w:val="en-US"/>
        </w:rPr>
        <w:t>accepted to consider them as first-time jobseekers, which means that the status of a former migrant worker who has worked for less than one year in the host state will be governed by Article 14(4)(b) upon expiry of the six-month period of retention of the worker status (Article 7(3)(c)).</w:t>
      </w:r>
      <w:r w:rsidR="00426190">
        <w:rPr>
          <w:rStyle w:val="Appelnotedebasdep"/>
          <w:rFonts w:ascii="Times New Roman" w:hAnsi="Times New Roman"/>
          <w:lang w:val="en-US"/>
        </w:rPr>
        <w:footnoteReference w:id="20"/>
      </w:r>
      <w:r w:rsidRPr="005D0768">
        <w:rPr>
          <w:rFonts w:ascii="Times New Roman" w:hAnsi="Times New Roman" w:cs="Times New Roman"/>
          <w:lang w:val="en-US"/>
        </w:rPr>
        <w:t xml:space="preserve"> By the same token, </w:t>
      </w:r>
      <w:r>
        <w:rPr>
          <w:rFonts w:ascii="Times New Roman" w:hAnsi="Times New Roman" w:cs="Times New Roman"/>
          <w:lang w:val="en-US"/>
        </w:rPr>
        <w:t>it</w:t>
      </w:r>
      <w:r w:rsidRPr="005D0768">
        <w:rPr>
          <w:rFonts w:ascii="Times New Roman" w:hAnsi="Times New Roman" w:cs="Times New Roman"/>
          <w:lang w:val="en-US"/>
        </w:rPr>
        <w:t xml:space="preserve"> remained oblivious to the possibility </w:t>
      </w:r>
      <w:r w:rsidR="00C9508C">
        <w:rPr>
          <w:rFonts w:ascii="Times New Roman" w:hAnsi="Times New Roman" w:cs="Times New Roman"/>
          <w:lang w:val="en-US"/>
        </w:rPr>
        <w:t>for</w:t>
      </w:r>
      <w:r w:rsidRPr="005D0768">
        <w:rPr>
          <w:rFonts w:ascii="Times New Roman" w:hAnsi="Times New Roman" w:cs="Times New Roman"/>
          <w:lang w:val="en-US"/>
        </w:rPr>
        <w:t xml:space="preserve"> those same migrant jobseekers to draw equal treatment guarantees as regards “social advantages” from their status as “workers” in accordance with Articles 45(2) TFEU and 7(2) of the Workers’ Regulation. </w:t>
      </w:r>
      <w:r w:rsidR="00FC79AF">
        <w:rPr>
          <w:rFonts w:ascii="Times New Roman" w:eastAsia="Times New Roman" w:hAnsi="Times New Roman" w:cs="Times New Roman"/>
          <w:lang w:val="en-US"/>
        </w:rPr>
        <w:t xml:space="preserve">Rather, the Court’s analysis </w:t>
      </w:r>
      <w:r w:rsidR="00D93997" w:rsidRPr="00D00979">
        <w:rPr>
          <w:rFonts w:ascii="Times New Roman" w:hAnsi="Times New Roman" w:cs="Times New Roman"/>
          <w:lang w:val="en-US"/>
        </w:rPr>
        <w:t xml:space="preserve">of the scope of equal treatment guarantees conferred upon </w:t>
      </w:r>
      <w:r w:rsidR="00FC79AF">
        <w:rPr>
          <w:rFonts w:ascii="Times New Roman" w:hAnsi="Times New Roman" w:cs="Times New Roman"/>
          <w:lang w:val="en-US"/>
        </w:rPr>
        <w:t>Ms Alimanovic and her daughter</w:t>
      </w:r>
      <w:r w:rsidR="008D624A" w:rsidRPr="00D00979">
        <w:rPr>
          <w:rFonts w:ascii="Times New Roman" w:hAnsi="Times New Roman" w:cs="Times New Roman"/>
          <w:lang w:val="en-US"/>
        </w:rPr>
        <w:t xml:space="preserve"> </w:t>
      </w:r>
      <w:r w:rsidR="005106D0" w:rsidRPr="00D00979">
        <w:rPr>
          <w:rFonts w:ascii="Times New Roman" w:hAnsi="Times New Roman" w:cs="Times New Roman"/>
          <w:lang w:val="en-US"/>
        </w:rPr>
        <w:t>was</w:t>
      </w:r>
      <w:r w:rsidR="008D624A" w:rsidRPr="00D00979">
        <w:rPr>
          <w:rFonts w:ascii="Times New Roman" w:hAnsi="Times New Roman" w:cs="Times New Roman"/>
          <w:lang w:val="en-US"/>
        </w:rPr>
        <w:t xml:space="preserve"> based upon</w:t>
      </w:r>
      <w:r w:rsidR="0080334E" w:rsidRPr="00D00979">
        <w:rPr>
          <w:rFonts w:ascii="Times New Roman" w:hAnsi="Times New Roman" w:cs="Times New Roman"/>
          <w:lang w:val="en-US"/>
        </w:rPr>
        <w:t xml:space="preserve"> a strict interpretation of the limitations and condit</w:t>
      </w:r>
      <w:r w:rsidR="008D624A" w:rsidRPr="00D00979">
        <w:rPr>
          <w:rFonts w:ascii="Times New Roman" w:hAnsi="Times New Roman" w:cs="Times New Roman"/>
          <w:lang w:val="en-US"/>
        </w:rPr>
        <w:t>i</w:t>
      </w:r>
      <w:r w:rsidR="0080334E" w:rsidRPr="00D00979">
        <w:rPr>
          <w:rFonts w:ascii="Times New Roman" w:hAnsi="Times New Roman" w:cs="Times New Roman"/>
          <w:lang w:val="en-US"/>
        </w:rPr>
        <w:t xml:space="preserve">ons established by </w:t>
      </w:r>
      <w:r w:rsidR="00BE6099">
        <w:rPr>
          <w:rFonts w:ascii="Times New Roman" w:hAnsi="Times New Roman" w:cs="Times New Roman"/>
          <w:lang w:val="en-US"/>
        </w:rPr>
        <w:t>the</w:t>
      </w:r>
      <w:r w:rsidR="008D624A" w:rsidRPr="00D00979">
        <w:rPr>
          <w:rFonts w:ascii="Times New Roman" w:hAnsi="Times New Roman" w:cs="Times New Roman"/>
          <w:lang w:val="en-US"/>
        </w:rPr>
        <w:t xml:space="preserve"> Directive</w:t>
      </w:r>
      <w:r w:rsidR="0080334E" w:rsidRPr="00D00979">
        <w:rPr>
          <w:rFonts w:ascii="Times New Roman" w:hAnsi="Times New Roman" w:cs="Times New Roman"/>
          <w:lang w:val="en-US"/>
        </w:rPr>
        <w:t xml:space="preserve">. </w:t>
      </w:r>
      <w:r w:rsidR="00FC79AF">
        <w:rPr>
          <w:rFonts w:ascii="Times New Roman" w:hAnsi="Times New Roman" w:cs="Times New Roman"/>
          <w:lang w:val="en-US"/>
        </w:rPr>
        <w:t xml:space="preserve">Taken together with </w:t>
      </w:r>
      <w:r w:rsidR="00FC79AF" w:rsidRPr="007018CB">
        <w:rPr>
          <w:rFonts w:ascii="Times New Roman" w:hAnsi="Times New Roman" w:cs="Times New Roman"/>
          <w:i/>
          <w:iCs/>
          <w:lang w:val="en-US"/>
        </w:rPr>
        <w:t>Dano</w:t>
      </w:r>
      <w:r w:rsidR="00FC79AF">
        <w:rPr>
          <w:rFonts w:ascii="Times New Roman" w:hAnsi="Times New Roman" w:cs="Times New Roman"/>
          <w:lang w:val="en-US"/>
        </w:rPr>
        <w:t xml:space="preserve">, that judgment has therefore given rise to </w:t>
      </w:r>
      <w:r w:rsidR="007018CB">
        <w:rPr>
          <w:rFonts w:ascii="Times New Roman" w:hAnsi="Times New Roman" w:cs="Times New Roman"/>
          <w:lang w:val="en-US"/>
        </w:rPr>
        <w:t xml:space="preserve">a </w:t>
      </w:r>
      <w:r w:rsidR="00936325">
        <w:rPr>
          <w:rFonts w:ascii="Times New Roman" w:hAnsi="Times New Roman" w:cs="Times New Roman"/>
          <w:lang w:val="en-US"/>
        </w:rPr>
        <w:t xml:space="preserve">widespread </w:t>
      </w:r>
      <w:r w:rsidR="00FC79AF">
        <w:rPr>
          <w:rFonts w:ascii="Times New Roman" w:hAnsi="Times New Roman" w:cs="Times New Roman"/>
          <w:lang w:val="en-US"/>
        </w:rPr>
        <w:t>suggestion</w:t>
      </w:r>
      <w:r w:rsidR="00B7593B">
        <w:rPr>
          <w:rFonts w:ascii="Times New Roman" w:hAnsi="Times New Roman" w:cs="Times New Roman"/>
          <w:lang w:val="en-US"/>
        </w:rPr>
        <w:t xml:space="preserve"> in academic literature</w:t>
      </w:r>
      <w:r w:rsidR="00FC79AF">
        <w:rPr>
          <w:rFonts w:ascii="Times New Roman" w:hAnsi="Times New Roman" w:cs="Times New Roman"/>
          <w:lang w:val="en-US"/>
        </w:rPr>
        <w:t xml:space="preserve"> that the</w:t>
      </w:r>
      <w:r w:rsidR="003F5905" w:rsidRPr="00D00979">
        <w:rPr>
          <w:rFonts w:ascii="Times New Roman" w:hAnsi="Times New Roman" w:cs="Times New Roman"/>
          <w:lang w:val="en-US"/>
        </w:rPr>
        <w:t xml:space="preserve"> </w:t>
      </w:r>
      <w:r w:rsidR="008D624A" w:rsidRPr="00D00979">
        <w:rPr>
          <w:rFonts w:ascii="Times New Roman" w:hAnsi="Times New Roman" w:cs="Times New Roman"/>
          <w:lang w:val="en-US"/>
        </w:rPr>
        <w:t>right-to-reside standards</w:t>
      </w:r>
      <w:r w:rsidR="0080334E" w:rsidRPr="00D00979">
        <w:rPr>
          <w:rFonts w:ascii="Times New Roman" w:hAnsi="Times New Roman" w:cs="Times New Roman"/>
          <w:lang w:val="en-US"/>
        </w:rPr>
        <w:t xml:space="preserve"> laid down in that Directive </w:t>
      </w:r>
      <w:r w:rsidR="007018CB">
        <w:rPr>
          <w:rFonts w:ascii="Times New Roman" w:hAnsi="Times New Roman" w:cs="Times New Roman"/>
          <w:lang w:val="en-US"/>
        </w:rPr>
        <w:t>had been</w:t>
      </w:r>
      <w:r w:rsidR="00FC79AF">
        <w:rPr>
          <w:rFonts w:ascii="Times New Roman" w:hAnsi="Times New Roman" w:cs="Times New Roman"/>
          <w:lang w:val="en-US"/>
        </w:rPr>
        <w:t xml:space="preserve"> </w:t>
      </w:r>
      <w:r w:rsidR="00D67652">
        <w:rPr>
          <w:rFonts w:ascii="Times New Roman" w:hAnsi="Times New Roman" w:cs="Times New Roman"/>
          <w:lang w:val="en-US"/>
        </w:rPr>
        <w:t>transformed</w:t>
      </w:r>
      <w:r w:rsidR="00FC79AF">
        <w:rPr>
          <w:rFonts w:ascii="Times New Roman" w:hAnsi="Times New Roman" w:cs="Times New Roman"/>
          <w:lang w:val="en-US"/>
        </w:rPr>
        <w:t xml:space="preserve"> </w:t>
      </w:r>
      <w:r w:rsidR="0080334E" w:rsidRPr="00D00979">
        <w:rPr>
          <w:rFonts w:ascii="Times New Roman" w:hAnsi="Times New Roman" w:cs="Times New Roman"/>
          <w:lang w:val="en-US"/>
        </w:rPr>
        <w:t xml:space="preserve">into a general norm of benefit restriction </w:t>
      </w:r>
      <w:r w:rsidR="007018CB">
        <w:rPr>
          <w:rFonts w:ascii="Times New Roman" w:hAnsi="Times New Roman" w:cs="Times New Roman"/>
          <w:lang w:val="en-US"/>
        </w:rPr>
        <w:t>superseding other specific expressions of the principle of equal treatment</w:t>
      </w:r>
      <w:r w:rsidR="0080334E" w:rsidRPr="00D00979">
        <w:rPr>
          <w:rFonts w:ascii="Times New Roman" w:hAnsi="Times New Roman" w:cs="Times New Roman"/>
          <w:lang w:val="en-US"/>
        </w:rPr>
        <w:t>.</w:t>
      </w:r>
      <w:r w:rsidR="0080334E" w:rsidRPr="00D00979">
        <w:rPr>
          <w:rStyle w:val="Aucun"/>
          <w:rFonts w:ascii="Times New Roman" w:eastAsia="Times New Roman" w:hAnsi="Times New Roman" w:cs="Times New Roman"/>
          <w:vertAlign w:val="superscript"/>
        </w:rPr>
        <w:footnoteReference w:id="21"/>
      </w:r>
      <w:r w:rsidR="0080334E" w:rsidRPr="00D00979">
        <w:rPr>
          <w:rFonts w:ascii="Times New Roman" w:hAnsi="Times New Roman" w:cs="Times New Roman"/>
          <w:lang w:val="en-US"/>
        </w:rPr>
        <w:t xml:space="preserve"> </w:t>
      </w:r>
      <w:r w:rsidR="00B61833">
        <w:rPr>
          <w:rFonts w:ascii="Times New Roman" w:hAnsi="Times New Roman" w:cs="Times New Roman"/>
          <w:lang w:val="en-US"/>
        </w:rPr>
        <w:t xml:space="preserve">It has essentially </w:t>
      </w:r>
      <w:r w:rsidR="000347CB">
        <w:rPr>
          <w:rFonts w:ascii="Times New Roman" w:hAnsi="Times New Roman" w:cs="Times New Roman"/>
          <w:lang w:val="en-US"/>
        </w:rPr>
        <w:t>been</w:t>
      </w:r>
      <w:r w:rsidR="00051B15">
        <w:rPr>
          <w:rFonts w:ascii="Times New Roman" w:hAnsi="Times New Roman" w:cs="Times New Roman"/>
          <w:lang w:val="en-US"/>
        </w:rPr>
        <w:t xml:space="preserve"> alleged</w:t>
      </w:r>
      <w:r w:rsidR="0080334E" w:rsidRPr="00D00979">
        <w:rPr>
          <w:rFonts w:ascii="Times New Roman" w:hAnsi="Times New Roman" w:cs="Times New Roman"/>
          <w:lang w:val="en-US"/>
        </w:rPr>
        <w:t xml:space="preserve"> </w:t>
      </w:r>
      <w:r w:rsidR="00B61833">
        <w:rPr>
          <w:rFonts w:ascii="Times New Roman" w:hAnsi="Times New Roman" w:cs="Times New Roman"/>
          <w:lang w:val="en-US"/>
        </w:rPr>
        <w:t xml:space="preserve">in that respect </w:t>
      </w:r>
      <w:r w:rsidR="0080334E" w:rsidRPr="00D00979">
        <w:rPr>
          <w:rFonts w:ascii="Times New Roman" w:hAnsi="Times New Roman" w:cs="Times New Roman"/>
          <w:lang w:val="en-US"/>
        </w:rPr>
        <w:t>that Union citizen</w:t>
      </w:r>
      <w:r w:rsidR="00C9508C">
        <w:rPr>
          <w:rFonts w:ascii="Times New Roman" w:hAnsi="Times New Roman" w:cs="Times New Roman"/>
          <w:lang w:val="en-US"/>
        </w:rPr>
        <w:t>s</w:t>
      </w:r>
      <w:r w:rsidR="0080334E" w:rsidRPr="00D00979">
        <w:rPr>
          <w:rFonts w:ascii="Times New Roman" w:hAnsi="Times New Roman" w:cs="Times New Roman"/>
          <w:lang w:val="en-US"/>
        </w:rPr>
        <w:t xml:space="preserve"> may only be able to claim equal treatment with respect to social assistance if </w:t>
      </w:r>
      <w:r w:rsidR="00C9508C">
        <w:rPr>
          <w:rFonts w:ascii="Times New Roman" w:hAnsi="Times New Roman" w:cs="Times New Roman"/>
          <w:lang w:val="en-US"/>
        </w:rPr>
        <w:t>they</w:t>
      </w:r>
      <w:r w:rsidR="0080334E" w:rsidRPr="00D00979">
        <w:rPr>
          <w:rFonts w:ascii="Times New Roman" w:hAnsi="Times New Roman" w:cs="Times New Roman"/>
          <w:lang w:val="en-US"/>
        </w:rPr>
        <w:t xml:space="preserve"> </w:t>
      </w:r>
      <w:r w:rsidR="00C955C9">
        <w:rPr>
          <w:rFonts w:ascii="Times New Roman" w:hAnsi="Times New Roman" w:cs="Times New Roman"/>
          <w:lang w:val="en-US"/>
        </w:rPr>
        <w:t>can</w:t>
      </w:r>
      <w:r w:rsidR="0080334E" w:rsidRPr="00D00979">
        <w:rPr>
          <w:rFonts w:ascii="Times New Roman" w:hAnsi="Times New Roman" w:cs="Times New Roman"/>
          <w:lang w:val="en-US"/>
        </w:rPr>
        <w:t xml:space="preserve"> rely on a lawful right to reside in the territory of the host state in compliance with the conditions featured in Directive 2004/38. </w:t>
      </w:r>
    </w:p>
    <w:p w14:paraId="74FAE404" w14:textId="77777777" w:rsidR="00D7623A" w:rsidRPr="00D00979" w:rsidRDefault="00D7623A" w:rsidP="00D7623A">
      <w:pPr>
        <w:pStyle w:val="Corps"/>
        <w:jc w:val="both"/>
        <w:rPr>
          <w:rFonts w:ascii="Times New Roman" w:hAnsi="Times New Roman" w:cs="Times New Roman"/>
          <w:lang w:val="en-US"/>
        </w:rPr>
      </w:pPr>
    </w:p>
    <w:p w14:paraId="16A94D35" w14:textId="1C155797" w:rsidR="0037135A" w:rsidRPr="00D00979" w:rsidRDefault="00007657" w:rsidP="00D7623A">
      <w:pPr>
        <w:pStyle w:val="Corps"/>
        <w:jc w:val="both"/>
        <w:rPr>
          <w:rFonts w:ascii="Times New Roman" w:hAnsi="Times New Roman" w:cs="Times New Roman"/>
          <w:lang w:val="en-US"/>
        </w:rPr>
      </w:pPr>
      <w:r>
        <w:rPr>
          <w:rFonts w:ascii="Times New Roman" w:hAnsi="Times New Roman" w:cs="Times New Roman"/>
          <w:lang w:val="en-US"/>
        </w:rPr>
        <w:t xml:space="preserve">Viewed from </w:t>
      </w:r>
      <w:r w:rsidR="00936325">
        <w:rPr>
          <w:rFonts w:ascii="Times New Roman" w:hAnsi="Times New Roman" w:cs="Times New Roman"/>
          <w:lang w:val="en-US"/>
        </w:rPr>
        <w:t>that</w:t>
      </w:r>
      <w:r>
        <w:rPr>
          <w:rFonts w:ascii="Times New Roman" w:hAnsi="Times New Roman" w:cs="Times New Roman"/>
          <w:lang w:val="en-US"/>
        </w:rPr>
        <w:t xml:space="preserve"> </w:t>
      </w:r>
      <w:r w:rsidR="00B4468B">
        <w:rPr>
          <w:rFonts w:ascii="Times New Roman" w:hAnsi="Times New Roman" w:cs="Times New Roman"/>
          <w:lang w:val="en-US"/>
        </w:rPr>
        <w:t>perspective, the</w:t>
      </w:r>
      <w:r w:rsidR="006646BE">
        <w:rPr>
          <w:rFonts w:ascii="Times New Roman" w:hAnsi="Times New Roman" w:cs="Times New Roman"/>
          <w:lang w:val="en-US"/>
        </w:rPr>
        <w:t xml:space="preserve"> Court’s approach </w:t>
      </w:r>
      <w:r w:rsidR="0080334E" w:rsidRPr="00D00979">
        <w:rPr>
          <w:rFonts w:ascii="Times New Roman" w:hAnsi="Times New Roman" w:cs="Times New Roman"/>
          <w:lang w:val="en-US"/>
        </w:rPr>
        <w:t>seems</w:t>
      </w:r>
      <w:r w:rsidR="00B4468B">
        <w:rPr>
          <w:rFonts w:ascii="Times New Roman" w:hAnsi="Times New Roman" w:cs="Times New Roman"/>
          <w:lang w:val="en-US"/>
        </w:rPr>
        <w:t xml:space="preserve"> </w:t>
      </w:r>
      <w:r w:rsidR="0080334E" w:rsidRPr="00D00979">
        <w:rPr>
          <w:rFonts w:ascii="Times New Roman" w:hAnsi="Times New Roman" w:cs="Times New Roman"/>
          <w:lang w:val="en-US"/>
        </w:rPr>
        <w:t xml:space="preserve">to offer a stark contrast compared to the Court’s </w:t>
      </w:r>
      <w:r w:rsidR="008D5310" w:rsidRPr="00D00979">
        <w:rPr>
          <w:rFonts w:ascii="Times New Roman" w:hAnsi="Times New Roman" w:cs="Times New Roman"/>
          <w:lang w:val="en-US"/>
        </w:rPr>
        <w:t>early</w:t>
      </w:r>
      <w:r w:rsidR="0080334E" w:rsidRPr="00D00979">
        <w:rPr>
          <w:rFonts w:ascii="Times New Roman" w:hAnsi="Times New Roman" w:cs="Times New Roman"/>
          <w:lang w:val="en-US"/>
        </w:rPr>
        <w:t xml:space="preserve"> case law on the interpretation of the principle of </w:t>
      </w:r>
      <w:r w:rsidR="00A46313" w:rsidRPr="00D00979">
        <w:rPr>
          <w:rFonts w:ascii="Times New Roman" w:hAnsi="Times New Roman" w:cs="Times New Roman"/>
          <w:lang w:val="en-US"/>
        </w:rPr>
        <w:t>non-discrimination</w:t>
      </w:r>
      <w:r w:rsidR="0080334E" w:rsidRPr="00D00979">
        <w:rPr>
          <w:rFonts w:ascii="Times New Roman" w:hAnsi="Times New Roman" w:cs="Times New Roman"/>
          <w:lang w:val="en-US"/>
        </w:rPr>
        <w:t xml:space="preserve"> conferred upon Union citizens by virtue of Articles 18, 20 and 21 TFEU. In the Court’s early</w:t>
      </w:r>
      <w:r w:rsidR="00FE189A" w:rsidRPr="00D00979">
        <w:rPr>
          <w:rFonts w:ascii="Times New Roman" w:hAnsi="Times New Roman" w:cs="Times New Roman"/>
          <w:lang w:val="en-US"/>
        </w:rPr>
        <w:t xml:space="preserve"> – </w:t>
      </w:r>
      <w:r w:rsidR="00FE189A" w:rsidRPr="00D00979">
        <w:rPr>
          <w:rFonts w:ascii="Times New Roman" w:hAnsi="Times New Roman" w:cs="Times New Roman"/>
          <w:lang w:val="en-US"/>
        </w:rPr>
        <w:lastRenderedPageBreak/>
        <w:t xml:space="preserve">or </w:t>
      </w:r>
      <w:r w:rsidR="008D5310" w:rsidRPr="00D00979">
        <w:rPr>
          <w:rFonts w:ascii="Times New Roman" w:hAnsi="Times New Roman" w:cs="Times New Roman"/>
          <w:lang w:val="en-US"/>
        </w:rPr>
        <w:t>traditional</w:t>
      </w:r>
      <w:r w:rsidR="00FE189A" w:rsidRPr="00D00979">
        <w:rPr>
          <w:rFonts w:ascii="Times New Roman" w:hAnsi="Times New Roman" w:cs="Times New Roman"/>
          <w:lang w:val="en-US"/>
        </w:rPr>
        <w:t xml:space="preserve"> </w:t>
      </w:r>
      <w:r w:rsidR="006937CE" w:rsidRPr="00D00979">
        <w:rPr>
          <w:rFonts w:ascii="Times New Roman" w:hAnsi="Times New Roman" w:cs="Times New Roman"/>
          <w:lang w:val="en-US"/>
        </w:rPr>
        <w:t>-</w:t>
      </w:r>
      <w:r w:rsidR="0080334E" w:rsidRPr="00D00979">
        <w:rPr>
          <w:rFonts w:ascii="Times New Roman" w:hAnsi="Times New Roman" w:cs="Times New Roman"/>
          <w:lang w:val="en-US"/>
        </w:rPr>
        <w:t xml:space="preserve"> case law on Union citizenship,</w:t>
      </w:r>
      <w:r w:rsidR="0080334E" w:rsidRPr="00D00979">
        <w:rPr>
          <w:rStyle w:val="Aucun"/>
          <w:rFonts w:ascii="Times New Roman" w:eastAsia="Times New Roman" w:hAnsi="Times New Roman" w:cs="Times New Roman"/>
          <w:vertAlign w:val="superscript"/>
        </w:rPr>
        <w:footnoteReference w:id="22"/>
      </w:r>
      <w:r w:rsidR="0080334E" w:rsidRPr="00D00979">
        <w:rPr>
          <w:rFonts w:ascii="Times New Roman" w:hAnsi="Times New Roman" w:cs="Times New Roman"/>
          <w:lang w:val="en-US"/>
        </w:rPr>
        <w:t xml:space="preserve"> the scope of that principle was construed in a broad manner to include Union citizens residing lawfully within the territory of another </w:t>
      </w:r>
      <w:r w:rsidR="004B57AE" w:rsidRPr="00D00979">
        <w:rPr>
          <w:rFonts w:ascii="Times New Roman" w:hAnsi="Times New Roman" w:cs="Times New Roman"/>
          <w:lang w:val="en-US"/>
        </w:rPr>
        <w:t>M</w:t>
      </w:r>
      <w:r w:rsidR="0080334E" w:rsidRPr="00D00979">
        <w:rPr>
          <w:rFonts w:ascii="Times New Roman" w:hAnsi="Times New Roman" w:cs="Times New Roman"/>
          <w:lang w:val="en-US"/>
        </w:rPr>
        <w:t xml:space="preserve">ember </w:t>
      </w:r>
      <w:r w:rsidR="004B57AE" w:rsidRPr="00D00979">
        <w:rPr>
          <w:rFonts w:ascii="Times New Roman" w:hAnsi="Times New Roman" w:cs="Times New Roman"/>
          <w:lang w:val="en-US"/>
        </w:rPr>
        <w:t>S</w:t>
      </w:r>
      <w:r w:rsidR="0080334E" w:rsidRPr="00D00979">
        <w:rPr>
          <w:rFonts w:ascii="Times New Roman" w:hAnsi="Times New Roman" w:cs="Times New Roman"/>
          <w:lang w:val="en-US"/>
        </w:rPr>
        <w:t>tate.</w:t>
      </w:r>
      <w:r w:rsidR="0080334E" w:rsidRPr="00D00979">
        <w:rPr>
          <w:rStyle w:val="Appelnotedebasdep"/>
          <w:rFonts w:ascii="Times New Roman" w:hAnsi="Times New Roman" w:cs="Times New Roman"/>
          <w:lang w:val="en-US"/>
        </w:rPr>
        <w:footnoteReference w:id="23"/>
      </w:r>
      <w:r w:rsidR="0080334E" w:rsidRPr="00D00979">
        <w:rPr>
          <w:rFonts w:ascii="Times New Roman" w:hAnsi="Times New Roman" w:cs="Times New Roman"/>
          <w:lang w:val="en-US"/>
        </w:rPr>
        <w:t xml:space="preserve"> One of the first judgments delivered by the Court following the introduction of Union citizenship in the Maastricht Treaty was </w:t>
      </w:r>
      <w:r w:rsidR="0080334E" w:rsidRPr="00D00979">
        <w:rPr>
          <w:rFonts w:ascii="Times New Roman" w:hAnsi="Times New Roman" w:cs="Times New Roman"/>
          <w:i/>
          <w:iCs/>
          <w:lang w:val="en-US"/>
        </w:rPr>
        <w:t>Martinez Sala</w:t>
      </w:r>
      <w:r w:rsidR="0080334E" w:rsidRPr="00D00979">
        <w:rPr>
          <w:rFonts w:ascii="Times New Roman" w:hAnsi="Times New Roman" w:cs="Times New Roman"/>
          <w:lang w:val="en-US"/>
        </w:rPr>
        <w:t>. In that judgment, the Court was keen to emphasise that Union citizens could rely on the principle of equal treatment provided that they resided lawfully in the host state.</w:t>
      </w:r>
      <w:r w:rsidR="0080334E" w:rsidRPr="00D00979">
        <w:rPr>
          <w:rStyle w:val="Appelnotedebasdep"/>
          <w:rFonts w:ascii="Times New Roman" w:hAnsi="Times New Roman" w:cs="Times New Roman"/>
          <w:lang w:val="en-US"/>
        </w:rPr>
        <w:footnoteReference w:id="24"/>
      </w:r>
      <w:r w:rsidR="0080334E" w:rsidRPr="00D00979">
        <w:rPr>
          <w:rFonts w:ascii="Times New Roman" w:hAnsi="Times New Roman" w:cs="Times New Roman"/>
          <w:lang w:val="en-US"/>
        </w:rPr>
        <w:t xml:space="preserve"> Because the individual concerned was residing lawfully in the host state, he or she could rely on equal treatment guarantees to receive social assistance. </w:t>
      </w:r>
      <w:r w:rsidR="00936325">
        <w:rPr>
          <w:rFonts w:ascii="Times New Roman" w:hAnsi="Times New Roman" w:cs="Times New Roman"/>
          <w:lang w:val="en-US"/>
        </w:rPr>
        <w:t>The</w:t>
      </w:r>
      <w:r w:rsidR="006B6F3F" w:rsidRPr="00D00979">
        <w:rPr>
          <w:rFonts w:ascii="Times New Roman" w:hAnsi="Times New Roman" w:cs="Times New Roman"/>
          <w:lang w:val="en-US"/>
        </w:rPr>
        <w:t xml:space="preserve"> Court </w:t>
      </w:r>
      <w:r w:rsidR="003E0B99">
        <w:rPr>
          <w:rFonts w:ascii="Times New Roman" w:hAnsi="Times New Roman" w:cs="Times New Roman"/>
          <w:lang w:val="en-US"/>
        </w:rPr>
        <w:t xml:space="preserve">nevertheless </w:t>
      </w:r>
      <w:r w:rsidR="006B6F3F" w:rsidRPr="00D00979">
        <w:rPr>
          <w:rFonts w:ascii="Times New Roman" w:hAnsi="Times New Roman" w:cs="Times New Roman"/>
          <w:lang w:val="en-US"/>
        </w:rPr>
        <w:t xml:space="preserve">left unanswered questions about whether </w:t>
      </w:r>
      <w:r w:rsidR="00A0576F" w:rsidRPr="00D00979">
        <w:rPr>
          <w:rFonts w:ascii="Times New Roman" w:hAnsi="Times New Roman" w:cs="Times New Roman"/>
          <w:lang w:val="en-US"/>
        </w:rPr>
        <w:t>“</w:t>
      </w:r>
      <w:r w:rsidR="006B6F3F" w:rsidRPr="00D00979">
        <w:rPr>
          <w:rFonts w:ascii="Times New Roman" w:hAnsi="Times New Roman" w:cs="Times New Roman"/>
          <w:lang w:val="en-US"/>
        </w:rPr>
        <w:t>lawful residence</w:t>
      </w:r>
      <w:r w:rsidR="00A0576F" w:rsidRPr="00D00979">
        <w:rPr>
          <w:rFonts w:ascii="Times New Roman" w:hAnsi="Times New Roman" w:cs="Times New Roman"/>
          <w:lang w:val="en-US"/>
        </w:rPr>
        <w:t>”</w:t>
      </w:r>
      <w:r w:rsidR="006B6F3F" w:rsidRPr="00D00979">
        <w:rPr>
          <w:rFonts w:ascii="Times New Roman" w:hAnsi="Times New Roman" w:cs="Times New Roman"/>
          <w:lang w:val="en-US"/>
        </w:rPr>
        <w:t xml:space="preserve"> should be established on the basis of EU law or national law.</w:t>
      </w:r>
      <w:r w:rsidR="00277C36" w:rsidRPr="00D00979">
        <w:rPr>
          <w:rStyle w:val="Appelnotedebasdep"/>
          <w:rFonts w:ascii="Times New Roman" w:hAnsi="Times New Roman" w:cs="Times New Roman"/>
          <w:lang w:val="en-US"/>
        </w:rPr>
        <w:footnoteReference w:id="25"/>
      </w:r>
      <w:r w:rsidR="0080334E" w:rsidRPr="00D00979">
        <w:rPr>
          <w:rFonts w:ascii="Times New Roman" w:hAnsi="Times New Roman" w:cs="Times New Roman"/>
          <w:lang w:val="en-US"/>
        </w:rPr>
        <w:t xml:space="preserve"> </w:t>
      </w:r>
      <w:r w:rsidR="005B0E5A" w:rsidRPr="00D00979">
        <w:rPr>
          <w:rFonts w:ascii="Times New Roman" w:hAnsi="Times New Roman" w:cs="Times New Roman"/>
          <w:lang w:val="en-US"/>
        </w:rPr>
        <w:t>In subsequent judments,</w:t>
      </w:r>
      <w:r w:rsidR="00D001D5" w:rsidRPr="00D00979">
        <w:rPr>
          <w:rStyle w:val="Appelnotedebasdep"/>
          <w:rFonts w:ascii="Times New Roman" w:hAnsi="Times New Roman" w:cs="Times New Roman"/>
          <w:lang w:val="en-US"/>
        </w:rPr>
        <w:footnoteReference w:id="26"/>
      </w:r>
      <w:r w:rsidR="005B0E5A" w:rsidRPr="00D00979">
        <w:rPr>
          <w:rFonts w:ascii="Times New Roman" w:hAnsi="Times New Roman" w:cs="Times New Roman"/>
          <w:lang w:val="en-US"/>
        </w:rPr>
        <w:t xml:space="preserve"> </w:t>
      </w:r>
      <w:r w:rsidR="00936325">
        <w:rPr>
          <w:rFonts w:ascii="Times New Roman" w:hAnsi="Times New Roman" w:cs="Times New Roman"/>
          <w:lang w:val="en-US"/>
        </w:rPr>
        <w:t>it</w:t>
      </w:r>
      <w:r w:rsidR="005B0E5A" w:rsidRPr="00D00979">
        <w:rPr>
          <w:rFonts w:ascii="Times New Roman" w:hAnsi="Times New Roman" w:cs="Times New Roman"/>
          <w:lang w:val="en-US"/>
        </w:rPr>
        <w:t xml:space="preserve"> </w:t>
      </w:r>
      <w:r w:rsidR="006A7B0C" w:rsidRPr="00D00979">
        <w:rPr>
          <w:rFonts w:ascii="Times New Roman" w:hAnsi="Times New Roman" w:cs="Times New Roman"/>
          <w:lang w:val="en-US"/>
        </w:rPr>
        <w:t xml:space="preserve">insisted </w:t>
      </w:r>
      <w:r w:rsidR="006937CE" w:rsidRPr="00D00979">
        <w:rPr>
          <w:rFonts w:ascii="Times New Roman" w:hAnsi="Times New Roman" w:cs="Times New Roman"/>
          <w:lang w:val="en-US"/>
        </w:rPr>
        <w:t xml:space="preserve">again </w:t>
      </w:r>
      <w:r w:rsidR="006A7B0C" w:rsidRPr="00D00979">
        <w:rPr>
          <w:rFonts w:ascii="Times New Roman" w:hAnsi="Times New Roman" w:cs="Times New Roman"/>
          <w:lang w:val="en-US"/>
        </w:rPr>
        <w:t>on</w:t>
      </w:r>
      <w:r w:rsidR="005B0E5A" w:rsidRPr="00D00979">
        <w:rPr>
          <w:rFonts w:ascii="Times New Roman" w:hAnsi="Times New Roman" w:cs="Times New Roman"/>
          <w:lang w:val="en-US"/>
        </w:rPr>
        <w:t xml:space="preserve"> the importance of establishing lawful residence in order to obtain the same treatment as nationals of the host state in relation to social assistance. </w:t>
      </w:r>
      <w:r w:rsidR="00ED3C89" w:rsidRPr="00D00979">
        <w:rPr>
          <w:rFonts w:ascii="Times New Roman" w:hAnsi="Times New Roman" w:cs="Times New Roman"/>
          <w:lang w:val="en-US"/>
        </w:rPr>
        <w:t>By the same token, it</w:t>
      </w:r>
      <w:r w:rsidR="0080334E" w:rsidRPr="00D00979">
        <w:rPr>
          <w:rFonts w:ascii="Times New Roman" w:hAnsi="Times New Roman" w:cs="Times New Roman"/>
          <w:lang w:val="en-US"/>
        </w:rPr>
        <w:t xml:space="preserve"> clarified that migrant Union citizens’ access to social assistance could be limited by reference to the </w:t>
      </w:r>
      <w:r w:rsidR="00A0576F" w:rsidRPr="00D00979">
        <w:rPr>
          <w:rFonts w:ascii="Times New Roman" w:hAnsi="Times New Roman" w:cs="Times New Roman"/>
          <w:lang w:val="en-US"/>
        </w:rPr>
        <w:t>“</w:t>
      </w:r>
      <w:r w:rsidR="0080334E" w:rsidRPr="00D00979">
        <w:rPr>
          <w:rFonts w:ascii="Times New Roman" w:hAnsi="Times New Roman" w:cs="Times New Roman"/>
          <w:lang w:val="en-US"/>
        </w:rPr>
        <w:t>conditionality of the residence right exercised</w:t>
      </w:r>
      <w:r w:rsidR="00A0576F" w:rsidRPr="00D00979">
        <w:rPr>
          <w:rFonts w:ascii="Times New Roman" w:hAnsi="Times New Roman" w:cs="Times New Roman"/>
          <w:lang w:val="en-US"/>
        </w:rPr>
        <w:t>”</w:t>
      </w:r>
      <w:r w:rsidR="009F0A91" w:rsidRPr="00D00979">
        <w:rPr>
          <w:rFonts w:ascii="Times New Roman" w:hAnsi="Times New Roman" w:cs="Times New Roman"/>
          <w:lang w:val="en-US"/>
        </w:rPr>
        <w:t xml:space="preserve"> in the host state</w:t>
      </w:r>
      <w:r w:rsidR="0080334E" w:rsidRPr="00D00979">
        <w:rPr>
          <w:rFonts w:ascii="Times New Roman" w:hAnsi="Times New Roman" w:cs="Times New Roman"/>
          <w:lang w:val="en-US"/>
        </w:rPr>
        <w:t>.</w:t>
      </w:r>
      <w:r w:rsidR="0080334E" w:rsidRPr="00D00979">
        <w:rPr>
          <w:rStyle w:val="Appelnotedebasdep"/>
          <w:rFonts w:ascii="Times New Roman" w:hAnsi="Times New Roman" w:cs="Times New Roman"/>
          <w:lang w:val="en-US"/>
        </w:rPr>
        <w:footnoteReference w:id="27"/>
      </w:r>
      <w:r w:rsidR="0080334E" w:rsidRPr="00D00979">
        <w:rPr>
          <w:rFonts w:ascii="Times New Roman" w:hAnsi="Times New Roman" w:cs="Times New Roman"/>
          <w:lang w:val="en-US"/>
        </w:rPr>
        <w:t xml:space="preserve"> It was deemed irrelevant, for that purpose, whether they enjoyed a right to reside in the host state on the basis of EU law or national law.</w:t>
      </w:r>
      <w:r w:rsidR="0080334E" w:rsidRPr="00D00979">
        <w:rPr>
          <w:rStyle w:val="Appelnotedebasdep"/>
          <w:rFonts w:ascii="Times New Roman" w:hAnsi="Times New Roman" w:cs="Times New Roman"/>
          <w:lang w:val="en-US"/>
        </w:rPr>
        <w:footnoteReference w:id="28"/>
      </w:r>
      <w:r w:rsidR="0080334E" w:rsidRPr="00D00979">
        <w:rPr>
          <w:rFonts w:ascii="Times New Roman" w:hAnsi="Times New Roman" w:cs="Times New Roman"/>
          <w:lang w:val="en-US"/>
        </w:rPr>
        <w:t xml:space="preserve"> </w:t>
      </w:r>
      <w:r w:rsidR="005159B2" w:rsidRPr="00D00979">
        <w:rPr>
          <w:rFonts w:ascii="Times New Roman" w:hAnsi="Times New Roman" w:cs="Times New Roman"/>
          <w:lang w:val="en-US"/>
        </w:rPr>
        <w:t>The Court considered that Union citizens could avail themselves of the principle of equal treatment featured in Article 18 TFEU provided that they possessed a right to reside on the basis of national law even if they did not satisfy the conditions established in the Residence Directives.</w:t>
      </w:r>
      <w:r w:rsidR="00DE285F">
        <w:rPr>
          <w:rStyle w:val="Appelnotedebasdep"/>
          <w:rFonts w:ascii="Times New Roman" w:hAnsi="Times New Roman" w:cs="Times New Roman"/>
          <w:lang w:val="en-US"/>
        </w:rPr>
        <w:footnoteReference w:id="29"/>
      </w:r>
    </w:p>
    <w:p w14:paraId="23851320" w14:textId="77777777" w:rsidR="00D7623A" w:rsidRPr="00D00979" w:rsidRDefault="00D7623A" w:rsidP="00D7623A">
      <w:pPr>
        <w:pStyle w:val="Corps"/>
        <w:jc w:val="both"/>
        <w:rPr>
          <w:rFonts w:ascii="Times New Roman" w:hAnsi="Times New Roman" w:cs="Times New Roman"/>
          <w:lang w:val="en-US"/>
        </w:rPr>
      </w:pPr>
    </w:p>
    <w:p w14:paraId="18024182" w14:textId="573EAD57" w:rsidR="007144D3" w:rsidRPr="00D00979" w:rsidRDefault="0080334E" w:rsidP="00D7623A">
      <w:pPr>
        <w:pStyle w:val="Corps"/>
        <w:jc w:val="both"/>
        <w:rPr>
          <w:rFonts w:ascii="Times New Roman" w:hAnsi="Times New Roman" w:cs="Times New Roman"/>
          <w:lang w:val="en-US"/>
        </w:rPr>
      </w:pPr>
      <w:r w:rsidRPr="00D00979">
        <w:rPr>
          <w:rFonts w:ascii="Times New Roman" w:hAnsi="Times New Roman" w:cs="Times New Roman"/>
          <w:lang w:val="en-US"/>
        </w:rPr>
        <w:t xml:space="preserve">The </w:t>
      </w:r>
      <w:r w:rsidRPr="00D00979">
        <w:rPr>
          <w:rStyle w:val="Aucun"/>
          <w:rFonts w:ascii="Times New Roman" w:hAnsi="Times New Roman" w:cs="Times New Roman"/>
          <w:i/>
          <w:iCs/>
          <w:lang w:val="it-IT"/>
        </w:rPr>
        <w:t>Dano</w:t>
      </w:r>
      <w:r w:rsidRPr="00D00979">
        <w:rPr>
          <w:rStyle w:val="Aucun"/>
          <w:rFonts w:ascii="Times New Roman" w:hAnsi="Times New Roman" w:cs="Times New Roman"/>
          <w:i/>
          <w:iCs/>
          <w:lang w:val="en-US"/>
        </w:rPr>
        <w:t>-Alimanovic</w:t>
      </w:r>
      <w:r w:rsidRPr="00D00979">
        <w:rPr>
          <w:rFonts w:ascii="Times New Roman" w:hAnsi="Times New Roman" w:cs="Times New Roman"/>
          <w:lang w:val="en-US"/>
        </w:rPr>
        <w:t xml:space="preserve"> line of </w:t>
      </w:r>
      <w:r w:rsidR="00C955C9">
        <w:rPr>
          <w:rFonts w:ascii="Times New Roman" w:hAnsi="Times New Roman" w:cs="Times New Roman"/>
          <w:lang w:val="en-US"/>
        </w:rPr>
        <w:t>case law</w:t>
      </w:r>
      <w:r w:rsidRPr="00D00979">
        <w:rPr>
          <w:rFonts w:ascii="Times New Roman" w:hAnsi="Times New Roman" w:cs="Times New Roman"/>
          <w:lang w:val="en-US"/>
        </w:rPr>
        <w:t xml:space="preserve"> </w:t>
      </w:r>
      <w:r w:rsidR="00B4468B">
        <w:rPr>
          <w:rFonts w:ascii="Times New Roman" w:hAnsi="Times New Roman" w:cs="Times New Roman"/>
          <w:lang w:val="en-US"/>
        </w:rPr>
        <w:t>would appear</w:t>
      </w:r>
      <w:r w:rsidRPr="00D00979">
        <w:rPr>
          <w:rFonts w:ascii="Times New Roman" w:hAnsi="Times New Roman" w:cs="Times New Roman"/>
          <w:lang w:val="en-US"/>
        </w:rPr>
        <w:t xml:space="preserve"> to turn this approach on its head</w:t>
      </w:r>
      <w:r w:rsidR="004A34C4" w:rsidRPr="00D00979">
        <w:rPr>
          <w:rFonts w:ascii="Times New Roman" w:hAnsi="Times New Roman" w:cs="Times New Roman"/>
          <w:lang w:val="en-US"/>
        </w:rPr>
        <w:t xml:space="preserve"> as it has allegedly become</w:t>
      </w:r>
      <w:r w:rsidRPr="00D00979">
        <w:rPr>
          <w:rFonts w:ascii="Times New Roman" w:hAnsi="Times New Roman" w:cs="Times New Roman"/>
          <w:lang w:val="en-US"/>
        </w:rPr>
        <w:t xml:space="preserve"> necessary to establish lawful residence in compliance with the requirements featured in the Citizenship Directive in order to trigger the right to </w:t>
      </w:r>
      <w:r w:rsidR="00C955C9">
        <w:rPr>
          <w:rFonts w:ascii="Times New Roman" w:hAnsi="Times New Roman" w:cs="Times New Roman"/>
          <w:lang w:val="en-US"/>
        </w:rPr>
        <w:t>equal treatment</w:t>
      </w:r>
      <w:r w:rsidRPr="00D00979">
        <w:rPr>
          <w:rFonts w:ascii="Times New Roman" w:hAnsi="Times New Roman" w:cs="Times New Roman"/>
          <w:lang w:val="en-US"/>
        </w:rPr>
        <w:t xml:space="preserve"> conferred upon Union citizens by Article 24 of the Directive.</w:t>
      </w:r>
      <w:r w:rsidRPr="00D00979">
        <w:rPr>
          <w:rStyle w:val="Aucun"/>
          <w:rFonts w:ascii="Times New Roman" w:eastAsia="Times New Roman" w:hAnsi="Times New Roman" w:cs="Times New Roman"/>
          <w:vertAlign w:val="superscript"/>
        </w:rPr>
        <w:footnoteReference w:id="30"/>
      </w:r>
      <w:r w:rsidRPr="00D00979">
        <w:rPr>
          <w:rFonts w:ascii="Times New Roman" w:hAnsi="Times New Roman" w:cs="Times New Roman"/>
          <w:lang w:val="en-US"/>
        </w:rPr>
        <w:t xml:space="preserve"> It is sometimes suggested that the Court’s approach is based upon a </w:t>
      </w:r>
      <w:r w:rsidR="00A0576F" w:rsidRPr="00D00979">
        <w:rPr>
          <w:rFonts w:ascii="Times New Roman" w:hAnsi="Times New Roman" w:cs="Times New Roman"/>
          <w:lang w:val="en-US"/>
        </w:rPr>
        <w:t>“</w:t>
      </w:r>
      <w:r w:rsidRPr="00D00979">
        <w:rPr>
          <w:rFonts w:ascii="Times New Roman" w:hAnsi="Times New Roman" w:cs="Times New Roman"/>
          <w:lang w:val="en-US"/>
        </w:rPr>
        <w:t>reversal</w:t>
      </w:r>
      <w:r w:rsidR="00A0576F" w:rsidRPr="00D00979">
        <w:rPr>
          <w:rFonts w:ascii="Times New Roman" w:hAnsi="Times New Roman" w:cs="Times New Roman"/>
          <w:lang w:val="en-US"/>
        </w:rPr>
        <w:t>”</w:t>
      </w:r>
      <w:r w:rsidRPr="00D00979">
        <w:rPr>
          <w:rFonts w:ascii="Times New Roman" w:hAnsi="Times New Roman" w:cs="Times New Roman"/>
          <w:lang w:val="en-US"/>
        </w:rPr>
        <w:t xml:space="preserve"> of the order between the Union citizens</w:t>
      </w:r>
      <w:r w:rsidR="00936325">
        <w:rPr>
          <w:rFonts w:ascii="Times New Roman" w:hAnsi="Times New Roman" w:cs="Times New Roman"/>
          <w:lang w:val="en-US"/>
        </w:rPr>
        <w:t>’</w:t>
      </w:r>
      <w:r w:rsidRPr="00D00979">
        <w:rPr>
          <w:rFonts w:ascii="Times New Roman" w:hAnsi="Times New Roman" w:cs="Times New Roman"/>
          <w:lang w:val="en-US"/>
        </w:rPr>
        <w:t xml:space="preserve"> right to equal treatment and the</w:t>
      </w:r>
      <w:r w:rsidR="00C955C9">
        <w:rPr>
          <w:rFonts w:ascii="Times New Roman" w:hAnsi="Times New Roman" w:cs="Times New Roman"/>
          <w:lang w:val="en-US"/>
        </w:rPr>
        <w:t>ir</w:t>
      </w:r>
      <w:r w:rsidRPr="00D00979">
        <w:rPr>
          <w:rFonts w:ascii="Times New Roman" w:hAnsi="Times New Roman" w:cs="Times New Roman"/>
          <w:lang w:val="en-US"/>
        </w:rPr>
        <w:t xml:space="preserve"> right </w:t>
      </w:r>
      <w:r w:rsidR="00C955C9">
        <w:rPr>
          <w:rFonts w:ascii="Times New Roman" w:hAnsi="Times New Roman" w:cs="Times New Roman"/>
          <w:lang w:val="en-US"/>
        </w:rPr>
        <w:t>of</w:t>
      </w:r>
      <w:r w:rsidRPr="00D00979">
        <w:rPr>
          <w:rFonts w:ascii="Times New Roman" w:hAnsi="Times New Roman" w:cs="Times New Roman"/>
          <w:lang w:val="en-US"/>
        </w:rPr>
        <w:t xml:space="preserve"> residence.</w:t>
      </w:r>
      <w:r w:rsidRPr="00D00979">
        <w:rPr>
          <w:rStyle w:val="Aucun"/>
          <w:rFonts w:ascii="Times New Roman" w:eastAsia="Times New Roman" w:hAnsi="Times New Roman" w:cs="Times New Roman"/>
          <w:vertAlign w:val="superscript"/>
        </w:rPr>
        <w:footnoteReference w:id="31"/>
      </w:r>
      <w:r w:rsidRPr="00D00979">
        <w:rPr>
          <w:rFonts w:ascii="Times New Roman" w:hAnsi="Times New Roman" w:cs="Times New Roman"/>
          <w:lang w:val="en-US"/>
        </w:rPr>
        <w:t xml:space="preserve">  The main thrust of that argument is that, in contrast to the early cases, whereby Union citizens could rely on equal treatment guarantees irrespective </w:t>
      </w:r>
      <w:r w:rsidRPr="00D00979">
        <w:rPr>
          <w:rFonts w:ascii="Times New Roman" w:hAnsi="Times New Roman" w:cs="Times New Roman"/>
          <w:lang w:val="en-US"/>
        </w:rPr>
        <w:lastRenderedPageBreak/>
        <w:t xml:space="preserve">of the basis of their right to reside, the Court has clarified in </w:t>
      </w:r>
      <w:r w:rsidRPr="00D00979">
        <w:rPr>
          <w:rFonts w:ascii="Times New Roman" w:hAnsi="Times New Roman" w:cs="Times New Roman"/>
          <w:i/>
          <w:iCs/>
          <w:lang w:val="en-US"/>
        </w:rPr>
        <w:t>Dano-Alimanovic</w:t>
      </w:r>
      <w:r w:rsidRPr="00D00979">
        <w:rPr>
          <w:rFonts w:ascii="Times New Roman" w:hAnsi="Times New Roman" w:cs="Times New Roman"/>
          <w:lang w:val="en-US"/>
        </w:rPr>
        <w:t xml:space="preserve"> that </w:t>
      </w:r>
      <w:r w:rsidR="00C36C00" w:rsidRPr="00D00979">
        <w:rPr>
          <w:rFonts w:ascii="Times New Roman" w:hAnsi="Times New Roman" w:cs="Times New Roman"/>
          <w:lang w:val="en-US"/>
        </w:rPr>
        <w:t xml:space="preserve">they </w:t>
      </w:r>
      <w:r w:rsidRPr="00D00979">
        <w:rPr>
          <w:rFonts w:ascii="Times New Roman" w:hAnsi="Times New Roman" w:cs="Times New Roman"/>
          <w:lang w:val="en-US"/>
        </w:rPr>
        <w:t xml:space="preserve">may only rely on the right to equal treatment if they can establish lawful residence in compliance with the residence </w:t>
      </w:r>
      <w:r w:rsidR="00507291" w:rsidRPr="00D00979">
        <w:rPr>
          <w:rFonts w:ascii="Times New Roman" w:hAnsi="Times New Roman" w:cs="Times New Roman"/>
          <w:lang w:val="en-US"/>
        </w:rPr>
        <w:t>requirements</w:t>
      </w:r>
      <w:r w:rsidRPr="00D00979">
        <w:rPr>
          <w:rFonts w:ascii="Times New Roman" w:hAnsi="Times New Roman" w:cs="Times New Roman"/>
          <w:lang w:val="en-US"/>
        </w:rPr>
        <w:t xml:space="preserve"> featured in </w:t>
      </w:r>
      <w:r w:rsidR="00507291" w:rsidRPr="00D00979">
        <w:rPr>
          <w:rFonts w:ascii="Times New Roman" w:hAnsi="Times New Roman" w:cs="Times New Roman"/>
          <w:lang w:val="en-US"/>
        </w:rPr>
        <w:t>the Citizenship Directive</w:t>
      </w:r>
      <w:r w:rsidRPr="00D00979">
        <w:rPr>
          <w:rFonts w:ascii="Times New Roman" w:hAnsi="Times New Roman" w:cs="Times New Roman"/>
          <w:lang w:val="en-US"/>
        </w:rPr>
        <w:t>.</w:t>
      </w:r>
      <w:r w:rsidR="00E11142" w:rsidRPr="00D00979">
        <w:rPr>
          <w:rStyle w:val="Appelnotedebasdep"/>
          <w:rFonts w:ascii="Times New Roman" w:hAnsi="Times New Roman" w:cs="Times New Roman"/>
          <w:lang w:val="en-US"/>
        </w:rPr>
        <w:footnoteReference w:id="32"/>
      </w:r>
      <w:r w:rsidR="00ED5513" w:rsidRPr="00D00979">
        <w:rPr>
          <w:rFonts w:ascii="Times New Roman" w:hAnsi="Times New Roman" w:cs="Times New Roman"/>
          <w:lang w:val="en-US"/>
        </w:rPr>
        <w:t xml:space="preserve"> </w:t>
      </w:r>
      <w:r w:rsidR="000455AF" w:rsidRPr="00D00979">
        <w:rPr>
          <w:rFonts w:ascii="Times New Roman" w:hAnsi="Times New Roman" w:cs="Times New Roman"/>
          <w:lang w:val="en-US"/>
        </w:rPr>
        <w:t xml:space="preserve">In other words, it is essentially submitted that the right-to-reside requirements set out in the Citizenship Directive have become the </w:t>
      </w:r>
      <w:r w:rsidR="00A0576F" w:rsidRPr="00D00979">
        <w:rPr>
          <w:rFonts w:ascii="Times New Roman" w:hAnsi="Times New Roman" w:cs="Times New Roman"/>
          <w:lang w:val="en-US"/>
        </w:rPr>
        <w:t>“</w:t>
      </w:r>
      <w:r w:rsidR="000455AF" w:rsidRPr="00D00979">
        <w:rPr>
          <w:rFonts w:ascii="Times New Roman" w:hAnsi="Times New Roman" w:cs="Times New Roman"/>
          <w:lang w:val="en-US"/>
        </w:rPr>
        <w:t>horizon indépassable</w:t>
      </w:r>
      <w:r w:rsidR="00A0576F" w:rsidRPr="00D00979">
        <w:rPr>
          <w:rFonts w:ascii="Times New Roman" w:hAnsi="Times New Roman" w:cs="Times New Roman"/>
          <w:lang w:val="en-US"/>
        </w:rPr>
        <w:t>”</w:t>
      </w:r>
      <w:r w:rsidR="000455AF" w:rsidRPr="00D00979">
        <w:rPr>
          <w:rFonts w:ascii="Times New Roman" w:hAnsi="Times New Roman" w:cs="Times New Roman"/>
          <w:lang w:val="en-US"/>
        </w:rPr>
        <w:t xml:space="preserve"> of Union citizenship law.</w:t>
      </w:r>
      <w:r w:rsidR="000455AF" w:rsidRPr="00D00979">
        <w:rPr>
          <w:rStyle w:val="Appelnotedebasdep"/>
          <w:rFonts w:ascii="Times New Roman" w:hAnsi="Times New Roman" w:cs="Times New Roman"/>
          <w:lang w:val="en-US"/>
        </w:rPr>
        <w:footnoteReference w:id="33"/>
      </w:r>
      <w:r w:rsidR="000455AF" w:rsidRPr="00D00979">
        <w:rPr>
          <w:rFonts w:ascii="Times New Roman" w:hAnsi="Times New Roman" w:cs="Times New Roman"/>
          <w:lang w:val="en-US"/>
        </w:rPr>
        <w:t xml:space="preserve"> </w:t>
      </w:r>
      <w:r w:rsidR="00ED5513" w:rsidRPr="00D00979">
        <w:rPr>
          <w:rFonts w:ascii="Times New Roman" w:hAnsi="Times New Roman" w:cs="Times New Roman"/>
          <w:lang w:val="en-US"/>
        </w:rPr>
        <w:t>It hardly matters, for that purpose, whether the individual concerned enjoys a right to reside in the host state on another basis, be it under national law or on the basis of another EU secondary legislative instrument.</w:t>
      </w:r>
      <w:r w:rsidR="00ED5513" w:rsidRPr="00D00979">
        <w:rPr>
          <w:rStyle w:val="Aucun"/>
          <w:rFonts w:ascii="Times New Roman" w:eastAsia="Times New Roman" w:hAnsi="Times New Roman" w:cs="Times New Roman"/>
          <w:vertAlign w:val="superscript"/>
        </w:rPr>
        <w:footnoteReference w:id="34"/>
      </w:r>
      <w:r w:rsidR="00ED5513" w:rsidRPr="00D00979">
        <w:rPr>
          <w:rFonts w:ascii="Times New Roman" w:hAnsi="Times New Roman" w:cs="Times New Roman"/>
          <w:lang w:val="en-US"/>
        </w:rPr>
        <w:t xml:space="preserve"> What matters most is that the individual concerned satisfies the conditions for lawful residence enshrined in the Directive.</w:t>
      </w:r>
      <w:r w:rsidRPr="00D00979">
        <w:rPr>
          <w:rFonts w:ascii="Times New Roman" w:hAnsi="Times New Roman" w:cs="Times New Roman"/>
          <w:lang w:val="en-US"/>
        </w:rPr>
        <w:t xml:space="preserve"> </w:t>
      </w:r>
      <w:r w:rsidR="00972265" w:rsidRPr="00D00979">
        <w:rPr>
          <w:rFonts w:ascii="Times New Roman" w:hAnsi="Times New Roman" w:cs="Times New Roman"/>
          <w:lang w:val="en-US"/>
        </w:rPr>
        <w:t xml:space="preserve">But </w:t>
      </w:r>
      <w:r w:rsidR="00D93997" w:rsidRPr="00D00979">
        <w:rPr>
          <w:rFonts w:ascii="Times New Roman" w:hAnsi="Times New Roman" w:cs="Times New Roman"/>
          <w:lang w:val="en-US"/>
        </w:rPr>
        <w:t>simply because</w:t>
      </w:r>
      <w:r w:rsidR="00972265" w:rsidRPr="00D00979">
        <w:rPr>
          <w:rFonts w:ascii="Times New Roman" w:hAnsi="Times New Roman" w:cs="Times New Roman"/>
          <w:lang w:val="en-US"/>
        </w:rPr>
        <w:t xml:space="preserve"> the Court’s analysis of the scope of equal treatment </w:t>
      </w:r>
      <w:r w:rsidR="00936325">
        <w:rPr>
          <w:rFonts w:ascii="Times New Roman" w:hAnsi="Times New Roman" w:cs="Times New Roman"/>
          <w:lang w:val="en-US"/>
        </w:rPr>
        <w:t xml:space="preserve">in </w:t>
      </w:r>
      <w:r w:rsidR="00936325" w:rsidRPr="00936325">
        <w:rPr>
          <w:rFonts w:ascii="Times New Roman" w:hAnsi="Times New Roman" w:cs="Times New Roman"/>
          <w:i/>
          <w:iCs/>
          <w:lang w:val="en-US"/>
        </w:rPr>
        <w:t>Dano</w:t>
      </w:r>
      <w:r w:rsidR="00936325">
        <w:rPr>
          <w:rFonts w:ascii="Times New Roman" w:hAnsi="Times New Roman" w:cs="Times New Roman"/>
          <w:lang w:val="en-US"/>
        </w:rPr>
        <w:t xml:space="preserve"> and </w:t>
      </w:r>
      <w:r w:rsidR="00936325" w:rsidRPr="00936325">
        <w:rPr>
          <w:rFonts w:ascii="Times New Roman" w:hAnsi="Times New Roman" w:cs="Times New Roman"/>
          <w:i/>
          <w:iCs/>
          <w:lang w:val="en-US"/>
        </w:rPr>
        <w:t>Alimanovic</w:t>
      </w:r>
      <w:r w:rsidR="00936325">
        <w:rPr>
          <w:rFonts w:ascii="Times New Roman" w:hAnsi="Times New Roman" w:cs="Times New Roman"/>
          <w:lang w:val="en-US"/>
        </w:rPr>
        <w:t xml:space="preserve"> </w:t>
      </w:r>
      <w:r w:rsidR="00972265" w:rsidRPr="00D00979">
        <w:rPr>
          <w:rFonts w:ascii="Times New Roman" w:hAnsi="Times New Roman" w:cs="Times New Roman"/>
          <w:lang w:val="en-US"/>
        </w:rPr>
        <w:t>focuses heavily on the conditions for lawful residence established under the Citize</w:t>
      </w:r>
      <w:r w:rsidR="00A90FEC" w:rsidRPr="00D00979">
        <w:rPr>
          <w:rFonts w:ascii="Times New Roman" w:hAnsi="Times New Roman" w:cs="Times New Roman"/>
          <w:lang w:val="en-US"/>
        </w:rPr>
        <w:t>n</w:t>
      </w:r>
      <w:r w:rsidR="00972265" w:rsidRPr="00D00979">
        <w:rPr>
          <w:rFonts w:ascii="Times New Roman" w:hAnsi="Times New Roman" w:cs="Times New Roman"/>
          <w:lang w:val="en-US"/>
        </w:rPr>
        <w:t>ship Directive</w:t>
      </w:r>
      <w:r w:rsidR="00D93997" w:rsidRPr="00D00979">
        <w:rPr>
          <w:rFonts w:ascii="Times New Roman" w:hAnsi="Times New Roman" w:cs="Times New Roman"/>
          <w:lang w:val="en-US"/>
        </w:rPr>
        <w:t xml:space="preserve"> does not mean that </w:t>
      </w:r>
      <w:r w:rsidRPr="00D00979">
        <w:rPr>
          <w:rFonts w:ascii="Times New Roman" w:hAnsi="Times New Roman" w:cs="Times New Roman"/>
          <w:lang w:val="en-US"/>
        </w:rPr>
        <w:t xml:space="preserve">the order between </w:t>
      </w:r>
      <w:r w:rsidR="00936325">
        <w:rPr>
          <w:rFonts w:ascii="Times New Roman" w:hAnsi="Times New Roman" w:cs="Times New Roman"/>
          <w:lang w:val="en-US"/>
        </w:rPr>
        <w:t xml:space="preserve">the </w:t>
      </w:r>
      <w:r w:rsidRPr="00D00979">
        <w:rPr>
          <w:rFonts w:ascii="Times New Roman" w:hAnsi="Times New Roman" w:cs="Times New Roman"/>
          <w:lang w:val="en-US"/>
        </w:rPr>
        <w:t>Union citizens</w:t>
      </w:r>
      <w:r w:rsidR="00D93997" w:rsidRPr="00D00979">
        <w:rPr>
          <w:rFonts w:ascii="Times New Roman" w:hAnsi="Times New Roman" w:cs="Times New Roman"/>
          <w:lang w:val="en-US"/>
        </w:rPr>
        <w:t>’</w:t>
      </w:r>
      <w:r w:rsidRPr="00D00979">
        <w:rPr>
          <w:rFonts w:ascii="Times New Roman" w:hAnsi="Times New Roman" w:cs="Times New Roman"/>
          <w:lang w:val="en-US"/>
        </w:rPr>
        <w:t xml:space="preserve"> right to reside and right of equal treatment has been </w:t>
      </w:r>
      <w:r w:rsidR="00A0576F" w:rsidRPr="00D00979">
        <w:rPr>
          <w:rFonts w:ascii="Times New Roman" w:hAnsi="Times New Roman" w:cs="Times New Roman"/>
          <w:lang w:val="en-US"/>
        </w:rPr>
        <w:t>“</w:t>
      </w:r>
      <w:r w:rsidRPr="00D00979">
        <w:rPr>
          <w:rFonts w:ascii="Times New Roman" w:hAnsi="Times New Roman" w:cs="Times New Roman"/>
          <w:lang w:val="en-US"/>
        </w:rPr>
        <w:t>reversed</w:t>
      </w:r>
      <w:r w:rsidR="00A0576F" w:rsidRPr="00D00979">
        <w:rPr>
          <w:rFonts w:ascii="Times New Roman" w:hAnsi="Times New Roman" w:cs="Times New Roman"/>
          <w:lang w:val="en-US"/>
        </w:rPr>
        <w:t>”</w:t>
      </w:r>
      <w:r w:rsidRPr="00D00979">
        <w:rPr>
          <w:rFonts w:ascii="Times New Roman" w:hAnsi="Times New Roman" w:cs="Times New Roman"/>
          <w:lang w:val="en-US"/>
        </w:rPr>
        <w:t xml:space="preserve"> by the Court. </w:t>
      </w:r>
    </w:p>
    <w:p w14:paraId="5A865112" w14:textId="77777777" w:rsidR="00D7623A" w:rsidRPr="00D00979" w:rsidRDefault="00D7623A" w:rsidP="00D7623A">
      <w:pPr>
        <w:pStyle w:val="Corps"/>
        <w:jc w:val="both"/>
        <w:rPr>
          <w:rFonts w:ascii="Times New Roman" w:hAnsi="Times New Roman" w:cs="Times New Roman"/>
          <w:lang w:val="en-US"/>
        </w:rPr>
      </w:pPr>
    </w:p>
    <w:p w14:paraId="0037A939" w14:textId="17AE97B3" w:rsidR="00975865" w:rsidRDefault="0080334E" w:rsidP="00975865">
      <w:pPr>
        <w:pStyle w:val="Corps"/>
        <w:jc w:val="both"/>
        <w:rPr>
          <w:rFonts w:ascii="Times New Roman" w:hAnsi="Times New Roman" w:cs="Times New Roman"/>
          <w:lang w:val="en-US"/>
        </w:rPr>
      </w:pPr>
      <w:r w:rsidRPr="00D00979">
        <w:rPr>
          <w:rFonts w:ascii="Times New Roman" w:hAnsi="Times New Roman" w:cs="Times New Roman"/>
          <w:lang w:val="en-US"/>
        </w:rPr>
        <w:t xml:space="preserve">It must be stressed in that regard that the </w:t>
      </w:r>
      <w:r w:rsidR="00E03A4A" w:rsidRPr="00D00979">
        <w:rPr>
          <w:rFonts w:ascii="Times New Roman" w:hAnsi="Times New Roman" w:cs="Times New Roman"/>
          <w:lang w:val="en-US"/>
        </w:rPr>
        <w:t xml:space="preserve">preliminary ruling </w:t>
      </w:r>
      <w:r w:rsidRPr="00D00979">
        <w:rPr>
          <w:rFonts w:ascii="Times New Roman" w:hAnsi="Times New Roman" w:cs="Times New Roman"/>
          <w:lang w:val="en-US"/>
        </w:rPr>
        <w:t xml:space="preserve">context within which the Court is called upon to intervene has evolved considerably since its early </w:t>
      </w:r>
      <w:r w:rsidR="00277C36" w:rsidRPr="00D00979">
        <w:rPr>
          <w:rFonts w:ascii="Times New Roman" w:hAnsi="Times New Roman" w:cs="Times New Roman"/>
          <w:lang w:val="en-US"/>
        </w:rPr>
        <w:t>judments</w:t>
      </w:r>
      <w:r w:rsidRPr="00D00979">
        <w:rPr>
          <w:rFonts w:ascii="Times New Roman" w:hAnsi="Times New Roman" w:cs="Times New Roman"/>
          <w:lang w:val="en-US"/>
        </w:rPr>
        <w:t xml:space="preserve"> on Union citizenship. </w:t>
      </w:r>
      <w:r w:rsidR="00ED5513" w:rsidRPr="00D00979">
        <w:rPr>
          <w:rFonts w:ascii="Times New Roman" w:hAnsi="Times New Roman" w:cs="Times New Roman"/>
          <w:lang w:val="en-US"/>
        </w:rPr>
        <w:t xml:space="preserve">In most of these early cases, with the exception of </w:t>
      </w:r>
      <w:r w:rsidR="00ED5513" w:rsidRPr="00D00979">
        <w:rPr>
          <w:rFonts w:ascii="Times New Roman" w:hAnsi="Times New Roman" w:cs="Times New Roman"/>
          <w:i/>
          <w:iCs/>
          <w:lang w:val="en-US"/>
        </w:rPr>
        <w:t>Baumbast</w:t>
      </w:r>
      <w:r w:rsidR="009F0A91" w:rsidRPr="00D00979">
        <w:rPr>
          <w:rFonts w:ascii="Times New Roman" w:hAnsi="Times New Roman" w:cs="Times New Roman"/>
          <w:lang w:val="en-US"/>
        </w:rPr>
        <w:t xml:space="preserve">, </w:t>
      </w:r>
      <w:r w:rsidRPr="00D00979">
        <w:rPr>
          <w:rFonts w:ascii="Times New Roman" w:hAnsi="Times New Roman" w:cs="Times New Roman"/>
          <w:lang w:val="en-US"/>
        </w:rPr>
        <w:t xml:space="preserve">the Court intervened in </w:t>
      </w:r>
      <w:r w:rsidR="005B0E5A" w:rsidRPr="00D00979">
        <w:rPr>
          <w:rFonts w:ascii="Times New Roman" w:hAnsi="Times New Roman" w:cs="Times New Roman"/>
          <w:lang w:val="en-US"/>
        </w:rPr>
        <w:t>relation to</w:t>
      </w:r>
      <w:r w:rsidRPr="00D00979">
        <w:rPr>
          <w:rFonts w:ascii="Times New Roman" w:hAnsi="Times New Roman" w:cs="Times New Roman"/>
          <w:lang w:val="en-US"/>
        </w:rPr>
        <w:t xml:space="preserve"> (more favourable) provisions of national law on lawful residence.</w:t>
      </w:r>
      <w:r w:rsidR="00D93997" w:rsidRPr="00D00979">
        <w:rPr>
          <w:rStyle w:val="Appelnotedebasdep"/>
          <w:rFonts w:ascii="Times New Roman" w:hAnsi="Times New Roman" w:cs="Times New Roman"/>
          <w:lang w:val="en-US"/>
        </w:rPr>
        <w:footnoteReference w:id="35"/>
      </w:r>
      <w:r w:rsidRPr="00D00979">
        <w:rPr>
          <w:rFonts w:ascii="Times New Roman" w:hAnsi="Times New Roman" w:cs="Times New Roman"/>
          <w:lang w:val="en-US"/>
        </w:rPr>
        <w:t xml:space="preserve"> It was indeed confronted with the situation of migrant Union citizens who were residing </w:t>
      </w:r>
      <w:r w:rsidR="00936325">
        <w:rPr>
          <w:rFonts w:ascii="Times New Roman" w:hAnsi="Times New Roman" w:cs="Times New Roman"/>
          <w:lang w:val="en-US"/>
        </w:rPr>
        <w:t xml:space="preserve">lawfully </w:t>
      </w:r>
      <w:r w:rsidRPr="00D00979">
        <w:rPr>
          <w:rFonts w:ascii="Times New Roman" w:hAnsi="Times New Roman" w:cs="Times New Roman"/>
          <w:lang w:val="en-US"/>
        </w:rPr>
        <w:t>or, at the very least, authori</w:t>
      </w:r>
      <w:r w:rsidR="00ED3C89" w:rsidRPr="00D00979">
        <w:rPr>
          <w:rFonts w:ascii="Times New Roman" w:hAnsi="Times New Roman" w:cs="Times New Roman"/>
          <w:lang w:val="en-US"/>
        </w:rPr>
        <w:t>s</w:t>
      </w:r>
      <w:r w:rsidRPr="00D00979">
        <w:rPr>
          <w:rFonts w:ascii="Times New Roman" w:hAnsi="Times New Roman" w:cs="Times New Roman"/>
          <w:lang w:val="en-US"/>
        </w:rPr>
        <w:t xml:space="preserve">ed to reside in another </w:t>
      </w:r>
      <w:r w:rsidR="004B57AE" w:rsidRPr="00D00979">
        <w:rPr>
          <w:rFonts w:ascii="Times New Roman" w:hAnsi="Times New Roman" w:cs="Times New Roman"/>
          <w:lang w:val="en-US"/>
        </w:rPr>
        <w:t>M</w:t>
      </w:r>
      <w:r w:rsidRPr="00D00979">
        <w:rPr>
          <w:rFonts w:ascii="Times New Roman" w:hAnsi="Times New Roman" w:cs="Times New Roman"/>
          <w:lang w:val="en-US"/>
        </w:rPr>
        <w:t xml:space="preserve">ember </w:t>
      </w:r>
      <w:r w:rsidR="004B57AE" w:rsidRPr="00D00979">
        <w:rPr>
          <w:rFonts w:ascii="Times New Roman" w:hAnsi="Times New Roman" w:cs="Times New Roman"/>
          <w:lang w:val="en-US"/>
        </w:rPr>
        <w:t>S</w:t>
      </w:r>
      <w:r w:rsidRPr="00D00979">
        <w:rPr>
          <w:rFonts w:ascii="Times New Roman" w:hAnsi="Times New Roman" w:cs="Times New Roman"/>
          <w:lang w:val="en-US"/>
        </w:rPr>
        <w:t>tate on the basis of national law even though the conditions featured in the Residence Directives were not satisfied.</w:t>
      </w:r>
      <w:r w:rsidR="005B0E5A" w:rsidRPr="00D00979">
        <w:rPr>
          <w:rStyle w:val="Appelnotedebasdep"/>
          <w:rFonts w:ascii="Times New Roman" w:hAnsi="Times New Roman" w:cs="Times New Roman"/>
          <w:lang w:val="en-US"/>
        </w:rPr>
        <w:footnoteReference w:id="36"/>
      </w:r>
      <w:r w:rsidRPr="00D00979">
        <w:rPr>
          <w:rFonts w:ascii="Times New Roman" w:hAnsi="Times New Roman" w:cs="Times New Roman"/>
          <w:lang w:val="en-US"/>
        </w:rPr>
        <w:t xml:space="preserve"> </w:t>
      </w:r>
      <w:r w:rsidR="005B0E5A" w:rsidRPr="00D00979">
        <w:rPr>
          <w:rFonts w:ascii="Times New Roman" w:hAnsi="Times New Roman" w:cs="Times New Roman"/>
          <w:lang w:val="en-US"/>
        </w:rPr>
        <w:t>In that context, the</w:t>
      </w:r>
      <w:r w:rsidR="008D624A" w:rsidRPr="00D00979">
        <w:rPr>
          <w:rFonts w:ascii="Times New Roman" w:hAnsi="Times New Roman" w:cs="Times New Roman"/>
          <w:lang w:val="en-US"/>
        </w:rPr>
        <w:t xml:space="preserve"> Court considered that migrant Union citizens could rely on</w:t>
      </w:r>
      <w:r w:rsidR="00ED3C89" w:rsidRPr="00D00979">
        <w:rPr>
          <w:rFonts w:ascii="Times New Roman" w:hAnsi="Times New Roman" w:cs="Times New Roman"/>
          <w:lang w:val="en-US"/>
        </w:rPr>
        <w:t xml:space="preserve"> the</w:t>
      </w:r>
      <w:r w:rsidR="008D624A" w:rsidRPr="00D00979">
        <w:rPr>
          <w:rFonts w:ascii="Times New Roman" w:hAnsi="Times New Roman" w:cs="Times New Roman"/>
          <w:lang w:val="en-US"/>
        </w:rPr>
        <w:t xml:space="preserve"> </w:t>
      </w:r>
      <w:r w:rsidR="00ED3C89" w:rsidRPr="00D00979">
        <w:rPr>
          <w:rFonts w:ascii="Times New Roman" w:hAnsi="Times New Roman" w:cs="Times New Roman"/>
          <w:lang w:val="en-US"/>
        </w:rPr>
        <w:t>principle of equal</w:t>
      </w:r>
      <w:r w:rsidR="008D624A" w:rsidRPr="00D00979">
        <w:rPr>
          <w:rFonts w:ascii="Times New Roman" w:hAnsi="Times New Roman" w:cs="Times New Roman"/>
          <w:lang w:val="en-US"/>
        </w:rPr>
        <w:t xml:space="preserve"> treatment </w:t>
      </w:r>
      <w:r w:rsidR="00ED3C89" w:rsidRPr="00D00979">
        <w:rPr>
          <w:rFonts w:ascii="Times New Roman" w:hAnsi="Times New Roman" w:cs="Times New Roman"/>
          <w:lang w:val="en-US"/>
        </w:rPr>
        <w:t>on the basis of Article 18 TFEU provided</w:t>
      </w:r>
      <w:r w:rsidR="008D624A" w:rsidRPr="00D00979">
        <w:rPr>
          <w:rFonts w:ascii="Times New Roman" w:hAnsi="Times New Roman" w:cs="Times New Roman"/>
          <w:lang w:val="en-US"/>
        </w:rPr>
        <w:t xml:space="preserve"> that they were residing lawfully on the territory of the host </w:t>
      </w:r>
      <w:r w:rsidR="004B57AE" w:rsidRPr="00D00979">
        <w:rPr>
          <w:rFonts w:ascii="Times New Roman" w:hAnsi="Times New Roman" w:cs="Times New Roman"/>
          <w:lang w:val="en-US"/>
        </w:rPr>
        <w:t>M</w:t>
      </w:r>
      <w:r w:rsidR="008D624A" w:rsidRPr="00D00979">
        <w:rPr>
          <w:rFonts w:ascii="Times New Roman" w:hAnsi="Times New Roman" w:cs="Times New Roman"/>
          <w:lang w:val="en-US"/>
        </w:rPr>
        <w:t xml:space="preserve">ember </w:t>
      </w:r>
      <w:r w:rsidR="004B57AE" w:rsidRPr="00D00979">
        <w:rPr>
          <w:rFonts w:ascii="Times New Roman" w:hAnsi="Times New Roman" w:cs="Times New Roman"/>
          <w:lang w:val="en-US"/>
        </w:rPr>
        <w:t>S</w:t>
      </w:r>
      <w:r w:rsidR="008D624A" w:rsidRPr="00D00979">
        <w:rPr>
          <w:rFonts w:ascii="Times New Roman" w:hAnsi="Times New Roman" w:cs="Times New Roman"/>
          <w:lang w:val="en-US"/>
        </w:rPr>
        <w:t xml:space="preserve">tate in accordance with national law. </w:t>
      </w:r>
      <w:r w:rsidRPr="00D00979">
        <w:rPr>
          <w:rFonts w:ascii="Times New Roman" w:hAnsi="Times New Roman" w:cs="Times New Roman"/>
          <w:lang w:val="en-US"/>
        </w:rPr>
        <w:t xml:space="preserve">At the same time, though, the Court clarified that the scope of equal treatment guarantees offered to Union citizens </w:t>
      </w:r>
      <w:r w:rsidRPr="00D00979">
        <w:rPr>
          <w:rFonts w:ascii="Times New Roman" w:hAnsi="Times New Roman" w:cs="Times New Roman"/>
          <w:i/>
          <w:iCs/>
          <w:lang w:val="en-US"/>
        </w:rPr>
        <w:t>could</w:t>
      </w:r>
      <w:r w:rsidRPr="00D00979">
        <w:rPr>
          <w:rFonts w:ascii="Times New Roman" w:hAnsi="Times New Roman" w:cs="Times New Roman"/>
          <w:lang w:val="en-US"/>
        </w:rPr>
        <w:t xml:space="preserve"> be fleshed out by reference to the limitations and conditions laid down in the EU Residence Directives and, in particular, the requirement of financial self-sufficiency contained therein.</w:t>
      </w:r>
      <w:r w:rsidR="008D624A" w:rsidRPr="00D00979">
        <w:rPr>
          <w:rFonts w:ascii="Times New Roman" w:hAnsi="Times New Roman" w:cs="Times New Roman"/>
          <w:lang w:val="en-US"/>
        </w:rPr>
        <w:t xml:space="preserve"> In other words, the conditions and limitations enshrined in the Residence Directives were not regarded as absolute conditions for lawful residence, but rather as conditions that the </w:t>
      </w:r>
      <w:r w:rsidR="00A0576F" w:rsidRPr="00D00979">
        <w:rPr>
          <w:rFonts w:ascii="Times New Roman" w:hAnsi="Times New Roman" w:cs="Times New Roman"/>
          <w:lang w:val="en-US"/>
        </w:rPr>
        <w:t>“</w:t>
      </w:r>
      <w:r w:rsidR="008D624A" w:rsidRPr="00D00979">
        <w:rPr>
          <w:rFonts w:ascii="Times New Roman" w:hAnsi="Times New Roman" w:cs="Times New Roman"/>
          <w:lang w:val="en-US"/>
        </w:rPr>
        <w:t xml:space="preserve">host </w:t>
      </w:r>
      <w:r w:rsidR="004B57AE" w:rsidRPr="00D00979">
        <w:rPr>
          <w:rFonts w:ascii="Times New Roman" w:hAnsi="Times New Roman" w:cs="Times New Roman"/>
          <w:lang w:val="en-US"/>
        </w:rPr>
        <w:t>M</w:t>
      </w:r>
      <w:r w:rsidR="008D624A" w:rsidRPr="00D00979">
        <w:rPr>
          <w:rFonts w:ascii="Times New Roman" w:hAnsi="Times New Roman" w:cs="Times New Roman"/>
          <w:lang w:val="en-US"/>
        </w:rPr>
        <w:t xml:space="preserve">ember </w:t>
      </w:r>
      <w:r w:rsidR="004B57AE" w:rsidRPr="00D00979">
        <w:rPr>
          <w:rFonts w:ascii="Times New Roman" w:hAnsi="Times New Roman" w:cs="Times New Roman"/>
          <w:lang w:val="en-US"/>
        </w:rPr>
        <w:t>S</w:t>
      </w:r>
      <w:r w:rsidR="008D624A" w:rsidRPr="00D00979">
        <w:rPr>
          <w:rFonts w:ascii="Times New Roman" w:hAnsi="Times New Roman" w:cs="Times New Roman"/>
          <w:lang w:val="en-US"/>
        </w:rPr>
        <w:t>tate may but does not have to enforce</w:t>
      </w:r>
      <w:r w:rsidR="00A0576F" w:rsidRPr="00D00979">
        <w:rPr>
          <w:rFonts w:ascii="Times New Roman" w:hAnsi="Times New Roman" w:cs="Times New Roman"/>
          <w:lang w:val="en-US"/>
        </w:rPr>
        <w:t>”</w:t>
      </w:r>
      <w:r w:rsidR="008D624A" w:rsidRPr="00D00979">
        <w:rPr>
          <w:rFonts w:ascii="Times New Roman" w:hAnsi="Times New Roman" w:cs="Times New Roman"/>
          <w:lang w:val="en-US"/>
        </w:rPr>
        <w:t>.</w:t>
      </w:r>
      <w:r w:rsidR="008D624A" w:rsidRPr="00D00979">
        <w:rPr>
          <w:rStyle w:val="Appelnotedebasdep"/>
          <w:rFonts w:ascii="Times New Roman" w:hAnsi="Times New Roman" w:cs="Times New Roman"/>
          <w:lang w:val="en-US"/>
        </w:rPr>
        <w:footnoteReference w:id="37"/>
      </w:r>
      <w:r w:rsidR="005B0E5A" w:rsidRPr="00D00979">
        <w:rPr>
          <w:rFonts w:ascii="Times New Roman" w:hAnsi="Times New Roman" w:cs="Times New Roman"/>
          <w:lang w:val="en-US"/>
        </w:rPr>
        <w:t xml:space="preserve"> </w:t>
      </w:r>
      <w:r w:rsidRPr="00D00979">
        <w:rPr>
          <w:rFonts w:ascii="Times New Roman" w:hAnsi="Times New Roman" w:cs="Times New Roman"/>
          <w:lang w:val="en-US"/>
        </w:rPr>
        <w:t xml:space="preserve">The </w:t>
      </w:r>
      <w:r w:rsidR="004B57AE" w:rsidRPr="00D00979">
        <w:rPr>
          <w:rFonts w:ascii="Times New Roman" w:hAnsi="Times New Roman" w:cs="Times New Roman"/>
          <w:lang w:val="en-US"/>
        </w:rPr>
        <w:t>M</w:t>
      </w:r>
      <w:r w:rsidRPr="00D00979">
        <w:rPr>
          <w:rFonts w:ascii="Times New Roman" w:hAnsi="Times New Roman" w:cs="Times New Roman"/>
          <w:lang w:val="en-US"/>
        </w:rPr>
        <w:t xml:space="preserve">ember </w:t>
      </w:r>
      <w:r w:rsidR="004B57AE" w:rsidRPr="00D00979">
        <w:rPr>
          <w:rFonts w:ascii="Times New Roman" w:hAnsi="Times New Roman" w:cs="Times New Roman"/>
          <w:lang w:val="en-US"/>
        </w:rPr>
        <w:t>S</w:t>
      </w:r>
      <w:r w:rsidRPr="00D00979">
        <w:rPr>
          <w:rFonts w:ascii="Times New Roman" w:hAnsi="Times New Roman" w:cs="Times New Roman"/>
          <w:lang w:val="en-US"/>
        </w:rPr>
        <w:t xml:space="preserve">tates were offered </w:t>
      </w:r>
      <w:r w:rsidR="00ED5513" w:rsidRPr="00D00979">
        <w:rPr>
          <w:rFonts w:ascii="Times New Roman" w:hAnsi="Times New Roman" w:cs="Times New Roman"/>
          <w:lang w:val="en-US"/>
        </w:rPr>
        <w:t>discretion</w:t>
      </w:r>
      <w:r w:rsidRPr="00D00979">
        <w:rPr>
          <w:rFonts w:ascii="Times New Roman" w:hAnsi="Times New Roman" w:cs="Times New Roman"/>
          <w:lang w:val="en-US"/>
        </w:rPr>
        <w:t xml:space="preserve"> in the implementation of these limitations and conditions into national law, subject to compliance with the general principles of Union law.</w:t>
      </w:r>
      <w:r w:rsidRPr="00D00979">
        <w:rPr>
          <w:rStyle w:val="Appelnotedebasdep"/>
          <w:rFonts w:ascii="Times New Roman" w:hAnsi="Times New Roman" w:cs="Times New Roman"/>
          <w:lang w:val="en-US"/>
        </w:rPr>
        <w:footnoteReference w:id="38"/>
      </w:r>
      <w:r w:rsidRPr="00D00979">
        <w:rPr>
          <w:rFonts w:ascii="Times New Roman" w:hAnsi="Times New Roman" w:cs="Times New Roman"/>
          <w:lang w:val="en-US"/>
        </w:rPr>
        <w:t xml:space="preserve"> </w:t>
      </w:r>
      <w:r w:rsidR="0073525E" w:rsidRPr="00D00979">
        <w:rPr>
          <w:rFonts w:ascii="Times New Roman" w:hAnsi="Times New Roman" w:cs="Times New Roman"/>
          <w:lang w:val="en-US"/>
        </w:rPr>
        <w:t>More specifically, t</w:t>
      </w:r>
      <w:r w:rsidRPr="00D00979">
        <w:rPr>
          <w:rFonts w:ascii="Times New Roman" w:hAnsi="Times New Roman" w:cs="Times New Roman"/>
          <w:lang w:val="en-US"/>
        </w:rPr>
        <w:t>he Court proceeded to interpret the requirements enshrined in the Residence Directives</w:t>
      </w:r>
      <w:r w:rsidR="005B0E5A" w:rsidRPr="00D00979">
        <w:rPr>
          <w:rFonts w:ascii="Times New Roman" w:hAnsi="Times New Roman" w:cs="Times New Roman"/>
          <w:lang w:val="en-US"/>
        </w:rPr>
        <w:t xml:space="preserve"> and especially the requirement relating to financial self-sufficiency</w:t>
      </w:r>
      <w:r w:rsidRPr="00D00979">
        <w:rPr>
          <w:rFonts w:ascii="Times New Roman" w:hAnsi="Times New Roman" w:cs="Times New Roman"/>
          <w:lang w:val="en-US"/>
        </w:rPr>
        <w:t xml:space="preserve"> in the light of the principle of proportionality deriving from the Treaty prohibition of non-discrimination.</w:t>
      </w:r>
      <w:r w:rsidR="005159B2" w:rsidRPr="00D00979">
        <w:rPr>
          <w:rStyle w:val="Appelnotedebasdep"/>
          <w:rFonts w:ascii="Times New Roman" w:hAnsi="Times New Roman" w:cs="Times New Roman"/>
          <w:lang w:val="en-US"/>
        </w:rPr>
        <w:footnoteReference w:id="39"/>
      </w:r>
      <w:r w:rsidRPr="00D00979">
        <w:rPr>
          <w:rFonts w:ascii="Times New Roman" w:hAnsi="Times New Roman" w:cs="Times New Roman"/>
          <w:lang w:val="en-US"/>
        </w:rPr>
        <w:t xml:space="preserve"> In doing so, </w:t>
      </w:r>
      <w:r w:rsidR="00277C36" w:rsidRPr="00D00979">
        <w:rPr>
          <w:rFonts w:ascii="Times New Roman" w:hAnsi="Times New Roman" w:cs="Times New Roman"/>
          <w:lang w:val="en-US"/>
        </w:rPr>
        <w:t>the Court</w:t>
      </w:r>
      <w:r w:rsidRPr="00D00979">
        <w:rPr>
          <w:rFonts w:ascii="Times New Roman" w:hAnsi="Times New Roman" w:cs="Times New Roman"/>
          <w:lang w:val="en-US"/>
        </w:rPr>
        <w:t xml:space="preserve"> was adamant that the </w:t>
      </w:r>
      <w:r w:rsidR="004B57AE" w:rsidRPr="00D00979">
        <w:rPr>
          <w:rFonts w:ascii="Times New Roman" w:hAnsi="Times New Roman" w:cs="Times New Roman"/>
          <w:lang w:val="en-US"/>
        </w:rPr>
        <w:t>M</w:t>
      </w:r>
      <w:r w:rsidRPr="00D00979">
        <w:rPr>
          <w:rFonts w:ascii="Times New Roman" w:hAnsi="Times New Roman" w:cs="Times New Roman"/>
          <w:lang w:val="en-US"/>
        </w:rPr>
        <w:t xml:space="preserve">ember </w:t>
      </w:r>
      <w:r w:rsidR="004B57AE" w:rsidRPr="00D00979">
        <w:rPr>
          <w:rFonts w:ascii="Times New Roman" w:hAnsi="Times New Roman" w:cs="Times New Roman"/>
          <w:lang w:val="en-US"/>
        </w:rPr>
        <w:t>S</w:t>
      </w:r>
      <w:r w:rsidRPr="00D00979">
        <w:rPr>
          <w:rFonts w:ascii="Times New Roman" w:hAnsi="Times New Roman" w:cs="Times New Roman"/>
          <w:lang w:val="en-US"/>
        </w:rPr>
        <w:t xml:space="preserve">tates could introduce restrictions intended to prevent migrant Union citizens from becoming an </w:t>
      </w:r>
      <w:r w:rsidRPr="00D00979">
        <w:rPr>
          <w:rFonts w:ascii="Times New Roman" w:hAnsi="Times New Roman" w:cs="Times New Roman"/>
          <w:lang w:val="en-US"/>
        </w:rPr>
        <w:lastRenderedPageBreak/>
        <w:t>unreasonable burden on public finances, provided that these restrictions complied with the principle of proportionality.</w:t>
      </w:r>
      <w:r w:rsidR="005B0E5A" w:rsidRPr="00D00979">
        <w:rPr>
          <w:rStyle w:val="Appelnotedebasdep"/>
          <w:rFonts w:ascii="Times New Roman" w:hAnsi="Times New Roman" w:cs="Times New Roman"/>
          <w:lang w:val="en-US"/>
        </w:rPr>
        <w:footnoteReference w:id="40"/>
      </w:r>
      <w:r w:rsidRPr="00D00979">
        <w:rPr>
          <w:rFonts w:ascii="Times New Roman" w:hAnsi="Times New Roman" w:cs="Times New Roman"/>
          <w:lang w:val="en-US"/>
        </w:rPr>
        <w:t xml:space="preserve"> </w:t>
      </w:r>
    </w:p>
    <w:p w14:paraId="5B93CA24" w14:textId="77777777" w:rsidR="00D93D81" w:rsidRDefault="00D93D81" w:rsidP="00D7623A">
      <w:pPr>
        <w:pStyle w:val="Corps"/>
        <w:jc w:val="both"/>
        <w:rPr>
          <w:rFonts w:ascii="Times New Roman" w:hAnsi="Times New Roman" w:cs="Times New Roman"/>
          <w:lang w:val="en-US"/>
        </w:rPr>
      </w:pPr>
    </w:p>
    <w:p w14:paraId="63D4C1E9" w14:textId="67A261EE" w:rsidR="00BD5E58" w:rsidRDefault="0080334E" w:rsidP="00D7623A">
      <w:pPr>
        <w:pStyle w:val="Corps"/>
        <w:jc w:val="both"/>
        <w:rPr>
          <w:rFonts w:ascii="Times New Roman" w:hAnsi="Times New Roman"/>
          <w:lang w:val="en-US"/>
        </w:rPr>
      </w:pPr>
      <w:r w:rsidRPr="00975865">
        <w:rPr>
          <w:rFonts w:ascii="Times New Roman" w:hAnsi="Times New Roman" w:cs="Times New Roman"/>
          <w:lang w:val="en-US"/>
        </w:rPr>
        <w:t xml:space="preserve">Following the entry into force of Directive 2004/38, </w:t>
      </w:r>
      <w:r w:rsidR="005B0E5A" w:rsidRPr="00975865">
        <w:rPr>
          <w:rFonts w:ascii="Times New Roman" w:hAnsi="Times New Roman" w:cs="Times New Roman"/>
          <w:lang w:val="en-US"/>
        </w:rPr>
        <w:t xml:space="preserve">the Court was </w:t>
      </w:r>
      <w:r w:rsidR="00C00F48" w:rsidRPr="00975865">
        <w:rPr>
          <w:rFonts w:ascii="Times New Roman" w:hAnsi="Times New Roman" w:cs="Times New Roman"/>
          <w:lang w:val="en-US"/>
        </w:rPr>
        <w:t>invited</w:t>
      </w:r>
      <w:r w:rsidR="005B0E5A" w:rsidRPr="00975865">
        <w:rPr>
          <w:rFonts w:ascii="Times New Roman" w:hAnsi="Times New Roman" w:cs="Times New Roman"/>
          <w:lang w:val="en-US"/>
        </w:rPr>
        <w:t xml:space="preserve"> to revisit its case law on the relationship between the right-to-reside tests featured in </w:t>
      </w:r>
      <w:r w:rsidR="00270014" w:rsidRPr="00975865">
        <w:rPr>
          <w:rFonts w:ascii="Times New Roman" w:hAnsi="Times New Roman" w:cs="Times New Roman"/>
          <w:lang w:val="en-US"/>
        </w:rPr>
        <w:t>EU secondary law</w:t>
      </w:r>
      <w:r w:rsidR="005B0E5A" w:rsidRPr="00975865">
        <w:rPr>
          <w:rFonts w:ascii="Times New Roman" w:hAnsi="Times New Roman" w:cs="Times New Roman"/>
          <w:lang w:val="en-US"/>
        </w:rPr>
        <w:t xml:space="preserve"> and </w:t>
      </w:r>
      <w:r w:rsidR="002409A8" w:rsidRPr="00975865">
        <w:rPr>
          <w:rFonts w:ascii="Times New Roman" w:hAnsi="Times New Roman" w:cs="Times New Roman"/>
          <w:lang w:val="en-US"/>
        </w:rPr>
        <w:t xml:space="preserve">the scope of </w:t>
      </w:r>
      <w:r w:rsidR="005B0E5A" w:rsidRPr="00975865">
        <w:rPr>
          <w:rFonts w:ascii="Times New Roman" w:hAnsi="Times New Roman" w:cs="Times New Roman"/>
          <w:lang w:val="en-US"/>
        </w:rPr>
        <w:t xml:space="preserve">equal treatment </w:t>
      </w:r>
      <w:r w:rsidR="00BD5E58">
        <w:rPr>
          <w:rFonts w:ascii="Times New Roman" w:hAnsi="Times New Roman" w:cs="Times New Roman"/>
          <w:lang w:val="en-US"/>
        </w:rPr>
        <w:t>guarantees offered to</w:t>
      </w:r>
      <w:r w:rsidR="002409A8" w:rsidRPr="00975865">
        <w:rPr>
          <w:rFonts w:ascii="Times New Roman" w:hAnsi="Times New Roman" w:cs="Times New Roman"/>
          <w:lang w:val="en-US"/>
        </w:rPr>
        <w:t xml:space="preserve"> Union citizens </w:t>
      </w:r>
      <w:r w:rsidR="005B0E5A" w:rsidRPr="00975865">
        <w:rPr>
          <w:rFonts w:ascii="Times New Roman" w:hAnsi="Times New Roman" w:cs="Times New Roman"/>
          <w:lang w:val="en-US"/>
        </w:rPr>
        <w:t xml:space="preserve">in relation to social assistance. Some </w:t>
      </w:r>
      <w:r w:rsidR="004B57AE" w:rsidRPr="00975865">
        <w:rPr>
          <w:rFonts w:ascii="Times New Roman" w:hAnsi="Times New Roman" w:cs="Times New Roman"/>
          <w:lang w:val="en-US"/>
        </w:rPr>
        <w:t>M</w:t>
      </w:r>
      <w:r w:rsidRPr="00975865">
        <w:rPr>
          <w:rFonts w:ascii="Times New Roman" w:hAnsi="Times New Roman" w:cs="Times New Roman"/>
          <w:lang w:val="en-US"/>
        </w:rPr>
        <w:t xml:space="preserve">ember </w:t>
      </w:r>
      <w:r w:rsidR="004B57AE" w:rsidRPr="00975865">
        <w:rPr>
          <w:rFonts w:ascii="Times New Roman" w:hAnsi="Times New Roman" w:cs="Times New Roman"/>
          <w:lang w:val="en-US"/>
        </w:rPr>
        <w:t>S</w:t>
      </w:r>
      <w:r w:rsidRPr="00975865">
        <w:rPr>
          <w:rFonts w:ascii="Times New Roman" w:hAnsi="Times New Roman" w:cs="Times New Roman"/>
          <w:lang w:val="en-US"/>
        </w:rPr>
        <w:t xml:space="preserve">tates </w:t>
      </w:r>
      <w:r w:rsidR="00277C36" w:rsidRPr="00975865">
        <w:rPr>
          <w:rFonts w:ascii="Times New Roman" w:hAnsi="Times New Roman" w:cs="Times New Roman"/>
          <w:lang w:val="en-US"/>
        </w:rPr>
        <w:t>had</w:t>
      </w:r>
      <w:r w:rsidR="005B0E5A" w:rsidRPr="00975865">
        <w:rPr>
          <w:rFonts w:ascii="Times New Roman" w:hAnsi="Times New Roman" w:cs="Times New Roman"/>
          <w:lang w:val="en-US"/>
        </w:rPr>
        <w:t xml:space="preserve"> effectively </w:t>
      </w:r>
      <w:r w:rsidRPr="00975865">
        <w:rPr>
          <w:rFonts w:ascii="Times New Roman" w:hAnsi="Times New Roman" w:cs="Times New Roman"/>
          <w:lang w:val="en-US"/>
        </w:rPr>
        <w:t xml:space="preserve">relied on </w:t>
      </w:r>
      <w:r w:rsidR="00270014" w:rsidRPr="00975865">
        <w:rPr>
          <w:rFonts w:ascii="Times New Roman" w:hAnsi="Times New Roman" w:cs="Times New Roman"/>
          <w:lang w:val="en-US"/>
        </w:rPr>
        <w:t xml:space="preserve">the Citizenship </w:t>
      </w:r>
      <w:r w:rsidRPr="00975865">
        <w:rPr>
          <w:rFonts w:ascii="Times New Roman" w:hAnsi="Times New Roman" w:cs="Times New Roman"/>
          <w:lang w:val="en-US"/>
        </w:rPr>
        <w:t xml:space="preserve">Directive </w:t>
      </w:r>
      <w:r w:rsidR="005B0E5A" w:rsidRPr="00975865">
        <w:rPr>
          <w:rFonts w:ascii="Times New Roman" w:hAnsi="Times New Roman" w:cs="Times New Roman"/>
          <w:lang w:val="en-US"/>
        </w:rPr>
        <w:t xml:space="preserve">to introduce far-reaching restrictions on </w:t>
      </w:r>
      <w:r w:rsidRPr="00975865">
        <w:rPr>
          <w:rFonts w:ascii="Times New Roman" w:hAnsi="Times New Roman" w:cs="Times New Roman"/>
          <w:lang w:val="en-US"/>
        </w:rPr>
        <w:t xml:space="preserve"> cross-border access to their national social assistance systems.</w:t>
      </w:r>
      <w:r w:rsidRPr="00975865">
        <w:rPr>
          <w:rStyle w:val="Aucun"/>
          <w:rFonts w:ascii="Times New Roman" w:eastAsia="Times New Roman" w:hAnsi="Times New Roman" w:cs="Times New Roman"/>
          <w:vertAlign w:val="superscript"/>
        </w:rPr>
        <w:footnoteReference w:id="41"/>
      </w:r>
      <w:r w:rsidR="00975865" w:rsidRPr="00975865">
        <w:rPr>
          <w:rFonts w:ascii="Times New Roman" w:hAnsi="Times New Roman" w:cs="Times New Roman"/>
          <w:lang w:val="en-US"/>
        </w:rPr>
        <w:t xml:space="preserve"> It has been observed in that respect that </w:t>
      </w:r>
      <w:r w:rsidR="00051B15">
        <w:rPr>
          <w:rFonts w:ascii="Times New Roman" w:hAnsi="Times New Roman"/>
          <w:lang w:val="en-US"/>
        </w:rPr>
        <w:t>“</w:t>
      </w:r>
      <w:r w:rsidR="00975865" w:rsidRPr="00975865">
        <w:rPr>
          <w:rFonts w:ascii="Times New Roman" w:hAnsi="Times New Roman"/>
          <w:lang w:val="en-US"/>
        </w:rPr>
        <w:t>[o]ne of the root causes</w:t>
      </w:r>
      <w:r w:rsidR="00051B15">
        <w:rPr>
          <w:rFonts w:ascii="Times New Roman" w:hAnsi="Times New Roman"/>
          <w:lang w:val="en-US"/>
        </w:rPr>
        <w:t>”</w:t>
      </w:r>
      <w:r w:rsidR="00975865" w:rsidRPr="00975865">
        <w:rPr>
          <w:rFonts w:ascii="Times New Roman" w:hAnsi="Times New Roman"/>
          <w:lang w:val="en-US"/>
        </w:rPr>
        <w:t xml:space="preserve"> for the Court’s (strict) emphasis on the requirements for lawful residence set out in Article 7 of Directive 2004/38 is </w:t>
      </w:r>
      <w:r w:rsidR="00051B15">
        <w:rPr>
          <w:rFonts w:ascii="Times New Roman" w:hAnsi="Times New Roman"/>
          <w:lang w:val="en-US"/>
        </w:rPr>
        <w:t>“</w:t>
      </w:r>
      <w:r w:rsidR="00975865" w:rsidRPr="00975865">
        <w:rPr>
          <w:rFonts w:ascii="Times New Roman" w:hAnsi="Times New Roman"/>
          <w:lang w:val="en-US"/>
        </w:rPr>
        <w:t>the attempt by many Member States to introduce restrictions on Union citizens’ access to social benefits while conforming to [that] Directive</w:t>
      </w:r>
      <w:r w:rsidR="00051B15">
        <w:rPr>
          <w:rFonts w:ascii="Times New Roman" w:hAnsi="Times New Roman"/>
          <w:lang w:val="en-US"/>
        </w:rPr>
        <w:t>”</w:t>
      </w:r>
      <w:r w:rsidR="00975865" w:rsidRPr="00975865">
        <w:rPr>
          <w:rFonts w:ascii="Times New Roman" w:hAnsi="Times New Roman"/>
          <w:lang w:val="en-US"/>
        </w:rPr>
        <w:t>.</w:t>
      </w:r>
      <w:r w:rsidR="00975865" w:rsidRPr="00975865">
        <w:rPr>
          <w:rStyle w:val="Aucun"/>
          <w:rFonts w:ascii="Times New Roman" w:eastAsia="Times New Roman" w:hAnsi="Times New Roman" w:cs="Times New Roman"/>
          <w:vertAlign w:val="superscript"/>
        </w:rPr>
        <w:footnoteReference w:id="42"/>
      </w:r>
      <w:r w:rsidR="00975865" w:rsidRPr="00975865">
        <w:rPr>
          <w:rFonts w:ascii="Times New Roman" w:hAnsi="Times New Roman"/>
          <w:lang w:val="en-US"/>
        </w:rPr>
        <w:t xml:space="preserve"> </w:t>
      </w:r>
      <w:r w:rsidR="00051B15" w:rsidRPr="00975865">
        <w:rPr>
          <w:rFonts w:ascii="Times New Roman" w:hAnsi="Times New Roman"/>
          <w:lang w:val="en-US"/>
        </w:rPr>
        <w:t xml:space="preserve">The introduction of such restrictive measures has been fuelled by academic and political debates echoing (unfounded) fears about abusive </w:t>
      </w:r>
      <w:r w:rsidR="00051B15">
        <w:rPr>
          <w:rFonts w:ascii="Times New Roman" w:hAnsi="Times New Roman"/>
          <w:lang w:val="en-US"/>
        </w:rPr>
        <w:t>“</w:t>
      </w:r>
      <w:r w:rsidR="00051B15" w:rsidRPr="00975865">
        <w:rPr>
          <w:rFonts w:ascii="Times New Roman" w:hAnsi="Times New Roman"/>
          <w:lang w:val="en-US"/>
        </w:rPr>
        <w:t>social tourism</w:t>
      </w:r>
      <w:r w:rsidR="00051B15">
        <w:rPr>
          <w:rFonts w:ascii="Times New Roman" w:hAnsi="Times New Roman"/>
          <w:lang w:val="en-US"/>
        </w:rPr>
        <w:t>”</w:t>
      </w:r>
      <w:r w:rsidR="00051B15" w:rsidRPr="00975865">
        <w:rPr>
          <w:rFonts w:ascii="Times New Roman" w:hAnsi="Times New Roman"/>
          <w:lang w:val="en-US"/>
        </w:rPr>
        <w:t xml:space="preserve"> and </w:t>
      </w:r>
      <w:r w:rsidR="00051B15">
        <w:rPr>
          <w:rFonts w:ascii="Times New Roman" w:hAnsi="Times New Roman"/>
          <w:lang w:val="en-US"/>
        </w:rPr>
        <w:t>“</w:t>
      </w:r>
      <w:r w:rsidR="00051B15" w:rsidRPr="00975865">
        <w:rPr>
          <w:rFonts w:ascii="Times New Roman" w:hAnsi="Times New Roman"/>
          <w:lang w:val="en-US"/>
        </w:rPr>
        <w:t>poverty migration</w:t>
      </w:r>
      <w:r w:rsidR="00051B15">
        <w:rPr>
          <w:rFonts w:ascii="Times New Roman" w:hAnsi="Times New Roman"/>
          <w:lang w:val="en-US"/>
        </w:rPr>
        <w:t>”</w:t>
      </w:r>
      <w:r w:rsidR="00051B15" w:rsidRPr="00975865">
        <w:rPr>
          <w:rFonts w:ascii="Times New Roman" w:hAnsi="Times New Roman"/>
          <w:lang w:val="en-US"/>
        </w:rPr>
        <w:t xml:space="preserve"> in the context of the economic downturn which has plagued the EU in recent years.</w:t>
      </w:r>
      <w:r w:rsidR="00051B15" w:rsidRPr="00975865">
        <w:rPr>
          <w:rStyle w:val="Aucun"/>
          <w:rFonts w:ascii="Times New Roman" w:eastAsia="Times New Roman" w:hAnsi="Times New Roman" w:cs="Times New Roman"/>
          <w:vertAlign w:val="superscript"/>
        </w:rPr>
        <w:footnoteReference w:id="43"/>
      </w:r>
      <w:r w:rsidR="00051B15" w:rsidRPr="00975865">
        <w:rPr>
          <w:rFonts w:ascii="Times New Roman" w:hAnsi="Times New Roman"/>
          <w:lang w:val="en-US"/>
        </w:rPr>
        <w:t xml:space="preserve"> </w:t>
      </w:r>
      <w:r w:rsidR="00051B15" w:rsidRPr="00975865">
        <w:rPr>
          <w:rFonts w:ascii="Times New Roman" w:hAnsi="Times New Roman" w:cs="Times New Roman"/>
          <w:lang w:val="en-US"/>
        </w:rPr>
        <w:t xml:space="preserve"> </w:t>
      </w:r>
      <w:r w:rsidR="00975865" w:rsidRPr="00975865">
        <w:rPr>
          <w:rFonts w:ascii="Times New Roman" w:hAnsi="Times New Roman"/>
          <w:lang w:val="en-US"/>
        </w:rPr>
        <w:t>Germany features amongst those member states as the German authorities introduced far-reaching restrictions on economically inactive Union citizens’ access to their social welfare system during the implementation of that Directive.</w:t>
      </w:r>
      <w:r w:rsidR="00975865" w:rsidRPr="00975865">
        <w:rPr>
          <w:rStyle w:val="Aucun"/>
          <w:rFonts w:ascii="Times New Roman" w:eastAsia="Times New Roman" w:hAnsi="Times New Roman" w:cs="Times New Roman"/>
          <w:vertAlign w:val="superscript"/>
        </w:rPr>
        <w:footnoteReference w:id="44"/>
      </w:r>
      <w:r w:rsidR="00975865" w:rsidRPr="00975865">
        <w:rPr>
          <w:rFonts w:ascii="Times New Roman" w:hAnsi="Times New Roman"/>
          <w:lang w:val="en-US"/>
        </w:rPr>
        <w:t xml:space="preserve"> One of the most problematic provisions adopted in that context prescribes that inactive citizens whose lawful residence arise</w:t>
      </w:r>
      <w:r w:rsidR="00936325">
        <w:rPr>
          <w:rFonts w:ascii="Times New Roman" w:hAnsi="Times New Roman"/>
          <w:lang w:val="en-US"/>
        </w:rPr>
        <w:t>s</w:t>
      </w:r>
      <w:r w:rsidR="00975865" w:rsidRPr="00975865">
        <w:rPr>
          <w:rFonts w:ascii="Times New Roman" w:hAnsi="Times New Roman"/>
          <w:lang w:val="en-US"/>
        </w:rPr>
        <w:t xml:space="preserve"> solely out of the search for employment can be automatically refused the grant of social benefits (para. 7(1)(2) SGB II). It is that provision that was at the heart of the Court’s judgments in </w:t>
      </w:r>
      <w:r w:rsidR="00975865" w:rsidRPr="00975865">
        <w:rPr>
          <w:rStyle w:val="Aucun"/>
          <w:rFonts w:ascii="Times New Roman" w:hAnsi="Times New Roman"/>
          <w:i/>
          <w:iCs/>
          <w:lang w:val="en-US"/>
        </w:rPr>
        <w:t>Dano</w:t>
      </w:r>
      <w:r w:rsidR="00975865" w:rsidRPr="00975865">
        <w:rPr>
          <w:rFonts w:ascii="Times New Roman" w:hAnsi="Times New Roman"/>
          <w:lang w:val="en-US"/>
        </w:rPr>
        <w:t xml:space="preserve"> and </w:t>
      </w:r>
      <w:r w:rsidR="00975865" w:rsidRPr="00975865">
        <w:rPr>
          <w:rStyle w:val="Aucun"/>
          <w:rFonts w:ascii="Times New Roman" w:hAnsi="Times New Roman"/>
          <w:i/>
          <w:iCs/>
          <w:lang w:val="en-US"/>
        </w:rPr>
        <w:t>Alimanovic</w:t>
      </w:r>
      <w:r w:rsidR="00975865" w:rsidRPr="00975865">
        <w:rPr>
          <w:rFonts w:ascii="Times New Roman" w:hAnsi="Times New Roman"/>
          <w:lang w:val="en-US"/>
        </w:rPr>
        <w:t xml:space="preserve">. </w:t>
      </w:r>
    </w:p>
    <w:p w14:paraId="098C9C05" w14:textId="77777777" w:rsidR="00BD5E58" w:rsidRDefault="00BD5E58" w:rsidP="00D7623A">
      <w:pPr>
        <w:pStyle w:val="Corps"/>
        <w:jc w:val="both"/>
        <w:rPr>
          <w:rFonts w:ascii="Times New Roman" w:hAnsi="Times New Roman"/>
          <w:lang w:val="en-US"/>
        </w:rPr>
      </w:pPr>
    </w:p>
    <w:p w14:paraId="100841C8" w14:textId="398C262D" w:rsidR="00CA40A0" w:rsidRPr="00BD5E58" w:rsidRDefault="0080334E" w:rsidP="00D7623A">
      <w:pPr>
        <w:pStyle w:val="Corps"/>
        <w:jc w:val="both"/>
        <w:rPr>
          <w:rFonts w:ascii="Times New Roman" w:hAnsi="Times New Roman"/>
          <w:lang w:val="en-US"/>
        </w:rPr>
      </w:pPr>
      <w:r w:rsidRPr="00975865">
        <w:rPr>
          <w:rFonts w:ascii="Times New Roman" w:hAnsi="Times New Roman" w:cs="Times New Roman"/>
          <w:lang w:val="en-US"/>
        </w:rPr>
        <w:t xml:space="preserve">In contrast to the early cases, which involved more favourable national measures in comparison with the conditions established under secondary law, the Court </w:t>
      </w:r>
      <w:r w:rsidR="0060476B" w:rsidRPr="00975865">
        <w:rPr>
          <w:rFonts w:ascii="Times New Roman" w:hAnsi="Times New Roman" w:cs="Times New Roman"/>
          <w:lang w:val="en-US"/>
        </w:rPr>
        <w:t>had</w:t>
      </w:r>
      <w:r w:rsidR="00C00F48" w:rsidRPr="00975865">
        <w:rPr>
          <w:rFonts w:ascii="Times New Roman" w:hAnsi="Times New Roman" w:cs="Times New Roman"/>
          <w:lang w:val="en-US"/>
        </w:rPr>
        <w:t xml:space="preserve"> to determine</w:t>
      </w:r>
      <w:r w:rsidR="00BD5E58">
        <w:rPr>
          <w:rFonts w:ascii="Times New Roman" w:hAnsi="Times New Roman" w:cs="Times New Roman"/>
          <w:lang w:val="en-US"/>
        </w:rPr>
        <w:t xml:space="preserve"> in </w:t>
      </w:r>
      <w:r w:rsidR="00BD5E58" w:rsidRPr="00BD5E58">
        <w:rPr>
          <w:rFonts w:ascii="Times New Roman" w:hAnsi="Times New Roman" w:cs="Times New Roman"/>
          <w:i/>
          <w:iCs/>
          <w:lang w:val="en-US"/>
        </w:rPr>
        <w:t>Dano</w:t>
      </w:r>
      <w:r w:rsidR="00BD5E58">
        <w:rPr>
          <w:rFonts w:ascii="Times New Roman" w:hAnsi="Times New Roman" w:cs="Times New Roman"/>
          <w:lang w:val="en-US"/>
        </w:rPr>
        <w:t xml:space="preserve"> and </w:t>
      </w:r>
      <w:r w:rsidR="00BD5E58" w:rsidRPr="00BD5E58">
        <w:rPr>
          <w:rFonts w:ascii="Times New Roman" w:hAnsi="Times New Roman" w:cs="Times New Roman"/>
          <w:i/>
          <w:iCs/>
          <w:lang w:val="en-US"/>
        </w:rPr>
        <w:t>Alimanovic</w:t>
      </w:r>
      <w:r w:rsidR="00C00F48" w:rsidRPr="00975865">
        <w:rPr>
          <w:rFonts w:ascii="Times New Roman" w:hAnsi="Times New Roman" w:cs="Times New Roman"/>
          <w:lang w:val="en-US"/>
        </w:rPr>
        <w:t xml:space="preserve"> whether the </w:t>
      </w:r>
      <w:r w:rsidR="004B57AE" w:rsidRPr="00975865">
        <w:rPr>
          <w:rFonts w:ascii="Times New Roman" w:hAnsi="Times New Roman" w:cs="Times New Roman"/>
          <w:lang w:val="en-US"/>
        </w:rPr>
        <w:t>M</w:t>
      </w:r>
      <w:r w:rsidR="00C00F48" w:rsidRPr="00975865">
        <w:rPr>
          <w:rFonts w:ascii="Times New Roman" w:hAnsi="Times New Roman" w:cs="Times New Roman"/>
          <w:lang w:val="en-US"/>
        </w:rPr>
        <w:t xml:space="preserve">ember </w:t>
      </w:r>
      <w:r w:rsidR="004B57AE" w:rsidRPr="00975865">
        <w:rPr>
          <w:rFonts w:ascii="Times New Roman" w:hAnsi="Times New Roman" w:cs="Times New Roman"/>
          <w:lang w:val="en-US"/>
        </w:rPr>
        <w:t>S</w:t>
      </w:r>
      <w:r w:rsidR="00C00F48" w:rsidRPr="00975865">
        <w:rPr>
          <w:rFonts w:ascii="Times New Roman" w:hAnsi="Times New Roman" w:cs="Times New Roman"/>
          <w:lang w:val="en-US"/>
        </w:rPr>
        <w:t xml:space="preserve">tates could </w:t>
      </w:r>
      <w:r w:rsidR="00F06B57" w:rsidRPr="00975865">
        <w:rPr>
          <w:rFonts w:ascii="Times New Roman" w:hAnsi="Times New Roman" w:cs="Times New Roman"/>
          <w:lang w:val="en-US"/>
        </w:rPr>
        <w:t>adopt</w:t>
      </w:r>
      <w:r w:rsidRPr="00975865">
        <w:rPr>
          <w:rFonts w:ascii="Times New Roman" w:hAnsi="Times New Roman" w:cs="Times New Roman"/>
          <w:lang w:val="en-US"/>
        </w:rPr>
        <w:t xml:space="preserve"> national restrictive measures based upon the Citizenship Directive.</w:t>
      </w:r>
      <w:r w:rsidR="000D02E0" w:rsidRPr="00975865">
        <w:rPr>
          <w:rStyle w:val="Appelnotedebasdep"/>
          <w:rFonts w:ascii="Times New Roman" w:hAnsi="Times New Roman" w:cs="Times New Roman"/>
          <w:lang w:val="en-US"/>
        </w:rPr>
        <w:footnoteReference w:id="45"/>
      </w:r>
      <w:r w:rsidR="00975865" w:rsidRPr="00975865">
        <w:rPr>
          <w:rFonts w:ascii="Times New Roman" w:hAnsi="Times New Roman"/>
          <w:lang w:val="en-US"/>
        </w:rPr>
        <w:t xml:space="preserve"> </w:t>
      </w:r>
      <w:r w:rsidRPr="00975865">
        <w:rPr>
          <w:rFonts w:ascii="Times New Roman" w:hAnsi="Times New Roman" w:cs="Times New Roman"/>
          <w:lang w:val="en-US"/>
        </w:rPr>
        <w:t xml:space="preserve">It is </w:t>
      </w:r>
      <w:r w:rsidR="001A4DFA">
        <w:rPr>
          <w:rFonts w:ascii="Times New Roman" w:hAnsi="Times New Roman" w:cs="Times New Roman"/>
          <w:lang w:val="en-US"/>
        </w:rPr>
        <w:t xml:space="preserve">therefore </w:t>
      </w:r>
      <w:r w:rsidRPr="00975865">
        <w:rPr>
          <w:rFonts w:ascii="Times New Roman" w:hAnsi="Times New Roman" w:cs="Times New Roman"/>
          <w:lang w:val="en-US"/>
        </w:rPr>
        <w:t xml:space="preserve">submitted </w:t>
      </w:r>
      <w:r w:rsidR="00FE189A" w:rsidRPr="00975865">
        <w:rPr>
          <w:rFonts w:ascii="Times New Roman" w:hAnsi="Times New Roman" w:cs="Times New Roman"/>
          <w:lang w:val="en-US"/>
        </w:rPr>
        <w:t>here that in</w:t>
      </w:r>
      <w:r w:rsidR="00BD5E58">
        <w:rPr>
          <w:rFonts w:ascii="Times New Roman" w:hAnsi="Times New Roman" w:cs="Times New Roman"/>
          <w:lang w:val="en-US"/>
        </w:rPr>
        <w:t xml:space="preserve"> those judgments</w:t>
      </w:r>
      <w:r w:rsidR="00FE189A" w:rsidRPr="00975865">
        <w:rPr>
          <w:rFonts w:ascii="Times New Roman" w:hAnsi="Times New Roman" w:cs="Times New Roman"/>
          <w:lang w:val="en-US"/>
        </w:rPr>
        <w:t xml:space="preserve">, the Court merely emphasized that </w:t>
      </w:r>
      <w:r w:rsidR="004B57AE" w:rsidRPr="00975865">
        <w:rPr>
          <w:rFonts w:ascii="Times New Roman" w:hAnsi="Times New Roman" w:cs="Times New Roman"/>
          <w:lang w:val="en-US"/>
        </w:rPr>
        <w:t>the M</w:t>
      </w:r>
      <w:r w:rsidR="00FE189A" w:rsidRPr="00975865">
        <w:rPr>
          <w:rFonts w:ascii="Times New Roman" w:hAnsi="Times New Roman" w:cs="Times New Roman"/>
          <w:lang w:val="en-US"/>
        </w:rPr>
        <w:t xml:space="preserve">ember </w:t>
      </w:r>
      <w:r w:rsidR="004B57AE" w:rsidRPr="00975865">
        <w:rPr>
          <w:rFonts w:ascii="Times New Roman" w:hAnsi="Times New Roman" w:cs="Times New Roman"/>
          <w:lang w:val="en-US"/>
        </w:rPr>
        <w:t>S</w:t>
      </w:r>
      <w:r w:rsidR="00FE189A" w:rsidRPr="00975865">
        <w:rPr>
          <w:rFonts w:ascii="Times New Roman" w:hAnsi="Times New Roman" w:cs="Times New Roman"/>
          <w:lang w:val="en-US"/>
        </w:rPr>
        <w:t xml:space="preserve">tates had the </w:t>
      </w:r>
      <w:r w:rsidR="00FE189A" w:rsidRPr="00975865">
        <w:rPr>
          <w:rFonts w:ascii="Times New Roman" w:hAnsi="Times New Roman" w:cs="Times New Roman"/>
          <w:i/>
          <w:iCs/>
          <w:lang w:val="en-US"/>
        </w:rPr>
        <w:t>possibility</w:t>
      </w:r>
      <w:r w:rsidR="00FE189A" w:rsidRPr="00975865">
        <w:rPr>
          <w:rFonts w:ascii="Times New Roman" w:hAnsi="Times New Roman" w:cs="Times New Roman"/>
          <w:lang w:val="en-US"/>
        </w:rPr>
        <w:t xml:space="preserve"> to award social benefits only to Union citizens residing lawfully in the host state in accordance with the conditions laid down in the Directive. In contrast, there was nothing to suggest that </w:t>
      </w:r>
      <w:r w:rsidR="004B57AE" w:rsidRPr="00975865">
        <w:rPr>
          <w:rFonts w:ascii="Times New Roman" w:hAnsi="Times New Roman" w:cs="Times New Roman"/>
          <w:lang w:val="en-US"/>
        </w:rPr>
        <w:t>they</w:t>
      </w:r>
      <w:r w:rsidR="00FE189A" w:rsidRPr="00975865">
        <w:rPr>
          <w:rFonts w:ascii="Times New Roman" w:hAnsi="Times New Roman" w:cs="Times New Roman"/>
          <w:lang w:val="en-US"/>
        </w:rPr>
        <w:t xml:space="preserve"> were </w:t>
      </w:r>
      <w:r w:rsidR="00FE189A" w:rsidRPr="00975865">
        <w:rPr>
          <w:rFonts w:ascii="Times New Roman" w:hAnsi="Times New Roman" w:cs="Times New Roman"/>
          <w:i/>
          <w:iCs/>
          <w:lang w:val="en-US"/>
        </w:rPr>
        <w:t>compelled</w:t>
      </w:r>
      <w:r w:rsidR="00FE189A" w:rsidRPr="00975865">
        <w:rPr>
          <w:rFonts w:ascii="Times New Roman" w:hAnsi="Times New Roman" w:cs="Times New Roman"/>
          <w:lang w:val="en-US"/>
        </w:rPr>
        <w:t xml:space="preserve"> to restrict access to their social assistance schemes on the basis of that Directive.</w:t>
      </w:r>
      <w:r w:rsidR="00507291" w:rsidRPr="00975865">
        <w:rPr>
          <w:rFonts w:ascii="Times New Roman" w:hAnsi="Times New Roman" w:cs="Times New Roman"/>
          <w:lang w:val="en-US"/>
        </w:rPr>
        <w:t xml:space="preserve"> </w:t>
      </w:r>
      <w:r w:rsidR="00B61833">
        <w:rPr>
          <w:rFonts w:ascii="Times New Roman" w:hAnsi="Times New Roman" w:cs="Times New Roman"/>
          <w:lang w:val="en-US"/>
        </w:rPr>
        <w:t>In the same vein, these</w:t>
      </w:r>
      <w:r w:rsidR="00B61833" w:rsidRPr="00B61833">
        <w:rPr>
          <w:rFonts w:ascii="Times New Roman" w:hAnsi="Times New Roman" w:cs="Times New Roman"/>
          <w:lang w:val="en-US"/>
        </w:rPr>
        <w:t xml:space="preserve"> judgments did not address specifically the relationship between the </w:t>
      </w:r>
      <w:r w:rsidR="00BD5E58">
        <w:rPr>
          <w:rFonts w:ascii="Times New Roman" w:hAnsi="Times New Roman" w:cs="Times New Roman"/>
          <w:lang w:val="en-US"/>
        </w:rPr>
        <w:t xml:space="preserve">Treaty </w:t>
      </w:r>
      <w:r w:rsidR="00B61833" w:rsidRPr="00B61833">
        <w:rPr>
          <w:rFonts w:ascii="Times New Roman" w:hAnsi="Times New Roman" w:cs="Times New Roman"/>
          <w:lang w:val="en-US"/>
        </w:rPr>
        <w:t>principle of equal treatment and other residence rights deriving from national law or other strands of EU law.</w:t>
      </w:r>
      <w:r w:rsidR="001D30BE">
        <w:rPr>
          <w:rStyle w:val="Appelnotedebasdep"/>
          <w:rFonts w:ascii="Times New Roman" w:hAnsi="Times New Roman" w:cs="Times New Roman"/>
          <w:lang w:val="en-US"/>
        </w:rPr>
        <w:footnoteReference w:id="46"/>
      </w:r>
      <w:r w:rsidR="00B61833">
        <w:rPr>
          <w:lang w:val="en-US"/>
        </w:rPr>
        <w:t xml:space="preserve"> </w:t>
      </w:r>
      <w:r w:rsidR="001D30BE">
        <w:rPr>
          <w:rFonts w:ascii="Times New Roman" w:hAnsi="Times New Roman" w:cs="Times New Roman"/>
          <w:lang w:val="en-US"/>
        </w:rPr>
        <w:lastRenderedPageBreak/>
        <w:t>They</w:t>
      </w:r>
      <w:r w:rsidR="00832E47" w:rsidRPr="00975865">
        <w:rPr>
          <w:rFonts w:ascii="Times New Roman" w:hAnsi="Times New Roman" w:cs="Times New Roman"/>
          <w:lang w:val="en-US"/>
        </w:rPr>
        <w:t xml:space="preserve"> cannot therefore be taken to mean that a right of equal treatment may never be derived from lawful residence on a different basis outside the conditions established under the Citizenship </w:t>
      </w:r>
      <w:r w:rsidR="00136DB3" w:rsidRPr="00975865">
        <w:rPr>
          <w:rFonts w:ascii="Times New Roman" w:hAnsi="Times New Roman" w:cs="Times New Roman"/>
          <w:lang w:val="en-US"/>
        </w:rPr>
        <w:t>Directive</w:t>
      </w:r>
      <w:r w:rsidR="00111E97">
        <w:rPr>
          <w:rFonts w:ascii="Times New Roman" w:hAnsi="Times New Roman" w:cs="Times New Roman"/>
          <w:lang w:val="en-US"/>
        </w:rPr>
        <w:t xml:space="preserve"> - be it under another provision </w:t>
      </w:r>
      <w:r w:rsidR="00B46531">
        <w:rPr>
          <w:rFonts w:ascii="Times New Roman" w:hAnsi="Times New Roman" w:cs="Times New Roman"/>
          <w:lang w:val="en-US"/>
        </w:rPr>
        <w:t xml:space="preserve">of secondary law </w:t>
      </w:r>
      <w:r w:rsidR="00111E97">
        <w:rPr>
          <w:rFonts w:ascii="Times New Roman" w:hAnsi="Times New Roman" w:cs="Times New Roman"/>
          <w:lang w:val="en-US"/>
        </w:rPr>
        <w:t>or even, perhaps,</w:t>
      </w:r>
      <w:r w:rsidR="00B46531">
        <w:rPr>
          <w:rFonts w:ascii="Times New Roman" w:hAnsi="Times New Roman" w:cs="Times New Roman"/>
          <w:lang w:val="en-US"/>
        </w:rPr>
        <w:t xml:space="preserve"> (more favourable)</w:t>
      </w:r>
      <w:r w:rsidR="00111E97">
        <w:rPr>
          <w:rFonts w:ascii="Times New Roman" w:hAnsi="Times New Roman" w:cs="Times New Roman"/>
          <w:lang w:val="en-US"/>
        </w:rPr>
        <w:t xml:space="preserve"> national </w:t>
      </w:r>
      <w:r w:rsidR="00B46531">
        <w:rPr>
          <w:rFonts w:ascii="Times New Roman" w:hAnsi="Times New Roman" w:cs="Times New Roman"/>
          <w:lang w:val="en-US"/>
        </w:rPr>
        <w:t>provisions</w:t>
      </w:r>
      <w:r w:rsidR="00136DB3" w:rsidRPr="00975865">
        <w:rPr>
          <w:rFonts w:ascii="Times New Roman" w:hAnsi="Times New Roman" w:cs="Times New Roman"/>
          <w:lang w:val="en-US"/>
        </w:rPr>
        <w:t>.</w:t>
      </w:r>
      <w:r w:rsidR="00136DB3" w:rsidRPr="00975865">
        <w:rPr>
          <w:rStyle w:val="Appelnotedebasdep"/>
          <w:rFonts w:ascii="Times New Roman" w:hAnsi="Times New Roman" w:cs="Times New Roman"/>
          <w:lang w:val="en-US"/>
        </w:rPr>
        <w:footnoteReference w:id="47"/>
      </w:r>
      <w:r w:rsidR="00832E47" w:rsidRPr="00975865">
        <w:rPr>
          <w:rFonts w:ascii="Times New Roman" w:hAnsi="Times New Roman" w:cs="Times New Roman"/>
          <w:lang w:val="en-US"/>
        </w:rPr>
        <w:t xml:space="preserve"> </w:t>
      </w:r>
      <w:r w:rsidR="00E07160" w:rsidRPr="00975865">
        <w:rPr>
          <w:rFonts w:ascii="Times New Roman" w:hAnsi="Times New Roman" w:cs="Times New Roman"/>
          <w:lang w:val="en-US"/>
        </w:rPr>
        <w:t>Even i</w:t>
      </w:r>
      <w:r w:rsidR="00FE189A" w:rsidRPr="00975865">
        <w:rPr>
          <w:rFonts w:ascii="Times New Roman" w:hAnsi="Times New Roman" w:cs="Times New Roman"/>
          <w:lang w:val="en-US"/>
        </w:rPr>
        <w:t xml:space="preserve">n </w:t>
      </w:r>
      <w:r w:rsidR="00D24056">
        <w:rPr>
          <w:rFonts w:ascii="Times New Roman" w:hAnsi="Times New Roman" w:cs="Times New Roman"/>
          <w:lang w:val="en-US"/>
        </w:rPr>
        <w:t xml:space="preserve">its subsequent </w:t>
      </w:r>
      <w:r w:rsidR="00FE189A" w:rsidRPr="00975865">
        <w:rPr>
          <w:rFonts w:ascii="Times New Roman" w:hAnsi="Times New Roman" w:cs="Times New Roman"/>
          <w:i/>
          <w:iCs/>
          <w:lang w:val="en-US"/>
        </w:rPr>
        <w:t>Commission v United Kingdom</w:t>
      </w:r>
      <w:r w:rsidR="00D24056">
        <w:rPr>
          <w:rFonts w:ascii="Times New Roman" w:hAnsi="Times New Roman" w:cs="Times New Roman"/>
          <w:i/>
          <w:iCs/>
          <w:lang w:val="en-US"/>
        </w:rPr>
        <w:t xml:space="preserve"> </w:t>
      </w:r>
      <w:r w:rsidR="00D24056" w:rsidRPr="00D24056">
        <w:rPr>
          <w:rFonts w:ascii="Times New Roman" w:hAnsi="Times New Roman" w:cs="Times New Roman"/>
          <w:lang w:val="en-US"/>
        </w:rPr>
        <w:t>judgment</w:t>
      </w:r>
      <w:r w:rsidR="00FE189A" w:rsidRPr="00975865">
        <w:rPr>
          <w:rFonts w:ascii="Times New Roman" w:hAnsi="Times New Roman" w:cs="Times New Roman"/>
          <w:lang w:val="en-US"/>
        </w:rPr>
        <w:t xml:space="preserve">, </w:t>
      </w:r>
      <w:r w:rsidR="00E07160" w:rsidRPr="00975865">
        <w:rPr>
          <w:rFonts w:ascii="Times New Roman" w:hAnsi="Times New Roman" w:cs="Times New Roman"/>
          <w:lang w:val="en-US"/>
        </w:rPr>
        <w:t xml:space="preserve">where the Court was called upon to determine if access to the family benefits covered by Regulation 883/2004 could be limited by reference to the Citizenhip Directive, </w:t>
      </w:r>
      <w:r w:rsidR="00FE189A" w:rsidRPr="00975865">
        <w:rPr>
          <w:rFonts w:ascii="Times New Roman" w:hAnsi="Times New Roman" w:cs="Times New Roman"/>
          <w:lang w:val="en-US"/>
        </w:rPr>
        <w:t>the Court’s findings were framed in a permissive manner</w:t>
      </w:r>
      <w:r w:rsidR="00E07160" w:rsidRPr="00975865">
        <w:rPr>
          <w:rFonts w:ascii="Times New Roman" w:hAnsi="Times New Roman" w:cs="Times New Roman"/>
          <w:lang w:val="en-US"/>
        </w:rPr>
        <w:t>.</w:t>
      </w:r>
      <w:r w:rsidR="00D412A5">
        <w:rPr>
          <w:rStyle w:val="Appelnotedebasdep"/>
          <w:rFonts w:ascii="Times New Roman" w:hAnsi="Times New Roman" w:cs="Times New Roman"/>
          <w:lang w:val="en-US"/>
        </w:rPr>
        <w:footnoteReference w:id="48"/>
      </w:r>
      <w:r w:rsidR="00E07160" w:rsidRPr="00975865">
        <w:rPr>
          <w:rFonts w:ascii="Times New Roman" w:hAnsi="Times New Roman" w:cs="Times New Roman"/>
          <w:lang w:val="en-US"/>
        </w:rPr>
        <w:t xml:space="preserve"> In doing so, the Court essentially </w:t>
      </w:r>
      <w:r w:rsidR="00FE189A" w:rsidRPr="00975865">
        <w:rPr>
          <w:rFonts w:ascii="Times New Roman" w:hAnsi="Times New Roman" w:cs="Times New Roman"/>
          <w:lang w:val="en-US"/>
        </w:rPr>
        <w:t>allow</w:t>
      </w:r>
      <w:r w:rsidR="00E07160" w:rsidRPr="00975865">
        <w:rPr>
          <w:rFonts w:ascii="Times New Roman" w:hAnsi="Times New Roman" w:cs="Times New Roman"/>
          <w:lang w:val="en-US"/>
        </w:rPr>
        <w:t>ed</w:t>
      </w:r>
      <w:r w:rsidR="00507291" w:rsidRPr="00975865">
        <w:rPr>
          <w:rFonts w:ascii="Times New Roman" w:hAnsi="Times New Roman" w:cs="Times New Roman"/>
          <w:lang w:val="en-US"/>
        </w:rPr>
        <w:t>, but did not oblige,</w:t>
      </w:r>
      <w:r w:rsidR="00FE189A" w:rsidRPr="00975865">
        <w:rPr>
          <w:rFonts w:ascii="Times New Roman" w:hAnsi="Times New Roman" w:cs="Times New Roman"/>
          <w:lang w:val="en-US"/>
        </w:rPr>
        <w:t xml:space="preserve"> national authorities to introduce additional residence requirements based upon the Citizenship Directive in relation to the benefits covered by Regulation 883/2004.</w:t>
      </w:r>
      <w:r w:rsidR="00FE189A" w:rsidRPr="00975865">
        <w:rPr>
          <w:rStyle w:val="Appelnotedebasdep"/>
          <w:rFonts w:ascii="Times New Roman" w:hAnsi="Times New Roman" w:cs="Times New Roman"/>
          <w:lang w:val="en-US"/>
        </w:rPr>
        <w:footnoteReference w:id="49"/>
      </w:r>
      <w:r w:rsidR="00FE189A" w:rsidRPr="00975865">
        <w:rPr>
          <w:rFonts w:ascii="Times New Roman" w:hAnsi="Times New Roman" w:cs="Times New Roman"/>
          <w:lang w:val="en-US"/>
        </w:rPr>
        <w:t xml:space="preserve"> </w:t>
      </w:r>
    </w:p>
    <w:p w14:paraId="3835527F" w14:textId="77777777" w:rsidR="001D30BE" w:rsidRPr="00B61833" w:rsidRDefault="001D30BE" w:rsidP="00D7623A">
      <w:pPr>
        <w:pStyle w:val="Corps"/>
        <w:jc w:val="both"/>
        <w:rPr>
          <w:rFonts w:ascii="Times New Roman" w:hAnsi="Times New Roman"/>
          <w:lang w:val="en-US"/>
        </w:rPr>
      </w:pPr>
    </w:p>
    <w:p w14:paraId="0B43AF34" w14:textId="3AF4A2E4" w:rsidR="000D110D" w:rsidRPr="00D00979" w:rsidRDefault="00FB6695" w:rsidP="00D7623A">
      <w:pPr>
        <w:pStyle w:val="Titrerouge"/>
        <w:jc w:val="both"/>
        <w:rPr>
          <w:rFonts w:ascii="Times New Roman" w:hAnsi="Times New Roman" w:cs="Times New Roman"/>
          <w:iCs/>
          <w:color w:val="000000"/>
          <w:sz w:val="22"/>
          <w:szCs w:val="22"/>
          <w:lang w:val="en-US"/>
        </w:rPr>
      </w:pPr>
      <w:bookmarkStart w:id="3" w:name="_Toc76652179"/>
      <w:r w:rsidRPr="00D00979">
        <w:rPr>
          <w:rFonts w:ascii="Times New Roman" w:hAnsi="Times New Roman" w:cs="Times New Roman"/>
          <w:iCs/>
          <w:color w:val="000000"/>
          <w:sz w:val="22"/>
          <w:szCs w:val="22"/>
          <w:lang w:val="en-US"/>
        </w:rPr>
        <w:t>T</w:t>
      </w:r>
      <w:r w:rsidR="00893C05" w:rsidRPr="00D00979">
        <w:rPr>
          <w:rFonts w:ascii="Times New Roman" w:hAnsi="Times New Roman" w:cs="Times New Roman"/>
          <w:iCs/>
          <w:color w:val="000000"/>
          <w:sz w:val="22"/>
          <w:szCs w:val="22"/>
          <w:lang w:val="en-US"/>
        </w:rPr>
        <w:t>he Court’s</w:t>
      </w:r>
      <w:r w:rsidR="008C1D5A" w:rsidRPr="00D00979">
        <w:rPr>
          <w:rFonts w:ascii="Times New Roman" w:hAnsi="Times New Roman" w:cs="Times New Roman"/>
          <w:iCs/>
          <w:color w:val="000000"/>
          <w:sz w:val="22"/>
          <w:szCs w:val="22"/>
          <w:lang w:val="en-US"/>
        </w:rPr>
        <w:t xml:space="preserve"> </w:t>
      </w:r>
      <w:r w:rsidR="00893C05" w:rsidRPr="00D00979">
        <w:rPr>
          <w:rFonts w:ascii="Times New Roman" w:hAnsi="Times New Roman" w:cs="Times New Roman"/>
          <w:iCs/>
          <w:color w:val="000000"/>
          <w:sz w:val="22"/>
          <w:szCs w:val="22"/>
          <w:lang w:val="en-US"/>
        </w:rPr>
        <w:t xml:space="preserve">interpretation of </w:t>
      </w:r>
      <w:r w:rsidR="00136DB3" w:rsidRPr="00D00979">
        <w:rPr>
          <w:rFonts w:ascii="Times New Roman" w:hAnsi="Times New Roman" w:cs="Times New Roman"/>
          <w:iCs/>
          <w:color w:val="000000"/>
          <w:sz w:val="22"/>
          <w:szCs w:val="22"/>
          <w:lang w:val="en-US"/>
        </w:rPr>
        <w:t xml:space="preserve">the principle of equal treatment of workers </w:t>
      </w:r>
      <w:r w:rsidR="008D5310" w:rsidRPr="00D00979">
        <w:rPr>
          <w:rFonts w:ascii="Times New Roman" w:hAnsi="Times New Roman" w:cs="Times New Roman"/>
          <w:iCs/>
          <w:color w:val="000000"/>
          <w:sz w:val="22"/>
          <w:szCs w:val="22"/>
          <w:lang w:val="en-US"/>
        </w:rPr>
        <w:t xml:space="preserve">in </w:t>
      </w:r>
      <w:r w:rsidR="00984D69" w:rsidRPr="00D00979">
        <w:rPr>
          <w:rFonts w:ascii="Times New Roman" w:hAnsi="Times New Roman" w:cs="Times New Roman"/>
          <w:i/>
          <w:color w:val="000000"/>
          <w:sz w:val="22"/>
          <w:szCs w:val="22"/>
          <w:lang w:val="en-US"/>
        </w:rPr>
        <w:t>Jobcenter Krefeld</w:t>
      </w:r>
      <w:r w:rsidR="008D5310" w:rsidRPr="00D00979">
        <w:rPr>
          <w:rFonts w:ascii="Times New Roman" w:hAnsi="Times New Roman" w:cs="Times New Roman"/>
          <w:iCs/>
          <w:color w:val="000000"/>
          <w:sz w:val="22"/>
          <w:szCs w:val="22"/>
          <w:lang w:val="en-US"/>
        </w:rPr>
        <w:t xml:space="preserve">: Beyond </w:t>
      </w:r>
      <w:r w:rsidR="000455AF" w:rsidRPr="00D00979">
        <w:rPr>
          <w:rFonts w:ascii="Times New Roman" w:hAnsi="Times New Roman" w:cs="Times New Roman"/>
          <w:iCs/>
          <w:color w:val="000000"/>
          <w:sz w:val="22"/>
          <w:szCs w:val="22"/>
          <w:lang w:val="en-US"/>
        </w:rPr>
        <w:t xml:space="preserve">the </w:t>
      </w:r>
      <w:r w:rsidR="002A030C" w:rsidRPr="00D00979">
        <w:rPr>
          <w:rFonts w:ascii="Times New Roman" w:hAnsi="Times New Roman" w:cs="Times New Roman"/>
          <w:iCs/>
          <w:color w:val="000000"/>
          <w:sz w:val="22"/>
          <w:szCs w:val="22"/>
          <w:lang w:val="en-US"/>
        </w:rPr>
        <w:t>“</w:t>
      </w:r>
      <w:r w:rsidR="000455AF" w:rsidRPr="00D00979">
        <w:rPr>
          <w:rFonts w:ascii="Times New Roman" w:hAnsi="Times New Roman" w:cs="Times New Roman"/>
          <w:iCs/>
          <w:color w:val="000000"/>
          <w:sz w:val="22"/>
          <w:szCs w:val="22"/>
          <w:lang w:val="en-US"/>
        </w:rPr>
        <w:t>horizon indépassable</w:t>
      </w:r>
      <w:r w:rsidR="002A030C" w:rsidRPr="00D00979">
        <w:rPr>
          <w:rFonts w:ascii="Times New Roman" w:hAnsi="Times New Roman" w:cs="Times New Roman"/>
          <w:iCs/>
          <w:color w:val="000000"/>
          <w:sz w:val="22"/>
          <w:szCs w:val="22"/>
          <w:lang w:val="en-US"/>
        </w:rPr>
        <w:t>”</w:t>
      </w:r>
      <w:r w:rsidR="000455AF" w:rsidRPr="00D00979">
        <w:rPr>
          <w:rFonts w:ascii="Times New Roman" w:hAnsi="Times New Roman" w:cs="Times New Roman"/>
          <w:iCs/>
          <w:color w:val="000000"/>
          <w:sz w:val="22"/>
          <w:szCs w:val="22"/>
          <w:lang w:val="en-US"/>
        </w:rPr>
        <w:t xml:space="preserve"> of </w:t>
      </w:r>
      <w:r w:rsidR="008D5310" w:rsidRPr="00D00979">
        <w:rPr>
          <w:rFonts w:ascii="Times New Roman" w:hAnsi="Times New Roman" w:cs="Times New Roman"/>
          <w:i/>
          <w:color w:val="000000"/>
          <w:sz w:val="22"/>
          <w:szCs w:val="22"/>
          <w:lang w:val="en-US"/>
        </w:rPr>
        <w:t>Dano-Alimanovic</w:t>
      </w:r>
      <w:r w:rsidR="008D5310" w:rsidRPr="00D00979">
        <w:rPr>
          <w:rFonts w:ascii="Times New Roman" w:hAnsi="Times New Roman" w:cs="Times New Roman"/>
          <w:iCs/>
          <w:color w:val="000000"/>
          <w:sz w:val="22"/>
          <w:szCs w:val="22"/>
          <w:lang w:val="en-US"/>
        </w:rPr>
        <w:t>?</w:t>
      </w:r>
      <w:bookmarkEnd w:id="3"/>
    </w:p>
    <w:p w14:paraId="7DC3E07F" w14:textId="77777777" w:rsidR="00FB6695" w:rsidRPr="00D00979" w:rsidRDefault="00FB6695" w:rsidP="00D7623A">
      <w:pPr>
        <w:pStyle w:val="Corps"/>
        <w:rPr>
          <w:rFonts w:ascii="Times New Roman" w:hAnsi="Times New Roman" w:cs="Times New Roman"/>
          <w:lang w:val="en-US"/>
        </w:rPr>
      </w:pPr>
    </w:p>
    <w:p w14:paraId="3DC397D2" w14:textId="580FC5EC" w:rsidR="00DD6C36" w:rsidRDefault="00133056" w:rsidP="00D7623A">
      <w:pPr>
        <w:pStyle w:val="Corps"/>
        <w:jc w:val="both"/>
        <w:rPr>
          <w:rFonts w:ascii="Times New Roman" w:hAnsi="Times New Roman" w:cs="Times New Roman"/>
          <w:lang w:val="en-US"/>
        </w:rPr>
      </w:pPr>
      <w:r w:rsidRPr="00D00979">
        <w:rPr>
          <w:rFonts w:ascii="Times New Roman" w:eastAsia="Times New Roman" w:hAnsi="Times New Roman" w:cs="Times New Roman"/>
          <w:lang w:val="en-US"/>
        </w:rPr>
        <w:t>The</w:t>
      </w:r>
      <w:r w:rsidR="00CE1795" w:rsidRPr="00D00979">
        <w:rPr>
          <w:rFonts w:ascii="Times New Roman" w:eastAsia="Times New Roman" w:hAnsi="Times New Roman" w:cs="Times New Roman"/>
          <w:lang w:val="en-US"/>
        </w:rPr>
        <w:t xml:space="preserve"> </w:t>
      </w:r>
      <w:r w:rsidR="00CE1795" w:rsidRPr="00D00979">
        <w:rPr>
          <w:rStyle w:val="Aucun"/>
          <w:rFonts w:ascii="Times New Roman" w:hAnsi="Times New Roman" w:cs="Times New Roman"/>
          <w:i/>
          <w:iCs/>
          <w:lang w:val="en-US"/>
        </w:rPr>
        <w:t>Dano-Alimanovic</w:t>
      </w:r>
      <w:r w:rsidR="00CE1795" w:rsidRPr="00D00979">
        <w:rPr>
          <w:rFonts w:ascii="Times New Roman" w:hAnsi="Times New Roman" w:cs="Times New Roman"/>
          <w:lang w:val="en-US"/>
        </w:rPr>
        <w:t xml:space="preserve"> line of case law sets a worrying trend that could pave the way to further limitations on equal treatment.</w:t>
      </w:r>
      <w:r w:rsidR="00CE1795" w:rsidRPr="00D00979">
        <w:rPr>
          <w:rStyle w:val="Aucun"/>
          <w:rFonts w:ascii="Times New Roman" w:eastAsia="Times New Roman" w:hAnsi="Times New Roman" w:cs="Times New Roman"/>
          <w:vertAlign w:val="superscript"/>
        </w:rPr>
        <w:footnoteReference w:id="50"/>
      </w:r>
      <w:r w:rsidR="00CE1795" w:rsidRPr="00D00979">
        <w:rPr>
          <w:rFonts w:ascii="Times New Roman" w:hAnsi="Times New Roman" w:cs="Times New Roman"/>
          <w:lang w:val="en-US"/>
        </w:rPr>
        <w:t xml:space="preserve"> Specifically, the </w:t>
      </w:r>
      <w:r w:rsidR="004B57AE" w:rsidRPr="00D00979">
        <w:rPr>
          <w:rFonts w:ascii="Times New Roman" w:hAnsi="Times New Roman" w:cs="Times New Roman"/>
          <w:lang w:val="en-US"/>
        </w:rPr>
        <w:t>M</w:t>
      </w:r>
      <w:r w:rsidR="00CE1795" w:rsidRPr="00D00979">
        <w:rPr>
          <w:rFonts w:ascii="Times New Roman" w:hAnsi="Times New Roman" w:cs="Times New Roman"/>
          <w:lang w:val="en-US"/>
        </w:rPr>
        <w:t xml:space="preserve">ember </w:t>
      </w:r>
      <w:r w:rsidR="004B57AE" w:rsidRPr="00D00979">
        <w:rPr>
          <w:rFonts w:ascii="Times New Roman" w:hAnsi="Times New Roman" w:cs="Times New Roman"/>
          <w:lang w:val="en-US"/>
        </w:rPr>
        <w:t>S</w:t>
      </w:r>
      <w:r w:rsidR="00CE1795" w:rsidRPr="00D00979">
        <w:rPr>
          <w:rFonts w:ascii="Times New Roman" w:hAnsi="Times New Roman" w:cs="Times New Roman"/>
          <w:lang w:val="en-US"/>
        </w:rPr>
        <w:t>tates could be tempted to introduce additional restrictions on transnational access to social welfare in the light of the restrictive stance adopted by the Court in those judgments.</w:t>
      </w:r>
      <w:r w:rsidR="00CE1795" w:rsidRPr="00D00979">
        <w:rPr>
          <w:rStyle w:val="Aucun"/>
          <w:rFonts w:ascii="Times New Roman" w:eastAsia="Times New Roman" w:hAnsi="Times New Roman" w:cs="Times New Roman"/>
          <w:vertAlign w:val="superscript"/>
        </w:rPr>
        <w:footnoteReference w:id="51"/>
      </w:r>
      <w:r w:rsidR="00CE1795" w:rsidRPr="00D00979">
        <w:rPr>
          <w:rFonts w:ascii="Times New Roman" w:hAnsi="Times New Roman" w:cs="Times New Roman"/>
          <w:lang w:val="en-US"/>
        </w:rPr>
        <w:t xml:space="preserve"> </w:t>
      </w:r>
      <w:r w:rsidR="00893C05" w:rsidRPr="00D00979">
        <w:rPr>
          <w:rFonts w:ascii="Times New Roman" w:eastAsia="Times New Roman" w:hAnsi="Times New Roman" w:cs="Times New Roman"/>
          <w:lang w:val="en-US"/>
        </w:rPr>
        <w:t>A recurring question, in that regard, concerns whether access to social advantages under Regulation 492/2011 may be subject to the right-to-reside tests featured in Directive 2004</w:t>
      </w:r>
      <w:r w:rsidR="00893C05" w:rsidRPr="00D00979">
        <w:rPr>
          <w:rFonts w:ascii="Times New Roman" w:hAnsi="Times New Roman" w:cs="Times New Roman"/>
          <w:lang w:val="en-US"/>
        </w:rPr>
        <w:t xml:space="preserve">/38. In the light of the </w:t>
      </w:r>
      <w:r w:rsidR="00893C05" w:rsidRPr="00D00979">
        <w:rPr>
          <w:rStyle w:val="Aucun"/>
          <w:rFonts w:ascii="Times New Roman" w:hAnsi="Times New Roman" w:cs="Times New Roman"/>
          <w:i/>
          <w:iCs/>
          <w:lang w:val="en-US"/>
        </w:rPr>
        <w:t>Dano-Alimanovic</w:t>
      </w:r>
      <w:r w:rsidR="00893C05" w:rsidRPr="00D00979">
        <w:rPr>
          <w:rFonts w:ascii="Times New Roman" w:hAnsi="Times New Roman" w:cs="Times New Roman"/>
          <w:lang w:val="en-US"/>
        </w:rPr>
        <w:t xml:space="preserve"> line of case law, it </w:t>
      </w:r>
      <w:r w:rsidR="00F358F7">
        <w:rPr>
          <w:rFonts w:ascii="Times New Roman" w:hAnsi="Times New Roman" w:cs="Times New Roman"/>
          <w:lang w:val="en-US"/>
        </w:rPr>
        <w:t>remains rather unclear</w:t>
      </w:r>
      <w:r w:rsidR="00893C05" w:rsidRPr="00D00979">
        <w:rPr>
          <w:rFonts w:ascii="Times New Roman" w:hAnsi="Times New Roman" w:cs="Times New Roman"/>
          <w:lang w:val="en-US"/>
        </w:rPr>
        <w:t xml:space="preserve"> whether the conditions and limitations enshrined in that Directive </w:t>
      </w:r>
      <w:r w:rsidR="00F358F7">
        <w:rPr>
          <w:rFonts w:ascii="Times New Roman" w:hAnsi="Times New Roman" w:cs="Times New Roman"/>
          <w:lang w:val="en-US"/>
        </w:rPr>
        <w:t>may</w:t>
      </w:r>
      <w:r w:rsidR="00893C05" w:rsidRPr="00D00979">
        <w:rPr>
          <w:rFonts w:ascii="Times New Roman" w:hAnsi="Times New Roman" w:cs="Times New Roman"/>
          <w:lang w:val="en-US"/>
        </w:rPr>
        <w:t xml:space="preserve"> also </w:t>
      </w:r>
      <w:r w:rsidR="00936325">
        <w:rPr>
          <w:rFonts w:ascii="Times New Roman" w:hAnsi="Times New Roman" w:cs="Times New Roman"/>
          <w:lang w:val="en-US"/>
        </w:rPr>
        <w:t>be used to circumscribe</w:t>
      </w:r>
      <w:r w:rsidR="00893C05" w:rsidRPr="00D00979">
        <w:rPr>
          <w:rFonts w:ascii="Times New Roman" w:hAnsi="Times New Roman" w:cs="Times New Roman"/>
          <w:lang w:val="en-US"/>
        </w:rPr>
        <w:t xml:space="preserve"> the equality rights featured in Regulation 492/2011.</w:t>
      </w:r>
      <w:r w:rsidR="00893C05" w:rsidRPr="00D00979">
        <w:rPr>
          <w:rStyle w:val="Aucun"/>
          <w:rFonts w:ascii="Times New Roman" w:eastAsia="Times New Roman" w:hAnsi="Times New Roman" w:cs="Times New Roman"/>
          <w:vertAlign w:val="superscript"/>
        </w:rPr>
        <w:footnoteReference w:id="52"/>
      </w:r>
      <w:r w:rsidR="00893C05" w:rsidRPr="00D00979">
        <w:rPr>
          <w:rFonts w:ascii="Times New Roman" w:hAnsi="Times New Roman" w:cs="Times New Roman"/>
          <w:lang w:val="en-US"/>
        </w:rPr>
        <w:t xml:space="preserve"> </w:t>
      </w:r>
    </w:p>
    <w:p w14:paraId="6A6AF11F" w14:textId="77777777" w:rsidR="00222F63" w:rsidRPr="00D00979" w:rsidRDefault="00222F63" w:rsidP="00D7623A">
      <w:pPr>
        <w:pStyle w:val="Corps"/>
        <w:jc w:val="both"/>
        <w:rPr>
          <w:rFonts w:ascii="Times New Roman" w:hAnsi="Times New Roman" w:cs="Times New Roman"/>
          <w:lang w:val="en-US"/>
        </w:rPr>
      </w:pPr>
    </w:p>
    <w:p w14:paraId="1E3050FA" w14:textId="67611B5D" w:rsidR="008D14B7" w:rsidRPr="00D00979" w:rsidRDefault="00287BBE" w:rsidP="00D7623A">
      <w:pPr>
        <w:pStyle w:val="Titrerouge"/>
        <w:jc w:val="both"/>
        <w:rPr>
          <w:rFonts w:ascii="Times New Roman" w:hAnsi="Times New Roman" w:cs="Times New Roman"/>
          <w:b w:val="0"/>
          <w:bCs w:val="0"/>
          <w:i/>
          <w:iCs/>
          <w:color w:val="000000"/>
          <w:sz w:val="22"/>
          <w:szCs w:val="22"/>
          <w:lang w:val="en-US"/>
        </w:rPr>
      </w:pPr>
      <w:bookmarkStart w:id="4" w:name="_Toc76652180"/>
      <w:r w:rsidRPr="00D00979">
        <w:rPr>
          <w:rFonts w:ascii="Times New Roman" w:hAnsi="Times New Roman" w:cs="Times New Roman"/>
          <w:b w:val="0"/>
          <w:bCs w:val="0"/>
          <w:i/>
          <w:iCs/>
          <w:color w:val="000000"/>
          <w:sz w:val="22"/>
          <w:szCs w:val="22"/>
          <w:lang w:val="en-US"/>
        </w:rPr>
        <w:t>Germany’s restrictive implementation of Dano-Alimanovic</w:t>
      </w:r>
      <w:bookmarkEnd w:id="4"/>
    </w:p>
    <w:p w14:paraId="7E1C00D0" w14:textId="77777777" w:rsidR="008D14B7" w:rsidRPr="00D00979" w:rsidRDefault="008D14B7" w:rsidP="00D7623A">
      <w:pPr>
        <w:pStyle w:val="Corps"/>
        <w:jc w:val="both"/>
        <w:rPr>
          <w:rFonts w:ascii="Times New Roman" w:hAnsi="Times New Roman" w:cs="Times New Roman"/>
          <w:lang w:val="en-US"/>
        </w:rPr>
      </w:pPr>
    </w:p>
    <w:p w14:paraId="73CF2292" w14:textId="198D3E8B" w:rsidR="00D7623A" w:rsidRDefault="00893C05" w:rsidP="00D7623A">
      <w:pPr>
        <w:pStyle w:val="Commentaire"/>
        <w:jc w:val="both"/>
        <w:rPr>
          <w:sz w:val="22"/>
          <w:szCs w:val="22"/>
        </w:rPr>
      </w:pPr>
      <w:r w:rsidRPr="00D00979">
        <w:rPr>
          <w:sz w:val="22"/>
          <w:szCs w:val="22"/>
        </w:rPr>
        <w:t xml:space="preserve">In </w:t>
      </w:r>
      <w:r w:rsidRPr="00D00979">
        <w:rPr>
          <w:rStyle w:val="Aucun"/>
          <w:i/>
          <w:iCs/>
          <w:sz w:val="22"/>
          <w:szCs w:val="22"/>
        </w:rPr>
        <w:t>Jobcenter Krefeld</w:t>
      </w:r>
      <w:r w:rsidR="00CA44BF" w:rsidRPr="00D00979">
        <w:rPr>
          <w:rStyle w:val="Aucun"/>
          <w:sz w:val="22"/>
          <w:szCs w:val="22"/>
        </w:rPr>
        <w:t>,</w:t>
      </w:r>
      <w:r w:rsidR="00CA44BF" w:rsidRPr="00D00979">
        <w:rPr>
          <w:rStyle w:val="Appelnotedebasdep"/>
          <w:sz w:val="22"/>
          <w:szCs w:val="22"/>
        </w:rPr>
        <w:footnoteReference w:id="53"/>
      </w:r>
      <w:r w:rsidRPr="00D00979">
        <w:rPr>
          <w:sz w:val="22"/>
          <w:szCs w:val="22"/>
        </w:rPr>
        <w:t xml:space="preserve"> </w:t>
      </w:r>
      <w:r w:rsidR="00C74EA5" w:rsidRPr="00D00979">
        <w:rPr>
          <w:rFonts w:eastAsia="Times New Roman"/>
          <w:sz w:val="22"/>
          <w:szCs w:val="22"/>
        </w:rPr>
        <w:t>the Court was</w:t>
      </w:r>
      <w:r w:rsidR="00A05313" w:rsidRPr="00D00979">
        <w:rPr>
          <w:sz w:val="22"/>
          <w:szCs w:val="22"/>
        </w:rPr>
        <w:t xml:space="preserve"> </w:t>
      </w:r>
      <w:r w:rsidR="00F24976" w:rsidRPr="00D00979">
        <w:rPr>
          <w:sz w:val="22"/>
          <w:szCs w:val="22"/>
        </w:rPr>
        <w:t xml:space="preserve">precisely </w:t>
      </w:r>
      <w:r w:rsidR="00A05313" w:rsidRPr="00D00979">
        <w:rPr>
          <w:sz w:val="22"/>
          <w:szCs w:val="22"/>
        </w:rPr>
        <w:t xml:space="preserve">given </w:t>
      </w:r>
      <w:r w:rsidR="00F24976" w:rsidRPr="00D00979">
        <w:rPr>
          <w:sz w:val="22"/>
          <w:szCs w:val="22"/>
        </w:rPr>
        <w:t>an</w:t>
      </w:r>
      <w:r w:rsidR="00A05313" w:rsidRPr="00D00979">
        <w:rPr>
          <w:sz w:val="22"/>
          <w:szCs w:val="22"/>
        </w:rPr>
        <w:t xml:space="preserve"> opportunity to shed light on the </w:t>
      </w:r>
      <w:r w:rsidR="00F24976" w:rsidRPr="00D00979">
        <w:rPr>
          <w:sz w:val="22"/>
          <w:szCs w:val="22"/>
        </w:rPr>
        <w:t xml:space="preserve">scope </w:t>
      </w:r>
      <w:r w:rsidR="00A05313" w:rsidRPr="00D00979">
        <w:rPr>
          <w:sz w:val="22"/>
          <w:szCs w:val="22"/>
        </w:rPr>
        <w:t>of</w:t>
      </w:r>
      <w:r w:rsidR="00F24976" w:rsidRPr="00D00979">
        <w:rPr>
          <w:sz w:val="22"/>
          <w:szCs w:val="22"/>
        </w:rPr>
        <w:t xml:space="preserve"> the principle of non discrimination enshrined in Article 7(2) of Regulation 492/2011 in relation to migrant jobseekers and their family members.</w:t>
      </w:r>
      <w:r w:rsidR="00A05313" w:rsidRPr="00D00979">
        <w:rPr>
          <w:rStyle w:val="Aucun"/>
          <w:rFonts w:eastAsia="Times New Roman"/>
          <w:sz w:val="22"/>
          <w:szCs w:val="22"/>
          <w:vertAlign w:val="superscript"/>
        </w:rPr>
        <w:footnoteReference w:id="54"/>
      </w:r>
      <w:r w:rsidR="00BA0CA1" w:rsidRPr="00D00979">
        <w:rPr>
          <w:rFonts w:eastAsia="Times New Roman"/>
          <w:sz w:val="22"/>
          <w:szCs w:val="22"/>
        </w:rPr>
        <w:t xml:space="preserve"> Specifically</w:t>
      </w:r>
      <w:r w:rsidR="00C74EA5" w:rsidRPr="00D00979">
        <w:rPr>
          <w:rFonts w:eastAsia="Times New Roman"/>
          <w:sz w:val="22"/>
          <w:szCs w:val="22"/>
        </w:rPr>
        <w:t xml:space="preserve">, the </w:t>
      </w:r>
      <w:r w:rsidRPr="00D00979">
        <w:rPr>
          <w:sz w:val="22"/>
          <w:szCs w:val="22"/>
        </w:rPr>
        <w:t xml:space="preserve">Court </w:t>
      </w:r>
      <w:r w:rsidR="00C74EA5" w:rsidRPr="00D00979">
        <w:rPr>
          <w:sz w:val="22"/>
          <w:szCs w:val="22"/>
        </w:rPr>
        <w:t>had</w:t>
      </w:r>
      <w:r w:rsidRPr="00D00979">
        <w:rPr>
          <w:sz w:val="22"/>
          <w:szCs w:val="22"/>
        </w:rPr>
        <w:t xml:space="preserve"> to ascertain whether </w:t>
      </w:r>
      <w:r w:rsidR="00BA0CA1" w:rsidRPr="00D00979">
        <w:rPr>
          <w:sz w:val="22"/>
          <w:szCs w:val="22"/>
        </w:rPr>
        <w:t xml:space="preserve">a former migrant worker whose school-age children enjoy a right of access to education in the host state under Article 10 of Regulation 492/2011 may rely on the principle of equal treatment as regards social advantages </w:t>
      </w:r>
      <w:r w:rsidR="00936325">
        <w:rPr>
          <w:sz w:val="22"/>
          <w:szCs w:val="22"/>
        </w:rPr>
        <w:t>featured</w:t>
      </w:r>
      <w:r w:rsidR="00BA0CA1" w:rsidRPr="00D00979">
        <w:rPr>
          <w:sz w:val="22"/>
          <w:szCs w:val="22"/>
        </w:rPr>
        <w:t xml:space="preserve"> in Article 7(2) of that Regulation</w:t>
      </w:r>
      <w:r w:rsidRPr="00D00979">
        <w:rPr>
          <w:sz w:val="22"/>
          <w:szCs w:val="22"/>
        </w:rPr>
        <w:t xml:space="preserve">. The reference for a preliminary ruling submitted to the Court in that case was introduced after the German legislature modified Book II of the German Social Code to reflect the changes brought </w:t>
      </w:r>
      <w:r w:rsidRPr="00D00979">
        <w:rPr>
          <w:sz w:val="22"/>
          <w:szCs w:val="22"/>
        </w:rPr>
        <w:lastRenderedPageBreak/>
        <w:t xml:space="preserve">about by the </w:t>
      </w:r>
      <w:r w:rsidRPr="00D00979">
        <w:rPr>
          <w:rStyle w:val="Aucun"/>
          <w:i/>
          <w:iCs/>
          <w:sz w:val="22"/>
          <w:szCs w:val="22"/>
        </w:rPr>
        <w:t>Dano</w:t>
      </w:r>
      <w:r w:rsidRPr="00D00979">
        <w:rPr>
          <w:sz w:val="22"/>
          <w:szCs w:val="22"/>
        </w:rPr>
        <w:t xml:space="preserve"> and </w:t>
      </w:r>
      <w:r w:rsidRPr="00D00979">
        <w:rPr>
          <w:rStyle w:val="Aucun"/>
          <w:i/>
          <w:iCs/>
          <w:sz w:val="22"/>
          <w:szCs w:val="22"/>
        </w:rPr>
        <w:t>Alimanovic</w:t>
      </w:r>
      <w:r w:rsidRPr="00D00979">
        <w:rPr>
          <w:sz w:val="22"/>
          <w:szCs w:val="22"/>
        </w:rPr>
        <w:t xml:space="preserve"> judgments</w:t>
      </w:r>
      <w:r w:rsidR="00EC39D4" w:rsidRPr="00D00979">
        <w:rPr>
          <w:sz w:val="22"/>
          <w:szCs w:val="22"/>
        </w:rPr>
        <w:t>.</w:t>
      </w:r>
      <w:r w:rsidR="0073110D" w:rsidRPr="00D00979">
        <w:rPr>
          <w:rStyle w:val="Appelnotedebasdep"/>
          <w:sz w:val="22"/>
          <w:szCs w:val="22"/>
        </w:rPr>
        <w:footnoteReference w:id="55"/>
      </w:r>
      <w:r w:rsidRPr="00D00979">
        <w:rPr>
          <w:sz w:val="22"/>
          <w:szCs w:val="22"/>
        </w:rPr>
        <w:t xml:space="preserve"> The new rules confirm the Court’s jurisprudence at paragraph 7 of SGB II. According to that provision, foreign nationals who </w:t>
      </w:r>
      <w:r w:rsidR="00A0576F" w:rsidRPr="00D00979">
        <w:rPr>
          <w:sz w:val="22"/>
          <w:szCs w:val="22"/>
        </w:rPr>
        <w:t>“</w:t>
      </w:r>
      <w:r w:rsidRPr="00D00979">
        <w:rPr>
          <w:sz w:val="22"/>
          <w:szCs w:val="22"/>
        </w:rPr>
        <w:t>do not have a right of residence</w:t>
      </w:r>
      <w:r w:rsidR="00A0576F" w:rsidRPr="00D00979">
        <w:rPr>
          <w:sz w:val="22"/>
          <w:szCs w:val="22"/>
        </w:rPr>
        <w:t>”</w:t>
      </w:r>
      <w:r w:rsidRPr="00D00979">
        <w:rPr>
          <w:sz w:val="22"/>
          <w:szCs w:val="22"/>
        </w:rPr>
        <w:t xml:space="preserve"> in Germany (Para. 7(1)(2)(a)) or whose right of residence </w:t>
      </w:r>
      <w:r w:rsidR="00A0576F" w:rsidRPr="00D00979">
        <w:rPr>
          <w:sz w:val="22"/>
          <w:szCs w:val="22"/>
        </w:rPr>
        <w:t>“</w:t>
      </w:r>
      <w:r w:rsidRPr="00D00979">
        <w:rPr>
          <w:sz w:val="22"/>
          <w:szCs w:val="22"/>
        </w:rPr>
        <w:t>arise</w:t>
      </w:r>
      <w:r w:rsidR="00936325">
        <w:rPr>
          <w:sz w:val="22"/>
          <w:szCs w:val="22"/>
        </w:rPr>
        <w:t>s</w:t>
      </w:r>
      <w:r w:rsidRPr="00D00979">
        <w:rPr>
          <w:sz w:val="22"/>
          <w:szCs w:val="22"/>
        </w:rPr>
        <w:t xml:space="preserve"> solely as a result of seeking employment</w:t>
      </w:r>
      <w:r w:rsidR="00A0576F" w:rsidRPr="00D00979">
        <w:rPr>
          <w:sz w:val="22"/>
          <w:szCs w:val="22"/>
        </w:rPr>
        <w:t>”</w:t>
      </w:r>
      <w:r w:rsidRPr="00D00979">
        <w:rPr>
          <w:sz w:val="22"/>
          <w:szCs w:val="22"/>
        </w:rPr>
        <w:t xml:space="preserve"> (Para. 7(1)(2)(b)) are automatically excluded from obtaining the subsistence benefits covered by that law. In addition, the new rules also feature an automatic exclusion from access to social assistance addressed to foreign nationals </w:t>
      </w:r>
      <w:r w:rsidR="00A0576F" w:rsidRPr="00D00979">
        <w:rPr>
          <w:sz w:val="22"/>
          <w:szCs w:val="22"/>
        </w:rPr>
        <w:t>“</w:t>
      </w:r>
      <w:r w:rsidRPr="00D00979">
        <w:rPr>
          <w:sz w:val="22"/>
          <w:szCs w:val="22"/>
        </w:rPr>
        <w:t>who derive their right of residence - exclusively or alongside a right of residence under point (b) - from Article 10 of Regulation 492/2011</w:t>
      </w:r>
      <w:r w:rsidR="00A0576F" w:rsidRPr="00D00979">
        <w:rPr>
          <w:sz w:val="22"/>
          <w:szCs w:val="22"/>
        </w:rPr>
        <w:t>”</w:t>
      </w:r>
      <w:r w:rsidRPr="00D00979">
        <w:rPr>
          <w:sz w:val="22"/>
          <w:szCs w:val="22"/>
        </w:rPr>
        <w:t xml:space="preserve"> (Para. 7(1)(2)(c)). </w:t>
      </w:r>
    </w:p>
    <w:p w14:paraId="7D458F26" w14:textId="77777777" w:rsidR="00335F87" w:rsidRPr="00D00979" w:rsidRDefault="00335F87" w:rsidP="00D7623A">
      <w:pPr>
        <w:pStyle w:val="Commentaire"/>
        <w:jc w:val="both"/>
        <w:rPr>
          <w:sz w:val="22"/>
          <w:szCs w:val="22"/>
        </w:rPr>
      </w:pPr>
    </w:p>
    <w:p w14:paraId="32D43EB6" w14:textId="6C6E36E5" w:rsidR="007144D3" w:rsidRPr="00D00979" w:rsidRDefault="00893C05" w:rsidP="00D7623A">
      <w:pPr>
        <w:pStyle w:val="Commentaire"/>
        <w:jc w:val="both"/>
        <w:rPr>
          <w:sz w:val="22"/>
          <w:szCs w:val="22"/>
        </w:rPr>
      </w:pPr>
      <w:r w:rsidRPr="00D00979">
        <w:rPr>
          <w:sz w:val="22"/>
          <w:szCs w:val="22"/>
        </w:rPr>
        <w:t xml:space="preserve">This new provision was presumably adopted as a reaction to the argument brought to the fore by Advocate General Wathelet in </w:t>
      </w:r>
      <w:r w:rsidRPr="00D00979">
        <w:rPr>
          <w:rStyle w:val="Aucun"/>
          <w:i/>
          <w:iCs/>
          <w:sz w:val="22"/>
          <w:szCs w:val="22"/>
        </w:rPr>
        <w:t>Alimanovic</w:t>
      </w:r>
      <w:r w:rsidRPr="00D00979">
        <w:rPr>
          <w:sz w:val="22"/>
          <w:szCs w:val="22"/>
        </w:rPr>
        <w:t xml:space="preserve"> that Ms Alimanovic and her children could possibly derive residence rights from Article 10 of that Regulation.</w:t>
      </w:r>
      <w:r w:rsidRPr="00D00979">
        <w:rPr>
          <w:rStyle w:val="Aucun"/>
          <w:rFonts w:eastAsia="Times New Roman"/>
          <w:sz w:val="22"/>
          <w:szCs w:val="22"/>
          <w:vertAlign w:val="superscript"/>
        </w:rPr>
        <w:footnoteReference w:id="56"/>
      </w:r>
      <w:r w:rsidRPr="00D00979">
        <w:rPr>
          <w:sz w:val="22"/>
          <w:szCs w:val="22"/>
        </w:rPr>
        <w:t xml:space="preserve"> </w:t>
      </w:r>
      <w:r w:rsidR="002E18E1" w:rsidRPr="00D00979">
        <w:rPr>
          <w:sz w:val="22"/>
          <w:szCs w:val="22"/>
        </w:rPr>
        <w:t>That provision confers a right of equal treatment as regards access to education to the children of (former) migrant workers.</w:t>
      </w:r>
      <w:r w:rsidR="00EC3528" w:rsidRPr="00D00979">
        <w:rPr>
          <w:rStyle w:val="Appelnotedebasdep"/>
          <w:sz w:val="22"/>
          <w:szCs w:val="22"/>
        </w:rPr>
        <w:footnoteReference w:id="57"/>
      </w:r>
      <w:r w:rsidR="002E18E1" w:rsidRPr="00D00979">
        <w:rPr>
          <w:sz w:val="22"/>
          <w:szCs w:val="22"/>
        </w:rPr>
        <w:t xml:space="preserve"> The Court has repeatedly held that the (former) workers’ children and their primary carer </w:t>
      </w:r>
      <w:r w:rsidR="0060660F" w:rsidRPr="00D00979">
        <w:rPr>
          <w:sz w:val="22"/>
          <w:szCs w:val="22"/>
        </w:rPr>
        <w:t xml:space="preserve">also </w:t>
      </w:r>
      <w:r w:rsidR="002E18E1" w:rsidRPr="00D00979">
        <w:rPr>
          <w:sz w:val="22"/>
          <w:szCs w:val="22"/>
        </w:rPr>
        <w:t>derive a right of residence in the host state from that provision.</w:t>
      </w:r>
      <w:r w:rsidR="002E18E1" w:rsidRPr="00D00979">
        <w:rPr>
          <w:rStyle w:val="Aucun"/>
          <w:rFonts w:eastAsia="Times New Roman"/>
          <w:sz w:val="22"/>
          <w:szCs w:val="22"/>
          <w:vertAlign w:val="superscript"/>
        </w:rPr>
        <w:footnoteReference w:id="58"/>
      </w:r>
      <w:r w:rsidR="002E18E1" w:rsidRPr="00D00979">
        <w:rPr>
          <w:sz w:val="22"/>
          <w:szCs w:val="22"/>
        </w:rPr>
        <w:t xml:space="preserve"> At the same time, however, the question remains open as to the extent to which they may rely on Article 10 of Regulation 492/2011 in order to be granted equal treatment as regards entitlement to social benefits in the host state. </w:t>
      </w:r>
      <w:r w:rsidR="0073110D" w:rsidRPr="00D00979">
        <w:rPr>
          <w:sz w:val="22"/>
          <w:szCs w:val="22"/>
        </w:rPr>
        <w:t>It is generally recognised that the protection afforded by that provision extends to study assistance for students.</w:t>
      </w:r>
      <w:r w:rsidR="0073110D" w:rsidRPr="00D00979">
        <w:rPr>
          <w:rStyle w:val="Aucun"/>
          <w:rFonts w:eastAsia="Times New Roman"/>
          <w:sz w:val="22"/>
          <w:szCs w:val="22"/>
          <w:vertAlign w:val="superscript"/>
        </w:rPr>
        <w:footnoteReference w:id="59"/>
      </w:r>
      <w:r w:rsidR="0073110D" w:rsidRPr="00D00979">
        <w:rPr>
          <w:sz w:val="22"/>
          <w:szCs w:val="22"/>
        </w:rPr>
        <w:t xml:space="preserve"> Perhaps somewhat unsurprisingly, this derives from the very objective pursued by Article 10 of Regulation 492/2011, which is to ensure that the children of (former) migrant workers benefit from equal treatment guarantees as regards access to education in the host state. Accordingly, Article 10 refers not only to the rules on admission to educational courses, but also to </w:t>
      </w:r>
      <w:r w:rsidR="00A0576F" w:rsidRPr="00D00979">
        <w:rPr>
          <w:sz w:val="22"/>
          <w:szCs w:val="22"/>
        </w:rPr>
        <w:t>“</w:t>
      </w:r>
      <w:r w:rsidR="0073110D" w:rsidRPr="00D00979">
        <w:rPr>
          <w:sz w:val="22"/>
          <w:szCs w:val="22"/>
        </w:rPr>
        <w:t>general measures intended to facilitate educational attendance</w:t>
      </w:r>
      <w:r w:rsidR="00A0576F" w:rsidRPr="00D00979">
        <w:rPr>
          <w:sz w:val="22"/>
          <w:szCs w:val="22"/>
        </w:rPr>
        <w:t>”</w:t>
      </w:r>
      <w:r w:rsidR="0073110D" w:rsidRPr="00D00979">
        <w:rPr>
          <w:sz w:val="22"/>
          <w:szCs w:val="22"/>
        </w:rPr>
        <w:t xml:space="preserve">. The Court has ruled in that regard that </w:t>
      </w:r>
      <w:r w:rsidR="00A0576F" w:rsidRPr="00D00979">
        <w:rPr>
          <w:sz w:val="22"/>
          <w:szCs w:val="22"/>
        </w:rPr>
        <w:t>“</w:t>
      </w:r>
      <w:r w:rsidR="0073110D" w:rsidRPr="00D00979">
        <w:rPr>
          <w:sz w:val="22"/>
          <w:szCs w:val="22"/>
        </w:rPr>
        <w:t xml:space="preserve">such children must be eligible for study assistance from the </w:t>
      </w:r>
      <w:r w:rsidR="006937CE" w:rsidRPr="00D00979">
        <w:rPr>
          <w:sz w:val="22"/>
          <w:szCs w:val="22"/>
        </w:rPr>
        <w:t>s</w:t>
      </w:r>
      <w:r w:rsidR="0073110D" w:rsidRPr="00D00979">
        <w:rPr>
          <w:sz w:val="22"/>
          <w:szCs w:val="22"/>
        </w:rPr>
        <w:t>tate in order to make it possible for them to achieve integration in the society of the host country</w:t>
      </w:r>
      <w:r w:rsidR="00A0576F" w:rsidRPr="00D00979">
        <w:rPr>
          <w:sz w:val="22"/>
          <w:szCs w:val="22"/>
        </w:rPr>
        <w:t>”</w:t>
      </w:r>
      <w:r w:rsidR="0073110D" w:rsidRPr="00D00979">
        <w:rPr>
          <w:sz w:val="22"/>
          <w:szCs w:val="22"/>
        </w:rPr>
        <w:t>.</w:t>
      </w:r>
      <w:r w:rsidR="0073110D" w:rsidRPr="00D00979">
        <w:rPr>
          <w:rStyle w:val="Aucun"/>
          <w:rFonts w:eastAsia="Times New Roman"/>
          <w:sz w:val="22"/>
          <w:szCs w:val="22"/>
          <w:vertAlign w:val="superscript"/>
        </w:rPr>
        <w:footnoteReference w:id="60"/>
      </w:r>
      <w:r w:rsidR="0073110D" w:rsidRPr="00D00979">
        <w:rPr>
          <w:sz w:val="22"/>
          <w:szCs w:val="22"/>
        </w:rPr>
        <w:t xml:space="preserve"> Whether they may, in contrast, rely on equal treatment guarantees to receive financial aid intended to cover the costs of living is an entirely different matter.</w:t>
      </w:r>
    </w:p>
    <w:p w14:paraId="5B3CD2C5" w14:textId="77777777" w:rsidR="00D7623A" w:rsidRPr="00D00979" w:rsidRDefault="00D7623A" w:rsidP="00D7623A">
      <w:pPr>
        <w:pStyle w:val="Commentaire"/>
        <w:jc w:val="both"/>
        <w:rPr>
          <w:sz w:val="22"/>
          <w:szCs w:val="22"/>
        </w:rPr>
      </w:pPr>
    </w:p>
    <w:p w14:paraId="59086899" w14:textId="059767DA" w:rsidR="007144D3" w:rsidRPr="00D00979" w:rsidRDefault="002E18E1" w:rsidP="00D7623A">
      <w:pPr>
        <w:pStyle w:val="Commentaire"/>
        <w:jc w:val="both"/>
        <w:rPr>
          <w:sz w:val="22"/>
          <w:szCs w:val="22"/>
        </w:rPr>
      </w:pPr>
      <w:r w:rsidRPr="00D00979">
        <w:rPr>
          <w:rFonts w:eastAsia="Times New Roman"/>
          <w:sz w:val="22"/>
          <w:szCs w:val="22"/>
        </w:rPr>
        <w:t xml:space="preserve">As Advocate General Wathelet so eloquently pointed out in </w:t>
      </w:r>
      <w:r w:rsidRPr="00D00979">
        <w:rPr>
          <w:rFonts w:eastAsia="Times New Roman"/>
          <w:i/>
          <w:iCs/>
          <w:sz w:val="22"/>
          <w:szCs w:val="22"/>
        </w:rPr>
        <w:t>Alimanovic</w:t>
      </w:r>
      <w:r w:rsidRPr="00D00979">
        <w:rPr>
          <w:rFonts w:eastAsia="Times New Roman"/>
          <w:sz w:val="22"/>
          <w:szCs w:val="22"/>
        </w:rPr>
        <w:t>, the Court had already concluded that Directive 2004/38 did not make the right of residence enjoyed by the children of a (former) migrant worker and their primary carer conditional upon the fulfilment of the conditions derived from that Directive.</w:t>
      </w:r>
      <w:r w:rsidRPr="00D00979">
        <w:rPr>
          <w:rStyle w:val="Aucun"/>
          <w:rFonts w:eastAsia="Times New Roman"/>
          <w:sz w:val="22"/>
          <w:szCs w:val="22"/>
          <w:vertAlign w:val="superscript"/>
        </w:rPr>
        <w:footnoteReference w:id="61"/>
      </w:r>
      <w:r w:rsidRPr="00D00979">
        <w:rPr>
          <w:sz w:val="22"/>
          <w:szCs w:val="22"/>
        </w:rPr>
        <w:t xml:space="preserve"> In other words, </w:t>
      </w:r>
      <w:r w:rsidR="00DA6A6E" w:rsidRPr="00D00979">
        <w:rPr>
          <w:sz w:val="22"/>
          <w:szCs w:val="22"/>
        </w:rPr>
        <w:t>this right</w:t>
      </w:r>
      <w:r w:rsidRPr="00D00979">
        <w:rPr>
          <w:sz w:val="22"/>
          <w:szCs w:val="22"/>
        </w:rPr>
        <w:t xml:space="preserve"> </w:t>
      </w:r>
      <w:r w:rsidR="00DA6A6E" w:rsidRPr="00D00979">
        <w:rPr>
          <w:sz w:val="22"/>
          <w:szCs w:val="22"/>
        </w:rPr>
        <w:t>was</w:t>
      </w:r>
      <w:r w:rsidRPr="00D00979">
        <w:rPr>
          <w:sz w:val="22"/>
          <w:szCs w:val="22"/>
        </w:rPr>
        <w:t xml:space="preserve"> considered </w:t>
      </w:r>
      <w:r w:rsidR="00DA6A6E" w:rsidRPr="00D00979">
        <w:rPr>
          <w:sz w:val="22"/>
          <w:szCs w:val="22"/>
        </w:rPr>
        <w:t xml:space="preserve">by the Court </w:t>
      </w:r>
      <w:r w:rsidRPr="00D00979">
        <w:rPr>
          <w:sz w:val="22"/>
          <w:szCs w:val="22"/>
        </w:rPr>
        <w:t xml:space="preserve">as independent of the conditions governing the right of residence of Union citizens under the Citizenship Directive. This meant, in particular, that </w:t>
      </w:r>
      <w:r w:rsidR="00DA6A6E" w:rsidRPr="00D00979">
        <w:rPr>
          <w:sz w:val="22"/>
          <w:szCs w:val="22"/>
        </w:rPr>
        <w:t>it was</w:t>
      </w:r>
      <w:r w:rsidRPr="00D00979">
        <w:rPr>
          <w:sz w:val="22"/>
          <w:szCs w:val="22"/>
        </w:rPr>
        <w:t xml:space="preserve"> not subject to the requirements relating to their financial self-sufficiency and comprehensive </w:t>
      </w:r>
      <w:r w:rsidR="00EE1BEA" w:rsidRPr="00D00979">
        <w:rPr>
          <w:sz w:val="22"/>
          <w:szCs w:val="22"/>
        </w:rPr>
        <w:t>health insurance</w:t>
      </w:r>
      <w:r w:rsidRPr="00D00979">
        <w:rPr>
          <w:sz w:val="22"/>
          <w:szCs w:val="22"/>
        </w:rPr>
        <w:t xml:space="preserve"> coverage or, </w:t>
      </w:r>
      <w:r w:rsidRPr="00D00979">
        <w:rPr>
          <w:sz w:val="22"/>
          <w:szCs w:val="22"/>
        </w:rPr>
        <w:lastRenderedPageBreak/>
        <w:t>more generally, to the conditions featured in that Directive.</w:t>
      </w:r>
      <w:r w:rsidRPr="00D00979">
        <w:rPr>
          <w:rStyle w:val="Aucun"/>
          <w:rFonts w:eastAsia="Times New Roman"/>
          <w:sz w:val="22"/>
          <w:szCs w:val="22"/>
          <w:vertAlign w:val="superscript"/>
        </w:rPr>
        <w:footnoteReference w:id="62"/>
      </w:r>
      <w:r w:rsidR="00DA6A6E" w:rsidRPr="00D00979">
        <w:rPr>
          <w:sz w:val="22"/>
          <w:szCs w:val="22"/>
        </w:rPr>
        <w:t xml:space="preserve"> </w:t>
      </w:r>
      <w:r w:rsidR="00FC30B8" w:rsidRPr="00D00979">
        <w:rPr>
          <w:sz w:val="22"/>
          <w:szCs w:val="22"/>
        </w:rPr>
        <w:t>T</w:t>
      </w:r>
      <w:r w:rsidR="00DA6A6E" w:rsidRPr="00D00979">
        <w:rPr>
          <w:sz w:val="22"/>
          <w:szCs w:val="22"/>
        </w:rPr>
        <w:t xml:space="preserve">he Advocate General </w:t>
      </w:r>
      <w:r w:rsidR="00FC30B8" w:rsidRPr="00D00979">
        <w:rPr>
          <w:sz w:val="22"/>
          <w:szCs w:val="22"/>
        </w:rPr>
        <w:t xml:space="preserve">subsequently </w:t>
      </w:r>
      <w:r w:rsidR="00DA6A6E" w:rsidRPr="00D00979">
        <w:rPr>
          <w:sz w:val="22"/>
          <w:szCs w:val="22"/>
        </w:rPr>
        <w:t>inferred</w:t>
      </w:r>
      <w:r w:rsidR="00FC30B8" w:rsidRPr="00D00979">
        <w:rPr>
          <w:sz w:val="22"/>
          <w:szCs w:val="22"/>
        </w:rPr>
        <w:t xml:space="preserve"> from the foregoing</w:t>
      </w:r>
      <w:r w:rsidR="00DA6A6E" w:rsidRPr="00D00979">
        <w:rPr>
          <w:sz w:val="22"/>
          <w:szCs w:val="22"/>
        </w:rPr>
        <w:t xml:space="preserve"> that a former migrant worker and his or her children deriving a right to reside from Article 10 of the Regulation could not be excluded from obtaining social advantages pursuant to Article 7(2)(b) of SGB II as their residence right did not arise solely out of the search for employment</w:t>
      </w:r>
      <w:r w:rsidR="00DA6A6E" w:rsidRPr="00D00979">
        <w:rPr>
          <w:rStyle w:val="Appelnotedebasdep"/>
          <w:sz w:val="22"/>
          <w:szCs w:val="22"/>
        </w:rPr>
        <w:footnoteReference w:id="63"/>
      </w:r>
      <w:r w:rsidR="00DA6A6E" w:rsidRPr="00D00979">
        <w:rPr>
          <w:sz w:val="22"/>
          <w:szCs w:val="22"/>
        </w:rPr>
        <w:t xml:space="preserve">. </w:t>
      </w:r>
      <w:r w:rsidR="00893C05" w:rsidRPr="00D00979">
        <w:rPr>
          <w:sz w:val="22"/>
          <w:szCs w:val="22"/>
        </w:rPr>
        <w:t xml:space="preserve">While this argument was not taken up by the Court in its judgment - probably because the referring court had not raised that issue in its request for a preliminary ruling, as the </w:t>
      </w:r>
      <w:r w:rsidR="00FC30B8" w:rsidRPr="00D00979">
        <w:rPr>
          <w:sz w:val="22"/>
          <w:szCs w:val="22"/>
        </w:rPr>
        <w:t>A</w:t>
      </w:r>
      <w:r w:rsidR="00893C05" w:rsidRPr="00D00979">
        <w:rPr>
          <w:sz w:val="22"/>
          <w:szCs w:val="22"/>
        </w:rPr>
        <w:t xml:space="preserve">dvocate </w:t>
      </w:r>
      <w:r w:rsidR="00FC30B8" w:rsidRPr="00D00979">
        <w:rPr>
          <w:sz w:val="22"/>
          <w:szCs w:val="22"/>
        </w:rPr>
        <w:t>G</w:t>
      </w:r>
      <w:r w:rsidR="00893C05" w:rsidRPr="00D00979">
        <w:rPr>
          <w:sz w:val="22"/>
          <w:szCs w:val="22"/>
        </w:rPr>
        <w:t xml:space="preserve">eneral alluded to -, it </w:t>
      </w:r>
      <w:r w:rsidR="00007657">
        <w:rPr>
          <w:sz w:val="22"/>
          <w:szCs w:val="22"/>
        </w:rPr>
        <w:t xml:space="preserve">has presumably generated significant legal developments in Germany as the German Federal Social Court </w:t>
      </w:r>
      <w:r w:rsidR="00936325">
        <w:rPr>
          <w:sz w:val="22"/>
          <w:szCs w:val="22"/>
        </w:rPr>
        <w:t>later</w:t>
      </w:r>
      <w:r w:rsidR="00007657">
        <w:rPr>
          <w:sz w:val="22"/>
          <w:szCs w:val="22"/>
        </w:rPr>
        <w:t xml:space="preserve"> decided to follow the Advocate General</w:t>
      </w:r>
      <w:r w:rsidR="00936325">
        <w:rPr>
          <w:sz w:val="22"/>
          <w:szCs w:val="22"/>
        </w:rPr>
        <w:t>’s</w:t>
      </w:r>
      <w:r w:rsidR="00007657">
        <w:rPr>
          <w:sz w:val="22"/>
          <w:szCs w:val="22"/>
        </w:rPr>
        <w:t xml:space="preserve"> </w:t>
      </w:r>
      <w:r w:rsidR="00936325">
        <w:rPr>
          <w:sz w:val="22"/>
          <w:szCs w:val="22"/>
        </w:rPr>
        <w:t>reasoning</w:t>
      </w:r>
      <w:r w:rsidR="00007657">
        <w:rPr>
          <w:sz w:val="22"/>
          <w:szCs w:val="22"/>
        </w:rPr>
        <w:t xml:space="preserve"> in</w:t>
      </w:r>
      <w:r w:rsidR="00A219DD">
        <w:rPr>
          <w:sz w:val="22"/>
          <w:szCs w:val="22"/>
        </w:rPr>
        <w:t xml:space="preserve"> three</w:t>
      </w:r>
      <w:r w:rsidR="00007657">
        <w:rPr>
          <w:sz w:val="22"/>
          <w:szCs w:val="22"/>
        </w:rPr>
        <w:t xml:space="preserve"> similar </w:t>
      </w:r>
      <w:r w:rsidR="00A219DD">
        <w:rPr>
          <w:sz w:val="22"/>
          <w:szCs w:val="22"/>
        </w:rPr>
        <w:t>cases</w:t>
      </w:r>
      <w:r w:rsidR="00007657">
        <w:rPr>
          <w:sz w:val="22"/>
          <w:szCs w:val="22"/>
        </w:rPr>
        <w:t>.</w:t>
      </w:r>
      <w:r w:rsidR="00A219DD">
        <w:rPr>
          <w:rStyle w:val="Appelnotedebasdep"/>
          <w:sz w:val="22"/>
          <w:szCs w:val="22"/>
        </w:rPr>
        <w:footnoteReference w:id="64"/>
      </w:r>
      <w:r w:rsidR="00007657">
        <w:rPr>
          <w:sz w:val="22"/>
          <w:szCs w:val="22"/>
        </w:rPr>
        <w:t xml:space="preserve"> It seems</w:t>
      </w:r>
      <w:r w:rsidR="00893C05" w:rsidRPr="00D00979">
        <w:rPr>
          <w:sz w:val="22"/>
          <w:szCs w:val="22"/>
        </w:rPr>
        <w:t xml:space="preserve"> as though the German authorities </w:t>
      </w:r>
      <w:r w:rsidR="00936325">
        <w:rPr>
          <w:sz w:val="22"/>
          <w:szCs w:val="22"/>
        </w:rPr>
        <w:t xml:space="preserve">subsequently </w:t>
      </w:r>
      <w:r w:rsidR="00893C05" w:rsidRPr="00D00979">
        <w:rPr>
          <w:sz w:val="22"/>
          <w:szCs w:val="22"/>
        </w:rPr>
        <w:t xml:space="preserve">decided to take the bulls by the horns by introducing an automatic exclusion from entitlement to social benefits addressed to that category of Union citizens. It is that exclusion which lies at the heart of the Court’s judgment in </w:t>
      </w:r>
      <w:r w:rsidR="00893C05" w:rsidRPr="00D00979">
        <w:rPr>
          <w:i/>
          <w:iCs/>
          <w:sz w:val="22"/>
          <w:szCs w:val="22"/>
        </w:rPr>
        <w:t>Jobcenter Krefeld</w:t>
      </w:r>
      <w:r w:rsidR="00893C05" w:rsidRPr="00D00979">
        <w:rPr>
          <w:sz w:val="22"/>
          <w:szCs w:val="22"/>
        </w:rPr>
        <w:t>.</w:t>
      </w:r>
    </w:p>
    <w:p w14:paraId="7DB5F1CF" w14:textId="77777777" w:rsidR="00D7623A" w:rsidRPr="00D00979" w:rsidRDefault="00D7623A" w:rsidP="00D7623A">
      <w:pPr>
        <w:pStyle w:val="Commentaire"/>
        <w:jc w:val="both"/>
        <w:rPr>
          <w:sz w:val="22"/>
          <w:szCs w:val="22"/>
        </w:rPr>
      </w:pPr>
    </w:p>
    <w:p w14:paraId="309D74C7" w14:textId="5B5CBC15" w:rsidR="001D30BE" w:rsidRDefault="00893C05" w:rsidP="00C7357C">
      <w:pPr>
        <w:pStyle w:val="Commentaire"/>
        <w:jc w:val="both"/>
        <w:rPr>
          <w:sz w:val="22"/>
          <w:szCs w:val="22"/>
        </w:rPr>
      </w:pPr>
      <w:r w:rsidRPr="00D00979">
        <w:rPr>
          <w:sz w:val="22"/>
          <w:szCs w:val="22"/>
        </w:rPr>
        <w:t xml:space="preserve">In that case, the claimant, JD, was a Polish national who moved to Germany with his wife and their two school-age daughters in early 2013. Following their arrival in Germany, the couple split up and the claimant’s wife ultimately returned to Poland in 2016. In the meantime, their two daughters were </w:t>
      </w:r>
      <w:r w:rsidR="008B1B44" w:rsidRPr="00D00979">
        <w:rPr>
          <w:sz w:val="22"/>
          <w:szCs w:val="22"/>
        </w:rPr>
        <w:t>principally</w:t>
      </w:r>
      <w:r w:rsidRPr="00D00979">
        <w:rPr>
          <w:sz w:val="22"/>
          <w:szCs w:val="22"/>
        </w:rPr>
        <w:t xml:space="preserve"> residing with their father, who took up employment in Germany in early 2015. The claimant was subsequently employed for temporary jobs lasting less than one year, whilst his daughters started attending school in Germany in August 2015. While he was still employed, JD was declared unfit for work. He continued to receive remuneration from his employer until the end of his employment tenure and then obtained social security sickness benefits until 7 December 2016. He and his two daughters subsequently continued to receive subsistence benefits in accordance with Book II of the German Code of Social Law (SGB II) for six months. After that period elapsed, the claimant applied, on behalf of him and his daughters, for the continued payment of these benefits.</w:t>
      </w:r>
      <w:r w:rsidR="0073110D" w:rsidRPr="00D00979">
        <w:rPr>
          <w:rFonts w:eastAsia="Times New Roman"/>
          <w:sz w:val="22"/>
          <w:szCs w:val="22"/>
        </w:rPr>
        <w:t xml:space="preserve"> </w:t>
      </w:r>
      <w:r w:rsidRPr="00D00979">
        <w:rPr>
          <w:rFonts w:eastAsia="Times New Roman"/>
          <w:sz w:val="22"/>
          <w:szCs w:val="22"/>
        </w:rPr>
        <w:t>That request was nevertheless rejected by Jobcenter Krefeld on the basis of Paragraph 7(2)(b) of the SGB II</w:t>
      </w:r>
      <w:r w:rsidRPr="00D00979">
        <w:rPr>
          <w:sz w:val="22"/>
          <w:szCs w:val="22"/>
        </w:rPr>
        <w:t>. That interpretation was subsequently challenged by the claimant in front of the Social Court of Düsseldorf. In contrast to Jobcenter Krefeld, the Social Court considered that JD and his two daughters could not be denied access to the subsistence benefits at issue insofar as they enjoyed a right to reside under Article 10 of Regulation 492/2011</w:t>
      </w:r>
      <w:r w:rsidR="0073110D" w:rsidRPr="00D00979">
        <w:rPr>
          <w:sz w:val="22"/>
          <w:szCs w:val="22"/>
        </w:rPr>
        <w:t xml:space="preserve">. </w:t>
      </w:r>
      <w:r w:rsidRPr="00D00979">
        <w:rPr>
          <w:sz w:val="22"/>
          <w:szCs w:val="22"/>
        </w:rPr>
        <w:t>The Social Court of Düsseldorf stressed that the rights derived from that provision are independent and autonomous of the provisions featured in Directive 2004/38. More specifically, it held that the derogation from the principle of equal treatment in relation to social assistance benefits enshrined in Article 24(2) therein does not apply in relation to Union citizens who enjoy a right to reside under Article 10 of the Regulation.</w:t>
      </w:r>
      <w:r w:rsidR="00FF7154" w:rsidRPr="00D00979">
        <w:rPr>
          <w:sz w:val="22"/>
          <w:szCs w:val="22"/>
        </w:rPr>
        <w:t xml:space="preserve"> The question therefore remained open as to the extent to which they could rely on the principle of equal treatment in order to be granted social assistance benefits in the host state.</w:t>
      </w:r>
      <w:r w:rsidRPr="00D00979">
        <w:rPr>
          <w:sz w:val="22"/>
          <w:szCs w:val="22"/>
        </w:rPr>
        <w:t xml:space="preserve"> In the appeal proceedings initiated by Jobcenter Krefeld, the referring court therefore asked the Court of </w:t>
      </w:r>
      <w:r w:rsidR="001E7747" w:rsidRPr="00D00979">
        <w:rPr>
          <w:sz w:val="22"/>
          <w:szCs w:val="22"/>
        </w:rPr>
        <w:t>J</w:t>
      </w:r>
      <w:r w:rsidRPr="00D00979">
        <w:rPr>
          <w:sz w:val="22"/>
          <w:szCs w:val="22"/>
        </w:rPr>
        <w:t xml:space="preserve">ustice to ascertain, in essence, whether the residence and welfare rights conferred upon the claimants and his children </w:t>
      </w:r>
      <w:r w:rsidR="0060660F" w:rsidRPr="00D00979">
        <w:rPr>
          <w:sz w:val="22"/>
          <w:szCs w:val="22"/>
        </w:rPr>
        <w:t xml:space="preserve">by Regulation 492/2011 </w:t>
      </w:r>
      <w:r w:rsidR="00FC30B8" w:rsidRPr="00D00979">
        <w:rPr>
          <w:sz w:val="22"/>
          <w:szCs w:val="22"/>
        </w:rPr>
        <w:t>may be</w:t>
      </w:r>
      <w:r w:rsidRPr="00D00979">
        <w:rPr>
          <w:sz w:val="22"/>
          <w:szCs w:val="22"/>
        </w:rPr>
        <w:t xml:space="preserve"> subject to the provisions of the Citizenship Directive. </w:t>
      </w:r>
      <w:r w:rsidRPr="00D00979">
        <w:rPr>
          <w:rFonts w:eastAsia="Times New Roman"/>
          <w:sz w:val="22"/>
          <w:szCs w:val="22"/>
        </w:rPr>
        <w:t xml:space="preserve">Seized of that matter in </w:t>
      </w:r>
      <w:r w:rsidRPr="00D00979">
        <w:rPr>
          <w:rFonts w:eastAsia="Times New Roman"/>
          <w:i/>
          <w:iCs/>
          <w:sz w:val="22"/>
          <w:szCs w:val="22"/>
        </w:rPr>
        <w:t>Jobcenter Krefeld</w:t>
      </w:r>
      <w:r w:rsidRPr="00D00979">
        <w:rPr>
          <w:rFonts w:eastAsia="Times New Roman"/>
          <w:sz w:val="22"/>
          <w:szCs w:val="22"/>
        </w:rPr>
        <w:t xml:space="preserve">, the </w:t>
      </w:r>
      <w:r w:rsidR="00CA44BF" w:rsidRPr="00D00979">
        <w:rPr>
          <w:rFonts w:eastAsia="Times New Roman"/>
          <w:sz w:val="22"/>
          <w:szCs w:val="22"/>
        </w:rPr>
        <w:t xml:space="preserve">Grand Chamber of the </w:t>
      </w:r>
      <w:r w:rsidRPr="00D00979">
        <w:rPr>
          <w:rFonts w:eastAsia="Times New Roman"/>
          <w:sz w:val="22"/>
          <w:szCs w:val="22"/>
        </w:rPr>
        <w:t>Court</w:t>
      </w:r>
      <w:r w:rsidRPr="00D00979">
        <w:rPr>
          <w:sz w:val="22"/>
          <w:szCs w:val="22"/>
        </w:rPr>
        <w:t xml:space="preserve"> </w:t>
      </w:r>
      <w:r w:rsidR="00CA44BF" w:rsidRPr="00D00979">
        <w:rPr>
          <w:sz w:val="22"/>
          <w:szCs w:val="22"/>
        </w:rPr>
        <w:t xml:space="preserve">opined that a migrant Union job-seeker and his minor children, all of whom enjoy a right of residence in the host state under Article 10 of Regulation 492/2011, could not </w:t>
      </w:r>
      <w:r w:rsidR="00CA44BF" w:rsidRPr="00D00979">
        <w:rPr>
          <w:rStyle w:val="Aucun"/>
          <w:i/>
          <w:iCs/>
          <w:sz w:val="22"/>
          <w:szCs w:val="22"/>
        </w:rPr>
        <w:t>automatically and in all circumstances</w:t>
      </w:r>
      <w:r w:rsidR="00CA44BF" w:rsidRPr="00D00979">
        <w:rPr>
          <w:sz w:val="22"/>
          <w:szCs w:val="22"/>
        </w:rPr>
        <w:t xml:space="preserve"> be denied access to subsistence benefits in that state.</w:t>
      </w:r>
      <w:r w:rsidR="00CA44BF" w:rsidRPr="00D00979">
        <w:rPr>
          <w:rStyle w:val="Aucun"/>
          <w:rFonts w:eastAsia="Times New Roman"/>
          <w:sz w:val="22"/>
          <w:szCs w:val="22"/>
          <w:vertAlign w:val="superscript"/>
        </w:rPr>
        <w:footnoteReference w:id="65"/>
      </w:r>
      <w:r w:rsidR="006D44B1" w:rsidRPr="00D00979">
        <w:rPr>
          <w:sz w:val="22"/>
          <w:szCs w:val="22"/>
        </w:rPr>
        <w:t xml:space="preserve"> </w:t>
      </w:r>
    </w:p>
    <w:p w14:paraId="5A621696" w14:textId="77777777" w:rsidR="001D30BE" w:rsidRPr="00C7357C" w:rsidRDefault="001D30BE" w:rsidP="00C7357C">
      <w:pPr>
        <w:pStyle w:val="Commentaire"/>
        <w:jc w:val="both"/>
        <w:rPr>
          <w:sz w:val="22"/>
          <w:szCs w:val="22"/>
        </w:rPr>
      </w:pPr>
    </w:p>
    <w:p w14:paraId="158D7986" w14:textId="3FDBA4F1" w:rsidR="008D14B7" w:rsidRPr="00D00979" w:rsidRDefault="008D14B7" w:rsidP="00D7623A">
      <w:pPr>
        <w:pStyle w:val="Titrerouge"/>
        <w:jc w:val="both"/>
        <w:rPr>
          <w:rFonts w:ascii="Times New Roman" w:hAnsi="Times New Roman" w:cs="Times New Roman"/>
          <w:b w:val="0"/>
          <w:bCs w:val="0"/>
          <w:i/>
          <w:iCs/>
          <w:color w:val="000000"/>
          <w:sz w:val="22"/>
          <w:szCs w:val="22"/>
          <w:lang w:val="en-US"/>
        </w:rPr>
      </w:pPr>
      <w:bookmarkStart w:id="5" w:name="_Toc76652181"/>
      <w:r w:rsidRPr="00D00979">
        <w:rPr>
          <w:rFonts w:ascii="Times New Roman" w:hAnsi="Times New Roman" w:cs="Times New Roman"/>
          <w:b w:val="0"/>
          <w:bCs w:val="0"/>
          <w:i/>
          <w:iCs/>
          <w:smallCaps/>
          <w:color w:val="000000"/>
          <w:sz w:val="22"/>
          <w:szCs w:val="22"/>
          <w:lang w:val="en-US"/>
        </w:rPr>
        <w:lastRenderedPageBreak/>
        <w:t>T</w:t>
      </w:r>
      <w:r w:rsidRPr="00D00979">
        <w:rPr>
          <w:rFonts w:ascii="Times New Roman" w:hAnsi="Times New Roman" w:cs="Times New Roman"/>
          <w:b w:val="0"/>
          <w:bCs w:val="0"/>
          <w:i/>
          <w:iCs/>
          <w:color w:val="000000"/>
          <w:sz w:val="22"/>
          <w:szCs w:val="22"/>
          <w:lang w:val="en-US"/>
        </w:rPr>
        <w:t xml:space="preserve">he Court’s broad interpretation of the concept of </w:t>
      </w:r>
      <w:r w:rsidR="00A3091F" w:rsidRPr="00D00979">
        <w:rPr>
          <w:rFonts w:ascii="Times New Roman" w:hAnsi="Times New Roman" w:cs="Times New Roman"/>
          <w:b w:val="0"/>
          <w:bCs w:val="0"/>
          <w:i/>
          <w:iCs/>
          <w:color w:val="000000"/>
          <w:sz w:val="22"/>
          <w:szCs w:val="22"/>
          <w:lang w:val="en-US"/>
        </w:rPr>
        <w:t>“</w:t>
      </w:r>
      <w:r w:rsidRPr="00D00979">
        <w:rPr>
          <w:rFonts w:ascii="Times New Roman" w:hAnsi="Times New Roman" w:cs="Times New Roman"/>
          <w:b w:val="0"/>
          <w:bCs w:val="0"/>
          <w:i/>
          <w:iCs/>
          <w:color w:val="000000"/>
          <w:sz w:val="22"/>
          <w:szCs w:val="22"/>
          <w:lang w:val="en-US"/>
        </w:rPr>
        <w:t>worker</w:t>
      </w:r>
      <w:r w:rsidR="00A3091F" w:rsidRPr="00D00979">
        <w:rPr>
          <w:rFonts w:ascii="Times New Roman" w:hAnsi="Times New Roman" w:cs="Times New Roman"/>
          <w:b w:val="0"/>
          <w:bCs w:val="0"/>
          <w:i/>
          <w:iCs/>
          <w:color w:val="000000"/>
          <w:sz w:val="22"/>
          <w:szCs w:val="22"/>
          <w:lang w:val="en-US"/>
        </w:rPr>
        <w:t>”</w:t>
      </w:r>
      <w:r w:rsidRPr="00D00979">
        <w:rPr>
          <w:rFonts w:ascii="Times New Roman" w:hAnsi="Times New Roman" w:cs="Times New Roman"/>
          <w:b w:val="0"/>
          <w:bCs w:val="0"/>
          <w:i/>
          <w:iCs/>
          <w:color w:val="000000"/>
          <w:sz w:val="22"/>
          <w:szCs w:val="22"/>
          <w:lang w:val="en-US"/>
        </w:rPr>
        <w:t xml:space="preserve"> </w:t>
      </w:r>
      <w:r w:rsidR="008C4FB1" w:rsidRPr="00D00979">
        <w:rPr>
          <w:rFonts w:ascii="Times New Roman" w:hAnsi="Times New Roman" w:cs="Times New Roman"/>
          <w:b w:val="0"/>
          <w:bCs w:val="0"/>
          <w:i/>
          <w:iCs/>
          <w:color w:val="000000"/>
          <w:sz w:val="22"/>
          <w:szCs w:val="22"/>
          <w:lang w:val="en-US"/>
        </w:rPr>
        <w:t>for the purposes</w:t>
      </w:r>
      <w:r w:rsidRPr="00D00979">
        <w:rPr>
          <w:rFonts w:ascii="Times New Roman" w:hAnsi="Times New Roman" w:cs="Times New Roman"/>
          <w:b w:val="0"/>
          <w:bCs w:val="0"/>
          <w:i/>
          <w:iCs/>
          <w:color w:val="000000"/>
          <w:sz w:val="22"/>
          <w:szCs w:val="22"/>
          <w:lang w:val="en-US"/>
        </w:rPr>
        <w:t xml:space="preserve"> of Article 7(2) of the Workers’ Regulation</w:t>
      </w:r>
      <w:bookmarkEnd w:id="5"/>
    </w:p>
    <w:p w14:paraId="21AE072B" w14:textId="77777777" w:rsidR="008D14B7" w:rsidRPr="00D00979" w:rsidRDefault="008D14B7" w:rsidP="00D7623A">
      <w:pPr>
        <w:pStyle w:val="Corps"/>
        <w:ind w:firstLine="284"/>
        <w:jc w:val="both"/>
        <w:rPr>
          <w:rFonts w:ascii="Times New Roman" w:hAnsi="Times New Roman" w:cs="Times New Roman"/>
          <w:lang w:val="en-US"/>
        </w:rPr>
      </w:pPr>
    </w:p>
    <w:p w14:paraId="5D282A6E" w14:textId="2EE9B040" w:rsidR="007144D3" w:rsidRPr="00D00979" w:rsidRDefault="006D44B1" w:rsidP="00D7623A">
      <w:pPr>
        <w:pStyle w:val="Corps"/>
        <w:jc w:val="both"/>
        <w:rPr>
          <w:rFonts w:ascii="Times New Roman" w:hAnsi="Times New Roman" w:cs="Times New Roman"/>
          <w:lang w:val="en-US"/>
        </w:rPr>
      </w:pPr>
      <w:r w:rsidRPr="00D00979">
        <w:rPr>
          <w:rFonts w:ascii="Times New Roman" w:hAnsi="Times New Roman" w:cs="Times New Roman"/>
          <w:lang w:val="en-US"/>
        </w:rPr>
        <w:t xml:space="preserve">The Court’s analysis revolved around a broad understanding of the concept of </w:t>
      </w:r>
      <w:r w:rsidR="00A3091F" w:rsidRPr="00D00979">
        <w:rPr>
          <w:rFonts w:ascii="Times New Roman" w:hAnsi="Times New Roman" w:cs="Times New Roman"/>
          <w:lang w:val="en-US"/>
        </w:rPr>
        <w:t>“</w:t>
      </w:r>
      <w:r w:rsidRPr="00D00979">
        <w:rPr>
          <w:rFonts w:ascii="Times New Roman" w:hAnsi="Times New Roman" w:cs="Times New Roman"/>
          <w:lang w:val="en-US"/>
        </w:rPr>
        <w:t>worker</w:t>
      </w:r>
      <w:r w:rsidR="00A3091F" w:rsidRPr="00D00979">
        <w:rPr>
          <w:rFonts w:ascii="Times New Roman" w:hAnsi="Times New Roman" w:cs="Times New Roman"/>
          <w:lang w:val="en-US"/>
        </w:rPr>
        <w:t>”</w:t>
      </w:r>
      <w:r w:rsidRPr="00D00979">
        <w:rPr>
          <w:rFonts w:ascii="Times New Roman" w:hAnsi="Times New Roman" w:cs="Times New Roman"/>
          <w:lang w:val="en-US"/>
        </w:rPr>
        <w:t xml:space="preserve"> within the meaning of Article 7(2) of the Regulation. Because JD and his children enjoyed a right to reside on the basis of Article 10 of the Regulation, the former was able to retain his status as a worker in relation to the principle of equal treatment featured in that provision</w:t>
      </w:r>
      <w:r w:rsidR="00893C05" w:rsidRPr="00D00979">
        <w:rPr>
          <w:rFonts w:ascii="Times New Roman" w:hAnsi="Times New Roman" w:cs="Times New Roman"/>
          <w:lang w:val="en-US"/>
        </w:rPr>
        <w:t xml:space="preserve">. </w:t>
      </w:r>
      <w:r w:rsidR="00386508" w:rsidRPr="00D00979">
        <w:rPr>
          <w:rFonts w:ascii="Times New Roman" w:eastAsia="Times New Roman" w:hAnsi="Times New Roman" w:cs="Times New Roman"/>
          <w:lang w:val="en-US"/>
        </w:rPr>
        <w:t>In doing so, t</w:t>
      </w:r>
      <w:r w:rsidRPr="00D00979">
        <w:rPr>
          <w:rFonts w:ascii="Times New Roman" w:eastAsia="Times New Roman" w:hAnsi="Times New Roman" w:cs="Times New Roman"/>
          <w:lang w:val="en-US"/>
        </w:rPr>
        <w:t xml:space="preserve">he Court agreed with Advocate General Pitruzzella that the claimant and his two daughters enjoyed a right to equal treatment as regards the </w:t>
      </w:r>
      <w:r w:rsidRPr="00D00979">
        <w:rPr>
          <w:rFonts w:ascii="Times New Roman" w:hAnsi="Times New Roman" w:cs="Times New Roman"/>
          <w:lang w:val="en-US"/>
        </w:rPr>
        <w:t xml:space="preserve">subsistence benefits at issue. Nevertheless, the approaches taken in reaching that conclusion differed greatly. Advocate General Pitruzzella established a distinction depending on whether </w:t>
      </w:r>
      <w:r w:rsidR="00A3091F" w:rsidRPr="00D00979">
        <w:rPr>
          <w:rFonts w:ascii="Times New Roman" w:hAnsi="Times New Roman" w:cs="Times New Roman"/>
          <w:lang w:val="en-US"/>
        </w:rPr>
        <w:t>“</w:t>
      </w:r>
      <w:r w:rsidRPr="00D00979">
        <w:rPr>
          <w:rFonts w:ascii="Times New Roman" w:hAnsi="Times New Roman" w:cs="Times New Roman"/>
          <w:lang w:val="en-US"/>
        </w:rPr>
        <w:t>the view is taken that JD has a right to equal treatment [under Article 7 of the Regulation] or whether the view is taken that it is his two daughters who have that right [under Article 10 of the Regulation]</w:t>
      </w:r>
      <w:r w:rsidR="00A3091F" w:rsidRPr="00D00979">
        <w:rPr>
          <w:rFonts w:ascii="Times New Roman" w:hAnsi="Times New Roman" w:cs="Times New Roman"/>
          <w:lang w:val="en-US"/>
        </w:rPr>
        <w:t>”</w:t>
      </w:r>
      <w:r w:rsidRPr="00D00979">
        <w:rPr>
          <w:rFonts w:ascii="Times New Roman" w:hAnsi="Times New Roman" w:cs="Times New Roman"/>
          <w:lang w:val="en-US"/>
        </w:rPr>
        <w:t>.</w:t>
      </w:r>
      <w:r w:rsidRPr="00D00979">
        <w:rPr>
          <w:rStyle w:val="Aucun"/>
          <w:rFonts w:ascii="Times New Roman" w:eastAsia="Times New Roman" w:hAnsi="Times New Roman" w:cs="Times New Roman"/>
          <w:vertAlign w:val="superscript"/>
        </w:rPr>
        <w:footnoteReference w:id="66"/>
      </w:r>
      <w:r w:rsidRPr="00D00979">
        <w:rPr>
          <w:rFonts w:ascii="Times New Roman" w:hAnsi="Times New Roman" w:cs="Times New Roman"/>
          <w:lang w:val="en-US"/>
        </w:rPr>
        <w:t xml:space="preserve"> By contrast, the Court refused to assess the claims to social assistance on the basis of each legal bases separately. According to the Court, it is precisely because JD and his children enjoy an autonomous right of residence on the basis of Article 10 of Regulation 492/2011 that </w:t>
      </w:r>
      <w:r w:rsidR="00F505E6">
        <w:rPr>
          <w:rFonts w:ascii="Times New Roman" w:hAnsi="Times New Roman" w:cs="Times New Roman"/>
          <w:lang w:val="en-US"/>
        </w:rPr>
        <w:t>they</w:t>
      </w:r>
      <w:r w:rsidRPr="00D00979">
        <w:rPr>
          <w:rFonts w:ascii="Times New Roman" w:hAnsi="Times New Roman" w:cs="Times New Roman"/>
          <w:lang w:val="en-US"/>
        </w:rPr>
        <w:t xml:space="preserve"> should be </w:t>
      </w:r>
      <w:r w:rsidR="00F505E6">
        <w:rPr>
          <w:rFonts w:ascii="Times New Roman" w:hAnsi="Times New Roman" w:cs="Times New Roman"/>
          <w:lang w:val="en-US"/>
        </w:rPr>
        <w:t>granted equal treatment guarantees</w:t>
      </w:r>
      <w:r w:rsidRPr="00D00979">
        <w:rPr>
          <w:rFonts w:ascii="Times New Roman" w:hAnsi="Times New Roman" w:cs="Times New Roman"/>
          <w:lang w:val="en-US"/>
        </w:rPr>
        <w:t xml:space="preserve"> </w:t>
      </w:r>
      <w:r w:rsidR="00F505E6">
        <w:rPr>
          <w:rFonts w:ascii="Times New Roman" w:hAnsi="Times New Roman" w:cs="Times New Roman"/>
          <w:lang w:val="en-US"/>
        </w:rPr>
        <w:t>by virtue</w:t>
      </w:r>
      <w:r w:rsidRPr="00D00979">
        <w:rPr>
          <w:rFonts w:ascii="Times New Roman" w:hAnsi="Times New Roman" w:cs="Times New Roman"/>
          <w:lang w:val="en-US"/>
        </w:rPr>
        <w:t xml:space="preserve"> of Article 7(2) of Regulation 492/2011.</w:t>
      </w:r>
      <w:r w:rsidR="00CE1F3F" w:rsidRPr="00D00979">
        <w:rPr>
          <w:rFonts w:ascii="Times New Roman" w:hAnsi="Times New Roman" w:cs="Times New Roman"/>
          <w:lang w:val="en-US"/>
        </w:rPr>
        <w:t xml:space="preserve"> </w:t>
      </w:r>
      <w:r w:rsidRPr="00D00979">
        <w:rPr>
          <w:rFonts w:ascii="Times New Roman" w:hAnsi="Times New Roman" w:cs="Times New Roman"/>
          <w:lang w:val="en-US"/>
        </w:rPr>
        <w:t>In support of that assessment, t</w:t>
      </w:r>
      <w:r w:rsidR="00893C05" w:rsidRPr="00D00979">
        <w:rPr>
          <w:rFonts w:ascii="Times New Roman" w:hAnsi="Times New Roman" w:cs="Times New Roman"/>
          <w:lang w:val="en-US"/>
        </w:rPr>
        <w:t xml:space="preserve">he Court stated that Article 7(1) of the Regulation offers equal treatment guarantees to workers who have </w:t>
      </w:r>
      <w:r w:rsidR="00A3091F" w:rsidRPr="00D00979">
        <w:rPr>
          <w:rFonts w:ascii="Times New Roman" w:hAnsi="Times New Roman" w:cs="Times New Roman"/>
          <w:lang w:val="en-US"/>
        </w:rPr>
        <w:t>“</w:t>
      </w:r>
      <w:r w:rsidR="00893C05" w:rsidRPr="00D00979">
        <w:rPr>
          <w:rFonts w:ascii="Times New Roman" w:hAnsi="Times New Roman" w:cs="Times New Roman"/>
          <w:lang w:val="en-US"/>
        </w:rPr>
        <w:t>become unemployed</w:t>
      </w:r>
      <w:r w:rsidR="00A3091F" w:rsidRPr="00D00979">
        <w:rPr>
          <w:rFonts w:ascii="Times New Roman" w:hAnsi="Times New Roman" w:cs="Times New Roman"/>
          <w:lang w:val="en-US"/>
        </w:rPr>
        <w:t>”</w:t>
      </w:r>
      <w:r w:rsidR="00893C05" w:rsidRPr="00D00979">
        <w:rPr>
          <w:rFonts w:ascii="Times New Roman" w:hAnsi="Times New Roman" w:cs="Times New Roman"/>
          <w:lang w:val="en-US"/>
        </w:rPr>
        <w:t xml:space="preserve">. Accordingly, the protection laid down in Article 7(2), which refers to the term </w:t>
      </w:r>
      <w:r w:rsidR="00A3091F" w:rsidRPr="00D00979">
        <w:rPr>
          <w:rFonts w:ascii="Times New Roman" w:hAnsi="Times New Roman" w:cs="Times New Roman"/>
          <w:lang w:val="en-US"/>
        </w:rPr>
        <w:t>“</w:t>
      </w:r>
      <w:r w:rsidR="00893C05" w:rsidRPr="00D00979">
        <w:rPr>
          <w:rFonts w:ascii="Times New Roman" w:hAnsi="Times New Roman" w:cs="Times New Roman"/>
          <w:lang w:val="en-US"/>
        </w:rPr>
        <w:t>worker</w:t>
      </w:r>
      <w:r w:rsidR="00A3091F" w:rsidRPr="00D00979">
        <w:rPr>
          <w:rFonts w:ascii="Times New Roman" w:hAnsi="Times New Roman" w:cs="Times New Roman"/>
          <w:lang w:val="en-US"/>
        </w:rPr>
        <w:t>”</w:t>
      </w:r>
      <w:r w:rsidR="00893C05" w:rsidRPr="00D00979">
        <w:rPr>
          <w:rFonts w:ascii="Times New Roman" w:hAnsi="Times New Roman" w:cs="Times New Roman"/>
          <w:lang w:val="en-US"/>
        </w:rPr>
        <w:t xml:space="preserve"> as expressed in the first paragraph of that provision, extends beyond </w:t>
      </w:r>
      <w:r w:rsidR="00A3091F" w:rsidRPr="00D00979">
        <w:rPr>
          <w:rFonts w:ascii="Times New Roman" w:hAnsi="Times New Roman" w:cs="Times New Roman"/>
          <w:lang w:val="en-US"/>
        </w:rPr>
        <w:t>“</w:t>
      </w:r>
      <w:r w:rsidR="00893C05" w:rsidRPr="00D00979">
        <w:rPr>
          <w:rFonts w:ascii="Times New Roman" w:hAnsi="Times New Roman" w:cs="Times New Roman"/>
          <w:lang w:val="en-US"/>
        </w:rPr>
        <w:t>just the period of employment</w:t>
      </w:r>
      <w:r w:rsidR="00A3091F" w:rsidRPr="00D00979">
        <w:rPr>
          <w:rFonts w:ascii="Times New Roman" w:hAnsi="Times New Roman" w:cs="Times New Roman"/>
          <w:lang w:val="en-US"/>
        </w:rPr>
        <w:t>”</w:t>
      </w:r>
      <w:r w:rsidR="00893C05" w:rsidRPr="00D00979">
        <w:rPr>
          <w:rFonts w:ascii="Times New Roman" w:hAnsi="Times New Roman" w:cs="Times New Roman"/>
          <w:lang w:val="en-US"/>
        </w:rPr>
        <w:t xml:space="preserve"> of workers’.</w:t>
      </w:r>
      <w:r w:rsidR="00893C05" w:rsidRPr="00D00979">
        <w:rPr>
          <w:rStyle w:val="Aucun"/>
          <w:rFonts w:ascii="Times New Roman" w:eastAsia="Times New Roman" w:hAnsi="Times New Roman" w:cs="Times New Roman"/>
          <w:vertAlign w:val="superscript"/>
        </w:rPr>
        <w:footnoteReference w:id="67"/>
      </w:r>
      <w:r w:rsidR="00893C05" w:rsidRPr="00D00979">
        <w:rPr>
          <w:rFonts w:ascii="Times New Roman" w:hAnsi="Times New Roman" w:cs="Times New Roman"/>
          <w:lang w:val="en-US"/>
        </w:rPr>
        <w:t xml:space="preserve"> At first glance, that interpretation would appear to stand on shaky premises. It results from a literal interpretation of Article 7(1) of the Regulation that it offers equal treatment to unemployed workers only in relation to reinstatement and re-employment.</w:t>
      </w:r>
      <w:r w:rsidR="00893C05" w:rsidRPr="00D00979">
        <w:rPr>
          <w:rStyle w:val="Appelnotedebasdep"/>
          <w:rFonts w:ascii="Times New Roman" w:hAnsi="Times New Roman" w:cs="Times New Roman"/>
          <w:lang w:val="en-US"/>
        </w:rPr>
        <w:footnoteReference w:id="68"/>
      </w:r>
      <w:r w:rsidR="00893C05" w:rsidRPr="00D00979">
        <w:rPr>
          <w:rFonts w:ascii="Times New Roman" w:hAnsi="Times New Roman" w:cs="Times New Roman"/>
          <w:lang w:val="en-US"/>
        </w:rPr>
        <w:t xml:space="preserve"> To interpret that very limited reference to unemployed workers as meaning that Article 7(2) offers equal treatment guarantees as regards social advantages to unemployed migrant workers seems to stretch the personal scope of that provision a bit too far. </w:t>
      </w:r>
    </w:p>
    <w:p w14:paraId="57D0547A" w14:textId="77777777" w:rsidR="00D7623A" w:rsidRPr="00D00979" w:rsidRDefault="00D7623A" w:rsidP="00D7623A">
      <w:pPr>
        <w:pStyle w:val="Corps"/>
        <w:jc w:val="both"/>
        <w:rPr>
          <w:rFonts w:ascii="Times New Roman" w:hAnsi="Times New Roman" w:cs="Times New Roman"/>
          <w:lang w:val="en-US"/>
        </w:rPr>
      </w:pPr>
    </w:p>
    <w:p w14:paraId="17CE2F6E" w14:textId="79EFF3A1" w:rsidR="007144D3" w:rsidRPr="00D00979" w:rsidRDefault="00893C05" w:rsidP="00D7623A">
      <w:pPr>
        <w:pStyle w:val="Corps"/>
        <w:jc w:val="both"/>
        <w:rPr>
          <w:rFonts w:ascii="Times New Roman" w:hAnsi="Times New Roman" w:cs="Times New Roman"/>
          <w:lang w:val="en-US"/>
        </w:rPr>
      </w:pPr>
      <w:r w:rsidRPr="00D00979">
        <w:rPr>
          <w:rFonts w:ascii="Times New Roman" w:hAnsi="Times New Roman" w:cs="Times New Roman"/>
          <w:lang w:val="en-US"/>
        </w:rPr>
        <w:t xml:space="preserve">The Court, however, found further support for that interpretation in Article 45 TFEU. The meaning of </w:t>
      </w:r>
      <w:r w:rsidR="00A3091F" w:rsidRPr="00D00979">
        <w:rPr>
          <w:rFonts w:ascii="Times New Roman" w:hAnsi="Times New Roman" w:cs="Times New Roman"/>
          <w:lang w:val="en-US"/>
        </w:rPr>
        <w:t>“</w:t>
      </w:r>
      <w:r w:rsidRPr="00D00979">
        <w:rPr>
          <w:rFonts w:ascii="Times New Roman" w:hAnsi="Times New Roman" w:cs="Times New Roman"/>
          <w:lang w:val="en-US"/>
        </w:rPr>
        <w:t>worker</w:t>
      </w:r>
      <w:r w:rsidR="00A3091F" w:rsidRPr="00D00979">
        <w:rPr>
          <w:rFonts w:ascii="Times New Roman" w:hAnsi="Times New Roman" w:cs="Times New Roman"/>
          <w:lang w:val="en-US"/>
        </w:rPr>
        <w:t>”</w:t>
      </w:r>
      <w:r w:rsidRPr="00D00979">
        <w:rPr>
          <w:rFonts w:ascii="Times New Roman" w:hAnsi="Times New Roman" w:cs="Times New Roman"/>
          <w:lang w:val="en-US"/>
        </w:rPr>
        <w:t xml:space="preserve"> as referred to in Article 7(2) of the Regulation was indeed construed in the light of the </w:t>
      </w:r>
      <w:r w:rsidR="00936325">
        <w:rPr>
          <w:rFonts w:ascii="Times New Roman" w:hAnsi="Times New Roman" w:cs="Times New Roman"/>
          <w:lang w:val="en-US"/>
        </w:rPr>
        <w:t xml:space="preserve">personal </w:t>
      </w:r>
      <w:r w:rsidRPr="00D00979">
        <w:rPr>
          <w:rFonts w:ascii="Times New Roman" w:hAnsi="Times New Roman" w:cs="Times New Roman"/>
          <w:lang w:val="en-US"/>
        </w:rPr>
        <w:t>scope of the equal treatment guarantees offered to workers on the basis of 45 TFEU. As Article 7(2) of the Regulation is the concrete expression, in the area of social advantages, of the equal treatment rule enshrined in Article 45 TFEU, it must indeed be interpreted in the same way as the latter provision.</w:t>
      </w:r>
      <w:r w:rsidRPr="00D00979">
        <w:rPr>
          <w:rStyle w:val="Appelnotedebasdep"/>
          <w:rFonts w:ascii="Times New Roman" w:hAnsi="Times New Roman" w:cs="Times New Roman"/>
          <w:lang w:val="en-US"/>
        </w:rPr>
        <w:footnoteReference w:id="69"/>
      </w:r>
      <w:r w:rsidRPr="00D00979">
        <w:rPr>
          <w:rFonts w:ascii="Times New Roman" w:hAnsi="Times New Roman" w:cs="Times New Roman"/>
          <w:lang w:val="en-US"/>
        </w:rPr>
        <w:t xml:space="preserve"> The Court was therefore able to rely on its previous interpretation of that provision in </w:t>
      </w:r>
      <w:r w:rsidRPr="00D00979">
        <w:rPr>
          <w:rFonts w:ascii="Times New Roman" w:hAnsi="Times New Roman" w:cs="Times New Roman"/>
          <w:i/>
          <w:iCs/>
          <w:lang w:val="en-US"/>
        </w:rPr>
        <w:t>Collins</w:t>
      </w:r>
      <w:r w:rsidRPr="00D00979">
        <w:rPr>
          <w:rFonts w:ascii="Times New Roman" w:hAnsi="Times New Roman" w:cs="Times New Roman"/>
          <w:lang w:val="en-US"/>
        </w:rPr>
        <w:t xml:space="preserve"> to establish a distinction between first-time jobseekers and former migrant workers. In contrast to first-time jobseekers, who enjoy equal treatment only in relation to access to the employment market, former migrant workers qualify for the same social advantages as national workers on the basis of Article 7(2) of the Regulation. As a result, an inactive Union citizen who has been employed in the host state may in certan circumstances continue to rely on the right to equal treatment laid down in that provision even after the termination of the employment relationship.</w:t>
      </w:r>
      <w:r w:rsidRPr="00D00979">
        <w:rPr>
          <w:rStyle w:val="Aucun"/>
          <w:rFonts w:ascii="Times New Roman" w:eastAsia="Times New Roman" w:hAnsi="Times New Roman" w:cs="Times New Roman"/>
          <w:vertAlign w:val="superscript"/>
        </w:rPr>
        <w:footnoteReference w:id="70"/>
      </w:r>
      <w:r w:rsidRPr="00D00979">
        <w:rPr>
          <w:rFonts w:ascii="Times New Roman" w:hAnsi="Times New Roman" w:cs="Times New Roman"/>
          <w:lang w:val="en-US"/>
        </w:rPr>
        <w:t xml:space="preserve"> Such is the case when a former worker and his or her children enjoy a right of residence on the basis of Article 10 of Regulation 492/2011.</w:t>
      </w:r>
      <w:r w:rsidRPr="00D00979">
        <w:rPr>
          <w:rStyle w:val="Aucun"/>
          <w:rFonts w:ascii="Times New Roman" w:eastAsia="Times New Roman" w:hAnsi="Times New Roman" w:cs="Times New Roman"/>
          <w:vertAlign w:val="superscript"/>
        </w:rPr>
        <w:footnoteReference w:id="71"/>
      </w:r>
      <w:r w:rsidRPr="00D00979">
        <w:rPr>
          <w:rFonts w:ascii="Times New Roman" w:hAnsi="Times New Roman" w:cs="Times New Roman"/>
          <w:lang w:val="en-US"/>
        </w:rPr>
        <w:t xml:space="preserve"> Consequently, they are entitled to rely on the principle of equal treatment in order </w:t>
      </w:r>
      <w:r w:rsidRPr="00D00979">
        <w:rPr>
          <w:rFonts w:ascii="Times New Roman" w:hAnsi="Times New Roman" w:cs="Times New Roman"/>
          <w:lang w:val="en-US"/>
        </w:rPr>
        <w:lastRenderedPageBreak/>
        <w:t xml:space="preserve">to be granted subsistence benefits in the host state. The children’s right of access to education would otherwise be rendered ineffective since, as the Advocate General points out, </w:t>
      </w:r>
      <w:r w:rsidR="00A3091F" w:rsidRPr="00D00979">
        <w:rPr>
          <w:rFonts w:ascii="Times New Roman" w:hAnsi="Times New Roman" w:cs="Times New Roman"/>
          <w:lang w:val="en-US"/>
        </w:rPr>
        <w:t>“</w:t>
      </w:r>
      <w:r w:rsidRPr="00D00979">
        <w:rPr>
          <w:rFonts w:ascii="Times New Roman" w:hAnsi="Times New Roman" w:cs="Times New Roman"/>
          <w:lang w:val="en-US"/>
        </w:rPr>
        <w:t>indigence is clearly an obstacle to access to education for any child</w:t>
      </w:r>
      <w:r w:rsidR="00A3091F" w:rsidRPr="00D00979">
        <w:rPr>
          <w:rFonts w:ascii="Times New Roman" w:hAnsi="Times New Roman" w:cs="Times New Roman"/>
          <w:lang w:val="en-US"/>
        </w:rPr>
        <w:t>”</w:t>
      </w:r>
      <w:r w:rsidRPr="00D00979">
        <w:rPr>
          <w:rFonts w:ascii="Times New Roman" w:hAnsi="Times New Roman" w:cs="Times New Roman"/>
          <w:lang w:val="en-US"/>
        </w:rPr>
        <w:t>.</w:t>
      </w:r>
      <w:r w:rsidRPr="00D00979">
        <w:rPr>
          <w:rStyle w:val="Appelnotedebasdep"/>
          <w:rFonts w:ascii="Times New Roman" w:hAnsi="Times New Roman" w:cs="Times New Roman"/>
          <w:lang w:val="en-US"/>
        </w:rPr>
        <w:footnoteReference w:id="72"/>
      </w:r>
    </w:p>
    <w:p w14:paraId="00776AE8" w14:textId="77777777" w:rsidR="00D7623A" w:rsidRPr="00D00979" w:rsidRDefault="00D7623A" w:rsidP="00D7623A">
      <w:pPr>
        <w:pStyle w:val="Corps"/>
        <w:jc w:val="both"/>
        <w:rPr>
          <w:rFonts w:ascii="Times New Roman" w:hAnsi="Times New Roman" w:cs="Times New Roman"/>
          <w:lang w:val="en-US"/>
        </w:rPr>
      </w:pPr>
    </w:p>
    <w:p w14:paraId="14F933A0" w14:textId="7756B27A" w:rsidR="007144D3" w:rsidRPr="00D00979" w:rsidRDefault="00713E1C" w:rsidP="00D7623A">
      <w:pPr>
        <w:pStyle w:val="Corps"/>
        <w:jc w:val="both"/>
        <w:rPr>
          <w:rFonts w:ascii="Times New Roman" w:hAnsi="Times New Roman" w:cs="Times New Roman"/>
          <w:lang w:val="en-US"/>
        </w:rPr>
      </w:pPr>
      <w:r w:rsidRPr="00D00979">
        <w:rPr>
          <w:rFonts w:ascii="Times New Roman" w:hAnsi="Times New Roman" w:cs="Times New Roman"/>
          <w:color w:val="0D0D0D" w:themeColor="text1" w:themeTint="F2"/>
          <w:lang w:val="en-US"/>
        </w:rPr>
        <w:t xml:space="preserve">The Court’s </w:t>
      </w:r>
      <w:r w:rsidR="001E7747" w:rsidRPr="00D00979">
        <w:rPr>
          <w:rFonts w:ascii="Times New Roman" w:hAnsi="Times New Roman" w:cs="Times New Roman"/>
          <w:color w:val="0D0D0D" w:themeColor="text1" w:themeTint="F2"/>
          <w:lang w:val="en-US"/>
        </w:rPr>
        <w:t>broad</w:t>
      </w:r>
      <w:r w:rsidRPr="00D00979">
        <w:rPr>
          <w:rFonts w:ascii="Times New Roman" w:hAnsi="Times New Roman" w:cs="Times New Roman"/>
          <w:color w:val="0D0D0D" w:themeColor="text1" w:themeTint="F2"/>
          <w:lang w:val="en-US"/>
        </w:rPr>
        <w:t xml:space="preserve"> approach towards the concept of migrant worker seems to reflect a broader interpretative trend in the Court’s jurisprudence. It is submitted, in particular, that the </w:t>
      </w:r>
      <w:r w:rsidR="00AF64FE" w:rsidRPr="00D00979">
        <w:rPr>
          <w:rFonts w:ascii="Times New Roman" w:hAnsi="Times New Roman" w:cs="Times New Roman"/>
          <w:color w:val="0D0D0D" w:themeColor="text1" w:themeTint="F2"/>
          <w:lang w:val="en-US"/>
        </w:rPr>
        <w:t xml:space="preserve">Court’s interpretation of the concept of </w:t>
      </w:r>
      <w:r w:rsidR="00A3091F" w:rsidRPr="00D00979">
        <w:rPr>
          <w:rFonts w:ascii="Times New Roman" w:hAnsi="Times New Roman" w:cs="Times New Roman"/>
          <w:color w:val="0D0D0D" w:themeColor="text1" w:themeTint="F2"/>
          <w:lang w:val="en-US"/>
        </w:rPr>
        <w:t>“</w:t>
      </w:r>
      <w:r w:rsidR="00AF64FE" w:rsidRPr="00D00979">
        <w:rPr>
          <w:rFonts w:ascii="Times New Roman" w:hAnsi="Times New Roman" w:cs="Times New Roman"/>
          <w:color w:val="0D0D0D" w:themeColor="text1" w:themeTint="F2"/>
          <w:lang w:val="en-US"/>
        </w:rPr>
        <w:t>worker</w:t>
      </w:r>
      <w:r w:rsidR="00A3091F" w:rsidRPr="00D00979">
        <w:rPr>
          <w:rFonts w:ascii="Times New Roman" w:hAnsi="Times New Roman" w:cs="Times New Roman"/>
          <w:color w:val="0D0D0D" w:themeColor="text1" w:themeTint="F2"/>
          <w:lang w:val="en-US"/>
        </w:rPr>
        <w:t>”</w:t>
      </w:r>
      <w:r w:rsidR="00AF64FE" w:rsidRPr="00D00979">
        <w:rPr>
          <w:rFonts w:ascii="Times New Roman" w:hAnsi="Times New Roman" w:cs="Times New Roman"/>
          <w:color w:val="0D0D0D" w:themeColor="text1" w:themeTint="F2"/>
          <w:lang w:val="en-US"/>
        </w:rPr>
        <w:t xml:space="preserve"> in </w:t>
      </w:r>
      <w:r w:rsidR="00AF64FE" w:rsidRPr="00D00979">
        <w:rPr>
          <w:rFonts w:ascii="Times New Roman" w:hAnsi="Times New Roman" w:cs="Times New Roman"/>
          <w:i/>
          <w:iCs/>
          <w:color w:val="0D0D0D" w:themeColor="text1" w:themeTint="F2"/>
          <w:lang w:val="en-US"/>
        </w:rPr>
        <w:t>Jobcenter Krefeld</w:t>
      </w:r>
      <w:r w:rsidR="00AF64FE" w:rsidRPr="00D00979">
        <w:rPr>
          <w:rFonts w:ascii="Times New Roman" w:hAnsi="Times New Roman" w:cs="Times New Roman"/>
          <w:color w:val="0D0D0D" w:themeColor="text1" w:themeTint="F2"/>
          <w:lang w:val="en-US"/>
        </w:rPr>
        <w:t xml:space="preserve"> falls in line with </w:t>
      </w:r>
      <w:r w:rsidR="00692F85" w:rsidRPr="00D00979">
        <w:rPr>
          <w:rFonts w:ascii="Times New Roman" w:hAnsi="Times New Roman" w:cs="Times New Roman"/>
          <w:color w:val="0D0D0D" w:themeColor="text1" w:themeTint="F2"/>
          <w:lang w:val="en-US"/>
        </w:rPr>
        <w:t>recent judgments</w:t>
      </w:r>
      <w:r w:rsidR="00AF64FE" w:rsidRPr="00D00979">
        <w:rPr>
          <w:rFonts w:ascii="Times New Roman" w:hAnsi="Times New Roman" w:cs="Times New Roman"/>
          <w:color w:val="0D0D0D" w:themeColor="text1" w:themeTint="F2"/>
          <w:lang w:val="en-US"/>
        </w:rPr>
        <w:t xml:space="preserve"> delivered by the Court on the status of retained workers and self-employed persons for the purposes of Article 7(3) of Directive 2004/38. </w:t>
      </w:r>
      <w:r w:rsidR="00AF64FE" w:rsidRPr="00D00979">
        <w:rPr>
          <w:rFonts w:ascii="Times New Roman" w:hAnsi="Times New Roman" w:cs="Times New Roman"/>
          <w:lang w:val="en-US"/>
        </w:rPr>
        <w:t>In recent judgments, the Court has indeed shaped a protective regime with regard to vulnerable categories of workers and self-employed persons on the basis of that provision.</w:t>
      </w:r>
      <w:r w:rsidR="00AF64FE" w:rsidRPr="00D00979">
        <w:rPr>
          <w:rStyle w:val="Appelnotedebasdep"/>
          <w:rFonts w:ascii="Times New Roman" w:hAnsi="Times New Roman" w:cs="Times New Roman"/>
        </w:rPr>
        <w:footnoteReference w:id="73"/>
      </w:r>
      <w:r w:rsidR="00AF64FE" w:rsidRPr="00D00979">
        <w:rPr>
          <w:rFonts w:ascii="Times New Roman" w:hAnsi="Times New Roman" w:cs="Times New Roman"/>
          <w:lang w:val="en-US"/>
        </w:rPr>
        <w:t xml:space="preserve"> All those cases have in common that the benefit applicants were working - either as self-employed or workers - on a marginal basis before becoming unemployed owing to circumstances beyond their control (such as an economic downturn or the late stages of pregnancy and the aftermath of childbirth).</w:t>
      </w:r>
      <w:r w:rsidR="00EB0FA6">
        <w:rPr>
          <w:rStyle w:val="Appelnotedebasdep"/>
          <w:rFonts w:ascii="Times New Roman" w:hAnsi="Times New Roman" w:cs="Times New Roman"/>
          <w:lang w:val="en-US"/>
        </w:rPr>
        <w:footnoteReference w:id="74"/>
      </w:r>
      <w:r w:rsidR="00AF64FE" w:rsidRPr="00D00979">
        <w:rPr>
          <w:rFonts w:ascii="Times New Roman" w:hAnsi="Times New Roman" w:cs="Times New Roman"/>
          <w:lang w:val="en-US"/>
        </w:rPr>
        <w:t xml:space="preserve"> They did not have sufficient resources to cover their costs of living in the host state. Upon application for the grant of social welfare benefits (jobseekers’ allowance and child benefit), their claim was rejected by the Irish authorities on the ground that they lacked a right to reside for the purpose of obtaining the desired benefits. The core issue addressed by these judgments concerned the Irish national authorities’ restrictive reading of the right-to-reside test deriving from the combined application of Articles 7(1)(a) and 7(3) of the Citizenship Directive</w:t>
      </w:r>
      <w:r w:rsidR="00AF64FE" w:rsidRPr="00D00979">
        <w:rPr>
          <w:rStyle w:val="Appelnotedebasdep"/>
          <w:rFonts w:ascii="Times New Roman" w:hAnsi="Times New Roman" w:cs="Times New Roman"/>
        </w:rPr>
        <w:footnoteReference w:id="75"/>
      </w:r>
      <w:r w:rsidR="00AF64FE" w:rsidRPr="00D00979">
        <w:rPr>
          <w:rFonts w:ascii="Times New Roman" w:hAnsi="Times New Roman" w:cs="Times New Roman"/>
          <w:lang w:val="en-US"/>
        </w:rPr>
        <w:t>.</w:t>
      </w:r>
    </w:p>
    <w:p w14:paraId="258C0857" w14:textId="77777777" w:rsidR="00D7623A" w:rsidRPr="00D00979" w:rsidRDefault="00D7623A" w:rsidP="00D7623A">
      <w:pPr>
        <w:pStyle w:val="Corps"/>
        <w:jc w:val="both"/>
        <w:rPr>
          <w:rFonts w:ascii="Times New Roman" w:hAnsi="Times New Roman" w:cs="Times New Roman"/>
          <w:lang w:val="en-US"/>
        </w:rPr>
      </w:pPr>
    </w:p>
    <w:p w14:paraId="671636CF" w14:textId="0828B17C" w:rsidR="007144D3" w:rsidRPr="00D00979" w:rsidRDefault="00AF64FE" w:rsidP="00D7623A">
      <w:pPr>
        <w:pStyle w:val="Corps"/>
        <w:jc w:val="both"/>
        <w:rPr>
          <w:rFonts w:ascii="Times New Roman" w:hAnsi="Times New Roman" w:cs="Times New Roman"/>
          <w:lang w:val="en-US"/>
        </w:rPr>
      </w:pPr>
      <w:r w:rsidRPr="00D00979">
        <w:rPr>
          <w:rFonts w:ascii="Times New Roman" w:hAnsi="Times New Roman" w:cs="Times New Roman"/>
          <w:lang w:val="en-US"/>
        </w:rPr>
        <w:t xml:space="preserve">Perhaps the most protective stance adopted by the Court in that context occurred in its judgment in the </w:t>
      </w:r>
      <w:r w:rsidRPr="00D00979">
        <w:rPr>
          <w:rFonts w:ascii="Times New Roman" w:hAnsi="Times New Roman" w:cs="Times New Roman"/>
          <w:i/>
          <w:iCs/>
          <w:lang w:val="en-US"/>
        </w:rPr>
        <w:t>Tarola</w:t>
      </w:r>
      <w:r w:rsidRPr="00D00979">
        <w:rPr>
          <w:rFonts w:ascii="Times New Roman" w:hAnsi="Times New Roman" w:cs="Times New Roman"/>
          <w:lang w:val="en-US"/>
        </w:rPr>
        <w:t xml:space="preserve"> case. In that case, the retention of worker status was made conditional upon the claimant having worked for a minimum period of time in Ireland. Crucially, the minimum period required by Irish law to be considered as a worker and establish habitual residence for the purpose of obtaining a jobseeker’s allowance was in excess of the period provided for in Article 7(3)(c) of the Citizenship Directive. The question as to whether the introduction of such requirements complied with that provision was subsequently brought to the fore in front of the Court of Justice. In that judgment, the Court had to decide whether a migrant Union citizen who has worked in the host state as a self-employed for a period of two weeks before becoming involuntarily unemployed could derive a right of residence from the status as retained worker in accordance with Article 7(3)(c) of the Citizenship Directive. The Court concluded that the minimum period of economic activity described in that provision applies </w:t>
      </w:r>
      <w:r w:rsidR="00A3091F" w:rsidRPr="00D00979">
        <w:rPr>
          <w:rFonts w:ascii="Times New Roman" w:hAnsi="Times New Roman" w:cs="Times New Roman"/>
          <w:lang w:val="en-US"/>
        </w:rPr>
        <w:t>“</w:t>
      </w:r>
      <w:r w:rsidRPr="00D00979">
        <w:rPr>
          <w:rFonts w:ascii="Times New Roman" w:hAnsi="Times New Roman" w:cs="Times New Roman"/>
          <w:lang w:val="en-US"/>
        </w:rPr>
        <w:t>regardless of the nature of the activity of the type of employment contract entered into for that purpose</w:t>
      </w:r>
      <w:r w:rsidR="00A3091F" w:rsidRPr="00D00979">
        <w:rPr>
          <w:rFonts w:ascii="Times New Roman" w:hAnsi="Times New Roman" w:cs="Times New Roman"/>
          <w:lang w:val="en-US"/>
        </w:rPr>
        <w:t>”</w:t>
      </w:r>
      <w:r w:rsidRPr="00D00979">
        <w:rPr>
          <w:rFonts w:ascii="Times New Roman" w:hAnsi="Times New Roman" w:cs="Times New Roman"/>
          <w:lang w:val="en-US"/>
        </w:rPr>
        <w:t>.</w:t>
      </w:r>
      <w:r w:rsidRPr="00D00979">
        <w:rPr>
          <w:rStyle w:val="Appelnotedebasdep"/>
          <w:rFonts w:ascii="Times New Roman" w:hAnsi="Times New Roman" w:cs="Times New Roman"/>
        </w:rPr>
        <w:footnoteReference w:id="76"/>
      </w:r>
      <w:r w:rsidRPr="00D00979">
        <w:rPr>
          <w:rFonts w:ascii="Times New Roman" w:hAnsi="Times New Roman" w:cs="Times New Roman"/>
          <w:lang w:val="en-US"/>
        </w:rPr>
        <w:t xml:space="preserve"> As a result, even those migrant workers who have worked for a (very) short period of time in the host state must be offered a right to reside and thus equal treatment guarantees in relation to social assistance on the basis of the Directive.</w:t>
      </w:r>
      <w:r w:rsidRPr="00D00979">
        <w:rPr>
          <w:rStyle w:val="Appelnotedebasdep"/>
          <w:rFonts w:ascii="Times New Roman" w:hAnsi="Times New Roman" w:cs="Times New Roman"/>
        </w:rPr>
        <w:footnoteReference w:id="77"/>
      </w:r>
      <w:r w:rsidRPr="00D00979">
        <w:rPr>
          <w:rFonts w:ascii="Times New Roman" w:hAnsi="Times New Roman" w:cs="Times New Roman"/>
          <w:lang w:val="en-US"/>
        </w:rPr>
        <w:t xml:space="preserve"> </w:t>
      </w:r>
    </w:p>
    <w:p w14:paraId="1C2D8EC8" w14:textId="77777777" w:rsidR="00D7623A" w:rsidRPr="00D00979" w:rsidRDefault="00D7623A" w:rsidP="00D7623A">
      <w:pPr>
        <w:pStyle w:val="Corps"/>
        <w:jc w:val="both"/>
        <w:rPr>
          <w:rFonts w:ascii="Times New Roman" w:hAnsi="Times New Roman" w:cs="Times New Roman"/>
          <w:lang w:val="en-US"/>
        </w:rPr>
      </w:pPr>
    </w:p>
    <w:p w14:paraId="2DE051E3" w14:textId="69FE97E6" w:rsidR="00F724B2" w:rsidRPr="00D00979" w:rsidRDefault="00AF64FE" w:rsidP="00D7623A">
      <w:pPr>
        <w:pStyle w:val="Corps"/>
        <w:jc w:val="both"/>
        <w:rPr>
          <w:rFonts w:ascii="Times New Roman" w:hAnsi="Times New Roman" w:cs="Times New Roman"/>
          <w:lang w:val="en-US"/>
        </w:rPr>
      </w:pPr>
      <w:r w:rsidRPr="00D00979">
        <w:rPr>
          <w:rFonts w:ascii="Times New Roman" w:hAnsi="Times New Roman" w:cs="Times New Roman"/>
          <w:lang w:val="en-US"/>
        </w:rPr>
        <w:lastRenderedPageBreak/>
        <w:t xml:space="preserve">It has been suggested that this line of case law </w:t>
      </w:r>
      <w:r w:rsidR="00A3091F" w:rsidRPr="00D00979">
        <w:rPr>
          <w:rFonts w:ascii="Times New Roman" w:hAnsi="Times New Roman" w:cs="Times New Roman"/>
          <w:lang w:val="en-US"/>
        </w:rPr>
        <w:t>“</w:t>
      </w:r>
      <w:r w:rsidRPr="00D00979">
        <w:rPr>
          <w:rFonts w:ascii="Times New Roman" w:hAnsi="Times New Roman" w:cs="Times New Roman"/>
          <w:lang w:val="en-US"/>
        </w:rPr>
        <w:t>recovers the notion of a European citizen as a promoter of European integration</w:t>
      </w:r>
      <w:r w:rsidR="00A3091F" w:rsidRPr="00D00979">
        <w:rPr>
          <w:rFonts w:ascii="Times New Roman" w:hAnsi="Times New Roman" w:cs="Times New Roman"/>
          <w:lang w:val="en-US"/>
        </w:rPr>
        <w:t>”</w:t>
      </w:r>
      <w:r w:rsidRPr="00D00979">
        <w:rPr>
          <w:rFonts w:ascii="Times New Roman" w:hAnsi="Times New Roman" w:cs="Times New Roman"/>
          <w:lang w:val="en-US"/>
        </w:rPr>
        <w:t>.</w:t>
      </w:r>
      <w:r w:rsidRPr="00D00979">
        <w:rPr>
          <w:rStyle w:val="Appelnotedebasdep"/>
          <w:rFonts w:ascii="Times New Roman" w:hAnsi="Times New Roman" w:cs="Times New Roman"/>
          <w:lang w:val="en-US"/>
        </w:rPr>
        <w:footnoteReference w:id="78"/>
      </w:r>
      <w:r w:rsidRPr="00D00979">
        <w:rPr>
          <w:rFonts w:ascii="Times New Roman" w:hAnsi="Times New Roman" w:cs="Times New Roman"/>
          <w:lang w:val="en-US"/>
        </w:rPr>
        <w:t xml:space="preserve"> It must be noted, however, that contrary to the Court’s early case law, where the status of Union citizen was relied upon - in conjunction with other free movement provisions - to carve out a protective regime in relation to economically inactive persons, the Court’s recent judments rely on a statutory interpretation of the Citizenship Directive. In particular, the status of Union citizen played next to no role in the Court’s understanding of Article 7(3) of that Directive. With the exception of </w:t>
      </w:r>
      <w:r w:rsidRPr="00D00979">
        <w:rPr>
          <w:rFonts w:ascii="Times New Roman" w:hAnsi="Times New Roman" w:cs="Times New Roman"/>
          <w:i/>
          <w:iCs/>
          <w:lang w:val="en-US"/>
        </w:rPr>
        <w:t>Dakneviciute</w:t>
      </w:r>
      <w:r w:rsidRPr="00D00979">
        <w:rPr>
          <w:rFonts w:ascii="Times New Roman" w:hAnsi="Times New Roman" w:cs="Times New Roman"/>
          <w:lang w:val="en-US"/>
        </w:rPr>
        <w:t xml:space="preserve">, where the Court used Article 49 TFEU in order to afford protection to a Union citizen falling outside the scope of Article 7(3), the economic free movement provisions featured in the </w:t>
      </w:r>
      <w:r w:rsidR="00A3091F" w:rsidRPr="00D00979">
        <w:rPr>
          <w:rFonts w:ascii="Times New Roman" w:hAnsi="Times New Roman" w:cs="Times New Roman"/>
          <w:lang w:val="en-US"/>
        </w:rPr>
        <w:t>T</w:t>
      </w:r>
      <w:r w:rsidRPr="00D00979">
        <w:rPr>
          <w:rFonts w:ascii="Times New Roman" w:hAnsi="Times New Roman" w:cs="Times New Roman"/>
          <w:lang w:val="en-US"/>
        </w:rPr>
        <w:t>reaties were not even contemplated in the construction of the protective regime envisioned by the Court in those judgments.</w:t>
      </w:r>
      <w:r w:rsidR="005361B0" w:rsidRPr="00D00979">
        <w:rPr>
          <w:rFonts w:ascii="Times New Roman" w:hAnsi="Times New Roman" w:cs="Times New Roman"/>
          <w:lang w:val="en-US"/>
        </w:rPr>
        <w:t xml:space="preserve"> </w:t>
      </w:r>
      <w:r w:rsidR="00832E47" w:rsidRPr="00D00979">
        <w:rPr>
          <w:rFonts w:ascii="Times New Roman" w:hAnsi="Times New Roman" w:cs="Times New Roman"/>
          <w:lang w:val="en-US"/>
        </w:rPr>
        <w:t xml:space="preserve">It </w:t>
      </w:r>
      <w:r w:rsidR="000B3FD0" w:rsidRPr="00D00979">
        <w:rPr>
          <w:rFonts w:ascii="Times New Roman" w:hAnsi="Times New Roman" w:cs="Times New Roman"/>
          <w:lang w:val="en-US"/>
        </w:rPr>
        <w:t>can</w:t>
      </w:r>
      <w:r w:rsidR="00832E47" w:rsidRPr="00D00979">
        <w:rPr>
          <w:rFonts w:ascii="Times New Roman" w:hAnsi="Times New Roman" w:cs="Times New Roman"/>
          <w:lang w:val="en-US"/>
        </w:rPr>
        <w:t xml:space="preserve"> </w:t>
      </w:r>
      <w:r w:rsidR="00F51D07" w:rsidRPr="00D00979">
        <w:rPr>
          <w:rFonts w:ascii="Times New Roman" w:hAnsi="Times New Roman" w:cs="Times New Roman"/>
          <w:lang w:val="en-US"/>
        </w:rPr>
        <w:t xml:space="preserve">therefore </w:t>
      </w:r>
      <w:r w:rsidR="00832E47" w:rsidRPr="00D00979">
        <w:rPr>
          <w:rFonts w:ascii="Times New Roman" w:hAnsi="Times New Roman" w:cs="Times New Roman"/>
          <w:lang w:val="en-US"/>
        </w:rPr>
        <w:t>be argued that these provision</w:t>
      </w:r>
      <w:r w:rsidR="000D1501" w:rsidRPr="00D00979">
        <w:rPr>
          <w:rFonts w:ascii="Times New Roman" w:hAnsi="Times New Roman" w:cs="Times New Roman"/>
          <w:lang w:val="en-US"/>
        </w:rPr>
        <w:t>s</w:t>
      </w:r>
      <w:r w:rsidR="00832E47" w:rsidRPr="00D00979">
        <w:rPr>
          <w:rFonts w:ascii="Times New Roman" w:hAnsi="Times New Roman" w:cs="Times New Roman"/>
          <w:lang w:val="en-US"/>
        </w:rPr>
        <w:t xml:space="preserve"> </w:t>
      </w:r>
      <w:r w:rsidR="000B3FD0" w:rsidRPr="00D00979">
        <w:rPr>
          <w:rFonts w:ascii="Times New Roman" w:hAnsi="Times New Roman" w:cs="Times New Roman"/>
          <w:lang w:val="en-US"/>
        </w:rPr>
        <w:t>may</w:t>
      </w:r>
      <w:r w:rsidR="00832E47" w:rsidRPr="00D00979">
        <w:rPr>
          <w:rFonts w:ascii="Times New Roman" w:hAnsi="Times New Roman" w:cs="Times New Roman"/>
          <w:lang w:val="en-US"/>
        </w:rPr>
        <w:t xml:space="preserve"> essentially </w:t>
      </w:r>
      <w:r w:rsidR="000B3FD0" w:rsidRPr="00D00979">
        <w:rPr>
          <w:rFonts w:ascii="Times New Roman" w:hAnsi="Times New Roman" w:cs="Times New Roman"/>
          <w:lang w:val="en-US"/>
        </w:rPr>
        <w:t xml:space="preserve">be </w:t>
      </w:r>
      <w:r w:rsidR="00832E47" w:rsidRPr="00D00979">
        <w:rPr>
          <w:rFonts w:ascii="Times New Roman" w:hAnsi="Times New Roman" w:cs="Times New Roman"/>
          <w:lang w:val="en-US"/>
        </w:rPr>
        <w:t xml:space="preserve">used in a subsidiary role to fill in the gaps resulting from </w:t>
      </w:r>
      <w:r w:rsidR="00F51D07" w:rsidRPr="00D00979">
        <w:rPr>
          <w:rFonts w:ascii="Times New Roman" w:hAnsi="Times New Roman" w:cs="Times New Roman"/>
          <w:lang w:val="en-US"/>
        </w:rPr>
        <w:t>the (literal)</w:t>
      </w:r>
      <w:r w:rsidR="00832E47" w:rsidRPr="00D00979">
        <w:rPr>
          <w:rFonts w:ascii="Times New Roman" w:hAnsi="Times New Roman" w:cs="Times New Roman"/>
          <w:lang w:val="en-US"/>
        </w:rPr>
        <w:t xml:space="preserve"> interpretation of the standards contained in the Citizenship Directive. </w:t>
      </w:r>
      <w:r w:rsidR="00EC6F0B" w:rsidRPr="00D00979">
        <w:rPr>
          <w:rFonts w:ascii="Times New Roman" w:hAnsi="Times New Roman" w:cs="Times New Roman"/>
          <w:lang w:val="en-US"/>
        </w:rPr>
        <w:t>In</w:t>
      </w:r>
      <w:r w:rsidR="000B3FD0" w:rsidRPr="00D00979">
        <w:rPr>
          <w:rFonts w:ascii="Times New Roman" w:hAnsi="Times New Roman" w:cs="Times New Roman"/>
          <w:lang w:val="en-US"/>
        </w:rPr>
        <w:t xml:space="preserve"> </w:t>
      </w:r>
      <w:r w:rsidR="00EC6F0B" w:rsidRPr="00D00979">
        <w:rPr>
          <w:rFonts w:ascii="Times New Roman" w:hAnsi="Times New Roman" w:cs="Times New Roman"/>
          <w:lang w:val="en-US"/>
        </w:rPr>
        <w:t>a similar</w:t>
      </w:r>
      <w:r w:rsidR="000B3FD0" w:rsidRPr="00D00979">
        <w:rPr>
          <w:rFonts w:ascii="Times New Roman" w:hAnsi="Times New Roman" w:cs="Times New Roman"/>
          <w:lang w:val="en-US"/>
        </w:rPr>
        <w:t xml:space="preserve"> vein</w:t>
      </w:r>
      <w:r w:rsidR="00832E47" w:rsidRPr="00D00979">
        <w:rPr>
          <w:rFonts w:ascii="Times New Roman" w:hAnsi="Times New Roman" w:cs="Times New Roman"/>
          <w:lang w:val="en-US"/>
        </w:rPr>
        <w:t xml:space="preserve">, </w:t>
      </w:r>
      <w:r w:rsidR="005361B0" w:rsidRPr="00D00979">
        <w:rPr>
          <w:rFonts w:ascii="Times New Roman" w:hAnsi="Times New Roman" w:cs="Times New Roman"/>
          <w:lang w:val="en-US"/>
        </w:rPr>
        <w:t>the Court in</w:t>
      </w:r>
      <w:r w:rsidR="001F5CED" w:rsidRPr="00D00979">
        <w:rPr>
          <w:rFonts w:ascii="Times New Roman" w:hAnsi="Times New Roman" w:cs="Times New Roman"/>
          <w:lang w:val="en-US"/>
        </w:rPr>
        <w:t xml:space="preserve"> </w:t>
      </w:r>
      <w:r w:rsidR="001F5CED" w:rsidRPr="00D00979">
        <w:rPr>
          <w:rFonts w:ascii="Times New Roman" w:hAnsi="Times New Roman" w:cs="Times New Roman"/>
          <w:i/>
          <w:iCs/>
          <w:lang w:val="en-US"/>
        </w:rPr>
        <w:t>Jobcenter Krefeld</w:t>
      </w:r>
      <w:r w:rsidR="001F5CED" w:rsidRPr="00D00979">
        <w:rPr>
          <w:rFonts w:ascii="Times New Roman" w:hAnsi="Times New Roman" w:cs="Times New Roman"/>
          <w:lang w:val="en-US"/>
        </w:rPr>
        <w:t xml:space="preserve"> relied on Article 45 TFEU in order to </w:t>
      </w:r>
      <w:r w:rsidR="003474C9" w:rsidRPr="00D00979">
        <w:rPr>
          <w:rFonts w:ascii="Times New Roman" w:hAnsi="Times New Roman" w:cs="Times New Roman"/>
          <w:lang w:val="en-US"/>
        </w:rPr>
        <w:t xml:space="preserve">support its </w:t>
      </w:r>
      <w:r w:rsidR="00541A62" w:rsidRPr="00D00979">
        <w:rPr>
          <w:rFonts w:ascii="Times New Roman" w:hAnsi="Times New Roman" w:cs="Times New Roman"/>
          <w:lang w:val="en-US"/>
        </w:rPr>
        <w:t>somewhat questionable</w:t>
      </w:r>
      <w:r w:rsidR="001A0EA7" w:rsidRPr="00D00979">
        <w:rPr>
          <w:rFonts w:ascii="Times New Roman" w:hAnsi="Times New Roman" w:cs="Times New Roman"/>
          <w:lang w:val="en-US"/>
        </w:rPr>
        <w:t xml:space="preserve"> and counterintuitive</w:t>
      </w:r>
      <w:r w:rsidR="00C60D85" w:rsidRPr="00D00979">
        <w:rPr>
          <w:rFonts w:ascii="Times New Roman" w:hAnsi="Times New Roman" w:cs="Times New Roman"/>
          <w:lang w:val="en-US"/>
        </w:rPr>
        <w:t xml:space="preserve"> </w:t>
      </w:r>
      <w:r w:rsidR="00541A62" w:rsidRPr="00D00979">
        <w:rPr>
          <w:rFonts w:ascii="Times New Roman" w:hAnsi="Times New Roman" w:cs="Times New Roman"/>
          <w:lang w:val="en-US"/>
        </w:rPr>
        <w:t>reading</w:t>
      </w:r>
      <w:r w:rsidR="003474C9" w:rsidRPr="00D00979">
        <w:rPr>
          <w:rFonts w:ascii="Times New Roman" w:hAnsi="Times New Roman" w:cs="Times New Roman"/>
          <w:lang w:val="en-US"/>
        </w:rPr>
        <w:t xml:space="preserve"> of the concept</w:t>
      </w:r>
      <w:r w:rsidR="001F5CED" w:rsidRPr="00D00979">
        <w:rPr>
          <w:rFonts w:ascii="Times New Roman" w:hAnsi="Times New Roman" w:cs="Times New Roman"/>
          <w:lang w:val="en-US"/>
        </w:rPr>
        <w:t xml:space="preserve"> of worker</w:t>
      </w:r>
      <w:r w:rsidR="000D1501" w:rsidRPr="00D00979">
        <w:rPr>
          <w:rFonts w:ascii="Times New Roman" w:hAnsi="Times New Roman" w:cs="Times New Roman"/>
          <w:lang w:val="en-US"/>
        </w:rPr>
        <w:t xml:space="preserve"> </w:t>
      </w:r>
      <w:r w:rsidR="00F51D07" w:rsidRPr="00D00979">
        <w:rPr>
          <w:rFonts w:ascii="Times New Roman" w:hAnsi="Times New Roman" w:cs="Times New Roman"/>
          <w:lang w:val="en-US"/>
        </w:rPr>
        <w:t>for the purposes</w:t>
      </w:r>
      <w:r w:rsidR="000D1501" w:rsidRPr="00D00979">
        <w:rPr>
          <w:rFonts w:ascii="Times New Roman" w:hAnsi="Times New Roman" w:cs="Times New Roman"/>
          <w:lang w:val="en-US"/>
        </w:rPr>
        <w:t xml:space="preserve"> of Article 7(2) of the Workers’ Regulation</w:t>
      </w:r>
      <w:r w:rsidR="00F17B0F" w:rsidRPr="00D00979">
        <w:rPr>
          <w:rFonts w:ascii="Times New Roman" w:hAnsi="Times New Roman" w:cs="Times New Roman"/>
          <w:lang w:val="en-US"/>
        </w:rPr>
        <w:t xml:space="preserve">. </w:t>
      </w:r>
      <w:r w:rsidR="00C60D85" w:rsidRPr="00D00979">
        <w:rPr>
          <w:rFonts w:ascii="Times New Roman" w:hAnsi="Times New Roman" w:cs="Times New Roman"/>
          <w:lang w:val="en-US"/>
        </w:rPr>
        <w:t>On the basis of the free</w:t>
      </w:r>
      <w:r w:rsidR="001A0EA7" w:rsidRPr="00D00979">
        <w:rPr>
          <w:rFonts w:ascii="Times New Roman" w:hAnsi="Times New Roman" w:cs="Times New Roman"/>
          <w:lang w:val="en-US"/>
        </w:rPr>
        <w:t>dom of</w:t>
      </w:r>
      <w:r w:rsidR="00C60D85" w:rsidRPr="00D00979">
        <w:rPr>
          <w:rFonts w:ascii="Times New Roman" w:hAnsi="Times New Roman" w:cs="Times New Roman"/>
          <w:lang w:val="en-US"/>
        </w:rPr>
        <w:t xml:space="preserve"> movement of workers enshrined in the Treaty, it was</w:t>
      </w:r>
      <w:r w:rsidR="00E5615E" w:rsidRPr="00D00979">
        <w:rPr>
          <w:rFonts w:ascii="Times New Roman" w:hAnsi="Times New Roman" w:cs="Times New Roman"/>
          <w:lang w:val="en-US"/>
        </w:rPr>
        <w:t xml:space="preserve"> then</w:t>
      </w:r>
      <w:r w:rsidR="00C60D85" w:rsidRPr="00D00979">
        <w:rPr>
          <w:rFonts w:ascii="Times New Roman" w:hAnsi="Times New Roman" w:cs="Times New Roman"/>
          <w:lang w:val="en-US"/>
        </w:rPr>
        <w:t xml:space="preserve"> able to </w:t>
      </w:r>
      <w:r w:rsidR="00EC6F0B" w:rsidRPr="00D00979">
        <w:rPr>
          <w:rFonts w:ascii="Times New Roman" w:hAnsi="Times New Roman" w:cs="Times New Roman"/>
          <w:lang w:val="en-US"/>
        </w:rPr>
        <w:t>confer equal treatment guarantees</w:t>
      </w:r>
      <w:r w:rsidR="00C60D85" w:rsidRPr="00D00979">
        <w:rPr>
          <w:rFonts w:ascii="Times New Roman" w:hAnsi="Times New Roman" w:cs="Times New Roman"/>
          <w:lang w:val="en-US"/>
        </w:rPr>
        <w:t xml:space="preserve"> </w:t>
      </w:r>
      <w:r w:rsidR="00EC6F0B" w:rsidRPr="00D00979">
        <w:rPr>
          <w:rFonts w:ascii="Times New Roman" w:hAnsi="Times New Roman" w:cs="Times New Roman"/>
          <w:lang w:val="en-US"/>
        </w:rPr>
        <w:t>upon</w:t>
      </w:r>
      <w:r w:rsidR="00C60D85" w:rsidRPr="00D00979">
        <w:rPr>
          <w:rFonts w:ascii="Times New Roman" w:hAnsi="Times New Roman" w:cs="Times New Roman"/>
          <w:lang w:val="en-US"/>
        </w:rPr>
        <w:t xml:space="preserve"> </w:t>
      </w:r>
      <w:r w:rsidR="00EC6F0B" w:rsidRPr="00D00979">
        <w:rPr>
          <w:rFonts w:ascii="Times New Roman" w:hAnsi="Times New Roman" w:cs="Times New Roman"/>
          <w:lang w:val="en-US"/>
        </w:rPr>
        <w:t xml:space="preserve">a </w:t>
      </w:r>
      <w:r w:rsidR="00C60D85" w:rsidRPr="00D00979">
        <w:rPr>
          <w:rFonts w:ascii="Times New Roman" w:hAnsi="Times New Roman" w:cs="Times New Roman"/>
          <w:lang w:val="en-US"/>
        </w:rPr>
        <w:t xml:space="preserve">former migrant worker </w:t>
      </w:r>
      <w:r w:rsidR="00EC6F0B" w:rsidRPr="00D00979">
        <w:rPr>
          <w:rFonts w:ascii="Times New Roman" w:hAnsi="Times New Roman" w:cs="Times New Roman"/>
          <w:lang w:val="en-US"/>
        </w:rPr>
        <w:t>and his or her school-age children despite the fact that they were not financially self-sufficient</w:t>
      </w:r>
      <w:r w:rsidR="00C60D85" w:rsidRPr="00D00979">
        <w:rPr>
          <w:rFonts w:ascii="Times New Roman" w:hAnsi="Times New Roman" w:cs="Times New Roman"/>
          <w:lang w:val="en-US"/>
        </w:rPr>
        <w:t xml:space="preserve">. </w:t>
      </w:r>
      <w:r w:rsidR="00C60D85" w:rsidRPr="00D00979">
        <w:rPr>
          <w:rFonts w:ascii="Times New Roman" w:hAnsi="Times New Roman" w:cs="Times New Roman"/>
          <w:color w:val="0D0D0D" w:themeColor="text1" w:themeTint="F2"/>
          <w:lang w:val="en-US"/>
        </w:rPr>
        <w:t xml:space="preserve">It is suggested here that the Court’s broad approach towards the concept of migrant worker </w:t>
      </w:r>
      <w:r w:rsidR="00541A62" w:rsidRPr="00D00979">
        <w:rPr>
          <w:rFonts w:ascii="Times New Roman" w:hAnsi="Times New Roman" w:cs="Times New Roman"/>
          <w:color w:val="0D0D0D" w:themeColor="text1" w:themeTint="F2"/>
          <w:lang w:val="en-US"/>
        </w:rPr>
        <w:t>echoes</w:t>
      </w:r>
      <w:r w:rsidR="00C60D85" w:rsidRPr="00D00979">
        <w:rPr>
          <w:rFonts w:ascii="Times New Roman" w:hAnsi="Times New Roman" w:cs="Times New Roman"/>
          <w:color w:val="0D0D0D" w:themeColor="text1" w:themeTint="F2"/>
          <w:lang w:val="en-US"/>
        </w:rPr>
        <w:t xml:space="preserve"> a broader trend in the Court’s jurisprudence. In</w:t>
      </w:r>
      <w:r w:rsidR="00C60D85" w:rsidRPr="00D00979">
        <w:rPr>
          <w:rFonts w:ascii="Times New Roman" w:hAnsi="Times New Roman" w:cs="Times New Roman"/>
          <w:lang w:val="en-US"/>
        </w:rPr>
        <w:t xml:space="preserve"> spite of the different interpretative </w:t>
      </w:r>
      <w:r w:rsidR="00541A62" w:rsidRPr="00D00979">
        <w:rPr>
          <w:rFonts w:ascii="Times New Roman" w:hAnsi="Times New Roman" w:cs="Times New Roman"/>
          <w:lang w:val="en-US"/>
        </w:rPr>
        <w:t>strategies</w:t>
      </w:r>
      <w:r w:rsidR="00C60D85" w:rsidRPr="00D00979">
        <w:rPr>
          <w:rFonts w:ascii="Times New Roman" w:hAnsi="Times New Roman" w:cs="Times New Roman"/>
          <w:lang w:val="en-US"/>
        </w:rPr>
        <w:t xml:space="preserve"> </w:t>
      </w:r>
      <w:r w:rsidR="00541A62" w:rsidRPr="00D00979">
        <w:rPr>
          <w:rFonts w:ascii="Times New Roman" w:hAnsi="Times New Roman" w:cs="Times New Roman"/>
          <w:lang w:val="en-US"/>
        </w:rPr>
        <w:t>followed</w:t>
      </w:r>
      <w:r w:rsidR="00C60D85" w:rsidRPr="00D00979">
        <w:rPr>
          <w:rFonts w:ascii="Times New Roman" w:hAnsi="Times New Roman" w:cs="Times New Roman"/>
          <w:lang w:val="en-US"/>
        </w:rPr>
        <w:t xml:space="preserve"> in those judgments, </w:t>
      </w:r>
      <w:r w:rsidRPr="00D00979">
        <w:rPr>
          <w:rFonts w:ascii="Times New Roman" w:hAnsi="Times New Roman" w:cs="Times New Roman"/>
          <w:lang w:val="en-US"/>
        </w:rPr>
        <w:t xml:space="preserve">the outcome of these cases is </w:t>
      </w:r>
      <w:r w:rsidR="00E5615E" w:rsidRPr="00D00979">
        <w:rPr>
          <w:rFonts w:ascii="Times New Roman" w:hAnsi="Times New Roman" w:cs="Times New Roman"/>
          <w:lang w:val="en-US"/>
        </w:rPr>
        <w:t xml:space="preserve">indeed </w:t>
      </w:r>
      <w:r w:rsidRPr="00D00979">
        <w:rPr>
          <w:rFonts w:ascii="Times New Roman" w:hAnsi="Times New Roman" w:cs="Times New Roman"/>
          <w:lang w:val="en-US"/>
        </w:rPr>
        <w:t xml:space="preserve">evolutionary as the Court seems keen to ensure that the most vulnerable individuals are </w:t>
      </w:r>
      <w:r w:rsidR="000B3FD0" w:rsidRPr="00D00979">
        <w:rPr>
          <w:rFonts w:ascii="Times New Roman" w:hAnsi="Times New Roman" w:cs="Times New Roman"/>
          <w:lang w:val="en-US"/>
        </w:rPr>
        <w:t>afforded</w:t>
      </w:r>
      <w:r w:rsidRPr="00D00979">
        <w:rPr>
          <w:rFonts w:ascii="Times New Roman" w:hAnsi="Times New Roman" w:cs="Times New Roman"/>
          <w:lang w:val="en-US"/>
        </w:rPr>
        <w:t xml:space="preserve"> </w:t>
      </w:r>
      <w:r w:rsidR="000B3FD0" w:rsidRPr="00D00979">
        <w:rPr>
          <w:rFonts w:ascii="Times New Roman" w:hAnsi="Times New Roman" w:cs="Times New Roman"/>
          <w:lang w:val="en-US"/>
        </w:rPr>
        <w:t>equal treatment guarantees</w:t>
      </w:r>
      <w:r w:rsidRPr="00D00979">
        <w:rPr>
          <w:rFonts w:ascii="Times New Roman" w:hAnsi="Times New Roman" w:cs="Times New Roman"/>
          <w:lang w:val="en-US"/>
        </w:rPr>
        <w:t xml:space="preserve"> even on account of previous (minor) economic activity in </w:t>
      </w:r>
      <w:r w:rsidR="00C60D85" w:rsidRPr="00D00979">
        <w:rPr>
          <w:rFonts w:ascii="Times New Roman" w:hAnsi="Times New Roman" w:cs="Times New Roman"/>
          <w:lang w:val="en-US"/>
        </w:rPr>
        <w:t>the host</w:t>
      </w:r>
      <w:r w:rsidRPr="00D00979">
        <w:rPr>
          <w:rFonts w:ascii="Times New Roman" w:hAnsi="Times New Roman" w:cs="Times New Roman"/>
          <w:lang w:val="en-US"/>
        </w:rPr>
        <w:t xml:space="preserve"> state.</w:t>
      </w:r>
      <w:r w:rsidR="001A0EA7" w:rsidRPr="00D00979">
        <w:rPr>
          <w:rStyle w:val="Appelnotedebasdep"/>
          <w:rFonts w:ascii="Times New Roman" w:hAnsi="Times New Roman" w:cs="Times New Roman"/>
          <w:lang w:val="en-US"/>
        </w:rPr>
        <w:footnoteReference w:id="79"/>
      </w:r>
      <w:r w:rsidRPr="00D00979">
        <w:rPr>
          <w:rFonts w:ascii="Times New Roman" w:hAnsi="Times New Roman" w:cs="Times New Roman"/>
          <w:lang w:val="en-US"/>
        </w:rPr>
        <w:t xml:space="preserve"> </w:t>
      </w:r>
    </w:p>
    <w:p w14:paraId="62271DFB" w14:textId="77777777" w:rsidR="008D14B7" w:rsidRPr="00D00979" w:rsidRDefault="008D14B7" w:rsidP="00D7623A">
      <w:pPr>
        <w:pStyle w:val="Titrerouge"/>
        <w:jc w:val="both"/>
        <w:rPr>
          <w:rFonts w:ascii="Times New Roman" w:hAnsi="Times New Roman" w:cs="Times New Roman"/>
          <w:b w:val="0"/>
          <w:bCs w:val="0"/>
          <w:i/>
          <w:iCs/>
          <w:smallCaps/>
          <w:color w:val="000000"/>
          <w:sz w:val="22"/>
          <w:szCs w:val="22"/>
          <w:lang w:val="en-US"/>
        </w:rPr>
      </w:pPr>
    </w:p>
    <w:p w14:paraId="7B054373" w14:textId="5B9F8C61" w:rsidR="00BC4C87" w:rsidRPr="00D00979" w:rsidRDefault="008D14B7" w:rsidP="00D7623A">
      <w:pPr>
        <w:pStyle w:val="Titrerouge"/>
        <w:jc w:val="both"/>
        <w:rPr>
          <w:rFonts w:ascii="Times New Roman" w:hAnsi="Times New Roman" w:cs="Times New Roman"/>
          <w:b w:val="0"/>
          <w:bCs w:val="0"/>
          <w:i/>
          <w:iCs/>
          <w:color w:val="000000"/>
          <w:sz w:val="22"/>
          <w:szCs w:val="22"/>
          <w:lang w:val="en-US"/>
        </w:rPr>
      </w:pPr>
      <w:bookmarkStart w:id="6" w:name="_Toc76652182"/>
      <w:r w:rsidRPr="00D00979">
        <w:rPr>
          <w:rFonts w:ascii="Times New Roman" w:hAnsi="Times New Roman" w:cs="Times New Roman"/>
          <w:b w:val="0"/>
          <w:bCs w:val="0"/>
          <w:i/>
          <w:iCs/>
          <w:smallCaps/>
          <w:color w:val="000000"/>
          <w:sz w:val="22"/>
          <w:szCs w:val="22"/>
          <w:lang w:val="en-US"/>
        </w:rPr>
        <w:t xml:space="preserve">A </w:t>
      </w:r>
      <w:r w:rsidRPr="00D00979">
        <w:rPr>
          <w:rFonts w:ascii="Times New Roman" w:hAnsi="Times New Roman" w:cs="Times New Roman"/>
          <w:b w:val="0"/>
          <w:bCs w:val="0"/>
          <w:i/>
          <w:iCs/>
          <w:color w:val="000000"/>
          <w:sz w:val="22"/>
          <w:szCs w:val="22"/>
          <w:lang w:val="en-US"/>
        </w:rPr>
        <w:t>sneak peek into the future: The relationship between the Workers’ Regulation and the Citizenship Directive</w:t>
      </w:r>
      <w:bookmarkEnd w:id="6"/>
      <w:r w:rsidRPr="00D00979">
        <w:rPr>
          <w:rFonts w:ascii="Times New Roman" w:hAnsi="Times New Roman" w:cs="Times New Roman"/>
          <w:b w:val="0"/>
          <w:bCs w:val="0"/>
          <w:i/>
          <w:iCs/>
          <w:color w:val="000000"/>
          <w:sz w:val="22"/>
          <w:szCs w:val="22"/>
          <w:lang w:val="en-US"/>
        </w:rPr>
        <w:t xml:space="preserve"> </w:t>
      </w:r>
    </w:p>
    <w:p w14:paraId="0E4C2E39" w14:textId="77777777" w:rsidR="008D14B7" w:rsidRPr="00D00979" w:rsidRDefault="008D14B7" w:rsidP="00D7623A">
      <w:pPr>
        <w:pStyle w:val="Corps"/>
        <w:rPr>
          <w:rFonts w:ascii="Times New Roman" w:hAnsi="Times New Roman" w:cs="Times New Roman"/>
          <w:lang w:val="en-US"/>
        </w:rPr>
      </w:pPr>
    </w:p>
    <w:p w14:paraId="4777E101" w14:textId="465E25F4" w:rsidR="00F805C0" w:rsidRPr="00D00979" w:rsidRDefault="00FF6AA0" w:rsidP="00D7623A">
      <w:pPr>
        <w:pStyle w:val="NormalWeb"/>
        <w:spacing w:before="0" w:beforeAutospacing="0" w:after="0" w:afterAutospacing="0"/>
        <w:jc w:val="both"/>
        <w:rPr>
          <w:sz w:val="22"/>
          <w:szCs w:val="22"/>
          <w:lang w:val="en-US"/>
        </w:rPr>
      </w:pPr>
      <w:r w:rsidRPr="00D00979">
        <w:rPr>
          <w:rFonts w:eastAsia="Arial Unicode MS"/>
          <w:sz w:val="22"/>
          <w:szCs w:val="22"/>
          <w:bdr w:val="nil"/>
          <w:lang w:val="en-US"/>
        </w:rPr>
        <w:t xml:space="preserve">One of the most </w:t>
      </w:r>
      <w:r w:rsidR="00370514" w:rsidRPr="00D00979">
        <w:rPr>
          <w:rFonts w:eastAsia="Arial Unicode MS"/>
          <w:sz w:val="22"/>
          <w:szCs w:val="22"/>
          <w:bdr w:val="nil"/>
          <w:lang w:val="en-US"/>
        </w:rPr>
        <w:t>significant</w:t>
      </w:r>
      <w:r w:rsidRPr="00D00979">
        <w:rPr>
          <w:rFonts w:eastAsia="Arial Unicode MS"/>
          <w:sz w:val="22"/>
          <w:szCs w:val="22"/>
          <w:bdr w:val="nil"/>
          <w:lang w:val="en-US"/>
        </w:rPr>
        <w:t xml:space="preserve"> features of</w:t>
      </w:r>
      <w:r w:rsidR="00F1433F" w:rsidRPr="00D00979">
        <w:rPr>
          <w:rFonts w:eastAsia="Arial Unicode MS"/>
          <w:sz w:val="22"/>
          <w:szCs w:val="22"/>
          <w:bdr w:val="nil"/>
          <w:lang w:val="en-US"/>
        </w:rPr>
        <w:t xml:space="preserve"> the judgment in</w:t>
      </w:r>
      <w:r w:rsidRPr="00D00979">
        <w:rPr>
          <w:rFonts w:eastAsia="Arial Unicode MS"/>
          <w:sz w:val="22"/>
          <w:szCs w:val="22"/>
          <w:bdr w:val="nil"/>
          <w:lang w:val="en-US"/>
        </w:rPr>
        <w:t xml:space="preserve"> </w:t>
      </w:r>
      <w:r w:rsidRPr="00D00979">
        <w:rPr>
          <w:rFonts w:eastAsia="Arial Unicode MS"/>
          <w:i/>
          <w:iCs/>
          <w:sz w:val="22"/>
          <w:szCs w:val="22"/>
          <w:bdr w:val="nil"/>
          <w:lang w:val="en-US"/>
        </w:rPr>
        <w:t>Jobcenter Krefeld</w:t>
      </w:r>
      <w:r w:rsidRPr="00D00979">
        <w:rPr>
          <w:rFonts w:eastAsia="Arial Unicode MS"/>
          <w:sz w:val="22"/>
          <w:szCs w:val="22"/>
          <w:bdr w:val="nil"/>
          <w:lang w:val="en-US"/>
        </w:rPr>
        <w:t xml:space="preserve"> is that </w:t>
      </w:r>
      <w:r w:rsidR="004E5E48" w:rsidRPr="00D00979">
        <w:rPr>
          <w:rFonts w:eastAsia="Arial Unicode MS"/>
          <w:sz w:val="22"/>
          <w:szCs w:val="22"/>
          <w:bdr w:val="nil"/>
          <w:lang w:val="en-US"/>
        </w:rPr>
        <w:t>it</w:t>
      </w:r>
      <w:r w:rsidRPr="00D00979">
        <w:rPr>
          <w:rFonts w:eastAsia="Arial Unicode MS"/>
          <w:sz w:val="22"/>
          <w:szCs w:val="22"/>
          <w:bdr w:val="nil"/>
          <w:lang w:val="en-US"/>
        </w:rPr>
        <w:t xml:space="preserve"> sheds light on the relationship between the right-to-reside tests set forth in the Citizenship Directive and the </w:t>
      </w:r>
      <w:r w:rsidR="00400ABD" w:rsidRPr="00D00979">
        <w:rPr>
          <w:rFonts w:eastAsia="Arial Unicode MS"/>
          <w:sz w:val="22"/>
          <w:szCs w:val="22"/>
          <w:bdr w:val="nil"/>
          <w:lang w:val="en-US"/>
        </w:rPr>
        <w:t xml:space="preserve">Treaty </w:t>
      </w:r>
      <w:r w:rsidRPr="00D00979">
        <w:rPr>
          <w:rFonts w:eastAsia="Arial Unicode MS"/>
          <w:sz w:val="22"/>
          <w:szCs w:val="22"/>
          <w:bdr w:val="nil"/>
          <w:lang w:val="en-US"/>
        </w:rPr>
        <w:t xml:space="preserve">principle of </w:t>
      </w:r>
      <w:r w:rsidR="00F724B2" w:rsidRPr="00D00979">
        <w:rPr>
          <w:rFonts w:eastAsia="Arial Unicode MS"/>
          <w:sz w:val="22"/>
          <w:szCs w:val="22"/>
          <w:bdr w:val="nil"/>
          <w:lang w:val="en-US"/>
        </w:rPr>
        <w:t>equal treatment</w:t>
      </w:r>
      <w:r w:rsidRPr="00D00979">
        <w:rPr>
          <w:rFonts w:eastAsia="Arial Unicode MS"/>
          <w:sz w:val="22"/>
          <w:szCs w:val="22"/>
          <w:bdr w:val="nil"/>
          <w:lang w:val="en-US"/>
        </w:rPr>
        <w:t>.</w:t>
      </w:r>
      <w:r w:rsidR="001D4AAA" w:rsidRPr="00D00979">
        <w:rPr>
          <w:rFonts w:eastAsia="Arial Unicode MS"/>
          <w:sz w:val="22"/>
          <w:szCs w:val="22"/>
          <w:bdr w:val="nil"/>
          <w:lang w:val="en-US"/>
        </w:rPr>
        <w:t xml:space="preserve"> After</w:t>
      </w:r>
      <w:r w:rsidR="00F724B2" w:rsidRPr="00D00979">
        <w:rPr>
          <w:rFonts w:eastAsia="Arial Unicode MS"/>
          <w:sz w:val="22"/>
          <w:szCs w:val="22"/>
          <w:bdr w:val="nil"/>
          <w:lang w:val="en-US"/>
        </w:rPr>
        <w:t xml:space="preserve"> </w:t>
      </w:r>
      <w:r w:rsidRPr="00D00979">
        <w:rPr>
          <w:rFonts w:eastAsia="Arial Unicode MS"/>
          <w:i/>
          <w:iCs/>
          <w:sz w:val="22"/>
          <w:szCs w:val="22"/>
          <w:bdr w:val="nil"/>
          <w:lang w:val="en-US"/>
        </w:rPr>
        <w:t>Dano-Alimanovic</w:t>
      </w:r>
      <w:r w:rsidRPr="00D00979">
        <w:rPr>
          <w:rFonts w:eastAsia="Arial Unicode MS"/>
          <w:sz w:val="22"/>
          <w:szCs w:val="22"/>
          <w:bdr w:val="nil"/>
          <w:lang w:val="en-US"/>
        </w:rPr>
        <w:t>, it</w:t>
      </w:r>
      <w:r w:rsidR="00400ABD" w:rsidRPr="00D00979">
        <w:rPr>
          <w:rFonts w:eastAsia="Arial Unicode MS"/>
          <w:sz w:val="22"/>
          <w:szCs w:val="22"/>
          <w:bdr w:val="nil"/>
          <w:lang w:val="en-US"/>
        </w:rPr>
        <w:t xml:space="preserve"> </w:t>
      </w:r>
      <w:r w:rsidR="0015154A" w:rsidRPr="00D00979">
        <w:rPr>
          <w:rFonts w:eastAsia="Arial Unicode MS"/>
          <w:sz w:val="22"/>
          <w:szCs w:val="22"/>
          <w:bdr w:val="nil"/>
          <w:lang w:val="en-US"/>
        </w:rPr>
        <w:t>was indeed suggested that</w:t>
      </w:r>
      <w:r w:rsidR="004E5E48" w:rsidRPr="00D00979">
        <w:rPr>
          <w:rFonts w:eastAsia="Arial Unicode MS"/>
          <w:sz w:val="22"/>
          <w:szCs w:val="22"/>
          <w:bdr w:val="nil"/>
          <w:lang w:val="en-US"/>
        </w:rPr>
        <w:t xml:space="preserve"> </w:t>
      </w:r>
      <w:r w:rsidR="006B5A4E" w:rsidRPr="00D00979">
        <w:rPr>
          <w:rFonts w:eastAsia="Arial Unicode MS"/>
          <w:sz w:val="22"/>
          <w:szCs w:val="22"/>
          <w:bdr w:val="nil"/>
          <w:lang w:val="en-US"/>
        </w:rPr>
        <w:t xml:space="preserve">economically inactive </w:t>
      </w:r>
      <w:r w:rsidR="00F724B2" w:rsidRPr="00D00979">
        <w:rPr>
          <w:rFonts w:eastAsia="Arial Unicode MS"/>
          <w:sz w:val="22"/>
          <w:szCs w:val="22"/>
          <w:bdr w:val="nil"/>
          <w:lang w:val="en-US"/>
        </w:rPr>
        <w:t>migrant Union citizens could only claim equal treatment with respect to social assistance provided that they could establish lawful residence in compliance with the Citizenship Directive</w:t>
      </w:r>
      <w:r w:rsidR="00692F85" w:rsidRPr="00D00979">
        <w:rPr>
          <w:rFonts w:eastAsia="Arial Unicode MS"/>
          <w:sz w:val="22"/>
          <w:szCs w:val="22"/>
          <w:bdr w:val="nil"/>
          <w:lang w:val="en-US"/>
        </w:rPr>
        <w:t>.</w:t>
      </w:r>
      <w:r w:rsidR="00F724B2" w:rsidRPr="00D00979">
        <w:rPr>
          <w:rFonts w:eastAsia="Arial Unicode MS"/>
          <w:sz w:val="22"/>
          <w:szCs w:val="22"/>
          <w:bdr w:val="nil"/>
          <w:lang w:val="en-US"/>
        </w:rPr>
        <w:t xml:space="preserve"> </w:t>
      </w:r>
      <w:r w:rsidR="00CD2F86" w:rsidRPr="00D00979">
        <w:rPr>
          <w:rFonts w:eastAsia="Arial Unicode MS"/>
          <w:sz w:val="22"/>
          <w:szCs w:val="22"/>
          <w:bdr w:val="nil"/>
          <w:lang w:val="en-US"/>
        </w:rPr>
        <w:t xml:space="preserve">At the same time, however, </w:t>
      </w:r>
      <w:r w:rsidR="00FB62AC" w:rsidRPr="00D00979">
        <w:rPr>
          <w:rFonts w:eastAsia="Arial Unicode MS"/>
          <w:sz w:val="22"/>
          <w:szCs w:val="22"/>
          <w:bdr w:val="nil"/>
          <w:lang w:val="en-US"/>
        </w:rPr>
        <w:t xml:space="preserve">these judgments did not address specifically the relationship between the principle of equal treatment and other residence rights deriving from national law or other strands of EU law. </w:t>
      </w:r>
      <w:r w:rsidR="00FF7154" w:rsidRPr="00D00979">
        <w:rPr>
          <w:rFonts w:eastAsia="Arial Unicode MS"/>
          <w:sz w:val="22"/>
          <w:szCs w:val="22"/>
          <w:bdr w:val="nil"/>
          <w:lang w:val="en-US"/>
        </w:rPr>
        <w:t xml:space="preserve">As a result, the question of whether the equality doctrine elaborated in </w:t>
      </w:r>
      <w:r w:rsidR="00FF7154" w:rsidRPr="00D00979">
        <w:rPr>
          <w:rFonts w:eastAsia="Arial Unicode MS"/>
          <w:i/>
          <w:iCs/>
          <w:sz w:val="22"/>
          <w:szCs w:val="22"/>
          <w:bdr w:val="nil"/>
          <w:lang w:val="en-US"/>
        </w:rPr>
        <w:t>Dano-Alimanovic</w:t>
      </w:r>
      <w:r w:rsidR="00FF7154" w:rsidRPr="00D00979">
        <w:rPr>
          <w:rFonts w:eastAsia="Arial Unicode MS"/>
          <w:sz w:val="22"/>
          <w:szCs w:val="22"/>
          <w:bdr w:val="nil"/>
          <w:lang w:val="en-US"/>
        </w:rPr>
        <w:t xml:space="preserve"> expressed a general limiting principle applicable in relation to other free movement provisions remained unanswered. </w:t>
      </w:r>
      <w:r w:rsidR="00CF6E4F" w:rsidRPr="00D00979">
        <w:rPr>
          <w:sz w:val="22"/>
          <w:szCs w:val="22"/>
          <w:lang w:val="en-US"/>
        </w:rPr>
        <w:t>It was unclear, in particular, whether the</w:t>
      </w:r>
      <w:r w:rsidR="00692F85" w:rsidRPr="00D00979">
        <w:rPr>
          <w:sz w:val="22"/>
          <w:szCs w:val="22"/>
          <w:lang w:val="en-US"/>
        </w:rPr>
        <w:t xml:space="preserve"> scope of equal treatment guarantees based on Regulation 492/2011 could be fleshed out by reference to the</w:t>
      </w:r>
      <w:r w:rsidR="00CF6E4F" w:rsidRPr="00D00979">
        <w:rPr>
          <w:sz w:val="22"/>
          <w:szCs w:val="22"/>
          <w:lang w:val="en-US"/>
        </w:rPr>
        <w:t xml:space="preserve"> conditions and limitations enshrined in that Directive.</w:t>
      </w:r>
      <w:r w:rsidR="00CF6E4F" w:rsidRPr="00D00979">
        <w:rPr>
          <w:rStyle w:val="Aucun"/>
          <w:sz w:val="22"/>
          <w:szCs w:val="22"/>
          <w:vertAlign w:val="superscript"/>
        </w:rPr>
        <w:footnoteReference w:id="80"/>
      </w:r>
      <w:r w:rsidR="00CF6E4F" w:rsidRPr="00D00979">
        <w:rPr>
          <w:sz w:val="22"/>
          <w:szCs w:val="22"/>
          <w:lang w:val="en-US"/>
        </w:rPr>
        <w:t xml:space="preserve"> </w:t>
      </w:r>
      <w:r w:rsidR="00692F85" w:rsidRPr="00D00979">
        <w:rPr>
          <w:rFonts w:eastAsia="Arial Unicode MS"/>
          <w:sz w:val="22"/>
          <w:szCs w:val="22"/>
          <w:bdr w:val="nil"/>
          <w:lang w:val="en-US"/>
        </w:rPr>
        <w:t xml:space="preserve">It </w:t>
      </w:r>
      <w:r w:rsidR="006050CB" w:rsidRPr="00D00979">
        <w:rPr>
          <w:rFonts w:eastAsia="Arial Unicode MS"/>
          <w:sz w:val="22"/>
          <w:szCs w:val="22"/>
          <w:bdr w:val="nil"/>
          <w:lang w:val="en-US"/>
        </w:rPr>
        <w:t>may</w:t>
      </w:r>
      <w:r w:rsidR="00692F85" w:rsidRPr="00D00979">
        <w:rPr>
          <w:rFonts w:eastAsia="Arial Unicode MS"/>
          <w:sz w:val="22"/>
          <w:szCs w:val="22"/>
          <w:bdr w:val="nil"/>
          <w:lang w:val="en-US"/>
        </w:rPr>
        <w:t xml:space="preserve"> </w:t>
      </w:r>
      <w:r w:rsidR="006050CB" w:rsidRPr="00D00979">
        <w:rPr>
          <w:rFonts w:eastAsia="Arial Unicode MS"/>
          <w:sz w:val="22"/>
          <w:szCs w:val="22"/>
          <w:bdr w:val="nil"/>
          <w:lang w:val="en-US"/>
        </w:rPr>
        <w:t xml:space="preserve">now </w:t>
      </w:r>
      <w:r w:rsidR="00692F85" w:rsidRPr="00D00979">
        <w:rPr>
          <w:rFonts w:eastAsia="Arial Unicode MS"/>
          <w:sz w:val="22"/>
          <w:szCs w:val="22"/>
          <w:bdr w:val="nil"/>
          <w:lang w:val="en-US"/>
        </w:rPr>
        <w:t xml:space="preserve">be inferred from </w:t>
      </w:r>
      <w:r w:rsidR="00692F85" w:rsidRPr="00D00979">
        <w:rPr>
          <w:rFonts w:eastAsia="Arial Unicode MS"/>
          <w:i/>
          <w:iCs/>
          <w:sz w:val="22"/>
          <w:szCs w:val="22"/>
          <w:bdr w:val="nil"/>
          <w:lang w:val="en-US"/>
        </w:rPr>
        <w:t>Jobcenter Krefeld</w:t>
      </w:r>
      <w:r w:rsidR="00692F85" w:rsidRPr="00D00979">
        <w:rPr>
          <w:rFonts w:eastAsia="Arial Unicode MS"/>
          <w:sz w:val="22"/>
          <w:szCs w:val="22"/>
          <w:bdr w:val="nil"/>
          <w:lang w:val="en-US"/>
        </w:rPr>
        <w:t xml:space="preserve"> that the Citizenship Directive </w:t>
      </w:r>
      <w:r w:rsidR="00E5615E" w:rsidRPr="00D00979">
        <w:rPr>
          <w:rFonts w:eastAsia="Arial Unicode MS"/>
          <w:sz w:val="22"/>
          <w:szCs w:val="22"/>
          <w:bdr w:val="nil"/>
          <w:lang w:val="en-US"/>
        </w:rPr>
        <w:t>does not</w:t>
      </w:r>
      <w:r w:rsidR="00692F85" w:rsidRPr="00D00979">
        <w:rPr>
          <w:rFonts w:eastAsia="Arial Unicode MS"/>
          <w:sz w:val="22"/>
          <w:szCs w:val="22"/>
          <w:bdr w:val="nil"/>
          <w:lang w:val="en-US"/>
        </w:rPr>
        <w:t xml:space="preserve"> </w:t>
      </w:r>
      <w:r w:rsidR="00FF7154" w:rsidRPr="00D00979">
        <w:rPr>
          <w:rFonts w:eastAsia="Arial Unicode MS"/>
          <w:sz w:val="22"/>
          <w:szCs w:val="22"/>
          <w:bdr w:val="nil"/>
          <w:lang w:val="en-US"/>
        </w:rPr>
        <w:t xml:space="preserve">as such </w:t>
      </w:r>
      <w:r w:rsidR="00692F85" w:rsidRPr="00D00979">
        <w:rPr>
          <w:rFonts w:eastAsia="Arial Unicode MS"/>
          <w:sz w:val="22"/>
          <w:szCs w:val="22"/>
          <w:bdr w:val="nil"/>
          <w:lang w:val="en-US"/>
        </w:rPr>
        <w:t xml:space="preserve">constitute a </w:t>
      </w:r>
      <w:r w:rsidR="00A3091F" w:rsidRPr="00D00979">
        <w:rPr>
          <w:rFonts w:eastAsia="Arial Unicode MS"/>
          <w:sz w:val="22"/>
          <w:szCs w:val="22"/>
          <w:bdr w:val="nil"/>
          <w:lang w:val="en-US"/>
        </w:rPr>
        <w:t>“</w:t>
      </w:r>
      <w:r w:rsidR="00692F85" w:rsidRPr="00D00979">
        <w:rPr>
          <w:rFonts w:eastAsia="Arial Unicode MS"/>
          <w:sz w:val="22"/>
          <w:szCs w:val="22"/>
          <w:bdr w:val="nil"/>
          <w:lang w:val="en-US"/>
        </w:rPr>
        <w:t>general norm of benefit restriction</w:t>
      </w:r>
      <w:r w:rsidR="00A3091F" w:rsidRPr="00D00979">
        <w:rPr>
          <w:rFonts w:eastAsia="Arial Unicode MS"/>
          <w:sz w:val="22"/>
          <w:szCs w:val="22"/>
          <w:bdr w:val="nil"/>
          <w:lang w:val="en-US"/>
        </w:rPr>
        <w:t>”</w:t>
      </w:r>
      <w:r w:rsidR="00692F85" w:rsidRPr="00D00979">
        <w:rPr>
          <w:rFonts w:eastAsia="Arial Unicode MS"/>
          <w:sz w:val="22"/>
          <w:szCs w:val="22"/>
          <w:bdr w:val="nil"/>
          <w:lang w:val="en-US"/>
        </w:rPr>
        <w:t xml:space="preserve"> inscribed into the principle of equal treatment </w:t>
      </w:r>
      <w:r w:rsidR="00FF7154" w:rsidRPr="00D00979">
        <w:rPr>
          <w:rFonts w:eastAsia="Arial Unicode MS"/>
          <w:sz w:val="22"/>
          <w:szCs w:val="22"/>
          <w:bdr w:val="nil"/>
          <w:lang w:val="en-US"/>
        </w:rPr>
        <w:t>expressed</w:t>
      </w:r>
      <w:r w:rsidR="00692F85" w:rsidRPr="00D00979">
        <w:rPr>
          <w:rFonts w:eastAsia="Arial Unicode MS"/>
          <w:sz w:val="22"/>
          <w:szCs w:val="22"/>
          <w:bdr w:val="nil"/>
          <w:lang w:val="en-US"/>
        </w:rPr>
        <w:t xml:space="preserve"> in Article 18 TFEU</w:t>
      </w:r>
      <w:r w:rsidR="00847274" w:rsidRPr="00D00979">
        <w:rPr>
          <w:rFonts w:eastAsia="Arial Unicode MS"/>
          <w:sz w:val="22"/>
          <w:szCs w:val="22"/>
          <w:bdr w:val="nil"/>
          <w:lang w:val="en-US"/>
        </w:rPr>
        <w:t xml:space="preserve"> and other free movement provisions</w:t>
      </w:r>
      <w:r w:rsidR="00AF64FE" w:rsidRPr="00D00979">
        <w:rPr>
          <w:sz w:val="22"/>
          <w:szCs w:val="22"/>
          <w:lang w:val="en-US"/>
        </w:rPr>
        <w:t xml:space="preserve">. </w:t>
      </w:r>
    </w:p>
    <w:p w14:paraId="24E2E6CC" w14:textId="77777777" w:rsidR="002E2698" w:rsidRPr="00D00979" w:rsidRDefault="002E2698" w:rsidP="00D7623A">
      <w:pPr>
        <w:pStyle w:val="NormalWeb"/>
        <w:spacing w:before="0" w:beforeAutospacing="0" w:after="0" w:afterAutospacing="0"/>
        <w:jc w:val="both"/>
        <w:rPr>
          <w:sz w:val="22"/>
          <w:szCs w:val="22"/>
          <w:lang w:val="en-US"/>
        </w:rPr>
      </w:pPr>
    </w:p>
    <w:p w14:paraId="6EEB67B2" w14:textId="1ACB52FE" w:rsidR="00A3091F" w:rsidRPr="00D00979" w:rsidRDefault="00AF64FE" w:rsidP="00D7623A">
      <w:pPr>
        <w:pStyle w:val="NormalWeb"/>
        <w:spacing w:before="0" w:beforeAutospacing="0" w:after="0" w:afterAutospacing="0"/>
        <w:jc w:val="both"/>
        <w:rPr>
          <w:color w:val="000000"/>
          <w:sz w:val="22"/>
          <w:szCs w:val="22"/>
          <w:lang w:val="en-US"/>
        </w:rPr>
      </w:pPr>
      <w:r w:rsidRPr="00D00979">
        <w:rPr>
          <w:sz w:val="22"/>
          <w:szCs w:val="22"/>
          <w:lang w:val="en-US"/>
        </w:rPr>
        <w:t xml:space="preserve">In that judgment, </w:t>
      </w:r>
      <w:r w:rsidR="00FF7154" w:rsidRPr="00D00979">
        <w:rPr>
          <w:sz w:val="22"/>
          <w:szCs w:val="22"/>
          <w:lang w:val="en-US"/>
        </w:rPr>
        <w:t xml:space="preserve">the Grand Chamber of the Court made clear that in circumstances where a Union citizen can rely on a right to reside based on another strand of EU law to claim equal treatment guarantees, these guarantees cannot be made subject to the limitations and conditions enshrined in the Citizenship Directive. More specifically, the </w:t>
      </w:r>
      <w:r w:rsidRPr="00D00979">
        <w:rPr>
          <w:sz w:val="22"/>
          <w:szCs w:val="22"/>
          <w:lang w:val="en-US"/>
        </w:rPr>
        <w:t>Court ruled that</w:t>
      </w:r>
      <w:r w:rsidR="00FB0E95" w:rsidRPr="00D00979">
        <w:rPr>
          <w:sz w:val="22"/>
          <w:szCs w:val="22"/>
          <w:lang w:val="en-US"/>
        </w:rPr>
        <w:t xml:space="preserve"> the derogatory </w:t>
      </w:r>
      <w:r w:rsidR="00FB0E95" w:rsidRPr="00D00979">
        <w:rPr>
          <w:sz w:val="22"/>
          <w:szCs w:val="22"/>
          <w:lang w:val="en-US"/>
        </w:rPr>
        <w:lastRenderedPageBreak/>
        <w:t>regime established by Article 24(2) of the Citizenship Directive does not apply in relation to Union citizens who reside lawfully on the territory of the host state independently from</w:t>
      </w:r>
      <w:r w:rsidR="001D4AAA" w:rsidRPr="00D00979">
        <w:rPr>
          <w:sz w:val="22"/>
          <w:szCs w:val="22"/>
          <w:lang w:val="en-US"/>
        </w:rPr>
        <w:t xml:space="preserve"> the requirements of the Citizenship Directive. </w:t>
      </w:r>
      <w:r w:rsidR="00EB6FD4" w:rsidRPr="00D00979">
        <w:rPr>
          <w:sz w:val="22"/>
          <w:szCs w:val="22"/>
          <w:lang w:val="en-US"/>
        </w:rPr>
        <w:t>According</w:t>
      </w:r>
      <w:r w:rsidR="00EB6FD4" w:rsidRPr="00D00979">
        <w:rPr>
          <w:rFonts w:eastAsia="Arial Unicode MS"/>
          <w:sz w:val="22"/>
          <w:szCs w:val="22"/>
          <w:bdr w:val="nil"/>
          <w:lang w:val="en-US"/>
        </w:rPr>
        <w:t xml:space="preserve"> to the Court,</w:t>
      </w:r>
      <w:r w:rsidR="00EB6FD4" w:rsidRPr="00D00979">
        <w:rPr>
          <w:color w:val="000000"/>
          <w:sz w:val="22"/>
          <w:szCs w:val="22"/>
          <w:lang w:val="en-US"/>
        </w:rPr>
        <w:t xml:space="preserve"> that provision</w:t>
      </w:r>
      <w:r w:rsidR="00E825A4" w:rsidRPr="00D00979">
        <w:rPr>
          <w:color w:val="000000"/>
          <w:sz w:val="22"/>
          <w:szCs w:val="22"/>
          <w:lang w:val="en-US"/>
        </w:rPr>
        <w:t>,</w:t>
      </w:r>
      <w:r w:rsidR="00EB6FD4" w:rsidRPr="00D00979">
        <w:rPr>
          <w:color w:val="000000"/>
          <w:sz w:val="22"/>
          <w:szCs w:val="22"/>
          <w:lang w:val="en-US"/>
        </w:rPr>
        <w:t xml:space="preserve"> </w:t>
      </w:r>
    </w:p>
    <w:p w14:paraId="053BA6EE" w14:textId="77777777" w:rsidR="00D7623A" w:rsidRPr="00D00979" w:rsidRDefault="00D7623A" w:rsidP="00D7623A">
      <w:pPr>
        <w:pStyle w:val="NormalWeb"/>
        <w:spacing w:before="0" w:beforeAutospacing="0" w:after="0" w:afterAutospacing="0"/>
        <w:jc w:val="both"/>
        <w:rPr>
          <w:sz w:val="22"/>
          <w:szCs w:val="22"/>
          <w:lang w:val="en-US"/>
        </w:rPr>
      </w:pPr>
    </w:p>
    <w:p w14:paraId="14E7C974" w14:textId="5C7FA4F8" w:rsidR="00A3091F" w:rsidRPr="00D00979" w:rsidRDefault="00A3091F" w:rsidP="00D7623A">
      <w:pPr>
        <w:pStyle w:val="NormalWeb"/>
        <w:spacing w:before="0" w:beforeAutospacing="0" w:after="0" w:afterAutospacing="0"/>
        <w:ind w:left="284"/>
        <w:jc w:val="both"/>
        <w:rPr>
          <w:rFonts w:eastAsia="Arial Unicode MS"/>
          <w:sz w:val="22"/>
          <w:szCs w:val="22"/>
          <w:bdr w:val="nil"/>
          <w:lang w:val="en-US"/>
        </w:rPr>
      </w:pPr>
      <w:r w:rsidRPr="00D00979">
        <w:rPr>
          <w:color w:val="000000"/>
          <w:sz w:val="22"/>
          <w:szCs w:val="22"/>
          <w:lang w:val="en-US"/>
        </w:rPr>
        <w:t>“</w:t>
      </w:r>
      <w:r w:rsidR="00EB6FD4" w:rsidRPr="00D00979">
        <w:rPr>
          <w:color w:val="000000"/>
          <w:sz w:val="22"/>
          <w:szCs w:val="22"/>
          <w:lang w:val="en-US"/>
        </w:rPr>
        <w:t>is applicable only in situations that fall within the scope of Article 24(1), namely situations where the right of residence is based on that directive, and not in situations where that right has an independent basis in Article 10 of Regulation No 492/2011</w:t>
      </w:r>
      <w:r w:rsidRPr="00D00979">
        <w:rPr>
          <w:color w:val="000000"/>
          <w:sz w:val="22"/>
          <w:szCs w:val="22"/>
          <w:lang w:val="en-US"/>
        </w:rPr>
        <w:t>”</w:t>
      </w:r>
      <w:r w:rsidR="00EB6FD4" w:rsidRPr="00D00979">
        <w:rPr>
          <w:color w:val="000000"/>
          <w:sz w:val="22"/>
          <w:szCs w:val="22"/>
          <w:lang w:val="en-US"/>
        </w:rPr>
        <w:t>.</w:t>
      </w:r>
      <w:r w:rsidR="00EB6FD4" w:rsidRPr="00D00979">
        <w:rPr>
          <w:rStyle w:val="Appelnotedebasdep"/>
          <w:color w:val="000000"/>
          <w:sz w:val="22"/>
          <w:szCs w:val="22"/>
          <w:lang w:val="en-US"/>
        </w:rPr>
        <w:footnoteReference w:id="81"/>
      </w:r>
      <w:r w:rsidR="00EB6FD4" w:rsidRPr="00D00979">
        <w:rPr>
          <w:rFonts w:eastAsia="Arial Unicode MS"/>
          <w:sz w:val="22"/>
          <w:szCs w:val="22"/>
          <w:bdr w:val="nil"/>
          <w:lang w:val="en-US"/>
        </w:rPr>
        <w:t xml:space="preserve"> </w:t>
      </w:r>
    </w:p>
    <w:p w14:paraId="27E893E3" w14:textId="77777777" w:rsidR="00D7623A" w:rsidRPr="00D00979" w:rsidRDefault="00D7623A" w:rsidP="00D7623A">
      <w:pPr>
        <w:pStyle w:val="NormalWeb"/>
        <w:spacing w:before="0" w:beforeAutospacing="0" w:after="0" w:afterAutospacing="0"/>
        <w:ind w:left="284"/>
        <w:jc w:val="both"/>
        <w:rPr>
          <w:rFonts w:eastAsia="Arial Unicode MS"/>
          <w:sz w:val="22"/>
          <w:szCs w:val="22"/>
          <w:bdr w:val="nil"/>
          <w:lang w:val="en-US"/>
        </w:rPr>
      </w:pPr>
    </w:p>
    <w:p w14:paraId="60E1FAE7" w14:textId="207E447B" w:rsidR="00F805C0" w:rsidRPr="00D00979" w:rsidRDefault="00EB6FD4" w:rsidP="00D7623A">
      <w:pPr>
        <w:pStyle w:val="NormalWeb"/>
        <w:spacing w:before="0" w:beforeAutospacing="0" w:after="0" w:afterAutospacing="0"/>
        <w:jc w:val="both"/>
        <w:rPr>
          <w:rStyle w:val="Aucun"/>
          <w:sz w:val="22"/>
          <w:szCs w:val="22"/>
          <w:lang w:val="en-US"/>
        </w:rPr>
      </w:pPr>
      <w:r w:rsidRPr="00D00979">
        <w:rPr>
          <w:sz w:val="22"/>
          <w:szCs w:val="22"/>
          <w:lang w:val="en-US"/>
        </w:rPr>
        <w:t xml:space="preserve">In other words, the derogation brought about by Article 24(2) of the Directive only applies in relation to individuals who enjoy a right to reside </w:t>
      </w:r>
      <w:r w:rsidRPr="00D00979">
        <w:rPr>
          <w:i/>
          <w:iCs/>
          <w:sz w:val="22"/>
          <w:szCs w:val="22"/>
          <w:lang w:val="en-US"/>
        </w:rPr>
        <w:t>on the basis of that Directive</w:t>
      </w:r>
      <w:r w:rsidR="00686ABC" w:rsidRPr="00D00979">
        <w:rPr>
          <w:sz w:val="22"/>
          <w:szCs w:val="22"/>
          <w:lang w:val="en-US"/>
        </w:rPr>
        <w:t xml:space="preserve"> as prescribed by the first paragraph of that provision</w:t>
      </w:r>
      <w:r w:rsidRPr="00D00979">
        <w:rPr>
          <w:sz w:val="22"/>
          <w:szCs w:val="22"/>
          <w:lang w:val="en-US"/>
        </w:rPr>
        <w:t xml:space="preserve">. This means that a former worker cannot be excluded from entitlement to social assistance on the basis of that provision if he or she enjoys a right to reside for the purposes of Article 10 of Regulation 492/2011. Because he or she is residing lawfully on the basis of that </w:t>
      </w:r>
      <w:r w:rsidR="0000544B" w:rsidRPr="00D00979">
        <w:rPr>
          <w:sz w:val="22"/>
          <w:szCs w:val="22"/>
          <w:lang w:val="en-US"/>
        </w:rPr>
        <w:t>provision</w:t>
      </w:r>
      <w:r w:rsidRPr="00D00979">
        <w:rPr>
          <w:sz w:val="22"/>
          <w:szCs w:val="22"/>
          <w:lang w:val="en-US"/>
        </w:rPr>
        <w:t xml:space="preserve">, he or she does not fall within the scope of the derogatory regime established by Article 24(2) of the Citizenship Directive. Once they are acquired, the rights conferred by </w:t>
      </w:r>
      <w:r w:rsidR="0099602F" w:rsidRPr="00D00979">
        <w:rPr>
          <w:sz w:val="22"/>
          <w:szCs w:val="22"/>
          <w:lang w:val="en-US"/>
        </w:rPr>
        <w:t>Article 10 of the Workers’ Regulation</w:t>
      </w:r>
      <w:r w:rsidRPr="00D00979">
        <w:rPr>
          <w:sz w:val="22"/>
          <w:szCs w:val="22"/>
          <w:lang w:val="en-US"/>
        </w:rPr>
        <w:t xml:space="preserve"> take a life of their own and must accordingly be regarded as independent of the conditions and requirements governing the right of residence of Union citizens under Directive 2004/38.</w:t>
      </w:r>
      <w:r w:rsidRPr="00D00979">
        <w:rPr>
          <w:rStyle w:val="Aucun"/>
          <w:sz w:val="22"/>
          <w:szCs w:val="22"/>
          <w:vertAlign w:val="superscript"/>
        </w:rPr>
        <w:footnoteReference w:id="82"/>
      </w:r>
      <w:r w:rsidRPr="00D00979">
        <w:rPr>
          <w:sz w:val="22"/>
          <w:szCs w:val="22"/>
          <w:lang w:val="en-US"/>
        </w:rPr>
        <w:t xml:space="preserve"> </w:t>
      </w:r>
      <w:r w:rsidR="00310BED" w:rsidRPr="00D00979">
        <w:rPr>
          <w:sz w:val="22"/>
          <w:szCs w:val="22"/>
          <w:lang w:val="en-US"/>
        </w:rPr>
        <w:t>As a consequence,</w:t>
      </w:r>
      <w:r w:rsidRPr="00D00979">
        <w:rPr>
          <w:sz w:val="22"/>
          <w:szCs w:val="22"/>
          <w:lang w:val="en-US"/>
        </w:rPr>
        <w:t xml:space="preserve"> they are not subject to the self-sufficiency requirements featured in that Directive.</w:t>
      </w:r>
      <w:r w:rsidRPr="00D00979">
        <w:rPr>
          <w:rStyle w:val="Aucun"/>
          <w:sz w:val="22"/>
          <w:szCs w:val="22"/>
          <w:vertAlign w:val="superscript"/>
        </w:rPr>
        <w:footnoteReference w:id="83"/>
      </w:r>
      <w:r w:rsidRPr="00D00979">
        <w:rPr>
          <w:sz w:val="22"/>
          <w:szCs w:val="22"/>
          <w:lang w:val="en-US"/>
        </w:rPr>
        <w:t xml:space="preserve"> </w:t>
      </w:r>
      <w:r w:rsidR="00664504" w:rsidRPr="00D00979">
        <w:rPr>
          <w:sz w:val="22"/>
          <w:szCs w:val="22"/>
          <w:lang w:val="en-US"/>
        </w:rPr>
        <w:t>The</w:t>
      </w:r>
      <w:r w:rsidRPr="00D00979">
        <w:rPr>
          <w:sz w:val="22"/>
          <w:szCs w:val="22"/>
          <w:lang w:val="en-US"/>
        </w:rPr>
        <w:t xml:space="preserve"> Court </w:t>
      </w:r>
      <w:r w:rsidR="00664504" w:rsidRPr="00D00979">
        <w:rPr>
          <w:sz w:val="22"/>
          <w:szCs w:val="22"/>
          <w:lang w:val="en-US"/>
        </w:rPr>
        <w:t xml:space="preserve">also </w:t>
      </w:r>
      <w:r w:rsidRPr="00D00979">
        <w:rPr>
          <w:sz w:val="22"/>
          <w:szCs w:val="22"/>
          <w:lang w:val="en-US"/>
        </w:rPr>
        <w:t>clarified that the adoption of the Citizenship Directive does not affect the independence of the rights based on Article 10 of the Regulation</w:t>
      </w:r>
      <w:r w:rsidR="00AF64FE" w:rsidRPr="00D00979">
        <w:rPr>
          <w:sz w:val="22"/>
          <w:szCs w:val="22"/>
          <w:lang w:val="en-US"/>
        </w:rPr>
        <w:t>. As a result, t</w:t>
      </w:r>
      <w:r w:rsidR="00AF64FE" w:rsidRPr="00D00979">
        <w:rPr>
          <w:rStyle w:val="Aucun"/>
          <w:sz w:val="22"/>
          <w:szCs w:val="22"/>
          <w:lang w:val="en-US"/>
        </w:rPr>
        <w:t>he equality rights enjoyed by a former migrant worker and his or her children, all of whom possess a right to reside on the basis of Article 10 of the Regulation, are not subject to the derogation enshrined in Article 24(2) of Directive 2004/38.</w:t>
      </w:r>
      <w:r w:rsidR="00AF64FE" w:rsidRPr="00D00979">
        <w:rPr>
          <w:rStyle w:val="Aucun"/>
          <w:sz w:val="22"/>
          <w:szCs w:val="22"/>
          <w:vertAlign w:val="superscript"/>
        </w:rPr>
        <w:footnoteReference w:id="84"/>
      </w:r>
      <w:r w:rsidR="00AF64FE" w:rsidRPr="00D00979">
        <w:rPr>
          <w:rStyle w:val="Aucun"/>
          <w:sz w:val="22"/>
          <w:szCs w:val="22"/>
          <w:lang w:val="en-US"/>
        </w:rPr>
        <w:t xml:space="preserve"> </w:t>
      </w:r>
    </w:p>
    <w:p w14:paraId="2715F46F" w14:textId="77777777" w:rsidR="00D7623A" w:rsidRPr="00D00979" w:rsidRDefault="00D7623A" w:rsidP="00D7623A">
      <w:pPr>
        <w:pStyle w:val="NormalWeb"/>
        <w:spacing w:before="0" w:beforeAutospacing="0" w:after="0" w:afterAutospacing="0"/>
        <w:jc w:val="both"/>
        <w:rPr>
          <w:rStyle w:val="Aucun"/>
          <w:sz w:val="22"/>
          <w:szCs w:val="22"/>
          <w:lang w:val="en-US"/>
        </w:rPr>
      </w:pPr>
    </w:p>
    <w:p w14:paraId="38B4B966" w14:textId="0188E163" w:rsidR="00F805C0" w:rsidRPr="00D00979" w:rsidRDefault="00086EE0" w:rsidP="00D7623A">
      <w:pPr>
        <w:pStyle w:val="NormalWeb"/>
        <w:spacing w:before="0" w:beforeAutospacing="0" w:after="0" w:afterAutospacing="0"/>
        <w:jc w:val="both"/>
        <w:rPr>
          <w:sz w:val="22"/>
          <w:szCs w:val="22"/>
          <w:lang w:val="en-US"/>
        </w:rPr>
      </w:pPr>
      <w:r w:rsidRPr="00D00979">
        <w:rPr>
          <w:sz w:val="22"/>
          <w:szCs w:val="22"/>
          <w:lang w:val="en-US"/>
        </w:rPr>
        <w:t>The Court nevertheless left open salient questions relating to the interaction between those two</w:t>
      </w:r>
      <w:r w:rsidR="00BC016A" w:rsidRPr="00D00979">
        <w:rPr>
          <w:sz w:val="22"/>
          <w:szCs w:val="22"/>
          <w:lang w:val="en-US"/>
        </w:rPr>
        <w:t xml:space="preserve"> legislative</w:t>
      </w:r>
      <w:r w:rsidRPr="00D00979">
        <w:rPr>
          <w:sz w:val="22"/>
          <w:szCs w:val="22"/>
          <w:lang w:val="en-US"/>
        </w:rPr>
        <w:t xml:space="preserve"> instruments. After </w:t>
      </w:r>
      <w:r w:rsidRPr="00D00979">
        <w:rPr>
          <w:i/>
          <w:iCs/>
          <w:sz w:val="22"/>
          <w:szCs w:val="22"/>
          <w:lang w:val="en-US"/>
        </w:rPr>
        <w:t>Jobcenter Krefeld</w:t>
      </w:r>
      <w:r w:rsidRPr="00D00979">
        <w:rPr>
          <w:sz w:val="22"/>
          <w:szCs w:val="22"/>
          <w:lang w:val="en-US"/>
        </w:rPr>
        <w:t xml:space="preserve">, it remains </w:t>
      </w:r>
      <w:r w:rsidR="00BC016A" w:rsidRPr="00D00979">
        <w:rPr>
          <w:sz w:val="22"/>
          <w:szCs w:val="22"/>
          <w:lang w:val="en-US"/>
        </w:rPr>
        <w:t>to be seen</w:t>
      </w:r>
      <w:r w:rsidRPr="00D00979">
        <w:rPr>
          <w:sz w:val="22"/>
          <w:szCs w:val="22"/>
          <w:lang w:val="en-US"/>
        </w:rPr>
        <w:t xml:space="preserve"> whether the right-to-reside tests listed in the Citizenship Directive may be used as preconditions for the enjoyment of the rights </w:t>
      </w:r>
      <w:r w:rsidR="00BC016A" w:rsidRPr="00D00979">
        <w:rPr>
          <w:sz w:val="22"/>
          <w:szCs w:val="22"/>
          <w:lang w:val="en-US"/>
        </w:rPr>
        <w:t>featured</w:t>
      </w:r>
      <w:r w:rsidRPr="00D00979">
        <w:rPr>
          <w:sz w:val="22"/>
          <w:szCs w:val="22"/>
          <w:lang w:val="en-US"/>
        </w:rPr>
        <w:t xml:space="preserve"> </w:t>
      </w:r>
      <w:r w:rsidR="00BC016A" w:rsidRPr="00D00979">
        <w:rPr>
          <w:sz w:val="22"/>
          <w:szCs w:val="22"/>
          <w:lang w:val="en-US"/>
        </w:rPr>
        <w:t>in</w:t>
      </w:r>
      <w:r w:rsidRPr="00D00979">
        <w:rPr>
          <w:sz w:val="22"/>
          <w:szCs w:val="22"/>
          <w:lang w:val="en-US"/>
        </w:rPr>
        <w:t xml:space="preserve"> the Workers’ Regulation even in the absence of an </w:t>
      </w:r>
      <w:r w:rsidR="00BC016A" w:rsidRPr="00D00979">
        <w:rPr>
          <w:sz w:val="22"/>
          <w:szCs w:val="22"/>
          <w:lang w:val="en-US"/>
        </w:rPr>
        <w:t>independ</w:t>
      </w:r>
      <w:r w:rsidR="00222F63" w:rsidRPr="00D00979">
        <w:rPr>
          <w:sz w:val="22"/>
          <w:szCs w:val="22"/>
          <w:lang w:val="en-US"/>
        </w:rPr>
        <w:t>ent</w:t>
      </w:r>
      <w:r w:rsidRPr="00D00979">
        <w:rPr>
          <w:sz w:val="22"/>
          <w:szCs w:val="22"/>
          <w:lang w:val="en-US"/>
        </w:rPr>
        <w:t xml:space="preserve"> right to reside. </w:t>
      </w:r>
      <w:r w:rsidR="00227070">
        <w:rPr>
          <w:sz w:val="22"/>
          <w:szCs w:val="22"/>
          <w:lang w:val="en-US"/>
        </w:rPr>
        <w:t>It would appear from the Court’s judgment that it</w:t>
      </w:r>
      <w:r w:rsidR="00FF6AA0" w:rsidRPr="00D00979">
        <w:rPr>
          <w:sz w:val="22"/>
          <w:szCs w:val="22"/>
          <w:lang w:val="en-US"/>
        </w:rPr>
        <w:t xml:space="preserve"> </w:t>
      </w:r>
      <w:r w:rsidR="000D5054" w:rsidRPr="00D00979">
        <w:rPr>
          <w:sz w:val="22"/>
          <w:szCs w:val="22"/>
          <w:lang w:val="en-US"/>
        </w:rPr>
        <w:t>seems</w:t>
      </w:r>
      <w:r w:rsidR="006050CB" w:rsidRPr="00D00979">
        <w:rPr>
          <w:sz w:val="22"/>
          <w:szCs w:val="22"/>
          <w:lang w:val="en-US"/>
        </w:rPr>
        <w:t xml:space="preserve"> inclined</w:t>
      </w:r>
      <w:r w:rsidR="00FF6AA0" w:rsidRPr="00D00979">
        <w:rPr>
          <w:sz w:val="22"/>
          <w:szCs w:val="22"/>
          <w:lang w:val="en-US"/>
        </w:rPr>
        <w:t xml:space="preserve"> to </w:t>
      </w:r>
      <w:r w:rsidR="007C5682" w:rsidRPr="00D00979">
        <w:rPr>
          <w:sz w:val="22"/>
          <w:szCs w:val="22"/>
          <w:lang w:val="en-US"/>
        </w:rPr>
        <w:t>take the reasoning</w:t>
      </w:r>
      <w:r w:rsidR="00FF6AA0" w:rsidRPr="00D00979">
        <w:rPr>
          <w:sz w:val="22"/>
          <w:szCs w:val="22"/>
          <w:lang w:val="en-US"/>
        </w:rPr>
        <w:t xml:space="preserve"> </w:t>
      </w:r>
      <w:r w:rsidR="004B451D" w:rsidRPr="00D00979">
        <w:rPr>
          <w:sz w:val="22"/>
          <w:szCs w:val="22"/>
          <w:lang w:val="en-US"/>
        </w:rPr>
        <w:t xml:space="preserve">one step </w:t>
      </w:r>
      <w:r w:rsidR="00FF6AA0" w:rsidRPr="00D00979">
        <w:rPr>
          <w:sz w:val="22"/>
          <w:szCs w:val="22"/>
          <w:lang w:val="en-US"/>
        </w:rPr>
        <w:t>further</w:t>
      </w:r>
      <w:r w:rsidR="00EB6FD4" w:rsidRPr="00D00979">
        <w:rPr>
          <w:sz w:val="22"/>
          <w:szCs w:val="22"/>
          <w:lang w:val="en-US"/>
        </w:rPr>
        <w:t xml:space="preserve">. </w:t>
      </w:r>
      <w:r w:rsidR="00BA43F4" w:rsidRPr="00D00979">
        <w:rPr>
          <w:sz w:val="22"/>
          <w:szCs w:val="22"/>
          <w:lang w:val="en-US"/>
        </w:rPr>
        <w:t>In</w:t>
      </w:r>
      <w:r w:rsidR="00EB6FD4" w:rsidRPr="00D00979">
        <w:rPr>
          <w:sz w:val="22"/>
          <w:szCs w:val="22"/>
          <w:lang w:val="en-US"/>
        </w:rPr>
        <w:t xml:space="preserve"> paragraph 70 of its judgment, the Court indeed </w:t>
      </w:r>
      <w:r w:rsidR="00FF6AA0" w:rsidRPr="00D00979">
        <w:rPr>
          <w:sz w:val="22"/>
          <w:szCs w:val="22"/>
          <w:lang w:val="en-US"/>
        </w:rPr>
        <w:t>considers that</w:t>
      </w:r>
      <w:r w:rsidR="00E825A4" w:rsidRPr="00D00979">
        <w:rPr>
          <w:sz w:val="22"/>
          <w:szCs w:val="22"/>
          <w:lang w:val="en-US"/>
        </w:rPr>
        <w:t>,</w:t>
      </w:r>
    </w:p>
    <w:p w14:paraId="41CC13E5" w14:textId="77777777" w:rsidR="00D7623A" w:rsidRPr="00D00979" w:rsidRDefault="00D7623A" w:rsidP="00D7623A">
      <w:pPr>
        <w:pStyle w:val="NormalWeb"/>
        <w:spacing w:before="0" w:beforeAutospacing="0" w:after="0" w:afterAutospacing="0"/>
        <w:jc w:val="both"/>
        <w:rPr>
          <w:sz w:val="22"/>
          <w:szCs w:val="22"/>
          <w:lang w:val="en-US"/>
        </w:rPr>
      </w:pPr>
    </w:p>
    <w:p w14:paraId="3F41F562" w14:textId="4D240451" w:rsidR="00A3091F" w:rsidRPr="00D00979" w:rsidRDefault="00A3091F" w:rsidP="00D7623A">
      <w:pPr>
        <w:pStyle w:val="NormalWeb"/>
        <w:spacing w:before="0" w:beforeAutospacing="0" w:after="0" w:afterAutospacing="0"/>
        <w:ind w:left="284"/>
        <w:jc w:val="both"/>
        <w:rPr>
          <w:color w:val="000000"/>
          <w:sz w:val="22"/>
          <w:szCs w:val="22"/>
          <w:lang w:val="en-US"/>
        </w:rPr>
      </w:pPr>
      <w:r w:rsidRPr="00D00979">
        <w:rPr>
          <w:sz w:val="22"/>
          <w:szCs w:val="22"/>
          <w:lang w:val="en-US"/>
        </w:rPr>
        <w:t>“</w:t>
      </w:r>
      <w:r w:rsidR="00FF6AA0" w:rsidRPr="00D00979">
        <w:rPr>
          <w:color w:val="000000"/>
          <w:sz w:val="22"/>
          <w:szCs w:val="22"/>
          <w:lang w:val="en-US"/>
        </w:rPr>
        <w:t xml:space="preserve">the fact that jobseekers have specific rights under that </w:t>
      </w:r>
      <w:r w:rsidR="00EB7D98" w:rsidRPr="00D00979">
        <w:rPr>
          <w:color w:val="000000"/>
          <w:sz w:val="22"/>
          <w:szCs w:val="22"/>
          <w:lang w:val="en-US"/>
        </w:rPr>
        <w:t>D</w:t>
      </w:r>
      <w:r w:rsidR="00FF6AA0" w:rsidRPr="00D00979">
        <w:rPr>
          <w:color w:val="000000"/>
          <w:sz w:val="22"/>
          <w:szCs w:val="22"/>
          <w:lang w:val="en-US"/>
        </w:rPr>
        <w:t xml:space="preserve">irective cannot, having regard to the independence of the bodies of rules established by that </w:t>
      </w:r>
      <w:r w:rsidR="00EB6FD4" w:rsidRPr="00D00979">
        <w:rPr>
          <w:color w:val="000000"/>
          <w:sz w:val="22"/>
          <w:szCs w:val="22"/>
          <w:lang w:val="en-US"/>
        </w:rPr>
        <w:t>D</w:t>
      </w:r>
      <w:r w:rsidR="00FF6AA0" w:rsidRPr="00D00979">
        <w:rPr>
          <w:color w:val="000000"/>
          <w:sz w:val="22"/>
          <w:szCs w:val="22"/>
          <w:lang w:val="en-US"/>
        </w:rPr>
        <w:t xml:space="preserve">irective and by Regulation No 492/2011 respectively, entail a diminution in the rights that such persons can derive from that </w:t>
      </w:r>
      <w:r w:rsidR="00EB7D98" w:rsidRPr="00D00979">
        <w:rPr>
          <w:color w:val="000000"/>
          <w:sz w:val="22"/>
          <w:szCs w:val="22"/>
          <w:lang w:val="en-US"/>
        </w:rPr>
        <w:t>R</w:t>
      </w:r>
      <w:r w:rsidR="00FF6AA0" w:rsidRPr="00D00979">
        <w:rPr>
          <w:color w:val="000000"/>
          <w:sz w:val="22"/>
          <w:szCs w:val="22"/>
          <w:lang w:val="en-US"/>
        </w:rPr>
        <w:t>egulation</w:t>
      </w:r>
      <w:r w:rsidRPr="00D00979">
        <w:rPr>
          <w:color w:val="000000"/>
          <w:sz w:val="22"/>
          <w:szCs w:val="22"/>
          <w:lang w:val="en-US"/>
        </w:rPr>
        <w:t>”</w:t>
      </w:r>
      <w:r w:rsidR="00FF6AA0" w:rsidRPr="00D00979">
        <w:rPr>
          <w:color w:val="000000"/>
          <w:sz w:val="22"/>
          <w:szCs w:val="22"/>
          <w:lang w:val="en-US"/>
        </w:rPr>
        <w:t>.</w:t>
      </w:r>
      <w:r w:rsidR="004B451D" w:rsidRPr="00D00979">
        <w:rPr>
          <w:rStyle w:val="Appelnotedebasdep"/>
          <w:color w:val="000000"/>
          <w:sz w:val="22"/>
          <w:szCs w:val="22"/>
          <w:lang w:val="en-US"/>
        </w:rPr>
        <w:footnoteReference w:id="85"/>
      </w:r>
      <w:r w:rsidR="00FF6AA0" w:rsidRPr="00D00979">
        <w:rPr>
          <w:color w:val="000000"/>
          <w:sz w:val="22"/>
          <w:szCs w:val="22"/>
          <w:lang w:val="en-US"/>
        </w:rPr>
        <w:t xml:space="preserve"> </w:t>
      </w:r>
    </w:p>
    <w:p w14:paraId="79C6863E" w14:textId="77777777" w:rsidR="00D7623A" w:rsidRPr="00D00979" w:rsidRDefault="00D7623A" w:rsidP="00D7623A">
      <w:pPr>
        <w:pStyle w:val="NormalWeb"/>
        <w:spacing w:before="0" w:beforeAutospacing="0" w:after="0" w:afterAutospacing="0"/>
        <w:ind w:left="284"/>
        <w:jc w:val="both"/>
        <w:rPr>
          <w:sz w:val="22"/>
          <w:szCs w:val="22"/>
          <w:lang w:val="en-US"/>
        </w:rPr>
      </w:pPr>
    </w:p>
    <w:p w14:paraId="2B75BDBA" w14:textId="444CCBC3" w:rsidR="007D6DE2" w:rsidRPr="00D00979" w:rsidRDefault="00EB6FD4" w:rsidP="00D7623A">
      <w:pPr>
        <w:pStyle w:val="NormalWeb"/>
        <w:spacing w:before="0" w:beforeAutospacing="0" w:after="0" w:afterAutospacing="0"/>
        <w:jc w:val="both"/>
        <w:rPr>
          <w:color w:val="000000"/>
          <w:sz w:val="22"/>
          <w:szCs w:val="22"/>
          <w:lang w:val="en-US"/>
        </w:rPr>
      </w:pPr>
      <w:r w:rsidRPr="00D00979">
        <w:rPr>
          <w:color w:val="000000"/>
          <w:sz w:val="22"/>
          <w:szCs w:val="22"/>
          <w:lang w:val="en-US"/>
        </w:rPr>
        <w:t xml:space="preserve">In doing so, the Court appears to rely on </w:t>
      </w:r>
      <w:r w:rsidR="004B451D" w:rsidRPr="00D00979">
        <w:rPr>
          <w:color w:val="000000"/>
          <w:sz w:val="22"/>
          <w:szCs w:val="22"/>
          <w:lang w:val="en-US"/>
        </w:rPr>
        <w:t xml:space="preserve">the </w:t>
      </w:r>
      <w:r w:rsidR="00F50F3C" w:rsidRPr="00D00979">
        <w:rPr>
          <w:color w:val="000000"/>
          <w:sz w:val="22"/>
          <w:szCs w:val="22"/>
          <w:lang w:val="en-US"/>
        </w:rPr>
        <w:t>independence</w:t>
      </w:r>
      <w:r w:rsidR="004B451D" w:rsidRPr="00D00979">
        <w:rPr>
          <w:color w:val="000000"/>
          <w:sz w:val="22"/>
          <w:szCs w:val="22"/>
          <w:lang w:val="en-US"/>
        </w:rPr>
        <w:t xml:space="preserve"> of the </w:t>
      </w:r>
      <w:r w:rsidRPr="00D00979">
        <w:rPr>
          <w:color w:val="000000"/>
          <w:sz w:val="22"/>
          <w:szCs w:val="22"/>
          <w:lang w:val="en-US"/>
        </w:rPr>
        <w:t xml:space="preserve">equality </w:t>
      </w:r>
      <w:r w:rsidR="004B451D" w:rsidRPr="00D00979">
        <w:rPr>
          <w:color w:val="000000"/>
          <w:sz w:val="22"/>
          <w:szCs w:val="22"/>
          <w:lang w:val="en-US"/>
        </w:rPr>
        <w:t>regime established by the Regulation</w:t>
      </w:r>
      <w:r w:rsidRPr="00D00979">
        <w:rPr>
          <w:color w:val="000000"/>
          <w:sz w:val="22"/>
          <w:szCs w:val="22"/>
          <w:lang w:val="en-US"/>
        </w:rPr>
        <w:t xml:space="preserve"> </w:t>
      </w:r>
      <w:r w:rsidRPr="00D00979">
        <w:rPr>
          <w:i/>
          <w:iCs/>
          <w:color w:val="000000"/>
          <w:sz w:val="22"/>
          <w:szCs w:val="22"/>
          <w:lang w:val="en-US"/>
        </w:rPr>
        <w:t>as a whole</w:t>
      </w:r>
      <w:r w:rsidR="004B451D" w:rsidRPr="00D00979">
        <w:rPr>
          <w:color w:val="000000"/>
          <w:sz w:val="22"/>
          <w:szCs w:val="22"/>
          <w:lang w:val="en-US"/>
        </w:rPr>
        <w:t xml:space="preserve"> to rule out the application of the residence requirements established by the </w:t>
      </w:r>
      <w:r w:rsidRPr="00D00979">
        <w:rPr>
          <w:color w:val="000000"/>
          <w:sz w:val="22"/>
          <w:szCs w:val="22"/>
          <w:lang w:val="en-US"/>
        </w:rPr>
        <w:t>Citizenship Directive</w:t>
      </w:r>
      <w:r w:rsidR="004B451D" w:rsidRPr="00D00979">
        <w:rPr>
          <w:color w:val="000000"/>
          <w:sz w:val="22"/>
          <w:szCs w:val="22"/>
          <w:lang w:val="en-US"/>
        </w:rPr>
        <w:t xml:space="preserve"> in relation to the principle of equal treatment fleshed out in Article 7(2) of the </w:t>
      </w:r>
      <w:r w:rsidR="00402FDE" w:rsidRPr="00D00979">
        <w:rPr>
          <w:color w:val="000000"/>
          <w:sz w:val="22"/>
          <w:szCs w:val="22"/>
          <w:lang w:val="en-US"/>
        </w:rPr>
        <w:t xml:space="preserve">Workers’ </w:t>
      </w:r>
      <w:r w:rsidR="004B451D" w:rsidRPr="00D00979">
        <w:rPr>
          <w:color w:val="000000"/>
          <w:sz w:val="22"/>
          <w:szCs w:val="22"/>
          <w:lang w:val="en-US"/>
        </w:rPr>
        <w:t xml:space="preserve">Regulation. </w:t>
      </w:r>
      <w:r w:rsidR="00AA0191" w:rsidRPr="00D00979">
        <w:rPr>
          <w:rFonts w:eastAsia="Arial Unicode MS"/>
          <w:sz w:val="22"/>
          <w:szCs w:val="22"/>
          <w:bdr w:val="nil"/>
          <w:lang w:val="en-US"/>
        </w:rPr>
        <w:t>As</w:t>
      </w:r>
      <w:r w:rsidR="00D30240" w:rsidRPr="00D00979">
        <w:rPr>
          <w:rFonts w:eastAsia="Arial Unicode MS"/>
          <w:sz w:val="22"/>
          <w:szCs w:val="22"/>
          <w:bdr w:val="nil"/>
          <w:lang w:val="en-US"/>
        </w:rPr>
        <w:t xml:space="preserve"> </w:t>
      </w:r>
      <w:r w:rsidR="00AA0191" w:rsidRPr="00D00979">
        <w:rPr>
          <w:rFonts w:eastAsia="Arial Unicode MS"/>
          <w:sz w:val="22"/>
          <w:szCs w:val="22"/>
          <w:bdr w:val="nil"/>
          <w:lang w:val="en-US"/>
        </w:rPr>
        <w:t>that provision</w:t>
      </w:r>
      <w:r w:rsidR="00D30240" w:rsidRPr="00D00979">
        <w:rPr>
          <w:rFonts w:eastAsia="Arial Unicode MS"/>
          <w:sz w:val="22"/>
          <w:szCs w:val="22"/>
          <w:bdr w:val="nil"/>
          <w:lang w:val="en-US"/>
        </w:rPr>
        <w:t xml:space="preserve"> </w:t>
      </w:r>
      <w:r w:rsidR="00AA0191" w:rsidRPr="00D00979">
        <w:rPr>
          <w:rFonts w:eastAsia="Arial Unicode MS"/>
          <w:sz w:val="22"/>
          <w:szCs w:val="22"/>
          <w:bdr w:val="nil"/>
          <w:lang w:val="en-US"/>
        </w:rPr>
        <w:t>is</w:t>
      </w:r>
      <w:r w:rsidR="00D30240" w:rsidRPr="00D00979">
        <w:rPr>
          <w:rFonts w:eastAsia="Arial Unicode MS"/>
          <w:sz w:val="22"/>
          <w:szCs w:val="22"/>
          <w:bdr w:val="nil"/>
          <w:lang w:val="en-US"/>
        </w:rPr>
        <w:t xml:space="preserve"> the specific expression, in the </w:t>
      </w:r>
      <w:r w:rsidR="00A50B59" w:rsidRPr="00D00979">
        <w:rPr>
          <w:rFonts w:eastAsia="Arial Unicode MS"/>
          <w:sz w:val="22"/>
          <w:szCs w:val="22"/>
          <w:bdr w:val="nil"/>
          <w:lang w:val="en-US"/>
        </w:rPr>
        <w:t>area of the grant of social advantages</w:t>
      </w:r>
      <w:r w:rsidR="00D30240" w:rsidRPr="00D00979">
        <w:rPr>
          <w:rFonts w:eastAsia="Arial Unicode MS"/>
          <w:sz w:val="22"/>
          <w:szCs w:val="22"/>
          <w:bdr w:val="nil"/>
          <w:lang w:val="en-US"/>
        </w:rPr>
        <w:t xml:space="preserve">, of the principle of </w:t>
      </w:r>
      <w:r w:rsidR="00AA0191" w:rsidRPr="00D00979">
        <w:rPr>
          <w:rFonts w:eastAsia="Arial Unicode MS"/>
          <w:sz w:val="22"/>
          <w:szCs w:val="22"/>
          <w:bdr w:val="nil"/>
          <w:lang w:val="en-US"/>
        </w:rPr>
        <w:t>equal treatment</w:t>
      </w:r>
      <w:r w:rsidR="00D30240" w:rsidRPr="00D00979">
        <w:rPr>
          <w:rFonts w:eastAsia="Arial Unicode MS"/>
          <w:sz w:val="22"/>
          <w:szCs w:val="22"/>
          <w:bdr w:val="nil"/>
          <w:lang w:val="en-US"/>
        </w:rPr>
        <w:t xml:space="preserve"> enshrined in </w:t>
      </w:r>
      <w:r w:rsidR="00AA0191" w:rsidRPr="00D00979">
        <w:rPr>
          <w:rFonts w:eastAsia="Arial Unicode MS"/>
          <w:sz w:val="22"/>
          <w:szCs w:val="22"/>
          <w:bdr w:val="nil"/>
          <w:lang w:val="en-US"/>
        </w:rPr>
        <w:t>Article 45</w:t>
      </w:r>
      <w:r w:rsidR="00A50B59" w:rsidRPr="00D00979">
        <w:rPr>
          <w:rFonts w:eastAsia="Arial Unicode MS"/>
          <w:sz w:val="22"/>
          <w:szCs w:val="22"/>
          <w:bdr w:val="nil"/>
          <w:lang w:val="en-US"/>
        </w:rPr>
        <w:t>(2)</w:t>
      </w:r>
      <w:r w:rsidR="00D30240" w:rsidRPr="00D00979">
        <w:rPr>
          <w:rFonts w:eastAsia="Arial Unicode MS"/>
          <w:sz w:val="22"/>
          <w:szCs w:val="22"/>
          <w:bdr w:val="nil"/>
          <w:lang w:val="en-US"/>
        </w:rPr>
        <w:t xml:space="preserve"> </w:t>
      </w:r>
      <w:r w:rsidR="00AA0191" w:rsidRPr="00D00979">
        <w:rPr>
          <w:rFonts w:eastAsia="Arial Unicode MS"/>
          <w:sz w:val="22"/>
          <w:szCs w:val="22"/>
          <w:bdr w:val="nil"/>
          <w:lang w:val="en-US"/>
        </w:rPr>
        <w:t>TFEU,</w:t>
      </w:r>
      <w:r w:rsidR="00AA0191" w:rsidRPr="00D00979">
        <w:rPr>
          <w:rStyle w:val="Appelnotedebasdep"/>
          <w:rFonts w:eastAsia="Arial Unicode MS"/>
          <w:sz w:val="22"/>
          <w:szCs w:val="22"/>
          <w:bdr w:val="nil"/>
          <w:lang w:val="en-US"/>
        </w:rPr>
        <w:footnoteReference w:id="86"/>
      </w:r>
      <w:r w:rsidR="00AA0191" w:rsidRPr="00D00979">
        <w:rPr>
          <w:rFonts w:eastAsia="Arial Unicode MS"/>
          <w:sz w:val="22"/>
          <w:szCs w:val="22"/>
          <w:bdr w:val="nil"/>
          <w:lang w:val="en-US"/>
        </w:rPr>
        <w:t xml:space="preserve"> it is meant to</w:t>
      </w:r>
      <w:r w:rsidR="00D30240" w:rsidRPr="00D00979">
        <w:rPr>
          <w:rFonts w:eastAsia="Arial Unicode MS"/>
          <w:sz w:val="22"/>
          <w:szCs w:val="22"/>
          <w:bdr w:val="nil"/>
          <w:lang w:val="en-US"/>
        </w:rPr>
        <w:t xml:space="preserve"> apply specifically to migrant workers</w:t>
      </w:r>
      <w:r w:rsidR="00AA0191" w:rsidRPr="00D00979">
        <w:rPr>
          <w:rFonts w:eastAsia="Arial Unicode MS"/>
          <w:sz w:val="22"/>
          <w:szCs w:val="22"/>
          <w:bdr w:val="nil"/>
          <w:lang w:val="en-US"/>
        </w:rPr>
        <w:t xml:space="preserve"> </w:t>
      </w:r>
      <w:r w:rsidR="00D30240" w:rsidRPr="00D00979">
        <w:rPr>
          <w:rFonts w:eastAsia="Arial Unicode MS"/>
          <w:sz w:val="22"/>
          <w:szCs w:val="22"/>
          <w:bdr w:val="nil"/>
          <w:lang w:val="en-US"/>
        </w:rPr>
        <w:t>independent</w:t>
      </w:r>
      <w:r w:rsidR="00A50B59" w:rsidRPr="00D00979">
        <w:rPr>
          <w:rFonts w:eastAsia="Arial Unicode MS"/>
          <w:sz w:val="22"/>
          <w:szCs w:val="22"/>
          <w:bdr w:val="nil"/>
          <w:lang w:val="en-US"/>
        </w:rPr>
        <w:t>ly</w:t>
      </w:r>
      <w:r w:rsidR="00D30240" w:rsidRPr="00D00979">
        <w:rPr>
          <w:rFonts w:eastAsia="Arial Unicode MS"/>
          <w:sz w:val="22"/>
          <w:szCs w:val="22"/>
          <w:bdr w:val="nil"/>
          <w:lang w:val="en-US"/>
        </w:rPr>
        <w:t xml:space="preserve"> of the rights and duties deriving from the Citizenship Directive.</w:t>
      </w:r>
      <w:r w:rsidR="00BC4C87" w:rsidRPr="00D00979">
        <w:rPr>
          <w:rFonts w:eastAsia="Arial Unicode MS"/>
          <w:sz w:val="22"/>
          <w:szCs w:val="22"/>
          <w:bdr w:val="nil"/>
          <w:lang w:val="en-US"/>
        </w:rPr>
        <w:t xml:space="preserve"> </w:t>
      </w:r>
      <w:r w:rsidR="005E5F08" w:rsidRPr="00D00979">
        <w:rPr>
          <w:rFonts w:eastAsia="Arial Unicode MS"/>
          <w:sz w:val="22"/>
          <w:szCs w:val="22"/>
          <w:bdr w:val="nil"/>
          <w:lang w:val="en-US"/>
        </w:rPr>
        <w:t xml:space="preserve">In the event of overlap in the application of </w:t>
      </w:r>
      <w:r w:rsidR="005E5F08" w:rsidRPr="00D00979">
        <w:rPr>
          <w:rFonts w:eastAsia="Arial Unicode MS"/>
          <w:sz w:val="22"/>
          <w:szCs w:val="22"/>
          <w:bdr w:val="nil"/>
          <w:lang w:val="en-US"/>
        </w:rPr>
        <w:lastRenderedPageBreak/>
        <w:t xml:space="preserve">these two legislative instruments, the rule most favourable for the individual concerned takes precedence. </w:t>
      </w:r>
      <w:r w:rsidR="00A54F57" w:rsidRPr="00D00979">
        <w:rPr>
          <w:rFonts w:eastAsia="Arial Unicode MS"/>
          <w:sz w:val="22"/>
          <w:szCs w:val="22"/>
          <w:bdr w:val="nil"/>
          <w:lang w:val="en-US"/>
        </w:rPr>
        <w:t xml:space="preserve">It </w:t>
      </w:r>
      <w:r w:rsidR="00021A9E" w:rsidRPr="00D00979">
        <w:rPr>
          <w:rFonts w:eastAsia="Arial Unicode MS"/>
          <w:sz w:val="22"/>
          <w:szCs w:val="22"/>
          <w:bdr w:val="nil"/>
          <w:lang w:val="en-US"/>
        </w:rPr>
        <w:t>appears as though</w:t>
      </w:r>
      <w:r w:rsidR="00A54F57" w:rsidRPr="00D00979">
        <w:rPr>
          <w:rFonts w:eastAsia="Arial Unicode MS"/>
          <w:sz w:val="22"/>
          <w:szCs w:val="22"/>
          <w:bdr w:val="nil"/>
          <w:lang w:val="en-US"/>
        </w:rPr>
        <w:t xml:space="preserve"> the Court</w:t>
      </w:r>
      <w:r w:rsidR="00A728B6" w:rsidRPr="00D00979">
        <w:rPr>
          <w:rFonts w:eastAsia="Arial Unicode MS"/>
          <w:sz w:val="22"/>
          <w:szCs w:val="22"/>
          <w:bdr w:val="nil"/>
          <w:lang w:val="en-US"/>
        </w:rPr>
        <w:t xml:space="preserve"> </w:t>
      </w:r>
      <w:r w:rsidR="00A54F57" w:rsidRPr="00D00979">
        <w:rPr>
          <w:rFonts w:eastAsia="Arial Unicode MS"/>
          <w:sz w:val="22"/>
          <w:szCs w:val="22"/>
          <w:bdr w:val="nil"/>
          <w:lang w:val="en-US"/>
        </w:rPr>
        <w:t>considers</w:t>
      </w:r>
      <w:r w:rsidR="00A728B6" w:rsidRPr="00D00979">
        <w:rPr>
          <w:rFonts w:eastAsia="Arial Unicode MS"/>
          <w:sz w:val="22"/>
          <w:szCs w:val="22"/>
          <w:bdr w:val="nil"/>
          <w:lang w:val="en-US"/>
        </w:rPr>
        <w:t xml:space="preserve"> that the</w:t>
      </w:r>
      <w:r w:rsidR="00BC4C87" w:rsidRPr="00D00979">
        <w:rPr>
          <w:rFonts w:eastAsia="Arial Unicode MS"/>
          <w:sz w:val="22"/>
          <w:szCs w:val="22"/>
          <w:bdr w:val="nil"/>
          <w:lang w:val="en-US"/>
        </w:rPr>
        <w:t xml:space="preserve"> autonomy of the Workers’ Regulation would be adversely affected if the </w:t>
      </w:r>
      <w:r w:rsidR="00635A8A" w:rsidRPr="00D00979">
        <w:rPr>
          <w:rFonts w:eastAsia="Arial Unicode MS"/>
          <w:sz w:val="22"/>
          <w:szCs w:val="22"/>
          <w:bdr w:val="nil"/>
          <w:lang w:val="en-US"/>
        </w:rPr>
        <w:t xml:space="preserve">requirements listed in the </w:t>
      </w:r>
      <w:r w:rsidR="00BC4C87" w:rsidRPr="00D00979">
        <w:rPr>
          <w:rFonts w:eastAsia="Arial Unicode MS"/>
          <w:sz w:val="22"/>
          <w:szCs w:val="22"/>
          <w:bdr w:val="nil"/>
          <w:lang w:val="en-US"/>
        </w:rPr>
        <w:t xml:space="preserve">Citizenship Directive </w:t>
      </w:r>
      <w:r w:rsidR="00635A8A" w:rsidRPr="00D00979">
        <w:rPr>
          <w:rFonts w:eastAsia="Arial Unicode MS"/>
          <w:sz w:val="22"/>
          <w:szCs w:val="22"/>
          <w:bdr w:val="nil"/>
          <w:lang w:val="en-US"/>
        </w:rPr>
        <w:t>were used as pre-condition</w:t>
      </w:r>
      <w:r w:rsidR="006C065F" w:rsidRPr="00D00979">
        <w:rPr>
          <w:rFonts w:eastAsia="Arial Unicode MS"/>
          <w:sz w:val="22"/>
          <w:szCs w:val="22"/>
          <w:bdr w:val="nil"/>
          <w:lang w:val="en-US"/>
        </w:rPr>
        <w:t>s</w:t>
      </w:r>
      <w:r w:rsidR="00635A8A" w:rsidRPr="00D00979">
        <w:rPr>
          <w:rFonts w:eastAsia="Arial Unicode MS"/>
          <w:sz w:val="22"/>
          <w:szCs w:val="22"/>
          <w:bdr w:val="nil"/>
          <w:lang w:val="en-US"/>
        </w:rPr>
        <w:t xml:space="preserve"> for the enjoyment of </w:t>
      </w:r>
      <w:r w:rsidR="00BC4C87" w:rsidRPr="00D00979">
        <w:rPr>
          <w:rFonts w:eastAsia="Arial Unicode MS"/>
          <w:sz w:val="22"/>
          <w:szCs w:val="22"/>
          <w:bdr w:val="nil"/>
          <w:lang w:val="en-US"/>
        </w:rPr>
        <w:t>the principle of equal treatment set out therein.</w:t>
      </w:r>
      <w:r w:rsidR="000F7DD0" w:rsidRPr="00D00979">
        <w:rPr>
          <w:rFonts w:eastAsia="Arial Unicode MS"/>
          <w:sz w:val="22"/>
          <w:szCs w:val="22"/>
          <w:bdr w:val="nil"/>
          <w:lang w:val="en-US"/>
        </w:rPr>
        <w:t xml:space="preserve"> </w:t>
      </w:r>
      <w:r w:rsidR="00BC016A" w:rsidRPr="00D00979">
        <w:rPr>
          <w:color w:val="000000"/>
          <w:sz w:val="22"/>
          <w:szCs w:val="22"/>
          <w:lang w:val="en-US"/>
        </w:rPr>
        <w:t xml:space="preserve">In other words, it would seem that the equality rights enjoyed by migrant workers on the basis of Regulation 492/2011 cannot be made subject to the limitations featured in the Citizenship Directive even in the absence of an independent right of residence. </w:t>
      </w:r>
      <w:r w:rsidR="00447792" w:rsidRPr="00D00979">
        <w:rPr>
          <w:color w:val="000000"/>
          <w:sz w:val="22"/>
          <w:szCs w:val="22"/>
          <w:lang w:val="en-US"/>
        </w:rPr>
        <w:t xml:space="preserve">It is submitted here that such an interpretation </w:t>
      </w:r>
      <w:r w:rsidR="002A5BE2" w:rsidRPr="00D00979">
        <w:rPr>
          <w:color w:val="000000"/>
          <w:sz w:val="22"/>
          <w:szCs w:val="22"/>
          <w:lang w:val="en-US"/>
        </w:rPr>
        <w:t xml:space="preserve">should be followed in future judgments since it </w:t>
      </w:r>
      <w:r w:rsidR="00447792" w:rsidRPr="00D00979">
        <w:rPr>
          <w:color w:val="000000"/>
          <w:sz w:val="22"/>
          <w:szCs w:val="22"/>
          <w:lang w:val="en-US"/>
        </w:rPr>
        <w:t>falls in line with the very purpose of the rules on free movement of workers</w:t>
      </w:r>
      <w:r w:rsidR="002A5BE2" w:rsidRPr="00D00979">
        <w:rPr>
          <w:color w:val="000000"/>
          <w:sz w:val="22"/>
          <w:szCs w:val="22"/>
          <w:lang w:val="en-US"/>
        </w:rPr>
        <w:t xml:space="preserve">. </w:t>
      </w:r>
      <w:r w:rsidR="00447792" w:rsidRPr="00D00979">
        <w:rPr>
          <w:color w:val="000000"/>
          <w:sz w:val="22"/>
          <w:szCs w:val="22"/>
          <w:lang w:val="en-US"/>
        </w:rPr>
        <w:t xml:space="preserve"> </w:t>
      </w:r>
      <w:r w:rsidR="002A5BE2" w:rsidRPr="00D00979">
        <w:rPr>
          <w:rFonts w:eastAsia="Arial Unicode MS"/>
          <w:sz w:val="22"/>
          <w:szCs w:val="22"/>
          <w:bdr w:val="nil"/>
          <w:lang w:val="en-US"/>
        </w:rPr>
        <w:t>As stated in the Preamble to the Worker’s Regulation, the aim of that freedom is to remove obstacles to the mobility of workers in a way that guarantees the best possible conditions for the integration of the worker’s family into the host country.</w:t>
      </w:r>
      <w:r w:rsidR="002A5BE2" w:rsidRPr="00D00979">
        <w:rPr>
          <w:rStyle w:val="Appelnotedebasdep"/>
          <w:rFonts w:eastAsia="Arial Unicode MS"/>
          <w:sz w:val="22"/>
          <w:szCs w:val="22"/>
          <w:bdr w:val="nil"/>
          <w:lang w:val="en-US"/>
        </w:rPr>
        <w:footnoteReference w:id="87"/>
      </w:r>
      <w:r w:rsidR="002A5BE2" w:rsidRPr="00D00979">
        <w:rPr>
          <w:color w:val="000000"/>
          <w:sz w:val="22"/>
          <w:szCs w:val="22"/>
          <w:lang w:val="en-US"/>
        </w:rPr>
        <w:t xml:space="preserve"> </w:t>
      </w:r>
      <w:r w:rsidR="00F65F92">
        <w:rPr>
          <w:color w:val="000000"/>
          <w:sz w:val="22"/>
          <w:szCs w:val="22"/>
          <w:lang w:val="en-US"/>
        </w:rPr>
        <w:t>To my mind, i</w:t>
      </w:r>
      <w:r w:rsidR="00485975" w:rsidRPr="00D00979">
        <w:rPr>
          <w:color w:val="000000"/>
          <w:sz w:val="22"/>
          <w:szCs w:val="22"/>
          <w:lang w:val="en-US"/>
        </w:rPr>
        <w:t xml:space="preserve">mposing </w:t>
      </w:r>
      <w:r w:rsidR="008428BD">
        <w:rPr>
          <w:color w:val="000000"/>
          <w:sz w:val="22"/>
          <w:szCs w:val="22"/>
          <w:lang w:val="en-US"/>
        </w:rPr>
        <w:t xml:space="preserve">discriminatory </w:t>
      </w:r>
      <w:r w:rsidR="00485975" w:rsidRPr="00D00979">
        <w:rPr>
          <w:color w:val="000000"/>
          <w:sz w:val="22"/>
          <w:szCs w:val="22"/>
          <w:lang w:val="en-US"/>
        </w:rPr>
        <w:t>integration requirements – including residence conditions</w:t>
      </w:r>
      <w:r w:rsidR="001B3B90" w:rsidRPr="00D00979">
        <w:rPr>
          <w:color w:val="000000"/>
          <w:sz w:val="22"/>
          <w:szCs w:val="22"/>
          <w:lang w:val="en-US"/>
        </w:rPr>
        <w:t xml:space="preserve"> - </w:t>
      </w:r>
      <w:r w:rsidR="00485975" w:rsidRPr="00D00979">
        <w:rPr>
          <w:color w:val="000000"/>
          <w:sz w:val="22"/>
          <w:szCs w:val="22"/>
          <w:lang w:val="en-US"/>
        </w:rPr>
        <w:t xml:space="preserve">on (former) migrant workers applying for social benefits in the host state </w:t>
      </w:r>
      <w:r w:rsidR="001B3B90" w:rsidRPr="00D00979">
        <w:rPr>
          <w:color w:val="000000"/>
          <w:sz w:val="22"/>
          <w:szCs w:val="22"/>
          <w:lang w:val="en-US"/>
        </w:rPr>
        <w:t>run</w:t>
      </w:r>
      <w:r w:rsidR="00332B61">
        <w:rPr>
          <w:color w:val="000000"/>
          <w:sz w:val="22"/>
          <w:szCs w:val="22"/>
          <w:lang w:val="en-US"/>
        </w:rPr>
        <w:t>s</w:t>
      </w:r>
      <w:r w:rsidR="001B3B90" w:rsidRPr="00D00979">
        <w:rPr>
          <w:color w:val="000000"/>
          <w:sz w:val="22"/>
          <w:szCs w:val="22"/>
          <w:lang w:val="en-US"/>
        </w:rPr>
        <w:t xml:space="preserve"> counter to the achievement of</w:t>
      </w:r>
      <w:r w:rsidR="00447792" w:rsidRPr="00D00979">
        <w:rPr>
          <w:color w:val="000000"/>
          <w:sz w:val="22"/>
          <w:szCs w:val="22"/>
          <w:lang w:val="en-US"/>
        </w:rPr>
        <w:t xml:space="preserve"> that objective</w:t>
      </w:r>
      <w:r w:rsidR="001B3B90" w:rsidRPr="00D00979">
        <w:rPr>
          <w:color w:val="000000"/>
          <w:sz w:val="22"/>
          <w:szCs w:val="22"/>
          <w:lang w:val="en-US"/>
        </w:rPr>
        <w:t>, thereby depriving the equal treatment guarantees conferred upon migrant workers of their effectiveness</w:t>
      </w:r>
      <w:r w:rsidR="00485975" w:rsidRPr="00D00979">
        <w:rPr>
          <w:color w:val="000000"/>
          <w:sz w:val="22"/>
          <w:szCs w:val="22"/>
          <w:lang w:val="en-US"/>
        </w:rPr>
        <w:t xml:space="preserve">. </w:t>
      </w:r>
      <w:r w:rsidR="00222F63" w:rsidRPr="00D00979">
        <w:rPr>
          <w:rFonts w:eastAsia="Arial Unicode MS"/>
          <w:sz w:val="22"/>
          <w:szCs w:val="22"/>
          <w:bdr w:val="nil"/>
          <w:lang w:val="en-US"/>
        </w:rPr>
        <w:t xml:space="preserve">As a consequence, it is </w:t>
      </w:r>
      <w:r w:rsidR="00447792" w:rsidRPr="00D00979">
        <w:rPr>
          <w:rFonts w:eastAsia="Arial Unicode MS"/>
          <w:sz w:val="22"/>
          <w:szCs w:val="22"/>
          <w:bdr w:val="nil"/>
          <w:lang w:val="en-US"/>
        </w:rPr>
        <w:t>suggested</w:t>
      </w:r>
      <w:r w:rsidR="00222F63" w:rsidRPr="00D00979">
        <w:rPr>
          <w:rFonts w:eastAsia="Arial Unicode MS"/>
          <w:sz w:val="22"/>
          <w:szCs w:val="22"/>
          <w:bdr w:val="nil"/>
          <w:lang w:val="en-US"/>
        </w:rPr>
        <w:t xml:space="preserve"> that </w:t>
      </w:r>
      <w:r w:rsidR="001F5CED" w:rsidRPr="00D00979">
        <w:rPr>
          <w:rFonts w:eastAsia="Arial Unicode MS"/>
          <w:sz w:val="22"/>
          <w:szCs w:val="22"/>
          <w:bdr w:val="nil"/>
          <w:lang w:val="en-US"/>
        </w:rPr>
        <w:t>(</w:t>
      </w:r>
      <w:r w:rsidR="00FB6695" w:rsidRPr="00D00979">
        <w:rPr>
          <w:rFonts w:eastAsia="Arial Unicode MS"/>
          <w:sz w:val="22"/>
          <w:szCs w:val="22"/>
          <w:bdr w:val="nil"/>
          <w:lang w:val="en-US"/>
        </w:rPr>
        <w:t>former</w:t>
      </w:r>
      <w:r w:rsidR="001F5CED" w:rsidRPr="00D00979">
        <w:rPr>
          <w:rFonts w:eastAsia="Arial Unicode MS"/>
          <w:sz w:val="22"/>
          <w:szCs w:val="22"/>
          <w:bdr w:val="nil"/>
          <w:lang w:val="en-US"/>
        </w:rPr>
        <w:t>)</w:t>
      </w:r>
      <w:r w:rsidR="00FB6695" w:rsidRPr="00D00979">
        <w:rPr>
          <w:rFonts w:eastAsia="Arial Unicode MS"/>
          <w:sz w:val="22"/>
          <w:szCs w:val="22"/>
          <w:bdr w:val="nil"/>
          <w:lang w:val="en-US"/>
        </w:rPr>
        <w:t xml:space="preserve"> migrant workers</w:t>
      </w:r>
      <w:r w:rsidR="00076426" w:rsidRPr="00D00979">
        <w:rPr>
          <w:rFonts w:eastAsia="Arial Unicode MS"/>
          <w:sz w:val="22"/>
          <w:szCs w:val="22"/>
          <w:bdr w:val="nil"/>
          <w:lang w:val="en-US"/>
        </w:rPr>
        <w:t xml:space="preserve"> </w:t>
      </w:r>
      <w:r w:rsidR="00222F63" w:rsidRPr="00D00979">
        <w:rPr>
          <w:rFonts w:eastAsia="Arial Unicode MS"/>
          <w:sz w:val="22"/>
          <w:szCs w:val="22"/>
          <w:bdr w:val="nil"/>
          <w:lang w:val="en-US"/>
        </w:rPr>
        <w:t>should</w:t>
      </w:r>
      <w:r w:rsidR="00076426" w:rsidRPr="00D00979">
        <w:rPr>
          <w:rFonts w:eastAsia="Arial Unicode MS"/>
          <w:sz w:val="22"/>
          <w:szCs w:val="22"/>
          <w:bdr w:val="nil"/>
          <w:lang w:val="en-US"/>
        </w:rPr>
        <w:t xml:space="preserve"> be able to rely on Article 7(2) of the Regulation as long as they retain their status of worker within the meaning of that provision without having to satisfy the right-to-reside tests featured in the Citizenship Directive.</w:t>
      </w:r>
      <w:r w:rsidR="00CC1D02" w:rsidRPr="00D00979">
        <w:rPr>
          <w:rFonts w:eastAsia="Arial Unicode MS"/>
          <w:sz w:val="22"/>
          <w:szCs w:val="22"/>
          <w:bdr w:val="nil"/>
          <w:lang w:val="en-US"/>
        </w:rPr>
        <w:t xml:space="preserve"> </w:t>
      </w:r>
    </w:p>
    <w:p w14:paraId="670280CC" w14:textId="77777777" w:rsidR="00D7623A" w:rsidRPr="00D00979" w:rsidRDefault="00D7623A" w:rsidP="00D7623A">
      <w:pPr>
        <w:pStyle w:val="NormalWeb"/>
        <w:spacing w:before="0" w:beforeAutospacing="0" w:after="0" w:afterAutospacing="0"/>
        <w:jc w:val="both"/>
        <w:rPr>
          <w:rFonts w:eastAsia="Arial Unicode MS"/>
          <w:sz w:val="22"/>
          <w:szCs w:val="22"/>
          <w:bdr w:val="nil"/>
          <w:lang w:val="en-US"/>
        </w:rPr>
      </w:pPr>
    </w:p>
    <w:p w14:paraId="2FEA518B" w14:textId="59834693" w:rsidR="00A3091F" w:rsidRPr="00D00979" w:rsidRDefault="00076426" w:rsidP="00D7623A">
      <w:pPr>
        <w:pStyle w:val="NormalWeb"/>
        <w:spacing w:before="0" w:beforeAutospacing="0" w:after="0" w:afterAutospacing="0"/>
        <w:jc w:val="both"/>
        <w:rPr>
          <w:rStyle w:val="apple-converted-space"/>
          <w:color w:val="000000"/>
          <w:sz w:val="22"/>
          <w:szCs w:val="22"/>
          <w:shd w:val="clear" w:color="auto" w:fill="FFFFFF"/>
          <w:lang w:val="en-US"/>
        </w:rPr>
      </w:pPr>
      <w:r w:rsidRPr="00D00979">
        <w:rPr>
          <w:rFonts w:eastAsia="Arial Unicode MS"/>
          <w:sz w:val="22"/>
          <w:szCs w:val="22"/>
          <w:bdr w:val="nil"/>
          <w:lang w:val="en-US"/>
        </w:rPr>
        <w:t xml:space="preserve">That approach </w:t>
      </w:r>
      <w:r w:rsidR="005425C9" w:rsidRPr="00D00979">
        <w:rPr>
          <w:rFonts w:eastAsia="Arial Unicode MS"/>
          <w:sz w:val="22"/>
          <w:szCs w:val="22"/>
          <w:bdr w:val="nil"/>
          <w:lang w:val="en-US"/>
        </w:rPr>
        <w:t>is</w:t>
      </w:r>
      <w:r w:rsidR="00BC016A" w:rsidRPr="00D00979">
        <w:rPr>
          <w:rFonts w:eastAsia="Arial Unicode MS"/>
          <w:sz w:val="22"/>
          <w:szCs w:val="22"/>
          <w:bdr w:val="nil"/>
          <w:lang w:val="en-US"/>
        </w:rPr>
        <w:t xml:space="preserve"> </w:t>
      </w:r>
      <w:r w:rsidR="005425C9" w:rsidRPr="00D00979">
        <w:rPr>
          <w:rFonts w:eastAsia="Arial Unicode MS"/>
          <w:sz w:val="22"/>
          <w:szCs w:val="22"/>
          <w:bdr w:val="nil"/>
          <w:lang w:val="en-US"/>
        </w:rPr>
        <w:t>likely to</w:t>
      </w:r>
      <w:r w:rsidRPr="00D00979">
        <w:rPr>
          <w:rFonts w:eastAsia="Arial Unicode MS"/>
          <w:sz w:val="22"/>
          <w:szCs w:val="22"/>
          <w:bdr w:val="nil"/>
          <w:lang w:val="en-US"/>
        </w:rPr>
        <w:t xml:space="preserve"> </w:t>
      </w:r>
      <w:r w:rsidR="005425C9" w:rsidRPr="00D00979">
        <w:rPr>
          <w:rFonts w:eastAsia="Arial Unicode MS"/>
          <w:sz w:val="22"/>
          <w:szCs w:val="22"/>
          <w:bdr w:val="nil"/>
          <w:lang w:val="en-US"/>
        </w:rPr>
        <w:t xml:space="preserve">have </w:t>
      </w:r>
      <w:r w:rsidRPr="00D00979">
        <w:rPr>
          <w:rFonts w:eastAsia="Arial Unicode MS"/>
          <w:sz w:val="22"/>
          <w:szCs w:val="22"/>
          <w:bdr w:val="nil"/>
          <w:lang w:val="en-US"/>
        </w:rPr>
        <w:t xml:space="preserve">far-reaching implications </w:t>
      </w:r>
      <w:r w:rsidR="005425C9" w:rsidRPr="00D00979">
        <w:rPr>
          <w:rFonts w:eastAsia="Arial Unicode MS"/>
          <w:sz w:val="22"/>
          <w:szCs w:val="22"/>
          <w:bdr w:val="nil"/>
          <w:lang w:val="en-US"/>
        </w:rPr>
        <w:t xml:space="preserve">considering the broad construction of the material scope of Article 7(2) of the Regulation. According to the Court, the concept of </w:t>
      </w:r>
      <w:r w:rsidR="00A3091F" w:rsidRPr="00D00979">
        <w:rPr>
          <w:rFonts w:eastAsia="Arial Unicode MS"/>
          <w:sz w:val="22"/>
          <w:szCs w:val="22"/>
          <w:bdr w:val="nil"/>
          <w:lang w:val="en-US"/>
        </w:rPr>
        <w:t>“</w:t>
      </w:r>
      <w:r w:rsidR="005425C9" w:rsidRPr="00D00979">
        <w:rPr>
          <w:rFonts w:eastAsia="Arial Unicode MS"/>
          <w:sz w:val="22"/>
          <w:szCs w:val="22"/>
          <w:bdr w:val="nil"/>
          <w:lang w:val="en-US"/>
        </w:rPr>
        <w:t>social advantages</w:t>
      </w:r>
      <w:r w:rsidR="00A3091F" w:rsidRPr="00D00979">
        <w:rPr>
          <w:rFonts w:eastAsia="Arial Unicode MS"/>
          <w:sz w:val="22"/>
          <w:szCs w:val="22"/>
          <w:bdr w:val="nil"/>
          <w:lang w:val="en-US"/>
        </w:rPr>
        <w:t>”</w:t>
      </w:r>
      <w:r w:rsidR="005425C9" w:rsidRPr="00D00979">
        <w:rPr>
          <w:rFonts w:eastAsia="Arial Unicode MS"/>
          <w:sz w:val="22"/>
          <w:szCs w:val="22"/>
          <w:bdr w:val="nil"/>
          <w:lang w:val="en-US"/>
        </w:rPr>
        <w:t xml:space="preserve"> includes</w:t>
      </w:r>
      <w:r w:rsidR="00E825A4" w:rsidRPr="00D00979">
        <w:rPr>
          <w:rFonts w:eastAsia="Arial Unicode MS"/>
          <w:sz w:val="22"/>
          <w:szCs w:val="22"/>
          <w:bdr w:val="nil"/>
          <w:lang w:val="en-US"/>
        </w:rPr>
        <w:t>,</w:t>
      </w:r>
      <w:r w:rsidR="005425C9" w:rsidRPr="00D00979">
        <w:rPr>
          <w:rStyle w:val="apple-converted-space"/>
          <w:color w:val="000000"/>
          <w:sz w:val="22"/>
          <w:szCs w:val="22"/>
          <w:shd w:val="clear" w:color="auto" w:fill="FFFFFF"/>
          <w:lang w:val="en-US"/>
        </w:rPr>
        <w:t> </w:t>
      </w:r>
    </w:p>
    <w:p w14:paraId="29E18651" w14:textId="77777777" w:rsidR="00D7623A" w:rsidRPr="00D00979" w:rsidRDefault="00D7623A" w:rsidP="00D7623A">
      <w:pPr>
        <w:pStyle w:val="NormalWeb"/>
        <w:spacing w:before="0" w:beforeAutospacing="0" w:after="0" w:afterAutospacing="0"/>
        <w:jc w:val="both"/>
        <w:rPr>
          <w:rStyle w:val="apple-converted-space"/>
          <w:color w:val="000000"/>
          <w:sz w:val="22"/>
          <w:szCs w:val="22"/>
          <w:shd w:val="clear" w:color="auto" w:fill="FFFFFF"/>
          <w:lang w:val="en-US"/>
        </w:rPr>
      </w:pPr>
    </w:p>
    <w:p w14:paraId="76922C42" w14:textId="4BEA8F2B" w:rsidR="00A3091F" w:rsidRPr="00D00979" w:rsidRDefault="00A3091F" w:rsidP="00D7623A">
      <w:pPr>
        <w:pStyle w:val="NormalWeb"/>
        <w:spacing w:before="0" w:beforeAutospacing="0" w:after="0" w:afterAutospacing="0"/>
        <w:ind w:left="284"/>
        <w:jc w:val="both"/>
        <w:rPr>
          <w:color w:val="000000"/>
          <w:sz w:val="22"/>
          <w:szCs w:val="22"/>
          <w:lang w:val="en-US"/>
        </w:rPr>
      </w:pPr>
      <w:r w:rsidRPr="00D00979">
        <w:rPr>
          <w:rStyle w:val="apple-converted-space"/>
          <w:color w:val="000000"/>
          <w:sz w:val="22"/>
          <w:szCs w:val="22"/>
          <w:shd w:val="clear" w:color="auto" w:fill="FFFFFF"/>
          <w:lang w:val="en-US"/>
        </w:rPr>
        <w:t>“</w:t>
      </w:r>
      <w:r w:rsidR="005425C9" w:rsidRPr="00D00979">
        <w:rPr>
          <w:color w:val="000000"/>
          <w:sz w:val="22"/>
          <w:szCs w:val="22"/>
          <w:shd w:val="clear" w:color="auto" w:fill="FFFFFF"/>
          <w:lang w:val="en-US"/>
        </w:rPr>
        <w:t>all advantages</w:t>
      </w:r>
      <w:r w:rsidR="0068253F" w:rsidRPr="00D00979">
        <w:rPr>
          <w:color w:val="000000"/>
          <w:sz w:val="22"/>
          <w:szCs w:val="22"/>
          <w:shd w:val="clear" w:color="auto" w:fill="FFFFFF"/>
          <w:lang w:val="en-US"/>
        </w:rPr>
        <w:t xml:space="preserve"> which,</w:t>
      </w:r>
      <w:r w:rsidR="005425C9" w:rsidRPr="00D00979">
        <w:rPr>
          <w:color w:val="000000"/>
          <w:sz w:val="22"/>
          <w:szCs w:val="22"/>
          <w:shd w:val="clear" w:color="auto" w:fill="FFFFFF"/>
          <w:lang w:val="en-US"/>
        </w:rPr>
        <w:t xml:space="preserve"> whether or not linked to a contract of employment, are generally granted to national workers primarily because of their objective status as workers or by virtue of the mere fact of their residence </w:t>
      </w:r>
      <w:r w:rsidR="0068253F" w:rsidRPr="00D00979">
        <w:rPr>
          <w:color w:val="000000"/>
          <w:sz w:val="22"/>
          <w:szCs w:val="22"/>
          <w:shd w:val="clear" w:color="auto" w:fill="FFFFFF"/>
          <w:lang w:val="en-US"/>
        </w:rPr>
        <w:t>on</w:t>
      </w:r>
      <w:r w:rsidR="005425C9" w:rsidRPr="00D00979">
        <w:rPr>
          <w:color w:val="000000"/>
          <w:sz w:val="22"/>
          <w:szCs w:val="22"/>
          <w:shd w:val="clear" w:color="auto" w:fill="FFFFFF"/>
          <w:lang w:val="en-US"/>
        </w:rPr>
        <w:t xml:space="preserve"> the national territory</w:t>
      </w:r>
      <w:r w:rsidR="0068253F" w:rsidRPr="00D00979">
        <w:rPr>
          <w:color w:val="000000"/>
          <w:sz w:val="22"/>
          <w:szCs w:val="22"/>
          <w:shd w:val="clear" w:color="auto" w:fill="FFFFFF"/>
          <w:lang w:val="en-US"/>
        </w:rPr>
        <w:t xml:space="preserve"> and </w:t>
      </w:r>
      <w:r w:rsidR="005425C9" w:rsidRPr="00D00979">
        <w:rPr>
          <w:color w:val="000000"/>
          <w:sz w:val="22"/>
          <w:szCs w:val="22"/>
          <w:shd w:val="clear" w:color="auto" w:fill="FFFFFF"/>
          <w:lang w:val="en-US"/>
        </w:rPr>
        <w:t xml:space="preserve">the extension </w:t>
      </w:r>
      <w:r w:rsidR="0068253F" w:rsidRPr="00D00979">
        <w:rPr>
          <w:color w:val="000000"/>
          <w:sz w:val="22"/>
          <w:szCs w:val="22"/>
          <w:shd w:val="clear" w:color="auto" w:fill="FFFFFF"/>
          <w:lang w:val="en-US"/>
        </w:rPr>
        <w:t xml:space="preserve">of which </w:t>
      </w:r>
      <w:r w:rsidR="005425C9" w:rsidRPr="00D00979">
        <w:rPr>
          <w:color w:val="000000"/>
          <w:sz w:val="22"/>
          <w:szCs w:val="22"/>
          <w:shd w:val="clear" w:color="auto" w:fill="FFFFFF"/>
          <w:lang w:val="en-US"/>
        </w:rPr>
        <w:t xml:space="preserve">to workers who are nationals of other Member States </w:t>
      </w:r>
      <w:r w:rsidR="0068253F" w:rsidRPr="00D00979">
        <w:rPr>
          <w:color w:val="000000"/>
          <w:sz w:val="22"/>
          <w:szCs w:val="22"/>
          <w:shd w:val="clear" w:color="auto" w:fill="FFFFFF"/>
          <w:lang w:val="en-US"/>
        </w:rPr>
        <w:t>therefore seems suitable</w:t>
      </w:r>
      <w:r w:rsidR="005425C9" w:rsidRPr="00D00979">
        <w:rPr>
          <w:color w:val="000000"/>
          <w:sz w:val="22"/>
          <w:szCs w:val="22"/>
          <w:shd w:val="clear" w:color="auto" w:fill="FFFFFF"/>
          <w:lang w:val="en-US"/>
        </w:rPr>
        <w:t xml:space="preserve"> to facilitate their mobility within the</w:t>
      </w:r>
      <w:r w:rsidR="005425C9" w:rsidRPr="00D00979">
        <w:rPr>
          <w:rStyle w:val="apple-converted-space"/>
          <w:color w:val="000000"/>
          <w:sz w:val="22"/>
          <w:szCs w:val="22"/>
          <w:shd w:val="clear" w:color="auto" w:fill="FFFFFF"/>
          <w:lang w:val="en-US"/>
        </w:rPr>
        <w:t> </w:t>
      </w:r>
      <w:r w:rsidR="005425C9" w:rsidRPr="00D00979">
        <w:rPr>
          <w:color w:val="000000"/>
          <w:sz w:val="22"/>
          <w:szCs w:val="22"/>
          <w:lang w:val="en-US"/>
        </w:rPr>
        <w:t>EU</w:t>
      </w:r>
      <w:r w:rsidR="00AB0C12" w:rsidRPr="00D00979">
        <w:rPr>
          <w:color w:val="000000"/>
          <w:sz w:val="22"/>
          <w:szCs w:val="22"/>
          <w:lang w:val="en-US"/>
        </w:rPr>
        <w:t xml:space="preserve"> </w:t>
      </w:r>
      <w:r w:rsidR="0068253F" w:rsidRPr="00D00979">
        <w:rPr>
          <w:color w:val="000000"/>
          <w:sz w:val="22"/>
          <w:szCs w:val="22"/>
          <w:lang w:val="en-US"/>
        </w:rPr>
        <w:t>and</w:t>
      </w:r>
      <w:r w:rsidR="00AB0C12" w:rsidRPr="00D00979">
        <w:rPr>
          <w:color w:val="000000"/>
          <w:sz w:val="22"/>
          <w:szCs w:val="22"/>
          <w:lang w:val="en-US"/>
        </w:rPr>
        <w:t>,</w:t>
      </w:r>
      <w:r w:rsidR="0068253F" w:rsidRPr="00D00979">
        <w:rPr>
          <w:color w:val="000000"/>
          <w:sz w:val="22"/>
          <w:szCs w:val="22"/>
          <w:lang w:val="en-US"/>
        </w:rPr>
        <w:t xml:space="preserve"> consequently</w:t>
      </w:r>
      <w:r w:rsidR="00AB0C12" w:rsidRPr="00D00979">
        <w:rPr>
          <w:color w:val="000000"/>
          <w:sz w:val="22"/>
          <w:szCs w:val="22"/>
          <w:lang w:val="en-US"/>
        </w:rPr>
        <w:t>,</w:t>
      </w:r>
      <w:r w:rsidR="0068253F" w:rsidRPr="00D00979">
        <w:rPr>
          <w:color w:val="000000"/>
          <w:sz w:val="22"/>
          <w:szCs w:val="22"/>
          <w:lang w:val="en-US"/>
        </w:rPr>
        <w:t xml:space="preserve"> their integration into the host state</w:t>
      </w:r>
      <w:r w:rsidRPr="00D00979">
        <w:rPr>
          <w:color w:val="000000"/>
          <w:sz w:val="22"/>
          <w:szCs w:val="22"/>
          <w:lang w:val="en-US"/>
        </w:rPr>
        <w:t>”</w:t>
      </w:r>
      <w:r w:rsidR="005425C9" w:rsidRPr="00D00979">
        <w:rPr>
          <w:color w:val="000000"/>
          <w:sz w:val="22"/>
          <w:szCs w:val="22"/>
          <w:lang w:val="en-US"/>
        </w:rPr>
        <w:t>.</w:t>
      </w:r>
      <w:r w:rsidR="000F1B1B" w:rsidRPr="00D00979">
        <w:rPr>
          <w:rStyle w:val="Appelnotedebasdep"/>
          <w:color w:val="000000"/>
          <w:sz w:val="22"/>
          <w:szCs w:val="22"/>
          <w:lang w:val="en-US"/>
        </w:rPr>
        <w:footnoteReference w:id="88"/>
      </w:r>
      <w:r w:rsidR="005425C9" w:rsidRPr="00D00979">
        <w:rPr>
          <w:color w:val="000000"/>
          <w:sz w:val="22"/>
          <w:szCs w:val="22"/>
          <w:lang w:val="en-US"/>
        </w:rPr>
        <w:t xml:space="preserve"> </w:t>
      </w:r>
    </w:p>
    <w:p w14:paraId="008331E0" w14:textId="77777777" w:rsidR="00D7623A" w:rsidRPr="00D00979" w:rsidRDefault="00D7623A" w:rsidP="00D7623A">
      <w:pPr>
        <w:pStyle w:val="NormalWeb"/>
        <w:spacing w:before="0" w:beforeAutospacing="0" w:after="0" w:afterAutospacing="0"/>
        <w:ind w:left="284"/>
        <w:jc w:val="both"/>
        <w:rPr>
          <w:color w:val="000000"/>
          <w:sz w:val="22"/>
          <w:szCs w:val="22"/>
          <w:lang w:val="en-US"/>
        </w:rPr>
      </w:pPr>
    </w:p>
    <w:p w14:paraId="2BDBE08A" w14:textId="72C8B38D" w:rsidR="00F805C0" w:rsidRPr="00D00979" w:rsidRDefault="00F805C0" w:rsidP="00D7623A">
      <w:pPr>
        <w:pStyle w:val="NormalWeb"/>
        <w:spacing w:before="0" w:beforeAutospacing="0" w:after="0" w:afterAutospacing="0"/>
        <w:jc w:val="both"/>
        <w:rPr>
          <w:rFonts w:eastAsia="Arial Unicode MS"/>
          <w:sz w:val="22"/>
          <w:szCs w:val="22"/>
          <w:bdr w:val="nil"/>
          <w:lang w:val="en-US"/>
        </w:rPr>
      </w:pPr>
      <w:r w:rsidRPr="00D00979">
        <w:rPr>
          <w:rFonts w:eastAsia="Arial Unicode MS"/>
          <w:sz w:val="22"/>
          <w:szCs w:val="22"/>
          <w:bdr w:val="nil"/>
          <w:lang w:val="en-US"/>
        </w:rPr>
        <w:t>When it is called upon to interpret that concept</w:t>
      </w:r>
      <w:r w:rsidR="0068253F" w:rsidRPr="00D00979">
        <w:rPr>
          <w:rFonts w:eastAsia="Arial Unicode MS"/>
          <w:sz w:val="22"/>
          <w:szCs w:val="22"/>
          <w:bdr w:val="nil"/>
          <w:lang w:val="en-US"/>
        </w:rPr>
        <w:t xml:space="preserve">, the Court </w:t>
      </w:r>
      <w:r w:rsidR="00343525" w:rsidRPr="00D00979">
        <w:rPr>
          <w:rFonts w:eastAsia="Arial Unicode MS"/>
          <w:sz w:val="22"/>
          <w:szCs w:val="22"/>
          <w:bdr w:val="nil"/>
          <w:lang w:val="en-US"/>
        </w:rPr>
        <w:t>focuse</w:t>
      </w:r>
      <w:r w:rsidR="009E5E17" w:rsidRPr="00D00979">
        <w:rPr>
          <w:rFonts w:eastAsia="Arial Unicode MS"/>
          <w:sz w:val="22"/>
          <w:szCs w:val="22"/>
          <w:bdr w:val="nil"/>
          <w:lang w:val="en-US"/>
        </w:rPr>
        <w:t>s</w:t>
      </w:r>
      <w:r w:rsidR="00343525" w:rsidRPr="00D00979">
        <w:rPr>
          <w:rFonts w:eastAsia="Arial Unicode MS"/>
          <w:sz w:val="22"/>
          <w:szCs w:val="22"/>
          <w:bdr w:val="nil"/>
          <w:lang w:val="en-US"/>
        </w:rPr>
        <w:t xml:space="preserve"> on the </w:t>
      </w:r>
      <w:r w:rsidR="00A3091F" w:rsidRPr="00D00979">
        <w:rPr>
          <w:rFonts w:eastAsia="Arial Unicode MS"/>
          <w:sz w:val="22"/>
          <w:szCs w:val="22"/>
          <w:bdr w:val="nil"/>
          <w:lang w:val="en-US"/>
        </w:rPr>
        <w:t>“</w:t>
      </w:r>
      <w:r w:rsidR="00343525" w:rsidRPr="00D00979">
        <w:rPr>
          <w:rFonts w:eastAsia="Arial Unicode MS"/>
          <w:sz w:val="22"/>
          <w:szCs w:val="22"/>
          <w:bdr w:val="nil"/>
          <w:lang w:val="en-US"/>
        </w:rPr>
        <w:t xml:space="preserve">inclusive </w:t>
      </w:r>
      <w:r w:rsidR="00F05C9A" w:rsidRPr="00D00979">
        <w:rPr>
          <w:rFonts w:eastAsia="Arial Unicode MS"/>
          <w:sz w:val="22"/>
          <w:szCs w:val="22"/>
          <w:bdr w:val="nil"/>
          <w:lang w:val="en-US"/>
        </w:rPr>
        <w:t>role</w:t>
      </w:r>
      <w:r w:rsidR="00A3091F" w:rsidRPr="00D00979">
        <w:rPr>
          <w:rFonts w:eastAsia="Arial Unicode MS"/>
          <w:sz w:val="22"/>
          <w:szCs w:val="22"/>
          <w:bdr w:val="nil"/>
          <w:lang w:val="en-US"/>
        </w:rPr>
        <w:t>”</w:t>
      </w:r>
      <w:r w:rsidR="00F05C9A" w:rsidRPr="00D00979">
        <w:rPr>
          <w:rFonts w:eastAsia="Arial Unicode MS"/>
          <w:sz w:val="22"/>
          <w:szCs w:val="22"/>
          <w:bdr w:val="nil"/>
          <w:lang w:val="en-US"/>
        </w:rPr>
        <w:t xml:space="preserve"> </w:t>
      </w:r>
      <w:r w:rsidR="006F0DD1" w:rsidRPr="00D00979">
        <w:rPr>
          <w:rFonts w:eastAsia="Arial Unicode MS"/>
          <w:sz w:val="22"/>
          <w:szCs w:val="22"/>
          <w:bdr w:val="nil"/>
          <w:lang w:val="en-US"/>
        </w:rPr>
        <w:t>played by</w:t>
      </w:r>
      <w:r w:rsidR="00F05C9A" w:rsidRPr="00D00979">
        <w:rPr>
          <w:rFonts w:eastAsia="Arial Unicode MS"/>
          <w:sz w:val="22"/>
          <w:szCs w:val="22"/>
          <w:bdr w:val="nil"/>
          <w:lang w:val="en-US"/>
        </w:rPr>
        <w:t xml:space="preserve"> social advantages in furthering the integration of the workers in the host state</w:t>
      </w:r>
      <w:r w:rsidR="0068253F" w:rsidRPr="00D00979">
        <w:rPr>
          <w:rFonts w:eastAsia="Arial Unicode MS"/>
          <w:sz w:val="22"/>
          <w:szCs w:val="22"/>
          <w:bdr w:val="nil"/>
          <w:lang w:val="en-US"/>
        </w:rPr>
        <w:t>.</w:t>
      </w:r>
      <w:r w:rsidR="00F05C9A" w:rsidRPr="00D00979">
        <w:rPr>
          <w:rStyle w:val="Appelnotedebasdep"/>
          <w:rFonts w:eastAsia="Arial Unicode MS"/>
          <w:sz w:val="22"/>
          <w:szCs w:val="22"/>
          <w:bdr w:val="nil"/>
          <w:lang w:val="en-US"/>
        </w:rPr>
        <w:footnoteReference w:id="89"/>
      </w:r>
      <w:r w:rsidR="0068253F" w:rsidRPr="00D00979">
        <w:rPr>
          <w:rFonts w:eastAsia="Arial Unicode MS"/>
          <w:sz w:val="22"/>
          <w:szCs w:val="22"/>
          <w:bdr w:val="nil"/>
          <w:lang w:val="en-US"/>
        </w:rPr>
        <w:t xml:space="preserve"> </w:t>
      </w:r>
      <w:r w:rsidR="007D6DE2" w:rsidRPr="00D00979">
        <w:rPr>
          <w:rFonts w:eastAsia="Arial Unicode MS"/>
          <w:sz w:val="22"/>
          <w:szCs w:val="22"/>
          <w:bdr w:val="nil"/>
          <w:lang w:val="en-US"/>
        </w:rPr>
        <w:t xml:space="preserve">It follows that the </w:t>
      </w:r>
      <w:r w:rsidR="00F17B0F" w:rsidRPr="00D00979">
        <w:rPr>
          <w:rFonts w:eastAsia="Arial Unicode MS"/>
          <w:sz w:val="22"/>
          <w:szCs w:val="22"/>
          <w:bdr w:val="nil"/>
          <w:lang w:val="en-US"/>
        </w:rPr>
        <w:t>protection afforded by Article 7</w:t>
      </w:r>
      <w:r w:rsidR="0099602F" w:rsidRPr="00D00979">
        <w:rPr>
          <w:rFonts w:eastAsia="Arial Unicode MS"/>
          <w:sz w:val="22"/>
          <w:szCs w:val="22"/>
          <w:bdr w:val="nil"/>
          <w:lang w:val="en-US"/>
        </w:rPr>
        <w:t>(2)</w:t>
      </w:r>
      <w:r w:rsidR="00F17B0F" w:rsidRPr="00D00979">
        <w:rPr>
          <w:rFonts w:eastAsia="Arial Unicode MS"/>
          <w:sz w:val="22"/>
          <w:szCs w:val="22"/>
          <w:bdr w:val="nil"/>
          <w:lang w:val="en-US"/>
        </w:rPr>
        <w:t xml:space="preserve"> of the Workers</w:t>
      </w:r>
      <w:r w:rsidR="0099602F" w:rsidRPr="00D00979">
        <w:rPr>
          <w:rFonts w:eastAsia="Arial Unicode MS"/>
          <w:sz w:val="22"/>
          <w:szCs w:val="22"/>
          <w:bdr w:val="nil"/>
          <w:lang w:val="en-US"/>
        </w:rPr>
        <w:t>’</w:t>
      </w:r>
      <w:r w:rsidR="00F17B0F" w:rsidRPr="00D00979">
        <w:rPr>
          <w:rFonts w:eastAsia="Arial Unicode MS"/>
          <w:sz w:val="22"/>
          <w:szCs w:val="22"/>
          <w:bdr w:val="nil"/>
          <w:lang w:val="en-US"/>
        </w:rPr>
        <w:t xml:space="preserve"> Regulation </w:t>
      </w:r>
      <w:r w:rsidR="007D6DE2" w:rsidRPr="00D00979">
        <w:rPr>
          <w:rFonts w:eastAsia="Arial Unicode MS"/>
          <w:sz w:val="22"/>
          <w:szCs w:val="22"/>
          <w:bdr w:val="nil"/>
          <w:lang w:val="en-US"/>
        </w:rPr>
        <w:t xml:space="preserve">is not merely intended to cover advantages that facilitate the integration of the worker in the </w:t>
      </w:r>
      <w:r w:rsidR="007D6DE2" w:rsidRPr="00D00979">
        <w:rPr>
          <w:rFonts w:eastAsia="Arial Unicode MS"/>
          <w:i/>
          <w:iCs/>
          <w:sz w:val="22"/>
          <w:szCs w:val="22"/>
          <w:bdr w:val="nil"/>
          <w:lang w:val="en-US"/>
        </w:rPr>
        <w:t>employment market of the host state</w:t>
      </w:r>
      <w:r w:rsidR="007D6DE2" w:rsidRPr="00D00979">
        <w:rPr>
          <w:rFonts w:eastAsia="Arial Unicode MS"/>
          <w:sz w:val="22"/>
          <w:szCs w:val="22"/>
          <w:bdr w:val="nil"/>
          <w:lang w:val="en-US"/>
        </w:rPr>
        <w:t xml:space="preserve">. </w:t>
      </w:r>
      <w:r w:rsidR="0068253F" w:rsidRPr="00D00979">
        <w:rPr>
          <w:rFonts w:eastAsia="Arial Unicode MS"/>
          <w:sz w:val="22"/>
          <w:szCs w:val="22"/>
          <w:bdr w:val="nil"/>
          <w:lang w:val="en-US"/>
        </w:rPr>
        <w:t xml:space="preserve">What matters most, for the purposes of </w:t>
      </w:r>
      <w:r w:rsidR="0099602F" w:rsidRPr="00D00979">
        <w:rPr>
          <w:rFonts w:eastAsia="Arial Unicode MS"/>
          <w:sz w:val="22"/>
          <w:szCs w:val="22"/>
          <w:bdr w:val="nil"/>
          <w:lang w:val="en-US"/>
        </w:rPr>
        <w:t>that provision</w:t>
      </w:r>
      <w:r w:rsidR="0068253F" w:rsidRPr="00D00979">
        <w:rPr>
          <w:rFonts w:eastAsia="Arial Unicode MS"/>
          <w:sz w:val="22"/>
          <w:szCs w:val="22"/>
          <w:bdr w:val="nil"/>
          <w:lang w:val="en-US"/>
        </w:rPr>
        <w:t xml:space="preserve">, is that the advantage claimed by the migrant worker </w:t>
      </w:r>
      <w:r w:rsidR="007D6DE2" w:rsidRPr="00D00979">
        <w:rPr>
          <w:rFonts w:eastAsia="Arial Unicode MS"/>
          <w:sz w:val="22"/>
          <w:szCs w:val="22"/>
          <w:bdr w:val="nil"/>
          <w:lang w:val="en-US"/>
        </w:rPr>
        <w:t>contributes</w:t>
      </w:r>
      <w:r w:rsidR="0068253F" w:rsidRPr="00D00979">
        <w:rPr>
          <w:rFonts w:eastAsia="Arial Unicode MS"/>
          <w:sz w:val="22"/>
          <w:szCs w:val="22"/>
          <w:bdr w:val="nil"/>
          <w:lang w:val="en-US"/>
        </w:rPr>
        <w:t xml:space="preserve"> </w:t>
      </w:r>
      <w:r w:rsidR="007D6DE2" w:rsidRPr="00D00979">
        <w:rPr>
          <w:rFonts w:eastAsia="Arial Unicode MS"/>
          <w:sz w:val="22"/>
          <w:szCs w:val="22"/>
          <w:bdr w:val="nil"/>
          <w:lang w:val="en-US"/>
        </w:rPr>
        <w:t xml:space="preserve">to </w:t>
      </w:r>
      <w:r w:rsidR="0068253F" w:rsidRPr="00D00979">
        <w:rPr>
          <w:rFonts w:eastAsia="Arial Unicode MS"/>
          <w:sz w:val="22"/>
          <w:szCs w:val="22"/>
          <w:bdr w:val="nil"/>
          <w:lang w:val="en-US"/>
        </w:rPr>
        <w:t xml:space="preserve">the integration of that worker and his or her family members in the </w:t>
      </w:r>
      <w:r w:rsidR="00F05C9A" w:rsidRPr="00D00979">
        <w:rPr>
          <w:rFonts w:eastAsia="Arial Unicode MS"/>
          <w:i/>
          <w:iCs/>
          <w:sz w:val="22"/>
          <w:szCs w:val="22"/>
          <w:bdr w:val="nil"/>
          <w:lang w:val="en-US"/>
        </w:rPr>
        <w:t xml:space="preserve">society of the </w:t>
      </w:r>
      <w:r w:rsidR="0068253F" w:rsidRPr="00D00979">
        <w:rPr>
          <w:rFonts w:eastAsia="Arial Unicode MS"/>
          <w:i/>
          <w:iCs/>
          <w:sz w:val="22"/>
          <w:szCs w:val="22"/>
          <w:bdr w:val="nil"/>
          <w:lang w:val="en-US"/>
        </w:rPr>
        <w:t>host state</w:t>
      </w:r>
      <w:r w:rsidR="0068253F" w:rsidRPr="00D00979">
        <w:rPr>
          <w:rFonts w:eastAsia="Arial Unicode MS"/>
          <w:sz w:val="22"/>
          <w:szCs w:val="22"/>
          <w:bdr w:val="nil"/>
          <w:lang w:val="en-US"/>
        </w:rPr>
        <w:t xml:space="preserve">. </w:t>
      </w:r>
      <w:r w:rsidR="006050CB" w:rsidRPr="00D00979">
        <w:rPr>
          <w:rFonts w:eastAsia="Arial Unicode MS"/>
          <w:sz w:val="22"/>
          <w:szCs w:val="22"/>
          <w:bdr w:val="nil"/>
          <w:lang w:val="en-US"/>
        </w:rPr>
        <w:t xml:space="preserve">This </w:t>
      </w:r>
      <w:r w:rsidR="00A728B6" w:rsidRPr="00D00979">
        <w:rPr>
          <w:rFonts w:eastAsia="Arial Unicode MS"/>
          <w:sz w:val="22"/>
          <w:szCs w:val="22"/>
          <w:bdr w:val="nil"/>
          <w:lang w:val="en-US"/>
        </w:rPr>
        <w:t xml:space="preserve">broad </w:t>
      </w:r>
      <w:r w:rsidR="006050CB" w:rsidRPr="00D00979">
        <w:rPr>
          <w:rFonts w:eastAsia="Arial Unicode MS"/>
          <w:sz w:val="22"/>
          <w:szCs w:val="22"/>
          <w:bdr w:val="nil"/>
          <w:lang w:val="en-US"/>
        </w:rPr>
        <w:t xml:space="preserve">interpretation is </w:t>
      </w:r>
      <w:r w:rsidR="00AB0C12" w:rsidRPr="00D00979">
        <w:rPr>
          <w:rFonts w:eastAsia="Arial Unicode MS"/>
          <w:sz w:val="22"/>
          <w:szCs w:val="22"/>
          <w:bdr w:val="nil"/>
          <w:lang w:val="en-US"/>
        </w:rPr>
        <w:t>borne out</w:t>
      </w:r>
      <w:r w:rsidR="006050CB" w:rsidRPr="00D00979">
        <w:rPr>
          <w:rFonts w:eastAsia="Arial Unicode MS"/>
          <w:sz w:val="22"/>
          <w:szCs w:val="22"/>
          <w:bdr w:val="nil"/>
          <w:lang w:val="en-US"/>
        </w:rPr>
        <w:t xml:space="preserve"> by </w:t>
      </w:r>
      <w:r w:rsidR="001A0EA7" w:rsidRPr="00D00979">
        <w:rPr>
          <w:rFonts w:eastAsia="Arial Unicode MS"/>
          <w:sz w:val="22"/>
          <w:szCs w:val="22"/>
          <w:bdr w:val="nil"/>
          <w:lang w:val="en-US"/>
        </w:rPr>
        <w:t xml:space="preserve">reference to </w:t>
      </w:r>
      <w:r w:rsidR="006050CB" w:rsidRPr="00D00979">
        <w:rPr>
          <w:rFonts w:eastAsia="Arial Unicode MS"/>
          <w:sz w:val="22"/>
          <w:szCs w:val="22"/>
          <w:bdr w:val="nil"/>
          <w:lang w:val="en-US"/>
        </w:rPr>
        <w:t xml:space="preserve">the </w:t>
      </w:r>
      <w:r w:rsidR="00EF7814" w:rsidRPr="00D00979">
        <w:rPr>
          <w:rFonts w:eastAsia="Arial Unicode MS"/>
          <w:sz w:val="22"/>
          <w:szCs w:val="22"/>
          <w:bdr w:val="nil"/>
          <w:lang w:val="en-US"/>
        </w:rPr>
        <w:t>objective</w:t>
      </w:r>
      <w:r w:rsidR="006050CB" w:rsidRPr="00D00979">
        <w:rPr>
          <w:rFonts w:eastAsia="Arial Unicode MS"/>
          <w:sz w:val="22"/>
          <w:szCs w:val="22"/>
          <w:bdr w:val="nil"/>
          <w:lang w:val="en-US"/>
        </w:rPr>
        <w:t xml:space="preserve"> </w:t>
      </w:r>
      <w:r w:rsidR="002A5D99" w:rsidRPr="00D00979">
        <w:rPr>
          <w:rFonts w:eastAsia="Arial Unicode MS"/>
          <w:sz w:val="22"/>
          <w:szCs w:val="22"/>
          <w:bdr w:val="nil"/>
          <w:lang w:val="en-US"/>
        </w:rPr>
        <w:t>underlying</w:t>
      </w:r>
      <w:r w:rsidR="006050CB" w:rsidRPr="00D00979">
        <w:rPr>
          <w:rFonts w:eastAsia="Arial Unicode MS"/>
          <w:sz w:val="22"/>
          <w:szCs w:val="22"/>
          <w:bdr w:val="nil"/>
          <w:lang w:val="en-US"/>
        </w:rPr>
        <w:t xml:space="preserve"> the </w:t>
      </w:r>
      <w:r w:rsidR="00F05C9A" w:rsidRPr="00D00979">
        <w:rPr>
          <w:rFonts w:eastAsia="Arial Unicode MS"/>
          <w:sz w:val="22"/>
          <w:szCs w:val="22"/>
          <w:bdr w:val="nil"/>
          <w:lang w:val="en-US"/>
        </w:rPr>
        <w:t>freedom of movement of worker</w:t>
      </w:r>
      <w:r w:rsidR="002A5D99" w:rsidRPr="00D00979">
        <w:rPr>
          <w:rFonts w:eastAsia="Arial Unicode MS"/>
          <w:sz w:val="22"/>
          <w:szCs w:val="22"/>
          <w:bdr w:val="nil"/>
          <w:lang w:val="en-US"/>
        </w:rPr>
        <w:t>s.</w:t>
      </w:r>
      <w:r w:rsidR="00AB0C12" w:rsidRPr="00D00979">
        <w:rPr>
          <w:rStyle w:val="Appelnotedebasdep"/>
          <w:rFonts w:eastAsia="Arial Unicode MS"/>
          <w:sz w:val="22"/>
          <w:szCs w:val="22"/>
          <w:bdr w:val="nil"/>
          <w:lang w:val="en-US"/>
        </w:rPr>
        <w:footnoteReference w:id="90"/>
      </w:r>
      <w:r w:rsidR="002A5D99" w:rsidRPr="00D00979">
        <w:rPr>
          <w:rFonts w:eastAsia="Arial Unicode MS"/>
          <w:sz w:val="22"/>
          <w:szCs w:val="22"/>
          <w:bdr w:val="nil"/>
          <w:lang w:val="en-US"/>
        </w:rPr>
        <w:t xml:space="preserve"> </w:t>
      </w:r>
      <w:r w:rsidR="00F07F9D" w:rsidRPr="00D00979">
        <w:rPr>
          <w:rFonts w:eastAsia="Arial Unicode MS"/>
          <w:sz w:val="22"/>
          <w:szCs w:val="22"/>
          <w:bdr w:val="nil"/>
          <w:lang w:val="en-US"/>
        </w:rPr>
        <w:t xml:space="preserve">It has indeed been demonstrated above that </w:t>
      </w:r>
      <w:r w:rsidR="0060483A" w:rsidRPr="00D00979">
        <w:rPr>
          <w:rFonts w:eastAsia="Arial Unicode MS"/>
          <w:sz w:val="22"/>
          <w:szCs w:val="22"/>
          <w:bdr w:val="nil"/>
          <w:lang w:val="en-US"/>
        </w:rPr>
        <w:t>the</w:t>
      </w:r>
      <w:r w:rsidR="002A5D99" w:rsidRPr="00D00979">
        <w:rPr>
          <w:rFonts w:eastAsia="Arial Unicode MS"/>
          <w:sz w:val="22"/>
          <w:szCs w:val="22"/>
          <w:bdr w:val="nil"/>
          <w:lang w:val="en-US"/>
        </w:rPr>
        <w:t xml:space="preserve"> aim of that freedom is to </w:t>
      </w:r>
      <w:r w:rsidR="00F07F9D" w:rsidRPr="00D00979">
        <w:rPr>
          <w:rFonts w:eastAsia="Arial Unicode MS"/>
          <w:sz w:val="22"/>
          <w:szCs w:val="22"/>
          <w:bdr w:val="nil"/>
          <w:lang w:val="en-US"/>
        </w:rPr>
        <w:t>guarantee the best possible conditions for the integration of migrant workers and their family members into the society of the host state</w:t>
      </w:r>
      <w:r w:rsidR="002A5D99" w:rsidRPr="00D00979">
        <w:rPr>
          <w:rFonts w:eastAsia="Arial Unicode MS"/>
          <w:sz w:val="22"/>
          <w:szCs w:val="22"/>
          <w:bdr w:val="nil"/>
          <w:lang w:val="en-US"/>
        </w:rPr>
        <w:t>.</w:t>
      </w:r>
      <w:r w:rsidR="006050CB" w:rsidRPr="00D00979">
        <w:rPr>
          <w:rFonts w:eastAsia="Arial Unicode MS"/>
          <w:sz w:val="22"/>
          <w:szCs w:val="22"/>
          <w:bdr w:val="nil"/>
          <w:lang w:val="en-US"/>
        </w:rPr>
        <w:t xml:space="preserve"> </w:t>
      </w:r>
      <w:r w:rsidR="0060483A" w:rsidRPr="00D00979">
        <w:rPr>
          <w:rFonts w:eastAsia="Arial Unicode MS"/>
          <w:sz w:val="22"/>
          <w:szCs w:val="22"/>
          <w:bdr w:val="nil"/>
          <w:lang w:val="en-US"/>
        </w:rPr>
        <w:t xml:space="preserve">Building upon that </w:t>
      </w:r>
      <w:r w:rsidR="009D41CE" w:rsidRPr="00D00979">
        <w:rPr>
          <w:rFonts w:eastAsia="Arial Unicode MS"/>
          <w:sz w:val="22"/>
          <w:szCs w:val="22"/>
          <w:bdr w:val="nil"/>
          <w:lang w:val="en-US"/>
        </w:rPr>
        <w:t xml:space="preserve">integrationist </w:t>
      </w:r>
      <w:r w:rsidR="0060483A" w:rsidRPr="00D00979">
        <w:rPr>
          <w:rFonts w:eastAsia="Arial Unicode MS"/>
          <w:sz w:val="22"/>
          <w:szCs w:val="22"/>
          <w:bdr w:val="nil"/>
          <w:lang w:val="en-US"/>
        </w:rPr>
        <w:t xml:space="preserve">premise, the Court has </w:t>
      </w:r>
      <w:r w:rsidR="000F1B1B" w:rsidRPr="00D00979">
        <w:rPr>
          <w:rFonts w:eastAsia="Arial Unicode MS"/>
          <w:sz w:val="22"/>
          <w:szCs w:val="22"/>
          <w:bdr w:val="nil"/>
          <w:lang w:val="en-US"/>
        </w:rPr>
        <w:t>construed</w:t>
      </w:r>
      <w:r w:rsidR="00AB0C12" w:rsidRPr="00D00979">
        <w:rPr>
          <w:rFonts w:eastAsia="Arial Unicode MS"/>
          <w:sz w:val="22"/>
          <w:szCs w:val="22"/>
          <w:bdr w:val="nil"/>
          <w:lang w:val="en-US"/>
        </w:rPr>
        <w:t xml:space="preserve"> broadly</w:t>
      </w:r>
      <w:r w:rsidR="0060483A" w:rsidRPr="00D00979">
        <w:rPr>
          <w:rFonts w:eastAsia="Arial Unicode MS"/>
          <w:sz w:val="22"/>
          <w:szCs w:val="22"/>
          <w:bdr w:val="nil"/>
          <w:lang w:val="en-US"/>
        </w:rPr>
        <w:t xml:space="preserve"> the concept of </w:t>
      </w:r>
      <w:r w:rsidR="00A3091F" w:rsidRPr="00D00979">
        <w:rPr>
          <w:rFonts w:eastAsia="Arial Unicode MS"/>
          <w:sz w:val="22"/>
          <w:szCs w:val="22"/>
          <w:bdr w:val="nil"/>
          <w:lang w:val="en-US"/>
        </w:rPr>
        <w:t>“</w:t>
      </w:r>
      <w:r w:rsidR="0060483A" w:rsidRPr="00D00979">
        <w:rPr>
          <w:rFonts w:eastAsia="Arial Unicode MS"/>
          <w:sz w:val="22"/>
          <w:szCs w:val="22"/>
          <w:bdr w:val="nil"/>
          <w:lang w:val="en-US"/>
        </w:rPr>
        <w:t>social advantages</w:t>
      </w:r>
      <w:r w:rsidR="00A3091F" w:rsidRPr="00D00979">
        <w:rPr>
          <w:rFonts w:eastAsia="Arial Unicode MS"/>
          <w:sz w:val="22"/>
          <w:szCs w:val="22"/>
          <w:bdr w:val="nil"/>
          <w:lang w:val="en-US"/>
        </w:rPr>
        <w:t>”</w:t>
      </w:r>
      <w:r w:rsidR="0060483A" w:rsidRPr="00D00979">
        <w:rPr>
          <w:rFonts w:eastAsia="Arial Unicode MS"/>
          <w:sz w:val="22"/>
          <w:szCs w:val="22"/>
          <w:bdr w:val="nil"/>
          <w:lang w:val="en-US"/>
        </w:rPr>
        <w:t xml:space="preserve"> as </w:t>
      </w:r>
      <w:r w:rsidR="006A7B0C" w:rsidRPr="00D00979">
        <w:rPr>
          <w:rFonts w:eastAsia="Arial Unicode MS"/>
          <w:sz w:val="22"/>
          <w:szCs w:val="22"/>
          <w:bdr w:val="nil"/>
          <w:lang w:val="en-US"/>
        </w:rPr>
        <w:t>encompassing</w:t>
      </w:r>
      <w:r w:rsidR="0060483A" w:rsidRPr="00D00979">
        <w:rPr>
          <w:rFonts w:eastAsia="Arial Unicode MS"/>
          <w:sz w:val="22"/>
          <w:szCs w:val="22"/>
          <w:bdr w:val="nil"/>
          <w:lang w:val="en-US"/>
        </w:rPr>
        <w:t xml:space="preserve"> a </w:t>
      </w:r>
      <w:r w:rsidR="007D6DE2" w:rsidRPr="00D00979">
        <w:rPr>
          <w:rFonts w:eastAsia="Arial Unicode MS"/>
          <w:sz w:val="22"/>
          <w:szCs w:val="22"/>
          <w:bdr w:val="nil"/>
          <w:lang w:val="en-US"/>
        </w:rPr>
        <w:t>potentially unlimited</w:t>
      </w:r>
      <w:r w:rsidR="0060483A" w:rsidRPr="00D00979">
        <w:rPr>
          <w:rFonts w:eastAsia="Arial Unicode MS"/>
          <w:sz w:val="22"/>
          <w:szCs w:val="22"/>
          <w:bdr w:val="nil"/>
          <w:lang w:val="en-US"/>
        </w:rPr>
        <w:t xml:space="preserve"> range of financial benefits such as inter alia study grants</w:t>
      </w:r>
      <w:r w:rsidR="005827BA" w:rsidRPr="00D00979">
        <w:rPr>
          <w:rFonts w:eastAsia="Arial Unicode MS"/>
          <w:sz w:val="22"/>
          <w:szCs w:val="22"/>
          <w:bdr w:val="nil"/>
          <w:lang w:val="en-US"/>
        </w:rPr>
        <w:t>,</w:t>
      </w:r>
      <w:r w:rsidR="0060483A" w:rsidRPr="00D00979">
        <w:rPr>
          <w:rFonts w:eastAsia="Arial Unicode MS"/>
          <w:sz w:val="22"/>
          <w:szCs w:val="22"/>
          <w:bdr w:val="nil"/>
          <w:lang w:val="en-US"/>
        </w:rPr>
        <w:t xml:space="preserve"> </w:t>
      </w:r>
      <w:r w:rsidR="005827BA" w:rsidRPr="00D00979">
        <w:rPr>
          <w:rFonts w:eastAsia="Arial Unicode MS"/>
          <w:sz w:val="22"/>
          <w:szCs w:val="22"/>
          <w:bdr w:val="nil"/>
          <w:lang w:val="en-US"/>
        </w:rPr>
        <w:t xml:space="preserve">financial aid for higher education studies, </w:t>
      </w:r>
      <w:r w:rsidR="0060483A" w:rsidRPr="00D00979">
        <w:rPr>
          <w:rFonts w:eastAsia="Arial Unicode MS"/>
          <w:sz w:val="22"/>
          <w:szCs w:val="22"/>
          <w:bdr w:val="nil"/>
          <w:lang w:val="en-US"/>
        </w:rPr>
        <w:t xml:space="preserve">maintenance aid for studies, unemployment benefits, child-raising allowances, </w:t>
      </w:r>
      <w:r w:rsidR="00DC03F0" w:rsidRPr="00D00979">
        <w:rPr>
          <w:rFonts w:eastAsia="Arial Unicode MS"/>
          <w:sz w:val="22"/>
          <w:szCs w:val="22"/>
          <w:bdr w:val="nil"/>
          <w:lang w:val="en-US"/>
        </w:rPr>
        <w:t xml:space="preserve">reimbursement of school transport costs </w:t>
      </w:r>
      <w:r w:rsidR="0060483A" w:rsidRPr="00D00979">
        <w:rPr>
          <w:rFonts w:eastAsia="Arial Unicode MS"/>
          <w:sz w:val="22"/>
          <w:szCs w:val="22"/>
          <w:bdr w:val="nil"/>
          <w:lang w:val="en-US"/>
        </w:rPr>
        <w:t xml:space="preserve">etc. </w:t>
      </w:r>
      <w:r w:rsidR="000F1B1B" w:rsidRPr="00D00979">
        <w:rPr>
          <w:rFonts w:eastAsia="Arial Unicode MS"/>
          <w:sz w:val="22"/>
          <w:szCs w:val="22"/>
          <w:bdr w:val="nil"/>
          <w:lang w:val="en-US"/>
        </w:rPr>
        <w:lastRenderedPageBreak/>
        <w:t xml:space="preserve">It has </w:t>
      </w:r>
      <w:r w:rsidR="009D41CE" w:rsidRPr="00D00979">
        <w:rPr>
          <w:rFonts w:eastAsia="Arial Unicode MS"/>
          <w:sz w:val="22"/>
          <w:szCs w:val="22"/>
          <w:bdr w:val="nil"/>
          <w:lang w:val="en-US"/>
        </w:rPr>
        <w:t xml:space="preserve">also </w:t>
      </w:r>
      <w:r w:rsidR="000F1B1B" w:rsidRPr="00D00979">
        <w:rPr>
          <w:rFonts w:eastAsia="Arial Unicode MS"/>
          <w:sz w:val="22"/>
          <w:szCs w:val="22"/>
          <w:bdr w:val="nil"/>
          <w:lang w:val="en-US"/>
        </w:rPr>
        <w:t>been confirmed in</w:t>
      </w:r>
      <w:r w:rsidR="0060483A" w:rsidRPr="00D00979">
        <w:rPr>
          <w:rFonts w:eastAsia="Arial Unicode MS"/>
          <w:sz w:val="22"/>
          <w:szCs w:val="22"/>
          <w:bdr w:val="nil"/>
          <w:lang w:val="en-US"/>
        </w:rPr>
        <w:t xml:space="preserve"> </w:t>
      </w:r>
      <w:r w:rsidR="0060483A" w:rsidRPr="00D00979">
        <w:rPr>
          <w:rFonts w:eastAsia="Arial Unicode MS"/>
          <w:i/>
          <w:iCs/>
          <w:sz w:val="22"/>
          <w:szCs w:val="22"/>
          <w:bdr w:val="nil"/>
          <w:lang w:val="en-US"/>
        </w:rPr>
        <w:t>Jobcenter Krefeld</w:t>
      </w:r>
      <w:r w:rsidR="000F1B1B" w:rsidRPr="00D00979">
        <w:rPr>
          <w:rFonts w:eastAsia="Arial Unicode MS"/>
          <w:sz w:val="22"/>
          <w:szCs w:val="22"/>
          <w:bdr w:val="nil"/>
          <w:lang w:val="en-US"/>
        </w:rPr>
        <w:t xml:space="preserve"> </w:t>
      </w:r>
      <w:r w:rsidR="0060483A" w:rsidRPr="00D00979">
        <w:rPr>
          <w:rFonts w:eastAsia="Arial Unicode MS"/>
          <w:sz w:val="22"/>
          <w:szCs w:val="22"/>
          <w:bdr w:val="nil"/>
          <w:lang w:val="en-US"/>
        </w:rPr>
        <w:t xml:space="preserve">that </w:t>
      </w:r>
      <w:r w:rsidR="00F17B0F" w:rsidRPr="00D00979">
        <w:rPr>
          <w:rFonts w:eastAsia="Arial Unicode MS"/>
          <w:sz w:val="22"/>
          <w:szCs w:val="22"/>
          <w:bdr w:val="nil"/>
          <w:lang w:val="en-US"/>
        </w:rPr>
        <w:t>the equal treatment guarantees featured in Article 7(2) of the Workers’ Regulation</w:t>
      </w:r>
      <w:r w:rsidR="0060483A" w:rsidRPr="00D00979">
        <w:rPr>
          <w:rFonts w:eastAsia="Arial Unicode MS"/>
          <w:sz w:val="22"/>
          <w:szCs w:val="22"/>
          <w:bdr w:val="nil"/>
          <w:lang w:val="en-US"/>
        </w:rPr>
        <w:t xml:space="preserve"> </w:t>
      </w:r>
      <w:r w:rsidR="00F17B0F" w:rsidRPr="00D00979">
        <w:rPr>
          <w:rFonts w:eastAsia="Arial Unicode MS"/>
          <w:sz w:val="22"/>
          <w:szCs w:val="22"/>
          <w:bdr w:val="nil"/>
          <w:lang w:val="en-US"/>
        </w:rPr>
        <w:t>extend to the costs of living</w:t>
      </w:r>
      <w:r w:rsidR="007D6DE2" w:rsidRPr="00D00979">
        <w:rPr>
          <w:rFonts w:eastAsia="Arial Unicode MS"/>
          <w:sz w:val="22"/>
          <w:szCs w:val="22"/>
          <w:bdr w:val="nil"/>
          <w:lang w:val="en-US"/>
        </w:rPr>
        <w:t xml:space="preserve">. As the Court puts it, </w:t>
      </w:r>
    </w:p>
    <w:p w14:paraId="2BD237E5" w14:textId="77777777" w:rsidR="00D7623A" w:rsidRPr="00D00979" w:rsidRDefault="00D7623A" w:rsidP="00D7623A">
      <w:pPr>
        <w:pStyle w:val="NormalWeb"/>
        <w:spacing w:before="0" w:beforeAutospacing="0" w:after="0" w:afterAutospacing="0"/>
        <w:jc w:val="both"/>
        <w:rPr>
          <w:rFonts w:eastAsia="Arial Unicode MS"/>
          <w:sz w:val="22"/>
          <w:szCs w:val="22"/>
          <w:bdr w:val="nil"/>
          <w:lang w:val="en-US"/>
        </w:rPr>
      </w:pPr>
    </w:p>
    <w:p w14:paraId="1298C77E" w14:textId="3AB70D4E" w:rsidR="00F805C0" w:rsidRPr="00D00979" w:rsidRDefault="00A3091F" w:rsidP="00D7623A">
      <w:pPr>
        <w:pStyle w:val="NormalWeb"/>
        <w:spacing w:before="0" w:beforeAutospacing="0" w:after="0" w:afterAutospacing="0"/>
        <w:ind w:left="284"/>
        <w:jc w:val="both"/>
        <w:rPr>
          <w:color w:val="000000"/>
          <w:sz w:val="22"/>
          <w:szCs w:val="22"/>
          <w:lang w:val="en-US"/>
        </w:rPr>
      </w:pPr>
      <w:r w:rsidRPr="00D00979">
        <w:rPr>
          <w:rFonts w:eastAsia="Arial Unicode MS"/>
          <w:sz w:val="22"/>
          <w:szCs w:val="22"/>
          <w:bdr w:val="nil"/>
          <w:lang w:val="en-US"/>
        </w:rPr>
        <w:t>“</w:t>
      </w:r>
      <w:r w:rsidR="007D6DE2" w:rsidRPr="00D00979">
        <w:rPr>
          <w:color w:val="000000"/>
          <w:sz w:val="22"/>
          <w:szCs w:val="22"/>
          <w:lang w:val="en-US"/>
        </w:rPr>
        <w:t>since the purpose of the subsistence benefits at issue in the main proceedings is, as stated by the referring court, to cover the subsistence costs of their recipients, it must be held that those benefits contribute to the integration of those recipients in the society of the host Member State</w:t>
      </w:r>
      <w:r w:rsidRPr="00D00979">
        <w:rPr>
          <w:color w:val="000000"/>
          <w:sz w:val="22"/>
          <w:szCs w:val="22"/>
          <w:lang w:val="en-US"/>
        </w:rPr>
        <w:t>”</w:t>
      </w:r>
      <w:r w:rsidR="007D6DE2" w:rsidRPr="00D00979">
        <w:rPr>
          <w:color w:val="000000"/>
          <w:sz w:val="22"/>
          <w:szCs w:val="22"/>
          <w:lang w:val="en-US"/>
        </w:rPr>
        <w:t>.</w:t>
      </w:r>
      <w:r w:rsidR="007D6DE2" w:rsidRPr="00D00979">
        <w:rPr>
          <w:rStyle w:val="Appelnotedebasdep"/>
          <w:color w:val="000000"/>
          <w:sz w:val="22"/>
          <w:szCs w:val="22"/>
          <w:lang w:val="en-US"/>
        </w:rPr>
        <w:footnoteReference w:id="91"/>
      </w:r>
    </w:p>
    <w:p w14:paraId="1B863D42" w14:textId="77777777" w:rsidR="00D7623A" w:rsidRPr="00D00979" w:rsidRDefault="00D7623A" w:rsidP="00D7623A">
      <w:pPr>
        <w:pStyle w:val="NormalWeb"/>
        <w:spacing w:before="0" w:beforeAutospacing="0" w:after="0" w:afterAutospacing="0"/>
        <w:ind w:left="284"/>
        <w:jc w:val="both"/>
        <w:rPr>
          <w:rFonts w:eastAsia="Arial Unicode MS"/>
          <w:sz w:val="22"/>
          <w:szCs w:val="22"/>
          <w:bdr w:val="nil"/>
          <w:lang w:val="en-US"/>
        </w:rPr>
      </w:pPr>
    </w:p>
    <w:p w14:paraId="4A9B45D1" w14:textId="36C687C6" w:rsidR="00F805C0" w:rsidRPr="00D00979" w:rsidRDefault="00EF7814" w:rsidP="00D7623A">
      <w:pPr>
        <w:pStyle w:val="NormalWeb"/>
        <w:spacing w:before="0" w:beforeAutospacing="0" w:after="0" w:afterAutospacing="0"/>
        <w:jc w:val="both"/>
        <w:rPr>
          <w:rFonts w:eastAsia="Arial Unicode MS"/>
          <w:sz w:val="22"/>
          <w:szCs w:val="22"/>
          <w:bdr w:val="nil"/>
          <w:lang w:val="en-US"/>
        </w:rPr>
      </w:pPr>
      <w:r w:rsidRPr="00D00979">
        <w:rPr>
          <w:color w:val="000000"/>
          <w:sz w:val="22"/>
          <w:szCs w:val="22"/>
          <w:lang w:val="en-US"/>
        </w:rPr>
        <w:t xml:space="preserve">It follows that such advantages should be awarded to migrant workers without nationality discrimination. As </w:t>
      </w:r>
      <w:r w:rsidR="007D6DE2" w:rsidRPr="00D00979">
        <w:rPr>
          <w:rFonts w:eastAsia="Arial Unicode MS"/>
          <w:sz w:val="22"/>
          <w:szCs w:val="22"/>
          <w:bdr w:val="nil"/>
          <w:lang w:val="en-US"/>
        </w:rPr>
        <w:t>a consequence</w:t>
      </w:r>
      <w:r w:rsidRPr="00D00979">
        <w:rPr>
          <w:rFonts w:eastAsia="Arial Unicode MS"/>
          <w:sz w:val="22"/>
          <w:szCs w:val="22"/>
          <w:bdr w:val="nil"/>
          <w:lang w:val="en-US"/>
        </w:rPr>
        <w:t>,</w:t>
      </w:r>
      <w:r w:rsidR="007D6DE2" w:rsidRPr="00D00979">
        <w:rPr>
          <w:rFonts w:eastAsia="Arial Unicode MS"/>
          <w:sz w:val="22"/>
          <w:szCs w:val="22"/>
          <w:bdr w:val="nil"/>
          <w:lang w:val="en-US"/>
        </w:rPr>
        <w:t xml:space="preserve"> it </w:t>
      </w:r>
      <w:r w:rsidR="00447792" w:rsidRPr="00D00979">
        <w:rPr>
          <w:rFonts w:eastAsia="Arial Unicode MS"/>
          <w:sz w:val="22"/>
          <w:szCs w:val="22"/>
          <w:bdr w:val="nil"/>
          <w:lang w:val="en-US"/>
        </w:rPr>
        <w:t>is suggested</w:t>
      </w:r>
      <w:r w:rsidR="007D6DE2" w:rsidRPr="00D00979">
        <w:rPr>
          <w:rFonts w:eastAsia="Arial Unicode MS"/>
          <w:sz w:val="22"/>
          <w:szCs w:val="22"/>
          <w:bdr w:val="nil"/>
          <w:lang w:val="en-US"/>
        </w:rPr>
        <w:t xml:space="preserve"> that (former) migrant workers </w:t>
      </w:r>
      <w:r w:rsidR="00447792" w:rsidRPr="00D00979">
        <w:rPr>
          <w:rFonts w:eastAsia="Arial Unicode MS"/>
          <w:sz w:val="22"/>
          <w:szCs w:val="22"/>
          <w:bdr w:val="nil"/>
          <w:lang w:val="en-US"/>
        </w:rPr>
        <w:t>should be able to</w:t>
      </w:r>
      <w:r w:rsidR="007D6DE2" w:rsidRPr="00D00979">
        <w:rPr>
          <w:rFonts w:eastAsia="Arial Unicode MS"/>
          <w:sz w:val="22"/>
          <w:szCs w:val="22"/>
          <w:bdr w:val="nil"/>
          <w:lang w:val="en-US"/>
        </w:rPr>
        <w:t xml:space="preserve"> rely on </w:t>
      </w:r>
      <w:r w:rsidR="002658CF" w:rsidRPr="00D00979">
        <w:rPr>
          <w:rFonts w:eastAsia="Arial Unicode MS"/>
          <w:sz w:val="22"/>
          <w:szCs w:val="22"/>
          <w:bdr w:val="nil"/>
          <w:lang w:val="en-US"/>
        </w:rPr>
        <w:t xml:space="preserve">comprehensive </w:t>
      </w:r>
      <w:r w:rsidR="007D6DE2" w:rsidRPr="00D00979">
        <w:rPr>
          <w:rFonts w:eastAsia="Arial Unicode MS"/>
          <w:sz w:val="22"/>
          <w:szCs w:val="22"/>
          <w:bdr w:val="nil"/>
          <w:lang w:val="en-US"/>
        </w:rPr>
        <w:t xml:space="preserve">equal treatment guarantees </w:t>
      </w:r>
      <w:r w:rsidR="006A7B0C" w:rsidRPr="00D00979">
        <w:rPr>
          <w:rFonts w:eastAsia="Arial Unicode MS"/>
          <w:sz w:val="22"/>
          <w:szCs w:val="22"/>
          <w:bdr w:val="nil"/>
          <w:lang w:val="en-US"/>
        </w:rPr>
        <w:t xml:space="preserve">provided for in Article 7(2) of the Workers’ Regulation </w:t>
      </w:r>
      <w:r w:rsidR="007D6DE2" w:rsidRPr="00D00979">
        <w:rPr>
          <w:rFonts w:eastAsia="Arial Unicode MS"/>
          <w:sz w:val="22"/>
          <w:szCs w:val="22"/>
          <w:bdr w:val="nil"/>
          <w:lang w:val="en-US"/>
        </w:rPr>
        <w:t xml:space="preserve">without being </w:t>
      </w:r>
      <w:r w:rsidR="006F0DD1" w:rsidRPr="00D00979">
        <w:rPr>
          <w:rFonts w:eastAsia="Arial Unicode MS"/>
          <w:sz w:val="22"/>
          <w:szCs w:val="22"/>
          <w:bdr w:val="nil"/>
          <w:lang w:val="en-US"/>
        </w:rPr>
        <w:t>required to comply with</w:t>
      </w:r>
      <w:r w:rsidR="007D6DE2" w:rsidRPr="00D00979">
        <w:rPr>
          <w:rFonts w:eastAsia="Arial Unicode MS"/>
          <w:sz w:val="22"/>
          <w:szCs w:val="22"/>
          <w:bdr w:val="nil"/>
          <w:lang w:val="en-US"/>
        </w:rPr>
        <w:t xml:space="preserve"> the right-to-reside tests enshrined in the Citizenship Directive. </w:t>
      </w:r>
    </w:p>
    <w:p w14:paraId="21BAFD9A" w14:textId="77777777" w:rsidR="00447792" w:rsidRPr="00D00979" w:rsidRDefault="00447792" w:rsidP="00D7623A">
      <w:pPr>
        <w:pStyle w:val="NormalWeb"/>
        <w:spacing w:before="0" w:beforeAutospacing="0" w:after="0" w:afterAutospacing="0"/>
        <w:jc w:val="both"/>
        <w:rPr>
          <w:rFonts w:eastAsia="Arial Unicode MS"/>
          <w:sz w:val="22"/>
          <w:szCs w:val="22"/>
          <w:bdr w:val="nil"/>
          <w:lang w:val="en-US"/>
        </w:rPr>
      </w:pPr>
    </w:p>
    <w:p w14:paraId="3B1C6FB7" w14:textId="2268B52C" w:rsidR="00F805C0" w:rsidRPr="00D00979" w:rsidRDefault="001B3B90" w:rsidP="00D7623A">
      <w:pPr>
        <w:pStyle w:val="NormalWeb"/>
        <w:spacing w:before="0" w:beforeAutospacing="0" w:after="0" w:afterAutospacing="0"/>
        <w:jc w:val="both"/>
        <w:rPr>
          <w:sz w:val="22"/>
          <w:szCs w:val="22"/>
          <w:lang w:val="en-US"/>
        </w:rPr>
      </w:pPr>
      <w:r w:rsidRPr="00D00979">
        <w:rPr>
          <w:sz w:val="22"/>
          <w:szCs w:val="22"/>
          <w:lang w:val="en-US"/>
        </w:rPr>
        <w:t>Unfortunately, that</w:t>
      </w:r>
      <w:r w:rsidR="004F0471" w:rsidRPr="00D00979">
        <w:rPr>
          <w:sz w:val="22"/>
          <w:szCs w:val="22"/>
          <w:lang w:val="en-US"/>
        </w:rPr>
        <w:t xml:space="preserve"> does not mean</w:t>
      </w:r>
      <w:r w:rsidR="00224343" w:rsidRPr="00D00979">
        <w:rPr>
          <w:sz w:val="22"/>
          <w:szCs w:val="22"/>
          <w:lang w:val="en-US"/>
        </w:rPr>
        <w:t xml:space="preserve"> that </w:t>
      </w:r>
      <w:r w:rsidR="006F0DD1" w:rsidRPr="00D00979">
        <w:rPr>
          <w:sz w:val="22"/>
          <w:szCs w:val="22"/>
          <w:lang w:val="en-US"/>
        </w:rPr>
        <w:t xml:space="preserve">the right of equal treatment conferred upon </w:t>
      </w:r>
      <w:r w:rsidR="00FB6695" w:rsidRPr="00D00979">
        <w:rPr>
          <w:sz w:val="22"/>
          <w:szCs w:val="22"/>
          <w:lang w:val="en-US"/>
        </w:rPr>
        <w:t>(</w:t>
      </w:r>
      <w:r w:rsidR="006F0DD1" w:rsidRPr="00D00979">
        <w:rPr>
          <w:sz w:val="22"/>
          <w:szCs w:val="22"/>
          <w:lang w:val="en-US"/>
        </w:rPr>
        <w:t>former</w:t>
      </w:r>
      <w:r w:rsidR="00FB6695" w:rsidRPr="00D00979">
        <w:rPr>
          <w:sz w:val="22"/>
          <w:szCs w:val="22"/>
          <w:lang w:val="en-US"/>
        </w:rPr>
        <w:t>)</w:t>
      </w:r>
      <w:r w:rsidR="00390A57" w:rsidRPr="00D00979">
        <w:rPr>
          <w:sz w:val="22"/>
          <w:szCs w:val="22"/>
          <w:lang w:val="en-US"/>
        </w:rPr>
        <w:t xml:space="preserve"> migrant workers </w:t>
      </w:r>
      <w:r w:rsidR="006F0DD1" w:rsidRPr="00D00979">
        <w:rPr>
          <w:sz w:val="22"/>
          <w:szCs w:val="22"/>
          <w:lang w:val="en-US"/>
        </w:rPr>
        <w:t xml:space="preserve">by virtue of Article 7(2) of the Workers’ Regulation may </w:t>
      </w:r>
      <w:r w:rsidRPr="00D00979">
        <w:rPr>
          <w:sz w:val="22"/>
          <w:szCs w:val="22"/>
          <w:lang w:val="en-US"/>
        </w:rPr>
        <w:t>never</w:t>
      </w:r>
      <w:r w:rsidR="00390A57" w:rsidRPr="00D00979">
        <w:rPr>
          <w:sz w:val="22"/>
          <w:szCs w:val="22"/>
          <w:lang w:val="en-US"/>
        </w:rPr>
        <w:t xml:space="preserve"> be subject to similar</w:t>
      </w:r>
      <w:r w:rsidR="00224343" w:rsidRPr="00D00979">
        <w:rPr>
          <w:sz w:val="22"/>
          <w:szCs w:val="22"/>
          <w:lang w:val="en-US"/>
        </w:rPr>
        <w:t xml:space="preserve"> requirements</w:t>
      </w:r>
      <w:r w:rsidR="006F0DD1" w:rsidRPr="00D00979">
        <w:rPr>
          <w:sz w:val="22"/>
          <w:szCs w:val="22"/>
          <w:lang w:val="en-US"/>
        </w:rPr>
        <w:t xml:space="preserve"> at the domestic level</w:t>
      </w:r>
      <w:r w:rsidR="00224343" w:rsidRPr="00D00979">
        <w:rPr>
          <w:sz w:val="22"/>
          <w:szCs w:val="22"/>
          <w:lang w:val="en-US"/>
        </w:rPr>
        <w:t xml:space="preserve">. </w:t>
      </w:r>
      <w:r w:rsidR="00896D21" w:rsidRPr="00D00979">
        <w:rPr>
          <w:sz w:val="22"/>
          <w:szCs w:val="22"/>
          <w:lang w:val="en-US"/>
        </w:rPr>
        <w:t xml:space="preserve">It must be recalled in that respect that the </w:t>
      </w:r>
      <w:r w:rsidR="004B57AE" w:rsidRPr="00D00979">
        <w:rPr>
          <w:sz w:val="22"/>
          <w:szCs w:val="22"/>
          <w:lang w:val="en-US"/>
        </w:rPr>
        <w:t>M</w:t>
      </w:r>
      <w:r w:rsidR="00896D21" w:rsidRPr="00D00979">
        <w:rPr>
          <w:sz w:val="22"/>
          <w:szCs w:val="22"/>
          <w:lang w:val="en-US"/>
        </w:rPr>
        <w:t xml:space="preserve">ember </w:t>
      </w:r>
      <w:r w:rsidR="004B57AE" w:rsidRPr="00D00979">
        <w:rPr>
          <w:sz w:val="22"/>
          <w:szCs w:val="22"/>
          <w:lang w:val="en-US"/>
        </w:rPr>
        <w:t>S</w:t>
      </w:r>
      <w:r w:rsidR="00896D21" w:rsidRPr="00D00979">
        <w:rPr>
          <w:sz w:val="22"/>
          <w:szCs w:val="22"/>
          <w:lang w:val="en-US"/>
        </w:rPr>
        <w:t xml:space="preserve">tates are entitled to introduce restrictions </w:t>
      </w:r>
      <w:r w:rsidR="00DE285F">
        <w:rPr>
          <w:sz w:val="22"/>
          <w:szCs w:val="22"/>
          <w:lang w:val="en-US"/>
        </w:rPr>
        <w:t>on</w:t>
      </w:r>
      <w:r w:rsidR="00896D21" w:rsidRPr="00D00979">
        <w:rPr>
          <w:sz w:val="22"/>
          <w:szCs w:val="22"/>
          <w:lang w:val="en-US"/>
        </w:rPr>
        <w:t xml:space="preserve"> the principle of equal treatment </w:t>
      </w:r>
      <w:r w:rsidR="0032194D" w:rsidRPr="00D00979">
        <w:rPr>
          <w:sz w:val="22"/>
          <w:szCs w:val="22"/>
          <w:lang w:val="en-US"/>
        </w:rPr>
        <w:t xml:space="preserve">enshrined in that provision </w:t>
      </w:r>
      <w:r w:rsidR="00896D21" w:rsidRPr="00D00979">
        <w:rPr>
          <w:sz w:val="22"/>
          <w:szCs w:val="22"/>
          <w:lang w:val="en-US"/>
        </w:rPr>
        <w:t>provided that these restrictions are objectively justified by a legitimate public interest</w:t>
      </w:r>
      <w:r w:rsidR="007237C5" w:rsidRPr="00D00979">
        <w:rPr>
          <w:sz w:val="22"/>
          <w:szCs w:val="22"/>
          <w:lang w:val="en-US"/>
        </w:rPr>
        <w:t xml:space="preserve">. The </w:t>
      </w:r>
      <w:r w:rsidR="004B57AE" w:rsidRPr="00D00979">
        <w:rPr>
          <w:sz w:val="22"/>
          <w:szCs w:val="22"/>
          <w:lang w:val="en-US"/>
        </w:rPr>
        <w:t>M</w:t>
      </w:r>
      <w:r w:rsidR="007237C5" w:rsidRPr="00D00979">
        <w:rPr>
          <w:sz w:val="22"/>
          <w:szCs w:val="22"/>
          <w:lang w:val="en-US"/>
        </w:rPr>
        <w:t xml:space="preserve">ember </w:t>
      </w:r>
      <w:r w:rsidR="004B57AE" w:rsidRPr="00D00979">
        <w:rPr>
          <w:sz w:val="22"/>
          <w:szCs w:val="22"/>
          <w:lang w:val="en-US"/>
        </w:rPr>
        <w:t>S</w:t>
      </w:r>
      <w:r w:rsidR="007237C5" w:rsidRPr="00D00979">
        <w:rPr>
          <w:sz w:val="22"/>
          <w:szCs w:val="22"/>
          <w:lang w:val="en-US"/>
        </w:rPr>
        <w:t xml:space="preserve">tates’ regulatory autonomy in relation to the award of specific social benefits is therefore preserved by the possibility to justify retrictions </w:t>
      </w:r>
      <w:r w:rsidR="00DE285F">
        <w:rPr>
          <w:sz w:val="22"/>
          <w:szCs w:val="22"/>
          <w:lang w:val="en-US"/>
        </w:rPr>
        <w:t>on</w:t>
      </w:r>
      <w:r w:rsidR="007237C5" w:rsidRPr="00D00979">
        <w:rPr>
          <w:sz w:val="22"/>
          <w:szCs w:val="22"/>
          <w:lang w:val="en-US"/>
        </w:rPr>
        <w:t xml:space="preserve"> the principle of equal treatment as regards such award.</w:t>
      </w:r>
      <w:r w:rsidR="00896D21" w:rsidRPr="00D00979">
        <w:rPr>
          <w:sz w:val="22"/>
          <w:szCs w:val="22"/>
          <w:lang w:val="en-US"/>
        </w:rPr>
        <w:t xml:space="preserve"> </w:t>
      </w:r>
      <w:r w:rsidR="00BF4D4C" w:rsidRPr="00D00979">
        <w:rPr>
          <w:sz w:val="22"/>
          <w:szCs w:val="22"/>
          <w:lang w:val="en-US"/>
        </w:rPr>
        <w:t xml:space="preserve">In recent judgments, the Court has displayed </w:t>
      </w:r>
      <w:r w:rsidR="00224343" w:rsidRPr="00D00979">
        <w:rPr>
          <w:sz w:val="22"/>
          <w:szCs w:val="22"/>
          <w:lang w:val="en-US"/>
        </w:rPr>
        <w:t xml:space="preserve">growing acceptance of the use of integration requirements </w:t>
      </w:r>
      <w:r w:rsidR="00BF4D4C" w:rsidRPr="00D00979">
        <w:rPr>
          <w:sz w:val="22"/>
          <w:szCs w:val="22"/>
          <w:lang w:val="en-US"/>
        </w:rPr>
        <w:t>as a means to foreclose</w:t>
      </w:r>
      <w:r w:rsidR="00224343" w:rsidRPr="00D00979">
        <w:rPr>
          <w:sz w:val="22"/>
          <w:szCs w:val="22"/>
          <w:lang w:val="en-US"/>
        </w:rPr>
        <w:t xml:space="preserve"> economic migrants and their family members’ right to obtain</w:t>
      </w:r>
      <w:r w:rsidR="00224343" w:rsidRPr="00D00979">
        <w:rPr>
          <w:sz w:val="22"/>
          <w:szCs w:val="22"/>
          <w:lang w:val="pt-PT"/>
        </w:rPr>
        <w:t xml:space="preserve"> social </w:t>
      </w:r>
      <w:r w:rsidR="00224343" w:rsidRPr="00D00979">
        <w:rPr>
          <w:sz w:val="22"/>
          <w:szCs w:val="22"/>
          <w:lang w:val="en-US"/>
        </w:rPr>
        <w:t>advantages on the basis of Articles 7(2) of Regulation 492/2011 and 45</w:t>
      </w:r>
      <w:r w:rsidR="00BF4D4C" w:rsidRPr="00D00979">
        <w:rPr>
          <w:sz w:val="22"/>
          <w:szCs w:val="22"/>
          <w:lang w:val="en-US"/>
        </w:rPr>
        <w:t>(2)</w:t>
      </w:r>
      <w:r w:rsidR="00224343" w:rsidRPr="00D00979">
        <w:rPr>
          <w:sz w:val="22"/>
          <w:szCs w:val="22"/>
          <w:lang w:val="en-US"/>
        </w:rPr>
        <w:t xml:space="preserve"> TFEU.</w:t>
      </w:r>
      <w:r w:rsidR="00224343" w:rsidRPr="00D00979">
        <w:rPr>
          <w:rStyle w:val="Aucun"/>
          <w:sz w:val="22"/>
          <w:szCs w:val="22"/>
          <w:vertAlign w:val="superscript"/>
        </w:rPr>
        <w:footnoteReference w:id="92"/>
      </w:r>
      <w:r w:rsidR="00224343" w:rsidRPr="00D00979">
        <w:rPr>
          <w:sz w:val="22"/>
          <w:szCs w:val="22"/>
          <w:lang w:val="en-US"/>
        </w:rPr>
        <w:t xml:space="preserve"> At least in relation to frontier workers, the Court has accepted that the fact of work is no longer considered sufficient in itself to justify the award of state support.</w:t>
      </w:r>
      <w:r w:rsidR="00224343" w:rsidRPr="00D00979">
        <w:rPr>
          <w:rStyle w:val="Aucun"/>
          <w:sz w:val="22"/>
          <w:szCs w:val="22"/>
          <w:vertAlign w:val="superscript"/>
        </w:rPr>
        <w:footnoteReference w:id="93"/>
      </w:r>
      <w:r w:rsidR="00224343" w:rsidRPr="00D00979">
        <w:rPr>
          <w:sz w:val="22"/>
          <w:szCs w:val="22"/>
          <w:lang w:val="en-US"/>
        </w:rPr>
        <w:t xml:space="preserve"> Instead, it has been transformed into a mere presumption.</w:t>
      </w:r>
      <w:r w:rsidR="00224343" w:rsidRPr="00D00979">
        <w:rPr>
          <w:rStyle w:val="Aucun"/>
          <w:sz w:val="22"/>
          <w:szCs w:val="22"/>
          <w:vertAlign w:val="superscript"/>
        </w:rPr>
        <w:footnoteReference w:id="94"/>
      </w:r>
      <w:r w:rsidR="00224343" w:rsidRPr="00D00979">
        <w:rPr>
          <w:sz w:val="22"/>
          <w:szCs w:val="22"/>
          <w:lang w:val="en-US"/>
        </w:rPr>
        <w:t xml:space="preserve"> As the Court puts it in </w:t>
      </w:r>
      <w:r w:rsidR="00224343" w:rsidRPr="00D00979">
        <w:rPr>
          <w:rStyle w:val="Aucun"/>
          <w:i/>
          <w:iCs/>
          <w:sz w:val="22"/>
          <w:szCs w:val="22"/>
          <w:lang w:val="en-US"/>
        </w:rPr>
        <w:t>Commission v Netherlands</w:t>
      </w:r>
      <w:r w:rsidR="00E825A4" w:rsidRPr="00D00979">
        <w:rPr>
          <w:sz w:val="22"/>
          <w:szCs w:val="22"/>
          <w:lang w:val="en-US"/>
        </w:rPr>
        <w:t>:</w:t>
      </w:r>
    </w:p>
    <w:p w14:paraId="09AFD6D9" w14:textId="77777777" w:rsidR="00D7623A" w:rsidRPr="00D00979" w:rsidRDefault="00D7623A" w:rsidP="00D7623A">
      <w:pPr>
        <w:pStyle w:val="NormalWeb"/>
        <w:spacing w:before="0" w:beforeAutospacing="0" w:after="0" w:afterAutospacing="0"/>
        <w:jc w:val="both"/>
        <w:rPr>
          <w:sz w:val="22"/>
          <w:szCs w:val="22"/>
          <w:lang w:val="en-US"/>
        </w:rPr>
      </w:pPr>
    </w:p>
    <w:p w14:paraId="140FA9C3" w14:textId="39D1F376" w:rsidR="00A3091F" w:rsidRPr="00D00979" w:rsidRDefault="00A3091F" w:rsidP="00D7623A">
      <w:pPr>
        <w:pStyle w:val="NormalWeb"/>
        <w:spacing w:before="0" w:beforeAutospacing="0" w:after="0" w:afterAutospacing="0"/>
        <w:ind w:left="284"/>
        <w:jc w:val="both"/>
        <w:rPr>
          <w:sz w:val="22"/>
          <w:szCs w:val="22"/>
          <w:lang w:val="en-US"/>
        </w:rPr>
      </w:pPr>
      <w:r w:rsidRPr="00D00979">
        <w:rPr>
          <w:sz w:val="22"/>
          <w:szCs w:val="22"/>
          <w:lang w:val="en-US"/>
        </w:rPr>
        <w:t>“</w:t>
      </w:r>
      <w:r w:rsidR="00E825A4" w:rsidRPr="00D00979">
        <w:rPr>
          <w:sz w:val="22"/>
          <w:szCs w:val="22"/>
          <w:lang w:val="en-US"/>
        </w:rPr>
        <w:t>A</w:t>
      </w:r>
      <w:r w:rsidR="00224343" w:rsidRPr="00D00979">
        <w:rPr>
          <w:sz w:val="22"/>
          <w:szCs w:val="22"/>
          <w:lang w:val="en-US"/>
        </w:rPr>
        <w:t xml:space="preserve">s regards migrant workers and frontier workers, the fact that they have participated in the employment market of a Member State establishes, </w:t>
      </w:r>
      <w:r w:rsidR="00224343" w:rsidRPr="00D00979">
        <w:rPr>
          <w:rStyle w:val="Aucun"/>
          <w:i/>
          <w:iCs/>
          <w:sz w:val="22"/>
          <w:szCs w:val="22"/>
          <w:lang w:val="en-US"/>
        </w:rPr>
        <w:t>in principle</w:t>
      </w:r>
      <w:r w:rsidR="00224343" w:rsidRPr="00D00979">
        <w:rPr>
          <w:sz w:val="22"/>
          <w:szCs w:val="22"/>
          <w:lang w:val="en-US"/>
        </w:rPr>
        <w:t>, a sufficient link of integration with the society of that Member State, allowing them to benefit from the principle of equal treatment, as compared with national workers, as regards social advantages</w:t>
      </w:r>
      <w:r w:rsidRPr="00D00979">
        <w:rPr>
          <w:sz w:val="22"/>
          <w:szCs w:val="22"/>
          <w:lang w:val="en-US"/>
        </w:rPr>
        <w:t>”</w:t>
      </w:r>
      <w:r w:rsidR="00224343" w:rsidRPr="00D00979">
        <w:rPr>
          <w:sz w:val="22"/>
          <w:szCs w:val="22"/>
          <w:lang w:val="en-US"/>
        </w:rPr>
        <w:t>.</w:t>
      </w:r>
      <w:r w:rsidR="00224343" w:rsidRPr="00D00979">
        <w:rPr>
          <w:rStyle w:val="Aucun"/>
          <w:sz w:val="22"/>
          <w:szCs w:val="22"/>
          <w:vertAlign w:val="superscript"/>
        </w:rPr>
        <w:footnoteReference w:id="95"/>
      </w:r>
      <w:r w:rsidR="00224343" w:rsidRPr="00D00979">
        <w:rPr>
          <w:sz w:val="22"/>
          <w:szCs w:val="22"/>
          <w:lang w:val="en-US"/>
        </w:rPr>
        <w:t xml:space="preserve"> </w:t>
      </w:r>
    </w:p>
    <w:p w14:paraId="4675CB49" w14:textId="77777777" w:rsidR="00D7623A" w:rsidRPr="00D00979" w:rsidRDefault="00D7623A" w:rsidP="00D7623A">
      <w:pPr>
        <w:pStyle w:val="NormalWeb"/>
        <w:spacing w:before="0" w:beforeAutospacing="0" w:after="0" w:afterAutospacing="0"/>
        <w:ind w:left="284"/>
        <w:jc w:val="both"/>
        <w:rPr>
          <w:rFonts w:eastAsia="Arial Unicode MS"/>
          <w:sz w:val="22"/>
          <w:szCs w:val="22"/>
          <w:bdr w:val="nil"/>
          <w:lang w:val="en-US"/>
        </w:rPr>
      </w:pPr>
    </w:p>
    <w:p w14:paraId="28A5CACF" w14:textId="5409E08A" w:rsidR="00F805C0" w:rsidRPr="00D00979" w:rsidRDefault="000D29F1" w:rsidP="00D7623A">
      <w:pPr>
        <w:pStyle w:val="Corps"/>
        <w:jc w:val="both"/>
        <w:rPr>
          <w:rFonts w:ascii="Times New Roman" w:hAnsi="Times New Roman" w:cs="Times New Roman"/>
          <w:lang w:val="en-US"/>
        </w:rPr>
      </w:pPr>
      <w:r w:rsidRPr="00D00979">
        <w:rPr>
          <w:rFonts w:ascii="Times New Roman" w:hAnsi="Times New Roman" w:cs="Times New Roman"/>
          <w:lang w:val="en-US"/>
        </w:rPr>
        <w:t>In spite of the criticism expressed by Advocate General Wathelet,</w:t>
      </w:r>
      <w:r w:rsidRPr="00D00979">
        <w:rPr>
          <w:rStyle w:val="Appelnotedebasdep"/>
          <w:rFonts w:ascii="Times New Roman" w:hAnsi="Times New Roman" w:cs="Times New Roman"/>
          <w:lang w:val="en-US"/>
        </w:rPr>
        <w:footnoteReference w:id="96"/>
      </w:r>
      <w:r w:rsidRPr="00D00979">
        <w:rPr>
          <w:rFonts w:ascii="Times New Roman" w:hAnsi="Times New Roman" w:cs="Times New Roman"/>
          <w:lang w:val="en-US"/>
        </w:rPr>
        <w:t xml:space="preserve"> t</w:t>
      </w:r>
      <w:r w:rsidR="00224343" w:rsidRPr="00D00979">
        <w:rPr>
          <w:rFonts w:ascii="Times New Roman" w:hAnsi="Times New Roman" w:cs="Times New Roman"/>
          <w:lang w:val="en-US"/>
        </w:rPr>
        <w:t xml:space="preserve">hat statement has been reiterated by the Court in subsequent judgments dealing with the non-resident children of migrant workers’ right to obtain financial aid for higher education studies on the basis of Article </w:t>
      </w:r>
      <w:r w:rsidR="00224343" w:rsidRPr="00D00979">
        <w:rPr>
          <w:rFonts w:ascii="Times New Roman" w:hAnsi="Times New Roman" w:cs="Times New Roman"/>
          <w:lang w:val="en-US"/>
        </w:rPr>
        <w:lastRenderedPageBreak/>
        <w:t>7(2) of Regulation 492/2011</w:t>
      </w:r>
      <w:r w:rsidR="00914C76" w:rsidRPr="00D00979">
        <w:rPr>
          <w:rFonts w:ascii="Times New Roman" w:hAnsi="Times New Roman" w:cs="Times New Roman"/>
          <w:lang w:val="en-US"/>
        </w:rPr>
        <w:t xml:space="preserve"> (“the student aid cases”)</w:t>
      </w:r>
      <w:r w:rsidR="00224343" w:rsidRPr="00D00979">
        <w:rPr>
          <w:rFonts w:ascii="Times New Roman" w:hAnsi="Times New Roman" w:cs="Times New Roman"/>
          <w:lang w:val="en-US"/>
        </w:rPr>
        <w:t>.</w:t>
      </w:r>
      <w:r w:rsidR="00224343" w:rsidRPr="00D00979">
        <w:rPr>
          <w:rStyle w:val="Aucun"/>
          <w:rFonts w:ascii="Times New Roman" w:eastAsia="Times New Roman" w:hAnsi="Times New Roman" w:cs="Times New Roman"/>
          <w:vertAlign w:val="superscript"/>
        </w:rPr>
        <w:footnoteReference w:id="97"/>
      </w:r>
      <w:r w:rsidR="00224343" w:rsidRPr="00D00979">
        <w:rPr>
          <w:rFonts w:ascii="Times New Roman" w:hAnsi="Times New Roman" w:cs="Times New Roman"/>
          <w:lang w:val="en-US"/>
        </w:rPr>
        <w:t xml:space="preserve"> It follows from that line of case law that (former) migrant workers are no longer regarded as necessarily having a sufficient degree of attachment to the host state for the purpose of obtaining that state support. More specifically, the Court is adamant that</w:t>
      </w:r>
      <w:r w:rsidR="00E825A4" w:rsidRPr="00D00979">
        <w:rPr>
          <w:rFonts w:ascii="Times New Roman" w:hAnsi="Times New Roman" w:cs="Times New Roman"/>
          <w:lang w:val="en-US"/>
        </w:rPr>
        <w:t>,</w:t>
      </w:r>
      <w:r w:rsidR="00224343" w:rsidRPr="00D00979">
        <w:rPr>
          <w:rFonts w:ascii="Times New Roman" w:hAnsi="Times New Roman" w:cs="Times New Roman"/>
          <w:lang w:val="en-US"/>
        </w:rPr>
        <w:t xml:space="preserve"> </w:t>
      </w:r>
    </w:p>
    <w:p w14:paraId="397DDB70" w14:textId="77777777" w:rsidR="00D7623A" w:rsidRPr="00D00979" w:rsidRDefault="00D7623A" w:rsidP="00D7623A">
      <w:pPr>
        <w:pStyle w:val="Corps"/>
        <w:jc w:val="both"/>
        <w:rPr>
          <w:rFonts w:ascii="Times New Roman" w:hAnsi="Times New Roman" w:cs="Times New Roman"/>
          <w:lang w:val="en-US"/>
        </w:rPr>
      </w:pPr>
    </w:p>
    <w:p w14:paraId="10FA47FE" w14:textId="2C58362C" w:rsidR="00F805C0" w:rsidRPr="00D00979" w:rsidRDefault="00A3091F" w:rsidP="00D7623A">
      <w:pPr>
        <w:pStyle w:val="Corps"/>
        <w:ind w:left="284"/>
        <w:jc w:val="both"/>
        <w:rPr>
          <w:rFonts w:ascii="Times New Roman" w:hAnsi="Times New Roman" w:cs="Times New Roman"/>
          <w:lang w:val="en-US"/>
        </w:rPr>
      </w:pPr>
      <w:r w:rsidRPr="00D00979">
        <w:rPr>
          <w:rFonts w:ascii="Times New Roman" w:hAnsi="Times New Roman" w:cs="Times New Roman"/>
          <w:lang w:val="en-US"/>
        </w:rPr>
        <w:t>“</w:t>
      </w:r>
      <w:r w:rsidR="00224343" w:rsidRPr="00D00979">
        <w:rPr>
          <w:rFonts w:ascii="Times New Roman" w:hAnsi="Times New Roman" w:cs="Times New Roman"/>
          <w:lang w:val="en-US"/>
        </w:rPr>
        <w:t xml:space="preserve">the frontier worker is not always integrated in the </w:t>
      </w:r>
      <w:r w:rsidR="004B57AE" w:rsidRPr="00D00979">
        <w:rPr>
          <w:rFonts w:ascii="Times New Roman" w:hAnsi="Times New Roman" w:cs="Times New Roman"/>
          <w:lang w:val="en-US"/>
        </w:rPr>
        <w:t>M</w:t>
      </w:r>
      <w:r w:rsidR="00224343" w:rsidRPr="00D00979">
        <w:rPr>
          <w:rFonts w:ascii="Times New Roman" w:hAnsi="Times New Roman" w:cs="Times New Roman"/>
          <w:lang w:val="en-US"/>
        </w:rPr>
        <w:t xml:space="preserve">ember </w:t>
      </w:r>
      <w:r w:rsidR="004B57AE" w:rsidRPr="00D00979">
        <w:rPr>
          <w:rFonts w:ascii="Times New Roman" w:hAnsi="Times New Roman" w:cs="Times New Roman"/>
          <w:lang w:val="en-US"/>
        </w:rPr>
        <w:t>S</w:t>
      </w:r>
      <w:r w:rsidR="00224343" w:rsidRPr="00D00979">
        <w:rPr>
          <w:rFonts w:ascii="Times New Roman" w:hAnsi="Times New Roman" w:cs="Times New Roman"/>
          <w:lang w:val="en-US"/>
        </w:rPr>
        <w:t>tate of employment in the same way as a worker who is resident in that State</w:t>
      </w:r>
      <w:r w:rsidRPr="00D00979">
        <w:rPr>
          <w:rFonts w:ascii="Times New Roman" w:hAnsi="Times New Roman" w:cs="Times New Roman"/>
          <w:lang w:val="en-US"/>
        </w:rPr>
        <w:t>”</w:t>
      </w:r>
      <w:r w:rsidR="00224343" w:rsidRPr="00D00979">
        <w:rPr>
          <w:rFonts w:ascii="Times New Roman" w:hAnsi="Times New Roman" w:cs="Times New Roman"/>
          <w:lang w:val="en-US"/>
        </w:rPr>
        <w:t>.</w:t>
      </w:r>
      <w:r w:rsidR="00224343" w:rsidRPr="00D00979">
        <w:rPr>
          <w:rStyle w:val="Aucun"/>
          <w:rFonts w:ascii="Times New Roman" w:eastAsia="Times New Roman" w:hAnsi="Times New Roman" w:cs="Times New Roman"/>
          <w:vertAlign w:val="superscript"/>
        </w:rPr>
        <w:footnoteReference w:id="98"/>
      </w:r>
      <w:r w:rsidR="00224343" w:rsidRPr="00D00979">
        <w:rPr>
          <w:rFonts w:ascii="Times New Roman" w:hAnsi="Times New Roman" w:cs="Times New Roman"/>
          <w:lang w:val="en-US"/>
        </w:rPr>
        <w:t xml:space="preserve"> </w:t>
      </w:r>
    </w:p>
    <w:p w14:paraId="4F2311B2" w14:textId="77777777" w:rsidR="00D7623A" w:rsidRPr="00D00979" w:rsidRDefault="00D7623A" w:rsidP="00D7623A">
      <w:pPr>
        <w:pStyle w:val="Corps"/>
        <w:ind w:left="284"/>
        <w:jc w:val="both"/>
        <w:rPr>
          <w:rFonts w:ascii="Times New Roman" w:hAnsi="Times New Roman" w:cs="Times New Roman"/>
          <w:lang w:val="en-US"/>
        </w:rPr>
      </w:pPr>
    </w:p>
    <w:p w14:paraId="2492C136" w14:textId="0F6AC018" w:rsidR="00F805C0" w:rsidRPr="00D00979" w:rsidRDefault="00224343" w:rsidP="00D7623A">
      <w:pPr>
        <w:pStyle w:val="Corps"/>
        <w:jc w:val="both"/>
        <w:rPr>
          <w:rFonts w:ascii="Times New Roman" w:hAnsi="Times New Roman" w:cs="Times New Roman"/>
          <w:lang w:val="en-US"/>
        </w:rPr>
      </w:pPr>
      <w:r w:rsidRPr="00D00979">
        <w:rPr>
          <w:rFonts w:ascii="Times New Roman" w:hAnsi="Times New Roman" w:cs="Times New Roman"/>
          <w:lang w:val="en-US"/>
        </w:rPr>
        <w:t xml:space="preserve">This means that the </w:t>
      </w:r>
      <w:r w:rsidR="004B57AE" w:rsidRPr="00D00979">
        <w:rPr>
          <w:rFonts w:ascii="Times New Roman" w:hAnsi="Times New Roman" w:cs="Times New Roman"/>
          <w:lang w:val="en-US"/>
        </w:rPr>
        <w:t>M</w:t>
      </w:r>
      <w:r w:rsidRPr="00D00979">
        <w:rPr>
          <w:rFonts w:ascii="Times New Roman" w:hAnsi="Times New Roman" w:cs="Times New Roman"/>
          <w:lang w:val="en-US"/>
        </w:rPr>
        <w:t xml:space="preserve">ember </w:t>
      </w:r>
      <w:r w:rsidR="004B57AE" w:rsidRPr="00D00979">
        <w:rPr>
          <w:rFonts w:ascii="Times New Roman" w:hAnsi="Times New Roman" w:cs="Times New Roman"/>
          <w:lang w:val="en-US"/>
        </w:rPr>
        <w:t>S</w:t>
      </w:r>
      <w:r w:rsidRPr="00D00979">
        <w:rPr>
          <w:rFonts w:ascii="Times New Roman" w:hAnsi="Times New Roman" w:cs="Times New Roman"/>
          <w:lang w:val="en-US"/>
        </w:rPr>
        <w:t>tates may make access to social benefits subject to the worker and his or her family being able to demonstrate other forms of connection with the host state beyond the mere fact of work.</w:t>
      </w:r>
      <w:r w:rsidR="006F0DD1" w:rsidRPr="00D00979">
        <w:rPr>
          <w:rFonts w:ascii="Times New Roman" w:hAnsi="Times New Roman" w:cs="Times New Roman"/>
          <w:lang w:val="en-US"/>
        </w:rPr>
        <w:t xml:space="preserve"> </w:t>
      </w:r>
    </w:p>
    <w:p w14:paraId="0D5817D0" w14:textId="77777777" w:rsidR="00D7623A" w:rsidRPr="00D00979" w:rsidRDefault="00D7623A" w:rsidP="00D7623A">
      <w:pPr>
        <w:pStyle w:val="Corps"/>
        <w:jc w:val="both"/>
        <w:rPr>
          <w:rFonts w:ascii="Times New Roman" w:hAnsi="Times New Roman" w:cs="Times New Roman"/>
          <w:lang w:val="en-US"/>
        </w:rPr>
      </w:pPr>
    </w:p>
    <w:p w14:paraId="3EB7664E" w14:textId="079637CB" w:rsidR="006C5ED4" w:rsidRPr="00D00979" w:rsidRDefault="00224343" w:rsidP="00D7623A">
      <w:pPr>
        <w:pStyle w:val="Corps"/>
        <w:jc w:val="both"/>
        <w:rPr>
          <w:rFonts w:ascii="Times New Roman" w:hAnsi="Times New Roman" w:cs="Times New Roman"/>
          <w:lang w:val="en-US"/>
        </w:rPr>
      </w:pPr>
      <w:r w:rsidRPr="00D00979">
        <w:rPr>
          <w:rFonts w:ascii="Times New Roman" w:hAnsi="Times New Roman" w:cs="Times New Roman"/>
          <w:lang w:val="en-US"/>
        </w:rPr>
        <w:t xml:space="preserve">The Court has so far only allowed the </w:t>
      </w:r>
      <w:r w:rsidR="004B57AE" w:rsidRPr="00D00979">
        <w:rPr>
          <w:rFonts w:ascii="Times New Roman" w:hAnsi="Times New Roman" w:cs="Times New Roman"/>
          <w:lang w:val="en-US"/>
        </w:rPr>
        <w:t>M</w:t>
      </w:r>
      <w:r w:rsidRPr="00D00979">
        <w:rPr>
          <w:rFonts w:ascii="Times New Roman" w:hAnsi="Times New Roman" w:cs="Times New Roman"/>
          <w:lang w:val="en-US"/>
        </w:rPr>
        <w:t xml:space="preserve">ember </w:t>
      </w:r>
      <w:r w:rsidR="004B57AE" w:rsidRPr="00D00979">
        <w:rPr>
          <w:rFonts w:ascii="Times New Roman" w:hAnsi="Times New Roman" w:cs="Times New Roman"/>
          <w:lang w:val="en-US"/>
        </w:rPr>
        <w:t>S</w:t>
      </w:r>
      <w:r w:rsidRPr="00D00979">
        <w:rPr>
          <w:rFonts w:ascii="Times New Roman" w:hAnsi="Times New Roman" w:cs="Times New Roman"/>
          <w:lang w:val="en-US"/>
        </w:rPr>
        <w:t xml:space="preserve">tates to use real link tests in relation to frontier workers </w:t>
      </w:r>
      <w:r w:rsidR="00515291" w:rsidRPr="00D00979">
        <w:rPr>
          <w:rFonts w:ascii="Times New Roman" w:hAnsi="Times New Roman" w:cs="Times New Roman"/>
          <w:lang w:val="en-US"/>
        </w:rPr>
        <w:t xml:space="preserve">(and their children) </w:t>
      </w:r>
      <w:r w:rsidRPr="00D00979">
        <w:rPr>
          <w:rFonts w:ascii="Times New Roman" w:hAnsi="Times New Roman" w:cs="Times New Roman"/>
          <w:lang w:val="en-US"/>
        </w:rPr>
        <w:t xml:space="preserve">whose residence is established outside the </w:t>
      </w:r>
      <w:r w:rsidR="004B57AE" w:rsidRPr="00D00979">
        <w:rPr>
          <w:rFonts w:ascii="Times New Roman" w:hAnsi="Times New Roman" w:cs="Times New Roman"/>
          <w:lang w:val="en-US"/>
        </w:rPr>
        <w:t>M</w:t>
      </w:r>
      <w:r w:rsidRPr="00D00979">
        <w:rPr>
          <w:rFonts w:ascii="Times New Roman" w:hAnsi="Times New Roman" w:cs="Times New Roman"/>
          <w:lang w:val="en-US"/>
        </w:rPr>
        <w:t xml:space="preserve">ember </w:t>
      </w:r>
      <w:r w:rsidR="004B57AE" w:rsidRPr="00D00979">
        <w:rPr>
          <w:rFonts w:ascii="Times New Roman" w:hAnsi="Times New Roman" w:cs="Times New Roman"/>
          <w:lang w:val="en-US"/>
        </w:rPr>
        <w:t>S</w:t>
      </w:r>
      <w:r w:rsidRPr="00D00979">
        <w:rPr>
          <w:rFonts w:ascii="Times New Roman" w:hAnsi="Times New Roman" w:cs="Times New Roman"/>
          <w:lang w:val="en-US"/>
        </w:rPr>
        <w:t>tate where they work. In contrast, it has not yet endorsed the use of additional integration requirements in relation to migrant workers who reside in their country of employment. This would suggest that, in contrast to frontier workers, resident migrant workers qualify for equal treatment without having to satisfy further requirements.</w:t>
      </w:r>
      <w:r w:rsidR="003D269F" w:rsidRPr="00D00979">
        <w:rPr>
          <w:rStyle w:val="Appelnotedebasdep"/>
          <w:rFonts w:ascii="Times New Roman" w:hAnsi="Times New Roman" w:cs="Times New Roman"/>
          <w:lang w:val="en-US"/>
        </w:rPr>
        <w:footnoteReference w:id="99"/>
      </w:r>
      <w:r w:rsidRPr="00D00979">
        <w:rPr>
          <w:rFonts w:ascii="Times New Roman" w:hAnsi="Times New Roman" w:cs="Times New Roman"/>
          <w:lang w:val="en-US"/>
        </w:rPr>
        <w:t xml:space="preserve"> At the same time, however, it must be stressed that the Court’s statement in </w:t>
      </w:r>
      <w:r w:rsidRPr="00D00979">
        <w:rPr>
          <w:rStyle w:val="Aucun"/>
          <w:rFonts w:ascii="Times New Roman" w:hAnsi="Times New Roman" w:cs="Times New Roman"/>
          <w:i/>
          <w:iCs/>
          <w:lang w:val="en-US"/>
        </w:rPr>
        <w:t>Commission v Netherlands</w:t>
      </w:r>
      <w:r w:rsidRPr="00D00979">
        <w:rPr>
          <w:rFonts w:ascii="Times New Roman" w:hAnsi="Times New Roman" w:cs="Times New Roman"/>
          <w:lang w:val="en-US"/>
        </w:rPr>
        <w:t xml:space="preserve"> is addressed more generally to migrant workers as a whole.</w:t>
      </w:r>
      <w:r w:rsidR="00AE575C" w:rsidRPr="00D00979">
        <w:rPr>
          <w:rFonts w:ascii="Times New Roman" w:hAnsi="Times New Roman" w:cs="Times New Roman"/>
          <w:lang w:val="en-US"/>
        </w:rPr>
        <w:t xml:space="preserve"> Furthermore, that statement was made in the context of infringement proceedings and may accordingly be seen as the expression of a broad principle reaching beyond the specific set of circumstances of that case. The Court’s reasoning may therefore </w:t>
      </w:r>
      <w:r w:rsidRPr="00D00979">
        <w:rPr>
          <w:rFonts w:ascii="Times New Roman" w:hAnsi="Times New Roman" w:cs="Times New Roman"/>
          <w:lang w:val="en-US"/>
        </w:rPr>
        <w:t>have implications</w:t>
      </w:r>
      <w:r w:rsidR="00AE575C" w:rsidRPr="00D00979">
        <w:rPr>
          <w:rFonts w:ascii="Times New Roman" w:hAnsi="Times New Roman" w:cs="Times New Roman"/>
          <w:lang w:val="en-US"/>
        </w:rPr>
        <w:t xml:space="preserve"> </w:t>
      </w:r>
      <w:r w:rsidRPr="00D00979">
        <w:rPr>
          <w:rFonts w:ascii="Times New Roman" w:hAnsi="Times New Roman" w:cs="Times New Roman"/>
          <w:lang w:val="en-US"/>
        </w:rPr>
        <w:t xml:space="preserve">for the status of migrant worker in general. Specifically, it may create a precedent allowing the </w:t>
      </w:r>
      <w:r w:rsidR="004B57AE" w:rsidRPr="00D00979">
        <w:rPr>
          <w:rFonts w:ascii="Times New Roman" w:hAnsi="Times New Roman" w:cs="Times New Roman"/>
          <w:lang w:val="en-US"/>
        </w:rPr>
        <w:t>M</w:t>
      </w:r>
      <w:r w:rsidRPr="00D00979">
        <w:rPr>
          <w:rFonts w:ascii="Times New Roman" w:hAnsi="Times New Roman" w:cs="Times New Roman"/>
          <w:lang w:val="en-US"/>
        </w:rPr>
        <w:t xml:space="preserve">ember </w:t>
      </w:r>
      <w:r w:rsidR="004B57AE" w:rsidRPr="00D00979">
        <w:rPr>
          <w:rFonts w:ascii="Times New Roman" w:hAnsi="Times New Roman" w:cs="Times New Roman"/>
          <w:lang w:val="en-US"/>
        </w:rPr>
        <w:t>S</w:t>
      </w:r>
      <w:r w:rsidRPr="00D00979">
        <w:rPr>
          <w:rFonts w:ascii="Times New Roman" w:hAnsi="Times New Roman" w:cs="Times New Roman"/>
          <w:lang w:val="en-US"/>
        </w:rPr>
        <w:t xml:space="preserve">tates to use real link requirements to restrict the right to obtain social advantages enjoyed by Union migrant workers who work </w:t>
      </w:r>
      <w:r w:rsidRPr="00D00979">
        <w:rPr>
          <w:rStyle w:val="Aucun"/>
          <w:rFonts w:ascii="Times New Roman" w:hAnsi="Times New Roman" w:cs="Times New Roman"/>
          <w:i/>
          <w:iCs/>
          <w:lang w:val="en-US"/>
        </w:rPr>
        <w:t>and</w:t>
      </w:r>
      <w:r w:rsidRPr="00D00979">
        <w:rPr>
          <w:rFonts w:ascii="Times New Roman" w:hAnsi="Times New Roman" w:cs="Times New Roman"/>
          <w:lang w:val="en-US"/>
        </w:rPr>
        <w:t xml:space="preserve"> reside in the host state under Regulation 492/2011. </w:t>
      </w:r>
      <w:r w:rsidR="0057460D" w:rsidRPr="00D00979">
        <w:rPr>
          <w:rFonts w:ascii="Times New Roman" w:hAnsi="Times New Roman" w:cs="Times New Roman"/>
          <w:lang w:val="en-US"/>
        </w:rPr>
        <w:t>As a result, it would seem that even the rights enjoyed by (former) migrant workers on the basis of the Workers’ Regulation may effectively be curtailed by national authorities on the basis of integration requirements inspired to a certain extent by the right-to-reside standards enshrined in the Citizenship Directive.</w:t>
      </w:r>
      <w:r w:rsidR="00676870" w:rsidRPr="00D00979">
        <w:rPr>
          <w:rFonts w:ascii="Times New Roman" w:hAnsi="Times New Roman" w:cs="Times New Roman"/>
          <w:lang w:val="en-US"/>
        </w:rPr>
        <w:t xml:space="preserve"> </w:t>
      </w:r>
    </w:p>
    <w:p w14:paraId="28E72730" w14:textId="77777777" w:rsidR="00D7623A" w:rsidRPr="00D00979" w:rsidRDefault="00D7623A" w:rsidP="00D7623A">
      <w:pPr>
        <w:pStyle w:val="Corps"/>
        <w:jc w:val="both"/>
        <w:rPr>
          <w:rFonts w:ascii="Times New Roman" w:hAnsi="Times New Roman" w:cs="Times New Roman"/>
          <w:lang w:val="en-US"/>
        </w:rPr>
      </w:pPr>
    </w:p>
    <w:p w14:paraId="7B4A24EF" w14:textId="72EF64F9" w:rsidR="002E2698" w:rsidRPr="00D00979" w:rsidRDefault="00DD6C36" w:rsidP="00D7623A">
      <w:pPr>
        <w:pStyle w:val="Corps"/>
        <w:jc w:val="both"/>
        <w:rPr>
          <w:rFonts w:ascii="Times New Roman" w:hAnsi="Times New Roman" w:cs="Times New Roman"/>
          <w:lang w:val="en-US"/>
        </w:rPr>
      </w:pPr>
      <w:r w:rsidRPr="00D00979">
        <w:rPr>
          <w:rFonts w:ascii="Times New Roman" w:hAnsi="Times New Roman" w:cs="Times New Roman"/>
          <w:lang w:val="en-US"/>
        </w:rPr>
        <w:t xml:space="preserve">When they decide to adopt such requirements, the Member States should </w:t>
      </w:r>
      <w:r w:rsidR="00BB1217" w:rsidRPr="00D00979">
        <w:rPr>
          <w:rFonts w:ascii="Times New Roman" w:hAnsi="Times New Roman" w:cs="Times New Roman"/>
          <w:lang w:val="en-US"/>
        </w:rPr>
        <w:t xml:space="preserve">nevertheless </w:t>
      </w:r>
      <w:r w:rsidRPr="00D00979">
        <w:rPr>
          <w:rFonts w:ascii="Times New Roman" w:hAnsi="Times New Roman" w:cs="Times New Roman"/>
          <w:lang w:val="en-US"/>
        </w:rPr>
        <w:t>be careful to comply with the principle of equal treatment and, in particular, the principle of proportionality flowing therefrom. This means that national authorities may only restrict cross-border access to social assistance provided that such restriction is objectively justified by a legitimate public interest</w:t>
      </w:r>
      <w:r w:rsidR="00E11880" w:rsidRPr="00D00979">
        <w:rPr>
          <w:rFonts w:ascii="Times New Roman" w:hAnsi="Times New Roman" w:cs="Times New Roman"/>
          <w:lang w:val="en-US"/>
        </w:rPr>
        <w:t xml:space="preserve"> </w:t>
      </w:r>
      <w:r w:rsidR="00165E37" w:rsidRPr="00D00979">
        <w:rPr>
          <w:rFonts w:ascii="Times New Roman" w:hAnsi="Times New Roman" w:cs="Times New Roman"/>
          <w:lang w:val="en-US"/>
        </w:rPr>
        <w:t>following an individual assessment of</w:t>
      </w:r>
      <w:r w:rsidR="00E11880" w:rsidRPr="00D00979">
        <w:rPr>
          <w:rFonts w:ascii="Times New Roman" w:hAnsi="Times New Roman" w:cs="Times New Roman"/>
          <w:lang w:val="en-US"/>
        </w:rPr>
        <w:t xml:space="preserve"> the particular circumstances of the benefit claimant</w:t>
      </w:r>
      <w:r w:rsidRPr="00D00979">
        <w:rPr>
          <w:rFonts w:ascii="Times New Roman" w:hAnsi="Times New Roman" w:cs="Times New Roman"/>
          <w:lang w:val="en-US"/>
        </w:rPr>
        <w:t xml:space="preserve">. </w:t>
      </w:r>
      <w:r w:rsidR="00392D3D" w:rsidRPr="00D00979">
        <w:rPr>
          <w:rFonts w:ascii="Times New Roman" w:hAnsi="Times New Roman" w:cs="Times New Roman"/>
          <w:lang w:val="en-US"/>
        </w:rPr>
        <w:t xml:space="preserve">If the Court’s </w:t>
      </w:r>
      <w:r w:rsidR="00914C76" w:rsidRPr="00D00979">
        <w:rPr>
          <w:rFonts w:ascii="Times New Roman" w:hAnsi="Times New Roman" w:cs="Times New Roman"/>
          <w:lang w:val="en-US"/>
        </w:rPr>
        <w:t>students finance cases</w:t>
      </w:r>
      <w:r w:rsidR="009856D1" w:rsidRPr="00D00979">
        <w:rPr>
          <w:rFonts w:ascii="Times New Roman" w:hAnsi="Times New Roman" w:cs="Times New Roman"/>
          <w:lang w:val="en-US"/>
        </w:rPr>
        <w:t xml:space="preserve"> are</w:t>
      </w:r>
      <w:r w:rsidR="00392D3D" w:rsidRPr="00D00979">
        <w:rPr>
          <w:rFonts w:ascii="Times New Roman" w:hAnsi="Times New Roman" w:cs="Times New Roman"/>
          <w:lang w:val="en-US"/>
        </w:rPr>
        <w:t xml:space="preserve"> anything to go by, </w:t>
      </w:r>
      <w:r w:rsidR="008776FC" w:rsidRPr="00D00979">
        <w:rPr>
          <w:rFonts w:ascii="Times New Roman" w:hAnsi="Times New Roman" w:cs="Times New Roman"/>
          <w:lang w:val="en-US"/>
        </w:rPr>
        <w:t>though</w:t>
      </w:r>
      <w:r w:rsidR="00392D3D" w:rsidRPr="00D00979">
        <w:rPr>
          <w:rFonts w:ascii="Times New Roman" w:hAnsi="Times New Roman" w:cs="Times New Roman"/>
          <w:lang w:val="en-US"/>
        </w:rPr>
        <w:t xml:space="preserve">, </w:t>
      </w:r>
      <w:r w:rsidR="009856D1" w:rsidRPr="00D00979">
        <w:rPr>
          <w:rFonts w:ascii="Times New Roman" w:hAnsi="Times New Roman" w:cs="Times New Roman"/>
          <w:lang w:val="en-US"/>
        </w:rPr>
        <w:t xml:space="preserve">it would appear that </w:t>
      </w:r>
      <w:r w:rsidR="00392D3D" w:rsidRPr="00D00979">
        <w:rPr>
          <w:rFonts w:ascii="Times New Roman" w:hAnsi="Times New Roman" w:cs="Times New Roman"/>
          <w:lang w:val="en-US"/>
        </w:rPr>
        <w:t xml:space="preserve">the Member States retain considerable </w:t>
      </w:r>
      <w:r w:rsidR="008428BD">
        <w:rPr>
          <w:rFonts w:ascii="Times New Roman" w:hAnsi="Times New Roman" w:cs="Times New Roman"/>
          <w:lang w:val="en-US"/>
        </w:rPr>
        <w:t xml:space="preserve">regulatory </w:t>
      </w:r>
      <w:r w:rsidR="00392D3D" w:rsidRPr="00D00979">
        <w:rPr>
          <w:rFonts w:ascii="Times New Roman" w:hAnsi="Times New Roman" w:cs="Times New Roman"/>
          <w:lang w:val="en-US"/>
        </w:rPr>
        <w:t xml:space="preserve">autonomy within those constraints. </w:t>
      </w:r>
      <w:r w:rsidR="00914C76" w:rsidRPr="00D00979">
        <w:rPr>
          <w:rFonts w:ascii="Times New Roman" w:hAnsi="Times New Roman" w:cs="Times New Roman"/>
          <w:lang w:val="en-US"/>
        </w:rPr>
        <w:t>Those judgments</w:t>
      </w:r>
      <w:r w:rsidRPr="00D00979">
        <w:rPr>
          <w:rFonts w:ascii="Times New Roman" w:hAnsi="Times New Roman" w:cs="Times New Roman"/>
          <w:lang w:val="en-US"/>
        </w:rPr>
        <w:t xml:space="preserve"> </w:t>
      </w:r>
      <w:r w:rsidR="00392D3D" w:rsidRPr="00D00979">
        <w:rPr>
          <w:rFonts w:ascii="Times New Roman" w:hAnsi="Times New Roman" w:cs="Times New Roman"/>
          <w:lang w:val="en-US"/>
        </w:rPr>
        <w:t xml:space="preserve">demonstrate </w:t>
      </w:r>
      <w:r w:rsidR="008776FC" w:rsidRPr="00D00979">
        <w:rPr>
          <w:rFonts w:ascii="Times New Roman" w:hAnsi="Times New Roman" w:cs="Times New Roman"/>
          <w:lang w:val="en-US"/>
        </w:rPr>
        <w:t xml:space="preserve">that </w:t>
      </w:r>
      <w:r w:rsidRPr="00D00979">
        <w:rPr>
          <w:rFonts w:ascii="Times New Roman" w:hAnsi="Times New Roman" w:cs="Times New Roman"/>
          <w:lang w:val="en-US"/>
        </w:rPr>
        <w:t>the Court has</w:t>
      </w:r>
      <w:r w:rsidR="00392D3D" w:rsidRPr="00D00979">
        <w:rPr>
          <w:rFonts w:ascii="Times New Roman" w:hAnsi="Times New Roman" w:cs="Times New Roman"/>
          <w:lang w:val="en-US"/>
        </w:rPr>
        <w:t xml:space="preserve"> </w:t>
      </w:r>
      <w:r w:rsidRPr="00D00979">
        <w:rPr>
          <w:rFonts w:ascii="Times New Roman" w:hAnsi="Times New Roman" w:cs="Times New Roman"/>
          <w:lang w:val="en-US"/>
        </w:rPr>
        <w:t>been rather lenient</w:t>
      </w:r>
      <w:r w:rsidR="008776FC" w:rsidRPr="00D00979">
        <w:rPr>
          <w:rFonts w:ascii="Times New Roman" w:hAnsi="Times New Roman" w:cs="Times New Roman"/>
          <w:lang w:val="en-US"/>
        </w:rPr>
        <w:t xml:space="preserve"> (if not</w:t>
      </w:r>
      <w:r w:rsidR="00681D2C" w:rsidRPr="00D00979">
        <w:rPr>
          <w:rFonts w:ascii="Times New Roman" w:hAnsi="Times New Roman" w:cs="Times New Roman"/>
          <w:lang w:val="en-US"/>
        </w:rPr>
        <w:t xml:space="preserve"> downwards</w:t>
      </w:r>
      <w:r w:rsidR="008776FC" w:rsidRPr="00D00979">
        <w:rPr>
          <w:rFonts w:ascii="Times New Roman" w:hAnsi="Times New Roman" w:cs="Times New Roman"/>
          <w:lang w:val="en-US"/>
        </w:rPr>
        <w:t xml:space="preserve"> </w:t>
      </w:r>
      <w:r w:rsidR="00681D2C" w:rsidRPr="00D00979">
        <w:rPr>
          <w:rFonts w:ascii="Times New Roman" w:hAnsi="Times New Roman" w:cs="Times New Roman"/>
          <w:lang w:val="en-US"/>
        </w:rPr>
        <w:t>inconsistent</w:t>
      </w:r>
      <w:r w:rsidR="008776FC" w:rsidRPr="00D00979">
        <w:rPr>
          <w:rFonts w:ascii="Times New Roman" w:hAnsi="Times New Roman" w:cs="Times New Roman"/>
          <w:lang w:val="en-US"/>
        </w:rPr>
        <w:t>)</w:t>
      </w:r>
      <w:r w:rsidRPr="00D00979">
        <w:rPr>
          <w:rFonts w:ascii="Times New Roman" w:hAnsi="Times New Roman" w:cs="Times New Roman"/>
          <w:lang w:val="en-US"/>
        </w:rPr>
        <w:t xml:space="preserve"> in its approach towards the proportionality of restrictive measures.</w:t>
      </w:r>
      <w:r w:rsidRPr="00D00979">
        <w:rPr>
          <w:rStyle w:val="Appelnotedebasdep"/>
          <w:rFonts w:ascii="Times New Roman" w:hAnsi="Times New Roman" w:cs="Times New Roman"/>
        </w:rPr>
        <w:footnoteReference w:id="100"/>
      </w:r>
      <w:r w:rsidR="000416FF" w:rsidRPr="00D00979">
        <w:rPr>
          <w:rFonts w:ascii="Times New Roman" w:hAnsi="Times New Roman" w:cs="Times New Roman"/>
          <w:lang w:val="en-US"/>
        </w:rPr>
        <w:t xml:space="preserve"> </w:t>
      </w:r>
      <w:r w:rsidR="00B33D5F" w:rsidRPr="00D00979">
        <w:rPr>
          <w:rFonts w:ascii="Times New Roman" w:hAnsi="Times New Roman" w:cs="Times New Roman"/>
          <w:lang w:val="en-US"/>
        </w:rPr>
        <w:t xml:space="preserve">One of the most </w:t>
      </w:r>
      <w:r w:rsidR="00CB49ED" w:rsidRPr="00D00979">
        <w:rPr>
          <w:rFonts w:ascii="Times New Roman" w:hAnsi="Times New Roman" w:cs="Times New Roman"/>
          <w:lang w:val="en-US"/>
        </w:rPr>
        <w:t xml:space="preserve">worrying features of </w:t>
      </w:r>
      <w:r w:rsidR="00914C76" w:rsidRPr="00D00979">
        <w:rPr>
          <w:rFonts w:ascii="Times New Roman" w:hAnsi="Times New Roman" w:cs="Times New Roman"/>
          <w:lang w:val="en-US"/>
        </w:rPr>
        <w:t>these cases</w:t>
      </w:r>
      <w:r w:rsidR="00CB49ED" w:rsidRPr="00D00979">
        <w:rPr>
          <w:rFonts w:ascii="Times New Roman" w:hAnsi="Times New Roman" w:cs="Times New Roman"/>
          <w:lang w:val="en-US"/>
        </w:rPr>
        <w:t xml:space="preserve"> is</w:t>
      </w:r>
      <w:r w:rsidR="00914C76" w:rsidRPr="00D00979">
        <w:rPr>
          <w:rFonts w:ascii="Times New Roman" w:hAnsi="Times New Roman" w:cs="Times New Roman"/>
          <w:lang w:val="en-US"/>
        </w:rPr>
        <w:t xml:space="preserve"> indeed</w:t>
      </w:r>
      <w:r w:rsidR="00CB49ED" w:rsidRPr="00D00979">
        <w:rPr>
          <w:rFonts w:ascii="Times New Roman" w:hAnsi="Times New Roman" w:cs="Times New Roman"/>
          <w:lang w:val="en-US"/>
        </w:rPr>
        <w:t xml:space="preserve"> that</w:t>
      </w:r>
      <w:r w:rsidR="00B33D5F" w:rsidRPr="00D00979">
        <w:rPr>
          <w:rFonts w:ascii="Times New Roman" w:hAnsi="Times New Roman" w:cs="Times New Roman"/>
          <w:lang w:val="en-US"/>
        </w:rPr>
        <w:t xml:space="preserve"> the </w:t>
      </w:r>
      <w:r w:rsidR="00CB49ED" w:rsidRPr="00D00979">
        <w:rPr>
          <w:rFonts w:ascii="Times New Roman" w:hAnsi="Times New Roman" w:cs="Times New Roman"/>
          <w:lang w:val="en-US"/>
        </w:rPr>
        <w:t xml:space="preserve">Member States’ reliance on objectives underpinned at least partially by </w:t>
      </w:r>
      <w:r w:rsidR="00914C76" w:rsidRPr="00D00979">
        <w:rPr>
          <w:rFonts w:ascii="Times New Roman" w:hAnsi="Times New Roman" w:cs="Times New Roman"/>
          <w:lang w:val="en-US"/>
        </w:rPr>
        <w:t>financial</w:t>
      </w:r>
      <w:r w:rsidR="00CB49ED" w:rsidRPr="00D00979">
        <w:rPr>
          <w:rFonts w:ascii="Times New Roman" w:hAnsi="Times New Roman" w:cs="Times New Roman"/>
          <w:lang w:val="en-US"/>
        </w:rPr>
        <w:t xml:space="preserve"> considerations is concealed by the Court’s lenient approach in the examination of the appropriateness of such measures</w:t>
      </w:r>
      <w:r w:rsidR="006C5ED4" w:rsidRPr="00D00979">
        <w:rPr>
          <w:rFonts w:ascii="Times New Roman" w:hAnsi="Times New Roman" w:cs="Times New Roman"/>
          <w:lang w:val="en-US"/>
        </w:rPr>
        <w:t xml:space="preserve"> in the light of </w:t>
      </w:r>
      <w:r w:rsidR="001D3D94">
        <w:rPr>
          <w:rFonts w:ascii="Times New Roman" w:hAnsi="Times New Roman" w:cs="Times New Roman"/>
          <w:lang w:val="en-US"/>
        </w:rPr>
        <w:t xml:space="preserve">other </w:t>
      </w:r>
      <w:r w:rsidR="006C5ED4" w:rsidRPr="00D00979">
        <w:rPr>
          <w:rFonts w:ascii="Times New Roman" w:hAnsi="Times New Roman" w:cs="Times New Roman"/>
          <w:lang w:val="en-US"/>
        </w:rPr>
        <w:t>objectives invoked by the Member State concerned</w:t>
      </w:r>
      <w:r w:rsidR="00CB49ED" w:rsidRPr="00D00979">
        <w:rPr>
          <w:rFonts w:ascii="Times New Roman" w:hAnsi="Times New Roman" w:cs="Times New Roman"/>
          <w:lang w:val="en-US"/>
        </w:rPr>
        <w:t>.</w:t>
      </w:r>
      <w:r w:rsidR="006C5ED4" w:rsidRPr="00D00979">
        <w:rPr>
          <w:rFonts w:ascii="Times New Roman" w:hAnsi="Times New Roman" w:cs="Times New Roman"/>
          <w:lang w:val="en-US"/>
        </w:rPr>
        <w:t xml:space="preserve"> In doing so,</w:t>
      </w:r>
      <w:r w:rsidR="0056297D" w:rsidRPr="00D00979">
        <w:rPr>
          <w:rFonts w:ascii="Times New Roman" w:hAnsi="Times New Roman" w:cs="Times New Roman"/>
          <w:lang w:val="en-US"/>
        </w:rPr>
        <w:t xml:space="preserve"> the Court leaves great leeway to national public authorities when they introduce restrictions on migrant workers’ rights. By the same token, it</w:t>
      </w:r>
      <w:r w:rsidR="006C5ED4" w:rsidRPr="00D00979">
        <w:rPr>
          <w:rFonts w:ascii="Times New Roman" w:hAnsi="Times New Roman" w:cs="Times New Roman"/>
          <w:lang w:val="en-US"/>
        </w:rPr>
        <w:t xml:space="preserve"> leaves open </w:t>
      </w:r>
      <w:r w:rsidR="00222F63" w:rsidRPr="00D00979">
        <w:rPr>
          <w:rFonts w:ascii="Times New Roman" w:hAnsi="Times New Roman" w:cs="Times New Roman"/>
          <w:lang w:val="en-US"/>
        </w:rPr>
        <w:t>thorny</w:t>
      </w:r>
      <w:r w:rsidR="006C5ED4" w:rsidRPr="00D00979">
        <w:rPr>
          <w:rFonts w:ascii="Times New Roman" w:hAnsi="Times New Roman" w:cs="Times New Roman"/>
          <w:lang w:val="en-US"/>
        </w:rPr>
        <w:t xml:space="preserve"> issues on whether the Member States may actually rely </w:t>
      </w:r>
      <w:r w:rsidR="006C5ED4" w:rsidRPr="00D00979">
        <w:rPr>
          <w:rFonts w:ascii="Times New Roman" w:hAnsi="Times New Roman" w:cs="Times New Roman"/>
          <w:lang w:val="en-US"/>
        </w:rPr>
        <w:lastRenderedPageBreak/>
        <w:t>on purely economic justifications to foreclose cross-border access to their social assistance systems even in relation to migrant workers.</w:t>
      </w:r>
      <w:r w:rsidR="00056399" w:rsidRPr="00D00979">
        <w:rPr>
          <w:rStyle w:val="Appelnotedebasdep"/>
          <w:rFonts w:ascii="Times New Roman" w:hAnsi="Times New Roman" w:cs="Times New Roman"/>
          <w:lang w:val="en-US"/>
        </w:rPr>
        <w:footnoteReference w:id="101"/>
      </w:r>
    </w:p>
    <w:p w14:paraId="0943C867" w14:textId="77777777" w:rsidR="00EC39D4" w:rsidRPr="00D00979" w:rsidRDefault="00EC39D4" w:rsidP="00D7623A">
      <w:pPr>
        <w:pStyle w:val="Corps"/>
        <w:jc w:val="both"/>
        <w:rPr>
          <w:rFonts w:ascii="Times New Roman" w:hAnsi="Times New Roman" w:cs="Times New Roman"/>
          <w:lang w:val="en-US"/>
        </w:rPr>
      </w:pPr>
    </w:p>
    <w:p w14:paraId="2393914A" w14:textId="6EE14121" w:rsidR="00140AA9" w:rsidRPr="00D00979" w:rsidRDefault="00140AA9" w:rsidP="00D7623A">
      <w:pPr>
        <w:pStyle w:val="Titrerouge"/>
        <w:jc w:val="both"/>
        <w:rPr>
          <w:rFonts w:ascii="Times New Roman" w:hAnsi="Times New Roman" w:cs="Times New Roman"/>
          <w:iCs/>
          <w:color w:val="000000"/>
          <w:sz w:val="22"/>
          <w:szCs w:val="22"/>
          <w:lang w:val="en-US"/>
        </w:rPr>
      </w:pPr>
      <w:bookmarkStart w:id="7" w:name="_Toc76652183"/>
      <w:r w:rsidRPr="00D00979">
        <w:rPr>
          <w:rFonts w:ascii="Times New Roman" w:hAnsi="Times New Roman" w:cs="Times New Roman"/>
          <w:iCs/>
          <w:color w:val="000000"/>
          <w:sz w:val="22"/>
          <w:szCs w:val="22"/>
          <w:lang w:val="en-US"/>
        </w:rPr>
        <w:t>Conclusion</w:t>
      </w:r>
      <w:bookmarkEnd w:id="7"/>
    </w:p>
    <w:p w14:paraId="103D4590" w14:textId="77777777" w:rsidR="006F0DD1" w:rsidRPr="00D00979" w:rsidRDefault="006F0DD1" w:rsidP="00D7623A">
      <w:pPr>
        <w:pStyle w:val="NormalWeb"/>
        <w:spacing w:before="0" w:beforeAutospacing="0" w:after="0" w:afterAutospacing="0"/>
        <w:ind w:firstLine="284"/>
        <w:jc w:val="both"/>
        <w:rPr>
          <w:sz w:val="22"/>
          <w:szCs w:val="22"/>
          <w:lang w:val="en-US"/>
        </w:rPr>
      </w:pPr>
    </w:p>
    <w:p w14:paraId="7AE92856" w14:textId="32BA79CB" w:rsidR="001635E6" w:rsidRPr="00D00979" w:rsidRDefault="001C098B" w:rsidP="00D7623A">
      <w:pPr>
        <w:pStyle w:val="Commentaire"/>
        <w:jc w:val="both"/>
        <w:rPr>
          <w:sz w:val="22"/>
          <w:szCs w:val="22"/>
        </w:rPr>
      </w:pPr>
      <w:r w:rsidRPr="00D00979">
        <w:rPr>
          <w:sz w:val="22"/>
          <w:szCs w:val="22"/>
        </w:rPr>
        <w:t>In the wake of the Court’s</w:t>
      </w:r>
      <w:r w:rsidR="006E65F0" w:rsidRPr="00D00979">
        <w:rPr>
          <w:sz w:val="22"/>
          <w:szCs w:val="22"/>
        </w:rPr>
        <w:t xml:space="preserve"> judgments in </w:t>
      </w:r>
      <w:r w:rsidR="006E65F0" w:rsidRPr="00D00979">
        <w:rPr>
          <w:i/>
          <w:iCs/>
          <w:sz w:val="22"/>
          <w:szCs w:val="22"/>
        </w:rPr>
        <w:t xml:space="preserve">Dano </w:t>
      </w:r>
      <w:r w:rsidR="006E65F0" w:rsidRPr="00D00979">
        <w:rPr>
          <w:sz w:val="22"/>
          <w:szCs w:val="22"/>
        </w:rPr>
        <w:t xml:space="preserve">and </w:t>
      </w:r>
      <w:r w:rsidR="006E65F0" w:rsidRPr="00D00979">
        <w:rPr>
          <w:i/>
          <w:sz w:val="22"/>
          <w:szCs w:val="22"/>
        </w:rPr>
        <w:t>Alimanovic</w:t>
      </w:r>
      <w:r w:rsidR="00557B14" w:rsidRPr="00D00979">
        <w:rPr>
          <w:sz w:val="22"/>
          <w:szCs w:val="22"/>
        </w:rPr>
        <w:t xml:space="preserve">, </w:t>
      </w:r>
      <w:r w:rsidRPr="00D00979">
        <w:rPr>
          <w:sz w:val="22"/>
          <w:szCs w:val="22"/>
        </w:rPr>
        <w:t xml:space="preserve">there was considerable </w:t>
      </w:r>
      <w:r w:rsidR="00752324" w:rsidRPr="00D00979">
        <w:rPr>
          <w:sz w:val="22"/>
          <w:szCs w:val="22"/>
        </w:rPr>
        <w:t>uncertainty</w:t>
      </w:r>
      <w:r w:rsidRPr="00D00979">
        <w:rPr>
          <w:sz w:val="22"/>
          <w:szCs w:val="22"/>
        </w:rPr>
        <w:t xml:space="preserve"> </w:t>
      </w:r>
      <w:r w:rsidR="00F0094C" w:rsidRPr="00D00979">
        <w:rPr>
          <w:sz w:val="22"/>
          <w:szCs w:val="22"/>
        </w:rPr>
        <w:t>about the interplay between the equal treatment guarantees vested in Union citizens by Articles 18, 21 and 45 TFEU and the different legislative measures adopted to give effect to these Treaty provisions. More specifically, the Court left open tricky questions about whether and to what extent the requirements set out</w:t>
      </w:r>
      <w:r w:rsidR="00F85D9B" w:rsidRPr="00D00979">
        <w:rPr>
          <w:sz w:val="22"/>
          <w:szCs w:val="22"/>
        </w:rPr>
        <w:t xml:space="preserve"> in</w:t>
      </w:r>
      <w:r w:rsidR="00F0094C" w:rsidRPr="00D00979">
        <w:rPr>
          <w:sz w:val="22"/>
          <w:szCs w:val="22"/>
        </w:rPr>
        <w:t xml:space="preserve"> the Citizenship Directive could be used to curtail the equal treatment guarantees offered to migrant workers by Regulation 492/2011. </w:t>
      </w:r>
      <w:r w:rsidR="000F2D28" w:rsidRPr="00D00979">
        <w:rPr>
          <w:sz w:val="22"/>
          <w:szCs w:val="22"/>
        </w:rPr>
        <w:t>It</w:t>
      </w:r>
      <w:r w:rsidR="00557B14" w:rsidRPr="00D00979">
        <w:rPr>
          <w:sz w:val="22"/>
          <w:szCs w:val="22"/>
        </w:rPr>
        <w:t xml:space="preserve"> </w:t>
      </w:r>
      <w:r w:rsidR="00F0094C" w:rsidRPr="00D00979">
        <w:rPr>
          <w:sz w:val="22"/>
          <w:szCs w:val="22"/>
        </w:rPr>
        <w:t>has been suggested</w:t>
      </w:r>
      <w:r w:rsidR="00676870" w:rsidRPr="00D00979">
        <w:rPr>
          <w:sz w:val="22"/>
          <w:szCs w:val="22"/>
        </w:rPr>
        <w:t xml:space="preserve"> </w:t>
      </w:r>
      <w:r w:rsidR="00F0094C" w:rsidRPr="00D00979">
        <w:rPr>
          <w:sz w:val="22"/>
          <w:szCs w:val="22"/>
        </w:rPr>
        <w:t xml:space="preserve">in that respect </w:t>
      </w:r>
      <w:r w:rsidR="00BD470F" w:rsidRPr="00D00979">
        <w:rPr>
          <w:sz w:val="22"/>
          <w:szCs w:val="22"/>
        </w:rPr>
        <w:t>that</w:t>
      </w:r>
      <w:r w:rsidR="00676870" w:rsidRPr="00D00979">
        <w:rPr>
          <w:sz w:val="22"/>
          <w:szCs w:val="22"/>
        </w:rPr>
        <w:t xml:space="preserve"> the limitations expressed in the Citizenship Directive </w:t>
      </w:r>
      <w:r w:rsidR="00BD470F" w:rsidRPr="00D00979">
        <w:rPr>
          <w:sz w:val="22"/>
          <w:szCs w:val="22"/>
        </w:rPr>
        <w:t>had</w:t>
      </w:r>
      <w:r w:rsidR="00676870" w:rsidRPr="00D00979">
        <w:rPr>
          <w:sz w:val="22"/>
          <w:szCs w:val="22"/>
        </w:rPr>
        <w:t xml:space="preserve"> attained “super-norm status” and </w:t>
      </w:r>
      <w:r w:rsidR="006E65F0" w:rsidRPr="00D00979">
        <w:rPr>
          <w:sz w:val="22"/>
          <w:szCs w:val="22"/>
        </w:rPr>
        <w:t>could</w:t>
      </w:r>
      <w:r w:rsidR="00676870" w:rsidRPr="00D00979">
        <w:rPr>
          <w:sz w:val="22"/>
          <w:szCs w:val="22"/>
        </w:rPr>
        <w:t xml:space="preserve"> be deemed to “supersede other specific expressions of free movement rights”.</w:t>
      </w:r>
      <w:r w:rsidR="00676870" w:rsidRPr="00D00979">
        <w:rPr>
          <w:rStyle w:val="Appelnotedebasdep"/>
          <w:sz w:val="22"/>
          <w:szCs w:val="22"/>
        </w:rPr>
        <w:footnoteReference w:id="102"/>
      </w:r>
      <w:r w:rsidR="00F0094C" w:rsidRPr="00D00979">
        <w:rPr>
          <w:sz w:val="22"/>
          <w:szCs w:val="22"/>
        </w:rPr>
        <w:t xml:space="preserve"> </w:t>
      </w:r>
      <w:r w:rsidR="00A84052" w:rsidRPr="00D00979">
        <w:rPr>
          <w:sz w:val="22"/>
          <w:szCs w:val="22"/>
        </w:rPr>
        <w:t>By</w:t>
      </w:r>
      <w:r w:rsidR="00C55FAD" w:rsidRPr="00D00979">
        <w:rPr>
          <w:sz w:val="22"/>
          <w:szCs w:val="22"/>
        </w:rPr>
        <w:t xml:space="preserve"> contrast, it is submitted </w:t>
      </w:r>
      <w:r w:rsidR="00F0094C" w:rsidRPr="00D00979">
        <w:rPr>
          <w:sz w:val="22"/>
          <w:szCs w:val="22"/>
        </w:rPr>
        <w:t>here</w:t>
      </w:r>
      <w:r w:rsidR="00C55FAD" w:rsidRPr="00D00979">
        <w:rPr>
          <w:sz w:val="22"/>
          <w:szCs w:val="22"/>
        </w:rPr>
        <w:t xml:space="preserve"> that the limitations on the right of equal treatment featured in Article 24(2) of the Citizenship Directive cannot</w:t>
      </w:r>
      <w:r w:rsidRPr="00D00979">
        <w:rPr>
          <w:sz w:val="22"/>
          <w:szCs w:val="22"/>
        </w:rPr>
        <w:t xml:space="preserve"> </w:t>
      </w:r>
      <w:r w:rsidR="00C55FAD" w:rsidRPr="00D00979">
        <w:rPr>
          <w:sz w:val="22"/>
          <w:szCs w:val="22"/>
        </w:rPr>
        <w:t>be relied upon</w:t>
      </w:r>
      <w:r w:rsidR="00F80090" w:rsidRPr="00D00979">
        <w:rPr>
          <w:sz w:val="22"/>
          <w:szCs w:val="22"/>
        </w:rPr>
        <w:t xml:space="preserve"> per se</w:t>
      </w:r>
      <w:r w:rsidR="00C55FAD" w:rsidRPr="00D00979">
        <w:rPr>
          <w:sz w:val="22"/>
          <w:szCs w:val="22"/>
        </w:rPr>
        <w:t xml:space="preserve"> in order to circumscribe the equal treatment guarantees set forth in Article 7(2) of the Workers’ Regulation. </w:t>
      </w:r>
      <w:r w:rsidR="006E65F0" w:rsidRPr="00D00979">
        <w:rPr>
          <w:sz w:val="22"/>
          <w:szCs w:val="22"/>
        </w:rPr>
        <w:t>From the foregoing considerations it</w:t>
      </w:r>
      <w:r w:rsidR="00CE4447" w:rsidRPr="00D00979">
        <w:rPr>
          <w:sz w:val="22"/>
          <w:szCs w:val="22"/>
        </w:rPr>
        <w:t xml:space="preserve"> may </w:t>
      </w:r>
      <w:r w:rsidR="006E65F0" w:rsidRPr="00D00979">
        <w:rPr>
          <w:sz w:val="22"/>
          <w:szCs w:val="22"/>
        </w:rPr>
        <w:t xml:space="preserve">nevertheless </w:t>
      </w:r>
      <w:r w:rsidR="00CE4447" w:rsidRPr="00D00979">
        <w:rPr>
          <w:sz w:val="22"/>
          <w:szCs w:val="22"/>
        </w:rPr>
        <w:t>be inferre</w:t>
      </w:r>
      <w:r w:rsidR="006E65F0" w:rsidRPr="00D00979">
        <w:rPr>
          <w:sz w:val="22"/>
          <w:szCs w:val="22"/>
        </w:rPr>
        <w:t>d</w:t>
      </w:r>
      <w:r w:rsidR="00CE4447" w:rsidRPr="00D00979">
        <w:rPr>
          <w:sz w:val="22"/>
          <w:szCs w:val="22"/>
        </w:rPr>
        <w:t xml:space="preserve"> </w:t>
      </w:r>
      <w:r w:rsidR="006E65F0" w:rsidRPr="00D00979">
        <w:rPr>
          <w:sz w:val="22"/>
          <w:szCs w:val="22"/>
        </w:rPr>
        <w:t xml:space="preserve">that </w:t>
      </w:r>
      <w:r w:rsidR="00CE4447" w:rsidRPr="00D00979">
        <w:rPr>
          <w:sz w:val="22"/>
          <w:szCs w:val="22"/>
        </w:rPr>
        <w:t>the relationship between the Directive and other</w:t>
      </w:r>
      <w:r w:rsidRPr="00D00979">
        <w:rPr>
          <w:sz w:val="22"/>
          <w:szCs w:val="22"/>
        </w:rPr>
        <w:t xml:space="preserve"> specific</w:t>
      </w:r>
      <w:r w:rsidR="00CE4447" w:rsidRPr="00D00979">
        <w:rPr>
          <w:sz w:val="22"/>
          <w:szCs w:val="22"/>
        </w:rPr>
        <w:t xml:space="preserve"> </w:t>
      </w:r>
      <w:r w:rsidRPr="00D00979">
        <w:rPr>
          <w:sz w:val="22"/>
          <w:szCs w:val="22"/>
        </w:rPr>
        <w:t xml:space="preserve">expressions of the principle of equal treatment - such as Article 7(2) of the Workers’ Regulation - </w:t>
      </w:r>
      <w:r w:rsidR="00CE4447" w:rsidRPr="00D00979">
        <w:rPr>
          <w:sz w:val="22"/>
          <w:szCs w:val="22"/>
        </w:rPr>
        <w:t xml:space="preserve"> is </w:t>
      </w:r>
      <w:r w:rsidR="00557B14" w:rsidRPr="00D00979">
        <w:rPr>
          <w:sz w:val="22"/>
          <w:szCs w:val="22"/>
        </w:rPr>
        <w:t>rather ambiguous</w:t>
      </w:r>
      <w:r w:rsidR="00CE4447" w:rsidRPr="00D00979">
        <w:rPr>
          <w:sz w:val="22"/>
          <w:szCs w:val="22"/>
        </w:rPr>
        <w:t>.</w:t>
      </w:r>
      <w:r w:rsidR="001635E6" w:rsidRPr="00D00979">
        <w:rPr>
          <w:sz w:val="22"/>
          <w:szCs w:val="22"/>
        </w:rPr>
        <w:t xml:space="preserve"> As the judgment in </w:t>
      </w:r>
      <w:r w:rsidR="001635E6" w:rsidRPr="00D00979">
        <w:rPr>
          <w:i/>
          <w:iCs/>
          <w:sz w:val="22"/>
          <w:szCs w:val="22"/>
        </w:rPr>
        <w:t>Jobcenter Krefeld</w:t>
      </w:r>
      <w:r w:rsidR="001635E6" w:rsidRPr="00D00979">
        <w:rPr>
          <w:sz w:val="22"/>
          <w:szCs w:val="22"/>
        </w:rPr>
        <w:t xml:space="preserve"> demonstrates, the Court itself is often keen to reiterate that a distinction should be drawn between economically inactive and active Union citizens. </w:t>
      </w:r>
      <w:r w:rsidR="00C85AD7" w:rsidRPr="00D00979">
        <w:rPr>
          <w:sz w:val="22"/>
          <w:szCs w:val="22"/>
        </w:rPr>
        <w:t xml:space="preserve">Although economic actors enjoy unconditional equal treatment guarantees in relation to the award of social assistance, economically inactive Union citizens may be subject to additional integration requirements for the purpose of obtaining financial support from the host State. In </w:t>
      </w:r>
      <w:r w:rsidR="00C85AD7" w:rsidRPr="00D00979">
        <w:rPr>
          <w:i/>
          <w:iCs/>
          <w:sz w:val="22"/>
          <w:szCs w:val="22"/>
        </w:rPr>
        <w:t>Jobcenter Krefeld</w:t>
      </w:r>
      <w:r w:rsidR="00C85AD7" w:rsidRPr="00D00979">
        <w:rPr>
          <w:sz w:val="22"/>
          <w:szCs w:val="22"/>
        </w:rPr>
        <w:t>, the</w:t>
      </w:r>
      <w:r w:rsidR="00E7549C" w:rsidRPr="00D00979">
        <w:rPr>
          <w:sz w:val="22"/>
          <w:szCs w:val="22"/>
        </w:rPr>
        <w:t xml:space="preserve"> Court seems to </w:t>
      </w:r>
      <w:r w:rsidR="00276D87" w:rsidRPr="00D00979">
        <w:rPr>
          <w:sz w:val="22"/>
          <w:szCs w:val="22"/>
        </w:rPr>
        <w:t xml:space="preserve">rely on that distinction to rule out the application of </w:t>
      </w:r>
      <w:r w:rsidR="001635E6" w:rsidRPr="00D00979">
        <w:rPr>
          <w:sz w:val="22"/>
          <w:szCs w:val="22"/>
        </w:rPr>
        <w:t>the limitations enshrined in Article 24</w:t>
      </w:r>
      <w:r w:rsidR="00C1001F" w:rsidRPr="00D00979">
        <w:rPr>
          <w:sz w:val="22"/>
          <w:szCs w:val="22"/>
        </w:rPr>
        <w:t>(2)</w:t>
      </w:r>
      <w:r w:rsidR="001635E6" w:rsidRPr="00D00979">
        <w:rPr>
          <w:sz w:val="22"/>
          <w:szCs w:val="22"/>
        </w:rPr>
        <w:t xml:space="preserve"> of the Directive </w:t>
      </w:r>
      <w:r w:rsidR="00276D87" w:rsidRPr="00D00979">
        <w:rPr>
          <w:sz w:val="22"/>
          <w:szCs w:val="22"/>
        </w:rPr>
        <w:t>in relation to</w:t>
      </w:r>
      <w:r w:rsidR="001635E6" w:rsidRPr="00D00979">
        <w:rPr>
          <w:sz w:val="22"/>
          <w:szCs w:val="22"/>
        </w:rPr>
        <w:t xml:space="preserve"> the equal treatment guarantees enjoyed by </w:t>
      </w:r>
      <w:r w:rsidR="00C85AD7" w:rsidRPr="00D00979">
        <w:rPr>
          <w:sz w:val="22"/>
          <w:szCs w:val="22"/>
        </w:rPr>
        <w:t>individuals</w:t>
      </w:r>
      <w:r w:rsidR="001635E6" w:rsidRPr="00D00979">
        <w:rPr>
          <w:sz w:val="22"/>
          <w:szCs w:val="22"/>
        </w:rPr>
        <w:t xml:space="preserve"> that belong to the category of “worker” within the meaning of Article 7(2) of the Workers’ Regulation. </w:t>
      </w:r>
    </w:p>
    <w:p w14:paraId="36DF3112" w14:textId="77777777" w:rsidR="00D7623A" w:rsidRPr="00D00979" w:rsidRDefault="00D7623A" w:rsidP="00D7623A">
      <w:pPr>
        <w:pStyle w:val="Commentaire"/>
        <w:jc w:val="both"/>
        <w:rPr>
          <w:sz w:val="22"/>
          <w:szCs w:val="22"/>
        </w:rPr>
      </w:pPr>
    </w:p>
    <w:p w14:paraId="13E91526" w14:textId="3EFECFE8" w:rsidR="00A84052" w:rsidRPr="00D00979" w:rsidRDefault="001635E6" w:rsidP="00D7623A">
      <w:pPr>
        <w:pStyle w:val="Commentaire"/>
        <w:jc w:val="both"/>
        <w:rPr>
          <w:sz w:val="22"/>
          <w:szCs w:val="22"/>
        </w:rPr>
      </w:pPr>
      <w:r w:rsidRPr="00D00979">
        <w:rPr>
          <w:sz w:val="22"/>
          <w:szCs w:val="22"/>
        </w:rPr>
        <w:t>It</w:t>
      </w:r>
      <w:r w:rsidR="001C098B" w:rsidRPr="00D00979">
        <w:rPr>
          <w:sz w:val="22"/>
          <w:szCs w:val="22"/>
        </w:rPr>
        <w:t xml:space="preserve"> appears, </w:t>
      </w:r>
      <w:r w:rsidRPr="00D00979">
        <w:rPr>
          <w:sz w:val="22"/>
          <w:szCs w:val="22"/>
        </w:rPr>
        <w:t>however</w:t>
      </w:r>
      <w:r w:rsidR="001C098B" w:rsidRPr="00D00979">
        <w:rPr>
          <w:sz w:val="22"/>
          <w:szCs w:val="22"/>
        </w:rPr>
        <w:t>, that the integration requirements featured in the Citizenship Directive are sometimes re-introduced through the back door by the Member States in order to circumscribe transnational access to social assistance even in relation to economically active Union citizens.</w:t>
      </w:r>
      <w:r w:rsidR="00276D87" w:rsidRPr="00D00979">
        <w:rPr>
          <w:sz w:val="22"/>
          <w:szCs w:val="22"/>
        </w:rPr>
        <w:t xml:space="preserve"> </w:t>
      </w:r>
      <w:r w:rsidR="001C098B" w:rsidRPr="00D00979">
        <w:rPr>
          <w:sz w:val="22"/>
          <w:szCs w:val="22"/>
        </w:rPr>
        <w:t xml:space="preserve">In addition to residence requirements, </w:t>
      </w:r>
      <w:r w:rsidR="005D2091" w:rsidRPr="00D00979">
        <w:rPr>
          <w:sz w:val="22"/>
          <w:szCs w:val="22"/>
        </w:rPr>
        <w:t>these</w:t>
      </w:r>
      <w:r w:rsidR="001C098B" w:rsidRPr="00D00979">
        <w:rPr>
          <w:sz w:val="22"/>
          <w:szCs w:val="22"/>
        </w:rPr>
        <w:t xml:space="preserve"> additional integration requirements may take the form of requirement</w:t>
      </w:r>
      <w:r w:rsidR="00A84052" w:rsidRPr="00D00979">
        <w:rPr>
          <w:sz w:val="22"/>
          <w:szCs w:val="22"/>
        </w:rPr>
        <w:t>s</w:t>
      </w:r>
      <w:r w:rsidR="001C098B" w:rsidRPr="00D00979">
        <w:rPr>
          <w:sz w:val="22"/>
          <w:szCs w:val="22"/>
        </w:rPr>
        <w:t xml:space="preserve"> that the migrant worker has worked for a certain period of time in the host state,</w:t>
      </w:r>
      <w:r w:rsidR="001C098B" w:rsidRPr="00D00979">
        <w:rPr>
          <w:rStyle w:val="Aucun"/>
          <w:sz w:val="22"/>
          <w:szCs w:val="22"/>
          <w:vertAlign w:val="superscript"/>
        </w:rPr>
        <w:footnoteReference w:id="103"/>
      </w:r>
      <w:r w:rsidR="001C098B" w:rsidRPr="00D00979">
        <w:rPr>
          <w:sz w:val="22"/>
          <w:szCs w:val="22"/>
        </w:rPr>
        <w:t xml:space="preserve"> or has contributed substantially to the national labour market (by meeting a threshold of minor employment as defined in national law).</w:t>
      </w:r>
      <w:r w:rsidR="001C098B" w:rsidRPr="00D00979">
        <w:rPr>
          <w:rStyle w:val="Aucun"/>
          <w:sz w:val="22"/>
          <w:szCs w:val="22"/>
          <w:vertAlign w:val="superscript"/>
        </w:rPr>
        <w:footnoteReference w:id="104"/>
      </w:r>
      <w:r w:rsidR="001C098B" w:rsidRPr="00D00979">
        <w:rPr>
          <w:sz w:val="22"/>
          <w:szCs w:val="22"/>
        </w:rPr>
        <w:t xml:space="preserve"> </w:t>
      </w:r>
      <w:r w:rsidR="00E7549C" w:rsidRPr="00D00979">
        <w:rPr>
          <w:sz w:val="22"/>
          <w:szCs w:val="22"/>
        </w:rPr>
        <w:t>S</w:t>
      </w:r>
      <w:r w:rsidR="001C098B" w:rsidRPr="00D00979">
        <w:rPr>
          <w:sz w:val="22"/>
          <w:szCs w:val="22"/>
        </w:rPr>
        <w:t xml:space="preserve">uch requirements reflect a broader shift towards criteria based on the duration of one’s integration - be it through work or residence - in the host </w:t>
      </w:r>
      <w:r w:rsidR="00C85AD7" w:rsidRPr="00D00979">
        <w:rPr>
          <w:sz w:val="22"/>
          <w:szCs w:val="22"/>
        </w:rPr>
        <w:t>S</w:t>
      </w:r>
      <w:r w:rsidR="001C098B" w:rsidRPr="00D00979">
        <w:rPr>
          <w:sz w:val="22"/>
          <w:szCs w:val="22"/>
        </w:rPr>
        <w:t>tate which were developed as a result of the Member States’ implementation of the Court’s jurisprudence on Directive 2004/38.</w:t>
      </w:r>
      <w:r w:rsidR="001C098B" w:rsidRPr="00D00979">
        <w:rPr>
          <w:rStyle w:val="Aucun"/>
          <w:sz w:val="22"/>
          <w:szCs w:val="22"/>
          <w:vertAlign w:val="superscript"/>
        </w:rPr>
        <w:footnoteReference w:id="105"/>
      </w:r>
      <w:r w:rsidR="00E7549C" w:rsidRPr="00D00979">
        <w:rPr>
          <w:sz w:val="22"/>
          <w:szCs w:val="22"/>
        </w:rPr>
        <w:t xml:space="preserve"> </w:t>
      </w:r>
      <w:r w:rsidR="001C098B" w:rsidRPr="00D00979">
        <w:rPr>
          <w:sz w:val="22"/>
          <w:szCs w:val="22"/>
        </w:rPr>
        <w:t>It is somewhat unclear</w:t>
      </w:r>
      <w:r w:rsidR="00E7549C" w:rsidRPr="00D00979">
        <w:rPr>
          <w:sz w:val="22"/>
          <w:szCs w:val="22"/>
        </w:rPr>
        <w:t>, though,</w:t>
      </w:r>
      <w:r w:rsidR="001C098B" w:rsidRPr="00D00979">
        <w:rPr>
          <w:sz w:val="22"/>
          <w:szCs w:val="22"/>
        </w:rPr>
        <w:t xml:space="preserve"> how that development may be reconciled with the Court’s assertion, in </w:t>
      </w:r>
      <w:r w:rsidR="001C098B" w:rsidRPr="00D00979">
        <w:rPr>
          <w:i/>
          <w:iCs/>
          <w:sz w:val="22"/>
          <w:szCs w:val="22"/>
        </w:rPr>
        <w:t>Jobcenter Krefeld</w:t>
      </w:r>
      <w:r w:rsidR="001C098B" w:rsidRPr="00D00979">
        <w:rPr>
          <w:sz w:val="22"/>
          <w:szCs w:val="22"/>
        </w:rPr>
        <w:t xml:space="preserve">, that the application of the Citizenship Directive may not entail a diminution of the rights laid down in the Workers’ Regulation. Quite surprisingly, the Court </w:t>
      </w:r>
      <w:r w:rsidR="00A84052" w:rsidRPr="00D00979">
        <w:rPr>
          <w:sz w:val="22"/>
          <w:szCs w:val="22"/>
        </w:rPr>
        <w:t>seems willing to endorse</w:t>
      </w:r>
      <w:r w:rsidR="001C098B" w:rsidRPr="00D00979">
        <w:rPr>
          <w:sz w:val="22"/>
          <w:szCs w:val="22"/>
        </w:rPr>
        <w:t xml:space="preserve"> </w:t>
      </w:r>
      <w:r w:rsidR="00120B65" w:rsidRPr="00D00979">
        <w:rPr>
          <w:sz w:val="22"/>
          <w:szCs w:val="22"/>
        </w:rPr>
        <w:t>-</w:t>
      </w:r>
      <w:r w:rsidR="001C098B" w:rsidRPr="00D00979">
        <w:rPr>
          <w:sz w:val="22"/>
          <w:szCs w:val="22"/>
        </w:rPr>
        <w:t xml:space="preserve"> albeit </w:t>
      </w:r>
      <w:r w:rsidR="001C098B" w:rsidRPr="00D00979">
        <w:rPr>
          <w:sz w:val="22"/>
          <w:szCs w:val="22"/>
        </w:rPr>
        <w:lastRenderedPageBreak/>
        <w:t xml:space="preserve">sometimes implicitly - the use of </w:t>
      </w:r>
      <w:r w:rsidR="000A14B6">
        <w:rPr>
          <w:sz w:val="22"/>
          <w:szCs w:val="22"/>
        </w:rPr>
        <w:t>such</w:t>
      </w:r>
      <w:r w:rsidR="00120B65" w:rsidRPr="00D00979">
        <w:rPr>
          <w:sz w:val="22"/>
          <w:szCs w:val="22"/>
        </w:rPr>
        <w:t xml:space="preserve"> </w:t>
      </w:r>
      <w:r w:rsidR="001C098B" w:rsidRPr="00D00979">
        <w:rPr>
          <w:sz w:val="22"/>
          <w:szCs w:val="22"/>
        </w:rPr>
        <w:t xml:space="preserve">integration requirements in relation to </w:t>
      </w:r>
      <w:r w:rsidR="00E573F3" w:rsidRPr="00D00979">
        <w:rPr>
          <w:sz w:val="22"/>
          <w:szCs w:val="22"/>
        </w:rPr>
        <w:t xml:space="preserve">specific categories of </w:t>
      </w:r>
      <w:r w:rsidR="001C098B" w:rsidRPr="00D00979">
        <w:rPr>
          <w:sz w:val="22"/>
          <w:szCs w:val="22"/>
        </w:rPr>
        <w:t xml:space="preserve">migrant workers. </w:t>
      </w:r>
      <w:r w:rsidR="00D34299" w:rsidRPr="00D00979">
        <w:rPr>
          <w:sz w:val="22"/>
          <w:szCs w:val="22"/>
        </w:rPr>
        <w:t xml:space="preserve">As a consequence, it would appear that the Member States retain </w:t>
      </w:r>
      <w:r w:rsidR="005F0A80" w:rsidRPr="00D00979">
        <w:rPr>
          <w:sz w:val="22"/>
          <w:szCs w:val="22"/>
        </w:rPr>
        <w:t>significant</w:t>
      </w:r>
      <w:r w:rsidR="00D34299" w:rsidRPr="00D00979">
        <w:rPr>
          <w:sz w:val="22"/>
          <w:szCs w:val="22"/>
        </w:rPr>
        <w:t xml:space="preserve"> </w:t>
      </w:r>
      <w:r w:rsidR="005F0A80" w:rsidRPr="00D00979">
        <w:rPr>
          <w:sz w:val="22"/>
          <w:szCs w:val="22"/>
        </w:rPr>
        <w:t xml:space="preserve">regulatory </w:t>
      </w:r>
      <w:r w:rsidR="00D34299" w:rsidRPr="00D00979">
        <w:rPr>
          <w:sz w:val="22"/>
          <w:szCs w:val="22"/>
        </w:rPr>
        <w:t>autonomy to circumscribe cross-border access to social assistance within the constraints imposed by EU law and, in particular, the principle of proportionality.</w:t>
      </w:r>
    </w:p>
    <w:p w14:paraId="2855C289" w14:textId="77777777" w:rsidR="00D7623A" w:rsidRPr="00D00979" w:rsidRDefault="00D7623A" w:rsidP="00D7623A">
      <w:pPr>
        <w:pStyle w:val="Commentaire"/>
        <w:jc w:val="both"/>
        <w:rPr>
          <w:sz w:val="22"/>
          <w:szCs w:val="22"/>
        </w:rPr>
      </w:pPr>
    </w:p>
    <w:p w14:paraId="110742A5" w14:textId="7D14C6C6" w:rsidR="006C25B3" w:rsidRPr="00D00979" w:rsidRDefault="00975053" w:rsidP="00D7623A">
      <w:pPr>
        <w:jc w:val="both"/>
        <w:rPr>
          <w:sz w:val="22"/>
          <w:szCs w:val="22"/>
          <w:lang w:val="en-US"/>
        </w:rPr>
      </w:pPr>
      <w:r w:rsidRPr="00D00979">
        <w:rPr>
          <w:sz w:val="22"/>
          <w:szCs w:val="22"/>
          <w:lang w:val="en-US"/>
        </w:rPr>
        <w:t>That jurisprudential</w:t>
      </w:r>
      <w:r w:rsidR="000F2D28" w:rsidRPr="00D00979">
        <w:rPr>
          <w:sz w:val="22"/>
          <w:szCs w:val="22"/>
          <w:lang w:val="en-US"/>
        </w:rPr>
        <w:t xml:space="preserve"> development may entail far-reaching implications in relation to the </w:t>
      </w:r>
      <w:r w:rsidR="00ED03B8" w:rsidRPr="00D00979">
        <w:rPr>
          <w:sz w:val="22"/>
          <w:szCs w:val="22"/>
          <w:lang w:val="en-US"/>
        </w:rPr>
        <w:t xml:space="preserve">very </w:t>
      </w:r>
      <w:r w:rsidR="000F2D28" w:rsidRPr="00D00979">
        <w:rPr>
          <w:sz w:val="22"/>
          <w:szCs w:val="22"/>
          <w:lang w:val="en-US"/>
        </w:rPr>
        <w:t xml:space="preserve">scope of the </w:t>
      </w:r>
      <w:r w:rsidR="006B5D04" w:rsidRPr="00D00979">
        <w:rPr>
          <w:sz w:val="22"/>
          <w:szCs w:val="22"/>
          <w:lang w:val="en-US"/>
        </w:rPr>
        <w:t xml:space="preserve">Treaty </w:t>
      </w:r>
      <w:r w:rsidR="000F2D28" w:rsidRPr="00D00979">
        <w:rPr>
          <w:sz w:val="22"/>
          <w:szCs w:val="22"/>
          <w:lang w:val="en-US"/>
        </w:rPr>
        <w:t>principle of equal treatment.</w:t>
      </w:r>
      <w:r w:rsidR="00383955" w:rsidRPr="00D00979">
        <w:rPr>
          <w:sz w:val="22"/>
          <w:szCs w:val="22"/>
          <w:lang w:val="en-US"/>
        </w:rPr>
        <w:t xml:space="preserve"> </w:t>
      </w:r>
      <w:r w:rsidR="00261540" w:rsidRPr="00D00979">
        <w:rPr>
          <w:sz w:val="22"/>
          <w:szCs w:val="22"/>
          <w:lang w:val="en-US"/>
        </w:rPr>
        <w:t>The</w:t>
      </w:r>
      <w:r w:rsidR="00383955" w:rsidRPr="00D00979">
        <w:rPr>
          <w:sz w:val="22"/>
          <w:szCs w:val="22"/>
          <w:lang w:val="en-US"/>
        </w:rPr>
        <w:t xml:space="preserve"> status of worker has traditionally been recognized as sufficient in and of itself to justify full equal treatment in relation to the award of social assistance</w:t>
      </w:r>
      <w:r w:rsidR="00261540" w:rsidRPr="00D00979">
        <w:rPr>
          <w:sz w:val="22"/>
          <w:szCs w:val="22"/>
          <w:lang w:val="en-US"/>
        </w:rPr>
        <w:t>, but</w:t>
      </w:r>
      <w:r w:rsidR="00383955" w:rsidRPr="00D00979">
        <w:rPr>
          <w:sz w:val="22"/>
          <w:szCs w:val="22"/>
          <w:lang w:val="en-US"/>
        </w:rPr>
        <w:t xml:space="preserve"> i</w:t>
      </w:r>
      <w:r w:rsidR="00C85AD7" w:rsidRPr="00D00979">
        <w:rPr>
          <w:sz w:val="22"/>
          <w:szCs w:val="22"/>
          <w:lang w:val="en-US"/>
        </w:rPr>
        <w:t>t has been observed that “the privileged position of EU workers has been weakened by the economic crisis and Brexit”.</w:t>
      </w:r>
      <w:r w:rsidR="00C85AD7" w:rsidRPr="00D00979">
        <w:rPr>
          <w:rStyle w:val="Appelnotedebasdep"/>
          <w:sz w:val="22"/>
          <w:szCs w:val="22"/>
        </w:rPr>
        <w:footnoteReference w:id="106"/>
      </w:r>
      <w:r w:rsidR="00C85AD7" w:rsidRPr="00D00979">
        <w:rPr>
          <w:sz w:val="22"/>
          <w:szCs w:val="22"/>
          <w:lang w:val="en-US"/>
        </w:rPr>
        <w:t>/</w:t>
      </w:r>
      <w:r w:rsidR="00C85AD7" w:rsidRPr="00D00979">
        <w:rPr>
          <w:rStyle w:val="Appelnotedebasdep"/>
          <w:sz w:val="22"/>
          <w:szCs w:val="22"/>
        </w:rPr>
        <w:footnoteReference w:id="107"/>
      </w:r>
      <w:r w:rsidR="00C85AD7" w:rsidRPr="00D00979">
        <w:rPr>
          <w:sz w:val="22"/>
          <w:szCs w:val="22"/>
          <w:lang w:val="en-US"/>
        </w:rPr>
        <w:t xml:space="preserve"> As the concept of work evolves towards more precarious forms of employment relationships, migrant workers </w:t>
      </w:r>
      <w:r w:rsidR="001460BC" w:rsidRPr="00D00979">
        <w:rPr>
          <w:sz w:val="22"/>
          <w:szCs w:val="22"/>
          <w:lang w:val="en-US"/>
        </w:rPr>
        <w:t>have come to rely more heavily on</w:t>
      </w:r>
      <w:r w:rsidR="00C85AD7" w:rsidRPr="00D00979">
        <w:rPr>
          <w:sz w:val="22"/>
          <w:szCs w:val="22"/>
          <w:lang w:val="en-US"/>
        </w:rPr>
        <w:t xml:space="preserve"> </w:t>
      </w:r>
      <w:r w:rsidR="001460BC" w:rsidRPr="00D00979">
        <w:rPr>
          <w:sz w:val="22"/>
          <w:szCs w:val="22"/>
          <w:lang w:val="en-US"/>
        </w:rPr>
        <w:t>financial support from</w:t>
      </w:r>
      <w:r w:rsidR="00C85AD7" w:rsidRPr="00D00979">
        <w:rPr>
          <w:sz w:val="22"/>
          <w:szCs w:val="22"/>
          <w:lang w:val="en-US"/>
        </w:rPr>
        <w:t xml:space="preserve"> the host state </w:t>
      </w:r>
      <w:r w:rsidR="001460BC" w:rsidRPr="00D00979">
        <w:rPr>
          <w:sz w:val="22"/>
          <w:szCs w:val="22"/>
          <w:lang w:val="en-US"/>
        </w:rPr>
        <w:t>in order to make ends meet</w:t>
      </w:r>
      <w:r w:rsidR="00C85AD7" w:rsidRPr="00D00979">
        <w:rPr>
          <w:sz w:val="22"/>
          <w:szCs w:val="22"/>
          <w:lang w:val="en-US"/>
        </w:rPr>
        <w:t>. As a consequence,</w:t>
      </w:r>
      <w:r w:rsidR="00D15376" w:rsidRPr="00D00979">
        <w:rPr>
          <w:sz w:val="22"/>
          <w:szCs w:val="22"/>
          <w:lang w:val="en-US"/>
        </w:rPr>
        <w:t xml:space="preserve"> the debate on equal treatment </w:t>
      </w:r>
      <w:r w:rsidR="00ED03B8" w:rsidRPr="00D00979">
        <w:rPr>
          <w:sz w:val="22"/>
          <w:szCs w:val="22"/>
          <w:lang w:val="en-US"/>
        </w:rPr>
        <w:t xml:space="preserve">- </w:t>
      </w:r>
      <w:r w:rsidR="00D15376" w:rsidRPr="00D00979">
        <w:rPr>
          <w:sz w:val="22"/>
          <w:szCs w:val="22"/>
          <w:lang w:val="en-US"/>
        </w:rPr>
        <w:t>initially centered on (unfounded) allegations of “benefit tourism” in relation to economically inactive Union migrants</w:t>
      </w:r>
      <w:r w:rsidR="00ED03B8" w:rsidRPr="00D00979">
        <w:rPr>
          <w:sz w:val="22"/>
          <w:szCs w:val="22"/>
          <w:lang w:val="en-US"/>
        </w:rPr>
        <w:t xml:space="preserve"> -</w:t>
      </w:r>
      <w:r w:rsidR="00D15376" w:rsidRPr="00D00979">
        <w:rPr>
          <w:sz w:val="22"/>
          <w:szCs w:val="22"/>
          <w:lang w:val="en-US"/>
        </w:rPr>
        <w:t xml:space="preserve"> has gradually spread over to the field of free movement of workers. </w:t>
      </w:r>
      <w:r w:rsidRPr="00D00979">
        <w:rPr>
          <w:sz w:val="22"/>
          <w:szCs w:val="22"/>
          <w:lang w:val="en-US"/>
        </w:rPr>
        <w:t>As</w:t>
      </w:r>
      <w:r w:rsidR="00C72489" w:rsidRPr="00D00979">
        <w:rPr>
          <w:sz w:val="22"/>
          <w:szCs w:val="22"/>
          <w:lang w:val="en-US"/>
        </w:rPr>
        <w:t xml:space="preserve"> integration</w:t>
      </w:r>
      <w:r w:rsidRPr="00D00979">
        <w:rPr>
          <w:sz w:val="22"/>
          <w:szCs w:val="22"/>
          <w:lang w:val="en-US"/>
        </w:rPr>
        <w:t xml:space="preserve"> </w:t>
      </w:r>
      <w:r w:rsidR="00C72489" w:rsidRPr="00D00979">
        <w:rPr>
          <w:sz w:val="22"/>
          <w:szCs w:val="22"/>
          <w:lang w:val="en-US"/>
        </w:rPr>
        <w:t>requirements</w:t>
      </w:r>
      <w:r w:rsidRPr="00D00979">
        <w:rPr>
          <w:sz w:val="22"/>
          <w:szCs w:val="22"/>
          <w:lang w:val="en-US"/>
        </w:rPr>
        <w:t xml:space="preserve"> based on duration of work or residence become more prevalent across the Member States, even in relation to economically active Union citizens, the Court’s case law may therefore lead to the introduction of further restrictions on migrant workers in general.</w:t>
      </w:r>
      <w:r w:rsidRPr="00D00979">
        <w:rPr>
          <w:rStyle w:val="Aucun"/>
          <w:sz w:val="22"/>
          <w:szCs w:val="22"/>
          <w:vertAlign w:val="superscript"/>
        </w:rPr>
        <w:footnoteReference w:id="108"/>
      </w:r>
      <w:r w:rsidRPr="00D00979">
        <w:rPr>
          <w:sz w:val="22"/>
          <w:szCs w:val="22"/>
          <w:lang w:val="en-US"/>
        </w:rPr>
        <w:t xml:space="preserve"> </w:t>
      </w:r>
      <w:r w:rsidR="008776FC" w:rsidRPr="00D00979">
        <w:rPr>
          <w:sz w:val="22"/>
          <w:szCs w:val="22"/>
          <w:lang w:val="en-US"/>
        </w:rPr>
        <w:t>In</w:t>
      </w:r>
      <w:r w:rsidR="009856D1" w:rsidRPr="00D00979">
        <w:rPr>
          <w:sz w:val="22"/>
          <w:szCs w:val="22"/>
          <w:lang w:val="en-US"/>
        </w:rPr>
        <w:t xml:space="preserve"> this context,</w:t>
      </w:r>
      <w:r w:rsidR="00914C76" w:rsidRPr="00D00979">
        <w:rPr>
          <w:sz w:val="22"/>
          <w:szCs w:val="22"/>
          <w:lang w:val="en-US"/>
        </w:rPr>
        <w:t xml:space="preserve"> and barring any </w:t>
      </w:r>
      <w:r w:rsidR="00E825A4" w:rsidRPr="00D00979">
        <w:rPr>
          <w:sz w:val="22"/>
          <w:szCs w:val="22"/>
          <w:lang w:val="en-US"/>
        </w:rPr>
        <w:t>potential</w:t>
      </w:r>
      <w:r w:rsidR="00914C76" w:rsidRPr="00D00979">
        <w:rPr>
          <w:sz w:val="22"/>
          <w:szCs w:val="22"/>
          <w:lang w:val="en-US"/>
        </w:rPr>
        <w:t xml:space="preserve"> reform of EU free movement law</w:t>
      </w:r>
      <w:r w:rsidR="00A57926" w:rsidRPr="00D00979">
        <w:rPr>
          <w:sz w:val="22"/>
          <w:szCs w:val="22"/>
          <w:lang w:val="en-US"/>
        </w:rPr>
        <w:t xml:space="preserve"> intended to establish clear and objective criteria in relation to migrant workers’ right to social assistance</w:t>
      </w:r>
      <w:r w:rsidR="00914C76" w:rsidRPr="00D00979">
        <w:rPr>
          <w:sz w:val="22"/>
          <w:szCs w:val="22"/>
          <w:lang w:val="en-US"/>
        </w:rPr>
        <w:t>,</w:t>
      </w:r>
      <w:r w:rsidR="00247E54" w:rsidRPr="00D00979">
        <w:rPr>
          <w:rStyle w:val="Appelnotedebasdep"/>
          <w:sz w:val="22"/>
          <w:szCs w:val="22"/>
          <w:lang w:val="en-US"/>
        </w:rPr>
        <w:footnoteReference w:id="109"/>
      </w:r>
      <w:r w:rsidR="00914C76" w:rsidRPr="00D00979">
        <w:rPr>
          <w:sz w:val="22"/>
          <w:szCs w:val="22"/>
          <w:lang w:val="en-US"/>
        </w:rPr>
        <w:t xml:space="preserve"> </w:t>
      </w:r>
      <w:r w:rsidR="000416FF" w:rsidRPr="00D00979">
        <w:rPr>
          <w:sz w:val="22"/>
          <w:szCs w:val="22"/>
          <w:lang w:val="en-US"/>
        </w:rPr>
        <w:t xml:space="preserve">it falls upon the Court to adopt a strict stance </w:t>
      </w:r>
      <w:r w:rsidR="00914C76" w:rsidRPr="00D00979">
        <w:rPr>
          <w:sz w:val="22"/>
          <w:szCs w:val="22"/>
          <w:lang w:val="en-US"/>
        </w:rPr>
        <w:t xml:space="preserve">on the proportionality of </w:t>
      </w:r>
      <w:r w:rsidR="00A57926" w:rsidRPr="00D00979">
        <w:rPr>
          <w:sz w:val="22"/>
          <w:szCs w:val="22"/>
          <w:lang w:val="en-US"/>
        </w:rPr>
        <w:t>such</w:t>
      </w:r>
      <w:r w:rsidR="00914C76" w:rsidRPr="00D00979">
        <w:rPr>
          <w:sz w:val="22"/>
          <w:szCs w:val="22"/>
          <w:lang w:val="en-US"/>
        </w:rPr>
        <w:t xml:space="preserve"> </w:t>
      </w:r>
      <w:r w:rsidR="00A57926" w:rsidRPr="00D00979">
        <w:rPr>
          <w:sz w:val="22"/>
          <w:szCs w:val="22"/>
          <w:lang w:val="en-US"/>
        </w:rPr>
        <w:t>restrictions</w:t>
      </w:r>
      <w:r w:rsidR="00914C76" w:rsidRPr="00D00979">
        <w:rPr>
          <w:sz w:val="22"/>
          <w:szCs w:val="22"/>
          <w:lang w:val="en-US"/>
        </w:rPr>
        <w:t>.</w:t>
      </w:r>
      <w:r w:rsidR="00247E54" w:rsidRPr="00D00979">
        <w:rPr>
          <w:sz w:val="22"/>
          <w:szCs w:val="22"/>
          <w:lang w:val="en-US"/>
        </w:rPr>
        <w:t xml:space="preserve"> </w:t>
      </w:r>
      <w:r w:rsidR="0016465A" w:rsidRPr="00D00979">
        <w:rPr>
          <w:sz w:val="22"/>
          <w:szCs w:val="22"/>
          <w:lang w:val="en-US"/>
        </w:rPr>
        <w:t xml:space="preserve">It may be argued in that respect that the Court’s general reluctance to admit that restrictive integration tests are </w:t>
      </w:r>
      <w:r w:rsidR="00A57926" w:rsidRPr="00D00979">
        <w:rPr>
          <w:sz w:val="22"/>
          <w:szCs w:val="22"/>
          <w:lang w:val="en-US"/>
        </w:rPr>
        <w:t xml:space="preserve">- at least partially </w:t>
      </w:r>
      <w:r w:rsidR="00E825A4" w:rsidRPr="00D00979">
        <w:rPr>
          <w:sz w:val="22"/>
          <w:szCs w:val="22"/>
          <w:lang w:val="en-US"/>
        </w:rPr>
        <w:t>-</w:t>
      </w:r>
      <w:r w:rsidR="00A57926" w:rsidRPr="00D00979">
        <w:rPr>
          <w:sz w:val="22"/>
          <w:szCs w:val="22"/>
          <w:lang w:val="en-US"/>
        </w:rPr>
        <w:t xml:space="preserve"> underpinned by financial considerations comes in the way of establishing a consistent approach to the proportionality of restrictions on migrant workers’ right to social assistance. By recognizing the true nature of such restrictions, the</w:t>
      </w:r>
      <w:r w:rsidR="00247E54" w:rsidRPr="00D00979">
        <w:rPr>
          <w:sz w:val="22"/>
          <w:szCs w:val="22"/>
          <w:lang w:val="en-US"/>
        </w:rPr>
        <w:t xml:space="preserve"> Court </w:t>
      </w:r>
      <w:r w:rsidR="00A57926" w:rsidRPr="00D00979">
        <w:rPr>
          <w:sz w:val="22"/>
          <w:szCs w:val="22"/>
          <w:lang w:val="en-US"/>
        </w:rPr>
        <w:t>would be able to</w:t>
      </w:r>
      <w:r w:rsidR="00247E54" w:rsidRPr="00D00979">
        <w:rPr>
          <w:sz w:val="22"/>
          <w:szCs w:val="22"/>
          <w:lang w:val="en-US"/>
        </w:rPr>
        <w:t xml:space="preserve"> insist on the importance of establishing the proportionality of restrictive measures on the basis of</w:t>
      </w:r>
      <w:r w:rsidR="00E825A4" w:rsidRPr="00D00979">
        <w:rPr>
          <w:sz w:val="22"/>
          <w:szCs w:val="22"/>
          <w:lang w:val="en-US"/>
        </w:rPr>
        <w:t>,</w:t>
      </w:r>
      <w:r w:rsidR="00247E54" w:rsidRPr="00D00979">
        <w:rPr>
          <w:sz w:val="22"/>
          <w:szCs w:val="22"/>
          <w:lang w:val="en-US"/>
        </w:rPr>
        <w:t xml:space="preserve"> </w:t>
      </w:r>
    </w:p>
    <w:p w14:paraId="211AA54C" w14:textId="77777777" w:rsidR="00D7623A" w:rsidRPr="00D00979" w:rsidRDefault="00D7623A" w:rsidP="00D7623A">
      <w:pPr>
        <w:jc w:val="both"/>
        <w:rPr>
          <w:sz w:val="22"/>
          <w:szCs w:val="22"/>
          <w:lang w:val="en-US"/>
        </w:rPr>
      </w:pPr>
    </w:p>
    <w:p w14:paraId="420D624C" w14:textId="164428C2" w:rsidR="006C25B3" w:rsidRPr="00D00979" w:rsidRDefault="00247E54" w:rsidP="00D7623A">
      <w:pPr>
        <w:ind w:left="284"/>
        <w:jc w:val="both"/>
        <w:rPr>
          <w:sz w:val="22"/>
          <w:szCs w:val="22"/>
          <w:lang w:val="en-US"/>
        </w:rPr>
      </w:pPr>
      <w:r w:rsidRPr="00D00979">
        <w:rPr>
          <w:sz w:val="22"/>
          <w:szCs w:val="22"/>
          <w:lang w:val="en-US"/>
        </w:rPr>
        <w:t>“objective, detailed analysis, supported by figures, [that] must be capable of demonstrating, with solid and consistent data, that there are genuine risks to the balance of the social security system”.</w:t>
      </w:r>
      <w:r w:rsidR="00FF4952" w:rsidRPr="00D00979">
        <w:rPr>
          <w:rStyle w:val="Appelnotedebasdep"/>
          <w:sz w:val="22"/>
          <w:szCs w:val="22"/>
          <w:lang w:val="en-US"/>
        </w:rPr>
        <w:footnoteReference w:id="110"/>
      </w:r>
      <w:r w:rsidRPr="00D00979">
        <w:rPr>
          <w:sz w:val="22"/>
          <w:szCs w:val="22"/>
          <w:lang w:val="en-US"/>
        </w:rPr>
        <w:t xml:space="preserve"> </w:t>
      </w:r>
    </w:p>
    <w:p w14:paraId="4FDC4D47" w14:textId="77777777" w:rsidR="00D7623A" w:rsidRPr="00D00979" w:rsidRDefault="00D7623A" w:rsidP="00D7623A">
      <w:pPr>
        <w:ind w:left="284"/>
        <w:jc w:val="both"/>
        <w:rPr>
          <w:sz w:val="22"/>
          <w:szCs w:val="22"/>
          <w:lang w:val="en-US"/>
        </w:rPr>
      </w:pPr>
    </w:p>
    <w:p w14:paraId="63C0C4AF" w14:textId="195E4955" w:rsidR="008813A6" w:rsidRPr="00D00979" w:rsidRDefault="006C25B3" w:rsidP="00D7623A">
      <w:pPr>
        <w:jc w:val="both"/>
        <w:rPr>
          <w:sz w:val="22"/>
          <w:szCs w:val="22"/>
          <w:lang w:val="en-US"/>
        </w:rPr>
      </w:pPr>
      <w:r w:rsidRPr="00D00979">
        <w:rPr>
          <w:sz w:val="22"/>
          <w:szCs w:val="22"/>
          <w:lang w:val="en-US"/>
        </w:rPr>
        <w:t>Whilst that</w:t>
      </w:r>
      <w:r w:rsidR="00FF4952" w:rsidRPr="00D00979">
        <w:rPr>
          <w:sz w:val="22"/>
          <w:szCs w:val="22"/>
          <w:lang w:val="en-US"/>
        </w:rPr>
        <w:t xml:space="preserve"> approach </w:t>
      </w:r>
      <w:r w:rsidR="00D73FFE" w:rsidRPr="00D00979">
        <w:rPr>
          <w:sz w:val="22"/>
          <w:szCs w:val="22"/>
          <w:lang w:val="en-US"/>
        </w:rPr>
        <w:t>might</w:t>
      </w:r>
      <w:r w:rsidR="00FF4952" w:rsidRPr="00D00979">
        <w:rPr>
          <w:sz w:val="22"/>
          <w:szCs w:val="22"/>
          <w:lang w:val="en-US"/>
        </w:rPr>
        <w:t xml:space="preserve"> </w:t>
      </w:r>
      <w:r w:rsidR="00ED112E" w:rsidRPr="00D00979">
        <w:rPr>
          <w:sz w:val="22"/>
          <w:szCs w:val="22"/>
          <w:lang w:val="en-US"/>
        </w:rPr>
        <w:t xml:space="preserve">admittedly </w:t>
      </w:r>
      <w:r w:rsidR="00D73FFE" w:rsidRPr="00D00979">
        <w:rPr>
          <w:sz w:val="22"/>
          <w:szCs w:val="22"/>
          <w:lang w:val="en-US"/>
        </w:rPr>
        <w:t xml:space="preserve">come at the expense of </w:t>
      </w:r>
      <w:r w:rsidR="00FF4952" w:rsidRPr="00D00979">
        <w:rPr>
          <w:sz w:val="22"/>
          <w:szCs w:val="22"/>
          <w:lang w:val="en-US"/>
        </w:rPr>
        <w:t xml:space="preserve">national administrations in the context of mass administrative procedures, it </w:t>
      </w:r>
      <w:r w:rsidR="00D73FFE" w:rsidRPr="00D00979">
        <w:rPr>
          <w:sz w:val="22"/>
          <w:szCs w:val="22"/>
          <w:lang w:val="en-US"/>
        </w:rPr>
        <w:t>is</w:t>
      </w:r>
      <w:r w:rsidR="00A57926" w:rsidRPr="00D00979">
        <w:rPr>
          <w:sz w:val="22"/>
          <w:szCs w:val="22"/>
          <w:lang w:val="en-US"/>
        </w:rPr>
        <w:t xml:space="preserve"> the price to pay </w:t>
      </w:r>
      <w:r w:rsidR="00D73FFE" w:rsidRPr="00D00979">
        <w:rPr>
          <w:sz w:val="22"/>
          <w:szCs w:val="22"/>
          <w:lang w:val="en-US"/>
        </w:rPr>
        <w:t>for</w:t>
      </w:r>
      <w:r w:rsidR="00E11880" w:rsidRPr="00D00979">
        <w:rPr>
          <w:sz w:val="22"/>
          <w:szCs w:val="22"/>
          <w:lang w:val="en-US"/>
        </w:rPr>
        <w:t xml:space="preserve"> </w:t>
      </w:r>
      <w:r w:rsidR="00D73FFE" w:rsidRPr="00D00979">
        <w:rPr>
          <w:sz w:val="22"/>
          <w:szCs w:val="22"/>
          <w:lang w:val="en-US"/>
        </w:rPr>
        <w:t>preserving</w:t>
      </w:r>
      <w:r w:rsidR="00E11880" w:rsidRPr="00D00979">
        <w:rPr>
          <w:sz w:val="22"/>
          <w:szCs w:val="22"/>
          <w:lang w:val="en-US"/>
        </w:rPr>
        <w:t xml:space="preserve"> the </w:t>
      </w:r>
      <w:r w:rsidR="00E825A4" w:rsidRPr="00D00979">
        <w:rPr>
          <w:sz w:val="22"/>
          <w:szCs w:val="22"/>
          <w:lang w:val="en-US"/>
        </w:rPr>
        <w:t>hardcore</w:t>
      </w:r>
      <w:r w:rsidR="00E11880" w:rsidRPr="00D00979">
        <w:rPr>
          <w:sz w:val="22"/>
          <w:szCs w:val="22"/>
          <w:lang w:val="en-US"/>
        </w:rPr>
        <w:t xml:space="preserve"> of EU free movement law</w:t>
      </w:r>
      <w:r w:rsidR="00A57926" w:rsidRPr="00D00979">
        <w:rPr>
          <w:sz w:val="22"/>
          <w:szCs w:val="22"/>
          <w:lang w:val="en-US"/>
        </w:rPr>
        <w:t xml:space="preserve">. </w:t>
      </w:r>
    </w:p>
    <w:p w14:paraId="1DDA9884" w14:textId="64808C30" w:rsidR="0037135A" w:rsidRPr="00D00979" w:rsidRDefault="0037135A" w:rsidP="00D7623A">
      <w:pPr>
        <w:autoSpaceDE w:val="0"/>
        <w:autoSpaceDN w:val="0"/>
        <w:adjustRightInd w:val="0"/>
        <w:jc w:val="both"/>
        <w:rPr>
          <w:rFonts w:eastAsia="Arial Unicode MS"/>
          <w:sz w:val="22"/>
          <w:szCs w:val="22"/>
          <w:bdr w:val="nil"/>
          <w:lang w:val="en-US"/>
        </w:rPr>
      </w:pPr>
    </w:p>
    <w:p w14:paraId="23EA2CFD" w14:textId="77777777" w:rsidR="00047222" w:rsidRPr="00D00979" w:rsidRDefault="00047222" w:rsidP="00D7623A">
      <w:pPr>
        <w:autoSpaceDE w:val="0"/>
        <w:autoSpaceDN w:val="0"/>
        <w:adjustRightInd w:val="0"/>
        <w:jc w:val="both"/>
        <w:rPr>
          <w:rFonts w:eastAsia="Arial Unicode MS"/>
          <w:sz w:val="22"/>
          <w:szCs w:val="22"/>
          <w:bdr w:val="nil"/>
          <w:lang w:val="en-US"/>
        </w:rPr>
      </w:pPr>
    </w:p>
    <w:sectPr w:rsidR="00047222" w:rsidRPr="00D00979" w:rsidSect="00011E0A">
      <w:footerReference w:type="default" r:id="rId8"/>
      <w:pgSz w:w="11906" w:h="16838"/>
      <w:pgMar w:top="1701" w:right="1797" w:bottom="1701" w:left="1797" w:header="709"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D3E0" w14:textId="77777777" w:rsidR="007C652C" w:rsidRDefault="007C652C">
      <w:r>
        <w:separator/>
      </w:r>
    </w:p>
  </w:endnote>
  <w:endnote w:type="continuationSeparator" w:id="0">
    <w:p w14:paraId="4B774DF5" w14:textId="77777777" w:rsidR="007C652C" w:rsidRDefault="007C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5FED" w14:textId="77777777" w:rsidR="00EE1BEA" w:rsidRDefault="00EE1BEA">
    <w:pPr>
      <w:pStyle w:val="En-tte"/>
      <w:tabs>
        <w:tab w:val="clear" w:pos="9020"/>
        <w:tab w:val="center" w:pos="4153"/>
        <w:tab w:val="right" w:pos="8306"/>
      </w:tabs>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703E" w14:textId="77777777" w:rsidR="007C652C" w:rsidRDefault="007C652C">
      <w:r>
        <w:separator/>
      </w:r>
    </w:p>
  </w:footnote>
  <w:footnote w:type="continuationSeparator" w:id="0">
    <w:p w14:paraId="68EBA748" w14:textId="77777777" w:rsidR="007C652C" w:rsidRDefault="007C652C">
      <w:r>
        <w:continuationSeparator/>
      </w:r>
    </w:p>
  </w:footnote>
  <w:footnote w:type="continuationNotice" w:id="1">
    <w:p w14:paraId="6D209235" w14:textId="77777777" w:rsidR="007C652C" w:rsidRDefault="007C652C"/>
  </w:footnote>
  <w:footnote w:id="2">
    <w:p w14:paraId="10399BF5" w14:textId="63B91786" w:rsidR="00370D40" w:rsidRPr="00370D40" w:rsidRDefault="00370D40" w:rsidP="00370D40">
      <w:pPr>
        <w:pStyle w:val="Notedebasdepage"/>
        <w:jc w:val="both"/>
      </w:pPr>
      <w:r>
        <w:rPr>
          <w:rStyle w:val="Appelnotedebasdep"/>
        </w:rPr>
        <w:t>*</w:t>
      </w:r>
      <w:r w:rsidRPr="00E92A82">
        <w:rPr>
          <w:rStyle w:val="Marquedecommentaire"/>
          <w:sz w:val="20"/>
          <w:szCs w:val="20"/>
        </w:rPr>
        <w:t>R</w:t>
      </w:r>
      <w:r w:rsidRPr="00E92A82">
        <w:t xml:space="preserve">esearch </w:t>
      </w:r>
      <w:r>
        <w:t xml:space="preserve">and teaching </w:t>
      </w:r>
      <w:r w:rsidRPr="00E92A82">
        <w:t xml:space="preserve">assistant in EU internal market law, </w:t>
      </w:r>
      <w:r>
        <w:t xml:space="preserve">Cité Research Unit </w:t>
      </w:r>
      <w:r w:rsidRPr="00E92A82">
        <w:t>(Ul</w:t>
      </w:r>
      <w:r>
        <w:t>iège</w:t>
      </w:r>
      <w:r w:rsidRPr="00E92A82">
        <w:t>), mtecqmenne@uliege.be. I am most grateful for the</w:t>
      </w:r>
      <w:r>
        <w:t xml:space="preserve"> invaluable guidance offered by</w:t>
      </w:r>
      <w:r w:rsidRPr="00E92A82">
        <w:t xml:space="preserve"> Professor Dr. Van Cleynenbreugel in relation to earlier version</w:t>
      </w:r>
      <w:r>
        <w:t>s</w:t>
      </w:r>
      <w:r w:rsidRPr="00E92A82">
        <w:t xml:space="preserve"> of this draft. </w:t>
      </w:r>
      <w:r>
        <w:t>All</w:t>
      </w:r>
      <w:r w:rsidRPr="00E92A82">
        <w:t xml:space="preserve"> errors remain, of course, my own. </w:t>
      </w:r>
    </w:p>
  </w:footnote>
  <w:footnote w:id="3">
    <w:p w14:paraId="34504ACA" w14:textId="616B7790" w:rsidR="00442644" w:rsidRPr="00CE1795" w:rsidRDefault="00442644" w:rsidP="0017677E">
      <w:pPr>
        <w:pStyle w:val="Notedepieddepage"/>
        <w:jc w:val="both"/>
        <w:rPr>
          <w:lang w:val="en-US"/>
        </w:rPr>
      </w:pPr>
      <w:r>
        <w:rPr>
          <w:rStyle w:val="Aucun"/>
          <w:rFonts w:ascii="Times New Roman" w:eastAsia="Times New Roman" w:hAnsi="Times New Roman" w:cs="Times New Roman"/>
          <w:sz w:val="20"/>
          <w:szCs w:val="20"/>
          <w:vertAlign w:val="superscript"/>
        </w:rPr>
        <w:footnoteRef/>
      </w:r>
      <w:r w:rsidRPr="00CE1795">
        <w:rPr>
          <w:rFonts w:ascii="Times New Roman" w:hAnsi="Times New Roman"/>
          <w:sz w:val="20"/>
          <w:szCs w:val="20"/>
          <w:lang w:val="en-US"/>
        </w:rPr>
        <w:t xml:space="preserve">A. Amelina, </w:t>
      </w:r>
      <w:r w:rsidR="00D423EA">
        <w:rPr>
          <w:rFonts w:ascii="Times New Roman" w:hAnsi="Times New Roman"/>
          <w:sz w:val="20"/>
          <w:szCs w:val="20"/>
          <w:lang w:val="en-US"/>
        </w:rPr>
        <w:t>“</w:t>
      </w:r>
      <w:r w:rsidRPr="00CE1795">
        <w:rPr>
          <w:rFonts w:ascii="Times New Roman" w:hAnsi="Times New Roman"/>
          <w:sz w:val="20"/>
          <w:szCs w:val="20"/>
          <w:lang w:val="en-US"/>
        </w:rPr>
        <w:t>Theorizing European Social</w:t>
      </w:r>
      <w:r>
        <w:rPr>
          <w:rFonts w:ascii="Times New Roman" w:hAnsi="Times New Roman"/>
          <w:sz w:val="20"/>
          <w:szCs w:val="20"/>
          <w:lang w:val="en-US"/>
        </w:rPr>
        <w:t xml:space="preserve"> C</w:t>
      </w:r>
      <w:r w:rsidRPr="00CE1795">
        <w:rPr>
          <w:rFonts w:ascii="Times New Roman" w:hAnsi="Times New Roman"/>
          <w:sz w:val="20"/>
          <w:szCs w:val="20"/>
          <w:lang w:val="en-US"/>
        </w:rPr>
        <w:t xml:space="preserve">itizenship: Governance, </w:t>
      </w:r>
      <w:r>
        <w:rPr>
          <w:rFonts w:ascii="Times New Roman" w:hAnsi="Times New Roman"/>
          <w:sz w:val="20"/>
          <w:szCs w:val="20"/>
          <w:lang w:val="en-US"/>
        </w:rPr>
        <w:t>D</w:t>
      </w:r>
      <w:r w:rsidRPr="00CE1795">
        <w:rPr>
          <w:rFonts w:ascii="Times New Roman" w:hAnsi="Times New Roman"/>
          <w:sz w:val="20"/>
          <w:szCs w:val="20"/>
          <w:lang w:val="en-US"/>
        </w:rPr>
        <w:t xml:space="preserve">iscourses and </w:t>
      </w:r>
      <w:r>
        <w:rPr>
          <w:rFonts w:ascii="Times New Roman" w:hAnsi="Times New Roman"/>
          <w:sz w:val="20"/>
          <w:szCs w:val="20"/>
          <w:lang w:val="en-US"/>
        </w:rPr>
        <w:t>E</w:t>
      </w:r>
      <w:r w:rsidRPr="00CE1795">
        <w:rPr>
          <w:rFonts w:ascii="Times New Roman" w:hAnsi="Times New Roman"/>
          <w:sz w:val="20"/>
          <w:szCs w:val="20"/>
          <w:lang w:val="en-US"/>
        </w:rPr>
        <w:t xml:space="preserve">xperiences of </w:t>
      </w:r>
      <w:r>
        <w:rPr>
          <w:rFonts w:ascii="Times New Roman" w:hAnsi="Times New Roman"/>
          <w:sz w:val="20"/>
          <w:szCs w:val="20"/>
          <w:lang w:val="en-US"/>
        </w:rPr>
        <w:t>T</w:t>
      </w:r>
      <w:r w:rsidRPr="00CE1795">
        <w:rPr>
          <w:rFonts w:ascii="Times New Roman" w:hAnsi="Times New Roman"/>
          <w:sz w:val="20"/>
          <w:szCs w:val="20"/>
          <w:lang w:val="en-US"/>
        </w:rPr>
        <w:t xml:space="preserve">ransnational </w:t>
      </w:r>
      <w:r>
        <w:rPr>
          <w:rFonts w:ascii="Times New Roman" w:hAnsi="Times New Roman"/>
          <w:sz w:val="20"/>
          <w:szCs w:val="20"/>
          <w:lang w:val="en-US"/>
        </w:rPr>
        <w:t>S</w:t>
      </w:r>
      <w:r w:rsidRPr="00CE1795">
        <w:rPr>
          <w:rFonts w:ascii="Times New Roman" w:hAnsi="Times New Roman"/>
          <w:sz w:val="20"/>
          <w:szCs w:val="20"/>
          <w:lang w:val="en-US"/>
        </w:rPr>
        <w:t xml:space="preserve">ocial </w:t>
      </w:r>
      <w:r>
        <w:rPr>
          <w:rFonts w:ascii="Times New Roman" w:hAnsi="Times New Roman"/>
          <w:sz w:val="20"/>
          <w:szCs w:val="20"/>
          <w:lang w:val="en-US"/>
        </w:rPr>
        <w:t>S</w:t>
      </w:r>
      <w:r w:rsidRPr="00CE1795">
        <w:rPr>
          <w:rFonts w:ascii="Times New Roman" w:hAnsi="Times New Roman"/>
          <w:sz w:val="20"/>
          <w:szCs w:val="20"/>
          <w:lang w:val="en-US"/>
        </w:rPr>
        <w:t>ecurity</w:t>
      </w:r>
      <w:r w:rsidR="00D423EA">
        <w:rPr>
          <w:rFonts w:ascii="Times New Roman" w:hAnsi="Times New Roman"/>
          <w:sz w:val="20"/>
          <w:szCs w:val="20"/>
          <w:lang w:val="en-US"/>
        </w:rPr>
        <w:t>”</w:t>
      </w:r>
      <w:r w:rsidRPr="00CE1795">
        <w:rPr>
          <w:rFonts w:ascii="Times New Roman" w:hAnsi="Times New Roman"/>
          <w:sz w:val="20"/>
          <w:szCs w:val="20"/>
          <w:lang w:val="en-US"/>
        </w:rPr>
        <w:t>, in A. Amelina</w:t>
      </w:r>
      <w:r>
        <w:rPr>
          <w:rFonts w:ascii="Times New Roman" w:hAnsi="Times New Roman"/>
          <w:sz w:val="20"/>
          <w:szCs w:val="20"/>
          <w:lang w:val="en-US"/>
        </w:rPr>
        <w:t xml:space="preserve"> et al. (eds)</w:t>
      </w:r>
      <w:r w:rsidRPr="00CE1795">
        <w:rPr>
          <w:rFonts w:ascii="Times New Roman" w:hAnsi="Times New Roman"/>
          <w:sz w:val="20"/>
          <w:szCs w:val="20"/>
          <w:lang w:val="en-US"/>
        </w:rPr>
        <w:t xml:space="preserve">, </w:t>
      </w:r>
      <w:r w:rsidR="00D423EA" w:rsidRPr="00CE1795">
        <w:rPr>
          <w:rStyle w:val="Aucun"/>
          <w:rFonts w:ascii="Times New Roman" w:hAnsi="Times New Roman"/>
          <w:i/>
          <w:iCs/>
          <w:sz w:val="20"/>
          <w:szCs w:val="20"/>
          <w:lang w:val="en-US"/>
        </w:rPr>
        <w:t>Boundaries of European Social</w:t>
      </w:r>
      <w:r w:rsidR="00D423EA">
        <w:rPr>
          <w:rStyle w:val="Aucun"/>
          <w:rFonts w:ascii="Times New Roman" w:hAnsi="Times New Roman"/>
          <w:i/>
          <w:iCs/>
          <w:sz w:val="20"/>
          <w:szCs w:val="20"/>
          <w:lang w:val="en-US"/>
        </w:rPr>
        <w:t xml:space="preserve"> C</w:t>
      </w:r>
      <w:r w:rsidR="00D423EA" w:rsidRPr="00CE1795">
        <w:rPr>
          <w:rStyle w:val="Aucun"/>
          <w:rFonts w:ascii="Times New Roman" w:hAnsi="Times New Roman"/>
          <w:i/>
          <w:iCs/>
          <w:sz w:val="20"/>
          <w:szCs w:val="20"/>
          <w:lang w:val="en-US"/>
        </w:rPr>
        <w:t xml:space="preserve">itizenship: EU </w:t>
      </w:r>
      <w:r w:rsidR="00D423EA">
        <w:rPr>
          <w:rStyle w:val="Aucun"/>
          <w:rFonts w:ascii="Times New Roman" w:hAnsi="Times New Roman"/>
          <w:i/>
          <w:iCs/>
          <w:sz w:val="20"/>
          <w:szCs w:val="20"/>
          <w:lang w:val="en-US"/>
        </w:rPr>
        <w:t>C</w:t>
      </w:r>
      <w:r w:rsidR="00D423EA" w:rsidRPr="00CE1795">
        <w:rPr>
          <w:rStyle w:val="Aucun"/>
          <w:rFonts w:ascii="Times New Roman" w:hAnsi="Times New Roman"/>
          <w:i/>
          <w:iCs/>
          <w:sz w:val="20"/>
          <w:szCs w:val="20"/>
          <w:lang w:val="en-US"/>
        </w:rPr>
        <w:t xml:space="preserve">itizens’ </w:t>
      </w:r>
      <w:r w:rsidR="00D423EA">
        <w:rPr>
          <w:rStyle w:val="Aucun"/>
          <w:rFonts w:ascii="Times New Roman" w:hAnsi="Times New Roman"/>
          <w:i/>
          <w:iCs/>
          <w:sz w:val="20"/>
          <w:szCs w:val="20"/>
          <w:lang w:val="en-US"/>
        </w:rPr>
        <w:t>T</w:t>
      </w:r>
      <w:r w:rsidR="00D423EA" w:rsidRPr="00CE1795">
        <w:rPr>
          <w:rStyle w:val="Aucun"/>
          <w:rFonts w:ascii="Times New Roman" w:hAnsi="Times New Roman"/>
          <w:i/>
          <w:iCs/>
          <w:sz w:val="20"/>
          <w:szCs w:val="20"/>
          <w:lang w:val="en-US"/>
        </w:rPr>
        <w:t>ransnational</w:t>
      </w:r>
      <w:r w:rsidR="00D423EA">
        <w:rPr>
          <w:rStyle w:val="Aucun"/>
          <w:rFonts w:ascii="Times New Roman" w:hAnsi="Times New Roman"/>
          <w:i/>
          <w:iCs/>
          <w:sz w:val="20"/>
          <w:szCs w:val="20"/>
          <w:lang w:val="en-US"/>
        </w:rPr>
        <w:t xml:space="preserve"> S</w:t>
      </w:r>
      <w:r w:rsidR="00D423EA" w:rsidRPr="00CE1795">
        <w:rPr>
          <w:rStyle w:val="Aucun"/>
          <w:rFonts w:ascii="Times New Roman" w:hAnsi="Times New Roman"/>
          <w:i/>
          <w:iCs/>
          <w:sz w:val="20"/>
          <w:szCs w:val="20"/>
          <w:lang w:val="en-US"/>
        </w:rPr>
        <w:t xml:space="preserve">ocial </w:t>
      </w:r>
      <w:r w:rsidR="00D423EA">
        <w:rPr>
          <w:rStyle w:val="Aucun"/>
          <w:rFonts w:ascii="Times New Roman" w:hAnsi="Times New Roman"/>
          <w:i/>
          <w:iCs/>
          <w:sz w:val="20"/>
          <w:szCs w:val="20"/>
          <w:lang w:val="en-US"/>
        </w:rPr>
        <w:t>S</w:t>
      </w:r>
      <w:r w:rsidR="00D423EA" w:rsidRPr="00CE1795">
        <w:rPr>
          <w:rStyle w:val="Aucun"/>
          <w:rFonts w:ascii="Times New Roman" w:hAnsi="Times New Roman"/>
          <w:i/>
          <w:iCs/>
          <w:sz w:val="20"/>
          <w:szCs w:val="20"/>
          <w:lang w:val="en-US"/>
        </w:rPr>
        <w:t xml:space="preserve">ecurity in </w:t>
      </w:r>
      <w:r w:rsidR="00D423EA">
        <w:rPr>
          <w:rStyle w:val="Aucun"/>
          <w:rFonts w:ascii="Times New Roman" w:hAnsi="Times New Roman"/>
          <w:i/>
          <w:iCs/>
          <w:sz w:val="20"/>
          <w:szCs w:val="20"/>
          <w:lang w:val="en-US"/>
        </w:rPr>
        <w:t>R</w:t>
      </w:r>
      <w:r w:rsidR="00D423EA" w:rsidRPr="00CE1795">
        <w:rPr>
          <w:rStyle w:val="Aucun"/>
          <w:rFonts w:ascii="Times New Roman" w:hAnsi="Times New Roman"/>
          <w:i/>
          <w:iCs/>
          <w:sz w:val="20"/>
          <w:szCs w:val="20"/>
          <w:lang w:val="en-US"/>
        </w:rPr>
        <w:t xml:space="preserve">egulations, </w:t>
      </w:r>
      <w:r w:rsidR="00D423EA">
        <w:rPr>
          <w:rStyle w:val="Aucun"/>
          <w:rFonts w:ascii="Times New Roman" w:hAnsi="Times New Roman"/>
          <w:i/>
          <w:iCs/>
          <w:sz w:val="20"/>
          <w:szCs w:val="20"/>
          <w:lang w:val="en-US"/>
        </w:rPr>
        <w:t>D</w:t>
      </w:r>
      <w:r w:rsidR="00D423EA" w:rsidRPr="00CE1795">
        <w:rPr>
          <w:rStyle w:val="Aucun"/>
          <w:rFonts w:ascii="Times New Roman" w:hAnsi="Times New Roman"/>
          <w:i/>
          <w:iCs/>
          <w:sz w:val="20"/>
          <w:szCs w:val="20"/>
          <w:lang w:val="en-US"/>
        </w:rPr>
        <w:t xml:space="preserve">iscourses, and </w:t>
      </w:r>
      <w:r w:rsidR="00D423EA">
        <w:rPr>
          <w:rStyle w:val="Aucun"/>
          <w:rFonts w:ascii="Times New Roman" w:hAnsi="Times New Roman"/>
          <w:i/>
          <w:iCs/>
          <w:sz w:val="20"/>
          <w:szCs w:val="20"/>
          <w:lang w:val="en-US"/>
        </w:rPr>
        <w:t>E</w:t>
      </w:r>
      <w:r w:rsidR="00D423EA" w:rsidRPr="00CE1795">
        <w:rPr>
          <w:rStyle w:val="Aucun"/>
          <w:rFonts w:ascii="Times New Roman" w:hAnsi="Times New Roman"/>
          <w:i/>
          <w:iCs/>
          <w:sz w:val="20"/>
          <w:szCs w:val="20"/>
          <w:lang w:val="en-US"/>
        </w:rPr>
        <w:t>xperiences</w:t>
      </w:r>
      <w:r w:rsidR="00D423EA" w:rsidRPr="00CE1795">
        <w:rPr>
          <w:rFonts w:ascii="Times New Roman" w:hAnsi="Times New Roman"/>
          <w:sz w:val="20"/>
          <w:szCs w:val="20"/>
          <w:lang w:val="en-US"/>
        </w:rPr>
        <w:t xml:space="preserve"> </w:t>
      </w:r>
      <w:r w:rsidR="00D423EA">
        <w:rPr>
          <w:rFonts w:ascii="Times New Roman" w:hAnsi="Times New Roman"/>
          <w:sz w:val="20"/>
          <w:szCs w:val="20"/>
          <w:lang w:val="en-US"/>
        </w:rPr>
        <w:t xml:space="preserve">(London: </w:t>
      </w:r>
      <w:r w:rsidR="00D423EA" w:rsidRPr="00CE1795">
        <w:rPr>
          <w:rFonts w:ascii="Times New Roman" w:hAnsi="Times New Roman"/>
          <w:sz w:val="20"/>
          <w:szCs w:val="20"/>
          <w:lang w:val="en-US"/>
        </w:rPr>
        <w:t>Routledge</w:t>
      </w:r>
      <w:r w:rsidR="00D423EA">
        <w:rPr>
          <w:rFonts w:ascii="Times New Roman" w:hAnsi="Times New Roman"/>
          <w:sz w:val="20"/>
          <w:szCs w:val="20"/>
          <w:lang w:val="en-US"/>
        </w:rPr>
        <w:t xml:space="preserve">, </w:t>
      </w:r>
      <w:r w:rsidR="00D423EA" w:rsidRPr="00CE1795">
        <w:rPr>
          <w:rFonts w:ascii="Times New Roman" w:hAnsi="Times New Roman"/>
          <w:sz w:val="20"/>
          <w:szCs w:val="20"/>
          <w:lang w:val="en-US"/>
        </w:rPr>
        <w:t>2020</w:t>
      </w:r>
      <w:r w:rsidR="00D423EA">
        <w:rPr>
          <w:rFonts w:ascii="Times New Roman" w:hAnsi="Times New Roman"/>
          <w:sz w:val="20"/>
          <w:szCs w:val="20"/>
          <w:lang w:val="en-US"/>
        </w:rPr>
        <w:t>),</w:t>
      </w:r>
      <w:r w:rsidR="00D423EA" w:rsidRPr="00CE1795">
        <w:rPr>
          <w:rFonts w:ascii="Times New Roman" w:hAnsi="Times New Roman"/>
          <w:sz w:val="20"/>
          <w:szCs w:val="20"/>
          <w:lang w:val="en-US"/>
        </w:rPr>
        <w:t xml:space="preserve"> </w:t>
      </w:r>
      <w:r w:rsidRPr="00CE1795">
        <w:rPr>
          <w:rFonts w:ascii="Times New Roman" w:hAnsi="Times New Roman"/>
          <w:sz w:val="20"/>
          <w:szCs w:val="20"/>
          <w:lang w:val="en-US"/>
        </w:rPr>
        <w:t>p. 19.</w:t>
      </w:r>
    </w:p>
  </w:footnote>
  <w:footnote w:id="4">
    <w:p w14:paraId="5626C7C9" w14:textId="05B73AF5" w:rsidR="00442644" w:rsidRPr="00CE1795" w:rsidRDefault="00442644" w:rsidP="0017677E">
      <w:pPr>
        <w:pStyle w:val="Notedepieddepage"/>
        <w:jc w:val="both"/>
        <w:rPr>
          <w:lang w:val="en-US"/>
        </w:rPr>
      </w:pPr>
      <w:r>
        <w:rPr>
          <w:rStyle w:val="Aucun"/>
          <w:rFonts w:ascii="Times New Roman" w:eastAsia="Times New Roman" w:hAnsi="Times New Roman" w:cs="Times New Roman"/>
          <w:sz w:val="20"/>
          <w:szCs w:val="20"/>
          <w:vertAlign w:val="superscript"/>
        </w:rPr>
        <w:footnoteRef/>
      </w:r>
      <w:r w:rsidR="00867989">
        <w:rPr>
          <w:rFonts w:ascii="Times New Roman" w:hAnsi="Times New Roman"/>
          <w:sz w:val="20"/>
          <w:szCs w:val="20"/>
          <w:lang w:val="en-US"/>
        </w:rPr>
        <w:t xml:space="preserve">See, e.g. </w:t>
      </w:r>
      <w:r w:rsidR="00867989">
        <w:rPr>
          <w:rFonts w:ascii="Times New Roman" w:hAnsi="Times New Roman"/>
          <w:i/>
          <w:iCs/>
          <w:sz w:val="20"/>
          <w:szCs w:val="20"/>
          <w:lang w:val="en-US"/>
        </w:rPr>
        <w:t xml:space="preserve">Brian Francis </w:t>
      </w:r>
      <w:r w:rsidR="00867989" w:rsidRPr="00867989">
        <w:rPr>
          <w:rStyle w:val="Aucun"/>
          <w:rFonts w:ascii="Times New Roman" w:hAnsi="Times New Roman"/>
          <w:i/>
          <w:iCs/>
          <w:sz w:val="20"/>
          <w:szCs w:val="20"/>
          <w:lang w:val="en-US"/>
        </w:rPr>
        <w:t>Collins</w:t>
      </w:r>
      <w:r w:rsidR="00867989">
        <w:rPr>
          <w:rStyle w:val="Aucun"/>
          <w:rFonts w:ascii="Times New Roman" w:hAnsi="Times New Roman"/>
          <w:i/>
          <w:iCs/>
          <w:sz w:val="20"/>
          <w:szCs w:val="20"/>
          <w:lang w:val="en-US"/>
        </w:rPr>
        <w:t xml:space="preserve"> v Secretary of State for Work and Pensions</w:t>
      </w:r>
      <w:r w:rsidR="00867989" w:rsidRPr="00867989">
        <w:rPr>
          <w:rFonts w:ascii="Times New Roman" w:hAnsi="Times New Roman"/>
          <w:sz w:val="20"/>
          <w:szCs w:val="20"/>
          <w:lang w:val="en-US"/>
        </w:rPr>
        <w:t xml:space="preserve"> </w:t>
      </w:r>
      <w:r w:rsidR="00867989" w:rsidRPr="00867989">
        <w:rPr>
          <w:rFonts w:ascii="Times New Roman" w:hAnsi="Times New Roman" w:cs="Times New Roman"/>
          <w:sz w:val="20"/>
          <w:szCs w:val="20"/>
          <w:lang w:val="en-US"/>
        </w:rPr>
        <w:t>(</w:t>
      </w:r>
      <w:r w:rsidR="00867989" w:rsidRPr="00867989">
        <w:rPr>
          <w:rFonts w:ascii="Times New Roman" w:hAnsi="Times New Roman" w:cs="Times New Roman"/>
          <w:color w:val="000000" w:themeColor="text1"/>
          <w:sz w:val="20"/>
          <w:szCs w:val="20"/>
          <w:lang w:val="en-US"/>
        </w:rPr>
        <w:t>C-138/02)</w:t>
      </w:r>
      <w:r w:rsidR="00867989" w:rsidRPr="00867989">
        <w:rPr>
          <w:rFonts w:ascii="Times New Roman" w:hAnsi="Times New Roman" w:cs="Times New Roman"/>
          <w:color w:val="000000" w:themeColor="text1"/>
          <w:sz w:val="20"/>
          <w:szCs w:val="20"/>
          <w:shd w:val="clear" w:color="auto" w:fill="FFFFFF"/>
          <w:lang w:val="en-US"/>
        </w:rPr>
        <w:t xml:space="preserve"> EU:C:2004:172</w:t>
      </w:r>
      <w:r w:rsidR="00867989" w:rsidRPr="00867989">
        <w:rPr>
          <w:rFonts w:ascii="Times New Roman" w:hAnsi="Times New Roman" w:cs="Times New Roman"/>
          <w:sz w:val="20"/>
          <w:szCs w:val="20"/>
          <w:lang w:val="en-US"/>
        </w:rPr>
        <w:t xml:space="preserve">. </w:t>
      </w:r>
      <w:r w:rsidRPr="00CE1795">
        <w:rPr>
          <w:rFonts w:ascii="Times New Roman" w:hAnsi="Times New Roman"/>
          <w:sz w:val="20"/>
          <w:szCs w:val="20"/>
          <w:lang w:val="en-US"/>
        </w:rPr>
        <w:t xml:space="preserve">S. Giubonni, ‘Free </w:t>
      </w:r>
      <w:r>
        <w:rPr>
          <w:rFonts w:ascii="Times New Roman" w:hAnsi="Times New Roman"/>
          <w:sz w:val="20"/>
          <w:szCs w:val="20"/>
          <w:lang w:val="en-US"/>
        </w:rPr>
        <w:t>M</w:t>
      </w:r>
      <w:r w:rsidRPr="00CE1795">
        <w:rPr>
          <w:rFonts w:ascii="Times New Roman" w:hAnsi="Times New Roman"/>
          <w:sz w:val="20"/>
          <w:szCs w:val="20"/>
          <w:lang w:val="en-US"/>
        </w:rPr>
        <w:t xml:space="preserve">ovement of </w:t>
      </w:r>
      <w:r>
        <w:rPr>
          <w:rFonts w:ascii="Times New Roman" w:hAnsi="Times New Roman"/>
          <w:sz w:val="20"/>
          <w:szCs w:val="20"/>
          <w:lang w:val="en-US"/>
        </w:rPr>
        <w:t>P</w:t>
      </w:r>
      <w:r w:rsidRPr="00CE1795">
        <w:rPr>
          <w:rFonts w:ascii="Times New Roman" w:hAnsi="Times New Roman"/>
          <w:sz w:val="20"/>
          <w:szCs w:val="20"/>
          <w:lang w:val="en-US"/>
        </w:rPr>
        <w:t xml:space="preserve">ersons and European Solidarity’, </w:t>
      </w:r>
      <w:r>
        <w:rPr>
          <w:rFonts w:ascii="Times New Roman" w:hAnsi="Times New Roman"/>
          <w:sz w:val="20"/>
          <w:szCs w:val="20"/>
          <w:lang w:val="en-US"/>
        </w:rPr>
        <w:t xml:space="preserve">13(3) </w:t>
      </w:r>
      <w:r w:rsidRPr="00CE1795">
        <w:rPr>
          <w:rStyle w:val="Aucun"/>
          <w:rFonts w:ascii="Times New Roman" w:hAnsi="Times New Roman"/>
          <w:i/>
          <w:iCs/>
          <w:sz w:val="20"/>
          <w:szCs w:val="20"/>
          <w:lang w:val="en-US"/>
        </w:rPr>
        <w:t>European Law Journal</w:t>
      </w:r>
      <w:r w:rsidRPr="00CE1795">
        <w:rPr>
          <w:rFonts w:ascii="Times New Roman" w:hAnsi="Times New Roman"/>
          <w:sz w:val="20"/>
          <w:szCs w:val="20"/>
          <w:lang w:val="en-US"/>
        </w:rPr>
        <w:t xml:space="preserve"> </w:t>
      </w:r>
      <w:r>
        <w:rPr>
          <w:rFonts w:ascii="Times New Roman" w:hAnsi="Times New Roman"/>
          <w:sz w:val="20"/>
          <w:szCs w:val="20"/>
          <w:lang w:val="en-US"/>
        </w:rPr>
        <w:t>(</w:t>
      </w:r>
      <w:r w:rsidRPr="00CE1795">
        <w:rPr>
          <w:rFonts w:ascii="Times New Roman" w:hAnsi="Times New Roman"/>
          <w:sz w:val="20"/>
          <w:szCs w:val="20"/>
          <w:lang w:val="en-US"/>
        </w:rPr>
        <w:t>2007</w:t>
      </w:r>
      <w:r>
        <w:rPr>
          <w:rFonts w:ascii="Times New Roman" w:hAnsi="Times New Roman"/>
          <w:sz w:val="20"/>
          <w:szCs w:val="20"/>
          <w:lang w:val="en-US"/>
        </w:rPr>
        <w:t>)</w:t>
      </w:r>
      <w:r w:rsidRPr="00CE1795">
        <w:rPr>
          <w:rFonts w:ascii="Times New Roman" w:hAnsi="Times New Roman"/>
          <w:sz w:val="20"/>
          <w:szCs w:val="20"/>
          <w:lang w:val="en-US"/>
        </w:rPr>
        <w:t xml:space="preserve"> p</w:t>
      </w:r>
      <w:r w:rsidR="00264937">
        <w:rPr>
          <w:rFonts w:ascii="Times New Roman" w:hAnsi="Times New Roman"/>
          <w:sz w:val="20"/>
          <w:szCs w:val="20"/>
          <w:lang w:val="en-US"/>
        </w:rPr>
        <w:t>p</w:t>
      </w:r>
      <w:r w:rsidRPr="00CE1795">
        <w:rPr>
          <w:rFonts w:ascii="Times New Roman" w:hAnsi="Times New Roman"/>
          <w:sz w:val="20"/>
          <w:szCs w:val="20"/>
          <w:lang w:val="en-US"/>
        </w:rPr>
        <w:t xml:space="preserve">. 371 </w:t>
      </w:r>
      <w:r>
        <w:rPr>
          <w:rFonts w:ascii="Times New Roman" w:hAnsi="Times New Roman"/>
          <w:sz w:val="20"/>
          <w:szCs w:val="20"/>
          <w:lang w:val="en-US"/>
        </w:rPr>
        <w:t>ff</w:t>
      </w:r>
      <w:r w:rsidRPr="00CE1795">
        <w:rPr>
          <w:rFonts w:ascii="Times New Roman" w:hAnsi="Times New Roman"/>
          <w:sz w:val="20"/>
          <w:szCs w:val="20"/>
          <w:lang w:val="en-US"/>
        </w:rPr>
        <w:t>.</w:t>
      </w:r>
    </w:p>
  </w:footnote>
  <w:footnote w:id="5">
    <w:p w14:paraId="302042B6" w14:textId="294C6410" w:rsidR="00B94CDC" w:rsidRPr="00CE1795" w:rsidRDefault="00B94CDC" w:rsidP="0017677E">
      <w:pPr>
        <w:pStyle w:val="Notedepieddepage"/>
        <w:jc w:val="both"/>
        <w:rPr>
          <w:lang w:val="en-US"/>
        </w:rPr>
      </w:pPr>
      <w:r>
        <w:rPr>
          <w:rStyle w:val="Aucun"/>
          <w:rFonts w:ascii="Times New Roman" w:eastAsia="Times New Roman" w:hAnsi="Times New Roman" w:cs="Times New Roman"/>
          <w:sz w:val="20"/>
          <w:szCs w:val="20"/>
          <w:vertAlign w:val="superscript"/>
        </w:rPr>
        <w:footnoteRef/>
      </w:r>
      <w:r w:rsidRPr="00CE1795">
        <w:rPr>
          <w:rFonts w:ascii="Times New Roman" w:hAnsi="Times New Roman"/>
          <w:sz w:val="20"/>
          <w:szCs w:val="20"/>
          <w:lang w:val="en-US"/>
        </w:rPr>
        <w:t xml:space="preserve">N. Nic Shuibhne, </w:t>
      </w:r>
      <w:r w:rsidR="00D73FFE">
        <w:rPr>
          <w:rFonts w:ascii="Times New Roman" w:hAnsi="Times New Roman"/>
          <w:sz w:val="20"/>
          <w:szCs w:val="20"/>
          <w:lang w:val="en-US"/>
        </w:rPr>
        <w:t>“</w:t>
      </w:r>
      <w:r w:rsidRPr="00CE1795">
        <w:rPr>
          <w:rFonts w:ascii="Times New Roman" w:hAnsi="Times New Roman"/>
          <w:sz w:val="20"/>
          <w:szCs w:val="20"/>
          <w:lang w:val="en-US"/>
        </w:rPr>
        <w:t xml:space="preserve">Reconnecting </w:t>
      </w:r>
      <w:r>
        <w:rPr>
          <w:rFonts w:ascii="Times New Roman" w:hAnsi="Times New Roman"/>
          <w:sz w:val="20"/>
          <w:szCs w:val="20"/>
          <w:lang w:val="en-US"/>
        </w:rPr>
        <w:t>F</w:t>
      </w:r>
      <w:r w:rsidRPr="00CE1795">
        <w:rPr>
          <w:rFonts w:ascii="Times New Roman" w:hAnsi="Times New Roman"/>
          <w:sz w:val="20"/>
          <w:szCs w:val="20"/>
          <w:lang w:val="en-US"/>
        </w:rPr>
        <w:t xml:space="preserve">ree </w:t>
      </w:r>
      <w:r>
        <w:rPr>
          <w:rFonts w:ascii="Times New Roman" w:hAnsi="Times New Roman"/>
          <w:sz w:val="20"/>
          <w:szCs w:val="20"/>
          <w:lang w:val="en-US"/>
        </w:rPr>
        <w:t>M</w:t>
      </w:r>
      <w:r w:rsidRPr="00CE1795">
        <w:rPr>
          <w:rFonts w:ascii="Times New Roman" w:hAnsi="Times New Roman"/>
          <w:sz w:val="20"/>
          <w:szCs w:val="20"/>
          <w:lang w:val="en-US"/>
        </w:rPr>
        <w:t xml:space="preserve">ovement of </w:t>
      </w:r>
      <w:r>
        <w:rPr>
          <w:rFonts w:ascii="Times New Roman" w:hAnsi="Times New Roman"/>
          <w:sz w:val="20"/>
          <w:szCs w:val="20"/>
          <w:lang w:val="en-US"/>
        </w:rPr>
        <w:t>W</w:t>
      </w:r>
      <w:r w:rsidRPr="00CE1795">
        <w:rPr>
          <w:rFonts w:ascii="Times New Roman" w:hAnsi="Times New Roman"/>
          <w:sz w:val="20"/>
          <w:szCs w:val="20"/>
          <w:lang w:val="en-US"/>
        </w:rPr>
        <w:t xml:space="preserve">orkers and </w:t>
      </w:r>
      <w:r>
        <w:rPr>
          <w:rFonts w:ascii="Times New Roman" w:hAnsi="Times New Roman"/>
          <w:sz w:val="20"/>
          <w:szCs w:val="20"/>
          <w:lang w:val="en-US"/>
        </w:rPr>
        <w:t>E</w:t>
      </w:r>
      <w:r w:rsidRPr="00CE1795">
        <w:rPr>
          <w:rFonts w:ascii="Times New Roman" w:hAnsi="Times New Roman"/>
          <w:sz w:val="20"/>
          <w:szCs w:val="20"/>
          <w:lang w:val="en-US"/>
        </w:rPr>
        <w:t xml:space="preserve">qual </w:t>
      </w:r>
      <w:r>
        <w:rPr>
          <w:rFonts w:ascii="Times New Roman" w:hAnsi="Times New Roman"/>
          <w:sz w:val="20"/>
          <w:szCs w:val="20"/>
          <w:lang w:val="en-US"/>
        </w:rPr>
        <w:t>T</w:t>
      </w:r>
      <w:r w:rsidRPr="00CE1795">
        <w:rPr>
          <w:rFonts w:ascii="Times New Roman" w:hAnsi="Times New Roman"/>
          <w:sz w:val="20"/>
          <w:szCs w:val="20"/>
          <w:lang w:val="en-US"/>
        </w:rPr>
        <w:t xml:space="preserve">reatment in an </w:t>
      </w:r>
      <w:r>
        <w:rPr>
          <w:rFonts w:ascii="Times New Roman" w:hAnsi="Times New Roman"/>
          <w:sz w:val="20"/>
          <w:szCs w:val="20"/>
          <w:lang w:val="en-US"/>
        </w:rPr>
        <w:t>U</w:t>
      </w:r>
      <w:r w:rsidRPr="00CE1795">
        <w:rPr>
          <w:rFonts w:ascii="Times New Roman" w:hAnsi="Times New Roman"/>
          <w:sz w:val="20"/>
          <w:szCs w:val="20"/>
          <w:lang w:val="en-US"/>
        </w:rPr>
        <w:t>nequal Europe</w:t>
      </w:r>
      <w:r w:rsidR="00D73FFE">
        <w:rPr>
          <w:rFonts w:ascii="Times New Roman" w:hAnsi="Times New Roman"/>
          <w:sz w:val="20"/>
          <w:szCs w:val="20"/>
          <w:lang w:val="en-US"/>
        </w:rPr>
        <w:t>”</w:t>
      </w:r>
      <w:r w:rsidRPr="00CE1795">
        <w:rPr>
          <w:rFonts w:ascii="Times New Roman" w:hAnsi="Times New Roman"/>
          <w:sz w:val="20"/>
          <w:szCs w:val="20"/>
          <w:lang w:val="en-US"/>
        </w:rPr>
        <w:t xml:space="preserve"> </w:t>
      </w:r>
      <w:r w:rsidR="00D73FFE">
        <w:rPr>
          <w:rFonts w:ascii="Times New Roman" w:hAnsi="Times New Roman"/>
          <w:sz w:val="20"/>
          <w:szCs w:val="20"/>
          <w:lang w:val="en-US"/>
        </w:rPr>
        <w:t xml:space="preserve">(2018) </w:t>
      </w:r>
      <w:r>
        <w:rPr>
          <w:rFonts w:ascii="Times New Roman" w:hAnsi="Times New Roman"/>
          <w:sz w:val="20"/>
          <w:szCs w:val="20"/>
          <w:lang w:val="en-US"/>
        </w:rPr>
        <w:t xml:space="preserve">43 </w:t>
      </w:r>
      <w:r w:rsidRPr="00CE1795">
        <w:rPr>
          <w:rStyle w:val="Aucun"/>
          <w:rFonts w:ascii="Times New Roman" w:hAnsi="Times New Roman"/>
          <w:i/>
          <w:iCs/>
          <w:sz w:val="20"/>
          <w:szCs w:val="20"/>
          <w:lang w:val="en-US"/>
        </w:rPr>
        <w:t>European Law Journal</w:t>
      </w:r>
      <w:r w:rsidRPr="00CE1795">
        <w:rPr>
          <w:rFonts w:ascii="Times New Roman" w:hAnsi="Times New Roman"/>
          <w:sz w:val="20"/>
          <w:szCs w:val="20"/>
          <w:lang w:val="en-US"/>
        </w:rPr>
        <w:t xml:space="preserve"> </w:t>
      </w:r>
      <w:r w:rsidR="00D73FFE">
        <w:rPr>
          <w:rFonts w:ascii="Times New Roman" w:hAnsi="Times New Roman"/>
          <w:sz w:val="20"/>
          <w:szCs w:val="20"/>
          <w:lang w:val="en-US"/>
        </w:rPr>
        <w:t>4,</w:t>
      </w:r>
      <w:r w:rsidRPr="00CE1795">
        <w:rPr>
          <w:rFonts w:ascii="Times New Roman" w:hAnsi="Times New Roman"/>
          <w:sz w:val="20"/>
          <w:szCs w:val="20"/>
          <w:lang w:val="en-US"/>
        </w:rPr>
        <w:t xml:space="preserve"> 481-482. </w:t>
      </w:r>
    </w:p>
  </w:footnote>
  <w:footnote w:id="6">
    <w:p w14:paraId="575EF81A" w14:textId="110AEF61" w:rsidR="00F96D1B" w:rsidRPr="000F7DD0" w:rsidRDefault="00F96D1B" w:rsidP="0017677E">
      <w:pPr>
        <w:pStyle w:val="Notedebasdepage"/>
        <w:jc w:val="both"/>
      </w:pPr>
      <w:r>
        <w:rPr>
          <w:rStyle w:val="Appelnotedebasdep"/>
        </w:rPr>
        <w:footnoteRef/>
      </w:r>
      <w:r w:rsidRPr="00CE1795">
        <w:rPr>
          <w:rFonts w:cs="Arial Unicode MS"/>
        </w:rPr>
        <w:t xml:space="preserve">O’Brien, </w:t>
      </w:r>
      <w:r>
        <w:t>“</w:t>
      </w:r>
      <w:r w:rsidRPr="007F410B">
        <w:t xml:space="preserve">Civis Capitalist Sum: Class as the </w:t>
      </w:r>
      <w:r>
        <w:t>N</w:t>
      </w:r>
      <w:r w:rsidRPr="007F410B">
        <w:t xml:space="preserve">ew </w:t>
      </w:r>
      <w:r>
        <w:t>G</w:t>
      </w:r>
      <w:r w:rsidRPr="007F410B">
        <w:t xml:space="preserve">uiding </w:t>
      </w:r>
      <w:r>
        <w:t>P</w:t>
      </w:r>
      <w:r w:rsidRPr="007F410B">
        <w:t xml:space="preserve">rinciple of EU </w:t>
      </w:r>
      <w:r>
        <w:t>M</w:t>
      </w:r>
      <w:r w:rsidRPr="007F410B">
        <w:t xml:space="preserve">ovement </w:t>
      </w:r>
      <w:r>
        <w:t>R</w:t>
      </w:r>
      <w:r w:rsidRPr="007F410B">
        <w:t>ights</w:t>
      </w:r>
      <w:r>
        <w:t>”</w:t>
      </w:r>
      <w:r w:rsidRPr="007F410B">
        <w:t xml:space="preserve"> </w:t>
      </w:r>
      <w:r>
        <w:t xml:space="preserve">(2016) 53 </w:t>
      </w:r>
      <w:r w:rsidRPr="00C33E69">
        <w:t>C.M.L. Rev.</w:t>
      </w:r>
      <w:r w:rsidRPr="007F410B">
        <w:t xml:space="preserve"> </w:t>
      </w:r>
      <w:r>
        <w:t xml:space="preserve">4, </w:t>
      </w:r>
      <w:r w:rsidRPr="00CE1795">
        <w:rPr>
          <w:rFonts w:cs="Arial Unicode MS"/>
        </w:rPr>
        <w:t>943</w:t>
      </w:r>
      <w:r>
        <w:rPr>
          <w:rFonts w:cs="Arial Unicode MS"/>
        </w:rPr>
        <w:t xml:space="preserve">. </w:t>
      </w:r>
      <w:r w:rsidR="00187590">
        <w:rPr>
          <w:rFonts w:cs="Arial Unicode MS"/>
        </w:rPr>
        <w:t>On the rather controversial nature of discriminatory requirements resulting from the introduction of such tests, see N. Nic Shuibhne, “What I Tell you Three Times is True: Lawful Residence and Equal Treatment after Dano” (2016) 23 Maastricht Journal of European and Comparative Law 6, 918.</w:t>
      </w:r>
    </w:p>
  </w:footnote>
  <w:footnote w:id="7">
    <w:p w14:paraId="513626D5" w14:textId="61CEF838" w:rsidR="00442644" w:rsidRPr="00CE1795" w:rsidRDefault="00442644" w:rsidP="0017677E">
      <w:pPr>
        <w:pStyle w:val="Notedepieddepage"/>
        <w:jc w:val="both"/>
        <w:rPr>
          <w:lang w:val="en-US"/>
        </w:rPr>
      </w:pPr>
      <w:r>
        <w:rPr>
          <w:rStyle w:val="Aucun"/>
          <w:rFonts w:ascii="Times New Roman" w:eastAsia="Times New Roman" w:hAnsi="Times New Roman" w:cs="Times New Roman"/>
          <w:sz w:val="20"/>
          <w:szCs w:val="20"/>
          <w:vertAlign w:val="superscript"/>
        </w:rPr>
        <w:footnoteRef/>
      </w:r>
      <w:r w:rsidRPr="00CE1795">
        <w:rPr>
          <w:rFonts w:ascii="Times New Roman" w:hAnsi="Times New Roman"/>
          <w:sz w:val="20"/>
          <w:szCs w:val="20"/>
          <w:lang w:val="en-US"/>
        </w:rPr>
        <w:t xml:space="preserve">Amelina, </w:t>
      </w:r>
      <w:r w:rsidR="00D423EA">
        <w:rPr>
          <w:rFonts w:ascii="Times New Roman" w:hAnsi="Times New Roman"/>
          <w:sz w:val="20"/>
          <w:szCs w:val="20"/>
          <w:lang w:val="en-US"/>
        </w:rPr>
        <w:t>“</w:t>
      </w:r>
      <w:r w:rsidRPr="00CE1795">
        <w:rPr>
          <w:rFonts w:ascii="Times New Roman" w:hAnsi="Times New Roman"/>
          <w:sz w:val="20"/>
          <w:szCs w:val="20"/>
          <w:lang w:val="en-US"/>
        </w:rPr>
        <w:t xml:space="preserve">European Welfare between </w:t>
      </w:r>
      <w:r>
        <w:rPr>
          <w:rFonts w:ascii="Times New Roman" w:hAnsi="Times New Roman"/>
          <w:sz w:val="20"/>
          <w:szCs w:val="20"/>
          <w:lang w:val="en-US"/>
        </w:rPr>
        <w:t>Co</w:t>
      </w:r>
      <w:r w:rsidRPr="00CE1795">
        <w:rPr>
          <w:rFonts w:ascii="Times New Roman" w:hAnsi="Times New Roman"/>
          <w:sz w:val="20"/>
          <w:szCs w:val="20"/>
          <w:lang w:val="en-US"/>
        </w:rPr>
        <w:t xml:space="preserve">mplex </w:t>
      </w:r>
      <w:r>
        <w:rPr>
          <w:rFonts w:ascii="Times New Roman" w:hAnsi="Times New Roman"/>
          <w:sz w:val="20"/>
          <w:szCs w:val="20"/>
          <w:lang w:val="en-US"/>
        </w:rPr>
        <w:t>R</w:t>
      </w:r>
      <w:r w:rsidRPr="00CE1795">
        <w:rPr>
          <w:rFonts w:ascii="Times New Roman" w:hAnsi="Times New Roman"/>
          <w:sz w:val="20"/>
          <w:szCs w:val="20"/>
          <w:lang w:val="en-US"/>
        </w:rPr>
        <w:t xml:space="preserve">egulatory </w:t>
      </w:r>
      <w:r>
        <w:rPr>
          <w:rFonts w:ascii="Times New Roman" w:hAnsi="Times New Roman"/>
          <w:sz w:val="20"/>
          <w:szCs w:val="20"/>
          <w:lang w:val="en-US"/>
        </w:rPr>
        <w:t>F</w:t>
      </w:r>
      <w:r w:rsidRPr="00CE1795">
        <w:rPr>
          <w:rFonts w:ascii="Times New Roman" w:hAnsi="Times New Roman"/>
          <w:sz w:val="20"/>
          <w:szCs w:val="20"/>
          <w:lang w:val="en-US"/>
        </w:rPr>
        <w:t xml:space="preserve">rameworks and </w:t>
      </w:r>
      <w:r>
        <w:rPr>
          <w:rFonts w:ascii="Times New Roman" w:hAnsi="Times New Roman"/>
          <w:sz w:val="20"/>
          <w:szCs w:val="20"/>
          <w:lang w:val="en-US"/>
        </w:rPr>
        <w:t>M</w:t>
      </w:r>
      <w:r w:rsidRPr="00CE1795">
        <w:rPr>
          <w:rFonts w:ascii="Times New Roman" w:hAnsi="Times New Roman"/>
          <w:sz w:val="20"/>
          <w:szCs w:val="20"/>
          <w:lang w:val="en-US"/>
        </w:rPr>
        <w:t xml:space="preserve">obile </w:t>
      </w:r>
      <w:r>
        <w:rPr>
          <w:rFonts w:ascii="Times New Roman" w:hAnsi="Times New Roman"/>
          <w:sz w:val="20"/>
          <w:szCs w:val="20"/>
          <w:lang w:val="en-US"/>
        </w:rPr>
        <w:t>E</w:t>
      </w:r>
      <w:r w:rsidRPr="00CE1795">
        <w:rPr>
          <w:rFonts w:ascii="Times New Roman" w:hAnsi="Times New Roman"/>
          <w:sz w:val="20"/>
          <w:szCs w:val="20"/>
          <w:lang w:val="en-US"/>
        </w:rPr>
        <w:t xml:space="preserve">uropeans’ </w:t>
      </w:r>
      <w:r>
        <w:rPr>
          <w:rFonts w:ascii="Times New Roman" w:hAnsi="Times New Roman"/>
          <w:sz w:val="20"/>
          <w:szCs w:val="20"/>
          <w:lang w:val="en-US"/>
        </w:rPr>
        <w:t>E</w:t>
      </w:r>
      <w:r w:rsidRPr="00CE1795">
        <w:rPr>
          <w:rFonts w:ascii="Times New Roman" w:hAnsi="Times New Roman"/>
          <w:sz w:val="20"/>
          <w:szCs w:val="20"/>
          <w:lang w:val="en-US"/>
        </w:rPr>
        <w:t xml:space="preserve">xperiences of </w:t>
      </w:r>
      <w:r>
        <w:rPr>
          <w:rFonts w:ascii="Times New Roman" w:hAnsi="Times New Roman"/>
          <w:sz w:val="20"/>
          <w:szCs w:val="20"/>
          <w:lang w:val="en-US"/>
        </w:rPr>
        <w:t>S</w:t>
      </w:r>
      <w:r w:rsidRPr="00CE1795">
        <w:rPr>
          <w:rFonts w:ascii="Times New Roman" w:hAnsi="Times New Roman"/>
          <w:sz w:val="20"/>
          <w:szCs w:val="20"/>
          <w:lang w:val="en-US"/>
        </w:rPr>
        <w:t>ocial (</w:t>
      </w:r>
      <w:r>
        <w:rPr>
          <w:rFonts w:ascii="Times New Roman" w:hAnsi="Times New Roman"/>
          <w:sz w:val="20"/>
          <w:szCs w:val="20"/>
          <w:lang w:val="en-US"/>
        </w:rPr>
        <w:t>I</w:t>
      </w:r>
      <w:r w:rsidRPr="00CE1795">
        <w:rPr>
          <w:rFonts w:ascii="Times New Roman" w:hAnsi="Times New Roman"/>
          <w:sz w:val="20"/>
          <w:szCs w:val="20"/>
          <w:lang w:val="en-US"/>
        </w:rPr>
        <w:t>n)security</w:t>
      </w:r>
      <w:r w:rsidR="00D423EA">
        <w:rPr>
          <w:rFonts w:ascii="Times New Roman" w:hAnsi="Times New Roman"/>
          <w:sz w:val="20"/>
          <w:szCs w:val="20"/>
          <w:lang w:val="en-US"/>
        </w:rPr>
        <w:t>”</w:t>
      </w:r>
      <w:r w:rsidRPr="00CE1795">
        <w:rPr>
          <w:rFonts w:ascii="Times New Roman" w:hAnsi="Times New Roman"/>
          <w:sz w:val="20"/>
          <w:szCs w:val="20"/>
          <w:lang w:val="en-US"/>
        </w:rPr>
        <w:t>, in Amelina</w:t>
      </w:r>
      <w:r>
        <w:rPr>
          <w:rFonts w:ascii="Times New Roman" w:hAnsi="Times New Roman"/>
          <w:sz w:val="20"/>
          <w:szCs w:val="20"/>
          <w:lang w:val="en-US"/>
        </w:rPr>
        <w:t xml:space="preserve"> et al.</w:t>
      </w:r>
      <w:r w:rsidRPr="00CE1795">
        <w:rPr>
          <w:rFonts w:ascii="Times New Roman" w:hAnsi="Times New Roman"/>
          <w:sz w:val="20"/>
          <w:szCs w:val="20"/>
          <w:lang w:val="en-US"/>
        </w:rPr>
        <w:t xml:space="preserve"> (eds), </w:t>
      </w:r>
      <w:r w:rsidRPr="00CE1795">
        <w:rPr>
          <w:rStyle w:val="Aucun"/>
          <w:rFonts w:ascii="Times New Roman" w:hAnsi="Times New Roman"/>
          <w:i/>
          <w:iCs/>
          <w:sz w:val="20"/>
          <w:szCs w:val="20"/>
          <w:lang w:val="en-US"/>
        </w:rPr>
        <w:t>Boundaries of European Social</w:t>
      </w:r>
      <w:r>
        <w:rPr>
          <w:rStyle w:val="Aucun"/>
          <w:rFonts w:ascii="Times New Roman" w:hAnsi="Times New Roman"/>
          <w:i/>
          <w:iCs/>
          <w:sz w:val="20"/>
          <w:szCs w:val="20"/>
          <w:lang w:val="en-US"/>
        </w:rPr>
        <w:t xml:space="preserve"> C</w:t>
      </w:r>
      <w:r w:rsidRPr="00CE1795">
        <w:rPr>
          <w:rStyle w:val="Aucun"/>
          <w:rFonts w:ascii="Times New Roman" w:hAnsi="Times New Roman"/>
          <w:i/>
          <w:iCs/>
          <w:sz w:val="20"/>
          <w:szCs w:val="20"/>
          <w:lang w:val="en-US"/>
        </w:rPr>
        <w:t>itizenship</w:t>
      </w:r>
      <w:r w:rsidR="00713B11">
        <w:rPr>
          <w:rStyle w:val="Aucun"/>
          <w:rFonts w:ascii="Times New Roman" w:hAnsi="Times New Roman"/>
          <w:i/>
          <w:iCs/>
          <w:sz w:val="20"/>
          <w:szCs w:val="20"/>
          <w:lang w:val="en-US"/>
        </w:rPr>
        <w:t xml:space="preserve"> </w:t>
      </w:r>
      <w:r w:rsidR="00713B11">
        <w:rPr>
          <w:rStyle w:val="Aucun"/>
          <w:rFonts w:ascii="Times New Roman" w:hAnsi="Times New Roman"/>
          <w:sz w:val="20"/>
          <w:szCs w:val="20"/>
          <w:lang w:val="en-US"/>
        </w:rPr>
        <w:t>(</w:t>
      </w:r>
      <w:r w:rsidRPr="00CE1795">
        <w:rPr>
          <w:rFonts w:ascii="Times New Roman" w:hAnsi="Times New Roman"/>
          <w:sz w:val="20"/>
          <w:szCs w:val="20"/>
          <w:lang w:val="en-US"/>
        </w:rPr>
        <w:t>2020</w:t>
      </w:r>
      <w:r>
        <w:rPr>
          <w:rFonts w:ascii="Times New Roman" w:hAnsi="Times New Roman"/>
          <w:sz w:val="20"/>
          <w:szCs w:val="20"/>
          <w:lang w:val="en-US"/>
        </w:rPr>
        <w:t>)</w:t>
      </w:r>
      <w:r w:rsidR="00D423EA">
        <w:rPr>
          <w:rFonts w:ascii="Times New Roman" w:hAnsi="Times New Roman"/>
          <w:sz w:val="20"/>
          <w:szCs w:val="20"/>
          <w:lang w:val="en-US"/>
        </w:rPr>
        <w:t>,</w:t>
      </w:r>
      <w:r w:rsidRPr="00CE1795">
        <w:rPr>
          <w:rFonts w:ascii="Times New Roman" w:hAnsi="Times New Roman"/>
          <w:sz w:val="20"/>
          <w:szCs w:val="20"/>
          <w:lang w:val="en-US"/>
        </w:rPr>
        <w:t xml:space="preserve"> p. 1. </w:t>
      </w:r>
    </w:p>
  </w:footnote>
  <w:footnote w:id="8">
    <w:p w14:paraId="563AA1A7" w14:textId="053C34EC" w:rsidR="00213890" w:rsidRPr="00213890" w:rsidRDefault="00213890" w:rsidP="0017677E">
      <w:pPr>
        <w:jc w:val="both"/>
        <w:rPr>
          <w:sz w:val="20"/>
          <w:szCs w:val="20"/>
          <w:lang w:val="en-US"/>
        </w:rPr>
      </w:pPr>
      <w:r w:rsidRPr="00881E18">
        <w:rPr>
          <w:rStyle w:val="Appelnotedebasdep"/>
          <w:sz w:val="20"/>
          <w:szCs w:val="20"/>
        </w:rPr>
        <w:footnoteRef/>
      </w:r>
      <w:r w:rsidRPr="00881E18">
        <w:rPr>
          <w:sz w:val="20"/>
          <w:szCs w:val="20"/>
          <w:lang w:val="en-US"/>
        </w:rPr>
        <w:t>Directive 2004/38/EC on the right of citizens of the Union and their family members to mover and reside freely within the territory of the Member States</w:t>
      </w:r>
      <w:r w:rsidR="00894BC3">
        <w:rPr>
          <w:sz w:val="20"/>
          <w:szCs w:val="20"/>
          <w:lang w:val="en-US"/>
        </w:rPr>
        <w:t xml:space="preserve"> [2004] OJ L 158/177</w:t>
      </w:r>
      <w:r w:rsidRPr="00881E18">
        <w:rPr>
          <w:sz w:val="20"/>
          <w:szCs w:val="20"/>
          <w:lang w:val="en-US"/>
        </w:rPr>
        <w:t xml:space="preserve">. </w:t>
      </w:r>
    </w:p>
  </w:footnote>
  <w:footnote w:id="9">
    <w:p w14:paraId="7AB89D2A" w14:textId="7A97D490" w:rsidR="00213890" w:rsidRPr="00213890" w:rsidRDefault="00213890" w:rsidP="0017677E">
      <w:pPr>
        <w:pStyle w:val="Notedebasdepage"/>
        <w:jc w:val="both"/>
      </w:pPr>
      <w:r>
        <w:rPr>
          <w:rStyle w:val="Appelnotedebasdep"/>
        </w:rPr>
        <w:footnoteRef/>
      </w:r>
      <w:r>
        <w:t xml:space="preserve">Recital 4 in the Preamble to the Citizenship Directive. </w:t>
      </w:r>
    </w:p>
  </w:footnote>
  <w:footnote w:id="10">
    <w:p w14:paraId="66AE701C" w14:textId="13F27F86" w:rsidR="00213890" w:rsidRPr="00213890" w:rsidRDefault="00213890" w:rsidP="0017677E">
      <w:pPr>
        <w:pStyle w:val="Notedebasdepage"/>
        <w:jc w:val="both"/>
      </w:pPr>
      <w:r>
        <w:rPr>
          <w:rStyle w:val="Appelnotedebasdep"/>
        </w:rPr>
        <w:footnoteRef/>
      </w:r>
      <w:r>
        <w:t>E. Spaventa, “</w:t>
      </w:r>
      <w:r w:rsidRPr="00CE1795">
        <w:t xml:space="preserve">Earned </w:t>
      </w:r>
      <w:r>
        <w:t>C</w:t>
      </w:r>
      <w:r w:rsidRPr="00CE1795">
        <w:t xml:space="preserve">itizenship - Understanding Union </w:t>
      </w:r>
      <w:r>
        <w:t>C</w:t>
      </w:r>
      <w:r w:rsidRPr="00CE1795">
        <w:t xml:space="preserve">itizenship through its </w:t>
      </w:r>
      <w:r>
        <w:t>S</w:t>
      </w:r>
      <w:r w:rsidRPr="00CE1795">
        <w:t>cope</w:t>
      </w:r>
      <w:r>
        <w:t>”</w:t>
      </w:r>
      <w:r w:rsidRPr="00CE1795">
        <w:t>, in D. Kochenov</w:t>
      </w:r>
      <w:r>
        <w:t xml:space="preserve"> (ed</w:t>
      </w:r>
      <w:r w:rsidR="00D4491E">
        <w:t>.</w:t>
      </w:r>
      <w:r>
        <w:t>)</w:t>
      </w:r>
      <w:r w:rsidRPr="00CE1795">
        <w:t xml:space="preserve">, </w:t>
      </w:r>
      <w:r w:rsidRPr="009037C6">
        <w:rPr>
          <w:rStyle w:val="Aucun"/>
          <w:i/>
          <w:iCs/>
        </w:rPr>
        <w:t>EU Citi</w:t>
      </w:r>
      <w:r>
        <w:rPr>
          <w:rStyle w:val="Aucun"/>
          <w:i/>
          <w:iCs/>
        </w:rPr>
        <w:t>zenship and Federalism – The Role of Rights</w:t>
      </w:r>
      <w:r>
        <w:rPr>
          <w:rStyle w:val="Aucun"/>
        </w:rPr>
        <w:t xml:space="preserve"> (Cambridge: Cambridge University Press, 2017),</w:t>
      </w:r>
      <w:r w:rsidRPr="00CE1795">
        <w:t xml:space="preserve"> p</w:t>
      </w:r>
      <w:r>
        <w:t xml:space="preserve">. 208. </w:t>
      </w:r>
    </w:p>
  </w:footnote>
  <w:footnote w:id="11">
    <w:p w14:paraId="65B9E651" w14:textId="595D71B5" w:rsidR="005C2F14" w:rsidRPr="00FD1F74" w:rsidRDefault="005C2F14" w:rsidP="0017677E">
      <w:pPr>
        <w:pStyle w:val="Notedebasdepage"/>
        <w:jc w:val="both"/>
      </w:pPr>
      <w:r w:rsidRPr="00881E18">
        <w:rPr>
          <w:rStyle w:val="Appelnotedebasdep"/>
        </w:rPr>
        <w:footnoteRef/>
      </w:r>
      <w:r w:rsidRPr="00881E18">
        <w:t>Regulation (EU) No. 492/2011 on freedom of movement for workers within the Union</w:t>
      </w:r>
      <w:r w:rsidR="00894BC3">
        <w:t xml:space="preserve"> [2011]</w:t>
      </w:r>
      <w:r w:rsidR="00264937">
        <w:t xml:space="preserve"> OJ L 141/1</w:t>
      </w:r>
      <w:r w:rsidRPr="00881E18">
        <w:t>.</w:t>
      </w:r>
    </w:p>
  </w:footnote>
  <w:footnote w:id="12">
    <w:p w14:paraId="2ED15A75" w14:textId="033D16F2" w:rsidR="00E502D0" w:rsidRPr="009D6BF0" w:rsidRDefault="00E502D0" w:rsidP="0017677E">
      <w:pPr>
        <w:pStyle w:val="Notedebasdepage"/>
        <w:jc w:val="both"/>
      </w:pPr>
      <w:r>
        <w:rPr>
          <w:rStyle w:val="Appelnotedebasdep"/>
        </w:rPr>
        <w:footnoteRef/>
      </w:r>
      <w:r>
        <w:rPr>
          <w:rFonts w:cs="Arial Unicode MS"/>
        </w:rPr>
        <w:t xml:space="preserve">Nic Shuibhne, “What I Tell you Three Times is True” (2016), 926. </w:t>
      </w:r>
    </w:p>
  </w:footnote>
  <w:footnote w:id="13">
    <w:p w14:paraId="1F63C83E" w14:textId="2CFB49DC" w:rsidR="00AA7BB4" w:rsidRPr="00AA7BB4" w:rsidRDefault="00AA7BB4" w:rsidP="00C13BEF">
      <w:pPr>
        <w:pStyle w:val="Notedebasdepage"/>
        <w:jc w:val="both"/>
      </w:pPr>
      <w:r>
        <w:rPr>
          <w:rStyle w:val="Appelnotedebasdep"/>
        </w:rPr>
        <w:footnoteRef/>
      </w:r>
      <w:r w:rsidR="000347CB" w:rsidRPr="000347CB">
        <w:rPr>
          <w:rStyle w:val="Aucun"/>
        </w:rPr>
        <w:t>See, e.g.</w:t>
      </w:r>
      <w:r w:rsidR="000347CB">
        <w:rPr>
          <w:rStyle w:val="Aucun"/>
          <w:i/>
          <w:iCs/>
        </w:rPr>
        <w:t xml:space="preserve"> </w:t>
      </w:r>
      <w:r w:rsidR="00C13BEF" w:rsidRPr="00CE1795">
        <w:rPr>
          <w:rStyle w:val="Aucun"/>
          <w:i/>
          <w:iCs/>
        </w:rPr>
        <w:t>The Queen</w:t>
      </w:r>
      <w:r w:rsidR="00C13BEF">
        <w:rPr>
          <w:rStyle w:val="Aucun"/>
          <w:i/>
          <w:iCs/>
        </w:rPr>
        <w:t xml:space="preserve"> and The </w:t>
      </w:r>
      <w:r w:rsidR="00C13BEF" w:rsidRPr="00CE1795">
        <w:rPr>
          <w:rStyle w:val="Aucun"/>
          <w:i/>
          <w:iCs/>
        </w:rPr>
        <w:t xml:space="preserve">Immigration Appeal Tribunal, ex parte </w:t>
      </w:r>
      <w:r w:rsidR="00C13BEF">
        <w:rPr>
          <w:rStyle w:val="Aucun"/>
          <w:i/>
          <w:iCs/>
        </w:rPr>
        <w:t xml:space="preserve">Gustaff Desiderius </w:t>
      </w:r>
      <w:r w:rsidR="00C13BEF" w:rsidRPr="00823A99">
        <w:rPr>
          <w:rStyle w:val="Aucun"/>
          <w:i/>
          <w:iCs/>
          <w:lang w:val="it-IT"/>
        </w:rPr>
        <w:t>Antonissen</w:t>
      </w:r>
      <w:r w:rsidR="00C13BEF">
        <w:t xml:space="preserve"> </w:t>
      </w:r>
      <w:r w:rsidR="00C13BEF" w:rsidRPr="0036436F">
        <w:t>(C-292/89)</w:t>
      </w:r>
      <w:r w:rsidR="00C13BEF" w:rsidRPr="00C13BEF">
        <w:t xml:space="preserve"> </w:t>
      </w:r>
      <w:r w:rsidR="00C13BEF">
        <w:t xml:space="preserve">EU:C:1991:80 </w:t>
      </w:r>
      <w:r w:rsidR="00C13BEF" w:rsidRPr="0036436F">
        <w:t xml:space="preserve">at [12-13]; </w:t>
      </w:r>
      <w:r w:rsidR="00C13BEF" w:rsidRPr="0036436F">
        <w:rPr>
          <w:i/>
          <w:iCs/>
        </w:rPr>
        <w:t xml:space="preserve">Maria </w:t>
      </w:r>
      <w:r w:rsidR="00C13BEF" w:rsidRPr="0036436F">
        <w:rPr>
          <w:rStyle w:val="Aucun"/>
          <w:i/>
          <w:iCs/>
        </w:rPr>
        <w:t>Martinez Sala and Freistaat Bayern</w:t>
      </w:r>
      <w:r w:rsidR="00C13BEF" w:rsidRPr="0036436F">
        <w:t xml:space="preserve"> (C-85/96) EU:C:1998:217 at [32];</w:t>
      </w:r>
      <w:r w:rsidR="00C13BEF" w:rsidRPr="0036436F">
        <w:rPr>
          <w:rStyle w:val="Aucun"/>
          <w:i/>
          <w:iCs/>
        </w:rPr>
        <w:t xml:space="preserve"> Collins </w:t>
      </w:r>
      <w:r w:rsidR="00C13BEF" w:rsidRPr="0036436F">
        <w:t>(</w:t>
      </w:r>
      <w:r w:rsidR="00C13BEF" w:rsidRPr="0036436F">
        <w:rPr>
          <w:color w:val="000000" w:themeColor="text1"/>
        </w:rPr>
        <w:t>C-138/02)</w:t>
      </w:r>
      <w:r w:rsidR="00C13BEF" w:rsidRPr="0036436F">
        <w:rPr>
          <w:color w:val="000000" w:themeColor="text1"/>
          <w:shd w:val="clear" w:color="auto" w:fill="FFFFFF"/>
        </w:rPr>
        <w:t xml:space="preserve"> </w:t>
      </w:r>
      <w:r w:rsidR="00C13BEF" w:rsidRPr="0036436F">
        <w:t xml:space="preserve">at </w:t>
      </w:r>
      <w:r w:rsidR="00C13BEF">
        <w:t>[</w:t>
      </w:r>
      <w:r w:rsidR="00C13BEF" w:rsidRPr="0036436F">
        <w:t>26</w:t>
      </w:r>
      <w:r w:rsidR="00C13BEF">
        <w:t>]</w:t>
      </w:r>
      <w:r w:rsidR="00C13BEF" w:rsidRPr="0036436F">
        <w:t xml:space="preserve">; </w:t>
      </w:r>
      <w:r w:rsidR="000347CB" w:rsidRPr="000347CB">
        <w:rPr>
          <w:i/>
          <w:iCs/>
        </w:rPr>
        <w:t>Athanasios</w:t>
      </w:r>
      <w:r w:rsidR="000347CB">
        <w:rPr>
          <w:i/>
          <w:iCs/>
        </w:rPr>
        <w:t xml:space="preserve"> Vatsouras, Josif Koupatantze v Arbeitsgemeinschaft (ARGE) Nürnberg900 </w:t>
      </w:r>
      <w:r w:rsidR="000347CB">
        <w:t xml:space="preserve">(C-22/08 &amp; C-23/08) EU:C:2009:344 at [36-37]; </w:t>
      </w:r>
      <w:r w:rsidR="00C13BEF" w:rsidRPr="0036436F">
        <w:rPr>
          <w:rStyle w:val="Aucun"/>
          <w:i/>
          <w:iCs/>
        </w:rPr>
        <w:t>Caves Krier Frères Sàrl v Directeur de l’Administration de l’Emploi</w:t>
      </w:r>
      <w:r w:rsidR="00C13BEF" w:rsidRPr="0036436F">
        <w:t xml:space="preserve"> (C-379/11) EU:C:2012 :798 at [26]; </w:t>
      </w:r>
      <w:r w:rsidR="00C13BEF" w:rsidRPr="0036436F">
        <w:rPr>
          <w:rStyle w:val="Aucun"/>
          <w:i/>
          <w:iCs/>
        </w:rPr>
        <w:t>Jessy Saint Prix v Secretary of State for Home and Pen</w:t>
      </w:r>
      <w:r w:rsidR="00C13BEF">
        <w:rPr>
          <w:rStyle w:val="Aucun"/>
          <w:i/>
          <w:iCs/>
        </w:rPr>
        <w:t>sions</w:t>
      </w:r>
      <w:r w:rsidR="00C13BEF">
        <w:t xml:space="preserve"> (C-507/12) EU:C:2014:2007 at [</w:t>
      </w:r>
      <w:r w:rsidR="00C13BEF" w:rsidRPr="00CE1795">
        <w:t>35</w:t>
      </w:r>
      <w:r w:rsidR="00C13BEF">
        <w:t>]</w:t>
      </w:r>
      <w:r w:rsidR="00C13BEF" w:rsidRPr="00CE1795">
        <w:t xml:space="preserve">; </w:t>
      </w:r>
      <w:r w:rsidR="00C13BEF" w:rsidRPr="00CE1795">
        <w:rPr>
          <w:rStyle w:val="Aucun"/>
          <w:i/>
          <w:iCs/>
        </w:rPr>
        <w:t>G.M.A.</w:t>
      </w:r>
      <w:r w:rsidR="00C13BEF">
        <w:rPr>
          <w:rStyle w:val="Aucun"/>
          <w:i/>
          <w:iCs/>
        </w:rPr>
        <w:t xml:space="preserve"> v État belge </w:t>
      </w:r>
      <w:r w:rsidR="00C13BEF">
        <w:t>(C-710/19) EU:C:2020:1037 at</w:t>
      </w:r>
      <w:r w:rsidR="00C13BEF" w:rsidRPr="00CE1795">
        <w:t xml:space="preserve"> </w:t>
      </w:r>
      <w:r w:rsidR="00C13BEF">
        <w:t>[</w:t>
      </w:r>
      <w:r w:rsidR="00C13BEF" w:rsidRPr="00CE1795">
        <w:t>24</w:t>
      </w:r>
      <w:r w:rsidR="00C13BEF">
        <w:t>]</w:t>
      </w:r>
      <w:r w:rsidR="00C13BEF" w:rsidRPr="00CE1795">
        <w:t>.</w:t>
      </w:r>
    </w:p>
  </w:footnote>
  <w:footnote w:id="14">
    <w:p w14:paraId="0961B54A" w14:textId="74F292F9" w:rsidR="005C2F14" w:rsidRPr="000B0ADE" w:rsidRDefault="005C2F14" w:rsidP="000546A8">
      <w:pPr>
        <w:pStyle w:val="Notedebasdepage"/>
        <w:jc w:val="both"/>
      </w:pPr>
      <w:r w:rsidRPr="003E44F9">
        <w:rPr>
          <w:rStyle w:val="Appelnotedebasdep"/>
        </w:rPr>
        <w:footnoteRef/>
      </w:r>
      <w:r w:rsidRPr="003E44F9">
        <w:rPr>
          <w:i/>
          <w:iCs/>
        </w:rPr>
        <w:t>Elisabeta</w:t>
      </w:r>
      <w:r w:rsidRPr="003E44F9">
        <w:t xml:space="preserve"> </w:t>
      </w:r>
      <w:r w:rsidRPr="003E44F9">
        <w:rPr>
          <w:i/>
          <w:iCs/>
        </w:rPr>
        <w:t xml:space="preserve">Dano, Florin Dano v Jobceter Leipzig </w:t>
      </w:r>
      <w:r w:rsidRPr="003E44F9">
        <w:t xml:space="preserve">(C-333:13) EU:C:2014:2358 ; </w:t>
      </w:r>
      <w:r>
        <w:rPr>
          <w:i/>
          <w:iCs/>
        </w:rPr>
        <w:t xml:space="preserve">Jobcenter Berlin Neukölln v Nazifa Alimanovic, Sonita Alimanovic, Valentina Alimanovic, Valentino Alimanovic </w:t>
      </w:r>
      <w:r>
        <w:t xml:space="preserve">(C-67/14) </w:t>
      </w:r>
      <w:r w:rsidRPr="003E44F9">
        <w:t>EU:C:2015:597</w:t>
      </w:r>
      <w:r>
        <w:t>.</w:t>
      </w:r>
      <w:r w:rsidR="003E0B99">
        <w:t xml:space="preserve"> See also </w:t>
      </w:r>
      <w:r w:rsidR="003E0B99" w:rsidRPr="003E0B99">
        <w:rPr>
          <w:i/>
          <w:iCs/>
        </w:rPr>
        <w:t>Vest</w:t>
      </w:r>
      <w:r w:rsidR="003E0B99">
        <w:rPr>
          <w:i/>
          <w:iCs/>
        </w:rPr>
        <w:t xml:space="preserve">ische Arbeit Jobcenter Kreis Recklinghausen v Jovanna García-Nieto, Joel Peña Cuevas, Jovanlis Peña García, Joel Luis Peña Cruz </w:t>
      </w:r>
      <w:r w:rsidR="003E0B99" w:rsidRPr="003E0B99">
        <w:t>(C-</w:t>
      </w:r>
      <w:r w:rsidR="003E0B99">
        <w:t>299/14) EU:C:2016:114</w:t>
      </w:r>
      <w:r w:rsidR="000B0ADE">
        <w:t xml:space="preserve">; </w:t>
      </w:r>
      <w:r w:rsidR="000B0ADE">
        <w:rPr>
          <w:i/>
          <w:iCs/>
        </w:rPr>
        <w:t xml:space="preserve">A, Latvijas Republikas Veselības ministrija </w:t>
      </w:r>
      <w:r w:rsidR="000B0ADE">
        <w:t xml:space="preserve">(C-535/19) EU:C:2021:595. </w:t>
      </w:r>
    </w:p>
  </w:footnote>
  <w:footnote w:id="15">
    <w:p w14:paraId="04749627" w14:textId="4DC3FA83" w:rsidR="005C2F14" w:rsidRPr="00676870" w:rsidRDefault="005C2F14" w:rsidP="0017677E">
      <w:pPr>
        <w:pStyle w:val="Notedebasdepage"/>
        <w:jc w:val="both"/>
      </w:pPr>
      <w:r>
        <w:rPr>
          <w:rStyle w:val="Appelnotedebasdep"/>
        </w:rPr>
        <w:footnoteRef/>
      </w:r>
      <w:r>
        <w:t>Nic Shuibhne,</w:t>
      </w:r>
      <w:r>
        <w:rPr>
          <w:rFonts w:cs="Arial Unicode MS"/>
        </w:rPr>
        <w:t xml:space="preserve"> “What I Tell you Three Times is True” (2016), 926-927.</w:t>
      </w:r>
    </w:p>
  </w:footnote>
  <w:footnote w:id="16">
    <w:p w14:paraId="1B2CFC59" w14:textId="1BF5CF2F" w:rsidR="00047222" w:rsidRPr="00047222" w:rsidRDefault="00047222" w:rsidP="00047222">
      <w:pPr>
        <w:pStyle w:val="Notedepieddepage"/>
        <w:jc w:val="both"/>
        <w:rPr>
          <w:rFonts w:ascii="Times New Roman" w:hAnsi="Times New Roman" w:cs="Times New Roman"/>
          <w:sz w:val="20"/>
          <w:szCs w:val="20"/>
          <w:lang w:val="en-US"/>
        </w:rPr>
      </w:pPr>
      <w:r w:rsidRPr="00047222">
        <w:rPr>
          <w:rStyle w:val="Appelnotedebasdep"/>
          <w:rFonts w:ascii="Times New Roman" w:hAnsi="Times New Roman" w:cs="Times New Roman"/>
          <w:sz w:val="20"/>
          <w:szCs w:val="20"/>
        </w:rPr>
        <w:footnoteRef/>
      </w:r>
      <w:r w:rsidRPr="00047222">
        <w:rPr>
          <w:rFonts w:ascii="Times New Roman" w:hAnsi="Times New Roman" w:cs="Times New Roman"/>
          <w:sz w:val="20"/>
          <w:szCs w:val="20"/>
          <w:lang w:val="en-US"/>
        </w:rPr>
        <w:t xml:space="preserve">Nic Shuibhne, “What I Tell you Three Times is True” (2016), 926-927; E. Muir, </w:t>
      </w:r>
      <w:r w:rsidRPr="00047222">
        <w:rPr>
          <w:rStyle w:val="Aucun"/>
          <w:rFonts w:ascii="Times New Roman" w:hAnsi="Times New Roman" w:cs="Times New Roman"/>
          <w:i/>
          <w:iCs/>
          <w:sz w:val="20"/>
          <w:szCs w:val="20"/>
          <w:lang w:val="en-US"/>
        </w:rPr>
        <w:t>EU Equality law: The First Fundamental Rights Policy of the EU</w:t>
      </w:r>
      <w:r w:rsidRPr="00047222">
        <w:rPr>
          <w:rFonts w:ascii="Times New Roman" w:hAnsi="Times New Roman" w:cs="Times New Roman"/>
          <w:sz w:val="20"/>
          <w:szCs w:val="20"/>
          <w:lang w:val="en-US"/>
        </w:rPr>
        <w:t xml:space="preserve"> (Oxford: Oxford University Press, 2018), p. 102. </w:t>
      </w:r>
    </w:p>
  </w:footnote>
  <w:footnote w:id="17">
    <w:p w14:paraId="4D4C8644" w14:textId="103382D6" w:rsidR="000347CB" w:rsidRPr="00D412A5" w:rsidRDefault="000347CB" w:rsidP="00D412A5">
      <w:pPr>
        <w:pStyle w:val="Notedebasdepage"/>
        <w:jc w:val="both"/>
      </w:pPr>
      <w:r>
        <w:rPr>
          <w:rStyle w:val="Appelnotedebasdep"/>
        </w:rPr>
        <w:footnoteRef/>
      </w:r>
      <w:r w:rsidR="00D412A5">
        <w:t>H.</w:t>
      </w:r>
      <w:r w:rsidRPr="00D412A5">
        <w:t xml:space="preserve"> </w:t>
      </w:r>
      <w:r w:rsidR="00D412A5" w:rsidRPr="007F410B">
        <w:t xml:space="preserve">Verschueren, </w:t>
      </w:r>
      <w:r w:rsidR="00D412A5">
        <w:t>“</w:t>
      </w:r>
      <w:r w:rsidR="00D412A5" w:rsidRPr="007F410B">
        <w:t xml:space="preserve">Preventing </w:t>
      </w:r>
      <w:r w:rsidR="00D412A5">
        <w:t>‘B</w:t>
      </w:r>
      <w:r w:rsidR="00D412A5" w:rsidRPr="007F410B">
        <w:t xml:space="preserve">enefit </w:t>
      </w:r>
      <w:r w:rsidR="00D412A5">
        <w:t>T</w:t>
      </w:r>
      <w:r w:rsidR="00D412A5" w:rsidRPr="007F410B">
        <w:t>ourism</w:t>
      </w:r>
      <w:r w:rsidR="00D412A5">
        <w:t>’</w:t>
      </w:r>
      <w:r w:rsidR="00D412A5" w:rsidRPr="007F410B">
        <w:t xml:space="preserve"> in the EU: A </w:t>
      </w:r>
      <w:r w:rsidR="00D412A5">
        <w:t>N</w:t>
      </w:r>
      <w:r w:rsidR="00D412A5" w:rsidRPr="007F410B">
        <w:t xml:space="preserve">arrow or </w:t>
      </w:r>
      <w:r w:rsidR="00D412A5">
        <w:t>B</w:t>
      </w:r>
      <w:r w:rsidR="00D412A5" w:rsidRPr="007F410B">
        <w:t xml:space="preserve">road </w:t>
      </w:r>
      <w:r w:rsidR="00D412A5">
        <w:t>I</w:t>
      </w:r>
      <w:r w:rsidR="00D412A5" w:rsidRPr="007F410B">
        <w:t xml:space="preserve">nterpretation of the </w:t>
      </w:r>
      <w:r w:rsidR="00D412A5">
        <w:t>P</w:t>
      </w:r>
      <w:r w:rsidR="00D412A5" w:rsidRPr="007F410B">
        <w:t xml:space="preserve">ossibilities </w:t>
      </w:r>
      <w:r w:rsidR="00D412A5">
        <w:t>O</w:t>
      </w:r>
      <w:r w:rsidR="00D412A5" w:rsidRPr="007F410B">
        <w:t>ffered by the ECJ in Dano?</w:t>
      </w:r>
      <w:r w:rsidR="00D412A5">
        <w:t>” (2015)</w:t>
      </w:r>
      <w:r w:rsidR="00D412A5" w:rsidRPr="007F410B">
        <w:t xml:space="preserve"> </w:t>
      </w:r>
      <w:r w:rsidR="00D412A5">
        <w:t xml:space="preserve">52 </w:t>
      </w:r>
      <w:r w:rsidR="00D412A5" w:rsidRPr="009A455D">
        <w:t>C.M</w:t>
      </w:r>
      <w:r w:rsidR="00D412A5">
        <w:t>.</w:t>
      </w:r>
      <w:r w:rsidR="00D412A5" w:rsidRPr="009A455D">
        <w:t>L</w:t>
      </w:r>
      <w:r w:rsidR="00D412A5">
        <w:t xml:space="preserve">. </w:t>
      </w:r>
      <w:r w:rsidR="00D412A5" w:rsidRPr="009A455D">
        <w:t>Rev</w:t>
      </w:r>
      <w:r w:rsidR="00D412A5">
        <w:t>.</w:t>
      </w:r>
      <w:r w:rsidR="00D412A5">
        <w:rPr>
          <w:i/>
          <w:iCs/>
        </w:rPr>
        <w:t xml:space="preserve"> </w:t>
      </w:r>
      <w:r w:rsidR="00D412A5">
        <w:t>2, 370-376.</w:t>
      </w:r>
    </w:p>
  </w:footnote>
  <w:footnote w:id="18">
    <w:p w14:paraId="091BF614" w14:textId="18DA7A54" w:rsidR="005D0768" w:rsidRPr="00370D40" w:rsidRDefault="005D0768" w:rsidP="005D0768">
      <w:pPr>
        <w:pStyle w:val="Notedepieddepage"/>
        <w:jc w:val="both"/>
        <w:rPr>
          <w:rFonts w:ascii="Times New Roman" w:hAnsi="Times New Roman" w:cs="Times New Roman"/>
          <w:sz w:val="20"/>
          <w:szCs w:val="20"/>
        </w:rPr>
      </w:pPr>
      <w:r w:rsidRPr="00426190">
        <w:rPr>
          <w:rStyle w:val="Aucun"/>
          <w:rFonts w:ascii="Times New Roman" w:eastAsia="Times New Roman" w:hAnsi="Times New Roman" w:cs="Times New Roman"/>
          <w:sz w:val="20"/>
          <w:szCs w:val="20"/>
          <w:vertAlign w:val="superscript"/>
        </w:rPr>
        <w:footnoteRef/>
      </w:r>
      <w:r w:rsidR="00426190" w:rsidRPr="00370D40">
        <w:rPr>
          <w:rFonts w:ascii="Times New Roman" w:hAnsi="Times New Roman" w:cs="Times New Roman"/>
          <w:i/>
          <w:iCs/>
          <w:sz w:val="20"/>
          <w:szCs w:val="20"/>
        </w:rPr>
        <w:t>Alimanovic</w:t>
      </w:r>
      <w:r w:rsidR="00426190" w:rsidRPr="00370D40">
        <w:rPr>
          <w:rFonts w:ascii="Times New Roman" w:hAnsi="Times New Roman" w:cs="Times New Roman"/>
          <w:sz w:val="20"/>
          <w:szCs w:val="20"/>
        </w:rPr>
        <w:t xml:space="preserve"> (C-67/14) EU:C:2015:597</w:t>
      </w:r>
      <w:r w:rsidRPr="00370D40">
        <w:rPr>
          <w:rFonts w:ascii="Times New Roman" w:hAnsi="Times New Roman" w:cs="Times New Roman"/>
          <w:sz w:val="20"/>
          <w:szCs w:val="20"/>
        </w:rPr>
        <w:t xml:space="preserve"> </w:t>
      </w:r>
      <w:r w:rsidR="00426190" w:rsidRPr="00370D40">
        <w:rPr>
          <w:rFonts w:ascii="Times New Roman" w:hAnsi="Times New Roman" w:cs="Times New Roman"/>
          <w:sz w:val="20"/>
          <w:szCs w:val="20"/>
        </w:rPr>
        <w:t>at</w:t>
      </w:r>
      <w:r w:rsidRPr="00370D40">
        <w:rPr>
          <w:rFonts w:ascii="Times New Roman" w:hAnsi="Times New Roman" w:cs="Times New Roman"/>
          <w:sz w:val="20"/>
          <w:szCs w:val="20"/>
        </w:rPr>
        <w:t xml:space="preserve"> </w:t>
      </w:r>
      <w:r w:rsidR="00426190" w:rsidRPr="00370D40">
        <w:rPr>
          <w:rFonts w:ascii="Times New Roman" w:hAnsi="Times New Roman" w:cs="Times New Roman"/>
          <w:sz w:val="20"/>
          <w:szCs w:val="20"/>
        </w:rPr>
        <w:t>[55]</w:t>
      </w:r>
      <w:r w:rsidRPr="00370D40">
        <w:rPr>
          <w:rFonts w:ascii="Times New Roman" w:hAnsi="Times New Roman" w:cs="Times New Roman"/>
          <w:sz w:val="20"/>
          <w:szCs w:val="20"/>
        </w:rPr>
        <w:t xml:space="preserve">. </w:t>
      </w:r>
    </w:p>
  </w:footnote>
  <w:footnote w:id="19">
    <w:p w14:paraId="10BC1D42" w14:textId="4BC769E6" w:rsidR="005D0768" w:rsidRPr="00863AE5" w:rsidRDefault="005D0768" w:rsidP="005D0768">
      <w:pPr>
        <w:pStyle w:val="Notedepieddepage"/>
        <w:jc w:val="both"/>
        <w:rPr>
          <w:lang w:val="en-US"/>
        </w:rPr>
      </w:pPr>
      <w:r>
        <w:rPr>
          <w:rStyle w:val="Aucun"/>
          <w:rFonts w:ascii="Times New Roman" w:eastAsia="Times New Roman" w:hAnsi="Times New Roman" w:cs="Times New Roman"/>
          <w:sz w:val="20"/>
          <w:szCs w:val="20"/>
          <w:vertAlign w:val="superscript"/>
        </w:rPr>
        <w:footnoteRef/>
      </w:r>
      <w:r w:rsidR="00426190" w:rsidRPr="00863AE5">
        <w:rPr>
          <w:rFonts w:ascii="Times New Roman" w:hAnsi="Times New Roman" w:cs="Times New Roman"/>
          <w:i/>
          <w:iCs/>
          <w:sz w:val="20"/>
          <w:szCs w:val="20"/>
          <w:lang w:val="en-US"/>
        </w:rPr>
        <w:t>Alimanovic</w:t>
      </w:r>
      <w:r w:rsidR="00426190" w:rsidRPr="00863AE5">
        <w:rPr>
          <w:rFonts w:ascii="Times New Roman" w:hAnsi="Times New Roman" w:cs="Times New Roman"/>
          <w:sz w:val="20"/>
          <w:szCs w:val="20"/>
          <w:lang w:val="en-US"/>
        </w:rPr>
        <w:t xml:space="preserve"> (C-67/14) at [</w:t>
      </w:r>
      <w:r w:rsidRPr="00863AE5">
        <w:rPr>
          <w:rFonts w:ascii="Times New Roman" w:hAnsi="Times New Roman"/>
          <w:sz w:val="20"/>
          <w:szCs w:val="20"/>
          <w:lang w:val="en-US"/>
        </w:rPr>
        <w:t>57-58</w:t>
      </w:r>
      <w:r w:rsidR="00426190" w:rsidRPr="00863AE5">
        <w:rPr>
          <w:rFonts w:ascii="Times New Roman" w:hAnsi="Times New Roman"/>
          <w:sz w:val="20"/>
          <w:szCs w:val="20"/>
          <w:lang w:val="en-US"/>
        </w:rPr>
        <w:t>]</w:t>
      </w:r>
      <w:r w:rsidRPr="00863AE5">
        <w:rPr>
          <w:rFonts w:ascii="Times New Roman" w:hAnsi="Times New Roman"/>
          <w:sz w:val="20"/>
          <w:szCs w:val="20"/>
          <w:lang w:val="en-US"/>
        </w:rPr>
        <w:t xml:space="preserve">. </w:t>
      </w:r>
    </w:p>
  </w:footnote>
  <w:footnote w:id="20">
    <w:p w14:paraId="5E9BE198" w14:textId="0716174C" w:rsidR="00426190" w:rsidRPr="00426190" w:rsidRDefault="00426190" w:rsidP="00426190">
      <w:pPr>
        <w:pStyle w:val="Notedebasdepage"/>
        <w:jc w:val="both"/>
      </w:pPr>
      <w:r>
        <w:rPr>
          <w:rStyle w:val="Appelnotedebasdep"/>
        </w:rPr>
        <w:footnoteRef/>
      </w:r>
      <w:r>
        <w:t xml:space="preserve">The Court has subsequently </w:t>
      </w:r>
      <w:r w:rsidRPr="00CE1795">
        <w:t xml:space="preserve">confirmed that position in </w:t>
      </w:r>
      <w:r w:rsidRPr="00CE1795">
        <w:rPr>
          <w:rStyle w:val="Aucun"/>
          <w:i/>
          <w:iCs/>
        </w:rPr>
        <w:t>G.M.A</w:t>
      </w:r>
      <w:r>
        <w:t xml:space="preserve">. </w:t>
      </w:r>
      <w:r w:rsidRPr="00426190">
        <w:t>See</w:t>
      </w:r>
      <w:r>
        <w:t xml:space="preserve"> </w:t>
      </w:r>
      <w:r>
        <w:rPr>
          <w:i/>
          <w:iCs/>
        </w:rPr>
        <w:t xml:space="preserve">G.M.A v État belge </w:t>
      </w:r>
      <w:r>
        <w:t>(C-710/19) EU:C:2020:1037</w:t>
      </w:r>
      <w:r>
        <w:rPr>
          <w:lang w:val="pt-PT"/>
        </w:rPr>
        <w:t xml:space="preserve"> at [33].</w:t>
      </w:r>
    </w:p>
  </w:footnote>
  <w:footnote w:id="21">
    <w:p w14:paraId="3FBB7E8C" w14:textId="55553051" w:rsidR="00EE1BEA" w:rsidRPr="00007657" w:rsidRDefault="00EE1BEA" w:rsidP="0017677E">
      <w:pPr>
        <w:pStyle w:val="Notedepieddepage"/>
        <w:jc w:val="both"/>
        <w:rPr>
          <w:lang w:val="en-US"/>
        </w:rPr>
      </w:pPr>
      <w:r>
        <w:rPr>
          <w:rStyle w:val="Aucun"/>
          <w:rFonts w:ascii="Times New Roman" w:eastAsia="Times New Roman" w:hAnsi="Times New Roman" w:cs="Times New Roman"/>
          <w:sz w:val="20"/>
          <w:szCs w:val="20"/>
          <w:vertAlign w:val="superscript"/>
        </w:rPr>
        <w:footnoteRef/>
      </w:r>
      <w:r w:rsidRPr="008B5DD2">
        <w:rPr>
          <w:rFonts w:ascii="Times New Roman" w:hAnsi="Times New Roman"/>
          <w:sz w:val="20"/>
          <w:szCs w:val="20"/>
          <w:lang w:val="en-US"/>
        </w:rPr>
        <w:t>See amongst others</w:t>
      </w:r>
      <w:r>
        <w:rPr>
          <w:rFonts w:ascii="Times New Roman" w:hAnsi="Times New Roman"/>
          <w:sz w:val="20"/>
          <w:szCs w:val="20"/>
          <w:lang w:val="en-US"/>
        </w:rPr>
        <w:t xml:space="preserve"> </w:t>
      </w:r>
      <w:r w:rsidR="000D4BED" w:rsidRPr="00CE1795">
        <w:rPr>
          <w:rFonts w:ascii="Times New Roman" w:hAnsi="Times New Roman"/>
          <w:sz w:val="20"/>
          <w:szCs w:val="20"/>
          <w:lang w:val="en-US"/>
        </w:rPr>
        <w:t xml:space="preserve">Nic Shuibhne, </w:t>
      </w:r>
      <w:r w:rsidR="000D4BED">
        <w:rPr>
          <w:rFonts w:ascii="Times New Roman" w:hAnsi="Times New Roman"/>
          <w:sz w:val="20"/>
          <w:szCs w:val="20"/>
          <w:lang w:val="en-US"/>
        </w:rPr>
        <w:t>“</w:t>
      </w:r>
      <w:r w:rsidR="000D4BED" w:rsidRPr="00CE1795">
        <w:rPr>
          <w:rFonts w:ascii="Times New Roman" w:hAnsi="Times New Roman"/>
          <w:sz w:val="20"/>
          <w:szCs w:val="20"/>
          <w:lang w:val="en-US"/>
        </w:rPr>
        <w:t xml:space="preserve">Limits </w:t>
      </w:r>
      <w:r w:rsidR="000D4BED">
        <w:rPr>
          <w:rFonts w:ascii="Times New Roman" w:hAnsi="Times New Roman"/>
          <w:sz w:val="20"/>
          <w:szCs w:val="20"/>
          <w:lang w:val="en-US"/>
        </w:rPr>
        <w:t>R</w:t>
      </w:r>
      <w:r w:rsidR="000D4BED" w:rsidRPr="00CE1795">
        <w:rPr>
          <w:rFonts w:ascii="Times New Roman" w:hAnsi="Times New Roman"/>
          <w:sz w:val="20"/>
          <w:szCs w:val="20"/>
          <w:lang w:val="en-US"/>
        </w:rPr>
        <w:t xml:space="preserve">ising, </w:t>
      </w:r>
      <w:r w:rsidR="000D4BED">
        <w:rPr>
          <w:rFonts w:ascii="Times New Roman" w:hAnsi="Times New Roman"/>
          <w:sz w:val="20"/>
          <w:szCs w:val="20"/>
          <w:lang w:val="en-US"/>
        </w:rPr>
        <w:t>D</w:t>
      </w:r>
      <w:r w:rsidR="000D4BED" w:rsidRPr="00CE1795">
        <w:rPr>
          <w:rFonts w:ascii="Times New Roman" w:hAnsi="Times New Roman"/>
          <w:sz w:val="20"/>
          <w:szCs w:val="20"/>
          <w:lang w:val="en-US"/>
        </w:rPr>
        <w:t xml:space="preserve">uties </w:t>
      </w:r>
      <w:r w:rsidR="000D4BED">
        <w:rPr>
          <w:rFonts w:ascii="Times New Roman" w:hAnsi="Times New Roman"/>
          <w:sz w:val="20"/>
          <w:szCs w:val="20"/>
          <w:lang w:val="en-US"/>
        </w:rPr>
        <w:t>A</w:t>
      </w:r>
      <w:r w:rsidR="000D4BED" w:rsidRPr="00CE1795">
        <w:rPr>
          <w:rFonts w:ascii="Times New Roman" w:hAnsi="Times New Roman"/>
          <w:sz w:val="20"/>
          <w:szCs w:val="20"/>
          <w:lang w:val="en-US"/>
        </w:rPr>
        <w:t xml:space="preserve">scending: </w:t>
      </w:r>
      <w:r w:rsidR="000D4BED">
        <w:rPr>
          <w:rFonts w:ascii="Times New Roman" w:hAnsi="Times New Roman"/>
          <w:sz w:val="20"/>
          <w:szCs w:val="20"/>
          <w:lang w:val="en-US"/>
        </w:rPr>
        <w:t>t</w:t>
      </w:r>
      <w:r w:rsidR="000D4BED" w:rsidRPr="00CE1795">
        <w:rPr>
          <w:rFonts w:ascii="Times New Roman" w:hAnsi="Times New Roman"/>
          <w:sz w:val="20"/>
          <w:szCs w:val="20"/>
          <w:lang w:val="en-US"/>
        </w:rPr>
        <w:t xml:space="preserve">he </w:t>
      </w:r>
      <w:r w:rsidR="000D4BED">
        <w:rPr>
          <w:rFonts w:ascii="Times New Roman" w:hAnsi="Times New Roman"/>
          <w:sz w:val="20"/>
          <w:szCs w:val="20"/>
          <w:lang w:val="en-US"/>
        </w:rPr>
        <w:t>C</w:t>
      </w:r>
      <w:r w:rsidR="000D4BED" w:rsidRPr="00CE1795">
        <w:rPr>
          <w:rFonts w:ascii="Times New Roman" w:hAnsi="Times New Roman"/>
          <w:sz w:val="20"/>
          <w:szCs w:val="20"/>
          <w:lang w:val="en-US"/>
        </w:rPr>
        <w:t xml:space="preserve">hanging </w:t>
      </w:r>
      <w:r w:rsidR="000D4BED">
        <w:rPr>
          <w:rFonts w:ascii="Times New Roman" w:hAnsi="Times New Roman"/>
          <w:sz w:val="20"/>
          <w:szCs w:val="20"/>
          <w:lang w:val="en-US"/>
        </w:rPr>
        <w:t>L</w:t>
      </w:r>
      <w:r w:rsidR="000D4BED" w:rsidRPr="00CE1795">
        <w:rPr>
          <w:rFonts w:ascii="Times New Roman" w:hAnsi="Times New Roman"/>
          <w:sz w:val="20"/>
          <w:szCs w:val="20"/>
          <w:lang w:val="en-US"/>
        </w:rPr>
        <w:t xml:space="preserve">egal </w:t>
      </w:r>
      <w:r w:rsidR="000D4BED">
        <w:rPr>
          <w:rFonts w:ascii="Times New Roman" w:hAnsi="Times New Roman"/>
          <w:sz w:val="20"/>
          <w:szCs w:val="20"/>
          <w:lang w:val="en-US"/>
        </w:rPr>
        <w:t>S</w:t>
      </w:r>
      <w:r w:rsidR="000D4BED" w:rsidRPr="00CE1795">
        <w:rPr>
          <w:rFonts w:ascii="Times New Roman" w:hAnsi="Times New Roman"/>
          <w:sz w:val="20"/>
          <w:szCs w:val="20"/>
          <w:lang w:val="en-US"/>
        </w:rPr>
        <w:t xml:space="preserve">hape of Union </w:t>
      </w:r>
      <w:r w:rsidR="000D4BED">
        <w:rPr>
          <w:rFonts w:ascii="Times New Roman" w:hAnsi="Times New Roman"/>
          <w:sz w:val="20"/>
          <w:szCs w:val="20"/>
          <w:lang w:val="en-US"/>
        </w:rPr>
        <w:t>C</w:t>
      </w:r>
      <w:r w:rsidR="000D4BED" w:rsidRPr="00CE1795">
        <w:rPr>
          <w:rFonts w:ascii="Times New Roman" w:hAnsi="Times New Roman"/>
          <w:sz w:val="20"/>
          <w:szCs w:val="20"/>
          <w:lang w:val="en-US"/>
        </w:rPr>
        <w:t>itizenship</w:t>
      </w:r>
      <w:r w:rsidR="000D4BED">
        <w:rPr>
          <w:rFonts w:ascii="Times New Roman" w:hAnsi="Times New Roman"/>
          <w:sz w:val="20"/>
          <w:szCs w:val="20"/>
          <w:lang w:val="en-US"/>
        </w:rPr>
        <w:t>” (2015)</w:t>
      </w:r>
      <w:r w:rsidR="000D4BED" w:rsidRPr="00CE1795">
        <w:rPr>
          <w:rFonts w:ascii="Times New Roman" w:hAnsi="Times New Roman"/>
          <w:sz w:val="20"/>
          <w:szCs w:val="20"/>
          <w:lang w:val="en-US"/>
        </w:rPr>
        <w:t xml:space="preserve"> </w:t>
      </w:r>
      <w:r w:rsidR="000D4BED">
        <w:rPr>
          <w:rFonts w:ascii="Times New Roman" w:hAnsi="Times New Roman"/>
          <w:sz w:val="20"/>
          <w:szCs w:val="20"/>
          <w:lang w:val="en-US"/>
        </w:rPr>
        <w:t xml:space="preserve">52 </w:t>
      </w:r>
      <w:r w:rsidR="000D4BED" w:rsidRPr="009D56BE">
        <w:rPr>
          <w:rStyle w:val="Aucun"/>
          <w:rFonts w:ascii="Times New Roman" w:hAnsi="Times New Roman"/>
          <w:sz w:val="20"/>
          <w:szCs w:val="20"/>
          <w:lang w:val="en-US"/>
        </w:rPr>
        <w:t>C.M.L. Rev.</w:t>
      </w:r>
      <w:r w:rsidR="000D4BED">
        <w:rPr>
          <w:rFonts w:ascii="Times New Roman" w:hAnsi="Times New Roman"/>
          <w:sz w:val="20"/>
          <w:szCs w:val="20"/>
          <w:lang w:val="en-US"/>
        </w:rPr>
        <w:t xml:space="preserve"> 4, </w:t>
      </w:r>
      <w:r>
        <w:rPr>
          <w:rFonts w:ascii="Times New Roman" w:hAnsi="Times New Roman"/>
          <w:sz w:val="20"/>
          <w:szCs w:val="20"/>
          <w:lang w:val="en-US"/>
        </w:rPr>
        <w:t>930</w:t>
      </w:r>
      <w:r w:rsidRPr="00CE1795">
        <w:rPr>
          <w:rFonts w:ascii="Times New Roman" w:hAnsi="Times New Roman"/>
          <w:sz w:val="20"/>
          <w:szCs w:val="20"/>
          <w:lang w:val="en-US"/>
        </w:rPr>
        <w:t xml:space="preserve">; D. W. Carter and M. Jesse, </w:t>
      </w:r>
      <w:r w:rsidR="00A0576F">
        <w:rPr>
          <w:rFonts w:ascii="Times New Roman" w:hAnsi="Times New Roman"/>
          <w:sz w:val="20"/>
          <w:szCs w:val="20"/>
          <w:lang w:val="en-US"/>
        </w:rPr>
        <w:t>“</w:t>
      </w:r>
      <w:r w:rsidRPr="00CE1795">
        <w:rPr>
          <w:rFonts w:ascii="Times New Roman" w:hAnsi="Times New Roman"/>
          <w:sz w:val="20"/>
          <w:szCs w:val="20"/>
          <w:lang w:val="en-US"/>
        </w:rPr>
        <w:t xml:space="preserve">The </w:t>
      </w:r>
      <w:r w:rsidR="00A0576F">
        <w:rPr>
          <w:rFonts w:ascii="Times New Roman" w:hAnsi="Times New Roman"/>
          <w:sz w:val="20"/>
          <w:szCs w:val="20"/>
          <w:lang w:val="en-US"/>
        </w:rPr>
        <w:t>‘</w:t>
      </w:r>
      <w:r w:rsidRPr="00CE1795">
        <w:rPr>
          <w:rFonts w:ascii="Times New Roman" w:hAnsi="Times New Roman"/>
          <w:sz w:val="20"/>
          <w:szCs w:val="20"/>
          <w:lang w:val="en-US"/>
        </w:rPr>
        <w:t>Dano Evolution</w:t>
      </w:r>
      <w:r w:rsidR="00A0576F">
        <w:rPr>
          <w:rFonts w:ascii="Times New Roman" w:hAnsi="Times New Roman"/>
          <w:sz w:val="20"/>
          <w:szCs w:val="20"/>
          <w:lang w:val="en-US"/>
        </w:rPr>
        <w:t>’</w:t>
      </w:r>
      <w:r w:rsidRPr="00CE1795">
        <w:rPr>
          <w:rFonts w:ascii="Times New Roman" w:hAnsi="Times New Roman"/>
          <w:sz w:val="20"/>
          <w:szCs w:val="20"/>
          <w:lang w:val="en-US"/>
        </w:rPr>
        <w:t>: Assessing Legal Integration and Access to Social Benefits for EU Citizens</w:t>
      </w:r>
      <w:r w:rsidR="00A0576F">
        <w:rPr>
          <w:rFonts w:ascii="Times New Roman" w:hAnsi="Times New Roman"/>
          <w:sz w:val="20"/>
          <w:szCs w:val="20"/>
          <w:lang w:val="en-US"/>
        </w:rPr>
        <w:t>”</w:t>
      </w:r>
      <w:r w:rsidR="008B5DD2">
        <w:rPr>
          <w:rFonts w:ascii="Times New Roman" w:hAnsi="Times New Roman"/>
          <w:sz w:val="20"/>
          <w:szCs w:val="20"/>
          <w:lang w:val="en-US"/>
        </w:rPr>
        <w:t xml:space="preserve"> (2018)</w:t>
      </w:r>
      <w:r w:rsidRPr="00CE1795">
        <w:rPr>
          <w:rFonts w:ascii="Times New Roman" w:hAnsi="Times New Roman"/>
          <w:sz w:val="20"/>
          <w:szCs w:val="20"/>
          <w:lang w:val="en-US"/>
        </w:rPr>
        <w:t xml:space="preserve"> </w:t>
      </w:r>
      <w:r>
        <w:rPr>
          <w:rFonts w:ascii="Times New Roman" w:hAnsi="Times New Roman"/>
          <w:sz w:val="20"/>
          <w:szCs w:val="20"/>
          <w:lang w:val="en-US"/>
        </w:rPr>
        <w:t xml:space="preserve">3 </w:t>
      </w:r>
      <w:r w:rsidRPr="00CE1795">
        <w:rPr>
          <w:rStyle w:val="Aucun"/>
          <w:rFonts w:ascii="Times New Roman" w:hAnsi="Times New Roman"/>
          <w:i/>
          <w:iCs/>
          <w:sz w:val="20"/>
          <w:szCs w:val="20"/>
          <w:lang w:val="en-US"/>
        </w:rPr>
        <w:t>European Papers</w:t>
      </w:r>
      <w:r w:rsidRPr="00CE1795">
        <w:rPr>
          <w:rFonts w:ascii="Times New Roman" w:hAnsi="Times New Roman"/>
          <w:sz w:val="20"/>
          <w:szCs w:val="20"/>
          <w:lang w:val="en-US"/>
        </w:rPr>
        <w:t xml:space="preserve"> </w:t>
      </w:r>
      <w:r w:rsidR="008B5DD2">
        <w:rPr>
          <w:rFonts w:ascii="Times New Roman" w:hAnsi="Times New Roman"/>
          <w:sz w:val="20"/>
          <w:szCs w:val="20"/>
          <w:lang w:val="en-US"/>
        </w:rPr>
        <w:t>3, 1</w:t>
      </w:r>
      <w:r w:rsidRPr="00CE1795">
        <w:rPr>
          <w:rFonts w:ascii="Times New Roman" w:hAnsi="Times New Roman"/>
          <w:sz w:val="20"/>
          <w:szCs w:val="20"/>
          <w:lang w:val="en-US"/>
        </w:rPr>
        <w:t>195-</w:t>
      </w:r>
      <w:r>
        <w:rPr>
          <w:rFonts w:ascii="Times New Roman" w:hAnsi="Times New Roman"/>
          <w:sz w:val="20"/>
          <w:szCs w:val="20"/>
          <w:lang w:val="en-US"/>
        </w:rPr>
        <w:t>119</w:t>
      </w:r>
      <w:r w:rsidRPr="00CE1795">
        <w:rPr>
          <w:rFonts w:ascii="Times New Roman" w:hAnsi="Times New Roman"/>
          <w:sz w:val="20"/>
          <w:szCs w:val="20"/>
          <w:lang w:val="en-US"/>
        </w:rPr>
        <w:t>6</w:t>
      </w:r>
      <w:r w:rsidR="00007657">
        <w:rPr>
          <w:rFonts w:ascii="Times New Roman" w:hAnsi="Times New Roman"/>
          <w:sz w:val="20"/>
          <w:szCs w:val="20"/>
          <w:lang w:val="en-US"/>
        </w:rPr>
        <w:t xml:space="preserve">; C. Jacqueson, “EU Social Citizenship: Between Individual Rights and National Concerns”, in F. Pennings and M. Seeleib-Kaiser (eds), </w:t>
      </w:r>
      <w:r w:rsidR="00007657">
        <w:rPr>
          <w:rFonts w:ascii="Times New Roman" w:hAnsi="Times New Roman"/>
          <w:i/>
          <w:iCs/>
          <w:sz w:val="20"/>
          <w:szCs w:val="20"/>
          <w:lang w:val="en-US"/>
        </w:rPr>
        <w:t>EU Citizenship and Social Rights – Entitlements and Impediments to Accessing Welfare</w:t>
      </w:r>
      <w:r w:rsidR="00007657">
        <w:rPr>
          <w:rFonts w:ascii="Times New Roman" w:hAnsi="Times New Roman"/>
          <w:sz w:val="20"/>
          <w:szCs w:val="20"/>
          <w:lang w:val="en-US"/>
        </w:rPr>
        <w:t xml:space="preserve"> (Cheltenham: Edward Elgar Publishing, 2018), p. 37. </w:t>
      </w:r>
    </w:p>
  </w:footnote>
  <w:footnote w:id="22">
    <w:p w14:paraId="7575E791" w14:textId="7E074FFB" w:rsidR="00EE1BEA" w:rsidRPr="006046D0" w:rsidRDefault="00EE1BEA" w:rsidP="0017677E">
      <w:pPr>
        <w:pStyle w:val="Notedepieddepage"/>
        <w:jc w:val="both"/>
        <w:rPr>
          <w:lang w:val="en-US"/>
        </w:rPr>
      </w:pPr>
      <w:r>
        <w:rPr>
          <w:rStyle w:val="Aucun"/>
          <w:rFonts w:ascii="Times New Roman" w:eastAsia="Times New Roman" w:hAnsi="Times New Roman" w:cs="Times New Roman"/>
          <w:sz w:val="20"/>
          <w:szCs w:val="20"/>
          <w:vertAlign w:val="superscript"/>
        </w:rPr>
        <w:footnoteRef/>
      </w:r>
      <w:r w:rsidRPr="006046D0">
        <w:rPr>
          <w:rFonts w:ascii="Times New Roman" w:hAnsi="Times New Roman"/>
          <w:sz w:val="20"/>
          <w:szCs w:val="20"/>
          <w:lang w:val="en-US"/>
        </w:rPr>
        <w:t>See</w:t>
      </w:r>
      <w:r w:rsidR="008B5DD2" w:rsidRPr="006046D0">
        <w:rPr>
          <w:rFonts w:ascii="Times New Roman" w:hAnsi="Times New Roman"/>
          <w:sz w:val="20"/>
          <w:szCs w:val="20"/>
          <w:lang w:val="en-US"/>
        </w:rPr>
        <w:t>,</w:t>
      </w:r>
      <w:r w:rsidRPr="006046D0">
        <w:rPr>
          <w:rFonts w:ascii="Times New Roman" w:hAnsi="Times New Roman"/>
          <w:sz w:val="20"/>
          <w:szCs w:val="20"/>
          <w:lang w:val="en-US"/>
        </w:rPr>
        <w:t xml:space="preserve"> in particular</w:t>
      </w:r>
      <w:r w:rsidR="008B5DD2" w:rsidRPr="006046D0">
        <w:rPr>
          <w:rFonts w:ascii="Times New Roman" w:hAnsi="Times New Roman"/>
          <w:sz w:val="20"/>
          <w:szCs w:val="20"/>
          <w:lang w:val="en-US"/>
        </w:rPr>
        <w:t>,</w:t>
      </w:r>
      <w:r w:rsidRPr="006046D0">
        <w:rPr>
          <w:rFonts w:ascii="Times New Roman" w:hAnsi="Times New Roman"/>
          <w:i/>
          <w:iCs/>
          <w:sz w:val="20"/>
          <w:szCs w:val="20"/>
          <w:lang w:val="en-US"/>
        </w:rPr>
        <w:t xml:space="preserve"> </w:t>
      </w:r>
      <w:r w:rsidR="008B5DD2" w:rsidRPr="006046D0">
        <w:rPr>
          <w:rStyle w:val="Aucun"/>
          <w:rFonts w:ascii="Times New Roman" w:hAnsi="Times New Roman"/>
          <w:i/>
          <w:iCs/>
          <w:sz w:val="20"/>
          <w:szCs w:val="20"/>
          <w:lang w:val="en-US"/>
        </w:rPr>
        <w:t xml:space="preserve">Martinez Sala </w:t>
      </w:r>
      <w:r w:rsidR="008B5DD2" w:rsidRPr="006046D0">
        <w:rPr>
          <w:rFonts w:ascii="Times New Roman" w:hAnsi="Times New Roman"/>
          <w:sz w:val="20"/>
          <w:szCs w:val="20"/>
          <w:lang w:val="en-US"/>
        </w:rPr>
        <w:t>(C-85/96) EU:C:1998:217</w:t>
      </w:r>
      <w:r w:rsidRPr="006046D0">
        <w:rPr>
          <w:rFonts w:ascii="Times New Roman" w:hAnsi="Times New Roman"/>
          <w:sz w:val="20"/>
          <w:szCs w:val="20"/>
          <w:lang w:val="en-US"/>
        </w:rPr>
        <w:t xml:space="preserve">; </w:t>
      </w:r>
      <w:r w:rsidR="00C13BEF" w:rsidRPr="006046D0">
        <w:rPr>
          <w:rFonts w:ascii="Times New Roman" w:hAnsi="Times New Roman"/>
          <w:i/>
          <w:iCs/>
          <w:sz w:val="20"/>
          <w:szCs w:val="20"/>
          <w:lang w:val="en-US"/>
        </w:rPr>
        <w:t xml:space="preserve">Rudy </w:t>
      </w:r>
      <w:r w:rsidR="00C13BEF" w:rsidRPr="006046D0">
        <w:rPr>
          <w:rStyle w:val="Aucun"/>
          <w:rFonts w:ascii="Times New Roman" w:hAnsi="Times New Roman"/>
          <w:i/>
          <w:iCs/>
          <w:sz w:val="20"/>
          <w:szCs w:val="20"/>
          <w:lang w:val="en-US"/>
        </w:rPr>
        <w:t xml:space="preserve">Grzelczyk v Centre Public d’Aide Sociale d’Ottignies Louvain-la-Neuve </w:t>
      </w:r>
      <w:r w:rsidR="00C13BEF" w:rsidRPr="006046D0">
        <w:rPr>
          <w:rFonts w:ascii="Times New Roman" w:hAnsi="Times New Roman"/>
          <w:sz w:val="20"/>
          <w:szCs w:val="20"/>
          <w:lang w:val="en-US"/>
        </w:rPr>
        <w:t>(C-184/99) EU:C:2001:458</w:t>
      </w:r>
      <w:r w:rsidRPr="006046D0">
        <w:rPr>
          <w:rFonts w:ascii="Times New Roman" w:hAnsi="Times New Roman"/>
          <w:sz w:val="20"/>
          <w:szCs w:val="20"/>
          <w:lang w:val="en-US"/>
        </w:rPr>
        <w:t xml:space="preserve">; </w:t>
      </w:r>
      <w:r w:rsidR="00C13BEF" w:rsidRPr="006046D0">
        <w:rPr>
          <w:rStyle w:val="Aucun"/>
          <w:rFonts w:ascii="Times New Roman" w:hAnsi="Times New Roman"/>
          <w:i/>
          <w:iCs/>
          <w:sz w:val="20"/>
          <w:szCs w:val="20"/>
          <w:lang w:val="en-US"/>
        </w:rPr>
        <w:t xml:space="preserve">Baumbast, R and Secretaty of State for the Home Department </w:t>
      </w:r>
      <w:r w:rsidR="00C13BEF" w:rsidRPr="006046D0">
        <w:rPr>
          <w:rStyle w:val="Aucun"/>
          <w:rFonts w:ascii="Times New Roman" w:hAnsi="Times New Roman" w:cs="Times New Roman"/>
          <w:sz w:val="20"/>
          <w:szCs w:val="20"/>
          <w:lang w:val="en-US"/>
        </w:rPr>
        <w:t>(C-431:99) EU:C:2002:493</w:t>
      </w:r>
      <w:r w:rsidRPr="006046D0">
        <w:rPr>
          <w:rFonts w:ascii="Times New Roman" w:hAnsi="Times New Roman"/>
          <w:sz w:val="20"/>
          <w:szCs w:val="20"/>
          <w:lang w:val="en-US"/>
        </w:rPr>
        <w:t>;</w:t>
      </w:r>
      <w:r w:rsidR="005D43AF" w:rsidRPr="006046D0">
        <w:rPr>
          <w:rFonts w:ascii="Times New Roman" w:hAnsi="Times New Roman"/>
          <w:sz w:val="20"/>
          <w:szCs w:val="20"/>
          <w:lang w:val="en-US"/>
        </w:rPr>
        <w:t xml:space="preserve"> </w:t>
      </w:r>
      <w:r w:rsidR="00C13BEF" w:rsidRPr="006046D0">
        <w:rPr>
          <w:rFonts w:ascii="Times New Roman" w:hAnsi="Times New Roman"/>
          <w:i/>
          <w:iCs/>
          <w:sz w:val="20"/>
          <w:szCs w:val="20"/>
          <w:lang w:val="en-US"/>
        </w:rPr>
        <w:t xml:space="preserve">Michel </w:t>
      </w:r>
      <w:r w:rsidR="00C13BEF" w:rsidRPr="006046D0">
        <w:rPr>
          <w:rStyle w:val="Aucun"/>
          <w:rFonts w:ascii="Times New Roman" w:hAnsi="Times New Roman"/>
          <w:i/>
          <w:iCs/>
          <w:sz w:val="20"/>
          <w:szCs w:val="20"/>
          <w:lang w:val="en-US"/>
        </w:rPr>
        <w:t>Trojani v Centre Public d’Aide Sociale (CPAS)</w:t>
      </w:r>
      <w:r w:rsidR="00C13BEF" w:rsidRPr="006046D0">
        <w:rPr>
          <w:rFonts w:ascii="Times New Roman" w:hAnsi="Times New Roman"/>
          <w:sz w:val="20"/>
          <w:szCs w:val="20"/>
          <w:lang w:val="en-US"/>
        </w:rPr>
        <w:t xml:space="preserve"> </w:t>
      </w:r>
      <w:r w:rsidR="00C13BEF" w:rsidRPr="006046D0">
        <w:rPr>
          <w:rFonts w:ascii="Times New Roman" w:hAnsi="Times New Roman" w:cs="Times New Roman"/>
          <w:sz w:val="20"/>
          <w:szCs w:val="20"/>
          <w:lang w:val="en-US"/>
        </w:rPr>
        <w:t>(C-456/02) EU:C:2004:488</w:t>
      </w:r>
      <w:r w:rsidRPr="006046D0">
        <w:rPr>
          <w:rFonts w:ascii="Times New Roman" w:hAnsi="Times New Roman"/>
          <w:sz w:val="20"/>
          <w:szCs w:val="20"/>
          <w:lang w:val="en-US"/>
        </w:rPr>
        <w:t xml:space="preserve">; </w:t>
      </w:r>
      <w:r w:rsidR="006046D0" w:rsidRPr="00881E18">
        <w:rPr>
          <w:rFonts w:ascii="Times New Roman" w:hAnsi="Times New Roman"/>
          <w:i/>
          <w:iCs/>
          <w:sz w:val="20"/>
          <w:szCs w:val="20"/>
          <w:lang w:val="en-US"/>
        </w:rPr>
        <w:t xml:space="preserve">The Queen (on the application of Dany </w:t>
      </w:r>
      <w:r w:rsidR="006046D0" w:rsidRPr="00881E18">
        <w:rPr>
          <w:rStyle w:val="Aucun"/>
          <w:rFonts w:ascii="Times New Roman" w:hAnsi="Times New Roman"/>
          <w:i/>
          <w:iCs/>
          <w:sz w:val="20"/>
          <w:szCs w:val="20"/>
          <w:lang w:val="en-US"/>
        </w:rPr>
        <w:t>Bidar) v London Borough of Ealing, Secretary of State for Education and Skills</w:t>
      </w:r>
      <w:r w:rsidR="006046D0" w:rsidRPr="00881E18">
        <w:rPr>
          <w:rFonts w:ascii="Times New Roman" w:hAnsi="Times New Roman"/>
          <w:sz w:val="20"/>
          <w:szCs w:val="20"/>
          <w:lang w:val="en-US"/>
        </w:rPr>
        <w:t xml:space="preserve"> </w:t>
      </w:r>
      <w:r w:rsidR="006046D0" w:rsidRPr="003E44F9">
        <w:rPr>
          <w:rFonts w:ascii="Times New Roman" w:hAnsi="Times New Roman"/>
          <w:sz w:val="20"/>
          <w:szCs w:val="20"/>
          <w:lang w:val="en-US"/>
        </w:rPr>
        <w:t>(C-209/03) EU:C:2005:169</w:t>
      </w:r>
      <w:r w:rsidRPr="006046D0">
        <w:rPr>
          <w:rFonts w:ascii="Times New Roman" w:hAnsi="Times New Roman"/>
          <w:sz w:val="20"/>
          <w:szCs w:val="20"/>
          <w:lang w:val="en-US"/>
        </w:rPr>
        <w:t>;</w:t>
      </w:r>
      <w:r w:rsidR="005D43AF" w:rsidRPr="006046D0">
        <w:rPr>
          <w:rStyle w:val="Aucun"/>
          <w:rFonts w:ascii="Times New Roman" w:hAnsi="Times New Roman"/>
          <w:i/>
          <w:iCs/>
          <w:sz w:val="20"/>
          <w:szCs w:val="20"/>
          <w:lang w:val="en-US"/>
        </w:rPr>
        <w:t xml:space="preserve"> </w:t>
      </w:r>
      <w:r w:rsidR="006046D0" w:rsidRPr="003E44F9">
        <w:rPr>
          <w:rFonts w:ascii="Times New Roman" w:hAnsi="Times New Roman"/>
          <w:i/>
          <w:iCs/>
          <w:sz w:val="20"/>
          <w:szCs w:val="20"/>
          <w:lang w:val="en-US"/>
        </w:rPr>
        <w:t xml:space="preserve">Jacqueline </w:t>
      </w:r>
      <w:r w:rsidR="006046D0" w:rsidRPr="003E44F9">
        <w:rPr>
          <w:rStyle w:val="Aucun"/>
          <w:rFonts w:ascii="Times New Roman" w:hAnsi="Times New Roman"/>
          <w:i/>
          <w:iCs/>
          <w:sz w:val="20"/>
          <w:szCs w:val="20"/>
          <w:lang w:val="en-US"/>
        </w:rPr>
        <w:t xml:space="preserve">Förster v Hoofddirectie van de Informatie Beheer Groep </w:t>
      </w:r>
      <w:r w:rsidR="006046D0" w:rsidRPr="003E44F9">
        <w:rPr>
          <w:rStyle w:val="Aucun"/>
          <w:rFonts w:ascii="Times New Roman" w:hAnsi="Times New Roman"/>
          <w:sz w:val="20"/>
          <w:szCs w:val="20"/>
          <w:lang w:val="en-US"/>
        </w:rPr>
        <w:t>(C-158/07)</w:t>
      </w:r>
      <w:r w:rsidR="006046D0" w:rsidRPr="003E44F9">
        <w:rPr>
          <w:rStyle w:val="Aucun"/>
          <w:rFonts w:ascii="Times New Roman" w:hAnsi="Times New Roman"/>
          <w:i/>
          <w:iCs/>
          <w:sz w:val="20"/>
          <w:szCs w:val="20"/>
          <w:lang w:val="en-US"/>
        </w:rPr>
        <w:t xml:space="preserve"> </w:t>
      </w:r>
      <w:r w:rsidR="006046D0" w:rsidRPr="003E44F9">
        <w:rPr>
          <w:rStyle w:val="Aucun"/>
          <w:rFonts w:ascii="Times New Roman" w:hAnsi="Times New Roman"/>
          <w:sz w:val="20"/>
          <w:szCs w:val="20"/>
          <w:lang w:val="en-US"/>
        </w:rPr>
        <w:t>EU</w:t>
      </w:r>
      <w:r w:rsidR="006046D0" w:rsidRPr="003E44F9">
        <w:rPr>
          <w:rFonts w:ascii="Times New Roman" w:hAnsi="Times New Roman"/>
          <w:sz w:val="20"/>
          <w:szCs w:val="20"/>
          <w:lang w:val="en-US"/>
        </w:rPr>
        <w:t>:C:2008:630</w:t>
      </w:r>
      <w:r w:rsidRPr="006046D0">
        <w:rPr>
          <w:rFonts w:ascii="Times New Roman" w:hAnsi="Times New Roman"/>
          <w:sz w:val="20"/>
          <w:szCs w:val="20"/>
          <w:lang w:val="en-US"/>
        </w:rPr>
        <w:t>.</w:t>
      </w:r>
    </w:p>
  </w:footnote>
  <w:footnote w:id="23">
    <w:p w14:paraId="47418FA0" w14:textId="4AC0F191" w:rsidR="00EE1BEA" w:rsidRPr="00A03D3D" w:rsidRDefault="00EE1BEA" w:rsidP="0017677E">
      <w:pPr>
        <w:pStyle w:val="Notedebasdepage"/>
        <w:jc w:val="both"/>
      </w:pPr>
      <w:r>
        <w:rPr>
          <w:rStyle w:val="Appelnotedebasdep"/>
        </w:rPr>
        <w:footnoteRef/>
      </w:r>
      <w:r w:rsidR="005D43AF" w:rsidRPr="00A03D3D">
        <w:rPr>
          <w:rStyle w:val="Aucun"/>
          <w:i/>
          <w:iCs/>
        </w:rPr>
        <w:t xml:space="preserve">Martinez Sala </w:t>
      </w:r>
      <w:r w:rsidR="005D43AF" w:rsidRPr="00A03D3D">
        <w:t>(C-85/96) at [</w:t>
      </w:r>
      <w:r w:rsidRPr="00A03D3D">
        <w:t>63</w:t>
      </w:r>
      <w:r w:rsidR="005D43AF" w:rsidRPr="00A03D3D">
        <w:t>]</w:t>
      </w:r>
      <w:r w:rsidRPr="00A03D3D">
        <w:t xml:space="preserve">; </w:t>
      </w:r>
      <w:r w:rsidR="005D43AF" w:rsidRPr="00A03D3D">
        <w:rPr>
          <w:rStyle w:val="Aucun"/>
          <w:i/>
          <w:iCs/>
        </w:rPr>
        <w:t>Grzelczyk</w:t>
      </w:r>
      <w:r w:rsidR="005D43AF" w:rsidRPr="00A03D3D">
        <w:t xml:space="preserve"> (C-184/99) at [</w:t>
      </w:r>
      <w:r w:rsidRPr="00A03D3D">
        <w:t>32-33</w:t>
      </w:r>
      <w:r w:rsidR="005D43AF" w:rsidRPr="00A03D3D">
        <w:t>]</w:t>
      </w:r>
      <w:r w:rsidRPr="00A03D3D">
        <w:t xml:space="preserve">. </w:t>
      </w:r>
    </w:p>
  </w:footnote>
  <w:footnote w:id="24">
    <w:p w14:paraId="392FC0F8" w14:textId="670027F5" w:rsidR="00EE1BEA" w:rsidRPr="005208B6" w:rsidRDefault="00EE1BEA" w:rsidP="0017677E">
      <w:pPr>
        <w:pStyle w:val="Notedebasdepage"/>
      </w:pPr>
      <w:r>
        <w:rPr>
          <w:rStyle w:val="Appelnotedebasdep"/>
        </w:rPr>
        <w:footnoteRef/>
      </w:r>
      <w:r w:rsidR="005D43AF" w:rsidRPr="005208B6">
        <w:rPr>
          <w:rStyle w:val="Aucun"/>
          <w:i/>
          <w:iCs/>
        </w:rPr>
        <w:t xml:space="preserve">Martinez Sala </w:t>
      </w:r>
      <w:r w:rsidR="005D43AF" w:rsidRPr="005208B6">
        <w:t>(C-85/96) at [</w:t>
      </w:r>
      <w:r w:rsidRPr="005208B6">
        <w:t>61-63</w:t>
      </w:r>
      <w:r w:rsidR="005D43AF" w:rsidRPr="005208B6">
        <w:t>].</w:t>
      </w:r>
    </w:p>
  </w:footnote>
  <w:footnote w:id="25">
    <w:p w14:paraId="03BC7A2C" w14:textId="7178D495" w:rsidR="00EE1BEA" w:rsidRPr="00277C36" w:rsidRDefault="00EE1BEA" w:rsidP="0017677E">
      <w:pPr>
        <w:pStyle w:val="Notedebasdepage"/>
        <w:jc w:val="both"/>
      </w:pPr>
      <w:r>
        <w:rPr>
          <w:rStyle w:val="Appelnotedebasdep"/>
        </w:rPr>
        <w:footnoteRef/>
      </w:r>
      <w:r w:rsidR="005208B6" w:rsidRPr="008E6E22">
        <w:t>S</w:t>
      </w:r>
      <w:r w:rsidR="005208B6">
        <w:t>.</w:t>
      </w:r>
      <w:r w:rsidR="005208B6" w:rsidRPr="008E6E22">
        <w:t xml:space="preserve"> O’Leary, </w:t>
      </w:r>
      <w:r w:rsidR="005208B6">
        <w:t>“</w:t>
      </w:r>
      <w:r w:rsidR="005208B6" w:rsidRPr="008E6E22">
        <w:t>Putting Flesh on the Bones of European Union Citizenship</w:t>
      </w:r>
      <w:r w:rsidR="005208B6">
        <w:t>”</w:t>
      </w:r>
      <w:r w:rsidR="005208B6" w:rsidRPr="008E6E22">
        <w:t xml:space="preserve"> </w:t>
      </w:r>
      <w:r w:rsidR="005208B6">
        <w:t xml:space="preserve">(1999) </w:t>
      </w:r>
      <w:r w:rsidR="005208B6" w:rsidRPr="008E6E22">
        <w:t>24</w:t>
      </w:r>
      <w:r w:rsidR="005208B6">
        <w:t xml:space="preserve"> E.L. Rev. 1, </w:t>
      </w:r>
      <w:r>
        <w:t>77.</w:t>
      </w:r>
    </w:p>
  </w:footnote>
  <w:footnote w:id="26">
    <w:p w14:paraId="484BE17C" w14:textId="6F88F5C3" w:rsidR="00EE1BEA" w:rsidRPr="00D001D5" w:rsidRDefault="00EE1BEA" w:rsidP="0017677E">
      <w:pPr>
        <w:pStyle w:val="Notedepieddepage"/>
        <w:jc w:val="both"/>
      </w:pPr>
      <w:r w:rsidRPr="000546A8">
        <w:rPr>
          <w:rStyle w:val="Appelnotedebasdep"/>
          <w:rFonts w:ascii="Times New Roman" w:hAnsi="Times New Roman" w:cs="Times New Roman"/>
          <w:sz w:val="20"/>
          <w:szCs w:val="20"/>
        </w:rPr>
        <w:footnoteRef/>
      </w:r>
      <w:r w:rsidR="005D43AF" w:rsidRPr="005D43AF">
        <w:rPr>
          <w:rStyle w:val="Aucun"/>
          <w:rFonts w:ascii="Times New Roman" w:hAnsi="Times New Roman"/>
          <w:i/>
          <w:iCs/>
          <w:sz w:val="20"/>
          <w:szCs w:val="20"/>
        </w:rPr>
        <w:t>Grzelczyk</w:t>
      </w:r>
      <w:r w:rsidR="005D43AF" w:rsidRPr="005D43AF">
        <w:rPr>
          <w:rFonts w:ascii="Times New Roman" w:hAnsi="Times New Roman"/>
          <w:sz w:val="20"/>
          <w:szCs w:val="20"/>
        </w:rPr>
        <w:t xml:space="preserve"> (C-184/99) EU:C:2001:458; </w:t>
      </w:r>
      <w:r w:rsidR="005D43AF" w:rsidRPr="005D43AF">
        <w:rPr>
          <w:rStyle w:val="Aucun"/>
          <w:rFonts w:ascii="Times New Roman" w:hAnsi="Times New Roman"/>
          <w:i/>
          <w:iCs/>
          <w:sz w:val="20"/>
          <w:szCs w:val="20"/>
        </w:rPr>
        <w:t xml:space="preserve">Baumbast </w:t>
      </w:r>
      <w:r w:rsidR="005D43AF" w:rsidRPr="005D43AF">
        <w:rPr>
          <w:rStyle w:val="Aucun"/>
          <w:rFonts w:ascii="Times New Roman" w:hAnsi="Times New Roman"/>
          <w:sz w:val="20"/>
          <w:szCs w:val="20"/>
        </w:rPr>
        <w:t>(C-431:99) EU:C:2002:493</w:t>
      </w:r>
      <w:r w:rsidR="005D43AF" w:rsidRPr="005D43AF">
        <w:rPr>
          <w:rFonts w:ascii="Times New Roman" w:hAnsi="Times New Roman"/>
          <w:sz w:val="20"/>
          <w:szCs w:val="20"/>
        </w:rPr>
        <w:t xml:space="preserve">; </w:t>
      </w:r>
      <w:r w:rsidR="005D43AF" w:rsidRPr="005D43AF">
        <w:rPr>
          <w:rStyle w:val="Aucun"/>
          <w:rFonts w:ascii="Times New Roman" w:hAnsi="Times New Roman"/>
          <w:i/>
          <w:iCs/>
          <w:sz w:val="20"/>
          <w:szCs w:val="20"/>
        </w:rPr>
        <w:t>Trojani</w:t>
      </w:r>
      <w:r w:rsidR="005D43AF" w:rsidRPr="005D43AF">
        <w:rPr>
          <w:rFonts w:ascii="Times New Roman" w:hAnsi="Times New Roman"/>
          <w:sz w:val="20"/>
          <w:szCs w:val="20"/>
        </w:rPr>
        <w:t xml:space="preserve"> (C-456/02) EU:C:2004:488; </w:t>
      </w:r>
      <w:r w:rsidR="005D43AF" w:rsidRPr="005D43AF">
        <w:rPr>
          <w:rStyle w:val="Aucun"/>
          <w:rFonts w:ascii="Times New Roman" w:hAnsi="Times New Roman"/>
          <w:i/>
          <w:iCs/>
          <w:sz w:val="20"/>
          <w:szCs w:val="20"/>
        </w:rPr>
        <w:t>Bidar</w:t>
      </w:r>
      <w:r w:rsidR="005D43AF" w:rsidRPr="005D43AF">
        <w:rPr>
          <w:rFonts w:ascii="Times New Roman" w:hAnsi="Times New Roman"/>
          <w:sz w:val="20"/>
          <w:szCs w:val="20"/>
        </w:rPr>
        <w:t xml:space="preserve"> (C-209/03) EU:C:2005:169.</w:t>
      </w:r>
    </w:p>
  </w:footnote>
  <w:footnote w:id="27">
    <w:p w14:paraId="5184088E" w14:textId="2232634D" w:rsidR="00EE1BEA" w:rsidRPr="00494E52" w:rsidRDefault="00EE1BEA" w:rsidP="0017677E">
      <w:pPr>
        <w:pStyle w:val="Notedebasdepage"/>
      </w:pPr>
      <w:r>
        <w:rPr>
          <w:rStyle w:val="Appelnotedebasdep"/>
        </w:rPr>
        <w:footnoteRef/>
      </w:r>
      <w:r w:rsidRPr="00494E52">
        <w:t xml:space="preserve">O’Brien, </w:t>
      </w:r>
      <w:r w:rsidR="005D43AF">
        <w:t xml:space="preserve">“Real Links, Abstract Rights and False Alarms” (2008), </w:t>
      </w:r>
      <w:r w:rsidRPr="00494E52">
        <w:t xml:space="preserve">649.  </w:t>
      </w:r>
    </w:p>
  </w:footnote>
  <w:footnote w:id="28">
    <w:p w14:paraId="51490647" w14:textId="24D477E7" w:rsidR="00EE1BEA" w:rsidRPr="004C5745" w:rsidRDefault="00EE1BEA" w:rsidP="0017677E">
      <w:pPr>
        <w:pStyle w:val="Notedebasdepage"/>
        <w:jc w:val="both"/>
      </w:pPr>
      <w:r>
        <w:rPr>
          <w:rStyle w:val="Aucun"/>
          <w:rFonts w:eastAsia="Times New Roman"/>
          <w:vertAlign w:val="superscript"/>
        </w:rPr>
        <w:footnoteRef/>
      </w:r>
      <w:r>
        <w:t xml:space="preserve">Muir, </w:t>
      </w:r>
      <w:r w:rsidR="005D43AF" w:rsidRPr="00CE1795">
        <w:rPr>
          <w:rStyle w:val="Aucun"/>
          <w:i/>
          <w:iCs/>
        </w:rPr>
        <w:t>EU Equality law</w:t>
      </w:r>
      <w:r w:rsidR="005D43AF">
        <w:t xml:space="preserve"> </w:t>
      </w:r>
      <w:r w:rsidR="00A03D3D">
        <w:t>(</w:t>
      </w:r>
      <w:r w:rsidR="005D43AF" w:rsidRPr="00CE1795">
        <w:t>2018</w:t>
      </w:r>
      <w:r w:rsidR="005D43AF">
        <w:t>),</w:t>
      </w:r>
      <w:r w:rsidR="005D43AF" w:rsidRPr="00CE1795">
        <w:t xml:space="preserve"> </w:t>
      </w:r>
      <w:r>
        <w:t xml:space="preserve">p. 248; Carter and Jesse, </w:t>
      </w:r>
      <w:r w:rsidR="005D43AF">
        <w:t>“</w:t>
      </w:r>
      <w:r>
        <w:t xml:space="preserve">Life after the </w:t>
      </w:r>
      <w:r w:rsidRPr="00CE1795">
        <w:t>‘</w:t>
      </w:r>
      <w:r>
        <w:t>Dano-Trilogy</w:t>
      </w:r>
      <w:r w:rsidRPr="00CE1795">
        <w:t>’</w:t>
      </w:r>
      <w:r>
        <w:t>: Legal Certainty, Choices and Limitations in EU Citizenship Case Law</w:t>
      </w:r>
      <w:r w:rsidR="005D43AF">
        <w:t>”</w:t>
      </w:r>
      <w:r>
        <w:rPr>
          <w:lang w:val="de-DE"/>
        </w:rPr>
        <w:t>, in N. Cambien, D.</w:t>
      </w:r>
      <w:r w:rsidR="00D622D7">
        <w:rPr>
          <w:lang w:val="de-DE"/>
        </w:rPr>
        <w:t xml:space="preserve"> </w:t>
      </w:r>
      <w:r>
        <w:rPr>
          <w:lang w:val="de-DE"/>
        </w:rPr>
        <w:t xml:space="preserve">Kochenov and E. Muir (eds), </w:t>
      </w:r>
      <w:r>
        <w:rPr>
          <w:rStyle w:val="Aucun"/>
          <w:i/>
          <w:iCs/>
        </w:rPr>
        <w:t>European Citizenship Under Stress: Social Justice, Brexit and Other Challenges</w:t>
      </w:r>
      <w:r w:rsidRPr="00CE1795">
        <w:t xml:space="preserve"> </w:t>
      </w:r>
      <w:r>
        <w:t>(</w:t>
      </w:r>
      <w:r w:rsidR="005D43AF">
        <w:t xml:space="preserve">Leiden: </w:t>
      </w:r>
      <w:r w:rsidRPr="00CE1795">
        <w:t>Brill Nijhoff</w:t>
      </w:r>
      <w:r w:rsidR="005D43AF">
        <w:t>,</w:t>
      </w:r>
      <w:r w:rsidRPr="00CE1795">
        <w:t xml:space="preserve"> 2020</w:t>
      </w:r>
      <w:r>
        <w:t>)</w:t>
      </w:r>
      <w:r w:rsidR="005D43AF">
        <w:t>,</w:t>
      </w:r>
      <w:r w:rsidRPr="00CE1795">
        <w:t xml:space="preserve"> p. 140.</w:t>
      </w:r>
    </w:p>
  </w:footnote>
  <w:footnote w:id="29">
    <w:p w14:paraId="79CDF134" w14:textId="27E0275D" w:rsidR="00DE285F" w:rsidRPr="00DE285F" w:rsidRDefault="00DE285F" w:rsidP="00DE285F">
      <w:pPr>
        <w:pStyle w:val="Notedepieddepage"/>
        <w:jc w:val="both"/>
        <w:rPr>
          <w:rFonts w:ascii="Times New Roman" w:hAnsi="Times New Roman" w:cs="Times New Roman"/>
          <w:sz w:val="20"/>
          <w:szCs w:val="20"/>
          <w:lang w:val="en-US"/>
        </w:rPr>
      </w:pPr>
      <w:r w:rsidRPr="00DE285F">
        <w:rPr>
          <w:rStyle w:val="Appelnotedebasdep"/>
          <w:rFonts w:ascii="Times New Roman" w:hAnsi="Times New Roman" w:cs="Times New Roman"/>
          <w:sz w:val="20"/>
          <w:szCs w:val="20"/>
        </w:rPr>
        <w:footnoteRef/>
      </w:r>
      <w:r w:rsidRPr="00DE285F">
        <w:rPr>
          <w:rFonts w:ascii="Times New Roman" w:hAnsi="Times New Roman" w:cs="Times New Roman"/>
          <w:sz w:val="20"/>
          <w:szCs w:val="20"/>
          <w:lang w:val="en-US"/>
        </w:rPr>
        <w:t>Respectively, Directive 93/96/EEC on the right of residence for students [1993] OJ L 317/59; Directive 90/365/EEC on the right of residence for employees and self-employed persons who have ceased their occupational activity [1990] OJ L 180/28</w:t>
      </w:r>
      <w:r>
        <w:rPr>
          <w:rFonts w:ascii="Times New Roman" w:hAnsi="Times New Roman" w:cs="Times New Roman"/>
          <w:sz w:val="20"/>
          <w:szCs w:val="20"/>
          <w:lang w:val="en-US"/>
        </w:rPr>
        <w:t xml:space="preserve">; and </w:t>
      </w:r>
      <w:r w:rsidRPr="00DE285F">
        <w:rPr>
          <w:rFonts w:ascii="Times New Roman" w:hAnsi="Times New Roman" w:cs="Times New Roman"/>
          <w:sz w:val="20"/>
          <w:szCs w:val="20"/>
          <w:lang w:val="en-US"/>
        </w:rPr>
        <w:t>Directive 90/364/EEC on the right of residence [1990] OJ L 180/26.</w:t>
      </w:r>
    </w:p>
  </w:footnote>
  <w:footnote w:id="30">
    <w:p w14:paraId="7982B1B3" w14:textId="5D72FDD3" w:rsidR="00EE1BEA" w:rsidRPr="005D43AF" w:rsidRDefault="00EE1BEA" w:rsidP="0017677E">
      <w:pPr>
        <w:pStyle w:val="Notedepieddepage"/>
        <w:jc w:val="both"/>
        <w:rPr>
          <w:lang w:val="en-US"/>
        </w:rPr>
      </w:pPr>
      <w:r>
        <w:rPr>
          <w:rStyle w:val="Aucun"/>
          <w:rFonts w:ascii="Times New Roman" w:eastAsia="Times New Roman" w:hAnsi="Times New Roman" w:cs="Times New Roman"/>
          <w:sz w:val="20"/>
          <w:szCs w:val="20"/>
          <w:vertAlign w:val="superscript"/>
        </w:rPr>
        <w:footnoteRef/>
      </w:r>
      <w:r w:rsidR="000D4BED" w:rsidRPr="00CE1795">
        <w:rPr>
          <w:rFonts w:ascii="Times New Roman" w:hAnsi="Times New Roman"/>
          <w:sz w:val="20"/>
          <w:szCs w:val="20"/>
          <w:lang w:val="en-US"/>
        </w:rPr>
        <w:t>Guild</w:t>
      </w:r>
      <w:r w:rsidR="000D4BED">
        <w:rPr>
          <w:rFonts w:ascii="Times New Roman" w:hAnsi="Times New Roman"/>
          <w:sz w:val="20"/>
          <w:szCs w:val="20"/>
          <w:lang w:val="en-US"/>
        </w:rPr>
        <w:t xml:space="preserve"> et al.</w:t>
      </w:r>
      <w:r w:rsidR="000D4BED" w:rsidRPr="00CE1795">
        <w:rPr>
          <w:rFonts w:ascii="Times New Roman" w:hAnsi="Times New Roman"/>
          <w:sz w:val="20"/>
          <w:szCs w:val="20"/>
          <w:lang w:val="en-US"/>
        </w:rPr>
        <w:t xml:space="preserve">, </w:t>
      </w:r>
      <w:r w:rsidR="000D4BED" w:rsidRPr="00CE1795">
        <w:rPr>
          <w:rStyle w:val="Aucun"/>
          <w:rFonts w:ascii="Times New Roman" w:hAnsi="Times New Roman"/>
          <w:i/>
          <w:iCs/>
          <w:sz w:val="20"/>
          <w:szCs w:val="20"/>
          <w:lang w:val="en-US"/>
        </w:rPr>
        <w:t>The EU Citizenship Directive</w:t>
      </w:r>
      <w:r w:rsidR="000D4BED">
        <w:rPr>
          <w:rStyle w:val="Aucun"/>
          <w:rFonts w:ascii="Times New Roman" w:hAnsi="Times New Roman"/>
          <w:i/>
          <w:iCs/>
          <w:sz w:val="20"/>
          <w:szCs w:val="20"/>
          <w:lang w:val="en-US"/>
        </w:rPr>
        <w:t>: A Commentary</w:t>
      </w:r>
      <w:r w:rsidR="000D4BED">
        <w:rPr>
          <w:rStyle w:val="Aucun"/>
          <w:rFonts w:ascii="Times New Roman" w:hAnsi="Times New Roman"/>
          <w:sz w:val="20"/>
          <w:szCs w:val="20"/>
          <w:lang w:val="en-US"/>
        </w:rPr>
        <w:t>,</w:t>
      </w:r>
      <w:r w:rsidR="000D4BED">
        <w:rPr>
          <w:rStyle w:val="Aucun"/>
          <w:rFonts w:ascii="Times New Roman" w:hAnsi="Times New Roman"/>
          <w:i/>
          <w:iCs/>
          <w:sz w:val="20"/>
          <w:szCs w:val="20"/>
          <w:lang w:val="en-US"/>
        </w:rPr>
        <w:t xml:space="preserve"> </w:t>
      </w:r>
      <w:r w:rsidR="000D4BED">
        <w:rPr>
          <w:rStyle w:val="Aucun"/>
          <w:rFonts w:ascii="Times New Roman" w:hAnsi="Times New Roman"/>
          <w:iCs/>
          <w:sz w:val="20"/>
          <w:szCs w:val="20"/>
          <w:lang w:val="en-US"/>
        </w:rPr>
        <w:t>2</w:t>
      </w:r>
      <w:r w:rsidR="000D4BED" w:rsidRPr="0012370E">
        <w:rPr>
          <w:rStyle w:val="Aucun"/>
          <w:rFonts w:ascii="Times New Roman" w:hAnsi="Times New Roman"/>
          <w:iCs/>
          <w:sz w:val="20"/>
          <w:szCs w:val="20"/>
          <w:lang w:val="en-US"/>
        </w:rPr>
        <w:t>nd</w:t>
      </w:r>
      <w:r w:rsidR="000D4BED">
        <w:rPr>
          <w:rStyle w:val="Aucun"/>
          <w:rFonts w:ascii="Times New Roman" w:hAnsi="Times New Roman"/>
          <w:iCs/>
          <w:sz w:val="20"/>
          <w:szCs w:val="20"/>
          <w:lang w:val="en-US"/>
        </w:rPr>
        <w:t xml:space="preserve"> edn</w:t>
      </w:r>
      <w:r w:rsidR="000D4BED">
        <w:rPr>
          <w:rStyle w:val="Aucun"/>
          <w:rFonts w:ascii="Times New Roman" w:hAnsi="Times New Roman"/>
          <w:i/>
          <w:iCs/>
          <w:sz w:val="20"/>
          <w:szCs w:val="20"/>
          <w:lang w:val="en-US"/>
        </w:rPr>
        <w:t xml:space="preserve"> </w:t>
      </w:r>
      <w:r w:rsidR="000D4BED">
        <w:rPr>
          <w:rStyle w:val="Aucun"/>
          <w:rFonts w:ascii="Times New Roman" w:hAnsi="Times New Roman"/>
          <w:sz w:val="20"/>
          <w:szCs w:val="20"/>
          <w:lang w:val="en-US"/>
        </w:rPr>
        <w:t>(Oxford: Oxford University Press, 2</w:t>
      </w:r>
      <w:r w:rsidR="000D4BED">
        <w:rPr>
          <w:rFonts w:ascii="Times New Roman" w:hAnsi="Times New Roman"/>
          <w:sz w:val="20"/>
          <w:szCs w:val="20"/>
          <w:lang w:val="en-US"/>
        </w:rPr>
        <w:t xml:space="preserve">019), </w:t>
      </w:r>
      <w:r w:rsidRPr="005D43AF">
        <w:rPr>
          <w:rFonts w:ascii="Times New Roman" w:hAnsi="Times New Roman"/>
          <w:sz w:val="20"/>
          <w:szCs w:val="20"/>
          <w:lang w:val="en-US"/>
        </w:rPr>
        <w:t xml:space="preserve">p. 248.  </w:t>
      </w:r>
    </w:p>
  </w:footnote>
  <w:footnote w:id="31">
    <w:p w14:paraId="25E80D0D" w14:textId="1DAD7C07" w:rsidR="00EE1BEA" w:rsidRPr="000D4BED" w:rsidRDefault="00EE1BEA" w:rsidP="0017677E">
      <w:pPr>
        <w:tabs>
          <w:tab w:val="left" w:pos="20"/>
          <w:tab w:val="left" w:pos="196"/>
        </w:tabs>
        <w:autoSpaceDE w:val="0"/>
        <w:autoSpaceDN w:val="0"/>
        <w:adjustRightInd w:val="0"/>
        <w:jc w:val="both"/>
        <w:rPr>
          <w:rFonts w:eastAsia="Arial Unicode MS"/>
          <w:color w:val="000000"/>
          <w:sz w:val="20"/>
          <w:szCs w:val="20"/>
          <w:bdr w:val="nil"/>
          <w:lang w:val="en-US"/>
        </w:rPr>
      </w:pPr>
      <w:r w:rsidRPr="000D4BED">
        <w:rPr>
          <w:rStyle w:val="Appelnotedebasdep"/>
          <w:rFonts w:eastAsia="Arial Unicode MS"/>
          <w:sz w:val="20"/>
          <w:szCs w:val="20"/>
          <w:lang w:val="en-US" w:eastAsia="en-US"/>
        </w:rPr>
        <w:footnoteRef/>
      </w:r>
      <w:r w:rsidRPr="000D4BED">
        <w:rPr>
          <w:sz w:val="20"/>
          <w:szCs w:val="20"/>
          <w:lang w:val="da-DK"/>
        </w:rPr>
        <w:t xml:space="preserve">D. Kramer, </w:t>
      </w:r>
      <w:r w:rsidR="005D43AF" w:rsidRPr="000D4BED">
        <w:rPr>
          <w:sz w:val="20"/>
          <w:szCs w:val="20"/>
          <w:lang w:val="en-US"/>
        </w:rPr>
        <w:t>“</w:t>
      </w:r>
      <w:r w:rsidRPr="000D4BED">
        <w:rPr>
          <w:sz w:val="20"/>
          <w:szCs w:val="20"/>
          <w:lang w:val="en-US"/>
        </w:rPr>
        <w:t>Earning Social Citizenship in the European Union: Free Movement and Access to Social Assistance Benefits Reconstructed</w:t>
      </w:r>
      <w:r w:rsidR="005D43AF" w:rsidRPr="000D4BED">
        <w:rPr>
          <w:sz w:val="20"/>
          <w:szCs w:val="20"/>
          <w:lang w:val="en-US"/>
        </w:rPr>
        <w:t>” (2016)</w:t>
      </w:r>
      <w:r w:rsidRPr="000D4BED">
        <w:rPr>
          <w:sz w:val="20"/>
          <w:szCs w:val="20"/>
          <w:lang w:val="en-US"/>
        </w:rPr>
        <w:t xml:space="preserve"> 18 </w:t>
      </w:r>
      <w:r w:rsidR="00D622D7" w:rsidRPr="000D4BED">
        <w:rPr>
          <w:rStyle w:val="Aucun"/>
          <w:sz w:val="20"/>
          <w:szCs w:val="20"/>
          <w:lang w:val="en-US"/>
        </w:rPr>
        <w:t>C.Y.E.L.S.</w:t>
      </w:r>
      <w:r w:rsidRPr="000D4BED">
        <w:rPr>
          <w:sz w:val="20"/>
          <w:szCs w:val="20"/>
          <w:lang w:val="en-US"/>
        </w:rPr>
        <w:t xml:space="preserve"> </w:t>
      </w:r>
      <w:r w:rsidR="005D43AF" w:rsidRPr="000D4BED">
        <w:rPr>
          <w:sz w:val="20"/>
          <w:szCs w:val="20"/>
          <w:lang w:val="en-US"/>
        </w:rPr>
        <w:t xml:space="preserve">270, </w:t>
      </w:r>
      <w:r w:rsidRPr="000D4BED">
        <w:rPr>
          <w:sz w:val="20"/>
          <w:szCs w:val="20"/>
          <w:lang w:val="en-US"/>
        </w:rPr>
        <w:t>289. See also</w:t>
      </w:r>
      <w:r w:rsidRPr="000D4BED">
        <w:rPr>
          <w:i/>
          <w:iCs/>
          <w:sz w:val="20"/>
          <w:szCs w:val="20"/>
          <w:lang w:val="en-US"/>
        </w:rPr>
        <w:t xml:space="preserve"> </w:t>
      </w:r>
      <w:r w:rsidRPr="000D4BED">
        <w:rPr>
          <w:sz w:val="20"/>
          <w:szCs w:val="20"/>
          <w:lang w:val="en-US"/>
        </w:rPr>
        <w:t xml:space="preserve">Muir, </w:t>
      </w:r>
      <w:r w:rsidR="005D43AF" w:rsidRPr="000D4BED">
        <w:rPr>
          <w:rStyle w:val="Aucun"/>
          <w:i/>
          <w:iCs/>
          <w:sz w:val="20"/>
          <w:szCs w:val="20"/>
          <w:lang w:val="en-US"/>
        </w:rPr>
        <w:t>EU Equality law</w:t>
      </w:r>
      <w:r w:rsidR="005D43AF" w:rsidRPr="000D4BED">
        <w:rPr>
          <w:sz w:val="20"/>
          <w:szCs w:val="20"/>
          <w:lang w:val="en-US"/>
        </w:rPr>
        <w:t xml:space="preserve"> </w:t>
      </w:r>
      <w:r w:rsidR="00A03D3D" w:rsidRPr="000D4BED">
        <w:rPr>
          <w:sz w:val="20"/>
          <w:szCs w:val="20"/>
          <w:lang w:val="en-US"/>
        </w:rPr>
        <w:t>(</w:t>
      </w:r>
      <w:r w:rsidR="005D43AF" w:rsidRPr="000D4BED">
        <w:rPr>
          <w:sz w:val="20"/>
          <w:szCs w:val="20"/>
          <w:lang w:val="en-US"/>
        </w:rPr>
        <w:t>2018)</w:t>
      </w:r>
      <w:r w:rsidRPr="000D4BED">
        <w:rPr>
          <w:sz w:val="20"/>
          <w:szCs w:val="20"/>
          <w:lang w:val="en-US"/>
        </w:rPr>
        <w:t>, p. 248</w:t>
      </w:r>
      <w:r w:rsidR="005D0F86" w:rsidRPr="000D4BED">
        <w:rPr>
          <w:sz w:val="20"/>
          <w:szCs w:val="20"/>
          <w:lang w:val="en-US"/>
        </w:rPr>
        <w:t xml:space="preserve">; </w:t>
      </w:r>
      <w:r w:rsidR="000D4BED" w:rsidRPr="000D4BED">
        <w:rPr>
          <w:color w:val="000000"/>
          <w:sz w:val="20"/>
          <w:szCs w:val="20"/>
          <w:lang w:val="en-US"/>
        </w:rPr>
        <w:t>S. Coutts, “The Shifting Geometry of Union Citizenship: A Supranational Status from Transnational Rights” (2019) 21 C.Y.E.L.S. 318</w:t>
      </w:r>
      <w:r w:rsidR="005D43AF" w:rsidRPr="000D4BED">
        <w:rPr>
          <w:color w:val="000000"/>
          <w:sz w:val="20"/>
          <w:szCs w:val="20"/>
          <w:lang w:val="en-US"/>
        </w:rPr>
        <w:t xml:space="preserve">, </w:t>
      </w:r>
      <w:r w:rsidR="005D0F86" w:rsidRPr="000D4BED">
        <w:rPr>
          <w:sz w:val="20"/>
          <w:szCs w:val="20"/>
          <w:lang w:val="en-US"/>
        </w:rPr>
        <w:t>325-326; O. Garner</w:t>
      </w:r>
      <w:r w:rsidR="005D0F86" w:rsidRPr="000D4BED">
        <w:rPr>
          <w:rFonts w:eastAsia="Arial Unicode MS"/>
          <w:color w:val="000000"/>
          <w:sz w:val="20"/>
          <w:szCs w:val="20"/>
          <w:bdr w:val="nil"/>
          <w:lang w:val="en-US"/>
        </w:rPr>
        <w:t xml:space="preserve">, </w:t>
      </w:r>
      <w:r w:rsidR="002A030C" w:rsidRPr="000D4BED">
        <w:rPr>
          <w:rFonts w:eastAsia="Arial Unicode MS"/>
          <w:color w:val="000000"/>
          <w:sz w:val="20"/>
          <w:szCs w:val="20"/>
          <w:bdr w:val="nil"/>
          <w:lang w:val="en-US"/>
        </w:rPr>
        <w:t>“</w:t>
      </w:r>
      <w:r w:rsidR="005D0F86" w:rsidRPr="000D4BED">
        <w:rPr>
          <w:rFonts w:eastAsia="Arial Unicode MS"/>
          <w:color w:val="000000"/>
          <w:sz w:val="20"/>
          <w:szCs w:val="20"/>
          <w:bdr w:val="nil"/>
          <w:lang w:val="en-US"/>
        </w:rPr>
        <w:t>The Existential Crisis of Citizenship of the European Union: The Argument for an Autonomous Status</w:t>
      </w:r>
      <w:r w:rsidR="002A030C" w:rsidRPr="000D4BED">
        <w:rPr>
          <w:rFonts w:eastAsia="Arial Unicode MS"/>
          <w:color w:val="000000"/>
          <w:sz w:val="20"/>
          <w:szCs w:val="20"/>
          <w:bdr w:val="nil"/>
          <w:lang w:val="en-US"/>
        </w:rPr>
        <w:t>” (2018)</w:t>
      </w:r>
      <w:r w:rsidR="005D0F86" w:rsidRPr="000D4BED">
        <w:rPr>
          <w:rFonts w:eastAsia="Arial Unicode MS"/>
          <w:color w:val="000000"/>
          <w:sz w:val="20"/>
          <w:szCs w:val="20"/>
          <w:bdr w:val="nil"/>
          <w:lang w:val="en-US"/>
        </w:rPr>
        <w:t xml:space="preserve"> 20 </w:t>
      </w:r>
      <w:r w:rsidR="00D622D7" w:rsidRPr="000D4BED">
        <w:rPr>
          <w:rFonts w:eastAsia="Arial Unicode MS"/>
          <w:color w:val="000000"/>
          <w:sz w:val="20"/>
          <w:szCs w:val="20"/>
          <w:bdr w:val="nil"/>
          <w:lang w:val="en-US"/>
        </w:rPr>
        <w:t>C.Y.E.L.S.</w:t>
      </w:r>
      <w:r w:rsidR="005D0F86" w:rsidRPr="000D4BED">
        <w:rPr>
          <w:rFonts w:eastAsia="Arial Unicode MS"/>
          <w:color w:val="000000"/>
          <w:sz w:val="20"/>
          <w:szCs w:val="20"/>
          <w:bdr w:val="nil"/>
          <w:lang w:val="en-US"/>
        </w:rPr>
        <w:t xml:space="preserve"> </w:t>
      </w:r>
      <w:r w:rsidR="002A030C" w:rsidRPr="000D4BED">
        <w:rPr>
          <w:rFonts w:eastAsia="Arial Unicode MS"/>
          <w:color w:val="000000"/>
          <w:sz w:val="20"/>
          <w:szCs w:val="20"/>
          <w:bdr w:val="nil"/>
          <w:lang w:val="en-US"/>
        </w:rPr>
        <w:t xml:space="preserve">116, </w:t>
      </w:r>
      <w:r w:rsidR="005D0F86" w:rsidRPr="000D4BED">
        <w:rPr>
          <w:rFonts w:eastAsia="Arial Unicode MS"/>
          <w:color w:val="000000"/>
          <w:sz w:val="20"/>
          <w:szCs w:val="20"/>
          <w:bdr w:val="nil"/>
          <w:lang w:val="en-US"/>
        </w:rPr>
        <w:t>128</w:t>
      </w:r>
      <w:r w:rsidR="007237C5" w:rsidRPr="000D4BED">
        <w:rPr>
          <w:rFonts w:eastAsia="Arial Unicode MS"/>
          <w:color w:val="000000"/>
          <w:sz w:val="20"/>
          <w:szCs w:val="20"/>
          <w:bdr w:val="nil"/>
          <w:lang w:val="en-US"/>
        </w:rPr>
        <w:t xml:space="preserve">; Carter and Jesse, </w:t>
      </w:r>
      <w:r w:rsidR="002A030C" w:rsidRPr="000D4BED">
        <w:rPr>
          <w:sz w:val="20"/>
          <w:szCs w:val="20"/>
          <w:lang w:val="en-US"/>
        </w:rPr>
        <w:t xml:space="preserve">“The ‘Dano Evolution’” (2018), </w:t>
      </w:r>
      <w:r w:rsidR="007237C5" w:rsidRPr="000D4BED">
        <w:rPr>
          <w:rFonts w:eastAsia="Arial Unicode MS"/>
          <w:color w:val="000000"/>
          <w:sz w:val="20"/>
          <w:szCs w:val="20"/>
          <w:bdr w:val="nil"/>
          <w:lang w:val="en-US"/>
        </w:rPr>
        <w:t xml:space="preserve">1188. </w:t>
      </w:r>
    </w:p>
  </w:footnote>
  <w:footnote w:id="32">
    <w:p w14:paraId="348AD1FD" w14:textId="1A0058DA" w:rsidR="00EE1BEA" w:rsidRPr="00E11142" w:rsidRDefault="00EE1BEA" w:rsidP="0017677E">
      <w:pPr>
        <w:pStyle w:val="Notedebasdepage"/>
        <w:jc w:val="both"/>
      </w:pPr>
      <w:r>
        <w:rPr>
          <w:rStyle w:val="Appelnotedebasdep"/>
        </w:rPr>
        <w:footnoteRef/>
      </w:r>
      <w:r w:rsidR="00EC39D4">
        <w:t>See, e.g.</w:t>
      </w:r>
      <w:r w:rsidR="00EC39D4">
        <w:rPr>
          <w:color w:val="000000"/>
        </w:rPr>
        <w:t xml:space="preserve"> </w:t>
      </w:r>
      <w:r>
        <w:rPr>
          <w:color w:val="000000"/>
        </w:rPr>
        <w:t xml:space="preserve">Muir, </w:t>
      </w:r>
      <w:r w:rsidR="002A030C" w:rsidRPr="00CE1795">
        <w:rPr>
          <w:rStyle w:val="Aucun"/>
          <w:i/>
          <w:iCs/>
        </w:rPr>
        <w:t>EU Equality law</w:t>
      </w:r>
      <w:r w:rsidR="00A03D3D">
        <w:rPr>
          <w:rStyle w:val="Aucun"/>
          <w:i/>
          <w:iCs/>
        </w:rPr>
        <w:t xml:space="preserve"> </w:t>
      </w:r>
      <w:r w:rsidR="00A03D3D">
        <w:t>(</w:t>
      </w:r>
      <w:r w:rsidR="002A030C" w:rsidRPr="00CE1795">
        <w:t>2018</w:t>
      </w:r>
      <w:r w:rsidR="002A030C">
        <w:t>)</w:t>
      </w:r>
      <w:r>
        <w:rPr>
          <w:color w:val="000000"/>
        </w:rPr>
        <w:t xml:space="preserve">, p. 248. </w:t>
      </w:r>
    </w:p>
  </w:footnote>
  <w:footnote w:id="33">
    <w:p w14:paraId="264E088D" w14:textId="2E46E128" w:rsidR="00EE1BEA" w:rsidRPr="000455AF" w:rsidRDefault="00EE1BEA" w:rsidP="0017677E">
      <w:pPr>
        <w:pStyle w:val="Notedebasdepage"/>
        <w:jc w:val="both"/>
      </w:pPr>
      <w:r>
        <w:rPr>
          <w:rStyle w:val="Appelnotedebasdep"/>
        </w:rPr>
        <w:footnoteRef/>
      </w:r>
      <w:r>
        <w:t xml:space="preserve">Spaventa, </w:t>
      </w:r>
      <w:r w:rsidR="002A030C">
        <w:t>“</w:t>
      </w:r>
      <w:r w:rsidRPr="00CE1795">
        <w:t xml:space="preserve">Earned </w:t>
      </w:r>
      <w:r>
        <w:t>C</w:t>
      </w:r>
      <w:r w:rsidRPr="00CE1795">
        <w:t>itizenship</w:t>
      </w:r>
      <w:r w:rsidR="0012370E">
        <w:t>” (</w:t>
      </w:r>
      <w:r>
        <w:rPr>
          <w:rStyle w:val="Aucun"/>
        </w:rPr>
        <w:t>2017)</w:t>
      </w:r>
      <w:r w:rsidR="002A030C">
        <w:rPr>
          <w:rStyle w:val="Aucun"/>
        </w:rPr>
        <w:t>,</w:t>
      </w:r>
      <w:r w:rsidRPr="00CE1795">
        <w:t xml:space="preserve"> p. 2</w:t>
      </w:r>
      <w:r>
        <w:t>20.</w:t>
      </w:r>
    </w:p>
  </w:footnote>
  <w:footnote w:id="34">
    <w:p w14:paraId="1130555D" w14:textId="2DF4119E" w:rsidR="00EE1BEA" w:rsidRPr="0033781A" w:rsidRDefault="00EE1BEA" w:rsidP="0017677E">
      <w:pPr>
        <w:pStyle w:val="Notedepieddepage"/>
        <w:jc w:val="both"/>
        <w:rPr>
          <w:sz w:val="20"/>
          <w:szCs w:val="20"/>
          <w:lang w:val="en-US"/>
        </w:rPr>
      </w:pPr>
      <w:r w:rsidRPr="00824EDC">
        <w:rPr>
          <w:rStyle w:val="Aucun"/>
          <w:rFonts w:ascii="Times New Roman" w:eastAsia="Times New Roman" w:hAnsi="Times New Roman" w:cs="Times New Roman"/>
          <w:sz w:val="20"/>
          <w:szCs w:val="20"/>
          <w:vertAlign w:val="superscript"/>
        </w:rPr>
        <w:footnoteRef/>
      </w:r>
      <w:r w:rsidRPr="00824EDC">
        <w:rPr>
          <w:rFonts w:ascii="Times New Roman" w:hAnsi="Times New Roman" w:cs="Times New Roman"/>
          <w:sz w:val="20"/>
          <w:szCs w:val="20"/>
          <w:lang w:val="en-US"/>
        </w:rPr>
        <w:t>Nic S</w:t>
      </w:r>
      <w:r>
        <w:rPr>
          <w:rFonts w:ascii="Times New Roman" w:hAnsi="Times New Roman" w:cs="Times New Roman"/>
          <w:sz w:val="20"/>
          <w:szCs w:val="20"/>
          <w:lang w:val="en-US"/>
        </w:rPr>
        <w:t xml:space="preserve">huibhne, </w:t>
      </w:r>
      <w:r w:rsidR="002A030C" w:rsidRPr="002A030C">
        <w:rPr>
          <w:rFonts w:ascii="Times New Roman" w:hAnsi="Times New Roman" w:cs="Times New Roman"/>
          <w:sz w:val="20"/>
          <w:szCs w:val="20"/>
          <w:lang w:val="en-US"/>
        </w:rPr>
        <w:t>“What I Tell You Three Times is True” (2016),</w:t>
      </w:r>
      <w:r w:rsidR="002A030C" w:rsidRPr="007F410B">
        <w:rPr>
          <w:sz w:val="20"/>
          <w:szCs w:val="20"/>
          <w:lang w:val="en-US"/>
        </w:rPr>
        <w:t xml:space="preserve"> </w:t>
      </w:r>
      <w:r>
        <w:rPr>
          <w:rFonts w:ascii="Times New Roman" w:hAnsi="Times New Roman" w:cs="Times New Roman"/>
          <w:sz w:val="20"/>
          <w:szCs w:val="20"/>
          <w:lang w:val="en-US"/>
        </w:rPr>
        <w:t xml:space="preserve">918. </w:t>
      </w:r>
      <w:r w:rsidRPr="002A030C">
        <w:rPr>
          <w:rFonts w:ascii="Times New Roman" w:hAnsi="Times New Roman" w:cs="Times New Roman"/>
          <w:sz w:val="20"/>
          <w:szCs w:val="20"/>
          <w:lang w:val="en-US"/>
        </w:rPr>
        <w:t>See also</w:t>
      </w:r>
      <w:r>
        <w:rPr>
          <w:rFonts w:ascii="Times New Roman" w:hAnsi="Times New Roman" w:cs="Times New Roman"/>
          <w:i/>
          <w:iCs/>
          <w:sz w:val="20"/>
          <w:szCs w:val="20"/>
          <w:lang w:val="en-US"/>
        </w:rPr>
        <w:t xml:space="preserve"> </w:t>
      </w:r>
      <w:r w:rsidR="000D4BED" w:rsidRPr="00CE1795">
        <w:rPr>
          <w:rFonts w:ascii="Times New Roman" w:hAnsi="Times New Roman"/>
          <w:sz w:val="20"/>
          <w:szCs w:val="20"/>
          <w:lang w:val="en-US"/>
        </w:rPr>
        <w:t xml:space="preserve">A. Iliopoulou-Penot, </w:t>
      </w:r>
      <w:r w:rsidR="000D4BED">
        <w:rPr>
          <w:rFonts w:ascii="Times New Roman" w:hAnsi="Times New Roman"/>
          <w:sz w:val="20"/>
          <w:szCs w:val="20"/>
          <w:lang w:val="en-US"/>
        </w:rPr>
        <w:t>“</w:t>
      </w:r>
      <w:r w:rsidR="000D4BED" w:rsidRPr="00CE1795">
        <w:rPr>
          <w:rFonts w:ascii="Times New Roman" w:hAnsi="Times New Roman"/>
          <w:sz w:val="20"/>
          <w:szCs w:val="20"/>
          <w:lang w:val="en-US"/>
        </w:rPr>
        <w:t xml:space="preserve">Deconstructing the </w:t>
      </w:r>
      <w:r w:rsidR="000D4BED">
        <w:rPr>
          <w:rFonts w:ascii="Times New Roman" w:hAnsi="Times New Roman"/>
          <w:sz w:val="20"/>
          <w:szCs w:val="20"/>
          <w:lang w:val="en-US"/>
        </w:rPr>
        <w:t>F</w:t>
      </w:r>
      <w:r w:rsidR="000D4BED" w:rsidRPr="00CE1795">
        <w:rPr>
          <w:rFonts w:ascii="Times New Roman" w:hAnsi="Times New Roman"/>
          <w:sz w:val="20"/>
          <w:szCs w:val="20"/>
          <w:lang w:val="en-US"/>
        </w:rPr>
        <w:t xml:space="preserve">ormer </w:t>
      </w:r>
      <w:r w:rsidR="000D4BED">
        <w:rPr>
          <w:rFonts w:ascii="Times New Roman" w:hAnsi="Times New Roman"/>
          <w:sz w:val="20"/>
          <w:szCs w:val="20"/>
          <w:lang w:val="en-US"/>
        </w:rPr>
        <w:t>E</w:t>
      </w:r>
      <w:r w:rsidR="000D4BED" w:rsidRPr="00CE1795">
        <w:rPr>
          <w:rFonts w:ascii="Times New Roman" w:hAnsi="Times New Roman"/>
          <w:sz w:val="20"/>
          <w:szCs w:val="20"/>
          <w:lang w:val="en-US"/>
        </w:rPr>
        <w:t xml:space="preserve">difice of Union </w:t>
      </w:r>
      <w:r w:rsidR="000D4BED">
        <w:rPr>
          <w:rFonts w:ascii="Times New Roman" w:hAnsi="Times New Roman"/>
          <w:sz w:val="20"/>
          <w:szCs w:val="20"/>
          <w:lang w:val="en-US"/>
        </w:rPr>
        <w:t>C</w:t>
      </w:r>
      <w:r w:rsidR="000D4BED" w:rsidRPr="00CE1795">
        <w:rPr>
          <w:rFonts w:ascii="Times New Roman" w:hAnsi="Times New Roman"/>
          <w:sz w:val="20"/>
          <w:szCs w:val="20"/>
          <w:lang w:val="en-US"/>
        </w:rPr>
        <w:t xml:space="preserve">itizenship? The </w:t>
      </w:r>
      <w:r w:rsidR="000D4BED" w:rsidRPr="001F4778">
        <w:rPr>
          <w:rFonts w:ascii="Times New Roman" w:hAnsi="Times New Roman"/>
          <w:i/>
          <w:iCs/>
          <w:sz w:val="20"/>
          <w:szCs w:val="20"/>
          <w:lang w:val="en-US"/>
        </w:rPr>
        <w:t>Alimanovic</w:t>
      </w:r>
      <w:r w:rsidR="000D4BED" w:rsidRPr="00CE1795">
        <w:rPr>
          <w:rFonts w:ascii="Times New Roman" w:hAnsi="Times New Roman"/>
          <w:sz w:val="20"/>
          <w:szCs w:val="20"/>
          <w:lang w:val="en-US"/>
        </w:rPr>
        <w:t xml:space="preserve"> Judgment</w:t>
      </w:r>
      <w:r w:rsidR="000D4BED">
        <w:rPr>
          <w:rFonts w:ascii="Times New Roman" w:hAnsi="Times New Roman"/>
          <w:sz w:val="20"/>
          <w:szCs w:val="20"/>
          <w:lang w:val="en-US"/>
        </w:rPr>
        <w:t xml:space="preserve">” (2016) 53 </w:t>
      </w:r>
      <w:r w:rsidR="000D4BED" w:rsidRPr="000C084D">
        <w:rPr>
          <w:rStyle w:val="Aucun"/>
          <w:rFonts w:ascii="Times New Roman" w:hAnsi="Times New Roman"/>
          <w:sz w:val="20"/>
          <w:szCs w:val="20"/>
          <w:lang w:val="en-US"/>
        </w:rPr>
        <w:t>C</w:t>
      </w:r>
      <w:r w:rsidR="000D4BED">
        <w:rPr>
          <w:rStyle w:val="Aucun"/>
          <w:rFonts w:ascii="Times New Roman" w:hAnsi="Times New Roman"/>
          <w:sz w:val="20"/>
          <w:szCs w:val="20"/>
          <w:lang w:val="en-US"/>
        </w:rPr>
        <w:t>.</w:t>
      </w:r>
      <w:r w:rsidR="000D4BED" w:rsidRPr="000C084D">
        <w:rPr>
          <w:rStyle w:val="Aucun"/>
          <w:rFonts w:ascii="Times New Roman" w:hAnsi="Times New Roman"/>
          <w:sz w:val="20"/>
          <w:szCs w:val="20"/>
          <w:lang w:val="en-US"/>
        </w:rPr>
        <w:t>M</w:t>
      </w:r>
      <w:r w:rsidR="000D4BED">
        <w:rPr>
          <w:rStyle w:val="Aucun"/>
          <w:rFonts w:ascii="Times New Roman" w:hAnsi="Times New Roman"/>
          <w:sz w:val="20"/>
          <w:szCs w:val="20"/>
          <w:lang w:val="en-US"/>
        </w:rPr>
        <w:t>.</w:t>
      </w:r>
      <w:r w:rsidR="000D4BED" w:rsidRPr="000C084D">
        <w:rPr>
          <w:rStyle w:val="Aucun"/>
          <w:rFonts w:ascii="Times New Roman" w:hAnsi="Times New Roman"/>
          <w:sz w:val="20"/>
          <w:szCs w:val="20"/>
          <w:lang w:val="en-US"/>
        </w:rPr>
        <w:t>L</w:t>
      </w:r>
      <w:r w:rsidR="000D4BED">
        <w:rPr>
          <w:rStyle w:val="Aucun"/>
          <w:rFonts w:ascii="Times New Roman" w:hAnsi="Times New Roman"/>
          <w:sz w:val="20"/>
          <w:szCs w:val="20"/>
          <w:lang w:val="en-US"/>
        </w:rPr>
        <w:t xml:space="preserve">. </w:t>
      </w:r>
      <w:r w:rsidR="000D4BED" w:rsidRPr="000C084D">
        <w:rPr>
          <w:rStyle w:val="Aucun"/>
          <w:rFonts w:ascii="Times New Roman" w:hAnsi="Times New Roman"/>
          <w:sz w:val="20"/>
          <w:szCs w:val="20"/>
          <w:lang w:val="en-US"/>
        </w:rPr>
        <w:t>Rev</w:t>
      </w:r>
      <w:r w:rsidR="000D4BED">
        <w:rPr>
          <w:rFonts w:ascii="Times New Roman" w:hAnsi="Times New Roman"/>
          <w:sz w:val="20"/>
          <w:szCs w:val="20"/>
          <w:lang w:val="en-US"/>
        </w:rPr>
        <w:t>.</w:t>
      </w:r>
      <w:r w:rsidR="000D4BED" w:rsidRPr="00CE1795">
        <w:rPr>
          <w:rFonts w:ascii="Times New Roman" w:hAnsi="Times New Roman"/>
          <w:sz w:val="20"/>
          <w:szCs w:val="20"/>
          <w:lang w:val="en-US"/>
        </w:rPr>
        <w:t xml:space="preserve"> </w:t>
      </w:r>
      <w:r w:rsidR="000D4BED">
        <w:rPr>
          <w:rFonts w:ascii="Times New Roman" w:hAnsi="Times New Roman"/>
          <w:sz w:val="20"/>
          <w:szCs w:val="20"/>
          <w:lang w:val="en-US"/>
        </w:rPr>
        <w:t xml:space="preserve">4, </w:t>
      </w:r>
      <w:r>
        <w:rPr>
          <w:rFonts w:ascii="Times New Roman" w:hAnsi="Times New Roman" w:cs="Times New Roman"/>
          <w:sz w:val="20"/>
          <w:szCs w:val="20"/>
          <w:lang w:val="en-US"/>
        </w:rPr>
        <w:t xml:space="preserve">1016. </w:t>
      </w:r>
    </w:p>
  </w:footnote>
  <w:footnote w:id="35">
    <w:p w14:paraId="5E7AA930" w14:textId="1C4C6C9A" w:rsidR="00EE1BEA" w:rsidRPr="00D93997" w:rsidRDefault="00EE1BEA" w:rsidP="0017677E">
      <w:pPr>
        <w:pStyle w:val="NormalWeb"/>
        <w:spacing w:before="0" w:beforeAutospacing="0" w:after="0" w:afterAutospacing="0"/>
        <w:jc w:val="both"/>
        <w:rPr>
          <w:rStyle w:val="Appelnotedebasdep"/>
          <w:rFonts w:eastAsia="Arial Unicode MS"/>
          <w:bdr w:val="nil"/>
          <w:lang w:val="en-US" w:eastAsia="en-US"/>
        </w:rPr>
      </w:pPr>
      <w:r w:rsidRPr="00D93997">
        <w:rPr>
          <w:rStyle w:val="Appelnotedebasdep"/>
          <w:sz w:val="20"/>
          <w:szCs w:val="20"/>
        </w:rPr>
        <w:footnoteRef/>
      </w:r>
      <w:r w:rsidRPr="00ED5513">
        <w:rPr>
          <w:sz w:val="20"/>
          <w:szCs w:val="20"/>
          <w:lang w:val="en-US"/>
        </w:rPr>
        <w:t>The possibility to adopt more protective national guarantees in relation to residence and social rights is recognised in Article 37 of the Citizenship Directive.</w:t>
      </w:r>
    </w:p>
  </w:footnote>
  <w:footnote w:id="36">
    <w:p w14:paraId="2C93A75C" w14:textId="10C70090" w:rsidR="00EE1BEA" w:rsidRPr="005B0E5A" w:rsidRDefault="00EE1BEA" w:rsidP="0017677E">
      <w:pPr>
        <w:pStyle w:val="Notedebasdepage"/>
        <w:jc w:val="both"/>
      </w:pPr>
      <w:r w:rsidRPr="005B0E5A">
        <w:rPr>
          <w:rStyle w:val="Appelnotedebasdep"/>
        </w:rPr>
        <w:footnoteRef/>
      </w:r>
      <w:r w:rsidRPr="005B0E5A">
        <w:t xml:space="preserve">In </w:t>
      </w:r>
      <w:r w:rsidRPr="005B0E5A">
        <w:rPr>
          <w:i/>
          <w:iCs/>
        </w:rPr>
        <w:t>Martinez Sala</w:t>
      </w:r>
      <w:r w:rsidRPr="005B0E5A">
        <w:t>, for instance, the Court proceeded</w:t>
      </w:r>
      <w:r>
        <w:t xml:space="preserve"> </w:t>
      </w:r>
      <w:r w:rsidRPr="005B0E5A">
        <w:t xml:space="preserve">upon the assumption - derived from the documents submitted to the Court – that the claimant had been authorised to reside in the </w:t>
      </w:r>
      <w:r w:rsidR="004B57AE">
        <w:t>M</w:t>
      </w:r>
      <w:r w:rsidRPr="005B0E5A">
        <w:t xml:space="preserve">ember </w:t>
      </w:r>
      <w:r w:rsidR="004B57AE">
        <w:t>S</w:t>
      </w:r>
      <w:r w:rsidRPr="005B0E5A">
        <w:t>tate concerned (</w:t>
      </w:r>
      <w:r w:rsidR="002A030C" w:rsidRPr="002A030C">
        <w:rPr>
          <w:rStyle w:val="Aucun"/>
          <w:i/>
          <w:iCs/>
        </w:rPr>
        <w:t xml:space="preserve">Martinez Sala </w:t>
      </w:r>
      <w:r w:rsidR="002A030C" w:rsidRPr="002A030C">
        <w:t>(C-85/96) at [</w:t>
      </w:r>
      <w:r w:rsidRPr="005B0E5A">
        <w:t>47-60</w:t>
      </w:r>
      <w:r w:rsidR="002A030C">
        <w:t>]</w:t>
      </w:r>
      <w:r w:rsidRPr="005B0E5A">
        <w:t>).</w:t>
      </w:r>
    </w:p>
  </w:footnote>
  <w:footnote w:id="37">
    <w:p w14:paraId="4E35331B" w14:textId="32C66146" w:rsidR="00EE1BEA" w:rsidRPr="000972A6" w:rsidRDefault="00EE1BEA" w:rsidP="0017677E">
      <w:pPr>
        <w:pStyle w:val="Notedebasdepage"/>
        <w:jc w:val="both"/>
      </w:pPr>
      <w:r>
        <w:rPr>
          <w:rStyle w:val="Appelnotedebasdep"/>
        </w:rPr>
        <w:footnoteRef/>
      </w:r>
      <w:r w:rsidRPr="000972A6">
        <w:t xml:space="preserve">A. P. Van Der Mei, </w:t>
      </w:r>
      <w:r w:rsidR="00A0576F">
        <w:t>“</w:t>
      </w:r>
      <w:r w:rsidRPr="000972A6">
        <w:t xml:space="preserve">Union Citizenship and the </w:t>
      </w:r>
      <w:r w:rsidR="00A0576F">
        <w:t>‘</w:t>
      </w:r>
      <w:r>
        <w:t>De-nationalisation</w:t>
      </w:r>
      <w:r w:rsidR="00A0576F">
        <w:t>’</w:t>
      </w:r>
      <w:r>
        <w:t xml:space="preserve"> of the Territorial Welfare State</w:t>
      </w:r>
      <w:r w:rsidR="00A0576F">
        <w:t>”</w:t>
      </w:r>
      <w:r w:rsidR="002A030C">
        <w:t xml:space="preserve"> (2005)</w:t>
      </w:r>
      <w:r>
        <w:t xml:space="preserve"> 7 </w:t>
      </w:r>
      <w:r w:rsidR="00D622D7">
        <w:t>E.J.M.L.</w:t>
      </w:r>
      <w:r>
        <w:t xml:space="preserve"> </w:t>
      </w:r>
      <w:r w:rsidR="002A030C">
        <w:t xml:space="preserve">2, </w:t>
      </w:r>
      <w:r>
        <w:t xml:space="preserve">209. </w:t>
      </w:r>
    </w:p>
  </w:footnote>
  <w:footnote w:id="38">
    <w:p w14:paraId="637B2ABC" w14:textId="6E46442B" w:rsidR="00EE1BEA" w:rsidRPr="005D1D6E" w:rsidRDefault="00EE1BEA" w:rsidP="0017677E">
      <w:pPr>
        <w:tabs>
          <w:tab w:val="left" w:pos="20"/>
          <w:tab w:val="left" w:pos="196"/>
        </w:tabs>
        <w:autoSpaceDE w:val="0"/>
        <w:autoSpaceDN w:val="0"/>
        <w:adjustRightInd w:val="0"/>
        <w:jc w:val="both"/>
        <w:rPr>
          <w:rFonts w:eastAsia="Arial Unicode MS"/>
          <w:color w:val="000000"/>
          <w:sz w:val="20"/>
          <w:szCs w:val="20"/>
          <w:bdr w:val="nil"/>
          <w:lang w:val="en-US"/>
        </w:rPr>
      </w:pPr>
      <w:r w:rsidRPr="005D1D6E">
        <w:rPr>
          <w:rStyle w:val="Appelnotedebasdep"/>
          <w:sz w:val="20"/>
          <w:szCs w:val="20"/>
        </w:rPr>
        <w:footnoteRef/>
      </w:r>
      <w:r w:rsidR="002A030C" w:rsidRPr="002A030C">
        <w:rPr>
          <w:rStyle w:val="Aucun"/>
          <w:i/>
          <w:iCs/>
          <w:sz w:val="20"/>
          <w:szCs w:val="20"/>
          <w:lang w:val="en-US"/>
        </w:rPr>
        <w:t>Grzelczyk</w:t>
      </w:r>
      <w:r w:rsidR="002A030C" w:rsidRPr="002A030C">
        <w:rPr>
          <w:sz w:val="20"/>
          <w:szCs w:val="20"/>
          <w:lang w:val="en-US"/>
        </w:rPr>
        <w:t xml:space="preserve"> (C-184/99) EU:C:2001:458 at [42]; </w:t>
      </w:r>
      <w:r w:rsidR="002A030C" w:rsidRPr="002A030C">
        <w:rPr>
          <w:rStyle w:val="Aucun"/>
          <w:i/>
          <w:iCs/>
          <w:sz w:val="20"/>
          <w:szCs w:val="20"/>
          <w:lang w:val="en-US"/>
        </w:rPr>
        <w:t xml:space="preserve">Baumbast </w:t>
      </w:r>
      <w:r w:rsidR="002A030C" w:rsidRPr="002A030C">
        <w:rPr>
          <w:rStyle w:val="Aucun"/>
          <w:sz w:val="20"/>
          <w:szCs w:val="20"/>
          <w:lang w:val="en-US"/>
        </w:rPr>
        <w:t>(C-431:99) EU:C:2002:493</w:t>
      </w:r>
      <w:r w:rsidR="002A030C">
        <w:rPr>
          <w:sz w:val="20"/>
          <w:szCs w:val="20"/>
          <w:lang w:val="en-US"/>
        </w:rPr>
        <w:t xml:space="preserve"> at [</w:t>
      </w:r>
      <w:r w:rsidRPr="005D1D6E">
        <w:rPr>
          <w:sz w:val="20"/>
          <w:szCs w:val="20"/>
          <w:lang w:val="en-US"/>
        </w:rPr>
        <w:t>91</w:t>
      </w:r>
      <w:r w:rsidR="002A030C">
        <w:rPr>
          <w:sz w:val="20"/>
          <w:szCs w:val="20"/>
          <w:lang w:val="en-US"/>
        </w:rPr>
        <w:t>]</w:t>
      </w:r>
      <w:r w:rsidRPr="005D1D6E">
        <w:rPr>
          <w:sz w:val="20"/>
          <w:szCs w:val="20"/>
          <w:lang w:val="en-US"/>
        </w:rPr>
        <w:t xml:space="preserve">. </w:t>
      </w:r>
      <w:r w:rsidRPr="002A030C">
        <w:rPr>
          <w:sz w:val="20"/>
          <w:szCs w:val="20"/>
          <w:lang w:val="en-US"/>
        </w:rPr>
        <w:t>See in that relation</w:t>
      </w:r>
      <w:r w:rsidRPr="005D1D6E">
        <w:rPr>
          <w:i/>
          <w:iCs/>
          <w:sz w:val="20"/>
          <w:szCs w:val="20"/>
          <w:lang w:val="en-US"/>
        </w:rPr>
        <w:t xml:space="preserve"> </w:t>
      </w:r>
      <w:r w:rsidRPr="005D1D6E">
        <w:rPr>
          <w:rFonts w:eastAsia="Arial Unicode MS"/>
          <w:color w:val="000000"/>
          <w:sz w:val="20"/>
          <w:szCs w:val="20"/>
          <w:bdr w:val="nil"/>
          <w:lang w:val="en-US"/>
        </w:rPr>
        <w:t xml:space="preserve">Garner, </w:t>
      </w:r>
      <w:r w:rsidR="002A030C">
        <w:rPr>
          <w:rFonts w:eastAsia="Arial Unicode MS"/>
          <w:color w:val="000000"/>
          <w:sz w:val="20"/>
          <w:szCs w:val="20"/>
          <w:bdr w:val="nil"/>
          <w:lang w:val="en-US"/>
        </w:rPr>
        <w:t>“</w:t>
      </w:r>
      <w:r w:rsidR="002A030C" w:rsidRPr="005D1D6E">
        <w:rPr>
          <w:rFonts w:eastAsia="Arial Unicode MS"/>
          <w:color w:val="000000"/>
          <w:sz w:val="20"/>
          <w:szCs w:val="20"/>
          <w:bdr w:val="nil"/>
          <w:lang w:val="en-US"/>
        </w:rPr>
        <w:t xml:space="preserve">The </w:t>
      </w:r>
      <w:r w:rsidR="002A030C">
        <w:rPr>
          <w:rFonts w:eastAsia="Arial Unicode MS"/>
          <w:color w:val="000000"/>
          <w:sz w:val="20"/>
          <w:szCs w:val="20"/>
          <w:bdr w:val="nil"/>
          <w:lang w:val="en-US"/>
        </w:rPr>
        <w:t>E</w:t>
      </w:r>
      <w:r w:rsidR="002A030C" w:rsidRPr="005D1D6E">
        <w:rPr>
          <w:rFonts w:eastAsia="Arial Unicode MS"/>
          <w:color w:val="000000"/>
          <w:sz w:val="20"/>
          <w:szCs w:val="20"/>
          <w:bdr w:val="nil"/>
          <w:lang w:val="en-US"/>
        </w:rPr>
        <w:t xml:space="preserve">xistential </w:t>
      </w:r>
      <w:r w:rsidR="002A030C">
        <w:rPr>
          <w:rFonts w:eastAsia="Arial Unicode MS"/>
          <w:color w:val="000000"/>
          <w:sz w:val="20"/>
          <w:szCs w:val="20"/>
          <w:bdr w:val="nil"/>
          <w:lang w:val="en-US"/>
        </w:rPr>
        <w:t>C</w:t>
      </w:r>
      <w:r w:rsidR="002A030C" w:rsidRPr="005D1D6E">
        <w:rPr>
          <w:rFonts w:eastAsia="Arial Unicode MS"/>
          <w:color w:val="000000"/>
          <w:sz w:val="20"/>
          <w:szCs w:val="20"/>
          <w:bdr w:val="nil"/>
          <w:lang w:val="en-US"/>
        </w:rPr>
        <w:t xml:space="preserve">risis of </w:t>
      </w:r>
      <w:r w:rsidR="002A030C">
        <w:rPr>
          <w:rFonts w:eastAsia="Arial Unicode MS"/>
          <w:color w:val="000000"/>
          <w:sz w:val="20"/>
          <w:szCs w:val="20"/>
          <w:bdr w:val="nil"/>
          <w:lang w:val="en-US"/>
        </w:rPr>
        <w:t>C</w:t>
      </w:r>
      <w:r w:rsidR="002A030C" w:rsidRPr="005D1D6E">
        <w:rPr>
          <w:rFonts w:eastAsia="Arial Unicode MS"/>
          <w:color w:val="000000"/>
          <w:sz w:val="20"/>
          <w:szCs w:val="20"/>
          <w:bdr w:val="nil"/>
          <w:lang w:val="en-US"/>
        </w:rPr>
        <w:t>itizenship</w:t>
      </w:r>
      <w:r w:rsidR="002A030C">
        <w:rPr>
          <w:rFonts w:eastAsia="Arial Unicode MS"/>
          <w:color w:val="000000"/>
          <w:sz w:val="20"/>
          <w:szCs w:val="20"/>
          <w:bdr w:val="nil"/>
          <w:lang w:val="en-US"/>
        </w:rPr>
        <w:t xml:space="preserve">” (2018), </w:t>
      </w:r>
      <w:r>
        <w:rPr>
          <w:rFonts w:eastAsia="Arial Unicode MS"/>
          <w:color w:val="000000"/>
          <w:sz w:val="20"/>
          <w:szCs w:val="20"/>
          <w:bdr w:val="nil"/>
          <w:lang w:val="en-US"/>
        </w:rPr>
        <w:t>125</w:t>
      </w:r>
      <w:r w:rsidRPr="005D1D6E">
        <w:rPr>
          <w:rFonts w:eastAsia="Arial Unicode MS"/>
          <w:color w:val="000000"/>
          <w:sz w:val="20"/>
          <w:szCs w:val="20"/>
          <w:bdr w:val="nil"/>
          <w:lang w:val="en-US"/>
        </w:rPr>
        <w:t>.</w:t>
      </w:r>
    </w:p>
  </w:footnote>
  <w:footnote w:id="39">
    <w:p w14:paraId="50AE40CE" w14:textId="74491CF8" w:rsidR="00EE1BEA" w:rsidRPr="002A030C" w:rsidRDefault="00EE1BEA" w:rsidP="0017677E">
      <w:pPr>
        <w:pStyle w:val="Notedebasdepage"/>
        <w:jc w:val="both"/>
      </w:pPr>
      <w:r>
        <w:rPr>
          <w:rStyle w:val="Appelnotedebasdep"/>
        </w:rPr>
        <w:footnoteRef/>
      </w:r>
      <w:r>
        <w:t xml:space="preserve">On the requirement relating to comprehensive health insurance coverage, </w:t>
      </w:r>
      <w:r w:rsidRPr="002A030C">
        <w:t>see also</w:t>
      </w:r>
      <w:r w:rsidRPr="005159B2">
        <w:rPr>
          <w:i/>
          <w:iCs/>
        </w:rPr>
        <w:t xml:space="preserve"> Baumbast</w:t>
      </w:r>
      <w:r>
        <w:t xml:space="preserve"> </w:t>
      </w:r>
      <w:r w:rsidR="002A030C" w:rsidRPr="002A030C">
        <w:rPr>
          <w:rStyle w:val="Aucun"/>
        </w:rPr>
        <w:t xml:space="preserve">(C-431:99) </w:t>
      </w:r>
      <w:r w:rsidR="002A030C">
        <w:t>at [</w:t>
      </w:r>
      <w:r w:rsidRPr="002A030C">
        <w:t>87</w:t>
      </w:r>
      <w:r w:rsidR="002A030C">
        <w:t>-93]</w:t>
      </w:r>
      <w:r w:rsidRPr="002A030C">
        <w:t xml:space="preserve">.  </w:t>
      </w:r>
    </w:p>
  </w:footnote>
  <w:footnote w:id="40">
    <w:p w14:paraId="50832AEF" w14:textId="571FB219" w:rsidR="00EE1BEA" w:rsidRPr="005208B6" w:rsidRDefault="00EE1BEA" w:rsidP="0017677E">
      <w:pPr>
        <w:pStyle w:val="Corps"/>
        <w:jc w:val="both"/>
        <w:rPr>
          <w:rFonts w:ascii="Times New Roman" w:hAnsi="Times New Roman" w:cs="Times New Roman"/>
          <w:i/>
          <w:iCs/>
          <w:sz w:val="20"/>
          <w:szCs w:val="20"/>
          <w:shd w:val="clear" w:color="auto" w:fill="FFFFFF"/>
          <w:lang w:val="en-US"/>
        </w:rPr>
      </w:pPr>
      <w:r w:rsidRPr="005208B6">
        <w:rPr>
          <w:rStyle w:val="Appelnotedebasdep"/>
          <w:rFonts w:ascii="Times New Roman" w:hAnsi="Times New Roman" w:cs="Times New Roman"/>
          <w:sz w:val="20"/>
          <w:szCs w:val="20"/>
        </w:rPr>
        <w:footnoteRef/>
      </w:r>
      <w:r w:rsidR="002A030C" w:rsidRPr="005208B6">
        <w:rPr>
          <w:rStyle w:val="Aucun"/>
          <w:rFonts w:ascii="Times New Roman" w:hAnsi="Times New Roman" w:cs="Times New Roman"/>
          <w:i/>
          <w:iCs/>
          <w:sz w:val="20"/>
          <w:szCs w:val="20"/>
          <w:lang w:val="en-US"/>
        </w:rPr>
        <w:t>Trojani</w:t>
      </w:r>
      <w:r w:rsidR="002A030C" w:rsidRPr="005208B6">
        <w:rPr>
          <w:rFonts w:ascii="Times New Roman" w:hAnsi="Times New Roman" w:cs="Times New Roman"/>
          <w:sz w:val="20"/>
          <w:szCs w:val="20"/>
          <w:lang w:val="en-US"/>
        </w:rPr>
        <w:t xml:space="preserve"> (C-456/02) EU:C:2004:488 at</w:t>
      </w:r>
      <w:r w:rsidRPr="005208B6">
        <w:rPr>
          <w:rFonts w:ascii="Times New Roman" w:hAnsi="Times New Roman" w:cs="Times New Roman"/>
          <w:sz w:val="20"/>
          <w:szCs w:val="20"/>
          <w:lang w:val="en-US"/>
        </w:rPr>
        <w:t xml:space="preserve"> </w:t>
      </w:r>
      <w:r w:rsidR="002A030C" w:rsidRPr="005208B6">
        <w:rPr>
          <w:rFonts w:ascii="Times New Roman" w:hAnsi="Times New Roman" w:cs="Times New Roman"/>
          <w:sz w:val="20"/>
          <w:szCs w:val="20"/>
          <w:lang w:val="en-US"/>
        </w:rPr>
        <w:t>[</w:t>
      </w:r>
      <w:r w:rsidRPr="005208B6">
        <w:rPr>
          <w:rFonts w:ascii="Times New Roman" w:hAnsi="Times New Roman" w:cs="Times New Roman"/>
          <w:sz w:val="20"/>
          <w:szCs w:val="20"/>
          <w:lang w:val="en-US"/>
        </w:rPr>
        <w:t>34</w:t>
      </w:r>
      <w:r w:rsidR="002A030C" w:rsidRPr="005208B6">
        <w:rPr>
          <w:rFonts w:ascii="Times New Roman" w:hAnsi="Times New Roman" w:cs="Times New Roman"/>
          <w:sz w:val="20"/>
          <w:szCs w:val="20"/>
          <w:lang w:val="en-US"/>
        </w:rPr>
        <w:t>-39]</w:t>
      </w:r>
      <w:r w:rsidRPr="005208B6">
        <w:rPr>
          <w:rFonts w:ascii="Times New Roman" w:hAnsi="Times New Roman" w:cs="Times New Roman"/>
          <w:sz w:val="20"/>
          <w:szCs w:val="20"/>
          <w:lang w:val="en-US"/>
        </w:rPr>
        <w:t>;</w:t>
      </w:r>
      <w:r w:rsidRPr="005208B6">
        <w:rPr>
          <w:rFonts w:ascii="Times New Roman" w:hAnsi="Times New Roman" w:cs="Times New Roman"/>
          <w:i/>
          <w:iCs/>
          <w:sz w:val="20"/>
          <w:szCs w:val="20"/>
          <w:lang w:val="en-US"/>
        </w:rPr>
        <w:t xml:space="preserve"> </w:t>
      </w:r>
      <w:r w:rsidR="002A030C" w:rsidRPr="005208B6">
        <w:rPr>
          <w:rStyle w:val="Aucun"/>
          <w:rFonts w:ascii="Times New Roman" w:hAnsi="Times New Roman" w:cs="Times New Roman"/>
          <w:i/>
          <w:iCs/>
          <w:sz w:val="20"/>
          <w:szCs w:val="20"/>
          <w:lang w:val="en-US"/>
        </w:rPr>
        <w:t>Grzelczyk</w:t>
      </w:r>
      <w:r w:rsidR="002A030C" w:rsidRPr="005208B6">
        <w:rPr>
          <w:rFonts w:ascii="Times New Roman" w:hAnsi="Times New Roman" w:cs="Times New Roman"/>
          <w:sz w:val="20"/>
          <w:szCs w:val="20"/>
          <w:lang w:val="en-US"/>
        </w:rPr>
        <w:t xml:space="preserve"> (C-184/99) at [</w:t>
      </w:r>
      <w:r w:rsidRPr="005208B6">
        <w:rPr>
          <w:rFonts w:ascii="Times New Roman" w:hAnsi="Times New Roman" w:cs="Times New Roman"/>
          <w:sz w:val="20"/>
          <w:szCs w:val="20"/>
          <w:lang w:val="en-US"/>
        </w:rPr>
        <w:t>42-43</w:t>
      </w:r>
      <w:r w:rsidR="002A030C" w:rsidRPr="005208B6">
        <w:rPr>
          <w:rFonts w:ascii="Times New Roman" w:hAnsi="Times New Roman" w:cs="Times New Roman"/>
          <w:sz w:val="20"/>
          <w:szCs w:val="20"/>
          <w:lang w:val="en-US"/>
        </w:rPr>
        <w:t>]</w:t>
      </w:r>
      <w:r w:rsidRPr="005208B6">
        <w:rPr>
          <w:rFonts w:ascii="Times New Roman" w:hAnsi="Times New Roman" w:cs="Times New Roman"/>
          <w:sz w:val="20"/>
          <w:szCs w:val="20"/>
          <w:lang w:val="en-US"/>
        </w:rPr>
        <w:t xml:space="preserve">; </w:t>
      </w:r>
      <w:r w:rsidRPr="005208B6">
        <w:rPr>
          <w:rFonts w:ascii="Times New Roman" w:hAnsi="Times New Roman" w:cs="Times New Roman"/>
          <w:i/>
          <w:iCs/>
          <w:sz w:val="20"/>
          <w:szCs w:val="20"/>
          <w:lang w:val="en-US"/>
        </w:rPr>
        <w:t>Baumbast</w:t>
      </w:r>
      <w:r w:rsidR="002A030C" w:rsidRPr="005208B6">
        <w:rPr>
          <w:rStyle w:val="Aucun"/>
          <w:rFonts w:ascii="Times New Roman" w:hAnsi="Times New Roman" w:cs="Times New Roman"/>
          <w:i/>
          <w:iCs/>
          <w:sz w:val="20"/>
          <w:szCs w:val="20"/>
          <w:lang w:val="en-US"/>
        </w:rPr>
        <w:t xml:space="preserve"> </w:t>
      </w:r>
      <w:r w:rsidR="002A030C" w:rsidRPr="005208B6">
        <w:rPr>
          <w:rStyle w:val="Aucun"/>
          <w:rFonts w:ascii="Times New Roman" w:hAnsi="Times New Roman" w:cs="Times New Roman"/>
          <w:sz w:val="20"/>
          <w:szCs w:val="20"/>
          <w:lang w:val="en-US"/>
        </w:rPr>
        <w:t xml:space="preserve">(C-431:99) </w:t>
      </w:r>
      <w:r w:rsidR="002A030C" w:rsidRPr="005208B6">
        <w:rPr>
          <w:rFonts w:ascii="Times New Roman" w:hAnsi="Times New Roman" w:cs="Times New Roman"/>
          <w:sz w:val="20"/>
          <w:szCs w:val="20"/>
          <w:lang w:val="en-US"/>
        </w:rPr>
        <w:t>at [</w:t>
      </w:r>
      <w:r w:rsidRPr="005208B6">
        <w:rPr>
          <w:rFonts w:ascii="Times New Roman" w:hAnsi="Times New Roman" w:cs="Times New Roman"/>
          <w:sz w:val="20"/>
          <w:szCs w:val="20"/>
          <w:lang w:val="en-US"/>
        </w:rPr>
        <w:t>91</w:t>
      </w:r>
      <w:r w:rsidR="002A030C" w:rsidRPr="005208B6">
        <w:rPr>
          <w:rFonts w:ascii="Times New Roman" w:hAnsi="Times New Roman" w:cs="Times New Roman"/>
          <w:sz w:val="20"/>
          <w:szCs w:val="20"/>
          <w:lang w:val="en-US"/>
        </w:rPr>
        <w:t>-93]</w:t>
      </w:r>
      <w:r w:rsidRPr="005208B6">
        <w:rPr>
          <w:rFonts w:ascii="Times New Roman" w:hAnsi="Times New Roman" w:cs="Times New Roman"/>
          <w:sz w:val="20"/>
          <w:szCs w:val="20"/>
          <w:lang w:val="en-US"/>
        </w:rPr>
        <w:t>. See also</w:t>
      </w:r>
      <w:r w:rsidRPr="005208B6">
        <w:rPr>
          <w:rFonts w:ascii="Times New Roman" w:hAnsi="Times New Roman" w:cs="Times New Roman"/>
          <w:i/>
          <w:iCs/>
          <w:sz w:val="20"/>
          <w:szCs w:val="20"/>
          <w:lang w:val="en-US"/>
        </w:rPr>
        <w:t xml:space="preserve"> </w:t>
      </w:r>
      <w:r w:rsidRPr="005208B6">
        <w:rPr>
          <w:rFonts w:ascii="Times New Roman" w:hAnsi="Times New Roman" w:cs="Times New Roman"/>
          <w:sz w:val="20"/>
          <w:szCs w:val="20"/>
          <w:lang w:val="en-US"/>
        </w:rPr>
        <w:t xml:space="preserve">Van der Mei, </w:t>
      </w:r>
      <w:r w:rsidR="002A030C" w:rsidRPr="005208B6">
        <w:rPr>
          <w:rFonts w:ascii="Times New Roman" w:hAnsi="Times New Roman" w:cs="Times New Roman"/>
          <w:sz w:val="20"/>
          <w:szCs w:val="20"/>
          <w:lang w:val="en-US"/>
        </w:rPr>
        <w:t>“</w:t>
      </w:r>
      <w:r w:rsidRPr="005208B6">
        <w:rPr>
          <w:rFonts w:ascii="Times New Roman" w:hAnsi="Times New Roman" w:cs="Times New Roman"/>
          <w:sz w:val="20"/>
          <w:szCs w:val="20"/>
          <w:lang w:val="en-US"/>
        </w:rPr>
        <w:t>Residence and the Evolving Notion of European Union Citizenship</w:t>
      </w:r>
      <w:r w:rsidR="002A030C" w:rsidRPr="005208B6">
        <w:rPr>
          <w:rFonts w:ascii="Times New Roman" w:hAnsi="Times New Roman" w:cs="Times New Roman"/>
          <w:sz w:val="20"/>
          <w:szCs w:val="20"/>
          <w:lang w:val="en-US"/>
        </w:rPr>
        <w:t>” (2003)</w:t>
      </w:r>
      <w:r w:rsidRPr="005208B6">
        <w:rPr>
          <w:rFonts w:ascii="Times New Roman" w:hAnsi="Times New Roman" w:cs="Times New Roman"/>
          <w:sz w:val="20"/>
          <w:szCs w:val="20"/>
          <w:lang w:val="en-US"/>
        </w:rPr>
        <w:t xml:space="preserve"> 5 </w:t>
      </w:r>
      <w:r w:rsidR="00D622D7" w:rsidRPr="005208B6">
        <w:rPr>
          <w:rFonts w:ascii="Times New Roman" w:hAnsi="Times New Roman" w:cs="Times New Roman"/>
          <w:sz w:val="20"/>
          <w:szCs w:val="20"/>
          <w:lang w:val="en-US"/>
        </w:rPr>
        <w:t>E.J.M.L.</w:t>
      </w:r>
      <w:r w:rsidRPr="005208B6">
        <w:rPr>
          <w:rFonts w:ascii="Times New Roman" w:hAnsi="Times New Roman" w:cs="Times New Roman"/>
          <w:sz w:val="20"/>
          <w:szCs w:val="20"/>
          <w:lang w:val="en-US"/>
        </w:rPr>
        <w:t xml:space="preserve"> </w:t>
      </w:r>
      <w:r w:rsidR="002A030C" w:rsidRPr="005208B6">
        <w:rPr>
          <w:rFonts w:ascii="Times New Roman" w:hAnsi="Times New Roman" w:cs="Times New Roman"/>
          <w:sz w:val="20"/>
          <w:szCs w:val="20"/>
          <w:lang w:val="en-US"/>
        </w:rPr>
        <w:t xml:space="preserve">3, </w:t>
      </w:r>
      <w:r w:rsidRPr="005208B6">
        <w:rPr>
          <w:rFonts w:ascii="Times New Roman" w:hAnsi="Times New Roman" w:cs="Times New Roman"/>
          <w:sz w:val="20"/>
          <w:szCs w:val="20"/>
          <w:lang w:val="en-US"/>
        </w:rPr>
        <w:t xml:space="preserve">428; </w:t>
      </w:r>
      <w:r w:rsidR="005208B6" w:rsidRPr="005208B6">
        <w:rPr>
          <w:rFonts w:ascii="Times New Roman" w:hAnsi="Times New Roman" w:cs="Times New Roman"/>
          <w:sz w:val="20"/>
          <w:szCs w:val="20"/>
          <w:lang w:val="en-US"/>
        </w:rPr>
        <w:t>C. Jacqueson, “Union Citizenship and the Court of Justice: Something New under the Sun? Towards Social Citizenship” (2002) 27 E.L. Rev.</w:t>
      </w:r>
      <w:r w:rsidR="005208B6" w:rsidRPr="005208B6">
        <w:rPr>
          <w:rFonts w:ascii="Times New Roman" w:hAnsi="Times New Roman" w:cs="Times New Roman"/>
          <w:i/>
          <w:iCs/>
          <w:sz w:val="20"/>
          <w:szCs w:val="20"/>
          <w:lang w:val="en-US"/>
        </w:rPr>
        <w:t xml:space="preserve"> </w:t>
      </w:r>
      <w:r w:rsidR="005208B6" w:rsidRPr="005208B6">
        <w:rPr>
          <w:rFonts w:ascii="Times New Roman" w:hAnsi="Times New Roman" w:cs="Times New Roman"/>
          <w:sz w:val="20"/>
          <w:szCs w:val="20"/>
          <w:lang w:val="en-US"/>
        </w:rPr>
        <w:t xml:space="preserve">3, </w:t>
      </w:r>
      <w:r w:rsidRPr="005208B6">
        <w:rPr>
          <w:rFonts w:ascii="Times New Roman" w:hAnsi="Times New Roman" w:cs="Times New Roman"/>
          <w:sz w:val="20"/>
          <w:szCs w:val="20"/>
          <w:lang w:val="en-US"/>
        </w:rPr>
        <w:t>275</w:t>
      </w:r>
      <w:r w:rsidR="00861A89" w:rsidRPr="005208B6">
        <w:rPr>
          <w:rFonts w:ascii="Times New Roman" w:hAnsi="Times New Roman" w:cs="Times New Roman"/>
          <w:sz w:val="20"/>
          <w:szCs w:val="20"/>
          <w:lang w:val="en-US"/>
        </w:rPr>
        <w:t xml:space="preserve">. </w:t>
      </w:r>
    </w:p>
  </w:footnote>
  <w:footnote w:id="41">
    <w:p w14:paraId="07234D9C" w14:textId="1DAFA7DF" w:rsidR="00EE1BEA" w:rsidRPr="00CE1795" w:rsidRDefault="00EE1BEA" w:rsidP="0017677E">
      <w:pPr>
        <w:pStyle w:val="Notedepieddepage"/>
        <w:jc w:val="both"/>
        <w:rPr>
          <w:lang w:val="en-US"/>
        </w:rPr>
      </w:pPr>
      <w:r>
        <w:rPr>
          <w:rStyle w:val="Aucun"/>
          <w:rFonts w:ascii="Times New Roman" w:eastAsia="Times New Roman" w:hAnsi="Times New Roman" w:cs="Times New Roman"/>
          <w:sz w:val="20"/>
          <w:szCs w:val="20"/>
          <w:vertAlign w:val="superscript"/>
        </w:rPr>
        <w:footnoteRef/>
      </w:r>
      <w:r w:rsidRPr="00CE1795">
        <w:rPr>
          <w:rFonts w:ascii="Times New Roman" w:hAnsi="Times New Roman"/>
          <w:sz w:val="20"/>
          <w:szCs w:val="20"/>
          <w:lang w:val="en-US"/>
        </w:rPr>
        <w:t xml:space="preserve">R. Barbulescu and A. Favell, </w:t>
      </w:r>
      <w:r w:rsidR="00861A89">
        <w:rPr>
          <w:rFonts w:ascii="Times New Roman" w:hAnsi="Times New Roman"/>
          <w:sz w:val="20"/>
          <w:szCs w:val="20"/>
          <w:lang w:val="en-US"/>
        </w:rPr>
        <w:t>“</w:t>
      </w:r>
      <w:r w:rsidRPr="00CE1795">
        <w:rPr>
          <w:rFonts w:ascii="Times New Roman" w:hAnsi="Times New Roman"/>
          <w:sz w:val="20"/>
          <w:szCs w:val="20"/>
          <w:lang w:val="en-US"/>
        </w:rPr>
        <w:t xml:space="preserve">Commentary: A </w:t>
      </w:r>
      <w:r>
        <w:rPr>
          <w:rFonts w:ascii="Times New Roman" w:hAnsi="Times New Roman"/>
          <w:sz w:val="20"/>
          <w:szCs w:val="20"/>
          <w:lang w:val="en-US"/>
        </w:rPr>
        <w:t>C</w:t>
      </w:r>
      <w:r w:rsidRPr="00CE1795">
        <w:rPr>
          <w:rFonts w:ascii="Times New Roman" w:hAnsi="Times New Roman"/>
          <w:sz w:val="20"/>
          <w:szCs w:val="20"/>
          <w:lang w:val="en-US"/>
        </w:rPr>
        <w:t xml:space="preserve">itizenship </w:t>
      </w:r>
      <w:r>
        <w:rPr>
          <w:rFonts w:ascii="Times New Roman" w:hAnsi="Times New Roman"/>
          <w:sz w:val="20"/>
          <w:szCs w:val="20"/>
          <w:lang w:val="en-US"/>
        </w:rPr>
        <w:t>W</w:t>
      </w:r>
      <w:r w:rsidRPr="00CE1795">
        <w:rPr>
          <w:rFonts w:ascii="Times New Roman" w:hAnsi="Times New Roman"/>
          <w:sz w:val="20"/>
          <w:szCs w:val="20"/>
          <w:lang w:val="en-US"/>
        </w:rPr>
        <w:t xml:space="preserve">ithout </w:t>
      </w:r>
      <w:r>
        <w:rPr>
          <w:rFonts w:ascii="Times New Roman" w:hAnsi="Times New Roman"/>
          <w:sz w:val="20"/>
          <w:szCs w:val="20"/>
          <w:lang w:val="en-US"/>
        </w:rPr>
        <w:t>S</w:t>
      </w:r>
      <w:r w:rsidRPr="00CE1795">
        <w:rPr>
          <w:rFonts w:ascii="Times New Roman" w:hAnsi="Times New Roman"/>
          <w:sz w:val="20"/>
          <w:szCs w:val="20"/>
          <w:lang w:val="en-US"/>
        </w:rPr>
        <w:t xml:space="preserve">ocial </w:t>
      </w:r>
      <w:r>
        <w:rPr>
          <w:rFonts w:ascii="Times New Roman" w:hAnsi="Times New Roman"/>
          <w:sz w:val="20"/>
          <w:szCs w:val="20"/>
          <w:lang w:val="en-US"/>
        </w:rPr>
        <w:t>R</w:t>
      </w:r>
      <w:r w:rsidRPr="00CE1795">
        <w:rPr>
          <w:rFonts w:ascii="Times New Roman" w:hAnsi="Times New Roman"/>
          <w:sz w:val="20"/>
          <w:szCs w:val="20"/>
          <w:lang w:val="en-US"/>
        </w:rPr>
        <w:t xml:space="preserve">ights? EU </w:t>
      </w:r>
      <w:r>
        <w:rPr>
          <w:rFonts w:ascii="Times New Roman" w:hAnsi="Times New Roman"/>
          <w:sz w:val="20"/>
          <w:szCs w:val="20"/>
          <w:lang w:val="en-US"/>
        </w:rPr>
        <w:t>F</w:t>
      </w:r>
      <w:r w:rsidRPr="00CE1795">
        <w:rPr>
          <w:rFonts w:ascii="Times New Roman" w:hAnsi="Times New Roman"/>
          <w:sz w:val="20"/>
          <w:szCs w:val="20"/>
          <w:lang w:val="en-US"/>
        </w:rPr>
        <w:t xml:space="preserve">reedom of </w:t>
      </w:r>
      <w:r>
        <w:rPr>
          <w:rFonts w:ascii="Times New Roman" w:hAnsi="Times New Roman"/>
          <w:sz w:val="20"/>
          <w:szCs w:val="20"/>
          <w:lang w:val="en-US"/>
        </w:rPr>
        <w:t>M</w:t>
      </w:r>
      <w:r w:rsidRPr="00CE1795">
        <w:rPr>
          <w:rFonts w:ascii="Times New Roman" w:hAnsi="Times New Roman"/>
          <w:sz w:val="20"/>
          <w:szCs w:val="20"/>
          <w:lang w:val="en-US"/>
        </w:rPr>
        <w:t xml:space="preserve">ovement and </w:t>
      </w:r>
      <w:r>
        <w:rPr>
          <w:rFonts w:ascii="Times New Roman" w:hAnsi="Times New Roman"/>
          <w:sz w:val="20"/>
          <w:szCs w:val="20"/>
          <w:lang w:val="en-US"/>
        </w:rPr>
        <w:t>C</w:t>
      </w:r>
      <w:r w:rsidRPr="00CE1795">
        <w:rPr>
          <w:rFonts w:ascii="Times New Roman" w:hAnsi="Times New Roman"/>
          <w:sz w:val="20"/>
          <w:szCs w:val="20"/>
          <w:lang w:val="en-US"/>
        </w:rPr>
        <w:t xml:space="preserve">hanging </w:t>
      </w:r>
      <w:r>
        <w:rPr>
          <w:rFonts w:ascii="Times New Roman" w:hAnsi="Times New Roman"/>
          <w:sz w:val="20"/>
          <w:szCs w:val="20"/>
          <w:lang w:val="en-US"/>
        </w:rPr>
        <w:t>A</w:t>
      </w:r>
      <w:r w:rsidRPr="00CE1795">
        <w:rPr>
          <w:rFonts w:ascii="Times New Roman" w:hAnsi="Times New Roman"/>
          <w:sz w:val="20"/>
          <w:szCs w:val="20"/>
          <w:lang w:val="en-US"/>
        </w:rPr>
        <w:t xml:space="preserve">ccess to </w:t>
      </w:r>
      <w:r>
        <w:rPr>
          <w:rFonts w:ascii="Times New Roman" w:hAnsi="Times New Roman"/>
          <w:sz w:val="20"/>
          <w:szCs w:val="20"/>
          <w:lang w:val="en-US"/>
        </w:rPr>
        <w:t>W</w:t>
      </w:r>
      <w:r w:rsidRPr="00CE1795">
        <w:rPr>
          <w:rFonts w:ascii="Times New Roman" w:hAnsi="Times New Roman"/>
          <w:sz w:val="20"/>
          <w:szCs w:val="20"/>
          <w:lang w:val="en-US"/>
        </w:rPr>
        <w:t xml:space="preserve">elfare </w:t>
      </w:r>
      <w:r>
        <w:rPr>
          <w:rFonts w:ascii="Times New Roman" w:hAnsi="Times New Roman"/>
          <w:sz w:val="20"/>
          <w:szCs w:val="20"/>
          <w:lang w:val="en-US"/>
        </w:rPr>
        <w:t>Ri</w:t>
      </w:r>
      <w:r w:rsidRPr="00CE1795">
        <w:rPr>
          <w:rFonts w:ascii="Times New Roman" w:hAnsi="Times New Roman"/>
          <w:sz w:val="20"/>
          <w:szCs w:val="20"/>
          <w:lang w:val="en-US"/>
        </w:rPr>
        <w:t>ghts</w:t>
      </w:r>
      <w:r w:rsidR="00861A89">
        <w:rPr>
          <w:rFonts w:ascii="Times New Roman" w:hAnsi="Times New Roman"/>
          <w:sz w:val="20"/>
          <w:szCs w:val="20"/>
          <w:lang w:val="en-US"/>
        </w:rPr>
        <w:t>” (2019)</w:t>
      </w:r>
      <w:r w:rsidRPr="00CE1795">
        <w:rPr>
          <w:rFonts w:ascii="Times New Roman" w:hAnsi="Times New Roman"/>
          <w:sz w:val="20"/>
          <w:szCs w:val="20"/>
          <w:lang w:val="en-US"/>
        </w:rPr>
        <w:t xml:space="preserve"> </w:t>
      </w:r>
      <w:r>
        <w:rPr>
          <w:rFonts w:ascii="Times New Roman" w:hAnsi="Times New Roman"/>
          <w:sz w:val="20"/>
          <w:szCs w:val="20"/>
          <w:lang w:val="en-US"/>
        </w:rPr>
        <w:t>58</w:t>
      </w:r>
      <w:r w:rsidR="00861A89">
        <w:rPr>
          <w:rFonts w:ascii="Times New Roman" w:hAnsi="Times New Roman"/>
          <w:sz w:val="20"/>
          <w:szCs w:val="20"/>
          <w:lang w:val="en-US"/>
        </w:rPr>
        <w:t xml:space="preserve"> </w:t>
      </w:r>
      <w:r w:rsidRPr="00861A89">
        <w:rPr>
          <w:rStyle w:val="Aucun"/>
          <w:rFonts w:ascii="Times New Roman" w:hAnsi="Times New Roman"/>
          <w:sz w:val="20"/>
          <w:szCs w:val="20"/>
          <w:lang w:val="en-US"/>
        </w:rPr>
        <w:t>International Migration</w:t>
      </w:r>
      <w:r w:rsidRPr="00CE1795">
        <w:rPr>
          <w:rFonts w:ascii="Times New Roman" w:hAnsi="Times New Roman"/>
          <w:sz w:val="20"/>
          <w:szCs w:val="20"/>
          <w:lang w:val="en-US"/>
        </w:rPr>
        <w:t xml:space="preserve"> </w:t>
      </w:r>
      <w:r w:rsidR="00861A89">
        <w:rPr>
          <w:rFonts w:ascii="Times New Roman" w:hAnsi="Times New Roman"/>
          <w:sz w:val="20"/>
          <w:szCs w:val="20"/>
          <w:lang w:val="en-US"/>
        </w:rPr>
        <w:t>1,</w:t>
      </w:r>
      <w:r w:rsidRPr="00CE1795">
        <w:rPr>
          <w:rFonts w:ascii="Times New Roman" w:hAnsi="Times New Roman"/>
          <w:sz w:val="20"/>
          <w:szCs w:val="20"/>
          <w:lang w:val="en-US"/>
        </w:rPr>
        <w:t xml:space="preserve"> 151; A. Heindlmaier, </w:t>
      </w:r>
      <w:r w:rsidR="00861A89">
        <w:rPr>
          <w:rFonts w:ascii="Times New Roman" w:hAnsi="Times New Roman"/>
          <w:sz w:val="20"/>
          <w:szCs w:val="20"/>
          <w:lang w:val="en-US"/>
        </w:rPr>
        <w:t>“‘</w:t>
      </w:r>
      <w:r w:rsidRPr="00CE1795">
        <w:rPr>
          <w:rFonts w:ascii="Times New Roman" w:hAnsi="Times New Roman"/>
          <w:sz w:val="20"/>
          <w:szCs w:val="20"/>
          <w:lang w:val="en-US"/>
        </w:rPr>
        <w:t xml:space="preserve">Social </w:t>
      </w:r>
      <w:r>
        <w:rPr>
          <w:rFonts w:ascii="Times New Roman" w:hAnsi="Times New Roman"/>
          <w:sz w:val="20"/>
          <w:szCs w:val="20"/>
          <w:lang w:val="en-US"/>
        </w:rPr>
        <w:t>C</w:t>
      </w:r>
      <w:r w:rsidRPr="00CE1795">
        <w:rPr>
          <w:rFonts w:ascii="Times New Roman" w:hAnsi="Times New Roman"/>
          <w:sz w:val="20"/>
          <w:szCs w:val="20"/>
          <w:lang w:val="en-US"/>
        </w:rPr>
        <w:t>itizenship</w:t>
      </w:r>
      <w:r w:rsidR="00861A89">
        <w:rPr>
          <w:rFonts w:ascii="Times New Roman" w:hAnsi="Times New Roman"/>
          <w:sz w:val="20"/>
          <w:szCs w:val="20"/>
          <w:lang w:val="en-US"/>
        </w:rPr>
        <w:t>’</w:t>
      </w:r>
      <w:r w:rsidRPr="00CE1795">
        <w:rPr>
          <w:rFonts w:ascii="Times New Roman" w:hAnsi="Times New Roman"/>
          <w:sz w:val="20"/>
          <w:szCs w:val="20"/>
          <w:lang w:val="en-US"/>
        </w:rPr>
        <w:t xml:space="preserve"> at the </w:t>
      </w:r>
      <w:r>
        <w:rPr>
          <w:rFonts w:ascii="Times New Roman" w:hAnsi="Times New Roman"/>
          <w:sz w:val="20"/>
          <w:szCs w:val="20"/>
          <w:lang w:val="en-US"/>
        </w:rPr>
        <w:t>S</w:t>
      </w:r>
      <w:r w:rsidRPr="00CE1795">
        <w:rPr>
          <w:rFonts w:ascii="Times New Roman" w:hAnsi="Times New Roman"/>
          <w:sz w:val="20"/>
          <w:szCs w:val="20"/>
          <w:lang w:val="en-US"/>
        </w:rPr>
        <w:t xml:space="preserve">treet </w:t>
      </w:r>
      <w:r>
        <w:rPr>
          <w:rFonts w:ascii="Times New Roman" w:hAnsi="Times New Roman"/>
          <w:sz w:val="20"/>
          <w:szCs w:val="20"/>
          <w:lang w:val="en-US"/>
        </w:rPr>
        <w:t>L</w:t>
      </w:r>
      <w:r w:rsidRPr="00CE1795">
        <w:rPr>
          <w:rFonts w:ascii="Times New Roman" w:hAnsi="Times New Roman"/>
          <w:sz w:val="20"/>
          <w:szCs w:val="20"/>
          <w:lang w:val="en-US"/>
        </w:rPr>
        <w:t xml:space="preserve">evel? EU Member State </w:t>
      </w:r>
      <w:r>
        <w:rPr>
          <w:rFonts w:ascii="Times New Roman" w:hAnsi="Times New Roman"/>
          <w:sz w:val="20"/>
          <w:szCs w:val="20"/>
          <w:lang w:val="en-US"/>
        </w:rPr>
        <w:t>A</w:t>
      </w:r>
      <w:r w:rsidRPr="00CE1795">
        <w:rPr>
          <w:rFonts w:ascii="Times New Roman" w:hAnsi="Times New Roman"/>
          <w:sz w:val="20"/>
          <w:szCs w:val="20"/>
          <w:lang w:val="en-US"/>
        </w:rPr>
        <w:t xml:space="preserve">dministrations </w:t>
      </w:r>
      <w:r>
        <w:rPr>
          <w:rFonts w:ascii="Times New Roman" w:hAnsi="Times New Roman"/>
          <w:sz w:val="20"/>
          <w:szCs w:val="20"/>
          <w:lang w:val="en-US"/>
        </w:rPr>
        <w:t>S</w:t>
      </w:r>
      <w:r w:rsidRPr="00CE1795">
        <w:rPr>
          <w:rFonts w:ascii="Times New Roman" w:hAnsi="Times New Roman"/>
          <w:sz w:val="20"/>
          <w:szCs w:val="20"/>
          <w:lang w:val="en-US"/>
        </w:rPr>
        <w:t xml:space="preserve">etting a </w:t>
      </w:r>
      <w:r>
        <w:rPr>
          <w:rFonts w:ascii="Times New Roman" w:hAnsi="Times New Roman"/>
          <w:sz w:val="20"/>
          <w:szCs w:val="20"/>
          <w:lang w:val="en-US"/>
        </w:rPr>
        <w:t>F</w:t>
      </w:r>
      <w:r w:rsidRPr="00CE1795">
        <w:rPr>
          <w:rFonts w:ascii="Times New Roman" w:hAnsi="Times New Roman"/>
          <w:sz w:val="20"/>
          <w:szCs w:val="20"/>
          <w:lang w:val="en-US"/>
        </w:rPr>
        <w:t>irewall</w:t>
      </w:r>
      <w:r w:rsidR="00861A89">
        <w:rPr>
          <w:rFonts w:ascii="Times New Roman" w:hAnsi="Times New Roman"/>
          <w:sz w:val="20"/>
          <w:szCs w:val="20"/>
          <w:lang w:val="en-US"/>
        </w:rPr>
        <w:t>” (2020)</w:t>
      </w:r>
      <w:r w:rsidRPr="00CE1795">
        <w:rPr>
          <w:rFonts w:ascii="Times New Roman" w:hAnsi="Times New Roman"/>
          <w:sz w:val="20"/>
          <w:szCs w:val="20"/>
          <w:lang w:val="en-US"/>
        </w:rPr>
        <w:t xml:space="preserve"> </w:t>
      </w:r>
      <w:r>
        <w:rPr>
          <w:rFonts w:ascii="Times New Roman" w:hAnsi="Times New Roman"/>
          <w:sz w:val="20"/>
          <w:szCs w:val="20"/>
          <w:lang w:val="en-US"/>
        </w:rPr>
        <w:t>58</w:t>
      </w:r>
      <w:r w:rsidR="00861A89">
        <w:rPr>
          <w:rFonts w:ascii="Times New Roman" w:hAnsi="Times New Roman"/>
          <w:sz w:val="20"/>
          <w:szCs w:val="20"/>
          <w:lang w:val="en-US"/>
        </w:rPr>
        <w:t xml:space="preserve"> </w:t>
      </w:r>
      <w:r w:rsidR="00D622D7">
        <w:rPr>
          <w:rStyle w:val="Aucun"/>
          <w:rFonts w:ascii="Times New Roman" w:hAnsi="Times New Roman"/>
          <w:sz w:val="20"/>
          <w:szCs w:val="20"/>
          <w:lang w:val="en-US"/>
        </w:rPr>
        <w:t>J.C.M.S.</w:t>
      </w:r>
      <w:r w:rsidRPr="00CE1795">
        <w:rPr>
          <w:rFonts w:ascii="Times New Roman" w:hAnsi="Times New Roman"/>
          <w:sz w:val="20"/>
          <w:szCs w:val="20"/>
          <w:lang w:val="en-US"/>
        </w:rPr>
        <w:t xml:space="preserve"> </w:t>
      </w:r>
      <w:r w:rsidR="00861A89">
        <w:rPr>
          <w:rFonts w:ascii="Times New Roman" w:hAnsi="Times New Roman"/>
          <w:sz w:val="20"/>
          <w:szCs w:val="20"/>
          <w:lang w:val="en-US"/>
        </w:rPr>
        <w:t>5,</w:t>
      </w:r>
      <w:r w:rsidRPr="00CE1795">
        <w:rPr>
          <w:rFonts w:ascii="Times New Roman" w:hAnsi="Times New Roman"/>
          <w:sz w:val="20"/>
          <w:szCs w:val="20"/>
          <w:lang w:val="en-US"/>
        </w:rPr>
        <w:t xml:space="preserve"> 1252. </w:t>
      </w:r>
    </w:p>
  </w:footnote>
  <w:footnote w:id="42">
    <w:p w14:paraId="3FA5B991" w14:textId="5324247E" w:rsidR="00975865" w:rsidRPr="00CE1795" w:rsidRDefault="00975865" w:rsidP="00157815">
      <w:pPr>
        <w:pStyle w:val="NormalWeb"/>
        <w:shd w:val="clear" w:color="auto" w:fill="FFFFFF"/>
        <w:spacing w:before="0" w:beforeAutospacing="0" w:after="0" w:afterAutospacing="0"/>
        <w:rPr>
          <w:lang w:val="en-US"/>
        </w:rPr>
      </w:pPr>
      <w:r>
        <w:rPr>
          <w:rStyle w:val="Aucun"/>
          <w:sz w:val="20"/>
          <w:szCs w:val="20"/>
          <w:vertAlign w:val="superscript"/>
        </w:rPr>
        <w:footnoteRef/>
      </w:r>
      <w:r w:rsidR="00157815">
        <w:rPr>
          <w:sz w:val="20"/>
          <w:szCs w:val="20"/>
          <w:lang w:val="en-US"/>
        </w:rPr>
        <w:t xml:space="preserve">A. </w:t>
      </w:r>
      <w:r w:rsidR="00157815" w:rsidRPr="00CE1795">
        <w:rPr>
          <w:sz w:val="20"/>
          <w:szCs w:val="20"/>
          <w:lang w:val="en-US"/>
        </w:rPr>
        <w:t xml:space="preserve">Turmo, </w:t>
      </w:r>
      <w:r w:rsidR="00157815">
        <w:rPr>
          <w:rFonts w:ascii="TimesNewRomanPS" w:hAnsi="TimesNewRomanPS"/>
          <w:sz w:val="20"/>
          <w:szCs w:val="20"/>
          <w:lang w:val="en-US"/>
        </w:rPr>
        <w:t>“</w:t>
      </w:r>
      <w:r w:rsidR="00157815" w:rsidRPr="00D440DE">
        <w:rPr>
          <w:rFonts w:ascii="TimesNewRomanPS" w:hAnsi="TimesNewRomanPS"/>
          <w:sz w:val="20"/>
          <w:szCs w:val="20"/>
          <w:lang w:val="en-US"/>
        </w:rPr>
        <w:t xml:space="preserve">The Pernicious </w:t>
      </w:r>
      <w:r w:rsidR="00157815">
        <w:rPr>
          <w:rFonts w:ascii="TimesNewRomanPS" w:hAnsi="TimesNewRomanPS"/>
          <w:sz w:val="20"/>
          <w:szCs w:val="20"/>
          <w:lang w:val="en-US"/>
        </w:rPr>
        <w:t>I</w:t>
      </w:r>
      <w:r w:rsidR="00157815" w:rsidRPr="00D440DE">
        <w:rPr>
          <w:rFonts w:ascii="TimesNewRomanPS" w:hAnsi="TimesNewRomanPS"/>
          <w:sz w:val="20"/>
          <w:szCs w:val="20"/>
          <w:lang w:val="en-US"/>
        </w:rPr>
        <w:t>nfluence of Citizenship Rights on Worker’s Rights in the EU</w:t>
      </w:r>
      <w:r w:rsidR="00157815">
        <w:rPr>
          <w:rFonts w:ascii="TimesNewRomanPS" w:hAnsi="TimesNewRomanPS"/>
          <w:sz w:val="20"/>
          <w:szCs w:val="20"/>
          <w:lang w:val="en-US"/>
        </w:rPr>
        <w:t xml:space="preserve">: </w:t>
      </w:r>
      <w:r w:rsidR="00157815" w:rsidRPr="00D440DE">
        <w:rPr>
          <w:rFonts w:ascii="TimesNewRomanPS" w:hAnsi="TimesNewRomanPS"/>
          <w:sz w:val="20"/>
          <w:szCs w:val="20"/>
          <w:lang w:val="en-US"/>
        </w:rPr>
        <w:t>The Case of Student Finance</w:t>
      </w:r>
      <w:r w:rsidR="00157815">
        <w:rPr>
          <w:rFonts w:ascii="TimesNewRomanPS" w:hAnsi="TimesNewRomanPS"/>
          <w:sz w:val="20"/>
          <w:szCs w:val="20"/>
          <w:lang w:val="en-US"/>
        </w:rPr>
        <w:t>” (2018)</w:t>
      </w:r>
      <w:r w:rsidR="00157815" w:rsidRPr="00D440DE">
        <w:rPr>
          <w:rFonts w:ascii="TimesNewRomanPS" w:hAnsi="TimesNewRomanPS"/>
          <w:sz w:val="20"/>
          <w:szCs w:val="20"/>
          <w:lang w:val="en-US"/>
        </w:rPr>
        <w:t xml:space="preserve"> </w:t>
      </w:r>
      <w:r w:rsidR="00157815">
        <w:rPr>
          <w:rFonts w:ascii="TimesNewRomanPS" w:hAnsi="TimesNewRomanPS"/>
          <w:sz w:val="20"/>
          <w:szCs w:val="20"/>
          <w:lang w:val="en-US"/>
        </w:rPr>
        <w:t xml:space="preserve">3 </w:t>
      </w:r>
      <w:r w:rsidR="00157815" w:rsidRPr="00861A89">
        <w:rPr>
          <w:rFonts w:ascii="TimesNewRomanPS" w:hAnsi="TimesNewRomanPS"/>
          <w:sz w:val="20"/>
          <w:szCs w:val="20"/>
          <w:lang w:val="en-US"/>
        </w:rPr>
        <w:t>European Papers</w:t>
      </w:r>
      <w:r w:rsidR="00157815">
        <w:rPr>
          <w:rFonts w:ascii="TimesNewRomanPS" w:hAnsi="TimesNewRomanPS"/>
          <w:i/>
          <w:iCs/>
          <w:sz w:val="20"/>
          <w:szCs w:val="20"/>
          <w:lang w:val="en-US"/>
        </w:rPr>
        <w:t xml:space="preserve"> </w:t>
      </w:r>
      <w:r w:rsidR="00157815">
        <w:rPr>
          <w:rFonts w:ascii="TimesNewRomanPS" w:hAnsi="TimesNewRomanPS"/>
          <w:sz w:val="20"/>
          <w:szCs w:val="20"/>
          <w:lang w:val="en-US"/>
        </w:rPr>
        <w:t xml:space="preserve">3, </w:t>
      </w:r>
      <w:r w:rsidR="00157815">
        <w:rPr>
          <w:sz w:val="20"/>
          <w:szCs w:val="20"/>
          <w:lang w:val="en-US"/>
        </w:rPr>
        <w:t>1136.</w:t>
      </w:r>
    </w:p>
  </w:footnote>
  <w:footnote w:id="43">
    <w:p w14:paraId="4BE91C80" w14:textId="059AC635" w:rsidR="00051B15" w:rsidRPr="00CE1795" w:rsidRDefault="00051B15" w:rsidP="00157815">
      <w:pPr>
        <w:pStyle w:val="Notedepieddepage"/>
        <w:jc w:val="both"/>
        <w:rPr>
          <w:lang w:val="en-US"/>
        </w:rPr>
      </w:pPr>
      <w:r>
        <w:rPr>
          <w:rStyle w:val="Aucun"/>
          <w:rFonts w:ascii="Times New Roman" w:eastAsia="Times New Roman" w:hAnsi="Times New Roman" w:cs="Times New Roman"/>
          <w:sz w:val="20"/>
          <w:szCs w:val="20"/>
          <w:vertAlign w:val="superscript"/>
        </w:rPr>
        <w:footnoteRef/>
      </w:r>
      <w:r w:rsidR="00157815">
        <w:rPr>
          <w:rFonts w:ascii="Times New Roman" w:hAnsi="Times New Roman"/>
          <w:sz w:val="20"/>
          <w:szCs w:val="20"/>
          <w:lang w:val="en-US"/>
        </w:rPr>
        <w:t>M</w:t>
      </w:r>
      <w:r w:rsidR="00157815" w:rsidRPr="00CE1795">
        <w:rPr>
          <w:rFonts w:ascii="Times New Roman" w:hAnsi="Times New Roman"/>
          <w:sz w:val="20"/>
          <w:szCs w:val="20"/>
          <w:lang w:val="en-US"/>
        </w:rPr>
        <w:t xml:space="preserve">. Blauberger and S. K. Schmidt, </w:t>
      </w:r>
      <w:r w:rsidR="00157815">
        <w:rPr>
          <w:rFonts w:ascii="Times New Roman" w:hAnsi="Times New Roman"/>
          <w:sz w:val="20"/>
          <w:szCs w:val="20"/>
          <w:lang w:val="en-US"/>
        </w:rPr>
        <w:t>“</w:t>
      </w:r>
      <w:r w:rsidR="00157815" w:rsidRPr="00CE1795">
        <w:rPr>
          <w:rFonts w:ascii="Times New Roman" w:hAnsi="Times New Roman"/>
          <w:sz w:val="20"/>
          <w:szCs w:val="20"/>
          <w:lang w:val="en-US"/>
        </w:rPr>
        <w:t xml:space="preserve">Welfare </w:t>
      </w:r>
      <w:r w:rsidR="00157815">
        <w:rPr>
          <w:rFonts w:ascii="Times New Roman" w:hAnsi="Times New Roman"/>
          <w:sz w:val="20"/>
          <w:szCs w:val="20"/>
          <w:lang w:val="en-US"/>
        </w:rPr>
        <w:t>M</w:t>
      </w:r>
      <w:r w:rsidR="00157815" w:rsidRPr="00CE1795">
        <w:rPr>
          <w:rFonts w:ascii="Times New Roman" w:hAnsi="Times New Roman"/>
          <w:sz w:val="20"/>
          <w:szCs w:val="20"/>
          <w:lang w:val="en-US"/>
        </w:rPr>
        <w:t xml:space="preserve">igration? Free </w:t>
      </w:r>
      <w:r w:rsidR="00157815">
        <w:rPr>
          <w:rFonts w:ascii="Times New Roman" w:hAnsi="Times New Roman"/>
          <w:sz w:val="20"/>
          <w:szCs w:val="20"/>
          <w:lang w:val="en-US"/>
        </w:rPr>
        <w:t>M</w:t>
      </w:r>
      <w:r w:rsidR="00157815" w:rsidRPr="00CE1795">
        <w:rPr>
          <w:rFonts w:ascii="Times New Roman" w:hAnsi="Times New Roman"/>
          <w:sz w:val="20"/>
          <w:szCs w:val="20"/>
          <w:lang w:val="en-US"/>
        </w:rPr>
        <w:t xml:space="preserve">ovement of EU </w:t>
      </w:r>
      <w:r w:rsidR="00157815">
        <w:rPr>
          <w:rFonts w:ascii="Times New Roman" w:hAnsi="Times New Roman"/>
          <w:sz w:val="20"/>
          <w:szCs w:val="20"/>
          <w:lang w:val="en-US"/>
        </w:rPr>
        <w:t>C</w:t>
      </w:r>
      <w:r w:rsidR="00157815" w:rsidRPr="00CE1795">
        <w:rPr>
          <w:rFonts w:ascii="Times New Roman" w:hAnsi="Times New Roman"/>
          <w:sz w:val="20"/>
          <w:szCs w:val="20"/>
          <w:lang w:val="en-US"/>
        </w:rPr>
        <w:t xml:space="preserve">itizens and </w:t>
      </w:r>
      <w:r w:rsidR="00157815">
        <w:rPr>
          <w:rFonts w:ascii="Times New Roman" w:hAnsi="Times New Roman"/>
          <w:sz w:val="20"/>
          <w:szCs w:val="20"/>
          <w:lang w:val="en-US"/>
        </w:rPr>
        <w:t>A</w:t>
      </w:r>
      <w:r w:rsidR="00157815" w:rsidRPr="00CE1795">
        <w:rPr>
          <w:rFonts w:ascii="Times New Roman" w:hAnsi="Times New Roman"/>
          <w:sz w:val="20"/>
          <w:szCs w:val="20"/>
          <w:lang w:val="en-US"/>
        </w:rPr>
        <w:t xml:space="preserve">ccess to </w:t>
      </w:r>
      <w:r w:rsidR="00157815">
        <w:rPr>
          <w:rFonts w:ascii="Times New Roman" w:hAnsi="Times New Roman"/>
          <w:sz w:val="20"/>
          <w:szCs w:val="20"/>
          <w:lang w:val="en-US"/>
        </w:rPr>
        <w:t>S</w:t>
      </w:r>
      <w:r w:rsidR="00157815" w:rsidRPr="00CE1795">
        <w:rPr>
          <w:rFonts w:ascii="Times New Roman" w:hAnsi="Times New Roman"/>
          <w:sz w:val="20"/>
          <w:szCs w:val="20"/>
          <w:lang w:val="en-US"/>
        </w:rPr>
        <w:t xml:space="preserve">ocial </w:t>
      </w:r>
      <w:r w:rsidR="00157815">
        <w:rPr>
          <w:rFonts w:ascii="Times New Roman" w:hAnsi="Times New Roman"/>
          <w:sz w:val="20"/>
          <w:szCs w:val="20"/>
          <w:lang w:val="en-US"/>
        </w:rPr>
        <w:t>B</w:t>
      </w:r>
      <w:r w:rsidR="00157815" w:rsidRPr="00CE1795">
        <w:rPr>
          <w:rFonts w:ascii="Times New Roman" w:hAnsi="Times New Roman"/>
          <w:sz w:val="20"/>
          <w:szCs w:val="20"/>
          <w:lang w:val="en-US"/>
        </w:rPr>
        <w:t>enefits</w:t>
      </w:r>
      <w:r w:rsidR="00157815">
        <w:rPr>
          <w:rFonts w:ascii="Times New Roman" w:hAnsi="Times New Roman"/>
          <w:sz w:val="20"/>
          <w:szCs w:val="20"/>
          <w:lang w:val="en-US"/>
        </w:rPr>
        <w:t>” (2014)</w:t>
      </w:r>
      <w:r w:rsidR="00157815" w:rsidRPr="00CE1795">
        <w:rPr>
          <w:rFonts w:ascii="Times New Roman" w:hAnsi="Times New Roman"/>
          <w:sz w:val="20"/>
          <w:szCs w:val="20"/>
          <w:lang w:val="en-US"/>
        </w:rPr>
        <w:t xml:space="preserve"> </w:t>
      </w:r>
      <w:r w:rsidR="00157815" w:rsidRPr="00861A89">
        <w:rPr>
          <w:rStyle w:val="Aucun"/>
          <w:rFonts w:ascii="Times New Roman" w:hAnsi="Times New Roman"/>
          <w:sz w:val="20"/>
          <w:szCs w:val="20"/>
          <w:lang w:val="en-US"/>
        </w:rPr>
        <w:t>Research and Politics</w:t>
      </w:r>
      <w:r w:rsidR="00157815" w:rsidRPr="00CE1795">
        <w:rPr>
          <w:rFonts w:ascii="Times New Roman" w:hAnsi="Times New Roman"/>
          <w:sz w:val="20"/>
          <w:szCs w:val="20"/>
          <w:lang w:val="en-US"/>
        </w:rPr>
        <w:t xml:space="preserve"> 1; Barbulescu and Favell, </w:t>
      </w:r>
      <w:r w:rsidR="00157815">
        <w:rPr>
          <w:rFonts w:ascii="Times New Roman" w:hAnsi="Times New Roman"/>
          <w:sz w:val="20"/>
          <w:szCs w:val="20"/>
          <w:lang w:val="en-US"/>
        </w:rPr>
        <w:t>“</w:t>
      </w:r>
      <w:r w:rsidR="00157815" w:rsidRPr="00CE1795">
        <w:rPr>
          <w:rFonts w:ascii="Times New Roman" w:hAnsi="Times New Roman"/>
          <w:sz w:val="20"/>
          <w:szCs w:val="20"/>
          <w:lang w:val="en-US"/>
        </w:rPr>
        <w:t xml:space="preserve">Commentary: A </w:t>
      </w:r>
      <w:r w:rsidR="00157815">
        <w:rPr>
          <w:rFonts w:ascii="Times New Roman" w:hAnsi="Times New Roman"/>
          <w:sz w:val="20"/>
          <w:szCs w:val="20"/>
          <w:lang w:val="en-US"/>
        </w:rPr>
        <w:t>C</w:t>
      </w:r>
      <w:r w:rsidR="00157815" w:rsidRPr="00CE1795">
        <w:rPr>
          <w:rFonts w:ascii="Times New Roman" w:hAnsi="Times New Roman"/>
          <w:sz w:val="20"/>
          <w:szCs w:val="20"/>
          <w:lang w:val="en-US"/>
        </w:rPr>
        <w:t xml:space="preserve">itizenship </w:t>
      </w:r>
      <w:r w:rsidR="00157815">
        <w:rPr>
          <w:rFonts w:ascii="Times New Roman" w:hAnsi="Times New Roman"/>
          <w:sz w:val="20"/>
          <w:szCs w:val="20"/>
          <w:lang w:val="en-US"/>
        </w:rPr>
        <w:t>W</w:t>
      </w:r>
      <w:r w:rsidR="00157815" w:rsidRPr="00CE1795">
        <w:rPr>
          <w:rFonts w:ascii="Times New Roman" w:hAnsi="Times New Roman"/>
          <w:sz w:val="20"/>
          <w:szCs w:val="20"/>
          <w:lang w:val="en-US"/>
        </w:rPr>
        <w:t xml:space="preserve">ithout </w:t>
      </w:r>
      <w:r w:rsidR="00157815">
        <w:rPr>
          <w:rFonts w:ascii="Times New Roman" w:hAnsi="Times New Roman"/>
          <w:sz w:val="20"/>
          <w:szCs w:val="20"/>
          <w:lang w:val="en-US"/>
        </w:rPr>
        <w:t>S</w:t>
      </w:r>
      <w:r w:rsidR="00157815" w:rsidRPr="00CE1795">
        <w:rPr>
          <w:rFonts w:ascii="Times New Roman" w:hAnsi="Times New Roman"/>
          <w:sz w:val="20"/>
          <w:szCs w:val="20"/>
          <w:lang w:val="en-US"/>
        </w:rPr>
        <w:t xml:space="preserve">ocial </w:t>
      </w:r>
      <w:r w:rsidR="00157815">
        <w:rPr>
          <w:rFonts w:ascii="Times New Roman" w:hAnsi="Times New Roman"/>
          <w:sz w:val="20"/>
          <w:szCs w:val="20"/>
          <w:lang w:val="en-US"/>
        </w:rPr>
        <w:t>R</w:t>
      </w:r>
      <w:r w:rsidR="00157815" w:rsidRPr="00CE1795">
        <w:rPr>
          <w:rFonts w:ascii="Times New Roman" w:hAnsi="Times New Roman"/>
          <w:sz w:val="20"/>
          <w:szCs w:val="20"/>
          <w:lang w:val="en-US"/>
        </w:rPr>
        <w:t>ights?</w:t>
      </w:r>
      <w:r w:rsidR="00157815">
        <w:rPr>
          <w:rFonts w:ascii="Times New Roman" w:hAnsi="Times New Roman"/>
          <w:sz w:val="20"/>
          <w:szCs w:val="20"/>
          <w:lang w:val="en-US"/>
        </w:rPr>
        <w:t xml:space="preserve">” (2019), </w:t>
      </w:r>
      <w:r w:rsidR="00157815" w:rsidRPr="00CE1795">
        <w:rPr>
          <w:rFonts w:ascii="Times New Roman" w:hAnsi="Times New Roman"/>
          <w:sz w:val="20"/>
          <w:szCs w:val="20"/>
          <w:lang w:val="en-US"/>
        </w:rPr>
        <w:t>153</w:t>
      </w:r>
    </w:p>
  </w:footnote>
  <w:footnote w:id="44">
    <w:p w14:paraId="53CCBC8D" w14:textId="5714E316" w:rsidR="00975865" w:rsidRPr="00EB6AAC" w:rsidRDefault="00975865" w:rsidP="00DC1334">
      <w:pPr>
        <w:pStyle w:val="Notedepieddepage"/>
        <w:jc w:val="both"/>
        <w:rPr>
          <w:lang w:val="en-US"/>
        </w:rPr>
      </w:pPr>
      <w:r>
        <w:rPr>
          <w:rStyle w:val="Aucun"/>
          <w:rFonts w:ascii="Times New Roman" w:eastAsia="Times New Roman" w:hAnsi="Times New Roman" w:cs="Times New Roman"/>
          <w:sz w:val="20"/>
          <w:szCs w:val="20"/>
          <w:vertAlign w:val="superscript"/>
        </w:rPr>
        <w:footnoteRef/>
      </w:r>
      <w:r w:rsidR="008403DE" w:rsidRPr="00CE1795">
        <w:rPr>
          <w:rFonts w:ascii="Times New Roman" w:hAnsi="Times New Roman"/>
          <w:sz w:val="20"/>
          <w:szCs w:val="20"/>
          <w:lang w:val="en-US"/>
        </w:rPr>
        <w:t xml:space="preserve">S. Devetzi, </w:t>
      </w:r>
      <w:r w:rsidR="008403DE">
        <w:rPr>
          <w:rFonts w:ascii="Times New Roman" w:hAnsi="Times New Roman"/>
          <w:sz w:val="20"/>
          <w:szCs w:val="20"/>
          <w:lang w:val="en-US"/>
        </w:rPr>
        <w:t>“</w:t>
      </w:r>
      <w:r w:rsidR="008403DE" w:rsidRPr="00CE1795">
        <w:rPr>
          <w:rFonts w:ascii="Times New Roman" w:hAnsi="Times New Roman"/>
          <w:sz w:val="20"/>
          <w:szCs w:val="20"/>
          <w:lang w:val="en-US"/>
        </w:rPr>
        <w:t>EU Citizens, Residence Rights and Solidarity in the Post-Dano/Alimanovic Era in Germany</w:t>
      </w:r>
      <w:r w:rsidR="008403DE">
        <w:rPr>
          <w:rFonts w:ascii="Times New Roman" w:hAnsi="Times New Roman"/>
          <w:sz w:val="20"/>
          <w:szCs w:val="20"/>
          <w:lang w:val="en-US"/>
        </w:rPr>
        <w:t>” (2019)</w:t>
      </w:r>
      <w:r w:rsidR="008403DE" w:rsidRPr="00CE1795">
        <w:rPr>
          <w:rFonts w:ascii="Times New Roman" w:hAnsi="Times New Roman"/>
          <w:sz w:val="20"/>
          <w:szCs w:val="20"/>
          <w:lang w:val="en-US"/>
        </w:rPr>
        <w:t xml:space="preserve"> </w:t>
      </w:r>
      <w:r w:rsidR="008403DE">
        <w:rPr>
          <w:rFonts w:ascii="Times New Roman" w:hAnsi="Times New Roman"/>
          <w:sz w:val="20"/>
          <w:szCs w:val="20"/>
          <w:lang w:val="en-US"/>
        </w:rPr>
        <w:t xml:space="preserve">21 </w:t>
      </w:r>
      <w:r w:rsidR="008403DE">
        <w:rPr>
          <w:rStyle w:val="Aucun"/>
          <w:rFonts w:ascii="Times New Roman" w:hAnsi="Times New Roman"/>
          <w:sz w:val="20"/>
          <w:szCs w:val="20"/>
          <w:lang w:val="en-US"/>
        </w:rPr>
        <w:t xml:space="preserve">E.J.M.L. </w:t>
      </w:r>
      <w:r w:rsidR="008403DE">
        <w:rPr>
          <w:rFonts w:ascii="Times New Roman" w:hAnsi="Times New Roman"/>
          <w:sz w:val="20"/>
          <w:szCs w:val="20"/>
          <w:lang w:val="en-US"/>
        </w:rPr>
        <w:t>3,</w:t>
      </w:r>
      <w:r w:rsidR="008403DE" w:rsidRPr="00CE1795">
        <w:rPr>
          <w:rFonts w:ascii="Times New Roman" w:hAnsi="Times New Roman"/>
          <w:sz w:val="20"/>
          <w:szCs w:val="20"/>
          <w:lang w:val="en-US"/>
        </w:rPr>
        <w:t xml:space="preserve"> 340-</w:t>
      </w:r>
      <w:r w:rsidR="008403DE">
        <w:rPr>
          <w:rFonts w:ascii="Times New Roman" w:hAnsi="Times New Roman"/>
          <w:sz w:val="20"/>
          <w:szCs w:val="20"/>
          <w:lang w:val="en-US"/>
        </w:rPr>
        <w:t>34</w:t>
      </w:r>
      <w:r w:rsidR="008403DE" w:rsidRPr="00CE1795">
        <w:rPr>
          <w:rFonts w:ascii="Times New Roman" w:hAnsi="Times New Roman"/>
          <w:sz w:val="20"/>
          <w:szCs w:val="20"/>
          <w:lang w:val="en-US"/>
        </w:rPr>
        <w:t>1</w:t>
      </w:r>
      <w:r w:rsidR="008403DE">
        <w:rPr>
          <w:rFonts w:ascii="Times New Roman" w:hAnsi="Times New Roman"/>
          <w:sz w:val="20"/>
          <w:szCs w:val="20"/>
          <w:lang w:val="en-US"/>
        </w:rPr>
        <w:t>.</w:t>
      </w:r>
      <w:r w:rsidRPr="00EB6AAC">
        <w:rPr>
          <w:rFonts w:ascii="Times New Roman" w:hAnsi="Times New Roman"/>
          <w:sz w:val="20"/>
          <w:szCs w:val="20"/>
          <w:lang w:val="en-US"/>
        </w:rPr>
        <w:t xml:space="preserve"> </w:t>
      </w:r>
    </w:p>
  </w:footnote>
  <w:footnote w:id="45">
    <w:p w14:paraId="2367F71C" w14:textId="3750CA83" w:rsidR="00EE1BEA" w:rsidRPr="00F434EE" w:rsidRDefault="00EE1BEA" w:rsidP="0017677E">
      <w:pPr>
        <w:pStyle w:val="Commentaire"/>
        <w:jc w:val="both"/>
      </w:pPr>
      <w:r>
        <w:rPr>
          <w:rStyle w:val="Appelnotedebasdep"/>
        </w:rPr>
        <w:footnoteRef/>
      </w:r>
      <w:r w:rsidR="00EC39D4">
        <w:rPr>
          <w:color w:val="000000"/>
        </w:rPr>
        <w:t xml:space="preserve">In a similar vein, see </w:t>
      </w:r>
      <w:r w:rsidR="008403DE">
        <w:rPr>
          <w:color w:val="000000"/>
        </w:rPr>
        <w:t xml:space="preserve">D. </w:t>
      </w:r>
      <w:r>
        <w:rPr>
          <w:color w:val="000000"/>
        </w:rPr>
        <w:t>Thym</w:t>
      </w:r>
      <w:r w:rsidR="008403DE" w:rsidRPr="00CE1795">
        <w:t xml:space="preserve">, </w:t>
      </w:r>
      <w:r w:rsidR="008403DE">
        <w:t>“</w:t>
      </w:r>
      <w:r w:rsidR="008403DE" w:rsidRPr="00CE1795">
        <w:t xml:space="preserve">When Union </w:t>
      </w:r>
      <w:r w:rsidR="008403DE">
        <w:t>C</w:t>
      </w:r>
      <w:r w:rsidR="008403DE" w:rsidRPr="00CE1795">
        <w:t xml:space="preserve">itizens </w:t>
      </w:r>
      <w:r w:rsidR="008403DE">
        <w:t>T</w:t>
      </w:r>
      <w:r w:rsidR="008403DE" w:rsidRPr="00CE1795">
        <w:t xml:space="preserve">urn </w:t>
      </w:r>
      <w:r w:rsidR="008403DE">
        <w:t>I</w:t>
      </w:r>
      <w:r w:rsidR="008403DE" w:rsidRPr="00CE1795">
        <w:t xml:space="preserve">nto </w:t>
      </w:r>
      <w:r w:rsidR="008403DE">
        <w:t>I</w:t>
      </w:r>
      <w:r w:rsidR="008403DE" w:rsidRPr="00CE1795">
        <w:t xml:space="preserve">llegal </w:t>
      </w:r>
      <w:r w:rsidR="008403DE">
        <w:t>M</w:t>
      </w:r>
      <w:r w:rsidR="008403DE" w:rsidRPr="00CE1795">
        <w:t xml:space="preserve">igrants: The Dano </w:t>
      </w:r>
      <w:r w:rsidR="008403DE">
        <w:t>C</w:t>
      </w:r>
      <w:r w:rsidR="008403DE" w:rsidRPr="00CE1795">
        <w:t>ase</w:t>
      </w:r>
      <w:r w:rsidR="008403DE">
        <w:t>”</w:t>
      </w:r>
      <w:r w:rsidR="008403DE" w:rsidRPr="00CE1795">
        <w:t xml:space="preserve"> </w:t>
      </w:r>
      <w:r w:rsidR="008403DE">
        <w:t xml:space="preserve">(2015) 40 </w:t>
      </w:r>
      <w:r w:rsidR="008403DE" w:rsidRPr="00B965E4">
        <w:rPr>
          <w:rStyle w:val="Aucun"/>
        </w:rPr>
        <w:t>E.L. Rev.</w:t>
      </w:r>
      <w:r w:rsidR="008403DE" w:rsidRPr="00CE1795">
        <w:t xml:space="preserve"> </w:t>
      </w:r>
      <w:r w:rsidR="008403DE">
        <w:t>2,</w:t>
      </w:r>
      <w:r w:rsidR="00861A89" w:rsidRPr="00CE1795">
        <w:t xml:space="preserve"> </w:t>
      </w:r>
      <w:r>
        <w:rPr>
          <w:color w:val="000000"/>
        </w:rPr>
        <w:t>256</w:t>
      </w:r>
      <w:r w:rsidRPr="000D02E0">
        <w:rPr>
          <w:color w:val="000000"/>
        </w:rPr>
        <w:t>.</w:t>
      </w:r>
      <w:r>
        <w:rPr>
          <w:i/>
          <w:iCs/>
          <w:color w:val="000000"/>
        </w:rPr>
        <w:t xml:space="preserve"> </w:t>
      </w:r>
      <w:r w:rsidRPr="00861A89">
        <w:rPr>
          <w:color w:val="000000"/>
        </w:rPr>
        <w:t>See also</w:t>
      </w:r>
      <w:r>
        <w:rPr>
          <w:i/>
          <w:iCs/>
          <w:color w:val="000000"/>
        </w:rPr>
        <w:t xml:space="preserve"> </w:t>
      </w:r>
      <w:r>
        <w:rPr>
          <w:color w:val="000000"/>
        </w:rPr>
        <w:t xml:space="preserve">Nic Shuibhne, </w:t>
      </w:r>
      <w:r w:rsidR="00861A89">
        <w:t>“</w:t>
      </w:r>
      <w:r w:rsidR="00861A89" w:rsidRPr="00CE1795">
        <w:t xml:space="preserve">Limits </w:t>
      </w:r>
      <w:r w:rsidR="00861A89">
        <w:t>R</w:t>
      </w:r>
      <w:r w:rsidR="00861A89" w:rsidRPr="00CE1795">
        <w:t xml:space="preserve">ising, </w:t>
      </w:r>
      <w:r w:rsidR="00861A89">
        <w:t>D</w:t>
      </w:r>
      <w:r w:rsidR="00861A89" w:rsidRPr="00CE1795">
        <w:t xml:space="preserve">uties </w:t>
      </w:r>
      <w:r w:rsidR="00861A89">
        <w:t>A</w:t>
      </w:r>
      <w:r w:rsidR="00861A89" w:rsidRPr="00CE1795">
        <w:t>scending</w:t>
      </w:r>
      <w:r w:rsidR="00861A89">
        <w:t>” (2015)</w:t>
      </w:r>
      <w:r w:rsidR="00713B11">
        <w:t>,</w:t>
      </w:r>
      <w:r w:rsidR="00861A89" w:rsidRPr="00CE1795">
        <w:t xml:space="preserve"> </w:t>
      </w:r>
      <w:r>
        <w:rPr>
          <w:color w:val="000000"/>
        </w:rPr>
        <w:t xml:space="preserve">915. </w:t>
      </w:r>
    </w:p>
  </w:footnote>
  <w:footnote w:id="46">
    <w:p w14:paraId="5792EBF4" w14:textId="70F6F1B9" w:rsidR="001D30BE" w:rsidRPr="001D30BE" w:rsidRDefault="001D30BE" w:rsidP="001D30BE">
      <w:pPr>
        <w:pStyle w:val="Notedebasdepage"/>
        <w:jc w:val="both"/>
      </w:pPr>
      <w:r>
        <w:rPr>
          <w:rStyle w:val="Appelnotedebasdep"/>
        </w:rPr>
        <w:footnoteRef/>
      </w:r>
      <w:r w:rsidRPr="00CE1795">
        <w:t xml:space="preserve">Regrettably, the Court did not engage </w:t>
      </w:r>
      <w:r w:rsidR="00936325">
        <w:t xml:space="preserve">thoroughly </w:t>
      </w:r>
      <w:r w:rsidRPr="00CE1795">
        <w:t>with</w:t>
      </w:r>
      <w:r>
        <w:t xml:space="preserve"> the </w:t>
      </w:r>
      <w:r w:rsidRPr="00CE1795">
        <w:t xml:space="preserve">thorny </w:t>
      </w:r>
      <w:r>
        <w:t xml:space="preserve">relationship between the Treaty principle of non-discrimination laid down in Arts. 18 and 21 TFEU and the secondary provisions adopted to give effect to this principle. </w:t>
      </w:r>
      <w:r w:rsidRPr="008B5DD2">
        <w:t>See</w:t>
      </w:r>
      <w:r w:rsidRPr="008B5DD2">
        <w:rPr>
          <w:i/>
          <w:iCs/>
        </w:rPr>
        <w:t xml:space="preserve"> </w:t>
      </w:r>
      <w:r w:rsidRPr="008B5DD2">
        <w:t>Verschueren, “Preventing ‘Benefit Tourism’ in the EU</w:t>
      </w:r>
      <w:r>
        <w:t>”</w:t>
      </w:r>
      <w:r w:rsidRPr="008B5DD2">
        <w:t xml:space="preserve"> (2015), </w:t>
      </w:r>
      <w:r w:rsidRPr="00CE1795">
        <w:t xml:space="preserve">381-383; Nic Shuibhne, </w:t>
      </w:r>
      <w:r w:rsidRPr="008B5DD2">
        <w:t>“What I Tell You Three Times is True” (2016)</w:t>
      </w:r>
      <w:r>
        <w:t>,</w:t>
      </w:r>
      <w:r w:rsidRPr="007F410B">
        <w:t xml:space="preserve"> </w:t>
      </w:r>
      <w:r w:rsidRPr="00CE1795">
        <w:t>926.</w:t>
      </w:r>
    </w:p>
  </w:footnote>
  <w:footnote w:id="47">
    <w:p w14:paraId="3C86D4E7" w14:textId="55979B2F" w:rsidR="00EE1BEA" w:rsidRPr="00270014" w:rsidRDefault="00EE1BEA" w:rsidP="0017677E">
      <w:pPr>
        <w:pStyle w:val="Notedebasdepage"/>
        <w:jc w:val="both"/>
      </w:pPr>
      <w:r>
        <w:rPr>
          <w:rStyle w:val="Appelnotedebasdep"/>
        </w:rPr>
        <w:footnoteRef/>
      </w:r>
      <w:r w:rsidR="00B46531">
        <w:t>In a similar vein, see</w:t>
      </w:r>
      <w:r w:rsidR="00D3182B">
        <w:t xml:space="preserve"> AG Richard de la Tour in </w:t>
      </w:r>
      <w:r w:rsidR="00D3182B">
        <w:rPr>
          <w:i/>
          <w:iCs/>
        </w:rPr>
        <w:t xml:space="preserve">CG v The Department for Communities in Northern Ireland </w:t>
      </w:r>
      <w:r w:rsidR="00D3182B">
        <w:t xml:space="preserve">(C-709/20) EU:C:2021:515. </w:t>
      </w:r>
      <w:r w:rsidR="00EC39D4">
        <w:t xml:space="preserve">See also </w:t>
      </w:r>
      <w:r>
        <w:t xml:space="preserve">Nic Shuibhne, </w:t>
      </w:r>
      <w:r w:rsidR="00861A89">
        <w:t>“</w:t>
      </w:r>
      <w:r w:rsidR="00861A89" w:rsidRPr="00CE1795">
        <w:t xml:space="preserve">Limits </w:t>
      </w:r>
      <w:r w:rsidR="00861A89">
        <w:t>R</w:t>
      </w:r>
      <w:r w:rsidR="00861A89" w:rsidRPr="00CE1795">
        <w:t xml:space="preserve">ising, </w:t>
      </w:r>
      <w:r w:rsidR="00861A89">
        <w:t>D</w:t>
      </w:r>
      <w:r w:rsidR="00861A89" w:rsidRPr="00CE1795">
        <w:t xml:space="preserve">uties </w:t>
      </w:r>
      <w:r w:rsidR="00861A89">
        <w:t>A</w:t>
      </w:r>
      <w:r w:rsidR="00861A89" w:rsidRPr="00CE1795">
        <w:t>scending</w:t>
      </w:r>
      <w:r w:rsidR="00861A89">
        <w:t>” (2015),</w:t>
      </w:r>
      <w:r>
        <w:t xml:space="preserve"> 932-933. </w:t>
      </w:r>
    </w:p>
  </w:footnote>
  <w:footnote w:id="48">
    <w:p w14:paraId="5913746C" w14:textId="4B261911" w:rsidR="00D412A5" w:rsidRPr="00D412A5" w:rsidRDefault="00D412A5" w:rsidP="00357ABA">
      <w:pPr>
        <w:pStyle w:val="Notedebasdepage"/>
        <w:jc w:val="both"/>
      </w:pPr>
      <w:r>
        <w:rPr>
          <w:rStyle w:val="Appelnotedebasdep"/>
        </w:rPr>
        <w:footnoteRef/>
      </w:r>
      <w:r w:rsidR="00357ABA" w:rsidRPr="008B5DD2">
        <w:rPr>
          <w:i/>
          <w:iCs/>
        </w:rPr>
        <w:t>European</w:t>
      </w:r>
      <w:r w:rsidR="00357ABA" w:rsidRPr="00CE1795">
        <w:t xml:space="preserve"> </w:t>
      </w:r>
      <w:r w:rsidR="00357ABA" w:rsidRPr="00CE1795">
        <w:rPr>
          <w:rStyle w:val="Aucun"/>
          <w:i/>
          <w:iCs/>
        </w:rPr>
        <w:t>Commission v United Kingdom</w:t>
      </w:r>
      <w:r w:rsidR="00357ABA">
        <w:rPr>
          <w:rStyle w:val="Aucun"/>
          <w:i/>
          <w:iCs/>
        </w:rPr>
        <w:t xml:space="preserve"> of Great Britain and Northern Ireland </w:t>
      </w:r>
      <w:r w:rsidR="00357ABA">
        <w:rPr>
          <w:rStyle w:val="Aucun"/>
        </w:rPr>
        <w:t>(C-308/14) EU:C:2016:436 at [63-68]</w:t>
      </w:r>
      <w:r w:rsidR="00357ABA" w:rsidRPr="00CE1795">
        <w:t>.</w:t>
      </w:r>
    </w:p>
  </w:footnote>
  <w:footnote w:id="49">
    <w:p w14:paraId="37ADD466" w14:textId="7CB3CFA1" w:rsidR="00EE1BEA" w:rsidRPr="00FB0E95" w:rsidRDefault="00EE1BEA" w:rsidP="0017677E">
      <w:pPr>
        <w:jc w:val="both"/>
        <w:rPr>
          <w:sz w:val="20"/>
          <w:szCs w:val="20"/>
          <w:lang w:val="en-US"/>
        </w:rPr>
      </w:pPr>
      <w:r w:rsidRPr="00FB0E95">
        <w:rPr>
          <w:rStyle w:val="Appelnotedebasdep"/>
          <w:sz w:val="20"/>
          <w:szCs w:val="20"/>
        </w:rPr>
        <w:footnoteRef/>
      </w:r>
      <w:r w:rsidR="00D622D7">
        <w:rPr>
          <w:sz w:val="20"/>
          <w:szCs w:val="20"/>
          <w:lang w:val="en-US"/>
        </w:rPr>
        <w:t>AG</w:t>
      </w:r>
      <w:r w:rsidRPr="00FB0E95">
        <w:rPr>
          <w:sz w:val="20"/>
          <w:szCs w:val="20"/>
          <w:lang w:val="en-US"/>
        </w:rPr>
        <w:t xml:space="preserve"> Pitruzzella expressed doubts as to whether </w:t>
      </w:r>
      <w:r>
        <w:rPr>
          <w:sz w:val="20"/>
          <w:szCs w:val="20"/>
          <w:lang w:val="en-US"/>
        </w:rPr>
        <w:t>the Court indeed sought</w:t>
      </w:r>
      <w:r w:rsidRPr="00FB0E95">
        <w:rPr>
          <w:sz w:val="20"/>
          <w:szCs w:val="20"/>
          <w:lang w:val="en-US"/>
        </w:rPr>
        <w:t xml:space="preserve"> to </w:t>
      </w:r>
      <w:r w:rsidR="00A0576F">
        <w:rPr>
          <w:sz w:val="20"/>
          <w:szCs w:val="20"/>
          <w:lang w:val="en-US"/>
        </w:rPr>
        <w:t>“</w:t>
      </w:r>
      <w:r w:rsidRPr="00FB0E95">
        <w:rPr>
          <w:sz w:val="20"/>
          <w:szCs w:val="20"/>
          <w:lang w:val="en-US"/>
        </w:rPr>
        <w:t xml:space="preserve">bring </w:t>
      </w:r>
      <w:r w:rsidRPr="00FB0E95">
        <w:rPr>
          <w:color w:val="000000"/>
          <w:sz w:val="20"/>
          <w:szCs w:val="20"/>
          <w:lang w:val="en-US"/>
        </w:rPr>
        <w:t>Article 4 of Regulation No 883/2004 in line with Article 24(2) of Directive 2004/38, in the sense that the effectiveness of the latter would make it necessary to limit the former</w:t>
      </w:r>
      <w:r w:rsidR="00A0576F">
        <w:rPr>
          <w:color w:val="000000"/>
          <w:sz w:val="20"/>
          <w:szCs w:val="20"/>
          <w:lang w:val="en-US"/>
        </w:rPr>
        <w:t>”</w:t>
      </w:r>
      <w:r>
        <w:rPr>
          <w:color w:val="000000"/>
          <w:sz w:val="20"/>
          <w:szCs w:val="20"/>
          <w:lang w:val="en-US"/>
        </w:rPr>
        <w:t xml:space="preserve"> (</w:t>
      </w:r>
      <w:r w:rsidR="00D622D7">
        <w:rPr>
          <w:sz w:val="20"/>
          <w:szCs w:val="20"/>
          <w:lang w:val="en-US"/>
        </w:rPr>
        <w:t>AG</w:t>
      </w:r>
      <w:r w:rsidR="00861A89">
        <w:rPr>
          <w:sz w:val="20"/>
          <w:szCs w:val="20"/>
          <w:lang w:val="en-US"/>
        </w:rPr>
        <w:t xml:space="preserve"> Pitruzzella in </w:t>
      </w:r>
      <w:r w:rsidRPr="003A327B">
        <w:rPr>
          <w:rStyle w:val="Aucun"/>
          <w:i/>
          <w:iCs/>
          <w:sz w:val="20"/>
          <w:szCs w:val="20"/>
          <w:lang w:val="en-US"/>
        </w:rPr>
        <w:t>Jobcenter Krefeld</w:t>
      </w:r>
      <w:r w:rsidR="00861A89">
        <w:rPr>
          <w:rStyle w:val="Aucun"/>
          <w:i/>
          <w:iCs/>
          <w:sz w:val="20"/>
          <w:szCs w:val="20"/>
          <w:lang w:val="en-US"/>
        </w:rPr>
        <w:t xml:space="preserve"> – Widerspruchsstelle v JD </w:t>
      </w:r>
      <w:r w:rsidR="00861A89">
        <w:rPr>
          <w:rStyle w:val="Aucun"/>
          <w:sz w:val="20"/>
          <w:szCs w:val="20"/>
          <w:lang w:val="en-US"/>
        </w:rPr>
        <w:t>(C-181/19) EU:C:2020:</w:t>
      </w:r>
      <w:r w:rsidR="00940AB7">
        <w:rPr>
          <w:rStyle w:val="Aucun"/>
          <w:sz w:val="20"/>
          <w:szCs w:val="20"/>
          <w:lang w:val="en-US"/>
        </w:rPr>
        <w:t>377</w:t>
      </w:r>
      <w:r w:rsidR="00861A89">
        <w:rPr>
          <w:rStyle w:val="Aucun"/>
          <w:sz w:val="20"/>
          <w:szCs w:val="20"/>
          <w:lang w:val="en-US"/>
        </w:rPr>
        <w:t xml:space="preserve"> at [</w:t>
      </w:r>
      <w:r w:rsidRPr="003A327B">
        <w:rPr>
          <w:color w:val="000000"/>
          <w:sz w:val="20"/>
          <w:szCs w:val="20"/>
          <w:lang w:val="en-US"/>
        </w:rPr>
        <w:t>79</w:t>
      </w:r>
      <w:r w:rsidR="00861A89">
        <w:rPr>
          <w:color w:val="000000"/>
          <w:sz w:val="20"/>
          <w:szCs w:val="20"/>
          <w:lang w:val="en-US"/>
        </w:rPr>
        <w:t>]</w:t>
      </w:r>
      <w:r>
        <w:rPr>
          <w:color w:val="000000"/>
          <w:sz w:val="20"/>
          <w:szCs w:val="20"/>
          <w:lang w:val="en-US"/>
        </w:rPr>
        <w:t xml:space="preserve">). </w:t>
      </w:r>
    </w:p>
  </w:footnote>
  <w:footnote w:id="50">
    <w:p w14:paraId="19ED894E" w14:textId="2831D709" w:rsidR="00EE1BEA" w:rsidRPr="00CE1795" w:rsidRDefault="00EE1BEA" w:rsidP="0017677E">
      <w:pPr>
        <w:pStyle w:val="Notedepieddepage"/>
        <w:jc w:val="both"/>
        <w:rPr>
          <w:lang w:val="en-US"/>
        </w:rPr>
      </w:pPr>
      <w:r>
        <w:rPr>
          <w:rStyle w:val="Aucun"/>
          <w:rFonts w:ascii="Times New Roman" w:eastAsia="Times New Roman" w:hAnsi="Times New Roman" w:cs="Times New Roman"/>
          <w:sz w:val="20"/>
          <w:szCs w:val="20"/>
          <w:vertAlign w:val="superscript"/>
        </w:rPr>
        <w:footnoteRef/>
      </w:r>
      <w:r w:rsidRPr="00CE1795">
        <w:rPr>
          <w:rFonts w:ascii="Times New Roman" w:hAnsi="Times New Roman"/>
          <w:sz w:val="20"/>
          <w:szCs w:val="20"/>
          <w:lang w:val="en-US"/>
        </w:rPr>
        <w:t xml:space="preserve">On the impact of these judgments in the </w:t>
      </w:r>
      <w:r w:rsidR="004B57AE">
        <w:rPr>
          <w:rFonts w:ascii="Times New Roman" w:hAnsi="Times New Roman"/>
          <w:sz w:val="20"/>
          <w:szCs w:val="20"/>
          <w:lang w:val="en-US"/>
        </w:rPr>
        <w:t>M</w:t>
      </w:r>
      <w:r w:rsidRPr="00CE1795">
        <w:rPr>
          <w:rFonts w:ascii="Times New Roman" w:hAnsi="Times New Roman"/>
          <w:sz w:val="20"/>
          <w:szCs w:val="20"/>
          <w:lang w:val="en-US"/>
        </w:rPr>
        <w:t xml:space="preserve">ember </w:t>
      </w:r>
      <w:r w:rsidR="004B57AE">
        <w:rPr>
          <w:rFonts w:ascii="Times New Roman" w:hAnsi="Times New Roman"/>
          <w:sz w:val="20"/>
          <w:szCs w:val="20"/>
          <w:lang w:val="en-US"/>
        </w:rPr>
        <w:t>S</w:t>
      </w:r>
      <w:r w:rsidRPr="00CE1795">
        <w:rPr>
          <w:rFonts w:ascii="Times New Roman" w:hAnsi="Times New Roman"/>
          <w:sz w:val="20"/>
          <w:szCs w:val="20"/>
          <w:lang w:val="en-US"/>
        </w:rPr>
        <w:t xml:space="preserve">tates, </w:t>
      </w:r>
      <w:r w:rsidRPr="00940AB7">
        <w:rPr>
          <w:rFonts w:ascii="Times New Roman" w:hAnsi="Times New Roman"/>
          <w:sz w:val="20"/>
          <w:szCs w:val="20"/>
          <w:lang w:val="en-US"/>
        </w:rPr>
        <w:t>see</w:t>
      </w:r>
      <w:r w:rsidRPr="009037C6">
        <w:rPr>
          <w:rFonts w:ascii="Times New Roman" w:hAnsi="Times New Roman"/>
          <w:i/>
          <w:iCs/>
          <w:sz w:val="20"/>
          <w:szCs w:val="20"/>
          <w:lang w:val="en-US"/>
        </w:rPr>
        <w:t xml:space="preserve"> </w:t>
      </w:r>
      <w:r w:rsidRPr="00CE1795">
        <w:rPr>
          <w:rFonts w:ascii="Times New Roman" w:hAnsi="Times New Roman"/>
          <w:sz w:val="20"/>
          <w:szCs w:val="20"/>
          <w:lang w:val="en-US"/>
        </w:rPr>
        <w:t xml:space="preserve">S. Mantu and P. Minderhoud, </w:t>
      </w:r>
      <w:r w:rsidR="00940AB7">
        <w:rPr>
          <w:rFonts w:ascii="Times New Roman" w:hAnsi="Times New Roman"/>
          <w:sz w:val="20"/>
          <w:szCs w:val="20"/>
          <w:lang w:val="en-US"/>
        </w:rPr>
        <w:t>“</w:t>
      </w:r>
      <w:r w:rsidRPr="00CE1795">
        <w:rPr>
          <w:rFonts w:ascii="Times New Roman" w:hAnsi="Times New Roman"/>
          <w:sz w:val="20"/>
          <w:szCs w:val="20"/>
          <w:lang w:val="en-US"/>
        </w:rPr>
        <w:t>Exploring the Links between Residence and Social Rights for Economically Inactive EU Citizens</w:t>
      </w:r>
      <w:r w:rsidR="00940AB7">
        <w:rPr>
          <w:rFonts w:ascii="Times New Roman" w:hAnsi="Times New Roman"/>
          <w:sz w:val="20"/>
          <w:szCs w:val="20"/>
          <w:lang w:val="en-US"/>
        </w:rPr>
        <w:t>”</w:t>
      </w:r>
      <w:r w:rsidRPr="00CE1795">
        <w:rPr>
          <w:rFonts w:ascii="Times New Roman" w:hAnsi="Times New Roman"/>
          <w:sz w:val="20"/>
          <w:szCs w:val="20"/>
          <w:lang w:val="en-US"/>
        </w:rPr>
        <w:t xml:space="preserve">, </w:t>
      </w:r>
      <w:r w:rsidR="00940AB7">
        <w:rPr>
          <w:rFonts w:ascii="Times New Roman" w:hAnsi="Times New Roman"/>
          <w:sz w:val="20"/>
          <w:szCs w:val="20"/>
          <w:lang w:val="en-US"/>
        </w:rPr>
        <w:t xml:space="preserve">(2019) </w:t>
      </w:r>
      <w:r>
        <w:rPr>
          <w:rFonts w:ascii="Times New Roman" w:hAnsi="Times New Roman"/>
          <w:sz w:val="20"/>
          <w:szCs w:val="20"/>
          <w:lang w:val="en-US"/>
        </w:rPr>
        <w:t xml:space="preserve">21 </w:t>
      </w:r>
      <w:r w:rsidR="00D622D7">
        <w:rPr>
          <w:rStyle w:val="Aucun"/>
          <w:rFonts w:ascii="Times New Roman" w:hAnsi="Times New Roman"/>
          <w:sz w:val="20"/>
          <w:szCs w:val="20"/>
          <w:lang w:val="en-US"/>
        </w:rPr>
        <w:t>E.J.M.L.</w:t>
      </w:r>
      <w:r>
        <w:rPr>
          <w:rFonts w:ascii="Times New Roman" w:hAnsi="Times New Roman"/>
          <w:sz w:val="20"/>
          <w:szCs w:val="20"/>
          <w:lang w:val="en-US"/>
        </w:rPr>
        <w:t xml:space="preserve"> </w:t>
      </w:r>
      <w:r w:rsidR="00940AB7">
        <w:rPr>
          <w:rFonts w:ascii="Times New Roman" w:hAnsi="Times New Roman"/>
          <w:sz w:val="20"/>
          <w:szCs w:val="20"/>
          <w:lang w:val="en-US"/>
        </w:rPr>
        <w:t>3,</w:t>
      </w:r>
      <w:r w:rsidRPr="00CE1795">
        <w:rPr>
          <w:rFonts w:ascii="Times New Roman" w:hAnsi="Times New Roman"/>
          <w:sz w:val="20"/>
          <w:szCs w:val="20"/>
          <w:lang w:val="en-US"/>
        </w:rPr>
        <w:t xml:space="preserve"> 313</w:t>
      </w:r>
      <w:r>
        <w:rPr>
          <w:rFonts w:ascii="Times New Roman" w:hAnsi="Times New Roman"/>
          <w:sz w:val="20"/>
          <w:szCs w:val="20"/>
          <w:lang w:val="en-US"/>
        </w:rPr>
        <w:t xml:space="preserve">; </w:t>
      </w:r>
      <w:r w:rsidRPr="00CE1795">
        <w:rPr>
          <w:rFonts w:ascii="Times New Roman" w:hAnsi="Times New Roman"/>
          <w:sz w:val="20"/>
          <w:szCs w:val="20"/>
          <w:lang w:val="en-US"/>
        </w:rPr>
        <w:t xml:space="preserve">Barbulescu and Favell, </w:t>
      </w:r>
      <w:r w:rsidR="00940AB7">
        <w:rPr>
          <w:rFonts w:ascii="Times New Roman" w:hAnsi="Times New Roman"/>
          <w:sz w:val="20"/>
          <w:szCs w:val="20"/>
          <w:lang w:val="en-US"/>
        </w:rPr>
        <w:t>“</w:t>
      </w:r>
      <w:r w:rsidR="00940AB7" w:rsidRPr="00CE1795">
        <w:rPr>
          <w:rFonts w:ascii="Times New Roman" w:hAnsi="Times New Roman"/>
          <w:sz w:val="20"/>
          <w:szCs w:val="20"/>
          <w:lang w:val="en-US"/>
        </w:rPr>
        <w:t xml:space="preserve">Commentary: A </w:t>
      </w:r>
      <w:r w:rsidR="00940AB7">
        <w:rPr>
          <w:rFonts w:ascii="Times New Roman" w:hAnsi="Times New Roman"/>
          <w:sz w:val="20"/>
          <w:szCs w:val="20"/>
          <w:lang w:val="en-US"/>
        </w:rPr>
        <w:t>C</w:t>
      </w:r>
      <w:r w:rsidR="00940AB7" w:rsidRPr="00CE1795">
        <w:rPr>
          <w:rFonts w:ascii="Times New Roman" w:hAnsi="Times New Roman"/>
          <w:sz w:val="20"/>
          <w:szCs w:val="20"/>
          <w:lang w:val="en-US"/>
        </w:rPr>
        <w:t xml:space="preserve">itizenship </w:t>
      </w:r>
      <w:r w:rsidR="00940AB7">
        <w:rPr>
          <w:rFonts w:ascii="Times New Roman" w:hAnsi="Times New Roman"/>
          <w:sz w:val="20"/>
          <w:szCs w:val="20"/>
          <w:lang w:val="en-US"/>
        </w:rPr>
        <w:t>W</w:t>
      </w:r>
      <w:r w:rsidR="00940AB7" w:rsidRPr="00CE1795">
        <w:rPr>
          <w:rFonts w:ascii="Times New Roman" w:hAnsi="Times New Roman"/>
          <w:sz w:val="20"/>
          <w:szCs w:val="20"/>
          <w:lang w:val="en-US"/>
        </w:rPr>
        <w:t xml:space="preserve">ithout </w:t>
      </w:r>
      <w:r w:rsidR="00940AB7">
        <w:rPr>
          <w:rFonts w:ascii="Times New Roman" w:hAnsi="Times New Roman"/>
          <w:sz w:val="20"/>
          <w:szCs w:val="20"/>
          <w:lang w:val="en-US"/>
        </w:rPr>
        <w:t>S</w:t>
      </w:r>
      <w:r w:rsidR="00940AB7" w:rsidRPr="00CE1795">
        <w:rPr>
          <w:rFonts w:ascii="Times New Roman" w:hAnsi="Times New Roman"/>
          <w:sz w:val="20"/>
          <w:szCs w:val="20"/>
          <w:lang w:val="en-US"/>
        </w:rPr>
        <w:t xml:space="preserve">ocial </w:t>
      </w:r>
      <w:r w:rsidR="00940AB7">
        <w:rPr>
          <w:rFonts w:ascii="Times New Roman" w:hAnsi="Times New Roman"/>
          <w:sz w:val="20"/>
          <w:szCs w:val="20"/>
          <w:lang w:val="en-US"/>
        </w:rPr>
        <w:t>R</w:t>
      </w:r>
      <w:r w:rsidR="00940AB7" w:rsidRPr="00CE1795">
        <w:rPr>
          <w:rFonts w:ascii="Times New Roman" w:hAnsi="Times New Roman"/>
          <w:sz w:val="20"/>
          <w:szCs w:val="20"/>
          <w:lang w:val="en-US"/>
        </w:rPr>
        <w:t>ights?</w:t>
      </w:r>
      <w:r w:rsidR="00940AB7">
        <w:rPr>
          <w:rFonts w:ascii="Times New Roman" w:hAnsi="Times New Roman"/>
          <w:sz w:val="20"/>
          <w:szCs w:val="20"/>
          <w:lang w:val="en-US"/>
        </w:rPr>
        <w:t xml:space="preserve">” (2019), </w:t>
      </w:r>
      <w:r w:rsidRPr="00CE1795">
        <w:rPr>
          <w:rFonts w:ascii="Times New Roman" w:hAnsi="Times New Roman"/>
          <w:sz w:val="20"/>
          <w:szCs w:val="20"/>
          <w:lang w:val="en-US"/>
        </w:rPr>
        <w:t xml:space="preserve">151. </w:t>
      </w:r>
    </w:p>
  </w:footnote>
  <w:footnote w:id="51">
    <w:p w14:paraId="48B94668" w14:textId="55EB263D" w:rsidR="00EE1BEA" w:rsidRPr="00CE1795" w:rsidRDefault="00EE1BEA" w:rsidP="0017677E">
      <w:pPr>
        <w:pStyle w:val="Notedepieddepage"/>
        <w:jc w:val="both"/>
        <w:rPr>
          <w:lang w:val="en-US"/>
        </w:rPr>
      </w:pPr>
      <w:r>
        <w:rPr>
          <w:rStyle w:val="Aucun"/>
          <w:rFonts w:ascii="Times New Roman" w:eastAsia="Times New Roman" w:hAnsi="Times New Roman" w:cs="Times New Roman"/>
          <w:sz w:val="20"/>
          <w:szCs w:val="20"/>
          <w:vertAlign w:val="superscript"/>
        </w:rPr>
        <w:footnoteRef/>
      </w:r>
      <w:r>
        <w:rPr>
          <w:rFonts w:ascii="Times New Roman" w:hAnsi="Times New Roman"/>
          <w:sz w:val="20"/>
          <w:szCs w:val="20"/>
          <w:lang w:val="de-DE"/>
        </w:rPr>
        <w:t xml:space="preserve">F. Wollenshläger, </w:t>
      </w:r>
      <w:r w:rsidR="00940AB7">
        <w:rPr>
          <w:rFonts w:ascii="Times New Roman" w:hAnsi="Times New Roman"/>
          <w:sz w:val="20"/>
          <w:szCs w:val="20"/>
          <w:lang w:val="en-US"/>
        </w:rPr>
        <w:t>“</w:t>
      </w:r>
      <w:r>
        <w:rPr>
          <w:rFonts w:ascii="Times New Roman" w:hAnsi="Times New Roman"/>
          <w:sz w:val="20"/>
          <w:szCs w:val="20"/>
          <w:lang w:val="en-US"/>
        </w:rPr>
        <w:t>Consolidating Union Citizenship: Residence and Solidarity Rights for Job Seekers and the Economically Inactive in the Post-Dano era</w:t>
      </w:r>
      <w:r w:rsidR="00940AB7">
        <w:rPr>
          <w:rFonts w:ascii="Times New Roman" w:hAnsi="Times New Roman"/>
          <w:sz w:val="20"/>
          <w:szCs w:val="20"/>
          <w:lang w:val="en-US"/>
        </w:rPr>
        <w:t>”</w:t>
      </w:r>
      <w:r>
        <w:rPr>
          <w:rFonts w:ascii="Times New Roman" w:hAnsi="Times New Roman"/>
          <w:sz w:val="20"/>
          <w:szCs w:val="20"/>
          <w:lang w:val="en-US"/>
        </w:rPr>
        <w:t>, in D. Thym (ed</w:t>
      </w:r>
      <w:r w:rsidR="00D4491E">
        <w:rPr>
          <w:rFonts w:ascii="Times New Roman" w:hAnsi="Times New Roman"/>
          <w:sz w:val="20"/>
          <w:szCs w:val="20"/>
          <w:lang w:val="en-US"/>
        </w:rPr>
        <w:t>.</w:t>
      </w:r>
      <w:r>
        <w:rPr>
          <w:rFonts w:ascii="Times New Roman" w:hAnsi="Times New Roman"/>
          <w:sz w:val="20"/>
          <w:szCs w:val="20"/>
          <w:lang w:val="en-US"/>
        </w:rPr>
        <w:t xml:space="preserve">), </w:t>
      </w:r>
      <w:r>
        <w:rPr>
          <w:rStyle w:val="Aucun"/>
          <w:rFonts w:ascii="Times New Roman" w:hAnsi="Times New Roman"/>
          <w:i/>
          <w:iCs/>
          <w:sz w:val="20"/>
          <w:szCs w:val="20"/>
          <w:lang w:val="en-US"/>
        </w:rPr>
        <w:t>Questioning Eu Citizenship: Judges and the Limits of Free Movement and Solidarity in the EU</w:t>
      </w:r>
      <w:r w:rsidRPr="00CE1795">
        <w:rPr>
          <w:rFonts w:ascii="Times New Roman" w:hAnsi="Times New Roman"/>
          <w:sz w:val="20"/>
          <w:szCs w:val="20"/>
          <w:lang w:val="en-US"/>
        </w:rPr>
        <w:t xml:space="preserve"> </w:t>
      </w:r>
      <w:r>
        <w:rPr>
          <w:rFonts w:ascii="Times New Roman" w:hAnsi="Times New Roman"/>
          <w:sz w:val="20"/>
          <w:szCs w:val="20"/>
          <w:lang w:val="en-US"/>
        </w:rPr>
        <w:t>(</w:t>
      </w:r>
      <w:r w:rsidR="00940AB7">
        <w:rPr>
          <w:rFonts w:ascii="Times New Roman" w:hAnsi="Times New Roman"/>
          <w:sz w:val="20"/>
          <w:szCs w:val="20"/>
          <w:lang w:val="en-US"/>
        </w:rPr>
        <w:t xml:space="preserve">Oxford: </w:t>
      </w:r>
      <w:r w:rsidRPr="00CE1795">
        <w:rPr>
          <w:rFonts w:ascii="Times New Roman" w:hAnsi="Times New Roman"/>
          <w:sz w:val="20"/>
          <w:szCs w:val="20"/>
          <w:lang w:val="en-US"/>
        </w:rPr>
        <w:t>Oxford</w:t>
      </w:r>
      <w:r>
        <w:rPr>
          <w:rFonts w:ascii="Times New Roman" w:hAnsi="Times New Roman"/>
          <w:sz w:val="20"/>
          <w:szCs w:val="20"/>
          <w:lang w:val="en-US"/>
        </w:rPr>
        <w:t xml:space="preserve"> University Press</w:t>
      </w:r>
      <w:r w:rsidR="00940AB7">
        <w:rPr>
          <w:rFonts w:ascii="Times New Roman" w:hAnsi="Times New Roman"/>
          <w:sz w:val="20"/>
          <w:szCs w:val="20"/>
          <w:lang w:val="en-US"/>
        </w:rPr>
        <w:t>,</w:t>
      </w:r>
      <w:r w:rsidRPr="00CE1795">
        <w:rPr>
          <w:rFonts w:ascii="Times New Roman" w:hAnsi="Times New Roman"/>
          <w:sz w:val="20"/>
          <w:szCs w:val="20"/>
          <w:lang w:val="en-US"/>
        </w:rPr>
        <w:t xml:space="preserve"> 2017</w:t>
      </w:r>
      <w:r>
        <w:rPr>
          <w:rFonts w:ascii="Times New Roman" w:hAnsi="Times New Roman"/>
          <w:sz w:val="20"/>
          <w:szCs w:val="20"/>
          <w:lang w:val="en-US"/>
        </w:rPr>
        <w:t>)</w:t>
      </w:r>
      <w:r w:rsidR="00940AB7">
        <w:rPr>
          <w:rFonts w:ascii="Times New Roman" w:hAnsi="Times New Roman"/>
          <w:sz w:val="20"/>
          <w:szCs w:val="20"/>
          <w:lang w:val="en-US"/>
        </w:rPr>
        <w:t>,</w:t>
      </w:r>
      <w:r w:rsidRPr="00CE1795">
        <w:rPr>
          <w:rFonts w:ascii="Times New Roman" w:hAnsi="Times New Roman"/>
          <w:sz w:val="20"/>
          <w:szCs w:val="20"/>
          <w:lang w:val="en-US"/>
        </w:rPr>
        <w:t xml:space="preserve"> p. 172</w:t>
      </w:r>
      <w:r w:rsidR="00936325">
        <w:rPr>
          <w:rFonts w:ascii="Times New Roman" w:hAnsi="Times New Roman"/>
          <w:sz w:val="20"/>
          <w:szCs w:val="20"/>
          <w:lang w:val="en-US"/>
        </w:rPr>
        <w:t xml:space="preserve">; </w:t>
      </w:r>
      <w:r w:rsidR="00936325" w:rsidRPr="00CE1795">
        <w:rPr>
          <w:rFonts w:ascii="Times New Roman" w:hAnsi="Times New Roman"/>
          <w:sz w:val="20"/>
          <w:szCs w:val="20"/>
          <w:lang w:val="en-US"/>
        </w:rPr>
        <w:t xml:space="preserve">S. Giubonni, </w:t>
      </w:r>
      <w:r w:rsidR="00936325">
        <w:rPr>
          <w:rFonts w:ascii="Times New Roman" w:hAnsi="Times New Roman"/>
          <w:sz w:val="20"/>
          <w:szCs w:val="20"/>
          <w:lang w:val="en-US"/>
        </w:rPr>
        <w:t>“</w:t>
      </w:r>
      <w:r w:rsidR="00936325" w:rsidRPr="00CE1795">
        <w:rPr>
          <w:rFonts w:ascii="Times New Roman" w:hAnsi="Times New Roman"/>
          <w:sz w:val="20"/>
          <w:szCs w:val="20"/>
          <w:lang w:val="en-US"/>
        </w:rPr>
        <w:t xml:space="preserve">A </w:t>
      </w:r>
      <w:r w:rsidR="00936325">
        <w:rPr>
          <w:rFonts w:ascii="Times New Roman" w:hAnsi="Times New Roman"/>
          <w:sz w:val="20"/>
          <w:szCs w:val="20"/>
          <w:lang w:val="en-US"/>
        </w:rPr>
        <w:t>C</w:t>
      </w:r>
      <w:r w:rsidR="00936325" w:rsidRPr="00CE1795">
        <w:rPr>
          <w:rFonts w:ascii="Times New Roman" w:hAnsi="Times New Roman"/>
          <w:sz w:val="20"/>
          <w:szCs w:val="20"/>
          <w:lang w:val="en-US"/>
        </w:rPr>
        <w:t xml:space="preserve">ertain </w:t>
      </w:r>
      <w:r w:rsidR="00936325">
        <w:rPr>
          <w:rFonts w:ascii="Times New Roman" w:hAnsi="Times New Roman"/>
          <w:sz w:val="20"/>
          <w:szCs w:val="20"/>
          <w:lang w:val="en-US"/>
        </w:rPr>
        <w:t>D</w:t>
      </w:r>
      <w:r w:rsidR="00936325" w:rsidRPr="00CE1795">
        <w:rPr>
          <w:rFonts w:ascii="Times New Roman" w:hAnsi="Times New Roman"/>
          <w:sz w:val="20"/>
          <w:szCs w:val="20"/>
          <w:lang w:val="en-US"/>
        </w:rPr>
        <w:t xml:space="preserve">egree of </w:t>
      </w:r>
      <w:r w:rsidR="00936325">
        <w:rPr>
          <w:rFonts w:ascii="Times New Roman" w:hAnsi="Times New Roman"/>
          <w:sz w:val="20"/>
          <w:szCs w:val="20"/>
          <w:lang w:val="en-US"/>
        </w:rPr>
        <w:t>S</w:t>
      </w:r>
      <w:r w:rsidR="00936325" w:rsidRPr="00CE1795">
        <w:rPr>
          <w:rFonts w:ascii="Times New Roman" w:hAnsi="Times New Roman"/>
          <w:sz w:val="20"/>
          <w:szCs w:val="20"/>
          <w:lang w:val="en-US"/>
        </w:rPr>
        <w:t xml:space="preserve">olidarity? Free </w:t>
      </w:r>
      <w:r w:rsidR="00936325">
        <w:rPr>
          <w:rFonts w:ascii="Times New Roman" w:hAnsi="Times New Roman"/>
          <w:sz w:val="20"/>
          <w:szCs w:val="20"/>
          <w:lang w:val="en-US"/>
        </w:rPr>
        <w:t>M</w:t>
      </w:r>
      <w:r w:rsidR="00936325" w:rsidRPr="00CE1795">
        <w:rPr>
          <w:rFonts w:ascii="Times New Roman" w:hAnsi="Times New Roman"/>
          <w:sz w:val="20"/>
          <w:szCs w:val="20"/>
          <w:lang w:val="en-US"/>
        </w:rPr>
        <w:t xml:space="preserve">ovement of </w:t>
      </w:r>
      <w:r w:rsidR="00936325">
        <w:rPr>
          <w:rFonts w:ascii="Times New Roman" w:hAnsi="Times New Roman"/>
          <w:sz w:val="20"/>
          <w:szCs w:val="20"/>
          <w:lang w:val="en-US"/>
        </w:rPr>
        <w:t>P</w:t>
      </w:r>
      <w:r w:rsidR="00936325" w:rsidRPr="00CE1795">
        <w:rPr>
          <w:rFonts w:ascii="Times New Roman" w:hAnsi="Times New Roman"/>
          <w:sz w:val="20"/>
          <w:szCs w:val="20"/>
          <w:lang w:val="en-US"/>
        </w:rPr>
        <w:t xml:space="preserve">ersons and </w:t>
      </w:r>
      <w:r w:rsidR="00936325">
        <w:rPr>
          <w:rFonts w:ascii="Times New Roman" w:hAnsi="Times New Roman"/>
          <w:sz w:val="20"/>
          <w:szCs w:val="20"/>
          <w:lang w:val="en-US"/>
        </w:rPr>
        <w:t>A</w:t>
      </w:r>
      <w:r w:rsidR="00936325" w:rsidRPr="00CE1795">
        <w:rPr>
          <w:rFonts w:ascii="Times New Roman" w:hAnsi="Times New Roman"/>
          <w:sz w:val="20"/>
          <w:szCs w:val="20"/>
          <w:lang w:val="en-US"/>
        </w:rPr>
        <w:t xml:space="preserve">ccess to </w:t>
      </w:r>
      <w:r w:rsidR="00936325">
        <w:rPr>
          <w:rFonts w:ascii="Times New Roman" w:hAnsi="Times New Roman"/>
          <w:sz w:val="20"/>
          <w:szCs w:val="20"/>
          <w:lang w:val="en-US"/>
        </w:rPr>
        <w:t>S</w:t>
      </w:r>
      <w:r w:rsidR="00936325" w:rsidRPr="00CE1795">
        <w:rPr>
          <w:rFonts w:ascii="Times New Roman" w:hAnsi="Times New Roman"/>
          <w:sz w:val="20"/>
          <w:szCs w:val="20"/>
          <w:lang w:val="en-US"/>
        </w:rPr>
        <w:t xml:space="preserve">ocial </w:t>
      </w:r>
      <w:r w:rsidR="00936325">
        <w:rPr>
          <w:rFonts w:ascii="Times New Roman" w:hAnsi="Times New Roman"/>
          <w:sz w:val="20"/>
          <w:szCs w:val="20"/>
          <w:lang w:val="en-US"/>
        </w:rPr>
        <w:t>P</w:t>
      </w:r>
      <w:r w:rsidR="00936325" w:rsidRPr="00CE1795">
        <w:rPr>
          <w:rFonts w:ascii="Times New Roman" w:hAnsi="Times New Roman"/>
          <w:sz w:val="20"/>
          <w:szCs w:val="20"/>
          <w:lang w:val="en-US"/>
        </w:rPr>
        <w:t xml:space="preserve">rotection in the </w:t>
      </w:r>
      <w:r w:rsidR="00936325">
        <w:rPr>
          <w:rFonts w:ascii="Times New Roman" w:hAnsi="Times New Roman"/>
          <w:sz w:val="20"/>
          <w:szCs w:val="20"/>
          <w:lang w:val="en-US"/>
        </w:rPr>
        <w:t>C</w:t>
      </w:r>
      <w:r w:rsidR="00936325" w:rsidRPr="00CE1795">
        <w:rPr>
          <w:rFonts w:ascii="Times New Roman" w:hAnsi="Times New Roman"/>
          <w:sz w:val="20"/>
          <w:szCs w:val="20"/>
          <w:lang w:val="en-US"/>
        </w:rPr>
        <w:t xml:space="preserve">ase </w:t>
      </w:r>
      <w:r w:rsidR="00936325">
        <w:rPr>
          <w:rFonts w:ascii="Times New Roman" w:hAnsi="Times New Roman"/>
          <w:sz w:val="20"/>
          <w:szCs w:val="20"/>
          <w:lang w:val="en-US"/>
        </w:rPr>
        <w:t>L</w:t>
      </w:r>
      <w:r w:rsidR="00936325" w:rsidRPr="00CE1795">
        <w:rPr>
          <w:rFonts w:ascii="Times New Roman" w:hAnsi="Times New Roman"/>
          <w:sz w:val="20"/>
          <w:szCs w:val="20"/>
          <w:lang w:val="en-US"/>
        </w:rPr>
        <w:t>aw of the European Court of Justice</w:t>
      </w:r>
      <w:r w:rsidR="00936325">
        <w:rPr>
          <w:rFonts w:ascii="Times New Roman" w:hAnsi="Times New Roman"/>
          <w:sz w:val="20"/>
          <w:szCs w:val="20"/>
          <w:lang w:val="en-US"/>
        </w:rPr>
        <w:t>”</w:t>
      </w:r>
      <w:r w:rsidR="00936325" w:rsidRPr="00CE1795">
        <w:rPr>
          <w:rFonts w:ascii="Times New Roman" w:hAnsi="Times New Roman"/>
          <w:sz w:val="20"/>
          <w:szCs w:val="20"/>
          <w:lang w:val="en-US"/>
        </w:rPr>
        <w:t xml:space="preserve">, in M. Ross and Y. Bormann-Prebil (eds), </w:t>
      </w:r>
      <w:r w:rsidR="00936325" w:rsidRPr="00CE1795">
        <w:rPr>
          <w:rStyle w:val="Aucun"/>
          <w:rFonts w:ascii="Times New Roman" w:hAnsi="Times New Roman"/>
          <w:i/>
          <w:iCs/>
          <w:sz w:val="20"/>
          <w:szCs w:val="20"/>
          <w:lang w:val="en-US"/>
        </w:rPr>
        <w:t xml:space="preserve">Promoting Solidarity in The European Union </w:t>
      </w:r>
      <w:r w:rsidR="00936325" w:rsidRPr="00CE1795">
        <w:rPr>
          <w:rFonts w:ascii="Times New Roman" w:hAnsi="Times New Roman"/>
          <w:sz w:val="20"/>
          <w:szCs w:val="20"/>
          <w:lang w:val="en-US"/>
        </w:rPr>
        <w:t>(</w:t>
      </w:r>
      <w:r w:rsidR="00936325">
        <w:rPr>
          <w:rFonts w:ascii="Times New Roman" w:hAnsi="Times New Roman"/>
          <w:sz w:val="20"/>
          <w:szCs w:val="20"/>
          <w:lang w:val="en-US"/>
        </w:rPr>
        <w:t xml:space="preserve">Oxford: </w:t>
      </w:r>
      <w:r w:rsidR="00936325" w:rsidRPr="00CE1795">
        <w:rPr>
          <w:rFonts w:ascii="Times New Roman" w:hAnsi="Times New Roman"/>
          <w:sz w:val="20"/>
          <w:szCs w:val="20"/>
          <w:lang w:val="en-US"/>
        </w:rPr>
        <w:t>Oxford University Press</w:t>
      </w:r>
      <w:r w:rsidR="00936325">
        <w:rPr>
          <w:rFonts w:ascii="Times New Roman" w:hAnsi="Times New Roman"/>
          <w:sz w:val="20"/>
          <w:szCs w:val="20"/>
          <w:lang w:val="en-US"/>
        </w:rPr>
        <w:t>, 2010</w:t>
      </w:r>
      <w:r w:rsidR="00936325" w:rsidRPr="00CE1795">
        <w:rPr>
          <w:rFonts w:ascii="Times New Roman" w:hAnsi="Times New Roman"/>
          <w:sz w:val="20"/>
          <w:szCs w:val="20"/>
          <w:lang w:val="en-US"/>
        </w:rPr>
        <w:t>)</w:t>
      </w:r>
      <w:r w:rsidR="00936325">
        <w:rPr>
          <w:rFonts w:ascii="Times New Roman" w:hAnsi="Times New Roman"/>
          <w:sz w:val="20"/>
          <w:szCs w:val="20"/>
          <w:lang w:val="en-US"/>
        </w:rPr>
        <w:t>,</w:t>
      </w:r>
      <w:r w:rsidR="00936325" w:rsidRPr="00CE1795">
        <w:rPr>
          <w:rFonts w:ascii="Times New Roman" w:hAnsi="Times New Roman"/>
          <w:sz w:val="20"/>
          <w:szCs w:val="20"/>
          <w:lang w:val="en-US"/>
        </w:rPr>
        <w:t xml:space="preserve"> p. 191.</w:t>
      </w:r>
    </w:p>
  </w:footnote>
  <w:footnote w:id="52">
    <w:p w14:paraId="3E870A63" w14:textId="5E844050" w:rsidR="00EE1BEA" w:rsidRPr="00CE1795" w:rsidRDefault="00EE1BEA" w:rsidP="0017677E">
      <w:pPr>
        <w:pStyle w:val="Notedepieddepage"/>
        <w:jc w:val="both"/>
        <w:rPr>
          <w:lang w:val="en-US"/>
        </w:rPr>
      </w:pPr>
      <w:r>
        <w:rPr>
          <w:rStyle w:val="Aucun"/>
          <w:rFonts w:ascii="Times New Roman" w:eastAsia="Times New Roman" w:hAnsi="Times New Roman" w:cs="Times New Roman"/>
          <w:sz w:val="20"/>
          <w:szCs w:val="20"/>
          <w:vertAlign w:val="superscript"/>
        </w:rPr>
        <w:footnoteRef/>
      </w:r>
      <w:r w:rsidRPr="00CE1795">
        <w:rPr>
          <w:rFonts w:ascii="Times New Roman" w:hAnsi="Times New Roman"/>
          <w:sz w:val="20"/>
          <w:szCs w:val="20"/>
          <w:lang w:val="en-US"/>
        </w:rPr>
        <w:t xml:space="preserve">O’Brien, </w:t>
      </w:r>
      <w:r w:rsidR="00940AB7" w:rsidRPr="00861A89">
        <w:rPr>
          <w:rFonts w:ascii="Times New Roman" w:hAnsi="Times New Roman" w:cs="Times New Roman"/>
          <w:sz w:val="20"/>
          <w:szCs w:val="20"/>
          <w:lang w:val="en-US"/>
        </w:rPr>
        <w:t>“Civis Capitalist Sum” (2016),</w:t>
      </w:r>
      <w:r w:rsidR="00940AB7">
        <w:rPr>
          <w:sz w:val="20"/>
          <w:szCs w:val="20"/>
          <w:lang w:val="en-US"/>
        </w:rPr>
        <w:t xml:space="preserve"> </w:t>
      </w:r>
      <w:r w:rsidRPr="00CE1795">
        <w:rPr>
          <w:rFonts w:ascii="Times New Roman" w:hAnsi="Times New Roman"/>
          <w:sz w:val="20"/>
          <w:szCs w:val="20"/>
          <w:lang w:val="en-US"/>
        </w:rPr>
        <w:t xml:space="preserve">951. </w:t>
      </w:r>
    </w:p>
  </w:footnote>
  <w:footnote w:id="53">
    <w:p w14:paraId="218E01D9" w14:textId="42A91539" w:rsidR="00EE1BEA" w:rsidRPr="000C62A7" w:rsidRDefault="00EE1BEA" w:rsidP="0017677E">
      <w:pPr>
        <w:pStyle w:val="Notedebasdepage"/>
      </w:pPr>
      <w:r>
        <w:rPr>
          <w:rStyle w:val="Appelnotedebasdep"/>
        </w:rPr>
        <w:footnoteRef/>
      </w:r>
      <w:r w:rsidR="00940AB7" w:rsidRPr="000C62A7">
        <w:rPr>
          <w:rStyle w:val="Aucun"/>
          <w:i/>
          <w:iCs/>
        </w:rPr>
        <w:t xml:space="preserve">Jobcenter Krefeld </w:t>
      </w:r>
      <w:r w:rsidR="00940AB7" w:rsidRPr="000C62A7">
        <w:rPr>
          <w:rStyle w:val="Aucun"/>
        </w:rPr>
        <w:t>(C-181/19) EU:C:2020:794</w:t>
      </w:r>
      <w:r w:rsidRPr="000C62A7">
        <w:rPr>
          <w:rStyle w:val="Aucun"/>
        </w:rPr>
        <w:t xml:space="preserve">. </w:t>
      </w:r>
    </w:p>
  </w:footnote>
  <w:footnote w:id="54">
    <w:p w14:paraId="092AB025" w14:textId="6BA004CB" w:rsidR="00EE1BEA" w:rsidRPr="00095D84" w:rsidRDefault="00EE1BEA" w:rsidP="0017677E">
      <w:pPr>
        <w:pStyle w:val="Notedepieddepage"/>
        <w:jc w:val="both"/>
        <w:rPr>
          <w:rFonts w:ascii="Times New Roman" w:hAnsi="Times New Roman" w:cs="Times New Roman"/>
          <w:lang w:val="en-US"/>
        </w:rPr>
      </w:pPr>
      <w:r w:rsidRPr="00940AB7">
        <w:rPr>
          <w:rStyle w:val="Aucun"/>
          <w:rFonts w:ascii="Times New Roman" w:eastAsia="Times New Roman" w:hAnsi="Times New Roman" w:cs="Times New Roman"/>
          <w:sz w:val="20"/>
          <w:szCs w:val="20"/>
          <w:vertAlign w:val="superscript"/>
        </w:rPr>
        <w:footnoteRef/>
      </w:r>
      <w:r w:rsidR="000C62A7" w:rsidRPr="00095D84">
        <w:rPr>
          <w:rFonts w:ascii="Times New Roman" w:hAnsi="Times New Roman" w:cs="Times New Roman"/>
          <w:sz w:val="20"/>
          <w:szCs w:val="20"/>
          <w:lang w:val="en-US"/>
        </w:rPr>
        <w:t>AG Pitruzzella</w:t>
      </w:r>
      <w:r w:rsidR="00940AB7" w:rsidRPr="00095D84">
        <w:rPr>
          <w:rFonts w:ascii="Times New Roman" w:hAnsi="Times New Roman" w:cs="Times New Roman"/>
          <w:sz w:val="20"/>
          <w:szCs w:val="20"/>
          <w:lang w:val="en-US"/>
        </w:rPr>
        <w:t xml:space="preserve"> in </w:t>
      </w:r>
      <w:r w:rsidR="00940AB7" w:rsidRPr="00095D84">
        <w:rPr>
          <w:rStyle w:val="Aucun"/>
          <w:rFonts w:ascii="Times New Roman" w:hAnsi="Times New Roman" w:cs="Times New Roman"/>
          <w:i/>
          <w:iCs/>
          <w:sz w:val="20"/>
          <w:szCs w:val="20"/>
          <w:lang w:val="en-US"/>
        </w:rPr>
        <w:t xml:space="preserve">Jobcenter Krefeld </w:t>
      </w:r>
      <w:r w:rsidR="00940AB7" w:rsidRPr="00095D84">
        <w:rPr>
          <w:rStyle w:val="Aucun"/>
          <w:rFonts w:ascii="Times New Roman" w:hAnsi="Times New Roman" w:cs="Times New Roman"/>
          <w:sz w:val="20"/>
          <w:szCs w:val="20"/>
          <w:lang w:val="en-US"/>
        </w:rPr>
        <w:t xml:space="preserve">(C-181/19) EU:C:2020:377 at </w:t>
      </w:r>
      <w:r w:rsidR="00940AB7" w:rsidRPr="00095D84">
        <w:rPr>
          <w:rFonts w:ascii="Times New Roman" w:hAnsi="Times New Roman" w:cs="Times New Roman"/>
          <w:sz w:val="20"/>
          <w:szCs w:val="20"/>
          <w:lang w:val="en-US"/>
        </w:rPr>
        <w:t>[</w:t>
      </w:r>
      <w:r w:rsidRPr="00095D84">
        <w:rPr>
          <w:rFonts w:ascii="Times New Roman" w:hAnsi="Times New Roman" w:cs="Times New Roman"/>
          <w:sz w:val="20"/>
          <w:szCs w:val="20"/>
          <w:lang w:val="en-US"/>
        </w:rPr>
        <w:t>1</w:t>
      </w:r>
      <w:r w:rsidR="00940AB7" w:rsidRPr="00095D84">
        <w:rPr>
          <w:rFonts w:ascii="Times New Roman" w:hAnsi="Times New Roman" w:cs="Times New Roman"/>
          <w:sz w:val="20"/>
          <w:szCs w:val="20"/>
          <w:lang w:val="en-US"/>
        </w:rPr>
        <w:t>]</w:t>
      </w:r>
      <w:r w:rsidRPr="00095D84">
        <w:rPr>
          <w:rFonts w:ascii="Times New Roman" w:hAnsi="Times New Roman" w:cs="Times New Roman"/>
          <w:sz w:val="20"/>
          <w:szCs w:val="20"/>
          <w:lang w:val="en-US"/>
        </w:rPr>
        <w:t xml:space="preserve">. </w:t>
      </w:r>
    </w:p>
  </w:footnote>
  <w:footnote w:id="55">
    <w:p w14:paraId="41B7624A" w14:textId="4D09457D" w:rsidR="00EE1BEA" w:rsidRPr="009037C6" w:rsidRDefault="00EE1BEA" w:rsidP="0017677E">
      <w:pPr>
        <w:pStyle w:val="Notedepieddepage"/>
        <w:jc w:val="both"/>
        <w:rPr>
          <w:rFonts w:ascii="Times New Roman" w:hAnsi="Times New Roman" w:cs="Times New Roman"/>
          <w:sz w:val="20"/>
          <w:szCs w:val="20"/>
          <w:lang w:val="en-US"/>
        </w:rPr>
      </w:pPr>
      <w:r w:rsidRPr="0073110D">
        <w:rPr>
          <w:rStyle w:val="Appelnotedebasdep"/>
          <w:rFonts w:ascii="Times New Roman" w:hAnsi="Times New Roman" w:cs="Times New Roman"/>
          <w:sz w:val="20"/>
          <w:szCs w:val="20"/>
        </w:rPr>
        <w:footnoteRef/>
      </w:r>
      <w:r w:rsidRPr="009037C6">
        <w:rPr>
          <w:rFonts w:ascii="Times New Roman" w:hAnsi="Times New Roman" w:cs="Times New Roman"/>
          <w:sz w:val="20"/>
          <w:szCs w:val="20"/>
          <w:lang w:val="en-US"/>
        </w:rPr>
        <w:t xml:space="preserve">Devetzi, </w:t>
      </w:r>
      <w:r w:rsidR="00940AB7">
        <w:rPr>
          <w:rFonts w:ascii="Times New Roman" w:hAnsi="Times New Roman"/>
          <w:sz w:val="20"/>
          <w:szCs w:val="20"/>
          <w:lang w:val="en-US"/>
        </w:rPr>
        <w:t>“</w:t>
      </w:r>
      <w:r w:rsidR="00940AB7" w:rsidRPr="00CE1795">
        <w:rPr>
          <w:rFonts w:ascii="Times New Roman" w:hAnsi="Times New Roman"/>
          <w:sz w:val="20"/>
          <w:szCs w:val="20"/>
          <w:lang w:val="en-US"/>
        </w:rPr>
        <w:t>EU Citizens, Residence Rights and Solidarity</w:t>
      </w:r>
      <w:r w:rsidR="00940AB7">
        <w:rPr>
          <w:rFonts w:ascii="Times New Roman" w:hAnsi="Times New Roman"/>
          <w:sz w:val="20"/>
          <w:szCs w:val="20"/>
          <w:lang w:val="en-US"/>
        </w:rPr>
        <w:t>” (2019),</w:t>
      </w:r>
      <w:r w:rsidRPr="009037C6">
        <w:rPr>
          <w:rFonts w:ascii="Times New Roman" w:hAnsi="Times New Roman" w:cs="Times New Roman"/>
          <w:sz w:val="20"/>
          <w:szCs w:val="20"/>
          <w:lang w:val="en-US"/>
        </w:rPr>
        <w:t xml:space="preserve"> 346.</w:t>
      </w:r>
    </w:p>
  </w:footnote>
  <w:footnote w:id="56">
    <w:p w14:paraId="5A3E5770" w14:textId="5190BCE4" w:rsidR="00EE1BEA" w:rsidRPr="00CE1795" w:rsidRDefault="00EE1BEA" w:rsidP="0017677E">
      <w:pPr>
        <w:pStyle w:val="Notedepieddepage"/>
        <w:jc w:val="both"/>
        <w:rPr>
          <w:lang w:val="en-US"/>
        </w:rPr>
      </w:pPr>
      <w:r>
        <w:rPr>
          <w:rStyle w:val="Aucun"/>
          <w:rFonts w:ascii="Times New Roman" w:eastAsia="Times New Roman" w:hAnsi="Times New Roman" w:cs="Times New Roman"/>
          <w:sz w:val="20"/>
          <w:szCs w:val="20"/>
          <w:vertAlign w:val="superscript"/>
        </w:rPr>
        <w:footnoteRef/>
      </w:r>
      <w:r w:rsidRPr="00CE1795">
        <w:rPr>
          <w:rFonts w:ascii="Times New Roman" w:hAnsi="Times New Roman"/>
          <w:sz w:val="20"/>
          <w:szCs w:val="20"/>
          <w:lang w:val="en-US"/>
        </w:rPr>
        <w:t>Art. 10 of Regulation 492/2011</w:t>
      </w:r>
      <w:r>
        <w:rPr>
          <w:rFonts w:ascii="Times New Roman" w:hAnsi="Times New Roman"/>
          <w:sz w:val="20"/>
          <w:szCs w:val="20"/>
          <w:lang w:val="en-US"/>
        </w:rPr>
        <w:t xml:space="preserve"> is drafted as follows</w:t>
      </w:r>
      <w:r w:rsidRPr="00CE1795">
        <w:rPr>
          <w:rFonts w:ascii="Times New Roman" w:hAnsi="Times New Roman"/>
          <w:sz w:val="20"/>
          <w:szCs w:val="20"/>
          <w:lang w:val="en-US"/>
        </w:rPr>
        <w:t xml:space="preserve">: </w:t>
      </w:r>
      <w:r w:rsidR="00A3091F">
        <w:rPr>
          <w:rFonts w:ascii="Times New Roman" w:hAnsi="Times New Roman"/>
          <w:sz w:val="20"/>
          <w:szCs w:val="20"/>
          <w:lang w:val="en-US"/>
        </w:rPr>
        <w:t>“</w:t>
      </w:r>
      <w:r w:rsidRPr="00CE1795">
        <w:rPr>
          <w:rFonts w:ascii="Times New Roman" w:hAnsi="Times New Roman"/>
          <w:sz w:val="20"/>
          <w:szCs w:val="20"/>
          <w:lang w:val="en-US"/>
        </w:rPr>
        <w:t>The children of a national of a Member State who is or has been employed in the territory of another Member State shall be admitted to that State’s general educational, apprenticeship and vocational training courses under the same conditions as the nationals of that State, if such children are residing in its territory. Member States shall encourage all efforts to enable such children to attend these courses under the best possible conditions</w:t>
      </w:r>
      <w:r w:rsidR="00A3091F">
        <w:rPr>
          <w:rFonts w:ascii="Times New Roman" w:hAnsi="Times New Roman"/>
          <w:sz w:val="20"/>
          <w:szCs w:val="20"/>
          <w:lang w:val="en-US"/>
        </w:rPr>
        <w:t>”</w:t>
      </w:r>
      <w:r w:rsidRPr="00CE1795">
        <w:rPr>
          <w:rFonts w:ascii="Times New Roman" w:hAnsi="Times New Roman"/>
          <w:sz w:val="20"/>
          <w:szCs w:val="20"/>
          <w:lang w:val="en-US"/>
        </w:rPr>
        <w:t>.</w:t>
      </w:r>
    </w:p>
  </w:footnote>
  <w:footnote w:id="57">
    <w:p w14:paraId="1B339473" w14:textId="7B6DA8F9" w:rsidR="00EE1BEA" w:rsidRPr="00EC3528" w:rsidRDefault="00EE1BEA" w:rsidP="0017677E">
      <w:pPr>
        <w:pStyle w:val="Notedebasdepage"/>
        <w:jc w:val="both"/>
      </w:pPr>
      <w:r w:rsidRPr="00EC3528">
        <w:rPr>
          <w:rStyle w:val="Appelnotedebasdep"/>
        </w:rPr>
        <w:footnoteRef/>
      </w:r>
      <w:r w:rsidR="000C62A7">
        <w:t>AG</w:t>
      </w:r>
      <w:r w:rsidRPr="00EC3528">
        <w:t xml:space="preserve"> Geelhoed</w:t>
      </w:r>
      <w:r w:rsidR="00940AB7">
        <w:t xml:space="preserve"> in </w:t>
      </w:r>
      <w:r w:rsidR="00940AB7" w:rsidRPr="00861A89">
        <w:rPr>
          <w:i/>
          <w:iCs/>
        </w:rPr>
        <w:t>Baumbast</w:t>
      </w:r>
      <w:r w:rsidR="00940AB7" w:rsidRPr="00861A89">
        <w:rPr>
          <w:rStyle w:val="Aucun"/>
          <w:i/>
          <w:iCs/>
        </w:rPr>
        <w:t xml:space="preserve"> </w:t>
      </w:r>
      <w:r w:rsidR="00940AB7" w:rsidRPr="00861A89">
        <w:rPr>
          <w:rStyle w:val="Aucun"/>
        </w:rPr>
        <w:t>(C-431:99) EU:C:</w:t>
      </w:r>
      <w:r w:rsidR="00940AB7">
        <w:rPr>
          <w:rStyle w:val="Aucun"/>
        </w:rPr>
        <w:t>2001:385</w:t>
      </w:r>
      <w:r w:rsidR="00940AB7" w:rsidRPr="00861A89">
        <w:t xml:space="preserve"> at</w:t>
      </w:r>
      <w:r w:rsidRPr="00EC3528">
        <w:t xml:space="preserve"> </w:t>
      </w:r>
      <w:r w:rsidR="00940AB7">
        <w:t>[</w:t>
      </w:r>
      <w:r w:rsidRPr="00EC3528">
        <w:t>41</w:t>
      </w:r>
      <w:r w:rsidR="00EC39D4">
        <w:rPr>
          <w:color w:val="000000"/>
        </w:rPr>
        <w:t>]</w:t>
      </w:r>
      <w:r>
        <w:rPr>
          <w:color w:val="000000"/>
        </w:rPr>
        <w:t xml:space="preserve">. </w:t>
      </w:r>
      <w:r w:rsidRPr="00940AB7">
        <w:rPr>
          <w:color w:val="000000"/>
        </w:rPr>
        <w:t xml:space="preserve">See also </w:t>
      </w:r>
      <w:r w:rsidR="00940AB7" w:rsidRPr="00940AB7">
        <w:rPr>
          <w:i/>
          <w:iCs/>
          <w:color w:val="000000"/>
        </w:rPr>
        <w:t xml:space="preserve">Echternach and others v Minister van Onderwijs en Wetenschappen </w:t>
      </w:r>
      <w:r w:rsidR="00940AB7" w:rsidRPr="00940AB7">
        <w:rPr>
          <w:color w:val="000000"/>
        </w:rPr>
        <w:t>(C-389/87 and C-390/87) EU:C:1989:130 at</w:t>
      </w:r>
      <w:r w:rsidRPr="00940AB7">
        <w:rPr>
          <w:color w:val="000000"/>
        </w:rPr>
        <w:t xml:space="preserve"> </w:t>
      </w:r>
      <w:r w:rsidR="00940AB7" w:rsidRPr="00940AB7">
        <w:rPr>
          <w:color w:val="000000"/>
        </w:rPr>
        <w:t>[</w:t>
      </w:r>
      <w:r w:rsidRPr="00940AB7">
        <w:rPr>
          <w:color w:val="000000"/>
        </w:rPr>
        <w:t>19-20</w:t>
      </w:r>
      <w:r w:rsidR="00940AB7" w:rsidRPr="00940AB7">
        <w:rPr>
          <w:color w:val="000000"/>
        </w:rPr>
        <w:t>]</w:t>
      </w:r>
      <w:r w:rsidRPr="00940AB7">
        <w:rPr>
          <w:color w:val="000000"/>
        </w:rPr>
        <w:t>;</w:t>
      </w:r>
      <w:r w:rsidRPr="00940AB7">
        <w:rPr>
          <w:i/>
          <w:iCs/>
          <w:color w:val="000000"/>
        </w:rPr>
        <w:t xml:space="preserve"> </w:t>
      </w:r>
      <w:r w:rsidR="00940AB7" w:rsidRPr="002A030C">
        <w:rPr>
          <w:rStyle w:val="Aucun"/>
          <w:i/>
          <w:iCs/>
        </w:rPr>
        <w:t xml:space="preserve">Baumbast </w:t>
      </w:r>
      <w:r w:rsidR="00940AB7" w:rsidRPr="002A030C">
        <w:rPr>
          <w:rStyle w:val="Aucun"/>
        </w:rPr>
        <w:t>(C-431:99) EU:C:2002:493</w:t>
      </w:r>
      <w:r w:rsidR="00940AB7">
        <w:t xml:space="preserve"> at [</w:t>
      </w:r>
      <w:r>
        <w:rPr>
          <w:color w:val="000000"/>
        </w:rPr>
        <w:t>69</w:t>
      </w:r>
      <w:r w:rsidR="00940AB7">
        <w:rPr>
          <w:color w:val="000000"/>
        </w:rPr>
        <w:t>]</w:t>
      </w:r>
      <w:r>
        <w:rPr>
          <w:color w:val="000000"/>
        </w:rPr>
        <w:t xml:space="preserve">; </w:t>
      </w:r>
      <w:r w:rsidR="00940AB7">
        <w:rPr>
          <w:i/>
          <w:iCs/>
        </w:rPr>
        <w:t xml:space="preserve">Maria Teixeira v London Borough </w:t>
      </w:r>
      <w:r w:rsidR="00665FB6">
        <w:rPr>
          <w:i/>
          <w:iCs/>
        </w:rPr>
        <w:t xml:space="preserve">of Lambeth, Secretary of State for the Home Department </w:t>
      </w:r>
      <w:r w:rsidR="00665FB6">
        <w:t>(</w:t>
      </w:r>
      <w:r>
        <w:t>C-480/08</w:t>
      </w:r>
      <w:r w:rsidR="00665FB6">
        <w:t>)</w:t>
      </w:r>
      <w:r w:rsidRPr="00665FB6">
        <w:t xml:space="preserve"> </w:t>
      </w:r>
      <w:r w:rsidR="00665FB6" w:rsidRPr="00665FB6">
        <w:t>EU:C:</w:t>
      </w:r>
      <w:r w:rsidR="00665FB6">
        <w:t>2010:83 at</w:t>
      </w:r>
      <w:r>
        <w:t xml:space="preserve"> </w:t>
      </w:r>
      <w:r w:rsidR="00665FB6">
        <w:t>[</w:t>
      </w:r>
      <w:r>
        <w:t>50</w:t>
      </w:r>
      <w:r w:rsidR="00665FB6">
        <w:t>]</w:t>
      </w:r>
      <w:r>
        <w:t xml:space="preserve">. </w:t>
      </w:r>
    </w:p>
  </w:footnote>
  <w:footnote w:id="58">
    <w:p w14:paraId="5256A4E3" w14:textId="7003B496" w:rsidR="00EE1BEA" w:rsidRPr="00665FB6" w:rsidRDefault="00EE1BEA" w:rsidP="0017677E">
      <w:pPr>
        <w:pStyle w:val="Notedepieddepage"/>
        <w:jc w:val="both"/>
        <w:rPr>
          <w:rFonts w:ascii="Times New Roman" w:hAnsi="Times New Roman" w:cs="Times New Roman"/>
          <w:sz w:val="20"/>
          <w:szCs w:val="20"/>
          <w:lang w:val="en-US"/>
        </w:rPr>
      </w:pPr>
      <w:r w:rsidRPr="00665FB6">
        <w:rPr>
          <w:rStyle w:val="Aucun"/>
          <w:rFonts w:ascii="Times New Roman" w:eastAsia="Times New Roman" w:hAnsi="Times New Roman" w:cs="Times New Roman"/>
          <w:sz w:val="20"/>
          <w:szCs w:val="20"/>
          <w:vertAlign w:val="superscript"/>
        </w:rPr>
        <w:footnoteRef/>
      </w:r>
      <w:r w:rsidR="00665FB6" w:rsidRPr="00665FB6">
        <w:rPr>
          <w:rStyle w:val="Aucun"/>
          <w:rFonts w:ascii="Times New Roman" w:hAnsi="Times New Roman" w:cs="Times New Roman"/>
          <w:i/>
          <w:iCs/>
          <w:sz w:val="20"/>
          <w:szCs w:val="20"/>
          <w:lang w:val="en-US"/>
        </w:rPr>
        <w:t xml:space="preserve">Baumbast </w:t>
      </w:r>
      <w:r w:rsidR="00665FB6" w:rsidRPr="00665FB6">
        <w:rPr>
          <w:rStyle w:val="Aucun"/>
          <w:rFonts w:ascii="Times New Roman" w:hAnsi="Times New Roman" w:cs="Times New Roman"/>
          <w:sz w:val="20"/>
          <w:szCs w:val="20"/>
          <w:lang w:val="en-US"/>
        </w:rPr>
        <w:t xml:space="preserve">(C-431:99) </w:t>
      </w:r>
      <w:r w:rsidR="00665FB6" w:rsidRPr="00665FB6">
        <w:rPr>
          <w:rFonts w:ascii="Times New Roman" w:hAnsi="Times New Roman" w:cs="Times New Roman"/>
          <w:sz w:val="20"/>
          <w:szCs w:val="20"/>
          <w:lang w:val="en-US"/>
        </w:rPr>
        <w:t>at [</w:t>
      </w:r>
      <w:r w:rsidRPr="00665FB6">
        <w:rPr>
          <w:rFonts w:ascii="Times New Roman" w:hAnsi="Times New Roman" w:cs="Times New Roman"/>
          <w:sz w:val="20"/>
          <w:szCs w:val="20"/>
          <w:lang w:val="en-US"/>
        </w:rPr>
        <w:t>63-71</w:t>
      </w:r>
      <w:r w:rsidR="00665FB6" w:rsidRPr="00665FB6">
        <w:rPr>
          <w:rFonts w:ascii="Times New Roman" w:hAnsi="Times New Roman" w:cs="Times New Roman"/>
          <w:sz w:val="20"/>
          <w:szCs w:val="20"/>
          <w:lang w:val="en-US"/>
        </w:rPr>
        <w:t>]</w:t>
      </w:r>
      <w:r w:rsidRPr="00665FB6">
        <w:rPr>
          <w:rFonts w:ascii="Times New Roman" w:hAnsi="Times New Roman" w:cs="Times New Roman"/>
          <w:sz w:val="20"/>
          <w:szCs w:val="20"/>
          <w:lang w:val="en-US"/>
        </w:rPr>
        <w:t xml:space="preserve">; </w:t>
      </w:r>
      <w:r w:rsidR="00665FB6" w:rsidRPr="00665FB6">
        <w:rPr>
          <w:rFonts w:ascii="Times New Roman" w:hAnsi="Times New Roman" w:cs="Times New Roman"/>
          <w:i/>
          <w:iCs/>
          <w:sz w:val="20"/>
          <w:szCs w:val="20"/>
          <w:lang w:val="en-US"/>
        </w:rPr>
        <w:t>London Borough of Harrow v Nimco Hassan Ibrahim and Secretary of State for the Home Department</w:t>
      </w:r>
      <w:r w:rsidRPr="00665FB6">
        <w:rPr>
          <w:rFonts w:ascii="Times New Roman" w:hAnsi="Times New Roman" w:cs="Times New Roman"/>
          <w:sz w:val="20"/>
          <w:szCs w:val="20"/>
          <w:lang w:val="en-US"/>
        </w:rPr>
        <w:t xml:space="preserve"> </w:t>
      </w:r>
      <w:r w:rsidR="00665FB6" w:rsidRPr="00665FB6">
        <w:rPr>
          <w:rFonts w:ascii="Times New Roman" w:hAnsi="Times New Roman" w:cs="Times New Roman"/>
          <w:sz w:val="20"/>
          <w:szCs w:val="20"/>
          <w:lang w:val="en-US"/>
        </w:rPr>
        <w:t>(</w:t>
      </w:r>
      <w:r w:rsidRPr="00665FB6">
        <w:rPr>
          <w:rFonts w:ascii="Times New Roman" w:hAnsi="Times New Roman" w:cs="Times New Roman"/>
          <w:sz w:val="20"/>
          <w:szCs w:val="20"/>
          <w:lang w:val="en-US"/>
        </w:rPr>
        <w:t>C-310/0</w:t>
      </w:r>
      <w:r w:rsidR="00665FB6" w:rsidRPr="00665FB6">
        <w:rPr>
          <w:rFonts w:ascii="Times New Roman" w:hAnsi="Times New Roman" w:cs="Times New Roman"/>
          <w:sz w:val="20"/>
          <w:szCs w:val="20"/>
          <w:lang w:val="en-US"/>
        </w:rPr>
        <w:t>8) EU:C:2010:80 at [</w:t>
      </w:r>
      <w:r w:rsidRPr="00665FB6">
        <w:rPr>
          <w:rFonts w:ascii="Times New Roman" w:hAnsi="Times New Roman" w:cs="Times New Roman"/>
          <w:sz w:val="20"/>
          <w:szCs w:val="20"/>
          <w:lang w:val="en-US"/>
        </w:rPr>
        <w:t>30</w:t>
      </w:r>
      <w:r w:rsidR="00665FB6" w:rsidRPr="00665FB6">
        <w:rPr>
          <w:rFonts w:ascii="Times New Roman" w:hAnsi="Times New Roman" w:cs="Times New Roman"/>
          <w:sz w:val="20"/>
          <w:szCs w:val="20"/>
          <w:lang w:val="en-US"/>
        </w:rPr>
        <w:t>]</w:t>
      </w:r>
      <w:r w:rsidRPr="00665FB6">
        <w:rPr>
          <w:rFonts w:ascii="Times New Roman" w:hAnsi="Times New Roman" w:cs="Times New Roman"/>
          <w:sz w:val="20"/>
          <w:szCs w:val="20"/>
          <w:lang w:val="en-US"/>
        </w:rPr>
        <w:t xml:space="preserve">; </w:t>
      </w:r>
      <w:r w:rsidRPr="00665FB6">
        <w:rPr>
          <w:rFonts w:ascii="Times New Roman" w:hAnsi="Times New Roman" w:cs="Times New Roman"/>
          <w:i/>
          <w:iCs/>
          <w:sz w:val="20"/>
          <w:szCs w:val="20"/>
          <w:lang w:val="en-US"/>
        </w:rPr>
        <w:t>Teixeira</w:t>
      </w:r>
      <w:r w:rsidRPr="00665FB6">
        <w:rPr>
          <w:rFonts w:ascii="Times New Roman" w:hAnsi="Times New Roman" w:cs="Times New Roman"/>
          <w:sz w:val="20"/>
          <w:szCs w:val="20"/>
          <w:lang w:val="en-US"/>
        </w:rPr>
        <w:t xml:space="preserve"> </w:t>
      </w:r>
      <w:r w:rsidR="00665FB6">
        <w:rPr>
          <w:rFonts w:ascii="Times New Roman" w:hAnsi="Times New Roman" w:cs="Times New Roman"/>
          <w:sz w:val="20"/>
          <w:szCs w:val="20"/>
          <w:lang w:val="en-US"/>
        </w:rPr>
        <w:t>(</w:t>
      </w:r>
      <w:r w:rsidR="00665FB6" w:rsidRPr="00665FB6">
        <w:rPr>
          <w:rFonts w:ascii="Times New Roman" w:hAnsi="Times New Roman" w:cs="Times New Roman"/>
          <w:sz w:val="20"/>
          <w:szCs w:val="20"/>
          <w:lang w:val="en-US"/>
        </w:rPr>
        <w:t>C-480/08) at</w:t>
      </w:r>
      <w:r w:rsidRPr="00665FB6">
        <w:rPr>
          <w:rFonts w:ascii="Times New Roman" w:hAnsi="Times New Roman" w:cs="Times New Roman"/>
          <w:sz w:val="20"/>
          <w:szCs w:val="20"/>
          <w:lang w:val="en-US"/>
        </w:rPr>
        <w:t xml:space="preserve"> </w:t>
      </w:r>
      <w:r w:rsidR="00665FB6" w:rsidRPr="00665FB6">
        <w:rPr>
          <w:rFonts w:ascii="Times New Roman" w:hAnsi="Times New Roman" w:cs="Times New Roman"/>
          <w:sz w:val="20"/>
          <w:szCs w:val="20"/>
          <w:lang w:val="en-US"/>
        </w:rPr>
        <w:t>[</w:t>
      </w:r>
      <w:r w:rsidRPr="00665FB6">
        <w:rPr>
          <w:rFonts w:ascii="Times New Roman" w:hAnsi="Times New Roman" w:cs="Times New Roman"/>
          <w:sz w:val="20"/>
          <w:szCs w:val="20"/>
          <w:lang w:val="en-US"/>
        </w:rPr>
        <w:t>37-39</w:t>
      </w:r>
      <w:r w:rsidR="00665FB6" w:rsidRPr="00665FB6">
        <w:rPr>
          <w:rFonts w:ascii="Times New Roman" w:hAnsi="Times New Roman" w:cs="Times New Roman"/>
          <w:sz w:val="20"/>
          <w:szCs w:val="20"/>
          <w:lang w:val="en-US"/>
        </w:rPr>
        <w:t>]</w:t>
      </w:r>
      <w:r w:rsidRPr="00665FB6">
        <w:rPr>
          <w:rFonts w:ascii="Times New Roman" w:hAnsi="Times New Roman" w:cs="Times New Roman"/>
          <w:sz w:val="20"/>
          <w:szCs w:val="20"/>
          <w:lang w:val="en-US"/>
        </w:rPr>
        <w:t>. See</w:t>
      </w:r>
      <w:r w:rsidRPr="00665FB6">
        <w:rPr>
          <w:rFonts w:ascii="Times New Roman" w:hAnsi="Times New Roman" w:cs="Times New Roman"/>
          <w:i/>
          <w:iCs/>
          <w:sz w:val="20"/>
          <w:szCs w:val="20"/>
          <w:lang w:val="en-US"/>
        </w:rPr>
        <w:t xml:space="preserve"> </w:t>
      </w:r>
      <w:r w:rsidRPr="00665FB6">
        <w:rPr>
          <w:rFonts w:ascii="Times New Roman" w:hAnsi="Times New Roman" w:cs="Times New Roman"/>
          <w:sz w:val="20"/>
          <w:szCs w:val="20"/>
          <w:lang w:val="en-US"/>
        </w:rPr>
        <w:t xml:space="preserve">K. Hyltén-Cavallius, </w:t>
      </w:r>
      <w:r w:rsidR="00665FB6">
        <w:rPr>
          <w:rFonts w:ascii="Times New Roman" w:hAnsi="Times New Roman" w:cs="Times New Roman"/>
          <w:sz w:val="20"/>
          <w:szCs w:val="20"/>
          <w:lang w:val="en-US"/>
        </w:rPr>
        <w:t>“</w:t>
      </w:r>
      <w:r w:rsidRPr="00665FB6">
        <w:rPr>
          <w:rFonts w:ascii="Times New Roman" w:hAnsi="Times New Roman" w:cs="Times New Roman"/>
          <w:sz w:val="20"/>
          <w:szCs w:val="20"/>
          <w:lang w:val="en-US"/>
        </w:rPr>
        <w:t>Who Cares? Caregivers’ Derived Residence Rights From Children in EU Free Movement Law</w:t>
      </w:r>
      <w:r w:rsidR="00665FB6">
        <w:rPr>
          <w:rFonts w:ascii="Times New Roman" w:hAnsi="Times New Roman" w:cs="Times New Roman"/>
          <w:sz w:val="20"/>
          <w:szCs w:val="20"/>
          <w:lang w:val="en-US"/>
        </w:rPr>
        <w:t>” (2020)</w:t>
      </w:r>
      <w:r w:rsidRPr="00665FB6">
        <w:rPr>
          <w:rFonts w:ascii="Times New Roman" w:hAnsi="Times New Roman" w:cs="Times New Roman"/>
          <w:sz w:val="20"/>
          <w:szCs w:val="20"/>
          <w:lang w:val="en-US"/>
        </w:rPr>
        <w:t xml:space="preserve"> 57 C</w:t>
      </w:r>
      <w:r w:rsidR="00665FB6" w:rsidRPr="00665FB6">
        <w:rPr>
          <w:rFonts w:ascii="Times New Roman" w:hAnsi="Times New Roman" w:cs="Times New Roman"/>
          <w:sz w:val="20"/>
          <w:szCs w:val="20"/>
          <w:lang w:val="en-US"/>
        </w:rPr>
        <w:t>.</w:t>
      </w:r>
      <w:r w:rsidRPr="00665FB6">
        <w:rPr>
          <w:rFonts w:ascii="Times New Roman" w:hAnsi="Times New Roman" w:cs="Times New Roman"/>
          <w:sz w:val="20"/>
          <w:szCs w:val="20"/>
          <w:lang w:val="en-US"/>
        </w:rPr>
        <w:t>M</w:t>
      </w:r>
      <w:r w:rsidR="00665FB6" w:rsidRPr="00665FB6">
        <w:rPr>
          <w:rFonts w:ascii="Times New Roman" w:hAnsi="Times New Roman" w:cs="Times New Roman"/>
          <w:sz w:val="20"/>
          <w:szCs w:val="20"/>
          <w:lang w:val="en-US"/>
        </w:rPr>
        <w:t>.</w:t>
      </w:r>
      <w:r w:rsidRPr="00665FB6">
        <w:rPr>
          <w:rFonts w:ascii="Times New Roman" w:hAnsi="Times New Roman" w:cs="Times New Roman"/>
          <w:sz w:val="20"/>
          <w:szCs w:val="20"/>
          <w:lang w:val="en-US"/>
        </w:rPr>
        <w:t>L</w:t>
      </w:r>
      <w:r w:rsidR="00665FB6" w:rsidRPr="00665FB6">
        <w:rPr>
          <w:rFonts w:ascii="Times New Roman" w:hAnsi="Times New Roman" w:cs="Times New Roman"/>
          <w:sz w:val="20"/>
          <w:szCs w:val="20"/>
          <w:lang w:val="en-US"/>
        </w:rPr>
        <w:t xml:space="preserve">. </w:t>
      </w:r>
      <w:r w:rsidRPr="00665FB6">
        <w:rPr>
          <w:rFonts w:ascii="Times New Roman" w:hAnsi="Times New Roman" w:cs="Times New Roman"/>
          <w:sz w:val="20"/>
          <w:szCs w:val="20"/>
          <w:lang w:val="en-US"/>
        </w:rPr>
        <w:t>Rev</w:t>
      </w:r>
      <w:r w:rsidR="00665FB6" w:rsidRPr="00665FB6">
        <w:rPr>
          <w:rFonts w:ascii="Times New Roman" w:hAnsi="Times New Roman" w:cs="Times New Roman"/>
          <w:sz w:val="20"/>
          <w:szCs w:val="20"/>
          <w:lang w:val="en-US"/>
        </w:rPr>
        <w:t>.</w:t>
      </w:r>
      <w:r w:rsidRPr="00665FB6">
        <w:rPr>
          <w:rFonts w:ascii="Times New Roman" w:hAnsi="Times New Roman" w:cs="Times New Roman"/>
          <w:sz w:val="20"/>
          <w:szCs w:val="20"/>
          <w:lang w:val="en-US"/>
        </w:rPr>
        <w:t xml:space="preserve"> 2</w:t>
      </w:r>
      <w:r w:rsidR="00665FB6">
        <w:rPr>
          <w:rFonts w:ascii="Times New Roman" w:hAnsi="Times New Roman" w:cs="Times New Roman"/>
          <w:sz w:val="20"/>
          <w:szCs w:val="20"/>
          <w:lang w:val="en-US"/>
        </w:rPr>
        <w:t>,</w:t>
      </w:r>
      <w:r w:rsidRPr="00665FB6">
        <w:rPr>
          <w:rFonts w:ascii="Times New Roman" w:hAnsi="Times New Roman" w:cs="Times New Roman"/>
          <w:sz w:val="20"/>
          <w:szCs w:val="20"/>
          <w:lang w:val="en-US"/>
        </w:rPr>
        <w:t xml:space="preserve"> 399. </w:t>
      </w:r>
    </w:p>
  </w:footnote>
  <w:footnote w:id="59">
    <w:p w14:paraId="2E81D558" w14:textId="4A6DEC06" w:rsidR="00EE1BEA" w:rsidRPr="00665FB6" w:rsidRDefault="00EE1BEA" w:rsidP="0017677E">
      <w:pPr>
        <w:pStyle w:val="Notedepieddepage"/>
        <w:jc w:val="both"/>
        <w:rPr>
          <w:lang w:val="en-US"/>
        </w:rPr>
      </w:pPr>
      <w:r>
        <w:rPr>
          <w:rStyle w:val="Aucun"/>
          <w:rFonts w:ascii="Times New Roman" w:eastAsia="Times New Roman" w:hAnsi="Times New Roman" w:cs="Times New Roman"/>
          <w:sz w:val="20"/>
          <w:szCs w:val="20"/>
          <w:vertAlign w:val="superscript"/>
        </w:rPr>
        <w:footnoteRef/>
      </w:r>
      <w:r w:rsidRPr="00665FB6">
        <w:rPr>
          <w:rFonts w:ascii="Times New Roman" w:hAnsi="Times New Roman"/>
          <w:sz w:val="20"/>
          <w:szCs w:val="20"/>
          <w:lang w:val="en-US"/>
        </w:rPr>
        <w:t xml:space="preserve">Guild et al., </w:t>
      </w:r>
      <w:r w:rsidR="00665FB6" w:rsidRPr="00CE1795">
        <w:rPr>
          <w:rStyle w:val="Aucun"/>
          <w:rFonts w:ascii="Times New Roman" w:hAnsi="Times New Roman"/>
          <w:i/>
          <w:iCs/>
          <w:sz w:val="20"/>
          <w:szCs w:val="20"/>
          <w:lang w:val="en-US"/>
        </w:rPr>
        <w:t>The EU Citizenship Directive</w:t>
      </w:r>
      <w:r w:rsidR="0012370E">
        <w:rPr>
          <w:rStyle w:val="Aucun"/>
          <w:rFonts w:ascii="Times New Roman" w:hAnsi="Times New Roman"/>
          <w:i/>
          <w:iCs/>
          <w:sz w:val="20"/>
          <w:szCs w:val="20"/>
          <w:lang w:val="en-US"/>
        </w:rPr>
        <w:t xml:space="preserve"> </w:t>
      </w:r>
      <w:r w:rsidR="0012370E">
        <w:rPr>
          <w:rStyle w:val="Aucun"/>
          <w:rFonts w:ascii="Times New Roman" w:hAnsi="Times New Roman"/>
          <w:sz w:val="20"/>
          <w:szCs w:val="20"/>
          <w:lang w:val="en-US"/>
        </w:rPr>
        <w:t>(</w:t>
      </w:r>
      <w:r w:rsidR="00665FB6">
        <w:rPr>
          <w:rFonts w:ascii="Times New Roman" w:hAnsi="Times New Roman"/>
          <w:sz w:val="20"/>
          <w:szCs w:val="20"/>
          <w:lang w:val="en-US"/>
        </w:rPr>
        <w:t xml:space="preserve">2019), </w:t>
      </w:r>
      <w:r w:rsidRPr="00665FB6">
        <w:rPr>
          <w:rFonts w:ascii="Times New Roman" w:hAnsi="Times New Roman"/>
          <w:sz w:val="20"/>
          <w:szCs w:val="20"/>
          <w:lang w:val="en-US"/>
        </w:rPr>
        <w:t xml:space="preserve">p. 172. </w:t>
      </w:r>
    </w:p>
  </w:footnote>
  <w:footnote w:id="60">
    <w:p w14:paraId="45E2675C" w14:textId="3657BFF6" w:rsidR="00EE1BEA" w:rsidRPr="00665FB6" w:rsidRDefault="00EE1BEA" w:rsidP="0017677E">
      <w:pPr>
        <w:pStyle w:val="Notedepieddepage"/>
        <w:jc w:val="both"/>
        <w:rPr>
          <w:rFonts w:ascii="Times New Roman" w:hAnsi="Times New Roman" w:cs="Times New Roman"/>
          <w:sz w:val="20"/>
          <w:szCs w:val="20"/>
          <w:lang w:val="en-US"/>
        </w:rPr>
      </w:pPr>
      <w:r w:rsidRPr="00665FB6">
        <w:rPr>
          <w:rStyle w:val="Aucun"/>
          <w:rFonts w:ascii="Times New Roman" w:eastAsia="Times New Roman" w:hAnsi="Times New Roman" w:cs="Times New Roman"/>
          <w:sz w:val="20"/>
          <w:szCs w:val="20"/>
          <w:vertAlign w:val="superscript"/>
        </w:rPr>
        <w:footnoteRef/>
      </w:r>
      <w:r w:rsidRPr="00665FB6">
        <w:rPr>
          <w:rStyle w:val="Aucun"/>
          <w:rFonts w:ascii="Times New Roman" w:hAnsi="Times New Roman" w:cs="Times New Roman"/>
          <w:i/>
          <w:iCs/>
          <w:sz w:val="20"/>
          <w:szCs w:val="20"/>
          <w:lang w:val="en-US"/>
        </w:rPr>
        <w:t xml:space="preserve">Echternach </w:t>
      </w:r>
      <w:r w:rsidR="00665FB6" w:rsidRPr="00665FB6">
        <w:rPr>
          <w:rFonts w:ascii="Times New Roman" w:hAnsi="Times New Roman" w:cs="Times New Roman"/>
          <w:sz w:val="20"/>
          <w:szCs w:val="20"/>
          <w:lang w:val="en-US"/>
        </w:rPr>
        <w:t>(C-389/87 and C-390/87) at [</w:t>
      </w:r>
      <w:r w:rsidRPr="00665FB6">
        <w:rPr>
          <w:rFonts w:ascii="Times New Roman" w:hAnsi="Times New Roman" w:cs="Times New Roman"/>
          <w:sz w:val="20"/>
          <w:szCs w:val="20"/>
          <w:lang w:val="en-US"/>
        </w:rPr>
        <w:t>35</w:t>
      </w:r>
      <w:r w:rsidR="00665FB6" w:rsidRPr="00665FB6">
        <w:rPr>
          <w:rFonts w:ascii="Times New Roman" w:hAnsi="Times New Roman" w:cs="Times New Roman"/>
          <w:sz w:val="20"/>
          <w:szCs w:val="20"/>
          <w:lang w:val="en-US"/>
        </w:rPr>
        <w:t>]</w:t>
      </w:r>
      <w:r w:rsidRPr="00665FB6">
        <w:rPr>
          <w:rFonts w:ascii="Times New Roman" w:hAnsi="Times New Roman" w:cs="Times New Roman"/>
          <w:sz w:val="20"/>
          <w:szCs w:val="20"/>
          <w:lang w:val="en-US"/>
        </w:rPr>
        <w:t>;</w:t>
      </w:r>
      <w:r w:rsidR="00665FB6">
        <w:rPr>
          <w:rFonts w:ascii="Times New Roman" w:hAnsi="Times New Roman" w:cs="Times New Roman"/>
          <w:sz w:val="20"/>
          <w:szCs w:val="20"/>
          <w:lang w:val="en-US"/>
        </w:rPr>
        <w:t xml:space="preserve"> </w:t>
      </w:r>
      <w:r w:rsidR="00665FB6" w:rsidRPr="00665FB6">
        <w:rPr>
          <w:rFonts w:ascii="Times New Roman" w:hAnsi="Times New Roman" w:cs="Times New Roman"/>
          <w:i/>
          <w:iCs/>
          <w:sz w:val="20"/>
          <w:szCs w:val="20"/>
          <w:lang w:val="en-US"/>
        </w:rPr>
        <w:t xml:space="preserve">Landesamt für Ausbildungsförderung Nordrhein-Westfalen v Lubor </w:t>
      </w:r>
      <w:r w:rsidRPr="00665FB6">
        <w:rPr>
          <w:rStyle w:val="Aucun"/>
          <w:rFonts w:ascii="Times New Roman" w:hAnsi="Times New Roman" w:cs="Times New Roman"/>
          <w:i/>
          <w:iCs/>
          <w:sz w:val="20"/>
          <w:szCs w:val="20"/>
          <w:lang w:val="en-US"/>
        </w:rPr>
        <w:t>Gaal</w:t>
      </w:r>
      <w:r w:rsidR="00665FB6">
        <w:rPr>
          <w:rFonts w:ascii="Times New Roman" w:hAnsi="Times New Roman" w:cs="Times New Roman"/>
          <w:sz w:val="20"/>
          <w:szCs w:val="20"/>
          <w:lang w:val="en-US"/>
        </w:rPr>
        <w:t xml:space="preserve"> (C-7/94) EU:C:1995:118 at [</w:t>
      </w:r>
      <w:r w:rsidRPr="00665FB6">
        <w:rPr>
          <w:rFonts w:ascii="Times New Roman" w:hAnsi="Times New Roman" w:cs="Times New Roman"/>
          <w:sz w:val="20"/>
          <w:szCs w:val="20"/>
          <w:lang w:val="en-US"/>
        </w:rPr>
        <w:t>25</w:t>
      </w:r>
      <w:r w:rsidR="00665FB6">
        <w:rPr>
          <w:rFonts w:ascii="Times New Roman" w:hAnsi="Times New Roman" w:cs="Times New Roman"/>
          <w:sz w:val="20"/>
          <w:szCs w:val="20"/>
          <w:lang w:val="en-US"/>
        </w:rPr>
        <w:t>]</w:t>
      </w:r>
      <w:r w:rsidRPr="00665FB6">
        <w:rPr>
          <w:rFonts w:ascii="Times New Roman" w:hAnsi="Times New Roman" w:cs="Times New Roman"/>
          <w:sz w:val="20"/>
          <w:szCs w:val="20"/>
          <w:lang w:val="en-US"/>
        </w:rPr>
        <w:t xml:space="preserve">. </w:t>
      </w:r>
    </w:p>
  </w:footnote>
  <w:footnote w:id="61">
    <w:p w14:paraId="2A7C95A7" w14:textId="2C66CA98" w:rsidR="00EE1BEA" w:rsidRPr="00095D84" w:rsidRDefault="00EE1BEA" w:rsidP="0017677E">
      <w:pPr>
        <w:pStyle w:val="Notedepieddepage"/>
        <w:jc w:val="both"/>
        <w:rPr>
          <w:lang w:val="en-US"/>
        </w:rPr>
      </w:pPr>
      <w:r>
        <w:rPr>
          <w:rStyle w:val="Aucun"/>
          <w:rFonts w:ascii="Times New Roman" w:eastAsia="Times New Roman" w:hAnsi="Times New Roman" w:cs="Times New Roman"/>
          <w:sz w:val="20"/>
          <w:szCs w:val="20"/>
          <w:vertAlign w:val="superscript"/>
        </w:rPr>
        <w:footnoteRef/>
      </w:r>
      <w:r w:rsidR="00665FB6" w:rsidRPr="00095D84">
        <w:rPr>
          <w:rFonts w:ascii="Times New Roman" w:hAnsi="Times New Roman" w:cs="Times New Roman"/>
          <w:i/>
          <w:iCs/>
          <w:sz w:val="20"/>
          <w:szCs w:val="20"/>
          <w:lang w:val="en-US"/>
        </w:rPr>
        <w:t>Ibrahim</w:t>
      </w:r>
      <w:r w:rsidR="00665FB6" w:rsidRPr="00095D84">
        <w:rPr>
          <w:rFonts w:ascii="Times New Roman" w:hAnsi="Times New Roman" w:cs="Times New Roman"/>
          <w:sz w:val="20"/>
          <w:szCs w:val="20"/>
          <w:lang w:val="en-US"/>
        </w:rPr>
        <w:t xml:space="preserve"> (C-310/08) EU:C:2010:80 at</w:t>
      </w:r>
      <w:r w:rsidR="00665FB6" w:rsidRPr="00095D84">
        <w:rPr>
          <w:rFonts w:ascii="Times New Roman" w:hAnsi="Times New Roman"/>
          <w:sz w:val="20"/>
          <w:szCs w:val="20"/>
          <w:lang w:val="en-US"/>
        </w:rPr>
        <w:t xml:space="preserve"> [</w:t>
      </w:r>
      <w:r w:rsidRPr="00095D84">
        <w:rPr>
          <w:rFonts w:ascii="Times New Roman" w:hAnsi="Times New Roman"/>
          <w:sz w:val="20"/>
          <w:szCs w:val="20"/>
          <w:lang w:val="en-US"/>
        </w:rPr>
        <w:t>56-59</w:t>
      </w:r>
      <w:r w:rsidR="00665FB6" w:rsidRPr="00095D84">
        <w:rPr>
          <w:rFonts w:ascii="Times New Roman" w:hAnsi="Times New Roman"/>
          <w:sz w:val="20"/>
          <w:szCs w:val="20"/>
          <w:lang w:val="en-US"/>
        </w:rPr>
        <w:t>]</w:t>
      </w:r>
      <w:r w:rsidRPr="00095D84">
        <w:rPr>
          <w:rFonts w:ascii="Times New Roman" w:hAnsi="Times New Roman"/>
          <w:sz w:val="20"/>
          <w:szCs w:val="20"/>
          <w:lang w:val="en-US"/>
        </w:rPr>
        <w:t xml:space="preserve">; </w:t>
      </w:r>
      <w:r w:rsidRPr="00095D84">
        <w:rPr>
          <w:rStyle w:val="Aucun"/>
          <w:rFonts w:ascii="Times New Roman" w:hAnsi="Times New Roman"/>
          <w:i/>
          <w:iCs/>
          <w:sz w:val="20"/>
          <w:szCs w:val="20"/>
          <w:lang w:val="en-US"/>
        </w:rPr>
        <w:t>Teixeira</w:t>
      </w:r>
      <w:r w:rsidRPr="00095D84">
        <w:rPr>
          <w:rFonts w:ascii="Times New Roman" w:hAnsi="Times New Roman"/>
          <w:sz w:val="20"/>
          <w:szCs w:val="20"/>
          <w:lang w:val="en-US"/>
        </w:rPr>
        <w:t xml:space="preserve">, </w:t>
      </w:r>
      <w:r w:rsidR="00665FB6" w:rsidRPr="00095D84">
        <w:rPr>
          <w:rFonts w:ascii="Times New Roman" w:hAnsi="Times New Roman" w:cs="Times New Roman"/>
          <w:sz w:val="20"/>
          <w:szCs w:val="20"/>
          <w:lang w:val="en-US"/>
        </w:rPr>
        <w:t>(C-480/08) EU:C:2010:83 at [</w:t>
      </w:r>
      <w:r w:rsidRPr="00095D84">
        <w:rPr>
          <w:rFonts w:ascii="Times New Roman" w:hAnsi="Times New Roman"/>
          <w:sz w:val="20"/>
          <w:szCs w:val="20"/>
          <w:lang w:val="en-US"/>
        </w:rPr>
        <w:t>70</w:t>
      </w:r>
      <w:r w:rsidR="00665FB6" w:rsidRPr="00095D84">
        <w:rPr>
          <w:rFonts w:ascii="Times New Roman" w:hAnsi="Times New Roman"/>
          <w:sz w:val="20"/>
          <w:szCs w:val="20"/>
          <w:lang w:val="en-US"/>
        </w:rPr>
        <w:t>]</w:t>
      </w:r>
      <w:r w:rsidRPr="00095D84">
        <w:rPr>
          <w:rFonts w:ascii="Times New Roman" w:hAnsi="Times New Roman"/>
          <w:sz w:val="20"/>
          <w:szCs w:val="20"/>
          <w:lang w:val="en-US"/>
        </w:rPr>
        <w:t xml:space="preserve">. </w:t>
      </w:r>
    </w:p>
  </w:footnote>
  <w:footnote w:id="62">
    <w:p w14:paraId="4191F1A8" w14:textId="4EDD6FF4" w:rsidR="00EE1BEA" w:rsidRPr="00CE1795" w:rsidRDefault="00EE1BEA" w:rsidP="0017677E">
      <w:pPr>
        <w:pStyle w:val="Notedepieddepage"/>
        <w:jc w:val="both"/>
        <w:rPr>
          <w:lang w:val="en-US"/>
        </w:rPr>
      </w:pPr>
      <w:r>
        <w:rPr>
          <w:rStyle w:val="Aucun"/>
          <w:rFonts w:ascii="Times New Roman" w:eastAsia="Times New Roman" w:hAnsi="Times New Roman" w:cs="Times New Roman"/>
          <w:sz w:val="20"/>
          <w:szCs w:val="20"/>
          <w:vertAlign w:val="superscript"/>
        </w:rPr>
        <w:footnoteRef/>
      </w:r>
      <w:r w:rsidR="000B4A31">
        <w:rPr>
          <w:rStyle w:val="Aucun"/>
          <w:rFonts w:ascii="Times New Roman" w:hAnsi="Times New Roman"/>
          <w:sz w:val="20"/>
          <w:szCs w:val="20"/>
          <w:lang w:val="en-US"/>
        </w:rPr>
        <w:t>AG Wathelet in</w:t>
      </w:r>
      <w:r w:rsidR="000B4A31">
        <w:rPr>
          <w:rStyle w:val="Aucun"/>
          <w:rFonts w:ascii="Times New Roman" w:hAnsi="Times New Roman"/>
          <w:i/>
          <w:iCs/>
          <w:sz w:val="20"/>
          <w:szCs w:val="20"/>
          <w:lang w:val="en-US"/>
        </w:rPr>
        <w:t xml:space="preserve"> </w:t>
      </w:r>
      <w:r w:rsidRPr="00CE1795">
        <w:rPr>
          <w:rStyle w:val="Aucun"/>
          <w:rFonts w:ascii="Times New Roman" w:hAnsi="Times New Roman"/>
          <w:i/>
          <w:iCs/>
          <w:sz w:val="20"/>
          <w:szCs w:val="20"/>
          <w:lang w:val="en-US"/>
        </w:rPr>
        <w:t>Alimanovic</w:t>
      </w:r>
      <w:r w:rsidR="000B4A31">
        <w:rPr>
          <w:rFonts w:ascii="Times New Roman" w:hAnsi="Times New Roman"/>
          <w:sz w:val="20"/>
          <w:szCs w:val="20"/>
          <w:lang w:val="en-US"/>
        </w:rPr>
        <w:t xml:space="preserve"> (C-67/14) EU:C:2015:210 at [</w:t>
      </w:r>
      <w:r w:rsidRPr="00CE1795">
        <w:rPr>
          <w:rFonts w:ascii="Times New Roman" w:hAnsi="Times New Roman"/>
          <w:sz w:val="20"/>
          <w:szCs w:val="20"/>
          <w:lang w:val="en-US"/>
        </w:rPr>
        <w:t>120</w:t>
      </w:r>
      <w:r w:rsidR="000B4A31">
        <w:rPr>
          <w:rFonts w:ascii="Times New Roman" w:hAnsi="Times New Roman"/>
          <w:sz w:val="20"/>
          <w:szCs w:val="20"/>
          <w:lang w:val="en-US"/>
        </w:rPr>
        <w:t>]</w:t>
      </w:r>
      <w:r w:rsidRPr="00CE1795">
        <w:rPr>
          <w:rFonts w:ascii="Times New Roman" w:hAnsi="Times New Roman"/>
          <w:sz w:val="20"/>
          <w:szCs w:val="20"/>
          <w:lang w:val="en-US"/>
        </w:rPr>
        <w:t xml:space="preserve">. </w:t>
      </w:r>
    </w:p>
  </w:footnote>
  <w:footnote w:id="63">
    <w:p w14:paraId="37FE7C62" w14:textId="75F132D8" w:rsidR="00EE1BEA" w:rsidRPr="00DA6A6E" w:rsidRDefault="00EE1BEA" w:rsidP="0017677E">
      <w:pPr>
        <w:pStyle w:val="Notedebasdepage"/>
      </w:pPr>
      <w:r>
        <w:rPr>
          <w:rStyle w:val="Appelnotedebasdep"/>
        </w:rPr>
        <w:footnoteRef/>
      </w:r>
      <w:r w:rsidR="000B4A31">
        <w:rPr>
          <w:rStyle w:val="Aucun"/>
        </w:rPr>
        <w:t>AG Wathelet in</w:t>
      </w:r>
      <w:r w:rsidR="000B4A31">
        <w:rPr>
          <w:rStyle w:val="Aucun"/>
          <w:i/>
          <w:iCs/>
        </w:rPr>
        <w:t xml:space="preserve"> </w:t>
      </w:r>
      <w:r w:rsidR="000B4A31" w:rsidRPr="00CE1795">
        <w:rPr>
          <w:rStyle w:val="Aucun"/>
          <w:i/>
          <w:iCs/>
        </w:rPr>
        <w:t>Alimanovic</w:t>
      </w:r>
      <w:r w:rsidR="000B4A31">
        <w:t xml:space="preserve"> (C-67/14) at [</w:t>
      </w:r>
      <w:r>
        <w:t>122</w:t>
      </w:r>
      <w:r w:rsidR="000B4A31">
        <w:t>]</w:t>
      </w:r>
      <w:r>
        <w:t xml:space="preserve">. </w:t>
      </w:r>
    </w:p>
  </w:footnote>
  <w:footnote w:id="64">
    <w:p w14:paraId="7F5A1459" w14:textId="2B8A7260" w:rsidR="00A219DD" w:rsidRPr="00A219DD" w:rsidRDefault="00A219DD" w:rsidP="00A219DD">
      <w:pPr>
        <w:pStyle w:val="NormalWeb"/>
        <w:spacing w:before="0" w:beforeAutospacing="0" w:after="0" w:afterAutospacing="0"/>
        <w:jc w:val="both"/>
        <w:rPr>
          <w:sz w:val="20"/>
          <w:szCs w:val="20"/>
          <w:lang w:val="en-US"/>
        </w:rPr>
      </w:pPr>
      <w:r w:rsidRPr="00A219DD">
        <w:rPr>
          <w:rStyle w:val="Appelnotedebasdep"/>
          <w:sz w:val="20"/>
          <w:szCs w:val="20"/>
        </w:rPr>
        <w:footnoteRef/>
      </w:r>
      <w:r w:rsidRPr="00A219DD">
        <w:rPr>
          <w:i/>
          <w:iCs/>
          <w:sz w:val="20"/>
          <w:szCs w:val="20"/>
          <w:lang w:val="en-US"/>
        </w:rPr>
        <w:t>Bundessocialgericht</w:t>
      </w:r>
      <w:r w:rsidRPr="00A219DD">
        <w:rPr>
          <w:sz w:val="20"/>
          <w:szCs w:val="20"/>
          <w:lang w:val="en-US"/>
        </w:rPr>
        <w:t xml:space="preserve">, 3 December 2015, </w:t>
      </w:r>
      <w:r>
        <w:rPr>
          <w:sz w:val="20"/>
          <w:szCs w:val="20"/>
          <w:lang w:val="en-US"/>
        </w:rPr>
        <w:t xml:space="preserve">no. </w:t>
      </w:r>
      <w:r w:rsidRPr="00A219DD">
        <w:rPr>
          <w:sz w:val="20"/>
          <w:szCs w:val="20"/>
          <w:lang w:val="en-US"/>
        </w:rPr>
        <w:t>B4 AS 43/15 R</w:t>
      </w:r>
      <w:r>
        <w:rPr>
          <w:sz w:val="20"/>
          <w:szCs w:val="20"/>
          <w:lang w:val="en-US"/>
        </w:rPr>
        <w:t>,</w:t>
      </w:r>
      <w:r w:rsidRPr="00A219DD">
        <w:rPr>
          <w:sz w:val="20"/>
          <w:szCs w:val="20"/>
          <w:lang w:val="en-US"/>
        </w:rPr>
        <w:t xml:space="preserve"> B 4 AS 59/13 R and B 4 AS 44/15 R. For further details, see C. Jacqueson, “EU Social Citizenship” (2018), p. 41; P. Minderhoud, “Job-</w:t>
      </w:r>
      <w:r>
        <w:rPr>
          <w:sz w:val="20"/>
          <w:szCs w:val="20"/>
          <w:lang w:val="en-US"/>
        </w:rPr>
        <w:t>S</w:t>
      </w:r>
      <w:r w:rsidRPr="00A219DD">
        <w:rPr>
          <w:sz w:val="20"/>
          <w:szCs w:val="20"/>
          <w:lang w:val="en-US"/>
        </w:rPr>
        <w:t>eekers have a Right of Residence but no Access to Social Assistance Benefits under Directive 2004/38”</w:t>
      </w:r>
      <w:r>
        <w:rPr>
          <w:sz w:val="20"/>
          <w:szCs w:val="20"/>
          <w:lang w:val="en-US"/>
        </w:rPr>
        <w:t xml:space="preserve"> </w:t>
      </w:r>
      <w:r w:rsidR="00297884">
        <w:rPr>
          <w:sz w:val="20"/>
          <w:szCs w:val="20"/>
          <w:lang w:val="en-US"/>
        </w:rPr>
        <w:t xml:space="preserve">(2016) 23 </w:t>
      </w:r>
      <w:r w:rsidR="00297884" w:rsidRPr="00297884">
        <w:rPr>
          <w:sz w:val="20"/>
          <w:szCs w:val="20"/>
          <w:lang w:val="en-US"/>
        </w:rPr>
        <w:t>Migration Journal</w:t>
      </w:r>
      <w:r w:rsidR="00297884">
        <w:rPr>
          <w:i/>
          <w:iCs/>
          <w:sz w:val="20"/>
          <w:szCs w:val="20"/>
          <w:lang w:val="en-US"/>
        </w:rPr>
        <w:t xml:space="preserve"> </w:t>
      </w:r>
      <w:r w:rsidR="00297884">
        <w:rPr>
          <w:sz w:val="20"/>
          <w:szCs w:val="20"/>
          <w:lang w:val="en-US"/>
        </w:rPr>
        <w:t>2,</w:t>
      </w:r>
      <w:r>
        <w:rPr>
          <w:sz w:val="20"/>
          <w:szCs w:val="20"/>
          <w:lang w:val="en-US"/>
        </w:rPr>
        <w:t xml:space="preserve"> 347-348. </w:t>
      </w:r>
      <w:r w:rsidRPr="00A219DD">
        <w:rPr>
          <w:sz w:val="20"/>
          <w:szCs w:val="20"/>
          <w:lang w:val="en-US"/>
        </w:rPr>
        <w:t xml:space="preserve"> </w:t>
      </w:r>
    </w:p>
  </w:footnote>
  <w:footnote w:id="65">
    <w:p w14:paraId="5E30C4F5" w14:textId="413884A0" w:rsidR="00EE1BEA" w:rsidRPr="000B4A31" w:rsidRDefault="00EE1BEA" w:rsidP="0017677E">
      <w:pPr>
        <w:pStyle w:val="Notedepieddepage"/>
        <w:jc w:val="both"/>
        <w:rPr>
          <w:rFonts w:ascii="Times New Roman" w:hAnsi="Times New Roman" w:cs="Times New Roman"/>
          <w:sz w:val="20"/>
          <w:szCs w:val="20"/>
          <w:lang w:val="en-US"/>
        </w:rPr>
      </w:pPr>
      <w:r w:rsidRPr="000B4A31">
        <w:rPr>
          <w:rStyle w:val="Aucun"/>
          <w:rFonts w:ascii="Times New Roman" w:eastAsia="Times New Roman" w:hAnsi="Times New Roman" w:cs="Times New Roman"/>
          <w:sz w:val="20"/>
          <w:szCs w:val="20"/>
          <w:vertAlign w:val="superscript"/>
        </w:rPr>
        <w:footnoteRef/>
      </w:r>
      <w:r w:rsidR="000B4A31" w:rsidRPr="000B4A31">
        <w:rPr>
          <w:rStyle w:val="Aucun"/>
          <w:rFonts w:ascii="Times New Roman" w:hAnsi="Times New Roman" w:cs="Times New Roman"/>
          <w:i/>
          <w:iCs/>
          <w:sz w:val="20"/>
          <w:szCs w:val="20"/>
          <w:lang w:val="en-US"/>
        </w:rPr>
        <w:t xml:space="preserve">Jobcenter Krefeld </w:t>
      </w:r>
      <w:r w:rsidR="000B4A31" w:rsidRPr="000B4A31">
        <w:rPr>
          <w:rStyle w:val="Aucun"/>
          <w:rFonts w:ascii="Times New Roman" w:hAnsi="Times New Roman" w:cs="Times New Roman"/>
          <w:sz w:val="20"/>
          <w:szCs w:val="20"/>
          <w:lang w:val="en-US"/>
        </w:rPr>
        <w:t>(C-181/19) EU:C:2020:794 at [</w:t>
      </w:r>
      <w:r w:rsidRPr="000B4A31">
        <w:rPr>
          <w:rFonts w:ascii="Times New Roman" w:hAnsi="Times New Roman" w:cs="Times New Roman"/>
          <w:sz w:val="20"/>
          <w:szCs w:val="20"/>
          <w:lang w:val="en-US"/>
        </w:rPr>
        <w:t>79</w:t>
      </w:r>
      <w:r w:rsidR="000B4A31" w:rsidRPr="000B4A31">
        <w:rPr>
          <w:rFonts w:ascii="Times New Roman" w:hAnsi="Times New Roman" w:cs="Times New Roman"/>
          <w:sz w:val="20"/>
          <w:szCs w:val="20"/>
          <w:lang w:val="en-US"/>
        </w:rPr>
        <w:t>]</w:t>
      </w:r>
      <w:r w:rsidRPr="000B4A31">
        <w:rPr>
          <w:rFonts w:ascii="Times New Roman" w:hAnsi="Times New Roman" w:cs="Times New Roman"/>
          <w:sz w:val="20"/>
          <w:szCs w:val="20"/>
          <w:lang w:val="en-US"/>
        </w:rPr>
        <w:t xml:space="preserve">. </w:t>
      </w:r>
    </w:p>
  </w:footnote>
  <w:footnote w:id="66">
    <w:p w14:paraId="2FE85364" w14:textId="4757F966" w:rsidR="00EE1BEA" w:rsidRPr="000C62A7" w:rsidRDefault="00EE1BEA" w:rsidP="0017677E">
      <w:pPr>
        <w:pStyle w:val="Notedepieddepage"/>
        <w:jc w:val="both"/>
        <w:rPr>
          <w:rFonts w:ascii="Times New Roman" w:hAnsi="Times New Roman" w:cs="Times New Roman"/>
          <w:lang w:val="en-US"/>
        </w:rPr>
      </w:pPr>
      <w:r w:rsidRPr="000B4A31">
        <w:rPr>
          <w:rStyle w:val="Aucun"/>
          <w:rFonts w:ascii="Times New Roman" w:eastAsia="Times New Roman" w:hAnsi="Times New Roman" w:cs="Times New Roman"/>
          <w:sz w:val="20"/>
          <w:szCs w:val="20"/>
          <w:vertAlign w:val="superscript"/>
        </w:rPr>
        <w:footnoteRef/>
      </w:r>
      <w:r w:rsidR="000C62A7" w:rsidRPr="000C62A7">
        <w:rPr>
          <w:rFonts w:ascii="Times New Roman" w:hAnsi="Times New Roman" w:cs="Times New Roman"/>
          <w:sz w:val="20"/>
          <w:szCs w:val="20"/>
          <w:lang w:val="en-US"/>
        </w:rPr>
        <w:t>AG</w:t>
      </w:r>
      <w:r w:rsidR="000B4A31" w:rsidRPr="000C62A7">
        <w:rPr>
          <w:rFonts w:ascii="Times New Roman" w:hAnsi="Times New Roman" w:cs="Times New Roman"/>
          <w:sz w:val="20"/>
          <w:szCs w:val="20"/>
          <w:lang w:val="en-US"/>
        </w:rPr>
        <w:t xml:space="preserve"> Pitruzzella in </w:t>
      </w:r>
      <w:r w:rsidR="000B4A31" w:rsidRPr="000C62A7">
        <w:rPr>
          <w:rStyle w:val="Aucun"/>
          <w:rFonts w:ascii="Times New Roman" w:hAnsi="Times New Roman" w:cs="Times New Roman"/>
          <w:i/>
          <w:iCs/>
          <w:sz w:val="20"/>
          <w:szCs w:val="20"/>
          <w:lang w:val="en-US"/>
        </w:rPr>
        <w:t xml:space="preserve">Jobcenter Krefeld </w:t>
      </w:r>
      <w:r w:rsidR="000B4A31" w:rsidRPr="000C62A7">
        <w:rPr>
          <w:rStyle w:val="Aucun"/>
          <w:rFonts w:ascii="Times New Roman" w:hAnsi="Times New Roman" w:cs="Times New Roman"/>
          <w:sz w:val="20"/>
          <w:szCs w:val="20"/>
          <w:lang w:val="en-US"/>
        </w:rPr>
        <w:t>(C-181/19) EU:C:2020:377 at [</w:t>
      </w:r>
      <w:r w:rsidRPr="000C62A7">
        <w:rPr>
          <w:rFonts w:ascii="Times New Roman" w:hAnsi="Times New Roman" w:cs="Times New Roman"/>
          <w:sz w:val="20"/>
          <w:szCs w:val="20"/>
          <w:lang w:val="en-US"/>
        </w:rPr>
        <w:t>59</w:t>
      </w:r>
      <w:r w:rsidR="000B4A31" w:rsidRPr="000C62A7">
        <w:rPr>
          <w:rFonts w:ascii="Times New Roman" w:hAnsi="Times New Roman" w:cs="Times New Roman"/>
          <w:sz w:val="20"/>
          <w:szCs w:val="20"/>
          <w:lang w:val="en-US"/>
        </w:rPr>
        <w:t>]</w:t>
      </w:r>
      <w:r w:rsidRPr="000C62A7">
        <w:rPr>
          <w:rFonts w:ascii="Times New Roman" w:hAnsi="Times New Roman" w:cs="Times New Roman"/>
          <w:sz w:val="20"/>
          <w:szCs w:val="20"/>
          <w:lang w:val="en-US"/>
        </w:rPr>
        <w:t xml:space="preserve">. </w:t>
      </w:r>
    </w:p>
  </w:footnote>
  <w:footnote w:id="67">
    <w:p w14:paraId="13B97C67" w14:textId="5CC5DB9B" w:rsidR="00EE1BEA" w:rsidRPr="000B4A31" w:rsidRDefault="00EE1BEA" w:rsidP="0017677E">
      <w:pPr>
        <w:pStyle w:val="Notedepieddepage"/>
        <w:jc w:val="both"/>
        <w:rPr>
          <w:rFonts w:ascii="Times New Roman" w:hAnsi="Times New Roman" w:cs="Times New Roman"/>
          <w:sz w:val="20"/>
          <w:szCs w:val="20"/>
          <w:lang w:val="en-US"/>
        </w:rPr>
      </w:pPr>
      <w:r>
        <w:rPr>
          <w:rStyle w:val="Aucun"/>
          <w:rFonts w:ascii="Times New Roman" w:eastAsia="Times New Roman" w:hAnsi="Times New Roman" w:cs="Times New Roman"/>
          <w:sz w:val="20"/>
          <w:szCs w:val="20"/>
          <w:vertAlign w:val="superscript"/>
        </w:rPr>
        <w:footnoteRef/>
      </w:r>
      <w:r w:rsidR="000B4A31" w:rsidRPr="000B4A31">
        <w:rPr>
          <w:rStyle w:val="Aucun"/>
          <w:rFonts w:ascii="Times New Roman" w:hAnsi="Times New Roman" w:cs="Times New Roman"/>
          <w:i/>
          <w:iCs/>
          <w:sz w:val="20"/>
          <w:szCs w:val="20"/>
          <w:lang w:val="en-US"/>
        </w:rPr>
        <w:t xml:space="preserve">Jobcenter Krefeld </w:t>
      </w:r>
      <w:r w:rsidR="000B4A31" w:rsidRPr="000B4A31">
        <w:rPr>
          <w:rStyle w:val="Aucun"/>
          <w:rFonts w:ascii="Times New Roman" w:hAnsi="Times New Roman" w:cs="Times New Roman"/>
          <w:sz w:val="20"/>
          <w:szCs w:val="20"/>
          <w:lang w:val="en-US"/>
        </w:rPr>
        <w:t>(C-181/19) at [</w:t>
      </w:r>
      <w:r w:rsidR="000B4A31">
        <w:rPr>
          <w:rFonts w:ascii="Times New Roman" w:hAnsi="Times New Roman" w:cs="Times New Roman"/>
          <w:sz w:val="20"/>
          <w:szCs w:val="20"/>
          <w:lang w:val="en-US"/>
        </w:rPr>
        <w:t>43].</w:t>
      </w:r>
    </w:p>
  </w:footnote>
  <w:footnote w:id="68">
    <w:p w14:paraId="4DE62F1E" w14:textId="12D25F4C" w:rsidR="00EE1BEA" w:rsidRPr="00260783" w:rsidRDefault="00EE1BEA" w:rsidP="0017677E">
      <w:pPr>
        <w:pStyle w:val="Notedebasdepage"/>
        <w:jc w:val="both"/>
      </w:pPr>
      <w:r>
        <w:rPr>
          <w:rStyle w:val="Appelnotedebasdep"/>
        </w:rPr>
        <w:footnoteRef/>
      </w:r>
      <w:r>
        <w:t xml:space="preserve">Article 7 of Regulation 492/2011: </w:t>
      </w:r>
      <w:r w:rsidR="00A3091F">
        <w:t>“</w:t>
      </w:r>
      <w:r>
        <w:t xml:space="preserve">A worker who is a national of a Member State may not, in the terrirory of another Member State, be treated differently from national workers by reason of his nationality in respect of any conditions of employment and work, in particular as regards remuneration, dismissal, and, </w:t>
      </w:r>
      <w:r w:rsidRPr="009677D9">
        <w:rPr>
          <w:i/>
          <w:iCs/>
        </w:rPr>
        <w:t xml:space="preserve">should be become </w:t>
      </w:r>
      <w:r w:rsidRPr="00133056">
        <w:rPr>
          <w:i/>
          <w:iCs/>
        </w:rPr>
        <w:t>unemployed, reinstatement or re-employment</w:t>
      </w:r>
      <w:r w:rsidR="00A3091F">
        <w:t>”</w:t>
      </w:r>
      <w:r>
        <w:t xml:space="preserve"> (emphasis added).</w:t>
      </w:r>
    </w:p>
  </w:footnote>
  <w:footnote w:id="69">
    <w:p w14:paraId="12AA787A" w14:textId="2D86BDD3" w:rsidR="00EE1BEA" w:rsidRPr="00BE52C4" w:rsidRDefault="00EE1BEA" w:rsidP="0017677E">
      <w:pPr>
        <w:pStyle w:val="Notedepieddepage"/>
        <w:jc w:val="both"/>
        <w:rPr>
          <w:rFonts w:ascii="Times New Roman" w:hAnsi="Times New Roman" w:cs="Times New Roman"/>
          <w:sz w:val="20"/>
          <w:szCs w:val="20"/>
          <w:lang w:val="en-US"/>
        </w:rPr>
      </w:pPr>
      <w:r w:rsidRPr="00BE52C4">
        <w:rPr>
          <w:rStyle w:val="Appelnotedebasdep"/>
          <w:rFonts w:ascii="Times New Roman" w:hAnsi="Times New Roman" w:cs="Times New Roman"/>
          <w:sz w:val="20"/>
          <w:szCs w:val="20"/>
        </w:rPr>
        <w:footnoteRef/>
      </w:r>
      <w:r w:rsidR="000B4A31" w:rsidRPr="00BE52C4">
        <w:rPr>
          <w:rStyle w:val="Aucun"/>
          <w:rFonts w:ascii="Times New Roman" w:hAnsi="Times New Roman" w:cs="Times New Roman"/>
          <w:i/>
          <w:iCs/>
          <w:sz w:val="20"/>
          <w:szCs w:val="20"/>
          <w:lang w:val="en-US"/>
        </w:rPr>
        <w:t xml:space="preserve">Jobcenter Krefeld </w:t>
      </w:r>
      <w:r w:rsidR="000B4A31" w:rsidRPr="00BE52C4">
        <w:rPr>
          <w:rStyle w:val="Aucun"/>
          <w:rFonts w:ascii="Times New Roman" w:hAnsi="Times New Roman" w:cs="Times New Roman"/>
          <w:sz w:val="20"/>
          <w:szCs w:val="20"/>
          <w:lang w:val="en-US"/>
        </w:rPr>
        <w:t>(C-181/19) EU:C:2020:794 at [</w:t>
      </w:r>
      <w:r w:rsidRPr="00BE52C4">
        <w:rPr>
          <w:rFonts w:ascii="Times New Roman" w:hAnsi="Times New Roman" w:cs="Times New Roman"/>
          <w:sz w:val="20"/>
          <w:szCs w:val="20"/>
          <w:lang w:val="en-US"/>
        </w:rPr>
        <w:t>44</w:t>
      </w:r>
      <w:r w:rsidR="000B4A31" w:rsidRPr="00BE52C4">
        <w:rPr>
          <w:rFonts w:ascii="Times New Roman" w:hAnsi="Times New Roman" w:cs="Times New Roman"/>
          <w:sz w:val="20"/>
          <w:szCs w:val="20"/>
          <w:lang w:val="en-US"/>
        </w:rPr>
        <w:t>]</w:t>
      </w:r>
      <w:r w:rsidRPr="00BE52C4">
        <w:rPr>
          <w:rFonts w:ascii="Times New Roman" w:hAnsi="Times New Roman" w:cs="Times New Roman"/>
          <w:sz w:val="20"/>
          <w:szCs w:val="20"/>
          <w:lang w:val="en-US"/>
        </w:rPr>
        <w:t xml:space="preserve">.  </w:t>
      </w:r>
    </w:p>
  </w:footnote>
  <w:footnote w:id="70">
    <w:p w14:paraId="30DCAD59" w14:textId="3FB5A387" w:rsidR="00EE1BEA" w:rsidRPr="000B4A31" w:rsidRDefault="00EE1BEA" w:rsidP="0017677E">
      <w:pPr>
        <w:pStyle w:val="Notedepieddepage"/>
        <w:jc w:val="both"/>
        <w:rPr>
          <w:rFonts w:ascii="Times New Roman" w:hAnsi="Times New Roman" w:cs="Times New Roman"/>
          <w:sz w:val="20"/>
          <w:szCs w:val="20"/>
          <w:lang w:val="en-US"/>
        </w:rPr>
      </w:pPr>
      <w:r>
        <w:rPr>
          <w:rStyle w:val="Aucun"/>
          <w:rFonts w:ascii="Times New Roman" w:eastAsia="Times New Roman" w:hAnsi="Times New Roman" w:cs="Times New Roman"/>
          <w:sz w:val="20"/>
          <w:szCs w:val="20"/>
          <w:vertAlign w:val="superscript"/>
        </w:rPr>
        <w:footnoteRef/>
      </w:r>
      <w:r w:rsidR="000B4A31" w:rsidRPr="000B4A31">
        <w:rPr>
          <w:rStyle w:val="Aucun"/>
          <w:rFonts w:ascii="Times New Roman" w:hAnsi="Times New Roman" w:cs="Times New Roman"/>
          <w:i/>
          <w:iCs/>
          <w:sz w:val="20"/>
          <w:szCs w:val="20"/>
          <w:lang w:val="en-US"/>
        </w:rPr>
        <w:t xml:space="preserve">Jobcenter Krefeld </w:t>
      </w:r>
      <w:r w:rsidR="000B4A31" w:rsidRPr="000B4A31">
        <w:rPr>
          <w:rStyle w:val="Aucun"/>
          <w:rFonts w:ascii="Times New Roman" w:hAnsi="Times New Roman" w:cs="Times New Roman"/>
          <w:sz w:val="20"/>
          <w:szCs w:val="20"/>
          <w:lang w:val="en-US"/>
        </w:rPr>
        <w:t>(C-181/19) at [</w:t>
      </w:r>
      <w:r w:rsidRPr="00CE1795">
        <w:rPr>
          <w:rFonts w:ascii="Times New Roman" w:hAnsi="Times New Roman"/>
          <w:sz w:val="20"/>
          <w:szCs w:val="20"/>
          <w:lang w:val="en-US"/>
        </w:rPr>
        <w:t>45-7</w:t>
      </w:r>
      <w:r w:rsidR="000B4A31">
        <w:rPr>
          <w:rFonts w:ascii="Times New Roman" w:hAnsi="Times New Roman"/>
          <w:sz w:val="20"/>
          <w:szCs w:val="20"/>
          <w:lang w:val="en-US"/>
        </w:rPr>
        <w:t>]</w:t>
      </w:r>
      <w:r w:rsidRPr="00CE1795">
        <w:rPr>
          <w:rFonts w:ascii="Times New Roman" w:hAnsi="Times New Roman"/>
          <w:sz w:val="20"/>
          <w:szCs w:val="20"/>
          <w:lang w:val="en-US"/>
        </w:rPr>
        <w:t xml:space="preserve">. </w:t>
      </w:r>
    </w:p>
  </w:footnote>
  <w:footnote w:id="71">
    <w:p w14:paraId="1CF2FEAF" w14:textId="364F4A16" w:rsidR="00EE1BEA" w:rsidRPr="009D198E" w:rsidRDefault="00EE1BEA" w:rsidP="0017677E">
      <w:pPr>
        <w:pStyle w:val="Notedepieddepage"/>
        <w:jc w:val="both"/>
        <w:rPr>
          <w:rFonts w:ascii="Times New Roman" w:hAnsi="Times New Roman" w:cs="Times New Roman"/>
          <w:sz w:val="20"/>
          <w:szCs w:val="20"/>
          <w:lang w:val="en-US"/>
        </w:rPr>
      </w:pPr>
      <w:r>
        <w:rPr>
          <w:rStyle w:val="Aucun"/>
          <w:rFonts w:ascii="Times New Roman" w:eastAsia="Times New Roman" w:hAnsi="Times New Roman" w:cs="Times New Roman"/>
          <w:sz w:val="20"/>
          <w:szCs w:val="20"/>
          <w:vertAlign w:val="superscript"/>
        </w:rPr>
        <w:footnoteRef/>
      </w:r>
      <w:r w:rsidR="000B4A31" w:rsidRPr="000B4A31">
        <w:rPr>
          <w:rStyle w:val="Aucun"/>
          <w:rFonts w:ascii="Times New Roman" w:hAnsi="Times New Roman" w:cs="Times New Roman"/>
          <w:i/>
          <w:iCs/>
          <w:sz w:val="20"/>
          <w:szCs w:val="20"/>
          <w:lang w:val="en-US"/>
        </w:rPr>
        <w:t xml:space="preserve">Jobcenter Krefeld </w:t>
      </w:r>
      <w:r w:rsidR="000B4A31" w:rsidRPr="000B4A31">
        <w:rPr>
          <w:rStyle w:val="Aucun"/>
          <w:rFonts w:ascii="Times New Roman" w:hAnsi="Times New Roman" w:cs="Times New Roman"/>
          <w:sz w:val="20"/>
          <w:szCs w:val="20"/>
          <w:lang w:val="en-US"/>
        </w:rPr>
        <w:t>(C-181/19) at [</w:t>
      </w:r>
      <w:r w:rsidRPr="00CE1795">
        <w:rPr>
          <w:rFonts w:ascii="Times New Roman" w:hAnsi="Times New Roman"/>
          <w:sz w:val="20"/>
          <w:szCs w:val="20"/>
          <w:lang w:val="en-US"/>
        </w:rPr>
        <w:t>48-9</w:t>
      </w:r>
      <w:r w:rsidR="000B4A31">
        <w:rPr>
          <w:rFonts w:ascii="Times New Roman" w:hAnsi="Times New Roman"/>
          <w:sz w:val="20"/>
          <w:szCs w:val="20"/>
          <w:lang w:val="en-US"/>
        </w:rPr>
        <w:t>]</w:t>
      </w:r>
      <w:r w:rsidRPr="00CE1795">
        <w:rPr>
          <w:rFonts w:ascii="Times New Roman" w:hAnsi="Times New Roman"/>
          <w:sz w:val="20"/>
          <w:szCs w:val="20"/>
          <w:lang w:val="en-US"/>
        </w:rPr>
        <w:t xml:space="preserve">. </w:t>
      </w:r>
    </w:p>
  </w:footnote>
  <w:footnote w:id="72">
    <w:p w14:paraId="312140C3" w14:textId="0C84E77B" w:rsidR="00EE1BEA" w:rsidRPr="000C62A7" w:rsidRDefault="00EE1BEA" w:rsidP="0017677E">
      <w:pPr>
        <w:pStyle w:val="Notedepieddepage"/>
        <w:jc w:val="both"/>
        <w:rPr>
          <w:lang w:val="en-US"/>
        </w:rPr>
      </w:pPr>
      <w:r w:rsidRPr="009D198E">
        <w:rPr>
          <w:rStyle w:val="Appelnotedebasdep"/>
          <w:rFonts w:ascii="Times New Roman" w:hAnsi="Times New Roman" w:cs="Times New Roman"/>
          <w:sz w:val="20"/>
          <w:szCs w:val="20"/>
        </w:rPr>
        <w:footnoteRef/>
      </w:r>
      <w:r w:rsidR="000C62A7" w:rsidRPr="000C62A7">
        <w:rPr>
          <w:rFonts w:ascii="Times New Roman" w:hAnsi="Times New Roman" w:cs="Times New Roman"/>
          <w:sz w:val="20"/>
          <w:szCs w:val="20"/>
          <w:lang w:val="en-US"/>
        </w:rPr>
        <w:t>AG</w:t>
      </w:r>
      <w:r w:rsidR="000B4A31" w:rsidRPr="000C62A7">
        <w:rPr>
          <w:rFonts w:ascii="Times New Roman" w:hAnsi="Times New Roman" w:cs="Times New Roman"/>
          <w:sz w:val="20"/>
          <w:szCs w:val="20"/>
          <w:lang w:val="en-US"/>
        </w:rPr>
        <w:t xml:space="preserve"> Pitruzzella in </w:t>
      </w:r>
      <w:r w:rsidR="000B4A31" w:rsidRPr="000C62A7">
        <w:rPr>
          <w:rStyle w:val="Aucun"/>
          <w:rFonts w:ascii="Times New Roman" w:hAnsi="Times New Roman" w:cs="Times New Roman"/>
          <w:i/>
          <w:iCs/>
          <w:sz w:val="20"/>
          <w:szCs w:val="20"/>
          <w:lang w:val="en-US"/>
        </w:rPr>
        <w:t xml:space="preserve">Jobcenter Krefeld </w:t>
      </w:r>
      <w:r w:rsidR="000B4A31" w:rsidRPr="000C62A7">
        <w:rPr>
          <w:rStyle w:val="Aucun"/>
          <w:rFonts w:ascii="Times New Roman" w:hAnsi="Times New Roman" w:cs="Times New Roman"/>
          <w:sz w:val="20"/>
          <w:szCs w:val="20"/>
          <w:lang w:val="en-US"/>
        </w:rPr>
        <w:t>(C-181/19) at [</w:t>
      </w:r>
      <w:r w:rsidRPr="000C62A7">
        <w:rPr>
          <w:rFonts w:ascii="Times New Roman" w:hAnsi="Times New Roman"/>
          <w:sz w:val="20"/>
          <w:szCs w:val="20"/>
          <w:lang w:val="en-US"/>
        </w:rPr>
        <w:t>74</w:t>
      </w:r>
      <w:r w:rsidR="000B4A31" w:rsidRPr="000C62A7">
        <w:rPr>
          <w:rFonts w:ascii="Times New Roman" w:hAnsi="Times New Roman"/>
          <w:sz w:val="20"/>
          <w:szCs w:val="20"/>
          <w:lang w:val="en-US"/>
        </w:rPr>
        <w:t>]</w:t>
      </w:r>
      <w:r w:rsidRPr="000C62A7">
        <w:rPr>
          <w:rFonts w:ascii="Times New Roman" w:hAnsi="Times New Roman"/>
          <w:sz w:val="20"/>
          <w:szCs w:val="20"/>
          <w:lang w:val="en-US"/>
        </w:rPr>
        <w:t xml:space="preserve">.  </w:t>
      </w:r>
    </w:p>
  </w:footnote>
  <w:footnote w:id="73">
    <w:p w14:paraId="3BCCAE44" w14:textId="3D198273" w:rsidR="00EE1BEA" w:rsidRPr="0038403A" w:rsidRDefault="00EE1BEA" w:rsidP="0017677E">
      <w:pPr>
        <w:pStyle w:val="Notedebasdepage"/>
        <w:jc w:val="both"/>
      </w:pPr>
      <w:r>
        <w:rPr>
          <w:rStyle w:val="Appelnotedebasdep"/>
        </w:rPr>
        <w:footnoteRef/>
      </w:r>
      <w:r w:rsidR="00E23C65">
        <w:rPr>
          <w:i/>
          <w:iCs/>
        </w:rPr>
        <w:t xml:space="preserve">Florea </w:t>
      </w:r>
      <w:r w:rsidR="00C44F4E">
        <w:rPr>
          <w:i/>
          <w:iCs/>
        </w:rPr>
        <w:t xml:space="preserve">Gusa </w:t>
      </w:r>
      <w:r w:rsidR="00E23C65">
        <w:rPr>
          <w:i/>
          <w:iCs/>
        </w:rPr>
        <w:t xml:space="preserve">v Minister for Social Protection, Ireland, Attorney General </w:t>
      </w:r>
      <w:r w:rsidR="00C44F4E">
        <w:t>(C-442/16)</w:t>
      </w:r>
      <w:r w:rsidR="00E23C65">
        <w:t xml:space="preserve"> EU:C:2007:1004</w:t>
      </w:r>
      <w:r>
        <w:t xml:space="preserve">; </w:t>
      </w:r>
      <w:r w:rsidR="00E23C65">
        <w:rPr>
          <w:i/>
          <w:iCs/>
        </w:rPr>
        <w:t xml:space="preserve">Neculai </w:t>
      </w:r>
      <w:r>
        <w:rPr>
          <w:i/>
          <w:iCs/>
        </w:rPr>
        <w:t>Tarola</w:t>
      </w:r>
      <w:r w:rsidR="00E23C65">
        <w:rPr>
          <w:i/>
          <w:iCs/>
        </w:rPr>
        <w:t xml:space="preserve"> v Minister for Social Protection</w:t>
      </w:r>
      <w:r w:rsidR="00C44F4E" w:rsidRPr="00C44F4E">
        <w:t xml:space="preserve"> (C-483</w:t>
      </w:r>
      <w:r w:rsidR="00C44F4E">
        <w:t>/17)</w:t>
      </w:r>
      <w:r w:rsidR="00E23C65">
        <w:t xml:space="preserve"> EU:C:2019:309</w:t>
      </w:r>
      <w:r>
        <w:t xml:space="preserve">; </w:t>
      </w:r>
      <w:r w:rsidR="00E23C65">
        <w:rPr>
          <w:i/>
          <w:iCs/>
        </w:rPr>
        <w:t xml:space="preserve">Her Majesty’s Revenue and Customs v Henrika </w:t>
      </w:r>
      <w:r w:rsidRPr="002D60CC">
        <w:rPr>
          <w:i/>
          <w:iCs/>
        </w:rPr>
        <w:t>Dakneviciute</w:t>
      </w:r>
      <w:r w:rsidR="00C44F4E">
        <w:rPr>
          <w:i/>
          <w:iCs/>
        </w:rPr>
        <w:t xml:space="preserve"> </w:t>
      </w:r>
      <w:r w:rsidR="00C44F4E">
        <w:t>(C-544/18)</w:t>
      </w:r>
      <w:r w:rsidR="00E23C65">
        <w:t xml:space="preserve"> EU:C:2019:761</w:t>
      </w:r>
      <w:r>
        <w:t xml:space="preserve">.  </w:t>
      </w:r>
    </w:p>
  </w:footnote>
  <w:footnote w:id="74">
    <w:p w14:paraId="0D225BCF" w14:textId="75BDEC82" w:rsidR="00EB0FA6" w:rsidRPr="00EB0FA6" w:rsidRDefault="00EB0FA6" w:rsidP="00EB0FA6">
      <w:pPr>
        <w:pStyle w:val="Notedebasdepage"/>
        <w:jc w:val="both"/>
      </w:pPr>
      <w:r>
        <w:rPr>
          <w:rStyle w:val="Appelnotedebasdep"/>
        </w:rPr>
        <w:footnoteRef/>
      </w:r>
      <w:r>
        <w:t xml:space="preserve">In </w:t>
      </w:r>
      <w:r>
        <w:rPr>
          <w:i/>
          <w:iCs/>
        </w:rPr>
        <w:t>Gusa</w:t>
      </w:r>
      <w:r>
        <w:t xml:space="preserve">, the applicant had worked as a self-employed plasterer for four years prior to becoming unemployed, whereas in </w:t>
      </w:r>
      <w:r w:rsidRPr="00226A88">
        <w:rPr>
          <w:i/>
          <w:iCs/>
        </w:rPr>
        <w:t>Dakneviciute</w:t>
      </w:r>
      <w:r>
        <w:t xml:space="preserve"> the benefit applicant had been working - either as a worker or as a self-employed - for several years when she temporarily ceased to work as a self-employed during the late stages of her pregnancy. </w:t>
      </w:r>
    </w:p>
  </w:footnote>
  <w:footnote w:id="75">
    <w:p w14:paraId="40CABECC" w14:textId="542ECE60" w:rsidR="00EE1BEA" w:rsidRPr="007F59EB" w:rsidRDefault="00EE1BEA" w:rsidP="0017677E">
      <w:pPr>
        <w:pStyle w:val="Notedebasdepage"/>
        <w:jc w:val="both"/>
      </w:pPr>
      <w:r>
        <w:rPr>
          <w:rStyle w:val="Appelnotedebasdep"/>
        </w:rPr>
        <w:footnoteRef/>
      </w:r>
      <w:r>
        <w:t xml:space="preserve">C. O’Sullyvan, </w:t>
      </w:r>
      <w:r w:rsidR="00C44F4E">
        <w:t>“</w:t>
      </w:r>
      <w:r>
        <w:t>Europeanisation and the Irish Habitual Residence Condition</w:t>
      </w:r>
      <w:r w:rsidR="00C44F4E">
        <w:t>” (2019)</w:t>
      </w:r>
      <w:r>
        <w:t xml:space="preserve"> 26 </w:t>
      </w:r>
      <w:r w:rsidRPr="00C44F4E">
        <w:t xml:space="preserve">Journal of </w:t>
      </w:r>
      <w:r w:rsidR="00C44F4E" w:rsidRPr="00C44F4E">
        <w:t>S</w:t>
      </w:r>
      <w:r w:rsidRPr="00C44F4E">
        <w:t xml:space="preserve">ocial </w:t>
      </w:r>
      <w:r w:rsidR="00C44F4E" w:rsidRPr="00C44F4E">
        <w:t>S</w:t>
      </w:r>
      <w:r w:rsidRPr="00C44F4E">
        <w:t xml:space="preserve">ecurity </w:t>
      </w:r>
      <w:r w:rsidR="00C44F4E" w:rsidRPr="00C44F4E">
        <w:t>L</w:t>
      </w:r>
      <w:r w:rsidRPr="00C44F4E">
        <w:t>aw</w:t>
      </w:r>
      <w:r>
        <w:t xml:space="preserve"> 2</w:t>
      </w:r>
      <w:r w:rsidR="00C44F4E">
        <w:t xml:space="preserve">, </w:t>
      </w:r>
      <w:r>
        <w:t>79.</w:t>
      </w:r>
    </w:p>
  </w:footnote>
  <w:footnote w:id="76">
    <w:p w14:paraId="3D066CC7" w14:textId="578158D3" w:rsidR="00EE1BEA" w:rsidRPr="00B3692F" w:rsidRDefault="00EE1BEA" w:rsidP="0017677E">
      <w:pPr>
        <w:pStyle w:val="Notedebasdepage"/>
        <w:rPr>
          <w:lang w:val="fr-BE"/>
        </w:rPr>
      </w:pPr>
      <w:r>
        <w:rPr>
          <w:rStyle w:val="Appelnotedebasdep"/>
        </w:rPr>
        <w:footnoteRef/>
      </w:r>
      <w:r w:rsidR="00E23C65" w:rsidRPr="00E23C65">
        <w:rPr>
          <w:i/>
          <w:iCs/>
          <w:lang w:val="fr-BE"/>
        </w:rPr>
        <w:t xml:space="preserve">Tarola </w:t>
      </w:r>
      <w:r w:rsidR="00E23C65" w:rsidRPr="00E23C65">
        <w:rPr>
          <w:lang w:val="fr-BE"/>
        </w:rPr>
        <w:t>(C-483/17) EU:C:2019:309 at [</w:t>
      </w:r>
      <w:r w:rsidRPr="00B3692F">
        <w:rPr>
          <w:lang w:val="fr-BE"/>
        </w:rPr>
        <w:t>48</w:t>
      </w:r>
      <w:r w:rsidR="00E23C65">
        <w:rPr>
          <w:lang w:val="fr-BE"/>
        </w:rPr>
        <w:t>]</w:t>
      </w:r>
      <w:r w:rsidRPr="00B3692F">
        <w:rPr>
          <w:lang w:val="fr-BE"/>
        </w:rPr>
        <w:t xml:space="preserve">. </w:t>
      </w:r>
    </w:p>
  </w:footnote>
  <w:footnote w:id="77">
    <w:p w14:paraId="3A87F1E0" w14:textId="61B10D9B" w:rsidR="00EE1BEA" w:rsidRPr="000C62A7" w:rsidRDefault="00EE1BEA" w:rsidP="0017677E">
      <w:pPr>
        <w:pStyle w:val="Notedebasdepage"/>
        <w:jc w:val="both"/>
      </w:pPr>
      <w:r>
        <w:rPr>
          <w:rStyle w:val="Appelnotedebasdep"/>
        </w:rPr>
        <w:footnoteRef/>
      </w:r>
      <w:r w:rsidR="00E23C65" w:rsidRPr="000C62A7">
        <w:rPr>
          <w:i/>
          <w:iCs/>
        </w:rPr>
        <w:t xml:space="preserve">Tarola </w:t>
      </w:r>
      <w:r w:rsidR="00E23C65" w:rsidRPr="000C62A7">
        <w:t>(C-483/17) at [</w:t>
      </w:r>
      <w:r w:rsidRPr="000C62A7">
        <w:t>56-</w:t>
      </w:r>
      <w:r w:rsidR="00C44F4E" w:rsidRPr="000C62A7">
        <w:t>5</w:t>
      </w:r>
      <w:r w:rsidRPr="000C62A7">
        <w:t>8</w:t>
      </w:r>
      <w:r w:rsidR="00E23C65" w:rsidRPr="000C62A7">
        <w:t>]</w:t>
      </w:r>
      <w:r w:rsidRPr="000C62A7">
        <w:t xml:space="preserve">. </w:t>
      </w:r>
    </w:p>
  </w:footnote>
  <w:footnote w:id="78">
    <w:p w14:paraId="0C56E137" w14:textId="592609CF" w:rsidR="00EE1BEA" w:rsidRPr="005F3C06" w:rsidRDefault="00EE1BEA" w:rsidP="0017677E">
      <w:pPr>
        <w:pStyle w:val="Notedebasdepage"/>
        <w:jc w:val="both"/>
      </w:pPr>
      <w:r>
        <w:rPr>
          <w:rStyle w:val="Appelnotedebasdep"/>
        </w:rPr>
        <w:footnoteRef/>
      </w:r>
      <w:r>
        <w:t xml:space="preserve">A. Nato, </w:t>
      </w:r>
      <w:r w:rsidR="00C44F4E">
        <w:t>“</w:t>
      </w:r>
      <w:r>
        <w:t>The Self-employed and the Court of Justice: Towards New Social Protection of Vulnerable EU Citizens</w:t>
      </w:r>
      <w:r w:rsidR="00C44F4E">
        <w:t>” (202</w:t>
      </w:r>
      <w:r w:rsidR="00115CE6">
        <w:t>1</w:t>
      </w:r>
      <w:r w:rsidR="00C44F4E">
        <w:t>)</w:t>
      </w:r>
      <w:r w:rsidR="003104CC">
        <w:t xml:space="preserve"> 12</w:t>
      </w:r>
      <w:r>
        <w:t xml:space="preserve"> </w:t>
      </w:r>
      <w:r w:rsidR="000C62A7">
        <w:t>E.L.L.J.</w:t>
      </w:r>
      <w:r w:rsidR="003104CC">
        <w:t xml:space="preserve"> 1</w:t>
      </w:r>
      <w:r w:rsidR="00C44F4E">
        <w:t>,</w:t>
      </w:r>
      <w:r>
        <w:t xml:space="preserve"> </w:t>
      </w:r>
      <w:r w:rsidR="003104CC">
        <w:t>35</w:t>
      </w:r>
      <w:r>
        <w:t xml:space="preserve">. </w:t>
      </w:r>
    </w:p>
  </w:footnote>
  <w:footnote w:id="79">
    <w:p w14:paraId="46404305" w14:textId="7E6BABF2" w:rsidR="00EE1BEA" w:rsidRPr="001A0EA7" w:rsidRDefault="00EE1BEA" w:rsidP="0017677E">
      <w:pPr>
        <w:pStyle w:val="Notedebasdepage"/>
        <w:jc w:val="both"/>
      </w:pPr>
      <w:r>
        <w:rPr>
          <w:rStyle w:val="Appelnotedebasdep"/>
        </w:rPr>
        <w:footnoteRef/>
      </w:r>
      <w:r>
        <w:t xml:space="preserve">In the same vein, </w:t>
      </w:r>
      <w:r w:rsidRPr="00C44F4E">
        <w:t>see</w:t>
      </w:r>
      <w:r>
        <w:t xml:space="preserve"> </w:t>
      </w:r>
      <w:r w:rsidRPr="001A0EA7">
        <w:rPr>
          <w:color w:val="000000"/>
        </w:rPr>
        <w:t xml:space="preserve">N. Cambien, </w:t>
      </w:r>
      <w:r w:rsidR="00C44F4E">
        <w:rPr>
          <w:color w:val="000000"/>
        </w:rPr>
        <w:t>“</w:t>
      </w:r>
      <w:r w:rsidRPr="001A0EA7">
        <w:rPr>
          <w:color w:val="000000"/>
        </w:rPr>
        <w:t xml:space="preserve">EU </w:t>
      </w:r>
      <w:r>
        <w:rPr>
          <w:color w:val="000000"/>
        </w:rPr>
        <w:t>C</w:t>
      </w:r>
      <w:r w:rsidRPr="001A0EA7">
        <w:rPr>
          <w:color w:val="000000"/>
        </w:rPr>
        <w:t xml:space="preserve">itizenship and the </w:t>
      </w:r>
      <w:r>
        <w:rPr>
          <w:color w:val="000000"/>
        </w:rPr>
        <w:t>R</w:t>
      </w:r>
      <w:r w:rsidRPr="001A0EA7">
        <w:rPr>
          <w:color w:val="000000"/>
        </w:rPr>
        <w:t xml:space="preserve">ight to </w:t>
      </w:r>
      <w:r>
        <w:rPr>
          <w:color w:val="000000"/>
        </w:rPr>
        <w:t>C</w:t>
      </w:r>
      <w:r w:rsidRPr="001A0EA7">
        <w:rPr>
          <w:color w:val="000000"/>
        </w:rPr>
        <w:t>are</w:t>
      </w:r>
      <w:r w:rsidR="00C44F4E">
        <w:rPr>
          <w:color w:val="000000"/>
        </w:rPr>
        <w:t>”</w:t>
      </w:r>
      <w:r w:rsidRPr="001A0EA7">
        <w:rPr>
          <w:color w:val="000000"/>
        </w:rPr>
        <w:t xml:space="preserve">, in </w:t>
      </w:r>
      <w:r>
        <w:rPr>
          <w:color w:val="000000"/>
        </w:rPr>
        <w:t>Kochenov (ed</w:t>
      </w:r>
      <w:r w:rsidR="00713B11">
        <w:rPr>
          <w:color w:val="000000"/>
        </w:rPr>
        <w:t>.</w:t>
      </w:r>
      <w:r>
        <w:rPr>
          <w:color w:val="000000"/>
        </w:rPr>
        <w:t xml:space="preserve">), </w:t>
      </w:r>
      <w:r w:rsidR="00C44F4E" w:rsidRPr="009037C6">
        <w:rPr>
          <w:rStyle w:val="Aucun"/>
          <w:i/>
          <w:iCs/>
        </w:rPr>
        <w:t>EU Citi</w:t>
      </w:r>
      <w:r w:rsidR="00C44F4E">
        <w:rPr>
          <w:rStyle w:val="Aucun"/>
          <w:i/>
          <w:iCs/>
        </w:rPr>
        <w:t>zenship and Federalism</w:t>
      </w:r>
      <w:r w:rsidR="00C44F4E">
        <w:rPr>
          <w:rStyle w:val="Aucun"/>
        </w:rPr>
        <w:t xml:space="preserve"> </w:t>
      </w:r>
      <w:r w:rsidR="00D622D7">
        <w:rPr>
          <w:rStyle w:val="Aucun"/>
        </w:rPr>
        <w:t>(</w:t>
      </w:r>
      <w:r w:rsidR="00C44F4E">
        <w:rPr>
          <w:rStyle w:val="Aucun"/>
        </w:rPr>
        <w:t>2017)</w:t>
      </w:r>
      <w:r w:rsidRPr="001A0EA7">
        <w:rPr>
          <w:color w:val="000000"/>
        </w:rPr>
        <w:t>, p. 49</w:t>
      </w:r>
      <w:r w:rsidR="00C44F4E">
        <w:rPr>
          <w:color w:val="000000"/>
        </w:rPr>
        <w:t>0</w:t>
      </w:r>
      <w:r w:rsidRPr="001A0EA7">
        <w:rPr>
          <w:color w:val="000000"/>
        </w:rPr>
        <w:t>.</w:t>
      </w:r>
    </w:p>
  </w:footnote>
  <w:footnote w:id="80">
    <w:p w14:paraId="389D129C" w14:textId="40FA74F2" w:rsidR="00EE1BEA" w:rsidRPr="00C44F4E" w:rsidRDefault="00EE1BEA" w:rsidP="0017677E">
      <w:pPr>
        <w:pStyle w:val="Notedepieddepage"/>
        <w:jc w:val="both"/>
        <w:rPr>
          <w:rFonts w:ascii="Times New Roman" w:hAnsi="Times New Roman" w:cs="Times New Roman"/>
          <w:lang w:val="en-US"/>
        </w:rPr>
      </w:pPr>
      <w:r w:rsidRPr="00C44F4E">
        <w:rPr>
          <w:rStyle w:val="Aucun"/>
          <w:rFonts w:ascii="Times New Roman" w:eastAsia="Times New Roman" w:hAnsi="Times New Roman" w:cs="Times New Roman"/>
          <w:sz w:val="20"/>
          <w:szCs w:val="20"/>
          <w:vertAlign w:val="superscript"/>
        </w:rPr>
        <w:footnoteRef/>
      </w:r>
      <w:r w:rsidRPr="00C44F4E">
        <w:rPr>
          <w:rFonts w:ascii="Times New Roman" w:hAnsi="Times New Roman" w:cs="Times New Roman"/>
          <w:sz w:val="20"/>
          <w:szCs w:val="20"/>
          <w:lang w:val="en-US"/>
        </w:rPr>
        <w:t xml:space="preserve">O’Brien, </w:t>
      </w:r>
      <w:r w:rsidR="00C44F4E" w:rsidRPr="00C44F4E">
        <w:rPr>
          <w:rFonts w:ascii="Times New Roman" w:hAnsi="Times New Roman" w:cs="Times New Roman"/>
          <w:sz w:val="20"/>
          <w:szCs w:val="20"/>
          <w:lang w:val="en-US"/>
        </w:rPr>
        <w:t xml:space="preserve">“Civis Capitalist Sum” (2016), </w:t>
      </w:r>
      <w:r w:rsidRPr="00C44F4E">
        <w:rPr>
          <w:rFonts w:ascii="Times New Roman" w:hAnsi="Times New Roman" w:cs="Times New Roman"/>
          <w:sz w:val="20"/>
          <w:szCs w:val="20"/>
          <w:lang w:val="en-US"/>
        </w:rPr>
        <w:t xml:space="preserve">951. </w:t>
      </w:r>
    </w:p>
  </w:footnote>
  <w:footnote w:id="81">
    <w:p w14:paraId="6D61F80C" w14:textId="3D446861" w:rsidR="00EE1BEA" w:rsidRPr="00576124" w:rsidRDefault="00EE1BEA" w:rsidP="0017677E">
      <w:pPr>
        <w:pStyle w:val="Notedebasdepage"/>
      </w:pPr>
      <w:r>
        <w:rPr>
          <w:rStyle w:val="Appelnotedebasdep"/>
        </w:rPr>
        <w:footnoteRef/>
      </w:r>
      <w:r w:rsidR="00C44F4E" w:rsidRPr="000B4A31">
        <w:rPr>
          <w:rStyle w:val="Aucun"/>
          <w:i/>
          <w:iCs/>
        </w:rPr>
        <w:t xml:space="preserve">Jobcenter Krefeld </w:t>
      </w:r>
      <w:r w:rsidR="00C44F4E" w:rsidRPr="000B4A31">
        <w:rPr>
          <w:rStyle w:val="Aucun"/>
        </w:rPr>
        <w:t xml:space="preserve">(C-181/19) EU:C:2020:794 at </w:t>
      </w:r>
      <w:r w:rsidR="00C44F4E">
        <w:rPr>
          <w:rStyle w:val="Aucun"/>
        </w:rPr>
        <w:t>[</w:t>
      </w:r>
      <w:r>
        <w:t>65</w:t>
      </w:r>
      <w:r w:rsidR="00C44F4E">
        <w:t>]</w:t>
      </w:r>
      <w:r>
        <w:t xml:space="preserve">. </w:t>
      </w:r>
    </w:p>
  </w:footnote>
  <w:footnote w:id="82">
    <w:p w14:paraId="7BA27C8A" w14:textId="0E6196A1" w:rsidR="00EE1BEA" w:rsidRPr="00CE1795" w:rsidRDefault="00EE1BEA" w:rsidP="0017677E">
      <w:pPr>
        <w:pStyle w:val="Notedepieddepage"/>
        <w:jc w:val="both"/>
        <w:rPr>
          <w:lang w:val="en-US"/>
        </w:rPr>
      </w:pPr>
      <w:r>
        <w:rPr>
          <w:rStyle w:val="Aucun"/>
          <w:rFonts w:ascii="Times New Roman" w:eastAsia="Times New Roman" w:hAnsi="Times New Roman" w:cs="Times New Roman"/>
          <w:sz w:val="20"/>
          <w:szCs w:val="20"/>
          <w:vertAlign w:val="superscript"/>
        </w:rPr>
        <w:footnoteRef/>
      </w:r>
      <w:r w:rsidR="00C44F4E" w:rsidRPr="000B4A31">
        <w:rPr>
          <w:rStyle w:val="Aucun"/>
          <w:rFonts w:ascii="Times New Roman" w:hAnsi="Times New Roman" w:cs="Times New Roman"/>
          <w:i/>
          <w:iCs/>
          <w:sz w:val="20"/>
          <w:szCs w:val="20"/>
          <w:lang w:val="en-US"/>
        </w:rPr>
        <w:t xml:space="preserve">Jobcenter Krefeld </w:t>
      </w:r>
      <w:r w:rsidR="00C44F4E" w:rsidRPr="000B4A31">
        <w:rPr>
          <w:rStyle w:val="Aucun"/>
          <w:rFonts w:ascii="Times New Roman" w:hAnsi="Times New Roman" w:cs="Times New Roman"/>
          <w:sz w:val="20"/>
          <w:szCs w:val="20"/>
          <w:lang w:val="en-US"/>
        </w:rPr>
        <w:t>(C-181/19) EU:C:2020:794 at</w:t>
      </w:r>
      <w:r w:rsidR="00C44F4E">
        <w:rPr>
          <w:rStyle w:val="Aucun"/>
          <w:rFonts w:ascii="Times New Roman" w:hAnsi="Times New Roman" w:cs="Times New Roman"/>
          <w:sz w:val="20"/>
          <w:szCs w:val="20"/>
          <w:lang w:val="en-US"/>
        </w:rPr>
        <w:t xml:space="preserve"> [</w:t>
      </w:r>
      <w:r w:rsidR="00C44F4E">
        <w:rPr>
          <w:rFonts w:ascii="Times New Roman" w:hAnsi="Times New Roman"/>
          <w:sz w:val="20"/>
          <w:szCs w:val="20"/>
          <w:lang w:val="en-US"/>
        </w:rPr>
        <w:t>106]</w:t>
      </w:r>
      <w:r w:rsidRPr="00CE1795">
        <w:rPr>
          <w:rFonts w:ascii="Times New Roman" w:hAnsi="Times New Roman"/>
          <w:sz w:val="20"/>
          <w:szCs w:val="20"/>
          <w:lang w:val="en-US"/>
        </w:rPr>
        <w:t xml:space="preserve">.  </w:t>
      </w:r>
    </w:p>
  </w:footnote>
  <w:footnote w:id="83">
    <w:p w14:paraId="2390AD4D" w14:textId="77D77377" w:rsidR="00EE1BEA" w:rsidRPr="00CE1795" w:rsidRDefault="00EE1BEA" w:rsidP="0017677E">
      <w:pPr>
        <w:pStyle w:val="Notedepieddepage"/>
        <w:jc w:val="both"/>
        <w:rPr>
          <w:lang w:val="en-US"/>
        </w:rPr>
      </w:pPr>
      <w:r>
        <w:rPr>
          <w:rStyle w:val="Aucun"/>
          <w:rFonts w:ascii="Times New Roman" w:eastAsia="Times New Roman" w:hAnsi="Times New Roman" w:cs="Times New Roman"/>
          <w:sz w:val="20"/>
          <w:szCs w:val="20"/>
          <w:vertAlign w:val="superscript"/>
        </w:rPr>
        <w:footnoteRef/>
      </w:r>
      <w:r w:rsidR="000C62A7">
        <w:rPr>
          <w:rFonts w:ascii="Times New Roman" w:hAnsi="Times New Roman" w:cs="Times New Roman"/>
          <w:sz w:val="20"/>
          <w:szCs w:val="20"/>
          <w:lang w:val="en-US"/>
        </w:rPr>
        <w:t>AG</w:t>
      </w:r>
      <w:r w:rsidR="00C44F4E" w:rsidRPr="000B4A31">
        <w:rPr>
          <w:rFonts w:ascii="Times New Roman" w:hAnsi="Times New Roman" w:cs="Times New Roman"/>
          <w:sz w:val="20"/>
          <w:szCs w:val="20"/>
          <w:lang w:val="en-US"/>
        </w:rPr>
        <w:t xml:space="preserve"> Pitruzzella in </w:t>
      </w:r>
      <w:r w:rsidR="00C44F4E" w:rsidRPr="000B4A31">
        <w:rPr>
          <w:rStyle w:val="Aucun"/>
          <w:rFonts w:ascii="Times New Roman" w:hAnsi="Times New Roman" w:cs="Times New Roman"/>
          <w:i/>
          <w:iCs/>
          <w:sz w:val="20"/>
          <w:szCs w:val="20"/>
          <w:lang w:val="en-US"/>
        </w:rPr>
        <w:t xml:space="preserve">Jobcenter Krefeld </w:t>
      </w:r>
      <w:r w:rsidR="00C44F4E" w:rsidRPr="000B4A31">
        <w:rPr>
          <w:rStyle w:val="Aucun"/>
          <w:rFonts w:ascii="Times New Roman" w:hAnsi="Times New Roman" w:cs="Times New Roman"/>
          <w:sz w:val="20"/>
          <w:szCs w:val="20"/>
          <w:lang w:val="en-US"/>
        </w:rPr>
        <w:t>(C-181/19) EU:C:2020:377 at</w:t>
      </w:r>
      <w:r w:rsidR="00C44F4E">
        <w:rPr>
          <w:rStyle w:val="Aucun"/>
          <w:rFonts w:ascii="Times New Roman" w:hAnsi="Times New Roman" w:cs="Times New Roman"/>
          <w:sz w:val="20"/>
          <w:szCs w:val="20"/>
          <w:lang w:val="en-US"/>
        </w:rPr>
        <w:t xml:space="preserve"> [</w:t>
      </w:r>
      <w:r w:rsidRPr="00CE1795">
        <w:rPr>
          <w:rFonts w:ascii="Times New Roman" w:hAnsi="Times New Roman"/>
          <w:sz w:val="20"/>
          <w:szCs w:val="20"/>
          <w:lang w:val="en-US"/>
        </w:rPr>
        <w:t>56</w:t>
      </w:r>
      <w:r w:rsidR="00C44F4E">
        <w:rPr>
          <w:rFonts w:ascii="Times New Roman" w:hAnsi="Times New Roman"/>
          <w:sz w:val="20"/>
          <w:szCs w:val="20"/>
          <w:lang w:val="en-US"/>
        </w:rPr>
        <w:t>]</w:t>
      </w:r>
      <w:r w:rsidRPr="00CE1795">
        <w:rPr>
          <w:rFonts w:ascii="Times New Roman" w:hAnsi="Times New Roman"/>
          <w:sz w:val="20"/>
          <w:szCs w:val="20"/>
          <w:lang w:val="en-US"/>
        </w:rPr>
        <w:t xml:space="preserve">.  </w:t>
      </w:r>
    </w:p>
  </w:footnote>
  <w:footnote w:id="84">
    <w:p w14:paraId="49F89CAE" w14:textId="7F2CF26A" w:rsidR="00EE1BEA" w:rsidRPr="00CE1795" w:rsidRDefault="00EE1BEA" w:rsidP="0017677E">
      <w:pPr>
        <w:pStyle w:val="Notedepieddepage"/>
        <w:jc w:val="both"/>
        <w:rPr>
          <w:lang w:val="en-US"/>
        </w:rPr>
      </w:pPr>
      <w:r>
        <w:rPr>
          <w:rStyle w:val="Aucun"/>
          <w:rFonts w:ascii="Times New Roman" w:eastAsia="Times New Roman" w:hAnsi="Times New Roman" w:cs="Times New Roman"/>
          <w:sz w:val="20"/>
          <w:szCs w:val="20"/>
          <w:vertAlign w:val="superscript"/>
        </w:rPr>
        <w:footnoteRef/>
      </w:r>
      <w:r w:rsidR="00C44F4E" w:rsidRPr="000B4A31">
        <w:rPr>
          <w:rStyle w:val="Aucun"/>
          <w:rFonts w:ascii="Times New Roman" w:hAnsi="Times New Roman" w:cs="Times New Roman"/>
          <w:i/>
          <w:iCs/>
          <w:sz w:val="20"/>
          <w:szCs w:val="20"/>
          <w:lang w:val="en-US"/>
        </w:rPr>
        <w:t xml:space="preserve">Jobcenter Krefeld </w:t>
      </w:r>
      <w:r w:rsidR="00C44F4E" w:rsidRPr="000B4A31">
        <w:rPr>
          <w:rStyle w:val="Aucun"/>
          <w:rFonts w:ascii="Times New Roman" w:hAnsi="Times New Roman" w:cs="Times New Roman"/>
          <w:sz w:val="20"/>
          <w:szCs w:val="20"/>
          <w:lang w:val="en-US"/>
        </w:rPr>
        <w:t>(C-181/19) at</w:t>
      </w:r>
      <w:r>
        <w:rPr>
          <w:rFonts w:ascii="Times New Roman" w:hAnsi="Times New Roman"/>
          <w:sz w:val="20"/>
          <w:szCs w:val="20"/>
          <w:lang w:val="pt-PT"/>
        </w:rPr>
        <w:t xml:space="preserve"> </w:t>
      </w:r>
      <w:r w:rsidR="00C44F4E">
        <w:rPr>
          <w:rFonts w:ascii="Times New Roman" w:hAnsi="Times New Roman"/>
          <w:sz w:val="20"/>
          <w:szCs w:val="20"/>
          <w:lang w:val="pt-PT"/>
        </w:rPr>
        <w:t>[</w:t>
      </w:r>
      <w:r>
        <w:rPr>
          <w:rFonts w:ascii="Times New Roman" w:hAnsi="Times New Roman"/>
          <w:sz w:val="20"/>
          <w:szCs w:val="20"/>
          <w:lang w:val="pt-PT"/>
        </w:rPr>
        <w:t>69-79</w:t>
      </w:r>
      <w:r w:rsidR="00C44F4E">
        <w:rPr>
          <w:rFonts w:ascii="Times New Roman" w:hAnsi="Times New Roman"/>
          <w:sz w:val="20"/>
          <w:szCs w:val="20"/>
          <w:lang w:val="pt-PT"/>
        </w:rPr>
        <w:t>]</w:t>
      </w:r>
      <w:r>
        <w:rPr>
          <w:rFonts w:ascii="Times New Roman" w:hAnsi="Times New Roman"/>
          <w:sz w:val="20"/>
          <w:szCs w:val="20"/>
          <w:lang w:val="pt-PT"/>
        </w:rPr>
        <w:t xml:space="preserve">. </w:t>
      </w:r>
    </w:p>
  </w:footnote>
  <w:footnote w:id="85">
    <w:p w14:paraId="0332E283" w14:textId="1F75A44D" w:rsidR="00EE1BEA" w:rsidRPr="004B451D" w:rsidRDefault="00EE1BEA" w:rsidP="0017677E">
      <w:pPr>
        <w:pStyle w:val="Notedebasdepage"/>
      </w:pPr>
      <w:r>
        <w:rPr>
          <w:rStyle w:val="Appelnotedebasdep"/>
        </w:rPr>
        <w:footnoteRef/>
      </w:r>
      <w:r w:rsidR="00C44F4E" w:rsidRPr="000B4A31">
        <w:rPr>
          <w:rStyle w:val="Aucun"/>
          <w:i/>
          <w:iCs/>
        </w:rPr>
        <w:t xml:space="preserve">Jobcenter Krefeld </w:t>
      </w:r>
      <w:r w:rsidR="00C44F4E" w:rsidRPr="000B4A31">
        <w:rPr>
          <w:rStyle w:val="Aucun"/>
        </w:rPr>
        <w:t>(C-181/19) at</w:t>
      </w:r>
      <w:r w:rsidR="00C44F4E">
        <w:rPr>
          <w:rStyle w:val="Aucun"/>
        </w:rPr>
        <w:t xml:space="preserve"> [</w:t>
      </w:r>
      <w:r>
        <w:t>70</w:t>
      </w:r>
      <w:r w:rsidR="00C44F4E">
        <w:t>]</w:t>
      </w:r>
      <w:r>
        <w:t xml:space="preserve">. </w:t>
      </w:r>
    </w:p>
  </w:footnote>
  <w:footnote w:id="86">
    <w:p w14:paraId="58045E9A" w14:textId="7A5CC18B" w:rsidR="00EE1BEA" w:rsidRPr="00370D40" w:rsidRDefault="00EE1BEA" w:rsidP="0017677E">
      <w:pPr>
        <w:jc w:val="both"/>
        <w:rPr>
          <w:sz w:val="20"/>
          <w:szCs w:val="20"/>
        </w:rPr>
      </w:pPr>
      <w:r w:rsidRPr="00F05C9A">
        <w:rPr>
          <w:rStyle w:val="Appelnotedebasdep"/>
          <w:sz w:val="20"/>
          <w:szCs w:val="20"/>
        </w:rPr>
        <w:footnoteRef/>
      </w:r>
      <w:r w:rsidRPr="00370D40">
        <w:rPr>
          <w:color w:val="000000"/>
          <w:sz w:val="20"/>
          <w:szCs w:val="20"/>
        </w:rPr>
        <w:t>See</w:t>
      </w:r>
      <w:r w:rsidR="00C44F4E" w:rsidRPr="00370D40">
        <w:rPr>
          <w:color w:val="000000"/>
          <w:sz w:val="20"/>
          <w:szCs w:val="20"/>
        </w:rPr>
        <w:t>,</w:t>
      </w:r>
      <w:r w:rsidRPr="00370D40">
        <w:rPr>
          <w:color w:val="000000"/>
          <w:sz w:val="20"/>
          <w:szCs w:val="20"/>
        </w:rPr>
        <w:t xml:space="preserve"> e.g.</w:t>
      </w:r>
      <w:r w:rsidRPr="00370D40">
        <w:rPr>
          <w:i/>
          <w:iCs/>
          <w:color w:val="000000"/>
          <w:sz w:val="20"/>
          <w:szCs w:val="20"/>
        </w:rPr>
        <w:t xml:space="preserve"> </w:t>
      </w:r>
      <w:r w:rsidR="00E23C65" w:rsidRPr="00370D40">
        <w:rPr>
          <w:i/>
          <w:iCs/>
          <w:color w:val="000000"/>
          <w:sz w:val="20"/>
          <w:szCs w:val="20"/>
        </w:rPr>
        <w:t xml:space="preserve">UB v </w:t>
      </w:r>
      <w:r w:rsidRPr="00370D40">
        <w:rPr>
          <w:i/>
          <w:iCs/>
          <w:color w:val="000000"/>
          <w:sz w:val="20"/>
          <w:szCs w:val="20"/>
        </w:rPr>
        <w:t>Generálny riaditeľ Sociálnej poisťovne Bratislava</w:t>
      </w:r>
      <w:r w:rsidR="00550B2C" w:rsidRPr="00370D40">
        <w:rPr>
          <w:color w:val="000000"/>
          <w:sz w:val="20"/>
          <w:szCs w:val="20"/>
        </w:rPr>
        <w:t xml:space="preserve"> (C-447/18) EU:C:</w:t>
      </w:r>
      <w:r w:rsidR="00E23C65" w:rsidRPr="00370D40">
        <w:rPr>
          <w:color w:val="000000"/>
          <w:sz w:val="20"/>
          <w:szCs w:val="20"/>
        </w:rPr>
        <w:t>2019:1098</w:t>
      </w:r>
      <w:r w:rsidR="00550B2C" w:rsidRPr="00370D40">
        <w:rPr>
          <w:color w:val="000000"/>
          <w:sz w:val="20"/>
          <w:szCs w:val="20"/>
        </w:rPr>
        <w:t xml:space="preserve"> at</w:t>
      </w:r>
      <w:r w:rsidRPr="00370D40">
        <w:rPr>
          <w:color w:val="000000"/>
          <w:sz w:val="20"/>
          <w:szCs w:val="20"/>
        </w:rPr>
        <w:t xml:space="preserve"> </w:t>
      </w:r>
      <w:r w:rsidR="00550B2C" w:rsidRPr="00370D40">
        <w:rPr>
          <w:color w:val="000000"/>
          <w:sz w:val="20"/>
          <w:szCs w:val="20"/>
        </w:rPr>
        <w:t>[</w:t>
      </w:r>
      <w:r w:rsidRPr="00370D40">
        <w:rPr>
          <w:color w:val="000000"/>
          <w:sz w:val="20"/>
          <w:szCs w:val="20"/>
        </w:rPr>
        <w:t>39</w:t>
      </w:r>
      <w:r w:rsidR="00550B2C" w:rsidRPr="00370D40">
        <w:rPr>
          <w:color w:val="000000"/>
          <w:sz w:val="20"/>
          <w:szCs w:val="20"/>
        </w:rPr>
        <w:t>]</w:t>
      </w:r>
      <w:r w:rsidRPr="00370D40">
        <w:rPr>
          <w:color w:val="000000"/>
          <w:sz w:val="20"/>
          <w:szCs w:val="20"/>
        </w:rPr>
        <w:t xml:space="preserve">; </w:t>
      </w:r>
      <w:r w:rsidR="00E23C65" w:rsidRPr="00370D40">
        <w:rPr>
          <w:i/>
          <w:iCs/>
          <w:color w:val="000000"/>
          <w:sz w:val="20"/>
          <w:szCs w:val="20"/>
        </w:rPr>
        <w:t xml:space="preserve">Noémie </w:t>
      </w:r>
      <w:r w:rsidRPr="00370D40">
        <w:rPr>
          <w:i/>
          <w:iCs/>
          <w:color w:val="000000"/>
          <w:sz w:val="20"/>
          <w:szCs w:val="20"/>
        </w:rPr>
        <w:t>Depesme and</w:t>
      </w:r>
      <w:r w:rsidR="00E23C65" w:rsidRPr="00370D40">
        <w:rPr>
          <w:i/>
          <w:iCs/>
          <w:color w:val="000000"/>
          <w:sz w:val="20"/>
          <w:szCs w:val="20"/>
        </w:rPr>
        <w:t xml:space="preserve"> others v Ministre de l’Enseignement Supérieur et de la Recherche</w:t>
      </w:r>
      <w:r w:rsidRPr="00370D40">
        <w:rPr>
          <w:i/>
          <w:iCs/>
          <w:color w:val="000000"/>
          <w:sz w:val="20"/>
          <w:szCs w:val="20"/>
        </w:rPr>
        <w:t xml:space="preserve"> </w:t>
      </w:r>
      <w:r w:rsidR="00550B2C" w:rsidRPr="00370D40">
        <w:rPr>
          <w:color w:val="000000"/>
          <w:sz w:val="20"/>
          <w:szCs w:val="20"/>
        </w:rPr>
        <w:t>(C-401/15 to 403/15) EU:C:</w:t>
      </w:r>
      <w:r w:rsidR="00E23C65" w:rsidRPr="00370D40">
        <w:rPr>
          <w:color w:val="000000"/>
          <w:sz w:val="20"/>
          <w:szCs w:val="20"/>
        </w:rPr>
        <w:t>2016:955</w:t>
      </w:r>
      <w:r w:rsidR="00550B2C" w:rsidRPr="00370D40">
        <w:rPr>
          <w:color w:val="000000"/>
          <w:sz w:val="20"/>
          <w:szCs w:val="20"/>
        </w:rPr>
        <w:t xml:space="preserve"> at</w:t>
      </w:r>
      <w:r w:rsidRPr="00370D40">
        <w:rPr>
          <w:color w:val="000000"/>
          <w:sz w:val="20"/>
          <w:szCs w:val="20"/>
        </w:rPr>
        <w:t xml:space="preserve"> </w:t>
      </w:r>
      <w:r w:rsidR="00550B2C" w:rsidRPr="00370D40">
        <w:rPr>
          <w:color w:val="000000"/>
          <w:sz w:val="20"/>
          <w:szCs w:val="20"/>
        </w:rPr>
        <w:t>[</w:t>
      </w:r>
      <w:r w:rsidRPr="00370D40">
        <w:rPr>
          <w:color w:val="000000"/>
          <w:sz w:val="20"/>
          <w:szCs w:val="20"/>
        </w:rPr>
        <w:t>35</w:t>
      </w:r>
      <w:r w:rsidR="00550B2C" w:rsidRPr="00370D40">
        <w:rPr>
          <w:color w:val="000000"/>
          <w:sz w:val="20"/>
          <w:szCs w:val="20"/>
        </w:rPr>
        <w:t>]</w:t>
      </w:r>
      <w:r w:rsidRPr="00370D40">
        <w:rPr>
          <w:color w:val="000000"/>
          <w:sz w:val="20"/>
          <w:szCs w:val="20"/>
        </w:rPr>
        <w:t xml:space="preserve">; </w:t>
      </w:r>
      <w:r w:rsidRPr="00370D40">
        <w:rPr>
          <w:i/>
          <w:iCs/>
          <w:color w:val="000000"/>
          <w:sz w:val="20"/>
          <w:szCs w:val="20"/>
        </w:rPr>
        <w:t xml:space="preserve">Giersch </w:t>
      </w:r>
      <w:r w:rsidR="00550B2C" w:rsidRPr="00370D40">
        <w:rPr>
          <w:color w:val="000000"/>
          <w:sz w:val="20"/>
          <w:szCs w:val="20"/>
        </w:rPr>
        <w:t>(C-20:12) EU:C:</w:t>
      </w:r>
      <w:r w:rsidR="00E23C65" w:rsidRPr="00370D40">
        <w:rPr>
          <w:color w:val="000000"/>
          <w:sz w:val="20"/>
          <w:szCs w:val="20"/>
        </w:rPr>
        <w:t>2013:411</w:t>
      </w:r>
      <w:r w:rsidR="00550B2C" w:rsidRPr="00370D40">
        <w:rPr>
          <w:color w:val="000000"/>
          <w:sz w:val="20"/>
          <w:szCs w:val="20"/>
        </w:rPr>
        <w:t xml:space="preserve"> at [</w:t>
      </w:r>
      <w:r w:rsidRPr="00370D40">
        <w:rPr>
          <w:color w:val="000000"/>
          <w:sz w:val="20"/>
          <w:szCs w:val="20"/>
        </w:rPr>
        <w:t>35</w:t>
      </w:r>
      <w:r w:rsidR="00550B2C" w:rsidRPr="00370D40">
        <w:rPr>
          <w:color w:val="000000"/>
          <w:sz w:val="20"/>
          <w:szCs w:val="20"/>
        </w:rPr>
        <w:t>]</w:t>
      </w:r>
      <w:r w:rsidRPr="00370D40">
        <w:rPr>
          <w:color w:val="000000"/>
          <w:sz w:val="20"/>
          <w:szCs w:val="20"/>
        </w:rPr>
        <w:t>.</w:t>
      </w:r>
    </w:p>
  </w:footnote>
  <w:footnote w:id="87">
    <w:p w14:paraId="12534644" w14:textId="1F920096" w:rsidR="002A5BE2" w:rsidRPr="0060483A" w:rsidRDefault="002A5BE2" w:rsidP="002A5BE2">
      <w:pPr>
        <w:pStyle w:val="NormalWeb"/>
        <w:spacing w:before="0" w:beforeAutospacing="0" w:after="0" w:afterAutospacing="0"/>
        <w:jc w:val="both"/>
        <w:rPr>
          <w:sz w:val="20"/>
          <w:szCs w:val="20"/>
          <w:lang w:val="en-US"/>
        </w:rPr>
      </w:pPr>
      <w:r w:rsidRPr="002A5D99">
        <w:rPr>
          <w:rStyle w:val="Appelnotedebasdep"/>
          <w:sz w:val="20"/>
          <w:szCs w:val="20"/>
        </w:rPr>
        <w:footnoteRef/>
      </w:r>
      <w:r>
        <w:rPr>
          <w:sz w:val="20"/>
          <w:szCs w:val="20"/>
          <w:lang w:val="en-US"/>
        </w:rPr>
        <w:t>R</w:t>
      </w:r>
      <w:r w:rsidRPr="002A5D99">
        <w:rPr>
          <w:sz w:val="20"/>
          <w:szCs w:val="20"/>
          <w:lang w:val="en-US"/>
        </w:rPr>
        <w:t xml:space="preserve">ecital 6 in the Preamble to the Workers’ Regulation. </w:t>
      </w:r>
      <w:r w:rsidRPr="00550B2C">
        <w:rPr>
          <w:sz w:val="20"/>
          <w:szCs w:val="20"/>
          <w:lang w:val="en-US"/>
        </w:rPr>
        <w:t>See also</w:t>
      </w:r>
      <w:r>
        <w:rPr>
          <w:i/>
          <w:iCs/>
          <w:sz w:val="20"/>
          <w:szCs w:val="20"/>
          <w:lang w:val="en-US"/>
        </w:rPr>
        <w:t xml:space="preserve"> </w:t>
      </w:r>
      <w:r w:rsidRPr="002A030C">
        <w:rPr>
          <w:rStyle w:val="Aucun"/>
          <w:i/>
          <w:iCs/>
          <w:sz w:val="20"/>
          <w:szCs w:val="20"/>
          <w:lang w:val="en-US"/>
        </w:rPr>
        <w:t xml:space="preserve">Baumbast </w:t>
      </w:r>
      <w:r w:rsidRPr="002A030C">
        <w:rPr>
          <w:rStyle w:val="Aucun"/>
          <w:sz w:val="20"/>
          <w:szCs w:val="20"/>
          <w:lang w:val="en-US"/>
        </w:rPr>
        <w:t>(C-431:99) EU:C:2002:493</w:t>
      </w:r>
      <w:r>
        <w:rPr>
          <w:sz w:val="20"/>
          <w:szCs w:val="20"/>
          <w:lang w:val="en-US"/>
        </w:rPr>
        <w:t xml:space="preserve"> at</w:t>
      </w:r>
      <w:r>
        <w:rPr>
          <w:rFonts w:eastAsia="Arial Unicode MS"/>
          <w:sz w:val="20"/>
          <w:szCs w:val="20"/>
          <w:lang w:val="en-US"/>
        </w:rPr>
        <w:t xml:space="preserve"> [50]; </w:t>
      </w:r>
      <w:r w:rsidRPr="002A5D99">
        <w:rPr>
          <w:rFonts w:eastAsia="Arial Unicode MS"/>
          <w:sz w:val="20"/>
          <w:szCs w:val="20"/>
          <w:lang w:val="en-US"/>
        </w:rPr>
        <w:t>Nic Shuibhne</w:t>
      </w:r>
      <w:r>
        <w:rPr>
          <w:rFonts w:eastAsia="Arial Unicode MS"/>
          <w:sz w:val="20"/>
          <w:szCs w:val="20"/>
          <w:lang w:val="en-US"/>
        </w:rPr>
        <w:t xml:space="preserve">, </w:t>
      </w:r>
      <w:r>
        <w:rPr>
          <w:sz w:val="20"/>
          <w:szCs w:val="20"/>
          <w:lang w:val="en-US"/>
        </w:rPr>
        <w:t>“</w:t>
      </w:r>
      <w:r w:rsidRPr="00CE1795">
        <w:rPr>
          <w:sz w:val="20"/>
          <w:szCs w:val="20"/>
          <w:lang w:val="en-US"/>
        </w:rPr>
        <w:t xml:space="preserve">Reconnecting </w:t>
      </w:r>
      <w:r>
        <w:rPr>
          <w:sz w:val="20"/>
          <w:szCs w:val="20"/>
          <w:lang w:val="en-US"/>
        </w:rPr>
        <w:t>F</w:t>
      </w:r>
      <w:r w:rsidRPr="00CE1795">
        <w:rPr>
          <w:sz w:val="20"/>
          <w:szCs w:val="20"/>
          <w:lang w:val="en-US"/>
        </w:rPr>
        <w:t xml:space="preserve">ree </w:t>
      </w:r>
      <w:r>
        <w:rPr>
          <w:sz w:val="20"/>
          <w:szCs w:val="20"/>
          <w:lang w:val="en-US"/>
        </w:rPr>
        <w:t>M</w:t>
      </w:r>
      <w:r w:rsidRPr="00CE1795">
        <w:rPr>
          <w:sz w:val="20"/>
          <w:szCs w:val="20"/>
          <w:lang w:val="en-US"/>
        </w:rPr>
        <w:t xml:space="preserve">ovement of </w:t>
      </w:r>
      <w:r>
        <w:rPr>
          <w:sz w:val="20"/>
          <w:szCs w:val="20"/>
          <w:lang w:val="en-US"/>
        </w:rPr>
        <w:t>W</w:t>
      </w:r>
      <w:r w:rsidRPr="00CE1795">
        <w:rPr>
          <w:sz w:val="20"/>
          <w:szCs w:val="20"/>
          <w:lang w:val="en-US"/>
        </w:rPr>
        <w:t xml:space="preserve">orkers and </w:t>
      </w:r>
      <w:r>
        <w:rPr>
          <w:sz w:val="20"/>
          <w:szCs w:val="20"/>
          <w:lang w:val="en-US"/>
        </w:rPr>
        <w:t>E</w:t>
      </w:r>
      <w:r w:rsidRPr="00CE1795">
        <w:rPr>
          <w:sz w:val="20"/>
          <w:szCs w:val="20"/>
          <w:lang w:val="en-US"/>
        </w:rPr>
        <w:t xml:space="preserve">qual </w:t>
      </w:r>
      <w:r>
        <w:rPr>
          <w:sz w:val="20"/>
          <w:szCs w:val="20"/>
          <w:lang w:val="en-US"/>
        </w:rPr>
        <w:t>T</w:t>
      </w:r>
      <w:r w:rsidRPr="00CE1795">
        <w:rPr>
          <w:sz w:val="20"/>
          <w:szCs w:val="20"/>
          <w:lang w:val="en-US"/>
        </w:rPr>
        <w:t xml:space="preserve">reatment in an </w:t>
      </w:r>
      <w:r>
        <w:rPr>
          <w:sz w:val="20"/>
          <w:szCs w:val="20"/>
          <w:lang w:val="en-US"/>
        </w:rPr>
        <w:t>U</w:t>
      </w:r>
      <w:r w:rsidRPr="00CE1795">
        <w:rPr>
          <w:sz w:val="20"/>
          <w:szCs w:val="20"/>
          <w:lang w:val="en-US"/>
        </w:rPr>
        <w:t>nequal Europe</w:t>
      </w:r>
      <w:r>
        <w:rPr>
          <w:sz w:val="20"/>
          <w:szCs w:val="20"/>
          <w:lang w:val="en-US"/>
        </w:rPr>
        <w:t xml:space="preserve">” (2018), </w:t>
      </w:r>
      <w:r w:rsidRPr="002A5D99">
        <w:rPr>
          <w:sz w:val="20"/>
          <w:szCs w:val="20"/>
          <w:lang w:val="en-US"/>
        </w:rPr>
        <w:t>497.</w:t>
      </w:r>
      <w:r w:rsidRPr="002A5D99">
        <w:rPr>
          <w:rFonts w:eastAsia="Arial Unicode MS"/>
          <w:sz w:val="20"/>
          <w:szCs w:val="20"/>
          <w:lang w:val="en-US"/>
        </w:rPr>
        <w:t xml:space="preserve"> </w:t>
      </w:r>
    </w:p>
  </w:footnote>
  <w:footnote w:id="88">
    <w:p w14:paraId="674470D3" w14:textId="1CFD3375" w:rsidR="00EE1BEA" w:rsidRPr="00E23C65" w:rsidRDefault="00EE1BEA" w:rsidP="0017677E">
      <w:pPr>
        <w:jc w:val="both"/>
        <w:rPr>
          <w:sz w:val="20"/>
          <w:szCs w:val="20"/>
          <w:lang w:val="en-US"/>
        </w:rPr>
      </w:pPr>
      <w:r w:rsidRPr="000F1B1B">
        <w:rPr>
          <w:rStyle w:val="Appelnotedebasdep"/>
          <w:sz w:val="20"/>
          <w:szCs w:val="20"/>
        </w:rPr>
        <w:footnoteRef/>
      </w:r>
      <w:r w:rsidR="00E23C65" w:rsidRPr="00E23C65">
        <w:rPr>
          <w:i/>
          <w:iCs/>
          <w:sz w:val="20"/>
          <w:szCs w:val="20"/>
          <w:lang w:val="en-US"/>
        </w:rPr>
        <w:t xml:space="preserve">State of the Netherlands v Ann Florence </w:t>
      </w:r>
      <w:r w:rsidRPr="00E23C65">
        <w:rPr>
          <w:i/>
          <w:iCs/>
          <w:sz w:val="20"/>
          <w:szCs w:val="20"/>
          <w:lang w:val="en-US"/>
        </w:rPr>
        <w:t>Reed</w:t>
      </w:r>
      <w:r w:rsidR="00550B2C" w:rsidRPr="00E23C65">
        <w:rPr>
          <w:sz w:val="20"/>
          <w:szCs w:val="20"/>
          <w:lang w:val="en-US"/>
        </w:rPr>
        <w:t xml:space="preserve"> (C-59/85) </w:t>
      </w:r>
      <w:r w:rsidR="00E23C65" w:rsidRPr="00E23C65">
        <w:rPr>
          <w:sz w:val="20"/>
          <w:szCs w:val="20"/>
          <w:lang w:val="en-US"/>
        </w:rPr>
        <w:t xml:space="preserve">EU:C:1986:157 </w:t>
      </w:r>
      <w:r w:rsidR="00550B2C" w:rsidRPr="00E23C65">
        <w:rPr>
          <w:sz w:val="20"/>
          <w:szCs w:val="20"/>
          <w:lang w:val="en-US"/>
        </w:rPr>
        <w:t>at [</w:t>
      </w:r>
      <w:r w:rsidRPr="00E23C65">
        <w:rPr>
          <w:sz w:val="20"/>
          <w:szCs w:val="20"/>
          <w:lang w:val="en-US"/>
        </w:rPr>
        <w:t>26</w:t>
      </w:r>
      <w:r w:rsidR="00550B2C" w:rsidRPr="00E23C65">
        <w:rPr>
          <w:sz w:val="20"/>
          <w:szCs w:val="20"/>
          <w:lang w:val="en-US"/>
        </w:rPr>
        <w:t>]</w:t>
      </w:r>
      <w:r w:rsidRPr="00E23C65">
        <w:rPr>
          <w:sz w:val="20"/>
          <w:szCs w:val="20"/>
          <w:lang w:val="en-US"/>
        </w:rPr>
        <w:t xml:space="preserve">; </w:t>
      </w:r>
      <w:r w:rsidR="00550B2C" w:rsidRPr="00E23C65">
        <w:rPr>
          <w:rStyle w:val="Aucun"/>
          <w:i/>
          <w:iCs/>
          <w:sz w:val="20"/>
          <w:szCs w:val="20"/>
          <w:lang w:val="en-US"/>
        </w:rPr>
        <w:t xml:space="preserve">Martinez Sala </w:t>
      </w:r>
      <w:r w:rsidR="00550B2C" w:rsidRPr="00E23C65">
        <w:rPr>
          <w:sz w:val="20"/>
          <w:szCs w:val="20"/>
          <w:lang w:val="en-US"/>
        </w:rPr>
        <w:t>(C-85/96) EU:C:1998:217 at</w:t>
      </w:r>
      <w:r w:rsidRPr="00E23C65">
        <w:rPr>
          <w:sz w:val="20"/>
          <w:szCs w:val="20"/>
          <w:lang w:val="en-US"/>
        </w:rPr>
        <w:t xml:space="preserve"> </w:t>
      </w:r>
      <w:r w:rsidR="00550B2C" w:rsidRPr="00E23C65">
        <w:rPr>
          <w:sz w:val="20"/>
          <w:szCs w:val="20"/>
          <w:lang w:val="en-US"/>
        </w:rPr>
        <w:t>[</w:t>
      </w:r>
      <w:r w:rsidRPr="00E23C65">
        <w:rPr>
          <w:sz w:val="20"/>
          <w:szCs w:val="20"/>
          <w:lang w:val="en-US"/>
        </w:rPr>
        <w:t>25</w:t>
      </w:r>
      <w:r w:rsidR="00550B2C" w:rsidRPr="00E23C65">
        <w:rPr>
          <w:sz w:val="20"/>
          <w:szCs w:val="20"/>
          <w:lang w:val="en-US"/>
        </w:rPr>
        <w:t>]</w:t>
      </w:r>
      <w:r w:rsidRPr="00E23C65">
        <w:rPr>
          <w:sz w:val="20"/>
          <w:szCs w:val="20"/>
          <w:lang w:val="en-US"/>
        </w:rPr>
        <w:t xml:space="preserve">; </w:t>
      </w:r>
      <w:r w:rsidR="00550B2C" w:rsidRPr="00E23C65">
        <w:rPr>
          <w:rStyle w:val="Aucun"/>
          <w:i/>
          <w:iCs/>
          <w:sz w:val="20"/>
          <w:szCs w:val="20"/>
          <w:lang w:val="en-US"/>
        </w:rPr>
        <w:t>Ioannidis</w:t>
      </w:r>
      <w:r w:rsidR="00550B2C" w:rsidRPr="00E23C65">
        <w:rPr>
          <w:sz w:val="20"/>
          <w:szCs w:val="20"/>
          <w:lang w:val="en-US"/>
        </w:rPr>
        <w:t xml:space="preserve"> (C-258/04) EU:C:2005:559 at [</w:t>
      </w:r>
      <w:r w:rsidR="00E23C65" w:rsidRPr="00E23C65">
        <w:rPr>
          <w:sz w:val="20"/>
          <w:szCs w:val="20"/>
          <w:lang w:val="en-US"/>
        </w:rPr>
        <w:t>25</w:t>
      </w:r>
      <w:r w:rsidR="00550B2C" w:rsidRPr="00E23C65">
        <w:rPr>
          <w:sz w:val="20"/>
          <w:szCs w:val="20"/>
          <w:lang w:val="en-US"/>
        </w:rPr>
        <w:t>]</w:t>
      </w:r>
      <w:r w:rsidRPr="00E23C65">
        <w:rPr>
          <w:sz w:val="20"/>
          <w:szCs w:val="20"/>
          <w:lang w:val="en-US"/>
        </w:rPr>
        <w:t>;</w:t>
      </w:r>
      <w:r w:rsidR="00E23C65" w:rsidRPr="00E23C65">
        <w:rPr>
          <w:sz w:val="20"/>
          <w:szCs w:val="20"/>
          <w:lang w:val="en-US"/>
        </w:rPr>
        <w:t xml:space="preserve"> </w:t>
      </w:r>
      <w:r w:rsidRPr="00E23C65">
        <w:rPr>
          <w:i/>
          <w:iCs/>
          <w:color w:val="000000"/>
          <w:sz w:val="20"/>
          <w:szCs w:val="20"/>
          <w:lang w:val="en-US"/>
        </w:rPr>
        <w:t>Generálny riaditeľ Sociálnej poisťovne Bratislava</w:t>
      </w:r>
      <w:r w:rsidR="00550B2C" w:rsidRPr="00E23C65">
        <w:rPr>
          <w:color w:val="000000"/>
          <w:sz w:val="20"/>
          <w:szCs w:val="20"/>
          <w:lang w:val="en-US"/>
        </w:rPr>
        <w:t xml:space="preserve"> (C-447/18)</w:t>
      </w:r>
      <w:r w:rsidRPr="00E23C65">
        <w:rPr>
          <w:color w:val="000000"/>
          <w:sz w:val="20"/>
          <w:szCs w:val="20"/>
          <w:lang w:val="en-US"/>
        </w:rPr>
        <w:t xml:space="preserve"> </w:t>
      </w:r>
      <w:r w:rsidR="00E23C65" w:rsidRPr="00E23C65">
        <w:rPr>
          <w:color w:val="000000"/>
          <w:sz w:val="20"/>
          <w:szCs w:val="20"/>
          <w:lang w:val="en-US"/>
        </w:rPr>
        <w:t>EU:C :2019</w:t>
      </w:r>
      <w:r w:rsidR="00E23C65">
        <w:rPr>
          <w:color w:val="000000"/>
          <w:sz w:val="20"/>
          <w:szCs w:val="20"/>
          <w:lang w:val="en-US"/>
        </w:rPr>
        <w:t xml:space="preserve">:1098 </w:t>
      </w:r>
      <w:r w:rsidR="00550B2C" w:rsidRPr="00E23C65">
        <w:rPr>
          <w:color w:val="000000"/>
          <w:sz w:val="20"/>
          <w:szCs w:val="20"/>
          <w:lang w:val="en-US"/>
        </w:rPr>
        <w:t>at</w:t>
      </w:r>
      <w:r w:rsidRPr="00E23C65">
        <w:rPr>
          <w:color w:val="000000"/>
          <w:sz w:val="20"/>
          <w:szCs w:val="20"/>
          <w:lang w:val="en-US"/>
        </w:rPr>
        <w:t xml:space="preserve"> </w:t>
      </w:r>
      <w:r w:rsidR="00550B2C" w:rsidRPr="00E23C65">
        <w:rPr>
          <w:color w:val="000000"/>
          <w:sz w:val="20"/>
          <w:szCs w:val="20"/>
          <w:lang w:val="en-US"/>
        </w:rPr>
        <w:t>[</w:t>
      </w:r>
      <w:r w:rsidRPr="00E23C65">
        <w:rPr>
          <w:color w:val="000000"/>
          <w:sz w:val="20"/>
          <w:szCs w:val="20"/>
          <w:lang w:val="en-US"/>
        </w:rPr>
        <w:t>47-48</w:t>
      </w:r>
      <w:r w:rsidR="00550B2C" w:rsidRPr="00E23C65">
        <w:rPr>
          <w:color w:val="000000"/>
          <w:sz w:val="20"/>
          <w:szCs w:val="20"/>
          <w:lang w:val="en-US"/>
        </w:rPr>
        <w:t>]</w:t>
      </w:r>
      <w:r w:rsidRPr="00E23C65">
        <w:rPr>
          <w:color w:val="000000"/>
          <w:sz w:val="20"/>
          <w:szCs w:val="20"/>
          <w:lang w:val="en-US"/>
        </w:rPr>
        <w:t>.</w:t>
      </w:r>
    </w:p>
  </w:footnote>
  <w:footnote w:id="89">
    <w:p w14:paraId="004120A5" w14:textId="6D127098" w:rsidR="00EE1BEA" w:rsidRPr="00F05C9A" w:rsidRDefault="00EE1BEA" w:rsidP="0017677E">
      <w:pPr>
        <w:pStyle w:val="Notedebasdepage"/>
        <w:jc w:val="both"/>
      </w:pPr>
      <w:r>
        <w:rPr>
          <w:rStyle w:val="Appelnotedebasdep"/>
        </w:rPr>
        <w:footnoteRef/>
      </w:r>
      <w:r w:rsidR="000C62A7">
        <w:t>AG</w:t>
      </w:r>
      <w:r w:rsidR="00550B2C" w:rsidRPr="000B4A31">
        <w:t xml:space="preserve"> Pitruzzella in </w:t>
      </w:r>
      <w:r w:rsidR="00550B2C" w:rsidRPr="000B4A31">
        <w:rPr>
          <w:rStyle w:val="Aucun"/>
          <w:i/>
          <w:iCs/>
        </w:rPr>
        <w:t xml:space="preserve">Jobcenter Krefeld </w:t>
      </w:r>
      <w:r w:rsidR="00550B2C" w:rsidRPr="000B4A31">
        <w:rPr>
          <w:rStyle w:val="Aucun"/>
        </w:rPr>
        <w:t>(C-181/19) EU:C:2020:377 at</w:t>
      </w:r>
      <w:r>
        <w:t xml:space="preserve"> </w:t>
      </w:r>
      <w:r w:rsidR="00550B2C">
        <w:t>[</w:t>
      </w:r>
      <w:r>
        <w:t>29</w:t>
      </w:r>
      <w:r w:rsidR="00550B2C">
        <w:t>]</w:t>
      </w:r>
      <w:r>
        <w:t xml:space="preserve">. </w:t>
      </w:r>
    </w:p>
  </w:footnote>
  <w:footnote w:id="90">
    <w:p w14:paraId="239C144E" w14:textId="3B9C8E10" w:rsidR="00EE1BEA" w:rsidRPr="00AB0C12" w:rsidRDefault="00EE1BEA" w:rsidP="0017677E">
      <w:pPr>
        <w:jc w:val="both"/>
        <w:rPr>
          <w:sz w:val="20"/>
          <w:szCs w:val="20"/>
          <w:lang w:val="en-US"/>
        </w:rPr>
      </w:pPr>
      <w:r w:rsidRPr="00AB0C12">
        <w:rPr>
          <w:rStyle w:val="Appelnotedebasdep"/>
          <w:sz w:val="20"/>
          <w:szCs w:val="20"/>
        </w:rPr>
        <w:footnoteRef/>
      </w:r>
      <w:r w:rsidR="00550B2C" w:rsidRPr="000F1B1B">
        <w:rPr>
          <w:i/>
          <w:iCs/>
          <w:color w:val="000000"/>
          <w:sz w:val="20"/>
          <w:szCs w:val="20"/>
          <w:lang w:val="en-US"/>
        </w:rPr>
        <w:t>Generálny riaditeľ Sociálnej poisťovne Bratislava</w:t>
      </w:r>
      <w:r w:rsidR="00550B2C">
        <w:rPr>
          <w:color w:val="000000"/>
          <w:sz w:val="20"/>
          <w:szCs w:val="20"/>
          <w:lang w:val="en-US"/>
        </w:rPr>
        <w:t xml:space="preserve"> (C-447/18) EU:C:</w:t>
      </w:r>
      <w:r w:rsidR="00E23C65">
        <w:rPr>
          <w:color w:val="000000"/>
          <w:sz w:val="20"/>
          <w:szCs w:val="20"/>
          <w:lang w:val="en-US"/>
        </w:rPr>
        <w:t>2019:1098</w:t>
      </w:r>
      <w:r w:rsidR="00550B2C">
        <w:rPr>
          <w:color w:val="000000"/>
          <w:sz w:val="20"/>
          <w:szCs w:val="20"/>
          <w:lang w:val="en-US"/>
        </w:rPr>
        <w:t xml:space="preserve"> at</w:t>
      </w:r>
      <w:r w:rsidRPr="0000544B">
        <w:rPr>
          <w:color w:val="000000"/>
          <w:sz w:val="20"/>
          <w:szCs w:val="20"/>
          <w:lang w:val="en-US"/>
        </w:rPr>
        <w:t xml:space="preserve"> </w:t>
      </w:r>
      <w:r w:rsidR="00550B2C">
        <w:rPr>
          <w:color w:val="000000"/>
          <w:sz w:val="20"/>
          <w:szCs w:val="20"/>
          <w:lang w:val="en-US"/>
        </w:rPr>
        <w:t>[</w:t>
      </w:r>
      <w:r w:rsidRPr="00AB0C12">
        <w:rPr>
          <w:color w:val="000000"/>
          <w:sz w:val="20"/>
          <w:szCs w:val="20"/>
          <w:lang w:val="en-US"/>
        </w:rPr>
        <w:t>49</w:t>
      </w:r>
      <w:r w:rsidR="00550B2C">
        <w:rPr>
          <w:color w:val="000000"/>
          <w:sz w:val="20"/>
          <w:szCs w:val="20"/>
          <w:lang w:val="en-US"/>
        </w:rPr>
        <w:t>]</w:t>
      </w:r>
      <w:r w:rsidR="00EC39D4">
        <w:rPr>
          <w:color w:val="000000"/>
          <w:sz w:val="20"/>
          <w:szCs w:val="20"/>
          <w:lang w:val="en-US"/>
        </w:rPr>
        <w:t>.</w:t>
      </w:r>
    </w:p>
  </w:footnote>
  <w:footnote w:id="91">
    <w:p w14:paraId="61475BA0" w14:textId="1E97CC50" w:rsidR="00EE1BEA" w:rsidRPr="007D6DE2" w:rsidRDefault="00EE1BEA" w:rsidP="0017677E">
      <w:pPr>
        <w:pStyle w:val="Notedebasdepage"/>
      </w:pPr>
      <w:r>
        <w:rPr>
          <w:rStyle w:val="Appelnotedebasdep"/>
        </w:rPr>
        <w:footnoteRef/>
      </w:r>
      <w:r w:rsidR="00B11178" w:rsidRPr="000B4A31">
        <w:rPr>
          <w:rStyle w:val="Aucun"/>
          <w:i/>
          <w:iCs/>
        </w:rPr>
        <w:t xml:space="preserve">Jobcenter Krefeld </w:t>
      </w:r>
      <w:r w:rsidR="00B11178" w:rsidRPr="000B4A31">
        <w:rPr>
          <w:rStyle w:val="Aucun"/>
        </w:rPr>
        <w:t>(C-181/19) EU:C:2020:794 at</w:t>
      </w:r>
      <w:r>
        <w:t xml:space="preserve"> </w:t>
      </w:r>
      <w:r w:rsidR="00B11178">
        <w:t>[</w:t>
      </w:r>
      <w:r>
        <w:t>42</w:t>
      </w:r>
      <w:r w:rsidR="00B11178">
        <w:t>]</w:t>
      </w:r>
      <w:r>
        <w:t xml:space="preserve">. </w:t>
      </w:r>
    </w:p>
  </w:footnote>
  <w:footnote w:id="92">
    <w:p w14:paraId="5EB09243" w14:textId="4EE1A8DD" w:rsidR="00EE1BEA" w:rsidRPr="00BE52C4" w:rsidRDefault="00EE1BEA" w:rsidP="0017677E">
      <w:pPr>
        <w:pStyle w:val="Notedepieddepage"/>
        <w:jc w:val="both"/>
        <w:rPr>
          <w:rFonts w:ascii="Times New Roman" w:hAnsi="Times New Roman" w:cs="Times New Roman"/>
          <w:sz w:val="20"/>
          <w:szCs w:val="20"/>
          <w:lang w:val="en-US"/>
        </w:rPr>
      </w:pPr>
      <w:r w:rsidRPr="00BE52C4">
        <w:rPr>
          <w:rStyle w:val="Aucun"/>
          <w:rFonts w:ascii="Times New Roman" w:eastAsia="Times New Roman" w:hAnsi="Times New Roman" w:cs="Times New Roman"/>
          <w:sz w:val="20"/>
          <w:szCs w:val="20"/>
          <w:vertAlign w:val="superscript"/>
        </w:rPr>
        <w:footnoteRef/>
      </w:r>
      <w:r w:rsidRPr="00BE52C4">
        <w:rPr>
          <w:rFonts w:ascii="Times New Roman" w:hAnsi="Times New Roman" w:cs="Times New Roman"/>
          <w:sz w:val="20"/>
          <w:szCs w:val="20"/>
          <w:lang w:val="en-US"/>
        </w:rPr>
        <w:t xml:space="preserve">Turmo, </w:t>
      </w:r>
      <w:r w:rsidR="00B11178" w:rsidRPr="00BE52C4">
        <w:rPr>
          <w:rFonts w:ascii="Times New Roman" w:hAnsi="Times New Roman" w:cs="Times New Roman"/>
          <w:sz w:val="20"/>
          <w:szCs w:val="20"/>
          <w:lang w:val="en-US"/>
        </w:rPr>
        <w:t>“</w:t>
      </w:r>
      <w:r w:rsidRPr="00BE52C4">
        <w:rPr>
          <w:rFonts w:ascii="Times New Roman" w:hAnsi="Times New Roman" w:cs="Times New Roman"/>
          <w:sz w:val="20"/>
          <w:szCs w:val="20"/>
          <w:lang w:val="en-US"/>
        </w:rPr>
        <w:t>The Pernicious Influence of Citizenship Rights on Worker’s Rights in the EU - The Case of Student Finance</w:t>
      </w:r>
      <w:r w:rsidR="00BE52C4" w:rsidRPr="00BE52C4">
        <w:rPr>
          <w:rFonts w:ascii="Times New Roman" w:hAnsi="Times New Roman" w:cs="Times New Roman"/>
          <w:sz w:val="20"/>
          <w:szCs w:val="20"/>
          <w:lang w:val="en-US"/>
        </w:rPr>
        <w:t>”</w:t>
      </w:r>
      <w:r w:rsidRPr="00BE52C4">
        <w:rPr>
          <w:rFonts w:ascii="Times New Roman" w:hAnsi="Times New Roman" w:cs="Times New Roman"/>
          <w:sz w:val="20"/>
          <w:szCs w:val="20"/>
          <w:lang w:val="en-US"/>
        </w:rPr>
        <w:t xml:space="preserve">, in Cambien, Kochenov and Muir (eds), </w:t>
      </w:r>
      <w:r w:rsidR="00BE52C4" w:rsidRPr="00BE52C4">
        <w:rPr>
          <w:rStyle w:val="Aucun"/>
          <w:rFonts w:ascii="Times New Roman" w:hAnsi="Times New Roman" w:cs="Times New Roman"/>
          <w:i/>
          <w:iCs/>
          <w:sz w:val="20"/>
          <w:szCs w:val="20"/>
          <w:lang w:val="en-US"/>
        </w:rPr>
        <w:t>European Citizenship Under Stress</w:t>
      </w:r>
      <w:r w:rsidR="00A03D3D">
        <w:rPr>
          <w:rStyle w:val="Aucun"/>
          <w:rFonts w:ascii="Times New Roman" w:hAnsi="Times New Roman" w:cs="Times New Roman"/>
          <w:i/>
          <w:iCs/>
          <w:sz w:val="20"/>
          <w:szCs w:val="20"/>
          <w:lang w:val="en-US"/>
        </w:rPr>
        <w:t xml:space="preserve"> </w:t>
      </w:r>
      <w:r w:rsidR="00A03D3D">
        <w:rPr>
          <w:rStyle w:val="Aucun"/>
          <w:rFonts w:ascii="Times New Roman" w:hAnsi="Times New Roman" w:cs="Times New Roman"/>
          <w:sz w:val="20"/>
          <w:szCs w:val="20"/>
          <w:lang w:val="en-US"/>
        </w:rPr>
        <w:t>(</w:t>
      </w:r>
      <w:r w:rsidR="00BE52C4" w:rsidRPr="00BE52C4">
        <w:rPr>
          <w:rFonts w:ascii="Times New Roman" w:hAnsi="Times New Roman" w:cs="Times New Roman"/>
          <w:sz w:val="20"/>
          <w:szCs w:val="20"/>
          <w:lang w:val="en-US"/>
        </w:rPr>
        <w:t xml:space="preserve">2020), p. </w:t>
      </w:r>
      <w:r w:rsidRPr="00BE52C4">
        <w:rPr>
          <w:rFonts w:ascii="Times New Roman" w:hAnsi="Times New Roman" w:cs="Times New Roman"/>
          <w:sz w:val="20"/>
          <w:szCs w:val="20"/>
          <w:lang w:val="en-US"/>
        </w:rPr>
        <w:t xml:space="preserve">308. </w:t>
      </w:r>
    </w:p>
  </w:footnote>
  <w:footnote w:id="93">
    <w:p w14:paraId="7D1050B4" w14:textId="5AE88B40" w:rsidR="00EE1BEA" w:rsidRPr="00D02527" w:rsidRDefault="00EE1BEA" w:rsidP="0017677E">
      <w:pPr>
        <w:pStyle w:val="Notedepieddepage"/>
        <w:jc w:val="both"/>
        <w:rPr>
          <w:rFonts w:ascii="Times New Roman" w:hAnsi="Times New Roman" w:cs="Times New Roman"/>
          <w:lang w:val="en-US"/>
        </w:rPr>
      </w:pPr>
      <w:r w:rsidRPr="00D02527">
        <w:rPr>
          <w:rStyle w:val="Aucun"/>
          <w:rFonts w:ascii="Times New Roman" w:eastAsia="Times New Roman" w:hAnsi="Times New Roman" w:cs="Times New Roman"/>
          <w:sz w:val="20"/>
          <w:szCs w:val="20"/>
          <w:vertAlign w:val="superscript"/>
        </w:rPr>
        <w:footnoteRef/>
      </w:r>
      <w:r w:rsidR="00E23C65" w:rsidRPr="00D02527">
        <w:rPr>
          <w:rFonts w:ascii="Times New Roman" w:hAnsi="Times New Roman" w:cs="Times New Roman"/>
          <w:i/>
          <w:iCs/>
          <w:sz w:val="20"/>
          <w:szCs w:val="20"/>
          <w:lang w:val="en-US"/>
        </w:rPr>
        <w:t xml:space="preserve">Gertraud </w:t>
      </w:r>
      <w:r w:rsidRPr="00D02527">
        <w:rPr>
          <w:rStyle w:val="Aucun"/>
          <w:rFonts w:ascii="Times New Roman" w:hAnsi="Times New Roman" w:cs="Times New Roman"/>
          <w:i/>
          <w:iCs/>
          <w:sz w:val="20"/>
          <w:szCs w:val="20"/>
          <w:lang w:val="en-US"/>
        </w:rPr>
        <w:t>Hartmann</w:t>
      </w:r>
      <w:r w:rsidR="00E23C65" w:rsidRPr="00D02527">
        <w:rPr>
          <w:rStyle w:val="Aucun"/>
          <w:rFonts w:ascii="Times New Roman" w:hAnsi="Times New Roman" w:cs="Times New Roman"/>
          <w:i/>
          <w:iCs/>
          <w:sz w:val="20"/>
          <w:szCs w:val="20"/>
          <w:lang w:val="en-US"/>
        </w:rPr>
        <w:t xml:space="preserve"> v Freistaat Bayern </w:t>
      </w:r>
      <w:r w:rsidR="00E23C65" w:rsidRPr="00D02527">
        <w:rPr>
          <w:rStyle w:val="Aucun"/>
          <w:rFonts w:ascii="Times New Roman" w:hAnsi="Times New Roman" w:cs="Times New Roman"/>
          <w:sz w:val="20"/>
          <w:szCs w:val="20"/>
          <w:lang w:val="en-US"/>
        </w:rPr>
        <w:t>(C-212/05) EU:C:2007</w:t>
      </w:r>
      <w:r w:rsidR="00D02527" w:rsidRPr="00D02527">
        <w:rPr>
          <w:rStyle w:val="Aucun"/>
          <w:rFonts w:ascii="Times New Roman" w:hAnsi="Times New Roman" w:cs="Times New Roman"/>
          <w:sz w:val="20"/>
          <w:szCs w:val="20"/>
          <w:lang w:val="en-US"/>
        </w:rPr>
        <w:t>:437</w:t>
      </w:r>
      <w:r w:rsidRPr="00D02527">
        <w:rPr>
          <w:rFonts w:ascii="Times New Roman" w:hAnsi="Times New Roman" w:cs="Times New Roman"/>
          <w:sz w:val="20"/>
          <w:szCs w:val="20"/>
          <w:lang w:val="en-US"/>
        </w:rPr>
        <w:t xml:space="preserve">; </w:t>
      </w:r>
      <w:r w:rsidR="00D02527" w:rsidRPr="00D02527">
        <w:rPr>
          <w:rFonts w:ascii="Times New Roman" w:hAnsi="Times New Roman" w:cs="Times New Roman"/>
          <w:i/>
          <w:iCs/>
          <w:sz w:val="20"/>
          <w:szCs w:val="20"/>
          <w:lang w:val="en-US"/>
        </w:rPr>
        <w:t xml:space="preserve">Wendy </w:t>
      </w:r>
      <w:r w:rsidRPr="00D02527">
        <w:rPr>
          <w:rStyle w:val="Aucun"/>
          <w:rFonts w:ascii="Times New Roman" w:hAnsi="Times New Roman" w:cs="Times New Roman"/>
          <w:i/>
          <w:iCs/>
          <w:sz w:val="20"/>
          <w:szCs w:val="20"/>
          <w:lang w:val="en-US"/>
        </w:rPr>
        <w:t>Geven</w:t>
      </w:r>
      <w:r w:rsidR="00D02527" w:rsidRPr="00D02527">
        <w:rPr>
          <w:rStyle w:val="Aucun"/>
          <w:rFonts w:ascii="Times New Roman" w:hAnsi="Times New Roman" w:cs="Times New Roman"/>
          <w:i/>
          <w:iCs/>
          <w:sz w:val="20"/>
          <w:szCs w:val="20"/>
          <w:lang w:val="en-US"/>
        </w:rPr>
        <w:t xml:space="preserve"> v Land Nordrhein-Westfalen </w:t>
      </w:r>
      <w:r w:rsidR="00D02527" w:rsidRPr="00D02527">
        <w:rPr>
          <w:rStyle w:val="Aucun"/>
          <w:rFonts w:ascii="Times New Roman" w:hAnsi="Times New Roman" w:cs="Times New Roman"/>
          <w:sz w:val="20"/>
          <w:szCs w:val="20"/>
          <w:lang w:val="en-US"/>
        </w:rPr>
        <w:t>(C-213/05) EU:C:2007:438</w:t>
      </w:r>
      <w:r w:rsidRPr="00D02527">
        <w:rPr>
          <w:rFonts w:ascii="Times New Roman" w:hAnsi="Times New Roman" w:cs="Times New Roman"/>
          <w:sz w:val="20"/>
          <w:szCs w:val="20"/>
          <w:lang w:val="en-US"/>
        </w:rPr>
        <w:t xml:space="preserve">; </w:t>
      </w:r>
      <w:r w:rsidR="00D02527" w:rsidRPr="00D02527">
        <w:rPr>
          <w:rFonts w:ascii="Times New Roman" w:hAnsi="Times New Roman" w:cs="Times New Roman"/>
          <w:i/>
          <w:iCs/>
          <w:sz w:val="20"/>
          <w:szCs w:val="20"/>
          <w:lang w:val="en-US"/>
        </w:rPr>
        <w:t xml:space="preserve">D.P.W. </w:t>
      </w:r>
      <w:r w:rsidRPr="00D02527">
        <w:rPr>
          <w:rStyle w:val="Aucun"/>
          <w:rFonts w:ascii="Times New Roman" w:hAnsi="Times New Roman" w:cs="Times New Roman"/>
          <w:i/>
          <w:iCs/>
          <w:sz w:val="20"/>
          <w:szCs w:val="20"/>
          <w:lang w:val="en-US"/>
        </w:rPr>
        <w:t>Hendrix</w:t>
      </w:r>
      <w:r w:rsidR="00D02527" w:rsidRPr="00D02527">
        <w:rPr>
          <w:rStyle w:val="Aucun"/>
          <w:rFonts w:ascii="Times New Roman" w:hAnsi="Times New Roman" w:cs="Times New Roman"/>
          <w:i/>
          <w:iCs/>
          <w:sz w:val="20"/>
          <w:szCs w:val="20"/>
          <w:lang w:val="en-US"/>
        </w:rPr>
        <w:t xml:space="preserve"> v Raad van Bestuur van het Uitvoeringsinstituut Werknemersverzekeringen </w:t>
      </w:r>
      <w:r w:rsidR="00D02527" w:rsidRPr="00D02527">
        <w:rPr>
          <w:rStyle w:val="Aucun"/>
          <w:rFonts w:ascii="Times New Roman" w:hAnsi="Times New Roman" w:cs="Times New Roman"/>
          <w:sz w:val="20"/>
          <w:szCs w:val="20"/>
          <w:lang w:val="en-US"/>
        </w:rPr>
        <w:t>(C-287:05) EU:C:2007:494</w:t>
      </w:r>
      <w:r w:rsidRPr="00D02527">
        <w:rPr>
          <w:rFonts w:ascii="Times New Roman" w:hAnsi="Times New Roman" w:cs="Times New Roman"/>
          <w:sz w:val="20"/>
          <w:szCs w:val="20"/>
          <w:lang w:val="en-US"/>
        </w:rPr>
        <w:t xml:space="preserve">; </w:t>
      </w:r>
      <w:r w:rsidR="00D02527" w:rsidRPr="00D02527">
        <w:rPr>
          <w:rFonts w:ascii="Times New Roman" w:hAnsi="Times New Roman" w:cs="Times New Roman"/>
          <w:i/>
          <w:iCs/>
          <w:sz w:val="20"/>
          <w:szCs w:val="20"/>
          <w:lang w:val="en-US"/>
        </w:rPr>
        <w:t xml:space="preserve">Commission v Netherlands </w:t>
      </w:r>
      <w:r w:rsidR="00D02527" w:rsidRPr="00D02527">
        <w:rPr>
          <w:rFonts w:ascii="Times New Roman" w:hAnsi="Times New Roman" w:cs="Times New Roman"/>
          <w:sz w:val="20"/>
          <w:szCs w:val="20"/>
          <w:lang w:val="en-US"/>
        </w:rPr>
        <w:t>(</w:t>
      </w:r>
      <w:r w:rsidR="00D02527" w:rsidRPr="00D02527">
        <w:rPr>
          <w:rStyle w:val="Aucun"/>
          <w:rFonts w:ascii="Times New Roman" w:hAnsi="Times New Roman" w:cs="Times New Roman"/>
          <w:sz w:val="20"/>
          <w:szCs w:val="20"/>
          <w:lang w:val="en-US"/>
        </w:rPr>
        <w:t>C-542/09) EU:C:2012:346</w:t>
      </w:r>
      <w:r w:rsidRPr="00D02527">
        <w:rPr>
          <w:rFonts w:ascii="Times New Roman" w:hAnsi="Times New Roman" w:cs="Times New Roman"/>
          <w:sz w:val="20"/>
          <w:szCs w:val="20"/>
          <w:lang w:val="en-US"/>
        </w:rPr>
        <w:t>;</w:t>
      </w:r>
      <w:r w:rsidR="00D02527" w:rsidRPr="00D02527">
        <w:rPr>
          <w:rFonts w:ascii="Times New Roman" w:hAnsi="Times New Roman" w:cs="Times New Roman"/>
          <w:sz w:val="20"/>
          <w:szCs w:val="20"/>
          <w:lang w:val="en-US"/>
        </w:rPr>
        <w:t xml:space="preserve"> </w:t>
      </w:r>
      <w:r w:rsidRPr="00D02527">
        <w:rPr>
          <w:rStyle w:val="Aucun"/>
          <w:rFonts w:ascii="Times New Roman" w:hAnsi="Times New Roman" w:cs="Times New Roman"/>
          <w:i/>
          <w:iCs/>
          <w:sz w:val="20"/>
          <w:szCs w:val="20"/>
          <w:lang w:val="en-US"/>
        </w:rPr>
        <w:t>Giersch</w:t>
      </w:r>
      <w:r w:rsidR="00D02527" w:rsidRPr="00D02527">
        <w:rPr>
          <w:rStyle w:val="Aucun"/>
          <w:rFonts w:ascii="Times New Roman" w:hAnsi="Times New Roman" w:cs="Times New Roman"/>
          <w:i/>
          <w:iCs/>
          <w:sz w:val="20"/>
          <w:szCs w:val="20"/>
          <w:lang w:val="en-US"/>
        </w:rPr>
        <w:t xml:space="preserve"> </w:t>
      </w:r>
      <w:r w:rsidR="00D02527" w:rsidRPr="00D02527">
        <w:rPr>
          <w:rStyle w:val="Aucun"/>
          <w:rFonts w:ascii="Times New Roman" w:hAnsi="Times New Roman" w:cs="Times New Roman"/>
          <w:sz w:val="20"/>
          <w:szCs w:val="20"/>
          <w:lang w:val="en-US"/>
        </w:rPr>
        <w:t>(</w:t>
      </w:r>
      <w:r w:rsidR="00D02527" w:rsidRPr="00D02527">
        <w:rPr>
          <w:rFonts w:ascii="Times New Roman" w:hAnsi="Times New Roman" w:cs="Times New Roman"/>
          <w:sz w:val="20"/>
          <w:szCs w:val="20"/>
          <w:lang w:val="en-US"/>
        </w:rPr>
        <w:t>C-20:12) EU:C:2013:411</w:t>
      </w:r>
      <w:r w:rsidRPr="00D02527">
        <w:rPr>
          <w:rFonts w:ascii="Times New Roman" w:hAnsi="Times New Roman" w:cs="Times New Roman"/>
          <w:sz w:val="20"/>
          <w:szCs w:val="20"/>
          <w:lang w:val="en-US"/>
        </w:rPr>
        <w:t xml:space="preserve">; </w:t>
      </w:r>
      <w:r w:rsidRPr="00D02527">
        <w:rPr>
          <w:rStyle w:val="Aucun"/>
          <w:rFonts w:ascii="Times New Roman" w:hAnsi="Times New Roman" w:cs="Times New Roman"/>
          <w:i/>
          <w:iCs/>
          <w:sz w:val="20"/>
          <w:szCs w:val="20"/>
          <w:lang w:val="en-US"/>
        </w:rPr>
        <w:t>Bragança Linares Verruga and Others</w:t>
      </w:r>
      <w:r w:rsidR="00D02527">
        <w:rPr>
          <w:rStyle w:val="Aucun"/>
          <w:rFonts w:ascii="Times New Roman" w:hAnsi="Times New Roman" w:cs="Times New Roman"/>
          <w:i/>
          <w:iCs/>
          <w:sz w:val="20"/>
          <w:szCs w:val="20"/>
          <w:lang w:val="en-US"/>
        </w:rPr>
        <w:t xml:space="preserve"> v Ministre de l’Enseignement Supérieur et de la Recherche </w:t>
      </w:r>
      <w:r w:rsidR="00D02527">
        <w:rPr>
          <w:rStyle w:val="Aucun"/>
          <w:rFonts w:ascii="Times New Roman" w:hAnsi="Times New Roman" w:cs="Times New Roman"/>
          <w:sz w:val="20"/>
          <w:szCs w:val="20"/>
          <w:lang w:val="en-US"/>
        </w:rPr>
        <w:t>(C-238/15) EU:C:2016:949</w:t>
      </w:r>
      <w:r w:rsidRPr="00D02527">
        <w:rPr>
          <w:rFonts w:ascii="Times New Roman" w:hAnsi="Times New Roman" w:cs="Times New Roman"/>
          <w:sz w:val="20"/>
          <w:szCs w:val="20"/>
          <w:lang w:val="en-US"/>
        </w:rPr>
        <w:t xml:space="preserve">; </w:t>
      </w:r>
      <w:r w:rsidR="00D02527">
        <w:rPr>
          <w:rFonts w:ascii="Times New Roman" w:hAnsi="Times New Roman" w:cs="Times New Roman"/>
          <w:i/>
          <w:iCs/>
          <w:sz w:val="20"/>
          <w:szCs w:val="20"/>
          <w:lang w:val="en-US"/>
        </w:rPr>
        <w:t xml:space="preserve">Nicolas </w:t>
      </w:r>
      <w:r w:rsidRPr="00D02527">
        <w:rPr>
          <w:rStyle w:val="Aucun"/>
          <w:rFonts w:ascii="Times New Roman" w:hAnsi="Times New Roman" w:cs="Times New Roman"/>
          <w:i/>
          <w:iCs/>
          <w:sz w:val="20"/>
          <w:szCs w:val="20"/>
          <w:lang w:val="en-US"/>
        </w:rPr>
        <w:t>Aubriet</w:t>
      </w:r>
      <w:r w:rsidR="00D02527">
        <w:rPr>
          <w:rStyle w:val="Aucun"/>
          <w:rFonts w:ascii="Times New Roman" w:hAnsi="Times New Roman" w:cs="Times New Roman"/>
          <w:i/>
          <w:iCs/>
          <w:sz w:val="20"/>
          <w:szCs w:val="20"/>
          <w:lang w:val="en-US"/>
        </w:rPr>
        <w:t xml:space="preserve"> v Ministre de l’Enseignement Supérieur et de la Recherche </w:t>
      </w:r>
      <w:r w:rsidR="00D02527" w:rsidRPr="00D02527">
        <w:rPr>
          <w:rStyle w:val="Aucun"/>
          <w:rFonts w:ascii="Times New Roman" w:hAnsi="Times New Roman" w:cs="Times New Roman"/>
          <w:sz w:val="20"/>
          <w:szCs w:val="20"/>
          <w:lang w:val="en-US"/>
        </w:rPr>
        <w:t>(</w:t>
      </w:r>
      <w:r w:rsidR="00D02527">
        <w:rPr>
          <w:rFonts w:ascii="Times New Roman" w:hAnsi="Times New Roman" w:cs="Times New Roman"/>
          <w:sz w:val="20"/>
          <w:szCs w:val="20"/>
          <w:lang w:val="en-US"/>
        </w:rPr>
        <w:t>C-410/18) EU:C:2019:582</w:t>
      </w:r>
      <w:r w:rsidRPr="00D02527">
        <w:rPr>
          <w:rFonts w:ascii="Times New Roman" w:hAnsi="Times New Roman" w:cs="Times New Roman"/>
          <w:sz w:val="20"/>
          <w:szCs w:val="20"/>
          <w:lang w:val="en-US"/>
        </w:rPr>
        <w:t xml:space="preserve">; </w:t>
      </w:r>
      <w:r w:rsidRPr="00D02527">
        <w:rPr>
          <w:rStyle w:val="Aucun"/>
          <w:rFonts w:ascii="Times New Roman" w:hAnsi="Times New Roman" w:cs="Times New Roman"/>
          <w:i/>
          <w:iCs/>
          <w:sz w:val="20"/>
          <w:szCs w:val="20"/>
          <w:lang w:val="de-DE"/>
        </w:rPr>
        <w:t>Landkreis S</w:t>
      </w:r>
      <w:r w:rsidRPr="00D02527">
        <w:rPr>
          <w:rStyle w:val="Aucun"/>
          <w:rFonts w:ascii="Times New Roman" w:hAnsi="Times New Roman" w:cs="Times New Roman"/>
          <w:i/>
          <w:iCs/>
          <w:sz w:val="20"/>
          <w:szCs w:val="20"/>
          <w:lang w:val="en-US"/>
        </w:rPr>
        <w:t>ü</w:t>
      </w:r>
      <w:r w:rsidRPr="00D02527">
        <w:rPr>
          <w:rStyle w:val="Aucun"/>
          <w:rFonts w:ascii="Times New Roman" w:hAnsi="Times New Roman" w:cs="Times New Roman"/>
          <w:i/>
          <w:iCs/>
          <w:sz w:val="20"/>
          <w:szCs w:val="20"/>
          <w:lang w:val="de-DE"/>
        </w:rPr>
        <w:t>dliche Weinstraß</w:t>
      </w:r>
      <w:r w:rsidRPr="00D02527">
        <w:rPr>
          <w:rStyle w:val="Aucun"/>
          <w:rFonts w:ascii="Times New Roman" w:hAnsi="Times New Roman" w:cs="Times New Roman"/>
          <w:i/>
          <w:iCs/>
          <w:sz w:val="20"/>
          <w:szCs w:val="20"/>
          <w:lang w:val="en-US"/>
        </w:rPr>
        <w:t>e</w:t>
      </w:r>
      <w:r w:rsidR="00D02527">
        <w:rPr>
          <w:rStyle w:val="Aucun"/>
          <w:rFonts w:ascii="Times New Roman" w:hAnsi="Times New Roman" w:cs="Times New Roman"/>
          <w:i/>
          <w:iCs/>
          <w:sz w:val="20"/>
          <w:szCs w:val="20"/>
          <w:lang w:val="en-US"/>
        </w:rPr>
        <w:t xml:space="preserve"> v PF and others </w:t>
      </w:r>
      <w:r w:rsidR="00D02527">
        <w:rPr>
          <w:rStyle w:val="Aucun"/>
          <w:rFonts w:ascii="Times New Roman" w:hAnsi="Times New Roman" w:cs="Times New Roman"/>
          <w:sz w:val="20"/>
          <w:szCs w:val="20"/>
          <w:lang w:val="en-US"/>
        </w:rPr>
        <w:t>(C-830:18) EU:C:2020:275</w:t>
      </w:r>
      <w:r w:rsidRPr="00D02527">
        <w:rPr>
          <w:rFonts w:ascii="Times New Roman" w:hAnsi="Times New Roman" w:cs="Times New Roman"/>
          <w:sz w:val="20"/>
          <w:szCs w:val="20"/>
          <w:lang w:val="en-US"/>
        </w:rPr>
        <w:t xml:space="preserve">; </w:t>
      </w:r>
      <w:r w:rsidRPr="00D02527">
        <w:rPr>
          <w:rStyle w:val="Aucun"/>
          <w:rFonts w:ascii="Times New Roman" w:hAnsi="Times New Roman" w:cs="Times New Roman"/>
          <w:i/>
          <w:iCs/>
          <w:sz w:val="20"/>
          <w:szCs w:val="20"/>
          <w:lang w:val="en-US"/>
        </w:rPr>
        <w:t>Caisse pour l’avenir des enfants (Child of the spouse of a frontier worker)</w:t>
      </w:r>
      <w:r w:rsidR="00D02527">
        <w:rPr>
          <w:rStyle w:val="Aucun"/>
          <w:rFonts w:ascii="Times New Roman" w:hAnsi="Times New Roman" w:cs="Times New Roman"/>
          <w:i/>
          <w:iCs/>
          <w:sz w:val="20"/>
          <w:szCs w:val="20"/>
          <w:lang w:val="en-US"/>
        </w:rPr>
        <w:t xml:space="preserve"> v FV, GW </w:t>
      </w:r>
      <w:r w:rsidR="00D02527" w:rsidRPr="00D02527">
        <w:rPr>
          <w:rStyle w:val="Aucun"/>
          <w:rFonts w:ascii="Times New Roman" w:hAnsi="Times New Roman" w:cs="Times New Roman"/>
          <w:sz w:val="20"/>
          <w:szCs w:val="20"/>
          <w:lang w:val="en-US"/>
        </w:rPr>
        <w:t>(C-802/18)</w:t>
      </w:r>
      <w:r w:rsidR="00D02527">
        <w:rPr>
          <w:rFonts w:ascii="Times New Roman" w:hAnsi="Times New Roman" w:cs="Times New Roman"/>
          <w:sz w:val="20"/>
          <w:szCs w:val="20"/>
          <w:lang w:val="en-US"/>
        </w:rPr>
        <w:t xml:space="preserve"> EU:C:2020:269</w:t>
      </w:r>
      <w:r w:rsidRPr="00D02527">
        <w:rPr>
          <w:rFonts w:ascii="Times New Roman" w:hAnsi="Times New Roman" w:cs="Times New Roman"/>
          <w:sz w:val="20"/>
          <w:szCs w:val="20"/>
          <w:lang w:val="en-US"/>
        </w:rPr>
        <w:t>.</w:t>
      </w:r>
    </w:p>
  </w:footnote>
  <w:footnote w:id="94">
    <w:p w14:paraId="75F50997" w14:textId="5C214C22" w:rsidR="00EE1BEA" w:rsidRPr="00CF6E4F" w:rsidRDefault="00EE1BEA" w:rsidP="0017677E">
      <w:pPr>
        <w:pStyle w:val="c01pointaltn"/>
        <w:spacing w:before="0" w:beforeAutospacing="0" w:after="0" w:afterAutospacing="0"/>
        <w:jc w:val="both"/>
        <w:rPr>
          <w:color w:val="000000"/>
          <w:sz w:val="20"/>
          <w:szCs w:val="20"/>
          <w:lang w:val="en-US"/>
        </w:rPr>
      </w:pPr>
      <w:r w:rsidRPr="00CF6E4F">
        <w:rPr>
          <w:rStyle w:val="Aucun"/>
          <w:sz w:val="20"/>
          <w:szCs w:val="20"/>
          <w:vertAlign w:val="superscript"/>
        </w:rPr>
        <w:footnoteRef/>
      </w:r>
      <w:r w:rsidR="000C62A7">
        <w:rPr>
          <w:sz w:val="20"/>
          <w:szCs w:val="20"/>
          <w:lang w:val="en-US"/>
        </w:rPr>
        <w:t>AG</w:t>
      </w:r>
      <w:r w:rsidR="00D02527">
        <w:rPr>
          <w:sz w:val="20"/>
          <w:szCs w:val="20"/>
          <w:lang w:val="en-US"/>
        </w:rPr>
        <w:t xml:space="preserve"> Wathelet in</w:t>
      </w:r>
      <w:r w:rsidRPr="00CF6E4F">
        <w:rPr>
          <w:sz w:val="20"/>
          <w:szCs w:val="20"/>
          <w:lang w:val="en-US"/>
        </w:rPr>
        <w:t xml:space="preserve"> </w:t>
      </w:r>
      <w:r w:rsidRPr="00CF6E4F">
        <w:rPr>
          <w:rStyle w:val="Aucun"/>
          <w:i/>
          <w:iCs/>
          <w:sz w:val="20"/>
          <w:szCs w:val="20"/>
          <w:lang w:val="en-US"/>
        </w:rPr>
        <w:t>Bragança Linares Verruga and Others</w:t>
      </w:r>
      <w:r w:rsidR="00D02527">
        <w:rPr>
          <w:rStyle w:val="Aucun"/>
          <w:i/>
          <w:iCs/>
          <w:sz w:val="20"/>
          <w:szCs w:val="20"/>
          <w:lang w:val="en-US"/>
        </w:rPr>
        <w:t xml:space="preserve"> </w:t>
      </w:r>
      <w:r w:rsidR="00D02527">
        <w:rPr>
          <w:rStyle w:val="Aucun"/>
          <w:sz w:val="20"/>
          <w:szCs w:val="20"/>
          <w:lang w:val="en-US"/>
        </w:rPr>
        <w:t>(C-238/15)</w:t>
      </w:r>
      <w:r w:rsidR="00956B02">
        <w:rPr>
          <w:rStyle w:val="Aucun"/>
          <w:sz w:val="20"/>
          <w:szCs w:val="20"/>
          <w:lang w:val="en-US"/>
        </w:rPr>
        <w:t xml:space="preserve"> </w:t>
      </w:r>
      <w:r w:rsidR="00D02527">
        <w:rPr>
          <w:sz w:val="20"/>
          <w:szCs w:val="20"/>
          <w:lang w:val="en-US"/>
        </w:rPr>
        <w:t>EU:C:</w:t>
      </w:r>
      <w:r w:rsidR="00956B02">
        <w:rPr>
          <w:sz w:val="20"/>
          <w:szCs w:val="20"/>
          <w:lang w:val="en-US"/>
        </w:rPr>
        <w:t>2016:389 at</w:t>
      </w:r>
      <w:r w:rsidRPr="00CF6E4F">
        <w:rPr>
          <w:sz w:val="20"/>
          <w:szCs w:val="20"/>
          <w:lang w:val="en-US"/>
        </w:rPr>
        <w:t xml:space="preserve"> </w:t>
      </w:r>
      <w:r w:rsidR="00956B02">
        <w:rPr>
          <w:sz w:val="20"/>
          <w:szCs w:val="20"/>
          <w:lang w:val="en-US"/>
        </w:rPr>
        <w:t>[</w:t>
      </w:r>
      <w:r w:rsidRPr="00CF6E4F">
        <w:rPr>
          <w:sz w:val="20"/>
          <w:szCs w:val="20"/>
          <w:lang w:val="en-US"/>
        </w:rPr>
        <w:t>69</w:t>
      </w:r>
      <w:r w:rsidR="00956B02">
        <w:rPr>
          <w:sz w:val="20"/>
          <w:szCs w:val="20"/>
          <w:lang w:val="en-US"/>
        </w:rPr>
        <w:t>]</w:t>
      </w:r>
      <w:r>
        <w:rPr>
          <w:color w:val="000000"/>
          <w:sz w:val="20"/>
          <w:szCs w:val="20"/>
          <w:lang w:val="en-US"/>
        </w:rPr>
        <w:t xml:space="preserve">. </w:t>
      </w:r>
    </w:p>
  </w:footnote>
  <w:footnote w:id="95">
    <w:p w14:paraId="547DDDF7" w14:textId="6561FF82" w:rsidR="00EE1BEA" w:rsidRPr="00956B02" w:rsidRDefault="00EE1BEA" w:rsidP="0017677E">
      <w:pPr>
        <w:pStyle w:val="Notedepieddepage"/>
        <w:jc w:val="both"/>
      </w:pPr>
      <w:r>
        <w:rPr>
          <w:rStyle w:val="Aucun"/>
          <w:rFonts w:ascii="Times New Roman" w:eastAsia="Times New Roman" w:hAnsi="Times New Roman" w:cs="Times New Roman"/>
          <w:sz w:val="20"/>
          <w:szCs w:val="20"/>
          <w:vertAlign w:val="superscript"/>
        </w:rPr>
        <w:footnoteRef/>
      </w:r>
      <w:r w:rsidRPr="00956B02">
        <w:rPr>
          <w:rStyle w:val="Aucun"/>
          <w:rFonts w:ascii="Times New Roman" w:hAnsi="Times New Roman"/>
          <w:i/>
          <w:iCs/>
          <w:sz w:val="20"/>
          <w:szCs w:val="20"/>
        </w:rPr>
        <w:t>Commission v Netherlands</w:t>
      </w:r>
      <w:r w:rsidRPr="00956B02">
        <w:rPr>
          <w:rFonts w:ascii="Times New Roman" w:hAnsi="Times New Roman"/>
          <w:sz w:val="20"/>
          <w:szCs w:val="20"/>
        </w:rPr>
        <w:t xml:space="preserve"> </w:t>
      </w:r>
      <w:r w:rsidR="00956B02" w:rsidRPr="00956B02">
        <w:rPr>
          <w:rFonts w:ascii="Times New Roman" w:hAnsi="Times New Roman"/>
          <w:sz w:val="20"/>
          <w:szCs w:val="20"/>
        </w:rPr>
        <w:t>(</w:t>
      </w:r>
      <w:r w:rsidR="00956B02" w:rsidRPr="00956B02">
        <w:rPr>
          <w:rStyle w:val="Aucun"/>
          <w:rFonts w:ascii="Times New Roman" w:hAnsi="Times New Roman" w:cs="Times New Roman"/>
          <w:sz w:val="20"/>
          <w:szCs w:val="20"/>
        </w:rPr>
        <w:t>C-542/09) EU:C:2012:346</w:t>
      </w:r>
      <w:r w:rsidR="00956B02" w:rsidRPr="00956B02">
        <w:rPr>
          <w:rFonts w:ascii="Times New Roman" w:hAnsi="Times New Roman"/>
          <w:sz w:val="20"/>
          <w:szCs w:val="20"/>
        </w:rPr>
        <w:t xml:space="preserve"> at</w:t>
      </w:r>
      <w:r w:rsidRPr="00956B02">
        <w:rPr>
          <w:rFonts w:ascii="Times New Roman" w:hAnsi="Times New Roman"/>
          <w:sz w:val="20"/>
          <w:szCs w:val="20"/>
        </w:rPr>
        <w:t xml:space="preserve"> </w:t>
      </w:r>
      <w:r w:rsidR="00956B02" w:rsidRPr="00956B02">
        <w:rPr>
          <w:rFonts w:ascii="Times New Roman" w:hAnsi="Times New Roman"/>
          <w:sz w:val="20"/>
          <w:szCs w:val="20"/>
        </w:rPr>
        <w:t>[</w:t>
      </w:r>
      <w:r w:rsidRPr="00956B02">
        <w:rPr>
          <w:rFonts w:ascii="Times New Roman" w:hAnsi="Times New Roman"/>
          <w:sz w:val="20"/>
          <w:szCs w:val="20"/>
        </w:rPr>
        <w:t>65</w:t>
      </w:r>
      <w:r w:rsidR="00956B02" w:rsidRPr="00956B02">
        <w:rPr>
          <w:rFonts w:ascii="Times New Roman" w:hAnsi="Times New Roman"/>
          <w:sz w:val="20"/>
          <w:szCs w:val="20"/>
        </w:rPr>
        <w:t>]</w:t>
      </w:r>
      <w:r w:rsidRPr="00956B02">
        <w:rPr>
          <w:rFonts w:ascii="Times New Roman" w:hAnsi="Times New Roman"/>
          <w:sz w:val="20"/>
          <w:szCs w:val="20"/>
        </w:rPr>
        <w:t xml:space="preserve">. </w:t>
      </w:r>
    </w:p>
  </w:footnote>
  <w:footnote w:id="96">
    <w:p w14:paraId="0D6AD8B0" w14:textId="3C3771EB" w:rsidR="00EE1BEA" w:rsidRPr="00956B02" w:rsidRDefault="00EE1BEA" w:rsidP="0017677E">
      <w:pPr>
        <w:pStyle w:val="c01pointaltn"/>
        <w:spacing w:before="0" w:beforeAutospacing="0" w:after="0" w:afterAutospacing="0"/>
        <w:jc w:val="both"/>
        <w:rPr>
          <w:color w:val="000000"/>
          <w:sz w:val="20"/>
          <w:szCs w:val="20"/>
          <w:lang w:val="en-US"/>
        </w:rPr>
      </w:pPr>
      <w:r w:rsidRPr="000D29F1">
        <w:rPr>
          <w:rStyle w:val="Appelnotedebasdep"/>
          <w:sz w:val="20"/>
          <w:szCs w:val="20"/>
        </w:rPr>
        <w:footnoteRef/>
      </w:r>
      <w:r w:rsidR="000C62A7">
        <w:rPr>
          <w:sz w:val="20"/>
          <w:szCs w:val="20"/>
          <w:lang w:val="en-US"/>
        </w:rPr>
        <w:t>AG</w:t>
      </w:r>
      <w:r w:rsidR="00956B02">
        <w:rPr>
          <w:sz w:val="20"/>
          <w:szCs w:val="20"/>
          <w:lang w:val="en-US"/>
        </w:rPr>
        <w:t xml:space="preserve"> Wathelet in</w:t>
      </w:r>
      <w:r w:rsidR="00956B02" w:rsidRPr="00CF6E4F">
        <w:rPr>
          <w:sz w:val="20"/>
          <w:szCs w:val="20"/>
          <w:lang w:val="en-US"/>
        </w:rPr>
        <w:t xml:space="preserve"> </w:t>
      </w:r>
      <w:r w:rsidR="00956B02" w:rsidRPr="00CF6E4F">
        <w:rPr>
          <w:rStyle w:val="Aucun"/>
          <w:i/>
          <w:iCs/>
          <w:sz w:val="20"/>
          <w:szCs w:val="20"/>
          <w:lang w:val="en-US"/>
        </w:rPr>
        <w:t>Bragança Linares Verruga and Others</w:t>
      </w:r>
      <w:r w:rsidR="00956B02">
        <w:rPr>
          <w:rStyle w:val="Aucun"/>
          <w:i/>
          <w:iCs/>
          <w:sz w:val="20"/>
          <w:szCs w:val="20"/>
          <w:lang w:val="en-US"/>
        </w:rPr>
        <w:t xml:space="preserve"> </w:t>
      </w:r>
      <w:r w:rsidR="00956B02">
        <w:rPr>
          <w:rStyle w:val="Aucun"/>
          <w:sz w:val="20"/>
          <w:szCs w:val="20"/>
          <w:lang w:val="en-US"/>
        </w:rPr>
        <w:t xml:space="preserve">(C-238/15) </w:t>
      </w:r>
      <w:r w:rsidR="00956B02">
        <w:rPr>
          <w:sz w:val="20"/>
          <w:szCs w:val="20"/>
          <w:lang w:val="en-US"/>
        </w:rPr>
        <w:t>at</w:t>
      </w:r>
      <w:r w:rsidR="00956B02" w:rsidRPr="00CF6E4F">
        <w:rPr>
          <w:sz w:val="20"/>
          <w:szCs w:val="20"/>
          <w:lang w:val="en-US"/>
        </w:rPr>
        <w:t xml:space="preserve"> </w:t>
      </w:r>
      <w:r w:rsidR="00956B02">
        <w:rPr>
          <w:sz w:val="20"/>
          <w:szCs w:val="20"/>
          <w:lang w:val="en-US"/>
        </w:rPr>
        <w:t>[</w:t>
      </w:r>
      <w:r w:rsidRPr="000D29F1">
        <w:rPr>
          <w:sz w:val="20"/>
          <w:szCs w:val="20"/>
          <w:lang w:val="en-US"/>
        </w:rPr>
        <w:t>68-69</w:t>
      </w:r>
      <w:r w:rsidR="000C62A7">
        <w:rPr>
          <w:sz w:val="20"/>
          <w:szCs w:val="20"/>
          <w:lang w:val="en-US"/>
        </w:rPr>
        <w:t>].</w:t>
      </w:r>
      <w:r w:rsidRPr="000D29F1">
        <w:rPr>
          <w:color w:val="000000"/>
          <w:sz w:val="20"/>
          <w:szCs w:val="20"/>
          <w:lang w:val="en-US"/>
        </w:rPr>
        <w:t xml:space="preserve"> </w:t>
      </w:r>
    </w:p>
  </w:footnote>
  <w:footnote w:id="97">
    <w:p w14:paraId="7BB92D29" w14:textId="51C49D4E" w:rsidR="00EE1BEA" w:rsidRPr="00CE1795" w:rsidRDefault="00EE1BEA" w:rsidP="0017677E">
      <w:pPr>
        <w:pStyle w:val="Notedepieddepage"/>
        <w:jc w:val="both"/>
        <w:rPr>
          <w:lang w:val="en-US"/>
        </w:rPr>
      </w:pPr>
      <w:r>
        <w:rPr>
          <w:rStyle w:val="Aucun"/>
          <w:rFonts w:ascii="Times New Roman" w:eastAsia="Times New Roman" w:hAnsi="Times New Roman" w:cs="Times New Roman"/>
          <w:sz w:val="20"/>
          <w:szCs w:val="20"/>
          <w:vertAlign w:val="superscript"/>
        </w:rPr>
        <w:footnoteRef/>
      </w:r>
      <w:r w:rsidR="00956B02" w:rsidRPr="00956B02">
        <w:rPr>
          <w:rStyle w:val="Aucun"/>
          <w:rFonts w:ascii="Times New Roman" w:hAnsi="Times New Roman" w:cs="Times New Roman"/>
          <w:i/>
          <w:iCs/>
          <w:sz w:val="20"/>
          <w:szCs w:val="20"/>
          <w:lang w:val="en-US"/>
        </w:rPr>
        <w:t xml:space="preserve">Giersch </w:t>
      </w:r>
      <w:r w:rsidR="00956B02" w:rsidRPr="00956B02">
        <w:rPr>
          <w:rStyle w:val="Aucun"/>
          <w:rFonts w:ascii="Times New Roman" w:hAnsi="Times New Roman" w:cs="Times New Roman"/>
          <w:sz w:val="20"/>
          <w:szCs w:val="20"/>
          <w:lang w:val="en-US"/>
        </w:rPr>
        <w:t>(</w:t>
      </w:r>
      <w:r w:rsidR="00956B02" w:rsidRPr="00956B02">
        <w:rPr>
          <w:rFonts w:ascii="Times New Roman" w:hAnsi="Times New Roman" w:cs="Times New Roman"/>
          <w:sz w:val="20"/>
          <w:szCs w:val="20"/>
          <w:lang w:val="en-US"/>
        </w:rPr>
        <w:t>C-20:12) EU:C:2013:411</w:t>
      </w:r>
      <w:r w:rsidR="00956B02">
        <w:rPr>
          <w:rFonts w:ascii="Times New Roman" w:hAnsi="Times New Roman" w:cs="Times New Roman"/>
          <w:sz w:val="20"/>
          <w:szCs w:val="20"/>
          <w:lang w:val="en-US"/>
        </w:rPr>
        <w:t xml:space="preserve"> </w:t>
      </w:r>
      <w:r w:rsidR="00956B02" w:rsidRPr="00956B02">
        <w:rPr>
          <w:rFonts w:ascii="Times New Roman" w:hAnsi="Times New Roman"/>
          <w:sz w:val="20"/>
          <w:szCs w:val="20"/>
          <w:lang w:val="en-US"/>
        </w:rPr>
        <w:t>at</w:t>
      </w:r>
      <w:r w:rsidRPr="00956B02">
        <w:rPr>
          <w:rFonts w:ascii="Times New Roman" w:hAnsi="Times New Roman"/>
          <w:sz w:val="20"/>
          <w:szCs w:val="20"/>
          <w:lang w:val="en-US"/>
        </w:rPr>
        <w:t xml:space="preserve"> </w:t>
      </w:r>
      <w:r w:rsidR="00956B02" w:rsidRPr="00956B02">
        <w:rPr>
          <w:rFonts w:ascii="Times New Roman" w:hAnsi="Times New Roman"/>
          <w:sz w:val="20"/>
          <w:szCs w:val="20"/>
          <w:lang w:val="en-US"/>
        </w:rPr>
        <w:t>[</w:t>
      </w:r>
      <w:r w:rsidRPr="00956B02">
        <w:rPr>
          <w:rFonts w:ascii="Times New Roman" w:hAnsi="Times New Roman"/>
          <w:sz w:val="20"/>
          <w:szCs w:val="20"/>
          <w:lang w:val="en-US"/>
        </w:rPr>
        <w:t>63</w:t>
      </w:r>
      <w:r w:rsidR="00956B02" w:rsidRPr="00956B02">
        <w:rPr>
          <w:rFonts w:ascii="Times New Roman" w:hAnsi="Times New Roman"/>
          <w:sz w:val="20"/>
          <w:szCs w:val="20"/>
          <w:lang w:val="en-US"/>
        </w:rPr>
        <w:t>]</w:t>
      </w:r>
      <w:r w:rsidRPr="00956B02">
        <w:rPr>
          <w:rFonts w:ascii="Times New Roman" w:hAnsi="Times New Roman"/>
          <w:sz w:val="20"/>
          <w:szCs w:val="20"/>
          <w:lang w:val="en-US"/>
        </w:rPr>
        <w:t xml:space="preserve">; </w:t>
      </w:r>
      <w:r w:rsidR="00956B02" w:rsidRPr="00956B02">
        <w:rPr>
          <w:rStyle w:val="Aucun"/>
          <w:rFonts w:ascii="Times New Roman" w:hAnsi="Times New Roman" w:cs="Times New Roman"/>
          <w:i/>
          <w:iCs/>
          <w:sz w:val="20"/>
          <w:szCs w:val="20"/>
          <w:lang w:val="en-US"/>
        </w:rPr>
        <w:t xml:space="preserve">Bragança Linares Verruga and Others </w:t>
      </w:r>
      <w:r w:rsidR="00956B02" w:rsidRPr="00956B02">
        <w:rPr>
          <w:rStyle w:val="Aucun"/>
          <w:rFonts w:ascii="Times New Roman" w:hAnsi="Times New Roman" w:cs="Times New Roman"/>
          <w:sz w:val="20"/>
          <w:szCs w:val="20"/>
          <w:lang w:val="en-US"/>
        </w:rPr>
        <w:t xml:space="preserve">(C-238/15) EU:C:2016:949 </w:t>
      </w:r>
      <w:r w:rsidR="00956B02" w:rsidRPr="00956B02">
        <w:rPr>
          <w:rFonts w:ascii="Times New Roman" w:hAnsi="Times New Roman"/>
          <w:sz w:val="20"/>
          <w:szCs w:val="20"/>
          <w:lang w:val="en-US"/>
        </w:rPr>
        <w:t>at</w:t>
      </w:r>
      <w:r w:rsidRPr="00956B02">
        <w:rPr>
          <w:rFonts w:ascii="Times New Roman" w:hAnsi="Times New Roman"/>
          <w:sz w:val="20"/>
          <w:szCs w:val="20"/>
          <w:lang w:val="en-US"/>
        </w:rPr>
        <w:t xml:space="preserve"> </w:t>
      </w:r>
      <w:r w:rsidR="00956B02" w:rsidRPr="00956B02">
        <w:rPr>
          <w:rFonts w:ascii="Times New Roman" w:hAnsi="Times New Roman"/>
          <w:sz w:val="20"/>
          <w:szCs w:val="20"/>
          <w:lang w:val="en-US"/>
        </w:rPr>
        <w:t>[</w:t>
      </w:r>
      <w:r w:rsidRPr="00CE1795">
        <w:rPr>
          <w:rFonts w:ascii="Times New Roman" w:hAnsi="Times New Roman"/>
          <w:sz w:val="20"/>
          <w:szCs w:val="20"/>
          <w:lang w:val="en-US"/>
        </w:rPr>
        <w:t>49</w:t>
      </w:r>
      <w:r w:rsidR="00956B02">
        <w:rPr>
          <w:rFonts w:ascii="Times New Roman" w:hAnsi="Times New Roman"/>
          <w:sz w:val="20"/>
          <w:szCs w:val="20"/>
          <w:lang w:val="en-US"/>
        </w:rPr>
        <w:t>]</w:t>
      </w:r>
      <w:r w:rsidRPr="00CE1795">
        <w:rPr>
          <w:rFonts w:ascii="Times New Roman" w:hAnsi="Times New Roman"/>
          <w:sz w:val="20"/>
          <w:szCs w:val="20"/>
          <w:lang w:val="en-US"/>
        </w:rPr>
        <w:t xml:space="preserve">; </w:t>
      </w:r>
      <w:r w:rsidRPr="00CE1795">
        <w:rPr>
          <w:rStyle w:val="Aucun"/>
          <w:rFonts w:ascii="Times New Roman" w:hAnsi="Times New Roman"/>
          <w:i/>
          <w:iCs/>
          <w:sz w:val="20"/>
          <w:szCs w:val="20"/>
          <w:lang w:val="en-US"/>
        </w:rPr>
        <w:t>Aubriet</w:t>
      </w:r>
      <w:r w:rsidR="00956B02" w:rsidRPr="00956B02">
        <w:rPr>
          <w:rFonts w:ascii="Times New Roman" w:hAnsi="Times New Roman" w:cs="Times New Roman"/>
          <w:sz w:val="20"/>
          <w:szCs w:val="20"/>
          <w:lang w:val="en-US"/>
        </w:rPr>
        <w:t xml:space="preserve"> </w:t>
      </w:r>
      <w:r w:rsidR="00956B02">
        <w:rPr>
          <w:rFonts w:ascii="Times New Roman" w:hAnsi="Times New Roman" w:cs="Times New Roman"/>
          <w:sz w:val="20"/>
          <w:szCs w:val="20"/>
          <w:lang w:val="en-US"/>
        </w:rPr>
        <w:t>(C-410/18) EU:C:2019:582</w:t>
      </w:r>
      <w:r w:rsidR="00956B02">
        <w:rPr>
          <w:rFonts w:ascii="Times New Roman" w:hAnsi="Times New Roman"/>
          <w:sz w:val="20"/>
          <w:szCs w:val="20"/>
          <w:lang w:val="en-US"/>
        </w:rPr>
        <w:t xml:space="preserve"> at</w:t>
      </w:r>
      <w:r w:rsidRPr="00CE1795">
        <w:rPr>
          <w:rFonts w:ascii="Times New Roman" w:hAnsi="Times New Roman"/>
          <w:sz w:val="20"/>
          <w:szCs w:val="20"/>
          <w:lang w:val="en-US"/>
        </w:rPr>
        <w:t xml:space="preserve"> </w:t>
      </w:r>
      <w:r w:rsidR="00956B02">
        <w:rPr>
          <w:rFonts w:ascii="Times New Roman" w:hAnsi="Times New Roman"/>
          <w:sz w:val="20"/>
          <w:szCs w:val="20"/>
          <w:lang w:val="en-US"/>
        </w:rPr>
        <w:t>[</w:t>
      </w:r>
      <w:r w:rsidRPr="00CE1795">
        <w:rPr>
          <w:rFonts w:ascii="Times New Roman" w:hAnsi="Times New Roman"/>
          <w:sz w:val="20"/>
          <w:szCs w:val="20"/>
          <w:lang w:val="en-US"/>
        </w:rPr>
        <w:t>32</w:t>
      </w:r>
      <w:r w:rsidR="00956B02">
        <w:rPr>
          <w:rFonts w:ascii="Times New Roman" w:hAnsi="Times New Roman"/>
          <w:sz w:val="20"/>
          <w:szCs w:val="20"/>
          <w:lang w:val="en-US"/>
        </w:rPr>
        <w:t>]</w:t>
      </w:r>
      <w:r w:rsidRPr="00CE1795">
        <w:rPr>
          <w:rFonts w:ascii="Times New Roman" w:hAnsi="Times New Roman"/>
          <w:sz w:val="20"/>
          <w:szCs w:val="20"/>
          <w:lang w:val="en-US"/>
        </w:rPr>
        <w:t>.</w:t>
      </w:r>
    </w:p>
  </w:footnote>
  <w:footnote w:id="98">
    <w:p w14:paraId="0A067555" w14:textId="57540416" w:rsidR="00EE1BEA" w:rsidRPr="00CE1795" w:rsidRDefault="00EE1BEA" w:rsidP="0017677E">
      <w:pPr>
        <w:pStyle w:val="Notedepieddepage"/>
        <w:jc w:val="both"/>
        <w:rPr>
          <w:lang w:val="en-US"/>
        </w:rPr>
      </w:pPr>
      <w:r>
        <w:rPr>
          <w:rStyle w:val="Aucun"/>
          <w:rFonts w:ascii="Times New Roman" w:eastAsia="Times New Roman" w:hAnsi="Times New Roman" w:cs="Times New Roman"/>
          <w:sz w:val="20"/>
          <w:szCs w:val="20"/>
          <w:vertAlign w:val="superscript"/>
        </w:rPr>
        <w:footnoteRef/>
      </w:r>
      <w:r w:rsidR="00956B02" w:rsidRPr="00956B02">
        <w:rPr>
          <w:rStyle w:val="Aucun"/>
          <w:rFonts w:ascii="Times New Roman" w:hAnsi="Times New Roman" w:cs="Times New Roman"/>
          <w:i/>
          <w:iCs/>
          <w:sz w:val="20"/>
          <w:szCs w:val="20"/>
          <w:lang w:val="en-US"/>
        </w:rPr>
        <w:t xml:space="preserve">Giersch </w:t>
      </w:r>
      <w:r w:rsidR="00956B02" w:rsidRPr="00956B02">
        <w:rPr>
          <w:rStyle w:val="Aucun"/>
          <w:rFonts w:ascii="Times New Roman" w:hAnsi="Times New Roman" w:cs="Times New Roman"/>
          <w:sz w:val="20"/>
          <w:szCs w:val="20"/>
          <w:lang w:val="en-US"/>
        </w:rPr>
        <w:t>(</w:t>
      </w:r>
      <w:r w:rsidR="00956B02" w:rsidRPr="00956B02">
        <w:rPr>
          <w:rFonts w:ascii="Times New Roman" w:hAnsi="Times New Roman" w:cs="Times New Roman"/>
          <w:sz w:val="20"/>
          <w:szCs w:val="20"/>
          <w:lang w:val="en-US"/>
        </w:rPr>
        <w:t xml:space="preserve">C-20:12) </w:t>
      </w:r>
      <w:r w:rsidR="000C62A7">
        <w:rPr>
          <w:rFonts w:ascii="Times New Roman" w:hAnsi="Times New Roman" w:cs="Times New Roman"/>
          <w:sz w:val="20"/>
          <w:szCs w:val="20"/>
          <w:lang w:val="en-US"/>
        </w:rPr>
        <w:t>a</w:t>
      </w:r>
      <w:r w:rsidR="00956B02" w:rsidRPr="00956B02">
        <w:rPr>
          <w:rFonts w:ascii="Times New Roman" w:hAnsi="Times New Roman"/>
          <w:sz w:val="20"/>
          <w:szCs w:val="20"/>
          <w:lang w:val="en-US"/>
        </w:rPr>
        <w:t>t</w:t>
      </w:r>
      <w:r w:rsidRPr="00CE1795">
        <w:rPr>
          <w:rFonts w:ascii="Times New Roman" w:hAnsi="Times New Roman"/>
          <w:sz w:val="20"/>
          <w:szCs w:val="20"/>
          <w:lang w:val="en-US"/>
        </w:rPr>
        <w:t xml:space="preserve"> </w:t>
      </w:r>
      <w:r w:rsidR="00956B02">
        <w:rPr>
          <w:rFonts w:ascii="Times New Roman" w:hAnsi="Times New Roman"/>
          <w:sz w:val="20"/>
          <w:szCs w:val="20"/>
          <w:lang w:val="en-US"/>
        </w:rPr>
        <w:t>[</w:t>
      </w:r>
      <w:r w:rsidRPr="00CE1795">
        <w:rPr>
          <w:rFonts w:ascii="Times New Roman" w:hAnsi="Times New Roman"/>
          <w:sz w:val="20"/>
          <w:szCs w:val="20"/>
          <w:lang w:val="en-US"/>
        </w:rPr>
        <w:t>65</w:t>
      </w:r>
      <w:r w:rsidR="00956B02">
        <w:rPr>
          <w:rFonts w:ascii="Times New Roman" w:hAnsi="Times New Roman"/>
          <w:sz w:val="20"/>
          <w:szCs w:val="20"/>
          <w:lang w:val="en-US"/>
        </w:rPr>
        <w:t>]</w:t>
      </w:r>
      <w:r w:rsidRPr="00CE1795">
        <w:rPr>
          <w:rFonts w:ascii="Times New Roman" w:hAnsi="Times New Roman"/>
          <w:sz w:val="20"/>
          <w:szCs w:val="20"/>
          <w:lang w:val="en-US"/>
        </w:rPr>
        <w:t xml:space="preserve">.  </w:t>
      </w:r>
    </w:p>
  </w:footnote>
  <w:footnote w:id="99">
    <w:p w14:paraId="3E00F60A" w14:textId="6621B5F7" w:rsidR="00EE1BEA" w:rsidRPr="00515291" w:rsidRDefault="00EE1BEA" w:rsidP="0017677E">
      <w:pPr>
        <w:pStyle w:val="Notedebasdepage"/>
        <w:jc w:val="both"/>
      </w:pPr>
      <w:r>
        <w:rPr>
          <w:rStyle w:val="Appelnotedebasdep"/>
        </w:rPr>
        <w:footnoteRef/>
      </w:r>
      <w:r w:rsidRPr="00515291">
        <w:t xml:space="preserve">In </w:t>
      </w:r>
      <w:r>
        <w:t>a similar</w:t>
      </w:r>
      <w:r w:rsidRPr="00515291">
        <w:t xml:space="preserve"> vein, </w:t>
      </w:r>
      <w:r w:rsidRPr="00BE52C4">
        <w:t>see</w:t>
      </w:r>
      <w:r>
        <w:rPr>
          <w:i/>
          <w:iCs/>
        </w:rPr>
        <w:t xml:space="preserve"> </w:t>
      </w:r>
      <w:r>
        <w:t xml:space="preserve">Jacqueson, </w:t>
      </w:r>
      <w:r w:rsidR="00BE52C4">
        <w:t>“</w:t>
      </w:r>
      <w:r>
        <w:t xml:space="preserve">Any News from Luxembourg? On Student Aid, Frontier Workers and Stepchildren: </w:t>
      </w:r>
      <w:r w:rsidRPr="00CE68F6">
        <w:rPr>
          <w:i/>
          <w:iCs/>
        </w:rPr>
        <w:t>Bragança Linares Verruga and Depesme</w:t>
      </w:r>
      <w:r w:rsidR="00BE52C4" w:rsidRPr="00BE52C4">
        <w:t>”</w:t>
      </w:r>
      <w:r w:rsidR="00BE52C4">
        <w:t xml:space="preserve"> (2018)</w:t>
      </w:r>
      <w:r>
        <w:t xml:space="preserve"> 55 </w:t>
      </w:r>
      <w:r w:rsidRPr="00BE52C4">
        <w:t>C</w:t>
      </w:r>
      <w:r w:rsidR="00BE52C4">
        <w:t>.</w:t>
      </w:r>
      <w:r w:rsidRPr="00BE52C4">
        <w:t>M</w:t>
      </w:r>
      <w:r w:rsidR="00BE52C4">
        <w:t>.</w:t>
      </w:r>
      <w:r w:rsidRPr="00BE52C4">
        <w:t>L</w:t>
      </w:r>
      <w:r w:rsidR="00BE52C4">
        <w:t xml:space="preserve">. </w:t>
      </w:r>
      <w:r w:rsidRPr="00BE52C4">
        <w:t>Rev</w:t>
      </w:r>
      <w:r w:rsidR="00BE52C4">
        <w:t>.</w:t>
      </w:r>
      <w:r>
        <w:t xml:space="preserve"> </w:t>
      </w:r>
      <w:r w:rsidR="00BE52C4">
        <w:t>3,</w:t>
      </w:r>
      <w:r>
        <w:t xml:space="preserve"> 90</w:t>
      </w:r>
      <w:r w:rsidR="00BE52C4">
        <w:t>1</w:t>
      </w:r>
      <w:r>
        <w:t>.</w:t>
      </w:r>
    </w:p>
  </w:footnote>
  <w:footnote w:id="100">
    <w:p w14:paraId="1E664011" w14:textId="17DB39EF" w:rsidR="00DD6C36" w:rsidRPr="0093077D" w:rsidRDefault="00DD6C36" w:rsidP="0017677E">
      <w:pPr>
        <w:pStyle w:val="Notedebasdepage"/>
        <w:jc w:val="both"/>
      </w:pPr>
      <w:r>
        <w:rPr>
          <w:rStyle w:val="Appelnotedebasdep"/>
        </w:rPr>
        <w:footnoteRef/>
      </w:r>
      <w:r w:rsidR="00D71A01" w:rsidRPr="00BE52C4">
        <w:t>Turmo, “The Pernicious Influence of Citizenship Rights on Worker’s Rights in the EU</w:t>
      </w:r>
      <w:r w:rsidR="00A03D3D">
        <w:t>”</w:t>
      </w:r>
      <w:r w:rsidR="00D71A01" w:rsidRPr="00BE52C4">
        <w:t xml:space="preserve"> </w:t>
      </w:r>
      <w:r w:rsidR="00A03D3D">
        <w:t>(</w:t>
      </w:r>
      <w:r w:rsidR="00D71A01" w:rsidRPr="00BE52C4">
        <w:t>2020),</w:t>
      </w:r>
      <w:r w:rsidR="00D71A01">
        <w:t xml:space="preserve"> p. 318-321</w:t>
      </w:r>
      <w:r w:rsidR="00CB4D5A">
        <w:t>; Jacqueson, “Any News from Luxembourg?</w:t>
      </w:r>
      <w:r w:rsidR="00CB4D5A" w:rsidRPr="00BE52C4">
        <w:t>”</w:t>
      </w:r>
      <w:r w:rsidR="00CB4D5A">
        <w:t xml:space="preserve"> (2018), 913.</w:t>
      </w:r>
    </w:p>
  </w:footnote>
  <w:footnote w:id="101">
    <w:p w14:paraId="4C943A30" w14:textId="1ACB1075" w:rsidR="00056399" w:rsidRPr="00056399" w:rsidRDefault="00056399" w:rsidP="0017677E">
      <w:pPr>
        <w:jc w:val="both"/>
        <w:rPr>
          <w:lang w:val="en-US"/>
        </w:rPr>
      </w:pPr>
      <w:r w:rsidRPr="005827BA">
        <w:rPr>
          <w:rStyle w:val="Appelnotedebasdep"/>
          <w:sz w:val="20"/>
          <w:szCs w:val="20"/>
        </w:rPr>
        <w:footnoteRef/>
      </w:r>
      <w:r w:rsidRPr="00C77FD3">
        <w:rPr>
          <w:sz w:val="20"/>
          <w:szCs w:val="20"/>
          <w:lang w:val="en-US"/>
        </w:rPr>
        <w:t>Com</w:t>
      </w:r>
      <w:r>
        <w:rPr>
          <w:sz w:val="20"/>
          <w:szCs w:val="20"/>
          <w:lang w:val="en-US"/>
        </w:rPr>
        <w:t>pare</w:t>
      </w:r>
      <w:r w:rsidRPr="00C77FD3">
        <w:rPr>
          <w:i/>
          <w:iCs/>
          <w:sz w:val="20"/>
          <w:szCs w:val="20"/>
          <w:lang w:val="en-US"/>
        </w:rPr>
        <w:t xml:space="preserve"> </w:t>
      </w:r>
      <w:r>
        <w:rPr>
          <w:i/>
          <w:iCs/>
          <w:sz w:val="20"/>
          <w:szCs w:val="20"/>
          <w:lang w:val="en-US"/>
        </w:rPr>
        <w:t xml:space="preserve">European </w:t>
      </w:r>
      <w:r w:rsidRPr="005827BA">
        <w:rPr>
          <w:i/>
          <w:iCs/>
          <w:sz w:val="20"/>
          <w:szCs w:val="20"/>
          <w:lang w:val="en-US"/>
        </w:rPr>
        <w:t xml:space="preserve">Commission v </w:t>
      </w:r>
      <w:r>
        <w:rPr>
          <w:i/>
          <w:iCs/>
          <w:sz w:val="20"/>
          <w:szCs w:val="20"/>
          <w:lang w:val="en-US"/>
        </w:rPr>
        <w:t xml:space="preserve">Republic of </w:t>
      </w:r>
      <w:r w:rsidRPr="005827BA">
        <w:rPr>
          <w:i/>
          <w:iCs/>
          <w:sz w:val="20"/>
          <w:szCs w:val="20"/>
          <w:lang w:val="en-US"/>
        </w:rPr>
        <w:t>Cyprus</w:t>
      </w:r>
      <w:r>
        <w:rPr>
          <w:sz w:val="20"/>
          <w:szCs w:val="20"/>
          <w:lang w:val="en-US"/>
        </w:rPr>
        <w:t xml:space="preserve"> (C-515/14)</w:t>
      </w:r>
      <w:r w:rsidRPr="005827BA">
        <w:rPr>
          <w:sz w:val="20"/>
          <w:szCs w:val="20"/>
          <w:lang w:val="en-US"/>
        </w:rPr>
        <w:t xml:space="preserve"> </w:t>
      </w:r>
      <w:r>
        <w:rPr>
          <w:sz w:val="20"/>
          <w:szCs w:val="20"/>
          <w:lang w:val="en-US"/>
        </w:rPr>
        <w:t>EU:C:2016:30 at [</w:t>
      </w:r>
      <w:r w:rsidRPr="005827BA">
        <w:rPr>
          <w:sz w:val="20"/>
          <w:szCs w:val="20"/>
          <w:lang w:val="en-US"/>
        </w:rPr>
        <w:t>53</w:t>
      </w:r>
      <w:r>
        <w:rPr>
          <w:sz w:val="20"/>
          <w:szCs w:val="20"/>
          <w:lang w:val="en-US"/>
        </w:rPr>
        <w:t>]</w:t>
      </w:r>
      <w:r w:rsidRPr="005827BA">
        <w:rPr>
          <w:sz w:val="20"/>
          <w:szCs w:val="20"/>
          <w:lang w:val="en-US"/>
        </w:rPr>
        <w:t xml:space="preserve"> </w:t>
      </w:r>
      <w:r w:rsidRPr="005827BA">
        <w:rPr>
          <w:color w:val="000000"/>
          <w:sz w:val="20"/>
          <w:szCs w:val="20"/>
          <w:lang w:val="en-US"/>
        </w:rPr>
        <w:t>with</w:t>
      </w:r>
      <w:r w:rsidRPr="005827BA">
        <w:rPr>
          <w:sz w:val="20"/>
          <w:szCs w:val="20"/>
          <w:lang w:val="en-US"/>
        </w:rPr>
        <w:t xml:space="preserve"> </w:t>
      </w:r>
      <w:r w:rsidRPr="00956B02">
        <w:rPr>
          <w:rStyle w:val="Aucun"/>
          <w:i/>
          <w:iCs/>
          <w:sz w:val="20"/>
          <w:szCs w:val="20"/>
          <w:lang w:val="en-US"/>
        </w:rPr>
        <w:t>Commission v Netherlands</w:t>
      </w:r>
      <w:r w:rsidRPr="00956B02">
        <w:rPr>
          <w:sz w:val="20"/>
          <w:szCs w:val="20"/>
          <w:lang w:val="en-US"/>
        </w:rPr>
        <w:t xml:space="preserve"> (</w:t>
      </w:r>
      <w:r w:rsidRPr="00956B02">
        <w:rPr>
          <w:rStyle w:val="Aucun"/>
          <w:sz w:val="20"/>
          <w:szCs w:val="20"/>
          <w:lang w:val="en-US"/>
        </w:rPr>
        <w:t>C-542/09) EU:C:2012:346</w:t>
      </w:r>
      <w:r w:rsidRPr="00956B02">
        <w:rPr>
          <w:sz w:val="20"/>
          <w:szCs w:val="20"/>
          <w:lang w:val="en-US"/>
        </w:rPr>
        <w:t xml:space="preserve"> at [</w:t>
      </w:r>
      <w:r>
        <w:rPr>
          <w:sz w:val="20"/>
          <w:szCs w:val="20"/>
          <w:lang w:val="en-US"/>
        </w:rPr>
        <w:t>57]</w:t>
      </w:r>
      <w:r w:rsidR="000C62A7">
        <w:rPr>
          <w:sz w:val="20"/>
          <w:szCs w:val="20"/>
          <w:lang w:val="en-US"/>
        </w:rPr>
        <w:t xml:space="preserve">. </w:t>
      </w:r>
      <w:r w:rsidRPr="00BE52C4">
        <w:rPr>
          <w:sz w:val="20"/>
          <w:szCs w:val="20"/>
          <w:lang w:val="en-US"/>
        </w:rPr>
        <w:t>See also</w:t>
      </w:r>
      <w:r>
        <w:rPr>
          <w:sz w:val="20"/>
          <w:szCs w:val="20"/>
          <w:lang w:val="en-US"/>
        </w:rPr>
        <w:t xml:space="preserve"> </w:t>
      </w:r>
      <w:r w:rsidRPr="00CE1795">
        <w:rPr>
          <w:sz w:val="20"/>
          <w:szCs w:val="20"/>
          <w:lang w:val="en-US"/>
        </w:rPr>
        <w:t xml:space="preserve">J. Snell, </w:t>
      </w:r>
      <w:r>
        <w:rPr>
          <w:sz w:val="20"/>
          <w:szCs w:val="20"/>
          <w:lang w:val="en-US"/>
        </w:rPr>
        <w:t>“</w:t>
      </w:r>
      <w:r w:rsidRPr="00CE1795">
        <w:rPr>
          <w:sz w:val="20"/>
          <w:szCs w:val="20"/>
          <w:lang w:val="en-US"/>
        </w:rPr>
        <w:t>Economic Justifications and the Role of the State</w:t>
      </w:r>
      <w:r>
        <w:rPr>
          <w:sz w:val="20"/>
          <w:szCs w:val="20"/>
          <w:lang w:val="en-US"/>
        </w:rPr>
        <w:t>”</w:t>
      </w:r>
      <w:r w:rsidRPr="00CE1795">
        <w:rPr>
          <w:sz w:val="20"/>
          <w:szCs w:val="20"/>
          <w:lang w:val="en-US"/>
        </w:rPr>
        <w:t>, in P. Koutrakos, N.Nic Shuibhne and P. Syrpis</w:t>
      </w:r>
      <w:r>
        <w:rPr>
          <w:sz w:val="20"/>
          <w:szCs w:val="20"/>
          <w:lang w:val="en-US"/>
        </w:rPr>
        <w:t xml:space="preserve"> (eds)</w:t>
      </w:r>
      <w:r w:rsidRPr="00CE1795">
        <w:rPr>
          <w:sz w:val="20"/>
          <w:szCs w:val="20"/>
          <w:lang w:val="en-US"/>
        </w:rPr>
        <w:t xml:space="preserve">, </w:t>
      </w:r>
      <w:r>
        <w:rPr>
          <w:rStyle w:val="Aucun"/>
          <w:i/>
          <w:iCs/>
          <w:sz w:val="20"/>
          <w:szCs w:val="20"/>
          <w:lang w:val="en-US"/>
        </w:rPr>
        <w:t>Exceptions from EU Free Movement Law – Derogations, Justification and Proportionality</w:t>
      </w:r>
      <w:r>
        <w:rPr>
          <w:sz w:val="20"/>
          <w:szCs w:val="20"/>
          <w:lang w:val="en-US"/>
        </w:rPr>
        <w:t xml:space="preserve"> (Hart Publishing, 2016),</w:t>
      </w:r>
      <w:r w:rsidRPr="00CE1795">
        <w:rPr>
          <w:sz w:val="20"/>
          <w:szCs w:val="20"/>
          <w:lang w:val="en-US"/>
        </w:rPr>
        <w:t xml:space="preserve"> p. 21</w:t>
      </w:r>
      <w:r w:rsidRPr="00D440DE">
        <w:rPr>
          <w:sz w:val="20"/>
          <w:szCs w:val="20"/>
          <w:lang w:val="en-US"/>
        </w:rPr>
        <w:t>.</w:t>
      </w:r>
    </w:p>
  </w:footnote>
  <w:footnote w:id="102">
    <w:p w14:paraId="2C6B22A1" w14:textId="52775005" w:rsidR="00676870" w:rsidRPr="00676870" w:rsidRDefault="00676870" w:rsidP="0017677E">
      <w:pPr>
        <w:pStyle w:val="Notedebasdepage"/>
        <w:jc w:val="both"/>
      </w:pPr>
      <w:r>
        <w:rPr>
          <w:rStyle w:val="Appelnotedebasdep"/>
        </w:rPr>
        <w:footnoteRef/>
      </w:r>
      <w:r w:rsidR="00CE4447">
        <w:t>Nic Shuibhne,</w:t>
      </w:r>
      <w:r w:rsidR="00CE4447">
        <w:rPr>
          <w:rFonts w:cs="Arial Unicode MS"/>
        </w:rPr>
        <w:t xml:space="preserve"> “What I Tell you Three Times is True” (2016), 926-927.</w:t>
      </w:r>
    </w:p>
  </w:footnote>
  <w:footnote w:id="103">
    <w:p w14:paraId="4871B075" w14:textId="77777777" w:rsidR="001C098B" w:rsidRPr="00237B13" w:rsidRDefault="001C098B" w:rsidP="0017677E">
      <w:pPr>
        <w:pStyle w:val="Notedepieddepage"/>
        <w:jc w:val="both"/>
      </w:pPr>
      <w:r>
        <w:rPr>
          <w:rStyle w:val="Aucun"/>
          <w:rFonts w:ascii="Times New Roman" w:eastAsia="Times New Roman" w:hAnsi="Times New Roman" w:cs="Times New Roman"/>
          <w:sz w:val="20"/>
          <w:szCs w:val="20"/>
          <w:vertAlign w:val="superscript"/>
        </w:rPr>
        <w:footnoteRef/>
      </w:r>
      <w:r w:rsidRPr="00237B13">
        <w:rPr>
          <w:rStyle w:val="Aucun"/>
          <w:rFonts w:ascii="Times New Roman" w:hAnsi="Times New Roman"/>
          <w:i/>
          <w:iCs/>
          <w:sz w:val="20"/>
          <w:szCs w:val="20"/>
        </w:rPr>
        <w:t>Aubriet</w:t>
      </w:r>
      <w:r w:rsidRPr="00237B13">
        <w:rPr>
          <w:rFonts w:ascii="Times New Roman" w:hAnsi="Times New Roman" w:cs="Times New Roman"/>
          <w:sz w:val="20"/>
          <w:szCs w:val="20"/>
        </w:rPr>
        <w:t xml:space="preserve"> (C-410/18) EU:C:2019:582</w:t>
      </w:r>
      <w:r w:rsidRPr="00237B13">
        <w:rPr>
          <w:rFonts w:ascii="Times New Roman" w:hAnsi="Times New Roman"/>
          <w:sz w:val="20"/>
          <w:szCs w:val="20"/>
        </w:rPr>
        <w:t>;</w:t>
      </w:r>
      <w:r w:rsidRPr="00237B13">
        <w:rPr>
          <w:rStyle w:val="Aucun"/>
          <w:rFonts w:ascii="Times New Roman" w:hAnsi="Times New Roman" w:cs="Times New Roman"/>
          <w:i/>
          <w:iCs/>
          <w:sz w:val="20"/>
          <w:szCs w:val="20"/>
        </w:rPr>
        <w:t xml:space="preserve"> Bragança Linares Verruga and Others </w:t>
      </w:r>
      <w:r w:rsidRPr="00237B13">
        <w:rPr>
          <w:rStyle w:val="Aucun"/>
          <w:rFonts w:ascii="Times New Roman" w:hAnsi="Times New Roman" w:cs="Times New Roman"/>
          <w:sz w:val="20"/>
          <w:szCs w:val="20"/>
        </w:rPr>
        <w:t>(C-238/15) EU:C:2016:949</w:t>
      </w:r>
      <w:r>
        <w:rPr>
          <w:rStyle w:val="Aucun"/>
          <w:rFonts w:ascii="Times New Roman" w:hAnsi="Times New Roman" w:cs="Times New Roman"/>
          <w:sz w:val="20"/>
          <w:szCs w:val="20"/>
        </w:rPr>
        <w:t>.</w:t>
      </w:r>
    </w:p>
  </w:footnote>
  <w:footnote w:id="104">
    <w:p w14:paraId="4C8B5ABC" w14:textId="77777777" w:rsidR="001C098B" w:rsidRPr="0073525E" w:rsidRDefault="001C098B" w:rsidP="0017677E">
      <w:pPr>
        <w:pStyle w:val="Notedepieddepage"/>
        <w:jc w:val="both"/>
        <w:rPr>
          <w:lang w:val="en-US"/>
        </w:rPr>
      </w:pPr>
      <w:r>
        <w:rPr>
          <w:rStyle w:val="Aucun"/>
          <w:rFonts w:ascii="Times New Roman" w:eastAsia="Times New Roman" w:hAnsi="Times New Roman" w:cs="Times New Roman"/>
          <w:sz w:val="20"/>
          <w:szCs w:val="20"/>
          <w:vertAlign w:val="superscript"/>
        </w:rPr>
        <w:footnoteRef/>
      </w:r>
      <w:r w:rsidRPr="0073525E">
        <w:rPr>
          <w:rStyle w:val="Aucun"/>
          <w:rFonts w:ascii="Times New Roman" w:hAnsi="Times New Roman" w:cs="Times New Roman"/>
          <w:i/>
          <w:iCs/>
          <w:sz w:val="20"/>
          <w:szCs w:val="20"/>
          <w:lang w:val="en-US"/>
        </w:rPr>
        <w:t>Hartmann</w:t>
      </w:r>
      <w:r w:rsidRPr="0073525E">
        <w:rPr>
          <w:rStyle w:val="Aucun"/>
          <w:rFonts w:ascii="Times New Roman" w:hAnsi="Times New Roman" w:cs="Times New Roman"/>
          <w:sz w:val="20"/>
          <w:szCs w:val="20"/>
          <w:lang w:val="en-US"/>
        </w:rPr>
        <w:t xml:space="preserve"> (C-212/05) EU:C:2007:437</w:t>
      </w:r>
      <w:r w:rsidRPr="0073525E">
        <w:rPr>
          <w:rFonts w:ascii="Times New Roman" w:hAnsi="Times New Roman" w:cs="Times New Roman"/>
          <w:sz w:val="20"/>
          <w:szCs w:val="20"/>
          <w:lang w:val="en-US"/>
        </w:rPr>
        <w:t xml:space="preserve">; </w:t>
      </w:r>
      <w:r w:rsidRPr="0073525E">
        <w:rPr>
          <w:rStyle w:val="Aucun"/>
          <w:rFonts w:ascii="Times New Roman" w:hAnsi="Times New Roman" w:cs="Times New Roman"/>
          <w:i/>
          <w:iCs/>
          <w:sz w:val="20"/>
          <w:szCs w:val="20"/>
          <w:lang w:val="en-US"/>
        </w:rPr>
        <w:t xml:space="preserve">Geven </w:t>
      </w:r>
      <w:r w:rsidRPr="0073525E">
        <w:rPr>
          <w:rStyle w:val="Aucun"/>
          <w:rFonts w:ascii="Times New Roman" w:hAnsi="Times New Roman" w:cs="Times New Roman"/>
          <w:sz w:val="20"/>
          <w:szCs w:val="20"/>
          <w:lang w:val="en-US"/>
        </w:rPr>
        <w:t>(C-213/05) EU:C:2007:438</w:t>
      </w:r>
      <w:r w:rsidRPr="0073525E">
        <w:rPr>
          <w:rFonts w:ascii="Times New Roman" w:hAnsi="Times New Roman"/>
          <w:sz w:val="20"/>
          <w:szCs w:val="20"/>
          <w:lang w:val="en-US"/>
        </w:rPr>
        <w:t xml:space="preserve">.   </w:t>
      </w:r>
    </w:p>
  </w:footnote>
  <w:footnote w:id="105">
    <w:p w14:paraId="1924BD29" w14:textId="481CD110" w:rsidR="001C098B" w:rsidRPr="00CE1795" w:rsidRDefault="001C098B" w:rsidP="0017677E">
      <w:pPr>
        <w:pStyle w:val="Notedepieddepage"/>
        <w:jc w:val="both"/>
        <w:rPr>
          <w:lang w:val="en-US"/>
        </w:rPr>
      </w:pPr>
      <w:r>
        <w:rPr>
          <w:rStyle w:val="Aucun"/>
          <w:rFonts w:ascii="Times New Roman" w:eastAsia="Times New Roman" w:hAnsi="Times New Roman" w:cs="Times New Roman"/>
          <w:sz w:val="20"/>
          <w:szCs w:val="20"/>
          <w:vertAlign w:val="superscript"/>
        </w:rPr>
        <w:footnoteRef/>
      </w:r>
      <w:r w:rsidRPr="00CE1795">
        <w:rPr>
          <w:rFonts w:ascii="Times New Roman" w:hAnsi="Times New Roman"/>
          <w:sz w:val="20"/>
          <w:szCs w:val="20"/>
          <w:lang w:val="en-US"/>
        </w:rPr>
        <w:t xml:space="preserve">Turmo, </w:t>
      </w:r>
      <w:r w:rsidRPr="00BE52C4">
        <w:rPr>
          <w:rFonts w:ascii="Times New Roman" w:hAnsi="Times New Roman" w:cs="Times New Roman"/>
          <w:sz w:val="20"/>
          <w:szCs w:val="20"/>
          <w:lang w:val="en-US"/>
        </w:rPr>
        <w:t>“The Pernicious Influence of Citizenship Rights on Worker’s Rights in the EU</w:t>
      </w:r>
      <w:r w:rsidR="00A03D3D">
        <w:rPr>
          <w:rFonts w:ascii="Times New Roman" w:hAnsi="Times New Roman" w:cs="Times New Roman"/>
          <w:sz w:val="20"/>
          <w:szCs w:val="20"/>
          <w:lang w:val="en-US"/>
        </w:rPr>
        <w:t>” (</w:t>
      </w:r>
      <w:r w:rsidRPr="00BE52C4">
        <w:rPr>
          <w:rFonts w:ascii="Times New Roman" w:hAnsi="Times New Roman" w:cs="Times New Roman"/>
          <w:sz w:val="20"/>
          <w:szCs w:val="20"/>
          <w:lang w:val="en-US"/>
        </w:rPr>
        <w:t xml:space="preserve">2020), </w:t>
      </w:r>
      <w:r w:rsidRPr="00CE1795">
        <w:rPr>
          <w:rFonts w:ascii="Times New Roman" w:hAnsi="Times New Roman"/>
          <w:sz w:val="20"/>
          <w:szCs w:val="20"/>
          <w:lang w:val="en-US"/>
        </w:rPr>
        <w:t xml:space="preserve">p. 327-330. </w:t>
      </w:r>
    </w:p>
  </w:footnote>
  <w:footnote w:id="106">
    <w:p w14:paraId="143451D5" w14:textId="48F355C9" w:rsidR="00C85AD7" w:rsidRPr="003947B9" w:rsidRDefault="00C85AD7" w:rsidP="0017677E">
      <w:pPr>
        <w:pStyle w:val="Notedebasdepage"/>
        <w:jc w:val="both"/>
      </w:pPr>
      <w:r>
        <w:rPr>
          <w:rStyle w:val="Appelnotedebasdep"/>
        </w:rPr>
        <w:footnoteRef/>
      </w:r>
      <w:r>
        <w:t>Nato, “The Self-employed and the Court of Justice” (202</w:t>
      </w:r>
      <w:r w:rsidR="00115CE6">
        <w:t>1</w:t>
      </w:r>
      <w:r>
        <w:t xml:space="preserve">), </w:t>
      </w:r>
      <w:r w:rsidR="003104CC">
        <w:t>27-29</w:t>
      </w:r>
      <w:r>
        <w:t>.</w:t>
      </w:r>
    </w:p>
  </w:footnote>
  <w:footnote w:id="107">
    <w:p w14:paraId="36342568" w14:textId="73007AF4" w:rsidR="00C85AD7" w:rsidRPr="00682802" w:rsidRDefault="00C85AD7" w:rsidP="0017677E">
      <w:pPr>
        <w:pStyle w:val="Notedepieddepage"/>
        <w:jc w:val="both"/>
        <w:rPr>
          <w:rFonts w:ascii="Times New Roman" w:hAnsi="Times New Roman"/>
          <w:sz w:val="20"/>
          <w:szCs w:val="20"/>
          <w:lang w:val="en-US"/>
        </w:rPr>
      </w:pPr>
      <w:r>
        <w:rPr>
          <w:rStyle w:val="Aucun"/>
          <w:rFonts w:ascii="Times New Roman" w:eastAsia="Times New Roman" w:hAnsi="Times New Roman" w:cs="Times New Roman"/>
          <w:sz w:val="20"/>
          <w:szCs w:val="20"/>
          <w:vertAlign w:val="superscript"/>
        </w:rPr>
        <w:footnoteRef/>
      </w:r>
      <w:r>
        <w:rPr>
          <w:rFonts w:ascii="Times New Roman" w:hAnsi="Times New Roman"/>
          <w:sz w:val="20"/>
          <w:szCs w:val="20"/>
          <w:lang w:val="en-US"/>
        </w:rPr>
        <w:t>This trend culminated in the agreement concluded in 2016 by the European Council on the UK</w:t>
      </w:r>
      <w:r w:rsidRPr="00CE1795">
        <w:rPr>
          <w:rFonts w:ascii="Times New Roman" w:hAnsi="Times New Roman"/>
          <w:sz w:val="20"/>
          <w:szCs w:val="20"/>
          <w:lang w:val="en-US"/>
        </w:rPr>
        <w:t>’</w:t>
      </w:r>
      <w:r>
        <w:rPr>
          <w:rFonts w:ascii="Times New Roman" w:hAnsi="Times New Roman"/>
          <w:sz w:val="20"/>
          <w:szCs w:val="20"/>
          <w:lang w:val="en-US"/>
        </w:rPr>
        <w:t>s renegotiation of its relationship with the EU. That agreement, which never came into force, contained far-reaching restrictions on newly arriving migrant workers</w:t>
      </w:r>
      <w:r w:rsidRPr="00CE1795">
        <w:rPr>
          <w:rFonts w:ascii="Times New Roman" w:hAnsi="Times New Roman"/>
          <w:sz w:val="20"/>
          <w:szCs w:val="20"/>
          <w:lang w:val="en-US"/>
        </w:rPr>
        <w:t xml:space="preserve">’ </w:t>
      </w:r>
      <w:r>
        <w:rPr>
          <w:rFonts w:ascii="Times New Roman" w:hAnsi="Times New Roman"/>
          <w:sz w:val="20"/>
          <w:szCs w:val="20"/>
          <w:lang w:val="en-US"/>
        </w:rPr>
        <w:t>access to the UK</w:t>
      </w:r>
      <w:r w:rsidRPr="00CE1795">
        <w:rPr>
          <w:rFonts w:ascii="Times New Roman" w:hAnsi="Times New Roman"/>
          <w:sz w:val="20"/>
          <w:szCs w:val="20"/>
          <w:lang w:val="en-US"/>
        </w:rPr>
        <w:t>’</w:t>
      </w:r>
      <w:r>
        <w:rPr>
          <w:rFonts w:ascii="Times New Roman" w:hAnsi="Times New Roman"/>
          <w:sz w:val="20"/>
          <w:szCs w:val="20"/>
          <w:lang w:val="en-US"/>
        </w:rPr>
        <w:t xml:space="preserve">s social assistance system (the so-called safeguard mechanism). </w:t>
      </w:r>
      <w:r w:rsidRPr="00BE52C4">
        <w:rPr>
          <w:rFonts w:ascii="Times New Roman" w:hAnsi="Times New Roman"/>
          <w:sz w:val="20"/>
          <w:szCs w:val="20"/>
          <w:lang w:val="en-US"/>
        </w:rPr>
        <w:t>See</w:t>
      </w:r>
      <w:r>
        <w:rPr>
          <w:rFonts w:ascii="Times New Roman" w:hAnsi="Times New Roman"/>
          <w:sz w:val="20"/>
          <w:szCs w:val="20"/>
          <w:lang w:val="en-US"/>
        </w:rPr>
        <w:t xml:space="preserve"> </w:t>
      </w:r>
      <w:r>
        <w:rPr>
          <w:rFonts w:ascii="Times New Roman" w:hAnsi="Times New Roman"/>
          <w:sz w:val="20"/>
          <w:szCs w:val="20"/>
          <w:lang w:val="de-DE"/>
        </w:rPr>
        <w:t>Wollenschl</w:t>
      </w:r>
      <w:r w:rsidRPr="00CE1795">
        <w:rPr>
          <w:rFonts w:ascii="Times New Roman" w:hAnsi="Times New Roman"/>
          <w:sz w:val="20"/>
          <w:szCs w:val="20"/>
          <w:lang w:val="en-US"/>
        </w:rPr>
        <w:t>ä</w:t>
      </w:r>
      <w:r>
        <w:rPr>
          <w:rFonts w:ascii="Times New Roman" w:hAnsi="Times New Roman"/>
          <w:sz w:val="20"/>
          <w:szCs w:val="20"/>
          <w:lang w:val="da-DK"/>
        </w:rPr>
        <w:t xml:space="preserve">ger, </w:t>
      </w:r>
      <w:r>
        <w:rPr>
          <w:rFonts w:ascii="Times New Roman" w:hAnsi="Times New Roman"/>
          <w:sz w:val="20"/>
          <w:szCs w:val="20"/>
          <w:lang w:val="en-US"/>
        </w:rPr>
        <w:t>“Consolidating Union Citizenship</w:t>
      </w:r>
      <w:r w:rsidR="0044104F">
        <w:rPr>
          <w:rFonts w:ascii="Times New Roman" w:hAnsi="Times New Roman"/>
          <w:sz w:val="20"/>
          <w:szCs w:val="20"/>
          <w:lang w:val="en-US"/>
        </w:rPr>
        <w:t>” (</w:t>
      </w:r>
      <w:r w:rsidRPr="00CE1795">
        <w:rPr>
          <w:rFonts w:ascii="Times New Roman" w:hAnsi="Times New Roman"/>
          <w:sz w:val="20"/>
          <w:szCs w:val="20"/>
          <w:lang w:val="en-US"/>
        </w:rPr>
        <w:t>2017</w:t>
      </w:r>
      <w:r>
        <w:rPr>
          <w:rFonts w:ascii="Times New Roman" w:hAnsi="Times New Roman"/>
          <w:sz w:val="20"/>
          <w:szCs w:val="20"/>
          <w:lang w:val="en-US"/>
        </w:rPr>
        <w:t>), p. 171</w:t>
      </w:r>
      <w:r w:rsidRPr="00CE1795">
        <w:rPr>
          <w:rFonts w:ascii="Times New Roman" w:hAnsi="Times New Roman"/>
          <w:sz w:val="20"/>
          <w:szCs w:val="20"/>
          <w:lang w:val="en-US"/>
        </w:rPr>
        <w:t xml:space="preserve">. </w:t>
      </w:r>
    </w:p>
  </w:footnote>
  <w:footnote w:id="108">
    <w:p w14:paraId="4A9859D3" w14:textId="3C5413F0" w:rsidR="00975053" w:rsidRPr="00CE1795" w:rsidRDefault="00975053" w:rsidP="0017677E">
      <w:pPr>
        <w:pStyle w:val="Notedepieddepage"/>
        <w:jc w:val="both"/>
        <w:rPr>
          <w:lang w:val="en-US"/>
        </w:rPr>
      </w:pPr>
      <w:r>
        <w:rPr>
          <w:rStyle w:val="Aucun"/>
          <w:rFonts w:ascii="Times New Roman" w:eastAsia="Times New Roman" w:hAnsi="Times New Roman" w:cs="Times New Roman"/>
          <w:sz w:val="20"/>
          <w:szCs w:val="20"/>
          <w:vertAlign w:val="superscript"/>
        </w:rPr>
        <w:footnoteRef/>
      </w:r>
      <w:r w:rsidRPr="00CE1795">
        <w:rPr>
          <w:rFonts w:ascii="Times New Roman" w:hAnsi="Times New Roman"/>
          <w:sz w:val="20"/>
          <w:szCs w:val="20"/>
          <w:lang w:val="en-US"/>
        </w:rPr>
        <w:t xml:space="preserve">Turmo, </w:t>
      </w:r>
      <w:r w:rsidRPr="00BE52C4">
        <w:rPr>
          <w:rFonts w:ascii="Times New Roman" w:hAnsi="Times New Roman" w:cs="Times New Roman"/>
          <w:sz w:val="20"/>
          <w:szCs w:val="20"/>
          <w:lang w:val="en-US"/>
        </w:rPr>
        <w:t>“The Pernicious Influence of Citizenship Rights on Worker’s Rights in the EU</w:t>
      </w:r>
      <w:r w:rsidR="00A03D3D">
        <w:rPr>
          <w:rFonts w:ascii="Times New Roman" w:hAnsi="Times New Roman" w:cs="Times New Roman"/>
          <w:sz w:val="20"/>
          <w:szCs w:val="20"/>
          <w:lang w:val="en-US"/>
        </w:rPr>
        <w:t>” (</w:t>
      </w:r>
      <w:r w:rsidRPr="00BE52C4">
        <w:rPr>
          <w:rFonts w:ascii="Times New Roman" w:hAnsi="Times New Roman" w:cs="Times New Roman"/>
          <w:sz w:val="20"/>
          <w:szCs w:val="20"/>
          <w:lang w:val="en-US"/>
        </w:rPr>
        <w:t>2020),</w:t>
      </w:r>
      <w:r>
        <w:rPr>
          <w:rFonts w:ascii="Times New Roman" w:hAnsi="Times New Roman" w:cs="Times New Roman"/>
          <w:sz w:val="20"/>
          <w:szCs w:val="20"/>
          <w:lang w:val="en-US"/>
        </w:rPr>
        <w:t xml:space="preserve"> </w:t>
      </w:r>
      <w:r>
        <w:rPr>
          <w:rFonts w:ascii="Times New Roman" w:hAnsi="Times New Roman"/>
          <w:sz w:val="20"/>
          <w:szCs w:val="20"/>
          <w:lang w:val="en-US"/>
        </w:rPr>
        <w:t>p.</w:t>
      </w:r>
      <w:r w:rsidRPr="00CE1795">
        <w:rPr>
          <w:rFonts w:ascii="Times New Roman" w:hAnsi="Times New Roman"/>
          <w:sz w:val="20"/>
          <w:szCs w:val="20"/>
          <w:lang w:val="en-US"/>
        </w:rPr>
        <w:t xml:space="preserve"> 313. </w:t>
      </w:r>
    </w:p>
  </w:footnote>
  <w:footnote w:id="109">
    <w:p w14:paraId="7DE1DBD1" w14:textId="4645A742" w:rsidR="00247E54" w:rsidRPr="00247E54" w:rsidRDefault="00247E54" w:rsidP="0017677E">
      <w:pPr>
        <w:pStyle w:val="Notedebasdepage"/>
        <w:jc w:val="both"/>
      </w:pPr>
      <w:r>
        <w:rPr>
          <w:rStyle w:val="Appelnotedebasdep"/>
        </w:rPr>
        <w:footnoteRef/>
      </w:r>
      <w:r w:rsidR="00D73FFE">
        <w:t xml:space="preserve">See </w:t>
      </w:r>
      <w:r w:rsidR="00D73FFE" w:rsidRPr="00CE1795">
        <w:t xml:space="preserve">Nic Shuibhne, </w:t>
      </w:r>
      <w:r w:rsidR="00D73FFE">
        <w:t>“</w:t>
      </w:r>
      <w:r w:rsidR="00D73FFE" w:rsidRPr="00CE1795">
        <w:t xml:space="preserve">Reconnecting </w:t>
      </w:r>
      <w:r w:rsidR="00D73FFE">
        <w:t>F</w:t>
      </w:r>
      <w:r w:rsidR="00D73FFE" w:rsidRPr="00CE1795">
        <w:t xml:space="preserve">ree </w:t>
      </w:r>
      <w:r w:rsidR="00D73FFE">
        <w:t>M</w:t>
      </w:r>
      <w:r w:rsidR="00D73FFE" w:rsidRPr="00CE1795">
        <w:t xml:space="preserve">ovement of </w:t>
      </w:r>
      <w:r w:rsidR="00D73FFE">
        <w:t>W</w:t>
      </w:r>
      <w:r w:rsidR="00D73FFE" w:rsidRPr="00CE1795">
        <w:t xml:space="preserve">orkers and </w:t>
      </w:r>
      <w:r w:rsidR="00D73FFE">
        <w:t>E</w:t>
      </w:r>
      <w:r w:rsidR="00D73FFE" w:rsidRPr="00CE1795">
        <w:t xml:space="preserve">qual </w:t>
      </w:r>
      <w:r w:rsidR="00D73FFE">
        <w:t>T</w:t>
      </w:r>
      <w:r w:rsidR="00D73FFE" w:rsidRPr="00CE1795">
        <w:t xml:space="preserve">reatment in an </w:t>
      </w:r>
      <w:r w:rsidR="00D73FFE">
        <w:t>U</w:t>
      </w:r>
      <w:r w:rsidR="00D73FFE" w:rsidRPr="00CE1795">
        <w:t>nequal Europe</w:t>
      </w:r>
      <w:r w:rsidR="00D73FFE">
        <w:t xml:space="preserve">” (2018), 503. </w:t>
      </w:r>
    </w:p>
  </w:footnote>
  <w:footnote w:id="110">
    <w:p w14:paraId="76D701E8" w14:textId="66DC2EBF" w:rsidR="00FF4952" w:rsidRPr="00FF4952" w:rsidRDefault="00FF4952" w:rsidP="0017677E">
      <w:pPr>
        <w:pStyle w:val="Notedebasdepage"/>
      </w:pPr>
      <w:r>
        <w:rPr>
          <w:rStyle w:val="Appelnotedebasdep"/>
        </w:rPr>
        <w:footnoteRef/>
      </w:r>
      <w:r w:rsidR="00D73FFE" w:rsidRPr="006C25B3">
        <w:rPr>
          <w:i/>
          <w:iCs/>
        </w:rPr>
        <w:t>European Commission v Republic of Cyprus</w:t>
      </w:r>
      <w:r w:rsidR="00D73FFE">
        <w:t xml:space="preserve"> (C-515/14) EU:C:</w:t>
      </w:r>
      <w:r w:rsidR="006C25B3">
        <w:t>2016:30</w:t>
      </w:r>
      <w:r w:rsidR="00D73FFE">
        <w:t xml:space="preserve"> at [54]</w:t>
      </w:r>
      <w:r w:rsidR="006C25B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4235EF"/>
    <w:multiLevelType w:val="multilevel"/>
    <w:tmpl w:val="B1E8C6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A0F450B"/>
    <w:multiLevelType w:val="hybridMultilevel"/>
    <w:tmpl w:val="0EB45180"/>
    <w:numStyleLink w:val="Puce"/>
  </w:abstractNum>
  <w:abstractNum w:abstractNumId="3" w15:restartNumberingAfterBreak="0">
    <w:nsid w:val="30AF5DCF"/>
    <w:multiLevelType w:val="hybridMultilevel"/>
    <w:tmpl w:val="BA024D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D82CBE"/>
    <w:multiLevelType w:val="hybridMultilevel"/>
    <w:tmpl w:val="56A0D12E"/>
    <w:lvl w:ilvl="0" w:tplc="AB64C300">
      <w:start w:val="1"/>
      <w:numFmt w:val="upperRoman"/>
      <w:lvlText w:val="%1."/>
      <w:lvlJc w:val="left"/>
      <w:pPr>
        <w:ind w:left="1080" w:hanging="720"/>
      </w:pPr>
      <w:rPr>
        <w:rFonts w:eastAsia="Arial Unicode MS" w:cs="Arial Unicode M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2921E3A"/>
    <w:multiLevelType w:val="hybridMultilevel"/>
    <w:tmpl w:val="B3902B1A"/>
    <w:lvl w:ilvl="0" w:tplc="88FEDB96">
      <w:start w:val="1"/>
      <w:numFmt w:val="upperRoman"/>
      <w:lvlText w:val="%1."/>
      <w:lvlJc w:val="left"/>
      <w:pPr>
        <w:ind w:left="1080" w:hanging="720"/>
      </w:pPr>
      <w:rPr>
        <w:rFonts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3F56A29"/>
    <w:multiLevelType w:val="multilevel"/>
    <w:tmpl w:val="E9EA7C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8C6415"/>
    <w:multiLevelType w:val="multilevel"/>
    <w:tmpl w:val="8C923E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F166CD"/>
    <w:multiLevelType w:val="hybridMultilevel"/>
    <w:tmpl w:val="0EB45180"/>
    <w:styleLink w:val="Puce"/>
    <w:lvl w:ilvl="0" w:tplc="FC1A01D6">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 w:ilvl="1" w:tplc="D806F4E0">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DA4AF87E">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BEBA67F6">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AA6456AA">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12DCFA68">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F8741372">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828827C8">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8244D374">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8"/>
  </w:num>
  <w:num w:numId="2">
    <w:abstractNumId w:val="2"/>
  </w:num>
  <w:num w:numId="3">
    <w:abstractNumId w:val="2"/>
    <w:lvlOverride w:ilvl="0">
      <w:lvl w:ilvl="0" w:tplc="416C239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83A216C">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4C0D714">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C5E465C">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C06C83D0">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4B3A4FEA">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587E35FA">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E5AC660">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FB64B102">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num>
  <w:num w:numId="5">
    <w:abstractNumId w:val="7"/>
  </w:num>
  <w:num w:numId="6">
    <w:abstractNumId w:val="4"/>
  </w:num>
  <w:num w:numId="7">
    <w:abstractNumId w:val="3"/>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hideSpellingErrors/>
  <w:hideGrammaticalErrors/>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D27"/>
    <w:rsid w:val="000011A5"/>
    <w:rsid w:val="00001922"/>
    <w:rsid w:val="0000544B"/>
    <w:rsid w:val="00006D09"/>
    <w:rsid w:val="00007657"/>
    <w:rsid w:val="00011E0A"/>
    <w:rsid w:val="00012B1B"/>
    <w:rsid w:val="00014F21"/>
    <w:rsid w:val="00015AA1"/>
    <w:rsid w:val="00021A9E"/>
    <w:rsid w:val="0002245B"/>
    <w:rsid w:val="00023A92"/>
    <w:rsid w:val="00024A92"/>
    <w:rsid w:val="00024FF0"/>
    <w:rsid w:val="00025083"/>
    <w:rsid w:val="00026FF4"/>
    <w:rsid w:val="00027CB6"/>
    <w:rsid w:val="000316AF"/>
    <w:rsid w:val="000347CB"/>
    <w:rsid w:val="000367D6"/>
    <w:rsid w:val="00040A7F"/>
    <w:rsid w:val="000416FF"/>
    <w:rsid w:val="00041F3D"/>
    <w:rsid w:val="00043D6F"/>
    <w:rsid w:val="000455AF"/>
    <w:rsid w:val="00047222"/>
    <w:rsid w:val="00050C1A"/>
    <w:rsid w:val="00051B15"/>
    <w:rsid w:val="000546A8"/>
    <w:rsid w:val="00055258"/>
    <w:rsid w:val="00056399"/>
    <w:rsid w:val="0005660E"/>
    <w:rsid w:val="00057ABE"/>
    <w:rsid w:val="00060E4B"/>
    <w:rsid w:val="00060F9E"/>
    <w:rsid w:val="00061DF8"/>
    <w:rsid w:val="00062D5F"/>
    <w:rsid w:val="00063E83"/>
    <w:rsid w:val="00064A85"/>
    <w:rsid w:val="00066C2C"/>
    <w:rsid w:val="000700C8"/>
    <w:rsid w:val="00072EFC"/>
    <w:rsid w:val="000741E0"/>
    <w:rsid w:val="00076426"/>
    <w:rsid w:val="000769C7"/>
    <w:rsid w:val="00077DA2"/>
    <w:rsid w:val="0008072F"/>
    <w:rsid w:val="00082AA9"/>
    <w:rsid w:val="00082B43"/>
    <w:rsid w:val="0008615A"/>
    <w:rsid w:val="00086EE0"/>
    <w:rsid w:val="00090B6B"/>
    <w:rsid w:val="00091E23"/>
    <w:rsid w:val="000920ED"/>
    <w:rsid w:val="00095D84"/>
    <w:rsid w:val="00096705"/>
    <w:rsid w:val="000967BD"/>
    <w:rsid w:val="000972A6"/>
    <w:rsid w:val="000A14B6"/>
    <w:rsid w:val="000A40FE"/>
    <w:rsid w:val="000B0ADE"/>
    <w:rsid w:val="000B1F7F"/>
    <w:rsid w:val="000B3FD0"/>
    <w:rsid w:val="000B4A31"/>
    <w:rsid w:val="000B4A51"/>
    <w:rsid w:val="000B686D"/>
    <w:rsid w:val="000C084D"/>
    <w:rsid w:val="000C62A7"/>
    <w:rsid w:val="000C766D"/>
    <w:rsid w:val="000D02E0"/>
    <w:rsid w:val="000D110D"/>
    <w:rsid w:val="000D1501"/>
    <w:rsid w:val="000D29F1"/>
    <w:rsid w:val="000D4BED"/>
    <w:rsid w:val="000D5054"/>
    <w:rsid w:val="000E1E24"/>
    <w:rsid w:val="000E6E1D"/>
    <w:rsid w:val="000E7F94"/>
    <w:rsid w:val="000F0F2A"/>
    <w:rsid w:val="000F1B1B"/>
    <w:rsid w:val="000F2D28"/>
    <w:rsid w:val="000F7DD0"/>
    <w:rsid w:val="001000CE"/>
    <w:rsid w:val="00100279"/>
    <w:rsid w:val="001028DB"/>
    <w:rsid w:val="00107FC2"/>
    <w:rsid w:val="00111E97"/>
    <w:rsid w:val="00112B67"/>
    <w:rsid w:val="00114D27"/>
    <w:rsid w:val="00115CE6"/>
    <w:rsid w:val="00116AE0"/>
    <w:rsid w:val="00116D2F"/>
    <w:rsid w:val="00120B65"/>
    <w:rsid w:val="00120E87"/>
    <w:rsid w:val="0012370E"/>
    <w:rsid w:val="00123CA5"/>
    <w:rsid w:val="00126CF6"/>
    <w:rsid w:val="001305D1"/>
    <w:rsid w:val="001305E1"/>
    <w:rsid w:val="00133056"/>
    <w:rsid w:val="00133826"/>
    <w:rsid w:val="00136DB3"/>
    <w:rsid w:val="00140AA9"/>
    <w:rsid w:val="00143883"/>
    <w:rsid w:val="001447A4"/>
    <w:rsid w:val="0014522F"/>
    <w:rsid w:val="001460BC"/>
    <w:rsid w:val="0015154A"/>
    <w:rsid w:val="00152917"/>
    <w:rsid w:val="00152ECD"/>
    <w:rsid w:val="00154D27"/>
    <w:rsid w:val="00156C80"/>
    <w:rsid w:val="00157815"/>
    <w:rsid w:val="00162210"/>
    <w:rsid w:val="00162729"/>
    <w:rsid w:val="00162C81"/>
    <w:rsid w:val="001631CC"/>
    <w:rsid w:val="001635E6"/>
    <w:rsid w:val="0016465A"/>
    <w:rsid w:val="00164EFB"/>
    <w:rsid w:val="00165ADF"/>
    <w:rsid w:val="00165E37"/>
    <w:rsid w:val="00171F8F"/>
    <w:rsid w:val="0017677E"/>
    <w:rsid w:val="00180849"/>
    <w:rsid w:val="0018243A"/>
    <w:rsid w:val="00185C22"/>
    <w:rsid w:val="00187590"/>
    <w:rsid w:val="0018793E"/>
    <w:rsid w:val="00190590"/>
    <w:rsid w:val="00190B71"/>
    <w:rsid w:val="001947C2"/>
    <w:rsid w:val="001965F6"/>
    <w:rsid w:val="001A0BEA"/>
    <w:rsid w:val="001A0EA7"/>
    <w:rsid w:val="001A1776"/>
    <w:rsid w:val="001A4DFA"/>
    <w:rsid w:val="001A5FCC"/>
    <w:rsid w:val="001A6F51"/>
    <w:rsid w:val="001A70AC"/>
    <w:rsid w:val="001B341F"/>
    <w:rsid w:val="001B3B90"/>
    <w:rsid w:val="001B4490"/>
    <w:rsid w:val="001B57D8"/>
    <w:rsid w:val="001B7664"/>
    <w:rsid w:val="001B7FB3"/>
    <w:rsid w:val="001C098B"/>
    <w:rsid w:val="001C18D9"/>
    <w:rsid w:val="001C2660"/>
    <w:rsid w:val="001C2DA7"/>
    <w:rsid w:val="001C3B8A"/>
    <w:rsid w:val="001C6AAE"/>
    <w:rsid w:val="001C6E92"/>
    <w:rsid w:val="001C6FF7"/>
    <w:rsid w:val="001C70AD"/>
    <w:rsid w:val="001D0863"/>
    <w:rsid w:val="001D0907"/>
    <w:rsid w:val="001D113E"/>
    <w:rsid w:val="001D30BE"/>
    <w:rsid w:val="001D30C5"/>
    <w:rsid w:val="001D3D94"/>
    <w:rsid w:val="001D4AAA"/>
    <w:rsid w:val="001D566E"/>
    <w:rsid w:val="001E1C67"/>
    <w:rsid w:val="001E3DF6"/>
    <w:rsid w:val="001E4EBE"/>
    <w:rsid w:val="001E5F1C"/>
    <w:rsid w:val="001E7747"/>
    <w:rsid w:val="001F1783"/>
    <w:rsid w:val="001F4778"/>
    <w:rsid w:val="001F5C98"/>
    <w:rsid w:val="001F5CED"/>
    <w:rsid w:val="002043D8"/>
    <w:rsid w:val="002048E6"/>
    <w:rsid w:val="002067B6"/>
    <w:rsid w:val="00207A0E"/>
    <w:rsid w:val="00212C4D"/>
    <w:rsid w:val="00213890"/>
    <w:rsid w:val="00213E15"/>
    <w:rsid w:val="00214D61"/>
    <w:rsid w:val="00220B10"/>
    <w:rsid w:val="00222F63"/>
    <w:rsid w:val="00224343"/>
    <w:rsid w:val="00226A88"/>
    <w:rsid w:val="00227070"/>
    <w:rsid w:val="00227884"/>
    <w:rsid w:val="00230522"/>
    <w:rsid w:val="002347B0"/>
    <w:rsid w:val="00237B13"/>
    <w:rsid w:val="002409A8"/>
    <w:rsid w:val="0024129B"/>
    <w:rsid w:val="00247E54"/>
    <w:rsid w:val="002540C3"/>
    <w:rsid w:val="00254AB8"/>
    <w:rsid w:val="002551FB"/>
    <w:rsid w:val="002573CC"/>
    <w:rsid w:val="00260783"/>
    <w:rsid w:val="0026088A"/>
    <w:rsid w:val="00261540"/>
    <w:rsid w:val="0026424E"/>
    <w:rsid w:val="00264937"/>
    <w:rsid w:val="002658CF"/>
    <w:rsid w:val="002666D4"/>
    <w:rsid w:val="00270014"/>
    <w:rsid w:val="0027281F"/>
    <w:rsid w:val="00272996"/>
    <w:rsid w:val="00276D87"/>
    <w:rsid w:val="00277AE9"/>
    <w:rsid w:val="00277C36"/>
    <w:rsid w:val="00280426"/>
    <w:rsid w:val="002804A5"/>
    <w:rsid w:val="00285183"/>
    <w:rsid w:val="00287BBE"/>
    <w:rsid w:val="00290BD7"/>
    <w:rsid w:val="00296E79"/>
    <w:rsid w:val="00297884"/>
    <w:rsid w:val="00297C2E"/>
    <w:rsid w:val="00297D09"/>
    <w:rsid w:val="002A030C"/>
    <w:rsid w:val="002A12C2"/>
    <w:rsid w:val="002A18AF"/>
    <w:rsid w:val="002A1DA6"/>
    <w:rsid w:val="002A2FB8"/>
    <w:rsid w:val="002A5BE2"/>
    <w:rsid w:val="002A5D99"/>
    <w:rsid w:val="002A65CD"/>
    <w:rsid w:val="002A68DB"/>
    <w:rsid w:val="002B04E4"/>
    <w:rsid w:val="002B4D4B"/>
    <w:rsid w:val="002B613D"/>
    <w:rsid w:val="002B6715"/>
    <w:rsid w:val="002C0CBE"/>
    <w:rsid w:val="002C5F92"/>
    <w:rsid w:val="002D1090"/>
    <w:rsid w:val="002D2E35"/>
    <w:rsid w:val="002D50B6"/>
    <w:rsid w:val="002D60CC"/>
    <w:rsid w:val="002E18E1"/>
    <w:rsid w:val="002E2698"/>
    <w:rsid w:val="002E4AC3"/>
    <w:rsid w:val="002E5C40"/>
    <w:rsid w:val="002F0CFE"/>
    <w:rsid w:val="002F4422"/>
    <w:rsid w:val="002F47E8"/>
    <w:rsid w:val="002F7F41"/>
    <w:rsid w:val="00300DAC"/>
    <w:rsid w:val="00301797"/>
    <w:rsid w:val="00301F4E"/>
    <w:rsid w:val="003067DE"/>
    <w:rsid w:val="00306C6E"/>
    <w:rsid w:val="003104CC"/>
    <w:rsid w:val="00310BED"/>
    <w:rsid w:val="0031478E"/>
    <w:rsid w:val="00316F02"/>
    <w:rsid w:val="003173B2"/>
    <w:rsid w:val="0032194D"/>
    <w:rsid w:val="0032390B"/>
    <w:rsid w:val="00324887"/>
    <w:rsid w:val="00331DF1"/>
    <w:rsid w:val="00332B61"/>
    <w:rsid w:val="0033366D"/>
    <w:rsid w:val="00333B18"/>
    <w:rsid w:val="003351F4"/>
    <w:rsid w:val="00335F87"/>
    <w:rsid w:val="0033781A"/>
    <w:rsid w:val="00342D7C"/>
    <w:rsid w:val="00343525"/>
    <w:rsid w:val="0034413B"/>
    <w:rsid w:val="00346B7E"/>
    <w:rsid w:val="00346BC5"/>
    <w:rsid w:val="003474C9"/>
    <w:rsid w:val="00347C08"/>
    <w:rsid w:val="00352EB6"/>
    <w:rsid w:val="00354557"/>
    <w:rsid w:val="0035558F"/>
    <w:rsid w:val="00357ABA"/>
    <w:rsid w:val="00363060"/>
    <w:rsid w:val="00363B58"/>
    <w:rsid w:val="00363CA1"/>
    <w:rsid w:val="0036436F"/>
    <w:rsid w:val="003669A0"/>
    <w:rsid w:val="00367D93"/>
    <w:rsid w:val="00370514"/>
    <w:rsid w:val="00370D40"/>
    <w:rsid w:val="0037135A"/>
    <w:rsid w:val="003714C5"/>
    <w:rsid w:val="00383336"/>
    <w:rsid w:val="00383955"/>
    <w:rsid w:val="0038403A"/>
    <w:rsid w:val="00386508"/>
    <w:rsid w:val="00390A57"/>
    <w:rsid w:val="0039241F"/>
    <w:rsid w:val="00392D3D"/>
    <w:rsid w:val="00393350"/>
    <w:rsid w:val="003947B9"/>
    <w:rsid w:val="0039497A"/>
    <w:rsid w:val="00397FAC"/>
    <w:rsid w:val="003A277E"/>
    <w:rsid w:val="003A327B"/>
    <w:rsid w:val="003A5DFF"/>
    <w:rsid w:val="003B129A"/>
    <w:rsid w:val="003B6124"/>
    <w:rsid w:val="003B6EA2"/>
    <w:rsid w:val="003C01A7"/>
    <w:rsid w:val="003C0FDB"/>
    <w:rsid w:val="003C1FAD"/>
    <w:rsid w:val="003C3117"/>
    <w:rsid w:val="003C32A1"/>
    <w:rsid w:val="003C3A7D"/>
    <w:rsid w:val="003C60E0"/>
    <w:rsid w:val="003C64D4"/>
    <w:rsid w:val="003C6D7D"/>
    <w:rsid w:val="003C79BA"/>
    <w:rsid w:val="003D05F4"/>
    <w:rsid w:val="003D269F"/>
    <w:rsid w:val="003D5A10"/>
    <w:rsid w:val="003D5F1D"/>
    <w:rsid w:val="003E0642"/>
    <w:rsid w:val="003E0B99"/>
    <w:rsid w:val="003E4170"/>
    <w:rsid w:val="003E44F9"/>
    <w:rsid w:val="003E6E4A"/>
    <w:rsid w:val="003E754E"/>
    <w:rsid w:val="003F00E4"/>
    <w:rsid w:val="003F3731"/>
    <w:rsid w:val="003F38D4"/>
    <w:rsid w:val="003F5905"/>
    <w:rsid w:val="003F5974"/>
    <w:rsid w:val="003F7836"/>
    <w:rsid w:val="00400ABD"/>
    <w:rsid w:val="00402FDE"/>
    <w:rsid w:val="004043C4"/>
    <w:rsid w:val="004114EB"/>
    <w:rsid w:val="00412824"/>
    <w:rsid w:val="004143FA"/>
    <w:rsid w:val="004154F8"/>
    <w:rsid w:val="0041561C"/>
    <w:rsid w:val="004169B4"/>
    <w:rsid w:val="00426190"/>
    <w:rsid w:val="00427218"/>
    <w:rsid w:val="004275CD"/>
    <w:rsid w:val="00430F6F"/>
    <w:rsid w:val="00434C89"/>
    <w:rsid w:val="004406BF"/>
    <w:rsid w:val="00440A9D"/>
    <w:rsid w:val="0044104F"/>
    <w:rsid w:val="00442644"/>
    <w:rsid w:val="004437A0"/>
    <w:rsid w:val="00443911"/>
    <w:rsid w:val="00445982"/>
    <w:rsid w:val="00446055"/>
    <w:rsid w:val="00446B7A"/>
    <w:rsid w:val="00447792"/>
    <w:rsid w:val="004517A1"/>
    <w:rsid w:val="00462B55"/>
    <w:rsid w:val="00464EF2"/>
    <w:rsid w:val="00473879"/>
    <w:rsid w:val="00475A9C"/>
    <w:rsid w:val="00485105"/>
    <w:rsid w:val="00485975"/>
    <w:rsid w:val="00486856"/>
    <w:rsid w:val="00487B0A"/>
    <w:rsid w:val="00493958"/>
    <w:rsid w:val="00494E52"/>
    <w:rsid w:val="004955DC"/>
    <w:rsid w:val="004961ED"/>
    <w:rsid w:val="004A066B"/>
    <w:rsid w:val="004A34C4"/>
    <w:rsid w:val="004A6B15"/>
    <w:rsid w:val="004A7104"/>
    <w:rsid w:val="004A7683"/>
    <w:rsid w:val="004B324D"/>
    <w:rsid w:val="004B451D"/>
    <w:rsid w:val="004B57AE"/>
    <w:rsid w:val="004B61E0"/>
    <w:rsid w:val="004C2D57"/>
    <w:rsid w:val="004C4124"/>
    <w:rsid w:val="004C4A34"/>
    <w:rsid w:val="004C5745"/>
    <w:rsid w:val="004E269D"/>
    <w:rsid w:val="004E4955"/>
    <w:rsid w:val="004E4E12"/>
    <w:rsid w:val="004E5E48"/>
    <w:rsid w:val="004F0471"/>
    <w:rsid w:val="004F3301"/>
    <w:rsid w:val="004F3A34"/>
    <w:rsid w:val="004F3DB9"/>
    <w:rsid w:val="004F7160"/>
    <w:rsid w:val="004F74A9"/>
    <w:rsid w:val="00501BAC"/>
    <w:rsid w:val="00507291"/>
    <w:rsid w:val="00507385"/>
    <w:rsid w:val="005106D0"/>
    <w:rsid w:val="00511EB4"/>
    <w:rsid w:val="00512B27"/>
    <w:rsid w:val="00513336"/>
    <w:rsid w:val="005135DC"/>
    <w:rsid w:val="005136D6"/>
    <w:rsid w:val="00515291"/>
    <w:rsid w:val="005159B2"/>
    <w:rsid w:val="00516981"/>
    <w:rsid w:val="00516CD1"/>
    <w:rsid w:val="005208B6"/>
    <w:rsid w:val="00521287"/>
    <w:rsid w:val="00525073"/>
    <w:rsid w:val="0052638E"/>
    <w:rsid w:val="00531F7C"/>
    <w:rsid w:val="00532B9A"/>
    <w:rsid w:val="005339B8"/>
    <w:rsid w:val="00533ED2"/>
    <w:rsid w:val="005361B0"/>
    <w:rsid w:val="00541A62"/>
    <w:rsid w:val="005425C9"/>
    <w:rsid w:val="00542D56"/>
    <w:rsid w:val="005436BD"/>
    <w:rsid w:val="00544ACB"/>
    <w:rsid w:val="00546FA6"/>
    <w:rsid w:val="0054738E"/>
    <w:rsid w:val="00550B2C"/>
    <w:rsid w:val="00551477"/>
    <w:rsid w:val="00557B14"/>
    <w:rsid w:val="00560799"/>
    <w:rsid w:val="0056297D"/>
    <w:rsid w:val="00565408"/>
    <w:rsid w:val="00566A53"/>
    <w:rsid w:val="00566B21"/>
    <w:rsid w:val="005704F5"/>
    <w:rsid w:val="005728CE"/>
    <w:rsid w:val="0057460D"/>
    <w:rsid w:val="00576124"/>
    <w:rsid w:val="0057658A"/>
    <w:rsid w:val="005776C9"/>
    <w:rsid w:val="005805FC"/>
    <w:rsid w:val="00581153"/>
    <w:rsid w:val="005827BA"/>
    <w:rsid w:val="00584388"/>
    <w:rsid w:val="00584B59"/>
    <w:rsid w:val="00593309"/>
    <w:rsid w:val="00594FB1"/>
    <w:rsid w:val="00595D35"/>
    <w:rsid w:val="005A2582"/>
    <w:rsid w:val="005A2E1C"/>
    <w:rsid w:val="005A5588"/>
    <w:rsid w:val="005B0E5A"/>
    <w:rsid w:val="005B2BB1"/>
    <w:rsid w:val="005B2FD2"/>
    <w:rsid w:val="005B3B0C"/>
    <w:rsid w:val="005B657D"/>
    <w:rsid w:val="005B73E8"/>
    <w:rsid w:val="005B7E78"/>
    <w:rsid w:val="005C23C4"/>
    <w:rsid w:val="005C2F14"/>
    <w:rsid w:val="005C338E"/>
    <w:rsid w:val="005C4A32"/>
    <w:rsid w:val="005D0421"/>
    <w:rsid w:val="005D0768"/>
    <w:rsid w:val="005D0F86"/>
    <w:rsid w:val="005D1D6E"/>
    <w:rsid w:val="005D2091"/>
    <w:rsid w:val="005D4049"/>
    <w:rsid w:val="005D43AF"/>
    <w:rsid w:val="005E5F08"/>
    <w:rsid w:val="005E7434"/>
    <w:rsid w:val="005E77D9"/>
    <w:rsid w:val="005F0A80"/>
    <w:rsid w:val="005F178C"/>
    <w:rsid w:val="005F2ADD"/>
    <w:rsid w:val="005F3C06"/>
    <w:rsid w:val="005F412C"/>
    <w:rsid w:val="005F5779"/>
    <w:rsid w:val="005F585D"/>
    <w:rsid w:val="005F5B77"/>
    <w:rsid w:val="006040F2"/>
    <w:rsid w:val="006046D0"/>
    <w:rsid w:val="0060476B"/>
    <w:rsid w:val="0060483A"/>
    <w:rsid w:val="006050CB"/>
    <w:rsid w:val="0060660F"/>
    <w:rsid w:val="00607E39"/>
    <w:rsid w:val="0061066C"/>
    <w:rsid w:val="00612CF8"/>
    <w:rsid w:val="006137C5"/>
    <w:rsid w:val="0061526F"/>
    <w:rsid w:val="00622C6D"/>
    <w:rsid w:val="006242CD"/>
    <w:rsid w:val="00627D53"/>
    <w:rsid w:val="00633AFA"/>
    <w:rsid w:val="00635A8A"/>
    <w:rsid w:val="00636484"/>
    <w:rsid w:val="006404D3"/>
    <w:rsid w:val="00641452"/>
    <w:rsid w:val="00641CC9"/>
    <w:rsid w:val="00643975"/>
    <w:rsid w:val="00646207"/>
    <w:rsid w:val="00647790"/>
    <w:rsid w:val="00653EEC"/>
    <w:rsid w:val="00655119"/>
    <w:rsid w:val="00656BA9"/>
    <w:rsid w:val="00657B03"/>
    <w:rsid w:val="00661E5A"/>
    <w:rsid w:val="00662A52"/>
    <w:rsid w:val="00664504"/>
    <w:rsid w:val="006646BE"/>
    <w:rsid w:val="006649B7"/>
    <w:rsid w:val="00665FB6"/>
    <w:rsid w:val="00670F4D"/>
    <w:rsid w:val="00674695"/>
    <w:rsid w:val="006758E6"/>
    <w:rsid w:val="006759B6"/>
    <w:rsid w:val="00676870"/>
    <w:rsid w:val="00676CE2"/>
    <w:rsid w:val="006801BB"/>
    <w:rsid w:val="00681D2C"/>
    <w:rsid w:val="0068253F"/>
    <w:rsid w:val="00682802"/>
    <w:rsid w:val="00686ABC"/>
    <w:rsid w:val="00686CE5"/>
    <w:rsid w:val="00687311"/>
    <w:rsid w:val="0069018D"/>
    <w:rsid w:val="00692F85"/>
    <w:rsid w:val="006937CE"/>
    <w:rsid w:val="00693C8F"/>
    <w:rsid w:val="00693D2D"/>
    <w:rsid w:val="00694EC2"/>
    <w:rsid w:val="006979A5"/>
    <w:rsid w:val="006A2221"/>
    <w:rsid w:val="006A276A"/>
    <w:rsid w:val="006A4123"/>
    <w:rsid w:val="006A7B0C"/>
    <w:rsid w:val="006B1054"/>
    <w:rsid w:val="006B18A9"/>
    <w:rsid w:val="006B3B74"/>
    <w:rsid w:val="006B5A4E"/>
    <w:rsid w:val="006B5D04"/>
    <w:rsid w:val="006B6F3F"/>
    <w:rsid w:val="006C065F"/>
    <w:rsid w:val="006C25B3"/>
    <w:rsid w:val="006C362B"/>
    <w:rsid w:val="006C5ED4"/>
    <w:rsid w:val="006D2680"/>
    <w:rsid w:val="006D284D"/>
    <w:rsid w:val="006D3EF4"/>
    <w:rsid w:val="006D44B1"/>
    <w:rsid w:val="006D6C42"/>
    <w:rsid w:val="006E5532"/>
    <w:rsid w:val="006E65F0"/>
    <w:rsid w:val="006E797B"/>
    <w:rsid w:val="006F0DD1"/>
    <w:rsid w:val="006F1795"/>
    <w:rsid w:val="006F2404"/>
    <w:rsid w:val="006F55B8"/>
    <w:rsid w:val="006F7D97"/>
    <w:rsid w:val="007010D4"/>
    <w:rsid w:val="007018CB"/>
    <w:rsid w:val="00713B11"/>
    <w:rsid w:val="00713E1C"/>
    <w:rsid w:val="00713EA1"/>
    <w:rsid w:val="007144D3"/>
    <w:rsid w:val="00715933"/>
    <w:rsid w:val="00715A01"/>
    <w:rsid w:val="00715C7A"/>
    <w:rsid w:val="00717B50"/>
    <w:rsid w:val="00717F5F"/>
    <w:rsid w:val="007237C5"/>
    <w:rsid w:val="007240CB"/>
    <w:rsid w:val="00725F67"/>
    <w:rsid w:val="007309C5"/>
    <w:rsid w:val="0073110D"/>
    <w:rsid w:val="00732302"/>
    <w:rsid w:val="0073235F"/>
    <w:rsid w:val="00733A3C"/>
    <w:rsid w:val="0073525E"/>
    <w:rsid w:val="007372A4"/>
    <w:rsid w:val="00737F19"/>
    <w:rsid w:val="00743533"/>
    <w:rsid w:val="00744156"/>
    <w:rsid w:val="00747520"/>
    <w:rsid w:val="0075085F"/>
    <w:rsid w:val="00751AC0"/>
    <w:rsid w:val="00752324"/>
    <w:rsid w:val="00754B4E"/>
    <w:rsid w:val="00757F67"/>
    <w:rsid w:val="00760C82"/>
    <w:rsid w:val="00763A19"/>
    <w:rsid w:val="007668FA"/>
    <w:rsid w:val="007720D9"/>
    <w:rsid w:val="00773BB9"/>
    <w:rsid w:val="00774235"/>
    <w:rsid w:val="00775044"/>
    <w:rsid w:val="00780881"/>
    <w:rsid w:val="007836BE"/>
    <w:rsid w:val="0078505E"/>
    <w:rsid w:val="007863EA"/>
    <w:rsid w:val="00791EE1"/>
    <w:rsid w:val="007A43A8"/>
    <w:rsid w:val="007A599A"/>
    <w:rsid w:val="007B04C8"/>
    <w:rsid w:val="007B15BA"/>
    <w:rsid w:val="007B6449"/>
    <w:rsid w:val="007B7BEC"/>
    <w:rsid w:val="007C0299"/>
    <w:rsid w:val="007C0C9F"/>
    <w:rsid w:val="007C1F50"/>
    <w:rsid w:val="007C24C0"/>
    <w:rsid w:val="007C5682"/>
    <w:rsid w:val="007C652C"/>
    <w:rsid w:val="007D3006"/>
    <w:rsid w:val="007D430A"/>
    <w:rsid w:val="007D4852"/>
    <w:rsid w:val="007D6D69"/>
    <w:rsid w:val="007D6DE2"/>
    <w:rsid w:val="007E2463"/>
    <w:rsid w:val="007E3114"/>
    <w:rsid w:val="007E60D0"/>
    <w:rsid w:val="007E71F7"/>
    <w:rsid w:val="007F410B"/>
    <w:rsid w:val="007F59EB"/>
    <w:rsid w:val="00800564"/>
    <w:rsid w:val="00801092"/>
    <w:rsid w:val="00801CB3"/>
    <w:rsid w:val="008023FD"/>
    <w:rsid w:val="0080334E"/>
    <w:rsid w:val="008079CB"/>
    <w:rsid w:val="00822A99"/>
    <w:rsid w:val="00823A99"/>
    <w:rsid w:val="00823AE5"/>
    <w:rsid w:val="00824EDC"/>
    <w:rsid w:val="00826649"/>
    <w:rsid w:val="0082753F"/>
    <w:rsid w:val="00832E47"/>
    <w:rsid w:val="008373F3"/>
    <w:rsid w:val="008403DE"/>
    <w:rsid w:val="008428BD"/>
    <w:rsid w:val="008434D2"/>
    <w:rsid w:val="00844F21"/>
    <w:rsid w:val="00847274"/>
    <w:rsid w:val="008476BB"/>
    <w:rsid w:val="008536C5"/>
    <w:rsid w:val="00856388"/>
    <w:rsid w:val="008568AF"/>
    <w:rsid w:val="00856FBE"/>
    <w:rsid w:val="00861A89"/>
    <w:rsid w:val="00863246"/>
    <w:rsid w:val="00863AE5"/>
    <w:rsid w:val="00867989"/>
    <w:rsid w:val="0087229A"/>
    <w:rsid w:val="00872494"/>
    <w:rsid w:val="00873580"/>
    <w:rsid w:val="008775B1"/>
    <w:rsid w:val="008776FC"/>
    <w:rsid w:val="0088136F"/>
    <w:rsid w:val="008813A6"/>
    <w:rsid w:val="00881E18"/>
    <w:rsid w:val="008845BF"/>
    <w:rsid w:val="00885F75"/>
    <w:rsid w:val="00893C05"/>
    <w:rsid w:val="00894BC3"/>
    <w:rsid w:val="00896D21"/>
    <w:rsid w:val="00897B0A"/>
    <w:rsid w:val="008A0BE1"/>
    <w:rsid w:val="008A1031"/>
    <w:rsid w:val="008A2A46"/>
    <w:rsid w:val="008B114C"/>
    <w:rsid w:val="008B12C9"/>
    <w:rsid w:val="008B1604"/>
    <w:rsid w:val="008B1B44"/>
    <w:rsid w:val="008B5DD2"/>
    <w:rsid w:val="008B6736"/>
    <w:rsid w:val="008B7BD8"/>
    <w:rsid w:val="008B7C2E"/>
    <w:rsid w:val="008C1D5A"/>
    <w:rsid w:val="008C4061"/>
    <w:rsid w:val="008C4FB1"/>
    <w:rsid w:val="008C50B4"/>
    <w:rsid w:val="008C5294"/>
    <w:rsid w:val="008D14B7"/>
    <w:rsid w:val="008D5310"/>
    <w:rsid w:val="008D5957"/>
    <w:rsid w:val="008D624A"/>
    <w:rsid w:val="008E1E5F"/>
    <w:rsid w:val="008E27CF"/>
    <w:rsid w:val="008E28B0"/>
    <w:rsid w:val="008E5131"/>
    <w:rsid w:val="008E5875"/>
    <w:rsid w:val="008E5975"/>
    <w:rsid w:val="008E6185"/>
    <w:rsid w:val="008E6E22"/>
    <w:rsid w:val="008E7D04"/>
    <w:rsid w:val="008F0220"/>
    <w:rsid w:val="008F0EEC"/>
    <w:rsid w:val="008F1338"/>
    <w:rsid w:val="008F14CE"/>
    <w:rsid w:val="008F24F8"/>
    <w:rsid w:val="008F5219"/>
    <w:rsid w:val="008F5373"/>
    <w:rsid w:val="00901286"/>
    <w:rsid w:val="00901643"/>
    <w:rsid w:val="009037C6"/>
    <w:rsid w:val="009039CF"/>
    <w:rsid w:val="0090587B"/>
    <w:rsid w:val="00914C76"/>
    <w:rsid w:val="00914D33"/>
    <w:rsid w:val="0091517A"/>
    <w:rsid w:val="0091564A"/>
    <w:rsid w:val="00920A0C"/>
    <w:rsid w:val="009232FD"/>
    <w:rsid w:val="009239F2"/>
    <w:rsid w:val="009269FD"/>
    <w:rsid w:val="0093077D"/>
    <w:rsid w:val="00931DD5"/>
    <w:rsid w:val="0093434D"/>
    <w:rsid w:val="009346AF"/>
    <w:rsid w:val="00935268"/>
    <w:rsid w:val="00935F35"/>
    <w:rsid w:val="00936325"/>
    <w:rsid w:val="00937841"/>
    <w:rsid w:val="00940AB7"/>
    <w:rsid w:val="00947252"/>
    <w:rsid w:val="0094740E"/>
    <w:rsid w:val="009505A8"/>
    <w:rsid w:val="00950791"/>
    <w:rsid w:val="00951A2F"/>
    <w:rsid w:val="00952357"/>
    <w:rsid w:val="009548C3"/>
    <w:rsid w:val="0095625B"/>
    <w:rsid w:val="00956B02"/>
    <w:rsid w:val="00960769"/>
    <w:rsid w:val="009640B4"/>
    <w:rsid w:val="009641E2"/>
    <w:rsid w:val="009647DD"/>
    <w:rsid w:val="009657CC"/>
    <w:rsid w:val="009677D9"/>
    <w:rsid w:val="00970873"/>
    <w:rsid w:val="00971EFC"/>
    <w:rsid w:val="00972265"/>
    <w:rsid w:val="00972628"/>
    <w:rsid w:val="00975053"/>
    <w:rsid w:val="00975865"/>
    <w:rsid w:val="00982E4E"/>
    <w:rsid w:val="00984253"/>
    <w:rsid w:val="00984D69"/>
    <w:rsid w:val="009856D1"/>
    <w:rsid w:val="00991518"/>
    <w:rsid w:val="009941AB"/>
    <w:rsid w:val="0099602F"/>
    <w:rsid w:val="009A4398"/>
    <w:rsid w:val="009A455D"/>
    <w:rsid w:val="009A60B4"/>
    <w:rsid w:val="009B2C7E"/>
    <w:rsid w:val="009B4D21"/>
    <w:rsid w:val="009B7EB3"/>
    <w:rsid w:val="009C1240"/>
    <w:rsid w:val="009C1538"/>
    <w:rsid w:val="009C1D2A"/>
    <w:rsid w:val="009C3456"/>
    <w:rsid w:val="009C3BE6"/>
    <w:rsid w:val="009C5520"/>
    <w:rsid w:val="009C5A45"/>
    <w:rsid w:val="009D198E"/>
    <w:rsid w:val="009D308A"/>
    <w:rsid w:val="009D342D"/>
    <w:rsid w:val="009D41CE"/>
    <w:rsid w:val="009D51B7"/>
    <w:rsid w:val="009D56BE"/>
    <w:rsid w:val="009D6BF0"/>
    <w:rsid w:val="009E0B2D"/>
    <w:rsid w:val="009E2583"/>
    <w:rsid w:val="009E3049"/>
    <w:rsid w:val="009E5E17"/>
    <w:rsid w:val="009F0A91"/>
    <w:rsid w:val="009F0B91"/>
    <w:rsid w:val="009F1D1F"/>
    <w:rsid w:val="009F2449"/>
    <w:rsid w:val="009F6AC1"/>
    <w:rsid w:val="00A008A0"/>
    <w:rsid w:val="00A01DB5"/>
    <w:rsid w:val="00A03D3D"/>
    <w:rsid w:val="00A04FA4"/>
    <w:rsid w:val="00A05313"/>
    <w:rsid w:val="00A0576F"/>
    <w:rsid w:val="00A07D99"/>
    <w:rsid w:val="00A1503B"/>
    <w:rsid w:val="00A15F67"/>
    <w:rsid w:val="00A17E42"/>
    <w:rsid w:val="00A219DD"/>
    <w:rsid w:val="00A2625D"/>
    <w:rsid w:val="00A26F78"/>
    <w:rsid w:val="00A27287"/>
    <w:rsid w:val="00A3091F"/>
    <w:rsid w:val="00A31244"/>
    <w:rsid w:val="00A31EED"/>
    <w:rsid w:val="00A40CB5"/>
    <w:rsid w:val="00A438A8"/>
    <w:rsid w:val="00A43C9B"/>
    <w:rsid w:val="00A45044"/>
    <w:rsid w:val="00A46313"/>
    <w:rsid w:val="00A50B59"/>
    <w:rsid w:val="00A52250"/>
    <w:rsid w:val="00A5290E"/>
    <w:rsid w:val="00A54F57"/>
    <w:rsid w:val="00A565A1"/>
    <w:rsid w:val="00A56BA2"/>
    <w:rsid w:val="00A57926"/>
    <w:rsid w:val="00A665D2"/>
    <w:rsid w:val="00A728B6"/>
    <w:rsid w:val="00A72B6A"/>
    <w:rsid w:val="00A776DE"/>
    <w:rsid w:val="00A77CED"/>
    <w:rsid w:val="00A84052"/>
    <w:rsid w:val="00A86278"/>
    <w:rsid w:val="00A90FEC"/>
    <w:rsid w:val="00A94629"/>
    <w:rsid w:val="00A95479"/>
    <w:rsid w:val="00A9712D"/>
    <w:rsid w:val="00AA0191"/>
    <w:rsid w:val="00AA0AE1"/>
    <w:rsid w:val="00AA0D2C"/>
    <w:rsid w:val="00AA6DE1"/>
    <w:rsid w:val="00AA7BB4"/>
    <w:rsid w:val="00AB0C12"/>
    <w:rsid w:val="00AB243B"/>
    <w:rsid w:val="00AB3541"/>
    <w:rsid w:val="00AB3EA8"/>
    <w:rsid w:val="00AB7535"/>
    <w:rsid w:val="00AC3322"/>
    <w:rsid w:val="00AC4DE4"/>
    <w:rsid w:val="00AC7344"/>
    <w:rsid w:val="00AD0CB7"/>
    <w:rsid w:val="00AD5269"/>
    <w:rsid w:val="00AD7207"/>
    <w:rsid w:val="00AE0D90"/>
    <w:rsid w:val="00AE39F4"/>
    <w:rsid w:val="00AE47A4"/>
    <w:rsid w:val="00AE4947"/>
    <w:rsid w:val="00AE575C"/>
    <w:rsid w:val="00AF015D"/>
    <w:rsid w:val="00AF4274"/>
    <w:rsid w:val="00AF56FC"/>
    <w:rsid w:val="00AF64FE"/>
    <w:rsid w:val="00B01BF8"/>
    <w:rsid w:val="00B059ED"/>
    <w:rsid w:val="00B07162"/>
    <w:rsid w:val="00B11178"/>
    <w:rsid w:val="00B170A7"/>
    <w:rsid w:val="00B175D8"/>
    <w:rsid w:val="00B26191"/>
    <w:rsid w:val="00B27633"/>
    <w:rsid w:val="00B306BB"/>
    <w:rsid w:val="00B30C1E"/>
    <w:rsid w:val="00B33D5F"/>
    <w:rsid w:val="00B34B28"/>
    <w:rsid w:val="00B3692F"/>
    <w:rsid w:val="00B43BEC"/>
    <w:rsid w:val="00B4468B"/>
    <w:rsid w:val="00B46531"/>
    <w:rsid w:val="00B47253"/>
    <w:rsid w:val="00B53EA8"/>
    <w:rsid w:val="00B5697A"/>
    <w:rsid w:val="00B60DAD"/>
    <w:rsid w:val="00B61833"/>
    <w:rsid w:val="00B61DE8"/>
    <w:rsid w:val="00B7593B"/>
    <w:rsid w:val="00B7729C"/>
    <w:rsid w:val="00B773C4"/>
    <w:rsid w:val="00B80E7B"/>
    <w:rsid w:val="00B83B8A"/>
    <w:rsid w:val="00B86454"/>
    <w:rsid w:val="00B92ACC"/>
    <w:rsid w:val="00B94CDC"/>
    <w:rsid w:val="00B965E4"/>
    <w:rsid w:val="00BA0CA1"/>
    <w:rsid w:val="00BA104C"/>
    <w:rsid w:val="00BA43F4"/>
    <w:rsid w:val="00BB012A"/>
    <w:rsid w:val="00BB1217"/>
    <w:rsid w:val="00BB1A61"/>
    <w:rsid w:val="00BB2865"/>
    <w:rsid w:val="00BB42AB"/>
    <w:rsid w:val="00BB476B"/>
    <w:rsid w:val="00BC016A"/>
    <w:rsid w:val="00BC4C87"/>
    <w:rsid w:val="00BD3ADA"/>
    <w:rsid w:val="00BD4688"/>
    <w:rsid w:val="00BD470F"/>
    <w:rsid w:val="00BD5E58"/>
    <w:rsid w:val="00BD6826"/>
    <w:rsid w:val="00BD7CCE"/>
    <w:rsid w:val="00BE1769"/>
    <w:rsid w:val="00BE47D2"/>
    <w:rsid w:val="00BE52C4"/>
    <w:rsid w:val="00BE6099"/>
    <w:rsid w:val="00BE7EF8"/>
    <w:rsid w:val="00BF07C7"/>
    <w:rsid w:val="00BF2863"/>
    <w:rsid w:val="00BF4D4C"/>
    <w:rsid w:val="00BF621F"/>
    <w:rsid w:val="00C00F48"/>
    <w:rsid w:val="00C02CD7"/>
    <w:rsid w:val="00C034D7"/>
    <w:rsid w:val="00C07664"/>
    <w:rsid w:val="00C1001F"/>
    <w:rsid w:val="00C13BEF"/>
    <w:rsid w:val="00C14FD3"/>
    <w:rsid w:val="00C33E69"/>
    <w:rsid w:val="00C35995"/>
    <w:rsid w:val="00C36C00"/>
    <w:rsid w:val="00C42223"/>
    <w:rsid w:val="00C433AC"/>
    <w:rsid w:val="00C43451"/>
    <w:rsid w:val="00C4368A"/>
    <w:rsid w:val="00C44E2A"/>
    <w:rsid w:val="00C44F4E"/>
    <w:rsid w:val="00C46345"/>
    <w:rsid w:val="00C46D27"/>
    <w:rsid w:val="00C51EF1"/>
    <w:rsid w:val="00C538EA"/>
    <w:rsid w:val="00C55FAD"/>
    <w:rsid w:val="00C57068"/>
    <w:rsid w:val="00C602E4"/>
    <w:rsid w:val="00C60D85"/>
    <w:rsid w:val="00C61A8F"/>
    <w:rsid w:val="00C61E72"/>
    <w:rsid w:val="00C64D79"/>
    <w:rsid w:val="00C708C7"/>
    <w:rsid w:val="00C72489"/>
    <w:rsid w:val="00C72EEB"/>
    <w:rsid w:val="00C7357C"/>
    <w:rsid w:val="00C74023"/>
    <w:rsid w:val="00C74EA5"/>
    <w:rsid w:val="00C756A3"/>
    <w:rsid w:val="00C77FD3"/>
    <w:rsid w:val="00C82C6A"/>
    <w:rsid w:val="00C85AD7"/>
    <w:rsid w:val="00C864CC"/>
    <w:rsid w:val="00C87997"/>
    <w:rsid w:val="00C933C4"/>
    <w:rsid w:val="00C9508C"/>
    <w:rsid w:val="00C95154"/>
    <w:rsid w:val="00C954B5"/>
    <w:rsid w:val="00C955C9"/>
    <w:rsid w:val="00C971BE"/>
    <w:rsid w:val="00CA0E71"/>
    <w:rsid w:val="00CA3DB8"/>
    <w:rsid w:val="00CA40A0"/>
    <w:rsid w:val="00CA44BF"/>
    <w:rsid w:val="00CB04BC"/>
    <w:rsid w:val="00CB49B9"/>
    <w:rsid w:val="00CB49ED"/>
    <w:rsid w:val="00CB4D5A"/>
    <w:rsid w:val="00CB5EAC"/>
    <w:rsid w:val="00CB7ABD"/>
    <w:rsid w:val="00CC0BD3"/>
    <w:rsid w:val="00CC1D02"/>
    <w:rsid w:val="00CC2E82"/>
    <w:rsid w:val="00CC5B21"/>
    <w:rsid w:val="00CC6CAA"/>
    <w:rsid w:val="00CD0111"/>
    <w:rsid w:val="00CD2F86"/>
    <w:rsid w:val="00CD6334"/>
    <w:rsid w:val="00CD7705"/>
    <w:rsid w:val="00CE1795"/>
    <w:rsid w:val="00CE1F3F"/>
    <w:rsid w:val="00CE1F58"/>
    <w:rsid w:val="00CE25FF"/>
    <w:rsid w:val="00CE441E"/>
    <w:rsid w:val="00CE4434"/>
    <w:rsid w:val="00CE4447"/>
    <w:rsid w:val="00CE4665"/>
    <w:rsid w:val="00CE68F6"/>
    <w:rsid w:val="00CE7668"/>
    <w:rsid w:val="00CF0A17"/>
    <w:rsid w:val="00CF18F7"/>
    <w:rsid w:val="00CF1D52"/>
    <w:rsid w:val="00CF25D4"/>
    <w:rsid w:val="00CF4BD8"/>
    <w:rsid w:val="00CF6E4F"/>
    <w:rsid w:val="00CF752D"/>
    <w:rsid w:val="00D001D5"/>
    <w:rsid w:val="00D00979"/>
    <w:rsid w:val="00D02527"/>
    <w:rsid w:val="00D15376"/>
    <w:rsid w:val="00D21AD2"/>
    <w:rsid w:val="00D24056"/>
    <w:rsid w:val="00D240CD"/>
    <w:rsid w:val="00D24F53"/>
    <w:rsid w:val="00D30240"/>
    <w:rsid w:val="00D31011"/>
    <w:rsid w:val="00D3182B"/>
    <w:rsid w:val="00D326CA"/>
    <w:rsid w:val="00D33330"/>
    <w:rsid w:val="00D34299"/>
    <w:rsid w:val="00D412A5"/>
    <w:rsid w:val="00D423EA"/>
    <w:rsid w:val="00D437C0"/>
    <w:rsid w:val="00D440DE"/>
    <w:rsid w:val="00D4491E"/>
    <w:rsid w:val="00D44944"/>
    <w:rsid w:val="00D44950"/>
    <w:rsid w:val="00D50E24"/>
    <w:rsid w:val="00D5471F"/>
    <w:rsid w:val="00D54C6F"/>
    <w:rsid w:val="00D57A6B"/>
    <w:rsid w:val="00D622D7"/>
    <w:rsid w:val="00D63232"/>
    <w:rsid w:val="00D640D5"/>
    <w:rsid w:val="00D67652"/>
    <w:rsid w:val="00D71A01"/>
    <w:rsid w:val="00D73FFE"/>
    <w:rsid w:val="00D75F90"/>
    <w:rsid w:val="00D7623A"/>
    <w:rsid w:val="00D8472A"/>
    <w:rsid w:val="00D84C6B"/>
    <w:rsid w:val="00D918D0"/>
    <w:rsid w:val="00D93997"/>
    <w:rsid w:val="00D93D81"/>
    <w:rsid w:val="00D95B53"/>
    <w:rsid w:val="00DA4FE7"/>
    <w:rsid w:val="00DA5089"/>
    <w:rsid w:val="00DA5B19"/>
    <w:rsid w:val="00DA6A6E"/>
    <w:rsid w:val="00DA7835"/>
    <w:rsid w:val="00DC03F0"/>
    <w:rsid w:val="00DC1334"/>
    <w:rsid w:val="00DC740D"/>
    <w:rsid w:val="00DC747C"/>
    <w:rsid w:val="00DD565B"/>
    <w:rsid w:val="00DD6C36"/>
    <w:rsid w:val="00DE2784"/>
    <w:rsid w:val="00DE285F"/>
    <w:rsid w:val="00DE484C"/>
    <w:rsid w:val="00DE756A"/>
    <w:rsid w:val="00DF2F6A"/>
    <w:rsid w:val="00DF3BE7"/>
    <w:rsid w:val="00DF3CB6"/>
    <w:rsid w:val="00DF4233"/>
    <w:rsid w:val="00DF6927"/>
    <w:rsid w:val="00DF747D"/>
    <w:rsid w:val="00E00F9F"/>
    <w:rsid w:val="00E03A4A"/>
    <w:rsid w:val="00E03C3D"/>
    <w:rsid w:val="00E03DE7"/>
    <w:rsid w:val="00E048E2"/>
    <w:rsid w:val="00E07160"/>
    <w:rsid w:val="00E0747D"/>
    <w:rsid w:val="00E10CBC"/>
    <w:rsid w:val="00E11142"/>
    <w:rsid w:val="00E116F4"/>
    <w:rsid w:val="00E11880"/>
    <w:rsid w:val="00E1404F"/>
    <w:rsid w:val="00E17A18"/>
    <w:rsid w:val="00E17BE8"/>
    <w:rsid w:val="00E20544"/>
    <w:rsid w:val="00E23043"/>
    <w:rsid w:val="00E23C65"/>
    <w:rsid w:val="00E2464C"/>
    <w:rsid w:val="00E25295"/>
    <w:rsid w:val="00E30D87"/>
    <w:rsid w:val="00E31216"/>
    <w:rsid w:val="00E32C02"/>
    <w:rsid w:val="00E32DB5"/>
    <w:rsid w:val="00E32F44"/>
    <w:rsid w:val="00E33AE1"/>
    <w:rsid w:val="00E33DE7"/>
    <w:rsid w:val="00E3480D"/>
    <w:rsid w:val="00E35017"/>
    <w:rsid w:val="00E36E13"/>
    <w:rsid w:val="00E37EF0"/>
    <w:rsid w:val="00E41169"/>
    <w:rsid w:val="00E47517"/>
    <w:rsid w:val="00E502D0"/>
    <w:rsid w:val="00E528BE"/>
    <w:rsid w:val="00E5322D"/>
    <w:rsid w:val="00E5615E"/>
    <w:rsid w:val="00E573F3"/>
    <w:rsid w:val="00E576E1"/>
    <w:rsid w:val="00E60F57"/>
    <w:rsid w:val="00E612E8"/>
    <w:rsid w:val="00E61821"/>
    <w:rsid w:val="00E65328"/>
    <w:rsid w:val="00E673FB"/>
    <w:rsid w:val="00E70A22"/>
    <w:rsid w:val="00E727DC"/>
    <w:rsid w:val="00E73B5C"/>
    <w:rsid w:val="00E753B3"/>
    <w:rsid w:val="00E7549C"/>
    <w:rsid w:val="00E75599"/>
    <w:rsid w:val="00E76B6F"/>
    <w:rsid w:val="00E77587"/>
    <w:rsid w:val="00E80950"/>
    <w:rsid w:val="00E825A4"/>
    <w:rsid w:val="00E82954"/>
    <w:rsid w:val="00E82B01"/>
    <w:rsid w:val="00E85C3F"/>
    <w:rsid w:val="00E9089E"/>
    <w:rsid w:val="00E92A82"/>
    <w:rsid w:val="00E94888"/>
    <w:rsid w:val="00EA0685"/>
    <w:rsid w:val="00EA1CE7"/>
    <w:rsid w:val="00EA2A18"/>
    <w:rsid w:val="00EA2C61"/>
    <w:rsid w:val="00EA461F"/>
    <w:rsid w:val="00EA4E37"/>
    <w:rsid w:val="00EA5699"/>
    <w:rsid w:val="00EB0FA6"/>
    <w:rsid w:val="00EB3180"/>
    <w:rsid w:val="00EB3E95"/>
    <w:rsid w:val="00EB57B5"/>
    <w:rsid w:val="00EB6397"/>
    <w:rsid w:val="00EB6AAC"/>
    <w:rsid w:val="00EB6FD4"/>
    <w:rsid w:val="00EB7D98"/>
    <w:rsid w:val="00EC2653"/>
    <w:rsid w:val="00EC274C"/>
    <w:rsid w:val="00EC3528"/>
    <w:rsid w:val="00EC39D4"/>
    <w:rsid w:val="00EC4624"/>
    <w:rsid w:val="00EC4FBA"/>
    <w:rsid w:val="00EC6F0B"/>
    <w:rsid w:val="00EC77F7"/>
    <w:rsid w:val="00ED03B8"/>
    <w:rsid w:val="00ED112E"/>
    <w:rsid w:val="00ED1CF4"/>
    <w:rsid w:val="00ED3C89"/>
    <w:rsid w:val="00ED5513"/>
    <w:rsid w:val="00ED5717"/>
    <w:rsid w:val="00ED5EE9"/>
    <w:rsid w:val="00ED73B4"/>
    <w:rsid w:val="00EE0B77"/>
    <w:rsid w:val="00EE1BEA"/>
    <w:rsid w:val="00EE3471"/>
    <w:rsid w:val="00EE7AB4"/>
    <w:rsid w:val="00EF21CF"/>
    <w:rsid w:val="00EF23BA"/>
    <w:rsid w:val="00EF4250"/>
    <w:rsid w:val="00EF7814"/>
    <w:rsid w:val="00F0075C"/>
    <w:rsid w:val="00F0094C"/>
    <w:rsid w:val="00F01847"/>
    <w:rsid w:val="00F029CC"/>
    <w:rsid w:val="00F02A99"/>
    <w:rsid w:val="00F05C9A"/>
    <w:rsid w:val="00F05D2C"/>
    <w:rsid w:val="00F06B57"/>
    <w:rsid w:val="00F07D2C"/>
    <w:rsid w:val="00F07F9D"/>
    <w:rsid w:val="00F10EA2"/>
    <w:rsid w:val="00F12D11"/>
    <w:rsid w:val="00F1433F"/>
    <w:rsid w:val="00F17B0F"/>
    <w:rsid w:val="00F21F82"/>
    <w:rsid w:val="00F24976"/>
    <w:rsid w:val="00F345E9"/>
    <w:rsid w:val="00F358F7"/>
    <w:rsid w:val="00F41109"/>
    <w:rsid w:val="00F42377"/>
    <w:rsid w:val="00F43317"/>
    <w:rsid w:val="00F434EE"/>
    <w:rsid w:val="00F45063"/>
    <w:rsid w:val="00F45838"/>
    <w:rsid w:val="00F50502"/>
    <w:rsid w:val="00F505E6"/>
    <w:rsid w:val="00F50F3C"/>
    <w:rsid w:val="00F51D07"/>
    <w:rsid w:val="00F5524B"/>
    <w:rsid w:val="00F55832"/>
    <w:rsid w:val="00F55889"/>
    <w:rsid w:val="00F55DFA"/>
    <w:rsid w:val="00F562CF"/>
    <w:rsid w:val="00F65550"/>
    <w:rsid w:val="00F65F92"/>
    <w:rsid w:val="00F703AB"/>
    <w:rsid w:val="00F70823"/>
    <w:rsid w:val="00F71D08"/>
    <w:rsid w:val="00F724B2"/>
    <w:rsid w:val="00F730D6"/>
    <w:rsid w:val="00F7315E"/>
    <w:rsid w:val="00F73B16"/>
    <w:rsid w:val="00F75FB0"/>
    <w:rsid w:val="00F76543"/>
    <w:rsid w:val="00F80090"/>
    <w:rsid w:val="00F805C0"/>
    <w:rsid w:val="00F80ADB"/>
    <w:rsid w:val="00F80F47"/>
    <w:rsid w:val="00F84619"/>
    <w:rsid w:val="00F85D9B"/>
    <w:rsid w:val="00F95340"/>
    <w:rsid w:val="00F96C60"/>
    <w:rsid w:val="00F96D1B"/>
    <w:rsid w:val="00FA0967"/>
    <w:rsid w:val="00FA0EB7"/>
    <w:rsid w:val="00FA1168"/>
    <w:rsid w:val="00FA15DE"/>
    <w:rsid w:val="00FA33C7"/>
    <w:rsid w:val="00FB05B6"/>
    <w:rsid w:val="00FB0E95"/>
    <w:rsid w:val="00FB3C57"/>
    <w:rsid w:val="00FB566B"/>
    <w:rsid w:val="00FB62AC"/>
    <w:rsid w:val="00FB6695"/>
    <w:rsid w:val="00FC07A6"/>
    <w:rsid w:val="00FC2908"/>
    <w:rsid w:val="00FC30B8"/>
    <w:rsid w:val="00FC3ABB"/>
    <w:rsid w:val="00FC4E48"/>
    <w:rsid w:val="00FC79AF"/>
    <w:rsid w:val="00FC7CD1"/>
    <w:rsid w:val="00FD0A39"/>
    <w:rsid w:val="00FD1F74"/>
    <w:rsid w:val="00FD2A3A"/>
    <w:rsid w:val="00FD6071"/>
    <w:rsid w:val="00FD63AA"/>
    <w:rsid w:val="00FD64BA"/>
    <w:rsid w:val="00FD7D3F"/>
    <w:rsid w:val="00FE189A"/>
    <w:rsid w:val="00FE2249"/>
    <w:rsid w:val="00FE2DEE"/>
    <w:rsid w:val="00FE2F46"/>
    <w:rsid w:val="00FE59FB"/>
    <w:rsid w:val="00FF0939"/>
    <w:rsid w:val="00FF15AB"/>
    <w:rsid w:val="00FF4952"/>
    <w:rsid w:val="00FF5F47"/>
    <w:rsid w:val="00FF6AA0"/>
    <w:rsid w:val="00FF71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7262"/>
  <w15:docId w15:val="{5A04F7F2-6125-C342-913E-3AA2C2B5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BE"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0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next w:val="Corps"/>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OC1parent">
    <w:name w:val="TOC 1 parent"/>
    <w:pPr>
      <w:tabs>
        <w:tab w:val="right" w:pos="8928"/>
      </w:tabs>
      <w:spacing w:after="120"/>
    </w:pPr>
    <w:rPr>
      <w:rFonts w:ascii="Helvetica Neue" w:hAnsi="Helvetica Neue" w:cs="Arial Unicode MS"/>
      <w:color w:val="000000"/>
      <w:sz w:val="28"/>
      <w:szCs w:val="28"/>
      <w14:textOutline w14:w="0" w14:cap="flat" w14:cmpd="sng" w14:algn="ctr">
        <w14:noFill/>
        <w14:prstDash w14:val="solid"/>
        <w14:bevel/>
      </w14:textOutline>
    </w:rPr>
  </w:style>
  <w:style w:type="paragraph" w:styleId="TM1">
    <w:name w:val="toc 1"/>
    <w:basedOn w:val="TOC1parent"/>
    <w:next w:val="TOC1parent"/>
    <w:uiPriority w:val="39"/>
  </w:style>
  <w:style w:type="paragraph" w:styleId="Titre">
    <w:name w:val="Title"/>
    <w:next w:val="Corps"/>
    <w:uiPriority w:val="10"/>
    <w:qFormat/>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paragraph" w:styleId="TM2">
    <w:name w:val="toc 2"/>
    <w:uiPriority w:val="39"/>
    <w:pPr>
      <w:tabs>
        <w:tab w:val="right" w:pos="8928"/>
      </w:tabs>
      <w:spacing w:after="120"/>
    </w:pPr>
    <w:rPr>
      <w:rFonts w:ascii="Helvetica Neue" w:hAnsi="Helvetica Neue" w:cs="Arial Unicode MS"/>
      <w:color w:val="000000"/>
      <w:sz w:val="24"/>
      <w:szCs w:val="24"/>
      <w14:textOutline w14:w="0" w14:cap="flat" w14:cmpd="sng" w14:algn="ctr">
        <w14:noFill/>
        <w14:prstDash w14:val="solid"/>
        <w14:bevel/>
      </w14:textOutline>
    </w:rPr>
  </w:style>
  <w:style w:type="paragraph" w:styleId="TM3">
    <w:name w:val="toc 3"/>
    <w:uiPriority w:val="39"/>
    <w:pPr>
      <w:tabs>
        <w:tab w:val="right" w:pos="8928"/>
      </w:tabs>
      <w:spacing w:after="120"/>
    </w:pPr>
    <w:rPr>
      <w:rFonts w:ascii="Helvetica Neue" w:hAnsi="Helvetica Neue" w:cs="Arial Unicode MS"/>
      <w:color w:val="000000"/>
      <w:sz w:val="18"/>
      <w:szCs w:val="18"/>
      <w14:textOutline w14:w="0" w14:cap="flat" w14:cmpd="sng" w14:algn="ctr">
        <w14:noFill/>
        <w14:prstDash w14:val="solid"/>
        <w14:bevel/>
      </w14:textOutline>
    </w:rPr>
  </w:style>
  <w:style w:type="paragraph" w:customStyle="1" w:styleId="Titrerouge">
    <w:name w:val="Titre rouge"/>
    <w:next w:val="Corps"/>
    <w:pPr>
      <w:keepNext/>
      <w:outlineLvl w:val="2"/>
    </w:pPr>
    <w:rPr>
      <w:rFonts w:ascii="Helvetica Neue" w:hAnsi="Helvetica Neue" w:cs="Arial Unicode MS"/>
      <w:b/>
      <w:bCs/>
      <w:color w:val="EE220C"/>
      <w:sz w:val="32"/>
      <w:szCs w:val="32"/>
      <w14:textOutline w14:w="0" w14:cap="flat" w14:cmpd="sng" w14:algn="ctr">
        <w14:noFill/>
        <w14:prstDash w14:val="solid"/>
        <w14:bevel/>
      </w14:textOutline>
    </w:rPr>
  </w:style>
  <w:style w:type="paragraph" w:customStyle="1" w:styleId="Pardfaut">
    <w:name w:val="Par défau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Aucun">
    <w:name w:val="Aucun"/>
  </w:style>
  <w:style w:type="paragraph" w:customStyle="1" w:styleId="Notedepieddepage">
    <w:name w:val="Note de pied de pag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Aucun"/>
    <w:rPr>
      <w:outline w:val="0"/>
      <w:color w:val="0000EE"/>
      <w:u w:val="single"/>
      <w14:textOutline w14:w="0" w14:cap="flat" w14:cmpd="sng" w14:algn="ctr">
        <w14:solidFill>
          <w14:srgbClr w14:val="0000EE"/>
        </w14:solidFill>
        <w14:prstDash w14:val="solid"/>
        <w14:miter w14:lim="400000"/>
      </w14:textOutline>
    </w:rPr>
  </w:style>
  <w:style w:type="numbering" w:customStyle="1" w:styleId="Puce">
    <w:name w:val="Puce"/>
    <w:pPr>
      <w:numPr>
        <w:numId w:val="1"/>
      </w:numPr>
    </w:pPr>
  </w:style>
  <w:style w:type="paragraph" w:styleId="Commentaire">
    <w:name w:val="annotation text"/>
    <w:basedOn w:val="Normal"/>
    <w:link w:val="CommentaireCar"/>
    <w:uiPriority w:val="99"/>
    <w:unhideWhenUsed/>
    <w:pPr>
      <w:pBdr>
        <w:top w:val="nil"/>
        <w:left w:val="nil"/>
        <w:bottom w:val="nil"/>
        <w:right w:val="nil"/>
        <w:between w:val="nil"/>
        <w:bar w:val="nil"/>
      </w:pBdr>
    </w:pPr>
    <w:rPr>
      <w:rFonts w:eastAsia="Arial Unicode MS"/>
      <w:sz w:val="20"/>
      <w:szCs w:val="20"/>
      <w:bdr w:val="nil"/>
      <w:lang w:val="en-US" w:eastAsia="en-US"/>
    </w:rPr>
  </w:style>
  <w:style w:type="character" w:customStyle="1" w:styleId="CommentaireCar">
    <w:name w:val="Commentaire Car"/>
    <w:basedOn w:val="Policepardfaut"/>
    <w:link w:val="Commentaire"/>
    <w:uiPriority w:val="99"/>
    <w:rPr>
      <w:lang w:val="en-US" w:eastAsia="en-US"/>
    </w:rPr>
  </w:style>
  <w:style w:type="character" w:styleId="Marquedecommentaire">
    <w:name w:val="annotation reference"/>
    <w:basedOn w:val="Policepardfaut"/>
    <w:uiPriority w:val="99"/>
    <w:semiHidden/>
    <w:unhideWhenUsed/>
    <w:rPr>
      <w:sz w:val="16"/>
      <w:szCs w:val="16"/>
    </w:rPr>
  </w:style>
  <w:style w:type="paragraph" w:styleId="Notedebasdepage">
    <w:name w:val="footnote text"/>
    <w:basedOn w:val="Normal"/>
    <w:link w:val="NotedebasdepageCar"/>
    <w:uiPriority w:val="99"/>
    <w:unhideWhenUsed/>
    <w:rsid w:val="00260783"/>
    <w:pPr>
      <w:pBdr>
        <w:top w:val="nil"/>
        <w:left w:val="nil"/>
        <w:bottom w:val="nil"/>
        <w:right w:val="nil"/>
        <w:between w:val="nil"/>
        <w:bar w:val="nil"/>
      </w:pBdr>
    </w:pPr>
    <w:rPr>
      <w:rFonts w:eastAsia="Arial Unicode MS"/>
      <w:sz w:val="20"/>
      <w:szCs w:val="20"/>
      <w:bdr w:val="nil"/>
      <w:lang w:val="en-US" w:eastAsia="en-US"/>
    </w:rPr>
  </w:style>
  <w:style w:type="character" w:customStyle="1" w:styleId="NotedebasdepageCar">
    <w:name w:val="Note de bas de page Car"/>
    <w:basedOn w:val="Policepardfaut"/>
    <w:link w:val="Notedebasdepage"/>
    <w:uiPriority w:val="99"/>
    <w:rsid w:val="00260783"/>
    <w:rPr>
      <w:lang w:val="en-US" w:eastAsia="en-US"/>
    </w:rPr>
  </w:style>
  <w:style w:type="character" w:styleId="Appelnotedebasdep">
    <w:name w:val="footnote reference"/>
    <w:basedOn w:val="Policepardfaut"/>
    <w:uiPriority w:val="99"/>
    <w:semiHidden/>
    <w:unhideWhenUsed/>
    <w:rsid w:val="00260783"/>
    <w:rPr>
      <w:vertAlign w:val="superscript"/>
    </w:rPr>
  </w:style>
  <w:style w:type="paragraph" w:styleId="NormalWeb">
    <w:name w:val="Normal (Web)"/>
    <w:basedOn w:val="Normal"/>
    <w:uiPriority w:val="99"/>
    <w:unhideWhenUsed/>
    <w:rsid w:val="00260783"/>
    <w:pPr>
      <w:spacing w:before="100" w:beforeAutospacing="1" w:after="100" w:afterAutospacing="1"/>
    </w:pPr>
  </w:style>
  <w:style w:type="paragraph" w:styleId="Objetducommentaire">
    <w:name w:val="annotation subject"/>
    <w:basedOn w:val="Commentaire"/>
    <w:next w:val="Commentaire"/>
    <w:link w:val="ObjetducommentaireCar"/>
    <w:uiPriority w:val="99"/>
    <w:semiHidden/>
    <w:unhideWhenUsed/>
    <w:rsid w:val="00F703AB"/>
    <w:rPr>
      <w:b/>
      <w:bCs/>
    </w:rPr>
  </w:style>
  <w:style w:type="character" w:customStyle="1" w:styleId="ObjetducommentaireCar">
    <w:name w:val="Objet du commentaire Car"/>
    <w:basedOn w:val="CommentaireCar"/>
    <w:link w:val="Objetducommentaire"/>
    <w:uiPriority w:val="99"/>
    <w:semiHidden/>
    <w:rsid w:val="00F703AB"/>
    <w:rPr>
      <w:b/>
      <w:bCs/>
      <w:lang w:val="en-US" w:eastAsia="en-US"/>
    </w:rPr>
  </w:style>
  <w:style w:type="paragraph" w:styleId="Pieddepage">
    <w:name w:val="footer"/>
    <w:basedOn w:val="Normal"/>
    <w:link w:val="PieddepageCar"/>
    <w:uiPriority w:val="99"/>
    <w:unhideWhenUsed/>
    <w:rsid w:val="003067DE"/>
    <w:pPr>
      <w:pBdr>
        <w:top w:val="nil"/>
        <w:left w:val="nil"/>
        <w:bottom w:val="nil"/>
        <w:right w:val="nil"/>
        <w:between w:val="nil"/>
        <w:bar w:val="nil"/>
      </w:pBdr>
      <w:tabs>
        <w:tab w:val="center" w:pos="4536"/>
        <w:tab w:val="right" w:pos="9072"/>
      </w:tabs>
    </w:pPr>
    <w:rPr>
      <w:rFonts w:eastAsia="Arial Unicode MS"/>
      <w:bdr w:val="nil"/>
      <w:lang w:val="en-US" w:eastAsia="en-US"/>
    </w:rPr>
  </w:style>
  <w:style w:type="character" w:customStyle="1" w:styleId="PieddepageCar">
    <w:name w:val="Pied de page Car"/>
    <w:basedOn w:val="Policepardfaut"/>
    <w:link w:val="Pieddepage"/>
    <w:uiPriority w:val="99"/>
    <w:rsid w:val="003067DE"/>
    <w:rPr>
      <w:sz w:val="24"/>
      <w:szCs w:val="24"/>
      <w:lang w:val="en-US" w:eastAsia="en-US"/>
    </w:rPr>
  </w:style>
  <w:style w:type="paragraph" w:customStyle="1" w:styleId="c01pointnumerotealtn">
    <w:name w:val="c01pointnumerotealtn"/>
    <w:basedOn w:val="Normal"/>
    <w:rsid w:val="00751AC0"/>
    <w:pPr>
      <w:spacing w:before="100" w:beforeAutospacing="1" w:after="100" w:afterAutospacing="1"/>
    </w:pPr>
  </w:style>
  <w:style w:type="character" w:customStyle="1" w:styleId="apple-converted-space">
    <w:name w:val="apple-converted-space"/>
    <w:basedOn w:val="Policepardfaut"/>
    <w:rsid w:val="00751AC0"/>
  </w:style>
  <w:style w:type="paragraph" w:styleId="Rvision">
    <w:name w:val="Revision"/>
    <w:hidden/>
    <w:uiPriority w:val="99"/>
    <w:semiHidden/>
    <w:rsid w:val="00C433A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Mentionnonrsolue">
    <w:name w:val="Unresolved Mention"/>
    <w:basedOn w:val="Policepardfaut"/>
    <w:uiPriority w:val="99"/>
    <w:semiHidden/>
    <w:unhideWhenUsed/>
    <w:rsid w:val="005339B8"/>
    <w:rPr>
      <w:color w:val="605E5C"/>
      <w:shd w:val="clear" w:color="auto" w:fill="E1DFDD"/>
    </w:rPr>
  </w:style>
  <w:style w:type="character" w:styleId="Lienhypertextesuivivisit">
    <w:name w:val="FollowedHyperlink"/>
    <w:basedOn w:val="Policepardfaut"/>
    <w:uiPriority w:val="99"/>
    <w:semiHidden/>
    <w:unhideWhenUsed/>
    <w:rsid w:val="005339B8"/>
    <w:rPr>
      <w:color w:val="FF00FF" w:themeColor="followedHyperlink"/>
      <w:u w:val="single"/>
    </w:rPr>
  </w:style>
  <w:style w:type="paragraph" w:customStyle="1" w:styleId="c01pointaltn">
    <w:name w:val="c01pointaltn"/>
    <w:basedOn w:val="Normal"/>
    <w:rsid w:val="00CF6E4F"/>
    <w:pPr>
      <w:spacing w:before="100" w:beforeAutospacing="1" w:after="100" w:afterAutospacing="1"/>
    </w:pPr>
  </w:style>
  <w:style w:type="character" w:styleId="Textedelespacerserv">
    <w:name w:val="Placeholder Text"/>
    <w:basedOn w:val="Policepardfaut"/>
    <w:uiPriority w:val="99"/>
    <w:semiHidden/>
    <w:rsid w:val="00F96C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4740">
      <w:bodyDiv w:val="1"/>
      <w:marLeft w:val="0"/>
      <w:marRight w:val="0"/>
      <w:marTop w:val="0"/>
      <w:marBottom w:val="0"/>
      <w:divBdr>
        <w:top w:val="none" w:sz="0" w:space="0" w:color="auto"/>
        <w:left w:val="none" w:sz="0" w:space="0" w:color="auto"/>
        <w:bottom w:val="none" w:sz="0" w:space="0" w:color="auto"/>
        <w:right w:val="none" w:sz="0" w:space="0" w:color="auto"/>
      </w:divBdr>
    </w:div>
    <w:div w:id="260721769">
      <w:bodyDiv w:val="1"/>
      <w:marLeft w:val="0"/>
      <w:marRight w:val="0"/>
      <w:marTop w:val="0"/>
      <w:marBottom w:val="0"/>
      <w:divBdr>
        <w:top w:val="none" w:sz="0" w:space="0" w:color="auto"/>
        <w:left w:val="none" w:sz="0" w:space="0" w:color="auto"/>
        <w:bottom w:val="none" w:sz="0" w:space="0" w:color="auto"/>
        <w:right w:val="none" w:sz="0" w:space="0" w:color="auto"/>
      </w:divBdr>
    </w:div>
    <w:div w:id="381252606">
      <w:bodyDiv w:val="1"/>
      <w:marLeft w:val="0"/>
      <w:marRight w:val="0"/>
      <w:marTop w:val="0"/>
      <w:marBottom w:val="0"/>
      <w:divBdr>
        <w:top w:val="none" w:sz="0" w:space="0" w:color="auto"/>
        <w:left w:val="none" w:sz="0" w:space="0" w:color="auto"/>
        <w:bottom w:val="none" w:sz="0" w:space="0" w:color="auto"/>
        <w:right w:val="none" w:sz="0" w:space="0" w:color="auto"/>
      </w:divBdr>
      <w:divsChild>
        <w:div w:id="511995799">
          <w:marLeft w:val="0"/>
          <w:marRight w:val="0"/>
          <w:marTop w:val="0"/>
          <w:marBottom w:val="0"/>
          <w:divBdr>
            <w:top w:val="none" w:sz="0" w:space="0" w:color="auto"/>
            <w:left w:val="none" w:sz="0" w:space="0" w:color="auto"/>
            <w:bottom w:val="none" w:sz="0" w:space="0" w:color="auto"/>
            <w:right w:val="none" w:sz="0" w:space="0" w:color="auto"/>
          </w:divBdr>
          <w:divsChild>
            <w:div w:id="1811049724">
              <w:marLeft w:val="0"/>
              <w:marRight w:val="0"/>
              <w:marTop w:val="0"/>
              <w:marBottom w:val="0"/>
              <w:divBdr>
                <w:top w:val="none" w:sz="0" w:space="0" w:color="auto"/>
                <w:left w:val="none" w:sz="0" w:space="0" w:color="auto"/>
                <w:bottom w:val="none" w:sz="0" w:space="0" w:color="auto"/>
                <w:right w:val="none" w:sz="0" w:space="0" w:color="auto"/>
              </w:divBdr>
              <w:divsChild>
                <w:div w:id="1750881265">
                  <w:marLeft w:val="0"/>
                  <w:marRight w:val="0"/>
                  <w:marTop w:val="0"/>
                  <w:marBottom w:val="0"/>
                  <w:divBdr>
                    <w:top w:val="none" w:sz="0" w:space="0" w:color="auto"/>
                    <w:left w:val="none" w:sz="0" w:space="0" w:color="auto"/>
                    <w:bottom w:val="none" w:sz="0" w:space="0" w:color="auto"/>
                    <w:right w:val="none" w:sz="0" w:space="0" w:color="auto"/>
                  </w:divBdr>
                  <w:divsChild>
                    <w:div w:id="5456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152066">
      <w:bodyDiv w:val="1"/>
      <w:marLeft w:val="0"/>
      <w:marRight w:val="0"/>
      <w:marTop w:val="0"/>
      <w:marBottom w:val="0"/>
      <w:divBdr>
        <w:top w:val="none" w:sz="0" w:space="0" w:color="auto"/>
        <w:left w:val="none" w:sz="0" w:space="0" w:color="auto"/>
        <w:bottom w:val="none" w:sz="0" w:space="0" w:color="auto"/>
        <w:right w:val="none" w:sz="0" w:space="0" w:color="auto"/>
      </w:divBdr>
    </w:div>
    <w:div w:id="426116644">
      <w:bodyDiv w:val="1"/>
      <w:marLeft w:val="0"/>
      <w:marRight w:val="0"/>
      <w:marTop w:val="0"/>
      <w:marBottom w:val="0"/>
      <w:divBdr>
        <w:top w:val="none" w:sz="0" w:space="0" w:color="auto"/>
        <w:left w:val="none" w:sz="0" w:space="0" w:color="auto"/>
        <w:bottom w:val="none" w:sz="0" w:space="0" w:color="auto"/>
        <w:right w:val="none" w:sz="0" w:space="0" w:color="auto"/>
      </w:divBdr>
      <w:divsChild>
        <w:div w:id="1703019648">
          <w:marLeft w:val="0"/>
          <w:marRight w:val="0"/>
          <w:marTop w:val="0"/>
          <w:marBottom w:val="0"/>
          <w:divBdr>
            <w:top w:val="none" w:sz="0" w:space="0" w:color="auto"/>
            <w:left w:val="none" w:sz="0" w:space="0" w:color="auto"/>
            <w:bottom w:val="none" w:sz="0" w:space="0" w:color="auto"/>
            <w:right w:val="none" w:sz="0" w:space="0" w:color="auto"/>
          </w:divBdr>
          <w:divsChild>
            <w:div w:id="1865091325">
              <w:marLeft w:val="0"/>
              <w:marRight w:val="0"/>
              <w:marTop w:val="0"/>
              <w:marBottom w:val="0"/>
              <w:divBdr>
                <w:top w:val="none" w:sz="0" w:space="0" w:color="auto"/>
                <w:left w:val="none" w:sz="0" w:space="0" w:color="auto"/>
                <w:bottom w:val="none" w:sz="0" w:space="0" w:color="auto"/>
                <w:right w:val="none" w:sz="0" w:space="0" w:color="auto"/>
              </w:divBdr>
              <w:divsChild>
                <w:div w:id="1139374979">
                  <w:marLeft w:val="0"/>
                  <w:marRight w:val="0"/>
                  <w:marTop w:val="0"/>
                  <w:marBottom w:val="0"/>
                  <w:divBdr>
                    <w:top w:val="none" w:sz="0" w:space="0" w:color="auto"/>
                    <w:left w:val="none" w:sz="0" w:space="0" w:color="auto"/>
                    <w:bottom w:val="none" w:sz="0" w:space="0" w:color="auto"/>
                    <w:right w:val="none" w:sz="0" w:space="0" w:color="auto"/>
                  </w:divBdr>
                  <w:divsChild>
                    <w:div w:id="13930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934744">
      <w:bodyDiv w:val="1"/>
      <w:marLeft w:val="0"/>
      <w:marRight w:val="0"/>
      <w:marTop w:val="0"/>
      <w:marBottom w:val="0"/>
      <w:divBdr>
        <w:top w:val="none" w:sz="0" w:space="0" w:color="auto"/>
        <w:left w:val="none" w:sz="0" w:space="0" w:color="auto"/>
        <w:bottom w:val="none" w:sz="0" w:space="0" w:color="auto"/>
        <w:right w:val="none" w:sz="0" w:space="0" w:color="auto"/>
      </w:divBdr>
    </w:div>
    <w:div w:id="502011620">
      <w:bodyDiv w:val="1"/>
      <w:marLeft w:val="0"/>
      <w:marRight w:val="0"/>
      <w:marTop w:val="0"/>
      <w:marBottom w:val="0"/>
      <w:divBdr>
        <w:top w:val="none" w:sz="0" w:space="0" w:color="auto"/>
        <w:left w:val="none" w:sz="0" w:space="0" w:color="auto"/>
        <w:bottom w:val="none" w:sz="0" w:space="0" w:color="auto"/>
        <w:right w:val="none" w:sz="0" w:space="0" w:color="auto"/>
      </w:divBdr>
    </w:div>
    <w:div w:id="505482410">
      <w:bodyDiv w:val="1"/>
      <w:marLeft w:val="0"/>
      <w:marRight w:val="0"/>
      <w:marTop w:val="0"/>
      <w:marBottom w:val="0"/>
      <w:divBdr>
        <w:top w:val="none" w:sz="0" w:space="0" w:color="auto"/>
        <w:left w:val="none" w:sz="0" w:space="0" w:color="auto"/>
        <w:bottom w:val="none" w:sz="0" w:space="0" w:color="auto"/>
        <w:right w:val="none" w:sz="0" w:space="0" w:color="auto"/>
      </w:divBdr>
    </w:div>
    <w:div w:id="510918666">
      <w:bodyDiv w:val="1"/>
      <w:marLeft w:val="0"/>
      <w:marRight w:val="0"/>
      <w:marTop w:val="0"/>
      <w:marBottom w:val="0"/>
      <w:divBdr>
        <w:top w:val="none" w:sz="0" w:space="0" w:color="auto"/>
        <w:left w:val="none" w:sz="0" w:space="0" w:color="auto"/>
        <w:bottom w:val="none" w:sz="0" w:space="0" w:color="auto"/>
        <w:right w:val="none" w:sz="0" w:space="0" w:color="auto"/>
      </w:divBdr>
    </w:div>
    <w:div w:id="626929666">
      <w:bodyDiv w:val="1"/>
      <w:marLeft w:val="0"/>
      <w:marRight w:val="0"/>
      <w:marTop w:val="0"/>
      <w:marBottom w:val="0"/>
      <w:divBdr>
        <w:top w:val="none" w:sz="0" w:space="0" w:color="auto"/>
        <w:left w:val="none" w:sz="0" w:space="0" w:color="auto"/>
        <w:bottom w:val="none" w:sz="0" w:space="0" w:color="auto"/>
        <w:right w:val="none" w:sz="0" w:space="0" w:color="auto"/>
      </w:divBdr>
    </w:div>
    <w:div w:id="706032637">
      <w:bodyDiv w:val="1"/>
      <w:marLeft w:val="0"/>
      <w:marRight w:val="0"/>
      <w:marTop w:val="0"/>
      <w:marBottom w:val="0"/>
      <w:divBdr>
        <w:top w:val="none" w:sz="0" w:space="0" w:color="auto"/>
        <w:left w:val="none" w:sz="0" w:space="0" w:color="auto"/>
        <w:bottom w:val="none" w:sz="0" w:space="0" w:color="auto"/>
        <w:right w:val="none" w:sz="0" w:space="0" w:color="auto"/>
      </w:divBdr>
    </w:div>
    <w:div w:id="725638913">
      <w:bodyDiv w:val="1"/>
      <w:marLeft w:val="0"/>
      <w:marRight w:val="0"/>
      <w:marTop w:val="0"/>
      <w:marBottom w:val="0"/>
      <w:divBdr>
        <w:top w:val="none" w:sz="0" w:space="0" w:color="auto"/>
        <w:left w:val="none" w:sz="0" w:space="0" w:color="auto"/>
        <w:bottom w:val="none" w:sz="0" w:space="0" w:color="auto"/>
        <w:right w:val="none" w:sz="0" w:space="0" w:color="auto"/>
      </w:divBdr>
    </w:div>
    <w:div w:id="801848835">
      <w:bodyDiv w:val="1"/>
      <w:marLeft w:val="0"/>
      <w:marRight w:val="0"/>
      <w:marTop w:val="0"/>
      <w:marBottom w:val="0"/>
      <w:divBdr>
        <w:top w:val="none" w:sz="0" w:space="0" w:color="auto"/>
        <w:left w:val="none" w:sz="0" w:space="0" w:color="auto"/>
        <w:bottom w:val="none" w:sz="0" w:space="0" w:color="auto"/>
        <w:right w:val="none" w:sz="0" w:space="0" w:color="auto"/>
      </w:divBdr>
    </w:div>
    <w:div w:id="811292331">
      <w:bodyDiv w:val="1"/>
      <w:marLeft w:val="0"/>
      <w:marRight w:val="0"/>
      <w:marTop w:val="0"/>
      <w:marBottom w:val="0"/>
      <w:divBdr>
        <w:top w:val="none" w:sz="0" w:space="0" w:color="auto"/>
        <w:left w:val="none" w:sz="0" w:space="0" w:color="auto"/>
        <w:bottom w:val="none" w:sz="0" w:space="0" w:color="auto"/>
        <w:right w:val="none" w:sz="0" w:space="0" w:color="auto"/>
      </w:divBdr>
      <w:divsChild>
        <w:div w:id="273054753">
          <w:marLeft w:val="0"/>
          <w:marRight w:val="0"/>
          <w:marTop w:val="0"/>
          <w:marBottom w:val="0"/>
          <w:divBdr>
            <w:top w:val="none" w:sz="0" w:space="0" w:color="auto"/>
            <w:left w:val="none" w:sz="0" w:space="0" w:color="auto"/>
            <w:bottom w:val="none" w:sz="0" w:space="0" w:color="auto"/>
            <w:right w:val="none" w:sz="0" w:space="0" w:color="auto"/>
          </w:divBdr>
          <w:divsChild>
            <w:div w:id="864441961">
              <w:marLeft w:val="0"/>
              <w:marRight w:val="0"/>
              <w:marTop w:val="0"/>
              <w:marBottom w:val="0"/>
              <w:divBdr>
                <w:top w:val="none" w:sz="0" w:space="0" w:color="auto"/>
                <w:left w:val="none" w:sz="0" w:space="0" w:color="auto"/>
                <w:bottom w:val="none" w:sz="0" w:space="0" w:color="auto"/>
                <w:right w:val="none" w:sz="0" w:space="0" w:color="auto"/>
              </w:divBdr>
              <w:divsChild>
                <w:div w:id="12180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257069">
      <w:bodyDiv w:val="1"/>
      <w:marLeft w:val="0"/>
      <w:marRight w:val="0"/>
      <w:marTop w:val="0"/>
      <w:marBottom w:val="0"/>
      <w:divBdr>
        <w:top w:val="none" w:sz="0" w:space="0" w:color="auto"/>
        <w:left w:val="none" w:sz="0" w:space="0" w:color="auto"/>
        <w:bottom w:val="none" w:sz="0" w:space="0" w:color="auto"/>
        <w:right w:val="none" w:sz="0" w:space="0" w:color="auto"/>
      </w:divBdr>
    </w:div>
    <w:div w:id="913661759">
      <w:bodyDiv w:val="1"/>
      <w:marLeft w:val="0"/>
      <w:marRight w:val="0"/>
      <w:marTop w:val="0"/>
      <w:marBottom w:val="0"/>
      <w:divBdr>
        <w:top w:val="none" w:sz="0" w:space="0" w:color="auto"/>
        <w:left w:val="none" w:sz="0" w:space="0" w:color="auto"/>
        <w:bottom w:val="none" w:sz="0" w:space="0" w:color="auto"/>
        <w:right w:val="none" w:sz="0" w:space="0" w:color="auto"/>
      </w:divBdr>
    </w:div>
    <w:div w:id="938366800">
      <w:bodyDiv w:val="1"/>
      <w:marLeft w:val="0"/>
      <w:marRight w:val="0"/>
      <w:marTop w:val="0"/>
      <w:marBottom w:val="0"/>
      <w:divBdr>
        <w:top w:val="none" w:sz="0" w:space="0" w:color="auto"/>
        <w:left w:val="none" w:sz="0" w:space="0" w:color="auto"/>
        <w:bottom w:val="none" w:sz="0" w:space="0" w:color="auto"/>
        <w:right w:val="none" w:sz="0" w:space="0" w:color="auto"/>
      </w:divBdr>
      <w:divsChild>
        <w:div w:id="1669861742">
          <w:marLeft w:val="0"/>
          <w:marRight w:val="0"/>
          <w:marTop w:val="0"/>
          <w:marBottom w:val="0"/>
          <w:divBdr>
            <w:top w:val="none" w:sz="0" w:space="0" w:color="auto"/>
            <w:left w:val="none" w:sz="0" w:space="0" w:color="auto"/>
            <w:bottom w:val="none" w:sz="0" w:space="0" w:color="auto"/>
            <w:right w:val="none" w:sz="0" w:space="0" w:color="auto"/>
          </w:divBdr>
          <w:divsChild>
            <w:div w:id="849835189">
              <w:marLeft w:val="0"/>
              <w:marRight w:val="0"/>
              <w:marTop w:val="0"/>
              <w:marBottom w:val="0"/>
              <w:divBdr>
                <w:top w:val="none" w:sz="0" w:space="0" w:color="auto"/>
                <w:left w:val="none" w:sz="0" w:space="0" w:color="auto"/>
                <w:bottom w:val="none" w:sz="0" w:space="0" w:color="auto"/>
                <w:right w:val="none" w:sz="0" w:space="0" w:color="auto"/>
              </w:divBdr>
              <w:divsChild>
                <w:div w:id="1248077858">
                  <w:marLeft w:val="0"/>
                  <w:marRight w:val="0"/>
                  <w:marTop w:val="0"/>
                  <w:marBottom w:val="0"/>
                  <w:divBdr>
                    <w:top w:val="none" w:sz="0" w:space="0" w:color="auto"/>
                    <w:left w:val="none" w:sz="0" w:space="0" w:color="auto"/>
                    <w:bottom w:val="none" w:sz="0" w:space="0" w:color="auto"/>
                    <w:right w:val="none" w:sz="0" w:space="0" w:color="auto"/>
                  </w:divBdr>
                  <w:divsChild>
                    <w:div w:id="17803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404324">
      <w:bodyDiv w:val="1"/>
      <w:marLeft w:val="0"/>
      <w:marRight w:val="0"/>
      <w:marTop w:val="0"/>
      <w:marBottom w:val="0"/>
      <w:divBdr>
        <w:top w:val="none" w:sz="0" w:space="0" w:color="auto"/>
        <w:left w:val="none" w:sz="0" w:space="0" w:color="auto"/>
        <w:bottom w:val="none" w:sz="0" w:space="0" w:color="auto"/>
        <w:right w:val="none" w:sz="0" w:space="0" w:color="auto"/>
      </w:divBdr>
      <w:divsChild>
        <w:div w:id="1993024639">
          <w:marLeft w:val="0"/>
          <w:marRight w:val="0"/>
          <w:marTop w:val="0"/>
          <w:marBottom w:val="0"/>
          <w:divBdr>
            <w:top w:val="none" w:sz="0" w:space="0" w:color="auto"/>
            <w:left w:val="none" w:sz="0" w:space="0" w:color="auto"/>
            <w:bottom w:val="none" w:sz="0" w:space="0" w:color="auto"/>
            <w:right w:val="none" w:sz="0" w:space="0" w:color="auto"/>
          </w:divBdr>
          <w:divsChild>
            <w:div w:id="1465194601">
              <w:marLeft w:val="0"/>
              <w:marRight w:val="0"/>
              <w:marTop w:val="0"/>
              <w:marBottom w:val="0"/>
              <w:divBdr>
                <w:top w:val="none" w:sz="0" w:space="0" w:color="auto"/>
                <w:left w:val="none" w:sz="0" w:space="0" w:color="auto"/>
                <w:bottom w:val="none" w:sz="0" w:space="0" w:color="auto"/>
                <w:right w:val="none" w:sz="0" w:space="0" w:color="auto"/>
              </w:divBdr>
              <w:divsChild>
                <w:div w:id="1120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1491">
      <w:bodyDiv w:val="1"/>
      <w:marLeft w:val="0"/>
      <w:marRight w:val="0"/>
      <w:marTop w:val="0"/>
      <w:marBottom w:val="0"/>
      <w:divBdr>
        <w:top w:val="none" w:sz="0" w:space="0" w:color="auto"/>
        <w:left w:val="none" w:sz="0" w:space="0" w:color="auto"/>
        <w:bottom w:val="none" w:sz="0" w:space="0" w:color="auto"/>
        <w:right w:val="none" w:sz="0" w:space="0" w:color="auto"/>
      </w:divBdr>
    </w:div>
    <w:div w:id="1030450481">
      <w:bodyDiv w:val="1"/>
      <w:marLeft w:val="0"/>
      <w:marRight w:val="0"/>
      <w:marTop w:val="0"/>
      <w:marBottom w:val="0"/>
      <w:divBdr>
        <w:top w:val="none" w:sz="0" w:space="0" w:color="auto"/>
        <w:left w:val="none" w:sz="0" w:space="0" w:color="auto"/>
        <w:bottom w:val="none" w:sz="0" w:space="0" w:color="auto"/>
        <w:right w:val="none" w:sz="0" w:space="0" w:color="auto"/>
      </w:divBdr>
    </w:div>
    <w:div w:id="1035161187">
      <w:bodyDiv w:val="1"/>
      <w:marLeft w:val="0"/>
      <w:marRight w:val="0"/>
      <w:marTop w:val="0"/>
      <w:marBottom w:val="0"/>
      <w:divBdr>
        <w:top w:val="none" w:sz="0" w:space="0" w:color="auto"/>
        <w:left w:val="none" w:sz="0" w:space="0" w:color="auto"/>
        <w:bottom w:val="none" w:sz="0" w:space="0" w:color="auto"/>
        <w:right w:val="none" w:sz="0" w:space="0" w:color="auto"/>
      </w:divBdr>
      <w:divsChild>
        <w:div w:id="1500271517">
          <w:marLeft w:val="0"/>
          <w:marRight w:val="0"/>
          <w:marTop w:val="0"/>
          <w:marBottom w:val="0"/>
          <w:divBdr>
            <w:top w:val="none" w:sz="0" w:space="0" w:color="auto"/>
            <w:left w:val="none" w:sz="0" w:space="0" w:color="auto"/>
            <w:bottom w:val="none" w:sz="0" w:space="0" w:color="auto"/>
            <w:right w:val="none" w:sz="0" w:space="0" w:color="auto"/>
          </w:divBdr>
          <w:divsChild>
            <w:div w:id="947009635">
              <w:marLeft w:val="0"/>
              <w:marRight w:val="0"/>
              <w:marTop w:val="0"/>
              <w:marBottom w:val="0"/>
              <w:divBdr>
                <w:top w:val="none" w:sz="0" w:space="0" w:color="auto"/>
                <w:left w:val="none" w:sz="0" w:space="0" w:color="auto"/>
                <w:bottom w:val="none" w:sz="0" w:space="0" w:color="auto"/>
                <w:right w:val="none" w:sz="0" w:space="0" w:color="auto"/>
              </w:divBdr>
              <w:divsChild>
                <w:div w:id="19009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90921">
      <w:bodyDiv w:val="1"/>
      <w:marLeft w:val="0"/>
      <w:marRight w:val="0"/>
      <w:marTop w:val="0"/>
      <w:marBottom w:val="0"/>
      <w:divBdr>
        <w:top w:val="none" w:sz="0" w:space="0" w:color="auto"/>
        <w:left w:val="none" w:sz="0" w:space="0" w:color="auto"/>
        <w:bottom w:val="none" w:sz="0" w:space="0" w:color="auto"/>
        <w:right w:val="none" w:sz="0" w:space="0" w:color="auto"/>
      </w:divBdr>
    </w:div>
    <w:div w:id="1134060716">
      <w:bodyDiv w:val="1"/>
      <w:marLeft w:val="0"/>
      <w:marRight w:val="0"/>
      <w:marTop w:val="0"/>
      <w:marBottom w:val="0"/>
      <w:divBdr>
        <w:top w:val="none" w:sz="0" w:space="0" w:color="auto"/>
        <w:left w:val="none" w:sz="0" w:space="0" w:color="auto"/>
        <w:bottom w:val="none" w:sz="0" w:space="0" w:color="auto"/>
        <w:right w:val="none" w:sz="0" w:space="0" w:color="auto"/>
      </w:divBdr>
    </w:div>
    <w:div w:id="1156338810">
      <w:bodyDiv w:val="1"/>
      <w:marLeft w:val="0"/>
      <w:marRight w:val="0"/>
      <w:marTop w:val="0"/>
      <w:marBottom w:val="0"/>
      <w:divBdr>
        <w:top w:val="none" w:sz="0" w:space="0" w:color="auto"/>
        <w:left w:val="none" w:sz="0" w:space="0" w:color="auto"/>
        <w:bottom w:val="none" w:sz="0" w:space="0" w:color="auto"/>
        <w:right w:val="none" w:sz="0" w:space="0" w:color="auto"/>
      </w:divBdr>
      <w:divsChild>
        <w:div w:id="1111314936">
          <w:marLeft w:val="0"/>
          <w:marRight w:val="0"/>
          <w:marTop w:val="0"/>
          <w:marBottom w:val="0"/>
          <w:divBdr>
            <w:top w:val="none" w:sz="0" w:space="0" w:color="auto"/>
            <w:left w:val="none" w:sz="0" w:space="0" w:color="auto"/>
            <w:bottom w:val="none" w:sz="0" w:space="0" w:color="auto"/>
            <w:right w:val="none" w:sz="0" w:space="0" w:color="auto"/>
          </w:divBdr>
          <w:divsChild>
            <w:div w:id="585961795">
              <w:marLeft w:val="0"/>
              <w:marRight w:val="0"/>
              <w:marTop w:val="0"/>
              <w:marBottom w:val="0"/>
              <w:divBdr>
                <w:top w:val="none" w:sz="0" w:space="0" w:color="auto"/>
                <w:left w:val="none" w:sz="0" w:space="0" w:color="auto"/>
                <w:bottom w:val="none" w:sz="0" w:space="0" w:color="auto"/>
                <w:right w:val="none" w:sz="0" w:space="0" w:color="auto"/>
              </w:divBdr>
              <w:divsChild>
                <w:div w:id="13928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24538">
      <w:bodyDiv w:val="1"/>
      <w:marLeft w:val="0"/>
      <w:marRight w:val="0"/>
      <w:marTop w:val="0"/>
      <w:marBottom w:val="0"/>
      <w:divBdr>
        <w:top w:val="none" w:sz="0" w:space="0" w:color="auto"/>
        <w:left w:val="none" w:sz="0" w:space="0" w:color="auto"/>
        <w:bottom w:val="none" w:sz="0" w:space="0" w:color="auto"/>
        <w:right w:val="none" w:sz="0" w:space="0" w:color="auto"/>
      </w:divBdr>
    </w:div>
    <w:div w:id="1213806466">
      <w:bodyDiv w:val="1"/>
      <w:marLeft w:val="0"/>
      <w:marRight w:val="0"/>
      <w:marTop w:val="0"/>
      <w:marBottom w:val="0"/>
      <w:divBdr>
        <w:top w:val="none" w:sz="0" w:space="0" w:color="auto"/>
        <w:left w:val="none" w:sz="0" w:space="0" w:color="auto"/>
        <w:bottom w:val="none" w:sz="0" w:space="0" w:color="auto"/>
        <w:right w:val="none" w:sz="0" w:space="0" w:color="auto"/>
      </w:divBdr>
    </w:div>
    <w:div w:id="1280333997">
      <w:bodyDiv w:val="1"/>
      <w:marLeft w:val="0"/>
      <w:marRight w:val="0"/>
      <w:marTop w:val="0"/>
      <w:marBottom w:val="0"/>
      <w:divBdr>
        <w:top w:val="none" w:sz="0" w:space="0" w:color="auto"/>
        <w:left w:val="none" w:sz="0" w:space="0" w:color="auto"/>
        <w:bottom w:val="none" w:sz="0" w:space="0" w:color="auto"/>
        <w:right w:val="none" w:sz="0" w:space="0" w:color="auto"/>
      </w:divBdr>
    </w:div>
    <w:div w:id="1286160411">
      <w:bodyDiv w:val="1"/>
      <w:marLeft w:val="0"/>
      <w:marRight w:val="0"/>
      <w:marTop w:val="0"/>
      <w:marBottom w:val="0"/>
      <w:divBdr>
        <w:top w:val="none" w:sz="0" w:space="0" w:color="auto"/>
        <w:left w:val="none" w:sz="0" w:space="0" w:color="auto"/>
        <w:bottom w:val="none" w:sz="0" w:space="0" w:color="auto"/>
        <w:right w:val="none" w:sz="0" w:space="0" w:color="auto"/>
      </w:divBdr>
      <w:divsChild>
        <w:div w:id="859005030">
          <w:marLeft w:val="0"/>
          <w:marRight w:val="0"/>
          <w:marTop w:val="0"/>
          <w:marBottom w:val="0"/>
          <w:divBdr>
            <w:top w:val="none" w:sz="0" w:space="0" w:color="auto"/>
            <w:left w:val="none" w:sz="0" w:space="0" w:color="auto"/>
            <w:bottom w:val="none" w:sz="0" w:space="0" w:color="auto"/>
            <w:right w:val="none" w:sz="0" w:space="0" w:color="auto"/>
          </w:divBdr>
          <w:divsChild>
            <w:div w:id="2053991816">
              <w:marLeft w:val="0"/>
              <w:marRight w:val="0"/>
              <w:marTop w:val="0"/>
              <w:marBottom w:val="0"/>
              <w:divBdr>
                <w:top w:val="none" w:sz="0" w:space="0" w:color="auto"/>
                <w:left w:val="none" w:sz="0" w:space="0" w:color="auto"/>
                <w:bottom w:val="none" w:sz="0" w:space="0" w:color="auto"/>
                <w:right w:val="none" w:sz="0" w:space="0" w:color="auto"/>
              </w:divBdr>
              <w:divsChild>
                <w:div w:id="7867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84483">
      <w:bodyDiv w:val="1"/>
      <w:marLeft w:val="0"/>
      <w:marRight w:val="0"/>
      <w:marTop w:val="0"/>
      <w:marBottom w:val="0"/>
      <w:divBdr>
        <w:top w:val="none" w:sz="0" w:space="0" w:color="auto"/>
        <w:left w:val="none" w:sz="0" w:space="0" w:color="auto"/>
        <w:bottom w:val="none" w:sz="0" w:space="0" w:color="auto"/>
        <w:right w:val="none" w:sz="0" w:space="0" w:color="auto"/>
      </w:divBdr>
    </w:div>
    <w:div w:id="1335261181">
      <w:bodyDiv w:val="1"/>
      <w:marLeft w:val="0"/>
      <w:marRight w:val="0"/>
      <w:marTop w:val="0"/>
      <w:marBottom w:val="0"/>
      <w:divBdr>
        <w:top w:val="none" w:sz="0" w:space="0" w:color="auto"/>
        <w:left w:val="none" w:sz="0" w:space="0" w:color="auto"/>
        <w:bottom w:val="none" w:sz="0" w:space="0" w:color="auto"/>
        <w:right w:val="none" w:sz="0" w:space="0" w:color="auto"/>
      </w:divBdr>
      <w:divsChild>
        <w:div w:id="1821968166">
          <w:marLeft w:val="0"/>
          <w:marRight w:val="0"/>
          <w:marTop w:val="0"/>
          <w:marBottom w:val="0"/>
          <w:divBdr>
            <w:top w:val="none" w:sz="0" w:space="0" w:color="auto"/>
            <w:left w:val="none" w:sz="0" w:space="0" w:color="auto"/>
            <w:bottom w:val="none" w:sz="0" w:space="0" w:color="auto"/>
            <w:right w:val="none" w:sz="0" w:space="0" w:color="auto"/>
          </w:divBdr>
          <w:divsChild>
            <w:div w:id="376928687">
              <w:marLeft w:val="0"/>
              <w:marRight w:val="0"/>
              <w:marTop w:val="0"/>
              <w:marBottom w:val="0"/>
              <w:divBdr>
                <w:top w:val="none" w:sz="0" w:space="0" w:color="auto"/>
                <w:left w:val="none" w:sz="0" w:space="0" w:color="auto"/>
                <w:bottom w:val="none" w:sz="0" w:space="0" w:color="auto"/>
                <w:right w:val="none" w:sz="0" w:space="0" w:color="auto"/>
              </w:divBdr>
              <w:divsChild>
                <w:div w:id="3535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26179">
      <w:bodyDiv w:val="1"/>
      <w:marLeft w:val="0"/>
      <w:marRight w:val="0"/>
      <w:marTop w:val="0"/>
      <w:marBottom w:val="0"/>
      <w:divBdr>
        <w:top w:val="none" w:sz="0" w:space="0" w:color="auto"/>
        <w:left w:val="none" w:sz="0" w:space="0" w:color="auto"/>
        <w:bottom w:val="none" w:sz="0" w:space="0" w:color="auto"/>
        <w:right w:val="none" w:sz="0" w:space="0" w:color="auto"/>
      </w:divBdr>
      <w:divsChild>
        <w:div w:id="886068115">
          <w:marLeft w:val="0"/>
          <w:marRight w:val="0"/>
          <w:marTop w:val="0"/>
          <w:marBottom w:val="0"/>
          <w:divBdr>
            <w:top w:val="none" w:sz="0" w:space="0" w:color="auto"/>
            <w:left w:val="none" w:sz="0" w:space="0" w:color="auto"/>
            <w:bottom w:val="none" w:sz="0" w:space="0" w:color="auto"/>
            <w:right w:val="none" w:sz="0" w:space="0" w:color="auto"/>
          </w:divBdr>
          <w:divsChild>
            <w:div w:id="1560049984">
              <w:marLeft w:val="0"/>
              <w:marRight w:val="0"/>
              <w:marTop w:val="0"/>
              <w:marBottom w:val="0"/>
              <w:divBdr>
                <w:top w:val="none" w:sz="0" w:space="0" w:color="auto"/>
                <w:left w:val="none" w:sz="0" w:space="0" w:color="auto"/>
                <w:bottom w:val="none" w:sz="0" w:space="0" w:color="auto"/>
                <w:right w:val="none" w:sz="0" w:space="0" w:color="auto"/>
              </w:divBdr>
              <w:divsChild>
                <w:div w:id="1314607602">
                  <w:marLeft w:val="0"/>
                  <w:marRight w:val="0"/>
                  <w:marTop w:val="0"/>
                  <w:marBottom w:val="0"/>
                  <w:divBdr>
                    <w:top w:val="none" w:sz="0" w:space="0" w:color="auto"/>
                    <w:left w:val="none" w:sz="0" w:space="0" w:color="auto"/>
                    <w:bottom w:val="none" w:sz="0" w:space="0" w:color="auto"/>
                    <w:right w:val="none" w:sz="0" w:space="0" w:color="auto"/>
                  </w:divBdr>
                  <w:divsChild>
                    <w:div w:id="11195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41692">
      <w:bodyDiv w:val="1"/>
      <w:marLeft w:val="0"/>
      <w:marRight w:val="0"/>
      <w:marTop w:val="0"/>
      <w:marBottom w:val="0"/>
      <w:divBdr>
        <w:top w:val="none" w:sz="0" w:space="0" w:color="auto"/>
        <w:left w:val="none" w:sz="0" w:space="0" w:color="auto"/>
        <w:bottom w:val="none" w:sz="0" w:space="0" w:color="auto"/>
        <w:right w:val="none" w:sz="0" w:space="0" w:color="auto"/>
      </w:divBdr>
    </w:div>
    <w:div w:id="1452943512">
      <w:bodyDiv w:val="1"/>
      <w:marLeft w:val="0"/>
      <w:marRight w:val="0"/>
      <w:marTop w:val="0"/>
      <w:marBottom w:val="0"/>
      <w:divBdr>
        <w:top w:val="none" w:sz="0" w:space="0" w:color="auto"/>
        <w:left w:val="none" w:sz="0" w:space="0" w:color="auto"/>
        <w:bottom w:val="none" w:sz="0" w:space="0" w:color="auto"/>
        <w:right w:val="none" w:sz="0" w:space="0" w:color="auto"/>
      </w:divBdr>
    </w:div>
    <w:div w:id="1462261809">
      <w:bodyDiv w:val="1"/>
      <w:marLeft w:val="0"/>
      <w:marRight w:val="0"/>
      <w:marTop w:val="0"/>
      <w:marBottom w:val="0"/>
      <w:divBdr>
        <w:top w:val="none" w:sz="0" w:space="0" w:color="auto"/>
        <w:left w:val="none" w:sz="0" w:space="0" w:color="auto"/>
        <w:bottom w:val="none" w:sz="0" w:space="0" w:color="auto"/>
        <w:right w:val="none" w:sz="0" w:space="0" w:color="auto"/>
      </w:divBdr>
      <w:divsChild>
        <w:div w:id="888221875">
          <w:marLeft w:val="0"/>
          <w:marRight w:val="0"/>
          <w:marTop w:val="0"/>
          <w:marBottom w:val="0"/>
          <w:divBdr>
            <w:top w:val="none" w:sz="0" w:space="0" w:color="auto"/>
            <w:left w:val="none" w:sz="0" w:space="0" w:color="auto"/>
            <w:bottom w:val="none" w:sz="0" w:space="0" w:color="auto"/>
            <w:right w:val="none" w:sz="0" w:space="0" w:color="auto"/>
          </w:divBdr>
          <w:divsChild>
            <w:div w:id="779951915">
              <w:marLeft w:val="0"/>
              <w:marRight w:val="0"/>
              <w:marTop w:val="0"/>
              <w:marBottom w:val="0"/>
              <w:divBdr>
                <w:top w:val="none" w:sz="0" w:space="0" w:color="auto"/>
                <w:left w:val="none" w:sz="0" w:space="0" w:color="auto"/>
                <w:bottom w:val="none" w:sz="0" w:space="0" w:color="auto"/>
                <w:right w:val="none" w:sz="0" w:space="0" w:color="auto"/>
              </w:divBdr>
              <w:divsChild>
                <w:div w:id="10664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13788">
      <w:bodyDiv w:val="1"/>
      <w:marLeft w:val="0"/>
      <w:marRight w:val="0"/>
      <w:marTop w:val="0"/>
      <w:marBottom w:val="0"/>
      <w:divBdr>
        <w:top w:val="none" w:sz="0" w:space="0" w:color="auto"/>
        <w:left w:val="none" w:sz="0" w:space="0" w:color="auto"/>
        <w:bottom w:val="none" w:sz="0" w:space="0" w:color="auto"/>
        <w:right w:val="none" w:sz="0" w:space="0" w:color="auto"/>
      </w:divBdr>
      <w:divsChild>
        <w:div w:id="1026518253">
          <w:marLeft w:val="0"/>
          <w:marRight w:val="0"/>
          <w:marTop w:val="0"/>
          <w:marBottom w:val="0"/>
          <w:divBdr>
            <w:top w:val="none" w:sz="0" w:space="0" w:color="auto"/>
            <w:left w:val="none" w:sz="0" w:space="0" w:color="auto"/>
            <w:bottom w:val="none" w:sz="0" w:space="0" w:color="auto"/>
            <w:right w:val="none" w:sz="0" w:space="0" w:color="auto"/>
          </w:divBdr>
          <w:divsChild>
            <w:div w:id="1095904050">
              <w:marLeft w:val="0"/>
              <w:marRight w:val="0"/>
              <w:marTop w:val="0"/>
              <w:marBottom w:val="0"/>
              <w:divBdr>
                <w:top w:val="none" w:sz="0" w:space="0" w:color="auto"/>
                <w:left w:val="none" w:sz="0" w:space="0" w:color="auto"/>
                <w:bottom w:val="none" w:sz="0" w:space="0" w:color="auto"/>
                <w:right w:val="none" w:sz="0" w:space="0" w:color="auto"/>
              </w:divBdr>
              <w:divsChild>
                <w:div w:id="2953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3238">
      <w:bodyDiv w:val="1"/>
      <w:marLeft w:val="0"/>
      <w:marRight w:val="0"/>
      <w:marTop w:val="0"/>
      <w:marBottom w:val="0"/>
      <w:divBdr>
        <w:top w:val="none" w:sz="0" w:space="0" w:color="auto"/>
        <w:left w:val="none" w:sz="0" w:space="0" w:color="auto"/>
        <w:bottom w:val="none" w:sz="0" w:space="0" w:color="auto"/>
        <w:right w:val="none" w:sz="0" w:space="0" w:color="auto"/>
      </w:divBdr>
      <w:divsChild>
        <w:div w:id="1845705621">
          <w:marLeft w:val="0"/>
          <w:marRight w:val="0"/>
          <w:marTop w:val="0"/>
          <w:marBottom w:val="0"/>
          <w:divBdr>
            <w:top w:val="none" w:sz="0" w:space="0" w:color="auto"/>
            <w:left w:val="none" w:sz="0" w:space="0" w:color="auto"/>
            <w:bottom w:val="none" w:sz="0" w:space="0" w:color="auto"/>
            <w:right w:val="none" w:sz="0" w:space="0" w:color="auto"/>
          </w:divBdr>
          <w:divsChild>
            <w:div w:id="207113751">
              <w:marLeft w:val="0"/>
              <w:marRight w:val="0"/>
              <w:marTop w:val="0"/>
              <w:marBottom w:val="0"/>
              <w:divBdr>
                <w:top w:val="none" w:sz="0" w:space="0" w:color="auto"/>
                <w:left w:val="none" w:sz="0" w:space="0" w:color="auto"/>
                <w:bottom w:val="none" w:sz="0" w:space="0" w:color="auto"/>
                <w:right w:val="none" w:sz="0" w:space="0" w:color="auto"/>
              </w:divBdr>
              <w:divsChild>
                <w:div w:id="358089428">
                  <w:marLeft w:val="0"/>
                  <w:marRight w:val="0"/>
                  <w:marTop w:val="0"/>
                  <w:marBottom w:val="0"/>
                  <w:divBdr>
                    <w:top w:val="none" w:sz="0" w:space="0" w:color="auto"/>
                    <w:left w:val="none" w:sz="0" w:space="0" w:color="auto"/>
                    <w:bottom w:val="none" w:sz="0" w:space="0" w:color="auto"/>
                    <w:right w:val="none" w:sz="0" w:space="0" w:color="auto"/>
                  </w:divBdr>
                  <w:divsChild>
                    <w:div w:id="17886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95544">
      <w:bodyDiv w:val="1"/>
      <w:marLeft w:val="0"/>
      <w:marRight w:val="0"/>
      <w:marTop w:val="0"/>
      <w:marBottom w:val="0"/>
      <w:divBdr>
        <w:top w:val="none" w:sz="0" w:space="0" w:color="auto"/>
        <w:left w:val="none" w:sz="0" w:space="0" w:color="auto"/>
        <w:bottom w:val="none" w:sz="0" w:space="0" w:color="auto"/>
        <w:right w:val="none" w:sz="0" w:space="0" w:color="auto"/>
      </w:divBdr>
      <w:divsChild>
        <w:div w:id="1962684395">
          <w:marLeft w:val="0"/>
          <w:marRight w:val="0"/>
          <w:marTop w:val="0"/>
          <w:marBottom w:val="0"/>
          <w:divBdr>
            <w:top w:val="none" w:sz="0" w:space="0" w:color="auto"/>
            <w:left w:val="none" w:sz="0" w:space="0" w:color="auto"/>
            <w:bottom w:val="none" w:sz="0" w:space="0" w:color="auto"/>
            <w:right w:val="none" w:sz="0" w:space="0" w:color="auto"/>
          </w:divBdr>
          <w:divsChild>
            <w:div w:id="479155653">
              <w:marLeft w:val="0"/>
              <w:marRight w:val="0"/>
              <w:marTop w:val="0"/>
              <w:marBottom w:val="0"/>
              <w:divBdr>
                <w:top w:val="none" w:sz="0" w:space="0" w:color="auto"/>
                <w:left w:val="none" w:sz="0" w:space="0" w:color="auto"/>
                <w:bottom w:val="none" w:sz="0" w:space="0" w:color="auto"/>
                <w:right w:val="none" w:sz="0" w:space="0" w:color="auto"/>
              </w:divBdr>
              <w:divsChild>
                <w:div w:id="12242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50892">
      <w:bodyDiv w:val="1"/>
      <w:marLeft w:val="0"/>
      <w:marRight w:val="0"/>
      <w:marTop w:val="0"/>
      <w:marBottom w:val="0"/>
      <w:divBdr>
        <w:top w:val="none" w:sz="0" w:space="0" w:color="auto"/>
        <w:left w:val="none" w:sz="0" w:space="0" w:color="auto"/>
        <w:bottom w:val="none" w:sz="0" w:space="0" w:color="auto"/>
        <w:right w:val="none" w:sz="0" w:space="0" w:color="auto"/>
      </w:divBdr>
    </w:div>
    <w:div w:id="1673265765">
      <w:bodyDiv w:val="1"/>
      <w:marLeft w:val="0"/>
      <w:marRight w:val="0"/>
      <w:marTop w:val="0"/>
      <w:marBottom w:val="0"/>
      <w:divBdr>
        <w:top w:val="none" w:sz="0" w:space="0" w:color="auto"/>
        <w:left w:val="none" w:sz="0" w:space="0" w:color="auto"/>
        <w:bottom w:val="none" w:sz="0" w:space="0" w:color="auto"/>
        <w:right w:val="none" w:sz="0" w:space="0" w:color="auto"/>
      </w:divBdr>
    </w:div>
    <w:div w:id="1710907905">
      <w:bodyDiv w:val="1"/>
      <w:marLeft w:val="0"/>
      <w:marRight w:val="0"/>
      <w:marTop w:val="0"/>
      <w:marBottom w:val="0"/>
      <w:divBdr>
        <w:top w:val="none" w:sz="0" w:space="0" w:color="auto"/>
        <w:left w:val="none" w:sz="0" w:space="0" w:color="auto"/>
        <w:bottom w:val="none" w:sz="0" w:space="0" w:color="auto"/>
        <w:right w:val="none" w:sz="0" w:space="0" w:color="auto"/>
      </w:divBdr>
    </w:div>
    <w:div w:id="1770615776">
      <w:bodyDiv w:val="1"/>
      <w:marLeft w:val="0"/>
      <w:marRight w:val="0"/>
      <w:marTop w:val="0"/>
      <w:marBottom w:val="0"/>
      <w:divBdr>
        <w:top w:val="none" w:sz="0" w:space="0" w:color="auto"/>
        <w:left w:val="none" w:sz="0" w:space="0" w:color="auto"/>
        <w:bottom w:val="none" w:sz="0" w:space="0" w:color="auto"/>
        <w:right w:val="none" w:sz="0" w:space="0" w:color="auto"/>
      </w:divBdr>
    </w:div>
    <w:div w:id="1850172343">
      <w:bodyDiv w:val="1"/>
      <w:marLeft w:val="0"/>
      <w:marRight w:val="0"/>
      <w:marTop w:val="0"/>
      <w:marBottom w:val="0"/>
      <w:divBdr>
        <w:top w:val="none" w:sz="0" w:space="0" w:color="auto"/>
        <w:left w:val="none" w:sz="0" w:space="0" w:color="auto"/>
        <w:bottom w:val="none" w:sz="0" w:space="0" w:color="auto"/>
        <w:right w:val="none" w:sz="0" w:space="0" w:color="auto"/>
      </w:divBdr>
    </w:div>
    <w:div w:id="1851409286">
      <w:bodyDiv w:val="1"/>
      <w:marLeft w:val="0"/>
      <w:marRight w:val="0"/>
      <w:marTop w:val="0"/>
      <w:marBottom w:val="0"/>
      <w:divBdr>
        <w:top w:val="none" w:sz="0" w:space="0" w:color="auto"/>
        <w:left w:val="none" w:sz="0" w:space="0" w:color="auto"/>
        <w:bottom w:val="none" w:sz="0" w:space="0" w:color="auto"/>
        <w:right w:val="none" w:sz="0" w:space="0" w:color="auto"/>
      </w:divBdr>
      <w:divsChild>
        <w:div w:id="825514964">
          <w:marLeft w:val="0"/>
          <w:marRight w:val="0"/>
          <w:marTop w:val="0"/>
          <w:marBottom w:val="0"/>
          <w:divBdr>
            <w:top w:val="none" w:sz="0" w:space="0" w:color="auto"/>
            <w:left w:val="none" w:sz="0" w:space="0" w:color="auto"/>
            <w:bottom w:val="none" w:sz="0" w:space="0" w:color="auto"/>
            <w:right w:val="none" w:sz="0" w:space="0" w:color="auto"/>
          </w:divBdr>
          <w:divsChild>
            <w:div w:id="169027892">
              <w:marLeft w:val="0"/>
              <w:marRight w:val="0"/>
              <w:marTop w:val="0"/>
              <w:marBottom w:val="0"/>
              <w:divBdr>
                <w:top w:val="none" w:sz="0" w:space="0" w:color="auto"/>
                <w:left w:val="none" w:sz="0" w:space="0" w:color="auto"/>
                <w:bottom w:val="none" w:sz="0" w:space="0" w:color="auto"/>
                <w:right w:val="none" w:sz="0" w:space="0" w:color="auto"/>
              </w:divBdr>
              <w:divsChild>
                <w:div w:id="10170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47066">
      <w:bodyDiv w:val="1"/>
      <w:marLeft w:val="0"/>
      <w:marRight w:val="0"/>
      <w:marTop w:val="0"/>
      <w:marBottom w:val="0"/>
      <w:divBdr>
        <w:top w:val="none" w:sz="0" w:space="0" w:color="auto"/>
        <w:left w:val="none" w:sz="0" w:space="0" w:color="auto"/>
        <w:bottom w:val="none" w:sz="0" w:space="0" w:color="auto"/>
        <w:right w:val="none" w:sz="0" w:space="0" w:color="auto"/>
      </w:divBdr>
    </w:div>
    <w:div w:id="1971814349">
      <w:bodyDiv w:val="1"/>
      <w:marLeft w:val="0"/>
      <w:marRight w:val="0"/>
      <w:marTop w:val="0"/>
      <w:marBottom w:val="0"/>
      <w:divBdr>
        <w:top w:val="none" w:sz="0" w:space="0" w:color="auto"/>
        <w:left w:val="none" w:sz="0" w:space="0" w:color="auto"/>
        <w:bottom w:val="none" w:sz="0" w:space="0" w:color="auto"/>
        <w:right w:val="none" w:sz="0" w:space="0" w:color="auto"/>
      </w:divBdr>
    </w:div>
    <w:div w:id="1986858871">
      <w:bodyDiv w:val="1"/>
      <w:marLeft w:val="0"/>
      <w:marRight w:val="0"/>
      <w:marTop w:val="0"/>
      <w:marBottom w:val="0"/>
      <w:divBdr>
        <w:top w:val="none" w:sz="0" w:space="0" w:color="auto"/>
        <w:left w:val="none" w:sz="0" w:space="0" w:color="auto"/>
        <w:bottom w:val="none" w:sz="0" w:space="0" w:color="auto"/>
        <w:right w:val="none" w:sz="0" w:space="0" w:color="auto"/>
      </w:divBdr>
    </w:div>
    <w:div w:id="2030569957">
      <w:bodyDiv w:val="1"/>
      <w:marLeft w:val="0"/>
      <w:marRight w:val="0"/>
      <w:marTop w:val="0"/>
      <w:marBottom w:val="0"/>
      <w:divBdr>
        <w:top w:val="none" w:sz="0" w:space="0" w:color="auto"/>
        <w:left w:val="none" w:sz="0" w:space="0" w:color="auto"/>
        <w:bottom w:val="none" w:sz="0" w:space="0" w:color="auto"/>
        <w:right w:val="none" w:sz="0" w:space="0" w:color="auto"/>
      </w:divBdr>
      <w:divsChild>
        <w:div w:id="1027101955">
          <w:marLeft w:val="0"/>
          <w:marRight w:val="0"/>
          <w:marTop w:val="0"/>
          <w:marBottom w:val="0"/>
          <w:divBdr>
            <w:top w:val="none" w:sz="0" w:space="0" w:color="auto"/>
            <w:left w:val="none" w:sz="0" w:space="0" w:color="auto"/>
            <w:bottom w:val="none" w:sz="0" w:space="0" w:color="auto"/>
            <w:right w:val="none" w:sz="0" w:space="0" w:color="auto"/>
          </w:divBdr>
          <w:divsChild>
            <w:div w:id="672757049">
              <w:marLeft w:val="0"/>
              <w:marRight w:val="0"/>
              <w:marTop w:val="0"/>
              <w:marBottom w:val="0"/>
              <w:divBdr>
                <w:top w:val="none" w:sz="0" w:space="0" w:color="auto"/>
                <w:left w:val="none" w:sz="0" w:space="0" w:color="auto"/>
                <w:bottom w:val="none" w:sz="0" w:space="0" w:color="auto"/>
                <w:right w:val="none" w:sz="0" w:space="0" w:color="auto"/>
              </w:divBdr>
              <w:divsChild>
                <w:div w:id="33310783">
                  <w:marLeft w:val="0"/>
                  <w:marRight w:val="0"/>
                  <w:marTop w:val="0"/>
                  <w:marBottom w:val="0"/>
                  <w:divBdr>
                    <w:top w:val="none" w:sz="0" w:space="0" w:color="auto"/>
                    <w:left w:val="none" w:sz="0" w:space="0" w:color="auto"/>
                    <w:bottom w:val="none" w:sz="0" w:space="0" w:color="auto"/>
                    <w:right w:val="none" w:sz="0" w:space="0" w:color="auto"/>
                  </w:divBdr>
                  <w:divsChild>
                    <w:div w:id="4214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23117">
      <w:bodyDiv w:val="1"/>
      <w:marLeft w:val="0"/>
      <w:marRight w:val="0"/>
      <w:marTop w:val="0"/>
      <w:marBottom w:val="0"/>
      <w:divBdr>
        <w:top w:val="none" w:sz="0" w:space="0" w:color="auto"/>
        <w:left w:val="none" w:sz="0" w:space="0" w:color="auto"/>
        <w:bottom w:val="none" w:sz="0" w:space="0" w:color="auto"/>
        <w:right w:val="none" w:sz="0" w:space="0" w:color="auto"/>
      </w:divBdr>
      <w:divsChild>
        <w:div w:id="671496309">
          <w:marLeft w:val="0"/>
          <w:marRight w:val="0"/>
          <w:marTop w:val="0"/>
          <w:marBottom w:val="0"/>
          <w:divBdr>
            <w:top w:val="none" w:sz="0" w:space="0" w:color="auto"/>
            <w:left w:val="none" w:sz="0" w:space="0" w:color="auto"/>
            <w:bottom w:val="none" w:sz="0" w:space="0" w:color="auto"/>
            <w:right w:val="none" w:sz="0" w:space="0" w:color="auto"/>
          </w:divBdr>
          <w:divsChild>
            <w:div w:id="918946393">
              <w:marLeft w:val="0"/>
              <w:marRight w:val="0"/>
              <w:marTop w:val="0"/>
              <w:marBottom w:val="0"/>
              <w:divBdr>
                <w:top w:val="none" w:sz="0" w:space="0" w:color="auto"/>
                <w:left w:val="none" w:sz="0" w:space="0" w:color="auto"/>
                <w:bottom w:val="none" w:sz="0" w:space="0" w:color="auto"/>
                <w:right w:val="none" w:sz="0" w:space="0" w:color="auto"/>
              </w:divBdr>
              <w:divsChild>
                <w:div w:id="13120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6247">
      <w:bodyDiv w:val="1"/>
      <w:marLeft w:val="0"/>
      <w:marRight w:val="0"/>
      <w:marTop w:val="0"/>
      <w:marBottom w:val="0"/>
      <w:divBdr>
        <w:top w:val="none" w:sz="0" w:space="0" w:color="auto"/>
        <w:left w:val="none" w:sz="0" w:space="0" w:color="auto"/>
        <w:bottom w:val="none" w:sz="0" w:space="0" w:color="auto"/>
        <w:right w:val="none" w:sz="0" w:space="0" w:color="auto"/>
      </w:divBdr>
      <w:divsChild>
        <w:div w:id="1878228287">
          <w:marLeft w:val="0"/>
          <w:marRight w:val="0"/>
          <w:marTop w:val="0"/>
          <w:marBottom w:val="0"/>
          <w:divBdr>
            <w:top w:val="none" w:sz="0" w:space="0" w:color="auto"/>
            <w:left w:val="none" w:sz="0" w:space="0" w:color="auto"/>
            <w:bottom w:val="none" w:sz="0" w:space="0" w:color="auto"/>
            <w:right w:val="none" w:sz="0" w:space="0" w:color="auto"/>
          </w:divBdr>
          <w:divsChild>
            <w:div w:id="1554803946">
              <w:marLeft w:val="0"/>
              <w:marRight w:val="0"/>
              <w:marTop w:val="0"/>
              <w:marBottom w:val="0"/>
              <w:divBdr>
                <w:top w:val="none" w:sz="0" w:space="0" w:color="auto"/>
                <w:left w:val="none" w:sz="0" w:space="0" w:color="auto"/>
                <w:bottom w:val="none" w:sz="0" w:space="0" w:color="auto"/>
                <w:right w:val="none" w:sz="0" w:space="0" w:color="auto"/>
              </w:divBdr>
              <w:divsChild>
                <w:div w:id="21455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A5CD6-65D9-904D-9EF0-1DA790EA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9375</Words>
  <Characters>51566</Characters>
  <Application>Microsoft Office Word</Application>
  <DocSecurity>0</DocSecurity>
  <Lines>429</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Maxime Tecqmenne</cp:lastModifiedBy>
  <cp:revision>9</cp:revision>
  <cp:lastPrinted>2021-07-07T15:16:00Z</cp:lastPrinted>
  <dcterms:created xsi:type="dcterms:W3CDTF">2021-07-13T16:29:00Z</dcterms:created>
  <dcterms:modified xsi:type="dcterms:W3CDTF">2021-07-20T09:36:00Z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2021-07-13T16:13:18Z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893948d4-5cc6-4c70-934d-a3a17e75829e</vt:lpwstr>
  </property>
  <property fmtid="{D5CDD505-2E9C-101B-9397-08002B2CF9AE}" pid="8" name="MSIP_Label_06c24981-b6df-48f8-949b-0896357b9b03_ContentBits">
    <vt:lpwstr>0</vt:lpwstr>
  </property>
</Properties>
</file>