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E9C35" w14:textId="4CAA6A47" w:rsidR="00E40092" w:rsidRDefault="00E40092">
      <w:pPr>
        <w:rPr>
          <w:sz w:val="24"/>
          <w:szCs w:val="24"/>
          <w:lang w:val="nl-BE"/>
        </w:rPr>
      </w:pPr>
      <w:r>
        <w:rPr>
          <w:sz w:val="24"/>
          <w:szCs w:val="24"/>
          <w:lang w:val="nl-BE"/>
        </w:rPr>
        <w:t>Brussel (43</w:t>
      </w:r>
      <w:r w:rsidRPr="00E40092">
        <w:rPr>
          <w:sz w:val="24"/>
          <w:szCs w:val="24"/>
          <w:vertAlign w:val="superscript"/>
          <w:lang w:val="nl-BE"/>
        </w:rPr>
        <w:t>ste</w:t>
      </w:r>
      <w:r>
        <w:rPr>
          <w:sz w:val="24"/>
          <w:szCs w:val="24"/>
          <w:lang w:val="nl-BE"/>
        </w:rPr>
        <w:t xml:space="preserve"> k.), 10 augustus 2018</w:t>
      </w:r>
    </w:p>
    <w:p w14:paraId="40BC1609" w14:textId="7212ECE0" w:rsidR="00E40092" w:rsidRDefault="00E40092">
      <w:pPr>
        <w:rPr>
          <w:sz w:val="24"/>
          <w:szCs w:val="24"/>
          <w:lang w:val="nl-BE"/>
        </w:rPr>
      </w:pPr>
      <w:r>
        <w:rPr>
          <w:sz w:val="24"/>
          <w:szCs w:val="24"/>
          <w:lang w:val="nl-BE"/>
        </w:rPr>
        <w:t>Gent (11</w:t>
      </w:r>
      <w:r w:rsidRPr="00E40092">
        <w:rPr>
          <w:sz w:val="24"/>
          <w:szCs w:val="24"/>
          <w:vertAlign w:val="superscript"/>
          <w:lang w:val="nl-BE"/>
        </w:rPr>
        <w:t>de</w:t>
      </w:r>
      <w:r>
        <w:rPr>
          <w:sz w:val="24"/>
          <w:szCs w:val="24"/>
          <w:lang w:val="nl-BE"/>
        </w:rPr>
        <w:t xml:space="preserve"> k.), 10 augustus 2018</w:t>
      </w:r>
    </w:p>
    <w:p w14:paraId="6BF5F221" w14:textId="2E24136C" w:rsidR="0057336C" w:rsidRPr="00E40092" w:rsidRDefault="003C4A5A">
      <w:pPr>
        <w:rPr>
          <w:i/>
          <w:iCs/>
          <w:sz w:val="24"/>
          <w:szCs w:val="24"/>
          <w:lang w:val="nl-BE"/>
        </w:rPr>
      </w:pPr>
      <w:r>
        <w:rPr>
          <w:i/>
          <w:iCs/>
          <w:sz w:val="24"/>
          <w:szCs w:val="24"/>
          <w:lang w:val="nl-BE"/>
        </w:rPr>
        <w:t>D</w:t>
      </w:r>
      <w:r w:rsidR="00E40092" w:rsidRPr="00E40092">
        <w:rPr>
          <w:i/>
          <w:iCs/>
          <w:sz w:val="24"/>
          <w:szCs w:val="24"/>
          <w:lang w:val="nl-BE"/>
        </w:rPr>
        <w:t xml:space="preserve">raagmoederschap </w:t>
      </w:r>
      <w:r>
        <w:rPr>
          <w:i/>
          <w:iCs/>
          <w:sz w:val="24"/>
          <w:szCs w:val="24"/>
          <w:lang w:val="nl-BE"/>
        </w:rPr>
        <w:t xml:space="preserve">in </w:t>
      </w:r>
      <w:proofErr w:type="spellStart"/>
      <w:r>
        <w:rPr>
          <w:i/>
          <w:iCs/>
          <w:sz w:val="24"/>
          <w:szCs w:val="24"/>
          <w:lang w:val="nl-BE"/>
        </w:rPr>
        <w:t>ipr</w:t>
      </w:r>
      <w:proofErr w:type="spellEnd"/>
      <w:r>
        <w:rPr>
          <w:i/>
          <w:iCs/>
          <w:sz w:val="24"/>
          <w:szCs w:val="24"/>
          <w:lang w:val="nl-BE"/>
        </w:rPr>
        <w:t>-</w:t>
      </w:r>
      <w:proofErr w:type="gramStart"/>
      <w:r>
        <w:rPr>
          <w:i/>
          <w:iCs/>
          <w:sz w:val="24"/>
          <w:szCs w:val="24"/>
          <w:lang w:val="nl-BE"/>
        </w:rPr>
        <w:t xml:space="preserve">land </w:t>
      </w:r>
      <w:r w:rsidR="00E40092" w:rsidRPr="00E40092">
        <w:rPr>
          <w:i/>
          <w:iCs/>
          <w:sz w:val="24"/>
          <w:szCs w:val="24"/>
          <w:lang w:val="nl-BE"/>
        </w:rPr>
        <w:t>:</w:t>
      </w:r>
      <w:proofErr w:type="gramEnd"/>
      <w:r w:rsidR="00E40092" w:rsidRPr="00E40092">
        <w:rPr>
          <w:i/>
          <w:iCs/>
          <w:sz w:val="24"/>
          <w:szCs w:val="24"/>
          <w:lang w:val="nl-BE"/>
        </w:rPr>
        <w:t xml:space="preserve"> </w:t>
      </w:r>
      <w:r>
        <w:rPr>
          <w:i/>
          <w:iCs/>
          <w:sz w:val="24"/>
          <w:szCs w:val="24"/>
          <w:lang w:val="nl-BE"/>
        </w:rPr>
        <w:t>over onbeantwoorde vragen en onduidelijke parameters</w:t>
      </w:r>
    </w:p>
    <w:p w14:paraId="78F5874D" w14:textId="144FFB04" w:rsidR="00E40092" w:rsidRPr="000072C2" w:rsidRDefault="00E40092">
      <w:pPr>
        <w:rPr>
          <w:sz w:val="24"/>
          <w:szCs w:val="24"/>
          <w:lang w:val="nl-BE"/>
        </w:rPr>
      </w:pPr>
      <w:r>
        <w:rPr>
          <w:sz w:val="24"/>
          <w:szCs w:val="24"/>
          <w:lang w:val="nl-BE"/>
        </w:rPr>
        <w:t>Patrick Wautelet</w:t>
      </w:r>
      <w:r w:rsidR="003C4A5A">
        <w:rPr>
          <w:sz w:val="24"/>
          <w:szCs w:val="24"/>
          <w:lang w:val="nl-BE"/>
        </w:rPr>
        <w:t xml:space="preserve"> (</w:t>
      </w:r>
      <w:proofErr w:type="spellStart"/>
      <w:r w:rsidR="003C4A5A">
        <w:rPr>
          <w:sz w:val="24"/>
          <w:szCs w:val="24"/>
          <w:lang w:val="nl-BE"/>
        </w:rPr>
        <w:t>ULuik</w:t>
      </w:r>
      <w:proofErr w:type="spellEnd"/>
      <w:r w:rsidR="003C4A5A">
        <w:rPr>
          <w:sz w:val="24"/>
          <w:szCs w:val="24"/>
          <w:lang w:val="nl-BE"/>
        </w:rPr>
        <w:t>)</w:t>
      </w:r>
    </w:p>
    <w:p w14:paraId="7B9412D2" w14:textId="77777777" w:rsidR="0059619C" w:rsidRDefault="0059619C">
      <w:pPr>
        <w:rPr>
          <w:sz w:val="24"/>
          <w:szCs w:val="24"/>
          <w:lang w:val="nl-BE"/>
        </w:rPr>
      </w:pPr>
    </w:p>
    <w:p w14:paraId="5B474613" w14:textId="17577471" w:rsidR="0059619C" w:rsidRDefault="0059619C" w:rsidP="0059619C">
      <w:pPr>
        <w:jc w:val="both"/>
        <w:rPr>
          <w:sz w:val="24"/>
          <w:szCs w:val="24"/>
          <w:lang w:val="nl-BE"/>
        </w:rPr>
      </w:pPr>
      <w:r>
        <w:rPr>
          <w:sz w:val="24"/>
          <w:szCs w:val="24"/>
          <w:lang w:val="nl-BE"/>
        </w:rPr>
        <w:t>Belgische rechtbanken worden al een aantal jaren geconfronteerd met vorderingen van wensouders die een beroep op een draagmoeder in het buitenland</w:t>
      </w:r>
      <w:r w:rsidR="00291159" w:rsidRPr="00291159">
        <w:rPr>
          <w:sz w:val="24"/>
          <w:szCs w:val="24"/>
          <w:lang w:val="nl-BE"/>
        </w:rPr>
        <w:t xml:space="preserve"> </w:t>
      </w:r>
      <w:r w:rsidR="00291159">
        <w:rPr>
          <w:sz w:val="24"/>
          <w:szCs w:val="24"/>
          <w:lang w:val="nl-BE"/>
        </w:rPr>
        <w:t>hebben gedaan</w:t>
      </w:r>
      <w:r>
        <w:rPr>
          <w:sz w:val="24"/>
          <w:szCs w:val="24"/>
          <w:lang w:val="nl-BE"/>
        </w:rPr>
        <w:t xml:space="preserve">. In de twee becommentarieerde zaken ging het enerzijds om een koppel die dankzij de bereidheid van een draagmoeder in Californië twee dochters heeft </w:t>
      </w:r>
      <w:r w:rsidR="00291159">
        <w:rPr>
          <w:sz w:val="24"/>
          <w:szCs w:val="24"/>
          <w:lang w:val="nl-BE"/>
        </w:rPr>
        <w:t>mogen verwelkomen</w:t>
      </w:r>
      <w:r>
        <w:rPr>
          <w:sz w:val="24"/>
          <w:szCs w:val="24"/>
          <w:lang w:val="nl-BE"/>
        </w:rPr>
        <w:t xml:space="preserve"> en anderzijds om een man met de Belgische en de Italiaanse nationaliteit die met de medewerking van een draagmoeder in Mexico een zoon </w:t>
      </w:r>
      <w:r w:rsidR="00167C01">
        <w:rPr>
          <w:sz w:val="24"/>
          <w:szCs w:val="24"/>
          <w:lang w:val="nl-BE"/>
        </w:rPr>
        <w:t>had</w:t>
      </w:r>
      <w:r>
        <w:rPr>
          <w:sz w:val="24"/>
          <w:szCs w:val="24"/>
          <w:lang w:val="nl-BE"/>
        </w:rPr>
        <w:t xml:space="preserve"> verwekt. In de twee landen werden geboorteakte</w:t>
      </w:r>
      <w:r w:rsidR="00016FDD">
        <w:rPr>
          <w:sz w:val="24"/>
          <w:szCs w:val="24"/>
          <w:lang w:val="nl-BE"/>
        </w:rPr>
        <w:t>n</w:t>
      </w:r>
      <w:r>
        <w:rPr>
          <w:sz w:val="24"/>
          <w:szCs w:val="24"/>
          <w:lang w:val="nl-BE"/>
        </w:rPr>
        <w:t xml:space="preserve"> opgesteld, waarin de wensouders </w:t>
      </w:r>
      <w:proofErr w:type="gramStart"/>
      <w:r w:rsidR="00291159">
        <w:rPr>
          <w:sz w:val="24"/>
          <w:szCs w:val="24"/>
          <w:lang w:val="nl-BE"/>
        </w:rPr>
        <w:t>conform</w:t>
      </w:r>
      <w:proofErr w:type="gramEnd"/>
      <w:r w:rsidR="00291159">
        <w:rPr>
          <w:sz w:val="24"/>
          <w:szCs w:val="24"/>
          <w:lang w:val="nl-BE"/>
        </w:rPr>
        <w:t xml:space="preserve"> het lokaal recht </w:t>
      </w:r>
      <w:r>
        <w:rPr>
          <w:sz w:val="24"/>
          <w:szCs w:val="24"/>
          <w:lang w:val="nl-BE"/>
        </w:rPr>
        <w:t>als wettelijke ouders van de kinderen werden opgenomen</w:t>
      </w:r>
      <w:r w:rsidR="00BE6E2F" w:rsidRPr="000072C2">
        <w:rPr>
          <w:rStyle w:val="Appelnotedebasdep"/>
          <w:sz w:val="24"/>
          <w:szCs w:val="24"/>
          <w:lang w:val="nl-BE"/>
        </w:rPr>
        <w:footnoteReference w:id="1"/>
      </w:r>
      <w:r>
        <w:rPr>
          <w:sz w:val="24"/>
          <w:szCs w:val="24"/>
          <w:lang w:val="nl-BE"/>
        </w:rPr>
        <w:t xml:space="preserve">. </w:t>
      </w:r>
      <w:r w:rsidR="00016FDD">
        <w:rPr>
          <w:sz w:val="24"/>
          <w:szCs w:val="24"/>
          <w:lang w:val="nl-BE"/>
        </w:rPr>
        <w:t xml:space="preserve">De geboorteakten werden evenwel </w:t>
      </w:r>
      <w:r w:rsidR="00167C01">
        <w:rPr>
          <w:sz w:val="24"/>
          <w:szCs w:val="24"/>
          <w:lang w:val="nl-BE"/>
        </w:rPr>
        <w:t xml:space="preserve">door de Belgische overheid niet als dusdanig erkend, of althans werden de afstammingsbanden die </w:t>
      </w:r>
      <w:r w:rsidR="00016FDD">
        <w:rPr>
          <w:sz w:val="24"/>
          <w:szCs w:val="24"/>
          <w:lang w:val="nl-BE"/>
        </w:rPr>
        <w:t>in</w:t>
      </w:r>
      <w:r w:rsidR="00167C01">
        <w:rPr>
          <w:sz w:val="24"/>
          <w:szCs w:val="24"/>
          <w:lang w:val="nl-BE"/>
        </w:rPr>
        <w:t xml:space="preserve"> de akten </w:t>
      </w:r>
      <w:r w:rsidR="00016FDD">
        <w:rPr>
          <w:sz w:val="24"/>
          <w:szCs w:val="24"/>
          <w:lang w:val="nl-BE"/>
        </w:rPr>
        <w:t>werden vastgesteld</w:t>
      </w:r>
      <w:r w:rsidR="00DA197E">
        <w:rPr>
          <w:sz w:val="24"/>
          <w:szCs w:val="24"/>
          <w:lang w:val="nl-BE"/>
        </w:rPr>
        <w:t>, niet erkend.</w:t>
      </w:r>
    </w:p>
    <w:p w14:paraId="2506A11D" w14:textId="5C2C4434" w:rsidR="00EF5423" w:rsidRDefault="00016FDD" w:rsidP="008A783A">
      <w:pPr>
        <w:jc w:val="both"/>
        <w:rPr>
          <w:sz w:val="24"/>
          <w:szCs w:val="24"/>
          <w:lang w:val="nl-BE"/>
        </w:rPr>
      </w:pPr>
      <w:r>
        <w:rPr>
          <w:sz w:val="24"/>
          <w:szCs w:val="24"/>
          <w:lang w:val="nl-BE"/>
        </w:rPr>
        <w:t xml:space="preserve">Zoals in de </w:t>
      </w:r>
      <w:r w:rsidR="00EF5423">
        <w:rPr>
          <w:sz w:val="24"/>
          <w:szCs w:val="24"/>
          <w:lang w:val="nl-BE"/>
        </w:rPr>
        <w:t xml:space="preserve">vele </w:t>
      </w:r>
      <w:r w:rsidR="008A783A">
        <w:rPr>
          <w:sz w:val="24"/>
          <w:szCs w:val="24"/>
          <w:lang w:val="nl-BE"/>
        </w:rPr>
        <w:t xml:space="preserve">andere </w:t>
      </w:r>
      <w:r w:rsidR="00EF5423">
        <w:rPr>
          <w:sz w:val="24"/>
          <w:szCs w:val="24"/>
          <w:lang w:val="nl-BE"/>
        </w:rPr>
        <w:t xml:space="preserve">zaken die ondertussen </w:t>
      </w:r>
      <w:r w:rsidR="008A783A">
        <w:rPr>
          <w:sz w:val="24"/>
          <w:szCs w:val="24"/>
          <w:lang w:val="nl-BE"/>
        </w:rPr>
        <w:t>aan Belgische</w:t>
      </w:r>
      <w:r w:rsidR="00EF5423">
        <w:rPr>
          <w:sz w:val="24"/>
          <w:szCs w:val="24"/>
          <w:lang w:val="nl-BE"/>
        </w:rPr>
        <w:t xml:space="preserve"> </w:t>
      </w:r>
      <w:r w:rsidR="008A783A">
        <w:rPr>
          <w:sz w:val="24"/>
          <w:szCs w:val="24"/>
          <w:lang w:val="nl-BE"/>
        </w:rPr>
        <w:t>rechtbanken zijn voorgelegd n.a.v. de geboorte van een kind uit een draagmoeder</w:t>
      </w:r>
      <w:r w:rsidR="00EF5423">
        <w:rPr>
          <w:sz w:val="24"/>
          <w:szCs w:val="24"/>
          <w:lang w:val="nl-BE"/>
        </w:rPr>
        <w:t>, moe</w:t>
      </w:r>
      <w:r w:rsidR="008A783A">
        <w:rPr>
          <w:sz w:val="24"/>
          <w:szCs w:val="24"/>
          <w:lang w:val="nl-BE"/>
        </w:rPr>
        <w:t>s</w:t>
      </w:r>
      <w:r w:rsidR="00EF5423">
        <w:rPr>
          <w:sz w:val="24"/>
          <w:szCs w:val="24"/>
          <w:lang w:val="nl-BE"/>
        </w:rPr>
        <w:t>ten de</w:t>
      </w:r>
      <w:r w:rsidR="00EF5423" w:rsidRPr="00EF5423">
        <w:rPr>
          <w:sz w:val="24"/>
          <w:szCs w:val="24"/>
          <w:lang w:val="nl-BE"/>
        </w:rPr>
        <w:t xml:space="preserve"> </w:t>
      </w:r>
      <w:r w:rsidR="00EF5423">
        <w:rPr>
          <w:sz w:val="24"/>
          <w:szCs w:val="24"/>
          <w:lang w:val="nl-BE"/>
        </w:rPr>
        <w:t>recht</w:t>
      </w:r>
      <w:r w:rsidR="008A783A">
        <w:rPr>
          <w:sz w:val="24"/>
          <w:szCs w:val="24"/>
          <w:lang w:val="nl-BE"/>
        </w:rPr>
        <w:t>ers</w:t>
      </w:r>
      <w:r w:rsidR="00EF5423">
        <w:rPr>
          <w:sz w:val="24"/>
          <w:szCs w:val="24"/>
          <w:lang w:val="nl-BE"/>
        </w:rPr>
        <w:t xml:space="preserve"> </w:t>
      </w:r>
      <w:r w:rsidR="008A783A">
        <w:rPr>
          <w:sz w:val="24"/>
          <w:szCs w:val="24"/>
          <w:lang w:val="nl-BE"/>
        </w:rPr>
        <w:t xml:space="preserve">in de twee zaken </w:t>
      </w:r>
      <w:r w:rsidR="00EF5423">
        <w:rPr>
          <w:sz w:val="24"/>
          <w:szCs w:val="24"/>
          <w:lang w:val="nl-BE"/>
        </w:rPr>
        <w:t xml:space="preserve">zich met </w:t>
      </w:r>
      <w:r w:rsidR="008A783A">
        <w:rPr>
          <w:sz w:val="24"/>
          <w:szCs w:val="24"/>
          <w:lang w:val="nl-BE"/>
        </w:rPr>
        <w:t>het</w:t>
      </w:r>
      <w:r w:rsidR="00EF5423" w:rsidRPr="000072C2">
        <w:rPr>
          <w:sz w:val="24"/>
          <w:szCs w:val="24"/>
          <w:lang w:val="nl-BE"/>
        </w:rPr>
        <w:t xml:space="preserve"> gewone instrument</w:t>
      </w:r>
      <w:r w:rsidR="008A783A">
        <w:rPr>
          <w:sz w:val="24"/>
          <w:szCs w:val="24"/>
          <w:lang w:val="nl-BE"/>
        </w:rPr>
        <w:t>arium van het internationaal privaatrecht</w:t>
      </w:r>
      <w:r w:rsidR="00EF5423">
        <w:rPr>
          <w:sz w:val="24"/>
          <w:szCs w:val="24"/>
          <w:lang w:val="nl-BE"/>
        </w:rPr>
        <w:t xml:space="preserve"> behelpen</w:t>
      </w:r>
      <w:r w:rsidR="00EF5423" w:rsidRPr="000072C2">
        <w:rPr>
          <w:sz w:val="24"/>
          <w:szCs w:val="24"/>
          <w:lang w:val="nl-BE"/>
        </w:rPr>
        <w:t>.</w:t>
      </w:r>
      <w:r w:rsidR="008A783A">
        <w:rPr>
          <w:sz w:val="24"/>
          <w:szCs w:val="24"/>
          <w:lang w:val="nl-BE"/>
        </w:rPr>
        <w:t xml:space="preserve"> De vaststelling van afstammingsbanden en de erkenning van</w:t>
      </w:r>
      <w:r w:rsidR="00291159">
        <w:rPr>
          <w:sz w:val="24"/>
          <w:szCs w:val="24"/>
          <w:lang w:val="nl-BE"/>
        </w:rPr>
        <w:t xml:space="preserve"> die banden</w:t>
      </w:r>
      <w:r w:rsidR="008A783A">
        <w:rPr>
          <w:sz w:val="24"/>
          <w:szCs w:val="24"/>
          <w:lang w:val="nl-BE"/>
        </w:rPr>
        <w:t xml:space="preserve"> verloopt immers niet anders wanneer het kind uit een draagmoeder geboren is.</w:t>
      </w:r>
      <w:r w:rsidR="00EF5423" w:rsidRPr="000072C2">
        <w:rPr>
          <w:sz w:val="24"/>
          <w:szCs w:val="24"/>
          <w:lang w:val="nl-BE"/>
        </w:rPr>
        <w:t xml:space="preserve"> </w:t>
      </w:r>
      <w:r w:rsidR="008A783A">
        <w:rPr>
          <w:sz w:val="24"/>
          <w:szCs w:val="24"/>
          <w:lang w:val="nl-BE"/>
        </w:rPr>
        <w:t>De rechtspraak heeft o</w:t>
      </w:r>
      <w:r w:rsidR="00EF5423">
        <w:rPr>
          <w:sz w:val="24"/>
          <w:szCs w:val="24"/>
          <w:lang w:val="nl-BE"/>
        </w:rPr>
        <w:t xml:space="preserve">ndertussen </w:t>
      </w:r>
      <w:r w:rsidR="008A783A">
        <w:rPr>
          <w:sz w:val="24"/>
          <w:szCs w:val="24"/>
          <w:lang w:val="nl-BE"/>
        </w:rPr>
        <w:t xml:space="preserve">al wat ervaring met deze problematiek. Voor een aantal vragen die uit de toepassing van de klassieke </w:t>
      </w:r>
      <w:proofErr w:type="spellStart"/>
      <w:r w:rsidR="008A783A">
        <w:rPr>
          <w:sz w:val="24"/>
          <w:szCs w:val="24"/>
          <w:lang w:val="nl-BE"/>
        </w:rPr>
        <w:t>ipr</w:t>
      </w:r>
      <w:proofErr w:type="spellEnd"/>
      <w:r w:rsidR="008A783A">
        <w:rPr>
          <w:sz w:val="24"/>
          <w:szCs w:val="24"/>
          <w:lang w:val="nl-BE"/>
        </w:rPr>
        <w:t>-instrumenten voortvloeien, zijn antwoorden stilaan duidelijk. De twee becommentarieerde zaken laten evenwel zien dat een aantal vragen</w:t>
      </w:r>
      <w:r w:rsidR="00EF5423">
        <w:rPr>
          <w:sz w:val="24"/>
          <w:szCs w:val="24"/>
          <w:lang w:val="nl-BE"/>
        </w:rPr>
        <w:t xml:space="preserve"> onopgelost blijven. </w:t>
      </w:r>
      <w:r w:rsidR="008A783A">
        <w:rPr>
          <w:sz w:val="24"/>
          <w:szCs w:val="24"/>
          <w:lang w:val="nl-BE"/>
        </w:rPr>
        <w:t xml:space="preserve">Hierna </w:t>
      </w:r>
      <w:r w:rsidR="00EF5423">
        <w:rPr>
          <w:sz w:val="24"/>
          <w:szCs w:val="24"/>
          <w:lang w:val="nl-BE"/>
        </w:rPr>
        <w:t>zal op deze vragen worden stilgestaan.</w:t>
      </w:r>
    </w:p>
    <w:p w14:paraId="7A914838" w14:textId="23533FE4" w:rsidR="0059619C" w:rsidRDefault="003A41A4" w:rsidP="0059619C">
      <w:pPr>
        <w:jc w:val="both"/>
        <w:rPr>
          <w:sz w:val="24"/>
          <w:szCs w:val="24"/>
          <w:lang w:val="nl-BE"/>
        </w:rPr>
      </w:pPr>
      <w:r>
        <w:rPr>
          <w:sz w:val="24"/>
          <w:szCs w:val="24"/>
          <w:lang w:val="nl-BE"/>
        </w:rPr>
        <w:t xml:space="preserve">Voor een deel zijn deze vragen gemeenschappelijk aan alle zaken waarin </w:t>
      </w:r>
      <w:r w:rsidR="00E20CC3">
        <w:rPr>
          <w:sz w:val="24"/>
          <w:szCs w:val="24"/>
          <w:lang w:val="nl-BE"/>
        </w:rPr>
        <w:t>het kind uit een draagmoeder geboren is</w:t>
      </w:r>
      <w:r w:rsidR="00291159">
        <w:rPr>
          <w:sz w:val="24"/>
          <w:szCs w:val="24"/>
          <w:lang w:val="nl-BE"/>
        </w:rPr>
        <w:t xml:space="preserve"> – dit geldt o.a. voor de toepassing van de leer van de wetsontduiking of van de openbare orde-toets</w:t>
      </w:r>
      <w:r w:rsidR="00E20CC3">
        <w:rPr>
          <w:sz w:val="24"/>
          <w:szCs w:val="24"/>
          <w:lang w:val="nl-BE"/>
        </w:rPr>
        <w:t xml:space="preserve">. </w:t>
      </w:r>
      <w:r w:rsidR="00E40092">
        <w:rPr>
          <w:sz w:val="24"/>
          <w:szCs w:val="24"/>
          <w:lang w:val="nl-BE"/>
        </w:rPr>
        <w:t xml:space="preserve">Op </w:t>
      </w:r>
      <w:r w:rsidR="00291159">
        <w:rPr>
          <w:sz w:val="24"/>
          <w:szCs w:val="24"/>
          <w:lang w:val="nl-BE"/>
        </w:rPr>
        <w:t>éé</w:t>
      </w:r>
      <w:r w:rsidR="00E40092">
        <w:rPr>
          <w:sz w:val="24"/>
          <w:szCs w:val="24"/>
          <w:lang w:val="nl-BE"/>
        </w:rPr>
        <w:t>n punt verschillen de twee zaken wel</w:t>
      </w:r>
      <w:r w:rsidR="00E20CC3">
        <w:rPr>
          <w:sz w:val="24"/>
          <w:szCs w:val="24"/>
          <w:lang w:val="nl-BE"/>
        </w:rPr>
        <w:t xml:space="preserve">. Er zijn immers twee manieren waarop de afstamming van het kind in het buitenland </w:t>
      </w:r>
      <w:r w:rsidR="00E40092">
        <w:rPr>
          <w:sz w:val="24"/>
          <w:szCs w:val="24"/>
          <w:lang w:val="nl-BE"/>
        </w:rPr>
        <w:t xml:space="preserve">kan worden </w:t>
      </w:r>
      <w:r w:rsidR="00E20CC3">
        <w:rPr>
          <w:sz w:val="24"/>
          <w:szCs w:val="24"/>
          <w:lang w:val="nl-BE"/>
        </w:rPr>
        <w:t>vastgesteld</w:t>
      </w:r>
      <w:r w:rsidR="00BE4DC1" w:rsidRPr="000072C2">
        <w:rPr>
          <w:sz w:val="24"/>
          <w:szCs w:val="24"/>
          <w:lang w:val="nl-BE"/>
        </w:rPr>
        <w:t>.</w:t>
      </w:r>
      <w:r w:rsidR="00E20CC3">
        <w:rPr>
          <w:sz w:val="24"/>
          <w:szCs w:val="24"/>
          <w:lang w:val="nl-BE"/>
        </w:rPr>
        <w:t xml:space="preserve"> In een aantal landen, zoals in Californië, wordt de afstamming </w:t>
      </w:r>
      <w:proofErr w:type="gramStart"/>
      <w:r w:rsidR="00E20CC3">
        <w:rPr>
          <w:sz w:val="24"/>
          <w:szCs w:val="24"/>
          <w:lang w:val="nl-BE"/>
        </w:rPr>
        <w:t>reeds</w:t>
      </w:r>
      <w:proofErr w:type="gramEnd"/>
      <w:r w:rsidR="00E20CC3">
        <w:rPr>
          <w:sz w:val="24"/>
          <w:szCs w:val="24"/>
          <w:lang w:val="nl-BE"/>
        </w:rPr>
        <w:t xml:space="preserve"> vóór de geboorte door een rechter vastgelegd. Ook al wordt na de geboorte van het kind een geboorteakte opgesteld, </w:t>
      </w:r>
      <w:r w:rsidR="00E40092">
        <w:rPr>
          <w:sz w:val="24"/>
          <w:szCs w:val="24"/>
          <w:lang w:val="nl-BE"/>
        </w:rPr>
        <w:t>verloopt</w:t>
      </w:r>
      <w:r w:rsidR="00E20CC3">
        <w:rPr>
          <w:sz w:val="24"/>
          <w:szCs w:val="24"/>
          <w:lang w:val="nl-BE"/>
        </w:rPr>
        <w:t xml:space="preserve"> de erkenning van de afstammingsband </w:t>
      </w:r>
      <w:r w:rsidR="00E40092">
        <w:rPr>
          <w:sz w:val="24"/>
          <w:szCs w:val="24"/>
          <w:lang w:val="nl-BE"/>
        </w:rPr>
        <w:t>via</w:t>
      </w:r>
      <w:r w:rsidR="00E20CC3">
        <w:rPr>
          <w:sz w:val="24"/>
          <w:szCs w:val="24"/>
          <w:lang w:val="nl-BE"/>
        </w:rPr>
        <w:t xml:space="preserve"> artikel 22 WIPR. Deze bepaling ziet immers op de erkenning van buitenlandse beslissingen. In andere landen daarentegen, gebeurt de vaststelling van de afstamming in de geboorteakte zelf. Voor de uitwerking van de afstammingsband in België dient men </w:t>
      </w:r>
      <w:proofErr w:type="gramStart"/>
      <w:r w:rsidR="00E20CC3">
        <w:rPr>
          <w:sz w:val="24"/>
          <w:szCs w:val="24"/>
          <w:lang w:val="nl-BE"/>
        </w:rPr>
        <w:t>derhalve</w:t>
      </w:r>
      <w:proofErr w:type="gramEnd"/>
      <w:r w:rsidR="00E20CC3">
        <w:rPr>
          <w:sz w:val="24"/>
          <w:szCs w:val="24"/>
          <w:lang w:val="nl-BE"/>
        </w:rPr>
        <w:t xml:space="preserve"> artikel 27 WIPR te raadplegen. </w:t>
      </w:r>
      <w:r w:rsidR="00BE4DC1">
        <w:rPr>
          <w:sz w:val="24"/>
          <w:szCs w:val="24"/>
          <w:lang w:val="nl-BE"/>
        </w:rPr>
        <w:t xml:space="preserve">In de Mexicaanse zaak die door het Hof van beroep te Gent werd beslecht, stond deze route </w:t>
      </w:r>
      <w:r w:rsidR="00BE4DC1">
        <w:rPr>
          <w:sz w:val="24"/>
          <w:szCs w:val="24"/>
          <w:lang w:val="nl-BE"/>
        </w:rPr>
        <w:lastRenderedPageBreak/>
        <w:t xml:space="preserve">centraal, terwijl </w:t>
      </w:r>
      <w:r w:rsidR="00BE6E2F">
        <w:rPr>
          <w:sz w:val="24"/>
          <w:szCs w:val="24"/>
          <w:lang w:val="nl-BE"/>
        </w:rPr>
        <w:t xml:space="preserve">het debat voor </w:t>
      </w:r>
      <w:r w:rsidR="00BE4DC1">
        <w:rPr>
          <w:sz w:val="24"/>
          <w:szCs w:val="24"/>
          <w:lang w:val="nl-BE"/>
        </w:rPr>
        <w:t>het Hof van beroep te Brussel</w:t>
      </w:r>
      <w:r w:rsidR="00BE6E2F">
        <w:rPr>
          <w:sz w:val="24"/>
          <w:szCs w:val="24"/>
          <w:lang w:val="nl-BE"/>
        </w:rPr>
        <w:t>,</w:t>
      </w:r>
      <w:r w:rsidR="00BE4DC1">
        <w:rPr>
          <w:sz w:val="24"/>
          <w:szCs w:val="24"/>
          <w:lang w:val="nl-BE"/>
        </w:rPr>
        <w:t xml:space="preserve"> </w:t>
      </w:r>
      <w:r w:rsidR="00BE6E2F">
        <w:rPr>
          <w:sz w:val="24"/>
          <w:szCs w:val="24"/>
          <w:lang w:val="nl-BE"/>
        </w:rPr>
        <w:t xml:space="preserve">die zich over de Californische zaak moest buigen, </w:t>
      </w:r>
      <w:r w:rsidR="00BE4DC1">
        <w:rPr>
          <w:sz w:val="24"/>
          <w:szCs w:val="24"/>
          <w:lang w:val="nl-BE"/>
        </w:rPr>
        <w:t>de erkenning van een gerechtelijke beslissing</w:t>
      </w:r>
      <w:r w:rsidR="00BE6E2F">
        <w:rPr>
          <w:sz w:val="24"/>
          <w:szCs w:val="24"/>
          <w:lang w:val="nl-BE"/>
        </w:rPr>
        <w:t xml:space="preserve"> betrof</w:t>
      </w:r>
      <w:r w:rsidR="006C62D1">
        <w:rPr>
          <w:rStyle w:val="Appelnotedebasdep"/>
          <w:sz w:val="24"/>
          <w:szCs w:val="24"/>
          <w:lang w:val="nl-BE"/>
        </w:rPr>
        <w:footnoteReference w:id="2"/>
      </w:r>
      <w:r w:rsidR="006C62D1">
        <w:rPr>
          <w:sz w:val="24"/>
          <w:szCs w:val="24"/>
          <w:lang w:val="nl-BE"/>
        </w:rPr>
        <w:t>.</w:t>
      </w:r>
    </w:p>
    <w:p w14:paraId="1A6997D9" w14:textId="77777777" w:rsidR="002526D0" w:rsidRPr="000072C2" w:rsidRDefault="002526D0">
      <w:pPr>
        <w:rPr>
          <w:sz w:val="24"/>
          <w:szCs w:val="24"/>
          <w:lang w:val="nl-BE"/>
        </w:rPr>
      </w:pPr>
    </w:p>
    <w:p w14:paraId="06D07921" w14:textId="56D75626" w:rsidR="002526D0" w:rsidRPr="000072C2" w:rsidRDefault="002526D0">
      <w:pPr>
        <w:rPr>
          <w:b/>
          <w:bCs/>
          <w:sz w:val="24"/>
          <w:szCs w:val="24"/>
          <w:lang w:val="nl-BE"/>
        </w:rPr>
      </w:pPr>
      <w:r w:rsidRPr="000072C2">
        <w:rPr>
          <w:b/>
          <w:bCs/>
          <w:sz w:val="24"/>
          <w:szCs w:val="24"/>
          <w:lang w:val="nl-BE"/>
        </w:rPr>
        <w:t>1)</w:t>
      </w:r>
      <w:r w:rsidR="000D5C1A" w:rsidRPr="000072C2">
        <w:rPr>
          <w:b/>
          <w:bCs/>
          <w:sz w:val="24"/>
          <w:szCs w:val="24"/>
          <w:lang w:val="nl-BE"/>
        </w:rPr>
        <w:t xml:space="preserve"> De lijdensweg voor wensouders in </w:t>
      </w:r>
      <w:proofErr w:type="gramStart"/>
      <w:r w:rsidR="000D5C1A" w:rsidRPr="000072C2">
        <w:rPr>
          <w:b/>
          <w:bCs/>
          <w:sz w:val="24"/>
          <w:szCs w:val="24"/>
          <w:lang w:val="nl-BE"/>
        </w:rPr>
        <w:t>België :</w:t>
      </w:r>
      <w:proofErr w:type="gramEnd"/>
      <w:r w:rsidR="000D5C1A" w:rsidRPr="000072C2">
        <w:rPr>
          <w:b/>
          <w:bCs/>
          <w:sz w:val="24"/>
          <w:szCs w:val="24"/>
          <w:lang w:val="nl-BE"/>
        </w:rPr>
        <w:t xml:space="preserve"> het trage malen van de Belgische molens</w:t>
      </w:r>
    </w:p>
    <w:p w14:paraId="41F2B693" w14:textId="1679ABC2" w:rsidR="00BE6E2F" w:rsidRDefault="000D5C1A" w:rsidP="00E407FF">
      <w:pPr>
        <w:jc w:val="both"/>
        <w:rPr>
          <w:sz w:val="24"/>
          <w:szCs w:val="24"/>
          <w:lang w:val="nl-BE"/>
        </w:rPr>
      </w:pPr>
      <w:r w:rsidRPr="000072C2">
        <w:rPr>
          <w:sz w:val="24"/>
          <w:szCs w:val="24"/>
          <w:lang w:val="nl-BE"/>
        </w:rPr>
        <w:t>Wat eerst opvalt bij het lezen van de beslissingen is dat de weg voor wensouders bijzonder lang</w:t>
      </w:r>
      <w:r w:rsidR="008747C5">
        <w:rPr>
          <w:sz w:val="24"/>
          <w:szCs w:val="24"/>
          <w:lang w:val="nl-BE"/>
        </w:rPr>
        <w:t xml:space="preserve"> en </w:t>
      </w:r>
      <w:r w:rsidR="00BE6E2F">
        <w:rPr>
          <w:sz w:val="24"/>
          <w:szCs w:val="24"/>
          <w:lang w:val="nl-BE"/>
        </w:rPr>
        <w:t>soms</w:t>
      </w:r>
      <w:r w:rsidR="008747C5">
        <w:rPr>
          <w:sz w:val="24"/>
          <w:szCs w:val="24"/>
          <w:lang w:val="nl-BE"/>
        </w:rPr>
        <w:t xml:space="preserve"> hobbelig</w:t>
      </w:r>
      <w:r w:rsidRPr="000072C2">
        <w:rPr>
          <w:sz w:val="24"/>
          <w:szCs w:val="24"/>
          <w:lang w:val="nl-BE"/>
        </w:rPr>
        <w:t xml:space="preserve"> is. Dit </w:t>
      </w:r>
      <w:r w:rsidR="00BE6E2F">
        <w:rPr>
          <w:sz w:val="24"/>
          <w:szCs w:val="24"/>
          <w:lang w:val="nl-BE"/>
        </w:rPr>
        <w:t xml:space="preserve">kan misschien verwondering wekken nu de erkenning van zowel buitenlandse akten als beslissingen </w:t>
      </w:r>
      <w:r w:rsidR="00BE6E2F" w:rsidRPr="00BE6E2F">
        <w:rPr>
          <w:i/>
          <w:iCs/>
          <w:sz w:val="24"/>
          <w:szCs w:val="24"/>
          <w:lang w:val="nl-BE"/>
        </w:rPr>
        <w:t>de plano</w:t>
      </w:r>
      <w:r w:rsidR="00BE6E2F">
        <w:rPr>
          <w:sz w:val="24"/>
          <w:szCs w:val="24"/>
          <w:lang w:val="nl-BE"/>
        </w:rPr>
        <w:t xml:space="preserve"> gebeurt</w:t>
      </w:r>
      <w:r w:rsidR="00BE6E2F">
        <w:rPr>
          <w:rStyle w:val="Appelnotedebasdep"/>
          <w:sz w:val="24"/>
          <w:szCs w:val="24"/>
          <w:lang w:val="nl-BE"/>
        </w:rPr>
        <w:footnoteReference w:id="3"/>
      </w:r>
      <w:r w:rsidR="00BE6E2F">
        <w:rPr>
          <w:sz w:val="24"/>
          <w:szCs w:val="24"/>
          <w:lang w:val="nl-BE"/>
        </w:rPr>
        <w:t>. Erkenning van rechtswege betekent evenwel niet dat buitenlandse akten en beslissingen onvoorwaardelijk in de Belgische rechtsorde doorwerken. Elke overheid die met een dergelijke akte of beslissing geconfronteerd wordt, wordt geacht de verschillende voorwaarden die door het WIPR vooropgesteld worden, te toetsen.</w:t>
      </w:r>
    </w:p>
    <w:p w14:paraId="6228CA20" w14:textId="4B1B83CF" w:rsidR="000D5C1A" w:rsidRPr="000072C2" w:rsidRDefault="00BE6E2F" w:rsidP="00E34BC0">
      <w:pPr>
        <w:jc w:val="both"/>
        <w:rPr>
          <w:sz w:val="24"/>
          <w:szCs w:val="24"/>
          <w:lang w:val="nl-BE"/>
        </w:rPr>
      </w:pPr>
      <w:r>
        <w:rPr>
          <w:sz w:val="24"/>
          <w:szCs w:val="24"/>
          <w:lang w:val="nl-BE"/>
        </w:rPr>
        <w:t xml:space="preserve">Het is op dit punt dat het schoentje </w:t>
      </w:r>
      <w:proofErr w:type="gramStart"/>
      <w:r>
        <w:rPr>
          <w:sz w:val="24"/>
          <w:szCs w:val="24"/>
          <w:lang w:val="nl-BE"/>
        </w:rPr>
        <w:t>wringt :</w:t>
      </w:r>
      <w:proofErr w:type="gramEnd"/>
      <w:r w:rsidR="000D5C1A" w:rsidRPr="000072C2">
        <w:rPr>
          <w:sz w:val="24"/>
          <w:szCs w:val="24"/>
          <w:lang w:val="nl-BE"/>
        </w:rPr>
        <w:t xml:space="preserve"> </w:t>
      </w:r>
      <w:r w:rsidR="00E34BC0">
        <w:rPr>
          <w:sz w:val="24"/>
          <w:szCs w:val="24"/>
          <w:lang w:val="nl-BE"/>
        </w:rPr>
        <w:t>i</w:t>
      </w:r>
      <w:r w:rsidR="000D5C1A" w:rsidRPr="000072C2">
        <w:rPr>
          <w:sz w:val="24"/>
          <w:szCs w:val="24"/>
          <w:lang w:val="nl-BE"/>
        </w:rPr>
        <w:t xml:space="preserve">n de twee </w:t>
      </w:r>
      <w:r w:rsidR="008747C5" w:rsidRPr="000072C2">
        <w:rPr>
          <w:sz w:val="24"/>
          <w:szCs w:val="24"/>
          <w:lang w:val="nl-BE"/>
        </w:rPr>
        <w:t>becommentarieerde</w:t>
      </w:r>
      <w:r w:rsidR="000D5C1A" w:rsidRPr="000072C2">
        <w:rPr>
          <w:sz w:val="24"/>
          <w:szCs w:val="24"/>
          <w:lang w:val="nl-BE"/>
        </w:rPr>
        <w:t xml:space="preserve"> zaken heeft de gemeente, al dan niet na overleg met het parket, geweigerd om de akten van geboorte over te schrijven</w:t>
      </w:r>
      <w:r w:rsidR="000D5C1A" w:rsidRPr="000072C2">
        <w:rPr>
          <w:rStyle w:val="Appelnotedebasdep"/>
          <w:sz w:val="24"/>
          <w:szCs w:val="24"/>
          <w:lang w:val="nl-BE"/>
        </w:rPr>
        <w:footnoteReference w:id="4"/>
      </w:r>
      <w:r w:rsidR="000D5C1A" w:rsidRPr="000072C2">
        <w:rPr>
          <w:sz w:val="24"/>
          <w:szCs w:val="24"/>
          <w:lang w:val="nl-BE"/>
        </w:rPr>
        <w:t xml:space="preserve">. </w:t>
      </w:r>
      <w:r w:rsidR="00084DDA">
        <w:rPr>
          <w:sz w:val="24"/>
          <w:szCs w:val="24"/>
          <w:lang w:val="nl-BE"/>
        </w:rPr>
        <w:t>In andere zaken gaat de weigering uit van de consulaire overheid</w:t>
      </w:r>
      <w:r w:rsidR="00084DDA" w:rsidRPr="000072C2">
        <w:rPr>
          <w:rStyle w:val="Appelnotedebasdep"/>
          <w:sz w:val="24"/>
          <w:szCs w:val="24"/>
          <w:lang w:val="nl-BE"/>
        </w:rPr>
        <w:footnoteReference w:id="5"/>
      </w:r>
      <w:r w:rsidR="00084DDA">
        <w:rPr>
          <w:sz w:val="24"/>
          <w:szCs w:val="24"/>
          <w:lang w:val="nl-BE"/>
        </w:rPr>
        <w:t xml:space="preserve">. </w:t>
      </w:r>
      <w:r w:rsidR="000D5C1A" w:rsidRPr="000072C2">
        <w:rPr>
          <w:sz w:val="24"/>
          <w:szCs w:val="24"/>
          <w:lang w:val="nl-BE"/>
        </w:rPr>
        <w:t>Hierdoor worden de wensouders gedwongen om een procedure voor de rechter te starten.</w:t>
      </w:r>
    </w:p>
    <w:p w14:paraId="5857EFBB" w14:textId="76071BE1" w:rsidR="000D5C1A" w:rsidRPr="000072C2" w:rsidRDefault="000D5C1A" w:rsidP="000D5C1A">
      <w:pPr>
        <w:jc w:val="both"/>
        <w:rPr>
          <w:sz w:val="24"/>
          <w:szCs w:val="24"/>
          <w:lang w:val="nl-BE"/>
        </w:rPr>
      </w:pPr>
      <w:r w:rsidRPr="000072C2">
        <w:rPr>
          <w:sz w:val="24"/>
          <w:szCs w:val="24"/>
          <w:lang w:val="nl-BE"/>
        </w:rPr>
        <w:t>Op zich is het begrijpelijk dat ambtenaren van burgerlijke stand</w:t>
      </w:r>
      <w:r w:rsidR="00084DDA">
        <w:rPr>
          <w:sz w:val="24"/>
          <w:szCs w:val="24"/>
          <w:lang w:val="nl-BE"/>
        </w:rPr>
        <w:t xml:space="preserve"> </w:t>
      </w:r>
      <w:r w:rsidRPr="000072C2">
        <w:rPr>
          <w:sz w:val="24"/>
          <w:szCs w:val="24"/>
          <w:lang w:val="nl-BE"/>
        </w:rPr>
        <w:t xml:space="preserve">weigerachtig staan tegenover afstammingsbanden die uit een draagmoederschap voortvloeien. </w:t>
      </w:r>
      <w:r w:rsidR="00E407FF" w:rsidRPr="000072C2">
        <w:rPr>
          <w:sz w:val="24"/>
          <w:szCs w:val="24"/>
          <w:lang w:val="nl-BE"/>
        </w:rPr>
        <w:t xml:space="preserve">Draagmoederschap </w:t>
      </w:r>
      <w:r w:rsidR="008747C5">
        <w:rPr>
          <w:sz w:val="24"/>
          <w:szCs w:val="24"/>
          <w:lang w:val="nl-BE"/>
        </w:rPr>
        <w:t xml:space="preserve">is immers geen alledaagse situatie en blijft integendeel </w:t>
      </w:r>
      <w:r w:rsidR="00E407FF" w:rsidRPr="000072C2">
        <w:rPr>
          <w:sz w:val="24"/>
          <w:szCs w:val="24"/>
          <w:lang w:val="nl-BE"/>
        </w:rPr>
        <w:t xml:space="preserve">iets buitengewoons. </w:t>
      </w:r>
      <w:r w:rsidRPr="000072C2">
        <w:rPr>
          <w:sz w:val="24"/>
          <w:szCs w:val="24"/>
          <w:lang w:val="nl-BE"/>
        </w:rPr>
        <w:t>Bovendien</w:t>
      </w:r>
      <w:r w:rsidR="00E407FF" w:rsidRPr="000072C2">
        <w:rPr>
          <w:sz w:val="24"/>
          <w:szCs w:val="24"/>
          <w:lang w:val="nl-BE"/>
        </w:rPr>
        <w:t xml:space="preserve"> noopt </w:t>
      </w:r>
      <w:r w:rsidR="00F330D1">
        <w:rPr>
          <w:sz w:val="24"/>
          <w:szCs w:val="24"/>
          <w:lang w:val="nl-BE"/>
        </w:rPr>
        <w:t xml:space="preserve">de erkenning van afstammingsbanden tot het </w:t>
      </w:r>
      <w:r w:rsidR="00E407FF" w:rsidRPr="000072C2">
        <w:rPr>
          <w:sz w:val="24"/>
          <w:szCs w:val="24"/>
          <w:lang w:val="nl-BE"/>
        </w:rPr>
        <w:t xml:space="preserve">onderzoek van </w:t>
      </w:r>
      <w:proofErr w:type="spellStart"/>
      <w:r w:rsidR="00E407FF" w:rsidRPr="000072C2">
        <w:rPr>
          <w:sz w:val="24"/>
          <w:szCs w:val="24"/>
          <w:lang w:val="nl-BE"/>
        </w:rPr>
        <w:t>ipr</w:t>
      </w:r>
      <w:proofErr w:type="spellEnd"/>
      <w:r w:rsidR="00E407FF" w:rsidRPr="000072C2">
        <w:rPr>
          <w:sz w:val="24"/>
          <w:szCs w:val="24"/>
          <w:lang w:val="nl-BE"/>
        </w:rPr>
        <w:t xml:space="preserve">-begrippen, zoals wetsontduiking en openbare orde, die </w:t>
      </w:r>
      <w:r w:rsidR="008747C5">
        <w:rPr>
          <w:sz w:val="24"/>
          <w:szCs w:val="24"/>
          <w:lang w:val="nl-BE"/>
        </w:rPr>
        <w:t xml:space="preserve">niet alleen feitenintensief zijn, doch ook </w:t>
      </w:r>
      <w:r w:rsidR="00F330D1">
        <w:rPr>
          <w:sz w:val="24"/>
          <w:szCs w:val="24"/>
          <w:lang w:val="nl-BE"/>
        </w:rPr>
        <w:t>vele vragen oproepen</w:t>
      </w:r>
      <w:r w:rsidR="00E407FF" w:rsidRPr="000072C2">
        <w:rPr>
          <w:sz w:val="24"/>
          <w:szCs w:val="24"/>
          <w:lang w:val="nl-BE"/>
        </w:rPr>
        <w:t xml:space="preserve">. De praktijk leert trouwens dat ambtenaren </w:t>
      </w:r>
      <w:r w:rsidR="00F330D1">
        <w:rPr>
          <w:sz w:val="24"/>
          <w:szCs w:val="24"/>
          <w:lang w:val="nl-BE"/>
        </w:rPr>
        <w:t xml:space="preserve">de dossiers </w:t>
      </w:r>
      <w:r w:rsidR="00084DDA">
        <w:rPr>
          <w:sz w:val="24"/>
          <w:szCs w:val="24"/>
          <w:lang w:val="nl-BE"/>
        </w:rPr>
        <w:t>eerst grondig</w:t>
      </w:r>
      <w:r w:rsidR="00F330D1">
        <w:rPr>
          <w:sz w:val="24"/>
          <w:szCs w:val="24"/>
          <w:lang w:val="nl-BE"/>
        </w:rPr>
        <w:t xml:space="preserve"> bestuderen vooraleer een antwoord te geven</w:t>
      </w:r>
      <w:r w:rsidR="00E407FF" w:rsidRPr="000072C2">
        <w:rPr>
          <w:sz w:val="24"/>
          <w:szCs w:val="24"/>
          <w:lang w:val="nl-BE"/>
        </w:rPr>
        <w:t xml:space="preserve">. In de </w:t>
      </w:r>
      <w:r w:rsidR="00084DDA">
        <w:rPr>
          <w:sz w:val="24"/>
          <w:szCs w:val="24"/>
          <w:lang w:val="nl-BE"/>
        </w:rPr>
        <w:t xml:space="preserve">Californische </w:t>
      </w:r>
      <w:r w:rsidR="00E407FF" w:rsidRPr="000072C2">
        <w:rPr>
          <w:sz w:val="24"/>
          <w:szCs w:val="24"/>
          <w:lang w:val="nl-BE"/>
        </w:rPr>
        <w:t>zaak, heeft de gemeente geoordeeld dat het « </w:t>
      </w:r>
      <w:proofErr w:type="spellStart"/>
      <w:r w:rsidR="00E407FF" w:rsidRPr="008747C5">
        <w:rPr>
          <w:i/>
          <w:iCs/>
          <w:sz w:val="24"/>
          <w:szCs w:val="24"/>
          <w:lang w:val="nl-BE"/>
        </w:rPr>
        <w:t>préférable</w:t>
      </w:r>
      <w:proofErr w:type="spellEnd"/>
      <w:r w:rsidR="00E407FF" w:rsidRPr="000072C2">
        <w:rPr>
          <w:sz w:val="24"/>
          <w:szCs w:val="24"/>
          <w:lang w:val="nl-BE"/>
        </w:rPr>
        <w:t xml:space="preserve"> » was om het advies van het parket in te winnen, gelet op de afwezigheid van bijzondere regeling voor draagmoederschap in het Belgisch recht. In de </w:t>
      </w:r>
      <w:r w:rsidR="00084DDA">
        <w:rPr>
          <w:sz w:val="24"/>
          <w:szCs w:val="24"/>
          <w:lang w:val="nl-BE"/>
        </w:rPr>
        <w:t>Mexicaanse</w:t>
      </w:r>
      <w:r w:rsidR="00E407FF" w:rsidRPr="000072C2">
        <w:rPr>
          <w:sz w:val="24"/>
          <w:szCs w:val="24"/>
          <w:lang w:val="nl-BE"/>
        </w:rPr>
        <w:t xml:space="preserve"> zaak steunde de weigering op het feit dat de Mexicaanse geboorteakte de identiteit van de moeder van het kind niet vermelde.</w:t>
      </w:r>
    </w:p>
    <w:p w14:paraId="21A4D7D0" w14:textId="6DA502BC" w:rsidR="0066799F" w:rsidRPr="000072C2" w:rsidRDefault="0066799F" w:rsidP="000D5C1A">
      <w:pPr>
        <w:jc w:val="both"/>
        <w:rPr>
          <w:sz w:val="24"/>
          <w:szCs w:val="24"/>
          <w:lang w:val="nl-BE"/>
        </w:rPr>
      </w:pPr>
      <w:r w:rsidRPr="000072C2">
        <w:rPr>
          <w:sz w:val="24"/>
          <w:szCs w:val="24"/>
          <w:lang w:val="nl-BE"/>
        </w:rPr>
        <w:t xml:space="preserve">Het is minder vanzelfsprekend dat de FOD Buitenlandse Zaken zich algemeen steunt op het « juridisch vacuüm </w:t>
      </w:r>
      <w:proofErr w:type="gramStart"/>
      <w:r w:rsidRPr="000072C2">
        <w:rPr>
          <w:sz w:val="24"/>
          <w:szCs w:val="24"/>
          <w:lang w:val="nl-BE"/>
        </w:rPr>
        <w:t>omtrent</w:t>
      </w:r>
      <w:proofErr w:type="gramEnd"/>
      <w:r w:rsidRPr="000072C2">
        <w:rPr>
          <w:sz w:val="24"/>
          <w:szCs w:val="24"/>
          <w:lang w:val="nl-BE"/>
        </w:rPr>
        <w:t xml:space="preserve"> draagmoederschap of kinderen geboren uit draagmoederschap » om te weigeren gevolg te geven aan een buitenlandse geboorteakte</w:t>
      </w:r>
      <w:r w:rsidR="00F330D1">
        <w:rPr>
          <w:rStyle w:val="Appelnotedebasdep"/>
          <w:sz w:val="24"/>
          <w:szCs w:val="24"/>
          <w:lang w:val="nl-BE"/>
        </w:rPr>
        <w:footnoteReference w:id="6"/>
      </w:r>
      <w:r w:rsidR="00F330D1">
        <w:rPr>
          <w:sz w:val="24"/>
          <w:szCs w:val="24"/>
          <w:lang w:val="nl-BE"/>
        </w:rPr>
        <w:t xml:space="preserve"> </w:t>
      </w:r>
      <w:r w:rsidRPr="000072C2">
        <w:rPr>
          <w:sz w:val="24"/>
          <w:szCs w:val="24"/>
          <w:lang w:val="nl-BE"/>
        </w:rPr>
        <w:t xml:space="preserve">: het FOD beschikt </w:t>
      </w:r>
      <w:r w:rsidR="00084DDA">
        <w:rPr>
          <w:sz w:val="24"/>
          <w:szCs w:val="24"/>
          <w:lang w:val="nl-BE"/>
        </w:rPr>
        <w:t xml:space="preserve">immers </w:t>
      </w:r>
      <w:r w:rsidRPr="000072C2">
        <w:rPr>
          <w:sz w:val="24"/>
          <w:szCs w:val="24"/>
          <w:lang w:val="nl-BE"/>
        </w:rPr>
        <w:t xml:space="preserve">over de nodige expertise om zich </w:t>
      </w:r>
      <w:r w:rsidR="00084DDA">
        <w:rPr>
          <w:sz w:val="24"/>
          <w:szCs w:val="24"/>
          <w:lang w:val="nl-BE"/>
        </w:rPr>
        <w:t xml:space="preserve">een oordeel te vormen </w:t>
      </w:r>
      <w:r w:rsidRPr="000072C2">
        <w:rPr>
          <w:sz w:val="24"/>
          <w:szCs w:val="24"/>
          <w:lang w:val="nl-BE"/>
        </w:rPr>
        <w:t xml:space="preserve">en een beslissing te nemen. </w:t>
      </w:r>
      <w:r w:rsidR="00084DDA">
        <w:rPr>
          <w:sz w:val="24"/>
          <w:szCs w:val="24"/>
          <w:lang w:val="nl-BE"/>
        </w:rPr>
        <w:t xml:space="preserve">Dit geldt des te meer nu er over afstammingsbanden in geval van draagmoederschap heel wat rechtspraak bestaat. </w:t>
      </w:r>
      <w:r w:rsidRPr="000072C2">
        <w:rPr>
          <w:sz w:val="24"/>
          <w:szCs w:val="24"/>
          <w:lang w:val="nl-BE"/>
        </w:rPr>
        <w:t>Een weigering omwille van de moeilijkheid van de oefening is niet op zijn plaats.</w:t>
      </w:r>
    </w:p>
    <w:p w14:paraId="4E2F9281" w14:textId="5BA571EA" w:rsidR="00E407FF" w:rsidRPr="000072C2" w:rsidRDefault="00F330D1" w:rsidP="000D5C1A">
      <w:pPr>
        <w:jc w:val="both"/>
        <w:rPr>
          <w:sz w:val="24"/>
          <w:szCs w:val="24"/>
          <w:lang w:val="nl-BE"/>
        </w:rPr>
      </w:pPr>
      <w:r>
        <w:rPr>
          <w:sz w:val="24"/>
          <w:szCs w:val="24"/>
          <w:lang w:val="nl-BE"/>
        </w:rPr>
        <w:lastRenderedPageBreak/>
        <w:t xml:space="preserve">Hoe begrijpelijk die ook moge zijn, brengt de aarzeling van </w:t>
      </w:r>
      <w:r w:rsidR="00084DDA">
        <w:rPr>
          <w:sz w:val="24"/>
          <w:szCs w:val="24"/>
          <w:lang w:val="nl-BE"/>
        </w:rPr>
        <w:t xml:space="preserve">de </w:t>
      </w:r>
      <w:r>
        <w:rPr>
          <w:sz w:val="24"/>
          <w:szCs w:val="24"/>
          <w:lang w:val="nl-BE"/>
        </w:rPr>
        <w:t>Belgische administratie om zich uit te spreken met zich mee dat</w:t>
      </w:r>
      <w:r w:rsidR="00E407FF" w:rsidRPr="000072C2">
        <w:rPr>
          <w:sz w:val="24"/>
          <w:szCs w:val="24"/>
          <w:lang w:val="nl-BE"/>
        </w:rPr>
        <w:t xml:space="preserve"> de juridische situatie van de kinderen in afwachting van een uitspraak </w:t>
      </w:r>
      <w:r w:rsidR="00B85412">
        <w:rPr>
          <w:sz w:val="24"/>
          <w:szCs w:val="24"/>
          <w:lang w:val="nl-BE"/>
        </w:rPr>
        <w:t>door</w:t>
      </w:r>
      <w:r w:rsidR="00E407FF" w:rsidRPr="000072C2">
        <w:rPr>
          <w:sz w:val="24"/>
          <w:szCs w:val="24"/>
          <w:lang w:val="nl-BE"/>
        </w:rPr>
        <w:t xml:space="preserve"> de rechter</w:t>
      </w:r>
      <w:r w:rsidR="00B85412" w:rsidRPr="00B85412">
        <w:rPr>
          <w:sz w:val="24"/>
          <w:szCs w:val="24"/>
          <w:lang w:val="nl-BE"/>
        </w:rPr>
        <w:t xml:space="preserve"> </w:t>
      </w:r>
      <w:r w:rsidR="00B85412" w:rsidRPr="000072C2">
        <w:rPr>
          <w:sz w:val="24"/>
          <w:szCs w:val="24"/>
          <w:lang w:val="nl-BE"/>
        </w:rPr>
        <w:t>onduidelijk blijft</w:t>
      </w:r>
      <w:r w:rsidR="00E407FF" w:rsidRPr="000072C2">
        <w:rPr>
          <w:sz w:val="24"/>
          <w:szCs w:val="24"/>
          <w:lang w:val="nl-BE"/>
        </w:rPr>
        <w:t>. De</w:t>
      </w:r>
      <w:r w:rsidR="00084DDA">
        <w:rPr>
          <w:sz w:val="24"/>
          <w:szCs w:val="24"/>
          <w:lang w:val="nl-BE"/>
        </w:rPr>
        <w:t>ze</w:t>
      </w:r>
      <w:r w:rsidR="00E407FF" w:rsidRPr="000072C2">
        <w:rPr>
          <w:sz w:val="24"/>
          <w:szCs w:val="24"/>
          <w:lang w:val="nl-BE"/>
        </w:rPr>
        <w:t xml:space="preserve"> onzekerheid kan op verschillende vlakken</w:t>
      </w:r>
      <w:r w:rsidR="00084DDA" w:rsidRPr="000072C2">
        <w:rPr>
          <w:sz w:val="24"/>
          <w:szCs w:val="24"/>
          <w:lang w:val="nl-BE"/>
        </w:rPr>
        <w:t xml:space="preserve"> gevolgen </w:t>
      </w:r>
      <w:proofErr w:type="gramStart"/>
      <w:r w:rsidR="00084DDA" w:rsidRPr="000072C2">
        <w:rPr>
          <w:sz w:val="24"/>
          <w:szCs w:val="24"/>
          <w:lang w:val="nl-BE"/>
        </w:rPr>
        <w:t>hebben</w:t>
      </w:r>
      <w:r w:rsidR="00E407FF" w:rsidRPr="000072C2">
        <w:rPr>
          <w:sz w:val="24"/>
          <w:szCs w:val="24"/>
          <w:lang w:val="nl-BE"/>
        </w:rPr>
        <w:t> :</w:t>
      </w:r>
      <w:proofErr w:type="gramEnd"/>
      <w:r w:rsidR="00E407FF" w:rsidRPr="000072C2">
        <w:rPr>
          <w:sz w:val="24"/>
          <w:szCs w:val="24"/>
          <w:lang w:val="nl-BE"/>
        </w:rPr>
        <w:t xml:space="preserve"> </w:t>
      </w:r>
      <w:r w:rsidR="00084DDA">
        <w:rPr>
          <w:sz w:val="24"/>
          <w:szCs w:val="24"/>
          <w:lang w:val="nl-BE"/>
        </w:rPr>
        <w:t xml:space="preserve">zowel </w:t>
      </w:r>
      <w:r w:rsidR="00E407FF" w:rsidRPr="000072C2">
        <w:rPr>
          <w:sz w:val="24"/>
          <w:szCs w:val="24"/>
          <w:lang w:val="nl-BE"/>
        </w:rPr>
        <w:t>verblijfsrechtelijk</w:t>
      </w:r>
      <w:r w:rsidR="00084DDA">
        <w:rPr>
          <w:sz w:val="24"/>
          <w:szCs w:val="24"/>
          <w:lang w:val="nl-BE"/>
        </w:rPr>
        <w:t xml:space="preserve"> als in</w:t>
      </w:r>
      <w:r w:rsidR="00E407FF" w:rsidRPr="000072C2">
        <w:rPr>
          <w:sz w:val="24"/>
          <w:szCs w:val="24"/>
          <w:lang w:val="nl-BE"/>
        </w:rPr>
        <w:t xml:space="preserve"> verband met de sociale zekerheid</w:t>
      </w:r>
      <w:r w:rsidR="00B85412">
        <w:rPr>
          <w:sz w:val="24"/>
          <w:szCs w:val="24"/>
          <w:lang w:val="nl-BE"/>
        </w:rPr>
        <w:t>srechtelijke positie van het kind</w:t>
      </w:r>
      <w:r w:rsidR="00E407FF" w:rsidRPr="000072C2">
        <w:rPr>
          <w:sz w:val="24"/>
          <w:szCs w:val="24"/>
          <w:lang w:val="nl-BE"/>
        </w:rPr>
        <w:t xml:space="preserve"> </w:t>
      </w:r>
      <w:r w:rsidR="00084DDA">
        <w:rPr>
          <w:sz w:val="24"/>
          <w:szCs w:val="24"/>
          <w:lang w:val="nl-BE"/>
        </w:rPr>
        <w:t>of m.b.t. de eventuele verwerving van nationaliteit</w:t>
      </w:r>
      <w:r w:rsidR="00B85412">
        <w:rPr>
          <w:sz w:val="24"/>
          <w:szCs w:val="24"/>
          <w:lang w:val="nl-BE"/>
        </w:rPr>
        <w:t xml:space="preserve"> door het kind</w:t>
      </w:r>
      <w:r w:rsidR="00084DDA">
        <w:rPr>
          <w:sz w:val="24"/>
          <w:szCs w:val="24"/>
          <w:lang w:val="nl-BE"/>
        </w:rPr>
        <w:t>.</w:t>
      </w:r>
    </w:p>
    <w:p w14:paraId="59C0617F" w14:textId="47375FDD" w:rsidR="00E407FF" w:rsidRPr="000072C2" w:rsidRDefault="00084DDA" w:rsidP="000D5C1A">
      <w:pPr>
        <w:jc w:val="both"/>
        <w:rPr>
          <w:sz w:val="24"/>
          <w:szCs w:val="24"/>
          <w:lang w:val="nl-BE"/>
        </w:rPr>
      </w:pPr>
      <w:r>
        <w:rPr>
          <w:sz w:val="24"/>
          <w:szCs w:val="24"/>
          <w:lang w:val="nl-BE"/>
        </w:rPr>
        <w:t>Met de uitspraak van de rechter komt een einde aan deze periode van onzekerheid. Dankzij de beslissing van de rechtbank krijgen de ouders en het kind meer houvast over hun lot</w:t>
      </w:r>
      <w:r w:rsidR="00B35DA6" w:rsidRPr="000072C2">
        <w:rPr>
          <w:sz w:val="24"/>
          <w:szCs w:val="24"/>
          <w:lang w:val="nl-BE"/>
        </w:rPr>
        <w:t xml:space="preserve">. </w:t>
      </w:r>
      <w:r>
        <w:rPr>
          <w:sz w:val="24"/>
          <w:szCs w:val="24"/>
          <w:lang w:val="nl-BE"/>
        </w:rPr>
        <w:t xml:space="preserve">Blijft wel de vaststelling dat </w:t>
      </w:r>
      <w:r w:rsidR="00B35DA6" w:rsidRPr="000072C2">
        <w:rPr>
          <w:sz w:val="24"/>
          <w:szCs w:val="24"/>
          <w:lang w:val="nl-BE"/>
        </w:rPr>
        <w:t xml:space="preserve">het kind en zijn familie </w:t>
      </w:r>
      <w:r>
        <w:rPr>
          <w:sz w:val="24"/>
          <w:szCs w:val="24"/>
          <w:lang w:val="nl-BE"/>
        </w:rPr>
        <w:t xml:space="preserve">vaak </w:t>
      </w:r>
      <w:r w:rsidR="00B35DA6" w:rsidRPr="000072C2">
        <w:rPr>
          <w:sz w:val="24"/>
          <w:szCs w:val="24"/>
          <w:lang w:val="nl-BE"/>
        </w:rPr>
        <w:t xml:space="preserve">lang in de onzekerheid blijven. In de </w:t>
      </w:r>
      <w:r>
        <w:rPr>
          <w:sz w:val="24"/>
          <w:szCs w:val="24"/>
          <w:lang w:val="nl-BE"/>
        </w:rPr>
        <w:t>Mexicaanse</w:t>
      </w:r>
      <w:r w:rsidR="00B35DA6" w:rsidRPr="000072C2">
        <w:rPr>
          <w:sz w:val="24"/>
          <w:szCs w:val="24"/>
          <w:lang w:val="nl-BE"/>
        </w:rPr>
        <w:t xml:space="preserve"> zaak is het kind op 25 februari 2016 geboren. Het is niet bekend wanneer de ouder zich bij de gemeente hebben aangemeld. Evenmin is geweten wanneer de ambtenaar de beslissing genomen heeft om de overschrijving van de geboorteakte te weigeren. Wat we wel weten is dat de rechter in eerste aanleg zich op 26 mei 2017 heeft uitgesproken en dat het Hof van beroep </w:t>
      </w:r>
      <w:r>
        <w:rPr>
          <w:sz w:val="24"/>
          <w:szCs w:val="24"/>
          <w:lang w:val="nl-BE"/>
        </w:rPr>
        <w:t xml:space="preserve">te Gent </w:t>
      </w:r>
      <w:r w:rsidR="00B35DA6" w:rsidRPr="000072C2">
        <w:rPr>
          <w:sz w:val="24"/>
          <w:szCs w:val="24"/>
          <w:lang w:val="nl-BE"/>
        </w:rPr>
        <w:t xml:space="preserve">zich uitgesproken heeft op 11 oktober 2018. In de </w:t>
      </w:r>
      <w:r>
        <w:rPr>
          <w:sz w:val="24"/>
          <w:szCs w:val="24"/>
          <w:lang w:val="nl-BE"/>
        </w:rPr>
        <w:t xml:space="preserve">Californische </w:t>
      </w:r>
      <w:r w:rsidR="00B35DA6" w:rsidRPr="000072C2">
        <w:rPr>
          <w:sz w:val="24"/>
          <w:szCs w:val="24"/>
          <w:lang w:val="nl-BE"/>
        </w:rPr>
        <w:t>zaak werden de kinderen in maart 2014 geboren. In april 2015 volgde de beslissing van de gemeente o</w:t>
      </w:r>
      <w:r>
        <w:rPr>
          <w:sz w:val="24"/>
          <w:szCs w:val="24"/>
          <w:lang w:val="nl-BE"/>
        </w:rPr>
        <w:t>m</w:t>
      </w:r>
      <w:r w:rsidR="00B35DA6" w:rsidRPr="000072C2">
        <w:rPr>
          <w:sz w:val="24"/>
          <w:szCs w:val="24"/>
          <w:lang w:val="nl-BE"/>
        </w:rPr>
        <w:t xml:space="preserve"> de overschrijving van de geboort</w:t>
      </w:r>
      <w:r>
        <w:rPr>
          <w:sz w:val="24"/>
          <w:szCs w:val="24"/>
          <w:lang w:val="nl-BE"/>
        </w:rPr>
        <w:t>ea</w:t>
      </w:r>
      <w:r w:rsidR="00B35DA6" w:rsidRPr="000072C2">
        <w:rPr>
          <w:sz w:val="24"/>
          <w:szCs w:val="24"/>
          <w:lang w:val="nl-BE"/>
        </w:rPr>
        <w:t>kten te weigeren. De uitspraak in eerste aanleg dateert van 31 oktober 2016 en het Hof van Beroep heeft zich in augustus 2018 uitgesproken. Met andere woorden, waren de betrokken kinderen reeds resp. 2,5 j. oud en 4 j. oud toen de beslissingen in hoger beroep vielen.</w:t>
      </w:r>
    </w:p>
    <w:p w14:paraId="24BCD4E7" w14:textId="1FCFB2B2" w:rsidR="00B35DA6" w:rsidRPr="000072C2" w:rsidRDefault="00B35DA6" w:rsidP="000D5C1A">
      <w:pPr>
        <w:jc w:val="both"/>
        <w:rPr>
          <w:sz w:val="24"/>
          <w:szCs w:val="24"/>
          <w:lang w:val="nl-BE"/>
        </w:rPr>
      </w:pPr>
      <w:r w:rsidRPr="000072C2">
        <w:rPr>
          <w:sz w:val="24"/>
          <w:szCs w:val="24"/>
          <w:lang w:val="nl-BE"/>
        </w:rPr>
        <w:t xml:space="preserve">Deze gang van zaken is wellicht niet </w:t>
      </w:r>
      <w:proofErr w:type="gramStart"/>
      <w:r w:rsidRPr="000072C2">
        <w:rPr>
          <w:sz w:val="24"/>
          <w:szCs w:val="24"/>
          <w:lang w:val="nl-BE"/>
        </w:rPr>
        <w:t>buitengewoon :</w:t>
      </w:r>
      <w:proofErr w:type="gramEnd"/>
      <w:r w:rsidRPr="000072C2">
        <w:rPr>
          <w:sz w:val="24"/>
          <w:szCs w:val="24"/>
          <w:lang w:val="nl-BE"/>
        </w:rPr>
        <w:t xml:space="preserve"> ook in andere </w:t>
      </w:r>
      <w:r w:rsidR="00084DDA">
        <w:rPr>
          <w:sz w:val="24"/>
          <w:szCs w:val="24"/>
          <w:lang w:val="nl-BE"/>
        </w:rPr>
        <w:t>familie</w:t>
      </w:r>
      <w:r w:rsidRPr="000072C2">
        <w:rPr>
          <w:sz w:val="24"/>
          <w:szCs w:val="24"/>
          <w:lang w:val="nl-BE"/>
        </w:rPr>
        <w:t>zaken moeten rechtsonderhorigen soms jaren op een einduitspraak</w:t>
      </w:r>
      <w:r w:rsidR="00B85412" w:rsidRPr="000072C2">
        <w:rPr>
          <w:sz w:val="24"/>
          <w:szCs w:val="24"/>
          <w:lang w:val="nl-BE"/>
        </w:rPr>
        <w:t xml:space="preserve"> wachten</w:t>
      </w:r>
      <w:r w:rsidRPr="000072C2">
        <w:rPr>
          <w:sz w:val="24"/>
          <w:szCs w:val="24"/>
          <w:lang w:val="nl-BE"/>
        </w:rPr>
        <w:t xml:space="preserve">. </w:t>
      </w:r>
      <w:r w:rsidR="00665AB5">
        <w:rPr>
          <w:sz w:val="24"/>
          <w:szCs w:val="24"/>
          <w:lang w:val="nl-BE"/>
        </w:rPr>
        <w:t>Bovendien, als</w:t>
      </w:r>
      <w:r w:rsidRPr="000072C2">
        <w:rPr>
          <w:sz w:val="24"/>
          <w:szCs w:val="24"/>
          <w:lang w:val="nl-BE"/>
        </w:rPr>
        <w:t xml:space="preserve"> we meer in details naar de verschillende stappen in de procedure</w:t>
      </w:r>
      <w:r w:rsidR="00665AB5" w:rsidRPr="00665AB5">
        <w:rPr>
          <w:sz w:val="24"/>
          <w:szCs w:val="24"/>
          <w:lang w:val="nl-BE"/>
        </w:rPr>
        <w:t xml:space="preserve"> </w:t>
      </w:r>
      <w:r w:rsidR="00665AB5" w:rsidRPr="000072C2">
        <w:rPr>
          <w:sz w:val="24"/>
          <w:szCs w:val="24"/>
          <w:lang w:val="nl-BE"/>
        </w:rPr>
        <w:t>kijken</w:t>
      </w:r>
      <w:r w:rsidRPr="000072C2">
        <w:rPr>
          <w:sz w:val="24"/>
          <w:szCs w:val="24"/>
          <w:lang w:val="nl-BE"/>
        </w:rPr>
        <w:t>, blijkt ook niet dat de partijen overdreven lang hebben moeten wachten op hun uitspraak.</w:t>
      </w:r>
      <w:r w:rsidR="00D13FE2">
        <w:rPr>
          <w:sz w:val="24"/>
          <w:szCs w:val="24"/>
          <w:lang w:val="nl-BE"/>
        </w:rPr>
        <w:t xml:space="preserve"> Er is m.a.w. geen</w:t>
      </w:r>
      <w:r w:rsidRPr="000072C2">
        <w:rPr>
          <w:sz w:val="24"/>
          <w:szCs w:val="24"/>
          <w:lang w:val="nl-BE"/>
        </w:rPr>
        <w:t xml:space="preserve"> onnodige vertraging </w:t>
      </w:r>
      <w:r w:rsidR="00D13FE2">
        <w:rPr>
          <w:sz w:val="24"/>
          <w:szCs w:val="24"/>
          <w:lang w:val="nl-BE"/>
        </w:rPr>
        <w:t>bij Justitie geweest</w:t>
      </w:r>
      <w:r w:rsidR="00D13FE2">
        <w:rPr>
          <w:rStyle w:val="Appelnotedebasdep"/>
          <w:sz w:val="24"/>
          <w:szCs w:val="24"/>
          <w:lang w:val="nl-BE"/>
        </w:rPr>
        <w:footnoteReference w:id="7"/>
      </w:r>
      <w:r w:rsidR="00D13FE2">
        <w:rPr>
          <w:sz w:val="24"/>
          <w:szCs w:val="24"/>
          <w:lang w:val="nl-BE"/>
        </w:rPr>
        <w:t>.</w:t>
      </w:r>
    </w:p>
    <w:p w14:paraId="6CBF7CA0" w14:textId="2FABE5AB" w:rsidR="00883657" w:rsidRDefault="00B35DA6" w:rsidP="000D5C1A">
      <w:pPr>
        <w:jc w:val="both"/>
        <w:rPr>
          <w:sz w:val="24"/>
          <w:szCs w:val="24"/>
          <w:lang w:val="nl-BE"/>
        </w:rPr>
      </w:pPr>
      <w:r w:rsidRPr="000072C2">
        <w:rPr>
          <w:sz w:val="24"/>
          <w:szCs w:val="24"/>
          <w:lang w:val="nl-BE"/>
        </w:rPr>
        <w:t xml:space="preserve">Blijft wel dat het voor de ouders en in het bijzonder voor hun kinderen </w:t>
      </w:r>
      <w:r w:rsidR="00D13FE2">
        <w:rPr>
          <w:sz w:val="24"/>
          <w:szCs w:val="24"/>
          <w:lang w:val="nl-BE"/>
        </w:rPr>
        <w:t>frustrerend kan zijn om zo lang op zekerheid te moeten wachten</w:t>
      </w:r>
      <w:r w:rsidR="005E3501">
        <w:rPr>
          <w:rStyle w:val="Appelnotedebasdep"/>
          <w:sz w:val="24"/>
          <w:szCs w:val="24"/>
          <w:lang w:val="nl-BE"/>
        </w:rPr>
        <w:footnoteReference w:id="8"/>
      </w:r>
      <w:r w:rsidRPr="000072C2">
        <w:rPr>
          <w:sz w:val="24"/>
          <w:szCs w:val="24"/>
          <w:lang w:val="nl-BE"/>
        </w:rPr>
        <w:t>.</w:t>
      </w:r>
      <w:r w:rsidR="009B0A56" w:rsidRPr="000072C2">
        <w:rPr>
          <w:sz w:val="24"/>
          <w:szCs w:val="24"/>
          <w:lang w:val="nl-BE"/>
        </w:rPr>
        <w:t xml:space="preserve"> De vaststelling van </w:t>
      </w:r>
      <w:r w:rsidR="00D13FE2">
        <w:rPr>
          <w:sz w:val="24"/>
          <w:szCs w:val="24"/>
          <w:lang w:val="nl-BE"/>
        </w:rPr>
        <w:t xml:space="preserve">de </w:t>
      </w:r>
      <w:r w:rsidR="009B0A56" w:rsidRPr="000072C2">
        <w:rPr>
          <w:sz w:val="24"/>
          <w:szCs w:val="24"/>
          <w:lang w:val="nl-BE"/>
        </w:rPr>
        <w:t>afstamming</w:t>
      </w:r>
      <w:r w:rsidR="00D13FE2">
        <w:rPr>
          <w:sz w:val="24"/>
          <w:szCs w:val="24"/>
          <w:lang w:val="nl-BE"/>
        </w:rPr>
        <w:t xml:space="preserve"> </w:t>
      </w:r>
      <w:r w:rsidR="009B0A56" w:rsidRPr="000072C2">
        <w:rPr>
          <w:sz w:val="24"/>
          <w:szCs w:val="24"/>
          <w:lang w:val="nl-BE"/>
        </w:rPr>
        <w:t xml:space="preserve">is </w:t>
      </w:r>
      <w:r w:rsidR="00D13FE2">
        <w:rPr>
          <w:sz w:val="24"/>
          <w:szCs w:val="24"/>
          <w:lang w:val="nl-BE"/>
        </w:rPr>
        <w:t xml:space="preserve">immers </w:t>
      </w:r>
      <w:r w:rsidR="009B0A56" w:rsidRPr="000072C2">
        <w:rPr>
          <w:sz w:val="24"/>
          <w:szCs w:val="24"/>
          <w:lang w:val="nl-BE"/>
        </w:rPr>
        <w:t xml:space="preserve">het begin van alles in familiezaken. De gevolgen van de afstamming </w:t>
      </w:r>
      <w:r w:rsidR="00B85412">
        <w:rPr>
          <w:sz w:val="24"/>
          <w:szCs w:val="24"/>
          <w:lang w:val="nl-BE"/>
        </w:rPr>
        <w:t>deinen</w:t>
      </w:r>
      <w:r w:rsidR="00D13FE2">
        <w:rPr>
          <w:sz w:val="24"/>
          <w:szCs w:val="24"/>
          <w:lang w:val="nl-BE"/>
        </w:rPr>
        <w:t xml:space="preserve"> </w:t>
      </w:r>
      <w:r w:rsidR="00883657">
        <w:rPr>
          <w:sz w:val="24"/>
          <w:szCs w:val="24"/>
          <w:lang w:val="nl-BE"/>
        </w:rPr>
        <w:t>zeer ver uit. Daarom kan men geen vrede nemen met de huidige gang van zaken. Een eenvoudig antwoord formuleren voor d</w:t>
      </w:r>
      <w:r w:rsidR="0098375D">
        <w:rPr>
          <w:sz w:val="24"/>
          <w:szCs w:val="24"/>
          <w:lang w:val="nl-BE"/>
        </w:rPr>
        <w:t xml:space="preserve">eze </w:t>
      </w:r>
      <w:r w:rsidR="00B85412">
        <w:rPr>
          <w:sz w:val="24"/>
          <w:szCs w:val="24"/>
          <w:lang w:val="nl-BE"/>
        </w:rPr>
        <w:t>uitdaging</w:t>
      </w:r>
      <w:r w:rsidR="00883657">
        <w:rPr>
          <w:sz w:val="24"/>
          <w:szCs w:val="24"/>
          <w:lang w:val="nl-BE"/>
        </w:rPr>
        <w:t xml:space="preserve"> is bijzonder lastig. De recente oprichting van een Centrale autoriteit Burgerlijke Stand </w:t>
      </w:r>
      <w:r w:rsidR="00883657">
        <w:rPr>
          <w:rStyle w:val="Appelnotedebasdep"/>
          <w:sz w:val="24"/>
          <w:szCs w:val="24"/>
          <w:lang w:val="nl-BE"/>
        </w:rPr>
        <w:footnoteReference w:id="9"/>
      </w:r>
      <w:r w:rsidR="00883657">
        <w:rPr>
          <w:sz w:val="24"/>
          <w:szCs w:val="24"/>
          <w:lang w:val="nl-BE"/>
        </w:rPr>
        <w:t xml:space="preserve"> kan misschien een oplossing </w:t>
      </w:r>
      <w:proofErr w:type="gramStart"/>
      <w:r w:rsidR="00883657">
        <w:rPr>
          <w:sz w:val="24"/>
          <w:szCs w:val="24"/>
          <w:lang w:val="nl-BE"/>
        </w:rPr>
        <w:t>bieden :</w:t>
      </w:r>
      <w:proofErr w:type="gramEnd"/>
      <w:r w:rsidR="00883657">
        <w:rPr>
          <w:sz w:val="24"/>
          <w:szCs w:val="24"/>
          <w:lang w:val="nl-BE"/>
        </w:rPr>
        <w:t xml:space="preserve"> ingeval van twijfel over een buitenlandse geboorteakte mag de ambtenaar van burgerlijke stand immers advies vragen aan de Centrale autoriteit. Gelet op de formulering van artikel 31 WIPR kan men zich evenwel de vraag stellen of deze Autoriteit ook bevoegd is </w:t>
      </w:r>
      <w:proofErr w:type="gramStart"/>
      <w:r w:rsidR="00883657">
        <w:rPr>
          <w:sz w:val="24"/>
          <w:szCs w:val="24"/>
          <w:lang w:val="nl-BE"/>
        </w:rPr>
        <w:t>indien</w:t>
      </w:r>
      <w:proofErr w:type="gramEnd"/>
      <w:r w:rsidR="00883657">
        <w:rPr>
          <w:sz w:val="24"/>
          <w:szCs w:val="24"/>
          <w:lang w:val="nl-BE"/>
        </w:rPr>
        <w:t xml:space="preserve"> de afstamming langs gerechtelijke </w:t>
      </w:r>
      <w:r w:rsidR="00883657">
        <w:rPr>
          <w:sz w:val="24"/>
          <w:szCs w:val="24"/>
          <w:lang w:val="nl-BE"/>
        </w:rPr>
        <w:lastRenderedPageBreak/>
        <w:t xml:space="preserve">weg is vastgesteld, zoals in de Californische zaak. </w:t>
      </w:r>
      <w:r w:rsidR="005E3501">
        <w:rPr>
          <w:sz w:val="24"/>
          <w:szCs w:val="24"/>
          <w:lang w:val="nl-BE"/>
        </w:rPr>
        <w:t>Blijft ook de vraag of de gemeente, eens het advies van de Centrale Autoriteit ontvangen, een duidelijk standpunt zal nemen dan wel de zaak op de lang</w:t>
      </w:r>
      <w:r w:rsidR="0098375D">
        <w:rPr>
          <w:sz w:val="24"/>
          <w:szCs w:val="24"/>
          <w:lang w:val="nl-BE"/>
        </w:rPr>
        <w:t>e</w:t>
      </w:r>
      <w:r w:rsidR="005E3501">
        <w:rPr>
          <w:sz w:val="24"/>
          <w:szCs w:val="24"/>
          <w:lang w:val="nl-BE"/>
        </w:rPr>
        <w:t xml:space="preserve"> baan zal schuiven.</w:t>
      </w:r>
      <w:r w:rsidR="0098375D">
        <w:rPr>
          <w:sz w:val="24"/>
          <w:szCs w:val="24"/>
          <w:lang w:val="nl-BE"/>
        </w:rPr>
        <w:t xml:space="preserve"> Misschien kan de verdere ontwikkeling van de rechtspraak de behandeling van erkenningsvragen versnellen. Hiervoor is het wel vereist dat de rechtspraak duidelijke antwoorden formuleert op de verschillende vragen die </w:t>
      </w:r>
      <w:proofErr w:type="gramStart"/>
      <w:r w:rsidR="0098375D">
        <w:rPr>
          <w:sz w:val="24"/>
          <w:szCs w:val="24"/>
          <w:lang w:val="nl-BE"/>
        </w:rPr>
        <w:t>thans</w:t>
      </w:r>
      <w:proofErr w:type="gramEnd"/>
      <w:r w:rsidR="0098375D">
        <w:rPr>
          <w:sz w:val="24"/>
          <w:szCs w:val="24"/>
          <w:lang w:val="nl-BE"/>
        </w:rPr>
        <w:t xml:space="preserve"> openblijven. Zoals hierna zal blijken, is er op dit punt wat werk aan de winkel.</w:t>
      </w:r>
    </w:p>
    <w:p w14:paraId="3C0EFDEB" w14:textId="262FE575" w:rsidR="0057336C" w:rsidRPr="000072C2" w:rsidRDefault="0057336C">
      <w:pPr>
        <w:rPr>
          <w:sz w:val="24"/>
          <w:szCs w:val="24"/>
          <w:lang w:val="nl-BE"/>
        </w:rPr>
      </w:pPr>
    </w:p>
    <w:p w14:paraId="16827F1D" w14:textId="29FEC450" w:rsidR="0057336C" w:rsidRPr="000072C2" w:rsidRDefault="002526D0">
      <w:pPr>
        <w:rPr>
          <w:b/>
          <w:bCs/>
          <w:sz w:val="24"/>
          <w:szCs w:val="24"/>
          <w:lang w:val="nl-BE"/>
        </w:rPr>
      </w:pPr>
      <w:r w:rsidRPr="000072C2">
        <w:rPr>
          <w:b/>
          <w:bCs/>
          <w:sz w:val="24"/>
          <w:szCs w:val="24"/>
          <w:lang w:val="nl-BE"/>
        </w:rPr>
        <w:t xml:space="preserve">2) </w:t>
      </w:r>
      <w:r w:rsidR="000B1D3A" w:rsidRPr="000072C2">
        <w:rPr>
          <w:b/>
          <w:bCs/>
          <w:sz w:val="24"/>
          <w:szCs w:val="24"/>
          <w:lang w:val="nl-BE"/>
        </w:rPr>
        <w:t>De grenzen van het onderzoek naar de o</w:t>
      </w:r>
      <w:r w:rsidR="0057336C" w:rsidRPr="000072C2">
        <w:rPr>
          <w:b/>
          <w:bCs/>
          <w:sz w:val="24"/>
          <w:szCs w:val="24"/>
          <w:lang w:val="nl-BE"/>
        </w:rPr>
        <w:t>penbare orde</w:t>
      </w:r>
    </w:p>
    <w:p w14:paraId="6906F1AA" w14:textId="1F1EC527" w:rsidR="000F4919" w:rsidRDefault="000F4919" w:rsidP="009B0A56">
      <w:pPr>
        <w:jc w:val="both"/>
        <w:rPr>
          <w:sz w:val="24"/>
          <w:szCs w:val="24"/>
          <w:lang w:val="nl-BE"/>
        </w:rPr>
      </w:pPr>
      <w:r>
        <w:rPr>
          <w:sz w:val="24"/>
          <w:szCs w:val="24"/>
          <w:lang w:val="nl-BE"/>
        </w:rPr>
        <w:t>Bij het onderzoek naar</w:t>
      </w:r>
      <w:r w:rsidR="000072C2" w:rsidRPr="000072C2">
        <w:rPr>
          <w:sz w:val="24"/>
          <w:szCs w:val="24"/>
          <w:lang w:val="nl-BE"/>
        </w:rPr>
        <w:t xml:space="preserve"> afstammingsbanden </w:t>
      </w:r>
      <w:r>
        <w:rPr>
          <w:sz w:val="24"/>
          <w:szCs w:val="24"/>
          <w:lang w:val="nl-BE"/>
        </w:rPr>
        <w:t xml:space="preserve">die </w:t>
      </w:r>
      <w:r w:rsidR="000072C2" w:rsidRPr="000072C2">
        <w:rPr>
          <w:sz w:val="24"/>
          <w:szCs w:val="24"/>
          <w:lang w:val="nl-BE"/>
        </w:rPr>
        <w:t>uit een</w:t>
      </w:r>
      <w:r w:rsidR="009B0A56" w:rsidRPr="000072C2">
        <w:rPr>
          <w:sz w:val="24"/>
          <w:szCs w:val="24"/>
          <w:lang w:val="nl-BE"/>
        </w:rPr>
        <w:t xml:space="preserve"> draagmoederschap</w:t>
      </w:r>
      <w:r w:rsidR="000072C2" w:rsidRPr="000072C2">
        <w:rPr>
          <w:sz w:val="24"/>
          <w:szCs w:val="24"/>
          <w:lang w:val="nl-BE"/>
        </w:rPr>
        <w:t>sovereenkomst voortvloeien</w:t>
      </w:r>
      <w:r>
        <w:rPr>
          <w:sz w:val="24"/>
          <w:szCs w:val="24"/>
          <w:lang w:val="nl-BE"/>
        </w:rPr>
        <w:t>, neemt de openbare orde toets een vooraanstaande plaats in</w:t>
      </w:r>
      <w:r w:rsidR="009B0A56" w:rsidRPr="000072C2">
        <w:rPr>
          <w:sz w:val="24"/>
          <w:szCs w:val="24"/>
          <w:lang w:val="nl-BE"/>
        </w:rPr>
        <w:t xml:space="preserve">. </w:t>
      </w:r>
      <w:r>
        <w:rPr>
          <w:sz w:val="24"/>
          <w:szCs w:val="24"/>
          <w:lang w:val="nl-BE"/>
        </w:rPr>
        <w:t xml:space="preserve">Uit de twee becommentarieerde beslissingen blijkt dat </w:t>
      </w:r>
      <w:r w:rsidR="00964382">
        <w:rPr>
          <w:sz w:val="24"/>
          <w:szCs w:val="24"/>
          <w:lang w:val="nl-BE"/>
        </w:rPr>
        <w:t xml:space="preserve">over de draagwijdte van </w:t>
      </w:r>
      <w:r>
        <w:rPr>
          <w:sz w:val="24"/>
          <w:szCs w:val="24"/>
          <w:lang w:val="nl-BE"/>
        </w:rPr>
        <w:t xml:space="preserve">deze toets </w:t>
      </w:r>
      <w:r w:rsidR="00964382">
        <w:rPr>
          <w:sz w:val="24"/>
          <w:szCs w:val="24"/>
          <w:lang w:val="nl-BE"/>
        </w:rPr>
        <w:t>wat onzekerheid blijft</w:t>
      </w:r>
      <w:r>
        <w:rPr>
          <w:sz w:val="24"/>
          <w:szCs w:val="24"/>
          <w:lang w:val="nl-BE"/>
        </w:rPr>
        <w:t>.</w:t>
      </w:r>
    </w:p>
    <w:p w14:paraId="616B45AE" w14:textId="28B5C932" w:rsidR="009B0A56" w:rsidRPr="00016FDD" w:rsidRDefault="009B0A56" w:rsidP="009B0A56">
      <w:pPr>
        <w:jc w:val="both"/>
        <w:rPr>
          <w:sz w:val="24"/>
          <w:szCs w:val="24"/>
        </w:rPr>
      </w:pPr>
      <w:r w:rsidRPr="000072C2">
        <w:rPr>
          <w:sz w:val="24"/>
          <w:szCs w:val="24"/>
          <w:lang w:val="nl-BE"/>
        </w:rPr>
        <w:t xml:space="preserve">In de </w:t>
      </w:r>
      <w:r w:rsidR="000072C2" w:rsidRPr="000072C2">
        <w:rPr>
          <w:sz w:val="24"/>
          <w:szCs w:val="24"/>
          <w:lang w:val="nl-BE"/>
        </w:rPr>
        <w:t>Californische</w:t>
      </w:r>
      <w:r w:rsidRPr="000072C2">
        <w:rPr>
          <w:sz w:val="24"/>
          <w:szCs w:val="24"/>
          <w:lang w:val="nl-BE"/>
        </w:rPr>
        <w:t xml:space="preserve"> zaak had de rechter in eerste aanleg geoordeeld dat de overeenkomst gesloten tussen de wensouders en de draagmoeder strijdig was met de openbare orde, nu de draagmoeder voor haar werk vergoed werd én bovendien haar vrijheden</w:t>
      </w:r>
      <w:r w:rsidR="00362E2F" w:rsidRPr="000072C2">
        <w:rPr>
          <w:sz w:val="24"/>
          <w:szCs w:val="24"/>
          <w:lang w:val="nl-BE"/>
        </w:rPr>
        <w:t xml:space="preserve"> tijdens het zwangerschap fel beknot werden.</w:t>
      </w:r>
      <w:r w:rsidR="001F1EA6" w:rsidRPr="000072C2">
        <w:rPr>
          <w:sz w:val="24"/>
          <w:szCs w:val="24"/>
          <w:lang w:val="nl-BE"/>
        </w:rPr>
        <w:t xml:space="preserve"> In beroep heeft het Hof </w:t>
      </w:r>
      <w:r w:rsidR="000072C2" w:rsidRPr="000072C2">
        <w:rPr>
          <w:sz w:val="24"/>
          <w:szCs w:val="24"/>
          <w:lang w:val="nl-BE"/>
        </w:rPr>
        <w:t xml:space="preserve">te Brussel </w:t>
      </w:r>
      <w:r w:rsidR="001F1EA6" w:rsidRPr="000072C2">
        <w:rPr>
          <w:sz w:val="24"/>
          <w:szCs w:val="24"/>
          <w:lang w:val="nl-BE"/>
        </w:rPr>
        <w:t xml:space="preserve">de focus </w:t>
      </w:r>
      <w:proofErr w:type="gramStart"/>
      <w:r w:rsidR="001F1EA6" w:rsidRPr="000072C2">
        <w:rPr>
          <w:sz w:val="24"/>
          <w:szCs w:val="24"/>
          <w:lang w:val="nl-BE"/>
        </w:rPr>
        <w:t>verlegd :</w:t>
      </w:r>
      <w:proofErr w:type="gramEnd"/>
      <w:r w:rsidR="001F1EA6" w:rsidRPr="000072C2">
        <w:rPr>
          <w:sz w:val="24"/>
          <w:szCs w:val="24"/>
          <w:lang w:val="nl-BE"/>
        </w:rPr>
        <w:t xml:space="preserve"> niet zozeer de draagmoederovereenkomst </w:t>
      </w:r>
      <w:proofErr w:type="spellStart"/>
      <w:r w:rsidR="001F1EA6" w:rsidRPr="000072C2">
        <w:rPr>
          <w:i/>
          <w:iCs/>
          <w:sz w:val="24"/>
          <w:szCs w:val="24"/>
          <w:lang w:val="nl-BE"/>
        </w:rPr>
        <w:t>an</w:t>
      </w:r>
      <w:proofErr w:type="spellEnd"/>
      <w:r w:rsidR="001F1EA6" w:rsidRPr="000072C2">
        <w:rPr>
          <w:i/>
          <w:iCs/>
          <w:sz w:val="24"/>
          <w:szCs w:val="24"/>
          <w:lang w:val="nl-BE"/>
        </w:rPr>
        <w:t xml:space="preserve"> </w:t>
      </w:r>
      <w:proofErr w:type="spellStart"/>
      <w:r w:rsidR="000B1D3A" w:rsidRPr="000072C2">
        <w:rPr>
          <w:i/>
          <w:iCs/>
          <w:sz w:val="24"/>
          <w:szCs w:val="24"/>
          <w:lang w:val="nl-BE"/>
        </w:rPr>
        <w:t>s</w:t>
      </w:r>
      <w:r w:rsidR="001F1EA6" w:rsidRPr="000072C2">
        <w:rPr>
          <w:i/>
          <w:iCs/>
          <w:sz w:val="24"/>
          <w:szCs w:val="24"/>
          <w:lang w:val="nl-BE"/>
        </w:rPr>
        <w:t>ich</w:t>
      </w:r>
      <w:proofErr w:type="spellEnd"/>
      <w:r w:rsidR="001F1EA6" w:rsidRPr="000072C2">
        <w:rPr>
          <w:sz w:val="24"/>
          <w:szCs w:val="24"/>
          <w:lang w:val="nl-BE"/>
        </w:rPr>
        <w:t xml:space="preserve"> was centraal, doch eerder de gevolgen </w:t>
      </w:r>
      <w:r w:rsidR="000F4919">
        <w:rPr>
          <w:sz w:val="24"/>
          <w:szCs w:val="24"/>
          <w:lang w:val="nl-BE"/>
        </w:rPr>
        <w:t xml:space="preserve">in België </w:t>
      </w:r>
      <w:r w:rsidR="001F1EA6" w:rsidRPr="000072C2">
        <w:rPr>
          <w:sz w:val="24"/>
          <w:szCs w:val="24"/>
          <w:lang w:val="nl-BE"/>
        </w:rPr>
        <w:t>van de erkenning van de beslissing van de rechter</w:t>
      </w:r>
      <w:r w:rsidR="00964382">
        <w:rPr>
          <w:sz w:val="24"/>
          <w:szCs w:val="24"/>
          <w:lang w:val="nl-BE"/>
        </w:rPr>
        <w:t xml:space="preserve"> van Californië</w:t>
      </w:r>
      <w:r w:rsidR="001F1EA6" w:rsidRPr="000072C2">
        <w:rPr>
          <w:sz w:val="24"/>
          <w:szCs w:val="24"/>
          <w:lang w:val="nl-BE"/>
        </w:rPr>
        <w:t>.</w:t>
      </w:r>
      <w:r w:rsidR="0019483A" w:rsidRPr="000072C2">
        <w:rPr>
          <w:sz w:val="24"/>
          <w:szCs w:val="24"/>
          <w:lang w:val="nl-BE"/>
        </w:rPr>
        <w:t xml:space="preserve"> </w:t>
      </w:r>
      <w:proofErr w:type="spellStart"/>
      <w:r w:rsidR="0019483A" w:rsidRPr="00016FDD">
        <w:rPr>
          <w:sz w:val="24"/>
          <w:szCs w:val="24"/>
        </w:rPr>
        <w:t>Volgens</w:t>
      </w:r>
      <w:proofErr w:type="spellEnd"/>
      <w:r w:rsidR="0019483A" w:rsidRPr="00016FDD">
        <w:rPr>
          <w:sz w:val="24"/>
          <w:szCs w:val="24"/>
        </w:rPr>
        <w:t xml:space="preserve"> het Hof van </w:t>
      </w:r>
      <w:proofErr w:type="spellStart"/>
      <w:r w:rsidR="0019483A" w:rsidRPr="00016FDD">
        <w:rPr>
          <w:sz w:val="24"/>
          <w:szCs w:val="24"/>
        </w:rPr>
        <w:t>beroep</w:t>
      </w:r>
      <w:proofErr w:type="spellEnd"/>
      <w:r w:rsidR="0019483A" w:rsidRPr="00016FDD">
        <w:rPr>
          <w:sz w:val="24"/>
          <w:szCs w:val="24"/>
        </w:rPr>
        <w:t>, « </w:t>
      </w:r>
      <w:r w:rsidR="0019483A" w:rsidRPr="00016FDD">
        <w:rPr>
          <w:i/>
          <w:iCs/>
          <w:sz w:val="24"/>
          <w:szCs w:val="24"/>
        </w:rPr>
        <w:t>le débat ne po</w:t>
      </w:r>
      <w:r w:rsidR="009D6E37" w:rsidRPr="00016FDD">
        <w:rPr>
          <w:i/>
          <w:iCs/>
          <w:sz w:val="24"/>
          <w:szCs w:val="24"/>
        </w:rPr>
        <w:t>r</w:t>
      </w:r>
      <w:r w:rsidR="0019483A" w:rsidRPr="00016FDD">
        <w:rPr>
          <w:i/>
          <w:iCs/>
          <w:sz w:val="24"/>
          <w:szCs w:val="24"/>
        </w:rPr>
        <w:t xml:space="preserve">te pas sur le fond (ni la forme) de la convention de gestation pour autrui, mais sur les effets de celle-ci et surtout sur les effets du double lien de filiation </w:t>
      </w:r>
      <w:proofErr w:type="spellStart"/>
      <w:r w:rsidR="0019483A" w:rsidRPr="00016FDD">
        <w:rPr>
          <w:i/>
          <w:iCs/>
          <w:sz w:val="24"/>
          <w:szCs w:val="24"/>
        </w:rPr>
        <w:t>monosexuée</w:t>
      </w:r>
      <w:proofErr w:type="spellEnd"/>
      <w:r w:rsidR="0019483A" w:rsidRPr="00016FDD">
        <w:rPr>
          <w:i/>
          <w:iCs/>
          <w:sz w:val="24"/>
          <w:szCs w:val="24"/>
        </w:rPr>
        <w:t xml:space="preserve"> en Belgique</w:t>
      </w:r>
      <w:r w:rsidR="0019483A" w:rsidRPr="00016FDD">
        <w:rPr>
          <w:sz w:val="24"/>
          <w:szCs w:val="24"/>
        </w:rPr>
        <w:t> ».</w:t>
      </w:r>
    </w:p>
    <w:p w14:paraId="756D7605" w14:textId="5AB641CF" w:rsidR="00A03CD7" w:rsidRPr="000072C2" w:rsidRDefault="00A03CD7" w:rsidP="009B0A56">
      <w:pPr>
        <w:jc w:val="both"/>
        <w:rPr>
          <w:sz w:val="24"/>
          <w:szCs w:val="24"/>
          <w:lang w:val="nl-BE"/>
        </w:rPr>
      </w:pPr>
      <w:r w:rsidRPr="000072C2">
        <w:rPr>
          <w:sz w:val="24"/>
          <w:szCs w:val="24"/>
          <w:lang w:val="nl-BE"/>
        </w:rPr>
        <w:t xml:space="preserve">In de </w:t>
      </w:r>
      <w:r w:rsidR="000072C2" w:rsidRPr="000072C2">
        <w:rPr>
          <w:sz w:val="24"/>
          <w:szCs w:val="24"/>
          <w:lang w:val="nl-BE"/>
        </w:rPr>
        <w:t>Mexicaanse</w:t>
      </w:r>
      <w:r w:rsidRPr="000072C2">
        <w:rPr>
          <w:sz w:val="24"/>
          <w:szCs w:val="24"/>
          <w:lang w:val="nl-BE"/>
        </w:rPr>
        <w:t xml:space="preserve"> zaak werd ook naar de openbare orde </w:t>
      </w:r>
      <w:proofErr w:type="gramStart"/>
      <w:r w:rsidRPr="000072C2">
        <w:rPr>
          <w:sz w:val="24"/>
          <w:szCs w:val="24"/>
          <w:lang w:val="nl-BE"/>
        </w:rPr>
        <w:t>gegrepen :</w:t>
      </w:r>
      <w:proofErr w:type="gramEnd"/>
      <w:r w:rsidRPr="000072C2">
        <w:rPr>
          <w:sz w:val="24"/>
          <w:szCs w:val="24"/>
          <w:lang w:val="nl-BE"/>
        </w:rPr>
        <w:t xml:space="preserve"> in eerste aanleg oordeelde de rechter dat het feit dat de geboorteakte opgesteld in Mexico, de naam van de moeder niet vermeldde, in strijd was met de openbare orde. In hoger beroep heeft het Hof </w:t>
      </w:r>
      <w:r w:rsidR="000072C2" w:rsidRPr="000072C2">
        <w:rPr>
          <w:sz w:val="24"/>
          <w:szCs w:val="24"/>
          <w:lang w:val="nl-BE"/>
        </w:rPr>
        <w:t xml:space="preserve">te Gent </w:t>
      </w:r>
      <w:r w:rsidRPr="000072C2">
        <w:rPr>
          <w:sz w:val="24"/>
          <w:szCs w:val="24"/>
          <w:lang w:val="nl-BE"/>
        </w:rPr>
        <w:t>geoordeeld dat het onderzoek naar de openbare orde zich niet tot de geboorteakte</w:t>
      </w:r>
      <w:r w:rsidR="000F4919">
        <w:rPr>
          <w:sz w:val="24"/>
          <w:szCs w:val="24"/>
          <w:lang w:val="nl-BE"/>
        </w:rPr>
        <w:t xml:space="preserve"> beperkte</w:t>
      </w:r>
      <w:r w:rsidRPr="000072C2">
        <w:rPr>
          <w:sz w:val="24"/>
          <w:szCs w:val="24"/>
          <w:lang w:val="nl-BE"/>
        </w:rPr>
        <w:t xml:space="preserve">. Er moest </w:t>
      </w:r>
      <w:proofErr w:type="gramStart"/>
      <w:r w:rsidRPr="000072C2">
        <w:rPr>
          <w:sz w:val="24"/>
          <w:szCs w:val="24"/>
          <w:lang w:val="nl-BE"/>
        </w:rPr>
        <w:t>tevens</w:t>
      </w:r>
      <w:proofErr w:type="gramEnd"/>
      <w:r w:rsidRPr="000072C2">
        <w:rPr>
          <w:sz w:val="24"/>
          <w:szCs w:val="24"/>
          <w:lang w:val="nl-BE"/>
        </w:rPr>
        <w:t xml:space="preserve"> met de draagmoederschapsovereenkomst</w:t>
      </w:r>
      <w:r w:rsidR="000F4919" w:rsidRPr="000F4919">
        <w:rPr>
          <w:sz w:val="24"/>
          <w:szCs w:val="24"/>
          <w:lang w:val="nl-BE"/>
        </w:rPr>
        <w:t xml:space="preserve"> </w:t>
      </w:r>
      <w:r w:rsidR="000F4919" w:rsidRPr="000072C2">
        <w:rPr>
          <w:sz w:val="24"/>
          <w:szCs w:val="24"/>
          <w:lang w:val="nl-BE"/>
        </w:rPr>
        <w:t>rekening te worden gehouden</w:t>
      </w:r>
      <w:r w:rsidRPr="000072C2">
        <w:rPr>
          <w:sz w:val="24"/>
          <w:szCs w:val="24"/>
          <w:lang w:val="nl-BE"/>
        </w:rPr>
        <w:t>. Naar het oordeel van het Hof was die overeenkomst strijdig met de internationale openbare orde. In tegenstelling tot wat het Hof in Brussel oordeelde, waren niet zozeer de beperkingen die de overeenkomst stelde aan de vrijheid van de draagmoeder</w:t>
      </w:r>
      <w:r w:rsidR="000F4919">
        <w:rPr>
          <w:sz w:val="24"/>
          <w:szCs w:val="24"/>
          <w:lang w:val="nl-BE"/>
        </w:rPr>
        <w:t>, problematisch</w:t>
      </w:r>
      <w:r w:rsidRPr="000072C2">
        <w:rPr>
          <w:sz w:val="24"/>
          <w:szCs w:val="24"/>
          <w:lang w:val="nl-BE"/>
        </w:rPr>
        <w:t xml:space="preserve">. Het Hof struikelde eerder op het feit dat partijen </w:t>
      </w:r>
      <w:r w:rsidR="00964382">
        <w:rPr>
          <w:sz w:val="24"/>
          <w:szCs w:val="24"/>
          <w:lang w:val="nl-BE"/>
        </w:rPr>
        <w:t xml:space="preserve">afspraken over </w:t>
      </w:r>
      <w:r w:rsidRPr="000072C2">
        <w:rPr>
          <w:sz w:val="24"/>
          <w:szCs w:val="24"/>
          <w:lang w:val="nl-BE"/>
        </w:rPr>
        <w:t>afstammingsbanden</w:t>
      </w:r>
      <w:r w:rsidR="000F4919">
        <w:rPr>
          <w:sz w:val="24"/>
          <w:szCs w:val="24"/>
          <w:lang w:val="nl-BE"/>
        </w:rPr>
        <w:t xml:space="preserve"> </w:t>
      </w:r>
      <w:r w:rsidR="00964382">
        <w:rPr>
          <w:sz w:val="24"/>
          <w:szCs w:val="24"/>
          <w:lang w:val="nl-BE"/>
        </w:rPr>
        <w:t>hadden gemaakt in weerwil van de niet-verhandelbaarheid van de menselijke persoon en de niet vrije beschikbaarheid over familierelaties</w:t>
      </w:r>
      <w:r w:rsidR="000F4919">
        <w:rPr>
          <w:sz w:val="24"/>
          <w:szCs w:val="24"/>
          <w:lang w:val="nl-BE"/>
        </w:rPr>
        <w:t>.</w:t>
      </w:r>
    </w:p>
    <w:p w14:paraId="2D35112D" w14:textId="77777777" w:rsidR="005B42BE" w:rsidRDefault="005B42BE" w:rsidP="009B0A56">
      <w:pPr>
        <w:jc w:val="both"/>
        <w:rPr>
          <w:sz w:val="24"/>
          <w:szCs w:val="24"/>
          <w:lang w:val="nl-BE"/>
        </w:rPr>
      </w:pPr>
      <w:r w:rsidRPr="000072C2">
        <w:rPr>
          <w:sz w:val="24"/>
          <w:szCs w:val="24"/>
          <w:lang w:val="nl-BE"/>
        </w:rPr>
        <w:t xml:space="preserve">Dat </w:t>
      </w:r>
      <w:r>
        <w:rPr>
          <w:sz w:val="24"/>
          <w:szCs w:val="24"/>
          <w:lang w:val="nl-BE"/>
        </w:rPr>
        <w:t xml:space="preserve">verschillende </w:t>
      </w:r>
      <w:r w:rsidRPr="000072C2">
        <w:rPr>
          <w:sz w:val="24"/>
          <w:szCs w:val="24"/>
          <w:lang w:val="nl-BE"/>
        </w:rPr>
        <w:t xml:space="preserve">rechters over de concrete invulling van de openbare orde tot andere conclusies komen, hoeft niet te verbazen. Het is zelfs eigen aan deze </w:t>
      </w:r>
      <w:proofErr w:type="gramStart"/>
      <w:r w:rsidRPr="000072C2">
        <w:rPr>
          <w:sz w:val="24"/>
          <w:szCs w:val="24"/>
          <w:lang w:val="nl-BE"/>
        </w:rPr>
        <w:t>toets :</w:t>
      </w:r>
      <w:proofErr w:type="gramEnd"/>
      <w:r w:rsidRPr="000072C2">
        <w:rPr>
          <w:sz w:val="24"/>
          <w:szCs w:val="24"/>
          <w:lang w:val="nl-BE"/>
        </w:rPr>
        <w:t xml:space="preserve"> de openbare orde</w:t>
      </w:r>
      <w:r>
        <w:rPr>
          <w:sz w:val="24"/>
          <w:szCs w:val="24"/>
          <w:lang w:val="nl-BE"/>
        </w:rPr>
        <w:t xml:space="preserve"> exceptie</w:t>
      </w:r>
      <w:r w:rsidRPr="000072C2">
        <w:rPr>
          <w:sz w:val="24"/>
          <w:szCs w:val="24"/>
          <w:lang w:val="nl-BE"/>
        </w:rPr>
        <w:t xml:space="preserve"> is immers sterk feiten</w:t>
      </w:r>
      <w:r>
        <w:rPr>
          <w:sz w:val="24"/>
          <w:szCs w:val="24"/>
          <w:lang w:val="nl-BE"/>
        </w:rPr>
        <w:t>-</w:t>
      </w:r>
      <w:r w:rsidRPr="000072C2">
        <w:rPr>
          <w:sz w:val="24"/>
          <w:szCs w:val="24"/>
          <w:lang w:val="nl-BE"/>
        </w:rPr>
        <w:t xml:space="preserve">gerelateerd. Men kijkt niet zozeer abstract naar de juridische regels die mogelijks toepassing vinden, doch eerder naar de </w:t>
      </w:r>
      <w:r>
        <w:rPr>
          <w:sz w:val="24"/>
          <w:szCs w:val="24"/>
          <w:lang w:val="nl-BE"/>
        </w:rPr>
        <w:t xml:space="preserve">concrete </w:t>
      </w:r>
      <w:r w:rsidRPr="000072C2">
        <w:rPr>
          <w:sz w:val="24"/>
          <w:szCs w:val="24"/>
          <w:lang w:val="nl-BE"/>
        </w:rPr>
        <w:t xml:space="preserve">feiten. Het kan dus </w:t>
      </w:r>
      <w:r>
        <w:rPr>
          <w:sz w:val="24"/>
          <w:szCs w:val="24"/>
          <w:lang w:val="nl-BE"/>
        </w:rPr>
        <w:t xml:space="preserve">best </w:t>
      </w:r>
      <w:r w:rsidRPr="000072C2">
        <w:rPr>
          <w:sz w:val="24"/>
          <w:szCs w:val="24"/>
          <w:lang w:val="nl-BE"/>
        </w:rPr>
        <w:t>zijn dat twee rechtscolleges in dezelfde materie tot andere besluiten komen</w:t>
      </w:r>
      <w:r>
        <w:rPr>
          <w:rStyle w:val="Appelnotedebasdep"/>
          <w:sz w:val="24"/>
          <w:szCs w:val="24"/>
          <w:lang w:val="nl-BE"/>
        </w:rPr>
        <w:footnoteReference w:id="10"/>
      </w:r>
      <w:r w:rsidRPr="000072C2">
        <w:rPr>
          <w:sz w:val="24"/>
          <w:szCs w:val="24"/>
          <w:lang w:val="nl-BE"/>
        </w:rPr>
        <w:t>.</w:t>
      </w:r>
    </w:p>
    <w:p w14:paraId="16F82642" w14:textId="1FE42F56" w:rsidR="00B46FD4" w:rsidRPr="000072C2" w:rsidRDefault="005B42BE" w:rsidP="009B0A56">
      <w:pPr>
        <w:jc w:val="both"/>
        <w:rPr>
          <w:sz w:val="24"/>
          <w:szCs w:val="24"/>
          <w:lang w:val="nl-BE"/>
        </w:rPr>
      </w:pPr>
      <w:r w:rsidRPr="000072C2">
        <w:rPr>
          <w:sz w:val="24"/>
          <w:szCs w:val="24"/>
          <w:lang w:val="nl-BE"/>
        </w:rPr>
        <w:lastRenderedPageBreak/>
        <w:t>In deze</w:t>
      </w:r>
      <w:r>
        <w:rPr>
          <w:sz w:val="24"/>
          <w:szCs w:val="24"/>
          <w:lang w:val="nl-BE"/>
        </w:rPr>
        <w:t xml:space="preserve"> hangt </w:t>
      </w:r>
      <w:r w:rsidRPr="000072C2">
        <w:rPr>
          <w:sz w:val="24"/>
          <w:szCs w:val="24"/>
          <w:lang w:val="nl-BE"/>
        </w:rPr>
        <w:t xml:space="preserve">het </w:t>
      </w:r>
      <w:r>
        <w:rPr>
          <w:sz w:val="24"/>
          <w:szCs w:val="24"/>
          <w:lang w:val="nl-BE"/>
        </w:rPr>
        <w:t>verschil in uitkomst</w:t>
      </w:r>
      <w:r w:rsidRPr="000072C2">
        <w:rPr>
          <w:sz w:val="24"/>
          <w:szCs w:val="24"/>
          <w:lang w:val="nl-BE"/>
        </w:rPr>
        <w:t xml:space="preserve"> niet zozeer</w:t>
      </w:r>
      <w:r>
        <w:rPr>
          <w:sz w:val="24"/>
          <w:szCs w:val="24"/>
          <w:lang w:val="nl-BE"/>
        </w:rPr>
        <w:t xml:space="preserve"> aan de appreciatie van de </w:t>
      </w:r>
      <w:r w:rsidRPr="000072C2">
        <w:rPr>
          <w:sz w:val="24"/>
          <w:szCs w:val="24"/>
          <w:lang w:val="nl-BE"/>
        </w:rPr>
        <w:t xml:space="preserve">feiten, doch eerder </w:t>
      </w:r>
      <w:r>
        <w:rPr>
          <w:sz w:val="24"/>
          <w:szCs w:val="24"/>
          <w:lang w:val="nl-BE"/>
        </w:rPr>
        <w:t>aan</w:t>
      </w:r>
      <w:r w:rsidRPr="000072C2">
        <w:rPr>
          <w:sz w:val="24"/>
          <w:szCs w:val="24"/>
          <w:lang w:val="nl-BE"/>
        </w:rPr>
        <w:t xml:space="preserve"> de vraag wa</w:t>
      </w:r>
      <w:r>
        <w:rPr>
          <w:sz w:val="24"/>
          <w:szCs w:val="24"/>
          <w:lang w:val="nl-BE"/>
        </w:rPr>
        <w:t xml:space="preserve">arop het onderzoek moet slaan. </w:t>
      </w:r>
      <w:r w:rsidR="000B1D3A" w:rsidRPr="000072C2">
        <w:rPr>
          <w:sz w:val="24"/>
          <w:szCs w:val="24"/>
          <w:lang w:val="nl-BE"/>
        </w:rPr>
        <w:t>Te oordelen aan de</w:t>
      </w:r>
      <w:r>
        <w:rPr>
          <w:sz w:val="24"/>
          <w:szCs w:val="24"/>
          <w:lang w:val="nl-BE"/>
        </w:rPr>
        <w:t xml:space="preserve"> becommentarieerde</w:t>
      </w:r>
      <w:r w:rsidR="000B1D3A" w:rsidRPr="000072C2">
        <w:rPr>
          <w:sz w:val="24"/>
          <w:szCs w:val="24"/>
          <w:lang w:val="nl-BE"/>
        </w:rPr>
        <w:t xml:space="preserve"> beslissing</w:t>
      </w:r>
      <w:r w:rsidR="000F4919">
        <w:rPr>
          <w:sz w:val="24"/>
          <w:szCs w:val="24"/>
          <w:lang w:val="nl-BE"/>
        </w:rPr>
        <w:t>en</w:t>
      </w:r>
      <w:r w:rsidR="000B1D3A" w:rsidRPr="000072C2">
        <w:rPr>
          <w:sz w:val="24"/>
          <w:szCs w:val="24"/>
          <w:lang w:val="nl-BE"/>
        </w:rPr>
        <w:t xml:space="preserve"> blijft </w:t>
      </w:r>
      <w:r w:rsidR="000F4919">
        <w:rPr>
          <w:sz w:val="24"/>
          <w:szCs w:val="24"/>
          <w:lang w:val="nl-BE"/>
        </w:rPr>
        <w:t xml:space="preserve">er wat onzekerheid over </w:t>
      </w:r>
      <w:r w:rsidR="00B46FD4" w:rsidRPr="000072C2">
        <w:rPr>
          <w:sz w:val="24"/>
          <w:szCs w:val="24"/>
          <w:lang w:val="nl-BE"/>
        </w:rPr>
        <w:t xml:space="preserve">de vraag wat het voorwerp van het onderzoek moet zijn wanneer een rechter de openbare orde-toets </w:t>
      </w:r>
      <w:proofErr w:type="gramStart"/>
      <w:r w:rsidR="00B46FD4" w:rsidRPr="000072C2">
        <w:rPr>
          <w:sz w:val="24"/>
          <w:szCs w:val="24"/>
          <w:lang w:val="nl-BE"/>
        </w:rPr>
        <w:t>toepast</w:t>
      </w:r>
      <w:r w:rsidR="000072C2" w:rsidRPr="000072C2">
        <w:rPr>
          <w:sz w:val="24"/>
          <w:szCs w:val="24"/>
          <w:lang w:val="nl-BE"/>
        </w:rPr>
        <w:t> :</w:t>
      </w:r>
      <w:proofErr w:type="gramEnd"/>
      <w:r w:rsidR="000072C2" w:rsidRPr="000072C2">
        <w:rPr>
          <w:sz w:val="24"/>
          <w:szCs w:val="24"/>
          <w:lang w:val="nl-BE"/>
        </w:rPr>
        <w:t xml:space="preserve"> moet het onderzoek slaan op de gevolgen van de erkenning in België</w:t>
      </w:r>
      <w:r w:rsidR="000072C2">
        <w:rPr>
          <w:sz w:val="24"/>
          <w:szCs w:val="24"/>
          <w:lang w:val="nl-BE"/>
        </w:rPr>
        <w:t xml:space="preserve"> </w:t>
      </w:r>
      <w:r w:rsidR="000F4919">
        <w:rPr>
          <w:sz w:val="24"/>
          <w:szCs w:val="24"/>
          <w:lang w:val="nl-BE"/>
        </w:rPr>
        <w:t>van de afstammingsbanden</w:t>
      </w:r>
      <w:r>
        <w:rPr>
          <w:sz w:val="24"/>
          <w:szCs w:val="24"/>
          <w:lang w:val="nl-BE"/>
        </w:rPr>
        <w:t xml:space="preserve"> die in het buitenland zijn vastgesteld</w:t>
      </w:r>
      <w:r w:rsidR="000F4919">
        <w:rPr>
          <w:sz w:val="24"/>
          <w:szCs w:val="24"/>
          <w:lang w:val="nl-BE"/>
        </w:rPr>
        <w:t xml:space="preserve"> </w:t>
      </w:r>
      <w:r w:rsidR="000072C2">
        <w:rPr>
          <w:sz w:val="24"/>
          <w:szCs w:val="24"/>
          <w:lang w:val="nl-BE"/>
        </w:rPr>
        <w:t>of moet men rekening houden met het heel verhaal, inclusief de stappen die aan de geboorte van het kind voorafg</w:t>
      </w:r>
      <w:r w:rsidR="000F4919">
        <w:rPr>
          <w:sz w:val="24"/>
          <w:szCs w:val="24"/>
          <w:lang w:val="nl-BE"/>
        </w:rPr>
        <w:t>ingen</w:t>
      </w:r>
      <w:r w:rsidR="000072C2">
        <w:rPr>
          <w:sz w:val="24"/>
          <w:szCs w:val="24"/>
          <w:lang w:val="nl-BE"/>
        </w:rPr>
        <w:t>?</w:t>
      </w:r>
      <w:r w:rsidR="000F4919">
        <w:rPr>
          <w:sz w:val="24"/>
          <w:szCs w:val="24"/>
          <w:lang w:val="nl-BE"/>
        </w:rPr>
        <w:t xml:space="preserve"> </w:t>
      </w:r>
      <w:r w:rsidR="000F4919">
        <w:rPr>
          <w:rStyle w:val="Appelnotedebasdep"/>
          <w:sz w:val="24"/>
          <w:szCs w:val="24"/>
          <w:lang w:val="nl-BE"/>
        </w:rPr>
        <w:footnoteReference w:id="11"/>
      </w:r>
    </w:p>
    <w:p w14:paraId="0A0583FE" w14:textId="77777777" w:rsidR="00964382" w:rsidRDefault="00BA51BD" w:rsidP="00B46FD4">
      <w:pPr>
        <w:jc w:val="both"/>
        <w:rPr>
          <w:rFonts w:cstheme="minorHAnsi"/>
          <w:sz w:val="24"/>
          <w:szCs w:val="24"/>
          <w:lang w:val="nl-BE"/>
        </w:rPr>
      </w:pPr>
      <w:r>
        <w:rPr>
          <w:sz w:val="24"/>
          <w:szCs w:val="24"/>
          <w:lang w:val="nl-BE"/>
        </w:rPr>
        <w:t xml:space="preserve">Op dit punt blijft de rechtspraak verdeeld. Een aantal rechters kijken uitsluitend naar de gevolgen in België van </w:t>
      </w:r>
      <w:r w:rsidR="00964382">
        <w:rPr>
          <w:sz w:val="24"/>
          <w:szCs w:val="24"/>
          <w:lang w:val="nl-BE"/>
        </w:rPr>
        <w:t>wat zich in het buitenland afgespeeld heeft</w:t>
      </w:r>
      <w:r>
        <w:rPr>
          <w:sz w:val="24"/>
          <w:szCs w:val="24"/>
          <w:lang w:val="nl-BE"/>
        </w:rPr>
        <w:t>, zonder acht te slaan op d</w:t>
      </w:r>
      <w:r w:rsidRPr="000072C2">
        <w:rPr>
          <w:rFonts w:cstheme="minorHAnsi"/>
          <w:sz w:val="24"/>
          <w:szCs w:val="24"/>
          <w:lang w:val="nl-BE"/>
        </w:rPr>
        <w:t>e onderliggende draagmoederschapsovereenkomst.</w:t>
      </w:r>
      <w:r>
        <w:rPr>
          <w:rFonts w:cstheme="minorHAnsi"/>
          <w:sz w:val="24"/>
          <w:szCs w:val="24"/>
          <w:lang w:val="nl-BE"/>
        </w:rPr>
        <w:t xml:space="preserve"> Zo heeft de rechtbank te Brussel in 2016,</w:t>
      </w:r>
      <w:r w:rsidRPr="000072C2">
        <w:rPr>
          <w:rFonts w:cstheme="minorHAnsi"/>
          <w:sz w:val="24"/>
          <w:szCs w:val="24"/>
          <w:lang w:val="nl-BE"/>
        </w:rPr>
        <w:t xml:space="preserve"> in een zaak waar een kind in Miami geboren werd, </w:t>
      </w:r>
      <w:r>
        <w:rPr>
          <w:rFonts w:cstheme="minorHAnsi"/>
          <w:sz w:val="24"/>
          <w:szCs w:val="24"/>
          <w:lang w:val="nl-BE"/>
        </w:rPr>
        <w:t xml:space="preserve">geoordeeld dat </w:t>
      </w:r>
      <w:r w:rsidRPr="000072C2">
        <w:rPr>
          <w:rFonts w:cstheme="minorHAnsi"/>
          <w:sz w:val="24"/>
          <w:szCs w:val="24"/>
          <w:lang w:val="nl-BE"/>
        </w:rPr>
        <w:t>« </w:t>
      </w:r>
      <w:r>
        <w:rPr>
          <w:rFonts w:cstheme="minorHAnsi"/>
          <w:sz w:val="24"/>
          <w:szCs w:val="24"/>
          <w:lang w:val="nl-BE"/>
        </w:rPr>
        <w:t>[d]</w:t>
      </w:r>
      <w:r w:rsidRPr="000072C2">
        <w:rPr>
          <w:rFonts w:cstheme="minorHAnsi"/>
          <w:sz w:val="24"/>
          <w:szCs w:val="24"/>
          <w:lang w:val="nl-BE"/>
        </w:rPr>
        <w:t xml:space="preserve">e buitenlandse rechter heeft weliswaar mede rekening gehouden met voorafgaande afspraken tussen de vrouw en man in kwestie </w:t>
      </w:r>
      <w:proofErr w:type="gramStart"/>
      <w:r w:rsidRPr="000072C2">
        <w:rPr>
          <w:rFonts w:cstheme="minorHAnsi"/>
          <w:sz w:val="24"/>
          <w:szCs w:val="24"/>
          <w:lang w:val="nl-BE"/>
        </w:rPr>
        <w:t>inzake</w:t>
      </w:r>
      <w:proofErr w:type="gramEnd"/>
      <w:r w:rsidRPr="000072C2">
        <w:rPr>
          <w:rFonts w:cstheme="minorHAnsi"/>
          <w:sz w:val="24"/>
          <w:szCs w:val="24"/>
          <w:lang w:val="nl-BE"/>
        </w:rPr>
        <w:t xml:space="preserve"> draagmoederschap, maar de erkenning van de buitenlandse beslissing houdt op zich niet in dat de Belgische rechtsorde die voorafgaande afspraken inzake draagmoederschap goedkeurt of honoreert »</w:t>
      </w:r>
      <w:r>
        <w:rPr>
          <w:rStyle w:val="Appelnotedebasdep"/>
          <w:rFonts w:cstheme="minorHAnsi"/>
          <w:sz w:val="24"/>
          <w:szCs w:val="24"/>
          <w:lang w:val="nl-BE"/>
        </w:rPr>
        <w:footnoteReference w:id="12"/>
      </w:r>
      <w:r w:rsidRPr="000072C2">
        <w:rPr>
          <w:rFonts w:cstheme="minorHAnsi"/>
          <w:sz w:val="24"/>
          <w:szCs w:val="24"/>
          <w:lang w:val="nl-BE"/>
        </w:rPr>
        <w:t xml:space="preserve">. </w:t>
      </w:r>
      <w:r>
        <w:rPr>
          <w:rFonts w:cstheme="minorHAnsi"/>
          <w:sz w:val="24"/>
          <w:szCs w:val="24"/>
          <w:lang w:val="nl-BE"/>
        </w:rPr>
        <w:t xml:space="preserve">In een andere zaak heeft dezelfde rechtbank in 2018 </w:t>
      </w:r>
      <w:r w:rsidRPr="000072C2">
        <w:rPr>
          <w:rFonts w:cstheme="minorHAnsi"/>
          <w:sz w:val="24"/>
          <w:szCs w:val="24"/>
          <w:lang w:val="nl-BE"/>
        </w:rPr>
        <w:t>eer</w:t>
      </w:r>
      <w:r>
        <w:rPr>
          <w:rFonts w:cstheme="minorHAnsi"/>
          <w:sz w:val="24"/>
          <w:szCs w:val="24"/>
          <w:lang w:val="nl-BE"/>
        </w:rPr>
        <w:t>s</w:t>
      </w:r>
      <w:r w:rsidRPr="000072C2">
        <w:rPr>
          <w:rFonts w:cstheme="minorHAnsi"/>
          <w:sz w:val="24"/>
          <w:szCs w:val="24"/>
          <w:lang w:val="nl-BE"/>
        </w:rPr>
        <w:t xml:space="preserve">t uitvoerig uit de </w:t>
      </w:r>
      <w:proofErr w:type="spellStart"/>
      <w:r w:rsidRPr="000072C2">
        <w:rPr>
          <w:rFonts w:cstheme="minorHAnsi"/>
          <w:sz w:val="24"/>
          <w:szCs w:val="24"/>
          <w:lang w:val="nl-BE"/>
        </w:rPr>
        <w:t>draagmoederschapsovereekomst</w:t>
      </w:r>
      <w:proofErr w:type="spellEnd"/>
      <w:r w:rsidRPr="000072C2">
        <w:rPr>
          <w:rFonts w:cstheme="minorHAnsi"/>
          <w:sz w:val="24"/>
          <w:szCs w:val="24"/>
          <w:lang w:val="nl-BE"/>
        </w:rPr>
        <w:t xml:space="preserve"> </w:t>
      </w:r>
      <w:r>
        <w:rPr>
          <w:rFonts w:cstheme="minorHAnsi"/>
          <w:sz w:val="24"/>
          <w:szCs w:val="24"/>
          <w:lang w:val="nl-BE"/>
        </w:rPr>
        <w:t xml:space="preserve">geciteerd, </w:t>
      </w:r>
      <w:r w:rsidRPr="000072C2">
        <w:rPr>
          <w:rFonts w:cstheme="minorHAnsi"/>
          <w:sz w:val="24"/>
          <w:szCs w:val="24"/>
          <w:lang w:val="nl-BE"/>
        </w:rPr>
        <w:t>en in het bijzonder de bepalingen van het contract die de vrijheid van de draagmoeder sterk beknotten, om toch nog te besluiten dat « </w:t>
      </w:r>
      <w:proofErr w:type="spellStart"/>
      <w:r w:rsidRPr="000072C2">
        <w:rPr>
          <w:rFonts w:cstheme="minorHAnsi"/>
          <w:i/>
          <w:iCs/>
          <w:sz w:val="24"/>
          <w:szCs w:val="24"/>
          <w:lang w:val="nl-BE"/>
        </w:rPr>
        <w:t>il</w:t>
      </w:r>
      <w:proofErr w:type="spellEnd"/>
      <w:r w:rsidRPr="000072C2">
        <w:rPr>
          <w:rFonts w:cstheme="minorHAnsi"/>
          <w:i/>
          <w:iCs/>
          <w:sz w:val="24"/>
          <w:szCs w:val="24"/>
          <w:lang w:val="nl-BE"/>
        </w:rPr>
        <w:t xml:space="preserve"> ne </w:t>
      </w:r>
      <w:proofErr w:type="spellStart"/>
      <w:r w:rsidRPr="000072C2">
        <w:rPr>
          <w:rFonts w:cstheme="minorHAnsi"/>
          <w:i/>
          <w:iCs/>
          <w:sz w:val="24"/>
          <w:szCs w:val="24"/>
          <w:lang w:val="nl-BE"/>
        </w:rPr>
        <w:t>s’agit</w:t>
      </w:r>
      <w:proofErr w:type="spellEnd"/>
      <w:r w:rsidRPr="000072C2">
        <w:rPr>
          <w:rFonts w:cstheme="minorHAnsi"/>
          <w:i/>
          <w:iCs/>
          <w:sz w:val="24"/>
          <w:szCs w:val="24"/>
          <w:lang w:val="nl-BE"/>
        </w:rPr>
        <w:t xml:space="preserve"> pas, en </w:t>
      </w:r>
      <w:proofErr w:type="spellStart"/>
      <w:r w:rsidRPr="000072C2">
        <w:rPr>
          <w:rFonts w:cstheme="minorHAnsi"/>
          <w:i/>
          <w:iCs/>
          <w:sz w:val="24"/>
          <w:szCs w:val="24"/>
          <w:lang w:val="nl-BE"/>
        </w:rPr>
        <w:t>l’espèce</w:t>
      </w:r>
      <w:proofErr w:type="spellEnd"/>
      <w:r w:rsidRPr="000072C2">
        <w:rPr>
          <w:rFonts w:cstheme="minorHAnsi"/>
          <w:i/>
          <w:iCs/>
          <w:sz w:val="24"/>
          <w:szCs w:val="24"/>
          <w:lang w:val="nl-BE"/>
        </w:rPr>
        <w:t xml:space="preserve">, de </w:t>
      </w:r>
      <w:proofErr w:type="spellStart"/>
      <w:r w:rsidRPr="000072C2">
        <w:rPr>
          <w:rFonts w:cstheme="minorHAnsi"/>
          <w:i/>
          <w:iCs/>
          <w:sz w:val="24"/>
          <w:szCs w:val="24"/>
          <w:lang w:val="nl-BE"/>
        </w:rPr>
        <w:t>reconnaître</w:t>
      </w:r>
      <w:proofErr w:type="spellEnd"/>
      <w:r w:rsidRPr="000072C2">
        <w:rPr>
          <w:rFonts w:cstheme="minorHAnsi"/>
          <w:i/>
          <w:iCs/>
          <w:sz w:val="24"/>
          <w:szCs w:val="24"/>
          <w:lang w:val="nl-BE"/>
        </w:rPr>
        <w:t xml:space="preserve"> </w:t>
      </w:r>
      <w:proofErr w:type="spellStart"/>
      <w:r w:rsidRPr="000072C2">
        <w:rPr>
          <w:rFonts w:cstheme="minorHAnsi"/>
          <w:i/>
          <w:iCs/>
          <w:sz w:val="24"/>
          <w:szCs w:val="24"/>
          <w:lang w:val="nl-BE"/>
        </w:rPr>
        <w:t>ou</w:t>
      </w:r>
      <w:proofErr w:type="spellEnd"/>
      <w:r w:rsidRPr="000072C2">
        <w:rPr>
          <w:rFonts w:cstheme="minorHAnsi"/>
          <w:i/>
          <w:iCs/>
          <w:sz w:val="24"/>
          <w:szCs w:val="24"/>
          <w:lang w:val="nl-BE"/>
        </w:rPr>
        <w:t xml:space="preserve"> non des </w:t>
      </w:r>
      <w:proofErr w:type="spellStart"/>
      <w:r w:rsidRPr="000072C2">
        <w:rPr>
          <w:rFonts w:cstheme="minorHAnsi"/>
          <w:i/>
          <w:iCs/>
          <w:sz w:val="24"/>
          <w:szCs w:val="24"/>
          <w:lang w:val="nl-BE"/>
        </w:rPr>
        <w:t>effets</w:t>
      </w:r>
      <w:proofErr w:type="spellEnd"/>
      <w:r w:rsidRPr="000072C2">
        <w:rPr>
          <w:rFonts w:cstheme="minorHAnsi"/>
          <w:i/>
          <w:iCs/>
          <w:sz w:val="24"/>
          <w:szCs w:val="24"/>
          <w:lang w:val="nl-BE"/>
        </w:rPr>
        <w:t xml:space="preserve"> à </w:t>
      </w:r>
      <w:proofErr w:type="spellStart"/>
      <w:r w:rsidRPr="000072C2">
        <w:rPr>
          <w:rFonts w:cstheme="minorHAnsi"/>
          <w:i/>
          <w:iCs/>
          <w:sz w:val="24"/>
          <w:szCs w:val="24"/>
          <w:lang w:val="nl-BE"/>
        </w:rPr>
        <w:t>cette</w:t>
      </w:r>
      <w:proofErr w:type="spellEnd"/>
      <w:r w:rsidRPr="000072C2">
        <w:rPr>
          <w:rFonts w:cstheme="minorHAnsi"/>
          <w:i/>
          <w:iCs/>
          <w:sz w:val="24"/>
          <w:szCs w:val="24"/>
          <w:lang w:val="nl-BE"/>
        </w:rPr>
        <w:t xml:space="preserve"> </w:t>
      </w:r>
      <w:proofErr w:type="spellStart"/>
      <w:r w:rsidRPr="000072C2">
        <w:rPr>
          <w:rFonts w:cstheme="minorHAnsi"/>
          <w:i/>
          <w:iCs/>
          <w:sz w:val="24"/>
          <w:szCs w:val="24"/>
          <w:lang w:val="nl-BE"/>
        </w:rPr>
        <w:t>convention</w:t>
      </w:r>
      <w:proofErr w:type="spellEnd"/>
      <w:r w:rsidRPr="000072C2">
        <w:rPr>
          <w:rFonts w:cstheme="minorHAnsi"/>
          <w:i/>
          <w:iCs/>
          <w:sz w:val="24"/>
          <w:szCs w:val="24"/>
          <w:lang w:val="nl-BE"/>
        </w:rPr>
        <w:t xml:space="preserve">, mais </w:t>
      </w:r>
      <w:proofErr w:type="spellStart"/>
      <w:r w:rsidRPr="000072C2">
        <w:rPr>
          <w:rFonts w:cstheme="minorHAnsi"/>
          <w:i/>
          <w:iCs/>
          <w:sz w:val="24"/>
          <w:szCs w:val="24"/>
          <w:lang w:val="nl-BE"/>
        </w:rPr>
        <w:t>bien</w:t>
      </w:r>
      <w:proofErr w:type="spellEnd"/>
      <w:r w:rsidRPr="000072C2">
        <w:rPr>
          <w:rFonts w:cstheme="minorHAnsi"/>
          <w:i/>
          <w:iCs/>
          <w:sz w:val="24"/>
          <w:szCs w:val="24"/>
          <w:lang w:val="nl-BE"/>
        </w:rPr>
        <w:t xml:space="preserve"> de se </w:t>
      </w:r>
      <w:proofErr w:type="spellStart"/>
      <w:r w:rsidRPr="000072C2">
        <w:rPr>
          <w:rFonts w:cstheme="minorHAnsi"/>
          <w:i/>
          <w:iCs/>
          <w:sz w:val="24"/>
          <w:szCs w:val="24"/>
          <w:lang w:val="nl-BE"/>
        </w:rPr>
        <w:t>prononcer</w:t>
      </w:r>
      <w:proofErr w:type="spellEnd"/>
      <w:r w:rsidRPr="000072C2">
        <w:rPr>
          <w:rFonts w:cstheme="minorHAnsi"/>
          <w:i/>
          <w:iCs/>
          <w:sz w:val="24"/>
          <w:szCs w:val="24"/>
          <w:lang w:val="nl-BE"/>
        </w:rPr>
        <w:t xml:space="preserve"> </w:t>
      </w:r>
      <w:proofErr w:type="spellStart"/>
      <w:r w:rsidRPr="000072C2">
        <w:rPr>
          <w:rFonts w:cstheme="minorHAnsi"/>
          <w:i/>
          <w:iCs/>
          <w:sz w:val="24"/>
          <w:szCs w:val="24"/>
          <w:lang w:val="nl-BE"/>
        </w:rPr>
        <w:t>sur</w:t>
      </w:r>
      <w:proofErr w:type="spellEnd"/>
      <w:r w:rsidRPr="000072C2">
        <w:rPr>
          <w:rFonts w:cstheme="minorHAnsi"/>
          <w:i/>
          <w:iCs/>
          <w:sz w:val="24"/>
          <w:szCs w:val="24"/>
          <w:lang w:val="nl-BE"/>
        </w:rPr>
        <w:t xml:space="preserve"> la </w:t>
      </w:r>
      <w:proofErr w:type="spellStart"/>
      <w:r w:rsidRPr="000072C2">
        <w:rPr>
          <w:rFonts w:cstheme="minorHAnsi"/>
          <w:i/>
          <w:iCs/>
          <w:sz w:val="24"/>
          <w:szCs w:val="24"/>
          <w:lang w:val="nl-BE"/>
        </w:rPr>
        <w:t>reconnaissance</w:t>
      </w:r>
      <w:proofErr w:type="spellEnd"/>
      <w:r w:rsidRPr="000072C2">
        <w:rPr>
          <w:rFonts w:cstheme="minorHAnsi"/>
          <w:i/>
          <w:iCs/>
          <w:sz w:val="24"/>
          <w:szCs w:val="24"/>
          <w:lang w:val="nl-BE"/>
        </w:rPr>
        <w:t xml:space="preserve"> du </w:t>
      </w:r>
      <w:proofErr w:type="spellStart"/>
      <w:r w:rsidRPr="000072C2">
        <w:rPr>
          <w:rFonts w:cstheme="minorHAnsi"/>
          <w:i/>
          <w:iCs/>
          <w:sz w:val="24"/>
          <w:szCs w:val="24"/>
          <w:lang w:val="nl-BE"/>
        </w:rPr>
        <w:t>jugement</w:t>
      </w:r>
      <w:proofErr w:type="spellEnd"/>
      <w:r w:rsidRPr="000072C2">
        <w:rPr>
          <w:rFonts w:cstheme="minorHAnsi"/>
          <w:i/>
          <w:iCs/>
          <w:sz w:val="24"/>
          <w:szCs w:val="24"/>
          <w:lang w:val="nl-BE"/>
        </w:rPr>
        <w:t xml:space="preserve"> </w:t>
      </w:r>
      <w:proofErr w:type="spellStart"/>
      <w:r w:rsidRPr="000072C2">
        <w:rPr>
          <w:rFonts w:cstheme="minorHAnsi"/>
          <w:i/>
          <w:iCs/>
          <w:sz w:val="24"/>
          <w:szCs w:val="24"/>
          <w:lang w:val="nl-BE"/>
        </w:rPr>
        <w:t>prononcé</w:t>
      </w:r>
      <w:proofErr w:type="spellEnd"/>
      <w:r w:rsidRPr="000072C2">
        <w:rPr>
          <w:rFonts w:cstheme="minorHAnsi"/>
          <w:i/>
          <w:iCs/>
          <w:sz w:val="24"/>
          <w:szCs w:val="24"/>
          <w:lang w:val="nl-BE"/>
        </w:rPr>
        <w:t xml:space="preserve"> </w:t>
      </w:r>
      <w:proofErr w:type="spellStart"/>
      <w:r w:rsidRPr="000072C2">
        <w:rPr>
          <w:rFonts w:cstheme="minorHAnsi"/>
          <w:i/>
          <w:iCs/>
          <w:sz w:val="24"/>
          <w:szCs w:val="24"/>
          <w:lang w:val="nl-BE"/>
        </w:rPr>
        <w:t>le</w:t>
      </w:r>
      <w:proofErr w:type="spellEnd"/>
      <w:r w:rsidRPr="000072C2">
        <w:rPr>
          <w:rFonts w:cstheme="minorHAnsi"/>
          <w:i/>
          <w:iCs/>
          <w:sz w:val="24"/>
          <w:szCs w:val="24"/>
          <w:lang w:val="nl-BE"/>
        </w:rPr>
        <w:t xml:space="preserve"> 13 </w:t>
      </w:r>
      <w:proofErr w:type="spellStart"/>
      <w:r w:rsidRPr="000072C2">
        <w:rPr>
          <w:rFonts w:cstheme="minorHAnsi"/>
          <w:i/>
          <w:iCs/>
          <w:sz w:val="24"/>
          <w:szCs w:val="24"/>
          <w:lang w:val="nl-BE"/>
        </w:rPr>
        <w:t>janvier</w:t>
      </w:r>
      <w:proofErr w:type="spellEnd"/>
      <w:r w:rsidRPr="000072C2">
        <w:rPr>
          <w:rFonts w:cstheme="minorHAnsi"/>
          <w:i/>
          <w:iCs/>
          <w:sz w:val="24"/>
          <w:szCs w:val="24"/>
          <w:lang w:val="nl-BE"/>
        </w:rPr>
        <w:t xml:space="preserve"> 2017. </w:t>
      </w:r>
      <w:r w:rsidRPr="00016FDD">
        <w:rPr>
          <w:rFonts w:cstheme="minorHAnsi"/>
          <w:i/>
          <w:iCs/>
          <w:sz w:val="24"/>
          <w:szCs w:val="24"/>
        </w:rPr>
        <w:t>Celui-ci mentionne certes l’accord de parentalité parmi les éléments factuels qui lui sont soumis, mais se base, juridiquement, sur la « Loi sur la parentalité uniforme » du Minnesota […]”</w:t>
      </w:r>
      <w:r w:rsidRPr="00AF6989">
        <w:rPr>
          <w:rStyle w:val="Appelnotedebasdep"/>
          <w:rFonts w:cstheme="minorHAnsi"/>
          <w:sz w:val="24"/>
          <w:szCs w:val="24"/>
        </w:rPr>
        <w:footnoteReference w:id="13"/>
      </w:r>
      <w:r w:rsidRPr="00AF6989">
        <w:rPr>
          <w:rFonts w:cstheme="minorHAnsi"/>
          <w:sz w:val="24"/>
          <w:szCs w:val="24"/>
          <w:lang w:val="nl-BE"/>
        </w:rPr>
        <w:t xml:space="preserve">. </w:t>
      </w:r>
    </w:p>
    <w:p w14:paraId="7062C206" w14:textId="1FE71004" w:rsidR="00BA51BD" w:rsidRDefault="00BA51BD" w:rsidP="00B46FD4">
      <w:pPr>
        <w:jc w:val="both"/>
        <w:rPr>
          <w:rFonts w:cstheme="minorHAnsi"/>
          <w:sz w:val="24"/>
          <w:szCs w:val="24"/>
          <w:lang w:val="nl-BE"/>
        </w:rPr>
      </w:pPr>
      <w:r>
        <w:rPr>
          <w:rFonts w:cstheme="minorHAnsi"/>
          <w:sz w:val="24"/>
          <w:szCs w:val="24"/>
          <w:lang w:val="nl-BE"/>
        </w:rPr>
        <w:t>Dit staat in schril contrast met het oordeel van het Hof te Gent in de Mexicaanse zaak</w:t>
      </w:r>
      <w:r>
        <w:rPr>
          <w:rStyle w:val="Appelnotedebasdep"/>
          <w:rFonts w:cstheme="minorHAnsi"/>
          <w:sz w:val="24"/>
          <w:szCs w:val="24"/>
          <w:lang w:val="nl-BE"/>
        </w:rPr>
        <w:footnoteReference w:id="14"/>
      </w:r>
      <w:r>
        <w:rPr>
          <w:rFonts w:cstheme="minorHAnsi"/>
          <w:sz w:val="24"/>
          <w:szCs w:val="24"/>
          <w:lang w:val="nl-BE"/>
        </w:rPr>
        <w:t>.</w:t>
      </w:r>
      <w:r w:rsidR="00AF6989">
        <w:rPr>
          <w:rFonts w:cstheme="minorHAnsi"/>
          <w:sz w:val="24"/>
          <w:szCs w:val="24"/>
          <w:lang w:val="nl-BE"/>
        </w:rPr>
        <w:t xml:space="preserve"> Ook andere rechtscolleges hebben </w:t>
      </w:r>
      <w:r w:rsidR="002E100B">
        <w:rPr>
          <w:rFonts w:cstheme="minorHAnsi"/>
          <w:sz w:val="24"/>
          <w:szCs w:val="24"/>
          <w:lang w:val="nl-BE"/>
        </w:rPr>
        <w:t xml:space="preserve">rekening gehouden met de stappen die aan de buitenlandse beslissing voorafgaan en aldus de </w:t>
      </w:r>
      <w:r w:rsidR="00AF6989">
        <w:rPr>
          <w:rFonts w:cstheme="minorHAnsi"/>
          <w:sz w:val="24"/>
          <w:szCs w:val="24"/>
          <w:lang w:val="nl-BE"/>
        </w:rPr>
        <w:t>bepalingen van de draagmoederschapsovereenkomst mede in hun redenering betrokken</w:t>
      </w:r>
      <w:r w:rsidR="00AF6989" w:rsidRPr="000072C2">
        <w:rPr>
          <w:rStyle w:val="Appelnotedebasdep"/>
          <w:sz w:val="24"/>
          <w:szCs w:val="24"/>
          <w:lang w:val="nl-BE"/>
        </w:rPr>
        <w:footnoteReference w:id="15"/>
      </w:r>
      <w:r w:rsidR="00AF6989">
        <w:rPr>
          <w:rFonts w:cstheme="minorHAnsi"/>
          <w:sz w:val="24"/>
          <w:szCs w:val="24"/>
          <w:lang w:val="nl-BE"/>
        </w:rPr>
        <w:t>.</w:t>
      </w:r>
    </w:p>
    <w:p w14:paraId="6DB4EF9E" w14:textId="75F25C5F" w:rsidR="00196D00" w:rsidRDefault="007F15B8" w:rsidP="009908A0">
      <w:pPr>
        <w:jc w:val="both"/>
        <w:rPr>
          <w:sz w:val="24"/>
          <w:szCs w:val="24"/>
          <w:lang w:val="nl-BE"/>
        </w:rPr>
      </w:pPr>
      <w:r w:rsidRPr="000072C2">
        <w:rPr>
          <w:rFonts w:cstheme="minorHAnsi"/>
          <w:sz w:val="24"/>
          <w:szCs w:val="24"/>
          <w:lang w:val="nl-BE"/>
        </w:rPr>
        <w:lastRenderedPageBreak/>
        <w:t>Op dit punt</w:t>
      </w:r>
      <w:r w:rsidR="000072C2">
        <w:rPr>
          <w:rFonts w:cstheme="minorHAnsi"/>
          <w:sz w:val="24"/>
          <w:szCs w:val="24"/>
          <w:lang w:val="nl-BE"/>
        </w:rPr>
        <w:t xml:space="preserve"> zou </w:t>
      </w:r>
      <w:r w:rsidR="00735B08">
        <w:rPr>
          <w:rFonts w:cstheme="minorHAnsi"/>
          <w:sz w:val="24"/>
          <w:szCs w:val="24"/>
          <w:lang w:val="nl-BE"/>
        </w:rPr>
        <w:t>enige</w:t>
      </w:r>
      <w:r w:rsidR="000072C2">
        <w:rPr>
          <w:rFonts w:cstheme="minorHAnsi"/>
          <w:sz w:val="24"/>
          <w:szCs w:val="24"/>
          <w:lang w:val="nl-BE"/>
        </w:rPr>
        <w:t xml:space="preserve"> </w:t>
      </w:r>
      <w:r w:rsidRPr="000072C2">
        <w:rPr>
          <w:rFonts w:cstheme="minorHAnsi"/>
          <w:sz w:val="24"/>
          <w:szCs w:val="24"/>
          <w:lang w:val="nl-BE"/>
        </w:rPr>
        <w:t xml:space="preserve">verduidelijking door het Hof van cassatie </w:t>
      </w:r>
      <w:r w:rsidR="009908A0" w:rsidRPr="000072C2">
        <w:rPr>
          <w:rFonts w:cstheme="minorHAnsi"/>
          <w:sz w:val="24"/>
          <w:szCs w:val="24"/>
          <w:lang w:val="nl-BE"/>
        </w:rPr>
        <w:t xml:space="preserve">welkom zijn. </w:t>
      </w:r>
      <w:r w:rsidR="000072C2">
        <w:rPr>
          <w:rFonts w:cstheme="minorHAnsi"/>
          <w:sz w:val="24"/>
          <w:szCs w:val="24"/>
          <w:lang w:val="nl-BE"/>
        </w:rPr>
        <w:t xml:space="preserve">Als men </w:t>
      </w:r>
      <w:r w:rsidR="00FF094F">
        <w:rPr>
          <w:rFonts w:cstheme="minorHAnsi"/>
          <w:sz w:val="24"/>
          <w:szCs w:val="24"/>
          <w:lang w:val="nl-BE"/>
        </w:rPr>
        <w:t>zich aan de orthodoxe leer vasthoudt</w:t>
      </w:r>
      <w:r w:rsidR="000072C2">
        <w:rPr>
          <w:rFonts w:cstheme="minorHAnsi"/>
          <w:sz w:val="24"/>
          <w:szCs w:val="24"/>
          <w:lang w:val="nl-BE"/>
        </w:rPr>
        <w:t>, zou het Hof moeten stellen dat het onderzoek niet</w:t>
      </w:r>
      <w:r w:rsidR="009908A0" w:rsidRPr="000072C2">
        <w:rPr>
          <w:rFonts w:cstheme="minorHAnsi"/>
          <w:sz w:val="24"/>
          <w:szCs w:val="24"/>
          <w:lang w:val="nl-BE"/>
        </w:rPr>
        <w:t xml:space="preserve"> </w:t>
      </w:r>
      <w:r w:rsidR="000072C2">
        <w:rPr>
          <w:rFonts w:cstheme="minorHAnsi"/>
          <w:sz w:val="24"/>
          <w:szCs w:val="24"/>
          <w:lang w:val="nl-BE"/>
        </w:rPr>
        <w:t xml:space="preserve">zozeer </w:t>
      </w:r>
      <w:r w:rsidR="009908A0" w:rsidRPr="000072C2">
        <w:rPr>
          <w:rFonts w:cstheme="minorHAnsi"/>
          <w:sz w:val="24"/>
          <w:szCs w:val="24"/>
          <w:lang w:val="nl-BE"/>
        </w:rPr>
        <w:t>naar de achterliggende feiten</w:t>
      </w:r>
      <w:r w:rsidR="00196D00">
        <w:rPr>
          <w:rFonts w:cstheme="minorHAnsi"/>
          <w:sz w:val="24"/>
          <w:szCs w:val="24"/>
          <w:lang w:val="nl-BE"/>
        </w:rPr>
        <w:t xml:space="preserve"> moet kijken</w:t>
      </w:r>
      <w:r w:rsidR="000072C2">
        <w:rPr>
          <w:rFonts w:cstheme="minorHAnsi"/>
          <w:sz w:val="24"/>
          <w:szCs w:val="24"/>
          <w:lang w:val="nl-BE"/>
        </w:rPr>
        <w:t>, doch eerder op de gevolgen van de erkenning</w:t>
      </w:r>
      <w:r w:rsidR="00196D00">
        <w:rPr>
          <w:rFonts w:cstheme="minorHAnsi"/>
          <w:sz w:val="24"/>
          <w:szCs w:val="24"/>
          <w:lang w:val="nl-BE"/>
        </w:rPr>
        <w:t xml:space="preserve"> moet slaan</w:t>
      </w:r>
      <w:r w:rsidR="009908A0" w:rsidRPr="000072C2">
        <w:rPr>
          <w:rFonts w:cstheme="minorHAnsi"/>
          <w:sz w:val="24"/>
          <w:szCs w:val="24"/>
          <w:lang w:val="nl-BE"/>
        </w:rPr>
        <w:t xml:space="preserve">. </w:t>
      </w:r>
      <w:r w:rsidR="00735B08">
        <w:rPr>
          <w:rFonts w:cstheme="minorHAnsi"/>
          <w:sz w:val="24"/>
          <w:szCs w:val="24"/>
          <w:lang w:val="nl-BE"/>
        </w:rPr>
        <w:t>Algemeen wordt immers aanvaard dat d</w:t>
      </w:r>
      <w:r w:rsidR="009908A0" w:rsidRPr="000072C2">
        <w:rPr>
          <w:rFonts w:cstheme="minorHAnsi"/>
          <w:sz w:val="24"/>
          <w:szCs w:val="24"/>
          <w:lang w:val="nl-BE"/>
        </w:rPr>
        <w:t>e</w:t>
      </w:r>
      <w:r w:rsidR="002F19FE">
        <w:rPr>
          <w:rFonts w:cstheme="minorHAnsi"/>
          <w:sz w:val="24"/>
          <w:szCs w:val="24"/>
          <w:lang w:val="nl-BE"/>
        </w:rPr>
        <w:t xml:space="preserve"> achterliggende feiten</w:t>
      </w:r>
      <w:r w:rsidR="00735B08">
        <w:rPr>
          <w:rFonts w:cstheme="minorHAnsi"/>
          <w:sz w:val="24"/>
          <w:szCs w:val="24"/>
          <w:lang w:val="nl-BE"/>
        </w:rPr>
        <w:t xml:space="preserve"> </w:t>
      </w:r>
      <w:r w:rsidR="009908A0" w:rsidRPr="000072C2">
        <w:rPr>
          <w:rFonts w:cstheme="minorHAnsi"/>
          <w:sz w:val="24"/>
          <w:szCs w:val="24"/>
          <w:lang w:val="nl-BE"/>
        </w:rPr>
        <w:t>bij de beoordeling</w:t>
      </w:r>
      <w:r w:rsidR="00FF094F">
        <w:rPr>
          <w:rFonts w:cstheme="minorHAnsi"/>
          <w:sz w:val="24"/>
          <w:szCs w:val="24"/>
          <w:lang w:val="nl-BE"/>
        </w:rPr>
        <w:t xml:space="preserve"> van de openbare orde </w:t>
      </w:r>
      <w:r w:rsidR="00FF094F" w:rsidRPr="000072C2">
        <w:rPr>
          <w:rFonts w:cstheme="minorHAnsi"/>
          <w:sz w:val="24"/>
          <w:szCs w:val="24"/>
          <w:lang w:val="nl-BE"/>
        </w:rPr>
        <w:t xml:space="preserve">niet centraal </w:t>
      </w:r>
      <w:r w:rsidR="00FF094F">
        <w:rPr>
          <w:rFonts w:cstheme="minorHAnsi"/>
          <w:sz w:val="24"/>
          <w:szCs w:val="24"/>
          <w:lang w:val="nl-BE"/>
        </w:rPr>
        <w:t>staan</w:t>
      </w:r>
      <w:r w:rsidR="009D6E37">
        <w:rPr>
          <w:rStyle w:val="Appelnotedebasdep"/>
          <w:rFonts w:cstheme="minorHAnsi"/>
          <w:sz w:val="24"/>
          <w:szCs w:val="24"/>
          <w:lang w:val="nl-BE"/>
        </w:rPr>
        <w:footnoteReference w:id="16"/>
      </w:r>
      <w:r w:rsidR="008811ED" w:rsidRPr="000072C2">
        <w:rPr>
          <w:sz w:val="24"/>
          <w:szCs w:val="24"/>
          <w:lang w:val="nl-BE"/>
        </w:rPr>
        <w:t xml:space="preserve">. </w:t>
      </w:r>
      <w:proofErr w:type="spellStart"/>
      <w:r w:rsidR="00696D71" w:rsidRPr="00016FDD">
        <w:rPr>
          <w:sz w:val="24"/>
          <w:szCs w:val="24"/>
        </w:rPr>
        <w:t>Zo</w:t>
      </w:r>
      <w:proofErr w:type="spellEnd"/>
      <w:r w:rsidR="00696D71" w:rsidRPr="00016FDD">
        <w:rPr>
          <w:sz w:val="24"/>
          <w:szCs w:val="24"/>
        </w:rPr>
        <w:t xml:space="preserve"> </w:t>
      </w:r>
      <w:proofErr w:type="spellStart"/>
      <w:r w:rsidR="00696D71" w:rsidRPr="00016FDD">
        <w:rPr>
          <w:sz w:val="24"/>
          <w:szCs w:val="24"/>
        </w:rPr>
        <w:t>schrijven</w:t>
      </w:r>
      <w:proofErr w:type="spellEnd"/>
      <w:r w:rsidR="00696D71" w:rsidRPr="00016FDD">
        <w:rPr>
          <w:sz w:val="24"/>
          <w:szCs w:val="24"/>
        </w:rPr>
        <w:t xml:space="preserve"> Watté en </w:t>
      </w:r>
      <w:proofErr w:type="spellStart"/>
      <w:r w:rsidR="00696D71" w:rsidRPr="00016FDD">
        <w:rPr>
          <w:sz w:val="24"/>
          <w:szCs w:val="24"/>
        </w:rPr>
        <w:t>Jafferali</w:t>
      </w:r>
      <w:proofErr w:type="spellEnd"/>
      <w:r w:rsidR="00696D71" w:rsidRPr="00016FDD">
        <w:rPr>
          <w:sz w:val="24"/>
          <w:szCs w:val="24"/>
        </w:rPr>
        <w:t xml:space="preserve"> </w:t>
      </w:r>
      <w:proofErr w:type="spellStart"/>
      <w:r w:rsidR="00696D71" w:rsidRPr="00016FDD">
        <w:rPr>
          <w:sz w:val="24"/>
          <w:szCs w:val="24"/>
        </w:rPr>
        <w:t>dat</w:t>
      </w:r>
      <w:proofErr w:type="spellEnd"/>
      <w:r w:rsidR="00696D71" w:rsidRPr="00016FDD">
        <w:rPr>
          <w:sz w:val="24"/>
          <w:szCs w:val="24"/>
        </w:rPr>
        <w:t xml:space="preserve"> « [c]e qui déclenche l’exception de l’ordre public international n’est pas, en soi, le contenu de l’acte étranger ou de la règle étrangère. C’est le résultat inadmissible auquel conduirait, en l’espèce, leur application »</w:t>
      </w:r>
      <w:r w:rsidR="00696D71" w:rsidRPr="000072C2">
        <w:rPr>
          <w:rStyle w:val="Appelnotedebasdep"/>
          <w:sz w:val="24"/>
          <w:szCs w:val="24"/>
          <w:lang w:val="nl-BE"/>
        </w:rPr>
        <w:footnoteReference w:id="17"/>
      </w:r>
      <w:r w:rsidR="00696D71" w:rsidRPr="00016FDD">
        <w:rPr>
          <w:sz w:val="24"/>
          <w:szCs w:val="24"/>
        </w:rPr>
        <w:t xml:space="preserve">. </w:t>
      </w:r>
      <w:r w:rsidR="00696D71" w:rsidRPr="000072C2">
        <w:rPr>
          <w:sz w:val="24"/>
          <w:szCs w:val="24"/>
          <w:lang w:val="nl-BE"/>
        </w:rPr>
        <w:t>De noodzaak om op de concrete gevolgen te focussen geldt zowel bij de toepassing van vreemd recht als bij de vraag naar de werking in België va</w:t>
      </w:r>
      <w:r w:rsidR="00196D00">
        <w:rPr>
          <w:sz w:val="24"/>
          <w:szCs w:val="24"/>
          <w:lang w:val="nl-BE"/>
        </w:rPr>
        <w:t xml:space="preserve">n </w:t>
      </w:r>
      <w:r w:rsidR="00696D71" w:rsidRPr="000072C2">
        <w:rPr>
          <w:sz w:val="24"/>
          <w:szCs w:val="24"/>
          <w:lang w:val="nl-BE"/>
        </w:rPr>
        <w:t>buitenlandse beslissing</w:t>
      </w:r>
      <w:r w:rsidR="00196D00">
        <w:rPr>
          <w:sz w:val="24"/>
          <w:szCs w:val="24"/>
          <w:lang w:val="nl-BE"/>
        </w:rPr>
        <w:t>en</w:t>
      </w:r>
      <w:r w:rsidR="00696D71" w:rsidRPr="000072C2">
        <w:rPr>
          <w:sz w:val="24"/>
          <w:szCs w:val="24"/>
          <w:lang w:val="nl-BE"/>
        </w:rPr>
        <w:t>.</w:t>
      </w:r>
      <w:r w:rsidR="00A2172B" w:rsidRPr="000072C2">
        <w:rPr>
          <w:sz w:val="24"/>
          <w:szCs w:val="24"/>
          <w:lang w:val="nl-BE"/>
        </w:rPr>
        <w:t xml:space="preserve"> </w:t>
      </w:r>
      <w:r w:rsidR="00196D00">
        <w:rPr>
          <w:sz w:val="24"/>
          <w:szCs w:val="24"/>
          <w:lang w:val="nl-BE"/>
        </w:rPr>
        <w:t>Voor deze laatste wordt dit nog verder versterkt door de</w:t>
      </w:r>
      <w:r w:rsidR="00A2172B" w:rsidRPr="000072C2">
        <w:rPr>
          <w:sz w:val="24"/>
          <w:szCs w:val="24"/>
          <w:lang w:val="nl-BE"/>
        </w:rPr>
        <w:t xml:space="preserve"> zgn. leer van de « verzachtende werking » van de openbare orde.</w:t>
      </w:r>
      <w:r w:rsidR="00EF1F11" w:rsidRPr="000072C2">
        <w:rPr>
          <w:sz w:val="24"/>
          <w:szCs w:val="24"/>
          <w:lang w:val="nl-BE"/>
        </w:rPr>
        <w:t xml:space="preserve"> De</w:t>
      </w:r>
      <w:r w:rsidR="00196D00">
        <w:rPr>
          <w:sz w:val="24"/>
          <w:szCs w:val="24"/>
          <w:lang w:val="nl-BE"/>
        </w:rPr>
        <w:t xml:space="preserve">ze </w:t>
      </w:r>
      <w:r w:rsidR="00EF1F11" w:rsidRPr="000072C2">
        <w:rPr>
          <w:sz w:val="24"/>
          <w:szCs w:val="24"/>
          <w:lang w:val="nl-BE"/>
        </w:rPr>
        <w:t>leer</w:t>
      </w:r>
      <w:r w:rsidR="00196D00">
        <w:rPr>
          <w:sz w:val="24"/>
          <w:szCs w:val="24"/>
          <w:lang w:val="nl-BE"/>
        </w:rPr>
        <w:t xml:space="preserve">, die terecht </w:t>
      </w:r>
      <w:r w:rsidR="00EF1F11" w:rsidRPr="000072C2">
        <w:rPr>
          <w:sz w:val="24"/>
          <w:szCs w:val="24"/>
          <w:lang w:val="nl-BE"/>
        </w:rPr>
        <w:t>sterk bekritiseerd</w:t>
      </w:r>
      <w:r w:rsidR="00196D00">
        <w:rPr>
          <w:sz w:val="24"/>
          <w:szCs w:val="24"/>
          <w:lang w:val="nl-BE"/>
        </w:rPr>
        <w:t xml:space="preserve"> wordt</w:t>
      </w:r>
      <w:r w:rsidR="00EF1F11" w:rsidRPr="000072C2">
        <w:rPr>
          <w:rStyle w:val="Appelnotedebasdep"/>
          <w:sz w:val="24"/>
          <w:szCs w:val="24"/>
          <w:lang w:val="nl-BE"/>
        </w:rPr>
        <w:footnoteReference w:id="18"/>
      </w:r>
      <w:r w:rsidR="00196D00">
        <w:rPr>
          <w:sz w:val="24"/>
          <w:szCs w:val="24"/>
          <w:lang w:val="nl-BE"/>
        </w:rPr>
        <w:t>,</w:t>
      </w:r>
      <w:r w:rsidR="00EF1F11" w:rsidRPr="000072C2">
        <w:rPr>
          <w:sz w:val="24"/>
          <w:szCs w:val="24"/>
          <w:lang w:val="nl-BE"/>
        </w:rPr>
        <w:t xml:space="preserve"> </w:t>
      </w:r>
      <w:r w:rsidR="00196D00">
        <w:rPr>
          <w:sz w:val="24"/>
          <w:szCs w:val="24"/>
          <w:lang w:val="nl-BE"/>
        </w:rPr>
        <w:t>bevestigt immers dat bij de erkenning van een buitenlandse beslissing de klemtoon ligt op de gevolgen voor de aangezochte rechtsorde.</w:t>
      </w:r>
      <w:r w:rsidR="00196D00" w:rsidRPr="000072C2">
        <w:rPr>
          <w:sz w:val="24"/>
          <w:szCs w:val="24"/>
          <w:lang w:val="nl-BE"/>
        </w:rPr>
        <w:t xml:space="preserve"> Zoals van Hecke het schreef, « [d]e intensiteit van de reactie van de openbare orde is inderdaad minder sterk bij de erkenning van buitenlandse vonnissen dan bij de toepassing van buitenlands recht door de Belgische rechter »</w:t>
      </w:r>
      <w:r w:rsidR="00196D00" w:rsidRPr="000072C2">
        <w:rPr>
          <w:rStyle w:val="Appelnotedebasdep"/>
          <w:sz w:val="24"/>
          <w:szCs w:val="24"/>
          <w:lang w:val="nl-BE"/>
        </w:rPr>
        <w:t xml:space="preserve"> </w:t>
      </w:r>
      <w:r w:rsidR="00196D00" w:rsidRPr="000072C2">
        <w:rPr>
          <w:rStyle w:val="Appelnotedebasdep"/>
          <w:sz w:val="24"/>
          <w:szCs w:val="24"/>
          <w:lang w:val="nl-BE"/>
        </w:rPr>
        <w:footnoteReference w:id="19"/>
      </w:r>
      <w:r w:rsidR="00196D00" w:rsidRPr="000072C2">
        <w:rPr>
          <w:sz w:val="24"/>
          <w:szCs w:val="24"/>
          <w:lang w:val="nl-BE"/>
        </w:rPr>
        <w:t>.</w:t>
      </w:r>
    </w:p>
    <w:p w14:paraId="70A506B2" w14:textId="4229545A" w:rsidR="00FE2369" w:rsidRDefault="00897F09" w:rsidP="009908A0">
      <w:pPr>
        <w:jc w:val="both"/>
        <w:rPr>
          <w:sz w:val="24"/>
          <w:szCs w:val="24"/>
          <w:lang w:val="nl-BE"/>
        </w:rPr>
      </w:pPr>
      <w:r>
        <w:rPr>
          <w:sz w:val="24"/>
          <w:szCs w:val="24"/>
          <w:lang w:val="nl-BE"/>
        </w:rPr>
        <w:t xml:space="preserve">De redenering van het Hof van beroept te Gent vormt aldus een breuk </w:t>
      </w:r>
      <w:r w:rsidRPr="000072C2">
        <w:rPr>
          <w:sz w:val="24"/>
          <w:szCs w:val="24"/>
          <w:lang w:val="nl-BE"/>
        </w:rPr>
        <w:t>met de traditionele opvatting</w:t>
      </w:r>
      <w:r>
        <w:rPr>
          <w:sz w:val="24"/>
          <w:szCs w:val="24"/>
          <w:lang w:val="nl-BE"/>
        </w:rPr>
        <w:t xml:space="preserve"> </w:t>
      </w:r>
      <w:proofErr w:type="gramStart"/>
      <w:r w:rsidRPr="000072C2">
        <w:rPr>
          <w:sz w:val="24"/>
          <w:szCs w:val="24"/>
          <w:lang w:val="nl-BE"/>
        </w:rPr>
        <w:t>inzake</w:t>
      </w:r>
      <w:proofErr w:type="gramEnd"/>
      <w:r w:rsidRPr="000072C2">
        <w:rPr>
          <w:sz w:val="24"/>
          <w:szCs w:val="24"/>
          <w:lang w:val="nl-BE"/>
        </w:rPr>
        <w:t xml:space="preserve"> werking van openbare orde.</w:t>
      </w:r>
      <w:r>
        <w:rPr>
          <w:sz w:val="24"/>
          <w:szCs w:val="24"/>
          <w:lang w:val="nl-BE"/>
        </w:rPr>
        <w:t xml:space="preserve"> Dit wordt treffend geïllustreerd door een</w:t>
      </w:r>
      <w:r w:rsidR="00EF1F11" w:rsidRPr="000072C2">
        <w:rPr>
          <w:sz w:val="24"/>
          <w:szCs w:val="24"/>
          <w:lang w:val="nl-BE"/>
        </w:rPr>
        <w:t xml:space="preserve"> vergelijking met </w:t>
      </w:r>
      <w:r>
        <w:rPr>
          <w:sz w:val="24"/>
          <w:szCs w:val="24"/>
          <w:lang w:val="nl-BE"/>
        </w:rPr>
        <w:t xml:space="preserve">de praktijk </w:t>
      </w:r>
      <w:proofErr w:type="gramStart"/>
      <w:r>
        <w:rPr>
          <w:sz w:val="24"/>
          <w:szCs w:val="24"/>
          <w:lang w:val="nl-BE"/>
        </w:rPr>
        <w:t>inzake</w:t>
      </w:r>
      <w:proofErr w:type="gramEnd"/>
      <w:r>
        <w:rPr>
          <w:sz w:val="24"/>
          <w:szCs w:val="24"/>
          <w:lang w:val="nl-BE"/>
        </w:rPr>
        <w:t xml:space="preserve"> </w:t>
      </w:r>
      <w:r w:rsidR="00EF1F11" w:rsidRPr="000072C2">
        <w:rPr>
          <w:sz w:val="24"/>
          <w:szCs w:val="24"/>
          <w:lang w:val="nl-BE"/>
        </w:rPr>
        <w:t>polygame huwelijke</w:t>
      </w:r>
      <w:r>
        <w:rPr>
          <w:sz w:val="24"/>
          <w:szCs w:val="24"/>
          <w:lang w:val="nl-BE"/>
        </w:rPr>
        <w:t xml:space="preserve">n. </w:t>
      </w:r>
      <w:r w:rsidR="00FE2369">
        <w:rPr>
          <w:sz w:val="24"/>
          <w:szCs w:val="24"/>
          <w:lang w:val="nl-BE"/>
        </w:rPr>
        <w:t xml:space="preserve">Bij de </w:t>
      </w:r>
      <w:r w:rsidR="00074C33">
        <w:rPr>
          <w:sz w:val="24"/>
          <w:szCs w:val="24"/>
          <w:lang w:val="nl-BE"/>
        </w:rPr>
        <w:t xml:space="preserve">vraag naar de doorwerking in België van de gevolgen van </w:t>
      </w:r>
      <w:r w:rsidR="00FE2369">
        <w:rPr>
          <w:sz w:val="24"/>
          <w:szCs w:val="24"/>
          <w:lang w:val="nl-BE"/>
        </w:rPr>
        <w:t>dergelijke huwelijken</w:t>
      </w:r>
      <w:r w:rsidR="00074C33">
        <w:rPr>
          <w:sz w:val="24"/>
          <w:szCs w:val="24"/>
          <w:lang w:val="nl-BE"/>
        </w:rPr>
        <w:t>, wordt het huwelijk als bron van die gevolgen buiten beschouwing gelaten. Om preciezer te zijn, h</w:t>
      </w:r>
      <w:r w:rsidR="00D75336">
        <w:rPr>
          <w:sz w:val="24"/>
          <w:szCs w:val="24"/>
          <w:lang w:val="nl-BE"/>
        </w:rPr>
        <w:t xml:space="preserve">et feit dat </w:t>
      </w:r>
      <w:r w:rsidR="00074C33">
        <w:rPr>
          <w:sz w:val="24"/>
          <w:szCs w:val="24"/>
          <w:lang w:val="nl-BE"/>
        </w:rPr>
        <w:t>het huwelijk, waaruit de gevolgen voortspruiten, op zichzelf onaanvaardbaar is omdat de</w:t>
      </w:r>
      <w:r w:rsidR="00D75336">
        <w:rPr>
          <w:sz w:val="24"/>
          <w:szCs w:val="24"/>
          <w:lang w:val="nl-BE"/>
        </w:rPr>
        <w:t xml:space="preserve"> man tegelijkertijd met twee vrouwen getrouwd is, verhindert niet dat de concrete effecten van het huwelijk zowel voor de echtgenoten </w:t>
      </w:r>
      <w:r w:rsidR="00D75336" w:rsidRPr="000072C2">
        <w:rPr>
          <w:rStyle w:val="Appelnotedebasdep"/>
          <w:sz w:val="24"/>
          <w:szCs w:val="24"/>
          <w:lang w:val="nl-BE"/>
        </w:rPr>
        <w:footnoteReference w:id="20"/>
      </w:r>
      <w:r w:rsidR="00D75336">
        <w:rPr>
          <w:sz w:val="24"/>
          <w:szCs w:val="24"/>
          <w:lang w:val="nl-BE"/>
        </w:rPr>
        <w:t xml:space="preserve"> als voor de kinderen </w:t>
      </w:r>
      <w:r w:rsidR="00D75336" w:rsidRPr="000072C2">
        <w:rPr>
          <w:rStyle w:val="Appelnotedebasdep"/>
          <w:sz w:val="24"/>
          <w:szCs w:val="24"/>
          <w:lang w:val="nl-BE"/>
        </w:rPr>
        <w:footnoteReference w:id="21"/>
      </w:r>
      <w:r w:rsidR="00D75336">
        <w:rPr>
          <w:sz w:val="24"/>
          <w:szCs w:val="24"/>
          <w:lang w:val="nl-BE"/>
        </w:rPr>
        <w:t xml:space="preserve"> mogelijks in België doorwerken.</w:t>
      </w:r>
    </w:p>
    <w:p w14:paraId="3C8ED916" w14:textId="1B1CC1B6" w:rsidR="001873D9" w:rsidRDefault="001873D9" w:rsidP="000072C2">
      <w:pPr>
        <w:jc w:val="both"/>
        <w:rPr>
          <w:sz w:val="24"/>
          <w:szCs w:val="24"/>
          <w:lang w:val="nl-BE"/>
        </w:rPr>
      </w:pPr>
      <w:r>
        <w:rPr>
          <w:sz w:val="24"/>
          <w:szCs w:val="24"/>
          <w:lang w:val="nl-BE"/>
        </w:rPr>
        <w:t xml:space="preserve">Toelaten dat de rechter bij de beoordeling </w:t>
      </w:r>
      <w:r w:rsidR="001437A7">
        <w:rPr>
          <w:sz w:val="24"/>
          <w:szCs w:val="24"/>
          <w:lang w:val="nl-BE"/>
        </w:rPr>
        <w:t xml:space="preserve">van de doorwerking in België van afstammingsbanden die in het buitenland vastgesteld zijn, </w:t>
      </w:r>
      <w:r>
        <w:rPr>
          <w:sz w:val="24"/>
          <w:szCs w:val="24"/>
          <w:lang w:val="nl-BE"/>
        </w:rPr>
        <w:t xml:space="preserve">ook rekening houdt met alles wat aan de beslissing of de akte voorafgaat, zou aldus </w:t>
      </w:r>
      <w:r w:rsidR="000072C2" w:rsidRPr="000072C2">
        <w:rPr>
          <w:sz w:val="24"/>
          <w:szCs w:val="24"/>
          <w:lang w:val="nl-BE"/>
        </w:rPr>
        <w:t xml:space="preserve">een breuk </w:t>
      </w:r>
      <w:r w:rsidR="001437A7">
        <w:rPr>
          <w:sz w:val="24"/>
          <w:szCs w:val="24"/>
          <w:lang w:val="nl-BE"/>
        </w:rPr>
        <w:t>met de traditie</w:t>
      </w:r>
      <w:r w:rsidR="006712CC">
        <w:rPr>
          <w:sz w:val="24"/>
          <w:szCs w:val="24"/>
          <w:lang w:val="nl-BE"/>
        </w:rPr>
        <w:t xml:space="preserve"> vormen</w:t>
      </w:r>
      <w:r w:rsidR="001437A7">
        <w:rPr>
          <w:sz w:val="24"/>
          <w:szCs w:val="24"/>
          <w:lang w:val="nl-BE"/>
        </w:rPr>
        <w:t xml:space="preserve">. </w:t>
      </w:r>
      <w:r>
        <w:rPr>
          <w:sz w:val="24"/>
          <w:szCs w:val="24"/>
          <w:lang w:val="nl-BE"/>
        </w:rPr>
        <w:t xml:space="preserve">Uitzonderingen op regels zijn evenwel altijd mogelijk. </w:t>
      </w:r>
      <w:r w:rsidR="00522E10">
        <w:rPr>
          <w:sz w:val="24"/>
          <w:szCs w:val="24"/>
          <w:lang w:val="nl-BE"/>
        </w:rPr>
        <w:t xml:space="preserve">Er zijn redenen denkbaar waarom de rechter </w:t>
      </w:r>
      <w:r w:rsidR="006712CC">
        <w:rPr>
          <w:sz w:val="24"/>
          <w:szCs w:val="24"/>
          <w:lang w:val="nl-BE"/>
        </w:rPr>
        <w:t xml:space="preserve">bij de erkenning in België van afstammingsbanden in het buitenland vastgesteld, </w:t>
      </w:r>
      <w:r>
        <w:rPr>
          <w:sz w:val="24"/>
          <w:szCs w:val="24"/>
          <w:lang w:val="nl-BE"/>
        </w:rPr>
        <w:t xml:space="preserve">met de ‘bron’ </w:t>
      </w:r>
      <w:r w:rsidR="006712CC">
        <w:rPr>
          <w:sz w:val="24"/>
          <w:szCs w:val="24"/>
          <w:lang w:val="nl-BE"/>
        </w:rPr>
        <w:t xml:space="preserve">van die banden </w:t>
      </w:r>
      <w:r>
        <w:rPr>
          <w:sz w:val="24"/>
          <w:szCs w:val="24"/>
          <w:lang w:val="nl-BE"/>
        </w:rPr>
        <w:t xml:space="preserve">rekening </w:t>
      </w:r>
      <w:r w:rsidR="00522E10">
        <w:rPr>
          <w:sz w:val="24"/>
          <w:szCs w:val="24"/>
          <w:lang w:val="nl-BE"/>
        </w:rPr>
        <w:t>zou kunnen</w:t>
      </w:r>
      <w:r>
        <w:rPr>
          <w:sz w:val="24"/>
          <w:szCs w:val="24"/>
          <w:lang w:val="nl-BE"/>
        </w:rPr>
        <w:t xml:space="preserve"> houden.</w:t>
      </w:r>
    </w:p>
    <w:p w14:paraId="69FFF41C" w14:textId="230C6CE4" w:rsidR="001873D9" w:rsidRDefault="00522E10" w:rsidP="000072C2">
      <w:pPr>
        <w:jc w:val="both"/>
        <w:rPr>
          <w:sz w:val="24"/>
          <w:szCs w:val="24"/>
          <w:lang w:val="nl-BE"/>
        </w:rPr>
      </w:pPr>
      <w:r>
        <w:rPr>
          <w:sz w:val="24"/>
          <w:szCs w:val="24"/>
          <w:lang w:val="nl-BE"/>
        </w:rPr>
        <w:lastRenderedPageBreak/>
        <w:t>Een eerste verklaring voor een mogelijk breuk met de traditie houdt verband met het onderscheid tussen de erkenning van een vreemde beslissing en de erkenning van een buitenlandse akte</w:t>
      </w:r>
      <w:r w:rsidR="001873D9">
        <w:rPr>
          <w:sz w:val="24"/>
          <w:szCs w:val="24"/>
          <w:lang w:val="nl-BE"/>
        </w:rPr>
        <w:t xml:space="preserve">. </w:t>
      </w:r>
      <w:r>
        <w:rPr>
          <w:sz w:val="24"/>
          <w:szCs w:val="24"/>
          <w:lang w:val="nl-BE"/>
        </w:rPr>
        <w:t>Wanneer</w:t>
      </w:r>
      <w:r w:rsidR="001873D9">
        <w:rPr>
          <w:sz w:val="24"/>
          <w:szCs w:val="24"/>
          <w:lang w:val="nl-BE"/>
        </w:rPr>
        <w:t xml:space="preserve"> de Belgische rechter gevraagd wordt om</w:t>
      </w:r>
      <w:r w:rsidR="003A6555">
        <w:rPr>
          <w:sz w:val="24"/>
          <w:szCs w:val="24"/>
          <w:lang w:val="nl-BE"/>
        </w:rPr>
        <w:t xml:space="preserve"> </w:t>
      </w:r>
      <w:r w:rsidR="001873D9">
        <w:rPr>
          <w:sz w:val="24"/>
          <w:szCs w:val="24"/>
          <w:lang w:val="nl-BE"/>
        </w:rPr>
        <w:t xml:space="preserve">gevolg te geven aan een rechterlijke beslissing, zou men kunnen stellen dat </w:t>
      </w:r>
      <w:r>
        <w:rPr>
          <w:sz w:val="24"/>
          <w:szCs w:val="24"/>
          <w:lang w:val="nl-BE"/>
        </w:rPr>
        <w:t>h</w:t>
      </w:r>
      <w:r w:rsidR="003A6555">
        <w:rPr>
          <w:sz w:val="24"/>
          <w:szCs w:val="24"/>
          <w:lang w:val="nl-BE"/>
        </w:rPr>
        <w:t xml:space="preserve">et feit dat de </w:t>
      </w:r>
      <w:r>
        <w:rPr>
          <w:sz w:val="24"/>
          <w:szCs w:val="24"/>
          <w:lang w:val="nl-BE"/>
        </w:rPr>
        <w:t xml:space="preserve">uitspraak het resultaat is van het werk van een rechter die </w:t>
      </w:r>
      <w:r w:rsidR="003A6555">
        <w:rPr>
          <w:sz w:val="24"/>
          <w:szCs w:val="24"/>
          <w:lang w:val="nl-BE"/>
        </w:rPr>
        <w:t xml:space="preserve">de </w:t>
      </w:r>
      <w:r>
        <w:rPr>
          <w:sz w:val="24"/>
          <w:szCs w:val="24"/>
          <w:lang w:val="nl-BE"/>
        </w:rPr>
        <w:t>feiten onderzocht heeft om de relevante rechtsregels toe te passen in een uitspraak die</w:t>
      </w:r>
      <w:r w:rsidR="003A6555">
        <w:rPr>
          <w:sz w:val="24"/>
          <w:szCs w:val="24"/>
          <w:lang w:val="nl-BE"/>
        </w:rPr>
        <w:t xml:space="preserve"> gezag van gewijsde geniet,</w:t>
      </w:r>
      <w:r w:rsidR="00747EBD">
        <w:rPr>
          <w:sz w:val="24"/>
          <w:szCs w:val="24"/>
          <w:lang w:val="nl-BE"/>
        </w:rPr>
        <w:t xml:space="preserve"> het</w:t>
      </w:r>
      <w:r w:rsidR="003A6555">
        <w:rPr>
          <w:sz w:val="24"/>
          <w:szCs w:val="24"/>
          <w:lang w:val="nl-BE"/>
        </w:rPr>
        <w:t xml:space="preserve"> onderzoeksveld van de Belgische rechter verklein</w:t>
      </w:r>
      <w:r w:rsidR="00747EBD">
        <w:rPr>
          <w:sz w:val="24"/>
          <w:szCs w:val="24"/>
          <w:lang w:val="nl-BE"/>
        </w:rPr>
        <w:t>t.</w:t>
      </w:r>
      <w:r w:rsidR="003A6555">
        <w:rPr>
          <w:sz w:val="24"/>
          <w:szCs w:val="24"/>
          <w:lang w:val="nl-BE"/>
        </w:rPr>
        <w:t xml:space="preserve"> Bij de erkenning van een buitenlandse akte daarentegen, zou</w:t>
      </w:r>
      <w:r w:rsidR="00747EBD">
        <w:rPr>
          <w:sz w:val="24"/>
          <w:szCs w:val="24"/>
          <w:lang w:val="nl-BE"/>
        </w:rPr>
        <w:t>den de zaken anders liggen,</w:t>
      </w:r>
      <w:r w:rsidR="003A6555">
        <w:rPr>
          <w:sz w:val="24"/>
          <w:szCs w:val="24"/>
          <w:lang w:val="nl-BE"/>
        </w:rPr>
        <w:t xml:space="preserve"> nu de akte in eerste instantie op de wil van partijen steunt. Met andere woorden, een buitenlandse beslissing zou de achterliggende feiten buiten het onderzoeksveld van de Belgische rechtbanken brengen, terwijl de rechter dieper zou mogen ingaan wanneer </w:t>
      </w:r>
      <w:r w:rsidR="00747EBD">
        <w:rPr>
          <w:sz w:val="24"/>
          <w:szCs w:val="24"/>
          <w:lang w:val="nl-BE"/>
        </w:rPr>
        <w:t>de erkenning een akte betreft</w:t>
      </w:r>
      <w:r w:rsidR="003A6555">
        <w:rPr>
          <w:sz w:val="24"/>
          <w:szCs w:val="24"/>
          <w:lang w:val="nl-BE"/>
        </w:rPr>
        <w:t>.</w:t>
      </w:r>
    </w:p>
    <w:p w14:paraId="2EBA1F53" w14:textId="241FCFD9" w:rsidR="00747EBD" w:rsidRDefault="00747EBD" w:rsidP="000072C2">
      <w:pPr>
        <w:jc w:val="both"/>
        <w:rPr>
          <w:sz w:val="24"/>
          <w:szCs w:val="24"/>
          <w:lang w:val="nl-BE"/>
        </w:rPr>
      </w:pPr>
      <w:r>
        <w:rPr>
          <w:sz w:val="24"/>
          <w:szCs w:val="24"/>
          <w:lang w:val="nl-BE"/>
        </w:rPr>
        <w:t xml:space="preserve">Dit onderscheid kan in een zekere mate steun vinden in het beleid van de Belgische </w:t>
      </w:r>
      <w:proofErr w:type="gramStart"/>
      <w:r>
        <w:rPr>
          <w:sz w:val="24"/>
          <w:szCs w:val="24"/>
          <w:lang w:val="nl-BE"/>
        </w:rPr>
        <w:t>wetgever :</w:t>
      </w:r>
      <w:proofErr w:type="gramEnd"/>
      <w:r>
        <w:rPr>
          <w:sz w:val="24"/>
          <w:szCs w:val="24"/>
          <w:lang w:val="nl-BE"/>
        </w:rPr>
        <w:t xml:space="preserve"> in het IPR-Wetboek werd voor </w:t>
      </w:r>
      <w:r>
        <w:rPr>
          <w:sz w:val="24"/>
          <w:szCs w:val="24"/>
          <w:lang w:val="nl-BE"/>
        </w:rPr>
        <w:t xml:space="preserve">beslissingen een </w:t>
      </w:r>
      <w:r>
        <w:rPr>
          <w:sz w:val="24"/>
          <w:szCs w:val="24"/>
          <w:lang w:val="nl-BE"/>
        </w:rPr>
        <w:t>manifest m</w:t>
      </w:r>
      <w:r>
        <w:rPr>
          <w:sz w:val="24"/>
          <w:szCs w:val="24"/>
          <w:lang w:val="nl-BE"/>
        </w:rPr>
        <w:t xml:space="preserve">eer genereus beleid weerhouden dan voor akten. </w:t>
      </w:r>
      <w:r>
        <w:rPr>
          <w:sz w:val="24"/>
          <w:szCs w:val="24"/>
          <w:lang w:val="nl-BE"/>
        </w:rPr>
        <w:t>Voor de eerste verbiedt artikel 25 § 2 WIPR elke herziening ten gronde, terwijl artikel 27 WIPR de akten aan een conflictenrechtelijke controle onderwerpt</w:t>
      </w:r>
      <w:r>
        <w:rPr>
          <w:rStyle w:val="Appelnotedebasdep"/>
          <w:sz w:val="24"/>
          <w:szCs w:val="24"/>
          <w:lang w:val="nl-BE"/>
        </w:rPr>
        <w:footnoteReference w:id="22"/>
      </w:r>
      <w:r>
        <w:rPr>
          <w:sz w:val="24"/>
          <w:szCs w:val="24"/>
          <w:lang w:val="nl-BE"/>
        </w:rPr>
        <w:t>.</w:t>
      </w:r>
      <w:r w:rsidR="000171BE">
        <w:rPr>
          <w:sz w:val="24"/>
          <w:szCs w:val="24"/>
          <w:lang w:val="nl-BE"/>
        </w:rPr>
        <w:t xml:space="preserve"> Bovendien brengt de verplichting om buitenlandse akten aan een conflictenrechtelijke controle te onderworpen met zich mee dat het voorwerp van de controle ietwat anders </w:t>
      </w:r>
      <w:proofErr w:type="gramStart"/>
      <w:r w:rsidR="000171BE">
        <w:rPr>
          <w:sz w:val="24"/>
          <w:szCs w:val="24"/>
          <w:lang w:val="nl-BE"/>
        </w:rPr>
        <w:t>ligt :</w:t>
      </w:r>
      <w:proofErr w:type="gramEnd"/>
      <w:r w:rsidR="000171BE">
        <w:rPr>
          <w:sz w:val="24"/>
          <w:szCs w:val="24"/>
          <w:lang w:val="nl-BE"/>
        </w:rPr>
        <w:t xml:space="preserve"> voor akten slaat de controle op het resultaat na toepassing van buitenlandse recht, terwijl voor beslissingen de klemtoom op de gevolgen van de erkenning ligt</w:t>
      </w:r>
      <w:r w:rsidR="000171BE">
        <w:rPr>
          <w:rStyle w:val="Appelnotedebasdep"/>
          <w:sz w:val="24"/>
          <w:szCs w:val="24"/>
          <w:lang w:val="nl-BE"/>
        </w:rPr>
        <w:footnoteReference w:id="23"/>
      </w:r>
      <w:r w:rsidR="000171BE">
        <w:rPr>
          <w:sz w:val="24"/>
          <w:szCs w:val="24"/>
          <w:lang w:val="nl-BE"/>
        </w:rPr>
        <w:t>.</w:t>
      </w:r>
    </w:p>
    <w:p w14:paraId="0B661C60" w14:textId="6586C376" w:rsidR="002D47C8" w:rsidRPr="000072C2" w:rsidRDefault="000171BE" w:rsidP="002D47C8">
      <w:pPr>
        <w:jc w:val="both"/>
        <w:rPr>
          <w:sz w:val="24"/>
          <w:szCs w:val="24"/>
          <w:lang w:val="nl-BE"/>
        </w:rPr>
      </w:pPr>
      <w:r>
        <w:rPr>
          <w:sz w:val="24"/>
          <w:szCs w:val="24"/>
          <w:lang w:val="nl-BE"/>
        </w:rPr>
        <w:t xml:space="preserve">Dit onderscheid is evenwel weinig relevant voor de vraag of de Belgische controleoverheid rekening mag houden met wat zich afspeelde vóór een akte of een beslissing in het buitenland </w:t>
      </w:r>
      <w:proofErr w:type="spellStart"/>
      <w:r>
        <w:rPr>
          <w:sz w:val="24"/>
          <w:szCs w:val="24"/>
          <w:lang w:val="nl-BE"/>
        </w:rPr>
        <w:t>totstandkwam</w:t>
      </w:r>
      <w:proofErr w:type="spellEnd"/>
      <w:r>
        <w:rPr>
          <w:sz w:val="24"/>
          <w:szCs w:val="24"/>
          <w:lang w:val="nl-BE"/>
        </w:rPr>
        <w:t>. Bovendien wordt h</w:t>
      </w:r>
      <w:r w:rsidR="003A6555">
        <w:rPr>
          <w:sz w:val="24"/>
          <w:szCs w:val="24"/>
          <w:lang w:val="nl-BE"/>
        </w:rPr>
        <w:t xml:space="preserve">et onderscheid tussen beslissingen en akten </w:t>
      </w:r>
      <w:r>
        <w:rPr>
          <w:sz w:val="24"/>
          <w:szCs w:val="24"/>
          <w:lang w:val="nl-BE"/>
        </w:rPr>
        <w:t>(terecht)</w:t>
      </w:r>
      <w:r w:rsidR="00DE71CE">
        <w:rPr>
          <w:sz w:val="24"/>
          <w:szCs w:val="24"/>
          <w:lang w:val="nl-BE"/>
        </w:rPr>
        <w:t xml:space="preserve"> in vraag gesteld</w:t>
      </w:r>
      <w:r w:rsidR="00DE71CE">
        <w:rPr>
          <w:rStyle w:val="Appelnotedebasdep"/>
          <w:sz w:val="24"/>
          <w:szCs w:val="24"/>
          <w:lang w:val="nl-BE"/>
        </w:rPr>
        <w:footnoteReference w:id="24"/>
      </w:r>
      <w:r w:rsidR="00DE71CE">
        <w:rPr>
          <w:sz w:val="24"/>
          <w:szCs w:val="24"/>
          <w:lang w:val="nl-BE"/>
        </w:rPr>
        <w:t xml:space="preserve">. </w:t>
      </w:r>
      <w:r>
        <w:rPr>
          <w:sz w:val="24"/>
          <w:szCs w:val="24"/>
          <w:lang w:val="nl-BE"/>
        </w:rPr>
        <w:t>Het is dus zeer de vraag of het onderscheid tussen beslissingen en akten de mogelijkheid opent om voor deze laatsten veel breder</w:t>
      </w:r>
      <w:r w:rsidR="00C04910">
        <w:rPr>
          <w:sz w:val="24"/>
          <w:szCs w:val="24"/>
          <w:lang w:val="nl-BE"/>
        </w:rPr>
        <w:t xml:space="preserve"> en dieper te graven naar wat zich voor de totstandkoming van de akte zich afgespeeld heeft.</w:t>
      </w:r>
    </w:p>
    <w:p w14:paraId="1D44EECE" w14:textId="4DBE75F2" w:rsidR="00515426" w:rsidRDefault="00515426" w:rsidP="00A450CF">
      <w:pPr>
        <w:jc w:val="both"/>
        <w:rPr>
          <w:sz w:val="24"/>
          <w:szCs w:val="24"/>
          <w:lang w:val="nl-BE"/>
        </w:rPr>
      </w:pPr>
      <w:r>
        <w:rPr>
          <w:sz w:val="24"/>
          <w:szCs w:val="24"/>
          <w:lang w:val="nl-BE"/>
        </w:rPr>
        <w:t>Een andere mogelijk</w:t>
      </w:r>
      <w:r w:rsidR="00A450CF">
        <w:rPr>
          <w:sz w:val="24"/>
          <w:szCs w:val="24"/>
          <w:lang w:val="nl-BE"/>
        </w:rPr>
        <w:t xml:space="preserve">e verklaring voor een </w:t>
      </w:r>
      <w:r w:rsidR="00AA2A22">
        <w:rPr>
          <w:sz w:val="24"/>
          <w:szCs w:val="24"/>
          <w:lang w:val="nl-BE"/>
        </w:rPr>
        <w:t xml:space="preserve">eventuele </w:t>
      </w:r>
      <w:r w:rsidR="00A450CF">
        <w:rPr>
          <w:sz w:val="24"/>
          <w:szCs w:val="24"/>
          <w:lang w:val="nl-BE"/>
        </w:rPr>
        <w:t>koerswending zou kunnen liggen in de vaststelling</w:t>
      </w:r>
      <w:r>
        <w:rPr>
          <w:sz w:val="24"/>
          <w:szCs w:val="24"/>
          <w:lang w:val="nl-BE"/>
        </w:rPr>
        <w:t xml:space="preserve"> </w:t>
      </w:r>
      <w:r w:rsidR="00A450CF">
        <w:rPr>
          <w:sz w:val="24"/>
          <w:szCs w:val="24"/>
          <w:lang w:val="nl-BE"/>
        </w:rPr>
        <w:t>dat wat zich vóór het ontstaan van die afstammingsband afgespeeld heeft</w:t>
      </w:r>
      <w:r w:rsidR="00A450CF">
        <w:rPr>
          <w:sz w:val="24"/>
          <w:szCs w:val="24"/>
          <w:lang w:val="nl-BE"/>
        </w:rPr>
        <w:t>,</w:t>
      </w:r>
      <w:r w:rsidR="00A450CF">
        <w:rPr>
          <w:sz w:val="24"/>
          <w:szCs w:val="24"/>
          <w:lang w:val="nl-BE"/>
        </w:rPr>
        <w:t xml:space="preserve"> zo verwerpelijk is dat hier toch geen abstractie van kan worden gemaakt.</w:t>
      </w:r>
      <w:r w:rsidR="00A450CF">
        <w:rPr>
          <w:sz w:val="24"/>
          <w:szCs w:val="24"/>
          <w:lang w:val="nl-BE"/>
        </w:rPr>
        <w:t xml:space="preserve"> Met andere </w:t>
      </w:r>
      <w:proofErr w:type="gramStart"/>
      <w:r w:rsidR="00A450CF">
        <w:rPr>
          <w:sz w:val="24"/>
          <w:szCs w:val="24"/>
          <w:lang w:val="nl-BE"/>
        </w:rPr>
        <w:t>woorden :</w:t>
      </w:r>
      <w:proofErr w:type="gramEnd"/>
      <w:r w:rsidR="00A450CF">
        <w:rPr>
          <w:sz w:val="24"/>
          <w:szCs w:val="24"/>
          <w:lang w:val="nl-BE"/>
        </w:rPr>
        <w:t xml:space="preserve"> de rechter zou </w:t>
      </w:r>
      <w:r>
        <w:rPr>
          <w:sz w:val="24"/>
          <w:szCs w:val="24"/>
          <w:lang w:val="nl-BE"/>
        </w:rPr>
        <w:t>bij de uitwerking in België van afstammingsbanden ontstaan in het buitenland</w:t>
      </w:r>
      <w:r w:rsidR="00A450CF">
        <w:rPr>
          <w:sz w:val="24"/>
          <w:szCs w:val="24"/>
          <w:lang w:val="nl-BE"/>
        </w:rPr>
        <w:t>, de mogelijkheid moeten hebben om met de achtergrond van de zaak rekening te houden en niet alleen met het resultaat,</w:t>
      </w:r>
      <w:r>
        <w:rPr>
          <w:sz w:val="24"/>
          <w:szCs w:val="24"/>
          <w:lang w:val="nl-BE"/>
        </w:rPr>
        <w:t xml:space="preserve"> omdat blijkt dat de bron zo verwerpelijk is.</w:t>
      </w:r>
      <w:r w:rsidR="004431CB">
        <w:rPr>
          <w:sz w:val="24"/>
          <w:szCs w:val="24"/>
          <w:lang w:val="nl-BE"/>
        </w:rPr>
        <w:t xml:space="preserve"> Draagmoederschapsovereenkomsten </w:t>
      </w:r>
      <w:r w:rsidR="00BC0E90">
        <w:rPr>
          <w:sz w:val="24"/>
          <w:szCs w:val="24"/>
          <w:lang w:val="nl-BE"/>
        </w:rPr>
        <w:t>waarbij de prestatie van de draagmoeder rechtstreeks vergoed wordt, naast de compensatie van de gemaakte kosten, en haar leven tijdens de zwangerschap tot in de details in strakke lijnen regisseren, zouden mogelijks tot die categorie behoren. Aldus zou het bestaan van een dergelijke overeenkomst alle mogelijke volgende handelingen a.h.w. besmetten.</w:t>
      </w:r>
    </w:p>
    <w:p w14:paraId="2E92DD25" w14:textId="6B892FDD" w:rsidR="004431CB" w:rsidRDefault="00A450CF" w:rsidP="004431CB">
      <w:pPr>
        <w:jc w:val="both"/>
        <w:rPr>
          <w:sz w:val="24"/>
          <w:szCs w:val="24"/>
          <w:lang w:val="nl-BE"/>
        </w:rPr>
      </w:pPr>
      <w:r>
        <w:rPr>
          <w:sz w:val="24"/>
          <w:szCs w:val="24"/>
          <w:lang w:val="nl-BE"/>
        </w:rPr>
        <w:lastRenderedPageBreak/>
        <w:t>D</w:t>
      </w:r>
      <w:r w:rsidR="004431CB">
        <w:rPr>
          <w:sz w:val="24"/>
          <w:szCs w:val="24"/>
          <w:lang w:val="nl-BE"/>
        </w:rPr>
        <w:t>it zou geen volledige revolutie zijn. In het conflictenrecht wordt immers geleerd dat het onderzoek naar de openbare orde zich kan beperken tot de buitenlandse wet als dusdanig, zonder rekening te houden met de gevolgen van de toepassing hiervan, indien die wet manifest de rode lijn overschrijdt</w:t>
      </w:r>
      <w:r w:rsidR="004431CB">
        <w:rPr>
          <w:rStyle w:val="Appelnotedebasdep"/>
          <w:sz w:val="24"/>
          <w:szCs w:val="24"/>
          <w:lang w:val="nl-BE"/>
        </w:rPr>
        <w:footnoteReference w:id="25"/>
      </w:r>
      <w:r w:rsidR="004431CB">
        <w:rPr>
          <w:sz w:val="24"/>
          <w:szCs w:val="24"/>
          <w:lang w:val="nl-BE"/>
        </w:rPr>
        <w:t xml:space="preserve">. </w:t>
      </w:r>
    </w:p>
    <w:p w14:paraId="5A49294E" w14:textId="525F15B4" w:rsidR="004431CB" w:rsidRDefault="004431CB" w:rsidP="004431CB">
      <w:pPr>
        <w:jc w:val="both"/>
        <w:rPr>
          <w:sz w:val="24"/>
          <w:szCs w:val="24"/>
          <w:lang w:val="nl-BE"/>
        </w:rPr>
      </w:pPr>
      <w:r>
        <w:rPr>
          <w:sz w:val="24"/>
          <w:szCs w:val="24"/>
          <w:lang w:val="nl-BE"/>
        </w:rPr>
        <w:t xml:space="preserve">Bovendien zullen er zeker gevallen zijn waarin de buitenlandse akte op bijzonder verwerpelijke motieven </w:t>
      </w:r>
      <w:r w:rsidR="00BC0E90">
        <w:rPr>
          <w:sz w:val="24"/>
          <w:szCs w:val="24"/>
          <w:lang w:val="nl-BE"/>
        </w:rPr>
        <w:t xml:space="preserve">of feiten </w:t>
      </w:r>
      <w:r>
        <w:rPr>
          <w:sz w:val="24"/>
          <w:szCs w:val="24"/>
          <w:lang w:val="nl-BE"/>
        </w:rPr>
        <w:t>steunt.</w:t>
      </w:r>
      <w:r w:rsidR="00BC0E90">
        <w:rPr>
          <w:sz w:val="24"/>
          <w:szCs w:val="24"/>
          <w:lang w:val="nl-BE"/>
        </w:rPr>
        <w:t xml:space="preserve"> Vooraleer zo’n evolutie mogelijk wordt, moet men evenwel goed voor ogen houden dat het moeilijk zal zijn om deze redenering niet naar de erkenning van rechterlijke beslissingen uit te breiden. De erkenning van rechtswege zal aldus verder verdrongen worden. Bovendien zou een dergelijke verandering ongetwijfeld gevolgen hebben in andere </w:t>
      </w:r>
      <w:proofErr w:type="gramStart"/>
      <w:r w:rsidR="00BC0E90">
        <w:rPr>
          <w:sz w:val="24"/>
          <w:szCs w:val="24"/>
          <w:lang w:val="nl-BE"/>
        </w:rPr>
        <w:t>materies :</w:t>
      </w:r>
      <w:proofErr w:type="gramEnd"/>
      <w:r w:rsidR="00BC0E90">
        <w:rPr>
          <w:sz w:val="24"/>
          <w:szCs w:val="24"/>
          <w:lang w:val="nl-BE"/>
        </w:rPr>
        <w:t xml:space="preserve"> indien de geboorteakte van een kind geboren uit een draagmoeder besmet wordt door de onderliggende draagmoederschapsovereenkomst, zou dit ook niet moeten gelden voor de erkenning van de afstamming van een kind geboren uit een polygaam huwelijk?</w:t>
      </w:r>
    </w:p>
    <w:p w14:paraId="60044D8C" w14:textId="3F05FD59" w:rsidR="00A96430" w:rsidRPr="00BC0E90" w:rsidRDefault="00BC0E90" w:rsidP="00BC0E90">
      <w:pPr>
        <w:jc w:val="both"/>
        <w:rPr>
          <w:sz w:val="24"/>
          <w:szCs w:val="24"/>
          <w:lang w:val="nl-BE"/>
        </w:rPr>
      </w:pPr>
      <w:r>
        <w:rPr>
          <w:sz w:val="24"/>
          <w:szCs w:val="24"/>
          <w:lang w:val="nl-BE"/>
        </w:rPr>
        <w:t xml:space="preserve">Kortom, over de uitwerking van de openbare orde toets is het laatste woord nog niet gevallen. </w:t>
      </w:r>
    </w:p>
    <w:p w14:paraId="5CD890E2" w14:textId="77777777" w:rsidR="002526D0" w:rsidRPr="000072C2" w:rsidRDefault="002526D0">
      <w:pPr>
        <w:rPr>
          <w:sz w:val="24"/>
          <w:szCs w:val="24"/>
          <w:lang w:val="nl-BE"/>
        </w:rPr>
      </w:pPr>
    </w:p>
    <w:p w14:paraId="1C0CF94F" w14:textId="3916608D" w:rsidR="0057336C" w:rsidRPr="000072C2" w:rsidRDefault="002526D0">
      <w:pPr>
        <w:rPr>
          <w:b/>
          <w:bCs/>
          <w:sz w:val="24"/>
          <w:szCs w:val="24"/>
          <w:lang w:val="nl-BE"/>
        </w:rPr>
      </w:pPr>
      <w:r w:rsidRPr="000072C2">
        <w:rPr>
          <w:b/>
          <w:bCs/>
          <w:sz w:val="24"/>
          <w:szCs w:val="24"/>
          <w:lang w:val="nl-BE"/>
        </w:rPr>
        <w:t xml:space="preserve">3) </w:t>
      </w:r>
      <w:r w:rsidR="00BC0E90">
        <w:rPr>
          <w:b/>
          <w:bCs/>
          <w:sz w:val="24"/>
          <w:szCs w:val="24"/>
          <w:lang w:val="nl-BE"/>
        </w:rPr>
        <w:t xml:space="preserve">De </w:t>
      </w:r>
      <w:proofErr w:type="gramStart"/>
      <w:r w:rsidR="00BC0E90">
        <w:rPr>
          <w:b/>
          <w:bCs/>
          <w:sz w:val="24"/>
          <w:szCs w:val="24"/>
          <w:lang w:val="nl-BE"/>
        </w:rPr>
        <w:t>wetsontduiking</w:t>
      </w:r>
      <w:r w:rsidR="001D75B4">
        <w:rPr>
          <w:b/>
          <w:bCs/>
          <w:sz w:val="24"/>
          <w:szCs w:val="24"/>
          <w:lang w:val="nl-BE"/>
        </w:rPr>
        <w:t xml:space="preserve"> :</w:t>
      </w:r>
      <w:proofErr w:type="gramEnd"/>
      <w:r w:rsidR="001D75B4">
        <w:rPr>
          <w:b/>
          <w:bCs/>
          <w:sz w:val="24"/>
          <w:szCs w:val="24"/>
          <w:lang w:val="nl-BE"/>
        </w:rPr>
        <w:t xml:space="preserve"> hindernis voor de wensouders, niet voor het kind</w:t>
      </w:r>
    </w:p>
    <w:p w14:paraId="3345CF02" w14:textId="14479386" w:rsidR="00335C0D" w:rsidRDefault="00335C0D" w:rsidP="003D2125">
      <w:pPr>
        <w:jc w:val="both"/>
        <w:rPr>
          <w:sz w:val="24"/>
          <w:szCs w:val="24"/>
          <w:lang w:val="nl-BE"/>
        </w:rPr>
      </w:pPr>
      <w:r>
        <w:rPr>
          <w:sz w:val="24"/>
          <w:szCs w:val="24"/>
          <w:lang w:val="nl-BE"/>
        </w:rPr>
        <w:t xml:space="preserve">Naast de openbare orde, is de wetsontduiking ook een vaste waarde </w:t>
      </w:r>
      <w:r w:rsidR="0002315D">
        <w:rPr>
          <w:sz w:val="24"/>
          <w:szCs w:val="24"/>
          <w:lang w:val="nl-BE"/>
        </w:rPr>
        <w:t>wanneer de</w:t>
      </w:r>
      <w:r>
        <w:rPr>
          <w:sz w:val="24"/>
          <w:szCs w:val="24"/>
          <w:lang w:val="nl-BE"/>
        </w:rPr>
        <w:t xml:space="preserve"> afstamming</w:t>
      </w:r>
      <w:r w:rsidR="0002315D">
        <w:rPr>
          <w:sz w:val="24"/>
          <w:szCs w:val="24"/>
          <w:lang w:val="nl-BE"/>
        </w:rPr>
        <w:t xml:space="preserve"> </w:t>
      </w:r>
      <w:r>
        <w:rPr>
          <w:sz w:val="24"/>
          <w:szCs w:val="24"/>
          <w:lang w:val="nl-BE"/>
        </w:rPr>
        <w:t>van een kind geboren uit een draagmoeder</w:t>
      </w:r>
      <w:r w:rsidR="0002315D">
        <w:rPr>
          <w:sz w:val="24"/>
          <w:szCs w:val="24"/>
          <w:lang w:val="nl-BE"/>
        </w:rPr>
        <w:t xml:space="preserve"> in vraag wordt gesteld</w:t>
      </w:r>
      <w:r>
        <w:rPr>
          <w:sz w:val="24"/>
          <w:szCs w:val="24"/>
          <w:lang w:val="nl-BE"/>
        </w:rPr>
        <w:t>.</w:t>
      </w:r>
    </w:p>
    <w:p w14:paraId="5D623E96" w14:textId="5CB3F772" w:rsidR="0059049C" w:rsidRDefault="0059049C" w:rsidP="003D2125">
      <w:pPr>
        <w:jc w:val="both"/>
        <w:rPr>
          <w:sz w:val="24"/>
          <w:szCs w:val="24"/>
          <w:lang w:val="nl-BE"/>
        </w:rPr>
      </w:pPr>
      <w:r>
        <w:rPr>
          <w:sz w:val="24"/>
          <w:szCs w:val="24"/>
          <w:lang w:val="nl-BE"/>
        </w:rPr>
        <w:t xml:space="preserve">Vaak wordt de fraude evenwel buiten werking gesteld. Vele rechtbanken oordelen dat er geen sprake kan zijn van wetsontduiking, nu partijen geen stap hebben ondernomen om het toepasselijk recht te wijzigen. Dit steunt op de vaststelling dat afstammingsvragen </w:t>
      </w:r>
      <w:proofErr w:type="gramStart"/>
      <w:r>
        <w:rPr>
          <w:sz w:val="24"/>
          <w:szCs w:val="24"/>
          <w:lang w:val="nl-BE"/>
        </w:rPr>
        <w:t>krachtens</w:t>
      </w:r>
      <w:proofErr w:type="gramEnd"/>
      <w:r>
        <w:rPr>
          <w:sz w:val="24"/>
          <w:szCs w:val="24"/>
          <w:lang w:val="nl-BE"/>
        </w:rPr>
        <w:t xml:space="preserve"> art. 62 WIPR aan het nationaal recht van de wensouders aangeknoopt worden en dat wensouders zelden of nooit een nationaliteitsverandering ondergaan</w:t>
      </w:r>
      <w:r w:rsidR="00052AC3">
        <w:rPr>
          <w:rStyle w:val="Appelnotedebasdep"/>
          <w:sz w:val="24"/>
          <w:szCs w:val="24"/>
          <w:lang w:val="nl-BE"/>
        </w:rPr>
        <w:footnoteReference w:id="26"/>
      </w:r>
      <w:r>
        <w:rPr>
          <w:sz w:val="24"/>
          <w:szCs w:val="24"/>
          <w:lang w:val="nl-BE"/>
        </w:rPr>
        <w:t>.</w:t>
      </w:r>
    </w:p>
    <w:p w14:paraId="5C83B73B" w14:textId="7827F84E" w:rsidR="006710A2" w:rsidRDefault="006710A2" w:rsidP="003D2125">
      <w:pPr>
        <w:jc w:val="both"/>
        <w:rPr>
          <w:sz w:val="24"/>
          <w:szCs w:val="24"/>
          <w:lang w:val="nl-BE"/>
        </w:rPr>
      </w:pPr>
      <w:r>
        <w:rPr>
          <w:sz w:val="24"/>
          <w:szCs w:val="24"/>
          <w:lang w:val="nl-BE"/>
        </w:rPr>
        <w:t>Deze zienswijze steunt op een bijzonder enge visie van de wetsontduiking</w:t>
      </w:r>
      <w:r>
        <w:rPr>
          <w:rStyle w:val="Appelnotedebasdep"/>
          <w:sz w:val="24"/>
          <w:szCs w:val="24"/>
          <w:lang w:val="nl-BE"/>
        </w:rPr>
        <w:footnoteReference w:id="27"/>
      </w:r>
      <w:r>
        <w:rPr>
          <w:sz w:val="24"/>
          <w:szCs w:val="24"/>
          <w:lang w:val="nl-BE"/>
        </w:rPr>
        <w:t xml:space="preserve">. In werkelijkheid, wanneer wensouders die in Europa wonen, naar Californië of Mexico gaan om aldaar een beroep te doen op een draagmoeder, gaat het om een zgn. “fraude au </w:t>
      </w:r>
      <w:proofErr w:type="spellStart"/>
      <w:r>
        <w:rPr>
          <w:sz w:val="24"/>
          <w:szCs w:val="24"/>
          <w:lang w:val="nl-BE"/>
        </w:rPr>
        <w:t>jugement</w:t>
      </w:r>
      <w:proofErr w:type="spellEnd"/>
      <w:r>
        <w:rPr>
          <w:sz w:val="24"/>
          <w:szCs w:val="24"/>
          <w:lang w:val="nl-BE"/>
        </w:rPr>
        <w:t>”</w:t>
      </w:r>
      <w:r>
        <w:rPr>
          <w:rStyle w:val="Appelnotedebasdep"/>
          <w:sz w:val="24"/>
          <w:szCs w:val="24"/>
          <w:lang w:val="nl-BE"/>
        </w:rPr>
        <w:footnoteReference w:id="28"/>
      </w:r>
      <w:r w:rsidR="00DD600C">
        <w:rPr>
          <w:sz w:val="24"/>
          <w:szCs w:val="24"/>
          <w:lang w:val="nl-BE"/>
        </w:rPr>
        <w:t xml:space="preserve"> of minstens een “fraude à </w:t>
      </w:r>
      <w:proofErr w:type="spellStart"/>
      <w:r w:rsidR="00DD600C">
        <w:rPr>
          <w:sz w:val="24"/>
          <w:szCs w:val="24"/>
          <w:lang w:val="nl-BE"/>
        </w:rPr>
        <w:t>l’acte</w:t>
      </w:r>
      <w:proofErr w:type="spellEnd"/>
      <w:r w:rsidR="00DD600C">
        <w:rPr>
          <w:sz w:val="24"/>
          <w:szCs w:val="24"/>
          <w:lang w:val="nl-BE"/>
        </w:rPr>
        <w:t>”</w:t>
      </w:r>
      <w:r w:rsidR="00D84719">
        <w:rPr>
          <w:rStyle w:val="Appelnotedebasdep"/>
          <w:sz w:val="24"/>
          <w:szCs w:val="24"/>
          <w:lang w:val="nl-BE"/>
        </w:rPr>
        <w:footnoteReference w:id="29"/>
      </w:r>
      <w:r>
        <w:rPr>
          <w:sz w:val="24"/>
          <w:szCs w:val="24"/>
          <w:lang w:val="nl-BE"/>
        </w:rPr>
        <w:t>.</w:t>
      </w:r>
    </w:p>
    <w:p w14:paraId="1D13437E" w14:textId="6717E579" w:rsidR="00274F45" w:rsidRDefault="00623903" w:rsidP="003D2125">
      <w:pPr>
        <w:jc w:val="both"/>
        <w:rPr>
          <w:sz w:val="24"/>
          <w:szCs w:val="24"/>
          <w:lang w:val="nl-BE"/>
        </w:rPr>
      </w:pPr>
      <w:r>
        <w:rPr>
          <w:sz w:val="24"/>
          <w:szCs w:val="24"/>
          <w:lang w:val="nl-BE"/>
        </w:rPr>
        <w:lastRenderedPageBreak/>
        <w:t xml:space="preserve">Het is dus </w:t>
      </w:r>
      <w:r w:rsidR="00DD600C">
        <w:rPr>
          <w:sz w:val="24"/>
          <w:szCs w:val="24"/>
          <w:lang w:val="nl-BE"/>
        </w:rPr>
        <w:t>volkomen t</w:t>
      </w:r>
      <w:r w:rsidR="0057336C" w:rsidRPr="000072C2">
        <w:rPr>
          <w:sz w:val="24"/>
          <w:szCs w:val="24"/>
          <w:lang w:val="nl-BE"/>
        </w:rPr>
        <w:t>erecht</w:t>
      </w:r>
      <w:r w:rsidR="00DD600C">
        <w:rPr>
          <w:sz w:val="24"/>
          <w:szCs w:val="24"/>
          <w:lang w:val="nl-BE"/>
        </w:rPr>
        <w:t xml:space="preserve"> dat het</w:t>
      </w:r>
      <w:r w:rsidR="002526D0" w:rsidRPr="000072C2">
        <w:rPr>
          <w:sz w:val="24"/>
          <w:szCs w:val="24"/>
          <w:lang w:val="nl-BE"/>
        </w:rPr>
        <w:t xml:space="preserve"> Hof </w:t>
      </w:r>
      <w:r w:rsidR="00DD600C">
        <w:rPr>
          <w:sz w:val="24"/>
          <w:szCs w:val="24"/>
          <w:lang w:val="nl-BE"/>
        </w:rPr>
        <w:t xml:space="preserve">in de Californische zaak vaststelt dat er sprake is van wetsontduiking. De redenering van het Hof is </w:t>
      </w:r>
      <w:proofErr w:type="gramStart"/>
      <w:r w:rsidR="00DD600C">
        <w:rPr>
          <w:sz w:val="24"/>
          <w:szCs w:val="24"/>
          <w:lang w:val="nl-BE"/>
        </w:rPr>
        <w:t>helder :</w:t>
      </w:r>
      <w:proofErr w:type="gramEnd"/>
      <w:r w:rsidR="00DD600C">
        <w:rPr>
          <w:sz w:val="24"/>
          <w:szCs w:val="24"/>
          <w:lang w:val="nl-BE"/>
        </w:rPr>
        <w:t xml:space="preserve"> krachtens art. 62 WIPR had men Belgisch recht moeten toepassen op de vraag of de Belgische wensouder al dan niet de wettelijke vader </w:t>
      </w:r>
      <w:r w:rsidR="0002315D">
        <w:rPr>
          <w:sz w:val="24"/>
          <w:szCs w:val="24"/>
          <w:lang w:val="nl-BE"/>
        </w:rPr>
        <w:t>is</w:t>
      </w:r>
      <w:r w:rsidR="00DD600C">
        <w:rPr>
          <w:sz w:val="24"/>
          <w:szCs w:val="24"/>
          <w:lang w:val="nl-BE"/>
        </w:rPr>
        <w:t xml:space="preserve"> van de tweelingen. Welnu, aangezien de afstamming van de kinderen t.a.v. de andere wensouder </w:t>
      </w:r>
      <w:proofErr w:type="gramStart"/>
      <w:r w:rsidR="00DD600C">
        <w:rPr>
          <w:sz w:val="24"/>
          <w:szCs w:val="24"/>
          <w:lang w:val="nl-BE"/>
        </w:rPr>
        <w:t>reeds</w:t>
      </w:r>
      <w:proofErr w:type="gramEnd"/>
      <w:r w:rsidR="00DD600C">
        <w:rPr>
          <w:sz w:val="24"/>
          <w:szCs w:val="24"/>
          <w:lang w:val="nl-BE"/>
        </w:rPr>
        <w:t xml:space="preserve"> vaststond, had de Belgische wensouder op grond van de draagmoederschapsovereenkomst</w:t>
      </w:r>
      <w:r w:rsidR="00274F45">
        <w:rPr>
          <w:sz w:val="24"/>
          <w:szCs w:val="24"/>
          <w:lang w:val="nl-BE"/>
        </w:rPr>
        <w:t xml:space="preserve"> geen rechten kunnen laten gelden. </w:t>
      </w:r>
      <w:proofErr w:type="spellStart"/>
      <w:r w:rsidR="00274F45" w:rsidRPr="00016FDD">
        <w:rPr>
          <w:sz w:val="24"/>
          <w:szCs w:val="24"/>
        </w:rPr>
        <w:t>Kortom</w:t>
      </w:r>
      <w:proofErr w:type="spellEnd"/>
      <w:r w:rsidR="00274F45" w:rsidRPr="00016FDD">
        <w:rPr>
          <w:sz w:val="24"/>
          <w:szCs w:val="24"/>
        </w:rPr>
        <w:t>, “</w:t>
      </w:r>
      <w:r w:rsidR="00274F45" w:rsidRPr="00016FDD">
        <w:rPr>
          <w:i/>
          <w:iCs/>
          <w:sz w:val="24"/>
          <w:szCs w:val="24"/>
        </w:rPr>
        <w:t xml:space="preserve">l’on en déduit que la fraude à la loi est établie puisqu’en se rendant à l’étranger, [de </w:t>
      </w:r>
      <w:proofErr w:type="spellStart"/>
      <w:r w:rsidR="00274F45" w:rsidRPr="00016FDD">
        <w:rPr>
          <w:i/>
          <w:iCs/>
          <w:sz w:val="24"/>
          <w:szCs w:val="24"/>
        </w:rPr>
        <w:t>Belgische</w:t>
      </w:r>
      <w:proofErr w:type="spellEnd"/>
      <w:r w:rsidR="00274F45" w:rsidRPr="00016FDD">
        <w:rPr>
          <w:i/>
          <w:iCs/>
          <w:sz w:val="24"/>
          <w:szCs w:val="24"/>
        </w:rPr>
        <w:t xml:space="preserve"> </w:t>
      </w:r>
      <w:proofErr w:type="spellStart"/>
      <w:r w:rsidR="00274F45" w:rsidRPr="00016FDD">
        <w:rPr>
          <w:i/>
          <w:iCs/>
          <w:sz w:val="24"/>
          <w:szCs w:val="24"/>
        </w:rPr>
        <w:t>wensouder</w:t>
      </w:r>
      <w:proofErr w:type="spellEnd"/>
      <w:r w:rsidR="00274F45" w:rsidRPr="00016FDD">
        <w:rPr>
          <w:i/>
          <w:iCs/>
          <w:sz w:val="24"/>
          <w:szCs w:val="24"/>
        </w:rPr>
        <w:t>] a obtenu un droit qu’il n’aurait pas pu obtenir en Belgique en application de la loi belge</w:t>
      </w:r>
      <w:r w:rsidR="00274F45" w:rsidRPr="00016FDD">
        <w:rPr>
          <w:sz w:val="24"/>
          <w:szCs w:val="24"/>
        </w:rPr>
        <w:t xml:space="preserve">”. </w:t>
      </w:r>
      <w:r w:rsidR="002526D0" w:rsidRPr="000072C2">
        <w:rPr>
          <w:sz w:val="24"/>
          <w:szCs w:val="24"/>
          <w:lang w:val="nl-BE"/>
        </w:rPr>
        <w:t xml:space="preserve">Er is weinig twijfel mogelijk dat </w:t>
      </w:r>
      <w:r w:rsidR="0002315D">
        <w:rPr>
          <w:sz w:val="24"/>
          <w:szCs w:val="24"/>
          <w:lang w:val="nl-BE"/>
        </w:rPr>
        <w:t xml:space="preserve">de wensouders minder snel </w:t>
      </w:r>
      <w:r w:rsidR="002526D0" w:rsidRPr="000072C2">
        <w:rPr>
          <w:sz w:val="24"/>
          <w:szCs w:val="24"/>
          <w:lang w:val="nl-BE"/>
        </w:rPr>
        <w:t>naar Californië zou</w:t>
      </w:r>
      <w:r w:rsidR="0002315D">
        <w:rPr>
          <w:sz w:val="24"/>
          <w:szCs w:val="24"/>
          <w:lang w:val="nl-BE"/>
        </w:rPr>
        <w:t>den</w:t>
      </w:r>
      <w:r w:rsidR="002526D0" w:rsidRPr="000072C2">
        <w:rPr>
          <w:sz w:val="24"/>
          <w:szCs w:val="24"/>
          <w:lang w:val="nl-BE"/>
        </w:rPr>
        <w:t xml:space="preserve"> gaan, moest het volgens het lokaal recht niet mogelijk zijn om een afstammingsband </w:t>
      </w:r>
      <w:r w:rsidR="0002315D">
        <w:rPr>
          <w:sz w:val="24"/>
          <w:szCs w:val="24"/>
          <w:lang w:val="nl-BE"/>
        </w:rPr>
        <w:t xml:space="preserve">t.a.v. de kinderen geboren uit een draagmoeder </w:t>
      </w:r>
      <w:r w:rsidR="002526D0" w:rsidRPr="000072C2">
        <w:rPr>
          <w:sz w:val="24"/>
          <w:szCs w:val="24"/>
          <w:lang w:val="nl-BE"/>
        </w:rPr>
        <w:t xml:space="preserve">te laten vestigen. </w:t>
      </w:r>
    </w:p>
    <w:p w14:paraId="44D0516D" w14:textId="371300C0" w:rsidR="0002315D" w:rsidRDefault="0002315D" w:rsidP="003D2125">
      <w:pPr>
        <w:jc w:val="both"/>
        <w:rPr>
          <w:sz w:val="24"/>
          <w:szCs w:val="24"/>
          <w:lang w:val="nl-BE"/>
        </w:rPr>
      </w:pPr>
      <w:r>
        <w:rPr>
          <w:sz w:val="24"/>
          <w:szCs w:val="24"/>
          <w:lang w:val="nl-BE"/>
        </w:rPr>
        <w:t xml:space="preserve">Het </w:t>
      </w:r>
      <w:r w:rsidR="002526D0" w:rsidRPr="000072C2">
        <w:rPr>
          <w:sz w:val="24"/>
          <w:szCs w:val="24"/>
          <w:lang w:val="nl-BE"/>
        </w:rPr>
        <w:t xml:space="preserve">Hof </w:t>
      </w:r>
      <w:r w:rsidR="00052AC3">
        <w:rPr>
          <w:sz w:val="24"/>
          <w:szCs w:val="24"/>
          <w:lang w:val="nl-BE"/>
        </w:rPr>
        <w:t>laat</w:t>
      </w:r>
      <w:r w:rsidR="002526D0" w:rsidRPr="000072C2">
        <w:rPr>
          <w:sz w:val="24"/>
          <w:szCs w:val="24"/>
          <w:lang w:val="nl-BE"/>
        </w:rPr>
        <w:t xml:space="preserve"> </w:t>
      </w:r>
      <w:r w:rsidR="00274F45">
        <w:rPr>
          <w:sz w:val="24"/>
          <w:szCs w:val="24"/>
          <w:lang w:val="nl-BE"/>
        </w:rPr>
        <w:t xml:space="preserve">evenwel </w:t>
      </w:r>
      <w:r w:rsidR="00052AC3">
        <w:rPr>
          <w:sz w:val="24"/>
          <w:szCs w:val="24"/>
          <w:lang w:val="nl-BE"/>
        </w:rPr>
        <w:t xml:space="preserve">de vraag in het midden of de bedoeling van partijen om een afstammingsband </w:t>
      </w:r>
      <w:r>
        <w:rPr>
          <w:sz w:val="24"/>
          <w:szCs w:val="24"/>
          <w:lang w:val="nl-BE"/>
        </w:rPr>
        <w:t xml:space="preserve">t.a.v. het kind </w:t>
      </w:r>
      <w:r w:rsidR="00052AC3">
        <w:rPr>
          <w:sz w:val="24"/>
          <w:szCs w:val="24"/>
          <w:lang w:val="nl-BE"/>
        </w:rPr>
        <w:t xml:space="preserve">te </w:t>
      </w:r>
      <w:r w:rsidR="00B876A4">
        <w:rPr>
          <w:sz w:val="24"/>
          <w:szCs w:val="24"/>
          <w:lang w:val="nl-BE"/>
        </w:rPr>
        <w:t>creëren</w:t>
      </w:r>
      <w:r w:rsidR="00052AC3">
        <w:rPr>
          <w:sz w:val="24"/>
          <w:szCs w:val="24"/>
          <w:lang w:val="nl-BE"/>
        </w:rPr>
        <w:t xml:space="preserve"> hun uitsluitende drijfveer was. Artikel 18 WIPR vereist </w:t>
      </w:r>
      <w:r w:rsidR="006F3CD1">
        <w:rPr>
          <w:sz w:val="24"/>
          <w:szCs w:val="24"/>
          <w:lang w:val="nl-BE"/>
        </w:rPr>
        <w:t>echter</w:t>
      </w:r>
      <w:r w:rsidR="00052AC3">
        <w:rPr>
          <w:sz w:val="24"/>
          <w:szCs w:val="24"/>
          <w:lang w:val="nl-BE"/>
        </w:rPr>
        <w:t xml:space="preserve"> dat aangetoond wordt dat de operatie tot “enkele doel” had “te ontsnappen aan de toepassing van het door [het IPR-Wetboek] aangewezen recht”. Dit subjectief element wordt door het Hof niet besproken. </w:t>
      </w:r>
    </w:p>
    <w:p w14:paraId="6EDA12D3" w14:textId="19A58ECC" w:rsidR="00052AC3" w:rsidRDefault="0002315D" w:rsidP="003D2125">
      <w:pPr>
        <w:jc w:val="both"/>
        <w:rPr>
          <w:sz w:val="24"/>
          <w:szCs w:val="24"/>
          <w:lang w:val="nl-BE"/>
        </w:rPr>
      </w:pPr>
      <w:r>
        <w:rPr>
          <w:sz w:val="24"/>
          <w:szCs w:val="24"/>
          <w:lang w:val="nl-BE"/>
        </w:rPr>
        <w:t>Men zou kunnen stellen dat het subjectief element uit de feiten zelf blijkt. D</w:t>
      </w:r>
      <w:r w:rsidR="00052AC3">
        <w:rPr>
          <w:sz w:val="24"/>
          <w:szCs w:val="24"/>
          <w:lang w:val="nl-BE"/>
        </w:rPr>
        <w:t xml:space="preserve">at partijen inderdaad </w:t>
      </w:r>
      <w:r>
        <w:rPr>
          <w:sz w:val="24"/>
          <w:szCs w:val="24"/>
          <w:lang w:val="nl-BE"/>
        </w:rPr>
        <w:t>eerst op zoek gaan naar</w:t>
      </w:r>
      <w:r w:rsidR="00052AC3">
        <w:rPr>
          <w:sz w:val="24"/>
          <w:szCs w:val="24"/>
          <w:lang w:val="nl-BE"/>
        </w:rPr>
        <w:t xml:space="preserve"> een draagmoeder in Californië </w:t>
      </w:r>
      <w:r>
        <w:rPr>
          <w:sz w:val="24"/>
          <w:szCs w:val="24"/>
          <w:lang w:val="nl-BE"/>
        </w:rPr>
        <w:t>om daarna een gedetailleerd contract met haar te sluiten,</w:t>
      </w:r>
      <w:r w:rsidR="00052AC3">
        <w:rPr>
          <w:sz w:val="24"/>
          <w:szCs w:val="24"/>
          <w:lang w:val="nl-BE"/>
        </w:rPr>
        <w:t xml:space="preserve"> komt omdat ze aldaar door toepassing van het lokaal recht </w:t>
      </w:r>
      <w:r w:rsidR="00A01F01">
        <w:rPr>
          <w:sz w:val="24"/>
          <w:szCs w:val="24"/>
          <w:lang w:val="nl-BE"/>
        </w:rPr>
        <w:t>een afstammingsband t.a.v. het kind konden laten ontstaan.</w:t>
      </w:r>
    </w:p>
    <w:p w14:paraId="452301C7" w14:textId="3F159B85" w:rsidR="00A01F01" w:rsidRPr="00305643" w:rsidRDefault="0002315D" w:rsidP="00A01F01">
      <w:pPr>
        <w:jc w:val="both"/>
        <w:rPr>
          <w:rFonts w:cstheme="minorHAnsi"/>
          <w:sz w:val="24"/>
          <w:szCs w:val="24"/>
          <w:lang w:val="nl-BE"/>
        </w:rPr>
      </w:pPr>
      <w:r>
        <w:rPr>
          <w:sz w:val="24"/>
          <w:szCs w:val="24"/>
          <w:lang w:val="nl-BE"/>
        </w:rPr>
        <w:t xml:space="preserve">Het is evenwel ook mogelijk om op een andere manier naar de feiten te kijken. Het is immers niet onredelijk te stellen </w:t>
      </w:r>
      <w:r w:rsidR="00A01F01" w:rsidRPr="00A01F01">
        <w:rPr>
          <w:sz w:val="24"/>
          <w:szCs w:val="24"/>
          <w:lang w:val="nl-BE"/>
        </w:rPr>
        <w:t xml:space="preserve">dat partijen eerst en vooral op zoek zijn naar een manier om hun kinderwensen te </w:t>
      </w:r>
      <w:r>
        <w:rPr>
          <w:sz w:val="24"/>
          <w:szCs w:val="24"/>
          <w:lang w:val="nl-BE"/>
        </w:rPr>
        <w:t xml:space="preserve">laten </w:t>
      </w:r>
      <w:r w:rsidR="00A01F01" w:rsidRPr="00A01F01">
        <w:rPr>
          <w:sz w:val="24"/>
          <w:szCs w:val="24"/>
          <w:lang w:val="nl-BE"/>
        </w:rPr>
        <w:t xml:space="preserve">vervullen en dat het laten </w:t>
      </w:r>
      <w:r w:rsidR="00B52007">
        <w:rPr>
          <w:sz w:val="24"/>
          <w:szCs w:val="24"/>
          <w:lang w:val="nl-BE"/>
        </w:rPr>
        <w:t>ontstaan</w:t>
      </w:r>
      <w:r w:rsidR="00A01F01" w:rsidRPr="00A01F01">
        <w:rPr>
          <w:sz w:val="24"/>
          <w:szCs w:val="24"/>
          <w:lang w:val="nl-BE"/>
        </w:rPr>
        <w:t xml:space="preserve"> van een afstammingsband</w:t>
      </w:r>
      <w:r w:rsidR="00B52007">
        <w:rPr>
          <w:sz w:val="24"/>
          <w:szCs w:val="24"/>
          <w:lang w:val="nl-BE"/>
        </w:rPr>
        <w:t xml:space="preserve"> hen slechts onrechtstreeks tot handelen heeft gezet</w:t>
      </w:r>
      <w:r>
        <w:rPr>
          <w:sz w:val="24"/>
          <w:szCs w:val="24"/>
          <w:lang w:val="nl-BE"/>
        </w:rPr>
        <w:t>.</w:t>
      </w:r>
      <w:r w:rsidR="00A01F01" w:rsidRPr="00A01F01">
        <w:rPr>
          <w:sz w:val="24"/>
          <w:szCs w:val="24"/>
          <w:lang w:val="nl-BE"/>
        </w:rPr>
        <w:t xml:space="preserve"> Dit is wat het Hof van Beroep te Ge</w:t>
      </w:r>
      <w:r w:rsidR="00A01F01" w:rsidRPr="00305643">
        <w:rPr>
          <w:sz w:val="24"/>
          <w:szCs w:val="24"/>
          <w:lang w:val="nl-BE"/>
        </w:rPr>
        <w:t>nt in een andere zaak heeft beslist, waar twee mannen eveneens een beroep hadden gedaan op een draagmoeder in Californië</w:t>
      </w:r>
      <w:r w:rsidR="00A01F01" w:rsidRPr="00305643">
        <w:rPr>
          <w:rStyle w:val="Appelnotedebasdep"/>
          <w:sz w:val="24"/>
          <w:szCs w:val="24"/>
          <w:lang w:val="nl-BE"/>
        </w:rPr>
        <w:footnoteReference w:id="30"/>
      </w:r>
      <w:r w:rsidR="00A01F01" w:rsidRPr="00305643">
        <w:rPr>
          <w:sz w:val="24"/>
          <w:szCs w:val="24"/>
          <w:lang w:val="nl-BE"/>
        </w:rPr>
        <w:t>. Het Hof heeft eerst vastgesteld dat de wensouders</w:t>
      </w:r>
      <w:r w:rsidR="00052AC3" w:rsidRPr="00305643">
        <w:rPr>
          <w:rFonts w:cstheme="minorHAnsi"/>
          <w:sz w:val="24"/>
          <w:szCs w:val="24"/>
          <w:lang w:val="nl-BE"/>
        </w:rPr>
        <w:t xml:space="preserve"> een beroep hebben gedaan op een draagmoeder in Californië omdat « [d]oor de toepassing van het aldaar geldend vreemd recht werd de afstamming (met de eraan gekoppelde rechtsgevolgen) van de uit het draagmoederschap geboren kinderen ten overstaan van de beide echtgenoten als homo-ouderpaar een realiteit », dit terwij</w:t>
      </w:r>
      <w:r w:rsidR="00D84719">
        <w:rPr>
          <w:rFonts w:cstheme="minorHAnsi"/>
          <w:sz w:val="24"/>
          <w:szCs w:val="24"/>
          <w:lang w:val="nl-BE"/>
        </w:rPr>
        <w:t>l</w:t>
      </w:r>
      <w:r w:rsidR="00052AC3" w:rsidRPr="00305643">
        <w:rPr>
          <w:rFonts w:cstheme="minorHAnsi"/>
          <w:sz w:val="24"/>
          <w:szCs w:val="24"/>
          <w:lang w:val="nl-BE"/>
        </w:rPr>
        <w:t xml:space="preserve"> « [e]en identieke afstammingsconstructie was zonder enige twijfel niet mogelijk geweest in België ». </w:t>
      </w:r>
    </w:p>
    <w:p w14:paraId="7C7183F5" w14:textId="25FDDE41" w:rsidR="00052AC3" w:rsidRPr="00305643" w:rsidRDefault="00A01F01" w:rsidP="00A01F01">
      <w:pPr>
        <w:jc w:val="both"/>
        <w:rPr>
          <w:rFonts w:cstheme="minorHAnsi"/>
          <w:sz w:val="24"/>
          <w:szCs w:val="24"/>
          <w:lang w:val="nl-BE"/>
        </w:rPr>
      </w:pPr>
      <w:r w:rsidRPr="00305643">
        <w:rPr>
          <w:rFonts w:cstheme="minorHAnsi"/>
          <w:sz w:val="24"/>
          <w:szCs w:val="24"/>
          <w:lang w:val="nl-BE"/>
        </w:rPr>
        <w:t xml:space="preserve">Evenwel was er volgens het Hof geen sprake van wetsontduiking, nu </w:t>
      </w:r>
      <w:r w:rsidR="00052AC3" w:rsidRPr="00305643">
        <w:rPr>
          <w:rFonts w:cstheme="minorHAnsi"/>
          <w:sz w:val="24"/>
          <w:szCs w:val="24"/>
          <w:lang w:val="nl-BE"/>
        </w:rPr>
        <w:t>« </w:t>
      </w:r>
      <w:r w:rsidRPr="00305643">
        <w:rPr>
          <w:rFonts w:cstheme="minorHAnsi"/>
          <w:sz w:val="24"/>
          <w:szCs w:val="24"/>
          <w:lang w:val="nl-BE"/>
        </w:rPr>
        <w:t>[h]</w:t>
      </w:r>
      <w:r w:rsidR="00052AC3" w:rsidRPr="00305643">
        <w:rPr>
          <w:rFonts w:cstheme="minorHAnsi"/>
          <w:sz w:val="24"/>
          <w:szCs w:val="24"/>
          <w:lang w:val="nl-BE"/>
        </w:rPr>
        <w:t>et hoofddoel van [de wensouders] was hun uitdrukkelijke kinderwens in vervulling te zien gaan, waarbij één van hen de biologische vader zou zijn</w:t>
      </w:r>
      <w:r w:rsidRPr="00305643">
        <w:rPr>
          <w:rFonts w:cstheme="minorHAnsi"/>
          <w:sz w:val="24"/>
          <w:szCs w:val="24"/>
          <w:lang w:val="nl-BE"/>
        </w:rPr>
        <w:t> »</w:t>
      </w:r>
      <w:r w:rsidR="00052AC3" w:rsidRPr="00305643">
        <w:rPr>
          <w:rFonts w:cstheme="minorHAnsi"/>
          <w:sz w:val="24"/>
          <w:szCs w:val="24"/>
          <w:lang w:val="nl-BE"/>
        </w:rPr>
        <w:t xml:space="preserve">. </w:t>
      </w:r>
      <w:r w:rsidRPr="00305643">
        <w:rPr>
          <w:rFonts w:cstheme="minorHAnsi"/>
          <w:sz w:val="24"/>
          <w:szCs w:val="24"/>
          <w:lang w:val="nl-BE"/>
        </w:rPr>
        <w:t>Volgens het Hof, was het « </w:t>
      </w:r>
      <w:r w:rsidR="00052AC3" w:rsidRPr="00305643">
        <w:rPr>
          <w:rFonts w:cstheme="minorHAnsi"/>
          <w:sz w:val="24"/>
          <w:szCs w:val="24"/>
          <w:lang w:val="nl-BE"/>
        </w:rPr>
        <w:t xml:space="preserve">ontstaan van de wettelijke afstamming naar vreemd recht </w:t>
      </w:r>
      <w:r w:rsidRPr="00305643">
        <w:rPr>
          <w:rFonts w:cstheme="minorHAnsi"/>
          <w:sz w:val="24"/>
          <w:szCs w:val="24"/>
          <w:lang w:val="nl-BE"/>
        </w:rPr>
        <w:t>[…]</w:t>
      </w:r>
      <w:r w:rsidR="00052AC3" w:rsidRPr="00305643">
        <w:rPr>
          <w:rFonts w:cstheme="minorHAnsi"/>
          <w:sz w:val="24"/>
          <w:szCs w:val="24"/>
          <w:lang w:val="nl-BE"/>
        </w:rPr>
        <w:t xml:space="preserve"> niet hun hoofddoel, maar wel veeleer het </w:t>
      </w:r>
      <w:r w:rsidR="00052AC3" w:rsidRPr="00305643">
        <w:rPr>
          <w:rFonts w:cstheme="minorHAnsi"/>
          <w:i/>
          <w:iCs/>
          <w:sz w:val="24"/>
          <w:szCs w:val="24"/>
          <w:lang w:val="nl-BE"/>
        </w:rPr>
        <w:t xml:space="preserve">de facto </w:t>
      </w:r>
      <w:proofErr w:type="spellStart"/>
      <w:r w:rsidR="00052AC3" w:rsidRPr="00305643">
        <w:rPr>
          <w:rFonts w:cstheme="minorHAnsi"/>
          <w:sz w:val="24"/>
          <w:szCs w:val="24"/>
          <w:lang w:val="nl-BE"/>
        </w:rPr>
        <w:t>socio</w:t>
      </w:r>
      <w:proofErr w:type="spellEnd"/>
      <w:r w:rsidR="00052AC3" w:rsidRPr="00305643">
        <w:rPr>
          <w:rFonts w:cstheme="minorHAnsi"/>
          <w:sz w:val="24"/>
          <w:szCs w:val="24"/>
          <w:lang w:val="nl-BE"/>
        </w:rPr>
        <w:t>- affectief en voor de eerste [wensouder] ook het genetisch ouderschap van kinderen ».</w:t>
      </w:r>
    </w:p>
    <w:p w14:paraId="0E2616C4" w14:textId="1CB230D1" w:rsidR="00723BA8" w:rsidRDefault="00A01F01" w:rsidP="00A01F01">
      <w:pPr>
        <w:jc w:val="both"/>
        <w:rPr>
          <w:rFonts w:cstheme="minorHAnsi"/>
          <w:sz w:val="24"/>
          <w:szCs w:val="24"/>
          <w:lang w:val="nl-BE"/>
        </w:rPr>
      </w:pPr>
      <w:r w:rsidRPr="00305643">
        <w:rPr>
          <w:rFonts w:cstheme="minorHAnsi"/>
          <w:sz w:val="24"/>
          <w:szCs w:val="24"/>
          <w:lang w:val="nl-BE"/>
        </w:rPr>
        <w:t xml:space="preserve">Deze redenering is </w:t>
      </w:r>
      <w:proofErr w:type="gramStart"/>
      <w:r w:rsidRPr="00305643">
        <w:rPr>
          <w:rFonts w:cstheme="minorHAnsi"/>
          <w:sz w:val="24"/>
          <w:szCs w:val="24"/>
          <w:lang w:val="nl-BE"/>
        </w:rPr>
        <w:t>int</w:t>
      </w:r>
      <w:r w:rsidR="00305643" w:rsidRPr="00305643">
        <w:rPr>
          <w:rFonts w:cstheme="minorHAnsi"/>
          <w:sz w:val="24"/>
          <w:szCs w:val="24"/>
          <w:lang w:val="nl-BE"/>
        </w:rPr>
        <w:t>e</w:t>
      </w:r>
      <w:r w:rsidRPr="00305643">
        <w:rPr>
          <w:rFonts w:cstheme="minorHAnsi"/>
          <w:sz w:val="24"/>
          <w:szCs w:val="24"/>
          <w:lang w:val="nl-BE"/>
        </w:rPr>
        <w:t>ressant :</w:t>
      </w:r>
      <w:proofErr w:type="gramEnd"/>
      <w:r w:rsidRPr="00305643">
        <w:rPr>
          <w:rFonts w:cstheme="minorHAnsi"/>
          <w:sz w:val="24"/>
          <w:szCs w:val="24"/>
          <w:lang w:val="nl-BE"/>
        </w:rPr>
        <w:t xml:space="preserve"> bij de meeste </w:t>
      </w:r>
      <w:r w:rsidR="00CB1791">
        <w:rPr>
          <w:rFonts w:cstheme="minorHAnsi"/>
          <w:sz w:val="24"/>
          <w:szCs w:val="24"/>
          <w:lang w:val="nl-BE"/>
        </w:rPr>
        <w:t xml:space="preserve">menselijke </w:t>
      </w:r>
      <w:r w:rsidRPr="00305643">
        <w:rPr>
          <w:rFonts w:cstheme="minorHAnsi"/>
          <w:sz w:val="24"/>
          <w:szCs w:val="24"/>
          <w:lang w:val="nl-BE"/>
        </w:rPr>
        <w:t xml:space="preserve">handelingen kan men inderdaad verschillende doelstellingen ontwaren. </w:t>
      </w:r>
      <w:r w:rsidR="00305643" w:rsidRPr="00305643">
        <w:rPr>
          <w:rFonts w:cstheme="minorHAnsi"/>
          <w:sz w:val="24"/>
          <w:szCs w:val="24"/>
          <w:lang w:val="nl-BE"/>
        </w:rPr>
        <w:t xml:space="preserve">Het kan niet ontkend worden dat het de wensouders </w:t>
      </w:r>
      <w:r w:rsidR="00305643" w:rsidRPr="00305643">
        <w:rPr>
          <w:rFonts w:cstheme="minorHAnsi"/>
          <w:sz w:val="24"/>
          <w:szCs w:val="24"/>
          <w:lang w:val="nl-BE"/>
        </w:rPr>
        <w:lastRenderedPageBreak/>
        <w:t xml:space="preserve">in eerste instantie te doen is om een kind te laten verwekken. Blijft </w:t>
      </w:r>
      <w:r w:rsidR="00CB1791">
        <w:rPr>
          <w:rFonts w:cstheme="minorHAnsi"/>
          <w:sz w:val="24"/>
          <w:szCs w:val="24"/>
          <w:lang w:val="nl-BE"/>
        </w:rPr>
        <w:t xml:space="preserve">evenwel </w:t>
      </w:r>
      <w:r w:rsidR="00305643" w:rsidRPr="00305643">
        <w:rPr>
          <w:rFonts w:cstheme="minorHAnsi"/>
          <w:sz w:val="24"/>
          <w:szCs w:val="24"/>
          <w:lang w:val="nl-BE"/>
        </w:rPr>
        <w:t xml:space="preserve">de vraag of </w:t>
      </w:r>
      <w:r w:rsidR="00CB1791">
        <w:rPr>
          <w:rFonts w:cstheme="minorHAnsi"/>
          <w:sz w:val="24"/>
          <w:szCs w:val="24"/>
          <w:lang w:val="nl-BE"/>
        </w:rPr>
        <w:t xml:space="preserve">voor de </w:t>
      </w:r>
      <w:r w:rsidR="00723BA8">
        <w:rPr>
          <w:rFonts w:cstheme="minorHAnsi"/>
          <w:sz w:val="24"/>
          <w:szCs w:val="24"/>
          <w:lang w:val="nl-BE"/>
        </w:rPr>
        <w:t>toepassing van artikel 18 WIPR rekening moet worden gehouden met alle motieven van partijen, dan wel slechts met de motieven die betrekking hebben op de concrete juridische handelingen. Ook hier zou enige verduidelijking door het Hof van Cassatie welkom zijn. Dit zou de toepassingsvoorwaarden van de wetsontduiking ten goede komen.</w:t>
      </w:r>
    </w:p>
    <w:p w14:paraId="2DCA83D9" w14:textId="070EB8C7" w:rsidR="00305643" w:rsidRDefault="00723BA8" w:rsidP="00723BA8">
      <w:pPr>
        <w:jc w:val="both"/>
        <w:rPr>
          <w:rFonts w:cstheme="minorHAnsi"/>
          <w:sz w:val="24"/>
          <w:szCs w:val="24"/>
          <w:lang w:val="nl-BE"/>
        </w:rPr>
      </w:pPr>
      <w:r>
        <w:rPr>
          <w:rFonts w:cstheme="minorHAnsi"/>
          <w:sz w:val="24"/>
          <w:szCs w:val="24"/>
          <w:lang w:val="nl-BE"/>
        </w:rPr>
        <w:t xml:space="preserve">Voor afstammingsvragen i.v.m. kinderen geboren uit een draagmoeder staat de uitkomt </w:t>
      </w:r>
      <w:r w:rsidR="006F3CD1">
        <w:rPr>
          <w:rFonts w:cstheme="minorHAnsi"/>
          <w:sz w:val="24"/>
          <w:szCs w:val="24"/>
          <w:lang w:val="nl-BE"/>
        </w:rPr>
        <w:t>evenwel</w:t>
      </w:r>
      <w:r>
        <w:rPr>
          <w:rFonts w:cstheme="minorHAnsi"/>
          <w:sz w:val="24"/>
          <w:szCs w:val="24"/>
          <w:lang w:val="nl-BE"/>
        </w:rPr>
        <w:t xml:space="preserve"> al op voorhand vast. Zelfs als</w:t>
      </w:r>
      <w:r w:rsidR="00305643">
        <w:rPr>
          <w:rFonts w:cstheme="minorHAnsi"/>
          <w:sz w:val="24"/>
          <w:szCs w:val="24"/>
          <w:lang w:val="nl-BE"/>
        </w:rPr>
        <w:t xml:space="preserve"> er sprake is van wetsontduiking, kan men </w:t>
      </w:r>
      <w:r>
        <w:rPr>
          <w:rFonts w:cstheme="minorHAnsi"/>
          <w:sz w:val="24"/>
          <w:szCs w:val="24"/>
          <w:lang w:val="nl-BE"/>
        </w:rPr>
        <w:t xml:space="preserve">immers </w:t>
      </w:r>
      <w:r w:rsidR="00305643">
        <w:rPr>
          <w:rFonts w:cstheme="minorHAnsi"/>
          <w:sz w:val="24"/>
          <w:szCs w:val="24"/>
          <w:lang w:val="nl-BE"/>
        </w:rPr>
        <w:t>niet om de vaststelling heen dat de wensouders en het kind een familie vormen. Het bestaan van familieband</w:t>
      </w:r>
      <w:r>
        <w:rPr>
          <w:rFonts w:cstheme="minorHAnsi"/>
          <w:sz w:val="24"/>
          <w:szCs w:val="24"/>
          <w:lang w:val="nl-BE"/>
        </w:rPr>
        <w:t>en</w:t>
      </w:r>
      <w:r w:rsidR="00305643">
        <w:rPr>
          <w:rFonts w:cstheme="minorHAnsi"/>
          <w:sz w:val="24"/>
          <w:szCs w:val="24"/>
          <w:lang w:val="nl-BE"/>
        </w:rPr>
        <w:t xml:space="preserve"> maakt het bijzonder moeilijk om de sanctie van wetsontduiking toe te passen. Dit zou immers ertoe leiden dat het kind geen afstamming kan laten gelden t.a.v. een van de wensouders. </w:t>
      </w:r>
      <w:r>
        <w:rPr>
          <w:rFonts w:cstheme="minorHAnsi"/>
          <w:sz w:val="24"/>
          <w:szCs w:val="24"/>
          <w:lang w:val="nl-BE"/>
        </w:rPr>
        <w:t>Door de toepassing van artikel 18 WIPR zou het kind aldus</w:t>
      </w:r>
      <w:r w:rsidR="00305643">
        <w:rPr>
          <w:rFonts w:cstheme="minorHAnsi"/>
          <w:sz w:val="24"/>
          <w:szCs w:val="24"/>
          <w:lang w:val="nl-BE"/>
        </w:rPr>
        <w:t xml:space="preserve"> met de </w:t>
      </w:r>
      <w:r>
        <w:rPr>
          <w:rFonts w:cstheme="minorHAnsi"/>
          <w:sz w:val="24"/>
          <w:szCs w:val="24"/>
          <w:lang w:val="nl-BE"/>
        </w:rPr>
        <w:t xml:space="preserve">spreekwoordelijke </w:t>
      </w:r>
      <w:r w:rsidR="00305643">
        <w:rPr>
          <w:rFonts w:cstheme="minorHAnsi"/>
          <w:sz w:val="24"/>
          <w:szCs w:val="24"/>
          <w:lang w:val="nl-BE"/>
        </w:rPr>
        <w:t>gebakken peren blij</w:t>
      </w:r>
      <w:r>
        <w:rPr>
          <w:rFonts w:cstheme="minorHAnsi"/>
          <w:sz w:val="24"/>
          <w:szCs w:val="24"/>
          <w:lang w:val="nl-BE"/>
        </w:rPr>
        <w:t>ven</w:t>
      </w:r>
      <w:r w:rsidR="00305643">
        <w:rPr>
          <w:rFonts w:cstheme="minorHAnsi"/>
          <w:sz w:val="24"/>
          <w:szCs w:val="24"/>
          <w:lang w:val="nl-BE"/>
        </w:rPr>
        <w:t xml:space="preserve"> zitten.</w:t>
      </w:r>
    </w:p>
    <w:p w14:paraId="24B53FFA" w14:textId="10C55615" w:rsidR="00305643" w:rsidRDefault="00723BA8" w:rsidP="00A01F01">
      <w:pPr>
        <w:jc w:val="both"/>
        <w:rPr>
          <w:rFonts w:cstheme="minorHAnsi"/>
          <w:sz w:val="24"/>
          <w:szCs w:val="24"/>
          <w:lang w:val="nl-BE"/>
        </w:rPr>
      </w:pPr>
      <w:r>
        <w:rPr>
          <w:rFonts w:cstheme="minorHAnsi"/>
          <w:sz w:val="24"/>
          <w:szCs w:val="24"/>
          <w:lang w:val="nl-BE"/>
        </w:rPr>
        <w:t xml:space="preserve">Dit zou botsen met het principe </w:t>
      </w:r>
      <w:r w:rsidR="00305643">
        <w:rPr>
          <w:rFonts w:cstheme="minorHAnsi"/>
          <w:sz w:val="24"/>
          <w:szCs w:val="24"/>
          <w:lang w:val="nl-BE"/>
        </w:rPr>
        <w:t xml:space="preserve">dat kinderen niet de gevolgen moeten dragen van de manier waarop de voor hen zorgende ouders hebben </w:t>
      </w:r>
      <w:r>
        <w:rPr>
          <w:rFonts w:cstheme="minorHAnsi"/>
          <w:sz w:val="24"/>
          <w:szCs w:val="24"/>
          <w:lang w:val="nl-BE"/>
        </w:rPr>
        <w:t>getracht afstammingsbanden te laten vaststellen</w:t>
      </w:r>
      <w:r w:rsidR="00AA5EA8">
        <w:rPr>
          <w:rStyle w:val="Appelnotedebasdep"/>
          <w:rFonts w:cstheme="minorHAnsi"/>
          <w:sz w:val="24"/>
          <w:szCs w:val="24"/>
          <w:lang w:val="nl-BE"/>
        </w:rPr>
        <w:footnoteReference w:id="31"/>
      </w:r>
      <w:r w:rsidR="00305643">
        <w:rPr>
          <w:rFonts w:cstheme="minorHAnsi"/>
          <w:sz w:val="24"/>
          <w:szCs w:val="24"/>
          <w:lang w:val="nl-BE"/>
        </w:rPr>
        <w:t xml:space="preserve">. Het is precies </w:t>
      </w:r>
      <w:r>
        <w:rPr>
          <w:rFonts w:cstheme="minorHAnsi"/>
          <w:sz w:val="24"/>
          <w:szCs w:val="24"/>
          <w:lang w:val="nl-BE"/>
        </w:rPr>
        <w:t>omdat Frankrijk de kinderen in de kou heeft laten staan dat</w:t>
      </w:r>
      <w:r w:rsidR="00AA5EA8">
        <w:rPr>
          <w:rFonts w:cstheme="minorHAnsi"/>
          <w:sz w:val="24"/>
          <w:szCs w:val="24"/>
          <w:lang w:val="nl-BE"/>
        </w:rPr>
        <w:t xml:space="preserve"> h</w:t>
      </w:r>
      <w:r w:rsidR="00305643">
        <w:rPr>
          <w:rFonts w:cstheme="minorHAnsi"/>
          <w:sz w:val="24"/>
          <w:szCs w:val="24"/>
          <w:lang w:val="nl-BE"/>
        </w:rPr>
        <w:t xml:space="preserve">et Europees Hof voor de rechten van de mens </w:t>
      </w:r>
      <w:r w:rsidR="00AA5EA8">
        <w:rPr>
          <w:rFonts w:cstheme="minorHAnsi"/>
          <w:sz w:val="24"/>
          <w:szCs w:val="24"/>
          <w:lang w:val="nl-BE"/>
        </w:rPr>
        <w:t xml:space="preserve">dit land </w:t>
      </w:r>
      <w:r w:rsidR="00305643">
        <w:rPr>
          <w:rFonts w:cstheme="minorHAnsi"/>
          <w:sz w:val="24"/>
          <w:szCs w:val="24"/>
          <w:lang w:val="nl-BE"/>
        </w:rPr>
        <w:t xml:space="preserve">op de vingers </w:t>
      </w:r>
      <w:r w:rsidR="00AA5EA8">
        <w:rPr>
          <w:rFonts w:cstheme="minorHAnsi"/>
          <w:sz w:val="24"/>
          <w:szCs w:val="24"/>
          <w:lang w:val="nl-BE"/>
        </w:rPr>
        <w:t>heeft</w:t>
      </w:r>
      <w:r w:rsidR="00305643">
        <w:rPr>
          <w:rFonts w:cstheme="minorHAnsi"/>
          <w:sz w:val="24"/>
          <w:szCs w:val="24"/>
          <w:lang w:val="nl-BE"/>
        </w:rPr>
        <w:t xml:space="preserve"> </w:t>
      </w:r>
      <w:proofErr w:type="gramStart"/>
      <w:r w:rsidR="00305643">
        <w:rPr>
          <w:rFonts w:cstheme="minorHAnsi"/>
          <w:sz w:val="24"/>
          <w:szCs w:val="24"/>
          <w:lang w:val="nl-BE"/>
        </w:rPr>
        <w:t>getikt :</w:t>
      </w:r>
      <w:proofErr w:type="gramEnd"/>
      <w:r w:rsidR="00305643">
        <w:rPr>
          <w:rFonts w:cstheme="minorHAnsi"/>
          <w:sz w:val="24"/>
          <w:szCs w:val="24"/>
          <w:lang w:val="nl-BE"/>
        </w:rPr>
        <w:t xml:space="preserve"> in de zaak </w:t>
      </w:r>
      <w:proofErr w:type="spellStart"/>
      <w:r w:rsidR="00305643" w:rsidRPr="00723BA8">
        <w:rPr>
          <w:rFonts w:cstheme="minorHAnsi"/>
          <w:i/>
          <w:iCs/>
          <w:sz w:val="24"/>
          <w:szCs w:val="24"/>
          <w:lang w:val="nl-BE"/>
        </w:rPr>
        <w:t>Mennesson</w:t>
      </w:r>
      <w:proofErr w:type="spellEnd"/>
      <w:r w:rsidR="00305643">
        <w:rPr>
          <w:rFonts w:cstheme="minorHAnsi"/>
          <w:sz w:val="24"/>
          <w:szCs w:val="24"/>
          <w:lang w:val="nl-BE"/>
        </w:rPr>
        <w:t xml:space="preserve"> heeft het Hof vastgesteld dat</w:t>
      </w:r>
      <w:r w:rsidR="00AA5EA8">
        <w:rPr>
          <w:rFonts w:cstheme="minorHAnsi"/>
          <w:sz w:val="24"/>
          <w:szCs w:val="24"/>
          <w:lang w:val="nl-BE"/>
        </w:rPr>
        <w:t xml:space="preserve"> het recht op </w:t>
      </w:r>
      <w:proofErr w:type="spellStart"/>
      <w:r w:rsidR="00AA5EA8">
        <w:rPr>
          <w:rFonts w:cstheme="minorHAnsi"/>
          <w:sz w:val="24"/>
          <w:szCs w:val="24"/>
          <w:lang w:val="nl-BE"/>
        </w:rPr>
        <w:t>privé-leven</w:t>
      </w:r>
      <w:proofErr w:type="spellEnd"/>
      <w:r w:rsidR="00AA5EA8">
        <w:rPr>
          <w:rFonts w:cstheme="minorHAnsi"/>
          <w:sz w:val="24"/>
          <w:szCs w:val="24"/>
          <w:lang w:val="nl-BE"/>
        </w:rPr>
        <w:t xml:space="preserve"> van de kinderen geschonden is</w:t>
      </w:r>
      <w:r w:rsidR="00AA5EA8">
        <w:rPr>
          <w:rStyle w:val="Appelnotedebasdep"/>
          <w:rFonts w:cstheme="minorHAnsi"/>
          <w:sz w:val="24"/>
          <w:szCs w:val="24"/>
          <w:lang w:val="nl-BE"/>
        </w:rPr>
        <w:footnoteReference w:id="32"/>
      </w:r>
      <w:r w:rsidR="00D84719">
        <w:rPr>
          <w:rFonts w:cstheme="minorHAnsi"/>
          <w:sz w:val="24"/>
          <w:szCs w:val="24"/>
          <w:lang w:val="nl-BE"/>
        </w:rPr>
        <w:t>. Ook in de Belgische rechtspraak wordt aanvaard dat de eventuele fraude door het belang van het kind ter zijde moet worden geschoven</w:t>
      </w:r>
      <w:r w:rsidR="00D84719">
        <w:rPr>
          <w:rStyle w:val="Appelnotedebasdep"/>
          <w:rFonts w:cstheme="minorHAnsi"/>
          <w:sz w:val="24"/>
          <w:szCs w:val="24"/>
          <w:lang w:val="nl-BE"/>
        </w:rPr>
        <w:footnoteReference w:id="33"/>
      </w:r>
      <w:r w:rsidR="00D84719">
        <w:rPr>
          <w:rFonts w:cstheme="minorHAnsi"/>
          <w:sz w:val="24"/>
          <w:szCs w:val="24"/>
          <w:lang w:val="nl-BE"/>
        </w:rPr>
        <w:t>.</w:t>
      </w:r>
    </w:p>
    <w:p w14:paraId="36848000" w14:textId="6F0D8165" w:rsidR="00D84719" w:rsidRDefault="00F50009" w:rsidP="00A01F01">
      <w:pPr>
        <w:jc w:val="both"/>
        <w:rPr>
          <w:rFonts w:cstheme="minorHAnsi"/>
          <w:sz w:val="24"/>
          <w:szCs w:val="24"/>
          <w:lang w:val="nl-BE"/>
        </w:rPr>
      </w:pPr>
      <w:r w:rsidRPr="00755379">
        <w:rPr>
          <w:rFonts w:cstheme="minorHAnsi"/>
          <w:i/>
          <w:iCs/>
          <w:sz w:val="24"/>
          <w:szCs w:val="24"/>
          <w:lang w:val="nl-BE"/>
        </w:rPr>
        <w:t xml:space="preserve">In </w:t>
      </w:r>
      <w:proofErr w:type="spellStart"/>
      <w:r w:rsidRPr="00755379">
        <w:rPr>
          <w:rFonts w:cstheme="minorHAnsi"/>
          <w:i/>
          <w:iCs/>
          <w:sz w:val="24"/>
          <w:szCs w:val="24"/>
          <w:lang w:val="nl-BE"/>
        </w:rPr>
        <w:t>casu</w:t>
      </w:r>
      <w:proofErr w:type="spellEnd"/>
      <w:r>
        <w:rPr>
          <w:rFonts w:cstheme="minorHAnsi"/>
          <w:sz w:val="24"/>
          <w:szCs w:val="24"/>
          <w:lang w:val="nl-BE"/>
        </w:rPr>
        <w:t xml:space="preserve"> was er geen twijfel mogelijk dat het belang van het kind zwaarder moest wegen dan de eventuele fraude door de </w:t>
      </w:r>
      <w:proofErr w:type="gramStart"/>
      <w:r>
        <w:rPr>
          <w:rFonts w:cstheme="minorHAnsi"/>
          <w:sz w:val="24"/>
          <w:szCs w:val="24"/>
          <w:lang w:val="nl-BE"/>
        </w:rPr>
        <w:t>wensouders :</w:t>
      </w:r>
      <w:proofErr w:type="gramEnd"/>
      <w:r>
        <w:rPr>
          <w:rFonts w:cstheme="minorHAnsi"/>
          <w:sz w:val="24"/>
          <w:szCs w:val="24"/>
          <w:lang w:val="nl-BE"/>
        </w:rPr>
        <w:t xml:space="preserve"> wanneer het Hof van Beroep uitspraak deed, waren beide kinderen immers reeds 4 j. oud. Al die tijd </w:t>
      </w:r>
      <w:r w:rsidR="00AA5EA8">
        <w:rPr>
          <w:rFonts w:cstheme="minorHAnsi"/>
          <w:sz w:val="24"/>
          <w:szCs w:val="24"/>
          <w:lang w:val="nl-BE"/>
        </w:rPr>
        <w:t>werden ze door hun wensouders grootgebracht</w:t>
      </w:r>
      <w:r>
        <w:rPr>
          <w:rFonts w:cstheme="minorHAnsi"/>
          <w:sz w:val="24"/>
          <w:szCs w:val="24"/>
          <w:lang w:val="nl-BE"/>
        </w:rPr>
        <w:t xml:space="preserve">. Het zou </w:t>
      </w:r>
      <w:r w:rsidR="00AA5EA8">
        <w:rPr>
          <w:rFonts w:cstheme="minorHAnsi"/>
          <w:sz w:val="24"/>
          <w:szCs w:val="24"/>
          <w:lang w:val="nl-BE"/>
        </w:rPr>
        <w:t xml:space="preserve">zowel voor de kinderen als voor hun wensouders </w:t>
      </w:r>
      <w:r>
        <w:rPr>
          <w:rFonts w:cstheme="minorHAnsi"/>
          <w:sz w:val="24"/>
          <w:szCs w:val="24"/>
          <w:lang w:val="nl-BE"/>
        </w:rPr>
        <w:t>bijzonder</w:t>
      </w:r>
      <w:r w:rsidR="00AA5EA8">
        <w:rPr>
          <w:rFonts w:cstheme="minorHAnsi"/>
          <w:sz w:val="24"/>
          <w:szCs w:val="24"/>
          <w:lang w:val="nl-BE"/>
        </w:rPr>
        <w:t xml:space="preserve"> onredelijk zijn om </w:t>
      </w:r>
      <w:r>
        <w:rPr>
          <w:rFonts w:cstheme="minorHAnsi"/>
          <w:sz w:val="24"/>
          <w:szCs w:val="24"/>
          <w:lang w:val="nl-BE"/>
        </w:rPr>
        <w:t>een kruis op al die jaren te maken.</w:t>
      </w:r>
    </w:p>
    <w:p w14:paraId="1EC4FD49" w14:textId="2847786F" w:rsidR="00AA5EA8" w:rsidRDefault="00F50009" w:rsidP="00A01F01">
      <w:pPr>
        <w:jc w:val="both"/>
        <w:rPr>
          <w:rFonts w:cstheme="minorHAnsi"/>
          <w:sz w:val="24"/>
          <w:szCs w:val="24"/>
          <w:lang w:val="nl-BE"/>
        </w:rPr>
      </w:pPr>
      <w:r>
        <w:rPr>
          <w:rFonts w:cstheme="minorHAnsi"/>
          <w:sz w:val="24"/>
          <w:szCs w:val="24"/>
          <w:lang w:val="nl-BE"/>
        </w:rPr>
        <w:t xml:space="preserve">De sanctie van de wetsontduiking verliest aldus aan kracht naargelang de feiten zich </w:t>
      </w:r>
      <w:r w:rsidR="001403E4">
        <w:rPr>
          <w:rFonts w:cstheme="minorHAnsi"/>
          <w:sz w:val="24"/>
          <w:szCs w:val="24"/>
          <w:lang w:val="nl-BE"/>
        </w:rPr>
        <w:t xml:space="preserve">verder in het verleden situeren. Dit roept de vraag op of de wetsontduiking zou kunnen worden toegepast </w:t>
      </w:r>
      <w:proofErr w:type="gramStart"/>
      <w:r w:rsidR="001403E4">
        <w:rPr>
          <w:rFonts w:cstheme="minorHAnsi"/>
          <w:sz w:val="24"/>
          <w:szCs w:val="24"/>
          <w:lang w:val="nl-BE"/>
        </w:rPr>
        <w:t>indien</w:t>
      </w:r>
      <w:proofErr w:type="gramEnd"/>
      <w:r w:rsidR="001403E4">
        <w:rPr>
          <w:rFonts w:cstheme="minorHAnsi"/>
          <w:sz w:val="24"/>
          <w:szCs w:val="24"/>
          <w:lang w:val="nl-BE"/>
        </w:rPr>
        <w:t xml:space="preserve"> de rechter zich enkele weken of maanden na de geboorte uitspreekt. </w:t>
      </w:r>
      <w:r w:rsidR="00AA5EA8">
        <w:rPr>
          <w:rFonts w:cstheme="minorHAnsi"/>
          <w:sz w:val="24"/>
          <w:szCs w:val="24"/>
          <w:lang w:val="nl-BE"/>
        </w:rPr>
        <w:t>Men denk</w:t>
      </w:r>
      <w:r w:rsidR="00C135D9">
        <w:rPr>
          <w:rFonts w:cstheme="minorHAnsi"/>
          <w:sz w:val="24"/>
          <w:szCs w:val="24"/>
          <w:lang w:val="nl-BE"/>
        </w:rPr>
        <w:t>t</w:t>
      </w:r>
      <w:r w:rsidR="00AA5EA8">
        <w:rPr>
          <w:rFonts w:cstheme="minorHAnsi"/>
          <w:sz w:val="24"/>
          <w:szCs w:val="24"/>
          <w:lang w:val="nl-BE"/>
        </w:rPr>
        <w:t xml:space="preserve"> aan de situatie waarin zowel het kind als de wensouders nog in het land van geboorte van het kind verblijven, </w:t>
      </w:r>
      <w:r w:rsidR="00946D56">
        <w:rPr>
          <w:rFonts w:cstheme="minorHAnsi"/>
          <w:sz w:val="24"/>
          <w:szCs w:val="24"/>
          <w:lang w:val="nl-BE"/>
        </w:rPr>
        <w:t xml:space="preserve">bijv. </w:t>
      </w:r>
      <w:r w:rsidR="00AA5EA8">
        <w:rPr>
          <w:rFonts w:cstheme="minorHAnsi"/>
          <w:sz w:val="24"/>
          <w:szCs w:val="24"/>
          <w:lang w:val="nl-BE"/>
        </w:rPr>
        <w:t>in afwachting van reisdocumenten.</w:t>
      </w:r>
    </w:p>
    <w:p w14:paraId="474E76DA" w14:textId="248FE2C6" w:rsidR="00AA5EA8" w:rsidRDefault="00AA5EA8" w:rsidP="00A01F01">
      <w:pPr>
        <w:jc w:val="both"/>
        <w:rPr>
          <w:rFonts w:cstheme="minorHAnsi"/>
          <w:sz w:val="24"/>
          <w:szCs w:val="24"/>
          <w:lang w:val="nl-BE"/>
        </w:rPr>
      </w:pPr>
      <w:r>
        <w:rPr>
          <w:rFonts w:cstheme="minorHAnsi"/>
          <w:sz w:val="24"/>
          <w:szCs w:val="24"/>
          <w:lang w:val="nl-BE"/>
        </w:rPr>
        <w:t xml:space="preserve">In de </w:t>
      </w:r>
      <w:proofErr w:type="spellStart"/>
      <w:r w:rsidRPr="00C135D9">
        <w:rPr>
          <w:rFonts w:cstheme="minorHAnsi"/>
          <w:i/>
          <w:iCs/>
          <w:sz w:val="24"/>
          <w:szCs w:val="24"/>
          <w:lang w:val="nl-BE"/>
        </w:rPr>
        <w:t>Paradisio</w:t>
      </w:r>
      <w:proofErr w:type="spellEnd"/>
      <w:r>
        <w:rPr>
          <w:rFonts w:cstheme="minorHAnsi"/>
          <w:sz w:val="24"/>
          <w:szCs w:val="24"/>
          <w:lang w:val="nl-BE"/>
        </w:rPr>
        <w:t>-zaak, heeft het Europees Hof wel degelijk rekening gehouden</w:t>
      </w:r>
      <w:r w:rsidR="008A520F">
        <w:rPr>
          <w:rFonts w:cstheme="minorHAnsi"/>
          <w:sz w:val="24"/>
          <w:szCs w:val="24"/>
          <w:lang w:val="nl-BE"/>
        </w:rPr>
        <w:t xml:space="preserve"> met het feit dat het kind slechts enkele maanden met de wensouders had geleefd. Volgens het Hof was er in die zaak geen sprake van een familiaal leven, mede gelet op de korte duur van de periode waarin de wensouders voor het kind hadden gezorgd</w:t>
      </w:r>
      <w:r w:rsidR="008A520F">
        <w:rPr>
          <w:rStyle w:val="Appelnotedebasdep"/>
          <w:rFonts w:cstheme="minorHAnsi"/>
          <w:sz w:val="24"/>
          <w:szCs w:val="24"/>
          <w:lang w:val="nl-BE"/>
        </w:rPr>
        <w:footnoteReference w:id="34"/>
      </w:r>
      <w:r w:rsidR="008A520F">
        <w:rPr>
          <w:rFonts w:cstheme="minorHAnsi"/>
          <w:sz w:val="24"/>
          <w:szCs w:val="24"/>
          <w:lang w:val="nl-BE"/>
        </w:rPr>
        <w:t>.</w:t>
      </w:r>
    </w:p>
    <w:p w14:paraId="0C14A6CA" w14:textId="3D7DA727" w:rsidR="001403E4" w:rsidRPr="00305643" w:rsidRDefault="00946D56" w:rsidP="00A01F01">
      <w:pPr>
        <w:jc w:val="both"/>
        <w:rPr>
          <w:rFonts w:cstheme="minorHAnsi"/>
          <w:sz w:val="24"/>
          <w:szCs w:val="24"/>
          <w:lang w:val="nl-BE"/>
        </w:rPr>
      </w:pPr>
      <w:r>
        <w:rPr>
          <w:rFonts w:cstheme="minorHAnsi"/>
          <w:sz w:val="24"/>
          <w:szCs w:val="24"/>
          <w:lang w:val="nl-BE"/>
        </w:rPr>
        <w:t xml:space="preserve">Het blijft evenwel de vraag of het kind </w:t>
      </w:r>
      <w:r w:rsidR="001403E4">
        <w:rPr>
          <w:rFonts w:cstheme="minorHAnsi"/>
          <w:sz w:val="24"/>
          <w:szCs w:val="24"/>
          <w:lang w:val="nl-BE"/>
        </w:rPr>
        <w:t xml:space="preserve">de rekening </w:t>
      </w:r>
      <w:r>
        <w:rPr>
          <w:rFonts w:cstheme="minorHAnsi"/>
          <w:sz w:val="24"/>
          <w:szCs w:val="24"/>
          <w:lang w:val="nl-BE"/>
        </w:rPr>
        <w:t>kan krijgen voor de manier waarop zijn wensouders de afstammingsband hebben laten vaststellen</w:t>
      </w:r>
      <w:r w:rsidR="009B1837">
        <w:rPr>
          <w:rFonts w:cstheme="minorHAnsi"/>
          <w:sz w:val="24"/>
          <w:szCs w:val="24"/>
          <w:lang w:val="nl-BE"/>
        </w:rPr>
        <w:t xml:space="preserve">, wanneer de vraag zich kort na de </w:t>
      </w:r>
      <w:r w:rsidR="009B1837">
        <w:rPr>
          <w:rFonts w:cstheme="minorHAnsi"/>
          <w:sz w:val="24"/>
          <w:szCs w:val="24"/>
          <w:lang w:val="nl-BE"/>
        </w:rPr>
        <w:lastRenderedPageBreak/>
        <w:t>geboorte stelt</w:t>
      </w:r>
      <w:r>
        <w:rPr>
          <w:rFonts w:cstheme="minorHAnsi"/>
          <w:sz w:val="24"/>
          <w:szCs w:val="24"/>
          <w:lang w:val="nl-BE"/>
        </w:rPr>
        <w:t>.</w:t>
      </w:r>
      <w:r w:rsidR="008B0D98">
        <w:rPr>
          <w:rFonts w:cstheme="minorHAnsi"/>
          <w:sz w:val="24"/>
          <w:szCs w:val="24"/>
          <w:lang w:val="nl-BE"/>
        </w:rPr>
        <w:t xml:space="preserve"> </w:t>
      </w:r>
      <w:r w:rsidR="009B1837">
        <w:rPr>
          <w:rFonts w:cstheme="minorHAnsi"/>
          <w:sz w:val="24"/>
          <w:szCs w:val="24"/>
          <w:lang w:val="nl-BE"/>
        </w:rPr>
        <w:t>Ook op</w:t>
      </w:r>
      <w:r w:rsidR="008B0D98">
        <w:rPr>
          <w:rFonts w:cstheme="minorHAnsi"/>
          <w:sz w:val="24"/>
          <w:szCs w:val="24"/>
          <w:lang w:val="nl-BE"/>
        </w:rPr>
        <w:t xml:space="preserve"> dit punt is er </w:t>
      </w:r>
      <w:r w:rsidR="009B1837">
        <w:rPr>
          <w:rFonts w:cstheme="minorHAnsi"/>
          <w:sz w:val="24"/>
          <w:szCs w:val="24"/>
          <w:lang w:val="nl-BE"/>
        </w:rPr>
        <w:t>ook</w:t>
      </w:r>
      <w:r w:rsidR="008B0D98">
        <w:rPr>
          <w:rFonts w:cstheme="minorHAnsi"/>
          <w:sz w:val="24"/>
          <w:szCs w:val="24"/>
          <w:lang w:val="nl-BE"/>
        </w:rPr>
        <w:t xml:space="preserve"> nog werk aan de winkel, voor alle vragen die rijzen, wanneer wensouders een beroep doen op een draagmoeder in het buitenland, een antwoord krijgen.</w:t>
      </w:r>
    </w:p>
    <w:p w14:paraId="061CBEA5" w14:textId="77777777" w:rsidR="00274F45" w:rsidRPr="000072C2" w:rsidRDefault="00274F45">
      <w:pPr>
        <w:rPr>
          <w:sz w:val="24"/>
          <w:szCs w:val="24"/>
          <w:lang w:val="nl-BE"/>
        </w:rPr>
      </w:pPr>
    </w:p>
    <w:p w14:paraId="17F3A026" w14:textId="65FAA3BE" w:rsidR="002526D0" w:rsidRPr="000072C2" w:rsidRDefault="002526D0">
      <w:pPr>
        <w:rPr>
          <w:b/>
          <w:bCs/>
          <w:sz w:val="24"/>
          <w:szCs w:val="24"/>
          <w:lang w:val="nl-BE"/>
        </w:rPr>
      </w:pPr>
      <w:r w:rsidRPr="000072C2">
        <w:rPr>
          <w:b/>
          <w:bCs/>
          <w:sz w:val="24"/>
          <w:szCs w:val="24"/>
          <w:lang w:val="nl-BE"/>
        </w:rPr>
        <w:t xml:space="preserve">4) </w:t>
      </w:r>
      <w:r w:rsidR="009B1837">
        <w:rPr>
          <w:b/>
          <w:bCs/>
          <w:sz w:val="24"/>
          <w:szCs w:val="24"/>
          <w:lang w:val="nl-BE"/>
        </w:rPr>
        <w:t xml:space="preserve">De rol van de </w:t>
      </w:r>
      <w:r w:rsidRPr="000072C2">
        <w:rPr>
          <w:b/>
          <w:bCs/>
          <w:sz w:val="24"/>
          <w:szCs w:val="24"/>
          <w:lang w:val="nl-BE"/>
        </w:rPr>
        <w:t>conflictenrechtelijke toets</w:t>
      </w:r>
    </w:p>
    <w:p w14:paraId="17A1A64B" w14:textId="488DF0A9" w:rsidR="002526D0" w:rsidRPr="000072C2" w:rsidRDefault="00663C86" w:rsidP="00663C86">
      <w:pPr>
        <w:jc w:val="both"/>
        <w:rPr>
          <w:sz w:val="24"/>
          <w:szCs w:val="24"/>
          <w:lang w:val="nl-BE"/>
        </w:rPr>
      </w:pPr>
      <w:r>
        <w:rPr>
          <w:sz w:val="24"/>
          <w:szCs w:val="24"/>
          <w:lang w:val="nl-BE"/>
        </w:rPr>
        <w:t xml:space="preserve">Ook de conflictenrechtelijke toets is een vaste waarde wanneer de vraag rijst welke gevolgen toekennen aan afstammingsbanden tussen wensouders en een kind geboren </w:t>
      </w:r>
      <w:r w:rsidR="00B876A4">
        <w:rPr>
          <w:sz w:val="24"/>
          <w:szCs w:val="24"/>
          <w:lang w:val="nl-BE"/>
        </w:rPr>
        <w:t xml:space="preserve">in het buitenland </w:t>
      </w:r>
      <w:r>
        <w:rPr>
          <w:sz w:val="24"/>
          <w:szCs w:val="24"/>
          <w:lang w:val="nl-BE"/>
        </w:rPr>
        <w:t>uit een draagmoeder. De rechtspraak heeft sinds lang uitgemaakt dat de conflictenrechtelijke toets achterwege moet blijven wanneer, zoals in de Californische zaak, de afstamming eerste door een rechtbank vastgesteld is geweest</w:t>
      </w:r>
      <w:r w:rsidR="00DC5E60">
        <w:rPr>
          <w:rStyle w:val="Appelnotedebasdep"/>
          <w:sz w:val="24"/>
          <w:szCs w:val="24"/>
          <w:lang w:val="nl-BE"/>
        </w:rPr>
        <w:footnoteReference w:id="35"/>
      </w:r>
      <w:r>
        <w:rPr>
          <w:sz w:val="24"/>
          <w:szCs w:val="24"/>
          <w:lang w:val="nl-BE"/>
        </w:rPr>
        <w:t>. Daarom kwam de toets slechts aan bod in d</w:t>
      </w:r>
      <w:r w:rsidR="009908A0" w:rsidRPr="000072C2">
        <w:rPr>
          <w:sz w:val="24"/>
          <w:szCs w:val="24"/>
          <w:lang w:val="nl-BE"/>
        </w:rPr>
        <w:t>e Mexicaanse zaak</w:t>
      </w:r>
      <w:r>
        <w:rPr>
          <w:sz w:val="24"/>
          <w:szCs w:val="24"/>
          <w:lang w:val="nl-BE"/>
        </w:rPr>
        <w:t>.</w:t>
      </w:r>
    </w:p>
    <w:p w14:paraId="629D60E4" w14:textId="67AB3577" w:rsidR="009B1837" w:rsidRDefault="00663C86" w:rsidP="00663C86">
      <w:pPr>
        <w:jc w:val="both"/>
        <w:rPr>
          <w:sz w:val="24"/>
          <w:szCs w:val="24"/>
          <w:lang w:val="nl-BE"/>
        </w:rPr>
      </w:pPr>
      <w:r>
        <w:rPr>
          <w:sz w:val="24"/>
          <w:szCs w:val="24"/>
          <w:lang w:val="nl-BE"/>
        </w:rPr>
        <w:t xml:space="preserve">Twee </w:t>
      </w:r>
      <w:r w:rsidR="00B876A4">
        <w:rPr>
          <w:sz w:val="24"/>
          <w:szCs w:val="24"/>
          <w:lang w:val="nl-BE"/>
        </w:rPr>
        <w:t>lessen kunnen worden onthouden uit de bespreking door het Hof te Gent van de conflictenrechtelijke toets. De eerste les is dat</w:t>
      </w:r>
      <w:r>
        <w:rPr>
          <w:sz w:val="24"/>
          <w:szCs w:val="24"/>
          <w:lang w:val="nl-BE"/>
        </w:rPr>
        <w:t xml:space="preserve"> de conflictenrechtelijke toets al bij al weinig </w:t>
      </w:r>
      <w:r w:rsidR="00B876A4">
        <w:rPr>
          <w:sz w:val="24"/>
          <w:szCs w:val="24"/>
          <w:lang w:val="nl-BE"/>
        </w:rPr>
        <w:t xml:space="preserve">weegt </w:t>
      </w:r>
      <w:r>
        <w:rPr>
          <w:sz w:val="24"/>
          <w:szCs w:val="24"/>
          <w:lang w:val="nl-BE"/>
        </w:rPr>
        <w:t>in de redenering</w:t>
      </w:r>
      <w:r w:rsidR="00793E87">
        <w:rPr>
          <w:rStyle w:val="Appelnotedebasdep"/>
          <w:sz w:val="24"/>
          <w:szCs w:val="24"/>
          <w:lang w:val="nl-BE"/>
        </w:rPr>
        <w:footnoteReference w:id="36"/>
      </w:r>
      <w:r>
        <w:rPr>
          <w:sz w:val="24"/>
          <w:szCs w:val="24"/>
          <w:lang w:val="nl-BE"/>
        </w:rPr>
        <w:t xml:space="preserve">. De toets wordt </w:t>
      </w:r>
      <w:r w:rsidR="009B1837">
        <w:rPr>
          <w:sz w:val="24"/>
          <w:szCs w:val="24"/>
          <w:lang w:val="nl-BE"/>
        </w:rPr>
        <w:t xml:space="preserve">immers </w:t>
      </w:r>
      <w:r>
        <w:rPr>
          <w:sz w:val="24"/>
          <w:szCs w:val="24"/>
          <w:lang w:val="nl-BE"/>
        </w:rPr>
        <w:t>zonder veel moeite afgehandeld, terwijl</w:t>
      </w:r>
      <w:r w:rsidRPr="00663C86">
        <w:rPr>
          <w:sz w:val="24"/>
          <w:szCs w:val="24"/>
          <w:lang w:val="nl-BE"/>
        </w:rPr>
        <w:t xml:space="preserve"> </w:t>
      </w:r>
      <w:r>
        <w:rPr>
          <w:sz w:val="24"/>
          <w:szCs w:val="24"/>
          <w:lang w:val="nl-BE"/>
        </w:rPr>
        <w:t>het Hof uitvoerig in</w:t>
      </w:r>
      <w:r w:rsidRPr="00663C86">
        <w:rPr>
          <w:sz w:val="24"/>
          <w:szCs w:val="24"/>
          <w:lang w:val="nl-BE"/>
        </w:rPr>
        <w:t xml:space="preserve"> </w:t>
      </w:r>
      <w:r>
        <w:rPr>
          <w:sz w:val="24"/>
          <w:szCs w:val="24"/>
          <w:lang w:val="nl-BE"/>
        </w:rPr>
        <w:t>gaat op de vraag naar de al na niet strijdigheid met de openbare orde.</w:t>
      </w:r>
      <w:r w:rsidR="00BB1ADB">
        <w:rPr>
          <w:sz w:val="24"/>
          <w:szCs w:val="24"/>
          <w:lang w:val="nl-BE"/>
        </w:rPr>
        <w:t xml:space="preserve"> Dit </w:t>
      </w:r>
      <w:r w:rsidR="009B1837">
        <w:rPr>
          <w:sz w:val="24"/>
          <w:szCs w:val="24"/>
          <w:lang w:val="nl-BE"/>
        </w:rPr>
        <w:t xml:space="preserve">kan </w:t>
      </w:r>
      <w:r w:rsidR="00E63738">
        <w:rPr>
          <w:sz w:val="24"/>
          <w:szCs w:val="24"/>
          <w:lang w:val="nl-BE"/>
        </w:rPr>
        <w:t xml:space="preserve">verwondering wekken, nu de twee mechanismen duidelijk onderscheiden doelstellingen </w:t>
      </w:r>
      <w:proofErr w:type="gramStart"/>
      <w:r w:rsidR="00372EC5">
        <w:rPr>
          <w:sz w:val="24"/>
          <w:szCs w:val="24"/>
          <w:lang w:val="nl-BE"/>
        </w:rPr>
        <w:t xml:space="preserve">nastreven </w:t>
      </w:r>
      <w:r w:rsidR="00E63738">
        <w:rPr>
          <w:sz w:val="24"/>
          <w:szCs w:val="24"/>
          <w:lang w:val="nl-BE"/>
        </w:rPr>
        <w:t>:</w:t>
      </w:r>
      <w:proofErr w:type="gramEnd"/>
      <w:r w:rsidR="00E63738">
        <w:rPr>
          <w:sz w:val="24"/>
          <w:szCs w:val="24"/>
          <w:lang w:val="nl-BE"/>
        </w:rPr>
        <w:t xml:space="preserve"> met de conflictenrechtelijke toets gaat de rechter na of de buitenlandse akte opgesteld is conform de in België geldende verwijzingsregels terwijl de openbare orde eerder toeziet op de fundamentele waarden waarop de Belgische rechtsorde steunt.</w:t>
      </w:r>
      <w:r w:rsidR="00372EC5">
        <w:rPr>
          <w:sz w:val="24"/>
          <w:szCs w:val="24"/>
          <w:lang w:val="nl-BE"/>
        </w:rPr>
        <w:t xml:space="preserve"> De conflictenrechtelijke toets en de exceptie van openbare orde vissen aldus niet in dezelfde vijver.</w:t>
      </w:r>
    </w:p>
    <w:p w14:paraId="15B5A017" w14:textId="76CF852A" w:rsidR="00E63738" w:rsidRDefault="00E63738" w:rsidP="00663C86">
      <w:pPr>
        <w:jc w:val="both"/>
        <w:rPr>
          <w:sz w:val="24"/>
          <w:szCs w:val="24"/>
          <w:lang w:val="nl-BE"/>
        </w:rPr>
      </w:pPr>
      <w:r>
        <w:rPr>
          <w:sz w:val="24"/>
          <w:szCs w:val="24"/>
          <w:lang w:val="nl-BE"/>
        </w:rPr>
        <w:t xml:space="preserve">In de praktijk </w:t>
      </w:r>
      <w:r w:rsidR="00747664">
        <w:rPr>
          <w:sz w:val="24"/>
          <w:szCs w:val="24"/>
          <w:lang w:val="nl-BE"/>
        </w:rPr>
        <w:t>weegt het al dan niet naleven door de buitenlandse overheid van het door het WIPR aangewezen recht evenwel weinig in vergelijking met een eventuele strijdigheid met de openbare orde.</w:t>
      </w:r>
      <w:r w:rsidR="00372EC5">
        <w:rPr>
          <w:sz w:val="24"/>
          <w:szCs w:val="24"/>
          <w:lang w:val="nl-BE"/>
        </w:rPr>
        <w:t xml:space="preserve"> Deze laatste oefent een grote aantrekkingskracht, omdat de rechter met de controle op de openbare orde de buitenlandse akte concreet kan toetsen. Het gaat aldus niet meer alleen over het respecteren van abstracte </w:t>
      </w:r>
      <w:r w:rsidR="00C906E5">
        <w:rPr>
          <w:sz w:val="24"/>
          <w:szCs w:val="24"/>
          <w:lang w:val="nl-BE"/>
        </w:rPr>
        <w:t>verwijzings</w:t>
      </w:r>
      <w:r w:rsidR="00372EC5">
        <w:rPr>
          <w:sz w:val="24"/>
          <w:szCs w:val="24"/>
          <w:lang w:val="nl-BE"/>
        </w:rPr>
        <w:t xml:space="preserve">regels, </w:t>
      </w:r>
      <w:r w:rsidR="00C906E5">
        <w:rPr>
          <w:sz w:val="24"/>
          <w:szCs w:val="24"/>
          <w:lang w:val="nl-BE"/>
        </w:rPr>
        <w:t>maar over waarden en principes.</w:t>
      </w:r>
      <w:r w:rsidR="00C906E5" w:rsidRPr="00C906E5">
        <w:rPr>
          <w:sz w:val="24"/>
          <w:szCs w:val="24"/>
          <w:lang w:val="nl-BE"/>
        </w:rPr>
        <w:t xml:space="preserve"> </w:t>
      </w:r>
      <w:r w:rsidR="00C906E5">
        <w:rPr>
          <w:sz w:val="24"/>
          <w:szCs w:val="24"/>
          <w:lang w:val="nl-BE"/>
        </w:rPr>
        <w:t>Het respecteren van de in België geldende verwijzingsregels lijkt immers van weinig belang vergeleken met de grondige controle op de afwezigheid van enige strijdigheid met de openbare orde.</w:t>
      </w:r>
    </w:p>
    <w:p w14:paraId="2C1564D8" w14:textId="6FF958E8" w:rsidR="00D63F2A" w:rsidRDefault="00C906E5" w:rsidP="00C906E5">
      <w:pPr>
        <w:jc w:val="both"/>
        <w:rPr>
          <w:sz w:val="24"/>
          <w:szCs w:val="24"/>
          <w:lang w:val="nl-BE"/>
        </w:rPr>
      </w:pPr>
      <w:r>
        <w:rPr>
          <w:sz w:val="24"/>
          <w:szCs w:val="24"/>
          <w:lang w:val="nl-BE"/>
        </w:rPr>
        <w:t xml:space="preserve">Meer in het algemeen kan men zich de vraag stellen wat de meerwaarde is van </w:t>
      </w:r>
      <w:r w:rsidR="00BE2FDE">
        <w:rPr>
          <w:sz w:val="24"/>
          <w:szCs w:val="24"/>
          <w:lang w:val="nl-BE"/>
        </w:rPr>
        <w:t xml:space="preserve">de conflictenrechtelijke toets </w:t>
      </w:r>
      <w:r>
        <w:rPr>
          <w:sz w:val="24"/>
          <w:szCs w:val="24"/>
          <w:lang w:val="nl-BE"/>
        </w:rPr>
        <w:t>ingebouwd in</w:t>
      </w:r>
      <w:r w:rsidR="00BE2FDE">
        <w:rPr>
          <w:sz w:val="24"/>
          <w:szCs w:val="24"/>
          <w:lang w:val="nl-BE"/>
        </w:rPr>
        <w:t xml:space="preserve"> artikel 27 WIPR. </w:t>
      </w:r>
      <w:proofErr w:type="gramStart"/>
      <w:r w:rsidR="00BE2FDE">
        <w:rPr>
          <w:sz w:val="24"/>
          <w:szCs w:val="24"/>
          <w:lang w:val="nl-BE"/>
        </w:rPr>
        <w:t>Indien</w:t>
      </w:r>
      <w:proofErr w:type="gramEnd"/>
      <w:r w:rsidR="00BE2FDE">
        <w:rPr>
          <w:sz w:val="24"/>
          <w:szCs w:val="24"/>
          <w:lang w:val="nl-BE"/>
        </w:rPr>
        <w:t xml:space="preserve"> rechters buitenlandse akten sowieso grondig </w:t>
      </w:r>
      <w:r w:rsidR="00B876A4">
        <w:rPr>
          <w:sz w:val="24"/>
          <w:szCs w:val="24"/>
          <w:lang w:val="nl-BE"/>
        </w:rPr>
        <w:t>nakijken o</w:t>
      </w:r>
      <w:r w:rsidR="00BE2FDE">
        <w:rPr>
          <w:sz w:val="24"/>
          <w:szCs w:val="24"/>
          <w:lang w:val="nl-BE"/>
        </w:rPr>
        <w:t>p hun verzoenbaarheid met de openbare orde, is het nog noodzakelijk om na te gaan of de akte conform is het door het WIPR aangeduid recht?</w:t>
      </w:r>
      <w:r w:rsidR="00B876A4">
        <w:rPr>
          <w:sz w:val="24"/>
          <w:szCs w:val="24"/>
          <w:lang w:val="nl-BE"/>
        </w:rPr>
        <w:t xml:space="preserve"> </w:t>
      </w:r>
      <w:r>
        <w:rPr>
          <w:sz w:val="24"/>
          <w:szCs w:val="24"/>
          <w:lang w:val="nl-BE"/>
        </w:rPr>
        <w:t xml:space="preserve">De openbare orde zou immers ook kunnen dienen om de miskenning van de belangrijkste verwijzingsregels van het Belgisch </w:t>
      </w:r>
      <w:proofErr w:type="spellStart"/>
      <w:r>
        <w:rPr>
          <w:sz w:val="24"/>
          <w:szCs w:val="24"/>
          <w:lang w:val="nl-BE"/>
        </w:rPr>
        <w:t>ipr</w:t>
      </w:r>
      <w:proofErr w:type="spellEnd"/>
      <w:r>
        <w:rPr>
          <w:sz w:val="24"/>
          <w:szCs w:val="24"/>
          <w:lang w:val="nl-BE"/>
        </w:rPr>
        <w:t xml:space="preserve"> te sanctioneren. Er is aldus nog enige bezinning nodig </w:t>
      </w:r>
      <w:r>
        <w:rPr>
          <w:sz w:val="24"/>
          <w:szCs w:val="24"/>
          <w:lang w:val="nl-BE"/>
        </w:rPr>
        <w:lastRenderedPageBreak/>
        <w:t xml:space="preserve">om </w:t>
      </w:r>
      <w:r w:rsidR="00D94DAF">
        <w:rPr>
          <w:sz w:val="24"/>
          <w:szCs w:val="24"/>
          <w:lang w:val="nl-BE"/>
        </w:rPr>
        <w:t>de verhouding tussen de conflictenrechtelijke controle en het onderzoek naar de openbare orde</w:t>
      </w:r>
      <w:r>
        <w:rPr>
          <w:sz w:val="24"/>
          <w:szCs w:val="24"/>
          <w:lang w:val="nl-BE"/>
        </w:rPr>
        <w:t xml:space="preserve"> uit te klaren</w:t>
      </w:r>
      <w:r>
        <w:rPr>
          <w:rStyle w:val="Appelnotedebasdep"/>
          <w:sz w:val="24"/>
          <w:szCs w:val="24"/>
          <w:lang w:val="nl-BE"/>
        </w:rPr>
        <w:footnoteReference w:id="37"/>
      </w:r>
      <w:r w:rsidR="00D94DAF">
        <w:rPr>
          <w:sz w:val="24"/>
          <w:szCs w:val="24"/>
          <w:lang w:val="nl-BE"/>
        </w:rPr>
        <w:t>.</w:t>
      </w:r>
    </w:p>
    <w:p w14:paraId="1E5EDACC" w14:textId="0D9806A3" w:rsidR="00F8327C" w:rsidRDefault="00F8327C" w:rsidP="00663C86">
      <w:pPr>
        <w:jc w:val="both"/>
        <w:rPr>
          <w:sz w:val="24"/>
          <w:szCs w:val="24"/>
          <w:lang w:val="nl-BE"/>
        </w:rPr>
      </w:pPr>
      <w:r>
        <w:rPr>
          <w:sz w:val="24"/>
          <w:szCs w:val="24"/>
          <w:lang w:val="nl-BE"/>
        </w:rPr>
        <w:t xml:space="preserve">De tweede les betreft de draagwijdte van de conflictenrechtelijke toets. Hoewel de toets sinds 2004 deel uitmaakt van ons </w:t>
      </w:r>
      <w:proofErr w:type="spellStart"/>
      <w:r>
        <w:rPr>
          <w:sz w:val="24"/>
          <w:szCs w:val="24"/>
          <w:lang w:val="nl-BE"/>
        </w:rPr>
        <w:t>ipr</w:t>
      </w:r>
      <w:proofErr w:type="spellEnd"/>
      <w:r>
        <w:rPr>
          <w:sz w:val="24"/>
          <w:szCs w:val="24"/>
          <w:lang w:val="nl-BE"/>
        </w:rPr>
        <w:t xml:space="preserve">, is er tot nu toe </w:t>
      </w:r>
      <w:r w:rsidR="008B4BD6">
        <w:rPr>
          <w:sz w:val="24"/>
          <w:szCs w:val="24"/>
          <w:lang w:val="nl-BE"/>
        </w:rPr>
        <w:t xml:space="preserve">te </w:t>
      </w:r>
      <w:r>
        <w:rPr>
          <w:sz w:val="24"/>
          <w:szCs w:val="24"/>
          <w:lang w:val="nl-BE"/>
        </w:rPr>
        <w:t xml:space="preserve">weinig nagedacht over wat het concreet betekent. Immers, het volstaat niet te stellen dat men moet nagaan of de buitenlandse akte rechtsgeldig is “overeenkomstig het krachten [het </w:t>
      </w:r>
      <w:proofErr w:type="spellStart"/>
      <w:r>
        <w:rPr>
          <w:sz w:val="24"/>
          <w:szCs w:val="24"/>
          <w:lang w:val="nl-BE"/>
        </w:rPr>
        <w:t>IPRWetboek</w:t>
      </w:r>
      <w:proofErr w:type="spellEnd"/>
      <w:r>
        <w:rPr>
          <w:sz w:val="24"/>
          <w:szCs w:val="24"/>
          <w:lang w:val="nl-BE"/>
        </w:rPr>
        <w:t>] toepasselijk recht”. Een dergelijk</w:t>
      </w:r>
      <w:r w:rsidR="00550A8B">
        <w:rPr>
          <w:sz w:val="24"/>
          <w:szCs w:val="24"/>
          <w:lang w:val="nl-BE"/>
        </w:rPr>
        <w:t xml:space="preserve">e verificatie vraagt nadere preciseringen over de mate waarin de buitenlandse akte </w:t>
      </w:r>
      <w:proofErr w:type="gramStart"/>
      <w:r w:rsidR="00550A8B">
        <w:rPr>
          <w:sz w:val="24"/>
          <w:szCs w:val="24"/>
          <w:lang w:val="nl-BE"/>
        </w:rPr>
        <w:t>conform</w:t>
      </w:r>
      <w:proofErr w:type="gramEnd"/>
      <w:r w:rsidR="00550A8B">
        <w:rPr>
          <w:sz w:val="24"/>
          <w:szCs w:val="24"/>
          <w:lang w:val="nl-BE"/>
        </w:rPr>
        <w:t xml:space="preserve"> is aan het toepasselijk recht. Een akte kan immers in grote mate </w:t>
      </w:r>
      <w:proofErr w:type="gramStart"/>
      <w:r w:rsidR="00550A8B">
        <w:rPr>
          <w:sz w:val="24"/>
          <w:szCs w:val="24"/>
          <w:lang w:val="nl-BE"/>
        </w:rPr>
        <w:t>conform</w:t>
      </w:r>
      <w:proofErr w:type="gramEnd"/>
      <w:r w:rsidR="00550A8B">
        <w:rPr>
          <w:sz w:val="24"/>
          <w:szCs w:val="24"/>
          <w:lang w:val="nl-BE"/>
        </w:rPr>
        <w:t xml:space="preserve"> zijn, of tot in de details. </w:t>
      </w:r>
      <w:r w:rsidR="008B4BD6">
        <w:rPr>
          <w:sz w:val="24"/>
          <w:szCs w:val="24"/>
          <w:lang w:val="nl-BE"/>
        </w:rPr>
        <w:t xml:space="preserve">De controle kan slaan op het resultaat bereikt in het buitenland, of op de weg die hiertoe gevolgd is. </w:t>
      </w:r>
      <w:r w:rsidR="00550A8B">
        <w:rPr>
          <w:sz w:val="24"/>
          <w:szCs w:val="24"/>
          <w:lang w:val="nl-BE"/>
        </w:rPr>
        <w:t>Afhankelijk van waar de lat gelegd wordt, zal de controle anders uitlopen</w:t>
      </w:r>
      <w:r w:rsidR="00D94DAF">
        <w:rPr>
          <w:sz w:val="24"/>
          <w:szCs w:val="24"/>
          <w:lang w:val="nl-BE"/>
        </w:rPr>
        <w:t xml:space="preserve"> en het resultaat verschillen</w:t>
      </w:r>
      <w:r w:rsidR="00550A8B">
        <w:rPr>
          <w:sz w:val="24"/>
          <w:szCs w:val="24"/>
          <w:lang w:val="nl-BE"/>
        </w:rPr>
        <w:t>.</w:t>
      </w:r>
    </w:p>
    <w:p w14:paraId="1A3EF492" w14:textId="3EDBBC49" w:rsidR="00941B95" w:rsidRPr="00016FDD" w:rsidRDefault="00550A8B" w:rsidP="00941B95">
      <w:pPr>
        <w:jc w:val="both"/>
        <w:rPr>
          <w:sz w:val="24"/>
          <w:szCs w:val="24"/>
          <w:lang w:val="nl-BE"/>
        </w:rPr>
      </w:pPr>
      <w:r>
        <w:rPr>
          <w:sz w:val="24"/>
          <w:szCs w:val="24"/>
          <w:lang w:val="nl-BE"/>
        </w:rPr>
        <w:t>Voor de controle op buitenlandse akten op grond van artikel 27 WIPR merkt men nog enige aarzeling in de rechtspraak. Zo heeft de rechtbank te Brussel</w:t>
      </w:r>
      <w:r w:rsidR="00941B95">
        <w:rPr>
          <w:sz w:val="24"/>
          <w:szCs w:val="24"/>
          <w:lang w:val="nl-BE"/>
        </w:rPr>
        <w:t xml:space="preserve">, eveneens in een zaak waarbij de </w:t>
      </w:r>
      <w:r w:rsidR="00941B95" w:rsidRPr="00941B95">
        <w:rPr>
          <w:sz w:val="24"/>
          <w:szCs w:val="24"/>
          <w:lang w:val="nl-BE"/>
        </w:rPr>
        <w:t>afstamming van een kind geboren uit een draagmoeder centraal stond,</w:t>
      </w:r>
      <w:r w:rsidRPr="00941B95">
        <w:rPr>
          <w:sz w:val="24"/>
          <w:szCs w:val="24"/>
          <w:lang w:val="nl-BE"/>
        </w:rPr>
        <w:t xml:space="preserve"> geoordeeld</w:t>
      </w:r>
      <w:r w:rsidR="00941B95" w:rsidRPr="00941B95">
        <w:rPr>
          <w:sz w:val="24"/>
          <w:szCs w:val="24"/>
          <w:lang w:val="nl-BE"/>
        </w:rPr>
        <w:t xml:space="preserve"> dat </w:t>
      </w:r>
      <w:r w:rsidR="00941B95" w:rsidRPr="00016FDD">
        <w:rPr>
          <w:sz w:val="24"/>
          <w:szCs w:val="24"/>
          <w:lang w:val="nl-BE"/>
        </w:rPr>
        <w:t>« </w:t>
      </w:r>
      <w:r w:rsidR="00941B95" w:rsidRPr="00016FDD">
        <w:rPr>
          <w:i/>
          <w:iCs/>
          <w:sz w:val="24"/>
          <w:szCs w:val="24"/>
          <w:lang w:val="nl-BE"/>
        </w:rPr>
        <w:t>[l</w:t>
      </w:r>
      <w:proofErr w:type="gramStart"/>
      <w:r w:rsidR="00941B95" w:rsidRPr="00016FDD">
        <w:rPr>
          <w:i/>
          <w:iCs/>
          <w:sz w:val="24"/>
          <w:szCs w:val="24"/>
          <w:lang w:val="nl-BE"/>
        </w:rPr>
        <w:t>’ ]</w:t>
      </w:r>
      <w:proofErr w:type="spellStart"/>
      <w:r w:rsidR="00941B95" w:rsidRPr="00016FDD">
        <w:rPr>
          <w:i/>
          <w:iCs/>
          <w:color w:val="000000"/>
          <w:sz w:val="24"/>
          <w:szCs w:val="24"/>
          <w:lang w:val="nl-BE"/>
        </w:rPr>
        <w:t>étendue</w:t>
      </w:r>
      <w:proofErr w:type="spellEnd"/>
      <w:proofErr w:type="gramEnd"/>
      <w:r w:rsidR="00941B95" w:rsidRPr="00016FDD">
        <w:rPr>
          <w:i/>
          <w:iCs/>
          <w:color w:val="000000"/>
          <w:sz w:val="24"/>
          <w:szCs w:val="24"/>
          <w:lang w:val="nl-BE"/>
        </w:rPr>
        <w:t xml:space="preserve"> de </w:t>
      </w:r>
      <w:proofErr w:type="spellStart"/>
      <w:r w:rsidR="00941B95" w:rsidRPr="00016FDD">
        <w:rPr>
          <w:i/>
          <w:iCs/>
          <w:color w:val="000000"/>
          <w:sz w:val="24"/>
          <w:szCs w:val="24"/>
          <w:lang w:val="nl-BE"/>
        </w:rPr>
        <w:t>ce</w:t>
      </w:r>
      <w:proofErr w:type="spellEnd"/>
      <w:r w:rsidR="00941B95" w:rsidRPr="00016FDD">
        <w:rPr>
          <w:i/>
          <w:iCs/>
          <w:color w:val="000000"/>
          <w:sz w:val="24"/>
          <w:szCs w:val="24"/>
          <w:lang w:val="nl-BE"/>
        </w:rPr>
        <w:t xml:space="preserve"> test </w:t>
      </w:r>
      <w:proofErr w:type="spellStart"/>
      <w:r w:rsidR="00941B95" w:rsidRPr="00016FDD">
        <w:rPr>
          <w:i/>
          <w:iCs/>
          <w:color w:val="000000"/>
          <w:sz w:val="24"/>
          <w:szCs w:val="24"/>
          <w:lang w:val="nl-BE"/>
        </w:rPr>
        <w:t>conflictuel</w:t>
      </w:r>
      <w:proofErr w:type="spellEnd"/>
      <w:r w:rsidR="00941B95" w:rsidRPr="00016FDD">
        <w:rPr>
          <w:i/>
          <w:iCs/>
          <w:color w:val="000000"/>
          <w:sz w:val="24"/>
          <w:szCs w:val="24"/>
          <w:lang w:val="nl-BE"/>
        </w:rPr>
        <w:t xml:space="preserve"> </w:t>
      </w:r>
      <w:proofErr w:type="spellStart"/>
      <w:r w:rsidR="00941B95" w:rsidRPr="00016FDD">
        <w:rPr>
          <w:i/>
          <w:iCs/>
          <w:color w:val="000000"/>
          <w:sz w:val="24"/>
          <w:szCs w:val="24"/>
          <w:lang w:val="nl-BE"/>
        </w:rPr>
        <w:t>permet</w:t>
      </w:r>
      <w:proofErr w:type="spellEnd"/>
      <w:r w:rsidR="00941B95" w:rsidRPr="00016FDD">
        <w:rPr>
          <w:i/>
          <w:iCs/>
          <w:color w:val="000000"/>
          <w:sz w:val="24"/>
          <w:szCs w:val="24"/>
          <w:lang w:val="nl-BE"/>
        </w:rPr>
        <w:t xml:space="preserve"> de </w:t>
      </w:r>
      <w:proofErr w:type="spellStart"/>
      <w:r w:rsidR="00941B95" w:rsidRPr="00016FDD">
        <w:rPr>
          <w:i/>
          <w:iCs/>
          <w:color w:val="000000"/>
          <w:sz w:val="24"/>
          <w:szCs w:val="24"/>
          <w:lang w:val="nl-BE"/>
        </w:rPr>
        <w:t>refuser</w:t>
      </w:r>
      <w:proofErr w:type="spellEnd"/>
      <w:r w:rsidR="00941B95" w:rsidRPr="00016FDD">
        <w:rPr>
          <w:i/>
          <w:iCs/>
          <w:color w:val="000000"/>
          <w:sz w:val="24"/>
          <w:szCs w:val="24"/>
          <w:lang w:val="nl-BE"/>
        </w:rPr>
        <w:t xml:space="preserve"> </w:t>
      </w:r>
      <w:proofErr w:type="spellStart"/>
      <w:r w:rsidR="00941B95" w:rsidRPr="00016FDD">
        <w:rPr>
          <w:i/>
          <w:iCs/>
          <w:color w:val="000000"/>
          <w:sz w:val="24"/>
          <w:szCs w:val="24"/>
          <w:lang w:val="nl-BE"/>
        </w:rPr>
        <w:t>d'accueillir</w:t>
      </w:r>
      <w:proofErr w:type="spellEnd"/>
      <w:r w:rsidR="00941B95" w:rsidRPr="00016FDD">
        <w:rPr>
          <w:i/>
          <w:iCs/>
          <w:color w:val="000000"/>
          <w:sz w:val="24"/>
          <w:szCs w:val="24"/>
          <w:lang w:val="nl-BE"/>
        </w:rPr>
        <w:t xml:space="preserve"> </w:t>
      </w:r>
      <w:proofErr w:type="spellStart"/>
      <w:r w:rsidR="00941B95" w:rsidRPr="00016FDD">
        <w:rPr>
          <w:i/>
          <w:iCs/>
          <w:color w:val="000000"/>
          <w:sz w:val="24"/>
          <w:szCs w:val="24"/>
          <w:lang w:val="nl-BE"/>
        </w:rPr>
        <w:t>un</w:t>
      </w:r>
      <w:proofErr w:type="spellEnd"/>
      <w:r w:rsidR="00941B95" w:rsidRPr="00016FDD">
        <w:rPr>
          <w:i/>
          <w:iCs/>
          <w:color w:val="000000"/>
          <w:sz w:val="24"/>
          <w:szCs w:val="24"/>
          <w:lang w:val="nl-BE"/>
        </w:rPr>
        <w:t xml:space="preserve"> acte à </w:t>
      </w:r>
      <w:proofErr w:type="spellStart"/>
      <w:r w:rsidR="00941B95" w:rsidRPr="00016FDD">
        <w:rPr>
          <w:i/>
          <w:iCs/>
          <w:color w:val="000000"/>
          <w:sz w:val="24"/>
          <w:szCs w:val="24"/>
          <w:lang w:val="nl-BE"/>
        </w:rPr>
        <w:t>chaque</w:t>
      </w:r>
      <w:proofErr w:type="spellEnd"/>
      <w:r w:rsidR="00941B95" w:rsidRPr="00016FDD">
        <w:rPr>
          <w:i/>
          <w:iCs/>
          <w:color w:val="000000"/>
          <w:sz w:val="24"/>
          <w:szCs w:val="24"/>
          <w:lang w:val="nl-BE"/>
        </w:rPr>
        <w:t xml:space="preserve"> </w:t>
      </w:r>
      <w:proofErr w:type="spellStart"/>
      <w:r w:rsidR="00941B95" w:rsidRPr="00016FDD">
        <w:rPr>
          <w:i/>
          <w:iCs/>
          <w:color w:val="000000"/>
          <w:sz w:val="24"/>
          <w:szCs w:val="24"/>
          <w:lang w:val="nl-BE"/>
        </w:rPr>
        <w:t>violation</w:t>
      </w:r>
      <w:proofErr w:type="spellEnd"/>
      <w:r w:rsidR="00941B95" w:rsidRPr="00016FDD">
        <w:rPr>
          <w:i/>
          <w:iCs/>
          <w:color w:val="000000"/>
          <w:sz w:val="24"/>
          <w:szCs w:val="24"/>
          <w:lang w:val="nl-BE"/>
        </w:rPr>
        <w:t xml:space="preserve">, </w:t>
      </w:r>
      <w:proofErr w:type="spellStart"/>
      <w:r w:rsidR="00941B95" w:rsidRPr="00016FDD">
        <w:rPr>
          <w:i/>
          <w:iCs/>
          <w:color w:val="000000"/>
          <w:sz w:val="24"/>
          <w:szCs w:val="24"/>
          <w:lang w:val="nl-BE"/>
        </w:rPr>
        <w:t>aussi</w:t>
      </w:r>
      <w:proofErr w:type="spellEnd"/>
      <w:r w:rsidR="00941B95" w:rsidRPr="00016FDD">
        <w:rPr>
          <w:i/>
          <w:iCs/>
          <w:color w:val="000000"/>
          <w:sz w:val="24"/>
          <w:szCs w:val="24"/>
          <w:lang w:val="nl-BE"/>
        </w:rPr>
        <w:t xml:space="preserve"> </w:t>
      </w:r>
      <w:proofErr w:type="spellStart"/>
      <w:r w:rsidR="00941B95" w:rsidRPr="00016FDD">
        <w:rPr>
          <w:i/>
          <w:iCs/>
          <w:color w:val="000000"/>
          <w:sz w:val="24"/>
          <w:szCs w:val="24"/>
          <w:lang w:val="nl-BE"/>
        </w:rPr>
        <w:t>minime</w:t>
      </w:r>
      <w:proofErr w:type="spellEnd"/>
      <w:r w:rsidR="00941B95" w:rsidRPr="00016FDD">
        <w:rPr>
          <w:i/>
          <w:iCs/>
          <w:color w:val="000000"/>
          <w:sz w:val="24"/>
          <w:szCs w:val="24"/>
          <w:lang w:val="nl-BE"/>
        </w:rPr>
        <w:t xml:space="preserve"> soit-elle, </w:t>
      </w:r>
      <w:proofErr w:type="spellStart"/>
      <w:r w:rsidR="00941B95" w:rsidRPr="00016FDD">
        <w:rPr>
          <w:i/>
          <w:iCs/>
          <w:color w:val="000000"/>
          <w:sz w:val="24"/>
          <w:szCs w:val="24"/>
          <w:lang w:val="nl-BE"/>
        </w:rPr>
        <w:t>d'une</w:t>
      </w:r>
      <w:proofErr w:type="spellEnd"/>
      <w:r w:rsidR="00941B95" w:rsidRPr="00016FDD">
        <w:rPr>
          <w:i/>
          <w:iCs/>
          <w:color w:val="000000"/>
          <w:sz w:val="24"/>
          <w:szCs w:val="24"/>
          <w:lang w:val="nl-BE"/>
        </w:rPr>
        <w:t xml:space="preserve"> </w:t>
      </w:r>
      <w:proofErr w:type="spellStart"/>
      <w:r w:rsidR="00941B95" w:rsidRPr="00016FDD">
        <w:rPr>
          <w:i/>
          <w:iCs/>
          <w:color w:val="000000"/>
          <w:sz w:val="24"/>
          <w:szCs w:val="24"/>
          <w:lang w:val="nl-BE"/>
        </w:rPr>
        <w:t>règle</w:t>
      </w:r>
      <w:proofErr w:type="spellEnd"/>
      <w:r w:rsidR="00941B95" w:rsidRPr="00016FDD">
        <w:rPr>
          <w:i/>
          <w:iCs/>
          <w:color w:val="000000"/>
          <w:sz w:val="24"/>
          <w:szCs w:val="24"/>
          <w:lang w:val="nl-BE"/>
        </w:rPr>
        <w:t xml:space="preserve"> du </w:t>
      </w:r>
      <w:proofErr w:type="spellStart"/>
      <w:r w:rsidR="00941B95" w:rsidRPr="00016FDD">
        <w:rPr>
          <w:i/>
          <w:iCs/>
          <w:color w:val="000000"/>
          <w:sz w:val="24"/>
          <w:szCs w:val="24"/>
          <w:lang w:val="nl-BE"/>
        </w:rPr>
        <w:t>droit</w:t>
      </w:r>
      <w:proofErr w:type="spellEnd"/>
      <w:r w:rsidR="00941B95" w:rsidRPr="00016FDD">
        <w:rPr>
          <w:i/>
          <w:iCs/>
          <w:color w:val="000000"/>
          <w:sz w:val="24"/>
          <w:szCs w:val="24"/>
          <w:lang w:val="nl-BE"/>
        </w:rPr>
        <w:t xml:space="preserve"> </w:t>
      </w:r>
      <w:proofErr w:type="spellStart"/>
      <w:r w:rsidR="00941B95" w:rsidRPr="00016FDD">
        <w:rPr>
          <w:i/>
          <w:iCs/>
          <w:color w:val="000000"/>
          <w:sz w:val="24"/>
          <w:szCs w:val="24"/>
          <w:lang w:val="nl-BE"/>
        </w:rPr>
        <w:t>déclaré</w:t>
      </w:r>
      <w:proofErr w:type="spellEnd"/>
      <w:r w:rsidR="00941B95" w:rsidRPr="00016FDD">
        <w:rPr>
          <w:i/>
          <w:iCs/>
          <w:color w:val="000000"/>
          <w:sz w:val="24"/>
          <w:szCs w:val="24"/>
          <w:lang w:val="nl-BE"/>
        </w:rPr>
        <w:t xml:space="preserve"> </w:t>
      </w:r>
      <w:proofErr w:type="spellStart"/>
      <w:r w:rsidR="00941B95" w:rsidRPr="00016FDD">
        <w:rPr>
          <w:i/>
          <w:iCs/>
          <w:color w:val="000000"/>
          <w:sz w:val="24"/>
          <w:szCs w:val="24"/>
          <w:lang w:val="nl-BE"/>
        </w:rPr>
        <w:t>applicable</w:t>
      </w:r>
      <w:proofErr w:type="spellEnd"/>
      <w:r w:rsidR="00941B95" w:rsidRPr="00016FDD">
        <w:rPr>
          <w:i/>
          <w:iCs/>
          <w:color w:val="000000"/>
          <w:sz w:val="24"/>
          <w:szCs w:val="24"/>
          <w:lang w:val="nl-BE"/>
        </w:rPr>
        <w:t xml:space="preserve"> par </w:t>
      </w:r>
      <w:proofErr w:type="spellStart"/>
      <w:r w:rsidR="00941B95" w:rsidRPr="00016FDD">
        <w:rPr>
          <w:i/>
          <w:iCs/>
          <w:color w:val="000000"/>
          <w:sz w:val="24"/>
          <w:szCs w:val="24"/>
          <w:lang w:val="nl-BE"/>
        </w:rPr>
        <w:t>le</w:t>
      </w:r>
      <w:proofErr w:type="spellEnd"/>
      <w:r w:rsidR="00941B95" w:rsidRPr="00016FDD">
        <w:rPr>
          <w:i/>
          <w:iCs/>
          <w:color w:val="000000"/>
          <w:sz w:val="24"/>
          <w:szCs w:val="24"/>
          <w:lang w:val="nl-BE"/>
        </w:rPr>
        <w:t xml:space="preserve"> code</w:t>
      </w:r>
      <w:r w:rsidR="00941B95" w:rsidRPr="00016FDD">
        <w:rPr>
          <w:color w:val="000000"/>
          <w:sz w:val="24"/>
          <w:szCs w:val="24"/>
          <w:lang w:val="nl-BE"/>
        </w:rPr>
        <w:t> »</w:t>
      </w:r>
      <w:r w:rsidR="00A71315">
        <w:rPr>
          <w:rStyle w:val="Appelnotedebasdep"/>
          <w:color w:val="000000"/>
          <w:sz w:val="24"/>
          <w:szCs w:val="24"/>
        </w:rPr>
        <w:footnoteReference w:id="38"/>
      </w:r>
      <w:r w:rsidR="00941B95" w:rsidRPr="00016FDD">
        <w:rPr>
          <w:color w:val="000000"/>
          <w:sz w:val="24"/>
          <w:szCs w:val="24"/>
          <w:lang w:val="nl-BE"/>
        </w:rPr>
        <w:t xml:space="preserve">. </w:t>
      </w:r>
    </w:p>
    <w:p w14:paraId="71F41981" w14:textId="62076C10" w:rsidR="00550A8B" w:rsidRDefault="00550A8B" w:rsidP="008B4BD6">
      <w:pPr>
        <w:jc w:val="both"/>
        <w:rPr>
          <w:sz w:val="24"/>
          <w:szCs w:val="24"/>
          <w:lang w:val="nl-BE"/>
        </w:rPr>
      </w:pPr>
      <w:r>
        <w:rPr>
          <w:sz w:val="24"/>
          <w:szCs w:val="24"/>
          <w:lang w:val="nl-BE"/>
        </w:rPr>
        <w:t xml:space="preserve">In de Mexicaanse zaak heeft het Hof integendeel beslist </w:t>
      </w:r>
      <w:r w:rsidRPr="000072C2">
        <w:rPr>
          <w:sz w:val="24"/>
          <w:szCs w:val="24"/>
          <w:lang w:val="nl-BE"/>
        </w:rPr>
        <w:t xml:space="preserve">dat </w:t>
      </w:r>
      <w:r w:rsidR="008B4BD6">
        <w:rPr>
          <w:sz w:val="24"/>
          <w:szCs w:val="24"/>
          <w:lang w:val="nl-BE"/>
        </w:rPr>
        <w:t xml:space="preserve">de </w:t>
      </w:r>
      <w:r w:rsidRPr="000072C2">
        <w:rPr>
          <w:sz w:val="24"/>
          <w:szCs w:val="24"/>
          <w:lang w:val="nl-BE"/>
        </w:rPr>
        <w:t xml:space="preserve">conflictenrechtelijke toets niet </w:t>
      </w:r>
      <w:r w:rsidR="008B4BD6">
        <w:rPr>
          <w:sz w:val="24"/>
          <w:szCs w:val="24"/>
          <w:lang w:val="nl-BE"/>
        </w:rPr>
        <w:t>vereist dat de “buitenlandse akte een perfecte kopie moet zijn van de akte die in België had kunnen opgesteld zijn”. Verwijzend naar het advies van het openbaar ministerie verduidelijkt het Hof dat “[e]r moet eerder gekeken worden naar een equivalentie tussen de akten”. Volgens het Hof zit er in de toet “een zekere appreciatiemarge”.</w:t>
      </w:r>
    </w:p>
    <w:p w14:paraId="13EEC40F" w14:textId="787138C8" w:rsidR="008B4BD6" w:rsidRDefault="00550A8B" w:rsidP="008B4BD6">
      <w:pPr>
        <w:jc w:val="both"/>
        <w:rPr>
          <w:rFonts w:cstheme="minorHAnsi"/>
          <w:color w:val="000000"/>
          <w:sz w:val="24"/>
          <w:szCs w:val="24"/>
          <w:lang w:val="nl-BE"/>
        </w:rPr>
      </w:pPr>
      <w:r>
        <w:rPr>
          <w:sz w:val="24"/>
          <w:szCs w:val="24"/>
          <w:lang w:val="nl-BE"/>
        </w:rPr>
        <w:t>Dit is in de lijn van eerder</w:t>
      </w:r>
      <w:r w:rsidR="008B4BD6">
        <w:rPr>
          <w:sz w:val="24"/>
          <w:szCs w:val="24"/>
          <w:lang w:val="nl-BE"/>
        </w:rPr>
        <w:t>e</w:t>
      </w:r>
      <w:r>
        <w:rPr>
          <w:sz w:val="24"/>
          <w:szCs w:val="24"/>
          <w:lang w:val="nl-BE"/>
        </w:rPr>
        <w:t xml:space="preserve"> rechtspraak</w:t>
      </w:r>
      <w:r w:rsidR="008B4BD6">
        <w:rPr>
          <w:sz w:val="24"/>
          <w:szCs w:val="24"/>
          <w:lang w:val="nl-BE"/>
        </w:rPr>
        <w:t xml:space="preserve"> over de draagwijdte van de conflictenrechtelijke controle. </w:t>
      </w:r>
      <w:proofErr w:type="spellStart"/>
      <w:r w:rsidR="008B4BD6" w:rsidRPr="00016FDD">
        <w:rPr>
          <w:sz w:val="24"/>
          <w:szCs w:val="24"/>
        </w:rPr>
        <w:t>Volgens</w:t>
      </w:r>
      <w:proofErr w:type="spellEnd"/>
      <w:r w:rsidR="008B4BD6" w:rsidRPr="00016FDD">
        <w:rPr>
          <w:sz w:val="24"/>
          <w:szCs w:val="24"/>
        </w:rPr>
        <w:t xml:space="preserve"> de </w:t>
      </w:r>
      <w:proofErr w:type="spellStart"/>
      <w:r w:rsidR="008B4BD6" w:rsidRPr="00016FDD">
        <w:rPr>
          <w:sz w:val="24"/>
          <w:szCs w:val="24"/>
        </w:rPr>
        <w:t>rechtbank</w:t>
      </w:r>
      <w:proofErr w:type="spellEnd"/>
      <w:r w:rsidR="008B4BD6" w:rsidRPr="00016FDD">
        <w:rPr>
          <w:sz w:val="24"/>
          <w:szCs w:val="24"/>
        </w:rPr>
        <w:t xml:space="preserve"> te </w:t>
      </w:r>
      <w:proofErr w:type="spellStart"/>
      <w:r w:rsidR="008B4BD6" w:rsidRPr="00016FDD">
        <w:rPr>
          <w:sz w:val="24"/>
          <w:szCs w:val="24"/>
        </w:rPr>
        <w:t>Namen</w:t>
      </w:r>
      <w:proofErr w:type="spellEnd"/>
      <w:r w:rsidR="008B4BD6" w:rsidRPr="00016FDD">
        <w:rPr>
          <w:sz w:val="24"/>
          <w:szCs w:val="24"/>
        </w:rPr>
        <w:t xml:space="preserve"> </w:t>
      </w:r>
      <w:proofErr w:type="spellStart"/>
      <w:r w:rsidR="008B4BD6" w:rsidRPr="00016FDD">
        <w:rPr>
          <w:sz w:val="24"/>
          <w:szCs w:val="24"/>
        </w:rPr>
        <w:t>b</w:t>
      </w:r>
      <w:r w:rsidR="008B4BD6" w:rsidRPr="00016FDD">
        <w:rPr>
          <w:rFonts w:cstheme="minorHAnsi"/>
          <w:sz w:val="24"/>
          <w:szCs w:val="24"/>
        </w:rPr>
        <w:t>ijv</w:t>
      </w:r>
      <w:proofErr w:type="spellEnd"/>
      <w:r w:rsidR="008B4BD6" w:rsidRPr="00016FDD">
        <w:rPr>
          <w:rFonts w:cstheme="minorHAnsi"/>
          <w:sz w:val="24"/>
          <w:szCs w:val="24"/>
        </w:rPr>
        <w:t>.</w:t>
      </w:r>
      <w:r w:rsidR="00D94DAF" w:rsidRPr="00016FDD">
        <w:rPr>
          <w:rFonts w:cstheme="minorHAnsi"/>
          <w:sz w:val="24"/>
          <w:szCs w:val="24"/>
        </w:rPr>
        <w:t>,</w:t>
      </w:r>
      <w:r w:rsidR="008B4BD6" w:rsidRPr="00016FDD">
        <w:rPr>
          <w:rFonts w:cstheme="minorHAnsi"/>
          <w:sz w:val="24"/>
          <w:szCs w:val="24"/>
        </w:rPr>
        <w:t xml:space="preserve"> </w:t>
      </w:r>
      <w:r w:rsidR="008D0F24" w:rsidRPr="00016FDD">
        <w:rPr>
          <w:rFonts w:cstheme="minorHAnsi"/>
          <w:sz w:val="24"/>
          <w:szCs w:val="24"/>
        </w:rPr>
        <w:t>« </w:t>
      </w:r>
      <w:r w:rsidR="008D0F24" w:rsidRPr="00016FDD">
        <w:rPr>
          <w:rFonts w:cstheme="minorHAnsi"/>
          <w:i/>
          <w:iCs/>
          <w:sz w:val="24"/>
          <w:szCs w:val="24"/>
        </w:rPr>
        <w:t xml:space="preserve">il </w:t>
      </w:r>
      <w:r w:rsidR="008D0F24" w:rsidRPr="00016FDD">
        <w:rPr>
          <w:rFonts w:cstheme="minorHAnsi"/>
          <w:i/>
          <w:iCs/>
          <w:color w:val="000000"/>
          <w:sz w:val="24"/>
          <w:szCs w:val="24"/>
        </w:rPr>
        <w:t xml:space="preserve">convient </w:t>
      </w:r>
      <w:r w:rsidR="00D94DAF" w:rsidRPr="00016FDD">
        <w:rPr>
          <w:rFonts w:cstheme="minorHAnsi"/>
          <w:i/>
          <w:iCs/>
          <w:color w:val="000000"/>
          <w:sz w:val="24"/>
          <w:szCs w:val="24"/>
        </w:rPr>
        <w:t>[…]</w:t>
      </w:r>
      <w:r w:rsidR="008D0F24" w:rsidRPr="00016FDD">
        <w:rPr>
          <w:rFonts w:cstheme="minorHAnsi"/>
          <w:i/>
          <w:iCs/>
          <w:color w:val="000000"/>
          <w:sz w:val="24"/>
          <w:szCs w:val="24"/>
        </w:rPr>
        <w:t xml:space="preserve"> de vérifier, conformément à l’article 27 du CODIP, si sa filiation telle qu’établie par l’acte étranger aurait pu l’être de façon similaire (soit non rigoureusement identique, la nuance étant importante et parfois oubliée) en Belgique, conformément au droit belge, dispositions d’ordre public interne comprises</w:t>
      </w:r>
      <w:r w:rsidR="008D0F24" w:rsidRPr="00016FDD">
        <w:rPr>
          <w:rFonts w:cstheme="minorHAnsi"/>
          <w:color w:val="000000"/>
          <w:sz w:val="24"/>
          <w:szCs w:val="24"/>
        </w:rPr>
        <w:t xml:space="preserve"> </w:t>
      </w:r>
      <w:r w:rsidR="008B4BD6" w:rsidRPr="00016FDD">
        <w:rPr>
          <w:rFonts w:cstheme="minorHAnsi"/>
          <w:color w:val="000000"/>
          <w:sz w:val="24"/>
          <w:szCs w:val="24"/>
        </w:rPr>
        <w:t>[…]”</w:t>
      </w:r>
      <w:r w:rsidR="008B4BD6" w:rsidRPr="008B4BD6">
        <w:rPr>
          <w:rStyle w:val="Appelnotedebasdep"/>
          <w:rFonts w:cstheme="minorHAnsi"/>
          <w:color w:val="000000"/>
          <w:sz w:val="24"/>
          <w:szCs w:val="24"/>
          <w:lang w:val="nl-BE"/>
        </w:rPr>
        <w:footnoteReference w:id="39"/>
      </w:r>
      <w:r w:rsidR="008B4BD6" w:rsidRPr="008B4BD6">
        <w:rPr>
          <w:rFonts w:cstheme="minorHAnsi"/>
          <w:color w:val="000000"/>
          <w:sz w:val="24"/>
          <w:szCs w:val="24"/>
          <w:lang w:val="nl-BE"/>
        </w:rPr>
        <w:t xml:space="preserve">. </w:t>
      </w:r>
    </w:p>
    <w:p w14:paraId="471786BA" w14:textId="74C32619" w:rsidR="00B234F0" w:rsidRDefault="008B4BD6" w:rsidP="008B4BD6">
      <w:pPr>
        <w:jc w:val="both"/>
        <w:rPr>
          <w:sz w:val="24"/>
          <w:szCs w:val="24"/>
          <w:lang w:val="nl-BE"/>
        </w:rPr>
      </w:pPr>
      <w:r>
        <w:rPr>
          <w:rFonts w:cstheme="minorHAnsi"/>
          <w:color w:val="000000"/>
          <w:sz w:val="24"/>
          <w:szCs w:val="24"/>
          <w:lang w:val="nl-BE"/>
        </w:rPr>
        <w:t xml:space="preserve">Deze laatste interpretatie sluit aan bij de praktijk ontwikkeld </w:t>
      </w:r>
      <w:r w:rsidR="00C906E5">
        <w:rPr>
          <w:rFonts w:cstheme="minorHAnsi"/>
          <w:color w:val="000000"/>
          <w:sz w:val="24"/>
          <w:szCs w:val="24"/>
          <w:lang w:val="nl-BE"/>
        </w:rPr>
        <w:t xml:space="preserve">in Frankrijk </w:t>
      </w:r>
      <w:r>
        <w:rPr>
          <w:rFonts w:cstheme="minorHAnsi"/>
          <w:color w:val="000000"/>
          <w:sz w:val="24"/>
          <w:szCs w:val="24"/>
          <w:lang w:val="nl-BE"/>
        </w:rPr>
        <w:t xml:space="preserve">met betrekking buitenlandse vonnissen. </w:t>
      </w:r>
      <w:r w:rsidR="00C906E5">
        <w:rPr>
          <w:rFonts w:cstheme="minorHAnsi"/>
          <w:color w:val="000000"/>
          <w:sz w:val="24"/>
          <w:szCs w:val="24"/>
          <w:lang w:val="nl-BE"/>
        </w:rPr>
        <w:t xml:space="preserve">Traditioneel werd </w:t>
      </w:r>
      <w:r>
        <w:rPr>
          <w:sz w:val="24"/>
          <w:szCs w:val="24"/>
          <w:lang w:val="nl-BE"/>
        </w:rPr>
        <w:t>de erkenning van buitenlandse beslissingen</w:t>
      </w:r>
      <w:r w:rsidR="00C906E5">
        <w:rPr>
          <w:sz w:val="24"/>
          <w:szCs w:val="24"/>
          <w:lang w:val="nl-BE"/>
        </w:rPr>
        <w:t xml:space="preserve"> in Frankrijk</w:t>
      </w:r>
      <w:r>
        <w:rPr>
          <w:sz w:val="24"/>
          <w:szCs w:val="24"/>
          <w:lang w:val="nl-BE"/>
        </w:rPr>
        <w:t xml:space="preserve"> </w:t>
      </w:r>
      <w:r w:rsidR="00C906E5">
        <w:rPr>
          <w:sz w:val="24"/>
          <w:szCs w:val="24"/>
          <w:lang w:val="nl-BE"/>
        </w:rPr>
        <w:t xml:space="preserve">onderworpen aan </w:t>
      </w:r>
      <w:r>
        <w:rPr>
          <w:sz w:val="24"/>
          <w:szCs w:val="24"/>
          <w:lang w:val="nl-BE"/>
        </w:rPr>
        <w:t>een controle op de toegepaste wet</w:t>
      </w:r>
      <w:r w:rsidR="00C906E5">
        <w:rPr>
          <w:sz w:val="24"/>
          <w:szCs w:val="24"/>
          <w:lang w:val="nl-BE"/>
        </w:rPr>
        <w:t xml:space="preserve">. De rechtspraak heeft zeer vroeg beslist dat het niet vereist was </w:t>
      </w:r>
      <w:r w:rsidR="00B234F0">
        <w:rPr>
          <w:sz w:val="24"/>
          <w:szCs w:val="24"/>
          <w:lang w:val="nl-BE"/>
        </w:rPr>
        <w:t>dat het vonnis op alle punten overeenstem</w:t>
      </w:r>
      <w:r w:rsidR="00C906E5">
        <w:rPr>
          <w:sz w:val="24"/>
          <w:szCs w:val="24"/>
          <w:lang w:val="nl-BE"/>
        </w:rPr>
        <w:t>de</w:t>
      </w:r>
      <w:r w:rsidR="00B234F0">
        <w:rPr>
          <w:sz w:val="24"/>
          <w:szCs w:val="24"/>
          <w:lang w:val="nl-BE"/>
        </w:rPr>
        <w:t xml:space="preserve"> met de beslissing die op basis van de lokale verwijzingsregels </w:t>
      </w:r>
      <w:r w:rsidR="00D94DAF">
        <w:rPr>
          <w:sz w:val="24"/>
          <w:szCs w:val="24"/>
          <w:lang w:val="nl-BE"/>
        </w:rPr>
        <w:t>had kunnen ontstaan</w:t>
      </w:r>
      <w:r w:rsidR="00C906E5">
        <w:rPr>
          <w:rStyle w:val="Appelnotedebasdep"/>
          <w:sz w:val="24"/>
          <w:szCs w:val="24"/>
          <w:lang w:val="nl-BE"/>
        </w:rPr>
        <w:footnoteReference w:id="40"/>
      </w:r>
      <w:r w:rsidR="00B234F0">
        <w:rPr>
          <w:sz w:val="24"/>
          <w:szCs w:val="24"/>
          <w:lang w:val="nl-BE"/>
        </w:rPr>
        <w:t>. De conflictenrechtelijke controle w</w:t>
      </w:r>
      <w:r w:rsidR="00C906E5">
        <w:rPr>
          <w:sz w:val="24"/>
          <w:szCs w:val="24"/>
          <w:lang w:val="nl-BE"/>
        </w:rPr>
        <w:t>erd</w:t>
      </w:r>
      <w:r w:rsidR="00B234F0">
        <w:rPr>
          <w:sz w:val="24"/>
          <w:szCs w:val="24"/>
          <w:lang w:val="nl-BE"/>
        </w:rPr>
        <w:t xml:space="preserve"> integendeel genuanceerd op grond van </w:t>
      </w:r>
      <w:r w:rsidR="00C906E5">
        <w:rPr>
          <w:sz w:val="24"/>
          <w:szCs w:val="24"/>
          <w:lang w:val="nl-BE"/>
        </w:rPr>
        <w:t>een</w:t>
      </w:r>
      <w:r w:rsidR="00B234F0">
        <w:rPr>
          <w:sz w:val="24"/>
          <w:szCs w:val="24"/>
          <w:lang w:val="nl-BE"/>
        </w:rPr>
        <w:t xml:space="preserve"> </w:t>
      </w:r>
      <w:r w:rsidR="00B234F0">
        <w:rPr>
          <w:sz w:val="24"/>
          <w:szCs w:val="24"/>
          <w:lang w:val="nl-BE"/>
        </w:rPr>
        <w:lastRenderedPageBreak/>
        <w:t>equivalentieleer</w:t>
      </w:r>
      <w:r w:rsidR="00C906E5">
        <w:rPr>
          <w:sz w:val="24"/>
          <w:szCs w:val="24"/>
          <w:lang w:val="nl-BE"/>
        </w:rPr>
        <w:t xml:space="preserve"> </w:t>
      </w:r>
      <w:r w:rsidR="00C906E5">
        <w:rPr>
          <w:rStyle w:val="Appelnotedebasdep"/>
          <w:sz w:val="24"/>
          <w:szCs w:val="24"/>
          <w:lang w:val="nl-BE"/>
        </w:rPr>
        <w:footnoteReference w:id="41"/>
      </w:r>
      <w:r w:rsidR="00B234F0">
        <w:rPr>
          <w:sz w:val="24"/>
          <w:szCs w:val="24"/>
          <w:lang w:val="nl-BE"/>
        </w:rPr>
        <w:t xml:space="preserve"> : </w:t>
      </w:r>
      <w:proofErr w:type="gramStart"/>
      <w:r w:rsidR="00B234F0">
        <w:rPr>
          <w:sz w:val="24"/>
          <w:szCs w:val="24"/>
          <w:lang w:val="nl-BE"/>
        </w:rPr>
        <w:t>indien</w:t>
      </w:r>
      <w:proofErr w:type="gramEnd"/>
      <w:r w:rsidR="00B234F0">
        <w:rPr>
          <w:sz w:val="24"/>
          <w:szCs w:val="24"/>
          <w:lang w:val="nl-BE"/>
        </w:rPr>
        <w:t xml:space="preserve"> het resultaat dat door de buitenlandse rechter bereikt werd, in grote mate overeenstemt met het oordeel dat op grond van de lokale verwijzingsregels had kunnen worden bereikt, komt de beslissing in aanmerking voor erkenning</w:t>
      </w:r>
      <w:r w:rsidR="00B234F0">
        <w:rPr>
          <w:rStyle w:val="Appelnotedebasdep"/>
          <w:sz w:val="24"/>
          <w:szCs w:val="24"/>
          <w:lang w:val="nl-BE"/>
        </w:rPr>
        <w:footnoteReference w:id="42"/>
      </w:r>
      <w:r w:rsidR="00B234F0">
        <w:rPr>
          <w:sz w:val="24"/>
          <w:szCs w:val="24"/>
          <w:lang w:val="nl-BE"/>
        </w:rPr>
        <w:t>.</w:t>
      </w:r>
    </w:p>
    <w:p w14:paraId="5103C047" w14:textId="434F102D" w:rsidR="008B4BD6" w:rsidRDefault="0037076E" w:rsidP="008B4BD6">
      <w:pPr>
        <w:jc w:val="both"/>
        <w:rPr>
          <w:rFonts w:cstheme="minorHAnsi"/>
          <w:color w:val="000000"/>
          <w:sz w:val="24"/>
          <w:szCs w:val="24"/>
          <w:lang w:val="nl-BE"/>
        </w:rPr>
      </w:pPr>
      <w:r>
        <w:rPr>
          <w:rFonts w:cstheme="minorHAnsi"/>
          <w:color w:val="000000"/>
          <w:sz w:val="24"/>
          <w:szCs w:val="24"/>
          <w:lang w:val="nl-BE"/>
        </w:rPr>
        <w:t xml:space="preserve">De noodzaak om ook </w:t>
      </w:r>
      <w:proofErr w:type="gramStart"/>
      <w:r>
        <w:rPr>
          <w:rFonts w:cstheme="minorHAnsi"/>
          <w:color w:val="000000"/>
          <w:sz w:val="24"/>
          <w:szCs w:val="24"/>
          <w:lang w:val="nl-BE"/>
        </w:rPr>
        <w:t>inzake</w:t>
      </w:r>
      <w:proofErr w:type="gramEnd"/>
      <w:r>
        <w:rPr>
          <w:rFonts w:cstheme="minorHAnsi"/>
          <w:color w:val="000000"/>
          <w:sz w:val="24"/>
          <w:szCs w:val="24"/>
          <w:lang w:val="nl-BE"/>
        </w:rPr>
        <w:t xml:space="preserve"> erkenning van buitenlandse akten de conflictenrechtelijke controle aan de hand van de equivalentieleer te matigen blijkt uit het volgende voorbeeld. Stel dat een Belg getrouwd is met een Française. Een kind is geboren in Frankrijk waar het stel verblijft. Bij het opmaken van de geboorteakte zal de Franse ambtenaar van burgerlijke stand rekening houden met de Franse wet om de afstamming zowel t.a.v. de moeder als van de vader vast te stellen. Immers, de Franse verwijzingsregel knoopt afstammingsvragen aan de nationale wet van de moeder</w:t>
      </w:r>
      <w:r>
        <w:rPr>
          <w:rStyle w:val="Appelnotedebasdep"/>
          <w:rFonts w:cstheme="minorHAnsi"/>
          <w:color w:val="000000"/>
          <w:sz w:val="24"/>
          <w:szCs w:val="24"/>
          <w:lang w:val="nl-BE"/>
        </w:rPr>
        <w:footnoteReference w:id="43"/>
      </w:r>
      <w:r>
        <w:rPr>
          <w:rFonts w:cstheme="minorHAnsi"/>
          <w:color w:val="000000"/>
          <w:sz w:val="24"/>
          <w:szCs w:val="24"/>
          <w:lang w:val="nl-BE"/>
        </w:rPr>
        <w:t xml:space="preserve">. Als de akte getoetst wordt aan </w:t>
      </w:r>
      <w:r w:rsidR="00786C92">
        <w:rPr>
          <w:rFonts w:cstheme="minorHAnsi"/>
          <w:color w:val="000000"/>
          <w:sz w:val="24"/>
          <w:szCs w:val="24"/>
          <w:lang w:val="nl-BE"/>
        </w:rPr>
        <w:t>de verwijzingsregel van het IPR-Wetboek kan dit tot een weigering leiden. Immers, volgens art. 62 IPR-Wetboek diende de afstamming langs vaderszijde volgens Belgisch recht te worden vastgesteld. De strikte toepassing van de conflictenrechtelijke toets, zonder rekening te houden met het resultaat, zou leiden tot de weigering om met de geboorteakte rekening te houden, dit terwijl het vaderschapsvermoeden van het Frans recht grotendeels gelijk lopen</w:t>
      </w:r>
      <w:r w:rsidR="00786C92">
        <w:rPr>
          <w:rStyle w:val="Appelnotedebasdep"/>
          <w:rFonts w:cstheme="minorHAnsi"/>
          <w:color w:val="000000"/>
          <w:sz w:val="24"/>
          <w:szCs w:val="24"/>
          <w:lang w:val="nl-BE"/>
        </w:rPr>
        <w:footnoteReference w:id="44"/>
      </w:r>
      <w:r w:rsidR="00786C92">
        <w:rPr>
          <w:rFonts w:cstheme="minorHAnsi"/>
          <w:color w:val="000000"/>
          <w:sz w:val="24"/>
          <w:szCs w:val="24"/>
          <w:lang w:val="nl-BE"/>
        </w:rPr>
        <w:t>. Dit toont aan dat enig nuance is vereist bij het toepassen van het conflictenrechtelijke toets.</w:t>
      </w:r>
    </w:p>
    <w:p w14:paraId="54134852" w14:textId="3245070A" w:rsidR="009908A0" w:rsidRDefault="00D94DAF" w:rsidP="00D94DAF">
      <w:pPr>
        <w:jc w:val="both"/>
        <w:rPr>
          <w:sz w:val="24"/>
          <w:szCs w:val="24"/>
          <w:lang w:val="nl-BE"/>
        </w:rPr>
      </w:pPr>
      <w:r>
        <w:rPr>
          <w:sz w:val="24"/>
          <w:szCs w:val="24"/>
          <w:lang w:val="nl-BE"/>
        </w:rPr>
        <w:t xml:space="preserve">Weerom is het hier tijd dat de precieze draagwijdte van de controle op buitenlandse akten uitgeklaard wordt. Misschien krijgt het </w:t>
      </w:r>
      <w:r w:rsidR="00A26051" w:rsidRPr="000072C2">
        <w:rPr>
          <w:sz w:val="24"/>
          <w:szCs w:val="24"/>
          <w:lang w:val="nl-BE"/>
        </w:rPr>
        <w:t xml:space="preserve">Hof van cassatie de gelegenheid om zich </w:t>
      </w:r>
      <w:r>
        <w:rPr>
          <w:sz w:val="24"/>
          <w:szCs w:val="24"/>
          <w:lang w:val="nl-BE"/>
        </w:rPr>
        <w:t xml:space="preserve">hierover </w:t>
      </w:r>
      <w:r w:rsidR="00A26051" w:rsidRPr="000072C2">
        <w:rPr>
          <w:sz w:val="24"/>
          <w:szCs w:val="24"/>
          <w:lang w:val="nl-BE"/>
        </w:rPr>
        <w:t>uit te spreken</w:t>
      </w:r>
      <w:r>
        <w:rPr>
          <w:sz w:val="24"/>
          <w:szCs w:val="24"/>
          <w:lang w:val="nl-BE"/>
        </w:rPr>
        <w:t>. Idealiter zou men evenwel het IPR-Wetboek en in het bijzonder het beleid m.b.t. buitenlandse akten grondig moeten onderzoeken en evalueren.</w:t>
      </w:r>
    </w:p>
    <w:p w14:paraId="1D2BE659" w14:textId="77777777" w:rsidR="00D94DAF" w:rsidRPr="000072C2" w:rsidRDefault="00D94DAF" w:rsidP="00D94DAF">
      <w:pPr>
        <w:jc w:val="both"/>
        <w:rPr>
          <w:sz w:val="24"/>
          <w:szCs w:val="24"/>
          <w:lang w:val="nl-BE"/>
        </w:rPr>
      </w:pPr>
    </w:p>
    <w:p w14:paraId="2260F1C5" w14:textId="4A108D9A" w:rsidR="0057336C" w:rsidRPr="009E3698" w:rsidRDefault="009E3698">
      <w:pPr>
        <w:rPr>
          <w:b/>
          <w:bCs/>
          <w:i/>
          <w:iCs/>
          <w:sz w:val="24"/>
          <w:szCs w:val="24"/>
          <w:lang w:val="nl-BE"/>
        </w:rPr>
      </w:pPr>
      <w:r w:rsidRPr="009E3698">
        <w:rPr>
          <w:b/>
          <w:bCs/>
          <w:i/>
          <w:iCs/>
          <w:sz w:val="24"/>
          <w:szCs w:val="24"/>
          <w:lang w:val="nl-BE"/>
        </w:rPr>
        <w:t>Besluit</w:t>
      </w:r>
    </w:p>
    <w:p w14:paraId="7C0D6A05" w14:textId="13184DCF" w:rsidR="0057336C" w:rsidRDefault="009E3698" w:rsidP="009E3698">
      <w:pPr>
        <w:jc w:val="both"/>
        <w:rPr>
          <w:sz w:val="24"/>
          <w:szCs w:val="24"/>
          <w:lang w:val="nl-BE"/>
        </w:rPr>
      </w:pPr>
      <w:r>
        <w:rPr>
          <w:sz w:val="24"/>
          <w:szCs w:val="24"/>
          <w:lang w:val="nl-BE"/>
        </w:rPr>
        <w:t xml:space="preserve">De doorwerking in België van afstammingsbanden vastgesteld in het buitenland n.a.v. de geboorte van een kind uit een draagmoeder blijft een mijnenveld. Het roept vragen op die het hart van het beleid </w:t>
      </w:r>
      <w:proofErr w:type="gramStart"/>
      <w:r>
        <w:rPr>
          <w:sz w:val="24"/>
          <w:szCs w:val="24"/>
          <w:lang w:val="nl-BE"/>
        </w:rPr>
        <w:t>inzake</w:t>
      </w:r>
      <w:proofErr w:type="gramEnd"/>
      <w:r>
        <w:rPr>
          <w:sz w:val="24"/>
          <w:szCs w:val="24"/>
          <w:lang w:val="nl-BE"/>
        </w:rPr>
        <w:t xml:space="preserve"> buitenlandse vonnissen en akten betreffen. Het is enigszins frustrerend te moeten vaststellen dat een aantal van die vragen al 10 j. meegaan, zonder da</w:t>
      </w:r>
      <w:r w:rsidR="00EC08DB">
        <w:rPr>
          <w:sz w:val="24"/>
          <w:szCs w:val="24"/>
          <w:lang w:val="nl-BE"/>
        </w:rPr>
        <w:t>t</w:t>
      </w:r>
      <w:r>
        <w:rPr>
          <w:sz w:val="24"/>
          <w:szCs w:val="24"/>
          <w:lang w:val="nl-BE"/>
        </w:rPr>
        <w:t xml:space="preserve"> hierop een definitief antwoord bestaat. De onduidelijkheid over een aantal belangrijke parameters van de </w:t>
      </w:r>
      <w:proofErr w:type="spellStart"/>
      <w:r>
        <w:rPr>
          <w:sz w:val="24"/>
          <w:szCs w:val="24"/>
          <w:lang w:val="nl-BE"/>
        </w:rPr>
        <w:t>ipr</w:t>
      </w:r>
      <w:proofErr w:type="spellEnd"/>
      <w:r>
        <w:rPr>
          <w:sz w:val="24"/>
          <w:szCs w:val="24"/>
          <w:lang w:val="nl-BE"/>
        </w:rPr>
        <w:t xml:space="preserve">-redenering is storend. Hoewel de rechters algemeen welwillend blijven </w:t>
      </w:r>
      <w:r>
        <w:rPr>
          <w:sz w:val="24"/>
          <w:szCs w:val="24"/>
          <w:lang w:val="nl-BE"/>
        </w:rPr>
        <w:lastRenderedPageBreak/>
        <w:t xml:space="preserve">t.a.v. wensouders en het lot van kinderen hierdoor niet in het gedrang komt, zou </w:t>
      </w:r>
      <w:r w:rsidR="00EC08DB">
        <w:rPr>
          <w:sz w:val="24"/>
          <w:szCs w:val="24"/>
          <w:lang w:val="nl-BE"/>
        </w:rPr>
        <w:t xml:space="preserve">de tussenkomst van het Hof van Cassatie </w:t>
      </w:r>
      <w:r>
        <w:rPr>
          <w:sz w:val="24"/>
          <w:szCs w:val="24"/>
          <w:lang w:val="nl-BE"/>
        </w:rPr>
        <w:t>het werk van feitenrechters</w:t>
      </w:r>
      <w:r w:rsidR="00EC08DB">
        <w:rPr>
          <w:sz w:val="24"/>
          <w:szCs w:val="24"/>
          <w:lang w:val="nl-BE"/>
        </w:rPr>
        <w:t xml:space="preserve"> sterk kunnen</w:t>
      </w:r>
      <w:r w:rsidR="003C4A5A">
        <w:rPr>
          <w:sz w:val="24"/>
          <w:szCs w:val="24"/>
          <w:lang w:val="nl-BE"/>
        </w:rPr>
        <w:t xml:space="preserve"> vereenvoudig</w:t>
      </w:r>
      <w:r w:rsidR="00EC08DB">
        <w:rPr>
          <w:sz w:val="24"/>
          <w:szCs w:val="24"/>
          <w:lang w:val="nl-BE"/>
        </w:rPr>
        <w:t>en</w:t>
      </w:r>
      <w:r w:rsidR="003C4A5A">
        <w:rPr>
          <w:sz w:val="24"/>
          <w:szCs w:val="24"/>
          <w:lang w:val="nl-BE"/>
        </w:rPr>
        <w:t xml:space="preserve">. Dit zou </w:t>
      </w:r>
      <w:r>
        <w:rPr>
          <w:sz w:val="24"/>
          <w:szCs w:val="24"/>
          <w:lang w:val="nl-BE"/>
        </w:rPr>
        <w:t xml:space="preserve">wellicht ook de snelheid </w:t>
      </w:r>
      <w:r w:rsidR="00EC08DB">
        <w:rPr>
          <w:sz w:val="24"/>
          <w:szCs w:val="24"/>
          <w:lang w:val="nl-BE"/>
        </w:rPr>
        <w:t xml:space="preserve">ten goede komen </w:t>
      </w:r>
      <w:r>
        <w:rPr>
          <w:sz w:val="24"/>
          <w:szCs w:val="24"/>
          <w:lang w:val="nl-BE"/>
        </w:rPr>
        <w:t>waarmee over het statuut van kinderen duidelijkheid</w:t>
      </w:r>
      <w:r w:rsidR="00EC08DB">
        <w:rPr>
          <w:sz w:val="24"/>
          <w:szCs w:val="24"/>
          <w:lang w:val="nl-BE"/>
        </w:rPr>
        <w:t xml:space="preserve"> wordt verschaft.</w:t>
      </w:r>
    </w:p>
    <w:p w14:paraId="266DC6F5" w14:textId="77777777" w:rsidR="00EC08DB" w:rsidRPr="000072C2" w:rsidRDefault="00EC08DB" w:rsidP="009E3698">
      <w:pPr>
        <w:jc w:val="both"/>
        <w:rPr>
          <w:sz w:val="24"/>
          <w:szCs w:val="24"/>
          <w:lang w:val="nl-BE"/>
        </w:rPr>
      </w:pPr>
    </w:p>
    <w:sectPr w:rsidR="00EC08DB" w:rsidRPr="000072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EA2D7" w14:textId="77777777" w:rsidR="00B52588" w:rsidRDefault="00B52588" w:rsidP="000D5C1A">
      <w:pPr>
        <w:spacing w:after="0" w:line="240" w:lineRule="auto"/>
      </w:pPr>
      <w:r>
        <w:separator/>
      </w:r>
    </w:p>
  </w:endnote>
  <w:endnote w:type="continuationSeparator" w:id="0">
    <w:p w14:paraId="2EFC2AF6" w14:textId="77777777" w:rsidR="00B52588" w:rsidRDefault="00B52588" w:rsidP="000D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oto Sans CJK SC Regular">
    <w:altName w:val="Times New Roman"/>
    <w:charset w:val="00"/>
    <w:family w:val="auto"/>
    <w:pitch w:val="variable"/>
  </w:font>
  <w:font w:name="FreeSans">
    <w:altName w:val="Times New Roman"/>
    <w:charset w:val="00"/>
    <w:family w:val="auto"/>
    <w:pitch w:val="variable"/>
  </w:font>
  <w:font w:name="TimesNRMTCo">
    <w:altName w:val="MS Gothic"/>
    <w:panose1 w:val="00000000000000000000"/>
    <w:charset w:val="8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B92CC" w14:textId="77777777" w:rsidR="00B52588" w:rsidRDefault="00B52588" w:rsidP="000D5C1A">
      <w:pPr>
        <w:spacing w:after="0" w:line="240" w:lineRule="auto"/>
      </w:pPr>
      <w:r>
        <w:separator/>
      </w:r>
    </w:p>
  </w:footnote>
  <w:footnote w:type="continuationSeparator" w:id="0">
    <w:p w14:paraId="598A236E" w14:textId="77777777" w:rsidR="00B52588" w:rsidRDefault="00B52588" w:rsidP="000D5C1A">
      <w:pPr>
        <w:spacing w:after="0" w:line="240" w:lineRule="auto"/>
      </w:pPr>
      <w:r>
        <w:continuationSeparator/>
      </w:r>
    </w:p>
  </w:footnote>
  <w:footnote w:id="1">
    <w:p w14:paraId="111AE04E" w14:textId="77777777" w:rsidR="006712CC" w:rsidRPr="00B14BED" w:rsidRDefault="006712CC" w:rsidP="00BE6E2F">
      <w:pPr>
        <w:pStyle w:val="Notedebasdepage"/>
        <w:jc w:val="both"/>
        <w:rPr>
          <w:rFonts w:cstheme="minorHAnsi"/>
          <w:lang w:val="nl-BE"/>
        </w:rPr>
      </w:pPr>
      <w:r w:rsidRPr="00B14BED">
        <w:rPr>
          <w:rStyle w:val="Appelnotedebasdep"/>
          <w:rFonts w:cstheme="minorHAnsi"/>
        </w:rPr>
        <w:footnoteRef/>
      </w:r>
      <w:r w:rsidRPr="00B14BED">
        <w:rPr>
          <w:rFonts w:cstheme="minorHAnsi"/>
          <w:lang w:val="nl-BE"/>
        </w:rPr>
        <w:t xml:space="preserve"> Algemeen rechtsvergelijkend over draagmoederschap, zie </w:t>
      </w:r>
      <w:r w:rsidRPr="00B14BED">
        <w:rPr>
          <w:rFonts w:cstheme="minorHAnsi"/>
          <w:smallCaps/>
          <w:lang w:val="nl-BE"/>
        </w:rPr>
        <w:t>J. Scherpe</w:t>
      </w:r>
      <w:r w:rsidRPr="00B14BED">
        <w:rPr>
          <w:rFonts w:cstheme="minorHAnsi"/>
          <w:lang w:val="nl-BE"/>
        </w:rPr>
        <w:t xml:space="preserve">, </w:t>
      </w:r>
      <w:r w:rsidRPr="00B14BED">
        <w:rPr>
          <w:rFonts w:cstheme="minorHAnsi"/>
          <w:smallCaps/>
          <w:lang w:val="nl-BE"/>
        </w:rPr>
        <w:t xml:space="preserve">C. </w:t>
      </w:r>
      <w:proofErr w:type="spellStart"/>
      <w:r w:rsidRPr="00B14BED">
        <w:rPr>
          <w:rFonts w:cstheme="minorHAnsi"/>
          <w:smallCaps/>
          <w:lang w:val="nl-BE"/>
        </w:rPr>
        <w:t>Fenton-Glynn</w:t>
      </w:r>
      <w:proofErr w:type="spellEnd"/>
      <w:r w:rsidRPr="00B14BED">
        <w:rPr>
          <w:rFonts w:cstheme="minorHAnsi"/>
          <w:lang w:val="nl-BE"/>
        </w:rPr>
        <w:t xml:space="preserve"> en </w:t>
      </w:r>
      <w:r w:rsidRPr="00B14BED">
        <w:rPr>
          <w:rFonts w:cstheme="minorHAnsi"/>
          <w:smallCaps/>
          <w:lang w:val="nl-BE"/>
        </w:rPr>
        <w:t>T. Kaan</w:t>
      </w:r>
      <w:r w:rsidRPr="00B14BED">
        <w:rPr>
          <w:rFonts w:cstheme="minorHAnsi"/>
          <w:lang w:val="nl-BE"/>
        </w:rPr>
        <w:t xml:space="preserve"> (</w:t>
      </w:r>
      <w:proofErr w:type="spellStart"/>
      <w:r w:rsidRPr="00B14BED">
        <w:rPr>
          <w:rFonts w:cstheme="minorHAnsi"/>
          <w:lang w:val="nl-BE"/>
        </w:rPr>
        <w:t>eds</w:t>
      </w:r>
      <w:proofErr w:type="spellEnd"/>
      <w:r w:rsidRPr="00B14BED">
        <w:rPr>
          <w:rFonts w:cstheme="minorHAnsi"/>
          <w:lang w:val="nl-BE"/>
        </w:rPr>
        <w:t xml:space="preserve">.), </w:t>
      </w:r>
      <w:proofErr w:type="spellStart"/>
      <w:r w:rsidRPr="00B14BED">
        <w:rPr>
          <w:rFonts w:cstheme="minorHAnsi"/>
          <w:i/>
          <w:iCs/>
          <w:lang w:val="nl-BE"/>
        </w:rPr>
        <w:t>Eastern</w:t>
      </w:r>
      <w:proofErr w:type="spellEnd"/>
      <w:r w:rsidRPr="00B14BED">
        <w:rPr>
          <w:rFonts w:cstheme="minorHAnsi"/>
          <w:i/>
          <w:iCs/>
          <w:lang w:val="nl-BE"/>
        </w:rPr>
        <w:t xml:space="preserve"> </w:t>
      </w:r>
      <w:proofErr w:type="spellStart"/>
      <w:r w:rsidRPr="00B14BED">
        <w:rPr>
          <w:rFonts w:cstheme="minorHAnsi"/>
          <w:i/>
          <w:iCs/>
          <w:lang w:val="nl-BE"/>
        </w:rPr>
        <w:t>and</w:t>
      </w:r>
      <w:proofErr w:type="spellEnd"/>
      <w:r w:rsidRPr="00B14BED">
        <w:rPr>
          <w:rFonts w:cstheme="minorHAnsi"/>
          <w:i/>
          <w:iCs/>
          <w:lang w:val="nl-BE"/>
        </w:rPr>
        <w:t xml:space="preserve"> Western </w:t>
      </w:r>
      <w:proofErr w:type="spellStart"/>
      <w:r w:rsidRPr="00B14BED">
        <w:rPr>
          <w:rFonts w:cstheme="minorHAnsi"/>
          <w:i/>
          <w:iCs/>
          <w:lang w:val="nl-BE"/>
        </w:rPr>
        <w:t>Perspectives</w:t>
      </w:r>
      <w:proofErr w:type="spellEnd"/>
      <w:r w:rsidRPr="00B14BED">
        <w:rPr>
          <w:rFonts w:cstheme="minorHAnsi"/>
          <w:i/>
          <w:iCs/>
          <w:lang w:val="nl-BE"/>
        </w:rPr>
        <w:t xml:space="preserve"> on </w:t>
      </w:r>
      <w:proofErr w:type="spellStart"/>
      <w:r w:rsidRPr="00B14BED">
        <w:rPr>
          <w:rFonts w:cstheme="minorHAnsi"/>
          <w:i/>
          <w:iCs/>
          <w:lang w:val="nl-BE"/>
        </w:rPr>
        <w:t>Surrogacy</w:t>
      </w:r>
      <w:proofErr w:type="spellEnd"/>
      <w:r w:rsidRPr="00B14BED">
        <w:rPr>
          <w:rFonts w:cstheme="minorHAnsi"/>
          <w:lang w:val="nl-BE"/>
        </w:rPr>
        <w:t xml:space="preserve">, </w:t>
      </w:r>
      <w:proofErr w:type="spellStart"/>
      <w:r w:rsidRPr="00B14BED">
        <w:rPr>
          <w:rFonts w:cstheme="minorHAnsi"/>
          <w:lang w:val="nl-BE"/>
        </w:rPr>
        <w:t>Intersentia</w:t>
      </w:r>
      <w:proofErr w:type="spellEnd"/>
      <w:r w:rsidRPr="00B14BED">
        <w:rPr>
          <w:rFonts w:cstheme="minorHAnsi"/>
          <w:lang w:val="nl-BE"/>
        </w:rPr>
        <w:t>, 2019, 606 blz.</w:t>
      </w:r>
    </w:p>
  </w:footnote>
  <w:footnote w:id="2">
    <w:p w14:paraId="160AEB1E" w14:textId="16D58844" w:rsidR="006712CC" w:rsidRPr="00B14BED" w:rsidRDefault="006712CC" w:rsidP="00B14BED">
      <w:pPr>
        <w:pStyle w:val="Notedebasdepage"/>
        <w:jc w:val="both"/>
        <w:rPr>
          <w:rFonts w:cstheme="minorHAnsi"/>
          <w:lang w:val="nl-BE"/>
        </w:rPr>
      </w:pPr>
      <w:r w:rsidRPr="00B14BED">
        <w:rPr>
          <w:rStyle w:val="Appelnotedebasdep"/>
          <w:rFonts w:cstheme="minorHAnsi"/>
        </w:rPr>
        <w:footnoteRef/>
      </w:r>
      <w:r w:rsidRPr="00B14BED">
        <w:rPr>
          <w:rFonts w:cstheme="minorHAnsi"/>
          <w:lang w:val="nl-BE"/>
        </w:rPr>
        <w:t xml:space="preserve"> Over de twee routes en de verschillen</w:t>
      </w:r>
      <w:r>
        <w:rPr>
          <w:rFonts w:cstheme="minorHAnsi"/>
          <w:lang w:val="nl-BE"/>
        </w:rPr>
        <w:t xml:space="preserve"> tussen </w:t>
      </w:r>
      <w:proofErr w:type="gramStart"/>
      <w:r>
        <w:rPr>
          <w:rFonts w:cstheme="minorHAnsi"/>
          <w:lang w:val="nl-BE"/>
        </w:rPr>
        <w:t>hen</w:t>
      </w:r>
      <w:r w:rsidRPr="00B14BED">
        <w:rPr>
          <w:rFonts w:cstheme="minorHAnsi"/>
          <w:lang w:val="nl-BE"/>
        </w:rPr>
        <w:t> :</w:t>
      </w:r>
      <w:proofErr w:type="gramEnd"/>
      <w:r w:rsidRPr="00B14BED">
        <w:rPr>
          <w:rFonts w:cstheme="minorHAnsi"/>
          <w:lang w:val="nl-BE"/>
        </w:rPr>
        <w:t xml:space="preserve"> L. </w:t>
      </w:r>
      <w:proofErr w:type="spellStart"/>
      <w:r w:rsidRPr="00B14BED">
        <w:rPr>
          <w:rFonts w:cstheme="minorHAnsi"/>
          <w:smallCaps/>
          <w:lang w:val="nl-BE"/>
        </w:rPr>
        <w:t>Pluym</w:t>
      </w:r>
      <w:proofErr w:type="spellEnd"/>
      <w:r w:rsidRPr="00B14BED">
        <w:rPr>
          <w:rFonts w:cstheme="minorHAnsi"/>
          <w:lang w:val="nl-BE"/>
        </w:rPr>
        <w:t xml:space="preserve">, </w:t>
      </w:r>
      <w:r w:rsidRPr="00B14BED">
        <w:rPr>
          <w:rFonts w:cstheme="minorHAnsi"/>
          <w:i/>
          <w:iCs/>
          <w:lang w:val="nl-BE"/>
        </w:rPr>
        <w:t>Draagmoederschap</w:t>
      </w:r>
      <w:r w:rsidRPr="00B14BED">
        <w:rPr>
          <w:rFonts w:cstheme="minorHAnsi"/>
          <w:lang w:val="nl-BE"/>
        </w:rPr>
        <w:t xml:space="preserve">, </w:t>
      </w:r>
      <w:proofErr w:type="spellStart"/>
      <w:r w:rsidRPr="00B14BED">
        <w:rPr>
          <w:rFonts w:cstheme="minorHAnsi"/>
          <w:lang w:val="nl-BE"/>
        </w:rPr>
        <w:t>Larcier</w:t>
      </w:r>
      <w:proofErr w:type="spellEnd"/>
      <w:r w:rsidRPr="00B14BED">
        <w:rPr>
          <w:rFonts w:cstheme="minorHAnsi"/>
          <w:lang w:val="nl-BE"/>
        </w:rPr>
        <w:t xml:space="preserve">, 2014, 115-118, </w:t>
      </w:r>
      <w:proofErr w:type="spellStart"/>
      <w:r w:rsidRPr="00B14BED">
        <w:rPr>
          <w:rFonts w:cstheme="minorHAnsi"/>
          <w:lang w:val="nl-BE"/>
        </w:rPr>
        <w:t>nr</w:t>
      </w:r>
      <w:proofErr w:type="spellEnd"/>
      <w:r w:rsidRPr="00B14BED">
        <w:rPr>
          <w:rFonts w:cstheme="minorHAnsi"/>
          <w:lang w:val="nl-BE"/>
        </w:rPr>
        <w:t xml:space="preserve"> 226-227 ; G. </w:t>
      </w:r>
      <w:r w:rsidRPr="00B14BED">
        <w:rPr>
          <w:rFonts w:cstheme="minorHAnsi"/>
          <w:smallCaps/>
          <w:lang w:val="nl-BE"/>
        </w:rPr>
        <w:t>Mathieu</w:t>
      </w:r>
      <w:r w:rsidRPr="00B14BED">
        <w:rPr>
          <w:rFonts w:cstheme="minorHAnsi"/>
          <w:lang w:val="nl-BE"/>
        </w:rPr>
        <w:t xml:space="preserve">, </w:t>
      </w:r>
      <w:r w:rsidRPr="00B14BED">
        <w:rPr>
          <w:rFonts w:cstheme="minorHAnsi"/>
          <w:smallCaps/>
          <w:lang w:val="nl-BE"/>
        </w:rPr>
        <w:t>A. Roland</w:t>
      </w:r>
      <w:r w:rsidRPr="00B14BED">
        <w:rPr>
          <w:rFonts w:cstheme="minorHAnsi"/>
          <w:lang w:val="nl-BE"/>
        </w:rPr>
        <w:t xml:space="preserve"> en </w:t>
      </w:r>
      <w:r w:rsidRPr="00B14BED">
        <w:rPr>
          <w:rFonts w:cstheme="minorHAnsi"/>
          <w:smallCaps/>
          <w:lang w:val="nl-BE"/>
        </w:rPr>
        <w:t xml:space="preserve">R. </w:t>
      </w:r>
      <w:proofErr w:type="spellStart"/>
      <w:r w:rsidRPr="00B14BED">
        <w:rPr>
          <w:rFonts w:cstheme="minorHAnsi"/>
          <w:smallCaps/>
          <w:lang w:val="nl-BE"/>
        </w:rPr>
        <w:t>Hazée</w:t>
      </w:r>
      <w:proofErr w:type="spellEnd"/>
      <w:r w:rsidRPr="00B14BED">
        <w:rPr>
          <w:rFonts w:cstheme="minorHAnsi"/>
          <w:lang w:val="nl-BE"/>
        </w:rPr>
        <w:t xml:space="preserve">, </w:t>
      </w:r>
      <w:r w:rsidRPr="00B14BED">
        <w:rPr>
          <w:rFonts w:cstheme="minorHAnsi"/>
          <w:i/>
          <w:iCs/>
          <w:lang w:val="nl-BE"/>
        </w:rPr>
        <w:t xml:space="preserve">Manuel </w:t>
      </w:r>
      <w:proofErr w:type="spellStart"/>
      <w:r w:rsidRPr="00B14BED">
        <w:rPr>
          <w:rFonts w:cstheme="minorHAnsi"/>
          <w:i/>
          <w:iCs/>
          <w:lang w:val="nl-BE"/>
        </w:rPr>
        <w:t>pratique</w:t>
      </w:r>
      <w:proofErr w:type="spellEnd"/>
      <w:r w:rsidRPr="00B14BED">
        <w:rPr>
          <w:rFonts w:cstheme="minorHAnsi"/>
          <w:i/>
          <w:iCs/>
          <w:lang w:val="nl-BE"/>
        </w:rPr>
        <w:t xml:space="preserve"> de la </w:t>
      </w:r>
      <w:proofErr w:type="spellStart"/>
      <w:r w:rsidRPr="00B14BED">
        <w:rPr>
          <w:rFonts w:cstheme="minorHAnsi"/>
          <w:i/>
          <w:iCs/>
          <w:lang w:val="nl-BE"/>
        </w:rPr>
        <w:t>filiation</w:t>
      </w:r>
      <w:proofErr w:type="spellEnd"/>
      <w:r w:rsidRPr="00B14BED">
        <w:rPr>
          <w:rFonts w:cstheme="minorHAnsi"/>
          <w:lang w:val="nl-BE"/>
        </w:rPr>
        <w:t>, Kluwer, 2016, 272-273, nr. 933.</w:t>
      </w:r>
    </w:p>
  </w:footnote>
  <w:footnote w:id="3">
    <w:p w14:paraId="2657D1F3" w14:textId="53191BE7" w:rsidR="006712CC" w:rsidRPr="00BE6E2F" w:rsidRDefault="006712CC">
      <w:pPr>
        <w:pStyle w:val="Notedebasdepage"/>
        <w:rPr>
          <w:lang w:val="nl-BE"/>
        </w:rPr>
      </w:pPr>
      <w:r>
        <w:rPr>
          <w:rStyle w:val="Appelnotedebasdep"/>
        </w:rPr>
        <w:footnoteRef/>
      </w:r>
      <w:r w:rsidRPr="00BE6E2F">
        <w:rPr>
          <w:lang w:val="nl-BE"/>
        </w:rPr>
        <w:t xml:space="preserve"> Voor g</w:t>
      </w:r>
      <w:r>
        <w:rPr>
          <w:lang w:val="nl-BE"/>
        </w:rPr>
        <w:t>erechtelijke beslissingen, art. 22, § 1, lid 2 WIPR; voor buitenlandse authentieke akten, art. 27 § 1 WIPR.</w:t>
      </w:r>
    </w:p>
  </w:footnote>
  <w:footnote w:id="4">
    <w:p w14:paraId="08B3312F" w14:textId="52FF5974" w:rsidR="006712CC" w:rsidRPr="00B14BED" w:rsidRDefault="006712CC" w:rsidP="00B14BED">
      <w:pPr>
        <w:pStyle w:val="Notedebasdepage"/>
        <w:jc w:val="both"/>
        <w:rPr>
          <w:rFonts w:cstheme="minorHAnsi"/>
          <w:lang w:val="nl-BE"/>
        </w:rPr>
      </w:pPr>
      <w:r w:rsidRPr="00B14BED">
        <w:rPr>
          <w:rStyle w:val="Appelnotedebasdep"/>
          <w:rFonts w:cstheme="minorHAnsi"/>
        </w:rPr>
        <w:footnoteRef/>
      </w:r>
      <w:r w:rsidRPr="00B14BED">
        <w:rPr>
          <w:rFonts w:cstheme="minorHAnsi"/>
          <w:lang w:val="nl-BE"/>
        </w:rPr>
        <w:t xml:space="preserve"> Dit gebeurt vaker. Zie Gent, 20 april 2017, </w:t>
      </w:r>
      <w:hyperlink r:id="rId1" w:history="1">
        <w:r w:rsidRPr="00B14BED">
          <w:rPr>
            <w:rStyle w:val="Lienhypertexte"/>
            <w:rFonts w:cstheme="minorHAnsi"/>
            <w:i/>
            <w:iCs/>
            <w:color w:val="auto"/>
            <w:lang w:val="nl-BE"/>
          </w:rPr>
          <w:t>Tijdschrift@ipr.be</w:t>
        </w:r>
      </w:hyperlink>
      <w:r w:rsidRPr="00B14BED">
        <w:rPr>
          <w:rFonts w:cstheme="minorHAnsi"/>
          <w:lang w:val="nl-BE"/>
        </w:rPr>
        <w:t>, 2017/3, 71.</w:t>
      </w:r>
    </w:p>
  </w:footnote>
  <w:footnote w:id="5">
    <w:p w14:paraId="180E10A1" w14:textId="77777777" w:rsidR="006712CC" w:rsidRPr="00B14BED" w:rsidRDefault="006712CC" w:rsidP="00B14BED">
      <w:pPr>
        <w:pStyle w:val="Notedebasdepage"/>
        <w:jc w:val="both"/>
        <w:rPr>
          <w:rFonts w:cstheme="minorHAnsi"/>
          <w:lang w:val="nl-BE"/>
        </w:rPr>
      </w:pPr>
      <w:r w:rsidRPr="00B14BED">
        <w:rPr>
          <w:rStyle w:val="Appelnotedebasdep"/>
          <w:rFonts w:cstheme="minorHAnsi"/>
        </w:rPr>
        <w:footnoteRef/>
      </w:r>
      <w:r w:rsidRPr="00B14BED">
        <w:rPr>
          <w:rFonts w:cstheme="minorHAnsi"/>
          <w:lang w:val="nl-BE"/>
        </w:rPr>
        <w:t xml:space="preserve"> Zie bijv. Rb. Namen (fam.), 28 februari 2018, </w:t>
      </w:r>
      <w:r w:rsidRPr="00B14BED">
        <w:rPr>
          <w:rFonts w:cstheme="minorHAnsi"/>
          <w:i/>
          <w:iCs/>
          <w:lang w:val="nl-BE"/>
        </w:rPr>
        <w:t>J.T.</w:t>
      </w:r>
      <w:r w:rsidRPr="00B14BED">
        <w:rPr>
          <w:rFonts w:cstheme="minorHAnsi"/>
          <w:lang w:val="nl-BE"/>
        </w:rPr>
        <w:t>, 2018, 731 (weigering door de Belgische consulaire diensten in Rusland).</w:t>
      </w:r>
    </w:p>
  </w:footnote>
  <w:footnote w:id="6">
    <w:p w14:paraId="13F861FA" w14:textId="28E1F835" w:rsidR="006712CC" w:rsidRPr="00B14BED" w:rsidRDefault="006712CC" w:rsidP="00B14BED">
      <w:pPr>
        <w:pStyle w:val="Notedebasdepage"/>
        <w:jc w:val="both"/>
        <w:rPr>
          <w:lang w:val="nl-BE"/>
        </w:rPr>
      </w:pPr>
      <w:r w:rsidRPr="00B14BED">
        <w:rPr>
          <w:rStyle w:val="Appelnotedebasdep"/>
        </w:rPr>
        <w:footnoteRef/>
      </w:r>
      <w:r w:rsidRPr="00B14BED">
        <w:rPr>
          <w:lang w:val="nl-BE"/>
        </w:rPr>
        <w:t xml:space="preserve"> Zoals blijkt uit de volgende </w:t>
      </w:r>
      <w:proofErr w:type="gramStart"/>
      <w:r w:rsidRPr="00B14BED">
        <w:rPr>
          <w:lang w:val="nl-BE"/>
        </w:rPr>
        <w:t>beslissing :</w:t>
      </w:r>
      <w:proofErr w:type="gramEnd"/>
      <w:r w:rsidRPr="00B14BED">
        <w:rPr>
          <w:lang w:val="nl-BE"/>
        </w:rPr>
        <w:t xml:space="preserve"> Rb Brussel, 15 februari 2016, </w:t>
      </w:r>
      <w:r w:rsidRPr="00B14BED">
        <w:rPr>
          <w:i/>
          <w:iCs/>
          <w:lang w:val="nl-BE"/>
        </w:rPr>
        <w:t>T. Vreemd</w:t>
      </w:r>
      <w:r w:rsidRPr="00B14BED">
        <w:rPr>
          <w:lang w:val="nl-BE"/>
        </w:rPr>
        <w:t>., 2016, 379.</w:t>
      </w:r>
    </w:p>
  </w:footnote>
  <w:footnote w:id="7">
    <w:p w14:paraId="5382366B" w14:textId="34E2462E" w:rsidR="006712CC" w:rsidRPr="00B14BED" w:rsidRDefault="006712CC" w:rsidP="00B14BED">
      <w:pPr>
        <w:pStyle w:val="Notedebasdepage"/>
        <w:jc w:val="both"/>
        <w:rPr>
          <w:lang w:val="nl-BE"/>
        </w:rPr>
      </w:pPr>
      <w:r w:rsidRPr="00B14BED">
        <w:rPr>
          <w:rStyle w:val="Appelnotedebasdep"/>
        </w:rPr>
        <w:footnoteRef/>
      </w:r>
      <w:r w:rsidRPr="00B14BED">
        <w:rPr>
          <w:lang w:val="nl-BE"/>
        </w:rPr>
        <w:t xml:space="preserve"> In de Mexicaanse zaak werd einde juni 2018 gepleit en de zaak in beraad genomen. De uitspraak volgde op 11 oktober 2018. In de Californische zaak werd begin mei 2018 gepleit. Het Hof te Brussel heeft zich op 10 augustus 2018 uitgesproken. De periode van enkele maanden tussen het sluiten van de debatten en de uitspraak lijkt niet onoverkomelijk lang gelet op de moeilijkheidsgraad van de zaken.</w:t>
      </w:r>
    </w:p>
  </w:footnote>
  <w:footnote w:id="8">
    <w:p w14:paraId="3997B031" w14:textId="5CBBFF19" w:rsidR="006712CC" w:rsidRPr="00B14BED" w:rsidRDefault="006712CC" w:rsidP="00B14BED">
      <w:pPr>
        <w:pStyle w:val="Notedebasdepage"/>
        <w:jc w:val="both"/>
        <w:rPr>
          <w:lang w:val="nl-BE"/>
        </w:rPr>
      </w:pPr>
      <w:r w:rsidRPr="00B14BED">
        <w:rPr>
          <w:rStyle w:val="Appelnotedebasdep"/>
        </w:rPr>
        <w:footnoteRef/>
      </w:r>
      <w:r w:rsidRPr="00B14BED">
        <w:rPr>
          <w:lang w:val="nl-BE"/>
        </w:rPr>
        <w:t xml:space="preserve"> Zie in dit verband Rb. Brussel (fam.), 26 juni 2020, AR 18/3459/A (in deze zaak werden twee kinderen in 2010 in Oekraïne geboren. De Belgische wensvader verweet de Belgische Staat lange tijd te hebben stilgezeten, zonder op de verschillende brieven en aanmaningen te antwoorden. De rechtbank heeft evenwel een vordering tot schadevergoeding </w:t>
      </w:r>
      <w:proofErr w:type="gramStart"/>
      <w:r w:rsidRPr="00B14BED">
        <w:rPr>
          <w:lang w:val="nl-BE"/>
        </w:rPr>
        <w:t>jegens</w:t>
      </w:r>
      <w:proofErr w:type="gramEnd"/>
      <w:r w:rsidRPr="00B14BED">
        <w:rPr>
          <w:lang w:val="nl-BE"/>
        </w:rPr>
        <w:t xml:space="preserve"> de Belgische Staat afgewezen, op grond van de vaststelling dat de fout van de Belgische Staat niet vaststond).</w:t>
      </w:r>
    </w:p>
  </w:footnote>
  <w:footnote w:id="9">
    <w:p w14:paraId="7D9E940B" w14:textId="2B5BFD1A" w:rsidR="006712CC" w:rsidRPr="00B14BED" w:rsidRDefault="006712CC" w:rsidP="00B14BED">
      <w:pPr>
        <w:pStyle w:val="Notedebasdepage"/>
        <w:jc w:val="both"/>
        <w:rPr>
          <w:lang w:val="nl-BE"/>
        </w:rPr>
      </w:pPr>
      <w:r w:rsidRPr="00B14BED">
        <w:rPr>
          <w:rStyle w:val="Appelnotedebasdep"/>
        </w:rPr>
        <w:footnoteRef/>
      </w:r>
      <w:r w:rsidRPr="00B14BED">
        <w:rPr>
          <w:lang w:val="nl-BE"/>
        </w:rPr>
        <w:t xml:space="preserve"> Art. 31 WIPR (zoals gewijzigd door artikel 85 Wet 18 juni 2018 houdende diverse bepalingen </w:t>
      </w:r>
      <w:proofErr w:type="gramStart"/>
      <w:r w:rsidRPr="00B14BED">
        <w:rPr>
          <w:lang w:val="nl-BE"/>
        </w:rPr>
        <w:t>inzake</w:t>
      </w:r>
      <w:proofErr w:type="gramEnd"/>
      <w:r w:rsidRPr="00B14BED">
        <w:rPr>
          <w:lang w:val="nl-BE"/>
        </w:rPr>
        <w:t xml:space="preserve"> burgerlijk recht en bepalingen met het oog op de bevordering van alternatieve vormen van geschillenoplossing, </w:t>
      </w:r>
      <w:r w:rsidRPr="00B14BED">
        <w:rPr>
          <w:i/>
          <w:iCs/>
          <w:lang w:val="nl-BE"/>
        </w:rPr>
        <w:t>B.S.</w:t>
      </w:r>
      <w:r w:rsidRPr="00B14BED">
        <w:rPr>
          <w:lang w:val="nl-BE"/>
        </w:rPr>
        <w:t>, 2 juli 2018).</w:t>
      </w:r>
    </w:p>
  </w:footnote>
  <w:footnote w:id="10">
    <w:p w14:paraId="496716E7" w14:textId="679AAB1D" w:rsidR="006712CC" w:rsidRPr="00B14BED" w:rsidRDefault="006712CC" w:rsidP="005B42BE">
      <w:pPr>
        <w:pStyle w:val="Notedebasdepage"/>
        <w:jc w:val="both"/>
        <w:rPr>
          <w:rFonts w:cstheme="minorHAnsi"/>
          <w:lang w:val="nl-BE"/>
        </w:rPr>
      </w:pPr>
      <w:r w:rsidRPr="00B14BED">
        <w:rPr>
          <w:rStyle w:val="Appelnotedebasdep"/>
          <w:rFonts w:cstheme="minorHAnsi"/>
        </w:rPr>
        <w:footnoteRef/>
      </w:r>
      <w:r w:rsidRPr="00B14BED">
        <w:rPr>
          <w:rFonts w:cstheme="minorHAnsi"/>
          <w:lang w:val="nl-BE"/>
        </w:rPr>
        <w:t xml:space="preserve"> Zie bijv. over de vraag of pensioenrechten tussen de verschillende echtgenoten verdeeld moeten worden wanneer een gepensioneerde overlijdt</w:t>
      </w:r>
      <w:r>
        <w:rPr>
          <w:rFonts w:cstheme="minorHAnsi"/>
          <w:lang w:val="nl-BE"/>
        </w:rPr>
        <w:t xml:space="preserve"> die met twee vrouwen getrouwd was, de tegengesteld visies van </w:t>
      </w:r>
      <w:proofErr w:type="spellStart"/>
      <w:r>
        <w:rPr>
          <w:rFonts w:cstheme="minorHAnsi"/>
          <w:lang w:val="nl-BE"/>
        </w:rPr>
        <w:t>Cass</w:t>
      </w:r>
      <w:proofErr w:type="spellEnd"/>
      <w:r>
        <w:rPr>
          <w:rFonts w:cstheme="minorHAnsi"/>
          <w:lang w:val="nl-BE"/>
        </w:rPr>
        <w:t xml:space="preserve">., 18 maart 2013, </w:t>
      </w:r>
      <w:r>
        <w:rPr>
          <w:rFonts w:cstheme="minorHAnsi"/>
          <w:i/>
          <w:iCs/>
          <w:lang w:val="nl-BE"/>
        </w:rPr>
        <w:t>Pas.</w:t>
      </w:r>
      <w:r>
        <w:rPr>
          <w:rFonts w:cstheme="minorHAnsi"/>
          <w:lang w:val="nl-BE"/>
        </w:rPr>
        <w:t xml:space="preserve">, 2013, 699, nr. 194 en </w:t>
      </w:r>
      <w:proofErr w:type="spellStart"/>
      <w:r>
        <w:rPr>
          <w:rFonts w:cstheme="minorHAnsi"/>
          <w:lang w:val="nl-BE"/>
        </w:rPr>
        <w:t>Arbh</w:t>
      </w:r>
      <w:proofErr w:type="spellEnd"/>
      <w:r>
        <w:rPr>
          <w:rFonts w:cstheme="minorHAnsi"/>
          <w:lang w:val="nl-BE"/>
        </w:rPr>
        <w:t xml:space="preserve">. Brussel, </w:t>
      </w:r>
      <w:r w:rsidRPr="00B14BED">
        <w:rPr>
          <w:rFonts w:cstheme="minorHAnsi"/>
          <w:lang w:val="nl-BE"/>
        </w:rPr>
        <w:t xml:space="preserve">8 januari 2014, </w:t>
      </w:r>
      <w:proofErr w:type="spellStart"/>
      <w:r w:rsidRPr="00B14BED">
        <w:rPr>
          <w:rFonts w:cstheme="minorHAnsi"/>
          <w:i/>
          <w:iCs/>
          <w:lang w:val="nl-BE"/>
        </w:rPr>
        <w:t>Rev</w:t>
      </w:r>
      <w:proofErr w:type="spellEnd"/>
      <w:r w:rsidRPr="00B14BED">
        <w:rPr>
          <w:rFonts w:cstheme="minorHAnsi"/>
          <w:i/>
          <w:iCs/>
          <w:lang w:val="nl-BE"/>
        </w:rPr>
        <w:t xml:space="preserve">. </w:t>
      </w:r>
      <w:r>
        <w:rPr>
          <w:rFonts w:cstheme="minorHAnsi"/>
          <w:i/>
          <w:iCs/>
          <w:lang w:val="nl-BE"/>
        </w:rPr>
        <w:t>t</w:t>
      </w:r>
      <w:r w:rsidRPr="00B14BED">
        <w:rPr>
          <w:rFonts w:cstheme="minorHAnsi"/>
          <w:i/>
          <w:iCs/>
          <w:lang w:val="nl-BE"/>
        </w:rPr>
        <w:t xml:space="preserve">rim. </w:t>
      </w:r>
      <w:r>
        <w:rPr>
          <w:rFonts w:cstheme="minorHAnsi"/>
          <w:i/>
          <w:iCs/>
          <w:lang w:val="nl-BE"/>
        </w:rPr>
        <w:t>d</w:t>
      </w:r>
      <w:r w:rsidRPr="00B14BED">
        <w:rPr>
          <w:rFonts w:cstheme="minorHAnsi"/>
          <w:i/>
          <w:iCs/>
          <w:lang w:val="nl-BE"/>
        </w:rPr>
        <w:t xml:space="preserve">r. </w:t>
      </w:r>
      <w:r>
        <w:rPr>
          <w:rFonts w:cstheme="minorHAnsi"/>
          <w:i/>
          <w:iCs/>
          <w:lang w:val="nl-BE"/>
        </w:rPr>
        <w:t>f</w:t>
      </w:r>
      <w:r w:rsidRPr="00B14BED">
        <w:rPr>
          <w:rFonts w:cstheme="minorHAnsi"/>
          <w:i/>
          <w:iCs/>
          <w:lang w:val="nl-BE"/>
        </w:rPr>
        <w:t xml:space="preserve">am., </w:t>
      </w:r>
      <w:r w:rsidRPr="00B14BED">
        <w:rPr>
          <w:rFonts w:cstheme="minorHAnsi"/>
          <w:lang w:val="nl-BE"/>
        </w:rPr>
        <w:t>2015, 350.</w:t>
      </w:r>
    </w:p>
  </w:footnote>
  <w:footnote w:id="11">
    <w:p w14:paraId="0BB306BF" w14:textId="6C4EC024" w:rsidR="006712CC" w:rsidRPr="00BA51BD" w:rsidRDefault="006712CC" w:rsidP="00B14BED">
      <w:pPr>
        <w:pStyle w:val="Notedebasdepage"/>
        <w:jc w:val="both"/>
        <w:rPr>
          <w:lang w:val="nl-BE"/>
        </w:rPr>
      </w:pPr>
      <w:r w:rsidRPr="00B14BED">
        <w:rPr>
          <w:rStyle w:val="Appelnotedebasdep"/>
        </w:rPr>
        <w:footnoteRef/>
      </w:r>
      <w:r w:rsidRPr="00B14BED">
        <w:rPr>
          <w:lang w:val="nl-BE"/>
        </w:rPr>
        <w:t xml:space="preserve"> De onduidelijkheid wordt treffend door de redenering van het Hof van Beroep te Gent </w:t>
      </w:r>
      <w:proofErr w:type="gramStart"/>
      <w:r w:rsidRPr="00B14BED">
        <w:rPr>
          <w:lang w:val="nl-BE"/>
        </w:rPr>
        <w:t>geïllustreerd :</w:t>
      </w:r>
      <w:proofErr w:type="gramEnd"/>
      <w:r w:rsidRPr="00B14BED">
        <w:rPr>
          <w:lang w:val="nl-BE"/>
        </w:rPr>
        <w:t xml:space="preserve"> als het Hof naar de geboorteakte </w:t>
      </w:r>
      <w:proofErr w:type="spellStart"/>
      <w:r w:rsidRPr="00B14BED">
        <w:rPr>
          <w:i/>
          <w:iCs/>
          <w:lang w:val="nl-BE"/>
        </w:rPr>
        <w:t>an</w:t>
      </w:r>
      <w:proofErr w:type="spellEnd"/>
      <w:r w:rsidRPr="00B14BED">
        <w:rPr>
          <w:i/>
          <w:iCs/>
          <w:lang w:val="nl-BE"/>
        </w:rPr>
        <w:t xml:space="preserve"> </w:t>
      </w:r>
      <w:proofErr w:type="spellStart"/>
      <w:r w:rsidRPr="00B14BED">
        <w:rPr>
          <w:i/>
          <w:iCs/>
          <w:lang w:val="nl-BE"/>
        </w:rPr>
        <w:t>sich</w:t>
      </w:r>
      <w:proofErr w:type="spellEnd"/>
      <w:r w:rsidRPr="00B14BED">
        <w:rPr>
          <w:lang w:val="nl-BE"/>
        </w:rPr>
        <w:t xml:space="preserve"> kijkt en de vermelding hierin van de afstamming van de wensvader, betrekt het Hof duidelijk de draagmoederschapsovereenkomst in de beoordeling (zie § 3.5. </w:t>
      </w:r>
      <w:proofErr w:type="gramStart"/>
      <w:r w:rsidRPr="00B14BED">
        <w:rPr>
          <w:lang w:val="nl-BE"/>
        </w:rPr>
        <w:t>van</w:t>
      </w:r>
      <w:proofErr w:type="gramEnd"/>
      <w:r w:rsidRPr="00B14BED">
        <w:rPr>
          <w:lang w:val="nl-BE"/>
        </w:rPr>
        <w:t xml:space="preserve"> het arrest). Wanneer het Hof later naar de geboorteakte </w:t>
      </w:r>
      <w:r>
        <w:rPr>
          <w:lang w:val="nl-BE"/>
        </w:rPr>
        <w:t xml:space="preserve">kijkt </w:t>
      </w:r>
      <w:r w:rsidRPr="00B14BED">
        <w:rPr>
          <w:lang w:val="nl-BE"/>
        </w:rPr>
        <w:t xml:space="preserve">« als buitenlandse akte waaruit de vaderlijke erkenning » van het kind </w:t>
      </w:r>
      <w:r>
        <w:rPr>
          <w:lang w:val="nl-BE"/>
        </w:rPr>
        <w:t>blijkt</w:t>
      </w:r>
      <w:r w:rsidRPr="00B14BED">
        <w:rPr>
          <w:lang w:val="nl-BE"/>
        </w:rPr>
        <w:t xml:space="preserve"> en zich hierbij vragen stelt over de openbare orde, beperkt het Hof zijn analyse tot de eigenlijke erkenn</w:t>
      </w:r>
      <w:r w:rsidRPr="00BA51BD">
        <w:rPr>
          <w:lang w:val="nl-BE"/>
        </w:rPr>
        <w:t>ing en de vaststelling van de afstammingsband, zonder te verwijzen naar de draagmoederschapsovereenkomst.</w:t>
      </w:r>
    </w:p>
  </w:footnote>
  <w:footnote w:id="12">
    <w:p w14:paraId="7909C5F4" w14:textId="2EF31549" w:rsidR="006712CC" w:rsidRPr="00BA51BD" w:rsidRDefault="006712CC" w:rsidP="00BA51BD">
      <w:pPr>
        <w:pStyle w:val="Notedebasdepage"/>
        <w:jc w:val="both"/>
        <w:rPr>
          <w:lang w:val="nl-BE"/>
        </w:rPr>
      </w:pPr>
      <w:r w:rsidRPr="00BA51BD">
        <w:rPr>
          <w:rStyle w:val="Appelnotedebasdep"/>
        </w:rPr>
        <w:footnoteRef/>
      </w:r>
      <w:r w:rsidRPr="00BA51BD">
        <w:rPr>
          <w:lang w:val="nl-BE"/>
        </w:rPr>
        <w:t xml:space="preserve"> De rechtbank besloot dat </w:t>
      </w:r>
      <w:r w:rsidRPr="00BA51BD">
        <w:rPr>
          <w:rFonts w:cstheme="minorHAnsi"/>
          <w:lang w:val="nl-BE"/>
        </w:rPr>
        <w:t xml:space="preserve">er geen sprake was van strijdigheid met de openbare orde in de zin van art. 25, § 1, 1° </w:t>
      </w:r>
      <w:proofErr w:type="gramStart"/>
      <w:r w:rsidRPr="00BA51BD">
        <w:rPr>
          <w:rFonts w:cstheme="minorHAnsi"/>
          <w:lang w:val="nl-BE"/>
        </w:rPr>
        <w:t>WIPR :</w:t>
      </w:r>
      <w:proofErr w:type="gramEnd"/>
      <w:r w:rsidRPr="00BA51BD">
        <w:rPr>
          <w:rFonts w:cstheme="minorHAnsi"/>
          <w:lang w:val="nl-BE"/>
        </w:rPr>
        <w:t xml:space="preserve"> </w:t>
      </w:r>
      <w:r w:rsidRPr="00BA51BD">
        <w:rPr>
          <w:lang w:val="nl-BE"/>
        </w:rPr>
        <w:t xml:space="preserve">Rb Brussel (kamer 253b), 15 februari 2016, </w:t>
      </w:r>
      <w:r w:rsidRPr="00BA51BD">
        <w:rPr>
          <w:i/>
          <w:iCs/>
          <w:lang w:val="nl-BE"/>
        </w:rPr>
        <w:t>T. Vreemd</w:t>
      </w:r>
      <w:r w:rsidRPr="00BA51BD">
        <w:rPr>
          <w:lang w:val="nl-BE"/>
        </w:rPr>
        <w:t>., 2016, 379.</w:t>
      </w:r>
    </w:p>
  </w:footnote>
  <w:footnote w:id="13">
    <w:p w14:paraId="1F5FB5DF" w14:textId="2C9AF645" w:rsidR="006712CC" w:rsidRPr="00BA51BD" w:rsidRDefault="006712CC">
      <w:pPr>
        <w:pStyle w:val="Notedebasdepage"/>
        <w:rPr>
          <w:lang w:val="nl-BE"/>
        </w:rPr>
      </w:pPr>
      <w:r w:rsidRPr="00BA51BD">
        <w:rPr>
          <w:rStyle w:val="Appelnotedebasdep"/>
        </w:rPr>
        <w:footnoteRef/>
      </w:r>
      <w:r w:rsidRPr="00BA51BD">
        <w:rPr>
          <w:lang w:val="nl-BE"/>
        </w:rPr>
        <w:t xml:space="preserve"> Rb. Brussel (fam.), (</w:t>
      </w:r>
      <w:r w:rsidRPr="00BA51BD">
        <w:rPr>
          <w:rFonts w:cstheme="minorHAnsi"/>
          <w:lang w:val="nl-BE"/>
        </w:rPr>
        <w:t xml:space="preserve">12de k.), 8 januari 2018, </w:t>
      </w:r>
      <w:r w:rsidRPr="00BA51BD">
        <w:rPr>
          <w:rFonts w:cstheme="minorHAnsi"/>
          <w:i/>
          <w:iCs/>
          <w:lang w:val="nl-BE"/>
        </w:rPr>
        <w:t>Act. Dr. fam</w:t>
      </w:r>
      <w:r w:rsidRPr="00BA51BD">
        <w:rPr>
          <w:rFonts w:cstheme="minorHAnsi"/>
          <w:lang w:val="nl-BE"/>
        </w:rPr>
        <w:t>., 2019, 155, 158.</w:t>
      </w:r>
    </w:p>
  </w:footnote>
  <w:footnote w:id="14">
    <w:p w14:paraId="629AB229" w14:textId="77777777" w:rsidR="006712CC" w:rsidRPr="00B14BED" w:rsidRDefault="006712CC" w:rsidP="00BA51BD">
      <w:pPr>
        <w:pStyle w:val="Notedebasdepage"/>
        <w:jc w:val="both"/>
        <w:rPr>
          <w:rFonts w:cstheme="minorHAnsi"/>
          <w:lang w:val="nl-BE"/>
        </w:rPr>
      </w:pPr>
      <w:r w:rsidRPr="00B14BED">
        <w:rPr>
          <w:rStyle w:val="Appelnotedebasdep"/>
          <w:rFonts w:cstheme="minorHAnsi"/>
        </w:rPr>
        <w:footnoteRef/>
      </w:r>
      <w:r w:rsidRPr="00B14BED">
        <w:rPr>
          <w:rFonts w:cstheme="minorHAnsi"/>
          <w:lang w:val="nl-BE"/>
        </w:rPr>
        <w:t xml:space="preserve"> Zie ook Rb. Luik (3</w:t>
      </w:r>
      <w:r w:rsidRPr="00B14BED">
        <w:rPr>
          <w:rFonts w:cstheme="minorHAnsi"/>
          <w:vertAlign w:val="superscript"/>
          <w:lang w:val="nl-BE"/>
        </w:rPr>
        <w:t>de</w:t>
      </w:r>
      <w:r w:rsidRPr="00B14BED">
        <w:rPr>
          <w:rFonts w:cstheme="minorHAnsi"/>
          <w:lang w:val="nl-BE"/>
        </w:rPr>
        <w:t xml:space="preserve"> k.), 15 maart 2013, </w:t>
      </w:r>
      <w:proofErr w:type="spellStart"/>
      <w:r w:rsidRPr="00B14BED">
        <w:rPr>
          <w:rFonts w:cstheme="minorHAnsi"/>
          <w:i/>
          <w:iCs/>
          <w:lang w:val="nl-BE"/>
        </w:rPr>
        <w:t>Rev</w:t>
      </w:r>
      <w:proofErr w:type="spellEnd"/>
      <w:r w:rsidRPr="00B14BED">
        <w:rPr>
          <w:rFonts w:cstheme="minorHAnsi"/>
          <w:i/>
          <w:iCs/>
          <w:lang w:val="nl-BE"/>
        </w:rPr>
        <w:t>. trim. dr. fam.</w:t>
      </w:r>
      <w:r w:rsidRPr="00B14BED">
        <w:rPr>
          <w:rFonts w:cstheme="minorHAnsi"/>
          <w:lang w:val="nl-BE"/>
        </w:rPr>
        <w:t>, 2013, 714, 719-720 (de rechtbank kijkt niet uitdrukkelijk naar de draagmoederschapsovereenkomst, doch betrekt in zijn redenering wel de vraag of de vergoeding uitbetaald aan draagmoeder verder ging dan een terugbetaling van de kosten).</w:t>
      </w:r>
    </w:p>
  </w:footnote>
  <w:footnote w:id="15">
    <w:p w14:paraId="234556A4" w14:textId="6191083F" w:rsidR="006712CC" w:rsidRPr="00B14BED" w:rsidRDefault="006712CC" w:rsidP="00AF6989">
      <w:pPr>
        <w:pStyle w:val="Notedebasdepage"/>
        <w:jc w:val="both"/>
        <w:rPr>
          <w:rFonts w:cstheme="minorHAnsi"/>
        </w:rPr>
      </w:pPr>
      <w:r w:rsidRPr="00B14BED">
        <w:rPr>
          <w:rStyle w:val="Appelnotedebasdep"/>
          <w:rFonts w:cstheme="minorHAnsi"/>
        </w:rPr>
        <w:footnoteRef/>
      </w:r>
      <w:r w:rsidRPr="00B14BED">
        <w:rPr>
          <w:rFonts w:cstheme="minorHAnsi"/>
        </w:rPr>
        <w:t xml:space="preserve"> Rb. </w:t>
      </w:r>
      <w:proofErr w:type="spellStart"/>
      <w:r w:rsidRPr="00B14BED">
        <w:rPr>
          <w:rFonts w:cstheme="minorHAnsi"/>
        </w:rPr>
        <w:t>Hoei</w:t>
      </w:r>
      <w:proofErr w:type="spellEnd"/>
      <w:r w:rsidRPr="00B14BED">
        <w:rPr>
          <w:rFonts w:cstheme="minorHAnsi"/>
        </w:rPr>
        <w:t xml:space="preserve">, 22 </w:t>
      </w:r>
      <w:proofErr w:type="spellStart"/>
      <w:r w:rsidRPr="00B14BED">
        <w:rPr>
          <w:rFonts w:cstheme="minorHAnsi"/>
        </w:rPr>
        <w:t>maart</w:t>
      </w:r>
      <w:proofErr w:type="spellEnd"/>
      <w:r w:rsidRPr="00B14BED">
        <w:rPr>
          <w:rFonts w:cstheme="minorHAnsi"/>
        </w:rPr>
        <w:t xml:space="preserve"> 2010, </w:t>
      </w:r>
      <w:r w:rsidRPr="00B14BED">
        <w:rPr>
          <w:rFonts w:cstheme="minorHAnsi"/>
          <w:i/>
          <w:iCs/>
        </w:rPr>
        <w:t>J.T.</w:t>
      </w:r>
      <w:r w:rsidRPr="00B14BED">
        <w:rPr>
          <w:rFonts w:cstheme="minorHAnsi"/>
        </w:rPr>
        <w:t>, 2010, 420 (</w:t>
      </w:r>
      <w:proofErr w:type="spellStart"/>
      <w:r w:rsidRPr="00B14BED">
        <w:rPr>
          <w:rFonts w:cstheme="minorHAnsi"/>
        </w:rPr>
        <w:t>volgens</w:t>
      </w:r>
      <w:proofErr w:type="spellEnd"/>
      <w:r w:rsidRPr="00B14BED">
        <w:rPr>
          <w:rFonts w:cstheme="minorHAnsi"/>
        </w:rPr>
        <w:t xml:space="preserve"> de </w:t>
      </w:r>
      <w:proofErr w:type="spellStart"/>
      <w:r w:rsidRPr="00B14BED">
        <w:rPr>
          <w:rFonts w:cstheme="minorHAnsi"/>
        </w:rPr>
        <w:t>rechtbank</w:t>
      </w:r>
      <w:proofErr w:type="spellEnd"/>
      <w:r w:rsidRPr="00B14BED">
        <w:rPr>
          <w:rFonts w:cstheme="minorHAnsi"/>
        </w:rPr>
        <w:t xml:space="preserve">, « la reconnaissance de ces actes de naissance n’est que l’ultime phase d’un processus d’ensemble destiné à permettre à un couple l’accueil à son foyer d’enfants conçus en exécution d’un contrat de gestation pour autrui. Il serait totalement artificiel de feindre d’ignorer que les actes de naissance ont été pris en suite </w:t>
      </w:r>
      <w:r>
        <w:rPr>
          <w:rFonts w:cstheme="minorHAnsi"/>
        </w:rPr>
        <w:t>d’</w:t>
      </w:r>
      <w:r w:rsidRPr="00B14BED">
        <w:rPr>
          <w:rFonts w:cstheme="minorHAnsi"/>
        </w:rPr>
        <w:t xml:space="preserve">une telle convention, avalisée par une décision de justice ») ; </w:t>
      </w:r>
      <w:proofErr w:type="spellStart"/>
      <w:r w:rsidRPr="00B14BED">
        <w:rPr>
          <w:rFonts w:cstheme="minorHAnsi"/>
        </w:rPr>
        <w:t>Luik</w:t>
      </w:r>
      <w:proofErr w:type="spellEnd"/>
      <w:r w:rsidRPr="00B14BED">
        <w:rPr>
          <w:rFonts w:cstheme="minorHAnsi"/>
        </w:rPr>
        <w:t xml:space="preserve">, 6 </w:t>
      </w:r>
      <w:proofErr w:type="spellStart"/>
      <w:r w:rsidRPr="00B14BED">
        <w:rPr>
          <w:rFonts w:cstheme="minorHAnsi"/>
        </w:rPr>
        <w:t>september</w:t>
      </w:r>
      <w:proofErr w:type="spellEnd"/>
      <w:r w:rsidRPr="00B14BED">
        <w:rPr>
          <w:rFonts w:cstheme="minorHAnsi"/>
        </w:rPr>
        <w:t xml:space="preserve"> 2010, </w:t>
      </w:r>
      <w:r w:rsidRPr="00B14BED">
        <w:rPr>
          <w:rFonts w:cstheme="minorHAnsi"/>
          <w:i/>
          <w:iCs/>
        </w:rPr>
        <w:t>J.T.</w:t>
      </w:r>
      <w:r w:rsidRPr="00B14BED">
        <w:rPr>
          <w:rFonts w:cstheme="minorHAnsi"/>
        </w:rPr>
        <w:t xml:space="preserve">, 2010, 634 (het Hof </w:t>
      </w:r>
      <w:proofErr w:type="spellStart"/>
      <w:r w:rsidRPr="00B14BED">
        <w:rPr>
          <w:rFonts w:cstheme="minorHAnsi"/>
        </w:rPr>
        <w:t>kijkt</w:t>
      </w:r>
      <w:proofErr w:type="spellEnd"/>
      <w:r w:rsidRPr="00B14BED">
        <w:rPr>
          <w:rFonts w:cstheme="minorHAnsi"/>
        </w:rPr>
        <w:t xml:space="preserve"> </w:t>
      </w:r>
      <w:proofErr w:type="spellStart"/>
      <w:r w:rsidRPr="00B14BED">
        <w:rPr>
          <w:rFonts w:cstheme="minorHAnsi"/>
        </w:rPr>
        <w:t>wel</w:t>
      </w:r>
      <w:proofErr w:type="spellEnd"/>
      <w:r w:rsidRPr="00B14BED">
        <w:rPr>
          <w:rFonts w:cstheme="minorHAnsi"/>
        </w:rPr>
        <w:t xml:space="preserve"> </w:t>
      </w:r>
      <w:proofErr w:type="spellStart"/>
      <w:r w:rsidRPr="00B14BED">
        <w:rPr>
          <w:rFonts w:cstheme="minorHAnsi"/>
        </w:rPr>
        <w:t>naar</w:t>
      </w:r>
      <w:proofErr w:type="spellEnd"/>
      <w:r w:rsidRPr="00B14BED">
        <w:rPr>
          <w:rFonts w:cstheme="minorHAnsi"/>
        </w:rPr>
        <w:t xml:space="preserve"> de « illicéité du contrat de gestation pour autrui — dont découlent les actes de naissance », </w:t>
      </w:r>
      <w:proofErr w:type="spellStart"/>
      <w:r w:rsidRPr="00B14BED">
        <w:rPr>
          <w:rFonts w:cstheme="minorHAnsi"/>
        </w:rPr>
        <w:t>maar</w:t>
      </w:r>
      <w:proofErr w:type="spellEnd"/>
      <w:r w:rsidRPr="00B14BED">
        <w:rPr>
          <w:rFonts w:cstheme="minorHAnsi"/>
        </w:rPr>
        <w:t xml:space="preserve"> </w:t>
      </w:r>
      <w:proofErr w:type="spellStart"/>
      <w:r w:rsidRPr="00B14BED">
        <w:rPr>
          <w:rFonts w:cstheme="minorHAnsi"/>
        </w:rPr>
        <w:t>oordeelt</w:t>
      </w:r>
      <w:proofErr w:type="spellEnd"/>
      <w:r w:rsidRPr="00B14BED">
        <w:rPr>
          <w:rFonts w:cstheme="minorHAnsi"/>
        </w:rPr>
        <w:t xml:space="preserve"> </w:t>
      </w:r>
      <w:proofErr w:type="spellStart"/>
      <w:r w:rsidRPr="00B14BED">
        <w:rPr>
          <w:rFonts w:cstheme="minorHAnsi"/>
        </w:rPr>
        <w:t>dat</w:t>
      </w:r>
      <w:proofErr w:type="spellEnd"/>
      <w:r w:rsidRPr="00B14BED">
        <w:rPr>
          <w:rFonts w:cstheme="minorHAnsi"/>
        </w:rPr>
        <w:t xml:space="preserve"> het </w:t>
      </w:r>
      <w:proofErr w:type="spellStart"/>
      <w:r w:rsidRPr="00B14BED">
        <w:rPr>
          <w:rFonts w:cstheme="minorHAnsi"/>
        </w:rPr>
        <w:t>belang</w:t>
      </w:r>
      <w:proofErr w:type="spellEnd"/>
      <w:r w:rsidRPr="00B14BED">
        <w:rPr>
          <w:rFonts w:cstheme="minorHAnsi"/>
        </w:rPr>
        <w:t xml:space="preserve"> van het </w:t>
      </w:r>
      <w:proofErr w:type="spellStart"/>
      <w:r w:rsidRPr="00B14BED">
        <w:rPr>
          <w:rFonts w:cstheme="minorHAnsi"/>
        </w:rPr>
        <w:t>kind</w:t>
      </w:r>
      <w:proofErr w:type="spellEnd"/>
      <w:r w:rsidRPr="00B14BED">
        <w:rPr>
          <w:rFonts w:cstheme="minorHAnsi"/>
        </w:rPr>
        <w:t xml:space="preserve"> de </w:t>
      </w:r>
      <w:proofErr w:type="spellStart"/>
      <w:r w:rsidRPr="00B14BED">
        <w:rPr>
          <w:rFonts w:cstheme="minorHAnsi"/>
        </w:rPr>
        <w:t>strijdigheid</w:t>
      </w:r>
      <w:proofErr w:type="spellEnd"/>
      <w:r w:rsidRPr="00B14BED">
        <w:rPr>
          <w:rFonts w:cstheme="minorHAnsi"/>
        </w:rPr>
        <w:t xml:space="preserve"> met de </w:t>
      </w:r>
      <w:proofErr w:type="spellStart"/>
      <w:r w:rsidRPr="00B14BED">
        <w:rPr>
          <w:rFonts w:cstheme="minorHAnsi"/>
        </w:rPr>
        <w:t>openbare</w:t>
      </w:r>
      <w:proofErr w:type="spellEnd"/>
      <w:r w:rsidRPr="00B14BED">
        <w:rPr>
          <w:rFonts w:cstheme="minorHAnsi"/>
        </w:rPr>
        <w:t xml:space="preserve"> </w:t>
      </w:r>
      <w:proofErr w:type="spellStart"/>
      <w:r w:rsidRPr="00B14BED">
        <w:rPr>
          <w:rFonts w:cstheme="minorHAnsi"/>
        </w:rPr>
        <w:t>orde</w:t>
      </w:r>
      <w:proofErr w:type="spellEnd"/>
      <w:r w:rsidRPr="00B14BED">
        <w:rPr>
          <w:rFonts w:cstheme="minorHAnsi"/>
        </w:rPr>
        <w:t xml:space="preserve"> </w:t>
      </w:r>
      <w:proofErr w:type="spellStart"/>
      <w:r>
        <w:rPr>
          <w:rFonts w:cstheme="minorHAnsi"/>
        </w:rPr>
        <w:t>tempert</w:t>
      </w:r>
      <w:proofErr w:type="spellEnd"/>
      <w:r>
        <w:rPr>
          <w:rFonts w:cstheme="minorHAnsi"/>
        </w:rPr>
        <w:t>)</w:t>
      </w:r>
      <w:r w:rsidRPr="00B14BED">
        <w:rPr>
          <w:rFonts w:cstheme="minorHAnsi"/>
        </w:rPr>
        <w:t>.</w:t>
      </w:r>
    </w:p>
  </w:footnote>
  <w:footnote w:id="16">
    <w:p w14:paraId="00B0273C" w14:textId="23715DBC" w:rsidR="006712CC" w:rsidRPr="00B14BED" w:rsidRDefault="006712CC" w:rsidP="00B14BED">
      <w:pPr>
        <w:pStyle w:val="Notedebasdepage"/>
        <w:jc w:val="both"/>
        <w:rPr>
          <w:rFonts w:cstheme="minorHAnsi"/>
          <w:lang w:val="nl-BE"/>
        </w:rPr>
      </w:pPr>
      <w:r w:rsidRPr="00B14BED">
        <w:rPr>
          <w:rStyle w:val="Appelnotedebasdep"/>
          <w:rFonts w:cstheme="minorHAnsi"/>
        </w:rPr>
        <w:footnoteRef/>
      </w:r>
      <w:r w:rsidRPr="00B14BED">
        <w:rPr>
          <w:rFonts w:cstheme="minorHAnsi"/>
        </w:rPr>
        <w:t xml:space="preserve"> </w:t>
      </w:r>
      <w:proofErr w:type="spellStart"/>
      <w:r w:rsidRPr="00B14BED">
        <w:rPr>
          <w:rFonts w:cstheme="minorHAnsi"/>
        </w:rPr>
        <w:t>Zie</w:t>
      </w:r>
      <w:proofErr w:type="spellEnd"/>
      <w:r w:rsidRPr="00B14BED">
        <w:rPr>
          <w:rFonts w:cstheme="minorHAnsi"/>
        </w:rPr>
        <w:t xml:space="preserve"> </w:t>
      </w:r>
      <w:proofErr w:type="spellStart"/>
      <w:r w:rsidRPr="00B14BED">
        <w:rPr>
          <w:rFonts w:cstheme="minorHAnsi"/>
        </w:rPr>
        <w:t>echter</w:t>
      </w:r>
      <w:proofErr w:type="spellEnd"/>
      <w:r w:rsidRPr="00B14BED">
        <w:rPr>
          <w:rFonts w:cstheme="minorHAnsi"/>
        </w:rPr>
        <w:t xml:space="preserve"> in </w:t>
      </w:r>
      <w:proofErr w:type="spellStart"/>
      <w:r w:rsidRPr="00B14BED">
        <w:rPr>
          <w:rFonts w:cstheme="minorHAnsi"/>
        </w:rPr>
        <w:t>Frankrijk</w:t>
      </w:r>
      <w:proofErr w:type="spellEnd"/>
      <w:r w:rsidRPr="00B14BED">
        <w:rPr>
          <w:rFonts w:cstheme="minorHAnsi"/>
        </w:rPr>
        <w:t xml:space="preserve"> de </w:t>
      </w:r>
      <w:proofErr w:type="spellStart"/>
      <w:r w:rsidRPr="00B14BED">
        <w:rPr>
          <w:rFonts w:cstheme="minorHAnsi"/>
        </w:rPr>
        <w:t>holistische</w:t>
      </w:r>
      <w:proofErr w:type="spellEnd"/>
      <w:r w:rsidRPr="00B14BED">
        <w:rPr>
          <w:rFonts w:cstheme="minorHAnsi"/>
        </w:rPr>
        <w:t xml:space="preserve"> </w:t>
      </w:r>
      <w:proofErr w:type="spellStart"/>
      <w:r w:rsidRPr="00B14BED">
        <w:rPr>
          <w:rFonts w:cstheme="minorHAnsi"/>
        </w:rPr>
        <w:t>benadering</w:t>
      </w:r>
      <w:proofErr w:type="spellEnd"/>
      <w:r w:rsidRPr="00B14BED">
        <w:rPr>
          <w:rFonts w:cstheme="minorHAnsi"/>
        </w:rPr>
        <w:t xml:space="preserve"> van het Hof van </w:t>
      </w:r>
      <w:proofErr w:type="spellStart"/>
      <w:r w:rsidRPr="00B14BED">
        <w:rPr>
          <w:rFonts w:cstheme="minorHAnsi"/>
        </w:rPr>
        <w:t>Cassatie</w:t>
      </w:r>
      <w:proofErr w:type="spellEnd"/>
      <w:r w:rsidRPr="00B14BED">
        <w:rPr>
          <w:rFonts w:cstheme="minorHAnsi"/>
        </w:rPr>
        <w:t xml:space="preserve"> </w:t>
      </w:r>
      <w:proofErr w:type="spellStart"/>
      <w:r w:rsidRPr="00B14BED">
        <w:rPr>
          <w:rFonts w:cstheme="minorHAnsi"/>
        </w:rPr>
        <w:t>i.v.m</w:t>
      </w:r>
      <w:proofErr w:type="spellEnd"/>
      <w:r w:rsidRPr="00B14BED">
        <w:rPr>
          <w:rFonts w:cstheme="minorHAnsi"/>
        </w:rPr>
        <w:t xml:space="preserve">. </w:t>
      </w:r>
      <w:proofErr w:type="spellStart"/>
      <w:r w:rsidRPr="00B14BED">
        <w:rPr>
          <w:rFonts w:cstheme="minorHAnsi"/>
        </w:rPr>
        <w:t>afstamming</w:t>
      </w:r>
      <w:proofErr w:type="spellEnd"/>
      <w:r w:rsidRPr="00B14BED">
        <w:rPr>
          <w:rFonts w:cstheme="minorHAnsi"/>
        </w:rPr>
        <w:t xml:space="preserve"> </w:t>
      </w:r>
      <w:proofErr w:type="spellStart"/>
      <w:r w:rsidRPr="00B14BED">
        <w:rPr>
          <w:rFonts w:cstheme="minorHAnsi"/>
        </w:rPr>
        <w:t>gesteund</w:t>
      </w:r>
      <w:proofErr w:type="spellEnd"/>
      <w:r w:rsidRPr="00B14BED">
        <w:rPr>
          <w:rFonts w:cstheme="minorHAnsi"/>
        </w:rPr>
        <w:t xml:space="preserve"> op </w:t>
      </w:r>
      <w:proofErr w:type="spellStart"/>
      <w:r w:rsidRPr="00B14BED">
        <w:rPr>
          <w:rFonts w:cstheme="minorHAnsi"/>
        </w:rPr>
        <w:t>een</w:t>
      </w:r>
      <w:proofErr w:type="spellEnd"/>
      <w:r w:rsidRPr="00B14BED">
        <w:rPr>
          <w:rFonts w:cstheme="minorHAnsi"/>
        </w:rPr>
        <w:t xml:space="preserve"> </w:t>
      </w:r>
      <w:proofErr w:type="spellStart"/>
      <w:r w:rsidRPr="00B14BED">
        <w:rPr>
          <w:rFonts w:cstheme="minorHAnsi"/>
        </w:rPr>
        <w:t>draagmoederschapsovereenkomst</w:t>
      </w:r>
      <w:proofErr w:type="spellEnd"/>
      <w:r w:rsidRPr="00B14BED">
        <w:rPr>
          <w:rFonts w:cstheme="minorHAnsi"/>
        </w:rPr>
        <w:t xml:space="preserve"> : het Hof </w:t>
      </w:r>
      <w:proofErr w:type="spellStart"/>
      <w:r w:rsidRPr="00B14BED">
        <w:rPr>
          <w:rFonts w:cstheme="minorHAnsi"/>
        </w:rPr>
        <w:t>oordeelde</w:t>
      </w:r>
      <w:proofErr w:type="spellEnd"/>
      <w:r w:rsidRPr="00B14BED">
        <w:rPr>
          <w:rFonts w:cstheme="minorHAnsi"/>
        </w:rPr>
        <w:t xml:space="preserve"> </w:t>
      </w:r>
      <w:proofErr w:type="spellStart"/>
      <w:r w:rsidRPr="00B14BED">
        <w:rPr>
          <w:rFonts w:cstheme="minorHAnsi"/>
        </w:rPr>
        <w:t>dat</w:t>
      </w:r>
      <w:proofErr w:type="spellEnd"/>
      <w:r w:rsidRPr="00B14BED">
        <w:rPr>
          <w:rFonts w:cstheme="minorHAnsi"/>
        </w:rPr>
        <w:t xml:space="preserve"> « […]</w:t>
      </w:r>
      <w:r w:rsidRPr="00B14BED">
        <w:rPr>
          <w:rFonts w:cstheme="minorHAnsi"/>
          <w:color w:val="000000"/>
        </w:rPr>
        <w:t xml:space="preserve"> est justifié le refus de transcription d'un acte de naissance fait en pays étranger et rédigé dans les formes usitées dans ce pays lorsque la naissance est l'aboutissement, en fraude à la loi française, </w:t>
      </w:r>
      <w:r w:rsidRPr="00B14BED">
        <w:rPr>
          <w:rFonts w:cstheme="minorHAnsi"/>
          <w:i/>
          <w:iCs/>
          <w:color w:val="000000"/>
        </w:rPr>
        <w:t>d'un processus d'ensemble comportant une convention de gestation pour le compte d'autrui</w:t>
      </w:r>
      <w:r w:rsidRPr="00B14BED">
        <w:rPr>
          <w:rFonts w:cstheme="minorHAnsi"/>
          <w:color w:val="000000"/>
        </w:rPr>
        <w:t xml:space="preserve">, convention qui, </w:t>
      </w:r>
      <w:proofErr w:type="spellStart"/>
      <w:r w:rsidRPr="00B14BED">
        <w:rPr>
          <w:rFonts w:cstheme="minorHAnsi"/>
          <w:color w:val="000000"/>
        </w:rPr>
        <w:t>fût-elle</w:t>
      </w:r>
      <w:proofErr w:type="spellEnd"/>
      <w:r w:rsidRPr="00B14BED">
        <w:rPr>
          <w:rFonts w:cstheme="minorHAnsi"/>
          <w:color w:val="000000"/>
        </w:rPr>
        <w:t xml:space="preserve"> licite à l'étranger, est nulle d'une nullité d'ordre public selon les termes des deux premiers textes susvisés » (Cass. </w:t>
      </w:r>
      <w:proofErr w:type="spellStart"/>
      <w:r w:rsidRPr="00B14BED">
        <w:rPr>
          <w:rFonts w:cstheme="minorHAnsi"/>
          <w:color w:val="000000"/>
        </w:rPr>
        <w:t>fr.</w:t>
      </w:r>
      <w:proofErr w:type="spellEnd"/>
      <w:r w:rsidRPr="00B14BED">
        <w:rPr>
          <w:rFonts w:cstheme="minorHAnsi"/>
          <w:color w:val="000000"/>
        </w:rPr>
        <w:t xml:space="preserve">, (1st civ.), 13 </w:t>
      </w:r>
      <w:proofErr w:type="spellStart"/>
      <w:r w:rsidRPr="00B14BED">
        <w:rPr>
          <w:rFonts w:cstheme="minorHAnsi"/>
          <w:color w:val="000000"/>
        </w:rPr>
        <w:t>september</w:t>
      </w:r>
      <w:proofErr w:type="spellEnd"/>
      <w:r w:rsidRPr="00B14BED">
        <w:rPr>
          <w:rFonts w:cstheme="minorHAnsi"/>
          <w:color w:val="000000"/>
        </w:rPr>
        <w:t xml:space="preserve"> 2013, </w:t>
      </w:r>
      <w:r w:rsidRPr="00B14BED">
        <w:rPr>
          <w:rFonts w:cstheme="minorHAnsi"/>
          <w:i/>
          <w:iCs/>
          <w:color w:val="000000"/>
        </w:rPr>
        <w:t>Bull.</w:t>
      </w:r>
      <w:r w:rsidRPr="00B14BED">
        <w:rPr>
          <w:rFonts w:cstheme="minorHAnsi"/>
          <w:color w:val="000000"/>
        </w:rPr>
        <w:t xml:space="preserve">, 2013, I, nr. 176 – </w:t>
      </w:r>
      <w:proofErr w:type="spellStart"/>
      <w:r w:rsidRPr="00B14BED">
        <w:rPr>
          <w:rFonts w:cstheme="minorHAnsi"/>
          <w:color w:val="000000"/>
        </w:rPr>
        <w:t>eigen</w:t>
      </w:r>
      <w:proofErr w:type="spellEnd"/>
      <w:r w:rsidRPr="00B14BED">
        <w:rPr>
          <w:rFonts w:cstheme="minorHAnsi"/>
          <w:color w:val="000000"/>
        </w:rPr>
        <w:t xml:space="preserve"> </w:t>
      </w:r>
      <w:proofErr w:type="spellStart"/>
      <w:r w:rsidRPr="00B14BED">
        <w:rPr>
          <w:rFonts w:cstheme="minorHAnsi"/>
          <w:color w:val="000000"/>
        </w:rPr>
        <w:t>onderlijning</w:t>
      </w:r>
      <w:proofErr w:type="spellEnd"/>
      <w:r w:rsidRPr="00B14BED">
        <w:rPr>
          <w:rFonts w:cstheme="minorHAnsi"/>
          <w:color w:val="000000"/>
        </w:rPr>
        <w:t xml:space="preserve">). </w:t>
      </w:r>
      <w:r w:rsidRPr="00B14BED">
        <w:rPr>
          <w:rFonts w:cstheme="minorHAnsi"/>
          <w:color w:val="000000"/>
          <w:lang w:val="nl-BE"/>
        </w:rPr>
        <w:t>De overweging van het Hof heeft betrekking op de fraude en niet op de openbare orde. De link die het Hof legt tussen de draagmoederschapsovereenkomst, de geboorteakte en de afstamming is duidelijk.</w:t>
      </w:r>
    </w:p>
  </w:footnote>
  <w:footnote w:id="17">
    <w:p w14:paraId="762954C6" w14:textId="5F99B327" w:rsidR="006712CC" w:rsidRPr="00B14BED" w:rsidRDefault="006712CC" w:rsidP="00B14BED">
      <w:pPr>
        <w:pStyle w:val="Notedebasdepage"/>
        <w:jc w:val="both"/>
        <w:rPr>
          <w:rFonts w:cstheme="minorHAnsi"/>
        </w:rPr>
      </w:pPr>
      <w:r w:rsidRPr="00B14BED">
        <w:rPr>
          <w:rStyle w:val="Appelnotedebasdep"/>
          <w:rFonts w:cstheme="minorHAnsi"/>
        </w:rPr>
        <w:footnoteRef/>
      </w:r>
      <w:r w:rsidRPr="00B14BED">
        <w:rPr>
          <w:rFonts w:cstheme="minorHAnsi"/>
        </w:rPr>
        <w:t xml:space="preserve"> </w:t>
      </w:r>
      <w:r w:rsidRPr="00B14BED">
        <w:rPr>
          <w:rFonts w:cstheme="minorHAnsi"/>
          <w:smallCaps/>
        </w:rPr>
        <w:t>N. Watté</w:t>
      </w:r>
      <w:r w:rsidRPr="00B14BED">
        <w:rPr>
          <w:rFonts w:cstheme="minorHAnsi"/>
        </w:rPr>
        <w:t xml:space="preserve"> et R. </w:t>
      </w:r>
      <w:proofErr w:type="spellStart"/>
      <w:r w:rsidRPr="00B14BED">
        <w:rPr>
          <w:rFonts w:cstheme="minorHAnsi"/>
          <w:smallCaps/>
        </w:rPr>
        <w:t>Jafferali</w:t>
      </w:r>
      <w:proofErr w:type="spellEnd"/>
      <w:r w:rsidRPr="00B14BED">
        <w:rPr>
          <w:rFonts w:cstheme="minorHAnsi"/>
        </w:rPr>
        <w:t xml:space="preserve">, </w:t>
      </w:r>
      <w:r w:rsidRPr="00B14BED">
        <w:rPr>
          <w:rFonts w:cstheme="minorHAnsi"/>
          <w:i/>
          <w:iCs/>
        </w:rPr>
        <w:t>Règles générales du droit international privé belge et européen</w:t>
      </w:r>
      <w:r w:rsidRPr="00B14BED">
        <w:rPr>
          <w:rFonts w:cstheme="minorHAnsi"/>
        </w:rPr>
        <w:t>, Larcier, 2019, 257, nr. 168.</w:t>
      </w:r>
    </w:p>
  </w:footnote>
  <w:footnote w:id="18">
    <w:p w14:paraId="7FEA0A2F" w14:textId="596788D1" w:rsidR="006712CC" w:rsidRPr="009B3C20" w:rsidRDefault="006712CC" w:rsidP="00B14BED">
      <w:pPr>
        <w:pStyle w:val="Notedebasdepage"/>
        <w:jc w:val="both"/>
        <w:rPr>
          <w:rFonts w:cstheme="minorHAnsi"/>
          <w:lang w:val="nl-BE"/>
        </w:rPr>
      </w:pPr>
      <w:r w:rsidRPr="00B14BED">
        <w:rPr>
          <w:rStyle w:val="Appelnotedebasdep"/>
          <w:rFonts w:cstheme="minorHAnsi"/>
        </w:rPr>
        <w:footnoteRef/>
      </w:r>
      <w:r w:rsidRPr="009B3C20">
        <w:rPr>
          <w:rFonts w:cstheme="minorHAnsi"/>
          <w:lang w:val="nl-BE"/>
        </w:rPr>
        <w:t xml:space="preserve"> Zie uitvoerig</w:t>
      </w:r>
      <w:r w:rsidRPr="009B3C20">
        <w:rPr>
          <w:rFonts w:cstheme="minorHAnsi"/>
          <w:smallCaps/>
          <w:lang w:val="nl-BE"/>
        </w:rPr>
        <w:t xml:space="preserve"> N. Watté</w:t>
      </w:r>
      <w:r w:rsidRPr="009B3C20">
        <w:rPr>
          <w:rFonts w:cstheme="minorHAnsi"/>
          <w:lang w:val="nl-BE"/>
        </w:rPr>
        <w:t xml:space="preserve"> et R. </w:t>
      </w:r>
      <w:proofErr w:type="spellStart"/>
      <w:r w:rsidRPr="009B3C20">
        <w:rPr>
          <w:rFonts w:cstheme="minorHAnsi"/>
          <w:smallCaps/>
          <w:lang w:val="nl-BE"/>
        </w:rPr>
        <w:t>Jafferali</w:t>
      </w:r>
      <w:proofErr w:type="spellEnd"/>
      <w:r w:rsidRPr="009B3C20">
        <w:rPr>
          <w:rFonts w:cstheme="minorHAnsi"/>
          <w:lang w:val="nl-BE"/>
        </w:rPr>
        <w:t xml:space="preserve">, </w:t>
      </w:r>
      <w:r w:rsidRPr="009B3C20">
        <w:rPr>
          <w:rFonts w:cstheme="minorHAnsi"/>
          <w:i/>
          <w:iCs/>
          <w:lang w:val="nl-BE"/>
        </w:rPr>
        <w:t xml:space="preserve">op </w:t>
      </w:r>
      <w:proofErr w:type="spellStart"/>
      <w:r w:rsidRPr="009B3C20">
        <w:rPr>
          <w:rFonts w:cstheme="minorHAnsi"/>
          <w:i/>
          <w:iCs/>
          <w:lang w:val="nl-BE"/>
        </w:rPr>
        <w:t>cit</w:t>
      </w:r>
      <w:proofErr w:type="spellEnd"/>
      <w:r w:rsidRPr="009B3C20">
        <w:rPr>
          <w:rFonts w:cstheme="minorHAnsi"/>
          <w:i/>
          <w:iCs/>
          <w:lang w:val="nl-BE"/>
        </w:rPr>
        <w:t>.</w:t>
      </w:r>
      <w:r w:rsidRPr="009B3C20">
        <w:rPr>
          <w:rFonts w:cstheme="minorHAnsi"/>
          <w:lang w:val="nl-BE"/>
        </w:rPr>
        <w:t>, 277-278, n</w:t>
      </w:r>
      <w:r>
        <w:rPr>
          <w:rFonts w:cstheme="minorHAnsi"/>
          <w:lang w:val="nl-BE"/>
        </w:rPr>
        <w:t>r.</w:t>
      </w:r>
      <w:r w:rsidRPr="009B3C20">
        <w:rPr>
          <w:rFonts w:cstheme="minorHAnsi"/>
          <w:lang w:val="nl-BE"/>
        </w:rPr>
        <w:t xml:space="preserve"> 174.</w:t>
      </w:r>
    </w:p>
  </w:footnote>
  <w:footnote w:id="19">
    <w:p w14:paraId="6DCE9887" w14:textId="77777777" w:rsidR="006712CC" w:rsidRPr="00B14BED" w:rsidRDefault="006712CC" w:rsidP="00196D00">
      <w:pPr>
        <w:pStyle w:val="Notedebasdepage"/>
        <w:jc w:val="both"/>
        <w:rPr>
          <w:rFonts w:cstheme="minorHAnsi"/>
          <w:lang w:val="nl-BE"/>
        </w:rPr>
      </w:pPr>
      <w:r w:rsidRPr="00B14BED">
        <w:rPr>
          <w:rStyle w:val="Appelnotedebasdep"/>
          <w:rFonts w:cstheme="minorHAnsi"/>
        </w:rPr>
        <w:footnoteRef/>
      </w:r>
      <w:r w:rsidRPr="00B14BED">
        <w:rPr>
          <w:rFonts w:cstheme="minorHAnsi"/>
          <w:lang w:val="nl-BE"/>
        </w:rPr>
        <w:t xml:space="preserve"> </w:t>
      </w:r>
      <w:r w:rsidRPr="00196D00">
        <w:rPr>
          <w:rFonts w:cstheme="minorHAnsi"/>
          <w:smallCaps/>
          <w:lang w:val="nl-BE"/>
        </w:rPr>
        <w:t>G. van Hecke</w:t>
      </w:r>
      <w:r>
        <w:rPr>
          <w:rFonts w:cstheme="minorHAnsi"/>
          <w:lang w:val="nl-BE"/>
        </w:rPr>
        <w:t xml:space="preserve"> en K. </w:t>
      </w:r>
      <w:r w:rsidRPr="00196D00">
        <w:rPr>
          <w:rFonts w:cstheme="minorHAnsi"/>
          <w:smallCaps/>
          <w:lang w:val="nl-BE"/>
        </w:rPr>
        <w:t>Lenaerts</w:t>
      </w:r>
      <w:r w:rsidRPr="00B14BED">
        <w:rPr>
          <w:rFonts w:cstheme="minorHAnsi"/>
          <w:lang w:val="nl-BE"/>
        </w:rPr>
        <w:t xml:space="preserve">, </w:t>
      </w:r>
      <w:r w:rsidRPr="00B14BED">
        <w:rPr>
          <w:rFonts w:cstheme="minorHAnsi"/>
          <w:i/>
          <w:iCs/>
          <w:lang w:val="nl-BE"/>
        </w:rPr>
        <w:t>Internationaal privaatrecht</w:t>
      </w:r>
      <w:r w:rsidRPr="00B14BED">
        <w:rPr>
          <w:rFonts w:cstheme="minorHAnsi"/>
          <w:lang w:val="nl-BE"/>
        </w:rPr>
        <w:t xml:space="preserve">, 2de </w:t>
      </w:r>
      <w:proofErr w:type="spellStart"/>
      <w:r w:rsidRPr="00B14BED">
        <w:rPr>
          <w:rFonts w:cstheme="minorHAnsi"/>
          <w:lang w:val="nl-BE"/>
        </w:rPr>
        <w:t>uitg</w:t>
      </w:r>
      <w:proofErr w:type="spellEnd"/>
      <w:r w:rsidRPr="00B14BED">
        <w:rPr>
          <w:rFonts w:cstheme="minorHAnsi"/>
          <w:lang w:val="nl-BE"/>
        </w:rPr>
        <w:t>., 1989, Story-</w:t>
      </w:r>
      <w:proofErr w:type="spellStart"/>
      <w:r w:rsidRPr="00B14BED">
        <w:rPr>
          <w:rFonts w:cstheme="minorHAnsi"/>
          <w:lang w:val="nl-BE"/>
        </w:rPr>
        <w:t>scientia</w:t>
      </w:r>
      <w:proofErr w:type="spellEnd"/>
      <w:r w:rsidRPr="00B14BED">
        <w:rPr>
          <w:rFonts w:cstheme="minorHAnsi"/>
          <w:lang w:val="nl-BE"/>
        </w:rPr>
        <w:t>, 171, nr. 333.</w:t>
      </w:r>
    </w:p>
  </w:footnote>
  <w:footnote w:id="20">
    <w:p w14:paraId="115B7871" w14:textId="129B6EC9" w:rsidR="006712CC" w:rsidRPr="00B14BED" w:rsidRDefault="006712CC" w:rsidP="00D75336">
      <w:pPr>
        <w:pStyle w:val="Notedebasdepage"/>
        <w:jc w:val="both"/>
        <w:rPr>
          <w:rFonts w:cstheme="minorHAnsi"/>
          <w:lang w:val="nl-BE"/>
        </w:rPr>
      </w:pPr>
      <w:r w:rsidRPr="00B14BED">
        <w:rPr>
          <w:rStyle w:val="Appelnotedebasdep"/>
          <w:rFonts w:cstheme="minorHAnsi"/>
        </w:rPr>
        <w:footnoteRef/>
      </w:r>
      <w:r w:rsidRPr="00B14BED">
        <w:rPr>
          <w:rFonts w:cstheme="minorHAnsi"/>
          <w:lang w:val="nl-BE"/>
        </w:rPr>
        <w:t xml:space="preserve"> Zie Luik, 23 april 1970, </w:t>
      </w:r>
      <w:r w:rsidRPr="00B14BED">
        <w:rPr>
          <w:rFonts w:cstheme="minorHAnsi"/>
          <w:i/>
          <w:iCs/>
          <w:lang w:val="nl-BE"/>
        </w:rPr>
        <w:t>R.C.J.B.</w:t>
      </w:r>
      <w:r w:rsidRPr="00B14BED">
        <w:rPr>
          <w:rFonts w:cstheme="minorHAnsi"/>
          <w:lang w:val="nl-BE"/>
        </w:rPr>
        <w:t xml:space="preserve">, 1971, 5, met noot </w:t>
      </w:r>
      <w:r w:rsidRPr="00B14BED">
        <w:rPr>
          <w:rFonts w:cstheme="minorHAnsi"/>
          <w:smallCaps/>
          <w:lang w:val="nl-BE"/>
        </w:rPr>
        <w:t>G. van Hecke</w:t>
      </w:r>
      <w:r w:rsidRPr="00B14BED">
        <w:rPr>
          <w:rFonts w:cstheme="minorHAnsi"/>
          <w:lang w:val="nl-BE"/>
        </w:rPr>
        <w:t>.</w:t>
      </w:r>
    </w:p>
  </w:footnote>
  <w:footnote w:id="21">
    <w:p w14:paraId="670F8B93" w14:textId="77777777" w:rsidR="006712CC" w:rsidRPr="00747EBD" w:rsidRDefault="006712CC" w:rsidP="00D75336">
      <w:pPr>
        <w:pStyle w:val="Corpsdetexte"/>
        <w:spacing w:after="0"/>
        <w:rPr>
          <w:rFonts w:asciiTheme="minorHAnsi" w:hAnsiTheme="minorHAnsi" w:cstheme="minorHAnsi"/>
          <w:sz w:val="20"/>
          <w:lang w:val="nl-BE"/>
        </w:rPr>
      </w:pPr>
      <w:r w:rsidRPr="00B14BED">
        <w:rPr>
          <w:rStyle w:val="Appelnotedebasdep"/>
          <w:rFonts w:asciiTheme="minorHAnsi" w:hAnsiTheme="minorHAnsi" w:cstheme="minorHAnsi"/>
          <w:sz w:val="20"/>
        </w:rPr>
        <w:footnoteRef/>
      </w:r>
      <w:r w:rsidRPr="00B14BED">
        <w:rPr>
          <w:rFonts w:asciiTheme="minorHAnsi" w:hAnsiTheme="minorHAnsi" w:cstheme="minorHAnsi"/>
          <w:sz w:val="20"/>
          <w:lang w:val="nl-BE"/>
        </w:rPr>
        <w:t xml:space="preserve"> Zie bijv. Rb. Charleroi, 11 december 2008, </w:t>
      </w:r>
      <w:proofErr w:type="spellStart"/>
      <w:r w:rsidRPr="00B14BED">
        <w:rPr>
          <w:rFonts w:asciiTheme="minorHAnsi" w:hAnsiTheme="minorHAnsi" w:cstheme="minorHAnsi"/>
          <w:i/>
          <w:iCs/>
          <w:sz w:val="20"/>
          <w:lang w:val="nl-BE"/>
        </w:rPr>
        <w:t>Rev</w:t>
      </w:r>
      <w:proofErr w:type="spellEnd"/>
      <w:r w:rsidRPr="00B14BED">
        <w:rPr>
          <w:rFonts w:asciiTheme="minorHAnsi" w:hAnsiTheme="minorHAnsi" w:cstheme="minorHAnsi"/>
          <w:i/>
          <w:iCs/>
          <w:sz w:val="20"/>
          <w:lang w:val="nl-BE"/>
        </w:rPr>
        <w:t xml:space="preserve">. dr. </w:t>
      </w:r>
      <w:proofErr w:type="spellStart"/>
      <w:r w:rsidRPr="00B14BED">
        <w:rPr>
          <w:rFonts w:asciiTheme="minorHAnsi" w:hAnsiTheme="minorHAnsi" w:cstheme="minorHAnsi"/>
          <w:i/>
          <w:iCs/>
          <w:sz w:val="20"/>
          <w:lang w:val="nl-BE"/>
        </w:rPr>
        <w:t>étr</w:t>
      </w:r>
      <w:proofErr w:type="spellEnd"/>
      <w:r w:rsidRPr="00B14BED">
        <w:rPr>
          <w:rFonts w:asciiTheme="minorHAnsi" w:hAnsiTheme="minorHAnsi" w:cstheme="minorHAnsi"/>
          <w:i/>
          <w:iCs/>
          <w:sz w:val="20"/>
          <w:lang w:val="nl-BE"/>
        </w:rPr>
        <w:t>.</w:t>
      </w:r>
      <w:r w:rsidRPr="00B14BED">
        <w:rPr>
          <w:rFonts w:asciiTheme="minorHAnsi" w:hAnsiTheme="minorHAnsi" w:cstheme="minorHAnsi"/>
          <w:sz w:val="20"/>
          <w:lang w:val="nl-BE"/>
        </w:rPr>
        <w:t xml:space="preserve">, 2009, 733, met annotatie </w:t>
      </w:r>
      <w:r w:rsidRPr="00B14BED">
        <w:rPr>
          <w:rFonts w:asciiTheme="minorHAnsi" w:hAnsiTheme="minorHAnsi" w:cstheme="minorHAnsi"/>
          <w:smallCaps/>
          <w:sz w:val="20"/>
          <w:lang w:val="nl-BE"/>
        </w:rPr>
        <w:t>P. Wautelet</w:t>
      </w:r>
      <w:r w:rsidRPr="00B14BED">
        <w:rPr>
          <w:rFonts w:asciiTheme="minorHAnsi" w:hAnsiTheme="minorHAnsi" w:cstheme="minorHAnsi"/>
          <w:sz w:val="20"/>
          <w:lang w:val="nl-BE"/>
        </w:rPr>
        <w:t>.</w:t>
      </w:r>
    </w:p>
  </w:footnote>
  <w:footnote w:id="22">
    <w:p w14:paraId="7A13A69B" w14:textId="698A81E6" w:rsidR="00747EBD" w:rsidRPr="00747EBD" w:rsidRDefault="00747EBD" w:rsidP="00747EBD">
      <w:pPr>
        <w:pStyle w:val="Notedebasdepage"/>
        <w:jc w:val="both"/>
        <w:rPr>
          <w:lang w:val="nl-BE"/>
        </w:rPr>
      </w:pPr>
      <w:r w:rsidRPr="00747EBD">
        <w:rPr>
          <w:rStyle w:val="Appelnotedebasdep"/>
        </w:rPr>
        <w:footnoteRef/>
      </w:r>
      <w:r w:rsidRPr="00747EBD">
        <w:rPr>
          <w:lang w:val="nl-BE"/>
        </w:rPr>
        <w:t xml:space="preserve"> In de Californische zaak alludeert het Hof van beroep te Brussel op dit onderscheid, door te stellen dat </w:t>
      </w:r>
      <w:r w:rsidRPr="00747EBD">
        <w:rPr>
          <w:lang w:val="nl-BE"/>
        </w:rPr>
        <w:t>« </w:t>
      </w:r>
      <w:proofErr w:type="spellStart"/>
      <w:r w:rsidRPr="00747EBD">
        <w:rPr>
          <w:i/>
          <w:iCs/>
          <w:lang w:val="nl-BE"/>
        </w:rPr>
        <w:t>il</w:t>
      </w:r>
      <w:proofErr w:type="spellEnd"/>
      <w:r w:rsidRPr="00747EBD">
        <w:rPr>
          <w:i/>
          <w:iCs/>
          <w:lang w:val="nl-BE"/>
        </w:rPr>
        <w:t xml:space="preserve"> ne </w:t>
      </w:r>
      <w:proofErr w:type="spellStart"/>
      <w:r w:rsidRPr="00747EBD">
        <w:rPr>
          <w:i/>
          <w:iCs/>
          <w:lang w:val="nl-BE"/>
        </w:rPr>
        <w:t>s’agit</w:t>
      </w:r>
      <w:proofErr w:type="spellEnd"/>
      <w:r w:rsidRPr="00747EBD">
        <w:rPr>
          <w:i/>
          <w:iCs/>
          <w:lang w:val="nl-BE"/>
        </w:rPr>
        <w:t xml:space="preserve"> pas de </w:t>
      </w:r>
      <w:proofErr w:type="spellStart"/>
      <w:r w:rsidRPr="00747EBD">
        <w:rPr>
          <w:i/>
          <w:iCs/>
          <w:lang w:val="nl-BE"/>
        </w:rPr>
        <w:t>remettre</w:t>
      </w:r>
      <w:proofErr w:type="spellEnd"/>
      <w:r w:rsidRPr="00747EBD">
        <w:rPr>
          <w:i/>
          <w:iCs/>
          <w:lang w:val="nl-BE"/>
        </w:rPr>
        <w:t xml:space="preserve"> en question la </w:t>
      </w:r>
      <w:proofErr w:type="spellStart"/>
      <w:r w:rsidRPr="00747EBD">
        <w:rPr>
          <w:i/>
          <w:iCs/>
          <w:lang w:val="nl-BE"/>
        </w:rPr>
        <w:t>décision</w:t>
      </w:r>
      <w:proofErr w:type="spellEnd"/>
      <w:r w:rsidRPr="00747EBD">
        <w:rPr>
          <w:i/>
          <w:iCs/>
          <w:lang w:val="nl-BE"/>
        </w:rPr>
        <w:t xml:space="preserve"> </w:t>
      </w:r>
      <w:proofErr w:type="spellStart"/>
      <w:r w:rsidRPr="00747EBD">
        <w:rPr>
          <w:i/>
          <w:iCs/>
          <w:lang w:val="nl-BE"/>
        </w:rPr>
        <w:t>judiciaire</w:t>
      </w:r>
      <w:proofErr w:type="spellEnd"/>
      <w:r w:rsidRPr="00747EBD">
        <w:rPr>
          <w:i/>
          <w:iCs/>
          <w:lang w:val="nl-BE"/>
        </w:rPr>
        <w:t xml:space="preserve"> </w:t>
      </w:r>
      <w:proofErr w:type="spellStart"/>
      <w:r w:rsidRPr="00747EBD">
        <w:rPr>
          <w:i/>
          <w:iCs/>
          <w:lang w:val="nl-BE"/>
        </w:rPr>
        <w:t>étrangère</w:t>
      </w:r>
      <w:proofErr w:type="spellEnd"/>
      <w:r w:rsidRPr="00747EBD">
        <w:rPr>
          <w:i/>
          <w:iCs/>
          <w:lang w:val="nl-BE"/>
        </w:rPr>
        <w:t xml:space="preserve"> au fond</w:t>
      </w:r>
      <w:r w:rsidRPr="00747EBD">
        <w:rPr>
          <w:lang w:val="nl-BE"/>
        </w:rPr>
        <w:t> »</w:t>
      </w:r>
      <w:r w:rsidRPr="00747EBD">
        <w:rPr>
          <w:lang w:val="nl-BE"/>
        </w:rPr>
        <w:t xml:space="preserve"> (nr. 15).</w:t>
      </w:r>
    </w:p>
  </w:footnote>
  <w:footnote w:id="23">
    <w:p w14:paraId="7375823C" w14:textId="30CE1203" w:rsidR="000171BE" w:rsidRPr="000171BE" w:rsidRDefault="000171BE" w:rsidP="000171BE">
      <w:pPr>
        <w:pStyle w:val="Notedebasdepage"/>
        <w:jc w:val="both"/>
        <w:rPr>
          <w:lang w:val="nl-BE"/>
        </w:rPr>
      </w:pPr>
      <w:r>
        <w:rPr>
          <w:rStyle w:val="Appelnotedebasdep"/>
        </w:rPr>
        <w:footnoteRef/>
      </w:r>
      <w:r w:rsidRPr="000171BE">
        <w:rPr>
          <w:lang w:val="nl-BE"/>
        </w:rPr>
        <w:t xml:space="preserve"> </w:t>
      </w:r>
      <w:r>
        <w:rPr>
          <w:lang w:val="nl-BE"/>
        </w:rPr>
        <w:t xml:space="preserve">J. </w:t>
      </w:r>
      <w:proofErr w:type="spellStart"/>
      <w:r w:rsidRPr="00DE71CE">
        <w:rPr>
          <w:smallCaps/>
          <w:lang w:val="nl-BE"/>
        </w:rPr>
        <w:t>Verhellen</w:t>
      </w:r>
      <w:proofErr w:type="spellEnd"/>
      <w:r>
        <w:rPr>
          <w:lang w:val="nl-BE"/>
        </w:rPr>
        <w:t xml:space="preserve">, </w:t>
      </w:r>
      <w:r w:rsidRPr="00DE71CE">
        <w:rPr>
          <w:i/>
          <w:iCs/>
          <w:lang w:val="nl-BE"/>
        </w:rPr>
        <w:t>Het Belgisch Wetboek IPR in familiezaken. Wetgevende doelstellingen getoetst aan de praktijk</w:t>
      </w:r>
      <w:r>
        <w:rPr>
          <w:lang w:val="nl-BE"/>
        </w:rPr>
        <w:t xml:space="preserve">, Die </w:t>
      </w:r>
      <w:proofErr w:type="spellStart"/>
      <w:r>
        <w:rPr>
          <w:lang w:val="nl-BE"/>
        </w:rPr>
        <w:t>Keure</w:t>
      </w:r>
      <w:proofErr w:type="spellEnd"/>
      <w:r>
        <w:rPr>
          <w:lang w:val="nl-BE"/>
        </w:rPr>
        <w:t xml:space="preserve">, 2012, </w:t>
      </w:r>
      <w:r>
        <w:rPr>
          <w:lang w:val="nl-BE"/>
        </w:rPr>
        <w:t>311</w:t>
      </w:r>
      <w:r>
        <w:rPr>
          <w:lang w:val="nl-BE"/>
        </w:rPr>
        <w:t xml:space="preserve">, nr. </w:t>
      </w:r>
      <w:r>
        <w:rPr>
          <w:lang w:val="nl-BE"/>
        </w:rPr>
        <w:t>490</w:t>
      </w:r>
      <w:r>
        <w:rPr>
          <w:lang w:val="nl-BE"/>
        </w:rPr>
        <w:t>.</w:t>
      </w:r>
    </w:p>
  </w:footnote>
  <w:footnote w:id="24">
    <w:p w14:paraId="5E490185" w14:textId="42F593B4" w:rsidR="00DE71CE" w:rsidRPr="00DE71CE" w:rsidRDefault="00DE71CE" w:rsidP="00DE71CE">
      <w:pPr>
        <w:pStyle w:val="Notedebasdepage"/>
        <w:jc w:val="both"/>
        <w:rPr>
          <w:lang w:val="nl-BE"/>
        </w:rPr>
      </w:pPr>
      <w:r>
        <w:rPr>
          <w:rStyle w:val="Appelnotedebasdep"/>
        </w:rPr>
        <w:footnoteRef/>
      </w:r>
      <w:r w:rsidRPr="00DE71CE">
        <w:rPr>
          <w:lang w:val="nl-BE"/>
        </w:rPr>
        <w:t xml:space="preserve"> Zie algemeen de </w:t>
      </w:r>
      <w:r>
        <w:rPr>
          <w:lang w:val="nl-BE"/>
        </w:rPr>
        <w:t xml:space="preserve">aanbevelingen van J. </w:t>
      </w:r>
      <w:proofErr w:type="spellStart"/>
      <w:r w:rsidRPr="00DE71CE">
        <w:rPr>
          <w:smallCaps/>
          <w:lang w:val="nl-BE"/>
        </w:rPr>
        <w:t>Verhellen</w:t>
      </w:r>
      <w:proofErr w:type="spellEnd"/>
      <w:r>
        <w:rPr>
          <w:lang w:val="nl-BE"/>
        </w:rPr>
        <w:t xml:space="preserve">, </w:t>
      </w:r>
      <w:r w:rsidR="000171BE">
        <w:rPr>
          <w:i/>
          <w:iCs/>
          <w:lang w:val="nl-BE"/>
        </w:rPr>
        <w:t xml:space="preserve">op. </w:t>
      </w:r>
      <w:proofErr w:type="spellStart"/>
      <w:proofErr w:type="gramStart"/>
      <w:r w:rsidR="000171BE">
        <w:rPr>
          <w:i/>
          <w:iCs/>
          <w:lang w:val="nl-BE"/>
        </w:rPr>
        <w:t>cit</w:t>
      </w:r>
      <w:proofErr w:type="spellEnd"/>
      <w:proofErr w:type="gramEnd"/>
      <w:r w:rsidR="000171BE">
        <w:rPr>
          <w:i/>
          <w:iCs/>
          <w:lang w:val="nl-BE"/>
        </w:rPr>
        <w:t>.</w:t>
      </w:r>
      <w:r w:rsidR="000171BE">
        <w:rPr>
          <w:lang w:val="nl-BE"/>
        </w:rPr>
        <w:t>,</w:t>
      </w:r>
      <w:r>
        <w:rPr>
          <w:lang w:val="nl-BE"/>
        </w:rPr>
        <w:t xml:space="preserve"> 478-480, nr. 734-737.</w:t>
      </w:r>
    </w:p>
  </w:footnote>
  <w:footnote w:id="25">
    <w:p w14:paraId="3D7746AD" w14:textId="08EBF8A7" w:rsidR="004431CB" w:rsidRPr="004431CB" w:rsidRDefault="004431CB" w:rsidP="004431CB">
      <w:pPr>
        <w:pStyle w:val="Notedebasdepage"/>
        <w:jc w:val="both"/>
        <w:rPr>
          <w:lang w:val="nl-BE"/>
        </w:rPr>
      </w:pPr>
      <w:r>
        <w:rPr>
          <w:rStyle w:val="Appelnotedebasdep"/>
        </w:rPr>
        <w:footnoteRef/>
      </w:r>
      <w:r w:rsidRPr="004431CB">
        <w:rPr>
          <w:lang w:val="nl-BE"/>
        </w:rPr>
        <w:t xml:space="preserve"> Zie D. </w:t>
      </w:r>
      <w:r w:rsidRPr="004431CB">
        <w:rPr>
          <w:rFonts w:cstheme="minorHAnsi"/>
          <w:smallCaps/>
          <w:lang w:val="nl-BE"/>
        </w:rPr>
        <w:t>Bureau</w:t>
      </w:r>
      <w:r w:rsidRPr="004431CB">
        <w:rPr>
          <w:rFonts w:cstheme="minorHAnsi"/>
          <w:lang w:val="nl-BE"/>
        </w:rPr>
        <w:t xml:space="preserve"> e</w:t>
      </w:r>
      <w:r w:rsidRPr="004431CB">
        <w:rPr>
          <w:rFonts w:cstheme="minorHAnsi"/>
          <w:lang w:val="nl-BE"/>
        </w:rPr>
        <w:t>n</w:t>
      </w:r>
      <w:r w:rsidRPr="004431CB">
        <w:rPr>
          <w:rFonts w:cstheme="minorHAnsi"/>
          <w:lang w:val="nl-BE"/>
        </w:rPr>
        <w:t xml:space="preserve"> </w:t>
      </w:r>
      <w:r w:rsidRPr="004431CB">
        <w:rPr>
          <w:rFonts w:cstheme="minorHAnsi"/>
          <w:smallCaps/>
          <w:lang w:val="nl-BE"/>
        </w:rPr>
        <w:t xml:space="preserve">H. </w:t>
      </w:r>
      <w:proofErr w:type="spellStart"/>
      <w:r w:rsidRPr="004431CB">
        <w:rPr>
          <w:rFonts w:cstheme="minorHAnsi"/>
          <w:smallCaps/>
          <w:lang w:val="nl-BE"/>
        </w:rPr>
        <w:t>Muir</w:t>
      </w:r>
      <w:proofErr w:type="spellEnd"/>
      <w:r w:rsidRPr="004431CB">
        <w:rPr>
          <w:rFonts w:cstheme="minorHAnsi"/>
          <w:smallCaps/>
          <w:lang w:val="nl-BE"/>
        </w:rPr>
        <w:t xml:space="preserve"> Watt</w:t>
      </w:r>
      <w:r>
        <w:rPr>
          <w:rFonts w:cstheme="minorHAnsi"/>
          <w:lang w:val="nl-BE"/>
        </w:rPr>
        <w:t>,</w:t>
      </w:r>
      <w:r w:rsidRPr="004431CB">
        <w:rPr>
          <w:rFonts w:cstheme="minorHAnsi"/>
          <w:lang w:val="nl-BE"/>
        </w:rPr>
        <w:t xml:space="preserve"> </w:t>
      </w:r>
      <w:proofErr w:type="spellStart"/>
      <w:r w:rsidRPr="004431CB">
        <w:rPr>
          <w:rFonts w:cstheme="minorHAnsi"/>
          <w:i/>
          <w:iCs/>
          <w:lang w:val="nl-BE"/>
        </w:rPr>
        <w:t>D</w:t>
      </w:r>
      <w:r w:rsidRPr="004431CB">
        <w:rPr>
          <w:rFonts w:cstheme="minorHAnsi"/>
          <w:i/>
          <w:iCs/>
          <w:lang w:val="nl-BE"/>
        </w:rPr>
        <w:t>roit</w:t>
      </w:r>
      <w:proofErr w:type="spellEnd"/>
      <w:r w:rsidRPr="004431CB">
        <w:rPr>
          <w:rFonts w:cstheme="minorHAnsi"/>
          <w:i/>
          <w:iCs/>
          <w:lang w:val="nl-BE"/>
        </w:rPr>
        <w:t xml:space="preserve"> </w:t>
      </w:r>
      <w:proofErr w:type="spellStart"/>
      <w:r w:rsidRPr="004431CB">
        <w:rPr>
          <w:rFonts w:cstheme="minorHAnsi"/>
          <w:i/>
          <w:iCs/>
          <w:lang w:val="nl-BE"/>
        </w:rPr>
        <w:t>international</w:t>
      </w:r>
      <w:proofErr w:type="spellEnd"/>
      <w:r w:rsidRPr="004431CB">
        <w:rPr>
          <w:rFonts w:cstheme="minorHAnsi"/>
          <w:i/>
          <w:iCs/>
          <w:lang w:val="nl-BE"/>
        </w:rPr>
        <w:t xml:space="preserve"> privé</w:t>
      </w:r>
      <w:r w:rsidRPr="004431CB">
        <w:rPr>
          <w:rFonts w:cstheme="minorHAnsi"/>
          <w:lang w:val="nl-BE"/>
        </w:rPr>
        <w:t xml:space="preserve">, t. I, 4de </w:t>
      </w:r>
      <w:proofErr w:type="spellStart"/>
      <w:r w:rsidRPr="004431CB">
        <w:rPr>
          <w:rFonts w:cstheme="minorHAnsi"/>
          <w:lang w:val="nl-BE"/>
        </w:rPr>
        <w:t>uitg</w:t>
      </w:r>
      <w:proofErr w:type="spellEnd"/>
      <w:r w:rsidRPr="004431CB">
        <w:rPr>
          <w:rFonts w:cstheme="minorHAnsi"/>
          <w:lang w:val="nl-BE"/>
        </w:rPr>
        <w:t xml:space="preserve">., PUF, 2017, 543, nr. 457. Als voorbeeld </w:t>
      </w:r>
      <w:r>
        <w:rPr>
          <w:rFonts w:cstheme="minorHAnsi"/>
          <w:lang w:val="nl-BE"/>
        </w:rPr>
        <w:t>verwijzen</w:t>
      </w:r>
      <w:r w:rsidRPr="004431CB">
        <w:rPr>
          <w:rFonts w:cstheme="minorHAnsi"/>
          <w:lang w:val="nl-BE"/>
        </w:rPr>
        <w:t xml:space="preserve"> Bureau en Muit Watt</w:t>
      </w:r>
      <w:r>
        <w:rPr>
          <w:rFonts w:cstheme="minorHAnsi"/>
          <w:lang w:val="nl-BE"/>
        </w:rPr>
        <w:t xml:space="preserve"> naar een wet die slavernij mogelijk maakt of raciale discriminatie toelaat.</w:t>
      </w:r>
    </w:p>
  </w:footnote>
  <w:footnote w:id="26">
    <w:p w14:paraId="7F28C021" w14:textId="5383170B" w:rsidR="006712CC" w:rsidRPr="00B14BED" w:rsidRDefault="006712CC" w:rsidP="00B14BED">
      <w:pPr>
        <w:pStyle w:val="Notedebasdepage"/>
        <w:jc w:val="both"/>
        <w:rPr>
          <w:rFonts w:cstheme="minorHAnsi"/>
        </w:rPr>
      </w:pPr>
      <w:r w:rsidRPr="00B14BED">
        <w:rPr>
          <w:rStyle w:val="Appelnotedebasdep"/>
          <w:rFonts w:cstheme="minorHAnsi"/>
        </w:rPr>
        <w:footnoteRef/>
      </w:r>
      <w:r w:rsidRPr="00B14BED">
        <w:rPr>
          <w:rFonts w:cstheme="minorHAnsi"/>
          <w:lang w:val="nl-BE"/>
        </w:rPr>
        <w:t xml:space="preserve"> Zie bijv. </w:t>
      </w:r>
      <w:proofErr w:type="spellStart"/>
      <w:r w:rsidRPr="00B14BED">
        <w:rPr>
          <w:rFonts w:cstheme="minorHAnsi"/>
          <w:lang w:val="nl-BE"/>
        </w:rPr>
        <w:t>Famrb</w:t>
      </w:r>
      <w:proofErr w:type="spellEnd"/>
      <w:r w:rsidRPr="00B14BED">
        <w:rPr>
          <w:rFonts w:cstheme="minorHAnsi"/>
          <w:lang w:val="nl-BE"/>
        </w:rPr>
        <w:t xml:space="preserve">. </w:t>
      </w:r>
      <w:r w:rsidRPr="00B14BED">
        <w:rPr>
          <w:rFonts w:cstheme="minorHAnsi"/>
        </w:rPr>
        <w:t xml:space="preserve">Brussel (12de k.), 8 </w:t>
      </w:r>
      <w:proofErr w:type="spellStart"/>
      <w:r w:rsidRPr="00B14BED">
        <w:rPr>
          <w:rFonts w:cstheme="minorHAnsi"/>
        </w:rPr>
        <w:t>januari</w:t>
      </w:r>
      <w:proofErr w:type="spellEnd"/>
      <w:r w:rsidRPr="00B14BED">
        <w:rPr>
          <w:rFonts w:cstheme="minorHAnsi"/>
        </w:rPr>
        <w:t xml:space="preserve"> 2018,</w:t>
      </w:r>
      <w:r w:rsidRPr="00B14BED">
        <w:rPr>
          <w:rFonts w:cstheme="minorHAnsi"/>
          <w:b/>
          <w:bCs/>
        </w:rPr>
        <w:t xml:space="preserve"> </w:t>
      </w:r>
      <w:proofErr w:type="spellStart"/>
      <w:r w:rsidRPr="00B14BED">
        <w:rPr>
          <w:rFonts w:cstheme="minorHAnsi"/>
          <w:i/>
          <w:iCs/>
        </w:rPr>
        <w:t>Act</w:t>
      </w:r>
      <w:proofErr w:type="spellEnd"/>
      <w:r w:rsidRPr="00B14BED">
        <w:rPr>
          <w:rFonts w:cstheme="minorHAnsi"/>
          <w:i/>
          <w:iCs/>
        </w:rPr>
        <w:t xml:space="preserve">. </w:t>
      </w:r>
      <w:proofErr w:type="spellStart"/>
      <w:r w:rsidRPr="00B14BED">
        <w:rPr>
          <w:rFonts w:cstheme="minorHAnsi"/>
          <w:i/>
          <w:iCs/>
        </w:rPr>
        <w:t>dr</w:t>
      </w:r>
      <w:proofErr w:type="spellEnd"/>
      <w:r w:rsidRPr="00B14BED">
        <w:rPr>
          <w:rFonts w:cstheme="minorHAnsi"/>
          <w:i/>
          <w:iCs/>
        </w:rPr>
        <w:t xml:space="preserve">. </w:t>
      </w:r>
      <w:proofErr w:type="spellStart"/>
      <w:r w:rsidRPr="00B14BED">
        <w:rPr>
          <w:rFonts w:cstheme="minorHAnsi"/>
          <w:i/>
          <w:iCs/>
        </w:rPr>
        <w:t>fam</w:t>
      </w:r>
      <w:proofErr w:type="spellEnd"/>
      <w:r w:rsidRPr="00B14BED">
        <w:rPr>
          <w:rFonts w:cstheme="minorHAnsi"/>
          <w:i/>
          <w:iCs/>
        </w:rPr>
        <w:t>.</w:t>
      </w:r>
      <w:r w:rsidRPr="00B14BED">
        <w:rPr>
          <w:rFonts w:cstheme="minorHAnsi"/>
        </w:rPr>
        <w:t>, 2019, 155, 157 (« Le tribunal estime qu’il n’y a effectivement pas en l’espèce, de fraude à la loi, le critère de rattachement, étant les lois nationales respectives des requérants, n’ayant pas été modifié”</w:t>
      </w:r>
      <w:proofErr w:type="gramStart"/>
      <w:r w:rsidRPr="00B14BED">
        <w:rPr>
          <w:rFonts w:cstheme="minorHAnsi"/>
        </w:rPr>
        <w:t>);</w:t>
      </w:r>
      <w:proofErr w:type="gramEnd"/>
      <w:r w:rsidRPr="00B14BED">
        <w:rPr>
          <w:rFonts w:cstheme="minorHAnsi"/>
        </w:rPr>
        <w:t xml:space="preserve"> Rb </w:t>
      </w:r>
      <w:proofErr w:type="spellStart"/>
      <w:r w:rsidRPr="00B14BED">
        <w:rPr>
          <w:rFonts w:cstheme="minorHAnsi"/>
        </w:rPr>
        <w:t>Luik</w:t>
      </w:r>
      <w:proofErr w:type="spellEnd"/>
      <w:r w:rsidRPr="00B14BED">
        <w:rPr>
          <w:rFonts w:cstheme="minorHAnsi"/>
        </w:rPr>
        <w:t xml:space="preserve"> (3</w:t>
      </w:r>
      <w:r w:rsidRPr="00B14BED">
        <w:rPr>
          <w:rFonts w:cstheme="minorHAnsi"/>
          <w:vertAlign w:val="superscript"/>
        </w:rPr>
        <w:t>de</w:t>
      </w:r>
      <w:r w:rsidRPr="00B14BED">
        <w:rPr>
          <w:rFonts w:cstheme="minorHAnsi"/>
        </w:rPr>
        <w:t xml:space="preserve"> k.), 15 </w:t>
      </w:r>
      <w:proofErr w:type="spellStart"/>
      <w:r w:rsidRPr="00B14BED">
        <w:rPr>
          <w:rFonts w:cstheme="minorHAnsi"/>
        </w:rPr>
        <w:t>maart</w:t>
      </w:r>
      <w:proofErr w:type="spellEnd"/>
      <w:r w:rsidRPr="00B14BED">
        <w:rPr>
          <w:rFonts w:cstheme="minorHAnsi"/>
        </w:rPr>
        <w:t xml:space="preserve"> 2013, </w:t>
      </w:r>
      <w:proofErr w:type="spellStart"/>
      <w:r w:rsidRPr="00B14BED">
        <w:rPr>
          <w:rFonts w:cstheme="minorHAnsi"/>
          <w:i/>
          <w:iCs/>
        </w:rPr>
        <w:t>Rev</w:t>
      </w:r>
      <w:proofErr w:type="spellEnd"/>
      <w:r w:rsidRPr="00B14BED">
        <w:rPr>
          <w:rFonts w:cstheme="minorHAnsi"/>
          <w:i/>
          <w:iCs/>
        </w:rPr>
        <w:t xml:space="preserve">. trim. </w:t>
      </w:r>
      <w:proofErr w:type="spellStart"/>
      <w:r w:rsidRPr="00B14BED">
        <w:rPr>
          <w:rFonts w:cstheme="minorHAnsi"/>
          <w:i/>
          <w:iCs/>
        </w:rPr>
        <w:t>dr</w:t>
      </w:r>
      <w:proofErr w:type="spellEnd"/>
      <w:r w:rsidRPr="00B14BED">
        <w:rPr>
          <w:rFonts w:cstheme="minorHAnsi"/>
          <w:i/>
          <w:iCs/>
        </w:rPr>
        <w:t xml:space="preserve">. </w:t>
      </w:r>
      <w:proofErr w:type="spellStart"/>
      <w:r w:rsidRPr="00B14BED">
        <w:rPr>
          <w:rFonts w:cstheme="minorHAnsi"/>
          <w:i/>
          <w:iCs/>
        </w:rPr>
        <w:t>fam</w:t>
      </w:r>
      <w:proofErr w:type="spellEnd"/>
      <w:r w:rsidRPr="00B14BED">
        <w:rPr>
          <w:rFonts w:cstheme="minorHAnsi"/>
          <w:i/>
          <w:iCs/>
        </w:rPr>
        <w:t>.</w:t>
      </w:r>
      <w:r w:rsidRPr="00B14BED">
        <w:rPr>
          <w:rFonts w:cstheme="minorHAnsi"/>
        </w:rPr>
        <w:t>, 2013, 714, 720 (“</w:t>
      </w:r>
      <w:r w:rsidRPr="00B14BED">
        <w:rPr>
          <w:rFonts w:eastAsia="TimesNRMTCo" w:cstheme="minorHAnsi"/>
        </w:rPr>
        <w:t>Dès lors que les requérants n’ont pas artificiellement acquis une autre nationalité, par exemple californienne, dans le but exclusif de voir leur filiation d’intention légitimée, il ne peut être question de fraude à la loi »).</w:t>
      </w:r>
    </w:p>
  </w:footnote>
  <w:footnote w:id="27">
    <w:p w14:paraId="31871991" w14:textId="3673B96A" w:rsidR="006712CC" w:rsidRPr="00B14BED" w:rsidRDefault="006712CC" w:rsidP="00B14BED">
      <w:pPr>
        <w:autoSpaceDE w:val="0"/>
        <w:autoSpaceDN w:val="0"/>
        <w:adjustRightInd w:val="0"/>
        <w:spacing w:after="0" w:line="240" w:lineRule="auto"/>
        <w:jc w:val="both"/>
        <w:rPr>
          <w:rFonts w:cstheme="minorHAnsi"/>
          <w:sz w:val="20"/>
          <w:szCs w:val="20"/>
        </w:rPr>
      </w:pPr>
      <w:r w:rsidRPr="00B14BED">
        <w:rPr>
          <w:rStyle w:val="Appelnotedebasdep"/>
          <w:rFonts w:cstheme="minorHAnsi"/>
          <w:sz w:val="20"/>
          <w:szCs w:val="20"/>
        </w:rPr>
        <w:footnoteRef/>
      </w:r>
      <w:r w:rsidRPr="006F659F">
        <w:rPr>
          <w:rFonts w:cstheme="minorHAnsi"/>
          <w:sz w:val="20"/>
          <w:szCs w:val="20"/>
        </w:rPr>
        <w:t xml:space="preserve"> </w:t>
      </w:r>
      <w:proofErr w:type="spellStart"/>
      <w:r w:rsidRPr="006F659F">
        <w:rPr>
          <w:rFonts w:cstheme="minorHAnsi"/>
          <w:sz w:val="20"/>
          <w:szCs w:val="20"/>
        </w:rPr>
        <w:t>Zie</w:t>
      </w:r>
      <w:proofErr w:type="spellEnd"/>
      <w:r w:rsidRPr="006F659F">
        <w:rPr>
          <w:rFonts w:cstheme="minorHAnsi"/>
          <w:sz w:val="20"/>
          <w:szCs w:val="20"/>
        </w:rPr>
        <w:t xml:space="preserve"> </w:t>
      </w:r>
      <w:proofErr w:type="spellStart"/>
      <w:r w:rsidRPr="006F659F">
        <w:rPr>
          <w:rFonts w:cstheme="minorHAnsi"/>
          <w:sz w:val="20"/>
          <w:szCs w:val="20"/>
        </w:rPr>
        <w:t>evenwel</w:t>
      </w:r>
      <w:proofErr w:type="spellEnd"/>
      <w:r w:rsidRPr="006F659F">
        <w:rPr>
          <w:rFonts w:cstheme="minorHAnsi"/>
          <w:sz w:val="20"/>
          <w:szCs w:val="20"/>
        </w:rPr>
        <w:t xml:space="preserve"> </w:t>
      </w:r>
      <w:proofErr w:type="spellStart"/>
      <w:r w:rsidR="006F659F" w:rsidRPr="006F659F">
        <w:rPr>
          <w:rFonts w:cstheme="minorHAnsi"/>
          <w:sz w:val="20"/>
          <w:szCs w:val="20"/>
        </w:rPr>
        <w:t>voor</w:t>
      </w:r>
      <w:proofErr w:type="spellEnd"/>
      <w:r w:rsidR="006F659F" w:rsidRPr="006F659F">
        <w:rPr>
          <w:rFonts w:cstheme="minorHAnsi"/>
          <w:sz w:val="20"/>
          <w:szCs w:val="20"/>
        </w:rPr>
        <w:t xml:space="preserve"> de </w:t>
      </w:r>
      <w:proofErr w:type="spellStart"/>
      <w:r w:rsidR="006F659F" w:rsidRPr="006F659F">
        <w:rPr>
          <w:rFonts w:cstheme="minorHAnsi"/>
          <w:sz w:val="20"/>
          <w:szCs w:val="20"/>
        </w:rPr>
        <w:t>verdediging</w:t>
      </w:r>
      <w:proofErr w:type="spellEnd"/>
      <w:r w:rsidR="006F659F" w:rsidRPr="006F659F">
        <w:rPr>
          <w:rFonts w:cstheme="minorHAnsi"/>
          <w:sz w:val="20"/>
          <w:szCs w:val="20"/>
        </w:rPr>
        <w:t xml:space="preserve"> van </w:t>
      </w:r>
      <w:proofErr w:type="spellStart"/>
      <w:r w:rsidR="006F659F" w:rsidRPr="006F659F">
        <w:rPr>
          <w:rFonts w:cstheme="minorHAnsi"/>
          <w:sz w:val="20"/>
          <w:szCs w:val="20"/>
        </w:rPr>
        <w:t>een</w:t>
      </w:r>
      <w:proofErr w:type="spellEnd"/>
      <w:r w:rsidR="006F659F" w:rsidRPr="006F659F">
        <w:rPr>
          <w:rFonts w:cstheme="minorHAnsi"/>
          <w:sz w:val="20"/>
          <w:szCs w:val="20"/>
        </w:rPr>
        <w:t xml:space="preserve"> </w:t>
      </w:r>
      <w:proofErr w:type="spellStart"/>
      <w:r w:rsidR="006F659F" w:rsidRPr="006F659F">
        <w:rPr>
          <w:rFonts w:cstheme="minorHAnsi"/>
          <w:sz w:val="20"/>
          <w:szCs w:val="20"/>
        </w:rPr>
        <w:t>beperkte</w:t>
      </w:r>
      <w:proofErr w:type="spellEnd"/>
      <w:r w:rsidR="006F659F" w:rsidRPr="006F659F">
        <w:rPr>
          <w:rFonts w:cstheme="minorHAnsi"/>
          <w:sz w:val="20"/>
          <w:szCs w:val="20"/>
        </w:rPr>
        <w:t xml:space="preserve"> </w:t>
      </w:r>
      <w:proofErr w:type="spellStart"/>
      <w:r w:rsidR="006F659F" w:rsidRPr="006F659F">
        <w:rPr>
          <w:rFonts w:cstheme="minorHAnsi"/>
          <w:sz w:val="20"/>
          <w:szCs w:val="20"/>
        </w:rPr>
        <w:t>visie</w:t>
      </w:r>
      <w:proofErr w:type="spellEnd"/>
      <w:r w:rsidR="006F659F" w:rsidRPr="006F659F">
        <w:rPr>
          <w:rFonts w:cstheme="minorHAnsi"/>
          <w:sz w:val="20"/>
          <w:szCs w:val="20"/>
        </w:rPr>
        <w:t xml:space="preserve"> van</w:t>
      </w:r>
      <w:r w:rsidRPr="006F659F">
        <w:rPr>
          <w:rFonts w:cstheme="minorHAnsi"/>
          <w:sz w:val="20"/>
          <w:szCs w:val="20"/>
        </w:rPr>
        <w:t xml:space="preserve"> </w:t>
      </w:r>
      <w:r w:rsidR="006F659F" w:rsidRPr="006F659F">
        <w:rPr>
          <w:rFonts w:cstheme="minorHAnsi"/>
          <w:sz w:val="20"/>
          <w:szCs w:val="20"/>
        </w:rPr>
        <w:t xml:space="preserve">de </w:t>
      </w:r>
      <w:proofErr w:type="spellStart"/>
      <w:r w:rsidR="006F659F" w:rsidRPr="006F659F">
        <w:rPr>
          <w:rFonts w:cstheme="minorHAnsi"/>
          <w:sz w:val="20"/>
          <w:szCs w:val="20"/>
        </w:rPr>
        <w:t>wetsontduiking</w:t>
      </w:r>
      <w:proofErr w:type="spellEnd"/>
      <w:r w:rsidR="006F659F">
        <w:rPr>
          <w:rFonts w:cstheme="minorHAnsi"/>
          <w:sz w:val="20"/>
          <w:szCs w:val="20"/>
        </w:rPr>
        <w:t xml:space="preserve"> : </w:t>
      </w:r>
      <w:r w:rsidRPr="006F659F">
        <w:rPr>
          <w:rFonts w:cstheme="minorHAnsi"/>
          <w:sz w:val="20"/>
          <w:szCs w:val="20"/>
        </w:rPr>
        <w:t xml:space="preserve">C. </w:t>
      </w:r>
      <w:proofErr w:type="spellStart"/>
      <w:r w:rsidRPr="00B14BED">
        <w:rPr>
          <w:rFonts w:cstheme="minorHAnsi"/>
          <w:smallCaps/>
          <w:sz w:val="20"/>
          <w:szCs w:val="20"/>
        </w:rPr>
        <w:t>Verbrouck</w:t>
      </w:r>
      <w:proofErr w:type="spellEnd"/>
      <w:r w:rsidRPr="00B14BED">
        <w:rPr>
          <w:rFonts w:cstheme="minorHAnsi"/>
          <w:sz w:val="20"/>
          <w:szCs w:val="20"/>
        </w:rPr>
        <w:t xml:space="preserve"> en C. </w:t>
      </w:r>
      <w:proofErr w:type="spellStart"/>
      <w:r w:rsidRPr="00B14BED">
        <w:rPr>
          <w:rFonts w:cstheme="minorHAnsi"/>
          <w:smallCaps/>
          <w:sz w:val="20"/>
          <w:szCs w:val="20"/>
        </w:rPr>
        <w:t>Bouyalski</w:t>
      </w:r>
      <w:proofErr w:type="spellEnd"/>
      <w:r w:rsidRPr="00B14BED">
        <w:rPr>
          <w:rFonts w:cstheme="minorHAnsi"/>
          <w:sz w:val="20"/>
          <w:szCs w:val="20"/>
        </w:rPr>
        <w:t xml:space="preserve">, « Gestation pour autrui : le temps d’un nécessaire encadrement de la </w:t>
      </w:r>
      <w:proofErr w:type="gramStart"/>
      <w:r w:rsidRPr="00B14BED">
        <w:rPr>
          <w:rFonts w:cstheme="minorHAnsi"/>
          <w:sz w:val="20"/>
          <w:szCs w:val="20"/>
        </w:rPr>
        <w:t>pratique»</w:t>
      </w:r>
      <w:proofErr w:type="gramEnd"/>
      <w:r w:rsidRPr="00B14BED">
        <w:rPr>
          <w:rFonts w:cstheme="minorHAnsi"/>
          <w:sz w:val="20"/>
          <w:szCs w:val="20"/>
        </w:rPr>
        <w:t xml:space="preserve">, </w:t>
      </w:r>
      <w:proofErr w:type="spellStart"/>
      <w:r w:rsidRPr="00B14BED">
        <w:rPr>
          <w:rFonts w:cstheme="minorHAnsi"/>
          <w:i/>
          <w:iCs/>
          <w:sz w:val="20"/>
          <w:szCs w:val="20"/>
        </w:rPr>
        <w:t>Rev</w:t>
      </w:r>
      <w:proofErr w:type="spellEnd"/>
      <w:r w:rsidRPr="00B14BED">
        <w:rPr>
          <w:rFonts w:cstheme="minorHAnsi"/>
          <w:i/>
          <w:iCs/>
          <w:sz w:val="20"/>
          <w:szCs w:val="20"/>
        </w:rPr>
        <w:t xml:space="preserve">. </w:t>
      </w:r>
      <w:proofErr w:type="spellStart"/>
      <w:r w:rsidRPr="00B14BED">
        <w:rPr>
          <w:rFonts w:cstheme="minorHAnsi"/>
          <w:i/>
          <w:iCs/>
          <w:sz w:val="20"/>
          <w:szCs w:val="20"/>
        </w:rPr>
        <w:t>dr</w:t>
      </w:r>
      <w:proofErr w:type="spellEnd"/>
      <w:r w:rsidRPr="00B14BED">
        <w:rPr>
          <w:rFonts w:cstheme="minorHAnsi"/>
          <w:i/>
          <w:iCs/>
          <w:sz w:val="20"/>
          <w:szCs w:val="20"/>
        </w:rPr>
        <w:t xml:space="preserve">. </w:t>
      </w:r>
      <w:proofErr w:type="spellStart"/>
      <w:r w:rsidRPr="00B14BED">
        <w:rPr>
          <w:rFonts w:cstheme="minorHAnsi"/>
          <w:i/>
          <w:iCs/>
          <w:sz w:val="20"/>
          <w:szCs w:val="20"/>
        </w:rPr>
        <w:t>étr</w:t>
      </w:r>
      <w:proofErr w:type="spellEnd"/>
      <w:r w:rsidRPr="00B14BED">
        <w:rPr>
          <w:rFonts w:cstheme="minorHAnsi"/>
          <w:i/>
          <w:iCs/>
          <w:sz w:val="20"/>
          <w:szCs w:val="20"/>
        </w:rPr>
        <w:t>.</w:t>
      </w:r>
      <w:r w:rsidRPr="00B14BED">
        <w:rPr>
          <w:rFonts w:cstheme="minorHAnsi"/>
          <w:sz w:val="20"/>
          <w:szCs w:val="20"/>
        </w:rPr>
        <w:t xml:space="preserve">, 2014, 167 en J. </w:t>
      </w:r>
      <w:proofErr w:type="spellStart"/>
      <w:r w:rsidRPr="00B14BED">
        <w:rPr>
          <w:rFonts w:cstheme="minorHAnsi"/>
          <w:smallCaps/>
          <w:sz w:val="20"/>
          <w:szCs w:val="20"/>
        </w:rPr>
        <w:t>Sosson</w:t>
      </w:r>
      <w:proofErr w:type="spellEnd"/>
      <w:r w:rsidRPr="00B14BED">
        <w:rPr>
          <w:rFonts w:cstheme="minorHAnsi"/>
          <w:sz w:val="20"/>
          <w:szCs w:val="20"/>
        </w:rPr>
        <w:t xml:space="preserve"> et J. </w:t>
      </w:r>
      <w:r w:rsidRPr="00B14BED">
        <w:rPr>
          <w:rFonts w:cstheme="minorHAnsi"/>
          <w:smallCaps/>
          <w:sz w:val="20"/>
          <w:szCs w:val="20"/>
        </w:rPr>
        <w:t>Mary</w:t>
      </w:r>
      <w:r w:rsidRPr="00B14BED">
        <w:rPr>
          <w:rFonts w:cstheme="minorHAnsi"/>
          <w:sz w:val="20"/>
          <w:szCs w:val="20"/>
        </w:rPr>
        <w:t xml:space="preserve">, « Gestation pour autrui pratiquée à l’étranger : l’intérêt de l’enfant, sésame d’une reconnaissance en Belgique ? », </w:t>
      </w:r>
      <w:proofErr w:type="spellStart"/>
      <w:r w:rsidRPr="00B14BED">
        <w:rPr>
          <w:rFonts w:cstheme="minorHAnsi"/>
          <w:i/>
          <w:iCs/>
          <w:sz w:val="20"/>
          <w:szCs w:val="20"/>
        </w:rPr>
        <w:t>Rev</w:t>
      </w:r>
      <w:proofErr w:type="spellEnd"/>
      <w:r w:rsidRPr="00B14BED">
        <w:rPr>
          <w:rFonts w:cstheme="minorHAnsi"/>
          <w:i/>
          <w:iCs/>
          <w:sz w:val="20"/>
          <w:szCs w:val="20"/>
        </w:rPr>
        <w:t xml:space="preserve">. trim. </w:t>
      </w:r>
      <w:proofErr w:type="spellStart"/>
      <w:r w:rsidRPr="00B14BED">
        <w:rPr>
          <w:rFonts w:cstheme="minorHAnsi"/>
          <w:i/>
          <w:iCs/>
          <w:sz w:val="20"/>
          <w:szCs w:val="20"/>
        </w:rPr>
        <w:t>dr</w:t>
      </w:r>
      <w:proofErr w:type="spellEnd"/>
      <w:r w:rsidRPr="00B14BED">
        <w:rPr>
          <w:rFonts w:cstheme="minorHAnsi"/>
          <w:i/>
          <w:iCs/>
          <w:sz w:val="20"/>
          <w:szCs w:val="20"/>
        </w:rPr>
        <w:t xml:space="preserve">. </w:t>
      </w:r>
      <w:proofErr w:type="spellStart"/>
      <w:r w:rsidRPr="00B14BED">
        <w:rPr>
          <w:rFonts w:cstheme="minorHAnsi"/>
          <w:i/>
          <w:iCs/>
          <w:sz w:val="20"/>
          <w:szCs w:val="20"/>
        </w:rPr>
        <w:t>fam</w:t>
      </w:r>
      <w:proofErr w:type="spellEnd"/>
      <w:r w:rsidRPr="00B14BED">
        <w:rPr>
          <w:rFonts w:cstheme="minorHAnsi"/>
          <w:i/>
          <w:iCs/>
          <w:sz w:val="20"/>
          <w:szCs w:val="20"/>
        </w:rPr>
        <w:t>.</w:t>
      </w:r>
      <w:r w:rsidRPr="00B14BED">
        <w:rPr>
          <w:rFonts w:cstheme="minorHAnsi"/>
          <w:sz w:val="20"/>
          <w:szCs w:val="20"/>
        </w:rPr>
        <w:t>, 2014, (552),</w:t>
      </w:r>
      <w:r>
        <w:rPr>
          <w:rFonts w:cstheme="minorHAnsi"/>
          <w:sz w:val="20"/>
          <w:szCs w:val="20"/>
        </w:rPr>
        <w:t xml:space="preserve"> </w:t>
      </w:r>
      <w:r w:rsidRPr="00B14BED">
        <w:rPr>
          <w:rFonts w:cstheme="minorHAnsi"/>
          <w:sz w:val="20"/>
          <w:szCs w:val="20"/>
        </w:rPr>
        <w:t xml:space="preserve">564. </w:t>
      </w:r>
    </w:p>
  </w:footnote>
  <w:footnote w:id="28">
    <w:p w14:paraId="4368EE13" w14:textId="6DEC036D" w:rsidR="006712CC" w:rsidRPr="00B14BED" w:rsidRDefault="006712CC" w:rsidP="00B14BED">
      <w:pPr>
        <w:pStyle w:val="Notedebasdepage"/>
        <w:jc w:val="both"/>
        <w:rPr>
          <w:rFonts w:cstheme="minorHAnsi"/>
        </w:rPr>
      </w:pPr>
      <w:r w:rsidRPr="00B14BED">
        <w:rPr>
          <w:rStyle w:val="Appelnotedebasdep"/>
          <w:rFonts w:cstheme="minorHAnsi"/>
        </w:rPr>
        <w:footnoteRef/>
      </w:r>
      <w:r w:rsidRPr="00B14BED">
        <w:rPr>
          <w:rFonts w:cstheme="minorHAnsi"/>
        </w:rPr>
        <w:t xml:space="preserve"> </w:t>
      </w:r>
      <w:r w:rsidRPr="00B14BED">
        <w:rPr>
          <w:rFonts w:cstheme="minorHAnsi"/>
          <w:smallCaps/>
        </w:rPr>
        <w:t>N. Watté</w:t>
      </w:r>
      <w:r w:rsidRPr="00B14BED">
        <w:rPr>
          <w:rFonts w:cstheme="minorHAnsi"/>
        </w:rPr>
        <w:t xml:space="preserve"> et R. </w:t>
      </w:r>
      <w:proofErr w:type="spellStart"/>
      <w:r w:rsidRPr="00B14BED">
        <w:rPr>
          <w:rFonts w:cstheme="minorHAnsi"/>
          <w:smallCaps/>
        </w:rPr>
        <w:t>Jafferali</w:t>
      </w:r>
      <w:proofErr w:type="spellEnd"/>
      <w:r w:rsidRPr="00B14BED">
        <w:rPr>
          <w:rFonts w:cstheme="minorHAnsi"/>
        </w:rPr>
        <w:t xml:space="preserve">, </w:t>
      </w:r>
      <w:r w:rsidRPr="00B14BED">
        <w:rPr>
          <w:rFonts w:cstheme="minorHAnsi"/>
          <w:i/>
          <w:iCs/>
        </w:rPr>
        <w:t xml:space="preserve">op. </w:t>
      </w:r>
      <w:proofErr w:type="spellStart"/>
      <w:proofErr w:type="gramStart"/>
      <w:r w:rsidRPr="00B14BED">
        <w:rPr>
          <w:rFonts w:cstheme="minorHAnsi"/>
          <w:i/>
          <w:iCs/>
        </w:rPr>
        <w:t>cit</w:t>
      </w:r>
      <w:proofErr w:type="spellEnd"/>
      <w:proofErr w:type="gramEnd"/>
      <w:r w:rsidRPr="00B14BED">
        <w:rPr>
          <w:rFonts w:cstheme="minorHAnsi"/>
          <w:i/>
          <w:iCs/>
        </w:rPr>
        <w:t>.</w:t>
      </w:r>
      <w:r w:rsidRPr="00B14BED">
        <w:rPr>
          <w:rFonts w:cstheme="minorHAnsi"/>
        </w:rPr>
        <w:t>, 288, nr. 178.</w:t>
      </w:r>
    </w:p>
  </w:footnote>
  <w:footnote w:id="29">
    <w:p w14:paraId="306DCB16" w14:textId="19B75DA2" w:rsidR="006712CC" w:rsidRPr="00B14BED" w:rsidRDefault="006712CC" w:rsidP="00B14BED">
      <w:pPr>
        <w:pStyle w:val="Notedebasdepage"/>
        <w:jc w:val="both"/>
        <w:rPr>
          <w:rFonts w:cstheme="minorHAnsi"/>
        </w:rPr>
      </w:pPr>
      <w:r w:rsidRPr="00B14BED">
        <w:rPr>
          <w:rStyle w:val="Appelnotedebasdep"/>
          <w:rFonts w:cstheme="minorHAnsi"/>
        </w:rPr>
        <w:footnoteRef/>
      </w:r>
      <w:r w:rsidRPr="00B14BED">
        <w:rPr>
          <w:rFonts w:cstheme="minorHAnsi"/>
        </w:rPr>
        <w:t xml:space="preserve"> </w:t>
      </w:r>
      <w:proofErr w:type="spellStart"/>
      <w:r w:rsidRPr="00B14BED">
        <w:rPr>
          <w:rFonts w:cstheme="minorHAnsi"/>
        </w:rPr>
        <w:t>Zie</w:t>
      </w:r>
      <w:proofErr w:type="spellEnd"/>
      <w:r w:rsidRPr="00B14BED">
        <w:rPr>
          <w:rFonts w:cstheme="minorHAnsi"/>
        </w:rPr>
        <w:t xml:space="preserve"> S. </w:t>
      </w:r>
      <w:proofErr w:type="spellStart"/>
      <w:r w:rsidRPr="00B14BED">
        <w:rPr>
          <w:rFonts w:cstheme="minorHAnsi"/>
          <w:smallCaps/>
        </w:rPr>
        <w:t>Pfeiff</w:t>
      </w:r>
      <w:proofErr w:type="spellEnd"/>
      <w:r w:rsidRPr="00B14BED">
        <w:rPr>
          <w:rFonts w:cstheme="minorHAnsi"/>
        </w:rPr>
        <w:t xml:space="preserve"> en </w:t>
      </w:r>
      <w:r w:rsidRPr="00B14BED">
        <w:rPr>
          <w:rFonts w:cstheme="minorHAnsi"/>
          <w:smallCaps/>
        </w:rPr>
        <w:t>J. Mary</w:t>
      </w:r>
      <w:r w:rsidRPr="00B14BED">
        <w:rPr>
          <w:rFonts w:cstheme="minorHAnsi"/>
        </w:rPr>
        <w:t xml:space="preserve">, « Procréation médicalement assistée, gestation pour autrui et droit international privé : questions choisies », in </w:t>
      </w:r>
      <w:r w:rsidRPr="00B14BED">
        <w:rPr>
          <w:rFonts w:cstheme="minorHAnsi"/>
          <w:i/>
          <w:iCs/>
        </w:rPr>
        <w:t>Procréation médicalement assistée et gestation pour autrui. Regards croisés du droit et de la pratique familiale</w:t>
      </w:r>
      <w:r w:rsidRPr="00B14BED">
        <w:rPr>
          <w:rFonts w:cstheme="minorHAnsi"/>
        </w:rPr>
        <w:t xml:space="preserve">, N. </w:t>
      </w:r>
      <w:proofErr w:type="spellStart"/>
      <w:r w:rsidRPr="00B14BED">
        <w:rPr>
          <w:rFonts w:cstheme="minorHAnsi"/>
          <w:smallCaps/>
        </w:rPr>
        <w:t>Massager</w:t>
      </w:r>
      <w:proofErr w:type="spellEnd"/>
      <w:r w:rsidRPr="00B14BED">
        <w:rPr>
          <w:rFonts w:cstheme="minorHAnsi"/>
        </w:rPr>
        <w:t xml:space="preserve"> en </w:t>
      </w:r>
      <w:r w:rsidRPr="00B14BED">
        <w:rPr>
          <w:rFonts w:cstheme="minorHAnsi"/>
          <w:smallCaps/>
        </w:rPr>
        <w:t>N. Gallus</w:t>
      </w:r>
      <w:r w:rsidRPr="00B14BED">
        <w:rPr>
          <w:rFonts w:cstheme="minorHAnsi"/>
        </w:rPr>
        <w:t xml:space="preserve"> (</w:t>
      </w:r>
      <w:proofErr w:type="spellStart"/>
      <w:r w:rsidRPr="00B14BED">
        <w:rPr>
          <w:rFonts w:cstheme="minorHAnsi"/>
        </w:rPr>
        <w:t>eds</w:t>
      </w:r>
      <w:proofErr w:type="spellEnd"/>
      <w:r w:rsidRPr="00B14BED">
        <w:rPr>
          <w:rFonts w:cstheme="minorHAnsi"/>
        </w:rPr>
        <w:t xml:space="preserve">.), </w:t>
      </w:r>
      <w:proofErr w:type="spellStart"/>
      <w:r w:rsidRPr="00B14BED">
        <w:rPr>
          <w:rFonts w:cstheme="minorHAnsi"/>
        </w:rPr>
        <w:t>Anthemis</w:t>
      </w:r>
      <w:proofErr w:type="spellEnd"/>
      <w:r w:rsidRPr="00B14BED">
        <w:rPr>
          <w:rFonts w:cstheme="minorHAnsi"/>
        </w:rPr>
        <w:t>, 2017,</w:t>
      </w:r>
      <w:r>
        <w:rPr>
          <w:rFonts w:cstheme="minorHAnsi"/>
        </w:rPr>
        <w:t xml:space="preserve"> </w:t>
      </w:r>
      <w:r w:rsidRPr="00B14BED">
        <w:rPr>
          <w:rFonts w:cstheme="minorHAnsi"/>
        </w:rPr>
        <w:t xml:space="preserve">200, nr. 33. </w:t>
      </w:r>
      <w:proofErr w:type="spellStart"/>
      <w:r w:rsidRPr="00B14BED">
        <w:rPr>
          <w:rFonts w:cstheme="minorHAnsi"/>
        </w:rPr>
        <w:t>Volgens</w:t>
      </w:r>
      <w:proofErr w:type="spellEnd"/>
      <w:r w:rsidRPr="00B14BED">
        <w:rPr>
          <w:rFonts w:cstheme="minorHAnsi"/>
        </w:rPr>
        <w:t xml:space="preserve"> </w:t>
      </w:r>
      <w:proofErr w:type="spellStart"/>
      <w:r w:rsidRPr="00B14BED">
        <w:rPr>
          <w:rFonts w:cstheme="minorHAnsi"/>
        </w:rPr>
        <w:t>Pfeiff</w:t>
      </w:r>
      <w:proofErr w:type="spellEnd"/>
      <w:r w:rsidRPr="00B14BED">
        <w:rPr>
          <w:rFonts w:cstheme="minorHAnsi"/>
        </w:rPr>
        <w:t xml:space="preserve"> en Mary, « [i]l nous semble en effet difficilement contestable que, dans la majorité des cas de délocalisation procréative, les parents d’intention aient tenté de se procurer à l’étranger ce qui leur était refusé dans leur Etat d’origine ».</w:t>
      </w:r>
    </w:p>
  </w:footnote>
  <w:footnote w:id="30">
    <w:p w14:paraId="3CF1E362" w14:textId="692854F8" w:rsidR="006712CC" w:rsidRPr="00B14BED" w:rsidRDefault="006712CC" w:rsidP="00B14BED">
      <w:pPr>
        <w:pStyle w:val="Notedebasdepage"/>
        <w:jc w:val="both"/>
        <w:rPr>
          <w:rFonts w:cstheme="minorHAnsi"/>
          <w:lang w:val="en-US"/>
        </w:rPr>
      </w:pPr>
      <w:r w:rsidRPr="00B14BED">
        <w:rPr>
          <w:rStyle w:val="Appelnotedebasdep"/>
          <w:rFonts w:cstheme="minorHAnsi"/>
        </w:rPr>
        <w:footnoteRef/>
      </w:r>
      <w:r w:rsidRPr="00B14BED">
        <w:rPr>
          <w:rFonts w:cstheme="minorHAnsi"/>
          <w:lang w:val="en-US"/>
        </w:rPr>
        <w:t xml:space="preserve"> Gent, 20 </w:t>
      </w:r>
      <w:proofErr w:type="spellStart"/>
      <w:r w:rsidRPr="00B14BED">
        <w:rPr>
          <w:rFonts w:cstheme="minorHAnsi"/>
          <w:lang w:val="en-US"/>
        </w:rPr>
        <w:t>april</w:t>
      </w:r>
      <w:proofErr w:type="spellEnd"/>
      <w:r w:rsidRPr="00B14BED">
        <w:rPr>
          <w:rFonts w:cstheme="minorHAnsi"/>
          <w:lang w:val="en-US"/>
        </w:rPr>
        <w:t xml:space="preserve"> 2017, </w:t>
      </w:r>
      <w:r w:rsidRPr="00B14BED">
        <w:rPr>
          <w:rFonts w:cstheme="minorHAnsi"/>
          <w:i/>
          <w:iCs/>
          <w:lang w:val="en-US"/>
        </w:rPr>
        <w:t>Tijdschrift@ipr.be</w:t>
      </w:r>
      <w:r w:rsidRPr="00B14BED">
        <w:rPr>
          <w:rFonts w:cstheme="minorHAnsi"/>
          <w:lang w:val="en-US"/>
        </w:rPr>
        <w:t>, 2017/3,</w:t>
      </w:r>
      <w:r>
        <w:rPr>
          <w:rFonts w:cstheme="minorHAnsi"/>
          <w:lang w:val="en-US"/>
        </w:rPr>
        <w:t xml:space="preserve"> </w:t>
      </w:r>
      <w:r w:rsidRPr="00B14BED">
        <w:rPr>
          <w:rFonts w:cstheme="minorHAnsi"/>
          <w:lang w:val="en-US"/>
        </w:rPr>
        <w:t>71.</w:t>
      </w:r>
    </w:p>
  </w:footnote>
  <w:footnote w:id="31">
    <w:p w14:paraId="40A596FD" w14:textId="61913B00" w:rsidR="006712CC" w:rsidRPr="00B14BED" w:rsidRDefault="006712CC" w:rsidP="00B14BED">
      <w:pPr>
        <w:pStyle w:val="Notedebasdepage"/>
        <w:jc w:val="both"/>
        <w:rPr>
          <w:rFonts w:cstheme="minorHAnsi"/>
        </w:rPr>
      </w:pPr>
      <w:r w:rsidRPr="00B14BED">
        <w:rPr>
          <w:rStyle w:val="Appelnotedebasdep"/>
          <w:rFonts w:cstheme="minorHAnsi"/>
        </w:rPr>
        <w:footnoteRef/>
      </w:r>
      <w:r w:rsidRPr="00B14BED">
        <w:rPr>
          <w:rFonts w:cstheme="minorHAnsi"/>
          <w:lang w:val="en-US"/>
        </w:rPr>
        <w:t xml:space="preserve"> De </w:t>
      </w:r>
      <w:proofErr w:type="spellStart"/>
      <w:r w:rsidRPr="00B14BED">
        <w:rPr>
          <w:rFonts w:cstheme="minorHAnsi"/>
          <w:lang w:val="en-US"/>
        </w:rPr>
        <w:t>titel</w:t>
      </w:r>
      <w:proofErr w:type="spellEnd"/>
      <w:r w:rsidRPr="00B14BED">
        <w:rPr>
          <w:rFonts w:cstheme="minorHAnsi"/>
          <w:lang w:val="en-US"/>
        </w:rPr>
        <w:t xml:space="preserve"> van </w:t>
      </w:r>
      <w:proofErr w:type="spellStart"/>
      <w:r w:rsidRPr="00B14BED">
        <w:rPr>
          <w:rFonts w:cstheme="minorHAnsi"/>
          <w:lang w:val="en-US"/>
        </w:rPr>
        <w:t>een</w:t>
      </w:r>
      <w:proofErr w:type="spellEnd"/>
      <w:r w:rsidRPr="00B14BED">
        <w:rPr>
          <w:rFonts w:cstheme="minorHAnsi"/>
          <w:lang w:val="en-US"/>
        </w:rPr>
        <w:t xml:space="preserve"> </w:t>
      </w:r>
      <w:proofErr w:type="spellStart"/>
      <w:r w:rsidRPr="00B14BED">
        <w:rPr>
          <w:rFonts w:cstheme="minorHAnsi"/>
          <w:lang w:val="en-US"/>
        </w:rPr>
        <w:t>annotatie</w:t>
      </w:r>
      <w:proofErr w:type="spellEnd"/>
      <w:r w:rsidRPr="00B14BED">
        <w:rPr>
          <w:rFonts w:cstheme="minorHAnsi"/>
          <w:lang w:val="en-US"/>
        </w:rPr>
        <w:t xml:space="preserve"> door </w:t>
      </w:r>
      <w:proofErr w:type="spellStart"/>
      <w:r w:rsidRPr="00B14BED">
        <w:rPr>
          <w:rFonts w:cstheme="minorHAnsi"/>
          <w:lang w:val="en-US"/>
        </w:rPr>
        <w:t>Franse</w:t>
      </w:r>
      <w:proofErr w:type="spellEnd"/>
      <w:r w:rsidRPr="00B14BED">
        <w:rPr>
          <w:rFonts w:cstheme="minorHAnsi"/>
          <w:lang w:val="en-US"/>
        </w:rPr>
        <w:t xml:space="preserve"> auteurs, van het arrest </w:t>
      </w:r>
      <w:proofErr w:type="spellStart"/>
      <w:r w:rsidRPr="00B14BED">
        <w:rPr>
          <w:rFonts w:cstheme="minorHAnsi"/>
          <w:lang w:val="en-US"/>
        </w:rPr>
        <w:t>Mennesson</w:t>
      </w:r>
      <w:proofErr w:type="spellEnd"/>
      <w:r w:rsidRPr="00B14BED">
        <w:rPr>
          <w:rFonts w:cstheme="minorHAnsi"/>
          <w:lang w:val="en-US"/>
        </w:rPr>
        <w:t xml:space="preserve"> </w:t>
      </w:r>
      <w:proofErr w:type="spellStart"/>
      <w:r w:rsidRPr="00B14BED">
        <w:rPr>
          <w:rFonts w:cstheme="minorHAnsi"/>
          <w:lang w:val="en-US"/>
        </w:rPr>
        <w:t>spreekt</w:t>
      </w:r>
      <w:proofErr w:type="spellEnd"/>
      <w:r w:rsidRPr="00B14BED">
        <w:rPr>
          <w:rFonts w:cstheme="minorHAnsi"/>
          <w:lang w:val="en-US"/>
        </w:rPr>
        <w:t xml:space="preserve"> in </w:t>
      </w:r>
      <w:proofErr w:type="spellStart"/>
      <w:r w:rsidRPr="00B14BED">
        <w:rPr>
          <w:rFonts w:cstheme="minorHAnsi"/>
          <w:lang w:val="en-US"/>
        </w:rPr>
        <w:t>dit</w:t>
      </w:r>
      <w:proofErr w:type="spellEnd"/>
      <w:r w:rsidRPr="00B14BED">
        <w:rPr>
          <w:rFonts w:cstheme="minorHAnsi"/>
          <w:lang w:val="en-US"/>
        </w:rPr>
        <w:t xml:space="preserve"> </w:t>
      </w:r>
      <w:proofErr w:type="spellStart"/>
      <w:r w:rsidRPr="00B14BED">
        <w:rPr>
          <w:rFonts w:cstheme="minorHAnsi"/>
          <w:lang w:val="en-US"/>
        </w:rPr>
        <w:t>verband</w:t>
      </w:r>
      <w:proofErr w:type="spellEnd"/>
      <w:r w:rsidRPr="00B14BED">
        <w:rPr>
          <w:rFonts w:cstheme="minorHAnsi"/>
          <w:lang w:val="en-US"/>
        </w:rPr>
        <w:t xml:space="preserve"> </w:t>
      </w:r>
      <w:proofErr w:type="spellStart"/>
      <w:proofErr w:type="gramStart"/>
      <w:r w:rsidRPr="00B14BED">
        <w:rPr>
          <w:rFonts w:cstheme="minorHAnsi"/>
          <w:lang w:val="en-US"/>
        </w:rPr>
        <w:t>boekdelen</w:t>
      </w:r>
      <w:proofErr w:type="spellEnd"/>
      <w:r w:rsidRPr="00B14BED">
        <w:rPr>
          <w:rFonts w:cstheme="minorHAnsi"/>
          <w:lang w:val="en-US"/>
        </w:rPr>
        <w:t> :</w:t>
      </w:r>
      <w:proofErr w:type="gramEnd"/>
      <w:r w:rsidRPr="00B14BED">
        <w:rPr>
          <w:rFonts w:cstheme="minorHAnsi"/>
          <w:lang w:val="en-US"/>
        </w:rPr>
        <w:t xml:space="preserve"> H. </w:t>
      </w:r>
      <w:proofErr w:type="spellStart"/>
      <w:r w:rsidRPr="00B14BED">
        <w:rPr>
          <w:rFonts w:cstheme="minorHAnsi"/>
          <w:smallCaps/>
          <w:lang w:val="en-US"/>
        </w:rPr>
        <w:t>Fulchiron</w:t>
      </w:r>
      <w:proofErr w:type="spellEnd"/>
      <w:r w:rsidRPr="00B14BED">
        <w:rPr>
          <w:rFonts w:cstheme="minorHAnsi"/>
          <w:lang w:val="en-US"/>
        </w:rPr>
        <w:t xml:space="preserve"> </w:t>
      </w:r>
      <w:proofErr w:type="spellStart"/>
      <w:r w:rsidRPr="00B14BED">
        <w:rPr>
          <w:rFonts w:cstheme="minorHAnsi"/>
          <w:lang w:val="en-US"/>
        </w:rPr>
        <w:t>en</w:t>
      </w:r>
      <w:proofErr w:type="spellEnd"/>
      <w:r w:rsidRPr="00B14BED">
        <w:rPr>
          <w:rFonts w:cstheme="minorHAnsi"/>
          <w:lang w:val="en-US"/>
        </w:rPr>
        <w:t xml:space="preserve"> C. </w:t>
      </w:r>
      <w:proofErr w:type="spellStart"/>
      <w:r w:rsidRPr="00B14BED">
        <w:rPr>
          <w:rFonts w:cstheme="minorHAnsi"/>
          <w:smallCaps/>
          <w:lang w:val="en-US"/>
        </w:rPr>
        <w:t>Bidaud-Garon</w:t>
      </w:r>
      <w:proofErr w:type="spellEnd"/>
      <w:r w:rsidRPr="00B14BED">
        <w:rPr>
          <w:rFonts w:cstheme="minorHAnsi"/>
          <w:lang w:val="en-US"/>
        </w:rPr>
        <w:t xml:space="preserve">, « Ne </w:t>
      </w:r>
      <w:proofErr w:type="spellStart"/>
      <w:r w:rsidRPr="00B14BED">
        <w:rPr>
          <w:rFonts w:cstheme="minorHAnsi"/>
          <w:lang w:val="en-US"/>
        </w:rPr>
        <w:t>punissez</w:t>
      </w:r>
      <w:proofErr w:type="spellEnd"/>
      <w:r w:rsidRPr="00B14BED">
        <w:rPr>
          <w:rFonts w:cstheme="minorHAnsi"/>
          <w:lang w:val="en-US"/>
        </w:rPr>
        <w:t xml:space="preserve"> pas les enfants des </w:t>
      </w:r>
      <w:proofErr w:type="spellStart"/>
      <w:r w:rsidRPr="00B14BED">
        <w:rPr>
          <w:rFonts w:cstheme="minorHAnsi"/>
          <w:lang w:val="en-US"/>
        </w:rPr>
        <w:t>fautes</w:t>
      </w:r>
      <w:proofErr w:type="spellEnd"/>
      <w:r w:rsidRPr="00B14BED">
        <w:rPr>
          <w:rFonts w:cstheme="minorHAnsi"/>
          <w:lang w:val="en-US"/>
        </w:rPr>
        <w:t xml:space="preserve"> de </w:t>
      </w:r>
      <w:proofErr w:type="spellStart"/>
      <w:r w:rsidRPr="00B14BED">
        <w:rPr>
          <w:rFonts w:cstheme="minorHAnsi"/>
          <w:lang w:val="en-US"/>
        </w:rPr>
        <w:t>leurs</w:t>
      </w:r>
      <w:proofErr w:type="spellEnd"/>
      <w:r w:rsidRPr="00B14BED">
        <w:rPr>
          <w:rFonts w:cstheme="minorHAnsi"/>
          <w:lang w:val="en-US"/>
        </w:rPr>
        <w:t xml:space="preserve"> </w:t>
      </w:r>
      <w:proofErr w:type="spellStart"/>
      <w:r w:rsidRPr="00B14BED">
        <w:rPr>
          <w:rFonts w:cstheme="minorHAnsi"/>
          <w:lang w:val="en-US"/>
        </w:rPr>
        <w:t>pères</w:t>
      </w:r>
      <w:proofErr w:type="spellEnd"/>
      <w:r w:rsidRPr="00B14BED">
        <w:rPr>
          <w:rFonts w:cstheme="minorHAnsi"/>
          <w:lang w:val="en-US"/>
        </w:rPr>
        <w:t xml:space="preserve">. </w:t>
      </w:r>
      <w:r w:rsidRPr="00B14BED">
        <w:rPr>
          <w:rFonts w:cstheme="minorHAnsi"/>
        </w:rPr>
        <w:t>Regard prospectif sur les arrêts ‘</w:t>
      </w:r>
      <w:proofErr w:type="spellStart"/>
      <w:r w:rsidRPr="00B14BED">
        <w:rPr>
          <w:rFonts w:cstheme="minorHAnsi"/>
        </w:rPr>
        <w:t>Labassée</w:t>
      </w:r>
      <w:proofErr w:type="spellEnd"/>
      <w:r w:rsidRPr="00B14BED">
        <w:rPr>
          <w:rFonts w:cstheme="minorHAnsi"/>
        </w:rPr>
        <w:t xml:space="preserve">’ et ‘Mennesson’ de la Cour EDH du 26 juin 2014 », </w:t>
      </w:r>
      <w:r w:rsidRPr="00B14BED">
        <w:rPr>
          <w:rFonts w:cstheme="minorHAnsi"/>
          <w:i/>
          <w:iCs/>
        </w:rPr>
        <w:t>D.</w:t>
      </w:r>
      <w:r w:rsidRPr="00B14BED">
        <w:rPr>
          <w:rFonts w:cstheme="minorHAnsi"/>
        </w:rPr>
        <w:t>, 2014, 1773-1782.</w:t>
      </w:r>
    </w:p>
  </w:footnote>
  <w:footnote w:id="32">
    <w:p w14:paraId="715635C9" w14:textId="02870559" w:rsidR="006712CC" w:rsidRPr="00B14BED" w:rsidRDefault="006712CC" w:rsidP="00B14BED">
      <w:pPr>
        <w:pStyle w:val="Notedebasdepage"/>
        <w:jc w:val="both"/>
        <w:rPr>
          <w:lang w:val="nl-BE"/>
        </w:rPr>
      </w:pPr>
      <w:r w:rsidRPr="00B14BED">
        <w:rPr>
          <w:rStyle w:val="Appelnotedebasdep"/>
        </w:rPr>
        <w:footnoteRef/>
      </w:r>
      <w:r w:rsidRPr="00B14BED">
        <w:rPr>
          <w:lang w:val="nl-BE"/>
        </w:rPr>
        <w:t xml:space="preserve"> </w:t>
      </w:r>
      <w:proofErr w:type="spellStart"/>
      <w:r w:rsidRPr="00B14BED">
        <w:rPr>
          <w:lang w:val="nl-BE"/>
        </w:rPr>
        <w:t>Eur</w:t>
      </w:r>
      <w:proofErr w:type="spellEnd"/>
      <w:r w:rsidRPr="00B14BED">
        <w:rPr>
          <w:lang w:val="nl-BE"/>
        </w:rPr>
        <w:t xml:space="preserve">. HRM, 26 juni 2014, </w:t>
      </w:r>
      <w:proofErr w:type="spellStart"/>
      <w:r w:rsidRPr="00B14BED">
        <w:rPr>
          <w:lang w:val="nl-BE"/>
        </w:rPr>
        <w:t>Mennesson</w:t>
      </w:r>
      <w:proofErr w:type="spellEnd"/>
      <w:r w:rsidRPr="00B14BED">
        <w:rPr>
          <w:lang w:val="nl-BE"/>
        </w:rPr>
        <w:t xml:space="preserve"> t. Frankrijk, nr. 65192/11, nr. 96 -101.</w:t>
      </w:r>
    </w:p>
  </w:footnote>
  <w:footnote w:id="33">
    <w:p w14:paraId="131FF26C" w14:textId="3AFED998" w:rsidR="006712CC" w:rsidRPr="00B14BED" w:rsidRDefault="006712CC" w:rsidP="00B14BED">
      <w:pPr>
        <w:pStyle w:val="Notedebasdepage"/>
        <w:jc w:val="both"/>
        <w:rPr>
          <w:rFonts w:cstheme="minorHAnsi"/>
          <w:lang w:val="nl-BE"/>
        </w:rPr>
      </w:pPr>
      <w:r w:rsidRPr="00B14BED">
        <w:rPr>
          <w:rStyle w:val="Appelnotedebasdep"/>
          <w:rFonts w:cstheme="minorHAnsi"/>
        </w:rPr>
        <w:footnoteRef/>
      </w:r>
      <w:r w:rsidRPr="00B14BED">
        <w:rPr>
          <w:rFonts w:cstheme="minorHAnsi"/>
        </w:rPr>
        <w:t xml:space="preserve"> </w:t>
      </w:r>
      <w:proofErr w:type="spellStart"/>
      <w:r w:rsidRPr="00B14BED">
        <w:rPr>
          <w:rFonts w:cstheme="minorHAnsi"/>
        </w:rPr>
        <w:t>Zie</w:t>
      </w:r>
      <w:proofErr w:type="spellEnd"/>
      <w:r w:rsidRPr="00B14BED">
        <w:rPr>
          <w:rFonts w:cstheme="minorHAnsi"/>
        </w:rPr>
        <w:t xml:space="preserve"> </w:t>
      </w:r>
      <w:proofErr w:type="spellStart"/>
      <w:r w:rsidRPr="00B14BED">
        <w:rPr>
          <w:rFonts w:cstheme="minorHAnsi"/>
        </w:rPr>
        <w:t>reeds</w:t>
      </w:r>
      <w:proofErr w:type="spellEnd"/>
      <w:r w:rsidRPr="00B14BED">
        <w:rPr>
          <w:rFonts w:cstheme="minorHAnsi"/>
        </w:rPr>
        <w:t xml:space="preserve"> </w:t>
      </w:r>
      <w:r w:rsidRPr="00B14BED">
        <w:rPr>
          <w:rFonts w:cstheme="minorHAnsi"/>
          <w:smallCaps/>
        </w:rPr>
        <w:t>J. Mary</w:t>
      </w:r>
      <w:r w:rsidRPr="00B14BED">
        <w:rPr>
          <w:rFonts w:cstheme="minorHAnsi"/>
        </w:rPr>
        <w:t xml:space="preserve"> en </w:t>
      </w:r>
      <w:r w:rsidRPr="00B14BED">
        <w:rPr>
          <w:rFonts w:cstheme="minorHAnsi"/>
          <w:smallCaps/>
        </w:rPr>
        <w:t xml:space="preserve">J. </w:t>
      </w:r>
      <w:proofErr w:type="spellStart"/>
      <w:r w:rsidRPr="00B14BED">
        <w:rPr>
          <w:rFonts w:cstheme="minorHAnsi"/>
          <w:smallCaps/>
        </w:rPr>
        <w:t>Sosson</w:t>
      </w:r>
      <w:proofErr w:type="spellEnd"/>
      <w:r w:rsidRPr="00B14BED">
        <w:rPr>
          <w:rFonts w:cstheme="minorHAnsi"/>
        </w:rPr>
        <w:t xml:space="preserve">, </w:t>
      </w:r>
      <w:proofErr w:type="gramStart"/>
      <w:r w:rsidRPr="00B14BED">
        <w:rPr>
          <w:rFonts w:cstheme="minorHAnsi"/>
        </w:rPr>
        <w:t>«  Gestation</w:t>
      </w:r>
      <w:proofErr w:type="gramEnd"/>
      <w:r w:rsidRPr="00B14BED">
        <w:rPr>
          <w:rFonts w:cstheme="minorHAnsi"/>
        </w:rPr>
        <w:t xml:space="preserve"> pour autrui pratiquée à l’étranger : l’intérêt de l’enfant, sésame d’une reconnaissance en Belgique?”, </w:t>
      </w:r>
      <w:proofErr w:type="spellStart"/>
      <w:r w:rsidRPr="00B14BED">
        <w:rPr>
          <w:rFonts w:cstheme="minorHAnsi"/>
          <w:i/>
          <w:iCs/>
        </w:rPr>
        <w:t>Rev</w:t>
      </w:r>
      <w:proofErr w:type="spellEnd"/>
      <w:r w:rsidRPr="00B14BED">
        <w:rPr>
          <w:rFonts w:cstheme="minorHAnsi"/>
          <w:i/>
          <w:iCs/>
        </w:rPr>
        <w:t xml:space="preserve">. </w:t>
      </w:r>
      <w:r>
        <w:rPr>
          <w:rFonts w:cstheme="minorHAnsi"/>
          <w:i/>
          <w:iCs/>
        </w:rPr>
        <w:t>t</w:t>
      </w:r>
      <w:r w:rsidRPr="00B14BED">
        <w:rPr>
          <w:rFonts w:cstheme="minorHAnsi"/>
          <w:i/>
          <w:iCs/>
        </w:rPr>
        <w:t xml:space="preserve">rim. </w:t>
      </w:r>
      <w:proofErr w:type="spellStart"/>
      <w:r w:rsidRPr="00735B08">
        <w:rPr>
          <w:rFonts w:cstheme="minorHAnsi"/>
          <w:i/>
          <w:iCs/>
        </w:rPr>
        <w:t>dr</w:t>
      </w:r>
      <w:proofErr w:type="spellEnd"/>
      <w:r w:rsidRPr="00735B08">
        <w:rPr>
          <w:rFonts w:cstheme="minorHAnsi"/>
          <w:i/>
          <w:iCs/>
        </w:rPr>
        <w:t xml:space="preserve">. </w:t>
      </w:r>
      <w:proofErr w:type="spellStart"/>
      <w:r w:rsidRPr="00735B08">
        <w:rPr>
          <w:rFonts w:cstheme="minorHAnsi"/>
          <w:i/>
          <w:iCs/>
        </w:rPr>
        <w:t>fam</w:t>
      </w:r>
      <w:proofErr w:type="spellEnd"/>
      <w:r w:rsidRPr="00735B08">
        <w:rPr>
          <w:rFonts w:cstheme="minorHAnsi"/>
          <w:i/>
          <w:iCs/>
        </w:rPr>
        <w:t>.</w:t>
      </w:r>
      <w:r w:rsidRPr="00735B08">
        <w:rPr>
          <w:rFonts w:cstheme="minorHAnsi"/>
        </w:rPr>
        <w:t xml:space="preserve">, 2014, 552-571 in het </w:t>
      </w:r>
      <w:proofErr w:type="spellStart"/>
      <w:r w:rsidRPr="00735B08">
        <w:rPr>
          <w:rFonts w:cstheme="minorHAnsi"/>
        </w:rPr>
        <w:t>bijz</w:t>
      </w:r>
      <w:proofErr w:type="spellEnd"/>
      <w:r w:rsidRPr="00735B08">
        <w:rPr>
          <w:rFonts w:cstheme="minorHAnsi"/>
        </w:rPr>
        <w:t xml:space="preserve">. </w:t>
      </w:r>
      <w:r w:rsidR="00755379">
        <w:rPr>
          <w:rFonts w:cstheme="minorHAnsi"/>
        </w:rPr>
        <w:t>569-570.</w:t>
      </w:r>
    </w:p>
  </w:footnote>
  <w:footnote w:id="34">
    <w:p w14:paraId="73CB1A34" w14:textId="43E473A1" w:rsidR="006712CC" w:rsidRPr="00B14BED" w:rsidRDefault="006712CC" w:rsidP="00B14BED">
      <w:pPr>
        <w:pStyle w:val="Notedebasdepage"/>
        <w:jc w:val="both"/>
        <w:rPr>
          <w:lang w:val="nl-BE"/>
        </w:rPr>
      </w:pPr>
      <w:r w:rsidRPr="00B14BED">
        <w:rPr>
          <w:rStyle w:val="Appelnotedebasdep"/>
        </w:rPr>
        <w:footnoteRef/>
      </w:r>
      <w:r w:rsidRPr="00B14BED">
        <w:rPr>
          <w:lang w:val="nl-BE"/>
        </w:rPr>
        <w:t xml:space="preserve"> </w:t>
      </w:r>
      <w:proofErr w:type="spellStart"/>
      <w:r w:rsidRPr="00B14BED">
        <w:rPr>
          <w:lang w:val="nl-BE"/>
        </w:rPr>
        <w:t>Eur</w:t>
      </w:r>
      <w:proofErr w:type="spellEnd"/>
      <w:r w:rsidRPr="00B14BED">
        <w:rPr>
          <w:lang w:val="nl-BE"/>
        </w:rPr>
        <w:t xml:space="preserve">. HRM (gr. kamer), 24 januari 2017, </w:t>
      </w:r>
      <w:r w:rsidRPr="00B14BED">
        <w:rPr>
          <w:i/>
          <w:iCs/>
          <w:lang w:val="nl-BE"/>
        </w:rPr>
        <w:t xml:space="preserve">Paradiso &amp; </w:t>
      </w:r>
      <w:proofErr w:type="spellStart"/>
      <w:r w:rsidRPr="00B14BED">
        <w:rPr>
          <w:i/>
          <w:iCs/>
          <w:lang w:val="nl-BE"/>
        </w:rPr>
        <w:t>Campanelli</w:t>
      </w:r>
      <w:proofErr w:type="spellEnd"/>
      <w:r w:rsidRPr="00B14BED">
        <w:rPr>
          <w:i/>
          <w:iCs/>
          <w:lang w:val="nl-BE"/>
        </w:rPr>
        <w:t xml:space="preserve"> t. Italië</w:t>
      </w:r>
      <w:r w:rsidRPr="00B14BED">
        <w:rPr>
          <w:lang w:val="nl-BE"/>
        </w:rPr>
        <w:t>, nr. 25358/12, nr. 151-157.</w:t>
      </w:r>
    </w:p>
  </w:footnote>
  <w:footnote w:id="35">
    <w:p w14:paraId="08564EED" w14:textId="6E5E6C42" w:rsidR="006712CC" w:rsidRPr="00B14BED" w:rsidRDefault="006712CC" w:rsidP="00B14BED">
      <w:pPr>
        <w:pStyle w:val="Notedebasdepage"/>
        <w:jc w:val="both"/>
        <w:rPr>
          <w:lang w:val="nl-BE"/>
        </w:rPr>
      </w:pPr>
      <w:r w:rsidRPr="00B14BED">
        <w:rPr>
          <w:rStyle w:val="Appelnotedebasdep"/>
        </w:rPr>
        <w:footnoteRef/>
      </w:r>
      <w:r w:rsidRPr="00B14BED">
        <w:rPr>
          <w:lang w:val="nl-BE"/>
        </w:rPr>
        <w:t xml:space="preserve"> Zie over de evolutie van de rechtspraak</w:t>
      </w:r>
      <w:r w:rsidRPr="00B14BED">
        <w:rPr>
          <w:rFonts w:cstheme="minorHAnsi"/>
          <w:lang w:val="nl-BE"/>
        </w:rPr>
        <w:t xml:space="preserve"> S. </w:t>
      </w:r>
      <w:proofErr w:type="spellStart"/>
      <w:r w:rsidRPr="00B14BED">
        <w:rPr>
          <w:rFonts w:cstheme="minorHAnsi"/>
          <w:smallCaps/>
          <w:lang w:val="nl-BE"/>
        </w:rPr>
        <w:t>Pfeiff</w:t>
      </w:r>
      <w:proofErr w:type="spellEnd"/>
      <w:r w:rsidRPr="00B14BED">
        <w:rPr>
          <w:rFonts w:cstheme="minorHAnsi"/>
          <w:lang w:val="nl-BE"/>
        </w:rPr>
        <w:t xml:space="preserve"> en </w:t>
      </w:r>
      <w:r w:rsidRPr="00B14BED">
        <w:rPr>
          <w:rFonts w:cstheme="minorHAnsi"/>
          <w:smallCaps/>
          <w:lang w:val="nl-BE"/>
        </w:rPr>
        <w:t>J. Mary</w:t>
      </w:r>
      <w:r w:rsidRPr="00B14BED">
        <w:rPr>
          <w:rFonts w:cstheme="minorHAnsi"/>
          <w:lang w:val="nl-BE"/>
        </w:rPr>
        <w:t xml:space="preserve">, </w:t>
      </w:r>
      <w:r w:rsidRPr="00B14BED">
        <w:rPr>
          <w:rFonts w:cstheme="minorHAnsi"/>
          <w:i/>
          <w:iCs/>
          <w:lang w:val="nl-BE"/>
        </w:rPr>
        <w:t xml:space="preserve">op. </w:t>
      </w:r>
      <w:proofErr w:type="spellStart"/>
      <w:proofErr w:type="gramStart"/>
      <w:r w:rsidRPr="00B14BED">
        <w:rPr>
          <w:rFonts w:cstheme="minorHAnsi"/>
          <w:i/>
          <w:iCs/>
          <w:lang w:val="nl-BE"/>
        </w:rPr>
        <w:t>cit</w:t>
      </w:r>
      <w:proofErr w:type="spellEnd"/>
      <w:proofErr w:type="gramEnd"/>
      <w:r w:rsidRPr="00B14BED">
        <w:rPr>
          <w:rFonts w:cstheme="minorHAnsi"/>
          <w:i/>
          <w:iCs/>
          <w:lang w:val="nl-BE"/>
        </w:rPr>
        <w:t>.</w:t>
      </w:r>
      <w:r w:rsidRPr="00B14BED">
        <w:rPr>
          <w:rFonts w:cstheme="minorHAnsi"/>
          <w:lang w:val="nl-BE"/>
        </w:rPr>
        <w:t>,</w:t>
      </w:r>
      <w:r>
        <w:rPr>
          <w:rFonts w:cstheme="minorHAnsi"/>
          <w:lang w:val="nl-BE"/>
        </w:rPr>
        <w:t xml:space="preserve"> </w:t>
      </w:r>
      <w:r w:rsidRPr="00B14BED">
        <w:rPr>
          <w:rFonts w:cstheme="minorHAnsi"/>
          <w:lang w:val="nl-BE"/>
        </w:rPr>
        <w:t>196-197, nr. 28.</w:t>
      </w:r>
    </w:p>
  </w:footnote>
  <w:footnote w:id="36">
    <w:p w14:paraId="1F7594C6" w14:textId="7B5E6441" w:rsidR="00793E87" w:rsidRPr="00793E87" w:rsidRDefault="00793E87">
      <w:pPr>
        <w:pStyle w:val="Notedebasdepage"/>
        <w:rPr>
          <w:lang w:val="nl-BE"/>
        </w:rPr>
      </w:pPr>
      <w:r>
        <w:rPr>
          <w:rStyle w:val="Appelnotedebasdep"/>
        </w:rPr>
        <w:footnoteRef/>
      </w:r>
      <w:r w:rsidRPr="00793E87">
        <w:rPr>
          <w:lang w:val="nl-BE"/>
        </w:rPr>
        <w:t xml:space="preserve"> </w:t>
      </w:r>
      <w:r>
        <w:rPr>
          <w:lang w:val="nl-BE"/>
        </w:rPr>
        <w:t xml:space="preserve">Zie </w:t>
      </w:r>
      <w:proofErr w:type="gramStart"/>
      <w:r>
        <w:rPr>
          <w:lang w:val="nl-BE"/>
        </w:rPr>
        <w:t>reeds</w:t>
      </w:r>
      <w:proofErr w:type="gramEnd"/>
      <w:r>
        <w:rPr>
          <w:lang w:val="nl-BE"/>
        </w:rPr>
        <w:t xml:space="preserve"> de </w:t>
      </w:r>
      <w:proofErr w:type="spellStart"/>
      <w:r>
        <w:rPr>
          <w:lang w:val="nl-BE"/>
        </w:rPr>
        <w:t>vastelling</w:t>
      </w:r>
      <w:proofErr w:type="spellEnd"/>
      <w:r>
        <w:rPr>
          <w:lang w:val="nl-BE"/>
        </w:rPr>
        <w:t xml:space="preserve"> door </w:t>
      </w:r>
      <w:r w:rsidRPr="00793E87">
        <w:rPr>
          <w:smallCaps/>
          <w:lang w:val="nl-BE"/>
        </w:rPr>
        <w:t xml:space="preserve">J. </w:t>
      </w:r>
      <w:proofErr w:type="spellStart"/>
      <w:r w:rsidRPr="00793E87">
        <w:rPr>
          <w:smallCaps/>
          <w:lang w:val="nl-BE"/>
        </w:rPr>
        <w:t>Verhellen</w:t>
      </w:r>
      <w:proofErr w:type="spellEnd"/>
      <w:r>
        <w:rPr>
          <w:lang w:val="nl-BE"/>
        </w:rPr>
        <w:t xml:space="preserve">, </w:t>
      </w:r>
      <w:r>
        <w:rPr>
          <w:i/>
          <w:iCs/>
          <w:lang w:val="nl-BE"/>
        </w:rPr>
        <w:t xml:space="preserve">op. </w:t>
      </w:r>
      <w:proofErr w:type="spellStart"/>
      <w:proofErr w:type="gramStart"/>
      <w:r>
        <w:rPr>
          <w:i/>
          <w:iCs/>
          <w:lang w:val="nl-BE"/>
        </w:rPr>
        <w:t>cit</w:t>
      </w:r>
      <w:proofErr w:type="spellEnd"/>
      <w:proofErr w:type="gramEnd"/>
      <w:r>
        <w:rPr>
          <w:i/>
          <w:iCs/>
          <w:lang w:val="nl-BE"/>
        </w:rPr>
        <w:t>.</w:t>
      </w:r>
      <w:r>
        <w:rPr>
          <w:lang w:val="nl-BE"/>
        </w:rPr>
        <w:t>, 479, nr. 736.</w:t>
      </w:r>
    </w:p>
  </w:footnote>
  <w:footnote w:id="37">
    <w:p w14:paraId="7DC63C56" w14:textId="625C6BD2" w:rsidR="006712CC" w:rsidRPr="00B14BED" w:rsidRDefault="006712CC" w:rsidP="00B14BED">
      <w:pPr>
        <w:pStyle w:val="Notedebasdepage"/>
        <w:jc w:val="both"/>
        <w:rPr>
          <w:lang w:val="nl-BE"/>
        </w:rPr>
      </w:pPr>
      <w:r w:rsidRPr="00B14BED">
        <w:rPr>
          <w:rStyle w:val="Appelnotedebasdep"/>
        </w:rPr>
        <w:footnoteRef/>
      </w:r>
      <w:r w:rsidRPr="00B14BED">
        <w:rPr>
          <w:lang w:val="nl-BE"/>
        </w:rPr>
        <w:t xml:space="preserve"> Ook taalkundig dringt enige verduidelijking zich op. De formulering van art. 27 WIPR is immers niet ontdaan van enige dubbelzinnigheid. In deze bepaling wordt de erkenning van een buitenlandse akte afhankelijk gemaakt van de verificatie dat de akte rechtsgeldig is “overeenkomstig het </w:t>
      </w:r>
      <w:proofErr w:type="gramStart"/>
      <w:r w:rsidRPr="00B14BED">
        <w:rPr>
          <w:lang w:val="nl-BE"/>
        </w:rPr>
        <w:t>krachtens</w:t>
      </w:r>
      <w:proofErr w:type="gramEnd"/>
      <w:r w:rsidRPr="00B14BED">
        <w:rPr>
          <w:lang w:val="nl-BE"/>
        </w:rPr>
        <w:t xml:space="preserve"> deze wet toepasselijk recht, en meer bepaald met inachtneming van de artikelen 18 en 21”. Deze formulering lijkt te suggereren dat de artikelen 18 en 21 de hoofdmoot van het onderzoek moeten uitmaken. Als we deze interpretatie volgen, zou de conflictenrechtelijke toets secundair worden.</w:t>
      </w:r>
    </w:p>
  </w:footnote>
  <w:footnote w:id="38">
    <w:p w14:paraId="1CAB18D9" w14:textId="468C1F87" w:rsidR="006712CC" w:rsidRPr="00B14BED" w:rsidRDefault="006712CC" w:rsidP="00B14BED">
      <w:pPr>
        <w:pStyle w:val="Notedebasdepage"/>
        <w:jc w:val="both"/>
        <w:rPr>
          <w:rFonts w:cstheme="minorHAnsi"/>
          <w:lang w:val="nl-BE"/>
        </w:rPr>
      </w:pPr>
      <w:r w:rsidRPr="00B14BED">
        <w:rPr>
          <w:rStyle w:val="Appelnotedebasdep"/>
          <w:rFonts w:cstheme="minorHAnsi"/>
        </w:rPr>
        <w:footnoteRef/>
      </w:r>
      <w:r w:rsidRPr="00B14BED">
        <w:rPr>
          <w:rFonts w:cstheme="minorHAnsi"/>
          <w:lang w:val="nl-BE"/>
        </w:rPr>
        <w:t xml:space="preserve"> Rb. Brussel (12de kamer), 18 december 2012, </w:t>
      </w:r>
      <w:r w:rsidRPr="00B14BED">
        <w:rPr>
          <w:rFonts w:cstheme="minorHAnsi"/>
          <w:i/>
          <w:iCs/>
          <w:color w:val="000000"/>
          <w:lang w:val="nl-BE"/>
        </w:rPr>
        <w:t>Tijdschrift@ipr.be</w:t>
      </w:r>
      <w:r w:rsidRPr="00B14BED">
        <w:rPr>
          <w:rFonts w:cstheme="minorHAnsi"/>
          <w:color w:val="000000"/>
          <w:lang w:val="nl-BE"/>
        </w:rPr>
        <w:t>, 2013/2,</w:t>
      </w:r>
      <w:r>
        <w:rPr>
          <w:rFonts w:cstheme="minorHAnsi"/>
          <w:color w:val="000000"/>
          <w:lang w:val="nl-BE"/>
        </w:rPr>
        <w:t xml:space="preserve"> </w:t>
      </w:r>
      <w:r w:rsidRPr="00B14BED">
        <w:rPr>
          <w:rFonts w:cstheme="minorHAnsi"/>
          <w:color w:val="000000"/>
          <w:lang w:val="nl-BE"/>
        </w:rPr>
        <w:t xml:space="preserve">64, 67, noot T. </w:t>
      </w:r>
      <w:r w:rsidRPr="00B14BED">
        <w:rPr>
          <w:rFonts w:cstheme="minorHAnsi"/>
          <w:smallCaps/>
          <w:color w:val="000000"/>
          <w:lang w:val="nl-BE"/>
        </w:rPr>
        <w:t>Kruger</w:t>
      </w:r>
      <w:r w:rsidRPr="00B14BED">
        <w:rPr>
          <w:rFonts w:cstheme="minorHAnsi"/>
          <w:color w:val="000000"/>
          <w:lang w:val="nl-BE"/>
        </w:rPr>
        <w:t xml:space="preserve"> en B. </w:t>
      </w:r>
      <w:proofErr w:type="spellStart"/>
      <w:r w:rsidRPr="00B14BED">
        <w:rPr>
          <w:rFonts w:cstheme="minorHAnsi"/>
          <w:smallCaps/>
          <w:color w:val="000000"/>
          <w:lang w:val="nl-BE"/>
        </w:rPr>
        <w:t>Mallentjer</w:t>
      </w:r>
      <w:proofErr w:type="spellEnd"/>
      <w:r w:rsidRPr="00B14BED">
        <w:rPr>
          <w:rFonts w:cstheme="minorHAnsi"/>
          <w:color w:val="000000"/>
          <w:lang w:val="nl-BE"/>
        </w:rPr>
        <w:t xml:space="preserve">; </w:t>
      </w:r>
      <w:proofErr w:type="spellStart"/>
      <w:r w:rsidRPr="00B14BED">
        <w:rPr>
          <w:rFonts w:cstheme="minorHAnsi"/>
          <w:i/>
          <w:iCs/>
          <w:lang w:val="nl-BE"/>
        </w:rPr>
        <w:t>Rev</w:t>
      </w:r>
      <w:proofErr w:type="spellEnd"/>
      <w:r w:rsidRPr="00B14BED">
        <w:rPr>
          <w:rFonts w:cstheme="minorHAnsi"/>
          <w:i/>
          <w:iCs/>
          <w:lang w:val="nl-BE"/>
        </w:rPr>
        <w:t>. trim. dr. fam.</w:t>
      </w:r>
      <w:r w:rsidRPr="00B14BED">
        <w:rPr>
          <w:rFonts w:cstheme="minorHAnsi"/>
          <w:lang w:val="nl-BE"/>
        </w:rPr>
        <w:t xml:space="preserve">, 2014, 644, noot </w:t>
      </w:r>
      <w:proofErr w:type="spellStart"/>
      <w:r w:rsidRPr="00B14BED">
        <w:rPr>
          <w:rFonts w:cstheme="minorHAnsi"/>
          <w:smallCaps/>
          <w:color w:val="000000"/>
          <w:lang w:val="nl-BE"/>
        </w:rPr>
        <w:t>Sosson</w:t>
      </w:r>
      <w:proofErr w:type="spellEnd"/>
      <w:r w:rsidRPr="00B14BED">
        <w:rPr>
          <w:rFonts w:cstheme="minorHAnsi"/>
          <w:color w:val="000000"/>
          <w:lang w:val="nl-BE"/>
        </w:rPr>
        <w:t xml:space="preserve"> en J. </w:t>
      </w:r>
      <w:r w:rsidRPr="00B14BED">
        <w:rPr>
          <w:rFonts w:cstheme="minorHAnsi"/>
          <w:smallCaps/>
          <w:color w:val="000000"/>
          <w:lang w:val="nl-BE"/>
        </w:rPr>
        <w:t>Mary</w:t>
      </w:r>
      <w:r w:rsidRPr="00B14BED">
        <w:rPr>
          <w:rFonts w:cstheme="minorHAnsi"/>
          <w:color w:val="000000"/>
          <w:lang w:val="nl-BE"/>
        </w:rPr>
        <w:t>.</w:t>
      </w:r>
    </w:p>
  </w:footnote>
  <w:footnote w:id="39">
    <w:p w14:paraId="63264BDE" w14:textId="313DFA18" w:rsidR="006712CC" w:rsidRPr="00B14BED" w:rsidRDefault="006712CC" w:rsidP="00B14BED">
      <w:pPr>
        <w:pStyle w:val="Notedebasdepage"/>
        <w:jc w:val="both"/>
        <w:rPr>
          <w:rFonts w:cstheme="minorHAnsi"/>
          <w:lang w:val="nl-BE"/>
        </w:rPr>
      </w:pPr>
      <w:r w:rsidRPr="00B14BED">
        <w:rPr>
          <w:rStyle w:val="Appelnotedebasdep"/>
          <w:rFonts w:cstheme="minorHAnsi"/>
        </w:rPr>
        <w:footnoteRef/>
      </w:r>
      <w:r w:rsidRPr="00B14BED">
        <w:rPr>
          <w:rFonts w:cstheme="minorHAnsi"/>
          <w:lang w:val="nl-BE"/>
        </w:rPr>
        <w:t xml:space="preserve"> Rb. Namen (fam.), 28 februari 2018, </w:t>
      </w:r>
      <w:r w:rsidRPr="00B14BED">
        <w:rPr>
          <w:rFonts w:cstheme="minorHAnsi"/>
          <w:i/>
          <w:iCs/>
          <w:lang w:val="nl-BE"/>
        </w:rPr>
        <w:t>J.T.</w:t>
      </w:r>
      <w:r w:rsidRPr="00B14BED">
        <w:rPr>
          <w:rFonts w:cstheme="minorHAnsi"/>
          <w:lang w:val="nl-BE"/>
        </w:rPr>
        <w:t>, 2018, 731.</w:t>
      </w:r>
    </w:p>
  </w:footnote>
  <w:footnote w:id="40">
    <w:p w14:paraId="0B7ED9C8" w14:textId="12A4A350" w:rsidR="006712CC" w:rsidRPr="00B14BED" w:rsidRDefault="006712CC" w:rsidP="00B14BED">
      <w:pPr>
        <w:pStyle w:val="Notedebasdepage"/>
        <w:jc w:val="both"/>
      </w:pPr>
      <w:r w:rsidRPr="00B14BED">
        <w:rPr>
          <w:rStyle w:val="Appelnotedebasdep"/>
        </w:rPr>
        <w:footnoteRef/>
      </w:r>
      <w:r w:rsidRPr="00B14BED">
        <w:rPr>
          <w:lang w:val="nl-BE"/>
        </w:rPr>
        <w:t xml:space="preserve"> </w:t>
      </w:r>
      <w:r w:rsidRPr="00B14BED">
        <w:rPr>
          <w:rFonts w:cstheme="minorHAnsi"/>
          <w:lang w:val="nl-BE"/>
        </w:rPr>
        <w:t xml:space="preserve">Zie </w:t>
      </w:r>
      <w:proofErr w:type="spellStart"/>
      <w:r w:rsidRPr="00B14BED">
        <w:rPr>
          <w:rFonts w:cstheme="minorHAnsi"/>
          <w:lang w:val="nl-BE"/>
        </w:rPr>
        <w:t>grondleggend</w:t>
      </w:r>
      <w:proofErr w:type="spellEnd"/>
      <w:r w:rsidRPr="00B14BED">
        <w:rPr>
          <w:rFonts w:cstheme="minorHAnsi"/>
          <w:lang w:val="nl-BE"/>
        </w:rPr>
        <w:t xml:space="preserve">, </w:t>
      </w:r>
      <w:proofErr w:type="spellStart"/>
      <w:r w:rsidRPr="00B14BED">
        <w:rPr>
          <w:rFonts w:cstheme="minorHAnsi"/>
          <w:lang w:val="nl-BE"/>
        </w:rPr>
        <w:t>Cass</w:t>
      </w:r>
      <w:proofErr w:type="spellEnd"/>
      <w:r w:rsidRPr="00B14BED">
        <w:rPr>
          <w:rFonts w:cstheme="minorHAnsi"/>
          <w:lang w:val="nl-BE"/>
        </w:rPr>
        <w:t xml:space="preserve">. fr. (1ste civ.), 29 juli 1929, </w:t>
      </w:r>
      <w:r w:rsidRPr="00B14BED">
        <w:rPr>
          <w:rFonts w:cstheme="minorHAnsi"/>
          <w:i/>
          <w:iCs/>
          <w:lang w:val="nl-BE"/>
        </w:rPr>
        <w:t>J.D.I.</w:t>
      </w:r>
      <w:r w:rsidRPr="00B14BED">
        <w:rPr>
          <w:rFonts w:cstheme="minorHAnsi"/>
          <w:lang w:val="nl-BE"/>
        </w:rPr>
        <w:t xml:space="preserve">, 1930, 377. Meer recent, zie bijv. </w:t>
      </w:r>
      <w:proofErr w:type="spellStart"/>
      <w:r w:rsidRPr="00B14BED">
        <w:rPr>
          <w:rFonts w:cstheme="minorHAnsi"/>
          <w:lang w:val="nl-BE"/>
        </w:rPr>
        <w:t>Cass</w:t>
      </w:r>
      <w:proofErr w:type="spellEnd"/>
      <w:r w:rsidRPr="00B14BED">
        <w:rPr>
          <w:rFonts w:cstheme="minorHAnsi"/>
          <w:lang w:val="nl-BE"/>
        </w:rPr>
        <w:t xml:space="preserve">. fr., (1ste civ.), 4 juli 2006, </w:t>
      </w:r>
      <w:proofErr w:type="spellStart"/>
      <w:r w:rsidRPr="00B14BED">
        <w:rPr>
          <w:rFonts w:cstheme="minorHAnsi"/>
          <w:i/>
          <w:iCs/>
          <w:lang w:val="nl-BE"/>
        </w:rPr>
        <w:t>Rev</w:t>
      </w:r>
      <w:proofErr w:type="spellEnd"/>
      <w:r w:rsidRPr="00B14BED">
        <w:rPr>
          <w:rFonts w:cstheme="minorHAnsi"/>
          <w:i/>
          <w:iCs/>
          <w:lang w:val="nl-BE"/>
        </w:rPr>
        <w:t xml:space="preserve">. </w:t>
      </w:r>
      <w:proofErr w:type="spellStart"/>
      <w:proofErr w:type="gramStart"/>
      <w:r w:rsidRPr="00B14BED">
        <w:rPr>
          <w:rFonts w:cstheme="minorHAnsi"/>
          <w:i/>
          <w:iCs/>
          <w:lang w:val="nl-BE"/>
        </w:rPr>
        <w:t>crit</w:t>
      </w:r>
      <w:proofErr w:type="spellEnd"/>
      <w:proofErr w:type="gramEnd"/>
      <w:r w:rsidRPr="00B14BED">
        <w:rPr>
          <w:rFonts w:cstheme="minorHAnsi"/>
          <w:i/>
          <w:iCs/>
          <w:lang w:val="nl-BE"/>
        </w:rPr>
        <w:t xml:space="preserve">. </w:t>
      </w:r>
      <w:r w:rsidRPr="00B14BED">
        <w:rPr>
          <w:rFonts w:cstheme="minorHAnsi"/>
          <w:i/>
          <w:iCs/>
        </w:rPr>
        <w:t>DIP</w:t>
      </w:r>
      <w:r w:rsidRPr="00B14BED">
        <w:rPr>
          <w:rFonts w:cstheme="minorHAnsi"/>
        </w:rPr>
        <w:t>, 2007, 13.</w:t>
      </w:r>
    </w:p>
  </w:footnote>
  <w:footnote w:id="41">
    <w:p w14:paraId="7D998530" w14:textId="07FC5CFE" w:rsidR="006712CC" w:rsidRPr="00B14BED" w:rsidRDefault="006712CC" w:rsidP="00B14BED">
      <w:pPr>
        <w:pStyle w:val="Notedebasdepage"/>
        <w:jc w:val="both"/>
      </w:pPr>
      <w:r w:rsidRPr="00B14BED">
        <w:rPr>
          <w:rStyle w:val="Appelnotedebasdep"/>
        </w:rPr>
        <w:footnoteRef/>
      </w:r>
      <w:r w:rsidRPr="00B14BED">
        <w:t xml:space="preserve"> </w:t>
      </w:r>
      <w:r w:rsidRPr="00B14BED">
        <w:rPr>
          <w:rFonts w:cstheme="minorHAnsi"/>
        </w:rPr>
        <w:t xml:space="preserve">Over de </w:t>
      </w:r>
      <w:proofErr w:type="spellStart"/>
      <w:r w:rsidRPr="00B14BED">
        <w:rPr>
          <w:rFonts w:cstheme="minorHAnsi"/>
        </w:rPr>
        <w:t>equivalentieleer</w:t>
      </w:r>
      <w:proofErr w:type="spellEnd"/>
      <w:r w:rsidRPr="00B14BED">
        <w:rPr>
          <w:rFonts w:cstheme="minorHAnsi"/>
        </w:rPr>
        <w:t xml:space="preserve"> </w:t>
      </w:r>
      <w:proofErr w:type="spellStart"/>
      <w:r w:rsidRPr="00B14BED">
        <w:rPr>
          <w:rFonts w:cstheme="minorHAnsi"/>
        </w:rPr>
        <w:t>ontwikkeld</w:t>
      </w:r>
      <w:proofErr w:type="spellEnd"/>
      <w:r w:rsidRPr="00B14BED">
        <w:rPr>
          <w:rFonts w:cstheme="minorHAnsi"/>
        </w:rPr>
        <w:t xml:space="preserve"> </w:t>
      </w:r>
      <w:proofErr w:type="spellStart"/>
      <w:r w:rsidRPr="00B14BED">
        <w:rPr>
          <w:rFonts w:cstheme="minorHAnsi"/>
        </w:rPr>
        <w:t>door</w:t>
      </w:r>
      <w:proofErr w:type="spellEnd"/>
      <w:r w:rsidRPr="00B14BED">
        <w:rPr>
          <w:rFonts w:cstheme="minorHAnsi"/>
        </w:rPr>
        <w:t xml:space="preserve"> </w:t>
      </w:r>
      <w:proofErr w:type="spellStart"/>
      <w:r w:rsidRPr="00B14BED">
        <w:rPr>
          <w:rFonts w:cstheme="minorHAnsi"/>
        </w:rPr>
        <w:t>Franse</w:t>
      </w:r>
      <w:proofErr w:type="spellEnd"/>
      <w:r w:rsidRPr="00B14BED">
        <w:rPr>
          <w:rFonts w:cstheme="minorHAnsi"/>
        </w:rPr>
        <w:t xml:space="preserve"> </w:t>
      </w:r>
      <w:proofErr w:type="spellStart"/>
      <w:r w:rsidRPr="00B14BED">
        <w:rPr>
          <w:rFonts w:cstheme="minorHAnsi"/>
        </w:rPr>
        <w:t>rechters</w:t>
      </w:r>
      <w:proofErr w:type="spellEnd"/>
      <w:r w:rsidRPr="00B14BED">
        <w:rPr>
          <w:rFonts w:cstheme="minorHAnsi"/>
        </w:rPr>
        <w:t xml:space="preserve">, </w:t>
      </w:r>
      <w:proofErr w:type="spellStart"/>
      <w:r w:rsidRPr="00B14BED">
        <w:rPr>
          <w:rFonts w:cstheme="minorHAnsi"/>
        </w:rPr>
        <w:t>zie</w:t>
      </w:r>
      <w:proofErr w:type="spellEnd"/>
      <w:r w:rsidRPr="00B14BED">
        <w:rPr>
          <w:rFonts w:cstheme="minorHAnsi"/>
        </w:rPr>
        <w:t xml:space="preserve"> </w:t>
      </w:r>
      <w:r w:rsidRPr="00B14BED">
        <w:rPr>
          <w:rFonts w:cstheme="minorHAnsi"/>
          <w:smallCaps/>
        </w:rPr>
        <w:t>B. Ancel</w:t>
      </w:r>
      <w:r w:rsidRPr="00B14BED">
        <w:rPr>
          <w:rFonts w:cstheme="minorHAnsi"/>
        </w:rPr>
        <w:t xml:space="preserve">, « Loi appliquée et effets en France des décisions étrangères », </w:t>
      </w:r>
      <w:r w:rsidRPr="00B14BED">
        <w:rPr>
          <w:rFonts w:cstheme="minorHAnsi"/>
          <w:i/>
          <w:iCs/>
        </w:rPr>
        <w:t xml:space="preserve">Travaux comité </w:t>
      </w:r>
      <w:proofErr w:type="spellStart"/>
      <w:r w:rsidRPr="00B14BED">
        <w:rPr>
          <w:rFonts w:cstheme="minorHAnsi"/>
          <w:i/>
          <w:iCs/>
        </w:rPr>
        <w:t>fr.</w:t>
      </w:r>
      <w:proofErr w:type="spellEnd"/>
      <w:r w:rsidRPr="00B14BED">
        <w:rPr>
          <w:rFonts w:cstheme="minorHAnsi"/>
          <w:i/>
          <w:iCs/>
        </w:rPr>
        <w:t xml:space="preserve"> DIP</w:t>
      </w:r>
      <w:r w:rsidRPr="00B14BED">
        <w:rPr>
          <w:rFonts w:cstheme="minorHAnsi"/>
        </w:rPr>
        <w:t xml:space="preserve">, 1989, 25-55, in het </w:t>
      </w:r>
      <w:proofErr w:type="spellStart"/>
      <w:r w:rsidRPr="00B14BED">
        <w:rPr>
          <w:rFonts w:cstheme="minorHAnsi"/>
        </w:rPr>
        <w:t>bijzonder</w:t>
      </w:r>
      <w:proofErr w:type="spellEnd"/>
      <w:r w:rsidRPr="00B14BED">
        <w:rPr>
          <w:rFonts w:cstheme="minorHAnsi"/>
        </w:rPr>
        <w:t xml:space="preserve"> 30-32. </w:t>
      </w:r>
      <w:proofErr w:type="spellStart"/>
      <w:r w:rsidRPr="00B14BED">
        <w:rPr>
          <w:rFonts w:cstheme="minorHAnsi"/>
        </w:rPr>
        <w:t>Volgens</w:t>
      </w:r>
      <w:proofErr w:type="spellEnd"/>
      <w:r w:rsidRPr="00B14BED">
        <w:rPr>
          <w:rFonts w:cstheme="minorHAnsi"/>
        </w:rPr>
        <w:t xml:space="preserve"> </w:t>
      </w:r>
      <w:proofErr w:type="spellStart"/>
      <w:r w:rsidRPr="00B14BED">
        <w:rPr>
          <w:rFonts w:cstheme="minorHAnsi"/>
        </w:rPr>
        <w:t>Niboyet</w:t>
      </w:r>
      <w:proofErr w:type="spellEnd"/>
      <w:r w:rsidRPr="00B14BED">
        <w:rPr>
          <w:rFonts w:cstheme="minorHAnsi"/>
        </w:rPr>
        <w:t xml:space="preserve">, « [l]e tempérament de l’équivalence permettait de sauver le jugement étranger dès lors que la loi appliquée à l’étranger avait abouti à des résultats similaires à ceux qui auraient découlé de l’application de la loi compétent, selon notre propre système de droit international privé » (M.-L. </w:t>
      </w:r>
      <w:proofErr w:type="spellStart"/>
      <w:r w:rsidRPr="00B14BED">
        <w:rPr>
          <w:rFonts w:cstheme="minorHAnsi"/>
          <w:smallCaps/>
        </w:rPr>
        <w:t>Niboyet</w:t>
      </w:r>
      <w:proofErr w:type="spellEnd"/>
      <w:r w:rsidRPr="00B14BED">
        <w:rPr>
          <w:rFonts w:cstheme="minorHAnsi"/>
        </w:rPr>
        <w:t xml:space="preserve">, « L’abandon du contrôle de la compétence législative indirecte (le « grand arrêt » </w:t>
      </w:r>
      <w:proofErr w:type="spellStart"/>
      <w:r w:rsidRPr="00B14BED">
        <w:rPr>
          <w:rFonts w:cstheme="minorHAnsi"/>
        </w:rPr>
        <w:t>Cornelissen</w:t>
      </w:r>
      <w:proofErr w:type="spellEnd"/>
      <w:r w:rsidRPr="00B14BED">
        <w:rPr>
          <w:rFonts w:cstheme="minorHAnsi"/>
        </w:rPr>
        <w:t xml:space="preserve"> du 20 février 2007) », </w:t>
      </w:r>
      <w:r w:rsidRPr="00B14BED">
        <w:rPr>
          <w:rFonts w:cstheme="minorHAnsi"/>
          <w:i/>
          <w:iCs/>
        </w:rPr>
        <w:t>Gaz. Pal.</w:t>
      </w:r>
      <w:r w:rsidRPr="00B14BED">
        <w:rPr>
          <w:rFonts w:cstheme="minorHAnsi"/>
        </w:rPr>
        <w:t>, 2007,</w:t>
      </w:r>
      <w:r>
        <w:rPr>
          <w:rFonts w:cstheme="minorHAnsi"/>
        </w:rPr>
        <w:t xml:space="preserve"> </w:t>
      </w:r>
      <w:r w:rsidRPr="00B14BED">
        <w:rPr>
          <w:rFonts w:cstheme="minorHAnsi"/>
        </w:rPr>
        <w:t>1387, nr. 5).</w:t>
      </w:r>
    </w:p>
  </w:footnote>
  <w:footnote w:id="42">
    <w:p w14:paraId="5AEB7A48" w14:textId="1A9B10BE" w:rsidR="006712CC" w:rsidRPr="00B14BED" w:rsidRDefault="006712CC" w:rsidP="00B14BED">
      <w:pPr>
        <w:pStyle w:val="Notedebasdepage"/>
        <w:jc w:val="both"/>
        <w:rPr>
          <w:rFonts w:cstheme="minorHAnsi"/>
        </w:rPr>
      </w:pPr>
      <w:r w:rsidRPr="00B14BED">
        <w:rPr>
          <w:rStyle w:val="Appelnotedebasdep"/>
          <w:rFonts w:cstheme="minorHAnsi"/>
        </w:rPr>
        <w:footnoteRef/>
      </w:r>
      <w:r w:rsidRPr="00B14BED">
        <w:rPr>
          <w:rFonts w:cstheme="minorHAnsi"/>
        </w:rPr>
        <w:t xml:space="preserve"> De </w:t>
      </w:r>
      <w:proofErr w:type="spellStart"/>
      <w:r w:rsidRPr="00B14BED">
        <w:rPr>
          <w:rFonts w:cstheme="minorHAnsi"/>
        </w:rPr>
        <w:t>equivalentietheorie</w:t>
      </w:r>
      <w:proofErr w:type="spellEnd"/>
      <w:r w:rsidRPr="00B14BED">
        <w:rPr>
          <w:rFonts w:cstheme="minorHAnsi"/>
        </w:rPr>
        <w:t xml:space="preserve"> </w:t>
      </w:r>
      <w:proofErr w:type="spellStart"/>
      <w:r w:rsidRPr="00B14BED">
        <w:rPr>
          <w:rFonts w:cstheme="minorHAnsi"/>
        </w:rPr>
        <w:t>is</w:t>
      </w:r>
      <w:proofErr w:type="spellEnd"/>
      <w:r w:rsidRPr="00B14BED">
        <w:rPr>
          <w:rFonts w:cstheme="minorHAnsi"/>
        </w:rPr>
        <w:t xml:space="preserve"> </w:t>
      </w:r>
      <w:proofErr w:type="spellStart"/>
      <w:r w:rsidRPr="00B14BED">
        <w:rPr>
          <w:rFonts w:cstheme="minorHAnsi"/>
        </w:rPr>
        <w:t>ondertussen</w:t>
      </w:r>
      <w:proofErr w:type="spellEnd"/>
      <w:r w:rsidRPr="00B14BED">
        <w:rPr>
          <w:rFonts w:cstheme="minorHAnsi"/>
        </w:rPr>
        <w:t xml:space="preserve"> </w:t>
      </w:r>
      <w:proofErr w:type="spellStart"/>
      <w:r w:rsidRPr="00B14BED">
        <w:rPr>
          <w:rFonts w:cstheme="minorHAnsi"/>
        </w:rPr>
        <w:t>voorbijgestreefd</w:t>
      </w:r>
      <w:proofErr w:type="spellEnd"/>
      <w:r w:rsidRPr="00B14BED">
        <w:rPr>
          <w:rFonts w:cstheme="minorHAnsi"/>
        </w:rPr>
        <w:t xml:space="preserve">, nu het </w:t>
      </w:r>
      <w:proofErr w:type="spellStart"/>
      <w:r w:rsidRPr="00B14BED">
        <w:rPr>
          <w:rFonts w:cstheme="minorHAnsi"/>
        </w:rPr>
        <w:t>Franse</w:t>
      </w:r>
      <w:proofErr w:type="spellEnd"/>
      <w:r w:rsidRPr="00B14BED">
        <w:rPr>
          <w:rFonts w:cstheme="minorHAnsi"/>
        </w:rPr>
        <w:t xml:space="preserve"> Hof van </w:t>
      </w:r>
      <w:proofErr w:type="spellStart"/>
      <w:r w:rsidRPr="00B14BED">
        <w:rPr>
          <w:rFonts w:cstheme="minorHAnsi"/>
        </w:rPr>
        <w:t>Cassatie</w:t>
      </w:r>
      <w:proofErr w:type="spellEnd"/>
      <w:r w:rsidRPr="00B14BED">
        <w:rPr>
          <w:rFonts w:cstheme="minorHAnsi"/>
        </w:rPr>
        <w:t xml:space="preserve"> </w:t>
      </w:r>
      <w:proofErr w:type="spellStart"/>
      <w:r w:rsidRPr="00B14BED">
        <w:rPr>
          <w:rFonts w:cstheme="minorHAnsi"/>
        </w:rPr>
        <w:t>in</w:t>
      </w:r>
      <w:proofErr w:type="spellEnd"/>
      <w:r w:rsidRPr="00B14BED">
        <w:rPr>
          <w:rFonts w:cstheme="minorHAnsi"/>
        </w:rPr>
        <w:t xml:space="preserve"> 2007, na </w:t>
      </w:r>
      <w:proofErr w:type="spellStart"/>
      <w:r w:rsidRPr="00B14BED">
        <w:rPr>
          <w:rFonts w:cstheme="minorHAnsi"/>
        </w:rPr>
        <w:t>hevige</w:t>
      </w:r>
      <w:proofErr w:type="spellEnd"/>
      <w:r w:rsidRPr="00B14BED">
        <w:rPr>
          <w:rFonts w:cstheme="minorHAnsi"/>
        </w:rPr>
        <w:t xml:space="preserve"> </w:t>
      </w:r>
      <w:proofErr w:type="spellStart"/>
      <w:r w:rsidRPr="00B14BED">
        <w:rPr>
          <w:rFonts w:cstheme="minorHAnsi"/>
        </w:rPr>
        <w:t>kritiek</w:t>
      </w:r>
      <w:proofErr w:type="spellEnd"/>
      <w:r w:rsidRPr="00B14BED">
        <w:rPr>
          <w:rFonts w:cstheme="minorHAnsi"/>
        </w:rPr>
        <w:t xml:space="preserve"> </w:t>
      </w:r>
      <w:proofErr w:type="spellStart"/>
      <w:r w:rsidRPr="00B14BED">
        <w:rPr>
          <w:rFonts w:cstheme="minorHAnsi"/>
        </w:rPr>
        <w:t>door</w:t>
      </w:r>
      <w:proofErr w:type="spellEnd"/>
      <w:r w:rsidRPr="00B14BED">
        <w:rPr>
          <w:rFonts w:cstheme="minorHAnsi"/>
        </w:rPr>
        <w:t xml:space="preserve"> de </w:t>
      </w:r>
      <w:proofErr w:type="spellStart"/>
      <w:r w:rsidRPr="00B14BED">
        <w:rPr>
          <w:rFonts w:cstheme="minorHAnsi"/>
        </w:rPr>
        <w:t>rechtsleer</w:t>
      </w:r>
      <w:proofErr w:type="spellEnd"/>
      <w:r w:rsidRPr="00B14BED">
        <w:rPr>
          <w:rFonts w:cstheme="minorHAnsi"/>
        </w:rPr>
        <w:t xml:space="preserve"> (</w:t>
      </w:r>
      <w:proofErr w:type="spellStart"/>
      <w:r w:rsidRPr="00B14BED">
        <w:rPr>
          <w:rFonts w:cstheme="minorHAnsi"/>
        </w:rPr>
        <w:t>zie</w:t>
      </w:r>
      <w:proofErr w:type="spellEnd"/>
      <w:r w:rsidRPr="00B14BED">
        <w:rPr>
          <w:rFonts w:cstheme="minorHAnsi"/>
        </w:rPr>
        <w:t xml:space="preserve"> over de </w:t>
      </w:r>
      <w:proofErr w:type="spellStart"/>
      <w:r w:rsidRPr="00B14BED">
        <w:rPr>
          <w:rFonts w:cstheme="minorHAnsi"/>
        </w:rPr>
        <w:t>intellectuele</w:t>
      </w:r>
      <w:proofErr w:type="spellEnd"/>
      <w:r w:rsidRPr="00B14BED">
        <w:rPr>
          <w:rFonts w:cstheme="minorHAnsi"/>
        </w:rPr>
        <w:t xml:space="preserve"> </w:t>
      </w:r>
      <w:proofErr w:type="spellStart"/>
      <w:r w:rsidRPr="00B14BED">
        <w:rPr>
          <w:rFonts w:cstheme="minorHAnsi"/>
        </w:rPr>
        <w:t>strijd</w:t>
      </w:r>
      <w:proofErr w:type="spellEnd"/>
      <w:r w:rsidRPr="00B14BED">
        <w:rPr>
          <w:rFonts w:cstheme="minorHAnsi"/>
        </w:rPr>
        <w:t xml:space="preserve">, B. </w:t>
      </w:r>
      <w:r w:rsidRPr="00B14BED">
        <w:rPr>
          <w:rFonts w:cstheme="minorHAnsi"/>
          <w:smallCaps/>
        </w:rPr>
        <w:t>Ancel</w:t>
      </w:r>
      <w:r w:rsidRPr="00B14BED">
        <w:rPr>
          <w:rFonts w:cstheme="minorHAnsi"/>
        </w:rPr>
        <w:t xml:space="preserve"> et </w:t>
      </w:r>
      <w:r w:rsidRPr="00B14BED">
        <w:rPr>
          <w:rFonts w:cstheme="minorHAnsi"/>
          <w:smallCaps/>
        </w:rPr>
        <w:t>H. Muir Watt</w:t>
      </w:r>
      <w:r w:rsidRPr="00B14BED">
        <w:rPr>
          <w:rFonts w:cstheme="minorHAnsi"/>
        </w:rPr>
        <w:t xml:space="preserve">, « Les jugements étrangers et la règle de conflit de lois : chronique d'une séparation », in </w:t>
      </w:r>
      <w:r w:rsidRPr="00B14BED">
        <w:rPr>
          <w:rFonts w:cstheme="minorHAnsi"/>
          <w:i/>
          <w:iCs/>
        </w:rPr>
        <w:t xml:space="preserve">Vers de </w:t>
      </w:r>
      <w:r>
        <w:rPr>
          <w:rFonts w:cstheme="minorHAnsi"/>
          <w:i/>
          <w:iCs/>
        </w:rPr>
        <w:t>n</w:t>
      </w:r>
      <w:r w:rsidRPr="00B14BED">
        <w:rPr>
          <w:rFonts w:cstheme="minorHAnsi"/>
          <w:i/>
          <w:iCs/>
        </w:rPr>
        <w:t xml:space="preserve">ouveaux équilibres entre ordres juridiques. </w:t>
      </w:r>
      <w:r w:rsidRPr="00B14BED">
        <w:rPr>
          <w:rFonts w:cstheme="minorHAnsi"/>
          <w:i/>
          <w:iCs/>
          <w:lang w:val="nl-BE"/>
        </w:rPr>
        <w:t xml:space="preserve">Liber </w:t>
      </w:r>
      <w:proofErr w:type="spellStart"/>
      <w:r w:rsidRPr="00B14BED">
        <w:rPr>
          <w:rFonts w:cstheme="minorHAnsi"/>
          <w:i/>
          <w:iCs/>
          <w:lang w:val="nl-BE"/>
        </w:rPr>
        <w:t>amicorum</w:t>
      </w:r>
      <w:proofErr w:type="spellEnd"/>
      <w:r w:rsidRPr="00B14BED">
        <w:rPr>
          <w:rFonts w:cstheme="minorHAnsi"/>
          <w:i/>
          <w:iCs/>
          <w:lang w:val="nl-BE"/>
        </w:rPr>
        <w:t xml:space="preserve"> H. </w:t>
      </w:r>
      <w:proofErr w:type="spellStart"/>
      <w:r w:rsidRPr="00B14BED">
        <w:rPr>
          <w:rFonts w:cstheme="minorHAnsi"/>
          <w:i/>
          <w:iCs/>
          <w:lang w:val="nl-BE"/>
        </w:rPr>
        <w:t>Gaudemet-Tallon</w:t>
      </w:r>
      <w:proofErr w:type="spellEnd"/>
      <w:r w:rsidRPr="00B14BED">
        <w:rPr>
          <w:rFonts w:cstheme="minorHAnsi"/>
          <w:lang w:val="nl-BE"/>
        </w:rPr>
        <w:t xml:space="preserve">, </w:t>
      </w:r>
      <w:proofErr w:type="spellStart"/>
      <w:r w:rsidRPr="00B14BED">
        <w:rPr>
          <w:rFonts w:cstheme="minorHAnsi"/>
          <w:lang w:val="nl-BE"/>
        </w:rPr>
        <w:t>Dalloz</w:t>
      </w:r>
      <w:proofErr w:type="spellEnd"/>
      <w:r w:rsidRPr="00B14BED">
        <w:rPr>
          <w:rFonts w:cstheme="minorHAnsi"/>
          <w:lang w:val="nl-BE"/>
        </w:rPr>
        <w:t>, 2008,</w:t>
      </w:r>
      <w:r>
        <w:rPr>
          <w:rFonts w:cstheme="minorHAnsi"/>
          <w:lang w:val="nl-BE"/>
        </w:rPr>
        <w:t xml:space="preserve"> </w:t>
      </w:r>
      <w:r w:rsidRPr="00B14BED">
        <w:rPr>
          <w:rFonts w:cstheme="minorHAnsi"/>
          <w:lang w:val="nl-BE"/>
        </w:rPr>
        <w:t xml:space="preserve">135-170), komaf gemaakt heeft met de conflictenrechtelijke </w:t>
      </w:r>
      <w:proofErr w:type="gramStart"/>
      <w:r w:rsidRPr="00B14BED">
        <w:rPr>
          <w:rFonts w:cstheme="minorHAnsi"/>
          <w:lang w:val="nl-BE"/>
        </w:rPr>
        <w:t>toets :</w:t>
      </w:r>
      <w:proofErr w:type="gramEnd"/>
      <w:r w:rsidRPr="00B14BED">
        <w:rPr>
          <w:rFonts w:cstheme="minorHAnsi"/>
          <w:lang w:val="nl-BE"/>
        </w:rPr>
        <w:t xml:space="preserve"> </w:t>
      </w:r>
      <w:proofErr w:type="spellStart"/>
      <w:r w:rsidRPr="00B14BED">
        <w:rPr>
          <w:rFonts w:cstheme="minorHAnsi"/>
          <w:lang w:val="nl-BE"/>
        </w:rPr>
        <w:t>Cass</w:t>
      </w:r>
      <w:proofErr w:type="spellEnd"/>
      <w:r w:rsidRPr="00B14BED">
        <w:rPr>
          <w:rFonts w:cstheme="minorHAnsi"/>
          <w:lang w:val="nl-BE"/>
        </w:rPr>
        <w:t xml:space="preserve">. fr., 1ste civ., 20 februari 2007, </w:t>
      </w:r>
      <w:proofErr w:type="spellStart"/>
      <w:r w:rsidRPr="009B3C20">
        <w:rPr>
          <w:rFonts w:cstheme="minorHAnsi"/>
          <w:i/>
          <w:iCs/>
          <w:lang w:val="nl-BE"/>
        </w:rPr>
        <w:t>Rev</w:t>
      </w:r>
      <w:proofErr w:type="spellEnd"/>
      <w:r w:rsidRPr="009B3C20">
        <w:rPr>
          <w:rFonts w:cstheme="minorHAnsi"/>
          <w:i/>
          <w:iCs/>
          <w:lang w:val="nl-BE"/>
        </w:rPr>
        <w:t xml:space="preserve">. </w:t>
      </w:r>
      <w:proofErr w:type="spellStart"/>
      <w:proofErr w:type="gramStart"/>
      <w:r w:rsidRPr="009B3C20">
        <w:rPr>
          <w:rFonts w:cstheme="minorHAnsi"/>
          <w:i/>
          <w:iCs/>
          <w:lang w:val="nl-BE"/>
        </w:rPr>
        <w:t>crit</w:t>
      </w:r>
      <w:proofErr w:type="spellEnd"/>
      <w:proofErr w:type="gramEnd"/>
      <w:r w:rsidRPr="009B3C20">
        <w:rPr>
          <w:rFonts w:cstheme="minorHAnsi"/>
          <w:i/>
          <w:iCs/>
          <w:lang w:val="nl-BE"/>
        </w:rPr>
        <w:t>. DIP</w:t>
      </w:r>
      <w:r w:rsidRPr="00B14BED">
        <w:rPr>
          <w:rFonts w:cstheme="minorHAnsi"/>
          <w:lang w:val="nl-BE"/>
        </w:rPr>
        <w:t xml:space="preserve">, 2007, 420, noot </w:t>
      </w:r>
      <w:r w:rsidRPr="00B14BED">
        <w:rPr>
          <w:rFonts w:cstheme="minorHAnsi"/>
          <w:smallCaps/>
          <w:lang w:val="nl-BE"/>
        </w:rPr>
        <w:t>D. Bureau</w:t>
      </w:r>
      <w:r w:rsidRPr="00B14BED">
        <w:rPr>
          <w:rFonts w:cstheme="minorHAnsi"/>
          <w:lang w:val="nl-BE"/>
        </w:rPr>
        <w:t xml:space="preserve"> e</w:t>
      </w:r>
      <w:r w:rsidR="004431CB">
        <w:rPr>
          <w:rFonts w:cstheme="minorHAnsi"/>
          <w:lang w:val="nl-BE"/>
        </w:rPr>
        <w:t>n</w:t>
      </w:r>
      <w:r w:rsidRPr="00B14BED">
        <w:rPr>
          <w:rFonts w:cstheme="minorHAnsi"/>
          <w:lang w:val="nl-BE"/>
        </w:rPr>
        <w:t xml:space="preserve"> </w:t>
      </w:r>
      <w:r w:rsidRPr="00B14BED">
        <w:rPr>
          <w:rFonts w:cstheme="minorHAnsi"/>
          <w:smallCaps/>
          <w:lang w:val="nl-BE"/>
        </w:rPr>
        <w:t xml:space="preserve">H. </w:t>
      </w:r>
      <w:proofErr w:type="spellStart"/>
      <w:r w:rsidRPr="00B14BED">
        <w:rPr>
          <w:rFonts w:cstheme="minorHAnsi"/>
          <w:smallCaps/>
          <w:lang w:val="nl-BE"/>
        </w:rPr>
        <w:t>Muir</w:t>
      </w:r>
      <w:proofErr w:type="spellEnd"/>
      <w:r w:rsidRPr="00B14BED">
        <w:rPr>
          <w:rFonts w:cstheme="minorHAnsi"/>
          <w:smallCaps/>
          <w:lang w:val="nl-BE"/>
        </w:rPr>
        <w:t xml:space="preserve"> </w:t>
      </w:r>
      <w:proofErr w:type="gramStart"/>
      <w:r w:rsidRPr="00B14BED">
        <w:rPr>
          <w:rFonts w:cstheme="minorHAnsi"/>
          <w:smallCaps/>
          <w:lang w:val="nl-BE"/>
        </w:rPr>
        <w:t>Watt</w:t>
      </w:r>
      <w:r w:rsidRPr="00B14BED">
        <w:rPr>
          <w:rFonts w:cstheme="minorHAnsi"/>
          <w:lang w:val="nl-BE"/>
        </w:rPr>
        <w:t> ;</w:t>
      </w:r>
      <w:proofErr w:type="gramEnd"/>
      <w:r w:rsidRPr="00B14BED">
        <w:rPr>
          <w:rFonts w:cstheme="minorHAnsi"/>
          <w:lang w:val="nl-BE"/>
        </w:rPr>
        <w:t xml:space="preserve"> D. 2007, 1115, noot </w:t>
      </w:r>
      <w:r w:rsidRPr="00B14BED">
        <w:rPr>
          <w:rFonts w:cstheme="minorHAnsi"/>
          <w:smallCaps/>
          <w:lang w:val="nl-BE"/>
        </w:rPr>
        <w:t xml:space="preserve">L. </w:t>
      </w:r>
      <w:proofErr w:type="spellStart"/>
      <w:r w:rsidRPr="00B14BED">
        <w:rPr>
          <w:rFonts w:cstheme="minorHAnsi"/>
          <w:smallCaps/>
          <w:lang w:val="nl-BE"/>
        </w:rPr>
        <w:t>d’Avout</w:t>
      </w:r>
      <w:proofErr w:type="spellEnd"/>
      <w:r w:rsidRPr="00B14BED">
        <w:rPr>
          <w:rFonts w:cstheme="minorHAnsi"/>
          <w:lang w:val="nl-BE"/>
        </w:rPr>
        <w:t xml:space="preserve"> en </w:t>
      </w:r>
      <w:r w:rsidRPr="00B14BED">
        <w:rPr>
          <w:rFonts w:cstheme="minorHAnsi"/>
          <w:smallCaps/>
          <w:lang w:val="nl-BE"/>
        </w:rPr>
        <w:t xml:space="preserve">S. </w:t>
      </w:r>
      <w:proofErr w:type="spellStart"/>
      <w:r w:rsidRPr="00B14BED">
        <w:rPr>
          <w:rFonts w:cstheme="minorHAnsi"/>
          <w:smallCaps/>
          <w:lang w:val="nl-BE"/>
        </w:rPr>
        <w:t>Bollée</w:t>
      </w:r>
      <w:proofErr w:type="spellEnd"/>
      <w:r w:rsidRPr="00B14BED">
        <w:rPr>
          <w:rFonts w:cstheme="minorHAnsi"/>
          <w:lang w:val="nl-BE"/>
        </w:rPr>
        <w:t xml:space="preserve">. </w:t>
      </w:r>
      <w:proofErr w:type="spellStart"/>
      <w:r w:rsidRPr="00B14BED">
        <w:rPr>
          <w:rFonts w:cstheme="minorHAnsi"/>
        </w:rPr>
        <w:t>Volgens</w:t>
      </w:r>
      <w:proofErr w:type="spellEnd"/>
      <w:r w:rsidRPr="00B14BED">
        <w:rPr>
          <w:rFonts w:cstheme="minorHAnsi"/>
        </w:rPr>
        <w:t xml:space="preserve"> het Hof van </w:t>
      </w:r>
      <w:proofErr w:type="spellStart"/>
      <w:r w:rsidRPr="00B14BED">
        <w:rPr>
          <w:rFonts w:cstheme="minorHAnsi"/>
        </w:rPr>
        <w:t>cassatie</w:t>
      </w:r>
      <w:proofErr w:type="spellEnd"/>
      <w:r w:rsidRPr="00B14BED">
        <w:rPr>
          <w:rFonts w:cstheme="minorHAnsi"/>
        </w:rPr>
        <w:t xml:space="preserve">, </w:t>
      </w:r>
      <w:r w:rsidRPr="00B14BED">
        <w:rPr>
          <w:rFonts w:cstheme="minorHAnsi"/>
          <w:color w:val="000000"/>
        </w:rPr>
        <w:t xml:space="preserve">« </w:t>
      </w:r>
      <w:r w:rsidR="009E3698">
        <w:rPr>
          <w:rFonts w:cstheme="minorHAnsi"/>
          <w:color w:val="000000"/>
        </w:rPr>
        <w:t>[</w:t>
      </w:r>
      <w:r w:rsidRPr="00B14BED">
        <w:rPr>
          <w:rFonts w:cstheme="minorHAnsi"/>
          <w:color w:val="000000"/>
        </w:rPr>
        <w:t>…</w:t>
      </w:r>
      <w:r w:rsidR="009E3698">
        <w:rPr>
          <w:rFonts w:cstheme="minorHAnsi"/>
          <w:color w:val="000000"/>
        </w:rPr>
        <w:t>]</w:t>
      </w:r>
      <w:r w:rsidRPr="00B14BED">
        <w:rPr>
          <w:rFonts w:cstheme="minorHAnsi"/>
          <w:color w:val="000000"/>
        </w:rPr>
        <w:t xml:space="preserve"> le juge de l'exequatur n'a </w:t>
      </w:r>
      <w:r w:rsidR="009E3698">
        <w:rPr>
          <w:rFonts w:cstheme="minorHAnsi"/>
          <w:color w:val="000000"/>
        </w:rPr>
        <w:t>[</w:t>
      </w:r>
      <w:r w:rsidRPr="00B14BED">
        <w:rPr>
          <w:rFonts w:cstheme="minorHAnsi"/>
          <w:color w:val="000000"/>
        </w:rPr>
        <w:t>…</w:t>
      </w:r>
      <w:r w:rsidR="009E3698">
        <w:rPr>
          <w:rFonts w:cstheme="minorHAnsi"/>
          <w:color w:val="000000"/>
        </w:rPr>
        <w:t>]</w:t>
      </w:r>
      <w:r w:rsidRPr="00B14BED">
        <w:rPr>
          <w:rFonts w:cstheme="minorHAnsi"/>
          <w:color w:val="000000"/>
        </w:rPr>
        <w:t xml:space="preserve"> pas à vérifier que la loi appliquée par le juge étranger est celle désignée par la règle de conflit de lois française ».</w:t>
      </w:r>
    </w:p>
  </w:footnote>
  <w:footnote w:id="43">
    <w:p w14:paraId="3F75466C" w14:textId="1B4A7DA5" w:rsidR="006712CC" w:rsidRPr="00B14BED" w:rsidRDefault="006712CC" w:rsidP="00B14BED">
      <w:pPr>
        <w:pStyle w:val="Notedebasdepage"/>
        <w:jc w:val="both"/>
      </w:pPr>
      <w:r w:rsidRPr="00B14BED">
        <w:rPr>
          <w:rStyle w:val="Appelnotedebasdep"/>
        </w:rPr>
        <w:footnoteRef/>
      </w:r>
      <w:r w:rsidRPr="00B14BED">
        <w:t xml:space="preserve"> Art. 311-14 Frans BW.</w:t>
      </w:r>
    </w:p>
  </w:footnote>
  <w:footnote w:id="44">
    <w:p w14:paraId="2E3BC7F3" w14:textId="66BF94C1" w:rsidR="006712CC" w:rsidRPr="00B14BED" w:rsidRDefault="006712CC" w:rsidP="00B14BED">
      <w:pPr>
        <w:pStyle w:val="Notedebasdepage"/>
        <w:jc w:val="both"/>
        <w:rPr>
          <w:lang w:val="nl-BE"/>
        </w:rPr>
      </w:pPr>
      <w:r w:rsidRPr="00B14BED">
        <w:rPr>
          <w:rStyle w:val="Appelnotedebasdep"/>
        </w:rPr>
        <w:footnoteRef/>
      </w:r>
      <w:r w:rsidRPr="00B14BED">
        <w:rPr>
          <w:lang w:val="nl-BE"/>
        </w:rPr>
        <w:t xml:space="preserve"> Zie de </w:t>
      </w:r>
      <w:r w:rsidRPr="00B14BED">
        <w:rPr>
          <w:rFonts w:cstheme="minorHAnsi"/>
          <w:lang w:val="nl-BE"/>
        </w:rPr>
        <w:t>artikelen 312 t.e.m. 315 Frans BW en de artikelen 315 t.e.m. 318 Belgisch BW.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31F44"/>
    <w:multiLevelType w:val="multilevel"/>
    <w:tmpl w:val="6C0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6C"/>
    <w:rsid w:val="000052CD"/>
    <w:rsid w:val="000072C2"/>
    <w:rsid w:val="00016FDD"/>
    <w:rsid w:val="000171BE"/>
    <w:rsid w:val="0002315D"/>
    <w:rsid w:val="00052AC3"/>
    <w:rsid w:val="0006331B"/>
    <w:rsid w:val="00074C33"/>
    <w:rsid w:val="00084DDA"/>
    <w:rsid w:val="000B1D3A"/>
    <w:rsid w:val="000D5C1A"/>
    <w:rsid w:val="000F4919"/>
    <w:rsid w:val="00136D6C"/>
    <w:rsid w:val="001403E4"/>
    <w:rsid w:val="001437A7"/>
    <w:rsid w:val="00167C01"/>
    <w:rsid w:val="001873D9"/>
    <w:rsid w:val="0019483A"/>
    <w:rsid w:val="00196D00"/>
    <w:rsid w:val="001D75B4"/>
    <w:rsid w:val="001F004E"/>
    <w:rsid w:val="001F1EA6"/>
    <w:rsid w:val="002526D0"/>
    <w:rsid w:val="00274F45"/>
    <w:rsid w:val="00291159"/>
    <w:rsid w:val="00291E9A"/>
    <w:rsid w:val="002A0571"/>
    <w:rsid w:val="002D47C8"/>
    <w:rsid w:val="002E100B"/>
    <w:rsid w:val="002E27BD"/>
    <w:rsid w:val="002F19FE"/>
    <w:rsid w:val="00305643"/>
    <w:rsid w:val="00311DB1"/>
    <w:rsid w:val="00335C0D"/>
    <w:rsid w:val="00336175"/>
    <w:rsid w:val="00351A89"/>
    <w:rsid w:val="00362E2F"/>
    <w:rsid w:val="0037076E"/>
    <w:rsid w:val="00372EC5"/>
    <w:rsid w:val="00394A7E"/>
    <w:rsid w:val="003A41A4"/>
    <w:rsid w:val="003A6555"/>
    <w:rsid w:val="003B77B5"/>
    <w:rsid w:val="003C4A5A"/>
    <w:rsid w:val="003D2125"/>
    <w:rsid w:val="00401472"/>
    <w:rsid w:val="004256FE"/>
    <w:rsid w:val="004431CB"/>
    <w:rsid w:val="004705ED"/>
    <w:rsid w:val="00515426"/>
    <w:rsid w:val="00522E10"/>
    <w:rsid w:val="00550A8B"/>
    <w:rsid w:val="00560E35"/>
    <w:rsid w:val="0057336C"/>
    <w:rsid w:val="0059049C"/>
    <w:rsid w:val="0059619C"/>
    <w:rsid w:val="005A4A24"/>
    <w:rsid w:val="005A55B0"/>
    <w:rsid w:val="005B42BE"/>
    <w:rsid w:val="005E3501"/>
    <w:rsid w:val="00623903"/>
    <w:rsid w:val="00663C86"/>
    <w:rsid w:val="00665AB5"/>
    <w:rsid w:val="0066799F"/>
    <w:rsid w:val="006710A2"/>
    <w:rsid w:val="006712CC"/>
    <w:rsid w:val="00696D71"/>
    <w:rsid w:val="006C62D1"/>
    <w:rsid w:val="006F3CD1"/>
    <w:rsid w:val="006F659F"/>
    <w:rsid w:val="00723BA8"/>
    <w:rsid w:val="00735B08"/>
    <w:rsid w:val="00747664"/>
    <w:rsid w:val="00747EBD"/>
    <w:rsid w:val="00755379"/>
    <w:rsid w:val="00786C92"/>
    <w:rsid w:val="00793E87"/>
    <w:rsid w:val="007F15B8"/>
    <w:rsid w:val="00830313"/>
    <w:rsid w:val="008747C5"/>
    <w:rsid w:val="008811ED"/>
    <w:rsid w:val="00883657"/>
    <w:rsid w:val="00897F09"/>
    <w:rsid w:val="008A520F"/>
    <w:rsid w:val="008A783A"/>
    <w:rsid w:val="008B0D98"/>
    <w:rsid w:val="008B4BD6"/>
    <w:rsid w:val="008C3138"/>
    <w:rsid w:val="008D0F24"/>
    <w:rsid w:val="009262C3"/>
    <w:rsid w:val="00935C83"/>
    <w:rsid w:val="00941B95"/>
    <w:rsid w:val="00946D56"/>
    <w:rsid w:val="00964382"/>
    <w:rsid w:val="0098375D"/>
    <w:rsid w:val="009908A0"/>
    <w:rsid w:val="009B0A56"/>
    <w:rsid w:val="009B1837"/>
    <w:rsid w:val="009B3C20"/>
    <w:rsid w:val="009D6E37"/>
    <w:rsid w:val="009E3698"/>
    <w:rsid w:val="00A01F01"/>
    <w:rsid w:val="00A03CD7"/>
    <w:rsid w:val="00A2172B"/>
    <w:rsid w:val="00A26051"/>
    <w:rsid w:val="00A44D01"/>
    <w:rsid w:val="00A450CF"/>
    <w:rsid w:val="00A71315"/>
    <w:rsid w:val="00A96430"/>
    <w:rsid w:val="00AA2A22"/>
    <w:rsid w:val="00AA5EA8"/>
    <w:rsid w:val="00AC00FA"/>
    <w:rsid w:val="00AF6989"/>
    <w:rsid w:val="00B14BED"/>
    <w:rsid w:val="00B1755F"/>
    <w:rsid w:val="00B234F0"/>
    <w:rsid w:val="00B35DA6"/>
    <w:rsid w:val="00B46FD4"/>
    <w:rsid w:val="00B52007"/>
    <w:rsid w:val="00B52588"/>
    <w:rsid w:val="00B85412"/>
    <w:rsid w:val="00B876A4"/>
    <w:rsid w:val="00BA51BD"/>
    <w:rsid w:val="00BB1ADB"/>
    <w:rsid w:val="00BC0E90"/>
    <w:rsid w:val="00BE2FDE"/>
    <w:rsid w:val="00BE4DC1"/>
    <w:rsid w:val="00BE6E2F"/>
    <w:rsid w:val="00BF5298"/>
    <w:rsid w:val="00C04910"/>
    <w:rsid w:val="00C135D9"/>
    <w:rsid w:val="00C311A3"/>
    <w:rsid w:val="00C906E5"/>
    <w:rsid w:val="00CB1791"/>
    <w:rsid w:val="00D13FE2"/>
    <w:rsid w:val="00D521A5"/>
    <w:rsid w:val="00D5363F"/>
    <w:rsid w:val="00D63F2A"/>
    <w:rsid w:val="00D75336"/>
    <w:rsid w:val="00D84719"/>
    <w:rsid w:val="00D94DAF"/>
    <w:rsid w:val="00DA197E"/>
    <w:rsid w:val="00DC5E60"/>
    <w:rsid w:val="00DD600C"/>
    <w:rsid w:val="00DE1C8E"/>
    <w:rsid w:val="00DE71CE"/>
    <w:rsid w:val="00E0606F"/>
    <w:rsid w:val="00E20CC3"/>
    <w:rsid w:val="00E34BC0"/>
    <w:rsid w:val="00E40092"/>
    <w:rsid w:val="00E407FF"/>
    <w:rsid w:val="00E63738"/>
    <w:rsid w:val="00EC08DB"/>
    <w:rsid w:val="00EF1F11"/>
    <w:rsid w:val="00EF5423"/>
    <w:rsid w:val="00F11D15"/>
    <w:rsid w:val="00F216E7"/>
    <w:rsid w:val="00F330D1"/>
    <w:rsid w:val="00F50009"/>
    <w:rsid w:val="00F8327C"/>
    <w:rsid w:val="00F90DDC"/>
    <w:rsid w:val="00F9115C"/>
    <w:rsid w:val="00F96458"/>
    <w:rsid w:val="00FE2369"/>
    <w:rsid w:val="00FF09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824A"/>
  <w15:chartTrackingRefBased/>
  <w15:docId w15:val="{81DCB8A7-1DDA-4999-9661-7E3E4D9F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A2"/>
  </w:style>
  <w:style w:type="paragraph" w:styleId="Titre1">
    <w:name w:val="heading 1"/>
    <w:basedOn w:val="Normal"/>
    <w:link w:val="Titre1Car"/>
    <w:uiPriority w:val="9"/>
    <w:qFormat/>
    <w:rsid w:val="00A964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A5E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5C1A"/>
    <w:pPr>
      <w:ind w:left="720"/>
      <w:contextualSpacing/>
    </w:pPr>
  </w:style>
  <w:style w:type="paragraph" w:styleId="Notedebasdepage">
    <w:name w:val="footnote text"/>
    <w:basedOn w:val="Normal"/>
    <w:link w:val="NotedebasdepageCar"/>
    <w:unhideWhenUsed/>
    <w:rsid w:val="000D5C1A"/>
    <w:pPr>
      <w:spacing w:after="0" w:line="240" w:lineRule="auto"/>
    </w:pPr>
    <w:rPr>
      <w:sz w:val="20"/>
      <w:szCs w:val="20"/>
    </w:rPr>
  </w:style>
  <w:style w:type="character" w:customStyle="1" w:styleId="NotedebasdepageCar">
    <w:name w:val="Note de bas de page Car"/>
    <w:basedOn w:val="Policepardfaut"/>
    <w:link w:val="Notedebasdepage"/>
    <w:rsid w:val="000D5C1A"/>
    <w:rPr>
      <w:sz w:val="20"/>
      <w:szCs w:val="20"/>
    </w:rPr>
  </w:style>
  <w:style w:type="character" w:styleId="Appelnotedebasdep">
    <w:name w:val="footnote reference"/>
    <w:basedOn w:val="Policepardfaut"/>
    <w:uiPriority w:val="99"/>
    <w:unhideWhenUsed/>
    <w:rsid w:val="000D5C1A"/>
    <w:rPr>
      <w:vertAlign w:val="superscript"/>
    </w:rPr>
  </w:style>
  <w:style w:type="character" w:styleId="Lienhypertexte">
    <w:name w:val="Hyperlink"/>
    <w:basedOn w:val="Policepardfaut"/>
    <w:uiPriority w:val="99"/>
    <w:unhideWhenUsed/>
    <w:rsid w:val="000D5C1A"/>
    <w:rPr>
      <w:color w:val="0563C1" w:themeColor="hyperlink"/>
      <w:u w:val="single"/>
    </w:rPr>
  </w:style>
  <w:style w:type="character" w:styleId="Mentionnonrsolue">
    <w:name w:val="Unresolved Mention"/>
    <w:basedOn w:val="Policepardfaut"/>
    <w:uiPriority w:val="99"/>
    <w:semiHidden/>
    <w:unhideWhenUsed/>
    <w:rsid w:val="000D5C1A"/>
    <w:rPr>
      <w:color w:val="605E5C"/>
      <w:shd w:val="clear" w:color="auto" w:fill="E1DFDD"/>
    </w:rPr>
  </w:style>
  <w:style w:type="character" w:customStyle="1" w:styleId="Titre1Car">
    <w:name w:val="Titre 1 Car"/>
    <w:basedOn w:val="Policepardfaut"/>
    <w:link w:val="Titre1"/>
    <w:uiPriority w:val="9"/>
    <w:rsid w:val="00A96430"/>
    <w:rPr>
      <w:rFonts w:ascii="Times New Roman" w:eastAsia="Times New Roman" w:hAnsi="Times New Roman" w:cs="Times New Roman"/>
      <w:b/>
      <w:bCs/>
      <w:kern w:val="36"/>
      <w:sz w:val="48"/>
      <w:szCs w:val="48"/>
      <w:lang w:eastAsia="fr-FR"/>
    </w:rPr>
  </w:style>
  <w:style w:type="paragraph" w:styleId="Corpsdetexte">
    <w:name w:val="Body Text"/>
    <w:basedOn w:val="Normal"/>
    <w:link w:val="CorpsdetexteCar"/>
    <w:rsid w:val="001873D9"/>
    <w:pPr>
      <w:suppressAutoHyphens/>
      <w:spacing w:after="120" w:line="240" w:lineRule="auto"/>
      <w:jc w:val="both"/>
    </w:pPr>
    <w:rPr>
      <w:rFonts w:ascii="Arial" w:eastAsia="Times New Roman" w:hAnsi="Arial" w:cs="Times New Roman"/>
      <w:sz w:val="21"/>
      <w:szCs w:val="20"/>
      <w:lang w:val="fr-BE" w:eastAsia="fr-BE"/>
    </w:rPr>
  </w:style>
  <w:style w:type="character" w:customStyle="1" w:styleId="CorpsdetexteCar">
    <w:name w:val="Corps de texte Car"/>
    <w:basedOn w:val="Policepardfaut"/>
    <w:link w:val="Corpsdetexte"/>
    <w:rsid w:val="001873D9"/>
    <w:rPr>
      <w:rFonts w:ascii="Arial" w:eastAsia="Times New Roman" w:hAnsi="Arial" w:cs="Times New Roman"/>
      <w:sz w:val="21"/>
      <w:szCs w:val="20"/>
      <w:lang w:val="fr-BE" w:eastAsia="fr-BE"/>
    </w:rPr>
  </w:style>
  <w:style w:type="paragraph" w:styleId="Textedebulles">
    <w:name w:val="Balloon Text"/>
    <w:basedOn w:val="Normal"/>
    <w:link w:val="TextedebullesCar"/>
    <w:uiPriority w:val="99"/>
    <w:semiHidden/>
    <w:unhideWhenUsed/>
    <w:rsid w:val="006710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10A2"/>
    <w:rPr>
      <w:rFonts w:ascii="Segoe UI" w:hAnsi="Segoe UI" w:cs="Segoe UI"/>
      <w:sz w:val="18"/>
      <w:szCs w:val="18"/>
    </w:rPr>
  </w:style>
  <w:style w:type="paragraph" w:customStyle="1" w:styleId="Default">
    <w:name w:val="Default"/>
    <w:rsid w:val="00C311A3"/>
    <w:pPr>
      <w:autoSpaceDE w:val="0"/>
      <w:autoSpaceDN w:val="0"/>
      <w:adjustRightInd w:val="0"/>
      <w:spacing w:after="0" w:line="240" w:lineRule="auto"/>
    </w:pPr>
    <w:rPr>
      <w:rFonts w:ascii="Calibri" w:hAnsi="Calibri" w:cs="Calibri"/>
      <w:color w:val="000000"/>
      <w:sz w:val="24"/>
      <w:szCs w:val="24"/>
    </w:rPr>
  </w:style>
  <w:style w:type="character" w:customStyle="1" w:styleId="open-access">
    <w:name w:val="open-access"/>
    <w:basedOn w:val="Policepardfaut"/>
    <w:rsid w:val="00274F45"/>
  </w:style>
  <w:style w:type="character" w:customStyle="1" w:styleId="authors">
    <w:name w:val="authors"/>
    <w:basedOn w:val="Policepardfaut"/>
    <w:rsid w:val="00274F45"/>
  </w:style>
  <w:style w:type="character" w:customStyle="1" w:styleId="contributor">
    <w:name w:val="contributor"/>
    <w:basedOn w:val="Policepardfaut"/>
    <w:rsid w:val="00274F45"/>
  </w:style>
  <w:style w:type="character" w:customStyle="1" w:styleId="label">
    <w:name w:val="label"/>
    <w:basedOn w:val="Policepardfaut"/>
    <w:rsid w:val="00274F45"/>
  </w:style>
  <w:style w:type="character" w:customStyle="1" w:styleId="year">
    <w:name w:val="year"/>
    <w:basedOn w:val="Policepardfaut"/>
    <w:rsid w:val="00274F45"/>
  </w:style>
  <w:style w:type="character" w:customStyle="1" w:styleId="additional-data">
    <w:name w:val="additional-data"/>
    <w:basedOn w:val="Policepardfaut"/>
    <w:rsid w:val="00274F45"/>
  </w:style>
  <w:style w:type="character" w:customStyle="1" w:styleId="Caractresdenotedebasdepage">
    <w:name w:val="Caractères de note de bas de page"/>
    <w:rsid w:val="00550A8B"/>
  </w:style>
  <w:style w:type="character" w:styleId="Accentuation">
    <w:name w:val="Emphasis"/>
    <w:basedOn w:val="Policepardfaut"/>
    <w:uiPriority w:val="20"/>
    <w:qFormat/>
    <w:rsid w:val="00AA5EA8"/>
    <w:rPr>
      <w:i/>
      <w:iCs/>
    </w:rPr>
  </w:style>
  <w:style w:type="character" w:customStyle="1" w:styleId="Titre2Car">
    <w:name w:val="Titre 2 Car"/>
    <w:basedOn w:val="Policepardfaut"/>
    <w:link w:val="Titre2"/>
    <w:uiPriority w:val="9"/>
    <w:semiHidden/>
    <w:rsid w:val="00AA5EA8"/>
    <w:rPr>
      <w:rFonts w:asciiTheme="majorHAnsi" w:eastAsiaTheme="majorEastAsia" w:hAnsiTheme="majorHAnsi" w:cstheme="majorBidi"/>
      <w:color w:val="2F5496" w:themeColor="accent1" w:themeShade="BF"/>
      <w:sz w:val="26"/>
      <w:szCs w:val="26"/>
    </w:rPr>
  </w:style>
  <w:style w:type="character" w:customStyle="1" w:styleId="titulo">
    <w:name w:val="titulo"/>
    <w:basedOn w:val="Policepardfaut"/>
    <w:rsid w:val="00AA5EA8"/>
  </w:style>
  <w:style w:type="character" w:styleId="lev">
    <w:name w:val="Strong"/>
    <w:basedOn w:val="Policepardfaut"/>
    <w:uiPriority w:val="22"/>
    <w:qFormat/>
    <w:rsid w:val="00AA5EA8"/>
    <w:rPr>
      <w:b/>
      <w:bCs/>
    </w:rPr>
  </w:style>
  <w:style w:type="character" w:styleId="AcronymeHTML">
    <w:name w:val="HTML Acronym"/>
    <w:basedOn w:val="Policepardfaut"/>
    <w:uiPriority w:val="99"/>
    <w:semiHidden/>
    <w:unhideWhenUsed/>
    <w:rsid w:val="00AA5EA8"/>
  </w:style>
  <w:style w:type="character" w:customStyle="1" w:styleId="documentyear">
    <w:name w:val="documentyear"/>
    <w:basedOn w:val="Policepardfaut"/>
    <w:rsid w:val="00B1755F"/>
  </w:style>
  <w:style w:type="character" w:customStyle="1" w:styleId="documentissuename">
    <w:name w:val="documentissuename"/>
    <w:basedOn w:val="Policepardfaut"/>
    <w:rsid w:val="00B1755F"/>
  </w:style>
  <w:style w:type="character" w:customStyle="1" w:styleId="documentpagerange">
    <w:name w:val="documentpagerange"/>
    <w:basedOn w:val="Policepardfaut"/>
    <w:rsid w:val="00B1755F"/>
  </w:style>
  <w:style w:type="paragraph" w:customStyle="1" w:styleId="Standard">
    <w:name w:val="Standard"/>
    <w:rsid w:val="00E40092"/>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54100">
      <w:bodyDiv w:val="1"/>
      <w:marLeft w:val="0"/>
      <w:marRight w:val="0"/>
      <w:marTop w:val="0"/>
      <w:marBottom w:val="0"/>
      <w:divBdr>
        <w:top w:val="none" w:sz="0" w:space="0" w:color="auto"/>
        <w:left w:val="none" w:sz="0" w:space="0" w:color="auto"/>
        <w:bottom w:val="none" w:sz="0" w:space="0" w:color="auto"/>
        <w:right w:val="none" w:sz="0" w:space="0" w:color="auto"/>
      </w:divBdr>
    </w:div>
    <w:div w:id="1543864312">
      <w:bodyDiv w:val="1"/>
      <w:marLeft w:val="0"/>
      <w:marRight w:val="0"/>
      <w:marTop w:val="0"/>
      <w:marBottom w:val="0"/>
      <w:divBdr>
        <w:top w:val="none" w:sz="0" w:space="0" w:color="auto"/>
        <w:left w:val="none" w:sz="0" w:space="0" w:color="auto"/>
        <w:bottom w:val="none" w:sz="0" w:space="0" w:color="auto"/>
        <w:right w:val="none" w:sz="0" w:space="0" w:color="auto"/>
      </w:divBdr>
      <w:divsChild>
        <w:div w:id="1703481207">
          <w:marLeft w:val="0"/>
          <w:marRight w:val="0"/>
          <w:marTop w:val="0"/>
          <w:marBottom w:val="0"/>
          <w:divBdr>
            <w:top w:val="none" w:sz="0" w:space="0" w:color="auto"/>
            <w:left w:val="none" w:sz="0" w:space="0" w:color="auto"/>
            <w:bottom w:val="none" w:sz="0" w:space="0" w:color="auto"/>
            <w:right w:val="none" w:sz="0" w:space="0" w:color="auto"/>
          </w:divBdr>
          <w:divsChild>
            <w:div w:id="1625848733">
              <w:marLeft w:val="0"/>
              <w:marRight w:val="0"/>
              <w:marTop w:val="0"/>
              <w:marBottom w:val="0"/>
              <w:divBdr>
                <w:top w:val="none" w:sz="0" w:space="0" w:color="auto"/>
                <w:left w:val="none" w:sz="0" w:space="0" w:color="auto"/>
                <w:bottom w:val="none" w:sz="0" w:space="0" w:color="auto"/>
                <w:right w:val="none" w:sz="0" w:space="0" w:color="auto"/>
              </w:divBdr>
            </w:div>
          </w:divsChild>
        </w:div>
        <w:div w:id="1565339053">
          <w:marLeft w:val="0"/>
          <w:marRight w:val="0"/>
          <w:marTop w:val="0"/>
          <w:marBottom w:val="0"/>
          <w:divBdr>
            <w:top w:val="none" w:sz="0" w:space="0" w:color="auto"/>
            <w:left w:val="none" w:sz="0" w:space="0" w:color="auto"/>
            <w:bottom w:val="none" w:sz="0" w:space="0" w:color="auto"/>
            <w:right w:val="none" w:sz="0" w:space="0" w:color="auto"/>
          </w:divBdr>
        </w:div>
      </w:divsChild>
    </w:div>
    <w:div w:id="212344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Tijdschrift@ipr.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1B6-D13D-4044-91E8-84242AC8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5386</Words>
  <Characters>29626</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Wautelet</dc:creator>
  <cp:keywords/>
  <dc:description/>
  <cp:lastModifiedBy>Patrick Wautelet</cp:lastModifiedBy>
  <cp:revision>2</cp:revision>
  <dcterms:created xsi:type="dcterms:W3CDTF">2021-01-11T21:53:00Z</dcterms:created>
  <dcterms:modified xsi:type="dcterms:W3CDTF">2021-01-11T21:53:00Z</dcterms:modified>
</cp:coreProperties>
</file>