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3D3" w:rsidRPr="00E243D3" w:rsidRDefault="00E243D3" w:rsidP="00E243D3">
      <w:pPr>
        <w:jc w:val="center"/>
        <w:rPr>
          <w:rFonts w:ascii="Times New Roman" w:hAnsi="Times New Roman" w:cs="Times New Roman"/>
          <w:lang w:val="fr-FR"/>
        </w:rPr>
      </w:pPr>
      <w:r w:rsidRPr="00E243D3">
        <w:rPr>
          <w:rFonts w:ascii="Times New Roman" w:hAnsi="Times New Roman" w:cs="Times New Roman"/>
          <w:b/>
          <w:lang w:val="fr-FR"/>
        </w:rPr>
        <w:t>« Rhétoriques du machinisme » selon Adorno</w:t>
      </w:r>
      <w:r w:rsidRPr="00E243D3">
        <w:rPr>
          <w:rFonts w:ascii="Times New Roman" w:hAnsi="Times New Roman" w:cs="Times New Roman"/>
          <w:b/>
          <w:lang w:val="fr-FR"/>
        </w:rPr>
        <w:br/>
      </w:r>
      <w:r w:rsidRPr="00E243D3">
        <w:rPr>
          <w:rFonts w:ascii="Times New Roman" w:hAnsi="Times New Roman" w:cs="Times New Roman"/>
          <w:lang w:val="fr-FR"/>
        </w:rPr>
        <w:t>De Sade à Beckett : scénographie d’une réification</w:t>
      </w:r>
    </w:p>
    <w:p w:rsidR="00656ED5" w:rsidRPr="00E243D3" w:rsidRDefault="00344B09" w:rsidP="00E243D3">
      <w:pPr>
        <w:jc w:val="both"/>
        <w:rPr>
          <w:rFonts w:ascii="Times New Roman" w:hAnsi="Times New Roman" w:cs="Times New Roman"/>
          <w:lang w:val="fr-FR"/>
        </w:rPr>
      </w:pPr>
      <w:r w:rsidRPr="00E243D3">
        <w:rPr>
          <w:rFonts w:ascii="Times New Roman" w:hAnsi="Times New Roman" w:cs="Times New Roman"/>
          <w:lang w:val="fr-FR"/>
        </w:rPr>
        <w:t>Theodor W. Adorno a conjointement développé une réflexion sur le rapport entre industrie, technique et culture (</w:t>
      </w:r>
      <w:r w:rsidRPr="00E243D3">
        <w:rPr>
          <w:rFonts w:ascii="Times New Roman" w:hAnsi="Times New Roman" w:cs="Times New Roman"/>
          <w:i/>
          <w:lang w:val="fr-FR"/>
        </w:rPr>
        <w:t>Dialektik der Aufklärung</w:t>
      </w:r>
      <w:r w:rsidRPr="00E243D3">
        <w:rPr>
          <w:rFonts w:ascii="Times New Roman" w:hAnsi="Times New Roman" w:cs="Times New Roman"/>
          <w:lang w:val="fr-FR"/>
        </w:rPr>
        <w:t xml:space="preserve">, </w:t>
      </w:r>
      <w:r w:rsidRPr="00E243D3">
        <w:rPr>
          <w:rFonts w:ascii="Times New Roman" w:hAnsi="Times New Roman" w:cs="Times New Roman"/>
          <w:i/>
          <w:lang w:val="fr-FR"/>
        </w:rPr>
        <w:t xml:space="preserve">Minima </w:t>
      </w:r>
      <w:proofErr w:type="spellStart"/>
      <w:r w:rsidRPr="00E243D3">
        <w:rPr>
          <w:rFonts w:ascii="Times New Roman" w:hAnsi="Times New Roman" w:cs="Times New Roman"/>
          <w:i/>
          <w:lang w:val="fr-FR"/>
        </w:rPr>
        <w:t>Moralia</w:t>
      </w:r>
      <w:proofErr w:type="spellEnd"/>
      <w:r w:rsidRPr="00E243D3">
        <w:rPr>
          <w:rFonts w:ascii="Times New Roman" w:hAnsi="Times New Roman" w:cs="Times New Roman"/>
          <w:lang w:val="fr-FR"/>
        </w:rPr>
        <w:t xml:space="preserve">) et une critique littéraire centrée sur l’expression d’une lutte incessante entre l’hétéronomie </w:t>
      </w:r>
      <w:proofErr w:type="spellStart"/>
      <w:r w:rsidRPr="00E243D3">
        <w:rPr>
          <w:rFonts w:ascii="Times New Roman" w:hAnsi="Times New Roman" w:cs="Times New Roman"/>
          <w:lang w:val="fr-FR"/>
        </w:rPr>
        <w:t>machinique</w:t>
      </w:r>
      <w:proofErr w:type="spellEnd"/>
      <w:r w:rsidRPr="00E243D3">
        <w:rPr>
          <w:rFonts w:ascii="Times New Roman" w:hAnsi="Times New Roman" w:cs="Times New Roman"/>
          <w:lang w:val="fr-FR"/>
        </w:rPr>
        <w:t xml:space="preserve"> de l’industrie culturelle et la subjectivité créatrice prise dans ce processus (</w:t>
      </w:r>
      <w:r w:rsidRPr="00E243D3">
        <w:rPr>
          <w:rFonts w:ascii="Times New Roman" w:hAnsi="Times New Roman" w:cs="Times New Roman"/>
          <w:i/>
          <w:lang w:val="fr-FR"/>
        </w:rPr>
        <w:t>Notes sur la littérature</w:t>
      </w:r>
      <w:r w:rsidRPr="00E243D3">
        <w:rPr>
          <w:rFonts w:ascii="Times New Roman" w:hAnsi="Times New Roman" w:cs="Times New Roman"/>
          <w:lang w:val="fr-FR"/>
        </w:rPr>
        <w:t>). Dans une attention précise pour les œuvres de Sade et de Beckett, le philosophe a tenté de comprendre la manière dont les formes de ces discours traduisaient, dans des conjonctures historiques différentes, ce rapport ambi</w:t>
      </w:r>
      <w:r w:rsidR="007262D8" w:rsidRPr="00E243D3">
        <w:rPr>
          <w:rFonts w:ascii="Times New Roman" w:hAnsi="Times New Roman" w:cs="Times New Roman"/>
          <w:lang w:val="fr-FR"/>
        </w:rPr>
        <w:t>valent, dialectique et critique</w:t>
      </w:r>
      <w:r w:rsidRPr="00E243D3">
        <w:rPr>
          <w:rFonts w:ascii="Times New Roman" w:hAnsi="Times New Roman" w:cs="Times New Roman"/>
          <w:lang w:val="fr-FR"/>
        </w:rPr>
        <w:t xml:space="preserve"> au mécanisme industriel en expansion de la fin du XVIII</w:t>
      </w:r>
      <w:r w:rsidRPr="00E243D3">
        <w:rPr>
          <w:rFonts w:ascii="Times New Roman" w:hAnsi="Times New Roman" w:cs="Times New Roman"/>
          <w:vertAlign w:val="superscript"/>
          <w:lang w:val="fr-FR"/>
        </w:rPr>
        <w:t>e</w:t>
      </w:r>
      <w:r w:rsidRPr="00E243D3">
        <w:rPr>
          <w:rFonts w:ascii="Times New Roman" w:hAnsi="Times New Roman" w:cs="Times New Roman"/>
          <w:lang w:val="fr-FR"/>
        </w:rPr>
        <w:t xml:space="preserve"> siècle au milieu du XX</w:t>
      </w:r>
      <w:r w:rsidRPr="00E243D3">
        <w:rPr>
          <w:rFonts w:ascii="Times New Roman" w:hAnsi="Times New Roman" w:cs="Times New Roman"/>
          <w:vertAlign w:val="superscript"/>
          <w:lang w:val="fr-FR"/>
        </w:rPr>
        <w:t>e</w:t>
      </w:r>
      <w:r w:rsidRPr="00E243D3">
        <w:rPr>
          <w:rFonts w:ascii="Times New Roman" w:hAnsi="Times New Roman" w:cs="Times New Roman"/>
          <w:lang w:val="fr-FR"/>
        </w:rPr>
        <w:t xml:space="preserve"> siècle. En un sens, la fascination de Sade pour la rationalité des dispositifs de torture est l’expression d’une première contradiction profonde, elle est </w:t>
      </w:r>
      <w:r w:rsidR="00656ED5" w:rsidRPr="00E243D3">
        <w:rPr>
          <w:rFonts w:ascii="Times New Roman" w:hAnsi="Times New Roman" w:cs="Times New Roman"/>
          <w:lang w:val="fr-FR"/>
        </w:rPr>
        <w:t xml:space="preserve">tantôt </w:t>
      </w:r>
      <w:r w:rsidRPr="00E243D3">
        <w:rPr>
          <w:rFonts w:ascii="Times New Roman" w:hAnsi="Times New Roman" w:cs="Times New Roman"/>
          <w:lang w:val="fr-FR"/>
        </w:rPr>
        <w:t>l</w:t>
      </w:r>
      <w:r w:rsidR="000C38F6" w:rsidRPr="00E243D3">
        <w:rPr>
          <w:rFonts w:ascii="Times New Roman" w:hAnsi="Times New Roman" w:cs="Times New Roman"/>
          <w:lang w:val="fr-FR"/>
        </w:rPr>
        <w:t>a mise en scène</w:t>
      </w:r>
      <w:r w:rsidRPr="00E243D3">
        <w:rPr>
          <w:rFonts w:ascii="Times New Roman" w:hAnsi="Times New Roman" w:cs="Times New Roman"/>
          <w:lang w:val="fr-FR"/>
        </w:rPr>
        <w:t xml:space="preserve"> </w:t>
      </w:r>
      <w:r w:rsidR="00656ED5" w:rsidRPr="00E243D3">
        <w:rPr>
          <w:rFonts w:ascii="Times New Roman" w:hAnsi="Times New Roman" w:cs="Times New Roman"/>
          <w:lang w:val="fr-FR"/>
        </w:rPr>
        <w:t>d’un usage extrême de la raison instrumentale (devenue mythe dans l’héritage rationaliste des Lumières), tantôt l</w:t>
      </w:r>
      <w:r w:rsidR="000C38F6" w:rsidRPr="00E243D3">
        <w:rPr>
          <w:rFonts w:ascii="Times New Roman" w:hAnsi="Times New Roman" w:cs="Times New Roman"/>
          <w:lang w:val="fr-FR"/>
        </w:rPr>
        <w:t>a formulation</w:t>
      </w:r>
      <w:r w:rsidR="00656ED5" w:rsidRPr="00E243D3">
        <w:rPr>
          <w:rFonts w:ascii="Times New Roman" w:hAnsi="Times New Roman" w:cs="Times New Roman"/>
          <w:lang w:val="fr-FR"/>
        </w:rPr>
        <w:t xml:space="preserve"> outrancière, presque cynique</w:t>
      </w:r>
      <w:r w:rsidR="007262D8" w:rsidRPr="00E243D3">
        <w:rPr>
          <w:rFonts w:ascii="Times New Roman" w:hAnsi="Times New Roman" w:cs="Times New Roman"/>
          <w:lang w:val="fr-FR"/>
        </w:rPr>
        <w:t xml:space="preserve"> et parodique</w:t>
      </w:r>
      <w:r w:rsidR="00656ED5" w:rsidRPr="00E243D3">
        <w:rPr>
          <w:rFonts w:ascii="Times New Roman" w:hAnsi="Times New Roman" w:cs="Times New Roman"/>
          <w:lang w:val="fr-FR"/>
        </w:rPr>
        <w:t>, d’une anti-</w:t>
      </w:r>
      <w:r w:rsidR="00656ED5" w:rsidRPr="00E243D3">
        <w:rPr>
          <w:rFonts w:ascii="Times New Roman" w:hAnsi="Times New Roman" w:cs="Times New Roman"/>
          <w:i/>
          <w:lang w:val="fr-FR"/>
        </w:rPr>
        <w:t>Aufklärung</w:t>
      </w:r>
      <w:r w:rsidR="00656ED5" w:rsidRPr="00E243D3">
        <w:rPr>
          <w:rFonts w:ascii="Times New Roman" w:hAnsi="Times New Roman" w:cs="Times New Roman"/>
          <w:lang w:val="fr-FR"/>
        </w:rPr>
        <w:t xml:space="preserve"> à l’œuvre. Moins de deux siècles après lui</w:t>
      </w:r>
      <w:r w:rsidR="00E243D3">
        <w:rPr>
          <w:rFonts w:ascii="Times New Roman" w:hAnsi="Times New Roman" w:cs="Times New Roman"/>
          <w:lang w:val="fr-FR"/>
        </w:rPr>
        <w:t>, Beckett prend</w:t>
      </w:r>
      <w:r w:rsidR="00656ED5" w:rsidRPr="00E243D3">
        <w:rPr>
          <w:rFonts w:ascii="Times New Roman" w:hAnsi="Times New Roman" w:cs="Times New Roman"/>
          <w:lang w:val="fr-FR"/>
        </w:rPr>
        <w:t xml:space="preserve"> acte d’une société au sein de laquelle le sujet s’est intégralement incorporé à une totalité sociale fondée sur l’échange réifié des individus. Bien entendu, Adorno effectue de nombreuses lectures à propos de la tradition littéraire française unissant les deux auteurs, de Balzac à Proust, en passant par Flaubert, Maupassant et Zola. A propos des conceptions réalistes et naturalistes, il est d’ailleurs intéressant de mentionner l</w:t>
      </w:r>
      <w:r w:rsidR="00E243D3">
        <w:rPr>
          <w:rFonts w:ascii="Times New Roman" w:hAnsi="Times New Roman" w:cs="Times New Roman"/>
          <w:lang w:val="fr-FR"/>
        </w:rPr>
        <w:t>’interprétation que développe</w:t>
      </w:r>
      <w:r w:rsidR="00656ED5" w:rsidRPr="00E243D3">
        <w:rPr>
          <w:rFonts w:ascii="Times New Roman" w:hAnsi="Times New Roman" w:cs="Times New Roman"/>
          <w:lang w:val="fr-FR"/>
        </w:rPr>
        <w:t xml:space="preserve"> Adorno à propos du détail signifiant comme expression d’un recouvrement intégral du réel par la machinerie romanesque. Beckett opérerait en quelque sorte une forme de retournement dialectique de la rhétorique sadienne, l’innommable devenant l’expression de cette société du règne de l’interchangeabilité entrevue par les pulsions macabres de Sade.</w:t>
      </w:r>
    </w:p>
    <w:p w:rsidR="00DC72E9" w:rsidRPr="00E243D3" w:rsidRDefault="00656ED5" w:rsidP="00E243D3">
      <w:pPr>
        <w:jc w:val="both"/>
        <w:rPr>
          <w:rFonts w:ascii="Times New Roman" w:hAnsi="Times New Roman" w:cs="Times New Roman"/>
          <w:lang w:val="fr-FR"/>
        </w:rPr>
      </w:pPr>
      <w:r w:rsidRPr="00E243D3">
        <w:rPr>
          <w:rFonts w:ascii="Times New Roman" w:hAnsi="Times New Roman" w:cs="Times New Roman"/>
          <w:lang w:val="fr-FR"/>
        </w:rPr>
        <w:t>L’objectif de notre article est de donner des appuis discursifs, rhétoriques et énonciatifs aux interprétations d’Adorno. En effet, plusieurs mécanismes formels rendent compte, en discours, des lectures adorniennes. Que l’on pense à la logique de la parataxe comme expression de la sé</w:t>
      </w:r>
      <w:r w:rsidR="007262D8" w:rsidRPr="00E243D3">
        <w:rPr>
          <w:rFonts w:ascii="Times New Roman" w:hAnsi="Times New Roman" w:cs="Times New Roman"/>
          <w:lang w:val="fr-FR"/>
        </w:rPr>
        <w:t xml:space="preserve">rialité </w:t>
      </w:r>
      <w:proofErr w:type="spellStart"/>
      <w:r w:rsidR="007262D8" w:rsidRPr="00E243D3">
        <w:rPr>
          <w:rFonts w:ascii="Times New Roman" w:hAnsi="Times New Roman" w:cs="Times New Roman"/>
          <w:lang w:val="fr-FR"/>
        </w:rPr>
        <w:t>machinique</w:t>
      </w:r>
      <w:proofErr w:type="spellEnd"/>
      <w:r w:rsidR="007262D8" w:rsidRPr="00E243D3">
        <w:rPr>
          <w:rFonts w:ascii="Times New Roman" w:hAnsi="Times New Roman" w:cs="Times New Roman"/>
          <w:lang w:val="fr-FR"/>
        </w:rPr>
        <w:t xml:space="preserve"> chez Beckett ;</w:t>
      </w:r>
      <w:r w:rsidRPr="00E243D3">
        <w:rPr>
          <w:rFonts w:ascii="Times New Roman" w:hAnsi="Times New Roman" w:cs="Times New Roman"/>
          <w:lang w:val="fr-FR"/>
        </w:rPr>
        <w:t xml:space="preserve"> à l’incessant aller-retour entre les scènes de torture et les dialogues philosophiques chez Sade, </w:t>
      </w:r>
      <w:r w:rsidR="007262D8" w:rsidRPr="00E243D3">
        <w:rPr>
          <w:rFonts w:ascii="Times New Roman" w:hAnsi="Times New Roman" w:cs="Times New Roman"/>
          <w:lang w:val="fr-FR"/>
        </w:rPr>
        <w:t>suivant une causalité infernale ;</w:t>
      </w:r>
      <w:r w:rsidRPr="00E243D3">
        <w:rPr>
          <w:rFonts w:ascii="Times New Roman" w:hAnsi="Times New Roman" w:cs="Times New Roman"/>
          <w:lang w:val="fr-FR"/>
        </w:rPr>
        <w:t xml:space="preserve"> ou encore </w:t>
      </w:r>
      <w:r w:rsidR="000C38F6" w:rsidRPr="00E243D3">
        <w:rPr>
          <w:rFonts w:ascii="Times New Roman" w:hAnsi="Times New Roman" w:cs="Times New Roman"/>
          <w:lang w:val="fr-FR"/>
        </w:rPr>
        <w:t>au traitement énonciatif dans lequel est placé le narrateur beckettien, locuteur toujours extérieur à lui-même, sans aucun énonciateur propre. Cette extériorité à soi du locuteur-narrateur</w:t>
      </w:r>
      <w:r w:rsidR="007262D8" w:rsidRPr="00E243D3">
        <w:rPr>
          <w:rFonts w:ascii="Times New Roman" w:hAnsi="Times New Roman" w:cs="Times New Roman"/>
          <w:lang w:val="fr-FR"/>
        </w:rPr>
        <w:t xml:space="preserve"> beckettien</w:t>
      </w:r>
      <w:r w:rsidR="000C38F6" w:rsidRPr="00E243D3">
        <w:rPr>
          <w:rFonts w:ascii="Times New Roman" w:hAnsi="Times New Roman" w:cs="Times New Roman"/>
          <w:lang w:val="fr-FR"/>
        </w:rPr>
        <w:t xml:space="preserve"> </w:t>
      </w:r>
      <w:r w:rsidR="007262D8" w:rsidRPr="00E243D3">
        <w:rPr>
          <w:rFonts w:ascii="Times New Roman" w:hAnsi="Times New Roman" w:cs="Times New Roman"/>
          <w:lang w:val="fr-FR"/>
        </w:rPr>
        <w:t>fonctionne comme un retournement de l’aliénation</w:t>
      </w:r>
      <w:r w:rsidR="000C38F6" w:rsidRPr="00E243D3">
        <w:rPr>
          <w:rFonts w:ascii="Times New Roman" w:hAnsi="Times New Roman" w:cs="Times New Roman"/>
          <w:lang w:val="fr-FR"/>
        </w:rPr>
        <w:t xml:space="preserve"> des locuteurs-personnages chez Sade, qui </w:t>
      </w:r>
      <w:proofErr w:type="gramStart"/>
      <w:r w:rsidR="000C38F6" w:rsidRPr="00E243D3">
        <w:rPr>
          <w:rFonts w:ascii="Times New Roman" w:hAnsi="Times New Roman" w:cs="Times New Roman"/>
          <w:lang w:val="fr-FR"/>
        </w:rPr>
        <w:t>sont</w:t>
      </w:r>
      <w:proofErr w:type="gramEnd"/>
      <w:r w:rsidR="000C38F6" w:rsidRPr="00E243D3">
        <w:rPr>
          <w:rFonts w:ascii="Times New Roman" w:hAnsi="Times New Roman" w:cs="Times New Roman"/>
          <w:lang w:val="fr-FR"/>
        </w:rPr>
        <w:t xml:space="preserve"> toujours p</w:t>
      </w:r>
      <w:r w:rsidR="007262D8" w:rsidRPr="00E243D3">
        <w:rPr>
          <w:rFonts w:ascii="Times New Roman" w:hAnsi="Times New Roman" w:cs="Times New Roman"/>
          <w:lang w:val="fr-FR"/>
        </w:rPr>
        <w:t>ris dans une logique énonciative mécaniste et</w:t>
      </w:r>
      <w:r w:rsidR="000C38F6" w:rsidRPr="00E243D3">
        <w:rPr>
          <w:rFonts w:ascii="Times New Roman" w:hAnsi="Times New Roman" w:cs="Times New Roman"/>
          <w:lang w:val="fr-FR"/>
        </w:rPr>
        <w:t xml:space="preserve"> macabr</w:t>
      </w:r>
      <w:bookmarkStart w:id="0" w:name="_GoBack"/>
      <w:bookmarkEnd w:id="0"/>
      <w:r w:rsidR="000C38F6" w:rsidRPr="00E243D3">
        <w:rPr>
          <w:rFonts w:ascii="Times New Roman" w:hAnsi="Times New Roman" w:cs="Times New Roman"/>
          <w:lang w:val="fr-FR"/>
        </w:rPr>
        <w:t xml:space="preserve">e, orchestratrice de leurs destins. L’approche privilégiée, à la croisée de la Théorie critique et de l’analyse du discours, entend donc mettre au jour une rhétorique </w:t>
      </w:r>
      <w:proofErr w:type="spellStart"/>
      <w:r w:rsidR="000C38F6" w:rsidRPr="00E243D3">
        <w:rPr>
          <w:rFonts w:ascii="Times New Roman" w:hAnsi="Times New Roman" w:cs="Times New Roman"/>
          <w:lang w:val="fr-FR"/>
        </w:rPr>
        <w:t>machinique</w:t>
      </w:r>
      <w:proofErr w:type="spellEnd"/>
      <w:r w:rsidR="000C38F6" w:rsidRPr="00E243D3">
        <w:rPr>
          <w:rFonts w:ascii="Times New Roman" w:hAnsi="Times New Roman" w:cs="Times New Roman"/>
          <w:lang w:val="fr-FR"/>
        </w:rPr>
        <w:t xml:space="preserve">, qui met en scène des </w:t>
      </w:r>
      <w:r w:rsidR="000C38F6" w:rsidRPr="00E243D3">
        <w:rPr>
          <w:rFonts w:ascii="Times New Roman" w:hAnsi="Times New Roman" w:cs="Times New Roman"/>
          <w:i/>
          <w:lang w:val="fr-FR"/>
        </w:rPr>
        <w:t xml:space="preserve">mécanismes énonciatifs </w:t>
      </w:r>
      <w:r w:rsidR="000C38F6" w:rsidRPr="00E243D3">
        <w:rPr>
          <w:rFonts w:ascii="Times New Roman" w:hAnsi="Times New Roman" w:cs="Times New Roman"/>
          <w:lang w:val="fr-FR"/>
        </w:rPr>
        <w:t>traduisant formel</w:t>
      </w:r>
      <w:r w:rsidR="007262D8" w:rsidRPr="00E243D3">
        <w:rPr>
          <w:rFonts w:ascii="Times New Roman" w:hAnsi="Times New Roman" w:cs="Times New Roman"/>
          <w:lang w:val="fr-FR"/>
        </w:rPr>
        <w:t>lement des mécanismes sociopolitiques</w:t>
      </w:r>
      <w:r w:rsidR="000C38F6" w:rsidRPr="00E243D3">
        <w:rPr>
          <w:rFonts w:ascii="Times New Roman" w:hAnsi="Times New Roman" w:cs="Times New Roman"/>
          <w:lang w:val="fr-FR"/>
        </w:rPr>
        <w:t xml:space="preserve">. La qualification de ces discours littéraires comme « rhétoriques du mécanisme » est une hypothèse à investiguer et à nuancer à l’aune des conjonctures singulières.    </w:t>
      </w:r>
      <w:r w:rsidRPr="00E243D3">
        <w:rPr>
          <w:rFonts w:ascii="Times New Roman" w:hAnsi="Times New Roman" w:cs="Times New Roman"/>
          <w:lang w:val="fr-FR"/>
        </w:rPr>
        <w:t xml:space="preserve">  </w:t>
      </w:r>
      <w:r w:rsidR="00344B09" w:rsidRPr="00E243D3">
        <w:rPr>
          <w:rFonts w:ascii="Times New Roman" w:hAnsi="Times New Roman" w:cs="Times New Roman"/>
          <w:lang w:val="fr-FR"/>
        </w:rPr>
        <w:t xml:space="preserve"> </w:t>
      </w:r>
    </w:p>
    <w:p w:rsidR="00E243D3" w:rsidRPr="00E243D3" w:rsidRDefault="00E243D3" w:rsidP="00E243D3">
      <w:pPr>
        <w:jc w:val="both"/>
        <w:rPr>
          <w:rFonts w:ascii="Times New Roman" w:hAnsi="Times New Roman" w:cs="Times New Roman"/>
          <w:b/>
          <w:lang w:val="es-ES"/>
        </w:rPr>
      </w:pPr>
      <w:proofErr w:type="spellStart"/>
      <w:r>
        <w:rPr>
          <w:rFonts w:ascii="Times New Roman" w:hAnsi="Times New Roman" w:cs="Times New Roman"/>
          <w:b/>
          <w:lang w:val="es-ES"/>
        </w:rPr>
        <w:t>Bibliographie</w:t>
      </w:r>
      <w:proofErr w:type="spellEnd"/>
      <w:r>
        <w:rPr>
          <w:rFonts w:ascii="Times New Roman" w:hAnsi="Times New Roman" w:cs="Times New Roman"/>
          <w:b/>
          <w:lang w:val="es-ES"/>
        </w:rPr>
        <w:t xml:space="preserve"> de </w:t>
      </w:r>
      <w:proofErr w:type="spellStart"/>
      <w:r>
        <w:rPr>
          <w:rFonts w:ascii="Times New Roman" w:hAnsi="Times New Roman" w:cs="Times New Roman"/>
          <w:b/>
          <w:lang w:val="es-ES"/>
        </w:rPr>
        <w:t>travail</w:t>
      </w:r>
      <w:proofErr w:type="spellEnd"/>
    </w:p>
    <w:p w:rsidR="007262D8" w:rsidRPr="00E243D3" w:rsidRDefault="007262D8" w:rsidP="00E243D3">
      <w:pPr>
        <w:jc w:val="both"/>
        <w:rPr>
          <w:rFonts w:ascii="Times New Roman" w:hAnsi="Times New Roman" w:cs="Times New Roman"/>
          <w:lang w:val="fr-FR"/>
        </w:rPr>
      </w:pPr>
      <w:r w:rsidRPr="00E243D3">
        <w:rPr>
          <w:rFonts w:ascii="Times New Roman" w:hAnsi="Times New Roman" w:cs="Times New Roman"/>
          <w:lang w:val="es-ES"/>
        </w:rPr>
        <w:t xml:space="preserve">Adorno (Theodor W.), </w:t>
      </w:r>
      <w:proofErr w:type="spellStart"/>
      <w:r w:rsidRPr="00E243D3">
        <w:rPr>
          <w:rFonts w:ascii="Times New Roman" w:hAnsi="Times New Roman" w:cs="Times New Roman"/>
          <w:i/>
          <w:lang w:val="es-ES"/>
        </w:rPr>
        <w:t>Minima</w:t>
      </w:r>
      <w:proofErr w:type="spellEnd"/>
      <w:r w:rsidRPr="00E243D3">
        <w:rPr>
          <w:rFonts w:ascii="Times New Roman" w:hAnsi="Times New Roman" w:cs="Times New Roman"/>
          <w:i/>
          <w:lang w:val="es-ES"/>
        </w:rPr>
        <w:t xml:space="preserve"> </w:t>
      </w:r>
      <w:proofErr w:type="spellStart"/>
      <w:r w:rsidRPr="00E243D3">
        <w:rPr>
          <w:rFonts w:ascii="Times New Roman" w:hAnsi="Times New Roman" w:cs="Times New Roman"/>
          <w:i/>
          <w:lang w:val="es-ES"/>
        </w:rPr>
        <w:t>Moralia</w:t>
      </w:r>
      <w:proofErr w:type="spellEnd"/>
      <w:r w:rsidRPr="00E243D3">
        <w:rPr>
          <w:rFonts w:ascii="Times New Roman" w:hAnsi="Times New Roman" w:cs="Times New Roman"/>
          <w:i/>
          <w:lang w:val="es-ES"/>
        </w:rPr>
        <w:t xml:space="preserve">. </w:t>
      </w:r>
      <w:r w:rsidRPr="00E243D3">
        <w:rPr>
          <w:rFonts w:ascii="Times New Roman" w:hAnsi="Times New Roman" w:cs="Times New Roman"/>
          <w:i/>
          <w:lang w:val="fr-FR"/>
        </w:rPr>
        <w:t>Réflexions sur la vie mutilée</w:t>
      </w:r>
      <w:r w:rsidRPr="00E243D3">
        <w:rPr>
          <w:rFonts w:ascii="Times New Roman" w:hAnsi="Times New Roman" w:cs="Times New Roman"/>
          <w:lang w:val="fr-FR"/>
        </w:rPr>
        <w:t>, Paris, Payot, 1980 [1951].</w:t>
      </w:r>
    </w:p>
    <w:p w:rsidR="007262D8" w:rsidRPr="00E243D3" w:rsidRDefault="007262D8" w:rsidP="00E243D3">
      <w:pPr>
        <w:jc w:val="both"/>
        <w:rPr>
          <w:rFonts w:ascii="Times New Roman" w:hAnsi="Times New Roman" w:cs="Times New Roman"/>
        </w:rPr>
      </w:pPr>
      <w:r w:rsidRPr="00E243D3">
        <w:rPr>
          <w:rFonts w:ascii="Times New Roman" w:hAnsi="Times New Roman" w:cs="Times New Roman"/>
          <w:lang w:val="fr-FR"/>
        </w:rPr>
        <w:t xml:space="preserve">Adorno (Theodor W.), </w:t>
      </w:r>
      <w:r w:rsidRPr="00E243D3">
        <w:rPr>
          <w:rFonts w:ascii="Times New Roman" w:hAnsi="Times New Roman" w:cs="Times New Roman"/>
          <w:i/>
          <w:lang w:val="fr-FR"/>
        </w:rPr>
        <w:t>Notes sur la littérature</w:t>
      </w:r>
      <w:r w:rsidRPr="00E243D3">
        <w:rPr>
          <w:rFonts w:ascii="Times New Roman" w:hAnsi="Times New Roman" w:cs="Times New Roman"/>
          <w:lang w:val="fr-FR"/>
        </w:rPr>
        <w:t xml:space="preserve">, Paris, Flammarion, coll. </w:t>
      </w:r>
      <w:r w:rsidRPr="00E243D3">
        <w:rPr>
          <w:rFonts w:ascii="Times New Roman" w:hAnsi="Times New Roman" w:cs="Times New Roman"/>
        </w:rPr>
        <w:t xml:space="preserve">« Champs </w:t>
      </w:r>
      <w:proofErr w:type="spellStart"/>
      <w:r w:rsidRPr="00E243D3">
        <w:rPr>
          <w:rFonts w:ascii="Times New Roman" w:hAnsi="Times New Roman" w:cs="Times New Roman"/>
        </w:rPr>
        <w:t>essais</w:t>
      </w:r>
      <w:proofErr w:type="spellEnd"/>
      <w:r w:rsidRPr="00E243D3">
        <w:rPr>
          <w:rFonts w:ascii="Times New Roman" w:hAnsi="Times New Roman" w:cs="Times New Roman"/>
        </w:rPr>
        <w:t> », 1984 [1958-1961-1965-1974].</w:t>
      </w:r>
    </w:p>
    <w:p w:rsidR="007262D8" w:rsidRPr="00E243D3" w:rsidRDefault="007262D8" w:rsidP="00E243D3">
      <w:pPr>
        <w:spacing w:line="276" w:lineRule="auto"/>
        <w:ind w:left="284" w:hanging="284"/>
        <w:jc w:val="both"/>
        <w:rPr>
          <w:rFonts w:ascii="Times New Roman" w:hAnsi="Times New Roman" w:cs="Times New Roman"/>
          <w:lang w:val="fr-FR"/>
        </w:rPr>
      </w:pPr>
      <w:r w:rsidRPr="00E243D3">
        <w:rPr>
          <w:rFonts w:ascii="Times New Roman" w:hAnsi="Times New Roman" w:cs="Times New Roman"/>
          <w:lang w:val="fr-FR"/>
        </w:rPr>
        <w:t xml:space="preserve">Adorno (Theodor W.), « L’industrie culturelle », in </w:t>
      </w:r>
      <w:r w:rsidRPr="00E243D3">
        <w:rPr>
          <w:rFonts w:ascii="Times New Roman" w:hAnsi="Times New Roman" w:cs="Times New Roman"/>
          <w:i/>
          <w:lang w:val="fr-FR"/>
        </w:rPr>
        <w:t>Communications</w:t>
      </w:r>
      <w:r w:rsidRPr="00E243D3">
        <w:rPr>
          <w:rFonts w:ascii="Times New Roman" w:hAnsi="Times New Roman" w:cs="Times New Roman"/>
          <w:lang w:val="fr-FR"/>
        </w:rPr>
        <w:t>, n°3, 1964, p. 12-18.</w:t>
      </w:r>
    </w:p>
    <w:p w:rsidR="007262D8" w:rsidRPr="00E243D3" w:rsidRDefault="007262D8" w:rsidP="00E243D3">
      <w:pPr>
        <w:spacing w:line="276" w:lineRule="auto"/>
        <w:ind w:left="284" w:hanging="284"/>
        <w:jc w:val="both"/>
        <w:rPr>
          <w:rFonts w:ascii="Times New Roman" w:hAnsi="Times New Roman" w:cs="Times New Roman"/>
          <w:lang w:val="fr-FR"/>
        </w:rPr>
      </w:pPr>
      <w:r w:rsidRPr="00E243D3">
        <w:rPr>
          <w:rFonts w:ascii="Times New Roman" w:hAnsi="Times New Roman" w:cs="Times New Roman"/>
          <w:lang w:val="fr-FR"/>
        </w:rPr>
        <w:t xml:space="preserve">Adorno (Theodor W.), </w:t>
      </w:r>
      <w:r w:rsidRPr="00E243D3">
        <w:rPr>
          <w:rFonts w:ascii="Times New Roman" w:hAnsi="Times New Roman" w:cs="Times New Roman"/>
          <w:i/>
          <w:lang w:val="fr-FR"/>
        </w:rPr>
        <w:t>Jargon de l’authenticité</w:t>
      </w:r>
      <w:r w:rsidRPr="00E243D3">
        <w:rPr>
          <w:rFonts w:ascii="Times New Roman" w:hAnsi="Times New Roman" w:cs="Times New Roman"/>
          <w:lang w:val="fr-FR"/>
        </w:rPr>
        <w:t>, Paris, Payot, 1989 [1964].</w:t>
      </w:r>
    </w:p>
    <w:p w:rsidR="007262D8" w:rsidRPr="00E243D3" w:rsidRDefault="007262D8" w:rsidP="00E243D3">
      <w:pPr>
        <w:jc w:val="both"/>
        <w:rPr>
          <w:rFonts w:ascii="Times New Roman" w:hAnsi="Times New Roman" w:cs="Times New Roman"/>
          <w:lang w:val="fr-FR"/>
        </w:rPr>
      </w:pPr>
      <w:r w:rsidRPr="00E243D3">
        <w:rPr>
          <w:rFonts w:ascii="Times New Roman" w:hAnsi="Times New Roman" w:cs="Times New Roman"/>
          <w:lang w:val="fr-FR"/>
        </w:rPr>
        <w:t xml:space="preserve">Adorno (Theodor W.), </w:t>
      </w:r>
      <w:r w:rsidRPr="00E243D3">
        <w:rPr>
          <w:rFonts w:ascii="Times New Roman" w:hAnsi="Times New Roman" w:cs="Times New Roman"/>
          <w:i/>
          <w:lang w:val="fr-FR"/>
        </w:rPr>
        <w:t>Dialectique négative</w:t>
      </w:r>
      <w:r w:rsidRPr="00E243D3">
        <w:rPr>
          <w:rFonts w:ascii="Times New Roman" w:hAnsi="Times New Roman" w:cs="Times New Roman"/>
          <w:lang w:val="fr-FR"/>
        </w:rPr>
        <w:t xml:space="preserve">, traduit de l’allemand par le groupe de traduction du Collège de philosophie : Gérard Coffin, Joëlle Masson, Olivier Masson, Alain </w:t>
      </w:r>
      <w:proofErr w:type="spellStart"/>
      <w:r w:rsidRPr="00E243D3">
        <w:rPr>
          <w:rFonts w:ascii="Times New Roman" w:hAnsi="Times New Roman" w:cs="Times New Roman"/>
          <w:lang w:val="fr-FR"/>
        </w:rPr>
        <w:t>Renaut</w:t>
      </w:r>
      <w:proofErr w:type="spellEnd"/>
      <w:r w:rsidRPr="00E243D3">
        <w:rPr>
          <w:rFonts w:ascii="Times New Roman" w:hAnsi="Times New Roman" w:cs="Times New Roman"/>
          <w:lang w:val="fr-FR"/>
        </w:rPr>
        <w:t xml:space="preserve"> et </w:t>
      </w:r>
      <w:proofErr w:type="spellStart"/>
      <w:r w:rsidRPr="00E243D3">
        <w:rPr>
          <w:rFonts w:ascii="Times New Roman" w:hAnsi="Times New Roman" w:cs="Times New Roman"/>
          <w:lang w:val="fr-FR"/>
        </w:rPr>
        <w:t>Dagmar</w:t>
      </w:r>
      <w:proofErr w:type="spellEnd"/>
      <w:r w:rsidRPr="00E243D3">
        <w:rPr>
          <w:rFonts w:ascii="Times New Roman" w:hAnsi="Times New Roman" w:cs="Times New Roman"/>
          <w:lang w:val="fr-FR"/>
        </w:rPr>
        <w:t xml:space="preserve"> </w:t>
      </w:r>
      <w:proofErr w:type="spellStart"/>
      <w:r w:rsidRPr="00E243D3">
        <w:rPr>
          <w:rFonts w:ascii="Times New Roman" w:hAnsi="Times New Roman" w:cs="Times New Roman"/>
          <w:lang w:val="fr-FR"/>
        </w:rPr>
        <w:t>Trousson</w:t>
      </w:r>
      <w:proofErr w:type="spellEnd"/>
      <w:r w:rsidRPr="00E243D3">
        <w:rPr>
          <w:rFonts w:ascii="Times New Roman" w:hAnsi="Times New Roman" w:cs="Times New Roman"/>
          <w:lang w:val="fr-FR"/>
        </w:rPr>
        <w:t>, Paris, Petite Bibliothèque Payot, 2016 [1966].</w:t>
      </w:r>
    </w:p>
    <w:p w:rsidR="007262D8" w:rsidRPr="00E243D3" w:rsidRDefault="007262D8" w:rsidP="00E243D3">
      <w:pPr>
        <w:spacing w:line="276" w:lineRule="auto"/>
        <w:ind w:left="284" w:hanging="284"/>
        <w:jc w:val="both"/>
        <w:rPr>
          <w:rFonts w:ascii="Times New Roman" w:hAnsi="Times New Roman" w:cs="Times New Roman"/>
        </w:rPr>
      </w:pPr>
      <w:r w:rsidRPr="00E243D3">
        <w:rPr>
          <w:rFonts w:ascii="Times New Roman" w:hAnsi="Times New Roman" w:cs="Times New Roman"/>
          <w:lang w:val="fr-FR"/>
        </w:rPr>
        <w:lastRenderedPageBreak/>
        <w:t xml:space="preserve">Adorno (Theodor W.) et Horkheimer (Max), </w:t>
      </w:r>
      <w:r w:rsidRPr="00E243D3">
        <w:rPr>
          <w:rFonts w:ascii="Times New Roman" w:hAnsi="Times New Roman" w:cs="Times New Roman"/>
          <w:i/>
          <w:lang w:val="fr-FR"/>
        </w:rPr>
        <w:t xml:space="preserve">Le Laboratoire de la </w:t>
      </w:r>
      <w:r w:rsidRPr="00E243D3">
        <w:rPr>
          <w:rFonts w:ascii="Times New Roman" w:hAnsi="Times New Roman" w:cs="Times New Roman"/>
          <w:lang w:val="fr-FR"/>
        </w:rPr>
        <w:t xml:space="preserve">Dialectique de la Raison. </w:t>
      </w:r>
      <w:r w:rsidRPr="00E243D3">
        <w:rPr>
          <w:rFonts w:ascii="Times New Roman" w:hAnsi="Times New Roman" w:cs="Times New Roman"/>
          <w:i/>
          <w:lang w:val="fr-FR"/>
        </w:rPr>
        <w:t>Discussions, notes et fragments inédits</w:t>
      </w:r>
      <w:r w:rsidRPr="00E243D3">
        <w:rPr>
          <w:rFonts w:ascii="Times New Roman" w:hAnsi="Times New Roman" w:cs="Times New Roman"/>
          <w:lang w:val="fr-FR"/>
        </w:rPr>
        <w:t xml:space="preserve">, Montréal, Presses de l’Université de Montréal, coll. </w:t>
      </w:r>
      <w:r w:rsidRPr="00E243D3">
        <w:rPr>
          <w:rFonts w:ascii="Times New Roman" w:hAnsi="Times New Roman" w:cs="Times New Roman"/>
        </w:rPr>
        <w:t>« </w:t>
      </w:r>
      <w:proofErr w:type="spellStart"/>
      <w:r w:rsidRPr="00E243D3">
        <w:rPr>
          <w:rFonts w:ascii="Times New Roman" w:hAnsi="Times New Roman" w:cs="Times New Roman"/>
        </w:rPr>
        <w:t>Pensée</w:t>
      </w:r>
      <w:proofErr w:type="spellEnd"/>
      <w:r w:rsidRPr="00E243D3">
        <w:rPr>
          <w:rFonts w:ascii="Times New Roman" w:hAnsi="Times New Roman" w:cs="Times New Roman"/>
        </w:rPr>
        <w:t xml:space="preserve"> allemande et </w:t>
      </w:r>
      <w:proofErr w:type="spellStart"/>
      <w:r w:rsidRPr="00E243D3">
        <w:rPr>
          <w:rFonts w:ascii="Times New Roman" w:hAnsi="Times New Roman" w:cs="Times New Roman"/>
        </w:rPr>
        <w:t>européenne</w:t>
      </w:r>
      <w:proofErr w:type="spellEnd"/>
      <w:r w:rsidRPr="00E243D3">
        <w:rPr>
          <w:rFonts w:ascii="Times New Roman" w:hAnsi="Times New Roman" w:cs="Times New Roman"/>
        </w:rPr>
        <w:t> », 2014.</w:t>
      </w:r>
    </w:p>
    <w:p w:rsidR="007262D8" w:rsidRPr="00E243D3" w:rsidRDefault="007262D8" w:rsidP="00E243D3">
      <w:pPr>
        <w:jc w:val="both"/>
        <w:rPr>
          <w:rFonts w:ascii="Times New Roman" w:hAnsi="Times New Roman" w:cs="Times New Roman"/>
          <w:lang w:val="fr-FR"/>
        </w:rPr>
      </w:pPr>
      <w:r w:rsidRPr="00E243D3">
        <w:rPr>
          <w:rFonts w:ascii="Times New Roman" w:hAnsi="Times New Roman" w:cs="Times New Roman"/>
          <w:lang w:val="fr-FR"/>
        </w:rPr>
        <w:t xml:space="preserve">Adorno (Theodor W.) et Horkheimer (Max), </w:t>
      </w:r>
      <w:r w:rsidRPr="00E243D3">
        <w:rPr>
          <w:rFonts w:ascii="Times New Roman" w:hAnsi="Times New Roman" w:cs="Times New Roman"/>
          <w:i/>
          <w:lang w:val="fr-FR"/>
        </w:rPr>
        <w:t>La Dialectique de la Raison. Fragments philosophiques</w:t>
      </w:r>
      <w:r w:rsidRPr="00E243D3">
        <w:rPr>
          <w:rFonts w:ascii="Times New Roman" w:hAnsi="Times New Roman" w:cs="Times New Roman"/>
          <w:lang w:val="fr-FR"/>
        </w:rPr>
        <w:t>, Paris, Gallimard, coll. « Bibliothèque des idées », 1974 [1947].</w:t>
      </w:r>
    </w:p>
    <w:p w:rsidR="007262D8" w:rsidRPr="00E243D3" w:rsidRDefault="007262D8" w:rsidP="00E243D3">
      <w:pPr>
        <w:jc w:val="both"/>
        <w:rPr>
          <w:rFonts w:ascii="Times New Roman" w:hAnsi="Times New Roman" w:cs="Times New Roman"/>
          <w:lang w:val="fr-FR"/>
        </w:rPr>
      </w:pPr>
      <w:r w:rsidRPr="00E243D3">
        <w:rPr>
          <w:rFonts w:ascii="Times New Roman" w:hAnsi="Times New Roman" w:cs="Times New Roman"/>
          <w:lang w:val="fr-FR"/>
        </w:rPr>
        <w:t xml:space="preserve">Adorno (Theodor W.) et Horkheimer (Max), </w:t>
      </w:r>
      <w:r w:rsidRPr="00E243D3">
        <w:rPr>
          <w:rFonts w:ascii="Times New Roman" w:hAnsi="Times New Roman" w:cs="Times New Roman"/>
          <w:i/>
          <w:lang w:val="fr-FR"/>
        </w:rPr>
        <w:t>Correspondance (1927-1969)</w:t>
      </w:r>
      <w:r w:rsidRPr="00E243D3">
        <w:rPr>
          <w:rFonts w:ascii="Times New Roman" w:hAnsi="Times New Roman" w:cs="Times New Roman"/>
          <w:lang w:val="fr-FR"/>
        </w:rPr>
        <w:t xml:space="preserve">, Volumes I à IV, édité par </w:t>
      </w:r>
      <w:proofErr w:type="spellStart"/>
      <w:r w:rsidRPr="00E243D3">
        <w:rPr>
          <w:rFonts w:ascii="Times New Roman" w:hAnsi="Times New Roman" w:cs="Times New Roman"/>
          <w:lang w:val="fr-FR"/>
        </w:rPr>
        <w:t>Gödde</w:t>
      </w:r>
      <w:proofErr w:type="spellEnd"/>
      <w:r w:rsidRPr="00E243D3">
        <w:rPr>
          <w:rFonts w:ascii="Times New Roman" w:hAnsi="Times New Roman" w:cs="Times New Roman"/>
          <w:lang w:val="fr-FR"/>
        </w:rPr>
        <w:t xml:space="preserve"> (Christoph) et </w:t>
      </w:r>
      <w:proofErr w:type="spellStart"/>
      <w:r w:rsidRPr="00E243D3">
        <w:rPr>
          <w:rFonts w:ascii="Times New Roman" w:hAnsi="Times New Roman" w:cs="Times New Roman"/>
          <w:lang w:val="fr-FR"/>
        </w:rPr>
        <w:t>Lonitz</w:t>
      </w:r>
      <w:proofErr w:type="spellEnd"/>
      <w:r w:rsidRPr="00E243D3">
        <w:rPr>
          <w:rFonts w:ascii="Times New Roman" w:hAnsi="Times New Roman" w:cs="Times New Roman"/>
          <w:lang w:val="fr-FR"/>
        </w:rPr>
        <w:t xml:space="preserve"> (Henri), traduction de </w:t>
      </w:r>
      <w:proofErr w:type="spellStart"/>
      <w:r w:rsidRPr="00E243D3">
        <w:rPr>
          <w:rFonts w:ascii="Times New Roman" w:hAnsi="Times New Roman" w:cs="Times New Roman"/>
          <w:lang w:val="fr-FR"/>
        </w:rPr>
        <w:t>Kaufholz</w:t>
      </w:r>
      <w:proofErr w:type="spellEnd"/>
      <w:r w:rsidRPr="00E243D3">
        <w:rPr>
          <w:rFonts w:ascii="Times New Roman" w:hAnsi="Times New Roman" w:cs="Times New Roman"/>
          <w:lang w:val="fr-FR"/>
        </w:rPr>
        <w:t xml:space="preserve">-Messmer (Éliane), Paris, </w:t>
      </w:r>
      <w:proofErr w:type="spellStart"/>
      <w:r w:rsidRPr="00E243D3">
        <w:rPr>
          <w:rFonts w:ascii="Times New Roman" w:hAnsi="Times New Roman" w:cs="Times New Roman"/>
          <w:lang w:val="fr-FR"/>
        </w:rPr>
        <w:t>Klincksieck</w:t>
      </w:r>
      <w:proofErr w:type="spellEnd"/>
      <w:r w:rsidRPr="00E243D3">
        <w:rPr>
          <w:rFonts w:ascii="Times New Roman" w:hAnsi="Times New Roman" w:cs="Times New Roman"/>
          <w:lang w:val="fr-FR"/>
        </w:rPr>
        <w:t>, 2016.</w:t>
      </w:r>
    </w:p>
    <w:p w:rsidR="007262D8" w:rsidRPr="00E243D3" w:rsidRDefault="007262D8" w:rsidP="00E243D3">
      <w:pPr>
        <w:jc w:val="both"/>
        <w:rPr>
          <w:rFonts w:ascii="Times New Roman" w:hAnsi="Times New Roman" w:cs="Times New Roman"/>
          <w:lang w:val="fr-FR"/>
        </w:rPr>
      </w:pPr>
      <w:proofErr w:type="spellStart"/>
      <w:r w:rsidRPr="00E243D3">
        <w:rPr>
          <w:rFonts w:ascii="Times New Roman" w:hAnsi="Times New Roman" w:cs="Times New Roman"/>
          <w:lang w:val="fr-FR"/>
        </w:rPr>
        <w:t>Authier-Revuz</w:t>
      </w:r>
      <w:proofErr w:type="spellEnd"/>
      <w:r w:rsidRPr="00E243D3">
        <w:rPr>
          <w:rFonts w:ascii="Times New Roman" w:hAnsi="Times New Roman" w:cs="Times New Roman"/>
          <w:lang w:val="fr-FR"/>
        </w:rPr>
        <w:t xml:space="preserve">, Jacqueline, « Hétérogénéité(s) énonciative(s) », in </w:t>
      </w:r>
      <w:proofErr w:type="spellStart"/>
      <w:r w:rsidRPr="00E243D3">
        <w:rPr>
          <w:rFonts w:ascii="Times New Roman" w:hAnsi="Times New Roman" w:cs="Times New Roman"/>
          <w:lang w:val="fr-FR"/>
        </w:rPr>
        <w:t>Danon</w:t>
      </w:r>
      <w:proofErr w:type="spellEnd"/>
      <w:r w:rsidRPr="00E243D3">
        <w:rPr>
          <w:rFonts w:ascii="Times New Roman" w:hAnsi="Times New Roman" w:cs="Times New Roman"/>
          <w:lang w:val="fr-FR"/>
        </w:rPr>
        <w:t>-Boileau Laurent (</w:t>
      </w:r>
      <w:proofErr w:type="spellStart"/>
      <w:r w:rsidRPr="00E243D3">
        <w:rPr>
          <w:rFonts w:ascii="Times New Roman" w:hAnsi="Times New Roman" w:cs="Times New Roman"/>
          <w:lang w:val="fr-FR"/>
        </w:rPr>
        <w:t>dir</w:t>
      </w:r>
      <w:proofErr w:type="spellEnd"/>
      <w:r w:rsidRPr="00E243D3">
        <w:rPr>
          <w:rFonts w:ascii="Times New Roman" w:hAnsi="Times New Roman" w:cs="Times New Roman"/>
          <w:lang w:val="fr-FR"/>
        </w:rPr>
        <w:t xml:space="preserve">.), </w:t>
      </w:r>
      <w:r w:rsidRPr="00E243D3">
        <w:rPr>
          <w:rFonts w:ascii="Times New Roman" w:hAnsi="Times New Roman" w:cs="Times New Roman"/>
          <w:i/>
          <w:lang w:val="fr-FR"/>
        </w:rPr>
        <w:t>Langages</w:t>
      </w:r>
      <w:r w:rsidRPr="00E243D3">
        <w:rPr>
          <w:rFonts w:ascii="Times New Roman" w:hAnsi="Times New Roman" w:cs="Times New Roman"/>
          <w:lang w:val="fr-FR"/>
        </w:rPr>
        <w:t>, n°73, Paris, Larousse, 1984, p. 98-111.</w:t>
      </w:r>
    </w:p>
    <w:p w:rsidR="007262D8" w:rsidRPr="00E243D3" w:rsidRDefault="007262D8" w:rsidP="00E243D3">
      <w:pPr>
        <w:tabs>
          <w:tab w:val="left" w:pos="5954"/>
        </w:tabs>
        <w:spacing w:line="276" w:lineRule="auto"/>
        <w:ind w:left="284" w:hanging="284"/>
        <w:jc w:val="both"/>
        <w:rPr>
          <w:rFonts w:ascii="Times New Roman" w:hAnsi="Times New Roman" w:cs="Times New Roman"/>
          <w:lang w:val="fr-FR"/>
        </w:rPr>
      </w:pPr>
      <w:r w:rsidRPr="00E243D3">
        <w:rPr>
          <w:rFonts w:ascii="Times New Roman" w:hAnsi="Times New Roman" w:cs="Times New Roman"/>
          <w:lang w:val="fr-FR"/>
        </w:rPr>
        <w:t xml:space="preserve">Beckett (Samuel), </w:t>
      </w:r>
      <w:r w:rsidRPr="00E243D3">
        <w:rPr>
          <w:rFonts w:ascii="Times New Roman" w:hAnsi="Times New Roman" w:cs="Times New Roman"/>
          <w:i/>
          <w:lang w:val="fr-FR"/>
        </w:rPr>
        <w:t>Malone meurt</w:t>
      </w:r>
      <w:r w:rsidRPr="00E243D3">
        <w:rPr>
          <w:rFonts w:ascii="Times New Roman" w:hAnsi="Times New Roman" w:cs="Times New Roman"/>
          <w:lang w:val="fr-FR"/>
        </w:rPr>
        <w:t>, Paris, Les Editions de Minuit, coll. « Double », 1951.</w:t>
      </w:r>
    </w:p>
    <w:p w:rsidR="007262D8" w:rsidRPr="00E243D3" w:rsidRDefault="007262D8" w:rsidP="00E243D3">
      <w:pPr>
        <w:tabs>
          <w:tab w:val="left" w:pos="5954"/>
        </w:tabs>
        <w:spacing w:line="276" w:lineRule="auto"/>
        <w:ind w:left="284" w:hanging="284"/>
        <w:jc w:val="both"/>
        <w:rPr>
          <w:rFonts w:ascii="Times New Roman" w:hAnsi="Times New Roman" w:cs="Times New Roman"/>
          <w:lang w:val="fr-FR"/>
        </w:rPr>
      </w:pPr>
      <w:r w:rsidRPr="00E243D3">
        <w:rPr>
          <w:rFonts w:ascii="Times New Roman" w:hAnsi="Times New Roman" w:cs="Times New Roman"/>
          <w:lang w:val="fr-FR"/>
        </w:rPr>
        <w:t xml:space="preserve">Beckett (Samuel), </w:t>
      </w:r>
      <w:proofErr w:type="spellStart"/>
      <w:r w:rsidRPr="00E243D3">
        <w:rPr>
          <w:rFonts w:ascii="Times New Roman" w:hAnsi="Times New Roman" w:cs="Times New Roman"/>
          <w:i/>
          <w:lang w:val="fr-FR"/>
        </w:rPr>
        <w:t>Molloy</w:t>
      </w:r>
      <w:proofErr w:type="spellEnd"/>
      <w:r w:rsidRPr="00E243D3">
        <w:rPr>
          <w:rFonts w:ascii="Times New Roman" w:hAnsi="Times New Roman" w:cs="Times New Roman"/>
          <w:lang w:val="fr-FR"/>
        </w:rPr>
        <w:t>, Paris, Les Editions de Minuit, 1951.</w:t>
      </w:r>
    </w:p>
    <w:p w:rsidR="007262D8" w:rsidRPr="00E243D3" w:rsidRDefault="007262D8" w:rsidP="00E243D3">
      <w:pPr>
        <w:jc w:val="both"/>
        <w:rPr>
          <w:rFonts w:ascii="Times New Roman" w:hAnsi="Times New Roman" w:cs="Times New Roman"/>
          <w:lang w:val="fr-FR"/>
        </w:rPr>
      </w:pPr>
      <w:r w:rsidRPr="00E243D3">
        <w:rPr>
          <w:rFonts w:ascii="Times New Roman" w:hAnsi="Times New Roman" w:cs="Times New Roman"/>
          <w:lang w:val="fr-FR"/>
        </w:rPr>
        <w:t xml:space="preserve">Beckett (Samuel), </w:t>
      </w:r>
      <w:r w:rsidRPr="00E243D3">
        <w:rPr>
          <w:rFonts w:ascii="Times New Roman" w:hAnsi="Times New Roman" w:cs="Times New Roman"/>
          <w:i/>
          <w:lang w:val="fr-FR"/>
        </w:rPr>
        <w:t>L’Innommable</w:t>
      </w:r>
      <w:r w:rsidRPr="00E243D3">
        <w:rPr>
          <w:rFonts w:ascii="Times New Roman" w:hAnsi="Times New Roman" w:cs="Times New Roman"/>
          <w:lang w:val="fr-FR"/>
        </w:rPr>
        <w:t>, Paris, Les Éditions de Minuit, 1953.</w:t>
      </w:r>
    </w:p>
    <w:p w:rsidR="00E243D3" w:rsidRPr="00E243D3" w:rsidRDefault="00E243D3" w:rsidP="00E243D3">
      <w:pPr>
        <w:pStyle w:val="Notedebasdepage"/>
        <w:spacing w:line="276" w:lineRule="auto"/>
        <w:ind w:left="284" w:hanging="284"/>
        <w:rPr>
          <w:sz w:val="22"/>
          <w:szCs w:val="22"/>
        </w:rPr>
      </w:pPr>
      <w:proofErr w:type="spellStart"/>
      <w:r w:rsidRPr="00E243D3">
        <w:rPr>
          <w:bCs/>
          <w:sz w:val="22"/>
          <w:szCs w:val="22"/>
          <w:shd w:val="clear" w:color="auto" w:fill="FFFFFF"/>
        </w:rPr>
        <w:t>Cossutta</w:t>
      </w:r>
      <w:proofErr w:type="spellEnd"/>
      <w:r w:rsidRPr="00E243D3">
        <w:rPr>
          <w:bCs/>
          <w:smallCaps/>
          <w:sz w:val="22"/>
          <w:szCs w:val="22"/>
          <w:shd w:val="clear" w:color="auto" w:fill="FFFFFF"/>
        </w:rPr>
        <w:t xml:space="preserve"> </w:t>
      </w:r>
      <w:r w:rsidRPr="00E243D3">
        <w:rPr>
          <w:bCs/>
          <w:sz w:val="22"/>
          <w:szCs w:val="22"/>
          <w:shd w:val="clear" w:color="auto" w:fill="FFFFFF"/>
        </w:rPr>
        <w:t xml:space="preserve">(Frédéric), </w:t>
      </w:r>
      <w:r w:rsidRPr="00E243D3">
        <w:rPr>
          <w:bCs/>
          <w:i/>
          <w:sz w:val="22"/>
          <w:szCs w:val="22"/>
          <w:shd w:val="clear" w:color="auto" w:fill="FFFFFF"/>
        </w:rPr>
        <w:t>Pour une analyse du discours littéraire</w:t>
      </w:r>
      <w:r w:rsidRPr="00E243D3">
        <w:rPr>
          <w:bCs/>
          <w:sz w:val="22"/>
          <w:szCs w:val="22"/>
          <w:shd w:val="clear" w:color="auto" w:fill="FFFFFF"/>
        </w:rPr>
        <w:t xml:space="preserve">, in </w:t>
      </w:r>
      <w:r w:rsidRPr="00E243D3">
        <w:rPr>
          <w:bCs/>
          <w:i/>
          <w:sz w:val="22"/>
          <w:szCs w:val="22"/>
          <w:shd w:val="clear" w:color="auto" w:fill="FFFFFF"/>
        </w:rPr>
        <w:t>Langages</w:t>
      </w:r>
      <w:r w:rsidRPr="00E243D3">
        <w:rPr>
          <w:bCs/>
          <w:sz w:val="22"/>
          <w:szCs w:val="22"/>
          <w:shd w:val="clear" w:color="auto" w:fill="FFFFFF"/>
        </w:rPr>
        <w:t>, n°119 (</w:t>
      </w:r>
      <w:r w:rsidRPr="00E243D3">
        <w:rPr>
          <w:bCs/>
          <w:i/>
          <w:sz w:val="22"/>
          <w:szCs w:val="22"/>
          <w:shd w:val="clear" w:color="auto" w:fill="FFFFFF"/>
        </w:rPr>
        <w:t>L’Analyse du discours philosophique</w:t>
      </w:r>
      <w:r w:rsidRPr="00E243D3">
        <w:rPr>
          <w:bCs/>
          <w:sz w:val="22"/>
          <w:szCs w:val="22"/>
          <w:shd w:val="clear" w:color="auto" w:fill="FFFFFF"/>
        </w:rPr>
        <w:t>), Paris, Larousse, 1995, pp. 12-39.</w:t>
      </w:r>
    </w:p>
    <w:p w:rsidR="00E243D3" w:rsidRPr="00E243D3" w:rsidRDefault="00E243D3" w:rsidP="00E243D3">
      <w:pPr>
        <w:jc w:val="both"/>
        <w:rPr>
          <w:rFonts w:ascii="Times New Roman" w:hAnsi="Times New Roman" w:cs="Times New Roman"/>
          <w:bCs/>
          <w:shd w:val="clear" w:color="auto" w:fill="FFFFFF"/>
          <w:lang w:val="fr-FR"/>
        </w:rPr>
      </w:pPr>
      <w:proofErr w:type="spellStart"/>
      <w:r w:rsidRPr="00E243D3">
        <w:rPr>
          <w:rFonts w:ascii="Times New Roman" w:hAnsi="Times New Roman" w:cs="Times New Roman"/>
          <w:bCs/>
          <w:shd w:val="clear" w:color="auto" w:fill="FFFFFF"/>
          <w:lang w:val="fr-FR"/>
        </w:rPr>
        <w:t>Cossutta</w:t>
      </w:r>
      <w:proofErr w:type="spellEnd"/>
      <w:r w:rsidRPr="00E243D3">
        <w:rPr>
          <w:rFonts w:ascii="Times New Roman" w:hAnsi="Times New Roman" w:cs="Times New Roman"/>
          <w:bCs/>
          <w:smallCaps/>
          <w:shd w:val="clear" w:color="auto" w:fill="FFFFFF"/>
          <w:lang w:val="fr-FR"/>
        </w:rPr>
        <w:t xml:space="preserve"> </w:t>
      </w:r>
      <w:r w:rsidRPr="00E243D3">
        <w:rPr>
          <w:rFonts w:ascii="Times New Roman" w:hAnsi="Times New Roman" w:cs="Times New Roman"/>
          <w:bCs/>
          <w:shd w:val="clear" w:color="auto" w:fill="FFFFFF"/>
          <w:lang w:val="fr-FR"/>
        </w:rPr>
        <w:t xml:space="preserve">(Frédéric), </w:t>
      </w:r>
      <w:r w:rsidRPr="00E243D3">
        <w:rPr>
          <w:rFonts w:ascii="Times New Roman" w:hAnsi="Times New Roman" w:cs="Times New Roman"/>
          <w:bCs/>
          <w:i/>
          <w:shd w:val="clear" w:color="auto" w:fill="FFFFFF"/>
          <w:lang w:val="fr-FR"/>
        </w:rPr>
        <w:t>Discours philosophique, discours littéraire : le même et l’autre ?</w:t>
      </w:r>
      <w:r w:rsidRPr="00E243D3">
        <w:rPr>
          <w:rFonts w:ascii="Times New Roman" w:hAnsi="Times New Roman" w:cs="Times New Roman"/>
          <w:bCs/>
          <w:shd w:val="clear" w:color="auto" w:fill="FFFFFF"/>
          <w:lang w:val="fr-FR"/>
        </w:rPr>
        <w:t xml:space="preserve">, in </w:t>
      </w:r>
      <w:r w:rsidRPr="00E243D3">
        <w:rPr>
          <w:rFonts w:ascii="Times New Roman" w:hAnsi="Times New Roman" w:cs="Times New Roman"/>
          <w:bCs/>
          <w:i/>
          <w:shd w:val="clear" w:color="auto" w:fill="FFFFFF"/>
          <w:lang w:val="fr-FR"/>
        </w:rPr>
        <w:t>Rue Descartes</w:t>
      </w:r>
      <w:r w:rsidRPr="00E243D3">
        <w:rPr>
          <w:rFonts w:ascii="Times New Roman" w:hAnsi="Times New Roman" w:cs="Times New Roman"/>
          <w:bCs/>
          <w:shd w:val="clear" w:color="auto" w:fill="FFFFFF"/>
          <w:lang w:val="fr-FR"/>
        </w:rPr>
        <w:t>, n°50 (</w:t>
      </w:r>
      <w:r w:rsidRPr="00E243D3">
        <w:rPr>
          <w:rFonts w:ascii="Times New Roman" w:hAnsi="Times New Roman" w:cs="Times New Roman"/>
          <w:bCs/>
          <w:i/>
          <w:shd w:val="clear" w:color="auto" w:fill="FFFFFF"/>
          <w:lang w:val="fr-FR"/>
        </w:rPr>
        <w:t>L’Écriture des philosophes</w:t>
      </w:r>
      <w:r w:rsidRPr="00E243D3">
        <w:rPr>
          <w:rFonts w:ascii="Times New Roman" w:hAnsi="Times New Roman" w:cs="Times New Roman"/>
          <w:bCs/>
          <w:shd w:val="clear" w:color="auto" w:fill="FFFFFF"/>
          <w:lang w:val="fr-FR"/>
        </w:rPr>
        <w:t>), Paris, Collège international de Philosophie, 2005, pp. 6-20.</w:t>
      </w:r>
    </w:p>
    <w:p w:rsidR="00E243D3" w:rsidRPr="00E243D3" w:rsidRDefault="00E243D3" w:rsidP="00E243D3">
      <w:pPr>
        <w:jc w:val="both"/>
        <w:rPr>
          <w:rFonts w:ascii="Times New Roman" w:hAnsi="Times New Roman" w:cs="Times New Roman"/>
          <w:bCs/>
          <w:shd w:val="clear" w:color="auto" w:fill="FFFFFF"/>
          <w:lang w:val="fr-FR"/>
        </w:rPr>
      </w:pPr>
      <w:r w:rsidRPr="00E243D3">
        <w:rPr>
          <w:rFonts w:ascii="Times New Roman" w:hAnsi="Times New Roman" w:cs="Times New Roman"/>
          <w:bCs/>
          <w:shd w:val="clear" w:color="auto" w:fill="FFFFFF"/>
          <w:lang w:val="fr-FR"/>
        </w:rPr>
        <w:t xml:space="preserve">Franck (Thomas), </w:t>
      </w:r>
      <w:r w:rsidRPr="00E243D3">
        <w:rPr>
          <w:rFonts w:ascii="Times New Roman" w:hAnsi="Times New Roman" w:cs="Times New Roman"/>
          <w:bCs/>
          <w:i/>
          <w:shd w:val="clear" w:color="auto" w:fill="FFFFFF"/>
          <w:lang w:val="fr-FR"/>
        </w:rPr>
        <w:t>Dialectique négative du Nouveau Roman</w:t>
      </w:r>
      <w:r w:rsidRPr="00E243D3">
        <w:rPr>
          <w:rFonts w:ascii="Times New Roman" w:hAnsi="Times New Roman" w:cs="Times New Roman"/>
          <w:bCs/>
          <w:shd w:val="clear" w:color="auto" w:fill="FFFFFF"/>
          <w:lang w:val="fr-FR"/>
        </w:rPr>
        <w:t xml:space="preserve">, in </w:t>
      </w:r>
      <w:proofErr w:type="spellStart"/>
      <w:r w:rsidRPr="00E243D3">
        <w:rPr>
          <w:rFonts w:ascii="Times New Roman" w:hAnsi="Times New Roman" w:cs="Times New Roman"/>
          <w:bCs/>
          <w:i/>
          <w:shd w:val="clear" w:color="auto" w:fill="FFFFFF"/>
          <w:lang w:val="fr-FR"/>
        </w:rPr>
        <w:t>Contemporary</w:t>
      </w:r>
      <w:proofErr w:type="spellEnd"/>
      <w:r w:rsidRPr="00E243D3">
        <w:rPr>
          <w:rFonts w:ascii="Times New Roman" w:hAnsi="Times New Roman" w:cs="Times New Roman"/>
          <w:bCs/>
          <w:i/>
          <w:shd w:val="clear" w:color="auto" w:fill="FFFFFF"/>
          <w:lang w:val="fr-FR"/>
        </w:rPr>
        <w:t xml:space="preserve"> French and Francophone </w:t>
      </w:r>
      <w:proofErr w:type="spellStart"/>
      <w:r w:rsidRPr="00E243D3">
        <w:rPr>
          <w:rFonts w:ascii="Times New Roman" w:hAnsi="Times New Roman" w:cs="Times New Roman"/>
          <w:bCs/>
          <w:i/>
          <w:shd w:val="clear" w:color="auto" w:fill="FFFFFF"/>
          <w:lang w:val="fr-FR"/>
        </w:rPr>
        <w:t>Studies</w:t>
      </w:r>
      <w:proofErr w:type="spellEnd"/>
      <w:r w:rsidRPr="00E243D3">
        <w:rPr>
          <w:rFonts w:ascii="Times New Roman" w:hAnsi="Times New Roman" w:cs="Times New Roman"/>
          <w:bCs/>
          <w:shd w:val="clear" w:color="auto" w:fill="FFFFFF"/>
          <w:lang w:val="fr-FR"/>
        </w:rPr>
        <w:t>, n°22, 2019, p. 309-317.</w:t>
      </w:r>
    </w:p>
    <w:p w:rsidR="00E243D3" w:rsidRPr="00E243D3" w:rsidRDefault="00E243D3" w:rsidP="00E243D3">
      <w:pPr>
        <w:jc w:val="both"/>
        <w:rPr>
          <w:rFonts w:ascii="Times New Roman" w:hAnsi="Times New Roman" w:cs="Times New Roman"/>
          <w:lang w:val="en-GB"/>
        </w:rPr>
      </w:pPr>
      <w:r w:rsidRPr="00E243D3">
        <w:rPr>
          <w:rFonts w:ascii="Times New Roman" w:hAnsi="Times New Roman" w:cs="Times New Roman"/>
          <w:lang w:val="en-GB"/>
        </w:rPr>
        <w:t xml:space="preserve">Jameson (Fredric), </w:t>
      </w:r>
      <w:proofErr w:type="gramStart"/>
      <w:r w:rsidRPr="00E243D3">
        <w:rPr>
          <w:rFonts w:ascii="Times New Roman" w:hAnsi="Times New Roman" w:cs="Times New Roman"/>
          <w:i/>
          <w:lang w:val="en-GB"/>
        </w:rPr>
        <w:t>The</w:t>
      </w:r>
      <w:proofErr w:type="gramEnd"/>
      <w:r w:rsidRPr="00E243D3">
        <w:rPr>
          <w:rFonts w:ascii="Times New Roman" w:hAnsi="Times New Roman" w:cs="Times New Roman"/>
          <w:i/>
          <w:lang w:val="en-GB"/>
        </w:rPr>
        <w:t xml:space="preserve"> Ideologies of Theory</w:t>
      </w:r>
      <w:r w:rsidRPr="00E243D3">
        <w:rPr>
          <w:rFonts w:ascii="Times New Roman" w:hAnsi="Times New Roman" w:cs="Times New Roman"/>
          <w:lang w:val="en-GB"/>
        </w:rPr>
        <w:t>, London, Verso, 2008.</w:t>
      </w:r>
    </w:p>
    <w:p w:rsidR="00E243D3" w:rsidRPr="00E243D3" w:rsidRDefault="00E243D3" w:rsidP="00E243D3">
      <w:pPr>
        <w:spacing w:line="276" w:lineRule="auto"/>
        <w:ind w:left="284" w:hanging="284"/>
        <w:jc w:val="both"/>
        <w:rPr>
          <w:rFonts w:ascii="Times New Roman" w:hAnsi="Times New Roman" w:cs="Times New Roman"/>
          <w:lang w:val="fr-FR"/>
        </w:rPr>
      </w:pPr>
      <w:proofErr w:type="spellStart"/>
      <w:r w:rsidRPr="00E243D3">
        <w:rPr>
          <w:rFonts w:ascii="Times New Roman" w:hAnsi="Times New Roman" w:cs="Times New Roman"/>
          <w:lang w:val="fr-FR"/>
        </w:rPr>
        <w:t>Rabatel</w:t>
      </w:r>
      <w:proofErr w:type="spellEnd"/>
      <w:r w:rsidRPr="00E243D3">
        <w:rPr>
          <w:rFonts w:ascii="Times New Roman" w:hAnsi="Times New Roman" w:cs="Times New Roman"/>
          <w:smallCaps/>
          <w:lang w:val="fr-FR"/>
        </w:rPr>
        <w:t xml:space="preserve"> </w:t>
      </w:r>
      <w:r w:rsidRPr="00E243D3">
        <w:rPr>
          <w:rFonts w:ascii="Times New Roman" w:hAnsi="Times New Roman" w:cs="Times New Roman"/>
          <w:lang w:val="fr-FR"/>
        </w:rPr>
        <w:t xml:space="preserve">(Alain), </w:t>
      </w:r>
      <w:r w:rsidRPr="00E243D3">
        <w:rPr>
          <w:rFonts w:ascii="Times New Roman" w:hAnsi="Times New Roman" w:cs="Times New Roman"/>
          <w:i/>
          <w:lang w:val="fr-FR"/>
        </w:rPr>
        <w:t xml:space="preserve">Homo </w:t>
      </w:r>
      <w:proofErr w:type="spellStart"/>
      <w:r w:rsidRPr="00E243D3">
        <w:rPr>
          <w:rFonts w:ascii="Times New Roman" w:hAnsi="Times New Roman" w:cs="Times New Roman"/>
          <w:i/>
          <w:lang w:val="fr-FR"/>
        </w:rPr>
        <w:t>narrans</w:t>
      </w:r>
      <w:proofErr w:type="spellEnd"/>
      <w:r w:rsidRPr="00E243D3">
        <w:rPr>
          <w:rFonts w:ascii="Times New Roman" w:hAnsi="Times New Roman" w:cs="Times New Roman"/>
          <w:i/>
          <w:lang w:val="fr-FR"/>
        </w:rPr>
        <w:t>. Pour une analyse énonciative et interactionnelle du récit</w:t>
      </w:r>
      <w:r w:rsidRPr="00E243D3">
        <w:rPr>
          <w:rFonts w:ascii="Times New Roman" w:hAnsi="Times New Roman" w:cs="Times New Roman"/>
          <w:lang w:val="fr-FR"/>
        </w:rPr>
        <w:t>, Limoges, Lambert-Lucas, 2008.</w:t>
      </w:r>
    </w:p>
    <w:p w:rsidR="00E243D3" w:rsidRPr="00E243D3" w:rsidRDefault="00E243D3" w:rsidP="00E243D3">
      <w:pPr>
        <w:spacing w:line="276" w:lineRule="auto"/>
        <w:ind w:left="284" w:hanging="284"/>
        <w:jc w:val="both"/>
        <w:rPr>
          <w:rFonts w:ascii="Times New Roman" w:hAnsi="Times New Roman" w:cs="Times New Roman"/>
          <w:lang w:val="fr-FR"/>
        </w:rPr>
      </w:pPr>
      <w:proofErr w:type="spellStart"/>
      <w:r w:rsidRPr="00E243D3">
        <w:rPr>
          <w:rFonts w:ascii="Times New Roman" w:hAnsi="Times New Roman" w:cs="Times New Roman"/>
          <w:lang w:val="fr-FR"/>
        </w:rPr>
        <w:t>Rabatel</w:t>
      </w:r>
      <w:proofErr w:type="spellEnd"/>
      <w:r w:rsidRPr="00E243D3">
        <w:rPr>
          <w:rFonts w:ascii="Times New Roman" w:hAnsi="Times New Roman" w:cs="Times New Roman"/>
          <w:smallCaps/>
          <w:lang w:val="fr-FR"/>
        </w:rPr>
        <w:t xml:space="preserve"> </w:t>
      </w:r>
      <w:r w:rsidRPr="00E243D3">
        <w:rPr>
          <w:rFonts w:ascii="Times New Roman" w:hAnsi="Times New Roman" w:cs="Times New Roman"/>
          <w:lang w:val="fr-FR"/>
        </w:rPr>
        <w:t>(Alain), « Pour une narratologie énonciative ou pour une analyse énonciative des phénomènes narratifs », in Pier</w:t>
      </w:r>
      <w:r w:rsidRPr="00E243D3">
        <w:rPr>
          <w:rFonts w:ascii="Times New Roman" w:hAnsi="Times New Roman" w:cs="Times New Roman"/>
          <w:smallCaps/>
          <w:lang w:val="fr-FR"/>
        </w:rPr>
        <w:t xml:space="preserve"> </w:t>
      </w:r>
      <w:r w:rsidRPr="00E243D3">
        <w:rPr>
          <w:rFonts w:ascii="Times New Roman" w:hAnsi="Times New Roman" w:cs="Times New Roman"/>
          <w:lang w:val="fr-FR"/>
        </w:rPr>
        <w:t>(John) et Berthelot</w:t>
      </w:r>
      <w:r w:rsidRPr="00E243D3">
        <w:rPr>
          <w:rFonts w:ascii="Times New Roman" w:hAnsi="Times New Roman" w:cs="Times New Roman"/>
          <w:smallCaps/>
          <w:lang w:val="fr-FR"/>
        </w:rPr>
        <w:t xml:space="preserve"> </w:t>
      </w:r>
      <w:r w:rsidRPr="00E243D3">
        <w:rPr>
          <w:rFonts w:ascii="Times New Roman" w:hAnsi="Times New Roman" w:cs="Times New Roman"/>
          <w:lang w:val="fr-FR"/>
        </w:rPr>
        <w:t xml:space="preserve">(Francis) </w:t>
      </w:r>
      <w:proofErr w:type="spellStart"/>
      <w:proofErr w:type="gramStart"/>
      <w:r w:rsidRPr="00E243D3">
        <w:rPr>
          <w:rFonts w:ascii="Times New Roman" w:hAnsi="Times New Roman" w:cs="Times New Roman"/>
          <w:lang w:val="fr-FR"/>
        </w:rPr>
        <w:t>dir</w:t>
      </w:r>
      <w:proofErr w:type="spellEnd"/>
      <w:r w:rsidRPr="00E243D3">
        <w:rPr>
          <w:rFonts w:ascii="Times New Roman" w:hAnsi="Times New Roman" w:cs="Times New Roman"/>
          <w:lang w:val="fr-FR"/>
        </w:rPr>
        <w:t>.,</w:t>
      </w:r>
      <w:proofErr w:type="gramEnd"/>
      <w:r w:rsidRPr="00E243D3">
        <w:rPr>
          <w:rFonts w:ascii="Times New Roman" w:hAnsi="Times New Roman" w:cs="Times New Roman"/>
          <w:lang w:val="fr-FR"/>
        </w:rPr>
        <w:t xml:space="preserve"> </w:t>
      </w:r>
      <w:r w:rsidRPr="00E243D3">
        <w:rPr>
          <w:rFonts w:ascii="Times New Roman" w:hAnsi="Times New Roman" w:cs="Times New Roman"/>
          <w:i/>
          <w:lang w:val="fr-FR"/>
        </w:rPr>
        <w:t>Narratologies contemporaines. Approches nouvelles pour la théorie et l’analyse du récit</w:t>
      </w:r>
      <w:r w:rsidRPr="00E243D3">
        <w:rPr>
          <w:rFonts w:ascii="Times New Roman" w:hAnsi="Times New Roman" w:cs="Times New Roman"/>
          <w:lang w:val="fr-FR"/>
        </w:rPr>
        <w:t>, Paris, Éditions des archives contemporaines, 2010, pp. 109-137.</w:t>
      </w:r>
    </w:p>
    <w:p w:rsidR="00E243D3" w:rsidRPr="00E243D3" w:rsidRDefault="00E243D3" w:rsidP="00E243D3">
      <w:pPr>
        <w:jc w:val="both"/>
        <w:rPr>
          <w:rFonts w:ascii="Times New Roman" w:hAnsi="Times New Roman" w:cs="Times New Roman"/>
          <w:lang w:val="fr-FR"/>
        </w:rPr>
      </w:pPr>
      <w:proofErr w:type="spellStart"/>
      <w:r w:rsidRPr="00E243D3">
        <w:rPr>
          <w:rFonts w:ascii="Times New Roman" w:hAnsi="Times New Roman" w:cs="Times New Roman"/>
          <w:lang w:val="fr-FR"/>
        </w:rPr>
        <w:t>Rabatel</w:t>
      </w:r>
      <w:proofErr w:type="spellEnd"/>
      <w:r w:rsidRPr="00E243D3">
        <w:rPr>
          <w:rFonts w:ascii="Times New Roman" w:hAnsi="Times New Roman" w:cs="Times New Roman"/>
          <w:smallCaps/>
          <w:lang w:val="fr-FR"/>
        </w:rPr>
        <w:t xml:space="preserve"> </w:t>
      </w:r>
      <w:r w:rsidRPr="00E243D3">
        <w:rPr>
          <w:rFonts w:ascii="Times New Roman" w:hAnsi="Times New Roman" w:cs="Times New Roman"/>
          <w:lang w:val="fr-FR"/>
        </w:rPr>
        <w:t xml:space="preserve">(Alain), « Ironie et sur-énonciation », in </w:t>
      </w:r>
      <w:r w:rsidRPr="00E243D3">
        <w:rPr>
          <w:rFonts w:ascii="Times New Roman" w:hAnsi="Times New Roman" w:cs="Times New Roman"/>
          <w:i/>
          <w:lang w:val="fr-FR"/>
        </w:rPr>
        <w:t xml:space="preserve">Vox </w:t>
      </w:r>
      <w:proofErr w:type="spellStart"/>
      <w:r w:rsidRPr="00E243D3">
        <w:rPr>
          <w:rFonts w:ascii="Times New Roman" w:hAnsi="Times New Roman" w:cs="Times New Roman"/>
          <w:i/>
          <w:lang w:val="fr-FR"/>
        </w:rPr>
        <w:t>Romanica</w:t>
      </w:r>
      <w:proofErr w:type="spellEnd"/>
      <w:r w:rsidRPr="00E243D3">
        <w:rPr>
          <w:rFonts w:ascii="Times New Roman" w:hAnsi="Times New Roman" w:cs="Times New Roman"/>
          <w:lang w:val="fr-FR"/>
        </w:rPr>
        <w:t>, n°71, 2012, pp. 42-76.</w:t>
      </w:r>
    </w:p>
    <w:p w:rsidR="007262D8" w:rsidRPr="00E243D3" w:rsidRDefault="007262D8" w:rsidP="00E243D3">
      <w:pPr>
        <w:jc w:val="both"/>
        <w:rPr>
          <w:rFonts w:ascii="Times New Roman" w:hAnsi="Times New Roman" w:cs="Times New Roman"/>
          <w:i/>
          <w:lang w:val="fr-FR"/>
        </w:rPr>
      </w:pPr>
      <w:r w:rsidRPr="00E243D3">
        <w:rPr>
          <w:rFonts w:ascii="Times New Roman" w:hAnsi="Times New Roman" w:cs="Times New Roman"/>
          <w:lang w:val="fr-FR"/>
        </w:rPr>
        <w:t xml:space="preserve">Sade (Donation Alphonse François de), </w:t>
      </w:r>
      <w:r w:rsidRPr="00E243D3">
        <w:rPr>
          <w:rFonts w:ascii="Times New Roman" w:hAnsi="Times New Roman" w:cs="Times New Roman"/>
          <w:i/>
          <w:lang w:val="fr-FR"/>
        </w:rPr>
        <w:t>Œuvres</w:t>
      </w:r>
      <w:r w:rsidRPr="00E243D3">
        <w:rPr>
          <w:rFonts w:ascii="Times New Roman" w:hAnsi="Times New Roman" w:cs="Times New Roman"/>
          <w:lang w:val="fr-FR"/>
        </w:rPr>
        <w:t xml:space="preserve">, édition établie par Delon (Michel), avec la collaboration de </w:t>
      </w:r>
      <w:proofErr w:type="spellStart"/>
      <w:r w:rsidRPr="00E243D3">
        <w:rPr>
          <w:rFonts w:ascii="Times New Roman" w:hAnsi="Times New Roman" w:cs="Times New Roman"/>
          <w:lang w:val="fr-FR"/>
        </w:rPr>
        <w:t>Deprun</w:t>
      </w:r>
      <w:proofErr w:type="spellEnd"/>
      <w:r w:rsidRPr="00E243D3">
        <w:rPr>
          <w:rFonts w:ascii="Times New Roman" w:hAnsi="Times New Roman" w:cs="Times New Roman"/>
          <w:lang w:val="fr-FR"/>
        </w:rPr>
        <w:t xml:space="preserve"> (Jean</w:t>
      </w:r>
      <w:r w:rsidRPr="00E243D3">
        <w:rPr>
          <w:rFonts w:ascii="Times New Roman" w:hAnsi="Times New Roman" w:cs="Times New Roman"/>
          <w:lang w:val="fr-FR"/>
        </w:rPr>
        <w:t xml:space="preserve">), </w:t>
      </w:r>
      <w:r w:rsidRPr="00E243D3">
        <w:rPr>
          <w:rFonts w:ascii="Times New Roman" w:hAnsi="Times New Roman" w:cs="Times New Roman"/>
          <w:lang w:val="fr-FR"/>
        </w:rPr>
        <w:t>Paris, Gallimard, coll. « Bibliothèque de la Pléiade », 1998.</w:t>
      </w:r>
    </w:p>
    <w:sectPr w:rsidR="007262D8" w:rsidRPr="00E243D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09"/>
    <w:rsid w:val="000C38F6"/>
    <w:rsid w:val="00344B09"/>
    <w:rsid w:val="00656ED5"/>
    <w:rsid w:val="007262D8"/>
    <w:rsid w:val="00932602"/>
    <w:rsid w:val="00DC72E9"/>
    <w:rsid w:val="00E2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3339-E905-4FE4-B2C2-2065CC06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E243D3"/>
    <w:pPr>
      <w:spacing w:after="0" w:line="240" w:lineRule="auto"/>
      <w:ind w:firstLine="284"/>
      <w:jc w:val="both"/>
    </w:pPr>
    <w:rPr>
      <w:rFonts w:ascii="Times New Roman" w:eastAsia="Calibri" w:hAnsi="Times New Roman" w:cs="Times New Roman"/>
      <w:sz w:val="20"/>
      <w:szCs w:val="20"/>
      <w:lang w:val="fr-FR" w:eastAsia="fr-FR"/>
    </w:rPr>
  </w:style>
  <w:style w:type="character" w:customStyle="1" w:styleId="NotedebasdepageCar">
    <w:name w:val="Note de bas de page Car"/>
    <w:basedOn w:val="Policepardfaut"/>
    <w:link w:val="Notedebasdepage"/>
    <w:rsid w:val="00E243D3"/>
    <w:rPr>
      <w:rFonts w:ascii="Times New Roman" w:eastAsia="Calibri"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923</Words>
  <Characters>5230</Characters>
  <Application>Microsoft Office Word</Application>
  <DocSecurity>0</DocSecurity>
  <Lines>81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cp:revision>
  <dcterms:created xsi:type="dcterms:W3CDTF">2020-11-19T09:25:00Z</dcterms:created>
  <dcterms:modified xsi:type="dcterms:W3CDTF">2020-11-19T17:05:00Z</dcterms:modified>
</cp:coreProperties>
</file>