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F784" w14:textId="77777777" w:rsidR="00270FAF" w:rsidRDefault="00000000">
      <w:pPr>
        <w:shd w:val="clear" w:color="auto" w:fill="CB6895"/>
        <w:spacing w:after="715"/>
      </w:pPr>
      <w:r>
        <w:rPr>
          <w:color w:val="181717"/>
          <w:sz w:val="38"/>
        </w:rPr>
        <w:t>REVIEW</w:t>
      </w:r>
    </w:p>
    <w:p w14:paraId="5941481C" w14:textId="77777777" w:rsidR="00270FAF" w:rsidRDefault="00000000">
      <w:pPr>
        <w:tabs>
          <w:tab w:val="center" w:pos="5165"/>
        </w:tabs>
        <w:spacing w:after="0"/>
        <w:ind w:left="-7"/>
      </w:pPr>
      <w:r>
        <w:rPr>
          <w:noProof/>
        </w:rPr>
        <mc:AlternateContent>
          <mc:Choice Requires="wpg">
            <w:drawing>
              <wp:anchor distT="0" distB="0" distL="114300" distR="114300" simplePos="0" relativeHeight="251658240" behindDoc="1" locked="0" layoutInCell="1" allowOverlap="1" wp14:anchorId="2FF0F171" wp14:editId="496B40C3">
                <wp:simplePos x="0" y="0"/>
                <wp:positionH relativeFrom="column">
                  <wp:posOffset>3047</wp:posOffset>
                </wp:positionH>
                <wp:positionV relativeFrom="paragraph">
                  <wp:posOffset>-86377</wp:posOffset>
                </wp:positionV>
                <wp:extent cx="688340" cy="386588"/>
                <wp:effectExtent l="0" t="0" r="0" b="0"/>
                <wp:wrapNone/>
                <wp:docPr id="15571" name="Group 15571"/>
                <wp:cNvGraphicFramePr/>
                <a:graphic xmlns:a="http://schemas.openxmlformats.org/drawingml/2006/main">
                  <a:graphicData uri="http://schemas.microsoft.com/office/word/2010/wordprocessingGroup">
                    <wpg:wgp>
                      <wpg:cNvGrpSpPr/>
                      <wpg:grpSpPr>
                        <a:xfrm>
                          <a:off x="0" y="0"/>
                          <a:ext cx="688340" cy="386588"/>
                          <a:chOff x="0" y="0"/>
                          <a:chExt cx="688340" cy="386588"/>
                        </a:xfrm>
                      </wpg:grpSpPr>
                      <wps:wsp>
                        <wps:cNvPr id="9" name="Shape 9"/>
                        <wps:cNvSpPr/>
                        <wps:spPr>
                          <a:xfrm>
                            <a:off x="0" y="0"/>
                            <a:ext cx="688340" cy="386588"/>
                          </a:xfrm>
                          <a:custGeom>
                            <a:avLst/>
                            <a:gdLst/>
                            <a:ahLst/>
                            <a:cxnLst/>
                            <a:rect l="0" t="0" r="0" b="0"/>
                            <a:pathLst>
                              <a:path w="688340" h="386588">
                                <a:moveTo>
                                  <a:pt x="344170" y="386588"/>
                                </a:moveTo>
                                <a:cubicBezTo>
                                  <a:pt x="534251" y="386588"/>
                                  <a:pt x="688340" y="300063"/>
                                  <a:pt x="688340" y="193294"/>
                                </a:cubicBezTo>
                                <a:cubicBezTo>
                                  <a:pt x="688340" y="86538"/>
                                  <a:pt x="534251" y="0"/>
                                  <a:pt x="344170" y="0"/>
                                </a:cubicBezTo>
                                <a:cubicBezTo>
                                  <a:pt x="154089" y="0"/>
                                  <a:pt x="0" y="86538"/>
                                  <a:pt x="0" y="193294"/>
                                </a:cubicBezTo>
                                <a:cubicBezTo>
                                  <a:pt x="0" y="300063"/>
                                  <a:pt x="154089" y="386588"/>
                                  <a:pt x="344170" y="386588"/>
                                </a:cubicBezTo>
                                <a:close/>
                              </a:path>
                            </a:pathLst>
                          </a:custGeom>
                          <a:ln w="19050" cap="flat">
                            <a:miter lim="100000"/>
                          </a:ln>
                        </wps:spPr>
                        <wps:style>
                          <a:lnRef idx="1">
                            <a:srgbClr val="B02A6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571" style="width:54.2pt;height:30.44pt;position:absolute;z-index:-2147483645;mso-position-horizontal-relative:text;mso-position-horizontal:absolute;margin-left:0.239906pt;mso-position-vertical-relative:text;margin-top:-6.8014pt;" coordsize="6883,3865">
                <v:shape id="Shape 9" style="position:absolute;width:6883;height:3865;left:0;top:0;" coordsize="688340,386588" path="m344170,386588c534251,386588,688340,300063,688340,193294c688340,86538,534251,0,344170,0c154089,0,0,86538,0,193294c0,300063,154089,386588,344170,386588x">
                  <v:stroke weight="1.5pt" endcap="flat" joinstyle="miter" miterlimit="4" on="true" color="#b02a6d"/>
                  <v:fill on="false" color="#000000" opacity="0"/>
                </v:shape>
              </v:group>
            </w:pict>
          </mc:Fallback>
        </mc:AlternateContent>
      </w:r>
      <w:r>
        <w:rPr>
          <w:color w:val="181717"/>
          <w:sz w:val="40"/>
        </w:rPr>
        <w:t xml:space="preserve"> </w:t>
      </w:r>
      <w:r>
        <w:rPr>
          <w:color w:val="181717"/>
          <w:sz w:val="36"/>
        </w:rPr>
        <w:t>C</w:t>
      </w:r>
      <w:r>
        <w:rPr>
          <w:color w:val="737473"/>
          <w:sz w:val="48"/>
          <w:vertAlign w:val="subscript"/>
        </w:rPr>
        <w:t>O</w:t>
      </w:r>
      <w:r>
        <w:rPr>
          <w:color w:val="181717"/>
          <w:sz w:val="31"/>
          <w:vertAlign w:val="superscript"/>
        </w:rPr>
        <w:t>URRENT</w:t>
      </w:r>
      <w:r>
        <w:rPr>
          <w:color w:val="181717"/>
          <w:sz w:val="31"/>
          <w:vertAlign w:val="superscript"/>
        </w:rPr>
        <w:tab/>
      </w:r>
      <w:r>
        <w:rPr>
          <w:color w:val="181717"/>
          <w:sz w:val="48"/>
        </w:rPr>
        <w:t>Bone metabolism and fracture risk during and</w:t>
      </w:r>
    </w:p>
    <w:p w14:paraId="38784D1D" w14:textId="77777777" w:rsidR="00270FAF" w:rsidRDefault="00000000">
      <w:pPr>
        <w:spacing w:after="207"/>
        <w:ind w:left="433"/>
      </w:pPr>
      <w:r>
        <w:rPr>
          <w:color w:val="181717"/>
          <w:sz w:val="20"/>
        </w:rPr>
        <w:t>PINION</w:t>
      </w:r>
    </w:p>
    <w:p w14:paraId="7A331D6F" w14:textId="77777777" w:rsidR="00270FAF" w:rsidRDefault="00000000">
      <w:pPr>
        <w:spacing w:after="0"/>
        <w:ind w:left="1320" w:hanging="10"/>
      </w:pPr>
      <w:r>
        <w:rPr>
          <w:color w:val="181717"/>
          <w:sz w:val="48"/>
        </w:rPr>
        <w:t>after critical illness</w:t>
      </w:r>
    </w:p>
    <w:p w14:paraId="15FD2B9B" w14:textId="77777777" w:rsidR="00270FAF" w:rsidRDefault="00000000">
      <w:pPr>
        <w:spacing w:after="146"/>
        <w:ind w:left="2652" w:right="-136"/>
      </w:pPr>
      <w:r>
        <w:rPr>
          <w:noProof/>
        </w:rPr>
        <mc:AlternateContent>
          <mc:Choice Requires="wpg">
            <w:drawing>
              <wp:inline distT="0" distB="0" distL="0" distR="0" wp14:anchorId="32A041F9" wp14:editId="490FABB9">
                <wp:extent cx="4642561" cy="12959"/>
                <wp:effectExtent l="0" t="0" r="0" b="0"/>
                <wp:docPr id="15569" name="Group 15569"/>
                <wp:cNvGraphicFramePr/>
                <a:graphic xmlns:a="http://schemas.openxmlformats.org/drawingml/2006/main">
                  <a:graphicData uri="http://schemas.microsoft.com/office/word/2010/wordprocessingGroup">
                    <wpg:wgp>
                      <wpg:cNvGrpSpPr/>
                      <wpg:grpSpPr>
                        <a:xfrm>
                          <a:off x="0" y="0"/>
                          <a:ext cx="4642561" cy="12959"/>
                          <a:chOff x="0" y="0"/>
                          <a:chExt cx="4642561" cy="12959"/>
                        </a:xfrm>
                      </wpg:grpSpPr>
                      <wps:wsp>
                        <wps:cNvPr id="17991" name="Shape 17991"/>
                        <wps:cNvSpPr/>
                        <wps:spPr>
                          <a:xfrm>
                            <a:off x="0" y="0"/>
                            <a:ext cx="4642561" cy="12959"/>
                          </a:xfrm>
                          <a:custGeom>
                            <a:avLst/>
                            <a:gdLst/>
                            <a:ahLst/>
                            <a:cxnLst/>
                            <a:rect l="0" t="0" r="0" b="0"/>
                            <a:pathLst>
                              <a:path w="4642561" h="12959">
                                <a:moveTo>
                                  <a:pt x="0" y="0"/>
                                </a:moveTo>
                                <a:lnTo>
                                  <a:pt x="4642561" y="0"/>
                                </a:lnTo>
                                <a:lnTo>
                                  <a:pt x="4642561" y="12959"/>
                                </a:lnTo>
                                <a:lnTo>
                                  <a:pt x="0" y="12959"/>
                                </a:lnTo>
                                <a:lnTo>
                                  <a:pt x="0" y="0"/>
                                </a:lnTo>
                              </a:path>
                            </a:pathLst>
                          </a:custGeom>
                          <a:ln w="0" cap="flat">
                            <a:miter lim="127000"/>
                          </a:ln>
                        </wps:spPr>
                        <wps:style>
                          <a:lnRef idx="0">
                            <a:srgbClr val="000000">
                              <a:alpha val="0"/>
                            </a:srgbClr>
                          </a:lnRef>
                          <a:fillRef idx="1">
                            <a:srgbClr val="B82A73"/>
                          </a:fillRef>
                          <a:effectRef idx="0">
                            <a:scrgbClr r="0" g="0" b="0"/>
                          </a:effectRef>
                          <a:fontRef idx="none"/>
                        </wps:style>
                        <wps:bodyPr/>
                      </wps:wsp>
                    </wpg:wgp>
                  </a:graphicData>
                </a:graphic>
              </wp:inline>
            </w:drawing>
          </mc:Choice>
          <mc:Fallback xmlns:a="http://schemas.openxmlformats.org/drawingml/2006/main">
            <w:pict>
              <v:group id="Group 15569" style="width:365.556pt;height:1.02039pt;mso-position-horizontal-relative:char;mso-position-vertical-relative:line" coordsize="46425,129">
                <v:shape id="Shape 17992" style="position:absolute;width:46425;height:129;left:0;top:0;" coordsize="4642561,12959" path="m0,0l4642561,0l4642561,12959l0,12959l0,0">
                  <v:stroke weight="0pt" endcap="flat" joinstyle="miter" miterlimit="10" on="false" color="#000000" opacity="0"/>
                  <v:fill on="true" color="#b82a73"/>
                </v:shape>
              </v:group>
            </w:pict>
          </mc:Fallback>
        </mc:AlternateContent>
      </w:r>
    </w:p>
    <w:p w14:paraId="2C7E8B96" w14:textId="77777777" w:rsidR="00270FAF" w:rsidRDefault="00000000">
      <w:pPr>
        <w:spacing w:after="0" w:line="261" w:lineRule="auto"/>
        <w:ind w:left="2648"/>
      </w:pPr>
      <w:r>
        <w:rPr>
          <w:color w:val="181717"/>
        </w:rPr>
        <w:t>Anne-Franc</w:t>
      </w:r>
      <w:r>
        <w:rPr>
          <w:rFonts w:ascii="Times New Roman" w:eastAsia="Times New Roman" w:hAnsi="Times New Roman" w:cs="Times New Roman"/>
          <w:color w:val="181717"/>
        </w:rPr>
        <w:t>¸</w:t>
      </w:r>
      <w:r>
        <w:rPr>
          <w:color w:val="181717"/>
        </w:rPr>
        <w:t>oise Rousseau</w:t>
      </w:r>
      <w:r>
        <w:rPr>
          <w:color w:val="181717"/>
          <w:vertAlign w:val="superscript"/>
        </w:rPr>
        <w:t>a</w:t>
      </w:r>
      <w:r>
        <w:rPr>
          <w:color w:val="181717"/>
        </w:rPr>
        <w:t>, Katharina Kerschan-Schindl</w:t>
      </w:r>
      <w:r>
        <w:rPr>
          <w:color w:val="181717"/>
          <w:vertAlign w:val="superscript"/>
        </w:rPr>
        <w:t>b</w:t>
      </w:r>
      <w:r>
        <w:rPr>
          <w:color w:val="181717"/>
        </w:rPr>
        <w:t>, Mario Scherkl</w:t>
      </w:r>
      <w:r>
        <w:rPr>
          <w:color w:val="181717"/>
          <w:vertAlign w:val="superscript"/>
        </w:rPr>
        <w:t>c</w:t>
      </w:r>
      <w:r>
        <w:rPr>
          <w:color w:val="181717"/>
        </w:rPr>
        <w:t>, and Karin Amrein</w:t>
      </w:r>
      <w:r>
        <w:rPr>
          <w:color w:val="181717"/>
          <w:vertAlign w:val="superscript"/>
        </w:rPr>
        <w:t>c</w:t>
      </w:r>
    </w:p>
    <w:p w14:paraId="0DBDCEC4" w14:textId="77777777" w:rsidR="00270FAF" w:rsidRDefault="00000000">
      <w:pPr>
        <w:spacing w:after="661"/>
        <w:ind w:left="2652" w:right="-136"/>
      </w:pPr>
      <w:r>
        <w:rPr>
          <w:noProof/>
        </w:rPr>
        <mc:AlternateContent>
          <mc:Choice Requires="wpg">
            <w:drawing>
              <wp:inline distT="0" distB="0" distL="0" distR="0" wp14:anchorId="793BAFDF" wp14:editId="01D6EBC9">
                <wp:extent cx="4642561" cy="12240"/>
                <wp:effectExtent l="0" t="0" r="0" b="0"/>
                <wp:docPr id="15570" name="Group 15570"/>
                <wp:cNvGraphicFramePr/>
                <a:graphic xmlns:a="http://schemas.openxmlformats.org/drawingml/2006/main">
                  <a:graphicData uri="http://schemas.microsoft.com/office/word/2010/wordprocessingGroup">
                    <wpg:wgp>
                      <wpg:cNvGrpSpPr/>
                      <wpg:grpSpPr>
                        <a:xfrm>
                          <a:off x="0" y="0"/>
                          <a:ext cx="4642561" cy="12240"/>
                          <a:chOff x="0" y="0"/>
                          <a:chExt cx="4642561" cy="12240"/>
                        </a:xfrm>
                      </wpg:grpSpPr>
                      <wps:wsp>
                        <wps:cNvPr id="17993" name="Shape 17993"/>
                        <wps:cNvSpPr/>
                        <wps:spPr>
                          <a:xfrm>
                            <a:off x="0" y="0"/>
                            <a:ext cx="4642561" cy="12240"/>
                          </a:xfrm>
                          <a:custGeom>
                            <a:avLst/>
                            <a:gdLst/>
                            <a:ahLst/>
                            <a:cxnLst/>
                            <a:rect l="0" t="0" r="0" b="0"/>
                            <a:pathLst>
                              <a:path w="4642561" h="12240">
                                <a:moveTo>
                                  <a:pt x="0" y="0"/>
                                </a:moveTo>
                                <a:lnTo>
                                  <a:pt x="4642561" y="0"/>
                                </a:lnTo>
                                <a:lnTo>
                                  <a:pt x="4642561" y="12240"/>
                                </a:lnTo>
                                <a:lnTo>
                                  <a:pt x="0" y="12240"/>
                                </a:lnTo>
                                <a:lnTo>
                                  <a:pt x="0" y="0"/>
                                </a:lnTo>
                              </a:path>
                            </a:pathLst>
                          </a:custGeom>
                          <a:ln w="0" cap="flat">
                            <a:miter lim="127000"/>
                          </a:ln>
                        </wps:spPr>
                        <wps:style>
                          <a:lnRef idx="0">
                            <a:srgbClr val="000000">
                              <a:alpha val="0"/>
                            </a:srgbClr>
                          </a:lnRef>
                          <a:fillRef idx="1">
                            <a:srgbClr val="B82A73"/>
                          </a:fillRef>
                          <a:effectRef idx="0">
                            <a:scrgbClr r="0" g="0" b="0"/>
                          </a:effectRef>
                          <a:fontRef idx="none"/>
                        </wps:style>
                        <wps:bodyPr/>
                      </wps:wsp>
                    </wpg:wgp>
                  </a:graphicData>
                </a:graphic>
              </wp:inline>
            </w:drawing>
          </mc:Choice>
          <mc:Fallback xmlns:a="http://schemas.openxmlformats.org/drawingml/2006/main">
            <w:pict>
              <v:group id="Group 15570" style="width:365.556pt;height:0.963806pt;mso-position-horizontal-relative:char;mso-position-vertical-relative:line" coordsize="46425,122">
                <v:shape id="Shape 17994" style="position:absolute;width:46425;height:122;left:0;top:0;" coordsize="4642561,12240" path="m0,0l4642561,0l4642561,12240l0,12240l0,0">
                  <v:stroke weight="0pt" endcap="flat" joinstyle="miter" miterlimit="10" on="false" color="#000000" opacity="0"/>
                  <v:fill on="true" color="#b82a73"/>
                </v:shape>
              </v:group>
            </w:pict>
          </mc:Fallback>
        </mc:AlternateContent>
      </w:r>
    </w:p>
    <w:p w14:paraId="45B1DD71" w14:textId="77777777" w:rsidR="00270FAF" w:rsidRDefault="00000000">
      <w:pPr>
        <w:shd w:val="clear" w:color="auto" w:fill="F9E3EC"/>
        <w:spacing w:after="0"/>
        <w:ind w:left="1418" w:hanging="10"/>
      </w:pPr>
      <w:r>
        <w:rPr>
          <w:color w:val="181717"/>
          <w:sz w:val="18"/>
        </w:rPr>
        <w:t>Purpose of review</w:t>
      </w:r>
    </w:p>
    <w:p w14:paraId="53890048" w14:textId="77777777" w:rsidR="00270FAF" w:rsidRDefault="00000000">
      <w:pPr>
        <w:shd w:val="clear" w:color="auto" w:fill="F9E3EC"/>
        <w:spacing w:after="113" w:line="250" w:lineRule="auto"/>
        <w:ind w:left="1418" w:hanging="10"/>
      </w:pPr>
      <w:r>
        <w:rPr>
          <w:color w:val="181717"/>
          <w:sz w:val="18"/>
        </w:rPr>
        <w:t>There is growing evidence that bone health is impacted during and after critical illness in multiple ways. In this review, we provide a practical update on postcritical care bone loss with an insight on identification of persons at risk, prevention and treatment strategies.</w:t>
      </w:r>
    </w:p>
    <w:p w14:paraId="49DCA7E4" w14:textId="77777777" w:rsidR="00270FAF" w:rsidRDefault="00000000">
      <w:pPr>
        <w:shd w:val="clear" w:color="auto" w:fill="F9E3EC"/>
        <w:spacing w:after="0"/>
        <w:ind w:left="1418" w:hanging="10"/>
      </w:pPr>
      <w:r>
        <w:rPr>
          <w:color w:val="181717"/>
          <w:sz w:val="18"/>
        </w:rPr>
        <w:t>Recent findings</w:t>
      </w:r>
    </w:p>
    <w:p w14:paraId="3121B896" w14:textId="77777777" w:rsidR="00270FAF" w:rsidRDefault="00000000">
      <w:pPr>
        <w:shd w:val="clear" w:color="auto" w:fill="F9E3EC"/>
        <w:spacing w:after="113" w:line="250" w:lineRule="auto"/>
        <w:ind w:left="1418" w:hanging="10"/>
      </w:pPr>
      <w:r>
        <w:rPr>
          <w:color w:val="181717"/>
          <w:sz w:val="18"/>
        </w:rPr>
        <w:t>Critical illness is associated with an increase in bone turnover and with an uncoupling between bone resorption and bone formation. This results in loss of bone mass, as highlighted by changes in bone marker serum levels and in bone mineral density. Data suggest that ICU survivors are at an increased risk of bone fractures, but this is not completely quantifiable. A key driving factor for ICU-related bone loss, beside inflammation, undernutrition and vitamin D deficiency, is immobilization. Bone health and muscle health are closely related, through myokines and osteokines. Even if not completely proven in the context of critical care, it is likely that preserving muscle mass and strength helps reducing bone loss.</w:t>
      </w:r>
    </w:p>
    <w:p w14:paraId="75B31566" w14:textId="77777777" w:rsidR="00270FAF" w:rsidRDefault="00000000">
      <w:pPr>
        <w:shd w:val="clear" w:color="auto" w:fill="F9E3EC"/>
        <w:spacing w:after="0"/>
        <w:ind w:left="1418" w:hanging="10"/>
      </w:pPr>
      <w:r>
        <w:rPr>
          <w:color w:val="181717"/>
          <w:sz w:val="18"/>
        </w:rPr>
        <w:t>Summary</w:t>
      </w:r>
    </w:p>
    <w:p w14:paraId="7248F21F" w14:textId="77777777" w:rsidR="00270FAF" w:rsidRDefault="00000000">
      <w:pPr>
        <w:shd w:val="clear" w:color="auto" w:fill="F9E3EC"/>
        <w:spacing w:after="113" w:line="250" w:lineRule="auto"/>
        <w:ind w:left="1418" w:hanging="10"/>
      </w:pPr>
      <w:r>
        <w:rPr>
          <w:color w:val="181717"/>
          <w:sz w:val="18"/>
        </w:rPr>
        <w:t>A history of critical illness should be considered as a strong risk factor for osteopenia and osteoporosis. ICU-related bone loss should be part of the postintensive care syndrome, and should be targeted by prevention and treatment strategies. Optimized and individualized protein and micronutrient provision (with specific attention to calcium, vitamin D and selenium), associated with physiotherapy and muscle training, should be implemented early after ICU admission and continued after ICU discharge. Antiresorptive agents such as biphosphonates should be considered on an individualized basis.</w:t>
      </w:r>
    </w:p>
    <w:p w14:paraId="737D8A11" w14:textId="77777777" w:rsidR="00270FAF" w:rsidRDefault="00000000">
      <w:pPr>
        <w:shd w:val="clear" w:color="auto" w:fill="F9E3EC"/>
        <w:spacing w:after="0"/>
        <w:ind w:left="1418" w:hanging="10"/>
      </w:pPr>
      <w:r>
        <w:rPr>
          <w:color w:val="181717"/>
          <w:sz w:val="18"/>
        </w:rPr>
        <w:t>Keywords</w:t>
      </w:r>
    </w:p>
    <w:p w14:paraId="3226A34A" w14:textId="77777777" w:rsidR="00270FAF" w:rsidRDefault="00000000">
      <w:pPr>
        <w:shd w:val="clear" w:color="auto" w:fill="F9E3EC"/>
        <w:spacing w:after="113" w:line="250" w:lineRule="auto"/>
        <w:ind w:left="1418" w:hanging="10"/>
      </w:pPr>
      <w:r>
        <w:rPr>
          <w:color w:val="181717"/>
          <w:sz w:val="18"/>
        </w:rPr>
        <w:t>bone loss, critical illness, fracture, muscle, osteoporosis</w:t>
      </w:r>
    </w:p>
    <w:p w14:paraId="0F532421" w14:textId="77777777" w:rsidR="00270FAF" w:rsidRDefault="00270FAF">
      <w:pPr>
        <w:sectPr w:rsidR="00270FAF">
          <w:headerReference w:type="even" r:id="rId7"/>
          <w:headerReference w:type="default" r:id="rId8"/>
          <w:footerReference w:type="even" r:id="rId9"/>
          <w:footerReference w:type="default" r:id="rId10"/>
          <w:headerReference w:type="first" r:id="rId11"/>
          <w:footerReference w:type="first" r:id="rId12"/>
          <w:pgSz w:w="11739" w:h="15639"/>
          <w:pgMar w:top="195" w:right="1175" w:bottom="1440" w:left="737" w:header="720" w:footer="304" w:gutter="0"/>
          <w:cols w:space="720"/>
        </w:sectPr>
      </w:pPr>
    </w:p>
    <w:p w14:paraId="039DBC17" w14:textId="77777777" w:rsidR="00270FAF" w:rsidRDefault="00000000">
      <w:pPr>
        <w:pStyle w:val="Titre1"/>
        <w:ind w:left="0"/>
      </w:pPr>
      <w:r>
        <w:t>INTRODUCTION</w:t>
      </w:r>
    </w:p>
    <w:p w14:paraId="55457760" w14:textId="77777777" w:rsidR="00270FAF" w:rsidRDefault="00000000">
      <w:pPr>
        <w:spacing w:after="5" w:line="256" w:lineRule="auto"/>
        <w:ind w:left="-10"/>
        <w:jc w:val="both"/>
      </w:pPr>
      <w:r>
        <w:rPr>
          <w:rFonts w:ascii="Times New Roman" w:eastAsia="Times New Roman" w:hAnsi="Times New Roman" w:cs="Times New Roman"/>
          <w:color w:val="181717"/>
          <w:sz w:val="20"/>
        </w:rPr>
        <w:t>Patients who survive critical illness may experience physical, psychological and/or cognitive symptoms of varying severity and persistence. The physical domain mainly refers to muscle weakness and loss of autonomy for activities of daily living. However, there is growing evidence that bone health is also seriously impacted, likely independently from the original cause for ICU admission.</w:t>
      </w:r>
    </w:p>
    <w:p w14:paraId="6501807B" w14:textId="77777777" w:rsidR="00270FAF" w:rsidRDefault="00000000">
      <w:pPr>
        <w:spacing w:after="412" w:line="256" w:lineRule="auto"/>
        <w:ind w:left="-10" w:firstLine="349"/>
        <w:jc w:val="both"/>
      </w:pPr>
      <w:r>
        <w:rPr>
          <w:rFonts w:ascii="Times New Roman" w:eastAsia="Times New Roman" w:hAnsi="Times New Roman" w:cs="Times New Roman"/>
          <w:color w:val="181717"/>
          <w:sz w:val="20"/>
        </w:rPr>
        <w:t xml:space="preserve">Clinical research on bone alterations during and after critical illness, its features, prevention and treatment, is still rare in the field of general critical care. Fortunately, the subject has been more extensively studied in severe burn patients, in whom the systemic response is more pronounced and prolonged, compared with other critically ill patients. This knowledge, often unpublished (yet), should certainly benefit other critically ill patients. We hereby provide a </w:t>
      </w:r>
      <w:r>
        <w:rPr>
          <w:rFonts w:ascii="Times New Roman" w:eastAsia="Times New Roman" w:hAnsi="Times New Roman" w:cs="Times New Roman"/>
          <w:color w:val="181717"/>
          <w:sz w:val="20"/>
        </w:rPr>
        <w:lastRenderedPageBreak/>
        <w:t>practical update on postcritical care bone loss with an insight on prevention and treatments strategies.</w:t>
      </w:r>
    </w:p>
    <w:p w14:paraId="05AACA06" w14:textId="77777777" w:rsidR="00270FAF" w:rsidRDefault="00000000">
      <w:pPr>
        <w:pStyle w:val="Titre1"/>
        <w:ind w:left="0"/>
      </w:pPr>
      <w:r>
        <w:t>PRE AND POST-ICU OSTEOPENIA AND OSTEOPOROSIS</w:t>
      </w:r>
    </w:p>
    <w:p w14:paraId="04150BC5" w14:textId="77777777" w:rsidR="00270FAF" w:rsidRDefault="00000000">
      <w:pPr>
        <w:spacing w:after="188" w:line="256" w:lineRule="auto"/>
        <w:ind w:left="-10"/>
        <w:jc w:val="both"/>
      </w:pPr>
      <w:r>
        <w:rPr>
          <w:rFonts w:ascii="Times New Roman" w:eastAsia="Times New Roman" w:hAnsi="Times New Roman" w:cs="Times New Roman"/>
          <w:color w:val="181717"/>
          <w:sz w:val="20"/>
        </w:rPr>
        <w:t>There is evidence of an association between critical illness and accelerated bone loss, leading to</w:t>
      </w:r>
    </w:p>
    <w:tbl>
      <w:tblPr>
        <w:tblStyle w:val="TableGrid"/>
        <w:tblW w:w="4783" w:type="dxa"/>
        <w:tblInd w:w="0" w:type="dxa"/>
        <w:tblCellMar>
          <w:top w:w="0" w:type="dxa"/>
          <w:left w:w="0" w:type="dxa"/>
          <w:bottom w:w="0" w:type="dxa"/>
          <w:right w:w="0" w:type="dxa"/>
        </w:tblCellMar>
        <w:tblLook w:val="04A0" w:firstRow="1" w:lastRow="0" w:firstColumn="1" w:lastColumn="0" w:noHBand="0" w:noVBand="1"/>
      </w:tblPr>
      <w:tblGrid>
        <w:gridCol w:w="4783"/>
      </w:tblGrid>
      <w:tr w:rsidR="00270FAF" w14:paraId="1E424220" w14:textId="77777777">
        <w:trPr>
          <w:trHeight w:val="2814"/>
        </w:trPr>
        <w:tc>
          <w:tcPr>
            <w:tcW w:w="4783" w:type="dxa"/>
            <w:tcBorders>
              <w:top w:val="nil"/>
              <w:left w:val="nil"/>
              <w:bottom w:val="nil"/>
              <w:right w:val="nil"/>
            </w:tcBorders>
            <w:vAlign w:val="bottom"/>
          </w:tcPr>
          <w:p w14:paraId="367131E6" w14:textId="77777777" w:rsidR="00270FAF" w:rsidRDefault="00000000">
            <w:pPr>
              <w:spacing w:after="103"/>
            </w:pPr>
            <w:r>
              <w:rPr>
                <w:noProof/>
              </w:rPr>
              <mc:AlternateContent>
                <mc:Choice Requires="wpg">
                  <w:drawing>
                    <wp:inline distT="0" distB="0" distL="0" distR="0" wp14:anchorId="2D20358B" wp14:editId="47B2DFD4">
                      <wp:extent cx="3036964" cy="6480"/>
                      <wp:effectExtent l="0" t="0" r="0" b="0"/>
                      <wp:docPr id="15572" name="Group 15572"/>
                      <wp:cNvGraphicFramePr/>
                      <a:graphic xmlns:a="http://schemas.openxmlformats.org/drawingml/2006/main">
                        <a:graphicData uri="http://schemas.microsoft.com/office/word/2010/wordprocessingGroup">
                          <wpg:wgp>
                            <wpg:cNvGrpSpPr/>
                            <wpg:grpSpPr>
                              <a:xfrm>
                                <a:off x="0" y="0"/>
                                <a:ext cx="3036964" cy="6480"/>
                                <a:chOff x="0" y="0"/>
                                <a:chExt cx="3036964" cy="6480"/>
                              </a:xfrm>
                            </wpg:grpSpPr>
                            <wps:wsp>
                              <wps:cNvPr id="17995" name="Shape 17995"/>
                              <wps:cNvSpPr/>
                              <wps:spPr>
                                <a:xfrm>
                                  <a:off x="0" y="0"/>
                                  <a:ext cx="3036964" cy="9144"/>
                                </a:xfrm>
                                <a:custGeom>
                                  <a:avLst/>
                                  <a:gdLst/>
                                  <a:ahLst/>
                                  <a:cxnLst/>
                                  <a:rect l="0" t="0" r="0" b="0"/>
                                  <a:pathLst>
                                    <a:path w="3036964" h="9144">
                                      <a:moveTo>
                                        <a:pt x="0" y="0"/>
                                      </a:moveTo>
                                      <a:lnTo>
                                        <a:pt x="3036964" y="0"/>
                                      </a:lnTo>
                                      <a:lnTo>
                                        <a:pt x="3036964" y="9144"/>
                                      </a:lnTo>
                                      <a:lnTo>
                                        <a:pt x="0" y="9144"/>
                                      </a:lnTo>
                                      <a:lnTo>
                                        <a:pt x="0" y="0"/>
                                      </a:lnTo>
                                    </a:path>
                                  </a:pathLst>
                                </a:custGeom>
                                <a:ln w="0" cap="flat">
                                  <a:miter lim="127000"/>
                                </a:ln>
                              </wps:spPr>
                              <wps:style>
                                <a:lnRef idx="0">
                                  <a:srgbClr val="000000">
                                    <a:alpha val="0"/>
                                  </a:srgbClr>
                                </a:lnRef>
                                <a:fillRef idx="1">
                                  <a:srgbClr val="B82A73"/>
                                </a:fillRef>
                                <a:effectRef idx="0">
                                  <a:scrgbClr r="0" g="0" b="0"/>
                                </a:effectRef>
                                <a:fontRef idx="none"/>
                              </wps:style>
                              <wps:bodyPr/>
                            </wps:wsp>
                          </wpg:wgp>
                        </a:graphicData>
                      </a:graphic>
                    </wp:inline>
                  </w:drawing>
                </mc:Choice>
                <mc:Fallback xmlns:a="http://schemas.openxmlformats.org/drawingml/2006/main">
                  <w:pict>
                    <v:group id="Group 15572" style="width:239.131pt;height:0.510254pt;mso-position-horizontal-relative:char;mso-position-vertical-relative:line" coordsize="30369,64">
                      <v:shape id="Shape 17996" style="position:absolute;width:30369;height:91;left:0;top:0;" coordsize="3036964,9144" path="m0,0l3036964,0l3036964,9144l0,9144l0,0">
                        <v:stroke weight="0pt" endcap="flat" joinstyle="miter" miterlimit="10" on="false" color="#000000" opacity="0"/>
                        <v:fill on="true" color="#b82a73"/>
                      </v:shape>
                    </v:group>
                  </w:pict>
                </mc:Fallback>
              </mc:AlternateContent>
            </w:r>
          </w:p>
          <w:p w14:paraId="2F941A46" w14:textId="77777777" w:rsidR="00270FAF" w:rsidRDefault="00000000">
            <w:pPr>
              <w:spacing w:after="0"/>
            </w:pPr>
            <w:r>
              <w:rPr>
                <w:color w:val="181717"/>
                <w:sz w:val="11"/>
              </w:rPr>
              <w:t>a</w:t>
            </w:r>
          </w:p>
          <w:p w14:paraId="5FC0C179" w14:textId="77777777" w:rsidR="00270FAF" w:rsidRDefault="00000000">
            <w:pPr>
              <w:spacing w:after="0" w:line="270" w:lineRule="auto"/>
              <w:ind w:right="1" w:firstLine="60"/>
              <w:jc w:val="both"/>
            </w:pPr>
            <w:r>
              <w:rPr>
                <w:color w:val="181717"/>
                <w:sz w:val="16"/>
              </w:rPr>
              <w:t xml:space="preserve">University Hospital of Lie`ge, Intensive Care Department and Burn Center, Lie`ge, Belgium, </w:t>
            </w:r>
            <w:r>
              <w:rPr>
                <w:color w:val="181717"/>
                <w:sz w:val="16"/>
                <w:vertAlign w:val="superscript"/>
              </w:rPr>
              <w:t>b</w:t>
            </w:r>
            <w:r>
              <w:rPr>
                <w:color w:val="181717"/>
                <w:sz w:val="16"/>
              </w:rPr>
              <w:t>Department of Physical Medicine, Rehabilitation and Occuptional Medicine, Medical University of Vienna, Vienna and</w:t>
            </w:r>
          </w:p>
          <w:p w14:paraId="00CB3B31" w14:textId="77777777" w:rsidR="00270FAF" w:rsidRDefault="00000000">
            <w:pPr>
              <w:spacing w:after="83" w:line="216" w:lineRule="auto"/>
              <w:ind w:right="1"/>
              <w:jc w:val="both"/>
            </w:pPr>
            <w:r>
              <w:rPr>
                <w:color w:val="181717"/>
                <w:sz w:val="11"/>
              </w:rPr>
              <w:t xml:space="preserve">c </w:t>
            </w:r>
            <w:r>
              <w:rPr>
                <w:color w:val="181717"/>
                <w:sz w:val="16"/>
              </w:rPr>
              <w:t>Department of Endocrinology and Diabetology, Medical University of Graz, Graz, Austria</w:t>
            </w:r>
          </w:p>
          <w:p w14:paraId="0FAA806D" w14:textId="77777777" w:rsidR="00270FAF" w:rsidRDefault="00000000">
            <w:pPr>
              <w:spacing w:after="0" w:line="251" w:lineRule="auto"/>
              <w:jc w:val="both"/>
            </w:pPr>
            <w:r>
              <w:rPr>
                <w:color w:val="181717"/>
                <w:sz w:val="16"/>
              </w:rPr>
              <w:t>Correspondence to Anne-Franc</w:t>
            </w:r>
            <w:r>
              <w:rPr>
                <w:rFonts w:ascii="Times New Roman" w:eastAsia="Times New Roman" w:hAnsi="Times New Roman" w:cs="Times New Roman"/>
                <w:color w:val="181717"/>
                <w:sz w:val="16"/>
              </w:rPr>
              <w:t>¸</w:t>
            </w:r>
            <w:r>
              <w:rPr>
                <w:color w:val="181717"/>
                <w:sz w:val="16"/>
              </w:rPr>
              <w:t>oise Rousseau, MD, PhD, Intensive Care Department and Burn Center, University Hospital of Lie`ge, Lie`ge 4000,</w:t>
            </w:r>
          </w:p>
          <w:p w14:paraId="1B0D7CDD" w14:textId="77777777" w:rsidR="00270FAF" w:rsidRDefault="00000000">
            <w:pPr>
              <w:spacing w:after="66"/>
            </w:pPr>
            <w:r>
              <w:rPr>
                <w:color w:val="181717"/>
                <w:sz w:val="16"/>
              </w:rPr>
              <w:t>Belgium. E-mail: afrousseau@chuliege.be</w:t>
            </w:r>
          </w:p>
          <w:p w14:paraId="6F7BF027" w14:textId="77777777" w:rsidR="00270FAF" w:rsidRDefault="00000000">
            <w:pPr>
              <w:spacing w:after="55"/>
            </w:pPr>
            <w:r>
              <w:rPr>
                <w:color w:val="181717"/>
                <w:sz w:val="16"/>
              </w:rPr>
              <w:t>Curr Opin Crit Care 2020, 26:000–000</w:t>
            </w:r>
          </w:p>
          <w:p w14:paraId="00B903C4" w14:textId="77777777" w:rsidR="00270FAF" w:rsidRDefault="00000000">
            <w:pPr>
              <w:spacing w:after="327"/>
            </w:pPr>
            <w:r>
              <w:rPr>
                <w:color w:val="181717"/>
                <w:sz w:val="16"/>
              </w:rPr>
              <w:t>DOI:10.1097/MCC.0000000000000734</w:t>
            </w:r>
          </w:p>
          <w:p w14:paraId="54D22E2C" w14:textId="77777777" w:rsidR="00270FAF" w:rsidRDefault="00000000">
            <w:pPr>
              <w:spacing w:after="0"/>
              <w:ind w:right="2"/>
              <w:jc w:val="right"/>
            </w:pPr>
            <w:r>
              <w:rPr>
                <w:rFonts w:ascii="Times New Roman" w:eastAsia="Times New Roman" w:hAnsi="Times New Roman" w:cs="Times New Roman"/>
                <w:color w:val="181717"/>
                <w:sz w:val="18"/>
              </w:rPr>
              <w:t>www.co-criticalcare.com</w:t>
            </w:r>
          </w:p>
        </w:tc>
      </w:tr>
    </w:tbl>
    <w:p w14:paraId="6EEF9964" w14:textId="77777777" w:rsidR="00270FAF" w:rsidRDefault="00270FAF">
      <w:pPr>
        <w:sectPr w:rsidR="00270FAF">
          <w:type w:val="continuous"/>
          <w:pgSz w:w="11739" w:h="15639"/>
          <w:pgMar w:top="1440" w:right="1040" w:bottom="673" w:left="777" w:header="720" w:footer="720" w:gutter="0"/>
          <w:cols w:num="2" w:space="359"/>
        </w:sectPr>
      </w:pPr>
    </w:p>
    <w:tbl>
      <w:tblPr>
        <w:tblStyle w:val="TableGrid"/>
        <w:tblW w:w="4783" w:type="dxa"/>
        <w:tblInd w:w="263" w:type="dxa"/>
        <w:tblCellMar>
          <w:top w:w="0" w:type="dxa"/>
          <w:left w:w="120" w:type="dxa"/>
          <w:bottom w:w="183" w:type="dxa"/>
          <w:right w:w="115" w:type="dxa"/>
        </w:tblCellMar>
        <w:tblLook w:val="04A0" w:firstRow="1" w:lastRow="0" w:firstColumn="1" w:lastColumn="0" w:noHBand="0" w:noVBand="1"/>
      </w:tblPr>
      <w:tblGrid>
        <w:gridCol w:w="4783"/>
      </w:tblGrid>
      <w:tr w:rsidR="00270FAF" w14:paraId="77F9A5ED" w14:textId="77777777">
        <w:trPr>
          <w:trHeight w:val="3365"/>
        </w:trPr>
        <w:tc>
          <w:tcPr>
            <w:tcW w:w="4783" w:type="dxa"/>
            <w:tcBorders>
              <w:top w:val="nil"/>
              <w:left w:val="nil"/>
              <w:bottom w:val="nil"/>
              <w:right w:val="nil"/>
            </w:tcBorders>
            <w:shd w:val="clear" w:color="auto" w:fill="F9E3EC"/>
            <w:vAlign w:val="bottom"/>
          </w:tcPr>
          <w:p w14:paraId="78DC9460" w14:textId="77777777" w:rsidR="00270FAF" w:rsidRDefault="00000000">
            <w:pPr>
              <w:spacing w:after="147"/>
            </w:pPr>
            <w:r>
              <w:rPr>
                <w:noProof/>
              </w:rPr>
              <w:lastRenderedPageBreak/>
              <mc:AlternateContent>
                <mc:Choice Requires="wpg">
                  <w:drawing>
                    <wp:inline distT="0" distB="0" distL="0" distR="0" wp14:anchorId="344199B0" wp14:editId="53B1CE53">
                      <wp:extent cx="2884325" cy="241919"/>
                      <wp:effectExtent l="0" t="0" r="0" b="0"/>
                      <wp:docPr id="14349" name="Group 14349"/>
                      <wp:cNvGraphicFramePr/>
                      <a:graphic xmlns:a="http://schemas.openxmlformats.org/drawingml/2006/main">
                        <a:graphicData uri="http://schemas.microsoft.com/office/word/2010/wordprocessingGroup">
                          <wpg:wgp>
                            <wpg:cNvGrpSpPr/>
                            <wpg:grpSpPr>
                              <a:xfrm>
                                <a:off x="0" y="0"/>
                                <a:ext cx="2884325" cy="241919"/>
                                <a:chOff x="0" y="0"/>
                                <a:chExt cx="2884325" cy="241919"/>
                              </a:xfrm>
                            </wpg:grpSpPr>
                            <wps:wsp>
                              <wps:cNvPr id="17997" name="Shape 17997"/>
                              <wps:cNvSpPr/>
                              <wps:spPr>
                                <a:xfrm>
                                  <a:off x="3" y="0"/>
                                  <a:ext cx="2884323" cy="12240"/>
                                </a:xfrm>
                                <a:custGeom>
                                  <a:avLst/>
                                  <a:gdLst/>
                                  <a:ahLst/>
                                  <a:cxnLst/>
                                  <a:rect l="0" t="0" r="0" b="0"/>
                                  <a:pathLst>
                                    <a:path w="2884323" h="12240">
                                      <a:moveTo>
                                        <a:pt x="0" y="0"/>
                                      </a:moveTo>
                                      <a:lnTo>
                                        <a:pt x="2884323" y="0"/>
                                      </a:lnTo>
                                      <a:lnTo>
                                        <a:pt x="2884323" y="12240"/>
                                      </a:lnTo>
                                      <a:lnTo>
                                        <a:pt x="0" y="1224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998" name="Shape 17998"/>
                              <wps:cNvSpPr/>
                              <wps:spPr>
                                <a:xfrm>
                                  <a:off x="3" y="235439"/>
                                  <a:ext cx="2884323" cy="9144"/>
                                </a:xfrm>
                                <a:custGeom>
                                  <a:avLst/>
                                  <a:gdLst/>
                                  <a:ahLst/>
                                  <a:cxnLst/>
                                  <a:rect l="0" t="0" r="0" b="0"/>
                                  <a:pathLst>
                                    <a:path w="2884323" h="9144">
                                      <a:moveTo>
                                        <a:pt x="0" y="0"/>
                                      </a:moveTo>
                                      <a:lnTo>
                                        <a:pt x="2884323" y="0"/>
                                      </a:lnTo>
                                      <a:lnTo>
                                        <a:pt x="288432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0" name="Rectangle 220"/>
                              <wps:cNvSpPr/>
                              <wps:spPr>
                                <a:xfrm>
                                  <a:off x="0" y="76406"/>
                                  <a:ext cx="1254331" cy="180327"/>
                                </a:xfrm>
                                <a:prstGeom prst="rect">
                                  <a:avLst/>
                                </a:prstGeom>
                                <a:ln>
                                  <a:noFill/>
                                </a:ln>
                              </wps:spPr>
                              <wps:txbx>
                                <w:txbxContent>
                                  <w:p w14:paraId="2F9987B0" w14:textId="77777777" w:rsidR="00270FAF" w:rsidRDefault="00000000">
                                    <w:r>
                                      <w:rPr>
                                        <w:color w:val="181717"/>
                                        <w:w w:val="130"/>
                                        <w:sz w:val="24"/>
                                      </w:rPr>
                                      <w:t>KEY</w:t>
                                    </w:r>
                                    <w:r>
                                      <w:rPr>
                                        <w:color w:val="181717"/>
                                        <w:spacing w:val="26"/>
                                        <w:w w:val="130"/>
                                        <w:sz w:val="24"/>
                                      </w:rPr>
                                      <w:t xml:space="preserve"> </w:t>
                                    </w:r>
                                    <w:r>
                                      <w:rPr>
                                        <w:color w:val="181717"/>
                                        <w:w w:val="130"/>
                                        <w:sz w:val="24"/>
                                      </w:rPr>
                                      <w:t>POINTS</w:t>
                                    </w:r>
                                  </w:p>
                                </w:txbxContent>
                              </wps:txbx>
                              <wps:bodyPr horzOverflow="overflow" vert="horz" lIns="0" tIns="0" rIns="0" bIns="0" rtlCol="0">
                                <a:noAutofit/>
                              </wps:bodyPr>
                            </wps:wsp>
                          </wpg:wgp>
                        </a:graphicData>
                      </a:graphic>
                    </wp:inline>
                  </w:drawing>
                </mc:Choice>
                <mc:Fallback xmlns:a="http://schemas.openxmlformats.org/drawingml/2006/main">
                  <w:pict>
                    <v:group id="Group 14349" style="width:227.112pt;height:19.0488pt;mso-position-horizontal-relative:char;mso-position-vertical-relative:line" coordsize="28843,2419">
                      <v:shape id="Shape 18003" style="position:absolute;width:28843;height:122;left:0;top:0;" coordsize="2884323,12240" path="m0,0l2884323,0l2884323,12240l0,12240l0,0">
                        <v:stroke weight="0pt" endcap="flat" joinstyle="miter" miterlimit="10" on="false" color="#000000" opacity="0"/>
                        <v:fill on="true" color="#181717"/>
                      </v:shape>
                      <v:shape id="Shape 18004" style="position:absolute;width:28843;height:91;left:0;top:2354;" coordsize="2884323,9144" path="m0,0l2884323,0l2884323,9144l0,9144l0,0">
                        <v:stroke weight="0pt" endcap="flat" joinstyle="miter" miterlimit="10" on="false" color="#000000" opacity="0"/>
                        <v:fill on="true" color="#181717"/>
                      </v:shape>
                      <v:rect id="Rectangle 220" style="position:absolute;width:12543;height:1803;left:0;top:764;" filled="f" stroked="f">
                        <v:textbox inset="0,0,0,0">
                          <w:txbxContent>
                            <w:p>
                              <w:pPr>
                                <w:spacing w:before="0" w:after="160" w:line="259" w:lineRule="auto"/>
                              </w:pPr>
                              <w:r>
                                <w:rPr>
                                  <w:rFonts w:cs="Calibri" w:hAnsi="Calibri" w:eastAsia="Calibri" w:ascii="Calibri"/>
                                  <w:color w:val="181717"/>
                                  <w:w w:val="130"/>
                                  <w:sz w:val="24"/>
                                </w:rPr>
                                <w:t xml:space="preserve">KEY</w:t>
                              </w:r>
                              <w:r>
                                <w:rPr>
                                  <w:rFonts w:cs="Calibri" w:hAnsi="Calibri" w:eastAsia="Calibri" w:ascii="Calibri"/>
                                  <w:color w:val="181717"/>
                                  <w:spacing w:val="26"/>
                                  <w:w w:val="130"/>
                                  <w:sz w:val="24"/>
                                </w:rPr>
                                <w:t xml:space="preserve"> </w:t>
                              </w:r>
                              <w:r>
                                <w:rPr>
                                  <w:rFonts w:cs="Calibri" w:hAnsi="Calibri" w:eastAsia="Calibri" w:ascii="Calibri"/>
                                  <w:color w:val="181717"/>
                                  <w:w w:val="130"/>
                                  <w:sz w:val="24"/>
                                </w:rPr>
                                <w:t xml:space="preserve">POINTS</w:t>
                              </w:r>
                            </w:p>
                          </w:txbxContent>
                        </v:textbox>
                      </v:rect>
                    </v:group>
                  </w:pict>
                </mc:Fallback>
              </mc:AlternateContent>
            </w:r>
          </w:p>
          <w:p w14:paraId="41351B3D" w14:textId="77777777" w:rsidR="00270FAF" w:rsidRDefault="00000000">
            <w:pPr>
              <w:spacing w:after="151" w:line="229" w:lineRule="auto"/>
              <w:ind w:left="169" w:hanging="169"/>
            </w:pPr>
            <w:r>
              <w:rPr>
                <w:color w:val="181717"/>
                <w:sz w:val="18"/>
              </w:rPr>
              <w:t xml:space="preserve"> Critical illness is associated with increased bone turnover, bone loss and subsequent risk of fractures.</w:t>
            </w:r>
          </w:p>
          <w:p w14:paraId="2D62D073" w14:textId="77777777" w:rsidR="00270FAF" w:rsidRDefault="00000000">
            <w:pPr>
              <w:spacing w:after="149" w:line="229" w:lineRule="auto"/>
              <w:ind w:left="169" w:hanging="169"/>
            </w:pPr>
            <w:r>
              <w:rPr>
                <w:color w:val="181717"/>
                <w:sz w:val="18"/>
              </w:rPr>
              <w:t xml:space="preserve"> Bone health and muscle health are closely related. This is a strong rationale for implementation of combined strategies aiming to preserve both muscle mass and bone mass, such as optimized nutrition (with a specific focus on vitamin D status) and muscle training.</w:t>
            </w:r>
          </w:p>
          <w:p w14:paraId="42E384B9" w14:textId="77777777" w:rsidR="00270FAF" w:rsidRDefault="00000000">
            <w:pPr>
              <w:spacing w:after="0" w:line="229" w:lineRule="auto"/>
              <w:ind w:left="169" w:right="242" w:hanging="169"/>
            </w:pPr>
            <w:r>
              <w:rPr>
                <w:color w:val="181717"/>
                <w:sz w:val="18"/>
              </w:rPr>
              <w:t xml:space="preserve"> Medications aiming to limit the ICU-related bone loss include at least oxandrolone, propranolol and bisphosphonates.</w:t>
            </w:r>
          </w:p>
          <w:p w14:paraId="2D6788D9" w14:textId="77777777" w:rsidR="00270FAF" w:rsidRDefault="00000000">
            <w:pPr>
              <w:spacing w:after="0"/>
            </w:pPr>
            <w:r>
              <w:rPr>
                <w:noProof/>
              </w:rPr>
              <mc:AlternateContent>
                <mc:Choice Requires="wpg">
                  <w:drawing>
                    <wp:inline distT="0" distB="0" distL="0" distR="0" wp14:anchorId="67453ABD" wp14:editId="65EB56C6">
                      <wp:extent cx="2884323" cy="5760"/>
                      <wp:effectExtent l="0" t="0" r="0" b="0"/>
                      <wp:docPr id="14351" name="Group 14351"/>
                      <wp:cNvGraphicFramePr/>
                      <a:graphic xmlns:a="http://schemas.openxmlformats.org/drawingml/2006/main">
                        <a:graphicData uri="http://schemas.microsoft.com/office/word/2010/wordprocessingGroup">
                          <wpg:wgp>
                            <wpg:cNvGrpSpPr/>
                            <wpg:grpSpPr>
                              <a:xfrm>
                                <a:off x="0" y="0"/>
                                <a:ext cx="2884323" cy="5760"/>
                                <a:chOff x="0" y="0"/>
                                <a:chExt cx="2884323" cy="5760"/>
                              </a:xfrm>
                            </wpg:grpSpPr>
                            <wps:wsp>
                              <wps:cNvPr id="18009" name="Shape 18009"/>
                              <wps:cNvSpPr/>
                              <wps:spPr>
                                <a:xfrm>
                                  <a:off x="0" y="0"/>
                                  <a:ext cx="2884323" cy="9144"/>
                                </a:xfrm>
                                <a:custGeom>
                                  <a:avLst/>
                                  <a:gdLst/>
                                  <a:ahLst/>
                                  <a:cxnLst/>
                                  <a:rect l="0" t="0" r="0" b="0"/>
                                  <a:pathLst>
                                    <a:path w="2884323" h="9144">
                                      <a:moveTo>
                                        <a:pt x="0" y="0"/>
                                      </a:moveTo>
                                      <a:lnTo>
                                        <a:pt x="2884323" y="0"/>
                                      </a:lnTo>
                                      <a:lnTo>
                                        <a:pt x="2884323"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4351" style="width:227.112pt;height:0.453552pt;mso-position-horizontal-relative:char;mso-position-vertical-relative:line" coordsize="28843,57">
                      <v:shape id="Shape 18010" style="position:absolute;width:28843;height:91;left:0;top:0;" coordsize="2884323,9144" path="m0,0l2884323,0l2884323,9144l0,9144l0,0">
                        <v:stroke weight="0pt" endcap="flat" joinstyle="miter" miterlimit="10" on="false" color="#000000" opacity="0"/>
                        <v:fill on="true" color="#181717"/>
                      </v:shape>
                    </v:group>
                  </w:pict>
                </mc:Fallback>
              </mc:AlternateContent>
            </w:r>
          </w:p>
        </w:tc>
      </w:tr>
    </w:tbl>
    <w:p w14:paraId="3F5F5EAC" w14:textId="77777777" w:rsidR="00270FAF" w:rsidRDefault="00000000">
      <w:pPr>
        <w:spacing w:after="5" w:line="256" w:lineRule="auto"/>
        <w:ind w:left="263"/>
        <w:jc w:val="both"/>
      </w:pPr>
      <w:r>
        <w:rPr>
          <w:rFonts w:ascii="Times New Roman" w:eastAsia="Times New Roman" w:hAnsi="Times New Roman" w:cs="Times New Roman"/>
          <w:color w:val="181717"/>
          <w:sz w:val="20"/>
        </w:rPr>
        <w:t>secondary osteopenia and osteoporosis. The major driving factors of ICU-related bone loss are inflammation, neuroendocrine stress reaction, immobilization, vitamin D deficiency (especially in long stayers), malnutrition, gut microbiota dysregulation (by antibiotics) and medications such as corticosteroids, catecholamines or loop diuretics [1,2]. These factors add to known or unknown preexisting osteoporosis. The main preexisting risk factors for osteopenia are bone loss, such as older age, female sex, low BMI, reduced mobility, smoking habits, chronic diseases or family history.</w:t>
      </w:r>
    </w:p>
    <w:p w14:paraId="48BFC3C7" w14:textId="77777777" w:rsidR="00270FAF" w:rsidRDefault="00000000">
      <w:pPr>
        <w:spacing w:after="5" w:line="256" w:lineRule="auto"/>
        <w:ind w:left="263" w:firstLine="349"/>
        <w:jc w:val="both"/>
      </w:pPr>
      <w:r>
        <w:rPr>
          <w:rFonts w:ascii="Times New Roman" w:eastAsia="Times New Roman" w:hAnsi="Times New Roman" w:cs="Times New Roman"/>
          <w:color w:val="181717"/>
          <w:sz w:val="20"/>
        </w:rPr>
        <w:t>Increase in bone resorption occurs early after the initial critical insult, during the first 2 or 3 weeks [3,4]. Most importantly, loss of bone mass persists for up to 2 years after ICU stay [5]. In children with severe burn, bone recovery is delayed by at least 3–6 months compared with muscle recovery [6]. Despite gradual improvement in bone formation, ICU or burn survivors may not completely regain bone mass for several years following acute illness. This underlines the magnitude of this metabolic consequence.</w:t>
      </w:r>
    </w:p>
    <w:p w14:paraId="7FC67438" w14:textId="77777777" w:rsidR="00270FAF" w:rsidRDefault="00000000">
      <w:pPr>
        <w:spacing w:after="5" w:line="256" w:lineRule="auto"/>
        <w:ind w:left="263" w:firstLine="349"/>
        <w:jc w:val="both"/>
      </w:pPr>
      <w:r>
        <w:rPr>
          <w:rFonts w:ascii="Times New Roman" w:eastAsia="Times New Roman" w:hAnsi="Times New Roman" w:cs="Times New Roman"/>
          <w:color w:val="181717"/>
          <w:sz w:val="20"/>
        </w:rPr>
        <w:t>Assessment of bone turnover markers confirms the changes in bone turnover during and after critical illness. There are classically two categories of bone markers: the bone formation markers, derived from the osteoblastic activity [bone alkaline phosphatase (BSAP), osteocalcin, N-terminal propeptide (PINP) and C- terminal propeptide of type-I procollagen (PICP)], and the bone resorption markers, as well as the markers of osteoclastogenesis, resulting from degradation of bone collagen [intermolecular crosslinks pyridinoline (PYD) and deoxypyridinoline (DPD)], the C-terminal telopeptide (CTX), the N-terminal telopeptide (NTX) and matrix-metalloproteases (MMP)-generated (CTX- MMP or ICTP) type I collagen fragments, the enzymes secreted by the osteoclasts, namely tartrate-resistant acid phosphatase 5b isoform (TRAP-5b), and the receptor activator of nuclear factor NF-kB ligand (RANKL).</w:t>
      </w:r>
    </w:p>
    <w:p w14:paraId="7B657AC2"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 xml:space="preserve">Critical illness is associated with an increase in boneresorption markersandinimmatureosteoblast activity [2]. </w:t>
      </w:r>
      <w:r>
        <w:rPr>
          <w:rFonts w:ascii="Times New Roman" w:eastAsia="Times New Roman" w:hAnsi="Times New Roman" w:cs="Times New Roman"/>
          <w:color w:val="181717"/>
          <w:sz w:val="20"/>
        </w:rPr>
        <w:t>The bone turnover is overall increased, with an uncoupling between osteoblasts and osteoclasts activities, or in other words, between bone formation and resorption [7</w:t>
      </w:r>
      <w:r>
        <w:rPr>
          <w:rFonts w:ascii="Times New Roman" w:eastAsia="Times New Roman" w:hAnsi="Times New Roman" w:cs="Times New Roman"/>
          <w:color w:val="181717"/>
          <w:sz w:val="10"/>
          <w:vertAlign w:val="superscript"/>
        </w:rPr>
        <w:t>&amp;</w:t>
      </w:r>
      <w:r>
        <w:rPr>
          <w:rFonts w:ascii="Times New Roman" w:eastAsia="Times New Roman" w:hAnsi="Times New Roman" w:cs="Times New Roman"/>
          <w:color w:val="181717"/>
          <w:sz w:val="20"/>
        </w:rPr>
        <w:t>]. However, the data about bone turnover markers should be interpreted with caution in this specific context that can lead to alterations in preanalytic or analytic conditions [8].</w:t>
      </w:r>
    </w:p>
    <w:p w14:paraId="7F234C66"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Bone loss has also been confirmed using bone mineral density (BMD) measurement by dualenergy X-ray absorptiometry (DXA). Loss in BMD inICUsurvivorsduringtheyearfollowingacutecare was greater than in an age and sex-matched population [9]. Timing of BMD loss differed between sex: male ICU survivors presented a more pronounced BMD loss in the second year following acute care, although BMD loss in women survivors was predominant during the first year following ICU stay [5]. DXA testing during ICU stay clearly is not only feasible but also not required, but should be performed during the follow-up period.</w:t>
      </w:r>
    </w:p>
    <w:p w14:paraId="0836E2DD"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On the basis of animal models of severe burn injury, it has been suspected that the loss of bone mass is accompanied by changes in the bone collagen network, which modify the mechanical properties of the bone [10].</w:t>
      </w:r>
    </w:p>
    <w:p w14:paraId="3CA9EADD" w14:textId="77777777" w:rsidR="00270FAF" w:rsidRDefault="00000000">
      <w:pPr>
        <w:spacing w:after="412" w:line="256" w:lineRule="auto"/>
        <w:ind w:left="-10" w:firstLine="349"/>
        <w:jc w:val="both"/>
      </w:pPr>
      <w:r>
        <w:rPr>
          <w:rFonts w:ascii="Times New Roman" w:eastAsia="Times New Roman" w:hAnsi="Times New Roman" w:cs="Times New Roman"/>
          <w:color w:val="181717"/>
          <w:sz w:val="20"/>
        </w:rPr>
        <w:t>At present, no formal quantification of ICUrelated bone loss prevalence has been performed. Moreover, there is no published comparison of such prevalence after different types of critical illness. The role of illness severity in bone loss is unclear. Surprisingly, nonsevere burn injuries have been associated with bone disruption, especially in trabecular bone compared with cortical bone [11]. Yet, in a recent publication using a mouse model, hypermetabolism was inducible even by a small burn. Minor burn was associated with a significant increase in inflammatory cytokines levels and a significant weight loss [12</w:t>
      </w:r>
      <w:r>
        <w:rPr>
          <w:rFonts w:ascii="Times New Roman" w:eastAsia="Times New Roman" w:hAnsi="Times New Roman" w:cs="Times New Roman"/>
          <w:color w:val="181717"/>
          <w:sz w:val="10"/>
          <w:vertAlign w:val="superscript"/>
        </w:rPr>
        <w:t>&amp;</w:t>
      </w:r>
      <w:r>
        <w:rPr>
          <w:rFonts w:ascii="Times New Roman" w:eastAsia="Times New Roman" w:hAnsi="Times New Roman" w:cs="Times New Roman"/>
          <w:color w:val="181717"/>
          <w:sz w:val="20"/>
        </w:rPr>
        <w:t>]. These findings are alarming and should lead to evaluate the fracture risk also in patients with minor burns.</w:t>
      </w:r>
    </w:p>
    <w:p w14:paraId="5DA3EB10" w14:textId="77777777" w:rsidR="00270FAF" w:rsidRDefault="00000000">
      <w:pPr>
        <w:pStyle w:val="Titre1"/>
        <w:ind w:left="0"/>
      </w:pPr>
      <w:r>
        <w:t>CONSEQUENCES IN ICU SURVIVORS</w:t>
      </w:r>
    </w:p>
    <w:p w14:paraId="747DA94A" w14:textId="77777777" w:rsidR="00270FAF" w:rsidRDefault="00000000">
      <w:pPr>
        <w:spacing w:after="5" w:line="256" w:lineRule="auto"/>
        <w:ind w:left="-10"/>
        <w:jc w:val="both"/>
      </w:pPr>
      <w:r>
        <w:rPr>
          <w:rFonts w:ascii="Times New Roman" w:eastAsia="Times New Roman" w:hAnsi="Times New Roman" w:cs="Times New Roman"/>
          <w:color w:val="181717"/>
          <w:sz w:val="20"/>
        </w:rPr>
        <w:t>The long-term health impact of altered bone metabolism after critical illness remains unclear but is certainly underdiagnosed and underestimated. The current osteologic literature does not address ICU stay as an important risk factor for osteoporosis</w:t>
      </w:r>
    </w:p>
    <w:p w14:paraId="13D46BFB" w14:textId="77777777" w:rsidR="00270FAF" w:rsidRDefault="00000000">
      <w:pPr>
        <w:spacing w:after="5" w:line="256" w:lineRule="auto"/>
        <w:ind w:left="-10"/>
        <w:jc w:val="both"/>
      </w:pPr>
      <w:r>
        <w:rPr>
          <w:rFonts w:ascii="Times New Roman" w:eastAsia="Times New Roman" w:hAnsi="Times New Roman" w:cs="Times New Roman"/>
          <w:color w:val="181717"/>
          <w:sz w:val="20"/>
        </w:rPr>
        <w:t>[13].</w:t>
      </w:r>
    </w:p>
    <w:p w14:paraId="573F2578"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A major consequence of bone loss is increased risk for fragility fractures. Only a few studies investigated this long-term outcome. An increased risk of fragility fracture has been described, especially in older women [14,15]. In burn adults, as in burn children, the risk of postburn fracture was at least two times higher than in healthy subjects [6]. Fragility fractures, as well as elevated bone turnover markers, have been associated with an increased mortality in various medical conditions [7</w:t>
      </w:r>
      <w:r>
        <w:rPr>
          <w:rFonts w:ascii="Times New Roman" w:eastAsia="Times New Roman" w:hAnsi="Times New Roman" w:cs="Times New Roman"/>
          <w:color w:val="181717"/>
          <w:sz w:val="10"/>
          <w:vertAlign w:val="superscript"/>
        </w:rPr>
        <w:t>&amp;</w:t>
      </w:r>
      <w:r>
        <w:rPr>
          <w:rFonts w:ascii="Times New Roman" w:eastAsia="Times New Roman" w:hAnsi="Times New Roman" w:cs="Times New Roman"/>
          <w:color w:val="181717"/>
          <w:sz w:val="20"/>
        </w:rPr>
        <w:t xml:space="preserve">]. Unfortunately, fracture risk cannot be adequately predicted in ICU survivors, neither based on bone turnover markers, nor on DXA. Nonetheless, using FRAX (Fracture Risk Assessment tool) in ICU survivors could help </w:t>
      </w:r>
      <w:r>
        <w:rPr>
          <w:rFonts w:ascii="Times New Roman" w:eastAsia="Times New Roman" w:hAnsi="Times New Roman" w:cs="Times New Roman"/>
          <w:color w:val="181717"/>
          <w:sz w:val="20"/>
        </w:rPr>
        <w:lastRenderedPageBreak/>
        <w:t>clinicians screening the patients at a higher risk of fracture [15].</w:t>
      </w:r>
    </w:p>
    <w:p w14:paraId="2C8D49A8"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The risk of fractures is closely linked to falls, which are common in ICU survivors, either during hospitalization [16] or after hospital discharge [17]. In burn patients, falls and fractures lead to an elevated postdischarge hospital service use for musculoskeletal diseases [18].</w:t>
      </w:r>
    </w:p>
    <w:p w14:paraId="434F7C6F" w14:textId="77777777" w:rsidR="00270FAF" w:rsidRDefault="00000000">
      <w:pPr>
        <w:spacing w:after="412" w:line="256" w:lineRule="auto"/>
        <w:ind w:left="-10" w:firstLine="349"/>
        <w:jc w:val="both"/>
      </w:pPr>
      <w:r>
        <w:rPr>
          <w:rFonts w:ascii="Times New Roman" w:eastAsia="Times New Roman" w:hAnsi="Times New Roman" w:cs="Times New Roman"/>
          <w:color w:val="181717"/>
          <w:sz w:val="20"/>
        </w:rPr>
        <w:t>Unfortunately, a small minority of ICU survivors are obliged of continuous bedrest, with an extreme immobilization. Here, spontaneous fractures and during nursing activities are observed, leading to high skeletal morbidity [19].</w:t>
      </w:r>
    </w:p>
    <w:p w14:paraId="5B659653" w14:textId="77777777" w:rsidR="00270FAF" w:rsidRDefault="00000000">
      <w:pPr>
        <w:pStyle w:val="Titre1"/>
        <w:ind w:left="0"/>
      </w:pPr>
      <w:r>
        <w:t>RELATIONSHIP/INTERACTION BETWEEN BONE AND MUSCLE</w:t>
      </w:r>
    </w:p>
    <w:p w14:paraId="6344CC7C" w14:textId="77777777" w:rsidR="00270FAF" w:rsidRDefault="00000000">
      <w:pPr>
        <w:spacing w:after="5" w:line="256" w:lineRule="auto"/>
        <w:ind w:left="-10"/>
        <w:jc w:val="both"/>
      </w:pPr>
      <w:r>
        <w:rPr>
          <w:rFonts w:ascii="Times New Roman" w:eastAsia="Times New Roman" w:hAnsi="Times New Roman" w:cs="Times New Roman"/>
          <w:color w:val="181717"/>
          <w:sz w:val="20"/>
        </w:rPr>
        <w:t>Skeletal muscles and bones are tightly connected with each other, locally and functionally. Osteoblasts and myoblasts have the same origin, the mesenchymal stem cell. The ‘musculo-skeletal system’ is influenced by factors such as genetics, age, hormones, endocrine diseases and mechanical demands [20,21].</w:t>
      </w:r>
    </w:p>
    <w:p w14:paraId="6165A52F"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The lack of muscle activity leads to a decrease in bonemass,byincreasedosteocytesclerostinproduction [22]. However, immobilization is not the only driving factor for muscle weakness in ICU patients. Muscle wasting is observed early after admission, within the first 3 days in subjects with multiorgan failure [23] and is caused by the imbalance between protein synthesis and degradation. Moreover, ICU acquired muscle wasting and weakness is characterized by impaired muscle fibre contractility, which is caused by reduced mitochondria content and function, altered muscle architecture, abnormality in calcium homeostasis and calcium channels, and maybe lipid toxicity. Injury of the peripheral nervous system is an additional stimulus for the dominance of proteolysis [24]. Because of the close mechanical interaction, muscle atrophy precedes the decline in bone mass and very likely also bone quality [25].</w:t>
      </w:r>
    </w:p>
    <w:p w14:paraId="137EEABF"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Muscle disuse causes a net bone loss and a deterioration in bone microstructure [26]. Muscle and bone are both endocrine organs, communicating with each other. Several myokines, cytokines and proteins released by muscle tissue (e.g. myostatin, irisin, ß-aminoisobutyric acid, brain-derives neutropenic factor, interleukines) influence bone turnover [27</w:t>
      </w:r>
      <w:r>
        <w:rPr>
          <w:rFonts w:ascii="Times New Roman" w:eastAsia="Times New Roman" w:hAnsi="Times New Roman" w:cs="Times New Roman"/>
          <w:color w:val="181717"/>
          <w:sz w:val="10"/>
          <w:vertAlign w:val="superscript"/>
        </w:rPr>
        <w:t>&amp;&amp;</w:t>
      </w:r>
      <w:r>
        <w:rPr>
          <w:rFonts w:ascii="Times New Roman" w:eastAsia="Times New Roman" w:hAnsi="Times New Roman" w:cs="Times New Roman"/>
          <w:color w:val="181717"/>
          <w:sz w:val="20"/>
        </w:rPr>
        <w:t>,28]. In return, osteokines secreted by osteoblasts and osteocytes (e.g. sclerostin, osteocalcin, insulin-like growth factor 1, bone morphogenic protein, fibroblast growth factors, nuclear factor-kappa B ligand, dickkopf 1, prostaglandin E2) have an impact on muscle metabolism</w:t>
      </w:r>
    </w:p>
    <w:p w14:paraId="07005FBB" w14:textId="77777777" w:rsidR="00270FAF" w:rsidRDefault="00000000">
      <w:pPr>
        <w:spacing w:after="410" w:line="256" w:lineRule="auto"/>
        <w:ind w:left="-10" w:right="259"/>
        <w:jc w:val="both"/>
      </w:pPr>
      <w:r>
        <w:rPr>
          <w:rFonts w:ascii="Times New Roman" w:eastAsia="Times New Roman" w:hAnsi="Times New Roman" w:cs="Times New Roman"/>
          <w:color w:val="181717"/>
          <w:sz w:val="20"/>
        </w:rPr>
        <w:t>[27</w:t>
      </w:r>
      <w:r>
        <w:rPr>
          <w:rFonts w:ascii="Times New Roman" w:eastAsia="Times New Roman" w:hAnsi="Times New Roman" w:cs="Times New Roman"/>
          <w:color w:val="181717"/>
          <w:sz w:val="10"/>
          <w:vertAlign w:val="superscript"/>
        </w:rPr>
        <w:t>&amp;&amp;</w:t>
      </w:r>
      <w:r>
        <w:rPr>
          <w:rFonts w:ascii="Times New Roman" w:eastAsia="Times New Roman" w:hAnsi="Times New Roman" w:cs="Times New Roman"/>
          <w:color w:val="181717"/>
          <w:sz w:val="20"/>
        </w:rPr>
        <w:t>,29,30</w:t>
      </w:r>
      <w:r>
        <w:rPr>
          <w:rFonts w:ascii="Times New Roman" w:eastAsia="Times New Roman" w:hAnsi="Times New Roman" w:cs="Times New Roman"/>
          <w:color w:val="181717"/>
          <w:sz w:val="10"/>
          <w:vertAlign w:val="superscript"/>
        </w:rPr>
        <w:t>&amp;&amp;</w:t>
      </w:r>
      <w:r>
        <w:rPr>
          <w:rFonts w:ascii="Times New Roman" w:eastAsia="Times New Roman" w:hAnsi="Times New Roman" w:cs="Times New Roman"/>
          <w:color w:val="181717"/>
          <w:sz w:val="20"/>
        </w:rPr>
        <w:t>].Clinicalimplicationsofsuchdialogue remain to be demonstrated [31]. However, it is obvious that preserving muscle mass helps preserving bone mass and vice versa.</w:t>
      </w:r>
    </w:p>
    <w:p w14:paraId="34654135" w14:textId="77777777" w:rsidR="00270FAF" w:rsidRDefault="00000000">
      <w:pPr>
        <w:pStyle w:val="Titre1"/>
        <w:ind w:left="0"/>
      </w:pPr>
      <w:r>
        <w:t>SYSTEMIC IMPACTS OF BONE HEALTH</w:t>
      </w:r>
    </w:p>
    <w:p w14:paraId="2B83518B" w14:textId="77777777" w:rsidR="00270FAF" w:rsidRDefault="00000000">
      <w:pPr>
        <w:spacing w:after="5" w:line="256" w:lineRule="auto"/>
        <w:ind w:left="-10" w:right="259"/>
        <w:jc w:val="both"/>
      </w:pPr>
      <w:r>
        <w:rPr>
          <w:rFonts w:ascii="Times New Roman" w:eastAsia="Times New Roman" w:hAnsi="Times New Roman" w:cs="Times New Roman"/>
          <w:color w:val="181717"/>
          <w:sz w:val="20"/>
        </w:rPr>
        <w:t>Fibroblast growth factor 23 (FGF23), a hormone expressed by osteocytes, osteoblasts or osteoprogenitor cells, has been found to be elevated during criticalillness,maybein link with pro-inflammatory stimuli [32] and iron status [33]. That was associated withadverseoutcomesandevenincreasedmortality [34,35]. Whether it is a severity marker or a contributor is still unclear. FGF23 could influence morbidity and infection risk through hypophosphatemia, inhibition of extra-renal vitamin D activation or monocyte inhibition of antimicrobial molecule LL37 [36].</w:t>
      </w:r>
    </w:p>
    <w:p w14:paraId="67DBF951" w14:textId="77777777" w:rsidR="00270FAF" w:rsidRDefault="00000000">
      <w:pPr>
        <w:spacing w:after="412" w:line="256" w:lineRule="auto"/>
        <w:ind w:left="-10" w:right="259" w:firstLine="349"/>
        <w:jc w:val="both"/>
      </w:pPr>
      <w:r>
        <w:rPr>
          <w:rFonts w:ascii="Times New Roman" w:eastAsia="Times New Roman" w:hAnsi="Times New Roman" w:cs="Times New Roman"/>
          <w:color w:val="181717"/>
          <w:sz w:val="20"/>
        </w:rPr>
        <w:t>Bone loss also promotes glucose intolerance or systemic inflammation [27</w:t>
      </w:r>
      <w:r>
        <w:rPr>
          <w:rFonts w:ascii="Times New Roman" w:eastAsia="Times New Roman" w:hAnsi="Times New Roman" w:cs="Times New Roman"/>
          <w:color w:val="181717"/>
          <w:sz w:val="10"/>
          <w:vertAlign w:val="superscript"/>
        </w:rPr>
        <w:t>&amp;&amp;</w:t>
      </w:r>
      <w:r>
        <w:rPr>
          <w:rFonts w:ascii="Times New Roman" w:eastAsia="Times New Roman" w:hAnsi="Times New Roman" w:cs="Times New Roman"/>
          <w:color w:val="181717"/>
          <w:sz w:val="20"/>
        </w:rPr>
        <w:t>], that in turn worsens muscle or bone loss.</w:t>
      </w:r>
    </w:p>
    <w:p w14:paraId="7CF87EA0" w14:textId="77777777" w:rsidR="00270FAF" w:rsidRDefault="00000000">
      <w:pPr>
        <w:pStyle w:val="Titre1"/>
        <w:ind w:left="0"/>
      </w:pPr>
      <w:r>
        <w:t>PREVENTION/TREATMENT</w:t>
      </w:r>
    </w:p>
    <w:p w14:paraId="641EB709" w14:textId="77777777" w:rsidR="00270FAF" w:rsidRDefault="00000000">
      <w:pPr>
        <w:spacing w:after="412" w:line="256" w:lineRule="auto"/>
        <w:ind w:left="-10" w:right="259"/>
        <w:jc w:val="both"/>
      </w:pPr>
      <w:r>
        <w:rPr>
          <w:rFonts w:ascii="Times New Roman" w:eastAsia="Times New Roman" w:hAnsi="Times New Roman" w:cs="Times New Roman"/>
          <w:color w:val="181717"/>
          <w:sz w:val="20"/>
        </w:rPr>
        <w:t>The consequences of bone loss after critical illness, the impact on health-related costs and quality of life, and the interaction between bone and muscle underline the need of an interdisciplinary integrated and multimodal prevention strategy, best started early during critical illness.</w:t>
      </w:r>
    </w:p>
    <w:p w14:paraId="0960B84D" w14:textId="77777777" w:rsidR="00270FAF" w:rsidRDefault="00000000">
      <w:pPr>
        <w:pStyle w:val="Titre2"/>
        <w:ind w:left="-5"/>
      </w:pPr>
      <w:r>
        <w:t>Nutrition</w:t>
      </w:r>
    </w:p>
    <w:p w14:paraId="5E8B2841" w14:textId="77777777" w:rsidR="00270FAF" w:rsidRDefault="00000000">
      <w:pPr>
        <w:spacing w:after="5" w:line="256" w:lineRule="auto"/>
        <w:ind w:left="-10" w:right="259"/>
        <w:jc w:val="both"/>
      </w:pPr>
      <w:r>
        <w:rPr>
          <w:rFonts w:ascii="Times New Roman" w:eastAsia="Times New Roman" w:hAnsi="Times New Roman" w:cs="Times New Roman"/>
          <w:color w:val="181717"/>
          <w:sz w:val="20"/>
        </w:rPr>
        <w:t>Nutritional support is a mainstay intervention to minimize the risk of malnutrition and the subsequent worsening of sarcopenia and osteopenia. Nutrition in ICU is a topic that is constantly evolving. Currently, continuous enteral feeding is the preferred feeding method in critically ill patients who are not able of volitional intakes, but intermittent feeding is thought to contribute to restoring an anabolic effect of amino-acid provision in a context ofanabolic resistance[37]. However,thisneedstobe confirmed by clinical studies. Furthermore, critically ill patients do not have the same requirements, and their needs are not stable throughout the critical care and postcritical care trajectory. As such, feeding should obviously be individualized. The latest European Society of Parenteral and Enteral Nutrition (ESPEN) guidelines help avoiding both undernutrition and overnutrition [38</w:t>
      </w:r>
      <w:r>
        <w:rPr>
          <w:rFonts w:ascii="Times New Roman" w:eastAsia="Times New Roman" w:hAnsi="Times New Roman" w:cs="Times New Roman"/>
          <w:color w:val="181717"/>
          <w:sz w:val="10"/>
          <w:vertAlign w:val="superscript"/>
        </w:rPr>
        <w:t>&amp;&amp;</w:t>
      </w:r>
      <w:r>
        <w:rPr>
          <w:rFonts w:ascii="Times New Roman" w:eastAsia="Times New Roman" w:hAnsi="Times New Roman" w:cs="Times New Roman"/>
          <w:color w:val="181717"/>
          <w:sz w:val="20"/>
        </w:rPr>
        <w:t>]. Optimizing nutrition during ICU stay and after discharge, especially ensuring adequate provision of amino acids, may have synergic effects with exercise and pharmacological therapy (see below) to increase the rate of protein synthesis in muscle [39]. Specific attention should also be paid to mineral intakes, such as calcium[40],orselenium.Somestudiesshowedpositive association between selenium levels or intakes and muscle mass and performance [41].</w:t>
      </w:r>
    </w:p>
    <w:p w14:paraId="1B942DFE" w14:textId="77777777" w:rsidR="00270FAF" w:rsidRDefault="00000000">
      <w:pPr>
        <w:spacing w:after="412" w:line="256" w:lineRule="auto"/>
        <w:ind w:left="263" w:firstLine="349"/>
        <w:jc w:val="both"/>
      </w:pPr>
      <w:r>
        <w:rPr>
          <w:rFonts w:ascii="Times New Roman" w:eastAsia="Times New Roman" w:hAnsi="Times New Roman" w:cs="Times New Roman"/>
          <w:color w:val="181717"/>
          <w:sz w:val="20"/>
        </w:rPr>
        <w:t>There are currently no clinical data on the impact of a protein and mineral-adjusted nutritional strategy on bone loss and bone recovery in ICU patients.</w:t>
      </w:r>
    </w:p>
    <w:p w14:paraId="1EB51DBA" w14:textId="77777777" w:rsidR="00270FAF" w:rsidRDefault="00000000">
      <w:pPr>
        <w:pStyle w:val="Titre2"/>
        <w:ind w:left="273"/>
      </w:pPr>
      <w:r>
        <w:lastRenderedPageBreak/>
        <w:t>Vitamin D</w:t>
      </w:r>
    </w:p>
    <w:p w14:paraId="254221BE" w14:textId="77777777" w:rsidR="00270FAF" w:rsidRDefault="00000000">
      <w:pPr>
        <w:spacing w:after="5" w:line="256" w:lineRule="auto"/>
        <w:ind w:left="263"/>
        <w:jc w:val="both"/>
      </w:pPr>
      <w:r>
        <w:rPr>
          <w:rFonts w:ascii="Times New Roman" w:eastAsia="Times New Roman" w:hAnsi="Times New Roman" w:cs="Times New Roman"/>
          <w:color w:val="181717"/>
          <w:sz w:val="20"/>
        </w:rPr>
        <w:t>The beneficial effect of vitamin D on the musculoskeletal system is undebated. A normal vitamin D level requires regular vitamin D supplementation in many individuals, typically in a daily dose of 600– 2000IU [42]. Ultra-high and rare doses are no longer recommended for musculoskeletal outcomes because of the associated higher risk of falls and fractures [43]. High-dose vitamin D is currently under investigation for its potential effect on ICU mortality/morbidity [44,45].</w:t>
      </w:r>
    </w:p>
    <w:p w14:paraId="75154033" w14:textId="77777777" w:rsidR="00270FAF" w:rsidRDefault="00000000">
      <w:pPr>
        <w:spacing w:after="412" w:line="256" w:lineRule="auto"/>
        <w:ind w:left="263" w:firstLine="349"/>
        <w:jc w:val="both"/>
      </w:pPr>
      <w:r>
        <w:rPr>
          <w:rFonts w:ascii="Times New Roman" w:eastAsia="Times New Roman" w:hAnsi="Times New Roman" w:cs="Times New Roman"/>
          <w:color w:val="181717"/>
          <w:sz w:val="20"/>
        </w:rPr>
        <w:t>Severe burn patients are at a high risk of vitamin D deficiency, both during acute care, and after discharge. An important feature is that scars are unable toconvert7-dehydrocholesteroltoprevitaminD3,at least during the 8–20 months following injury [46]. Moreover, these patients are usually advised to wear pressure garments and to avoid direct sun exposure. Preliminary reports suggest a beneficial effect of vitamin D3 supplementation in reducing postdischarge fracture risk in burn children [47], or in increasing quadriceps strength in burn adults [48].</w:t>
      </w:r>
    </w:p>
    <w:p w14:paraId="4B4CDDFC" w14:textId="77777777" w:rsidR="00270FAF" w:rsidRDefault="00000000">
      <w:pPr>
        <w:pStyle w:val="Titre2"/>
        <w:ind w:left="273"/>
      </w:pPr>
      <w:r>
        <w:t>Gut microbiome modulation</w:t>
      </w:r>
    </w:p>
    <w:p w14:paraId="5EECF751" w14:textId="77777777" w:rsidR="00270FAF" w:rsidRDefault="00000000">
      <w:pPr>
        <w:spacing w:after="5" w:line="256" w:lineRule="auto"/>
        <w:ind w:left="263"/>
        <w:jc w:val="both"/>
      </w:pPr>
      <w:r>
        <w:rPr>
          <w:rFonts w:ascii="Times New Roman" w:eastAsia="Times New Roman" w:hAnsi="Times New Roman" w:cs="Times New Roman"/>
          <w:color w:val="181717"/>
          <w:sz w:val="20"/>
        </w:rPr>
        <w:t>The microbiomeissuspectedto influencebonemass and quality [49]. Experimental data have shown that modulation of gut microbiota using probiotics can increase bone mass [50]. In humans, prebiotics consumption has also been associated with an enhanced calcium absorption and a favourable change in gut microbiota composition, leading to improved bone mass regulation [51]. In the future, microbiome modulation may become a novel adjuvant strategy to prevent or even treat ICU-related osteopenia or osteoporosis.</w:t>
      </w:r>
    </w:p>
    <w:p w14:paraId="43D8D869" w14:textId="77777777" w:rsidR="00270FAF" w:rsidRDefault="00000000">
      <w:pPr>
        <w:pStyle w:val="Titre2"/>
        <w:ind w:left="-5"/>
      </w:pPr>
      <w:r>
        <w:t>Rehabilitation</w:t>
      </w:r>
    </w:p>
    <w:p w14:paraId="70F302E4" w14:textId="77777777" w:rsidR="00270FAF" w:rsidRDefault="00000000">
      <w:pPr>
        <w:spacing w:after="5" w:line="256" w:lineRule="auto"/>
        <w:ind w:left="-10"/>
        <w:jc w:val="both"/>
      </w:pPr>
      <w:r>
        <w:rPr>
          <w:rFonts w:ascii="Times New Roman" w:eastAsia="Times New Roman" w:hAnsi="Times New Roman" w:cs="Times New Roman"/>
          <w:color w:val="181717"/>
          <w:sz w:val="20"/>
        </w:rPr>
        <w:t>Early mobilization has been proven to be feasible and well tolerated in most ICU patients [52–54]. Several meta-analyses [55–57,58</w:t>
      </w:r>
      <w:r>
        <w:rPr>
          <w:rFonts w:ascii="Times New Roman" w:eastAsia="Times New Roman" w:hAnsi="Times New Roman" w:cs="Times New Roman"/>
          <w:color w:val="181717"/>
          <w:sz w:val="10"/>
          <w:vertAlign w:val="superscript"/>
        </w:rPr>
        <w:t>&amp;</w:t>
      </w:r>
      <w:r>
        <w:rPr>
          <w:rFonts w:ascii="Times New Roman" w:eastAsia="Times New Roman" w:hAnsi="Times New Roman" w:cs="Times New Roman"/>
          <w:color w:val="181717"/>
          <w:sz w:val="20"/>
        </w:rPr>
        <w:t>] showed shortterm improvements in physical function after implementation of such strategy. Neuromuscular electrical stimulation (NMES) could be a useful additive in the preservation of muscle mass and/or strength [59–62]. Whole body vibration has been demonstrated to be an effective training option for increasing BMDin postmenopausal women[63] and in burn children [64]. Such adjunct therapy also improves muscle mass and muscle strength [65]. A systemic anabolic effect has also been evoked, through an increase in IGF1 blood levels [66].</w:t>
      </w:r>
    </w:p>
    <w:p w14:paraId="35C2E15C" w14:textId="77777777" w:rsidR="00270FAF" w:rsidRDefault="00000000">
      <w:pPr>
        <w:spacing w:after="412" w:line="256" w:lineRule="auto"/>
        <w:ind w:left="-10" w:firstLine="349"/>
        <w:jc w:val="both"/>
      </w:pPr>
      <w:r>
        <w:rPr>
          <w:rFonts w:ascii="Times New Roman" w:eastAsia="Times New Roman" w:hAnsi="Times New Roman" w:cs="Times New Roman"/>
          <w:color w:val="181717"/>
          <w:sz w:val="20"/>
        </w:rPr>
        <w:t>The impact of physical rehabilitation during ICU stay on bone mass and fracture risk has not been studied so far, but physical rehabilitation is part of ICU clinical practice guidelines [67,68]. In addition, it is absolutely necessary to keep up with rehabilitation after ICU discharge (in the general ward) and after hospital discharge [69].</w:t>
      </w:r>
    </w:p>
    <w:p w14:paraId="104C5C11" w14:textId="77777777" w:rsidR="00270FAF" w:rsidRDefault="00000000">
      <w:pPr>
        <w:pStyle w:val="Titre2"/>
        <w:ind w:left="-5"/>
      </w:pPr>
      <w:r>
        <w:t>Pharmacological modulation of hypermetabolism</w:t>
      </w:r>
    </w:p>
    <w:p w14:paraId="5C74C341" w14:textId="77777777" w:rsidR="00270FAF" w:rsidRDefault="00000000">
      <w:pPr>
        <w:spacing w:after="5" w:line="256" w:lineRule="auto"/>
        <w:ind w:left="-10"/>
        <w:jc w:val="both"/>
      </w:pPr>
      <w:r>
        <w:rPr>
          <w:rFonts w:ascii="Times New Roman" w:eastAsia="Times New Roman" w:hAnsi="Times New Roman" w:cs="Times New Roman"/>
          <w:color w:val="181717"/>
          <w:sz w:val="20"/>
        </w:rPr>
        <w:t>Muscle protein synthesis has been induced in patients with multiple organ failure receiving recombinant human growth hormone (rhGH) [70]. Such treatment was not able to improve muscle function [71] and even increased mortality [72]. Because of its harm, rhGH cannot be recommended as an anabolic option in ICU patients. However, in severe burn children, rhGH administration after discharge increased lean body mass [73], bone mineral content and height without any adverse outcome [74].</w:t>
      </w:r>
    </w:p>
    <w:p w14:paraId="06736E9B"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The synthetic testosterone analog oxandrolone seems to be a more promising treatment option. A recent meta-analysis showed that it does not affect mortality while increasing lean body mass and BMD in patients suffering from severe burns [75]. Weight loss has also been shown to be reduced in trauma patients receiving oxandrolone [76].</w:t>
      </w:r>
    </w:p>
    <w:p w14:paraId="1566E98F" w14:textId="77777777" w:rsidR="00270FAF" w:rsidRDefault="00000000">
      <w:pPr>
        <w:spacing w:after="353" w:line="256" w:lineRule="auto"/>
        <w:ind w:left="-10" w:firstLine="349"/>
        <w:jc w:val="both"/>
      </w:pPr>
      <w:r>
        <w:rPr>
          <w:rFonts w:ascii="Times New Roman" w:eastAsia="Times New Roman" w:hAnsi="Times New Roman" w:cs="Times New Roman"/>
          <w:color w:val="181717"/>
          <w:sz w:val="20"/>
        </w:rPr>
        <w:t>Blunting adrenergic activity may return protein metabolism towards normal in critically ill patients with hypermetabolism. Propranolol proved to reverse muscle catabolism and to prevent bone loss in children with severe burns [77,78].</w:t>
      </w:r>
    </w:p>
    <w:p w14:paraId="281ABDBC" w14:textId="77777777" w:rsidR="00270FAF" w:rsidRDefault="00000000">
      <w:pPr>
        <w:pStyle w:val="Titre2"/>
        <w:ind w:left="-5"/>
      </w:pPr>
      <w:r>
        <w:t>Osteoporosis medications</w:t>
      </w:r>
    </w:p>
    <w:p w14:paraId="24EDA446" w14:textId="77777777" w:rsidR="00270FAF" w:rsidRDefault="00000000">
      <w:pPr>
        <w:spacing w:after="5" w:line="256" w:lineRule="auto"/>
        <w:ind w:left="-10"/>
        <w:jc w:val="both"/>
      </w:pPr>
      <w:r>
        <w:rPr>
          <w:rFonts w:ascii="Times New Roman" w:eastAsia="Times New Roman" w:hAnsi="Times New Roman" w:cs="Times New Roman"/>
          <w:color w:val="181717"/>
          <w:sz w:val="20"/>
        </w:rPr>
        <w:t>All osteoporosis medications, aiming to reduce fracture risk, should best be initiated in sufficient vitamin D levels, because of the risk of severe hypocalcaemia.</w:t>
      </w:r>
    </w:p>
    <w:p w14:paraId="4BC3D623"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So far, no antiresorptive agents are approved for immobilization but some studies exist: bone resorption has been shown to be reduced after bisphosphonate infusions in patients with acute spinal cord injuries [79] or acute Charcot neuropathy [80].</w:t>
      </w:r>
    </w:p>
    <w:p w14:paraId="32FAEC36"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In critically ill patients, a single dose of ibandronate transiently reduced serum levels of C-telopeptide in critically ill patients [81]. In burn children, two doses of pamidronate during the acute phase of burn injury completely blocked the resorptive bone loss for period of at least 2 years following injury [82,83]. Furthermore, pamidronate has also been shown, in similar populations, to reduce protein breakdown in muscle [84,85]. This muscle effect is thought to be related to the prevention of bone resorption and the consequent release of bonederived muscle catabolic factors [85].</w:t>
      </w:r>
    </w:p>
    <w:p w14:paraId="5F4491E2"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Interestingly, bisphosphonate users admitted in ICU had a significantly lower reduction in BMD compared with bisphosphonate nonusers. The results with co-use of bisphosphonate and vitamin D were even better, and an additive reduction of mortality was observed [86]. Similarly, in ICU survivors treated with antifracture drugs, a reduced loss of BMD was observed, compared with nontreated patients [5].</w:t>
      </w:r>
    </w:p>
    <w:p w14:paraId="649D62C4" w14:textId="77777777" w:rsidR="00270FAF" w:rsidRDefault="00000000">
      <w:pPr>
        <w:spacing w:after="5" w:line="256" w:lineRule="auto"/>
        <w:ind w:left="-10" w:firstLine="349"/>
        <w:jc w:val="both"/>
      </w:pPr>
      <w:r>
        <w:rPr>
          <w:rFonts w:ascii="Times New Roman" w:eastAsia="Times New Roman" w:hAnsi="Times New Roman" w:cs="Times New Roman"/>
          <w:color w:val="181717"/>
          <w:sz w:val="20"/>
        </w:rPr>
        <w:t xml:space="preserve">The RANKL (receptor activator nuclear factor kappa B ligand) inhibitor denosumab has been shown to improve bone metabolism in individuals with relatively recent spinal cord injury [87,88]. Unfortunately, denosumab has not been </w:t>
      </w:r>
      <w:r>
        <w:rPr>
          <w:rFonts w:ascii="Times New Roman" w:eastAsia="Times New Roman" w:hAnsi="Times New Roman" w:cs="Times New Roman"/>
          <w:color w:val="181717"/>
          <w:sz w:val="20"/>
        </w:rPr>
        <w:lastRenderedPageBreak/>
        <w:t>investigated in ICU patients, but a positive effect may be suspected. In contrast to bisphosphonates, denosumab skeletal retention has not been described and a rebound phenomenon after discontinuation of denosumab therapy with an increased vertebral fracture risk has even been suspected. However, it appears to be lower in patients treated for 2 years or less than in patients on long-term treatment [89]. Thus, a single administration during an ICU admission should not cause a rebound phenomenon.</w:t>
      </w:r>
    </w:p>
    <w:p w14:paraId="04E2E6FA" w14:textId="77777777" w:rsidR="00270FAF" w:rsidRDefault="00000000">
      <w:pPr>
        <w:spacing w:after="5" w:line="256" w:lineRule="auto"/>
        <w:ind w:left="-10" w:right="259" w:firstLine="349"/>
        <w:jc w:val="both"/>
      </w:pPr>
      <w:r>
        <w:rPr>
          <w:rFonts w:ascii="Times New Roman" w:eastAsia="Times New Roman" w:hAnsi="Times New Roman" w:cs="Times New Roman"/>
          <w:color w:val="181717"/>
          <w:sz w:val="20"/>
        </w:rPr>
        <w:t>Teriparatide, a recombinant human parathyroid hormone, is a very efficient anabolic treatment for severe osteoporosis. No data concerning PTH therapy in ICU patients exist, but it appears that antiresorptive therapy is biologically better suited to reduce fracture risk in and after acute illness.</w:t>
      </w:r>
    </w:p>
    <w:p w14:paraId="0FC3BC45" w14:textId="77777777" w:rsidR="00270FAF" w:rsidRDefault="00000000">
      <w:pPr>
        <w:spacing w:after="5" w:line="256" w:lineRule="auto"/>
        <w:ind w:left="-10" w:right="259" w:firstLine="349"/>
        <w:jc w:val="both"/>
      </w:pPr>
      <w:r>
        <w:rPr>
          <w:rFonts w:ascii="Times New Roman" w:eastAsia="Times New Roman" w:hAnsi="Times New Roman" w:cs="Times New Roman"/>
          <w:color w:val="181717"/>
          <w:sz w:val="20"/>
        </w:rPr>
        <w:t>The sclerostin inhibitor romosozumab is approved in Europe to treat severe osteoporosis in postmenopausal women at a high risk of fracture [90,91]. To date, no data on the efficacy of immobilized patients or ICU patients exist.</w:t>
      </w:r>
    </w:p>
    <w:p w14:paraId="631A666D" w14:textId="77777777" w:rsidR="00270FAF" w:rsidRDefault="00000000">
      <w:pPr>
        <w:spacing w:after="412" w:line="256" w:lineRule="auto"/>
        <w:ind w:left="-10" w:right="259" w:firstLine="349"/>
        <w:jc w:val="both"/>
      </w:pPr>
      <w:r>
        <w:rPr>
          <w:rFonts w:ascii="Times New Roman" w:eastAsia="Times New Roman" w:hAnsi="Times New Roman" w:cs="Times New Roman"/>
          <w:color w:val="181717"/>
          <w:sz w:val="20"/>
        </w:rPr>
        <w:t>Hormone replacement therapy and selective oestrogen receptor inhibitors (SERMs, raloxifen) may be used in osteoporosis but are no attractive options in the special circumstances of ICU survivors.</w:t>
      </w:r>
    </w:p>
    <w:p w14:paraId="06D848C1" w14:textId="77777777" w:rsidR="00270FAF" w:rsidRDefault="00000000">
      <w:pPr>
        <w:pStyle w:val="Titre1"/>
        <w:ind w:left="0"/>
      </w:pPr>
      <w:r>
        <w:t>CONCLUSION</w:t>
      </w:r>
    </w:p>
    <w:p w14:paraId="326BCFD5" w14:textId="77777777" w:rsidR="00270FAF" w:rsidRDefault="00000000">
      <w:pPr>
        <w:spacing w:after="232" w:line="256" w:lineRule="auto"/>
        <w:ind w:left="-10" w:right="259"/>
        <w:jc w:val="both"/>
      </w:pPr>
      <w:r>
        <w:rPr>
          <w:rFonts w:ascii="Times New Roman" w:eastAsia="Times New Roman" w:hAnsi="Times New Roman" w:cs="Times New Roman"/>
          <w:color w:val="181717"/>
          <w:sz w:val="20"/>
        </w:rPr>
        <w:t>Critical illness is a major risk factor for future fractures. Even minor burn injuries appear to have a profound effect on bone metabolism. As more and more patients survive critical illness and the ICU population also ages, we advise to follow the recommendations based on previous literature summarized in Table 1 and to allocate more research resources to better understand and treat the detrimental effect of critical illness on bone.</w:t>
      </w:r>
    </w:p>
    <w:p w14:paraId="6D10EF4D" w14:textId="77777777" w:rsidR="00270FAF" w:rsidRDefault="00000000">
      <w:pPr>
        <w:spacing w:after="30"/>
        <w:ind w:left="10" w:hanging="10"/>
      </w:pPr>
      <w:r>
        <w:rPr>
          <w:rFonts w:ascii="Times New Roman" w:eastAsia="Times New Roman" w:hAnsi="Times New Roman" w:cs="Times New Roman"/>
          <w:color w:val="181717"/>
          <w:sz w:val="20"/>
        </w:rPr>
        <w:t>Acknowledgements</w:t>
      </w:r>
    </w:p>
    <w:tbl>
      <w:tblPr>
        <w:tblStyle w:val="TableGrid"/>
        <w:tblpPr w:vertAnchor="text" w:horzAnchor="margin" w:tblpY="1025"/>
        <w:tblOverlap w:val="never"/>
        <w:tblW w:w="10182" w:type="dxa"/>
        <w:tblInd w:w="0" w:type="dxa"/>
        <w:tblCellMar>
          <w:top w:w="0" w:type="dxa"/>
          <w:left w:w="0" w:type="dxa"/>
          <w:bottom w:w="0" w:type="dxa"/>
          <w:right w:w="259" w:type="dxa"/>
        </w:tblCellMar>
        <w:tblLook w:val="04A0" w:firstRow="1" w:lastRow="0" w:firstColumn="1" w:lastColumn="0" w:noHBand="0" w:noVBand="1"/>
      </w:tblPr>
      <w:tblGrid>
        <w:gridCol w:w="10183"/>
      </w:tblGrid>
      <w:tr w:rsidR="00270FAF" w14:paraId="67994EA2" w14:textId="77777777">
        <w:trPr>
          <w:trHeight w:val="204"/>
        </w:trPr>
        <w:tc>
          <w:tcPr>
            <w:tcW w:w="2134" w:type="dxa"/>
            <w:tcBorders>
              <w:top w:val="nil"/>
              <w:left w:val="nil"/>
              <w:bottom w:val="nil"/>
              <w:right w:val="nil"/>
            </w:tcBorders>
          </w:tcPr>
          <w:p w14:paraId="3DB93D68" w14:textId="77777777" w:rsidR="00270FAF" w:rsidRDefault="00000000">
            <w:pPr>
              <w:spacing w:after="113"/>
            </w:pPr>
            <w:r>
              <w:rPr>
                <w:noProof/>
              </w:rPr>
              <mc:AlternateContent>
                <mc:Choice Requires="wpg">
                  <w:drawing>
                    <wp:inline distT="0" distB="0" distL="0" distR="0" wp14:anchorId="106CDC46" wp14:editId="3B4B23F3">
                      <wp:extent cx="6301436" cy="12240"/>
                      <wp:effectExtent l="0" t="0" r="0" b="0"/>
                      <wp:docPr id="14782" name="Group 14782"/>
                      <wp:cNvGraphicFramePr/>
                      <a:graphic xmlns:a="http://schemas.openxmlformats.org/drawingml/2006/main">
                        <a:graphicData uri="http://schemas.microsoft.com/office/word/2010/wordprocessingGroup">
                          <wpg:wgp>
                            <wpg:cNvGrpSpPr/>
                            <wpg:grpSpPr>
                              <a:xfrm>
                                <a:off x="0" y="0"/>
                                <a:ext cx="6301436" cy="12240"/>
                                <a:chOff x="0" y="0"/>
                                <a:chExt cx="6301436" cy="12240"/>
                              </a:xfrm>
                            </wpg:grpSpPr>
                            <wps:wsp>
                              <wps:cNvPr id="18011" name="Shape 18011"/>
                              <wps:cNvSpPr/>
                              <wps:spPr>
                                <a:xfrm>
                                  <a:off x="0" y="0"/>
                                  <a:ext cx="6301436" cy="12240"/>
                                </a:xfrm>
                                <a:custGeom>
                                  <a:avLst/>
                                  <a:gdLst/>
                                  <a:ahLst/>
                                  <a:cxnLst/>
                                  <a:rect l="0" t="0" r="0" b="0"/>
                                  <a:pathLst>
                                    <a:path w="6301436" h="12240">
                                      <a:moveTo>
                                        <a:pt x="0" y="0"/>
                                      </a:moveTo>
                                      <a:lnTo>
                                        <a:pt x="6301436" y="0"/>
                                      </a:lnTo>
                                      <a:lnTo>
                                        <a:pt x="6301436" y="12240"/>
                                      </a:lnTo>
                                      <a:lnTo>
                                        <a:pt x="0" y="1224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4782" style="width:496.176pt;height:0.963806pt;mso-position-horizontal-relative:char;mso-position-vertical-relative:line" coordsize="63014,122">
                      <v:shape id="Shape 18012" style="position:absolute;width:63014;height:122;left:0;top:0;" coordsize="6301436,12240" path="m0,0l6301436,0l6301436,12240l0,12240l0,0">
                        <v:stroke weight="0pt" endcap="flat" joinstyle="miter" miterlimit="10" on="false" color="#000000" opacity="0"/>
                        <v:fill on="true" color="#181717"/>
                      </v:shape>
                    </v:group>
                  </w:pict>
                </mc:Fallback>
              </mc:AlternateContent>
            </w:r>
          </w:p>
          <w:p w14:paraId="06758FEF" w14:textId="77777777" w:rsidR="00270FAF" w:rsidRDefault="00000000">
            <w:pPr>
              <w:spacing w:after="0"/>
              <w:ind w:left="119"/>
              <w:jc w:val="both"/>
            </w:pPr>
            <w:r>
              <w:rPr>
                <w:rFonts w:ascii="Times New Roman" w:eastAsia="Times New Roman" w:hAnsi="Times New Roman" w:cs="Times New Roman"/>
                <w:color w:val="181717"/>
                <w:sz w:val="18"/>
              </w:rPr>
              <w:t xml:space="preserve">Table 1. </w:t>
            </w:r>
            <w:r>
              <w:rPr>
                <w:color w:val="181717"/>
                <w:sz w:val="18"/>
              </w:rPr>
              <w:t>Recommendations</w:t>
            </w:r>
          </w:p>
          <w:tbl>
            <w:tblPr>
              <w:tblStyle w:val="TableGrid"/>
              <w:tblW w:w="9924" w:type="dxa"/>
              <w:tblInd w:w="0" w:type="dxa"/>
              <w:tblCellMar>
                <w:top w:w="57" w:type="dxa"/>
                <w:left w:w="0" w:type="dxa"/>
                <w:bottom w:w="0" w:type="dxa"/>
                <w:right w:w="0" w:type="dxa"/>
              </w:tblCellMar>
              <w:tblLook w:val="04A0" w:firstRow="1" w:lastRow="0" w:firstColumn="1" w:lastColumn="0" w:noHBand="0" w:noVBand="1"/>
            </w:tblPr>
            <w:tblGrid>
              <w:gridCol w:w="836"/>
              <w:gridCol w:w="181"/>
              <w:gridCol w:w="8907"/>
            </w:tblGrid>
            <w:tr w:rsidR="00270FAF" w14:paraId="013C4AB5" w14:textId="77777777">
              <w:trPr>
                <w:trHeight w:val="544"/>
              </w:trPr>
              <w:tc>
                <w:tcPr>
                  <w:tcW w:w="1017" w:type="dxa"/>
                  <w:gridSpan w:val="2"/>
                  <w:tcBorders>
                    <w:top w:val="single" w:sz="4" w:space="0" w:color="181717"/>
                    <w:left w:val="nil"/>
                    <w:bottom w:val="nil"/>
                    <w:right w:val="nil"/>
                  </w:tcBorders>
                </w:tcPr>
                <w:p w14:paraId="671F6C6F" w14:textId="77777777" w:rsidR="00270FAF" w:rsidRDefault="00000000">
                  <w:pPr>
                    <w:framePr w:wrap="around" w:vAnchor="text" w:hAnchor="margin" w:y="1025"/>
                    <w:spacing w:after="0"/>
                    <w:ind w:left="60"/>
                    <w:suppressOverlap/>
                  </w:pPr>
                  <w:r>
                    <w:rPr>
                      <w:color w:val="1F1E1E"/>
                      <w:sz w:val="16"/>
                    </w:rPr>
                    <w:t>General</w:t>
                  </w:r>
                </w:p>
              </w:tc>
              <w:tc>
                <w:tcPr>
                  <w:tcW w:w="8906" w:type="dxa"/>
                  <w:tcBorders>
                    <w:top w:val="single" w:sz="4" w:space="0" w:color="181717"/>
                    <w:left w:val="nil"/>
                    <w:bottom w:val="nil"/>
                    <w:right w:val="nil"/>
                  </w:tcBorders>
                </w:tcPr>
                <w:p w14:paraId="3B8FC966" w14:textId="77777777" w:rsidR="00270FAF" w:rsidRDefault="00000000">
                  <w:pPr>
                    <w:framePr w:wrap="around" w:vAnchor="text" w:hAnchor="margin" w:y="1025"/>
                    <w:spacing w:after="48"/>
                    <w:suppressOverlap/>
                  </w:pPr>
                  <w:r>
                    <w:rPr>
                      <w:color w:val="1F1E1E"/>
                      <w:sz w:val="16"/>
                    </w:rPr>
                    <w:t>Falls and fractures should be part of the post-ICU syndrome</w:t>
                  </w:r>
                </w:p>
                <w:p w14:paraId="162E1730" w14:textId="77777777" w:rsidR="00270FAF" w:rsidRDefault="00000000">
                  <w:pPr>
                    <w:framePr w:wrap="around" w:vAnchor="text" w:hAnchor="margin" w:y="1025"/>
                    <w:spacing w:after="0"/>
                    <w:suppressOverlap/>
                  </w:pPr>
                  <w:r>
                    <w:rPr>
                      <w:color w:val="181717"/>
                      <w:sz w:val="16"/>
                    </w:rPr>
                    <w:t>National and international bone societies should include burns and previous ICU stay as a major risk factor for future fractures.</w:t>
                  </w:r>
                </w:p>
              </w:tc>
            </w:tr>
            <w:tr w:rsidR="00270FAF" w14:paraId="22B4070B" w14:textId="77777777">
              <w:trPr>
                <w:trHeight w:val="777"/>
              </w:trPr>
              <w:tc>
                <w:tcPr>
                  <w:tcW w:w="836" w:type="dxa"/>
                  <w:tcBorders>
                    <w:top w:val="nil"/>
                    <w:left w:val="nil"/>
                    <w:bottom w:val="nil"/>
                    <w:right w:val="nil"/>
                  </w:tcBorders>
                  <w:shd w:val="clear" w:color="auto" w:fill="F1CBDB"/>
                </w:tcPr>
                <w:p w14:paraId="010AB310" w14:textId="77777777" w:rsidR="00270FAF" w:rsidRDefault="00000000">
                  <w:pPr>
                    <w:framePr w:wrap="around" w:vAnchor="text" w:hAnchor="margin" w:y="1025"/>
                    <w:spacing w:after="0"/>
                    <w:ind w:left="60"/>
                    <w:suppressOverlap/>
                    <w:jc w:val="both"/>
                  </w:pPr>
                  <w:r>
                    <w:rPr>
                      <w:color w:val="1C1B1B"/>
                      <w:sz w:val="16"/>
                    </w:rPr>
                    <w:t>During ICU</w:t>
                  </w:r>
                </w:p>
              </w:tc>
              <w:tc>
                <w:tcPr>
                  <w:tcW w:w="181" w:type="dxa"/>
                  <w:tcBorders>
                    <w:top w:val="nil"/>
                    <w:left w:val="nil"/>
                    <w:bottom w:val="nil"/>
                    <w:right w:val="nil"/>
                  </w:tcBorders>
                  <w:shd w:val="clear" w:color="auto" w:fill="F1CBDB"/>
                </w:tcPr>
                <w:p w14:paraId="12840DDC" w14:textId="77777777" w:rsidR="00270FAF" w:rsidRDefault="00270FAF">
                  <w:pPr>
                    <w:framePr w:wrap="around" w:vAnchor="text" w:hAnchor="margin" w:y="1025"/>
                    <w:suppressOverlap/>
                  </w:pPr>
                </w:p>
              </w:tc>
              <w:tc>
                <w:tcPr>
                  <w:tcW w:w="8906" w:type="dxa"/>
                  <w:tcBorders>
                    <w:top w:val="nil"/>
                    <w:left w:val="nil"/>
                    <w:bottom w:val="nil"/>
                    <w:right w:val="nil"/>
                  </w:tcBorders>
                  <w:shd w:val="clear" w:color="auto" w:fill="F1CBDB"/>
                </w:tcPr>
                <w:p w14:paraId="6F1473DE" w14:textId="77777777" w:rsidR="00270FAF" w:rsidRDefault="00000000">
                  <w:pPr>
                    <w:framePr w:wrap="around" w:vAnchor="text" w:hAnchor="margin" w:y="1025"/>
                    <w:spacing w:after="50"/>
                    <w:suppressOverlap/>
                  </w:pPr>
                  <w:r>
                    <w:rPr>
                      <w:color w:val="1C1B1B"/>
                      <w:sz w:val="16"/>
                    </w:rPr>
                    <w:t>Appropriate nutritional provision of protein and micronutrients, in particular vitamin D, according to individualized needs</w:t>
                  </w:r>
                </w:p>
                <w:p w14:paraId="7EADED04" w14:textId="77777777" w:rsidR="00270FAF" w:rsidRDefault="00000000">
                  <w:pPr>
                    <w:framePr w:wrap="around" w:vAnchor="text" w:hAnchor="margin" w:y="1025"/>
                    <w:spacing w:after="48"/>
                    <w:suppressOverlap/>
                  </w:pPr>
                  <w:r>
                    <w:rPr>
                      <w:color w:val="181717"/>
                      <w:sz w:val="16"/>
                    </w:rPr>
                    <w:t>Early mobilization and muscle training (active muscle exercises, neuromuscular electrical stimulation, whole-body vibration)</w:t>
                  </w:r>
                </w:p>
                <w:p w14:paraId="716AA11F" w14:textId="77777777" w:rsidR="00270FAF" w:rsidRDefault="00000000">
                  <w:pPr>
                    <w:framePr w:wrap="around" w:vAnchor="text" w:hAnchor="margin" w:y="1025"/>
                    <w:spacing w:after="0"/>
                    <w:suppressOverlap/>
                  </w:pPr>
                  <w:r>
                    <w:rPr>
                      <w:color w:val="181717"/>
                      <w:sz w:val="16"/>
                    </w:rPr>
                    <w:t>Oxandrolone and propranolol may be considered, at least in burn patients</w:t>
                  </w:r>
                </w:p>
              </w:tc>
            </w:tr>
            <w:tr w:rsidR="00270FAF" w14:paraId="3017FAB6" w14:textId="77777777">
              <w:trPr>
                <w:trHeight w:val="2251"/>
              </w:trPr>
              <w:tc>
                <w:tcPr>
                  <w:tcW w:w="1017" w:type="dxa"/>
                  <w:gridSpan w:val="2"/>
                  <w:tcBorders>
                    <w:top w:val="nil"/>
                    <w:left w:val="nil"/>
                    <w:bottom w:val="single" w:sz="8" w:space="0" w:color="181717"/>
                    <w:right w:val="nil"/>
                  </w:tcBorders>
                </w:tcPr>
                <w:p w14:paraId="6F7EF04F" w14:textId="77777777" w:rsidR="00270FAF" w:rsidRDefault="00000000">
                  <w:pPr>
                    <w:framePr w:wrap="around" w:vAnchor="text" w:hAnchor="margin" w:y="1025"/>
                    <w:spacing w:after="0"/>
                    <w:ind w:left="60"/>
                    <w:suppressOverlap/>
                  </w:pPr>
                  <w:r>
                    <w:rPr>
                      <w:color w:val="1F1E1E"/>
                      <w:sz w:val="16"/>
                    </w:rPr>
                    <w:t>After ICU</w:t>
                  </w:r>
                </w:p>
              </w:tc>
              <w:tc>
                <w:tcPr>
                  <w:tcW w:w="8906" w:type="dxa"/>
                  <w:tcBorders>
                    <w:top w:val="nil"/>
                    <w:left w:val="nil"/>
                    <w:bottom w:val="single" w:sz="8" w:space="0" w:color="181717"/>
                    <w:right w:val="nil"/>
                  </w:tcBorders>
                </w:tcPr>
                <w:p w14:paraId="73D5F331" w14:textId="77777777" w:rsidR="00270FAF" w:rsidRDefault="00000000">
                  <w:pPr>
                    <w:framePr w:wrap="around" w:vAnchor="text" w:hAnchor="margin" w:y="1025"/>
                    <w:spacing w:after="59" w:line="246" w:lineRule="auto"/>
                    <w:ind w:left="159" w:hanging="159"/>
                    <w:suppressOverlap/>
                  </w:pPr>
                  <w:r>
                    <w:rPr>
                      <w:color w:val="1F1E1E"/>
                      <w:sz w:val="16"/>
                    </w:rPr>
                    <w:t>ICU and burn survivors should receive long-term follow-up, including DXA screening and counselling for prevention of post-ICU osteoporosis and fractures</w:t>
                  </w:r>
                </w:p>
                <w:p w14:paraId="71DF9F9A" w14:textId="77777777" w:rsidR="00270FAF" w:rsidRDefault="00000000">
                  <w:pPr>
                    <w:framePr w:wrap="around" w:vAnchor="text" w:hAnchor="margin" w:y="1025"/>
                    <w:spacing w:after="59" w:line="246" w:lineRule="auto"/>
                    <w:ind w:left="159" w:right="27" w:hanging="159"/>
                    <w:suppressOverlap/>
                  </w:pPr>
                  <w:r>
                    <w:rPr>
                      <w:color w:val="181717"/>
                      <w:sz w:val="16"/>
                    </w:rPr>
                    <w:t>Appropriate nutritional provision of protein and micronutrients, in particular vitamin D, according to individualized needs, should be continued after discharge</w:t>
                  </w:r>
                </w:p>
                <w:p w14:paraId="2AFABA14" w14:textId="77777777" w:rsidR="00270FAF" w:rsidRDefault="00000000">
                  <w:pPr>
                    <w:framePr w:wrap="around" w:vAnchor="text" w:hAnchor="margin" w:y="1025"/>
                    <w:spacing w:after="0" w:line="320" w:lineRule="auto"/>
                    <w:ind w:right="598"/>
                    <w:suppressOverlap/>
                  </w:pPr>
                  <w:r>
                    <w:rPr>
                      <w:color w:val="181717"/>
                      <w:sz w:val="16"/>
                    </w:rPr>
                    <w:t>Supervised exercise and regular physical activities should be intensively continued after hospital discharge Antiresorptive therapy including bisphosphonates and denosumab should be considered</w:t>
                  </w:r>
                </w:p>
                <w:p w14:paraId="6FC150BA" w14:textId="77777777" w:rsidR="00270FAF" w:rsidRDefault="00000000">
                  <w:pPr>
                    <w:framePr w:wrap="around" w:vAnchor="text" w:hAnchor="margin" w:y="1025"/>
                    <w:spacing w:after="50"/>
                    <w:suppressOverlap/>
                  </w:pPr>
                  <w:r>
                    <w:rPr>
                      <w:color w:val="181717"/>
                      <w:sz w:val="16"/>
                    </w:rPr>
                    <w:t>Anabolic therapy including teriparatide and romosozumab should be evaluated in appropriate candidates</w:t>
                  </w:r>
                </w:p>
                <w:p w14:paraId="6642EA00" w14:textId="77777777" w:rsidR="00270FAF" w:rsidRDefault="00000000">
                  <w:pPr>
                    <w:framePr w:wrap="around" w:vAnchor="text" w:hAnchor="margin" w:y="1025"/>
                    <w:spacing w:after="0"/>
                    <w:ind w:left="159" w:hanging="159"/>
                    <w:suppressOverlap/>
                  </w:pPr>
                  <w:r>
                    <w:rPr>
                      <w:color w:val="181717"/>
                      <w:sz w:val="16"/>
                    </w:rPr>
                    <w:t>General measures of fall reduction should be implemented if necessary (hearing/seeing aids, removal of carpets and so on, avoidance of benzodiazepines and other medications associated with increased fall risk)</w:t>
                  </w:r>
                </w:p>
              </w:tc>
            </w:tr>
          </w:tbl>
          <w:p w14:paraId="22F9E37F" w14:textId="77777777" w:rsidR="00270FAF" w:rsidRDefault="00270FAF"/>
        </w:tc>
      </w:tr>
    </w:tbl>
    <w:p w14:paraId="7F6A9256" w14:textId="77777777" w:rsidR="00270FAF" w:rsidRDefault="00000000">
      <w:pPr>
        <w:spacing w:after="7" w:line="254" w:lineRule="auto"/>
        <w:ind w:left="10" w:hanging="10"/>
      </w:pPr>
      <w:r>
        <w:rPr>
          <w:rFonts w:ascii="Times New Roman" w:eastAsia="Times New Roman" w:hAnsi="Times New Roman" w:cs="Times New Roman"/>
          <w:color w:val="181717"/>
          <w:sz w:val="20"/>
        </w:rPr>
        <w:t>None.</w:t>
      </w:r>
    </w:p>
    <w:p w14:paraId="367CE641" w14:textId="77777777" w:rsidR="00270FAF" w:rsidRDefault="00000000">
      <w:pPr>
        <w:spacing w:after="30"/>
        <w:ind w:left="258" w:hanging="10"/>
      </w:pPr>
      <w:r>
        <w:rPr>
          <w:rFonts w:ascii="Times New Roman" w:eastAsia="Times New Roman" w:hAnsi="Times New Roman" w:cs="Times New Roman"/>
          <w:color w:val="181717"/>
          <w:sz w:val="20"/>
        </w:rPr>
        <w:t>Financial support and sponsorship</w:t>
      </w:r>
    </w:p>
    <w:p w14:paraId="709A0C93" w14:textId="77777777" w:rsidR="00270FAF" w:rsidRDefault="00000000">
      <w:pPr>
        <w:spacing w:after="7" w:line="254" w:lineRule="auto"/>
        <w:ind w:left="258" w:hanging="10"/>
      </w:pPr>
      <w:r>
        <w:rPr>
          <w:rFonts w:ascii="Times New Roman" w:eastAsia="Times New Roman" w:hAnsi="Times New Roman" w:cs="Times New Roman"/>
          <w:color w:val="181717"/>
          <w:sz w:val="20"/>
        </w:rPr>
        <w:t>This work was supported by the Austrian Bone and</w:t>
      </w:r>
    </w:p>
    <w:p w14:paraId="60E14FBF" w14:textId="77777777" w:rsidR="00270FAF" w:rsidRDefault="00000000">
      <w:pPr>
        <w:spacing w:after="232" w:line="254" w:lineRule="auto"/>
        <w:ind w:left="258" w:hanging="10"/>
      </w:pPr>
      <w:r>
        <w:rPr>
          <w:rFonts w:ascii="Times New Roman" w:eastAsia="Times New Roman" w:hAnsi="Times New Roman" w:cs="Times New Roman"/>
          <w:color w:val="181717"/>
          <w:sz w:val="20"/>
        </w:rPr>
        <w:t>Mineral Society.</w:t>
      </w:r>
    </w:p>
    <w:p w14:paraId="3EBD4567" w14:textId="77777777" w:rsidR="00270FAF" w:rsidRDefault="00000000">
      <w:pPr>
        <w:spacing w:after="30"/>
        <w:ind w:left="258" w:hanging="10"/>
      </w:pPr>
      <w:r>
        <w:rPr>
          <w:rFonts w:ascii="Times New Roman" w:eastAsia="Times New Roman" w:hAnsi="Times New Roman" w:cs="Times New Roman"/>
          <w:color w:val="181717"/>
          <w:sz w:val="20"/>
        </w:rPr>
        <w:t>Conflicts of interest</w:t>
      </w:r>
    </w:p>
    <w:p w14:paraId="7E1C5349" w14:textId="77777777" w:rsidR="00270FAF" w:rsidRDefault="00000000">
      <w:pPr>
        <w:spacing w:after="275" w:line="254" w:lineRule="auto"/>
        <w:ind w:left="258" w:hanging="10"/>
      </w:pPr>
      <w:r>
        <w:rPr>
          <w:rFonts w:ascii="Times New Roman" w:eastAsia="Times New Roman" w:hAnsi="Times New Roman" w:cs="Times New Roman"/>
          <w:color w:val="181717"/>
          <w:sz w:val="20"/>
        </w:rPr>
        <w:t>All authors have no conflicts of interest in link with this review.</w:t>
      </w:r>
    </w:p>
    <w:p w14:paraId="1FB413AE" w14:textId="77777777" w:rsidR="00270FAF" w:rsidRDefault="00000000">
      <w:pPr>
        <w:pStyle w:val="Titre1"/>
        <w:ind w:left="273"/>
      </w:pPr>
      <w:r>
        <w:t>REFERENCES AND RECOMMENDED READING</w:t>
      </w:r>
    </w:p>
    <w:p w14:paraId="5A63ACF0" w14:textId="77777777" w:rsidR="00270FAF" w:rsidRDefault="00000000">
      <w:pPr>
        <w:spacing w:after="11" w:line="224" w:lineRule="auto"/>
        <w:ind w:left="263"/>
      </w:pPr>
      <w:r>
        <w:rPr>
          <w:color w:val="181717"/>
          <w:sz w:val="14"/>
        </w:rPr>
        <w:t xml:space="preserve">Papers of particular interest, published within the annual period of review, have been highlighted as: </w:t>
      </w:r>
      <w:r>
        <w:rPr>
          <w:rFonts w:ascii="Times New Roman" w:eastAsia="Times New Roman" w:hAnsi="Times New Roman" w:cs="Times New Roman"/>
          <w:color w:val="181717"/>
          <w:sz w:val="12"/>
          <w:vertAlign w:val="superscript"/>
        </w:rPr>
        <w:t xml:space="preserve">&amp; </w:t>
      </w:r>
      <w:r>
        <w:rPr>
          <w:color w:val="181717"/>
          <w:sz w:val="14"/>
        </w:rPr>
        <w:t>of special interest</w:t>
      </w:r>
    </w:p>
    <w:p w14:paraId="3CEE4BE7" w14:textId="77777777" w:rsidR="00270FAF" w:rsidRDefault="00000000">
      <w:pPr>
        <w:spacing w:after="231" w:line="227" w:lineRule="auto"/>
        <w:ind w:left="263"/>
        <w:jc w:val="both"/>
      </w:pPr>
      <w:r>
        <w:rPr>
          <w:rFonts w:ascii="Times New Roman" w:eastAsia="Times New Roman" w:hAnsi="Times New Roman" w:cs="Times New Roman"/>
          <w:color w:val="181717"/>
          <w:sz w:val="12"/>
          <w:vertAlign w:val="superscript"/>
        </w:rPr>
        <w:t xml:space="preserve">&amp;&amp; </w:t>
      </w:r>
      <w:r>
        <w:rPr>
          <w:color w:val="181717"/>
          <w:sz w:val="14"/>
        </w:rPr>
        <w:t>of outstanding interest</w:t>
      </w:r>
    </w:p>
    <w:p w14:paraId="1CE2B928" w14:textId="77777777" w:rsidR="00270FAF" w:rsidRDefault="00000000">
      <w:pPr>
        <w:numPr>
          <w:ilvl w:val="0"/>
          <w:numId w:val="1"/>
        </w:numPr>
        <w:spacing w:after="14" w:line="227" w:lineRule="auto"/>
        <w:ind w:hanging="210"/>
        <w:jc w:val="both"/>
      </w:pPr>
      <w:r>
        <w:rPr>
          <w:color w:val="181717"/>
          <w:sz w:val="14"/>
        </w:rPr>
        <w:t>Lee P, Nair P, Eisman JA, Center JR. Bone failure in critical illness. Crit Care Med 2016; 44:2270–2274.</w:t>
      </w:r>
    </w:p>
    <w:p w14:paraId="40E5FE03" w14:textId="77777777" w:rsidR="00270FAF" w:rsidRDefault="00000000">
      <w:pPr>
        <w:numPr>
          <w:ilvl w:val="0"/>
          <w:numId w:val="1"/>
        </w:numPr>
        <w:spacing w:after="14" w:line="227" w:lineRule="auto"/>
        <w:ind w:hanging="210"/>
        <w:jc w:val="both"/>
      </w:pPr>
      <w:r>
        <w:rPr>
          <w:color w:val="181717"/>
          <w:sz w:val="14"/>
        </w:rPr>
        <w:t>Orford N, Cattigan C, Brennan SL, et al. The association between critical illness and changes in bone turnover in adults: a systematic review. Osteoporos Int 2014; 25:2335–2346.</w:t>
      </w:r>
    </w:p>
    <w:p w14:paraId="524E81B2" w14:textId="77777777" w:rsidR="00270FAF" w:rsidRDefault="00000000">
      <w:pPr>
        <w:numPr>
          <w:ilvl w:val="0"/>
          <w:numId w:val="1"/>
        </w:numPr>
        <w:spacing w:after="14" w:line="227" w:lineRule="auto"/>
        <w:ind w:hanging="210"/>
        <w:jc w:val="both"/>
      </w:pPr>
      <w:r>
        <w:rPr>
          <w:color w:val="181717"/>
          <w:sz w:val="14"/>
        </w:rPr>
        <w:t>Klein GL. Burn-induced bone loss: importance, mechanisms, and management. J Burns Wounds 2006; 5:e5.</w:t>
      </w:r>
    </w:p>
    <w:p w14:paraId="28D263E1" w14:textId="77777777" w:rsidR="00270FAF" w:rsidRDefault="00000000">
      <w:pPr>
        <w:numPr>
          <w:ilvl w:val="0"/>
          <w:numId w:val="1"/>
        </w:numPr>
        <w:spacing w:after="11" w:line="224" w:lineRule="auto"/>
        <w:ind w:hanging="210"/>
        <w:jc w:val="both"/>
      </w:pPr>
      <w:r>
        <w:rPr>
          <w:color w:val="181717"/>
          <w:sz w:val="14"/>
        </w:rPr>
        <w:t>Gavala A, Makris K, Korompeli A, Myrianthefs P. Evaluation of bone metabolism in critically ill patients using CTx and PINP. BioMed Res Int 2016; 2016:1951707.</w:t>
      </w:r>
    </w:p>
    <w:p w14:paraId="2A4E7CE4" w14:textId="77777777" w:rsidR="00270FAF" w:rsidRDefault="00000000">
      <w:pPr>
        <w:numPr>
          <w:ilvl w:val="0"/>
          <w:numId w:val="1"/>
        </w:numPr>
        <w:spacing w:after="14" w:line="227" w:lineRule="auto"/>
        <w:ind w:hanging="210"/>
        <w:jc w:val="both"/>
      </w:pPr>
      <w:r>
        <w:rPr>
          <w:color w:val="181717"/>
          <w:sz w:val="14"/>
        </w:rPr>
        <w:t>Orford NR, Bailey M, Bellomo R, et al. The association of time and medications with changes in bone mineral density in the 2 years after critical illness. Crit Care 2017; 21:69.</w:t>
      </w:r>
    </w:p>
    <w:p w14:paraId="2019FB9D" w14:textId="77777777" w:rsidR="00270FAF" w:rsidRDefault="00000000">
      <w:pPr>
        <w:numPr>
          <w:ilvl w:val="0"/>
          <w:numId w:val="1"/>
        </w:numPr>
        <w:spacing w:after="14" w:line="227" w:lineRule="auto"/>
        <w:ind w:hanging="210"/>
        <w:jc w:val="both"/>
      </w:pPr>
      <w:r>
        <w:rPr>
          <w:color w:val="181717"/>
          <w:sz w:val="14"/>
        </w:rPr>
        <w:t xml:space="preserve">Polychronopoulou E, Herndon DN, Porter C. The long-term impact of severe burn trauma on musculoskeletal health. J Burn Care Res 2018; 39:869–880. 7. Orford NR, Pasco JA, Kotowicz MA. Osteoporosis and the critically ill patient. </w:t>
      </w:r>
      <w:r>
        <w:rPr>
          <w:rFonts w:ascii="Times New Roman" w:eastAsia="Times New Roman" w:hAnsi="Times New Roman" w:cs="Times New Roman"/>
          <w:color w:val="181717"/>
          <w:sz w:val="12"/>
          <w:vertAlign w:val="superscript"/>
        </w:rPr>
        <w:t xml:space="preserve">&amp; </w:t>
      </w:r>
      <w:r>
        <w:rPr>
          <w:color w:val="181717"/>
          <w:sz w:val="14"/>
        </w:rPr>
        <w:t>Crit Care Clin 2019; 35:301–313.</w:t>
      </w:r>
    </w:p>
    <w:p w14:paraId="1FD68623" w14:textId="77777777" w:rsidR="00270FAF" w:rsidRDefault="00000000">
      <w:pPr>
        <w:spacing w:after="14" w:line="227" w:lineRule="auto"/>
        <w:ind w:left="263"/>
        <w:jc w:val="both"/>
      </w:pPr>
      <w:r>
        <w:rPr>
          <w:color w:val="181717"/>
          <w:sz w:val="14"/>
        </w:rPr>
        <w:t>This review provides details about the changes in bone physiology in the context of a critical illness.</w:t>
      </w:r>
    </w:p>
    <w:p w14:paraId="03E4A6DD" w14:textId="77777777" w:rsidR="00270FAF" w:rsidRDefault="00000000">
      <w:pPr>
        <w:numPr>
          <w:ilvl w:val="0"/>
          <w:numId w:val="2"/>
        </w:numPr>
        <w:spacing w:after="14" w:line="227" w:lineRule="auto"/>
        <w:ind w:hanging="280"/>
        <w:jc w:val="both"/>
      </w:pPr>
      <w:r>
        <w:rPr>
          <w:color w:val="181717"/>
          <w:sz w:val="14"/>
        </w:rPr>
        <w:t>Cavalier E, Bergmann P, Bruye`re O, et al. The role of biochemical of bone turnover markers in osteoporosis and metabolic bone disease: a consensus paper of the Belgian Bone Club. Osteoporos Int 2016; 27:2181–2195.</w:t>
      </w:r>
    </w:p>
    <w:p w14:paraId="75E21DF6" w14:textId="77777777" w:rsidR="00270FAF" w:rsidRDefault="00000000">
      <w:pPr>
        <w:numPr>
          <w:ilvl w:val="0"/>
          <w:numId w:val="2"/>
        </w:numPr>
        <w:spacing w:after="14" w:line="227" w:lineRule="auto"/>
        <w:ind w:hanging="280"/>
        <w:jc w:val="both"/>
      </w:pPr>
      <w:r>
        <w:rPr>
          <w:color w:val="181717"/>
          <w:sz w:val="14"/>
        </w:rPr>
        <w:t>Orford NR, Bailey M, Bellomo R, et al. Changes in bone mineral density in the year after critical illness. Am J Respir Crit Care Med 2016; 193:736–744.</w:t>
      </w:r>
    </w:p>
    <w:p w14:paraId="7EA4509D" w14:textId="77777777" w:rsidR="00270FAF" w:rsidRDefault="00000000">
      <w:pPr>
        <w:numPr>
          <w:ilvl w:val="0"/>
          <w:numId w:val="2"/>
        </w:numPr>
        <w:spacing w:after="14" w:line="227" w:lineRule="auto"/>
        <w:ind w:hanging="280"/>
        <w:jc w:val="both"/>
      </w:pPr>
      <w:r>
        <w:rPr>
          <w:color w:val="181717"/>
          <w:sz w:val="14"/>
        </w:rPr>
        <w:t>Tome TC, Quintana HT, Bortolin JA, et al. Extensive burn injury causes bone collagen network alteration and growth delay related to RANK-L immunoexpression change. Connect Tissue Res 2019; 1–10; doi: 10.1080/ 03008207.2019.1620220. [Epub ahead of print]</w:t>
      </w:r>
    </w:p>
    <w:p w14:paraId="00B586C2" w14:textId="77777777" w:rsidR="00270FAF" w:rsidRDefault="00000000">
      <w:pPr>
        <w:numPr>
          <w:ilvl w:val="0"/>
          <w:numId w:val="2"/>
        </w:numPr>
        <w:spacing w:after="14" w:line="227" w:lineRule="auto"/>
        <w:ind w:hanging="280"/>
        <w:jc w:val="both"/>
      </w:pPr>
      <w:r>
        <w:rPr>
          <w:color w:val="181717"/>
          <w:sz w:val="14"/>
        </w:rPr>
        <w:t>O’Halloran E, Kular J, Xu J, et al. Nonsevere burn injury leads to depletion of bone volume that can be ameliorated by inhibiting TNF-alpha. Burns 2015; 41:558–564.</w:t>
      </w:r>
    </w:p>
    <w:p w14:paraId="4EFF6D5C" w14:textId="77777777" w:rsidR="00270FAF" w:rsidRDefault="00000000">
      <w:pPr>
        <w:numPr>
          <w:ilvl w:val="0"/>
          <w:numId w:val="2"/>
        </w:numPr>
        <w:spacing w:after="14" w:line="227" w:lineRule="auto"/>
        <w:ind w:hanging="280"/>
        <w:jc w:val="both"/>
      </w:pPr>
      <w:r>
        <w:rPr>
          <w:color w:val="181717"/>
          <w:sz w:val="14"/>
        </w:rPr>
        <w:t>Hew JJ, Parungao RJ, Shi H, et al. Mouse models in burns research:</w:t>
      </w:r>
    </w:p>
    <w:p w14:paraId="381334B2" w14:textId="77777777" w:rsidR="00270FAF" w:rsidRDefault="00000000">
      <w:pPr>
        <w:spacing w:after="14" w:line="227" w:lineRule="auto"/>
        <w:ind w:left="549" w:hanging="290"/>
        <w:jc w:val="both"/>
      </w:pPr>
      <w:r>
        <w:rPr>
          <w:rFonts w:ascii="Times New Roman" w:eastAsia="Times New Roman" w:hAnsi="Times New Roman" w:cs="Times New Roman"/>
          <w:color w:val="181717"/>
          <w:sz w:val="12"/>
          <w:vertAlign w:val="superscript"/>
        </w:rPr>
        <w:lastRenderedPageBreak/>
        <w:t xml:space="preserve">&amp; </w:t>
      </w:r>
      <w:r>
        <w:rPr>
          <w:color w:val="181717"/>
          <w:sz w:val="14"/>
        </w:rPr>
        <w:t>characterisation of the hypermetabolic response to burn injury. Burns 2020; 46:663–674.</w:t>
      </w:r>
    </w:p>
    <w:p w14:paraId="53D96089" w14:textId="77777777" w:rsidR="00270FAF" w:rsidRDefault="00000000">
      <w:pPr>
        <w:spacing w:after="14" w:line="227" w:lineRule="auto"/>
        <w:ind w:left="263"/>
        <w:jc w:val="both"/>
      </w:pPr>
      <w:r>
        <w:rPr>
          <w:color w:val="181717"/>
          <w:sz w:val="14"/>
        </w:rPr>
        <w:t>Using a mouse model, authors describe the systemic response following either a small or a large burn injury. Surprisingly, small burns were associated with a significant degree of hypermetabolism and catabolism.</w:t>
      </w:r>
    </w:p>
    <w:p w14:paraId="555959BC" w14:textId="77777777" w:rsidR="00270FAF" w:rsidRDefault="00000000">
      <w:pPr>
        <w:numPr>
          <w:ilvl w:val="0"/>
          <w:numId w:val="2"/>
        </w:numPr>
        <w:spacing w:after="14" w:line="227" w:lineRule="auto"/>
        <w:ind w:hanging="280"/>
        <w:jc w:val="both"/>
      </w:pPr>
      <w:r>
        <w:rPr>
          <w:color w:val="181717"/>
          <w:sz w:val="14"/>
        </w:rPr>
        <w:t>Kanis JA, Harvey NC, McCloskey E, et al. Algorithm for the management of patients at low, high and very high risk of osteoporotic fractures. Osteoporos Int 2020; 31:1–12.</w:t>
      </w:r>
    </w:p>
    <w:p w14:paraId="5FD465B3" w14:textId="77777777" w:rsidR="00270FAF" w:rsidRDefault="00000000">
      <w:pPr>
        <w:numPr>
          <w:ilvl w:val="0"/>
          <w:numId w:val="2"/>
        </w:numPr>
        <w:spacing w:after="14" w:line="227" w:lineRule="auto"/>
        <w:ind w:hanging="280"/>
        <w:jc w:val="both"/>
      </w:pPr>
      <w:r>
        <w:rPr>
          <w:color w:val="181717"/>
          <w:sz w:val="14"/>
        </w:rPr>
        <w:t>Orford NR, Saunders K, Merriman E, et al. Skeletal morbidity among survivors of critical illness. Crit Care Med 2011; 39:1295–1300.</w:t>
      </w:r>
    </w:p>
    <w:p w14:paraId="724E6D26" w14:textId="77777777" w:rsidR="00270FAF" w:rsidRDefault="00000000">
      <w:pPr>
        <w:numPr>
          <w:ilvl w:val="0"/>
          <w:numId w:val="2"/>
        </w:numPr>
        <w:spacing w:after="14" w:line="227" w:lineRule="auto"/>
        <w:ind w:hanging="280"/>
        <w:jc w:val="both"/>
      </w:pPr>
      <w:r>
        <w:rPr>
          <w:color w:val="181717"/>
          <w:sz w:val="14"/>
        </w:rPr>
        <w:t>Rousseau AF, Cavalier E, Reginster JY, et al. Occurrence of clinical bone fracture following a prolonged stay in intensive care unit: a retrospective controlled study. Calcif Tissue Int 2017; 101:465–472.</w:t>
      </w:r>
    </w:p>
    <w:p w14:paraId="45BE44F0" w14:textId="77777777" w:rsidR="00270FAF" w:rsidRDefault="00000000">
      <w:pPr>
        <w:numPr>
          <w:ilvl w:val="0"/>
          <w:numId w:val="2"/>
        </w:numPr>
        <w:spacing w:after="14" w:line="227" w:lineRule="auto"/>
        <w:ind w:hanging="280"/>
        <w:jc w:val="both"/>
      </w:pPr>
      <w:r>
        <w:rPr>
          <w:color w:val="181717"/>
          <w:sz w:val="14"/>
        </w:rPr>
        <w:t>Patman SM, Dennis D, Hill K. The incidence of falls in intensive care survivors. Aust Crit Care 2011; 24:167–174.</w:t>
      </w:r>
    </w:p>
    <w:p w14:paraId="2F678806" w14:textId="77777777" w:rsidR="00270FAF" w:rsidRDefault="00000000">
      <w:pPr>
        <w:numPr>
          <w:ilvl w:val="0"/>
          <w:numId w:val="2"/>
        </w:numPr>
        <w:spacing w:after="14" w:line="227" w:lineRule="auto"/>
        <w:ind w:hanging="280"/>
        <w:jc w:val="both"/>
      </w:pPr>
      <w:r>
        <w:rPr>
          <w:color w:val="181717"/>
          <w:sz w:val="14"/>
        </w:rPr>
        <w:t>Parry SM, Denehy L, Granger C, et al. The fear and risk of community falls in patients following an intensive care admission: an exploratory cohort study. Aust Crit Care 2020; 33:144–150.</w:t>
      </w:r>
    </w:p>
    <w:p w14:paraId="31DA2A0B" w14:textId="77777777" w:rsidR="00270FAF" w:rsidRDefault="00000000">
      <w:pPr>
        <w:numPr>
          <w:ilvl w:val="0"/>
          <w:numId w:val="2"/>
        </w:numPr>
        <w:spacing w:after="14" w:line="227" w:lineRule="auto"/>
        <w:ind w:hanging="280"/>
        <w:jc w:val="both"/>
      </w:pPr>
      <w:r>
        <w:rPr>
          <w:color w:val="181717"/>
          <w:sz w:val="14"/>
        </w:rPr>
        <w:t>Randall SM, Fear MW, Wood FM, et al. Long-term musculoskeletal morbidity after adult burn injury: a population-based cohort study. BMJ Open 2015; 5:e009395.</w:t>
      </w:r>
    </w:p>
    <w:p w14:paraId="198BB600" w14:textId="77777777" w:rsidR="00270FAF" w:rsidRDefault="00000000">
      <w:pPr>
        <w:numPr>
          <w:ilvl w:val="0"/>
          <w:numId w:val="2"/>
        </w:numPr>
        <w:spacing w:after="14" w:line="227" w:lineRule="auto"/>
        <w:ind w:hanging="280"/>
        <w:jc w:val="both"/>
      </w:pPr>
      <w:r>
        <w:rPr>
          <w:color w:val="181717"/>
          <w:sz w:val="14"/>
        </w:rPr>
        <w:t>Oppl B, Michitsch G,MisofB, etal.Low bone mineraldensity andfragility fractures in permanent vegetative state patients. J Bone Miner Res 2014; 29:1096–1100.</w:t>
      </w:r>
    </w:p>
    <w:p w14:paraId="1FD1D4DA" w14:textId="77777777" w:rsidR="00270FAF" w:rsidRDefault="00000000">
      <w:pPr>
        <w:numPr>
          <w:ilvl w:val="0"/>
          <w:numId w:val="2"/>
        </w:numPr>
        <w:spacing w:after="14" w:line="227" w:lineRule="auto"/>
        <w:ind w:hanging="280"/>
        <w:jc w:val="both"/>
      </w:pPr>
      <w:r>
        <w:rPr>
          <w:color w:val="181717"/>
          <w:sz w:val="14"/>
        </w:rPr>
        <w:t>Kaji H. Interaction between muscle and bone. J Bone Metab 2014; 21:29–40.</w:t>
      </w:r>
    </w:p>
    <w:p w14:paraId="4FDF612C" w14:textId="77777777" w:rsidR="00270FAF" w:rsidRDefault="00000000">
      <w:pPr>
        <w:numPr>
          <w:ilvl w:val="0"/>
          <w:numId w:val="2"/>
        </w:numPr>
        <w:spacing w:after="14" w:line="227" w:lineRule="auto"/>
        <w:ind w:hanging="280"/>
        <w:jc w:val="both"/>
      </w:pPr>
      <w:r>
        <w:rPr>
          <w:color w:val="181717"/>
          <w:sz w:val="14"/>
        </w:rPr>
        <w:t>Kawao N, Kaji H. Interactions between muscle tissues and bone metabolism. J Cell Biochem 2015; 116:687–695.</w:t>
      </w:r>
    </w:p>
    <w:p w14:paraId="479FB4BE" w14:textId="77777777" w:rsidR="00270FAF" w:rsidRDefault="00000000">
      <w:pPr>
        <w:numPr>
          <w:ilvl w:val="0"/>
          <w:numId w:val="2"/>
        </w:numPr>
        <w:spacing w:after="14" w:line="227" w:lineRule="auto"/>
        <w:ind w:hanging="280"/>
        <w:jc w:val="both"/>
      </w:pPr>
      <w:r>
        <w:rPr>
          <w:color w:val="181717"/>
          <w:sz w:val="14"/>
        </w:rPr>
        <w:t>Belavy DL, Baecker N, Armbrecht G, et al. Serum sclerostin and DKK1 in relation to exercise against bone loss in experimental bed rest. J Bone Miner Metab 2016; 34:354–365.</w:t>
      </w:r>
    </w:p>
    <w:p w14:paraId="54E5BC1B" w14:textId="77777777" w:rsidR="00270FAF" w:rsidRDefault="00000000">
      <w:pPr>
        <w:numPr>
          <w:ilvl w:val="0"/>
          <w:numId w:val="2"/>
        </w:numPr>
        <w:spacing w:after="14" w:line="227" w:lineRule="auto"/>
        <w:ind w:hanging="280"/>
        <w:jc w:val="both"/>
      </w:pPr>
      <w:r>
        <w:rPr>
          <w:color w:val="181717"/>
          <w:sz w:val="14"/>
        </w:rPr>
        <w:t>Puthucheary ZA, Rawal J, McPhail M, et al. Acute skeletal muscle wasting in critical illness. JAMA 2013; 310:1591–1600.</w:t>
      </w:r>
    </w:p>
    <w:p w14:paraId="0C6E44E8" w14:textId="77777777" w:rsidR="00270FAF" w:rsidRDefault="00000000">
      <w:pPr>
        <w:numPr>
          <w:ilvl w:val="0"/>
          <w:numId w:val="2"/>
        </w:numPr>
        <w:spacing w:after="14" w:line="227" w:lineRule="auto"/>
        <w:ind w:hanging="280"/>
        <w:jc w:val="both"/>
      </w:pPr>
      <w:r>
        <w:rPr>
          <w:color w:val="181717"/>
          <w:sz w:val="14"/>
        </w:rPr>
        <w:t>Batt J, Herridge MS, dos Santos CC. From skeletal muscle weakness to functional outcomes following critical illness: a translational biology perspective. Thorax 2019; 74:1091–1098.</w:t>
      </w:r>
    </w:p>
    <w:p w14:paraId="7D563DBD" w14:textId="77777777" w:rsidR="00270FAF" w:rsidRDefault="00000000">
      <w:pPr>
        <w:numPr>
          <w:ilvl w:val="0"/>
          <w:numId w:val="2"/>
        </w:numPr>
        <w:spacing w:after="14" w:line="227" w:lineRule="auto"/>
        <w:ind w:hanging="280"/>
        <w:jc w:val="both"/>
      </w:pPr>
      <w:r>
        <w:rPr>
          <w:color w:val="181717"/>
          <w:sz w:val="14"/>
        </w:rPr>
        <w:t>Lloyd SA, Lang CH, Zhang Y, et al. Interdependence of muscle atrophy and bone loss induced by mechanical unloading. J Bone Miner Res 2014; 29:1118–1130.</w:t>
      </w:r>
    </w:p>
    <w:p w14:paraId="708B641C" w14:textId="77777777" w:rsidR="00270FAF" w:rsidRDefault="00000000">
      <w:pPr>
        <w:numPr>
          <w:ilvl w:val="0"/>
          <w:numId w:val="2"/>
        </w:numPr>
        <w:spacing w:after="14" w:line="227" w:lineRule="auto"/>
        <w:ind w:hanging="280"/>
        <w:jc w:val="both"/>
      </w:pPr>
      <w:r>
        <w:rPr>
          <w:color w:val="181717"/>
          <w:sz w:val="14"/>
        </w:rPr>
        <w:t>Armbrecht G, Belavy´ DL, Backstro¨m M, et al. Trabecular and cortical bone density and architecture in women after 60 days of bed rest using highresolution pQCT: WISE. J Bone Miner Res 2011; 26:2399–2410.</w:t>
      </w:r>
    </w:p>
    <w:p w14:paraId="2E8C681B" w14:textId="77777777" w:rsidR="00270FAF" w:rsidRDefault="00000000">
      <w:pPr>
        <w:numPr>
          <w:ilvl w:val="0"/>
          <w:numId w:val="2"/>
        </w:numPr>
        <w:spacing w:after="14" w:line="227" w:lineRule="auto"/>
        <w:ind w:hanging="280"/>
        <w:jc w:val="both"/>
      </w:pPr>
      <w:r>
        <w:rPr>
          <w:color w:val="181717"/>
          <w:sz w:val="14"/>
        </w:rPr>
        <w:t>Klein GL. The role of the musculoskeletal system in postburn hypermetabo</w:t>
      </w:r>
      <w:r>
        <w:rPr>
          <w:rFonts w:ascii="Times New Roman" w:eastAsia="Times New Roman" w:hAnsi="Times New Roman" w:cs="Times New Roman"/>
          <w:color w:val="181717"/>
          <w:sz w:val="12"/>
          <w:vertAlign w:val="superscript"/>
        </w:rPr>
        <w:t xml:space="preserve">&amp;&amp; </w:t>
      </w:r>
      <w:r>
        <w:rPr>
          <w:color w:val="181717"/>
          <w:sz w:val="14"/>
        </w:rPr>
        <w:t>lism. Metabolism 2019; 97:81–86.</w:t>
      </w:r>
    </w:p>
    <w:p w14:paraId="5B8296DE" w14:textId="77777777" w:rsidR="00270FAF" w:rsidRDefault="00000000">
      <w:pPr>
        <w:spacing w:after="14" w:line="227" w:lineRule="auto"/>
        <w:ind w:left="-4"/>
        <w:jc w:val="both"/>
      </w:pPr>
      <w:r>
        <w:rPr>
          <w:color w:val="181717"/>
          <w:sz w:val="14"/>
        </w:rPr>
        <w:t>This review is focused on the musculoskeletal dimension of the systemic inflammatory response and the stress response. Even if mainly related to severe burn injury, the discussion may suit more general critical illnesses.</w:t>
      </w:r>
    </w:p>
    <w:p w14:paraId="3BE2B24B" w14:textId="77777777" w:rsidR="00270FAF" w:rsidRDefault="00000000">
      <w:pPr>
        <w:numPr>
          <w:ilvl w:val="0"/>
          <w:numId w:val="2"/>
        </w:numPr>
        <w:spacing w:after="14" w:line="227" w:lineRule="auto"/>
        <w:ind w:hanging="280"/>
        <w:jc w:val="both"/>
      </w:pPr>
      <w:r>
        <w:rPr>
          <w:color w:val="181717"/>
          <w:sz w:val="14"/>
        </w:rPr>
        <w:t>Klein GL. Burn injury and restoration of muscle function. Bone 2020; 132:115194.</w:t>
      </w:r>
    </w:p>
    <w:p w14:paraId="02DEB374" w14:textId="77777777" w:rsidR="00270FAF" w:rsidRDefault="00000000">
      <w:pPr>
        <w:numPr>
          <w:ilvl w:val="0"/>
          <w:numId w:val="2"/>
        </w:numPr>
        <w:spacing w:after="14" w:line="227" w:lineRule="auto"/>
        <w:ind w:hanging="280"/>
        <w:jc w:val="both"/>
      </w:pPr>
      <w:r>
        <w:rPr>
          <w:color w:val="181717"/>
          <w:sz w:val="14"/>
        </w:rPr>
        <w:t>Brotto M, Bonewald L. Bone and muscle: interactions beyond mechanical. Bone 2015; 80:109–114.</w:t>
      </w:r>
    </w:p>
    <w:p w14:paraId="34971234" w14:textId="77777777" w:rsidR="00270FAF" w:rsidRDefault="00000000">
      <w:pPr>
        <w:numPr>
          <w:ilvl w:val="0"/>
          <w:numId w:val="2"/>
        </w:numPr>
        <w:spacing w:after="14" w:line="227" w:lineRule="auto"/>
        <w:ind w:hanging="280"/>
        <w:jc w:val="both"/>
      </w:pPr>
      <w:r>
        <w:rPr>
          <w:color w:val="181717"/>
          <w:sz w:val="14"/>
        </w:rPr>
        <w:t>Bonewald L. Use it or lose it to age: a review of bone and muscle commu</w:t>
      </w:r>
      <w:r>
        <w:rPr>
          <w:rFonts w:ascii="Times New Roman" w:eastAsia="Times New Roman" w:hAnsi="Times New Roman" w:cs="Times New Roman"/>
          <w:color w:val="181717"/>
          <w:sz w:val="12"/>
          <w:vertAlign w:val="superscript"/>
        </w:rPr>
        <w:t xml:space="preserve">&amp;&amp; </w:t>
      </w:r>
      <w:r>
        <w:rPr>
          <w:color w:val="181717"/>
          <w:sz w:val="14"/>
        </w:rPr>
        <w:t>nication. Bone 2019; 120:212–218.</w:t>
      </w:r>
    </w:p>
    <w:p w14:paraId="22A21D0D" w14:textId="77777777" w:rsidR="00270FAF" w:rsidRDefault="00000000">
      <w:pPr>
        <w:spacing w:after="14" w:line="227" w:lineRule="auto"/>
        <w:ind w:left="-4"/>
        <w:jc w:val="both"/>
      </w:pPr>
      <w:r>
        <w:rPr>
          <w:color w:val="181717"/>
          <w:sz w:val="14"/>
        </w:rPr>
        <w:t>This review emphasizes the synergy of mechanical interaction and biochemical communication between bone and muscles. Myokines and ostokines involved in the communication between muscle and bone are explained.</w:t>
      </w:r>
    </w:p>
    <w:p w14:paraId="40414321" w14:textId="77777777" w:rsidR="00270FAF" w:rsidRDefault="00000000">
      <w:pPr>
        <w:numPr>
          <w:ilvl w:val="0"/>
          <w:numId w:val="2"/>
        </w:numPr>
        <w:spacing w:after="14" w:line="227" w:lineRule="auto"/>
        <w:ind w:hanging="280"/>
        <w:jc w:val="both"/>
      </w:pPr>
      <w:r>
        <w:rPr>
          <w:color w:val="181717"/>
          <w:sz w:val="14"/>
        </w:rPr>
        <w:t>Laurent MR, Dubois V, Claessens F, et al. Muscle-bone interactions: from experimental models to the clinic? A critical update. Mol Cell Endocrinol 2016; 432:14–36.</w:t>
      </w:r>
    </w:p>
    <w:p w14:paraId="22B926CD" w14:textId="77777777" w:rsidR="00270FAF" w:rsidRDefault="00000000">
      <w:pPr>
        <w:numPr>
          <w:ilvl w:val="0"/>
          <w:numId w:val="2"/>
        </w:numPr>
        <w:spacing w:after="14" w:line="227" w:lineRule="auto"/>
        <w:ind w:hanging="280"/>
        <w:jc w:val="both"/>
      </w:pPr>
      <w:r>
        <w:rPr>
          <w:color w:val="181717"/>
          <w:sz w:val="14"/>
        </w:rPr>
        <w:t>Ito N, Wijenayaka AR, Prideaux M, et al. Regulation of FGF23 expression in IDG-SW3 osteocytes and human bone by pro-inflammatory stimuli. Mol Cell Endocrinol 2015; 399:208–218.</w:t>
      </w:r>
    </w:p>
    <w:p w14:paraId="341249D6" w14:textId="77777777" w:rsidR="00270FAF" w:rsidRDefault="00000000">
      <w:pPr>
        <w:numPr>
          <w:ilvl w:val="0"/>
          <w:numId w:val="2"/>
        </w:numPr>
        <w:spacing w:after="14" w:line="227" w:lineRule="auto"/>
        <w:ind w:hanging="280"/>
        <w:jc w:val="both"/>
      </w:pPr>
      <w:r>
        <w:rPr>
          <w:color w:val="181717"/>
          <w:sz w:val="14"/>
        </w:rPr>
        <w:t>Bhattacharyya N, Chong WH, Gafni RI, et al. Fibroblast growth factor 23: state of the field and future directions. Trends Endocrinol Metab 2012; 23:610–618.</w:t>
      </w:r>
    </w:p>
    <w:p w14:paraId="3CA75588" w14:textId="77777777" w:rsidR="00270FAF" w:rsidRDefault="00000000">
      <w:pPr>
        <w:numPr>
          <w:ilvl w:val="0"/>
          <w:numId w:val="2"/>
        </w:numPr>
        <w:spacing w:after="14" w:line="227" w:lineRule="auto"/>
        <w:ind w:hanging="280"/>
        <w:jc w:val="both"/>
      </w:pPr>
      <w:r>
        <w:rPr>
          <w:color w:val="181717"/>
          <w:sz w:val="14"/>
        </w:rPr>
        <w:t>Leaf DE, Jacob KA, Srivastava A, et al. Fibroblast growth factor 23 levels associate with AKI and death in critical illness. J Am Soc Nephrol 2017; 28:1877–1885.</w:t>
      </w:r>
    </w:p>
    <w:p w14:paraId="7A89247C" w14:textId="77777777" w:rsidR="00270FAF" w:rsidRDefault="00000000">
      <w:pPr>
        <w:numPr>
          <w:ilvl w:val="0"/>
          <w:numId w:val="2"/>
        </w:numPr>
        <w:spacing w:after="14" w:line="227" w:lineRule="auto"/>
        <w:ind w:hanging="280"/>
        <w:jc w:val="both"/>
      </w:pPr>
      <w:r>
        <w:rPr>
          <w:color w:val="181717"/>
          <w:sz w:val="14"/>
        </w:rPr>
        <w:t>Speer T, Groesdonk HV, Zapf B, et al. A single preoperative FGF23 measurement is a strong predictor of outcome in patients undergoing elective cardiac surgery: a prospective observational study. Crit Care 2015; 19:190.</w:t>
      </w:r>
    </w:p>
    <w:p w14:paraId="7A49A054" w14:textId="77777777" w:rsidR="00270FAF" w:rsidRDefault="00000000">
      <w:pPr>
        <w:numPr>
          <w:ilvl w:val="0"/>
          <w:numId w:val="2"/>
        </w:numPr>
        <w:spacing w:after="14" w:line="227" w:lineRule="auto"/>
        <w:ind w:hanging="280"/>
        <w:jc w:val="both"/>
      </w:pPr>
      <w:r>
        <w:rPr>
          <w:color w:val="181717"/>
          <w:sz w:val="14"/>
        </w:rPr>
        <w:t>Schnedl C, Fahrleitner-Pammer A, Pietschmann P, Amrein K. FGF23 in acute and chronic illness. Dis Markers 2015; 2015:358086.</w:t>
      </w:r>
    </w:p>
    <w:p w14:paraId="7598BD4F" w14:textId="77777777" w:rsidR="00270FAF" w:rsidRDefault="00000000">
      <w:pPr>
        <w:numPr>
          <w:ilvl w:val="0"/>
          <w:numId w:val="2"/>
        </w:numPr>
        <w:spacing w:after="14" w:line="227" w:lineRule="auto"/>
        <w:ind w:hanging="280"/>
        <w:jc w:val="both"/>
      </w:pPr>
      <w:r>
        <w:rPr>
          <w:color w:val="181717"/>
          <w:sz w:val="14"/>
        </w:rPr>
        <w:t>Bear DE, Hart N, Puthucheary Z. Continuous or intermittent feeding: pros and cons. Curr Opin Crit Care 2018; 24:256–261.</w:t>
      </w:r>
    </w:p>
    <w:p w14:paraId="7FA37735" w14:textId="77777777" w:rsidR="00270FAF" w:rsidRDefault="00000000">
      <w:pPr>
        <w:numPr>
          <w:ilvl w:val="0"/>
          <w:numId w:val="2"/>
        </w:numPr>
        <w:spacing w:after="14" w:line="227" w:lineRule="auto"/>
        <w:ind w:hanging="280"/>
        <w:jc w:val="both"/>
      </w:pPr>
      <w:r>
        <w:rPr>
          <w:color w:val="181717"/>
          <w:sz w:val="14"/>
        </w:rPr>
        <w:t xml:space="preserve">Singer P, Blaser AR, Berger MM, et al. ESPEN guideline on clinical nutrition in </w:t>
      </w:r>
      <w:r>
        <w:rPr>
          <w:rFonts w:ascii="Times New Roman" w:eastAsia="Times New Roman" w:hAnsi="Times New Roman" w:cs="Times New Roman"/>
          <w:color w:val="181717"/>
          <w:sz w:val="12"/>
          <w:vertAlign w:val="superscript"/>
        </w:rPr>
        <w:t xml:space="preserve">&amp;&amp; </w:t>
      </w:r>
      <w:r>
        <w:rPr>
          <w:color w:val="181717"/>
          <w:sz w:val="14"/>
        </w:rPr>
        <w:t>the intensive care unit. Clin Nutr 2019; 38:48–79.</w:t>
      </w:r>
    </w:p>
    <w:p w14:paraId="3D2121AB" w14:textId="77777777" w:rsidR="00270FAF" w:rsidRDefault="00000000">
      <w:pPr>
        <w:spacing w:after="14" w:line="227" w:lineRule="auto"/>
        <w:ind w:left="-4"/>
        <w:jc w:val="both"/>
      </w:pPr>
      <w:r>
        <w:rPr>
          <w:color w:val="181717"/>
          <w:sz w:val="14"/>
        </w:rPr>
        <w:t>This ESPEN guideline is the most up-to-date clinical guideline on nutrition in critical illness.</w:t>
      </w:r>
    </w:p>
    <w:p w14:paraId="3B1568E0" w14:textId="77777777" w:rsidR="00270FAF" w:rsidRDefault="00000000">
      <w:pPr>
        <w:numPr>
          <w:ilvl w:val="0"/>
          <w:numId w:val="2"/>
        </w:numPr>
        <w:spacing w:after="14" w:line="227" w:lineRule="auto"/>
        <w:ind w:hanging="280"/>
        <w:jc w:val="both"/>
      </w:pPr>
      <w:r>
        <w:rPr>
          <w:color w:val="181717"/>
          <w:sz w:val="14"/>
        </w:rPr>
        <w:t>Wolfe RR. The 2017 Sir David P Cuthbertson lecture. Amino acids and muscle protein metabolism in critical care. Clin Nutr 2018; 37:1093–1100.</w:t>
      </w:r>
    </w:p>
    <w:p w14:paraId="3F65255A" w14:textId="77777777" w:rsidR="00270FAF" w:rsidRDefault="00000000">
      <w:pPr>
        <w:numPr>
          <w:ilvl w:val="0"/>
          <w:numId w:val="2"/>
        </w:numPr>
        <w:spacing w:after="14" w:line="227" w:lineRule="auto"/>
        <w:ind w:hanging="280"/>
        <w:jc w:val="both"/>
      </w:pPr>
      <w:r>
        <w:rPr>
          <w:color w:val="181717"/>
          <w:sz w:val="14"/>
        </w:rPr>
        <w:t>Rizzoli R. Nutritional aspects of bone health. Best Pract Res Clin Endocrinol Metab 2014; 28:795–808.</w:t>
      </w:r>
    </w:p>
    <w:p w14:paraId="2656CE94" w14:textId="77777777" w:rsidR="00270FAF" w:rsidRDefault="00000000">
      <w:pPr>
        <w:numPr>
          <w:ilvl w:val="0"/>
          <w:numId w:val="2"/>
        </w:numPr>
        <w:spacing w:after="14" w:line="227" w:lineRule="auto"/>
        <w:ind w:hanging="280"/>
        <w:jc w:val="both"/>
      </w:pPr>
      <w:r>
        <w:rPr>
          <w:color w:val="181717"/>
          <w:sz w:val="14"/>
        </w:rPr>
        <w:t>van Dronkelaar C, van Velzen A, Abdelrazek M, et al. Minerals and sarcopenia; the role of calcium, iron, magnesium, phosphorus, potassium, selenium, sodium, and zinc on muscle mass, muscle strength, and physical performance in older adults: a systematic review. J Am Med Dir Assoc 2018; 19:6–11.e3.</w:t>
      </w:r>
    </w:p>
    <w:p w14:paraId="6B3FD848" w14:textId="77777777" w:rsidR="00270FAF" w:rsidRDefault="00000000">
      <w:pPr>
        <w:numPr>
          <w:ilvl w:val="0"/>
          <w:numId w:val="2"/>
        </w:numPr>
        <w:spacing w:after="14" w:line="227" w:lineRule="auto"/>
        <w:ind w:hanging="280"/>
        <w:jc w:val="both"/>
      </w:pPr>
      <w:r>
        <w:rPr>
          <w:color w:val="181717"/>
          <w:sz w:val="14"/>
        </w:rPr>
        <w:t>Holick MF, Binkley NC, Bischoff-Ferrari HA, et al. Evaluation, treatment, and prevention of vitamin D deficiency: an Endocrine Society clinical practice guideline. J Clin Endocrinol Metab 2011; 96:1911–1930.</w:t>
      </w:r>
    </w:p>
    <w:p w14:paraId="0B593E2B" w14:textId="77777777" w:rsidR="00270FAF" w:rsidRDefault="00000000">
      <w:pPr>
        <w:numPr>
          <w:ilvl w:val="0"/>
          <w:numId w:val="2"/>
        </w:numPr>
        <w:spacing w:after="14" w:line="227" w:lineRule="auto"/>
        <w:ind w:hanging="280"/>
        <w:jc w:val="both"/>
      </w:pPr>
      <w:r>
        <w:rPr>
          <w:color w:val="181717"/>
          <w:sz w:val="14"/>
        </w:rPr>
        <w:t>Sanders KM, Stuart AL, Williamson EJ, et al. Annual high-dose oral vitamin d and falls and fractures in older women: a randomized controlled trial. JAMA 2010; 303:1815–1822.</w:t>
      </w:r>
    </w:p>
    <w:p w14:paraId="79B29C68" w14:textId="77777777" w:rsidR="00270FAF" w:rsidRDefault="00000000">
      <w:pPr>
        <w:numPr>
          <w:ilvl w:val="0"/>
          <w:numId w:val="2"/>
        </w:numPr>
        <w:spacing w:after="14" w:line="227" w:lineRule="auto"/>
        <w:ind w:hanging="280"/>
        <w:jc w:val="both"/>
      </w:pPr>
      <w:r>
        <w:rPr>
          <w:color w:val="181717"/>
          <w:sz w:val="14"/>
        </w:rPr>
        <w:t>Ginde A, Brower RG, Caterino JM, et al. Early high-dose vitamin D3 for critically ill, vitamin D–deficient patients. N Engl J Med 2019; 381:2529–2540.</w:t>
      </w:r>
    </w:p>
    <w:p w14:paraId="5427491A" w14:textId="77777777" w:rsidR="00270FAF" w:rsidRDefault="00000000">
      <w:pPr>
        <w:numPr>
          <w:ilvl w:val="0"/>
          <w:numId w:val="2"/>
        </w:numPr>
        <w:spacing w:after="14" w:line="227" w:lineRule="auto"/>
        <w:ind w:hanging="280"/>
        <w:jc w:val="both"/>
      </w:pPr>
      <w:r>
        <w:rPr>
          <w:color w:val="181717"/>
          <w:sz w:val="14"/>
        </w:rPr>
        <w:t>Amrein K, Parekh D, Westphal S, et al. Effect of high-dose vitamin D3 on 28day mortality in adult critically ill patients with severe vitamin D deficiency: a study protocol of a multicentre, placebo-controlled double-blind phase III RCT (the VITDALIZE study). BMJ Open 2019; 9:e031083–e131083.</w:t>
      </w:r>
    </w:p>
    <w:p w14:paraId="022C4616" w14:textId="77777777" w:rsidR="00270FAF" w:rsidRDefault="00000000">
      <w:pPr>
        <w:numPr>
          <w:ilvl w:val="0"/>
          <w:numId w:val="2"/>
        </w:numPr>
        <w:spacing w:after="14" w:line="227" w:lineRule="auto"/>
        <w:ind w:hanging="280"/>
        <w:jc w:val="both"/>
      </w:pPr>
      <w:r>
        <w:rPr>
          <w:color w:val="181717"/>
          <w:sz w:val="14"/>
        </w:rPr>
        <w:t>Klein GL, Chen TC, Holick MF, et al. Synthesis of vitamin D in skin after burns. Lancet 2004; 363:291–292.</w:t>
      </w:r>
    </w:p>
    <w:p w14:paraId="77897316" w14:textId="77777777" w:rsidR="00270FAF" w:rsidRDefault="00000000">
      <w:pPr>
        <w:numPr>
          <w:ilvl w:val="0"/>
          <w:numId w:val="2"/>
        </w:numPr>
        <w:spacing w:after="14" w:line="227" w:lineRule="auto"/>
        <w:ind w:hanging="280"/>
        <w:jc w:val="both"/>
      </w:pPr>
      <w:r>
        <w:rPr>
          <w:color w:val="181717"/>
          <w:sz w:val="14"/>
        </w:rPr>
        <w:t>Mayes T, Gottschlich MM, Khoury J, Kagan RJ. Investigation of bone health subsequent to vitamin D supplementation in children following burn injury. Nutr Clin Pract 2015; 30:830–837.</w:t>
      </w:r>
    </w:p>
    <w:p w14:paraId="6F10FC91" w14:textId="77777777" w:rsidR="00270FAF" w:rsidRDefault="00000000">
      <w:pPr>
        <w:numPr>
          <w:ilvl w:val="0"/>
          <w:numId w:val="2"/>
        </w:numPr>
        <w:spacing w:after="14" w:line="227" w:lineRule="auto"/>
        <w:ind w:hanging="280"/>
        <w:jc w:val="both"/>
      </w:pPr>
      <w:r>
        <w:rPr>
          <w:color w:val="181717"/>
          <w:sz w:val="14"/>
        </w:rPr>
        <w:t>Rousseau AF, Foidart-Desalle M, Ledoux D, et al. Effects of cholecalciferol supplementation and optimized calcium intakes on vitamin D status, muscle strength and bone health: a one-year pilot randomized controlled trial in adults with severe burns. Burns 2015; 41:317–325.</w:t>
      </w:r>
    </w:p>
    <w:p w14:paraId="79B634E4" w14:textId="77777777" w:rsidR="00270FAF" w:rsidRDefault="00000000">
      <w:pPr>
        <w:numPr>
          <w:ilvl w:val="0"/>
          <w:numId w:val="2"/>
        </w:numPr>
        <w:spacing w:after="14" w:line="227" w:lineRule="auto"/>
        <w:ind w:hanging="280"/>
        <w:jc w:val="both"/>
      </w:pPr>
      <w:r>
        <w:rPr>
          <w:color w:val="181717"/>
          <w:sz w:val="14"/>
        </w:rPr>
        <w:t>Hernandez CJ, Guss JD, Luna M, Goldring SR. Links between the microbiome and bone. J Bone Miner Res 2016; 31:1638–1646.</w:t>
      </w:r>
    </w:p>
    <w:p w14:paraId="5E181686" w14:textId="77777777" w:rsidR="00270FAF" w:rsidRDefault="00000000">
      <w:pPr>
        <w:numPr>
          <w:ilvl w:val="0"/>
          <w:numId w:val="2"/>
        </w:numPr>
        <w:spacing w:after="14" w:line="227" w:lineRule="auto"/>
        <w:ind w:hanging="280"/>
        <w:jc w:val="both"/>
      </w:pPr>
      <w:r>
        <w:rPr>
          <w:color w:val="181717"/>
          <w:sz w:val="14"/>
        </w:rPr>
        <w:t>D’Amelio P, Sassi F. Gut microbiota, immune system, and bone. Calcif Tissue Int 2018; 102:415–425.</w:t>
      </w:r>
    </w:p>
    <w:p w14:paraId="5D24EAB8" w14:textId="77777777" w:rsidR="00270FAF" w:rsidRDefault="00000000">
      <w:pPr>
        <w:numPr>
          <w:ilvl w:val="0"/>
          <w:numId w:val="2"/>
        </w:numPr>
        <w:spacing w:after="14" w:line="227" w:lineRule="auto"/>
        <w:ind w:hanging="280"/>
        <w:jc w:val="both"/>
      </w:pPr>
      <w:r>
        <w:rPr>
          <w:color w:val="181717"/>
          <w:sz w:val="14"/>
        </w:rPr>
        <w:t>Whisner CM, Castillo LF. Prebiotics, bone and mineral metabolism. Calcif Tissue Int 2018; 102:443–479.</w:t>
      </w:r>
    </w:p>
    <w:p w14:paraId="6C4D7F17" w14:textId="77777777" w:rsidR="00270FAF" w:rsidRDefault="00000000">
      <w:pPr>
        <w:numPr>
          <w:ilvl w:val="0"/>
          <w:numId w:val="2"/>
        </w:numPr>
        <w:spacing w:after="14" w:line="227" w:lineRule="auto"/>
        <w:ind w:hanging="280"/>
        <w:jc w:val="both"/>
      </w:pPr>
      <w:r>
        <w:rPr>
          <w:color w:val="181717"/>
          <w:sz w:val="14"/>
        </w:rPr>
        <w:t>Lipshutz AK, Gropper MA. Acquired neuromuscular weakness and early mobilization in the intensive care unit. Anesthesiology 2013; 118:202–215.</w:t>
      </w:r>
    </w:p>
    <w:p w14:paraId="741184EC" w14:textId="77777777" w:rsidR="00270FAF" w:rsidRDefault="00000000">
      <w:pPr>
        <w:numPr>
          <w:ilvl w:val="0"/>
          <w:numId w:val="2"/>
        </w:numPr>
        <w:spacing w:after="14" w:line="227" w:lineRule="auto"/>
        <w:ind w:hanging="280"/>
        <w:jc w:val="both"/>
      </w:pPr>
      <w:r>
        <w:rPr>
          <w:color w:val="181717"/>
          <w:sz w:val="14"/>
        </w:rPr>
        <w:t>Hruska P. Early mobilization of mechanically ventilated patients. Crit Care Nurs Clin N Am 2016; 28:413–424.</w:t>
      </w:r>
    </w:p>
    <w:p w14:paraId="5F253D68" w14:textId="77777777" w:rsidR="00270FAF" w:rsidRDefault="00000000">
      <w:pPr>
        <w:numPr>
          <w:ilvl w:val="0"/>
          <w:numId w:val="2"/>
        </w:numPr>
        <w:spacing w:after="14" w:line="227" w:lineRule="auto"/>
        <w:ind w:hanging="280"/>
        <w:jc w:val="both"/>
      </w:pPr>
      <w:r>
        <w:rPr>
          <w:color w:val="181717"/>
          <w:sz w:val="14"/>
        </w:rPr>
        <w:t>Mayer KP, Hornsby AR, Soriano VO, et al. Safety, feasibility, and efficacy of early rehabilitation in patients requiring continuous renal replacement: a quality improvement study. Kidney Int Rep 2019; 5:39–47.</w:t>
      </w:r>
    </w:p>
    <w:p w14:paraId="32B1995F" w14:textId="77777777" w:rsidR="00270FAF" w:rsidRDefault="00000000">
      <w:pPr>
        <w:numPr>
          <w:ilvl w:val="0"/>
          <w:numId w:val="2"/>
        </w:numPr>
        <w:spacing w:after="14" w:line="227" w:lineRule="auto"/>
        <w:ind w:hanging="280"/>
        <w:jc w:val="both"/>
      </w:pPr>
      <w:r>
        <w:rPr>
          <w:color w:val="181717"/>
          <w:sz w:val="14"/>
        </w:rPr>
        <w:t>Kayambu G, Boots R, Paratz J. Physical therapy for the critically ill in the ICU: a systematic review and meta-analysis. Crit Care Med 2013; 41:1543–1554.</w:t>
      </w:r>
    </w:p>
    <w:p w14:paraId="62559C23" w14:textId="77777777" w:rsidR="00270FAF" w:rsidRDefault="00000000">
      <w:pPr>
        <w:numPr>
          <w:ilvl w:val="0"/>
          <w:numId w:val="2"/>
        </w:numPr>
        <w:spacing w:after="14" w:line="227" w:lineRule="auto"/>
        <w:ind w:hanging="280"/>
        <w:jc w:val="both"/>
      </w:pPr>
      <w:r>
        <w:rPr>
          <w:color w:val="181717"/>
          <w:sz w:val="14"/>
        </w:rPr>
        <w:t>Connolly B, O’Neill B, Salisbury L, Blackwood B; Enhanced Recovery After Critical Illness Programme Group. Physical rehabilitation interventions for adult patients during critical illness: an overview of systematic reviews. Thorax 2016; 71:881–890.</w:t>
      </w:r>
    </w:p>
    <w:p w14:paraId="0953E7A0" w14:textId="77777777" w:rsidR="00270FAF" w:rsidRDefault="00000000">
      <w:pPr>
        <w:numPr>
          <w:ilvl w:val="0"/>
          <w:numId w:val="2"/>
        </w:numPr>
        <w:spacing w:after="14" w:line="227" w:lineRule="auto"/>
        <w:ind w:hanging="280"/>
        <w:jc w:val="both"/>
      </w:pPr>
      <w:r>
        <w:rPr>
          <w:color w:val="181717"/>
          <w:sz w:val="14"/>
        </w:rPr>
        <w:t>Fuke R, Hifumi T, Kondo Y, et al. Early rehabilitation to prevent postintensive care syndrome in patients with critical illness: a systematic review and metaanalysis. BMJ Open 2018; 8:e019998–e119998.</w:t>
      </w:r>
    </w:p>
    <w:p w14:paraId="72E990BB" w14:textId="77777777" w:rsidR="00270FAF" w:rsidRDefault="00000000">
      <w:pPr>
        <w:numPr>
          <w:ilvl w:val="0"/>
          <w:numId w:val="2"/>
        </w:numPr>
        <w:spacing w:after="14" w:line="227" w:lineRule="auto"/>
        <w:ind w:hanging="280"/>
        <w:jc w:val="both"/>
      </w:pPr>
      <w:r>
        <w:rPr>
          <w:color w:val="181717"/>
          <w:sz w:val="14"/>
        </w:rPr>
        <w:t xml:space="preserve">Zang K, Chen B, Wang M, et al. The effect of early mobilization in critically ill </w:t>
      </w:r>
      <w:r>
        <w:rPr>
          <w:rFonts w:ascii="Times New Roman" w:eastAsia="Times New Roman" w:hAnsi="Times New Roman" w:cs="Times New Roman"/>
          <w:color w:val="181717"/>
          <w:sz w:val="12"/>
          <w:vertAlign w:val="superscript"/>
        </w:rPr>
        <w:t xml:space="preserve">&amp; </w:t>
      </w:r>
      <w:r>
        <w:rPr>
          <w:color w:val="181717"/>
          <w:sz w:val="14"/>
        </w:rPr>
        <w:t>patients: a meta-analysis. Nurs Crit Care 2019; doi: 10.1111/nicc.12455. Online ahead of print. [Epub ahead of print]</w:t>
      </w:r>
    </w:p>
    <w:p w14:paraId="05624B33" w14:textId="77777777" w:rsidR="00270FAF" w:rsidRDefault="00000000">
      <w:pPr>
        <w:spacing w:after="14" w:line="227" w:lineRule="auto"/>
        <w:ind w:left="-4"/>
        <w:jc w:val="both"/>
      </w:pPr>
      <w:r>
        <w:rPr>
          <w:color w:val="181717"/>
          <w:sz w:val="14"/>
        </w:rPr>
        <w:t>This meta-analysis including 15 RCTs showed that early mobilization significantly reduced ICU-AW, shortened the length of ICU and hospital, decreased complications and increased physical function. No effect on mortality rate could be observed.</w:t>
      </w:r>
    </w:p>
    <w:p w14:paraId="26EBA158" w14:textId="77777777" w:rsidR="00270FAF" w:rsidRDefault="00000000">
      <w:pPr>
        <w:numPr>
          <w:ilvl w:val="0"/>
          <w:numId w:val="2"/>
        </w:numPr>
        <w:spacing w:after="14" w:line="227" w:lineRule="auto"/>
        <w:ind w:hanging="280"/>
        <w:jc w:val="both"/>
      </w:pPr>
      <w:r>
        <w:rPr>
          <w:color w:val="181717"/>
          <w:sz w:val="14"/>
        </w:rPr>
        <w:t>Zayed Y, Kheiri B, Barbarawi M, et al. Effects of neuromuscular electrical stimulation in critically ill patients: a systematic review and meta-analysis of randomised controlled trials. Aust Crit Care 2020; 33:203–210.</w:t>
      </w:r>
    </w:p>
    <w:p w14:paraId="38998130" w14:textId="77777777" w:rsidR="00270FAF" w:rsidRDefault="00000000">
      <w:pPr>
        <w:numPr>
          <w:ilvl w:val="0"/>
          <w:numId w:val="2"/>
        </w:numPr>
        <w:spacing w:after="14" w:line="227" w:lineRule="auto"/>
        <w:ind w:hanging="280"/>
        <w:jc w:val="both"/>
      </w:pPr>
      <w:r>
        <w:rPr>
          <w:color w:val="181717"/>
          <w:sz w:val="14"/>
        </w:rPr>
        <w:t>Wageck B, Nunes GS, Silva FL, et al. Application and effects of neuromuscular electrical stimulation in critically ill patients: systematic review. Med Intensiva 2014; 38:444–454.</w:t>
      </w:r>
    </w:p>
    <w:p w14:paraId="73FDEE91" w14:textId="77777777" w:rsidR="00270FAF" w:rsidRDefault="00000000">
      <w:pPr>
        <w:numPr>
          <w:ilvl w:val="0"/>
          <w:numId w:val="2"/>
        </w:numPr>
        <w:spacing w:after="14" w:line="227" w:lineRule="auto"/>
        <w:ind w:hanging="280"/>
        <w:jc w:val="both"/>
      </w:pPr>
      <w:r>
        <w:rPr>
          <w:color w:val="181717"/>
          <w:sz w:val="14"/>
        </w:rPr>
        <w:t>Burke D, Gorman E, Stokes D, Lennon O. An evaluation of neuromuscular electrical stimulation in critical care using the ICF framework: a systematic review and meta-analysis. Clin Respir J 2016; 10:407–420.</w:t>
      </w:r>
    </w:p>
    <w:p w14:paraId="6FB63299" w14:textId="77777777" w:rsidR="00270FAF" w:rsidRDefault="00000000">
      <w:pPr>
        <w:numPr>
          <w:ilvl w:val="0"/>
          <w:numId w:val="2"/>
        </w:numPr>
        <w:spacing w:after="14" w:line="227" w:lineRule="auto"/>
        <w:ind w:hanging="280"/>
        <w:jc w:val="both"/>
      </w:pPr>
      <w:r>
        <w:rPr>
          <w:color w:val="181717"/>
          <w:sz w:val="14"/>
        </w:rPr>
        <w:t>Trethewey SP, Brown N, Gao F, Turner AM. Interventions for the management and prevention of sarcopenia in the critically ill: a systematic review. J Crit Care 2019; 50:287–295.</w:t>
      </w:r>
    </w:p>
    <w:p w14:paraId="3BC01696" w14:textId="77777777" w:rsidR="00270FAF" w:rsidRDefault="00000000">
      <w:pPr>
        <w:numPr>
          <w:ilvl w:val="0"/>
          <w:numId w:val="2"/>
        </w:numPr>
        <w:spacing w:after="14" w:line="227" w:lineRule="auto"/>
        <w:ind w:hanging="280"/>
        <w:jc w:val="both"/>
      </w:pPr>
      <w:r>
        <w:rPr>
          <w:color w:val="181717"/>
          <w:sz w:val="14"/>
        </w:rPr>
        <w:t>Von Stengel S, Kemmler W, Bebenek M, et al. Effects of whole-body vibration training on different devices on bone mineral density. Med Sci Sports Exerc 2011; 43:1071–1079.</w:t>
      </w:r>
    </w:p>
    <w:p w14:paraId="532F4DD6" w14:textId="77777777" w:rsidR="00270FAF" w:rsidRDefault="00000000">
      <w:pPr>
        <w:numPr>
          <w:ilvl w:val="0"/>
          <w:numId w:val="2"/>
        </w:numPr>
        <w:spacing w:after="14" w:line="227" w:lineRule="auto"/>
        <w:ind w:hanging="280"/>
        <w:jc w:val="both"/>
      </w:pPr>
      <w:r>
        <w:rPr>
          <w:color w:val="181717"/>
          <w:sz w:val="14"/>
        </w:rPr>
        <w:t>Edionwe J, Hess C, Fernandez-Rio J, et al. Effects of whole-body vibration exercise on bone mineral content and density in thermally injured children. Burns 2016; 42:605–613.</w:t>
      </w:r>
    </w:p>
    <w:p w14:paraId="58C9E04F" w14:textId="77777777" w:rsidR="00270FAF" w:rsidRDefault="00000000">
      <w:pPr>
        <w:numPr>
          <w:ilvl w:val="0"/>
          <w:numId w:val="2"/>
        </w:numPr>
        <w:spacing w:after="14" w:line="227" w:lineRule="auto"/>
        <w:ind w:hanging="280"/>
        <w:jc w:val="both"/>
      </w:pPr>
      <w:r>
        <w:rPr>
          <w:color w:val="181717"/>
          <w:sz w:val="14"/>
        </w:rPr>
        <w:t>Bemben D, Starck C, Taiar R, Bernardo-Filho M. Relevance of whole-body vibration exercises on muscle strength/power and bone of elderly individuals. Dose Response 2018; 16:1559325818813066.</w:t>
      </w:r>
    </w:p>
    <w:p w14:paraId="53AF212C" w14:textId="77777777" w:rsidR="00270FAF" w:rsidRDefault="00000000">
      <w:pPr>
        <w:numPr>
          <w:ilvl w:val="0"/>
          <w:numId w:val="2"/>
        </w:numPr>
        <w:spacing w:after="14" w:line="227" w:lineRule="auto"/>
        <w:ind w:hanging="280"/>
        <w:jc w:val="both"/>
      </w:pPr>
      <w:r>
        <w:rPr>
          <w:color w:val="181717"/>
          <w:sz w:val="14"/>
        </w:rPr>
        <w:t>Rauch</w:t>
      </w:r>
      <w:r>
        <w:rPr>
          <w:color w:val="181717"/>
          <w:sz w:val="14"/>
        </w:rPr>
        <w:tab/>
        <w:t>F.</w:t>
      </w:r>
      <w:r>
        <w:rPr>
          <w:color w:val="181717"/>
          <w:sz w:val="14"/>
        </w:rPr>
        <w:tab/>
        <w:t>Vibration</w:t>
      </w:r>
      <w:r>
        <w:rPr>
          <w:color w:val="181717"/>
          <w:sz w:val="14"/>
        </w:rPr>
        <w:tab/>
        <w:t>therapy.</w:t>
      </w:r>
      <w:r>
        <w:rPr>
          <w:color w:val="181717"/>
          <w:sz w:val="14"/>
        </w:rPr>
        <w:tab/>
        <w:t>Dev</w:t>
      </w:r>
      <w:r>
        <w:rPr>
          <w:color w:val="181717"/>
          <w:sz w:val="14"/>
        </w:rPr>
        <w:tab/>
        <w:t>Med</w:t>
      </w:r>
      <w:r>
        <w:rPr>
          <w:color w:val="181717"/>
          <w:sz w:val="14"/>
        </w:rPr>
        <w:tab/>
        <w:t>Child</w:t>
      </w:r>
      <w:r>
        <w:rPr>
          <w:color w:val="181717"/>
          <w:sz w:val="14"/>
        </w:rPr>
        <w:tab/>
        <w:t>Neurol</w:t>
      </w:r>
      <w:r>
        <w:rPr>
          <w:color w:val="181717"/>
          <w:sz w:val="14"/>
        </w:rPr>
        <w:tab/>
        <w:t>2009;</w:t>
      </w:r>
      <w:r>
        <w:rPr>
          <w:color w:val="181717"/>
          <w:sz w:val="14"/>
        </w:rPr>
        <w:tab/>
        <w:t>51</w:t>
      </w:r>
      <w:r>
        <w:rPr>
          <w:color w:val="181717"/>
          <w:sz w:val="14"/>
        </w:rPr>
        <w:tab/>
        <w:t>Suppl 4:166–168.</w:t>
      </w:r>
    </w:p>
    <w:p w14:paraId="00987319" w14:textId="77777777" w:rsidR="00270FAF" w:rsidRDefault="00000000">
      <w:pPr>
        <w:numPr>
          <w:ilvl w:val="0"/>
          <w:numId w:val="2"/>
        </w:numPr>
        <w:spacing w:after="14" w:line="227" w:lineRule="auto"/>
        <w:ind w:hanging="280"/>
        <w:jc w:val="both"/>
      </w:pPr>
      <w:r>
        <w:rPr>
          <w:color w:val="181717"/>
          <w:sz w:val="14"/>
        </w:rPr>
        <w:t>Vincent JL, Shehabi Y, Walsh TS, et al. Comfort and patient-centred care without excessive sedation: the eCASH concept. Intensive Care Med 2016; 42:962–971.</w:t>
      </w:r>
    </w:p>
    <w:p w14:paraId="73843EF3" w14:textId="77777777" w:rsidR="00270FAF" w:rsidRDefault="00000000">
      <w:pPr>
        <w:numPr>
          <w:ilvl w:val="0"/>
          <w:numId w:val="2"/>
        </w:numPr>
        <w:spacing w:after="14" w:line="227" w:lineRule="auto"/>
        <w:ind w:hanging="280"/>
        <w:jc w:val="both"/>
      </w:pPr>
      <w:r>
        <w:rPr>
          <w:color w:val="181717"/>
          <w:sz w:val="14"/>
        </w:rPr>
        <w:t>Devlin JW, Skrobik Y, Ge´linas C, et al. Clinical practice guidelines for the prevention and management of pain, agitation/sedation, delirium, immobility, and sleep disruption in adult patients in the ICU. Crit Care Med 2018; 46:e825–e873.</w:t>
      </w:r>
    </w:p>
    <w:p w14:paraId="336FEB50" w14:textId="77777777" w:rsidR="00270FAF" w:rsidRDefault="00000000">
      <w:pPr>
        <w:numPr>
          <w:ilvl w:val="0"/>
          <w:numId w:val="2"/>
        </w:numPr>
        <w:spacing w:after="14" w:line="227" w:lineRule="auto"/>
        <w:ind w:hanging="280"/>
        <w:jc w:val="both"/>
      </w:pPr>
      <w:r>
        <w:rPr>
          <w:color w:val="181717"/>
          <w:sz w:val="14"/>
        </w:rPr>
        <w:t>Major ME, Kwakman R, Kho ME, et al. Surviving critical illness: what is next? An expert consensus statement on physical rehabilitation after hospital discharge. Crit Care 2016; 20:354.</w:t>
      </w:r>
    </w:p>
    <w:p w14:paraId="67A324D1" w14:textId="77777777" w:rsidR="00270FAF" w:rsidRDefault="00000000">
      <w:pPr>
        <w:numPr>
          <w:ilvl w:val="0"/>
          <w:numId w:val="2"/>
        </w:numPr>
        <w:spacing w:after="14" w:line="227" w:lineRule="auto"/>
        <w:ind w:hanging="280"/>
        <w:jc w:val="both"/>
      </w:pPr>
      <w:r>
        <w:rPr>
          <w:color w:val="181717"/>
          <w:sz w:val="14"/>
        </w:rPr>
        <w:lastRenderedPageBreak/>
        <w:t>Gamrin L, Esse´n P, Hultman E, et al. Protein-sparing effect in skeletal muscle of growth hormone treatment in critically ill patients. Ann Surg 2000; 231:577–586.</w:t>
      </w:r>
    </w:p>
    <w:p w14:paraId="78C84E13" w14:textId="77777777" w:rsidR="00270FAF" w:rsidRDefault="00000000">
      <w:pPr>
        <w:numPr>
          <w:ilvl w:val="0"/>
          <w:numId w:val="2"/>
        </w:numPr>
        <w:spacing w:after="14" w:line="227" w:lineRule="auto"/>
        <w:ind w:hanging="280"/>
        <w:jc w:val="both"/>
      </w:pPr>
      <w:r>
        <w:rPr>
          <w:color w:val="181717"/>
          <w:sz w:val="14"/>
        </w:rPr>
        <w:t>Pichard C, Kyle U, Chevrolet JC, et al. Lack of effects of recombinant growth hormone on muscle function in patients requiring prolonged mechanical ventilation: a prospective, randomized, controlled study. Crit Care Med 1996; 24:403–413.</w:t>
      </w:r>
    </w:p>
    <w:p w14:paraId="37681B2D" w14:textId="77777777" w:rsidR="00270FAF" w:rsidRDefault="00000000">
      <w:pPr>
        <w:numPr>
          <w:ilvl w:val="0"/>
          <w:numId w:val="2"/>
        </w:numPr>
        <w:spacing w:after="14" w:line="227" w:lineRule="auto"/>
        <w:ind w:hanging="280"/>
        <w:jc w:val="both"/>
      </w:pPr>
      <w:r>
        <w:rPr>
          <w:color w:val="181717"/>
          <w:sz w:val="14"/>
        </w:rPr>
        <w:t>Takala J, Ruokonen E, Webster NR, et al. Increased mortality associated with growth hormone treatment in critically ill adults. N Engl J Med 1999; 341:785–792.</w:t>
      </w:r>
    </w:p>
    <w:p w14:paraId="2FE752F5" w14:textId="77777777" w:rsidR="00270FAF" w:rsidRDefault="00000000">
      <w:pPr>
        <w:numPr>
          <w:ilvl w:val="0"/>
          <w:numId w:val="2"/>
        </w:numPr>
        <w:spacing w:after="14" w:line="227" w:lineRule="auto"/>
        <w:ind w:hanging="280"/>
        <w:jc w:val="both"/>
      </w:pPr>
      <w:r>
        <w:rPr>
          <w:color w:val="181717"/>
          <w:sz w:val="14"/>
        </w:rPr>
        <w:t>Mlcak RP, Suman OE, Murphy K, Herndon DN. Effects of growth hormone on anthropometric measurements and cardiac function in children with thermal injury. Burns 2005; 31:60–66.</w:t>
      </w:r>
    </w:p>
    <w:p w14:paraId="58665107" w14:textId="77777777" w:rsidR="00270FAF" w:rsidRDefault="00000000">
      <w:pPr>
        <w:numPr>
          <w:ilvl w:val="0"/>
          <w:numId w:val="2"/>
        </w:numPr>
        <w:spacing w:after="14" w:line="227" w:lineRule="auto"/>
        <w:ind w:hanging="280"/>
        <w:jc w:val="both"/>
      </w:pPr>
      <w:r>
        <w:rPr>
          <w:color w:val="181717"/>
          <w:sz w:val="14"/>
        </w:rPr>
        <w:t>Hart DW, Herndon DN, Klein G, et al. Attenuation of posttraumatic muscle catabolism and osteopenia by long-term growth hormone therapy. Ann Surg 2001; 233:827–834.</w:t>
      </w:r>
    </w:p>
    <w:p w14:paraId="683F5315" w14:textId="77777777" w:rsidR="00270FAF" w:rsidRDefault="00000000">
      <w:pPr>
        <w:numPr>
          <w:ilvl w:val="0"/>
          <w:numId w:val="2"/>
        </w:numPr>
        <w:spacing w:after="14" w:line="227" w:lineRule="auto"/>
        <w:ind w:hanging="280"/>
        <w:jc w:val="both"/>
      </w:pPr>
      <w:r>
        <w:rPr>
          <w:color w:val="181717"/>
          <w:sz w:val="14"/>
        </w:rPr>
        <w:t>Ring J, Heinelt M, Sharma S, et al. Oxandrolone in the treatment of burn injuries: a systematic review and meta-analysis. J Burn Care Res 2019; 41:190–199.</w:t>
      </w:r>
    </w:p>
    <w:p w14:paraId="606328CA" w14:textId="77777777" w:rsidR="00270FAF" w:rsidRDefault="00000000">
      <w:pPr>
        <w:numPr>
          <w:ilvl w:val="0"/>
          <w:numId w:val="2"/>
        </w:numPr>
        <w:spacing w:after="14" w:line="227" w:lineRule="auto"/>
        <w:ind w:hanging="280"/>
        <w:jc w:val="both"/>
      </w:pPr>
      <w:r>
        <w:rPr>
          <w:color w:val="181717"/>
          <w:sz w:val="14"/>
        </w:rPr>
        <w:t>Asehnoune K, Vourc’h M, Roquilly A. Hormone therapy in trauma patients. Crit Care Clin 2019; 35:201–211.</w:t>
      </w:r>
    </w:p>
    <w:p w14:paraId="5720B741" w14:textId="77777777" w:rsidR="00270FAF" w:rsidRDefault="00000000">
      <w:pPr>
        <w:numPr>
          <w:ilvl w:val="0"/>
          <w:numId w:val="2"/>
        </w:numPr>
        <w:spacing w:after="14" w:line="227" w:lineRule="auto"/>
        <w:ind w:hanging="280"/>
        <w:jc w:val="both"/>
      </w:pPr>
      <w:r>
        <w:rPr>
          <w:color w:val="181717"/>
          <w:sz w:val="14"/>
        </w:rPr>
        <w:t>Herndon DN, Hart DW, Wolf SE, et al. Reversal of catabolism by betablockade after severe burns. N Engl J Med 2001; 345:1223–1229.</w:t>
      </w:r>
    </w:p>
    <w:p w14:paraId="1D232BB5" w14:textId="77777777" w:rsidR="00270FAF" w:rsidRDefault="00000000">
      <w:pPr>
        <w:numPr>
          <w:ilvl w:val="0"/>
          <w:numId w:val="2"/>
        </w:numPr>
        <w:spacing w:after="14" w:line="227" w:lineRule="auto"/>
        <w:ind w:hanging="280"/>
        <w:jc w:val="both"/>
      </w:pPr>
      <w:r>
        <w:rPr>
          <w:color w:val="181717"/>
          <w:sz w:val="14"/>
        </w:rPr>
        <w:t>Herndon DN, Rodriguez NA, Diaz EC, et al. Long-term propranolol use in severely burned pediatric patients: a randomized controlled study. Ann Surg 2012; 256:402–411.</w:t>
      </w:r>
    </w:p>
    <w:p w14:paraId="6950723A" w14:textId="77777777" w:rsidR="00270FAF" w:rsidRDefault="00000000">
      <w:pPr>
        <w:numPr>
          <w:ilvl w:val="0"/>
          <w:numId w:val="2"/>
        </w:numPr>
        <w:spacing w:after="14" w:line="227" w:lineRule="auto"/>
        <w:ind w:hanging="280"/>
        <w:jc w:val="both"/>
      </w:pPr>
      <w:r>
        <w:rPr>
          <w:color w:val="181717"/>
          <w:sz w:val="14"/>
        </w:rPr>
        <w:t>Chen B, Mechanick JI, Nierman DM, Stein A. Combined calcitriol-pamidronate therapy for bone hyperresorption in spinal cord injury. J Spinal Cord Med 2001; 24:235–240.</w:t>
      </w:r>
    </w:p>
    <w:p w14:paraId="4E3B131B" w14:textId="77777777" w:rsidR="00270FAF" w:rsidRDefault="00000000">
      <w:pPr>
        <w:numPr>
          <w:ilvl w:val="0"/>
          <w:numId w:val="2"/>
        </w:numPr>
        <w:spacing w:after="14" w:line="227" w:lineRule="auto"/>
        <w:ind w:hanging="280"/>
        <w:jc w:val="both"/>
      </w:pPr>
      <w:r>
        <w:rPr>
          <w:color w:val="181717"/>
          <w:sz w:val="14"/>
        </w:rPr>
        <w:t>Pakarinen T-K, Laine HJ, Maenpaa H, et al. Effect of immobilization, off-loading and zoledronic acid on bone mineral density in patients with acute Charcot neuroarthropathy: a prospective randomized trial. Foot Ankle Surg 2013; 19:121–124.</w:t>
      </w:r>
    </w:p>
    <w:p w14:paraId="4B58CC33" w14:textId="77777777" w:rsidR="00270FAF" w:rsidRDefault="00000000">
      <w:pPr>
        <w:numPr>
          <w:ilvl w:val="0"/>
          <w:numId w:val="2"/>
        </w:numPr>
        <w:spacing w:after="14" w:line="227" w:lineRule="auto"/>
        <w:ind w:hanging="280"/>
        <w:jc w:val="both"/>
      </w:pPr>
      <w:r>
        <w:rPr>
          <w:color w:val="181717"/>
          <w:sz w:val="14"/>
        </w:rPr>
        <w:t>Via MA, Potenza MV, Hollander J, et al. Intravenous ibandronate acutely reduces bone hyperresorption in chronic critical illness. J Intensive Care Med 2012; 27:312–318.</w:t>
      </w:r>
    </w:p>
    <w:p w14:paraId="289E8EC1" w14:textId="77777777" w:rsidR="00270FAF" w:rsidRDefault="00000000">
      <w:pPr>
        <w:numPr>
          <w:ilvl w:val="0"/>
          <w:numId w:val="2"/>
        </w:numPr>
        <w:spacing w:after="11" w:line="224" w:lineRule="auto"/>
        <w:ind w:hanging="280"/>
        <w:jc w:val="both"/>
      </w:pPr>
      <w:r>
        <w:rPr>
          <w:color w:val="181717"/>
          <w:sz w:val="14"/>
        </w:rPr>
        <w:t>Klein GL, Wimalawansa SJ, Kulkarni G, et al. The efficacy of acute administration of pamidronate on the conservation of bone mass following severe burn injury in children: a double-blind, randomized, controlled study. Osteoporos Int 2005; 16:631–635.</w:t>
      </w:r>
    </w:p>
    <w:p w14:paraId="65D74DDD" w14:textId="77777777" w:rsidR="00270FAF" w:rsidRDefault="00000000">
      <w:pPr>
        <w:numPr>
          <w:ilvl w:val="0"/>
          <w:numId w:val="2"/>
        </w:numPr>
        <w:spacing w:after="14" w:line="227" w:lineRule="auto"/>
        <w:ind w:hanging="280"/>
        <w:jc w:val="both"/>
      </w:pPr>
      <w:r>
        <w:rPr>
          <w:color w:val="181717"/>
          <w:sz w:val="14"/>
        </w:rPr>
        <w:t>Przkora R, Herndon DN, Sherrard DJ, et al. Pamidronate preserves bone mass for at least 2 years following acute administration for pediatric burn injury. Bone 2007; 41:297–302.</w:t>
      </w:r>
    </w:p>
    <w:p w14:paraId="0FD309A1" w14:textId="77777777" w:rsidR="00270FAF" w:rsidRDefault="00000000">
      <w:pPr>
        <w:numPr>
          <w:ilvl w:val="0"/>
          <w:numId w:val="2"/>
        </w:numPr>
        <w:spacing w:after="14" w:line="227" w:lineRule="auto"/>
        <w:ind w:hanging="280"/>
        <w:jc w:val="both"/>
      </w:pPr>
      <w:r>
        <w:rPr>
          <w:color w:val="181717"/>
          <w:sz w:val="14"/>
        </w:rPr>
        <w:t>Borsheim E, Herndon DN, Hawkins HK, et al. Pamidronate attenuates muscle loss following pediatric burn injury. J Bone Miner Res 2014; 29:1369–1372.</w:t>
      </w:r>
    </w:p>
    <w:p w14:paraId="2E252002" w14:textId="77777777" w:rsidR="00270FAF" w:rsidRDefault="00000000">
      <w:pPr>
        <w:numPr>
          <w:ilvl w:val="0"/>
          <w:numId w:val="2"/>
        </w:numPr>
        <w:spacing w:after="14" w:line="227" w:lineRule="auto"/>
        <w:ind w:hanging="280"/>
        <w:jc w:val="both"/>
      </w:pPr>
      <w:r>
        <w:rPr>
          <w:color w:val="181717"/>
          <w:sz w:val="14"/>
        </w:rPr>
        <w:t>Pin F, Bonetto A, Bonewald LF, Klein GL. Molecular mechanisms responsible for the rescue effects of pamidronate on muscle atrophy in pediatric burn patients. Front Endocrinol (Lausanne) 2019; 10:543.</w:t>
      </w:r>
    </w:p>
    <w:p w14:paraId="6149C13E" w14:textId="77777777" w:rsidR="00270FAF" w:rsidRDefault="00000000">
      <w:pPr>
        <w:numPr>
          <w:ilvl w:val="0"/>
          <w:numId w:val="2"/>
        </w:numPr>
        <w:spacing w:after="14" w:line="227" w:lineRule="auto"/>
        <w:ind w:hanging="280"/>
        <w:jc w:val="both"/>
      </w:pPr>
      <w:r>
        <w:rPr>
          <w:color w:val="181717"/>
          <w:sz w:val="14"/>
        </w:rPr>
        <w:t>Lee P, Ng C, Slattery A, et al. Preadmission bisphosphonate and mortality in critically ill patients. J Clin Endocrinol Metab 2016; 101:1945–1953.</w:t>
      </w:r>
    </w:p>
    <w:p w14:paraId="65876387" w14:textId="77777777" w:rsidR="00270FAF" w:rsidRDefault="00000000">
      <w:pPr>
        <w:numPr>
          <w:ilvl w:val="0"/>
          <w:numId w:val="2"/>
        </w:numPr>
        <w:spacing w:after="14" w:line="227" w:lineRule="auto"/>
        <w:ind w:hanging="280"/>
        <w:jc w:val="both"/>
      </w:pPr>
      <w:r>
        <w:rPr>
          <w:color w:val="181717"/>
          <w:sz w:val="14"/>
        </w:rPr>
        <w:t>Gifre L, Ruiz-Gaspa` S, Carrasco JL, et al. Effect of recent spinal cord injury on the OPG/RANKL system and its relationship with bone loss and the response to denosumab therapy. Osteoporos Int 2017; 28:2707–2715.</w:t>
      </w:r>
    </w:p>
    <w:p w14:paraId="1602237D" w14:textId="77777777" w:rsidR="00270FAF" w:rsidRDefault="00000000">
      <w:pPr>
        <w:numPr>
          <w:ilvl w:val="0"/>
          <w:numId w:val="2"/>
        </w:numPr>
        <w:spacing w:after="14" w:line="227" w:lineRule="auto"/>
        <w:ind w:hanging="280"/>
        <w:jc w:val="both"/>
      </w:pPr>
      <w:r>
        <w:rPr>
          <w:color w:val="181717"/>
          <w:sz w:val="14"/>
        </w:rPr>
        <w:t>Gifre L, Vidal J, Carrasco JL, et al. Denosumab increases sublesional bone mass in osteoporotic individuals with recent spinal cord injury. Osteoporos Int 2016; 27:405–410.</w:t>
      </w:r>
    </w:p>
    <w:p w14:paraId="6B182609" w14:textId="77777777" w:rsidR="00270FAF" w:rsidRDefault="00000000">
      <w:pPr>
        <w:numPr>
          <w:ilvl w:val="0"/>
          <w:numId w:val="2"/>
        </w:numPr>
        <w:spacing w:after="14" w:line="227" w:lineRule="auto"/>
        <w:ind w:hanging="280"/>
        <w:jc w:val="both"/>
      </w:pPr>
      <w:r>
        <w:rPr>
          <w:color w:val="181717"/>
          <w:sz w:val="14"/>
        </w:rPr>
        <w:t>Anastasilakis AD, Polyzos SA, Makras P, et al. Clinical features of 24 patients with rebound-associated vertebral fractures after denosumab discontinuation: systematic review and additional cases. J Bone Miner Res 2017; 32:1291–1296.</w:t>
      </w:r>
    </w:p>
    <w:p w14:paraId="187806E1" w14:textId="77777777" w:rsidR="00270FAF" w:rsidRDefault="00000000">
      <w:pPr>
        <w:numPr>
          <w:ilvl w:val="0"/>
          <w:numId w:val="2"/>
        </w:numPr>
        <w:spacing w:after="14" w:line="227" w:lineRule="auto"/>
        <w:ind w:hanging="280"/>
        <w:jc w:val="both"/>
      </w:pPr>
      <w:r>
        <w:rPr>
          <w:color w:val="181717"/>
          <w:sz w:val="14"/>
        </w:rPr>
        <w:t xml:space="preserve">European Medicines Agency. Evenity. 9 March 2020. </w:t>
      </w:r>
      <w:hyperlink r:id="rId13">
        <w:r>
          <w:rPr>
            <w:color w:val="181717"/>
            <w:sz w:val="14"/>
          </w:rPr>
          <w:t>https://www.ema.eur</w:t>
        </w:r>
      </w:hyperlink>
      <w:hyperlink r:id="rId14">
        <w:r>
          <w:rPr>
            <w:color w:val="181717"/>
            <w:sz w:val="14"/>
          </w:rPr>
          <w:t>opa.eu/en/medicines/human/EPAR/evenity.</w:t>
        </w:r>
      </w:hyperlink>
    </w:p>
    <w:p w14:paraId="4FACB6E3" w14:textId="77777777" w:rsidR="00270FAF" w:rsidRDefault="00000000">
      <w:pPr>
        <w:numPr>
          <w:ilvl w:val="0"/>
          <w:numId w:val="2"/>
        </w:numPr>
        <w:spacing w:after="11" w:line="224" w:lineRule="auto"/>
        <w:ind w:hanging="280"/>
        <w:jc w:val="both"/>
      </w:pPr>
      <w:r>
        <w:rPr>
          <w:color w:val="181717"/>
          <w:sz w:val="14"/>
        </w:rPr>
        <w:t xml:space="preserve">U.S. Prescribing Information. Evenity. 9 March 2020. </w:t>
      </w:r>
      <w:hyperlink r:id="rId15">
        <w:r>
          <w:rPr>
            <w:color w:val="181717"/>
            <w:sz w:val="14"/>
          </w:rPr>
          <w:t>https://www.pi.amgen.</w:t>
        </w:r>
      </w:hyperlink>
      <w:hyperlink r:id="rId16">
        <w:r>
          <w:rPr>
            <w:color w:val="181717"/>
            <w:sz w:val="14"/>
          </w:rPr>
          <w:t>com/</w:t>
        </w:r>
      </w:hyperlink>
      <w:hyperlink r:id="rId17">
        <w:r>
          <w:rPr>
            <w:color w:val="181717"/>
            <w:sz w:val="14"/>
          </w:rPr>
          <w:t>/media/amgen/repositorysites/pi-amgen-com/evenity/evenity_pi_hc</w:t>
        </w:r>
      </w:hyperlink>
      <w:hyperlink r:id="rId18">
        <w:r>
          <w:rPr>
            <w:color w:val="181717"/>
            <w:sz w:val="14"/>
          </w:rPr>
          <w:t>p_english.ashx</w:t>
        </w:r>
      </w:hyperlink>
      <w:r>
        <w:rPr>
          <w:color w:val="181717"/>
          <w:sz w:val="14"/>
        </w:rPr>
        <w:t>.</w:t>
      </w:r>
    </w:p>
    <w:sectPr w:rsidR="00270FAF">
      <w:headerReference w:type="even" r:id="rId19"/>
      <w:headerReference w:type="default" r:id="rId20"/>
      <w:footerReference w:type="even" r:id="rId21"/>
      <w:footerReference w:type="default" r:id="rId22"/>
      <w:headerReference w:type="first" r:id="rId23"/>
      <w:footerReference w:type="first" r:id="rId24"/>
      <w:pgSz w:w="11739" w:h="15639"/>
      <w:pgMar w:top="994" w:right="781" w:bottom="1206" w:left="772" w:header="530" w:footer="304" w:gutter="0"/>
      <w:cols w:num="2" w:space="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04EA" w14:textId="77777777" w:rsidR="001810BB" w:rsidRDefault="001810BB">
      <w:pPr>
        <w:spacing w:after="0" w:line="240" w:lineRule="auto"/>
      </w:pPr>
      <w:r>
        <w:separator/>
      </w:r>
    </w:p>
  </w:endnote>
  <w:endnote w:type="continuationSeparator" w:id="0">
    <w:p w14:paraId="3548C808" w14:textId="77777777" w:rsidR="001810BB" w:rsidRDefault="0018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A1E6" w14:textId="77777777" w:rsidR="00270FAF" w:rsidRDefault="00000000">
    <w:pPr>
      <w:spacing w:after="75"/>
      <w:ind w:left="40"/>
    </w:pPr>
    <w:r>
      <w:rPr>
        <w:color w:val="181717"/>
        <w:sz w:val="16"/>
      </w:rPr>
      <w:t xml:space="preserve">1070-5295 Copyright </w:t>
    </w:r>
    <w:r>
      <w:rPr>
        <w:color w:val="181717"/>
        <w:vertAlign w:val="subscript"/>
      </w:rPr>
      <w:t xml:space="preserve"> </w:t>
    </w:r>
    <w:r>
      <w:rPr>
        <w:color w:val="181717"/>
        <w:sz w:val="16"/>
      </w:rPr>
      <w:t>2020 Wolters Kluwer Health, Inc. All rights reserved.</w:t>
    </w:r>
  </w:p>
  <w:p w14:paraId="5DD1E0C0" w14:textId="77777777" w:rsidR="00270FAF" w:rsidRDefault="00000000">
    <w:pPr>
      <w:spacing w:after="0"/>
      <w:ind w:left="-166" w:right="-574"/>
      <w:jc w:val="right"/>
    </w:pPr>
    <w:r>
      <w:rPr>
        <w:rFonts w:ascii="Arial" w:eastAsia="Arial" w:hAnsi="Arial" w:cs="Arial"/>
        <w:color w:val="4F4F4F"/>
        <w:sz w:val="24"/>
      </w:rPr>
      <w:t>Copyright © 2020 Wolters Kluwer Health, Inc. Unauthorized reproduction of this article is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63" w14:textId="77777777" w:rsidR="00270FAF" w:rsidRDefault="00000000">
    <w:pPr>
      <w:spacing w:after="75"/>
      <w:ind w:left="40"/>
    </w:pPr>
    <w:r>
      <w:rPr>
        <w:color w:val="181717"/>
        <w:sz w:val="16"/>
      </w:rPr>
      <w:t xml:space="preserve">1070-5295 Copyright </w:t>
    </w:r>
    <w:r>
      <w:rPr>
        <w:color w:val="181717"/>
        <w:vertAlign w:val="subscript"/>
      </w:rPr>
      <w:t xml:space="preserve"> </w:t>
    </w:r>
    <w:r>
      <w:rPr>
        <w:color w:val="181717"/>
        <w:sz w:val="16"/>
      </w:rPr>
      <w:t>2020 Wolters Kluwer Health, Inc. All rights reserved.</w:t>
    </w:r>
  </w:p>
  <w:p w14:paraId="15CCED41" w14:textId="77777777" w:rsidR="00270FAF" w:rsidRDefault="00000000">
    <w:pPr>
      <w:spacing w:after="0"/>
      <w:ind w:left="-166" w:right="-574"/>
      <w:jc w:val="right"/>
    </w:pPr>
    <w:r>
      <w:rPr>
        <w:rFonts w:ascii="Arial" w:eastAsia="Arial" w:hAnsi="Arial" w:cs="Arial"/>
        <w:color w:val="4F4F4F"/>
        <w:sz w:val="24"/>
      </w:rPr>
      <w:t>Copyright © 2020 Wolters Kluwer Health, Inc. Unauthorized reproduction of this article is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A4BA" w14:textId="77777777" w:rsidR="00270FAF" w:rsidRDefault="00000000">
    <w:pPr>
      <w:spacing w:after="75"/>
      <w:ind w:left="40"/>
    </w:pPr>
    <w:r>
      <w:rPr>
        <w:color w:val="181717"/>
        <w:sz w:val="16"/>
      </w:rPr>
      <w:t xml:space="preserve">1070-5295 Copyright </w:t>
    </w:r>
    <w:r>
      <w:rPr>
        <w:color w:val="181717"/>
        <w:vertAlign w:val="subscript"/>
      </w:rPr>
      <w:t xml:space="preserve"> </w:t>
    </w:r>
    <w:r>
      <w:rPr>
        <w:color w:val="181717"/>
        <w:sz w:val="16"/>
      </w:rPr>
      <w:t>2020 Wolters Kluwer Health, Inc. All rights reserved.</w:t>
    </w:r>
  </w:p>
  <w:p w14:paraId="306E204E" w14:textId="77777777" w:rsidR="00270FAF" w:rsidRDefault="00000000">
    <w:pPr>
      <w:spacing w:after="0"/>
      <w:ind w:left="-166" w:right="-574"/>
      <w:jc w:val="right"/>
    </w:pPr>
    <w:r>
      <w:rPr>
        <w:rFonts w:ascii="Arial" w:eastAsia="Arial" w:hAnsi="Arial" w:cs="Arial"/>
        <w:color w:val="4F4F4F"/>
        <w:sz w:val="24"/>
      </w:rPr>
      <w:t>Copyright © 2020 Wolters Kluwer Health, Inc. Unauthorized reproduction of this article is prohibited.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713B" w14:textId="77777777" w:rsidR="00270FAF" w:rsidRDefault="00000000">
    <w:pPr>
      <w:tabs>
        <w:tab w:val="center" w:pos="516"/>
        <w:tab w:val="center" w:pos="2034"/>
        <w:tab w:val="right" w:pos="10568"/>
      </w:tabs>
      <w:spacing w:after="125"/>
    </w:pPr>
    <w:r>
      <w:tab/>
    </w:r>
    <w:r>
      <w:fldChar w:fldCharType="begin"/>
    </w:r>
    <w:r>
      <w:instrText xml:space="preserve"> PAGE   \* MERGEFORMAT </w:instrText>
    </w:r>
    <w:r>
      <w:fldChar w:fldCharType="separate"/>
    </w:r>
    <w:r>
      <w:rPr>
        <w:color w:val="181717"/>
        <w:sz w:val="18"/>
      </w:rPr>
      <w:t>2</w:t>
    </w:r>
    <w:r>
      <w:rPr>
        <w:color w:val="181717"/>
        <w:sz w:val="18"/>
      </w:rPr>
      <w:fldChar w:fldCharType="end"/>
    </w:r>
    <w:r>
      <w:rPr>
        <w:color w:val="181717"/>
        <w:sz w:val="18"/>
      </w:rPr>
      <w:tab/>
    </w:r>
    <w:r>
      <w:rPr>
        <w:rFonts w:ascii="Times New Roman" w:eastAsia="Times New Roman" w:hAnsi="Times New Roman" w:cs="Times New Roman"/>
        <w:color w:val="181717"/>
        <w:sz w:val="18"/>
      </w:rPr>
      <w:t>www.co-criticalcare.com</w:t>
    </w:r>
    <w:r>
      <w:rPr>
        <w:rFonts w:ascii="Times New Roman" w:eastAsia="Times New Roman" w:hAnsi="Times New Roman" w:cs="Times New Roman"/>
        <w:color w:val="181717"/>
        <w:sz w:val="18"/>
      </w:rPr>
      <w:tab/>
    </w:r>
    <w:r>
      <w:rPr>
        <w:color w:val="181717"/>
        <w:sz w:val="16"/>
      </w:rPr>
      <w:t>Volume 26  Number 00  Month 2020</w:t>
    </w:r>
  </w:p>
  <w:p w14:paraId="1A7BE23E" w14:textId="77777777" w:rsidR="00270FAF" w:rsidRDefault="00000000">
    <w:pPr>
      <w:spacing w:after="0"/>
      <w:ind w:left="-201" w:right="-180"/>
      <w:jc w:val="both"/>
    </w:pPr>
    <w:r>
      <w:rPr>
        <w:rFonts w:ascii="Arial" w:eastAsia="Arial" w:hAnsi="Arial" w:cs="Arial"/>
        <w:color w:val="4F4F4F"/>
        <w:sz w:val="24"/>
      </w:rPr>
      <w:t>Copyright © 2020 Wolters Kluwer Health, Inc. Unauthorized reproduction of this article is prohibited.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0B3A" w14:textId="77777777" w:rsidR="00270FAF" w:rsidRDefault="00000000">
    <w:pPr>
      <w:tabs>
        <w:tab w:val="center" w:pos="2941"/>
        <w:tab w:val="center" w:pos="8558"/>
        <w:tab w:val="center" w:pos="10077"/>
      </w:tabs>
      <w:spacing w:after="75"/>
    </w:pPr>
    <w:r>
      <w:tab/>
    </w:r>
    <w:r>
      <w:rPr>
        <w:color w:val="181717"/>
        <w:sz w:val="16"/>
      </w:rPr>
      <w:t xml:space="preserve">1070-5295 Copyright </w:t>
    </w:r>
    <w:r>
      <w:rPr>
        <w:color w:val="181717"/>
        <w:vertAlign w:val="subscript"/>
      </w:rPr>
      <w:t xml:space="preserve"> </w:t>
    </w:r>
    <w:r>
      <w:rPr>
        <w:color w:val="181717"/>
        <w:sz w:val="16"/>
      </w:rPr>
      <w:t>2020 Wolters Kluwer Health, Inc. All rights reserved.</w:t>
    </w:r>
    <w:r>
      <w:rPr>
        <w:color w:val="181717"/>
        <w:sz w:val="16"/>
      </w:rPr>
      <w:tab/>
    </w:r>
    <w:r>
      <w:rPr>
        <w:rFonts w:ascii="Times New Roman" w:eastAsia="Times New Roman" w:hAnsi="Times New Roman" w:cs="Times New Roman"/>
        <w:color w:val="181717"/>
        <w:sz w:val="18"/>
      </w:rPr>
      <w:t>www.co-criticalcare.com</w:t>
    </w:r>
    <w:r>
      <w:rPr>
        <w:rFonts w:ascii="Times New Roman" w:eastAsia="Times New Roman" w:hAnsi="Times New Roman" w:cs="Times New Roman"/>
        <w:color w:val="181717"/>
        <w:sz w:val="18"/>
      </w:rPr>
      <w:tab/>
    </w:r>
    <w:r>
      <w:fldChar w:fldCharType="begin"/>
    </w:r>
    <w:r>
      <w:instrText xml:space="preserve"> PAGE   \* MERGEFORMAT </w:instrText>
    </w:r>
    <w:r>
      <w:fldChar w:fldCharType="separate"/>
    </w:r>
    <w:r>
      <w:rPr>
        <w:color w:val="181717"/>
        <w:sz w:val="18"/>
      </w:rPr>
      <w:t>3</w:t>
    </w:r>
    <w:r>
      <w:rPr>
        <w:color w:val="181717"/>
        <w:sz w:val="18"/>
      </w:rPr>
      <w:fldChar w:fldCharType="end"/>
    </w:r>
  </w:p>
  <w:p w14:paraId="404D6E30" w14:textId="77777777" w:rsidR="00270FAF" w:rsidRDefault="00000000">
    <w:pPr>
      <w:spacing w:after="0"/>
      <w:ind w:left="-201" w:right="-180"/>
      <w:jc w:val="both"/>
    </w:pPr>
    <w:r>
      <w:rPr>
        <w:rFonts w:ascii="Arial" w:eastAsia="Arial" w:hAnsi="Arial" w:cs="Arial"/>
        <w:color w:val="4F4F4F"/>
        <w:sz w:val="24"/>
      </w:rPr>
      <w:t>Copyright © 2020 Wolters Kluwer Health, Inc. Unauthorized reproduction of this article is prohibited.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3E43" w14:textId="77777777" w:rsidR="00270FAF" w:rsidRDefault="00000000">
    <w:pPr>
      <w:tabs>
        <w:tab w:val="center" w:pos="516"/>
        <w:tab w:val="center" w:pos="2034"/>
        <w:tab w:val="right" w:pos="10568"/>
      </w:tabs>
      <w:spacing w:after="125"/>
    </w:pPr>
    <w:r>
      <w:tab/>
    </w:r>
    <w:r>
      <w:fldChar w:fldCharType="begin"/>
    </w:r>
    <w:r>
      <w:instrText xml:space="preserve"> PAGE   \* MERGEFORMAT </w:instrText>
    </w:r>
    <w:r>
      <w:fldChar w:fldCharType="separate"/>
    </w:r>
    <w:r>
      <w:rPr>
        <w:color w:val="181717"/>
        <w:sz w:val="18"/>
      </w:rPr>
      <w:t>2</w:t>
    </w:r>
    <w:r>
      <w:rPr>
        <w:color w:val="181717"/>
        <w:sz w:val="18"/>
      </w:rPr>
      <w:fldChar w:fldCharType="end"/>
    </w:r>
    <w:r>
      <w:rPr>
        <w:color w:val="181717"/>
        <w:sz w:val="18"/>
      </w:rPr>
      <w:tab/>
    </w:r>
    <w:r>
      <w:rPr>
        <w:rFonts w:ascii="Times New Roman" w:eastAsia="Times New Roman" w:hAnsi="Times New Roman" w:cs="Times New Roman"/>
        <w:color w:val="181717"/>
        <w:sz w:val="18"/>
      </w:rPr>
      <w:t>www.co-criticalcare.com</w:t>
    </w:r>
    <w:r>
      <w:rPr>
        <w:rFonts w:ascii="Times New Roman" w:eastAsia="Times New Roman" w:hAnsi="Times New Roman" w:cs="Times New Roman"/>
        <w:color w:val="181717"/>
        <w:sz w:val="18"/>
      </w:rPr>
      <w:tab/>
    </w:r>
    <w:r>
      <w:rPr>
        <w:color w:val="181717"/>
        <w:sz w:val="16"/>
      </w:rPr>
      <w:t>Volume 26  Number 00  Month 2020</w:t>
    </w:r>
  </w:p>
  <w:p w14:paraId="0643745F" w14:textId="77777777" w:rsidR="00270FAF" w:rsidRDefault="00000000">
    <w:pPr>
      <w:spacing w:after="0"/>
      <w:ind w:left="-201" w:right="-180"/>
      <w:jc w:val="both"/>
    </w:pPr>
    <w:r>
      <w:rPr>
        <w:rFonts w:ascii="Arial" w:eastAsia="Arial" w:hAnsi="Arial" w:cs="Arial"/>
        <w:color w:val="4F4F4F"/>
        <w:sz w:val="24"/>
      </w:rPr>
      <w:t>Copyright © 2020 Wolters Kluwer Health, Inc. Unauthorized reproduction of this article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B01A" w14:textId="77777777" w:rsidR="001810BB" w:rsidRDefault="001810BB">
      <w:pPr>
        <w:spacing w:after="0" w:line="240" w:lineRule="auto"/>
      </w:pPr>
      <w:r>
        <w:separator/>
      </w:r>
    </w:p>
  </w:footnote>
  <w:footnote w:type="continuationSeparator" w:id="0">
    <w:p w14:paraId="3F605820" w14:textId="77777777" w:rsidR="001810BB" w:rsidRDefault="0018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D8F3" w14:textId="77777777" w:rsidR="00270FAF" w:rsidRDefault="00270F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8095" w14:textId="77777777" w:rsidR="00270FAF" w:rsidRDefault="00270F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3C97" w14:textId="77777777" w:rsidR="00270FAF" w:rsidRDefault="00270F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E586" w14:textId="77777777" w:rsidR="00270FAF" w:rsidRDefault="00000000">
    <w:pPr>
      <w:spacing w:after="0"/>
      <w:ind w:left="263"/>
    </w:pPr>
    <w:r>
      <w:rPr>
        <w:noProof/>
      </w:rPr>
      <mc:AlternateContent>
        <mc:Choice Requires="wpg">
          <w:drawing>
            <wp:anchor distT="0" distB="0" distL="114300" distR="114300" simplePos="0" relativeHeight="251658240" behindDoc="0" locked="0" layoutInCell="1" allowOverlap="1" wp14:anchorId="0CE6DA14" wp14:editId="0F48EA70">
              <wp:simplePos x="0" y="0"/>
              <wp:positionH relativeFrom="page">
                <wp:posOffset>657356</wp:posOffset>
              </wp:positionH>
              <wp:positionV relativeFrom="page">
                <wp:posOffset>476639</wp:posOffset>
              </wp:positionV>
              <wp:extent cx="6301436" cy="12959"/>
              <wp:effectExtent l="0" t="0" r="0" b="0"/>
              <wp:wrapSquare wrapText="bothSides"/>
              <wp:docPr id="17667" name="Group 17667"/>
              <wp:cNvGraphicFramePr/>
              <a:graphic xmlns:a="http://schemas.openxmlformats.org/drawingml/2006/main">
                <a:graphicData uri="http://schemas.microsoft.com/office/word/2010/wordprocessingGroup">
                  <wpg:wgp>
                    <wpg:cNvGrpSpPr/>
                    <wpg:grpSpPr>
                      <a:xfrm>
                        <a:off x="0" y="0"/>
                        <a:ext cx="6301436" cy="12959"/>
                        <a:chOff x="0" y="0"/>
                        <a:chExt cx="6301436" cy="12959"/>
                      </a:xfrm>
                    </wpg:grpSpPr>
                    <wps:wsp>
                      <wps:cNvPr id="18017" name="Shape 18017"/>
                      <wps:cNvSpPr/>
                      <wps:spPr>
                        <a:xfrm>
                          <a:off x="0" y="0"/>
                          <a:ext cx="6301436" cy="12959"/>
                        </a:xfrm>
                        <a:custGeom>
                          <a:avLst/>
                          <a:gdLst/>
                          <a:ahLst/>
                          <a:cxnLst/>
                          <a:rect l="0" t="0" r="0" b="0"/>
                          <a:pathLst>
                            <a:path w="6301436" h="12959">
                              <a:moveTo>
                                <a:pt x="0" y="0"/>
                              </a:moveTo>
                              <a:lnTo>
                                <a:pt x="6301436" y="0"/>
                              </a:lnTo>
                              <a:lnTo>
                                <a:pt x="6301436" y="12959"/>
                              </a:lnTo>
                              <a:lnTo>
                                <a:pt x="0" y="12959"/>
                              </a:lnTo>
                              <a:lnTo>
                                <a:pt x="0" y="0"/>
                              </a:lnTo>
                            </a:path>
                          </a:pathLst>
                        </a:custGeom>
                        <a:ln w="0" cap="flat">
                          <a:miter lim="127000"/>
                        </a:ln>
                      </wps:spPr>
                      <wps:style>
                        <a:lnRef idx="0">
                          <a:srgbClr val="000000">
                            <a:alpha val="0"/>
                          </a:srgbClr>
                        </a:lnRef>
                        <a:fillRef idx="1">
                          <a:srgbClr val="B82A73"/>
                        </a:fillRef>
                        <a:effectRef idx="0">
                          <a:scrgbClr r="0" g="0" b="0"/>
                        </a:effectRef>
                        <a:fontRef idx="none"/>
                      </wps:style>
                      <wps:bodyPr/>
                    </wps:wsp>
                  </wpg:wgp>
                </a:graphicData>
              </a:graphic>
            </wp:anchor>
          </w:drawing>
        </mc:Choice>
        <mc:Fallback xmlns:a="http://schemas.openxmlformats.org/drawingml/2006/main">
          <w:pict>
            <v:group id="Group 17667" style="width:496.176pt;height:1.02039pt;position:absolute;mso-position-horizontal-relative:page;mso-position-horizontal:absolute;margin-left:51.7603pt;mso-position-vertical-relative:page;margin-top:37.5306pt;" coordsize="63014,129">
              <v:shape id="Shape 18018" style="position:absolute;width:63014;height:129;left:0;top:0;" coordsize="6301436,12959" path="m0,0l6301436,0l6301436,12959l0,12959l0,0">
                <v:stroke weight="0pt" endcap="flat" joinstyle="miter" miterlimit="10" on="false" color="#000000" opacity="0"/>
                <v:fill on="true" color="#b82a73"/>
              </v:shape>
              <w10:wrap type="square"/>
            </v:group>
          </w:pict>
        </mc:Fallback>
      </mc:AlternateContent>
    </w:r>
    <w:r>
      <w:rPr>
        <w:rFonts w:ascii="Times New Roman" w:eastAsia="Times New Roman" w:hAnsi="Times New Roman" w:cs="Times New Roman"/>
        <w:color w:val="181717"/>
        <w:sz w:val="18"/>
      </w:rPr>
      <w:t>Metabolic support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B74A" w14:textId="77777777" w:rsidR="00270FAF" w:rsidRDefault="00000000">
    <w:pPr>
      <w:spacing w:after="0"/>
      <w:ind w:right="260"/>
      <w:jc w:val="right"/>
    </w:pPr>
    <w:r>
      <w:rPr>
        <w:noProof/>
      </w:rPr>
      <mc:AlternateContent>
        <mc:Choice Requires="wpg">
          <w:drawing>
            <wp:anchor distT="0" distB="0" distL="114300" distR="114300" simplePos="0" relativeHeight="251659264" behindDoc="0" locked="0" layoutInCell="1" allowOverlap="1" wp14:anchorId="7B5694DD" wp14:editId="4399DBBE">
              <wp:simplePos x="0" y="0"/>
              <wp:positionH relativeFrom="page">
                <wp:posOffset>493196</wp:posOffset>
              </wp:positionH>
              <wp:positionV relativeFrom="page">
                <wp:posOffset>476639</wp:posOffset>
              </wp:positionV>
              <wp:extent cx="6301436" cy="12959"/>
              <wp:effectExtent l="0" t="0" r="0" b="0"/>
              <wp:wrapSquare wrapText="bothSides"/>
              <wp:docPr id="17638" name="Group 17638"/>
              <wp:cNvGraphicFramePr/>
              <a:graphic xmlns:a="http://schemas.openxmlformats.org/drawingml/2006/main">
                <a:graphicData uri="http://schemas.microsoft.com/office/word/2010/wordprocessingGroup">
                  <wpg:wgp>
                    <wpg:cNvGrpSpPr/>
                    <wpg:grpSpPr>
                      <a:xfrm>
                        <a:off x="0" y="0"/>
                        <a:ext cx="6301436" cy="12959"/>
                        <a:chOff x="0" y="0"/>
                        <a:chExt cx="6301436" cy="12959"/>
                      </a:xfrm>
                    </wpg:grpSpPr>
                    <wps:wsp>
                      <wps:cNvPr id="18015" name="Shape 18015"/>
                      <wps:cNvSpPr/>
                      <wps:spPr>
                        <a:xfrm>
                          <a:off x="0" y="0"/>
                          <a:ext cx="6301436" cy="12959"/>
                        </a:xfrm>
                        <a:custGeom>
                          <a:avLst/>
                          <a:gdLst/>
                          <a:ahLst/>
                          <a:cxnLst/>
                          <a:rect l="0" t="0" r="0" b="0"/>
                          <a:pathLst>
                            <a:path w="6301436" h="12959">
                              <a:moveTo>
                                <a:pt x="0" y="0"/>
                              </a:moveTo>
                              <a:lnTo>
                                <a:pt x="6301436" y="0"/>
                              </a:lnTo>
                              <a:lnTo>
                                <a:pt x="6301436" y="12959"/>
                              </a:lnTo>
                              <a:lnTo>
                                <a:pt x="0" y="12959"/>
                              </a:lnTo>
                              <a:lnTo>
                                <a:pt x="0" y="0"/>
                              </a:lnTo>
                            </a:path>
                          </a:pathLst>
                        </a:custGeom>
                        <a:ln w="0" cap="flat">
                          <a:miter lim="127000"/>
                        </a:ln>
                      </wps:spPr>
                      <wps:style>
                        <a:lnRef idx="0">
                          <a:srgbClr val="000000">
                            <a:alpha val="0"/>
                          </a:srgbClr>
                        </a:lnRef>
                        <a:fillRef idx="1">
                          <a:srgbClr val="B82A73"/>
                        </a:fillRef>
                        <a:effectRef idx="0">
                          <a:scrgbClr r="0" g="0" b="0"/>
                        </a:effectRef>
                        <a:fontRef idx="none"/>
                      </wps:style>
                      <wps:bodyPr/>
                    </wps:wsp>
                  </wpg:wgp>
                </a:graphicData>
              </a:graphic>
            </wp:anchor>
          </w:drawing>
        </mc:Choice>
        <mc:Fallback xmlns:a="http://schemas.openxmlformats.org/drawingml/2006/main">
          <w:pict>
            <v:group id="Group 17638" style="width:496.176pt;height:1.02039pt;position:absolute;mso-position-horizontal-relative:page;mso-position-horizontal:absolute;margin-left:38.8343pt;mso-position-vertical-relative:page;margin-top:37.5306pt;" coordsize="63014,129">
              <v:shape id="Shape 18016" style="position:absolute;width:63014;height:129;left:0;top:0;" coordsize="6301436,12959" path="m0,0l6301436,0l6301436,12959l0,12959l0,0">
                <v:stroke weight="0pt" endcap="flat" joinstyle="miter" miterlimit="10" on="false" color="#000000" opacity="0"/>
                <v:fill on="true" color="#b82a73"/>
              </v:shape>
              <w10:wrap type="square"/>
            </v:group>
          </w:pict>
        </mc:Fallback>
      </mc:AlternateContent>
    </w:r>
    <w:r>
      <w:rPr>
        <w:color w:val="181717"/>
        <w:sz w:val="18"/>
      </w:rPr>
      <w:t>Bone metabolism and fracture risk Rousseau 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CE46" w14:textId="77777777" w:rsidR="00270FAF" w:rsidRDefault="00000000">
    <w:pPr>
      <w:spacing w:after="0"/>
      <w:ind w:left="263"/>
    </w:pPr>
    <w:r>
      <w:rPr>
        <w:noProof/>
      </w:rPr>
      <mc:AlternateContent>
        <mc:Choice Requires="wpg">
          <w:drawing>
            <wp:anchor distT="0" distB="0" distL="114300" distR="114300" simplePos="0" relativeHeight="251660288" behindDoc="0" locked="0" layoutInCell="1" allowOverlap="1" wp14:anchorId="008FF2CD" wp14:editId="2D624FBB">
              <wp:simplePos x="0" y="0"/>
              <wp:positionH relativeFrom="page">
                <wp:posOffset>657356</wp:posOffset>
              </wp:positionH>
              <wp:positionV relativeFrom="page">
                <wp:posOffset>476639</wp:posOffset>
              </wp:positionV>
              <wp:extent cx="6301436" cy="12959"/>
              <wp:effectExtent l="0" t="0" r="0" b="0"/>
              <wp:wrapSquare wrapText="bothSides"/>
              <wp:docPr id="17605" name="Group 17605"/>
              <wp:cNvGraphicFramePr/>
              <a:graphic xmlns:a="http://schemas.openxmlformats.org/drawingml/2006/main">
                <a:graphicData uri="http://schemas.microsoft.com/office/word/2010/wordprocessingGroup">
                  <wpg:wgp>
                    <wpg:cNvGrpSpPr/>
                    <wpg:grpSpPr>
                      <a:xfrm>
                        <a:off x="0" y="0"/>
                        <a:ext cx="6301436" cy="12959"/>
                        <a:chOff x="0" y="0"/>
                        <a:chExt cx="6301436" cy="12959"/>
                      </a:xfrm>
                    </wpg:grpSpPr>
                    <wps:wsp>
                      <wps:cNvPr id="18013" name="Shape 18013"/>
                      <wps:cNvSpPr/>
                      <wps:spPr>
                        <a:xfrm>
                          <a:off x="0" y="0"/>
                          <a:ext cx="6301436" cy="12959"/>
                        </a:xfrm>
                        <a:custGeom>
                          <a:avLst/>
                          <a:gdLst/>
                          <a:ahLst/>
                          <a:cxnLst/>
                          <a:rect l="0" t="0" r="0" b="0"/>
                          <a:pathLst>
                            <a:path w="6301436" h="12959">
                              <a:moveTo>
                                <a:pt x="0" y="0"/>
                              </a:moveTo>
                              <a:lnTo>
                                <a:pt x="6301436" y="0"/>
                              </a:lnTo>
                              <a:lnTo>
                                <a:pt x="6301436" y="12959"/>
                              </a:lnTo>
                              <a:lnTo>
                                <a:pt x="0" y="12959"/>
                              </a:lnTo>
                              <a:lnTo>
                                <a:pt x="0" y="0"/>
                              </a:lnTo>
                            </a:path>
                          </a:pathLst>
                        </a:custGeom>
                        <a:ln w="0" cap="flat">
                          <a:miter lim="127000"/>
                        </a:ln>
                      </wps:spPr>
                      <wps:style>
                        <a:lnRef idx="0">
                          <a:srgbClr val="000000">
                            <a:alpha val="0"/>
                          </a:srgbClr>
                        </a:lnRef>
                        <a:fillRef idx="1">
                          <a:srgbClr val="B82A73"/>
                        </a:fillRef>
                        <a:effectRef idx="0">
                          <a:scrgbClr r="0" g="0" b="0"/>
                        </a:effectRef>
                        <a:fontRef idx="none"/>
                      </wps:style>
                      <wps:bodyPr/>
                    </wps:wsp>
                  </wpg:wgp>
                </a:graphicData>
              </a:graphic>
            </wp:anchor>
          </w:drawing>
        </mc:Choice>
        <mc:Fallback xmlns:a="http://schemas.openxmlformats.org/drawingml/2006/main">
          <w:pict>
            <v:group id="Group 17605" style="width:496.176pt;height:1.02039pt;position:absolute;mso-position-horizontal-relative:page;mso-position-horizontal:absolute;margin-left:51.7603pt;mso-position-vertical-relative:page;margin-top:37.5306pt;" coordsize="63014,129">
              <v:shape id="Shape 18014" style="position:absolute;width:63014;height:129;left:0;top:0;" coordsize="6301436,12959" path="m0,0l6301436,0l6301436,12959l0,12959l0,0">
                <v:stroke weight="0pt" endcap="flat" joinstyle="miter" miterlimit="10" on="false" color="#000000" opacity="0"/>
                <v:fill on="true" color="#b82a73"/>
              </v:shape>
              <w10:wrap type="square"/>
            </v:group>
          </w:pict>
        </mc:Fallback>
      </mc:AlternateContent>
    </w:r>
    <w:r>
      <w:rPr>
        <w:rFonts w:ascii="Times New Roman" w:eastAsia="Times New Roman" w:hAnsi="Times New Roman" w:cs="Times New Roman"/>
        <w:color w:val="181717"/>
        <w:sz w:val="18"/>
      </w:rPr>
      <w:t>Metabolic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7BED"/>
    <w:multiLevelType w:val="hybridMultilevel"/>
    <w:tmpl w:val="0FD828A2"/>
    <w:lvl w:ilvl="0" w:tplc="40485C56">
      <w:start w:val="1"/>
      <w:numFmt w:val="decimal"/>
      <w:lvlText w:val="%1."/>
      <w:lvlJc w:val="left"/>
      <w:pPr>
        <w:ind w:left="543"/>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CA360310">
      <w:start w:val="1"/>
      <w:numFmt w:val="lowerLetter"/>
      <w:lvlText w:val="%2"/>
      <w:lvlJc w:val="left"/>
      <w:pPr>
        <w:ind w:left="115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FCE2EF46">
      <w:start w:val="1"/>
      <w:numFmt w:val="lowerRoman"/>
      <w:lvlText w:val="%3"/>
      <w:lvlJc w:val="left"/>
      <w:pPr>
        <w:ind w:left="187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0BAADE02">
      <w:start w:val="1"/>
      <w:numFmt w:val="decimal"/>
      <w:lvlText w:val="%4"/>
      <w:lvlJc w:val="left"/>
      <w:pPr>
        <w:ind w:left="259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B7FE3542">
      <w:start w:val="1"/>
      <w:numFmt w:val="lowerLetter"/>
      <w:lvlText w:val="%5"/>
      <w:lvlJc w:val="left"/>
      <w:pPr>
        <w:ind w:left="331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6F9873D2">
      <w:start w:val="1"/>
      <w:numFmt w:val="lowerRoman"/>
      <w:lvlText w:val="%6"/>
      <w:lvlJc w:val="left"/>
      <w:pPr>
        <w:ind w:left="403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C03AE136">
      <w:start w:val="1"/>
      <w:numFmt w:val="decimal"/>
      <w:lvlText w:val="%7"/>
      <w:lvlJc w:val="left"/>
      <w:pPr>
        <w:ind w:left="475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740C8C0C">
      <w:start w:val="1"/>
      <w:numFmt w:val="lowerLetter"/>
      <w:lvlText w:val="%8"/>
      <w:lvlJc w:val="left"/>
      <w:pPr>
        <w:ind w:left="547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0B4A715E">
      <w:start w:val="1"/>
      <w:numFmt w:val="lowerRoman"/>
      <w:lvlText w:val="%9"/>
      <w:lvlJc w:val="left"/>
      <w:pPr>
        <w:ind w:left="6195"/>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1" w15:restartNumberingAfterBreak="0">
    <w:nsid w:val="2BF16E05"/>
    <w:multiLevelType w:val="hybridMultilevel"/>
    <w:tmpl w:val="E4FC5C8E"/>
    <w:lvl w:ilvl="0" w:tplc="2F2405FA">
      <w:start w:val="8"/>
      <w:numFmt w:val="decimal"/>
      <w:lvlText w:val="%1."/>
      <w:lvlJc w:val="left"/>
      <w:pPr>
        <w:ind w:left="2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80F241B4">
      <w:start w:val="1"/>
      <w:numFmt w:val="lowerLetter"/>
      <w:lvlText w:val="%2"/>
      <w:lvlJc w:val="left"/>
      <w:pPr>
        <w:ind w:left="108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E2BCE386">
      <w:start w:val="1"/>
      <w:numFmt w:val="lowerRoman"/>
      <w:lvlText w:val="%3"/>
      <w:lvlJc w:val="left"/>
      <w:pPr>
        <w:ind w:left="180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0F36E5C6">
      <w:start w:val="1"/>
      <w:numFmt w:val="decimal"/>
      <w:lvlText w:val="%4"/>
      <w:lvlJc w:val="left"/>
      <w:pPr>
        <w:ind w:left="252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94AC1130">
      <w:start w:val="1"/>
      <w:numFmt w:val="lowerLetter"/>
      <w:lvlText w:val="%5"/>
      <w:lvlJc w:val="left"/>
      <w:pPr>
        <w:ind w:left="324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E1E4800C">
      <w:start w:val="1"/>
      <w:numFmt w:val="lowerRoman"/>
      <w:lvlText w:val="%6"/>
      <w:lvlJc w:val="left"/>
      <w:pPr>
        <w:ind w:left="396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F1C49BD2">
      <w:start w:val="1"/>
      <w:numFmt w:val="decimal"/>
      <w:lvlText w:val="%7"/>
      <w:lvlJc w:val="left"/>
      <w:pPr>
        <w:ind w:left="468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66CCFB74">
      <w:start w:val="1"/>
      <w:numFmt w:val="lowerLetter"/>
      <w:lvlText w:val="%8"/>
      <w:lvlJc w:val="left"/>
      <w:pPr>
        <w:ind w:left="540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1F2C5934">
      <w:start w:val="1"/>
      <w:numFmt w:val="lowerRoman"/>
      <w:lvlText w:val="%9"/>
      <w:lvlJc w:val="left"/>
      <w:pPr>
        <w:ind w:left="612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num w:numId="1" w16cid:durableId="1744908333">
    <w:abstractNumId w:val="0"/>
  </w:num>
  <w:num w:numId="2" w16cid:durableId="17527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AF"/>
    <w:rsid w:val="001810BB"/>
    <w:rsid w:val="00270FAF"/>
    <w:rsid w:val="00587B74"/>
    <w:rsid w:val="008517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7C860D2"/>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14" w:line="259" w:lineRule="auto"/>
      <w:ind w:left="10" w:hanging="10"/>
      <w:outlineLvl w:val="0"/>
    </w:pPr>
    <w:rPr>
      <w:rFonts w:ascii="Calibri" w:eastAsia="Calibri" w:hAnsi="Calibri" w:cs="Calibri"/>
      <w:color w:val="B82A73"/>
      <w:sz w:val="22"/>
    </w:rPr>
  </w:style>
  <w:style w:type="paragraph" w:styleId="Titre2">
    <w:name w:val="heading 2"/>
    <w:next w:val="Normal"/>
    <w:link w:val="Titre2Car"/>
    <w:uiPriority w:val="9"/>
    <w:unhideWhenUsed/>
    <w:qFormat/>
    <w:pPr>
      <w:keepNext/>
      <w:keepLines/>
      <w:spacing w:after="14" w:line="259" w:lineRule="auto"/>
      <w:ind w:left="10" w:hanging="10"/>
      <w:outlineLvl w:val="1"/>
    </w:pPr>
    <w:rPr>
      <w:rFonts w:ascii="Calibri" w:eastAsia="Calibri" w:hAnsi="Calibri" w:cs="Calibri"/>
      <w:color w:val="181717"/>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181717"/>
      <w:sz w:val="22"/>
    </w:rPr>
  </w:style>
  <w:style w:type="character" w:customStyle="1" w:styleId="Titre1Car">
    <w:name w:val="Titre 1 Car"/>
    <w:link w:val="Titre1"/>
    <w:rPr>
      <w:rFonts w:ascii="Calibri" w:eastAsia="Calibri" w:hAnsi="Calibri" w:cs="Calibri"/>
      <w:color w:val="B82A73"/>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ma.europa.eu/en/medicines/human/EPAR/evenity" TargetMode="External"/><Relationship Id="rId18" Type="http://schemas.openxmlformats.org/officeDocument/2006/relationships/hyperlink" Target="https://www.pi.amgen.com/~/media/amgen/repositorysites/pi-amgen-com/evenity/evenity_pi_hcp_english.ash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pi.amgen.com/~/media/amgen/repositorysites/pi-amgen-com/evenity/evenity_pi_hcp_english.ash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i.amgen.com/~/media/amgen/repositorysites/pi-amgen-com/evenity/evenity_pi_hcp_english.ashx"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pi.amgen.com/~/media/amgen/repositorysites/pi-amgen-com/evenity/evenity_pi_hcp_english.ashx" TargetMode="Externa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ma.europa.eu/en/medicines/human/EPAR/evenity" TargetMode="Externa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6141</Words>
  <Characters>33781</Characters>
  <Application>Microsoft Office Word</Application>
  <DocSecurity>0</DocSecurity>
  <Lines>281</Lines>
  <Paragraphs>79</Paragraphs>
  <ScaleCrop>false</ScaleCrop>
  <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Anne-Françoise Rousseau</dc:creator>
  <cp:keywords/>
  <cp:lastModifiedBy>Anne-Françoise Rousseau</cp:lastModifiedBy>
  <cp:revision>2</cp:revision>
  <dcterms:created xsi:type="dcterms:W3CDTF">2025-07-01T21:15:00Z</dcterms:created>
  <dcterms:modified xsi:type="dcterms:W3CDTF">2025-07-01T21:15:00Z</dcterms:modified>
</cp:coreProperties>
</file>