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12" w:rsidRPr="00A549B7" w:rsidRDefault="00531A59" w:rsidP="00A549B7">
      <w:pPr>
        <w:spacing w:line="288" w:lineRule="auto"/>
        <w:jc w:val="center"/>
        <w:rPr>
          <w:rFonts w:asciiTheme="minorHAnsi" w:hAnsiTheme="minorHAnsi" w:cstheme="minorHAnsi"/>
          <w:sz w:val="26"/>
          <w:szCs w:val="26"/>
        </w:rPr>
      </w:pPr>
      <w:r w:rsidRPr="00A549B7">
        <w:rPr>
          <w:rFonts w:asciiTheme="minorHAnsi" w:hAnsiTheme="minorHAnsi" w:cstheme="minorHAnsi"/>
          <w:sz w:val="26"/>
          <w:szCs w:val="26"/>
        </w:rPr>
        <w:t>Le nouveau droit international privé des relations patrimoniales de couple</w:t>
      </w:r>
    </w:p>
    <w:p w:rsidR="00531A59" w:rsidRPr="00A549B7" w:rsidRDefault="00531A59" w:rsidP="00A549B7">
      <w:pPr>
        <w:spacing w:line="288" w:lineRule="auto"/>
        <w:jc w:val="center"/>
        <w:rPr>
          <w:rFonts w:asciiTheme="minorHAnsi" w:hAnsiTheme="minorHAnsi" w:cstheme="minorHAnsi"/>
          <w:sz w:val="26"/>
          <w:szCs w:val="26"/>
        </w:rPr>
      </w:pPr>
      <w:r w:rsidRPr="00A549B7">
        <w:rPr>
          <w:rFonts w:asciiTheme="minorHAnsi" w:hAnsiTheme="minorHAnsi" w:cstheme="minorHAnsi"/>
          <w:sz w:val="26"/>
          <w:szCs w:val="26"/>
        </w:rPr>
        <w:t>Patrick Wautelet (Université de Liège)</w:t>
      </w:r>
    </w:p>
    <w:p w:rsidR="00531A59" w:rsidRDefault="00531A59" w:rsidP="00A549B7">
      <w:pPr>
        <w:spacing w:line="288" w:lineRule="auto"/>
        <w:rPr>
          <w:rFonts w:asciiTheme="minorHAnsi" w:hAnsiTheme="minorHAnsi" w:cstheme="minorHAnsi"/>
          <w:sz w:val="26"/>
          <w:szCs w:val="26"/>
        </w:rPr>
      </w:pPr>
    </w:p>
    <w:p w:rsidR="0040724A" w:rsidRDefault="0040724A" w:rsidP="0040724A">
      <w:pPr>
        <w:pBdr>
          <w:top w:val="single" w:sz="4" w:space="1" w:color="auto"/>
          <w:left w:val="single" w:sz="4" w:space="4" w:color="auto"/>
          <w:bottom w:val="single" w:sz="4" w:space="1" w:color="auto"/>
          <w:right w:val="single" w:sz="4" w:space="4" w:color="auto"/>
        </w:pBdr>
        <w:spacing w:line="288" w:lineRule="auto"/>
        <w:rPr>
          <w:rFonts w:asciiTheme="minorHAnsi" w:hAnsiTheme="minorHAnsi" w:cstheme="minorHAnsi"/>
          <w:i/>
          <w:sz w:val="26"/>
          <w:szCs w:val="26"/>
        </w:rPr>
      </w:pPr>
      <w:r w:rsidRPr="0040724A">
        <w:rPr>
          <w:rFonts w:asciiTheme="minorHAnsi" w:hAnsiTheme="minorHAnsi" w:cstheme="minorHAnsi"/>
          <w:i/>
          <w:sz w:val="26"/>
          <w:szCs w:val="26"/>
        </w:rPr>
        <w:t>L’Union européenne s’est dotée en 2016 de deux nouveaux règlements de droit international privé : consacrés aux relations patrimoniales de couple, ces règlements viennent utilement compléter le dispositif mis en place en 2012 pour les successions internationales. Les nouvelles règles n’apportent guère de changement à la pratique des relations internationales de couple en Belgique. Sans tendre à aucune exhaustivité, la présente contribution entend apporter un éclairage concret à l’intention des praticiens par le biais d’une part d’une brève synthèse des principes généraux qui fondent les règlements et d’autre part d’un éclairage plus approfondi du rôle que peuvent jouer les nou</w:t>
      </w:r>
      <w:r w:rsidRPr="00B14357">
        <w:rPr>
          <w:rFonts w:asciiTheme="minorHAnsi" w:hAnsiTheme="minorHAnsi" w:cstheme="minorHAnsi"/>
          <w:i/>
          <w:sz w:val="26"/>
          <w:szCs w:val="26"/>
        </w:rPr>
        <w:t>velles règles européennes</w:t>
      </w:r>
      <w:r w:rsidR="00B14357" w:rsidRPr="00B14357">
        <w:rPr>
          <w:rFonts w:asciiTheme="minorHAnsi" w:hAnsiTheme="minorHAnsi" w:cstheme="minorHAnsi"/>
          <w:i/>
          <w:sz w:val="26"/>
          <w:szCs w:val="26"/>
        </w:rPr>
        <w:t xml:space="preserve"> à l’occasion de la modification par les époux de</w:t>
      </w:r>
      <w:r w:rsidR="00B14357">
        <w:rPr>
          <w:rFonts w:asciiTheme="minorHAnsi" w:hAnsiTheme="minorHAnsi" w:cstheme="minorHAnsi"/>
          <w:i/>
          <w:sz w:val="26"/>
          <w:szCs w:val="26"/>
        </w:rPr>
        <w:t xml:space="preserve"> leur régime matrimonial.</w:t>
      </w:r>
    </w:p>
    <w:p w:rsidR="0040724A" w:rsidRPr="00A549B7" w:rsidRDefault="0040724A" w:rsidP="00A549B7">
      <w:pPr>
        <w:spacing w:line="288" w:lineRule="auto"/>
        <w:rPr>
          <w:rFonts w:asciiTheme="minorHAnsi" w:hAnsiTheme="minorHAnsi" w:cstheme="minorHAnsi"/>
          <w:sz w:val="26"/>
          <w:szCs w:val="26"/>
        </w:rPr>
      </w:pPr>
    </w:p>
    <w:p w:rsidR="00B35D12" w:rsidRPr="00A549B7" w:rsidRDefault="003B1AAA" w:rsidP="00A549B7">
      <w:pPr>
        <w:spacing w:line="288" w:lineRule="auto"/>
        <w:rPr>
          <w:rFonts w:asciiTheme="minorHAnsi" w:hAnsiTheme="minorHAnsi" w:cstheme="minorHAnsi"/>
          <w:b/>
          <w:sz w:val="26"/>
          <w:szCs w:val="26"/>
        </w:rPr>
      </w:pPr>
      <w:r w:rsidRPr="00A549B7">
        <w:rPr>
          <w:rFonts w:asciiTheme="minorHAnsi" w:hAnsiTheme="minorHAnsi" w:cstheme="minorHAnsi"/>
          <w:b/>
          <w:sz w:val="26"/>
          <w:szCs w:val="26"/>
        </w:rPr>
        <w:t xml:space="preserve">1. </w:t>
      </w:r>
      <w:r w:rsidR="00B35D12" w:rsidRPr="00A549B7">
        <w:rPr>
          <w:rFonts w:asciiTheme="minorHAnsi" w:hAnsiTheme="minorHAnsi" w:cstheme="minorHAnsi"/>
          <w:b/>
          <w:sz w:val="26"/>
          <w:szCs w:val="26"/>
        </w:rPr>
        <w:t>Intro</w:t>
      </w:r>
      <w:r w:rsidR="00DE068A" w:rsidRPr="00A549B7">
        <w:rPr>
          <w:rFonts w:asciiTheme="minorHAnsi" w:hAnsiTheme="minorHAnsi" w:cstheme="minorHAnsi"/>
          <w:b/>
          <w:sz w:val="26"/>
          <w:szCs w:val="26"/>
        </w:rPr>
        <w:t>duction</w:t>
      </w:r>
    </w:p>
    <w:p w:rsidR="00B35D12" w:rsidRPr="00A549B7" w:rsidRDefault="00B35D12" w:rsidP="00A549B7">
      <w:pPr>
        <w:spacing w:line="288" w:lineRule="auto"/>
        <w:rPr>
          <w:rFonts w:asciiTheme="minorHAnsi" w:hAnsiTheme="minorHAnsi" w:cstheme="minorHAnsi"/>
          <w:sz w:val="26"/>
          <w:szCs w:val="26"/>
        </w:rPr>
      </w:pPr>
    </w:p>
    <w:p w:rsidR="00E32238" w:rsidRDefault="00B35D1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droit international privé </w:t>
      </w:r>
      <w:r w:rsidR="00317CC4" w:rsidRPr="00A549B7">
        <w:rPr>
          <w:rFonts w:asciiTheme="minorHAnsi" w:hAnsiTheme="minorHAnsi" w:cstheme="minorHAnsi"/>
          <w:sz w:val="26"/>
          <w:szCs w:val="26"/>
        </w:rPr>
        <w:t>d</w:t>
      </w:r>
      <w:r w:rsidRPr="00A549B7">
        <w:rPr>
          <w:rFonts w:asciiTheme="minorHAnsi" w:hAnsiTheme="minorHAnsi" w:cstheme="minorHAnsi"/>
          <w:sz w:val="26"/>
          <w:szCs w:val="26"/>
        </w:rPr>
        <w:t>es relations patrimoniales de couple a connu</w:t>
      </w:r>
      <w:r w:rsidR="00E05C2A" w:rsidRPr="00A549B7">
        <w:rPr>
          <w:rFonts w:asciiTheme="minorHAnsi" w:hAnsiTheme="minorHAnsi" w:cstheme="minorHAnsi"/>
          <w:sz w:val="26"/>
          <w:szCs w:val="26"/>
        </w:rPr>
        <w:t xml:space="preserve"> une évolution importante en 2016 avec l’adoption par l’Union</w:t>
      </w:r>
      <w:r w:rsidR="008E2D31" w:rsidRPr="00A549B7">
        <w:rPr>
          <w:rFonts w:asciiTheme="minorHAnsi" w:hAnsiTheme="minorHAnsi" w:cstheme="minorHAnsi"/>
          <w:sz w:val="26"/>
          <w:szCs w:val="26"/>
        </w:rPr>
        <w:t xml:space="preserve"> européenne de deux règlements </w:t>
      </w:r>
      <w:r w:rsidR="00531A59" w:rsidRPr="00A549B7">
        <w:rPr>
          <w:rFonts w:asciiTheme="minorHAnsi" w:hAnsiTheme="minorHAnsi" w:cstheme="minorHAnsi"/>
          <w:sz w:val="26"/>
          <w:szCs w:val="26"/>
        </w:rPr>
        <w:t> : le règlement 2016/1103 qui met en place un cadre complet de droit international privé visant les couples mariés</w:t>
      </w:r>
      <w:r w:rsidR="00230164" w:rsidRPr="00A549B7">
        <w:rPr>
          <w:rFonts w:asciiTheme="minorHAnsi" w:hAnsiTheme="minorHAnsi" w:cstheme="minorHAnsi"/>
          <w:sz w:val="26"/>
          <w:szCs w:val="26"/>
        </w:rPr>
        <w:t xml:space="preserve"> </w:t>
      </w:r>
      <w:r w:rsidR="00230164" w:rsidRPr="00A549B7">
        <w:rPr>
          <w:rStyle w:val="Appelnotedebasdep"/>
          <w:rFonts w:asciiTheme="minorHAnsi" w:hAnsiTheme="minorHAnsi" w:cstheme="minorHAnsi"/>
          <w:sz w:val="26"/>
          <w:szCs w:val="26"/>
        </w:rPr>
        <w:footnoteReference w:id="1"/>
      </w:r>
      <w:r w:rsidR="00531A59" w:rsidRPr="00A549B7">
        <w:rPr>
          <w:rFonts w:asciiTheme="minorHAnsi" w:hAnsiTheme="minorHAnsi" w:cstheme="minorHAnsi"/>
          <w:sz w:val="26"/>
          <w:szCs w:val="26"/>
        </w:rPr>
        <w:t xml:space="preserve"> et son jumeau, le règlement 2016/1104 qui fait de même à l’égard des personnes unies dans les liens d’un partenariat</w:t>
      </w:r>
      <w:r w:rsidR="00230164" w:rsidRPr="00A549B7">
        <w:rPr>
          <w:rStyle w:val="Appelnotedebasdep"/>
          <w:rFonts w:asciiTheme="minorHAnsi" w:hAnsiTheme="minorHAnsi" w:cstheme="minorHAnsi"/>
          <w:sz w:val="26"/>
          <w:szCs w:val="26"/>
        </w:rPr>
        <w:footnoteReference w:id="2"/>
      </w:r>
      <w:r w:rsidRPr="00A549B7">
        <w:rPr>
          <w:rFonts w:asciiTheme="minorHAnsi" w:hAnsiTheme="minorHAnsi" w:cstheme="minorHAnsi"/>
          <w:sz w:val="26"/>
          <w:szCs w:val="26"/>
        </w:rPr>
        <w:t>.</w:t>
      </w:r>
      <w:r w:rsidR="00002986" w:rsidRPr="00A549B7">
        <w:rPr>
          <w:rFonts w:asciiTheme="minorHAnsi" w:hAnsiTheme="minorHAnsi" w:cstheme="minorHAnsi"/>
          <w:sz w:val="26"/>
          <w:szCs w:val="26"/>
        </w:rPr>
        <w:t xml:space="preserve"> </w:t>
      </w:r>
      <w:r w:rsidR="00E32238" w:rsidRPr="00A549B7">
        <w:rPr>
          <w:rFonts w:asciiTheme="minorHAnsi" w:hAnsiTheme="minorHAnsi" w:cstheme="minorHAnsi"/>
          <w:sz w:val="26"/>
          <w:szCs w:val="26"/>
        </w:rPr>
        <w:t>Même si ces nouvelles règles sont quelque peu handicapées par la circonstance qu’elles ont été adoptées par le biais de la procédure de coopération renforcée</w:t>
      </w:r>
      <w:r w:rsidR="00C67C70" w:rsidRPr="00A549B7">
        <w:rPr>
          <w:rStyle w:val="Appelnotedebasdep"/>
          <w:rFonts w:asciiTheme="minorHAnsi" w:hAnsiTheme="minorHAnsi" w:cstheme="minorHAnsi"/>
          <w:sz w:val="26"/>
          <w:szCs w:val="26"/>
        </w:rPr>
        <w:footnoteReference w:id="3"/>
      </w:r>
      <w:r w:rsidR="00E32238" w:rsidRPr="00A549B7">
        <w:rPr>
          <w:rFonts w:asciiTheme="minorHAnsi" w:hAnsiTheme="minorHAnsi" w:cstheme="minorHAnsi"/>
          <w:sz w:val="26"/>
          <w:szCs w:val="26"/>
        </w:rPr>
        <w:t xml:space="preserve">, elles complètent fort utilement les efforts de l’Union européenne pour doter les Etats membres de règles communes en matière de </w:t>
      </w:r>
      <w:r w:rsidR="008E2D31" w:rsidRPr="00A549B7">
        <w:rPr>
          <w:rFonts w:asciiTheme="minorHAnsi" w:hAnsiTheme="minorHAnsi" w:cstheme="minorHAnsi"/>
          <w:sz w:val="26"/>
          <w:szCs w:val="26"/>
        </w:rPr>
        <w:t>relations patrimoniales</w:t>
      </w:r>
      <w:r w:rsidR="00231CB6" w:rsidRPr="00A549B7">
        <w:rPr>
          <w:rStyle w:val="Appelnotedebasdep"/>
          <w:rFonts w:asciiTheme="minorHAnsi" w:hAnsiTheme="minorHAnsi" w:cstheme="minorHAnsi"/>
          <w:sz w:val="26"/>
          <w:szCs w:val="26"/>
        </w:rPr>
        <w:footnoteReference w:id="4"/>
      </w:r>
      <w:r w:rsidR="00E32238" w:rsidRPr="00A549B7">
        <w:rPr>
          <w:rFonts w:asciiTheme="minorHAnsi" w:hAnsiTheme="minorHAnsi" w:cstheme="minorHAnsi"/>
          <w:sz w:val="26"/>
          <w:szCs w:val="26"/>
        </w:rPr>
        <w:t>.</w:t>
      </w:r>
    </w:p>
    <w:p w:rsidR="00A549B7" w:rsidRPr="00A549B7" w:rsidRDefault="00A549B7" w:rsidP="00A549B7">
      <w:pPr>
        <w:spacing w:line="288" w:lineRule="auto"/>
        <w:jc w:val="both"/>
        <w:rPr>
          <w:rFonts w:asciiTheme="minorHAnsi" w:hAnsiTheme="minorHAnsi" w:cstheme="minorHAnsi"/>
          <w:sz w:val="26"/>
          <w:szCs w:val="26"/>
        </w:rPr>
      </w:pPr>
    </w:p>
    <w:p w:rsidR="00B35D12" w:rsidRPr="00A549B7" w:rsidRDefault="006769EF"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L’impact des règles européennes ne se fera sentir que progressivement. L’article 69 paragraphe 3 du Règlement prévoit en effet que celui-ci ne s’applique qu’aux « époux qui se sont mariés ou qui ont désigné la loi applicable à leur régime matrimonial à compter du 29 janvier 2019</w:t>
      </w:r>
      <w:r w:rsidRPr="00A549B7">
        <w:rPr>
          <w:rStyle w:val="Appelnotedebasdep"/>
          <w:rFonts w:asciiTheme="minorHAnsi" w:hAnsiTheme="minorHAnsi" w:cstheme="minorHAnsi"/>
          <w:sz w:val="26"/>
          <w:szCs w:val="26"/>
        </w:rPr>
        <w:footnoteReference w:id="5"/>
      </w:r>
      <w:r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6769EF" w:rsidRPr="00A549B7" w:rsidRDefault="006769EF"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Ceci signifie que le Code de droit international privé demeurera pertinent pendant encore de longues années. A l’égard des époux mariés à partir du 1</w:t>
      </w:r>
      <w:r w:rsidRPr="00A549B7">
        <w:rPr>
          <w:rFonts w:asciiTheme="minorHAnsi" w:hAnsiTheme="minorHAnsi" w:cstheme="minorHAnsi"/>
          <w:sz w:val="26"/>
          <w:szCs w:val="26"/>
          <w:vertAlign w:val="superscript"/>
        </w:rPr>
        <w:t>er</w:t>
      </w:r>
      <w:r w:rsidRPr="00A549B7">
        <w:rPr>
          <w:rFonts w:asciiTheme="minorHAnsi" w:hAnsiTheme="minorHAnsi" w:cstheme="minorHAnsi"/>
          <w:sz w:val="26"/>
          <w:szCs w:val="26"/>
        </w:rPr>
        <w:t xml:space="preserve"> octobre 2004, date d’entrée en vigueur du Code, </w:t>
      </w:r>
      <w:r w:rsidR="0071468E" w:rsidRPr="00A549B7">
        <w:rPr>
          <w:rFonts w:asciiTheme="minorHAnsi" w:hAnsiTheme="minorHAnsi" w:cstheme="minorHAnsi"/>
          <w:sz w:val="26"/>
          <w:szCs w:val="26"/>
        </w:rPr>
        <w:t xml:space="preserve">mais avant le 29 janvier 2019, </w:t>
      </w:r>
      <w:r w:rsidRPr="00A549B7">
        <w:rPr>
          <w:rFonts w:asciiTheme="minorHAnsi" w:hAnsiTheme="minorHAnsi" w:cstheme="minorHAnsi"/>
          <w:sz w:val="26"/>
          <w:szCs w:val="26"/>
        </w:rPr>
        <w:t xml:space="preserve">les solutions européennes </w:t>
      </w:r>
      <w:r w:rsidR="00E05C2A" w:rsidRPr="00A549B7">
        <w:rPr>
          <w:rFonts w:asciiTheme="minorHAnsi" w:hAnsiTheme="minorHAnsi" w:cstheme="minorHAnsi"/>
          <w:sz w:val="26"/>
          <w:szCs w:val="26"/>
        </w:rPr>
        <w:t>n’auront en principe aucun impact.</w:t>
      </w:r>
      <w:r w:rsidR="00E3719D" w:rsidRPr="00A549B7">
        <w:rPr>
          <w:rFonts w:asciiTheme="minorHAnsi" w:hAnsiTheme="minorHAnsi" w:cstheme="minorHAnsi"/>
          <w:sz w:val="26"/>
          <w:szCs w:val="26"/>
        </w:rPr>
        <w:t xml:space="preserve"> </w:t>
      </w:r>
      <w:r w:rsidR="0071468E" w:rsidRPr="00A549B7">
        <w:rPr>
          <w:rFonts w:asciiTheme="minorHAnsi" w:hAnsiTheme="minorHAnsi" w:cstheme="minorHAnsi"/>
          <w:sz w:val="26"/>
          <w:szCs w:val="26"/>
        </w:rPr>
        <w:t xml:space="preserve">La pratique devra d’ailleurs continuer à travailler avec des règles encore plus anciennes : </w:t>
      </w:r>
      <w:r w:rsidR="00E3719D" w:rsidRPr="00A549B7">
        <w:rPr>
          <w:rFonts w:asciiTheme="minorHAnsi" w:hAnsiTheme="minorHAnsi" w:cstheme="minorHAnsi"/>
          <w:sz w:val="26"/>
          <w:szCs w:val="26"/>
        </w:rPr>
        <w:t xml:space="preserve">les règles de conflit de lois en vigueur avant l’adoption du Code de droit international privé demeurent pertinentes </w:t>
      </w:r>
      <w:r w:rsidR="0071468E" w:rsidRPr="00A549B7">
        <w:rPr>
          <w:rFonts w:asciiTheme="minorHAnsi" w:hAnsiTheme="minorHAnsi" w:cstheme="minorHAnsi"/>
          <w:sz w:val="26"/>
          <w:szCs w:val="26"/>
        </w:rPr>
        <w:t>puisqu’elles</w:t>
      </w:r>
      <w:r w:rsidR="00BD78FD" w:rsidRPr="00A549B7">
        <w:rPr>
          <w:rFonts w:asciiTheme="minorHAnsi" w:hAnsiTheme="minorHAnsi" w:cstheme="minorHAnsi"/>
          <w:sz w:val="26"/>
          <w:szCs w:val="26"/>
        </w:rPr>
        <w:t xml:space="preserve"> continueront à</w:t>
      </w:r>
      <w:r w:rsidR="0071468E" w:rsidRPr="00A549B7">
        <w:rPr>
          <w:rFonts w:asciiTheme="minorHAnsi" w:hAnsiTheme="minorHAnsi" w:cstheme="minorHAnsi"/>
          <w:sz w:val="26"/>
          <w:szCs w:val="26"/>
        </w:rPr>
        <w:t xml:space="preserve"> s’applique</w:t>
      </w:r>
      <w:r w:rsidR="00BD78FD" w:rsidRPr="00A549B7">
        <w:rPr>
          <w:rFonts w:asciiTheme="minorHAnsi" w:hAnsiTheme="minorHAnsi" w:cstheme="minorHAnsi"/>
          <w:sz w:val="26"/>
          <w:szCs w:val="26"/>
        </w:rPr>
        <w:t>r</w:t>
      </w:r>
      <w:r w:rsidR="0071468E" w:rsidRPr="00A549B7">
        <w:rPr>
          <w:rFonts w:asciiTheme="minorHAnsi" w:hAnsiTheme="minorHAnsi" w:cstheme="minorHAnsi"/>
          <w:sz w:val="26"/>
          <w:szCs w:val="26"/>
        </w:rPr>
        <w:t xml:space="preserve"> </w:t>
      </w:r>
      <w:r w:rsidR="00E3719D" w:rsidRPr="00A549B7">
        <w:rPr>
          <w:rFonts w:asciiTheme="minorHAnsi" w:hAnsiTheme="minorHAnsi" w:cstheme="minorHAnsi"/>
          <w:sz w:val="26"/>
          <w:szCs w:val="26"/>
        </w:rPr>
        <w:t>à tous les couples mariés avant le 1</w:t>
      </w:r>
      <w:r w:rsidR="00E3719D" w:rsidRPr="00A549B7">
        <w:rPr>
          <w:rFonts w:asciiTheme="minorHAnsi" w:hAnsiTheme="minorHAnsi" w:cstheme="minorHAnsi"/>
          <w:sz w:val="26"/>
          <w:szCs w:val="26"/>
          <w:vertAlign w:val="superscript"/>
        </w:rPr>
        <w:t>er</w:t>
      </w:r>
      <w:r w:rsidR="00E3719D" w:rsidRPr="00A549B7">
        <w:rPr>
          <w:rFonts w:asciiTheme="minorHAnsi" w:hAnsiTheme="minorHAnsi" w:cstheme="minorHAnsi"/>
          <w:sz w:val="26"/>
          <w:szCs w:val="26"/>
        </w:rPr>
        <w:t xml:space="preserve"> octobre 2004. Le Code de droit international privé est </w:t>
      </w:r>
      <w:r w:rsidR="00BD78FD" w:rsidRPr="00A549B7">
        <w:rPr>
          <w:rFonts w:asciiTheme="minorHAnsi" w:hAnsiTheme="minorHAnsi" w:cstheme="minorHAnsi"/>
          <w:sz w:val="26"/>
          <w:szCs w:val="26"/>
        </w:rPr>
        <w:t xml:space="preserve">en effet </w:t>
      </w:r>
      <w:r w:rsidR="00E3719D" w:rsidRPr="00A549B7">
        <w:rPr>
          <w:rFonts w:asciiTheme="minorHAnsi" w:hAnsiTheme="minorHAnsi" w:cstheme="minorHAnsi"/>
          <w:sz w:val="26"/>
          <w:szCs w:val="26"/>
        </w:rPr>
        <w:t xml:space="preserve">respectueux des </w:t>
      </w:r>
      <w:r w:rsidR="008E2D31" w:rsidRPr="00A549B7">
        <w:rPr>
          <w:rFonts w:asciiTheme="minorHAnsi" w:hAnsiTheme="minorHAnsi" w:cstheme="minorHAnsi"/>
          <w:sz w:val="26"/>
          <w:szCs w:val="26"/>
        </w:rPr>
        <w:t>situations déjà constituées</w:t>
      </w:r>
      <w:r w:rsidR="00E3719D" w:rsidRPr="00A549B7">
        <w:rPr>
          <w:rFonts w:asciiTheme="minorHAnsi" w:hAnsiTheme="minorHAnsi" w:cstheme="minorHAnsi"/>
          <w:sz w:val="26"/>
          <w:szCs w:val="26"/>
        </w:rPr>
        <w:t xml:space="preserve">. Il ne s’impose pas </w:t>
      </w:r>
      <w:r w:rsidR="004D4D3D" w:rsidRPr="00A549B7">
        <w:rPr>
          <w:rFonts w:asciiTheme="minorHAnsi" w:hAnsiTheme="minorHAnsi" w:cstheme="minorHAnsi"/>
          <w:sz w:val="26"/>
          <w:szCs w:val="26"/>
        </w:rPr>
        <w:t>aux couples déjà mariés</w:t>
      </w:r>
      <w:r w:rsidR="0071468E" w:rsidRPr="00A549B7">
        <w:rPr>
          <w:rFonts w:asciiTheme="minorHAnsi" w:hAnsiTheme="minorHAnsi" w:cstheme="minorHAnsi"/>
          <w:sz w:val="26"/>
          <w:szCs w:val="26"/>
        </w:rPr>
        <w:t xml:space="preserve"> au 1</w:t>
      </w:r>
      <w:r w:rsidR="0071468E" w:rsidRPr="00A549B7">
        <w:rPr>
          <w:rFonts w:asciiTheme="minorHAnsi" w:hAnsiTheme="minorHAnsi" w:cstheme="minorHAnsi"/>
          <w:sz w:val="26"/>
          <w:szCs w:val="26"/>
          <w:vertAlign w:val="superscript"/>
        </w:rPr>
        <w:t>er</w:t>
      </w:r>
      <w:r w:rsidR="0071468E" w:rsidRPr="00A549B7">
        <w:rPr>
          <w:rFonts w:asciiTheme="minorHAnsi" w:hAnsiTheme="minorHAnsi" w:cstheme="minorHAnsi"/>
          <w:sz w:val="26"/>
          <w:szCs w:val="26"/>
        </w:rPr>
        <w:t xml:space="preserve"> octobre 2004</w:t>
      </w:r>
      <w:r w:rsidR="00381E1D" w:rsidRPr="00A549B7">
        <w:rPr>
          <w:rStyle w:val="Appelnotedebasdep"/>
          <w:rFonts w:asciiTheme="minorHAnsi" w:hAnsiTheme="minorHAnsi" w:cstheme="minorHAnsi"/>
          <w:sz w:val="26"/>
          <w:szCs w:val="26"/>
        </w:rPr>
        <w:footnoteReference w:id="6"/>
      </w:r>
      <w:r w:rsidR="004D4D3D" w:rsidRPr="00A549B7">
        <w:rPr>
          <w:rFonts w:asciiTheme="minorHAnsi" w:hAnsiTheme="minorHAnsi" w:cstheme="minorHAnsi"/>
          <w:sz w:val="26"/>
          <w:szCs w:val="26"/>
        </w:rPr>
        <w:t xml:space="preserve">. </w:t>
      </w:r>
      <w:r w:rsidR="0071468E" w:rsidRPr="00A549B7">
        <w:rPr>
          <w:rFonts w:asciiTheme="minorHAnsi" w:hAnsiTheme="minorHAnsi" w:cstheme="minorHAnsi"/>
          <w:sz w:val="26"/>
          <w:szCs w:val="26"/>
        </w:rPr>
        <w:t>Son application est réservée aux couples dont l’union a été consacrée à partir de cette date</w:t>
      </w:r>
      <w:r w:rsidR="0071468E" w:rsidRPr="00A549B7">
        <w:rPr>
          <w:rStyle w:val="Appelnotedebasdep"/>
          <w:rFonts w:asciiTheme="minorHAnsi" w:hAnsiTheme="minorHAnsi" w:cstheme="minorHAnsi"/>
          <w:sz w:val="26"/>
          <w:szCs w:val="26"/>
        </w:rPr>
        <w:footnoteReference w:id="7"/>
      </w:r>
      <w:r w:rsidR="0071468E"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8C1B7E" w:rsidRPr="00A549B7" w:rsidRDefault="00B35D1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Pour mieux cerner les nouvelles règ</w:t>
      </w:r>
      <w:r w:rsidR="00B9080B" w:rsidRPr="00A549B7">
        <w:rPr>
          <w:rFonts w:asciiTheme="minorHAnsi" w:hAnsiTheme="minorHAnsi" w:cstheme="minorHAnsi"/>
          <w:sz w:val="26"/>
          <w:szCs w:val="26"/>
        </w:rPr>
        <w:t xml:space="preserve">les, </w:t>
      </w:r>
      <w:r w:rsidR="0071468E" w:rsidRPr="00A549B7">
        <w:rPr>
          <w:rFonts w:asciiTheme="minorHAnsi" w:hAnsiTheme="minorHAnsi" w:cstheme="minorHAnsi"/>
          <w:sz w:val="26"/>
          <w:szCs w:val="26"/>
        </w:rPr>
        <w:t xml:space="preserve">la présente contribution s’articule autour de deux axes. Dans un premier temps, </w:t>
      </w:r>
      <w:r w:rsidR="0054678F" w:rsidRPr="00A549B7">
        <w:rPr>
          <w:rFonts w:asciiTheme="minorHAnsi" w:hAnsiTheme="minorHAnsi" w:cstheme="minorHAnsi"/>
          <w:sz w:val="26"/>
          <w:szCs w:val="26"/>
        </w:rPr>
        <w:t>l’on présentera le</w:t>
      </w:r>
      <w:r w:rsidR="0071468E" w:rsidRPr="00A549B7">
        <w:rPr>
          <w:rFonts w:asciiTheme="minorHAnsi" w:hAnsiTheme="minorHAnsi" w:cstheme="minorHAnsi"/>
          <w:sz w:val="26"/>
          <w:szCs w:val="26"/>
        </w:rPr>
        <w:t>s principes généraux</w:t>
      </w:r>
      <w:r w:rsidR="008C1B7E" w:rsidRPr="00A549B7">
        <w:rPr>
          <w:rFonts w:asciiTheme="minorHAnsi" w:hAnsiTheme="minorHAnsi" w:cstheme="minorHAnsi"/>
          <w:sz w:val="26"/>
          <w:szCs w:val="26"/>
        </w:rPr>
        <w:t xml:space="preserve"> qui structurent le règlement régime matrimoniaux. Dans la mesure où ce texte s’inscrit dans une tradition déjà longue, à laquelle il doit beaucoup, la présentation mettra l’accent sur </w:t>
      </w:r>
      <w:r w:rsidR="00B9080B" w:rsidRPr="00A549B7">
        <w:rPr>
          <w:rFonts w:asciiTheme="minorHAnsi" w:hAnsiTheme="minorHAnsi" w:cstheme="minorHAnsi"/>
          <w:sz w:val="26"/>
          <w:szCs w:val="26"/>
        </w:rPr>
        <w:t>les similitudes et les quelques différences avec les</w:t>
      </w:r>
      <w:r w:rsidR="008C1B7E" w:rsidRPr="00A549B7">
        <w:rPr>
          <w:rFonts w:asciiTheme="minorHAnsi" w:hAnsiTheme="minorHAnsi" w:cstheme="minorHAnsi"/>
          <w:sz w:val="26"/>
          <w:szCs w:val="26"/>
        </w:rPr>
        <w:t xml:space="preserve"> dispositions du Code de droit international privé</w:t>
      </w:r>
      <w:r w:rsidR="00230BA6" w:rsidRPr="00A549B7">
        <w:rPr>
          <w:rStyle w:val="Appelnotedebasdep"/>
          <w:rFonts w:asciiTheme="minorHAnsi" w:hAnsiTheme="minorHAnsi" w:cstheme="minorHAnsi"/>
          <w:sz w:val="26"/>
          <w:szCs w:val="26"/>
        </w:rPr>
        <w:footnoteReference w:id="8"/>
      </w:r>
      <w:r w:rsidR="008C1B7E"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B9080B" w:rsidRDefault="008C1B7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Dans un second temps,</w:t>
      </w:r>
      <w:r w:rsidR="00DE068A" w:rsidRPr="00A549B7">
        <w:rPr>
          <w:rFonts w:asciiTheme="minorHAnsi" w:hAnsiTheme="minorHAnsi" w:cstheme="minorHAnsi"/>
          <w:sz w:val="26"/>
          <w:szCs w:val="26"/>
        </w:rPr>
        <w:t xml:space="preserve"> l’attention se tournera vers </w:t>
      </w:r>
      <w:r w:rsidR="00B9080B" w:rsidRPr="00A549B7">
        <w:rPr>
          <w:rFonts w:asciiTheme="minorHAnsi" w:hAnsiTheme="minorHAnsi" w:cstheme="minorHAnsi"/>
          <w:sz w:val="26"/>
          <w:szCs w:val="26"/>
        </w:rPr>
        <w:t xml:space="preserve">l'hypothèse de la modification volontaire de régime matrimonial. C'est en effet sous cet angle que les praticiens seront d'abord confrontés aux nouvelles règles européennes. Or la question de la modification </w:t>
      </w:r>
      <w:r w:rsidR="00DE068A" w:rsidRPr="00A549B7">
        <w:rPr>
          <w:rFonts w:asciiTheme="minorHAnsi" w:hAnsiTheme="minorHAnsi" w:cstheme="minorHAnsi"/>
          <w:sz w:val="26"/>
          <w:szCs w:val="26"/>
        </w:rPr>
        <w:t xml:space="preserve">peut s’avérer </w:t>
      </w:r>
      <w:r w:rsidR="00B9080B" w:rsidRPr="00A549B7">
        <w:rPr>
          <w:rFonts w:asciiTheme="minorHAnsi" w:hAnsiTheme="minorHAnsi" w:cstheme="minorHAnsi"/>
          <w:sz w:val="26"/>
          <w:szCs w:val="26"/>
        </w:rPr>
        <w:t>particulièrement épineuse</w:t>
      </w:r>
      <w:r w:rsidR="00DE068A" w:rsidRPr="00A549B7">
        <w:rPr>
          <w:rFonts w:asciiTheme="minorHAnsi" w:hAnsiTheme="minorHAnsi" w:cstheme="minorHAnsi"/>
          <w:sz w:val="26"/>
          <w:szCs w:val="26"/>
        </w:rPr>
        <w:t>. En outre, elle</w:t>
      </w:r>
      <w:r w:rsidR="00B9080B" w:rsidRPr="00A549B7">
        <w:rPr>
          <w:rFonts w:asciiTheme="minorHAnsi" w:hAnsiTheme="minorHAnsi" w:cstheme="minorHAnsi"/>
          <w:sz w:val="26"/>
          <w:szCs w:val="26"/>
        </w:rPr>
        <w:t xml:space="preserve"> ne constitue malheureusement pas le point fort des deux textes européens.</w:t>
      </w:r>
    </w:p>
    <w:p w:rsidR="00A549B7" w:rsidRPr="00A549B7" w:rsidRDefault="00A549B7" w:rsidP="00A549B7">
      <w:pPr>
        <w:spacing w:line="288" w:lineRule="auto"/>
        <w:jc w:val="both"/>
        <w:rPr>
          <w:rFonts w:asciiTheme="minorHAnsi" w:hAnsiTheme="minorHAnsi" w:cstheme="minorHAnsi"/>
          <w:sz w:val="26"/>
          <w:szCs w:val="26"/>
        </w:rPr>
      </w:pPr>
    </w:p>
    <w:p w:rsidR="00B35D12" w:rsidRPr="00A549B7" w:rsidRDefault="00317CC4" w:rsidP="00A549B7">
      <w:pPr>
        <w:spacing w:line="288" w:lineRule="auto"/>
        <w:jc w:val="both"/>
        <w:rPr>
          <w:rFonts w:asciiTheme="minorHAnsi" w:hAnsiTheme="minorHAnsi" w:cstheme="minorHAnsi"/>
          <w:sz w:val="26"/>
          <w:szCs w:val="26"/>
        </w:rPr>
      </w:pPr>
      <w:r w:rsidRPr="00A549B7">
        <w:rPr>
          <w:rFonts w:asciiTheme="minorHAnsi" w:hAnsiTheme="minorHAnsi" w:cstheme="minorHAnsi"/>
          <w:i/>
          <w:sz w:val="26"/>
          <w:szCs w:val="26"/>
        </w:rPr>
        <w:t>Brevitatis causae</w:t>
      </w:r>
      <w:r w:rsidRPr="00A549B7">
        <w:rPr>
          <w:rFonts w:asciiTheme="minorHAnsi" w:hAnsiTheme="minorHAnsi" w:cstheme="minorHAnsi"/>
          <w:sz w:val="26"/>
          <w:szCs w:val="26"/>
        </w:rPr>
        <w:t>, il ne sera pas question d</w:t>
      </w:r>
      <w:r w:rsidR="00230BA6" w:rsidRPr="00A549B7">
        <w:rPr>
          <w:rFonts w:asciiTheme="minorHAnsi" w:hAnsiTheme="minorHAnsi" w:cstheme="minorHAnsi"/>
          <w:sz w:val="26"/>
          <w:szCs w:val="26"/>
        </w:rPr>
        <w:t>ans</w:t>
      </w:r>
      <w:r w:rsidRPr="00A549B7">
        <w:rPr>
          <w:rFonts w:asciiTheme="minorHAnsi" w:hAnsiTheme="minorHAnsi" w:cstheme="minorHAnsi"/>
          <w:sz w:val="26"/>
          <w:szCs w:val="26"/>
        </w:rPr>
        <w:t xml:space="preserve"> les lignes qui suivent des règles de compétence mises en place par le règlement 2016/1103. </w:t>
      </w:r>
      <w:r w:rsidR="00230BA6" w:rsidRPr="00A549B7">
        <w:rPr>
          <w:rFonts w:asciiTheme="minorHAnsi" w:hAnsiTheme="minorHAnsi" w:cstheme="minorHAnsi"/>
          <w:sz w:val="26"/>
          <w:szCs w:val="26"/>
        </w:rPr>
        <w:t>Leur intérêt semble en effet moindre, dans la mesure où le domaine des relations patrimoniales de couple n’est pas caractérisé par l’existence d’un contentieux important</w:t>
      </w:r>
      <w:r w:rsidR="0054678F" w:rsidRPr="00A549B7">
        <w:rPr>
          <w:rStyle w:val="Appelnotedebasdep"/>
          <w:rFonts w:asciiTheme="minorHAnsi" w:hAnsiTheme="minorHAnsi" w:cstheme="minorHAnsi"/>
          <w:sz w:val="26"/>
          <w:szCs w:val="26"/>
        </w:rPr>
        <w:footnoteReference w:id="9"/>
      </w:r>
      <w:r w:rsidR="00230BA6" w:rsidRPr="00A549B7">
        <w:rPr>
          <w:rFonts w:asciiTheme="minorHAnsi" w:hAnsiTheme="minorHAnsi" w:cstheme="minorHAnsi"/>
          <w:sz w:val="26"/>
          <w:szCs w:val="26"/>
        </w:rPr>
        <w:t xml:space="preserve">. </w:t>
      </w:r>
      <w:r w:rsidR="000C56F2" w:rsidRPr="00A549B7">
        <w:rPr>
          <w:rFonts w:asciiTheme="minorHAnsi" w:hAnsiTheme="minorHAnsi" w:cstheme="minorHAnsi"/>
          <w:sz w:val="26"/>
          <w:szCs w:val="26"/>
        </w:rPr>
        <w:t xml:space="preserve">Le règlement 2016/1104 qui met en place un cadre de droit international privé à l’intention des partenariats ne sera </w:t>
      </w:r>
      <w:r w:rsidR="008E2D31" w:rsidRPr="00A549B7">
        <w:rPr>
          <w:rFonts w:asciiTheme="minorHAnsi" w:hAnsiTheme="minorHAnsi" w:cstheme="minorHAnsi"/>
          <w:sz w:val="26"/>
          <w:szCs w:val="26"/>
        </w:rPr>
        <w:t>évoqué que de façon ponctuelle, pour mettre en exergue une solution qui lui est particulière.</w:t>
      </w:r>
    </w:p>
    <w:p w:rsidR="00B9080B" w:rsidRPr="00A549B7" w:rsidRDefault="00B9080B" w:rsidP="00A549B7">
      <w:pPr>
        <w:spacing w:line="288" w:lineRule="auto"/>
        <w:rPr>
          <w:rFonts w:asciiTheme="minorHAnsi" w:hAnsiTheme="minorHAnsi" w:cstheme="minorHAnsi"/>
          <w:sz w:val="26"/>
          <w:szCs w:val="26"/>
        </w:rPr>
      </w:pPr>
    </w:p>
    <w:p w:rsidR="00B35D12" w:rsidRPr="00A549B7" w:rsidRDefault="003B1AAA" w:rsidP="00A549B7">
      <w:pPr>
        <w:spacing w:line="288" w:lineRule="auto"/>
        <w:rPr>
          <w:rFonts w:asciiTheme="minorHAnsi" w:hAnsiTheme="minorHAnsi" w:cstheme="minorHAnsi"/>
          <w:b/>
          <w:sz w:val="26"/>
          <w:szCs w:val="26"/>
        </w:rPr>
      </w:pPr>
      <w:r w:rsidRPr="00A549B7">
        <w:rPr>
          <w:rFonts w:asciiTheme="minorHAnsi" w:hAnsiTheme="minorHAnsi" w:cstheme="minorHAnsi"/>
          <w:b/>
          <w:sz w:val="26"/>
          <w:szCs w:val="26"/>
        </w:rPr>
        <w:t>2</w:t>
      </w:r>
      <w:r w:rsidR="006769EF" w:rsidRPr="00A549B7">
        <w:rPr>
          <w:rFonts w:asciiTheme="minorHAnsi" w:hAnsiTheme="minorHAnsi" w:cstheme="minorHAnsi"/>
          <w:b/>
          <w:sz w:val="26"/>
          <w:szCs w:val="26"/>
        </w:rPr>
        <w:t xml:space="preserve">. </w:t>
      </w:r>
      <w:r w:rsidR="00B35D12" w:rsidRPr="00A549B7">
        <w:rPr>
          <w:rFonts w:asciiTheme="minorHAnsi" w:hAnsiTheme="minorHAnsi" w:cstheme="minorHAnsi"/>
          <w:b/>
          <w:sz w:val="26"/>
          <w:szCs w:val="26"/>
        </w:rPr>
        <w:t>Les principes généraux</w:t>
      </w:r>
      <w:r w:rsidR="002C2537" w:rsidRPr="00A549B7">
        <w:rPr>
          <w:rFonts w:asciiTheme="minorHAnsi" w:hAnsiTheme="minorHAnsi" w:cstheme="minorHAnsi"/>
          <w:b/>
          <w:sz w:val="26"/>
          <w:szCs w:val="26"/>
        </w:rPr>
        <w:t xml:space="preserve"> du droit européen des relations patrimoniales</w:t>
      </w:r>
    </w:p>
    <w:p w:rsidR="00A549B7" w:rsidRDefault="00A549B7" w:rsidP="00A549B7">
      <w:pPr>
        <w:spacing w:line="288" w:lineRule="auto"/>
        <w:jc w:val="both"/>
        <w:rPr>
          <w:rFonts w:asciiTheme="minorHAnsi" w:hAnsiTheme="minorHAnsi" w:cstheme="minorHAnsi"/>
          <w:sz w:val="26"/>
          <w:szCs w:val="26"/>
        </w:rPr>
      </w:pPr>
    </w:p>
    <w:p w:rsidR="00B35D12" w:rsidRPr="00A549B7" w:rsidRDefault="00B35D1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praticien belge habitué aux dispositions du Code de droit international privé ne sera guère surpris lorsqu’il s’aventure dans les quelques septante dispositions des règlements européens. </w:t>
      </w:r>
      <w:r w:rsidRPr="00A549B7">
        <w:rPr>
          <w:rFonts w:asciiTheme="minorHAnsi" w:hAnsiTheme="minorHAnsi" w:cstheme="minorHAnsi"/>
          <w:i/>
          <w:sz w:val="26"/>
          <w:szCs w:val="26"/>
        </w:rPr>
        <w:t>Prima facie</w:t>
      </w:r>
      <w:r w:rsidRPr="00A549B7">
        <w:rPr>
          <w:rFonts w:asciiTheme="minorHAnsi" w:hAnsiTheme="minorHAnsi" w:cstheme="minorHAnsi"/>
          <w:sz w:val="26"/>
          <w:szCs w:val="26"/>
        </w:rPr>
        <w:t>, le droit international privé européen respecte en effet les grands équilibres du droit contemporain : d’une part, la possibilité est laissée aux membres du couple de sélectionner le droit national auquel ils souhaitent soumettre leurs relations patrimoniales</w:t>
      </w:r>
      <w:r w:rsidR="004D4D3D" w:rsidRPr="00A549B7">
        <w:rPr>
          <w:rFonts w:asciiTheme="minorHAnsi" w:hAnsiTheme="minorHAnsi" w:cstheme="minorHAnsi"/>
          <w:sz w:val="26"/>
          <w:szCs w:val="26"/>
        </w:rPr>
        <w:t xml:space="preserve"> (art. 22)</w:t>
      </w:r>
      <w:r w:rsidR="00161224" w:rsidRPr="00A549B7">
        <w:rPr>
          <w:rFonts w:asciiTheme="minorHAnsi" w:hAnsiTheme="minorHAnsi" w:cstheme="minorHAnsi"/>
          <w:sz w:val="26"/>
          <w:szCs w:val="26"/>
        </w:rPr>
        <w:t>, en articulant ce choix avec la définition du régime qui accompagnera les époux</w:t>
      </w:r>
      <w:r w:rsidR="00161224" w:rsidRPr="00A549B7">
        <w:rPr>
          <w:rStyle w:val="Appelnotedebasdep"/>
          <w:rFonts w:asciiTheme="minorHAnsi" w:hAnsiTheme="minorHAnsi" w:cstheme="minorHAnsi"/>
          <w:sz w:val="26"/>
          <w:szCs w:val="26"/>
        </w:rPr>
        <w:footnoteReference w:id="10"/>
      </w:r>
      <w:r w:rsidRPr="00A549B7">
        <w:rPr>
          <w:rFonts w:asciiTheme="minorHAnsi" w:hAnsiTheme="minorHAnsi" w:cstheme="minorHAnsi"/>
          <w:sz w:val="26"/>
          <w:szCs w:val="26"/>
        </w:rPr>
        <w:t>. D’autre part, en l’absence d’un choix de loi, la priorité est donnée au droit de l’Etat où les époux ont vécu les premières années de leur vie maritale</w:t>
      </w:r>
      <w:r w:rsidR="004D4D3D" w:rsidRPr="00A549B7">
        <w:rPr>
          <w:rFonts w:asciiTheme="minorHAnsi" w:hAnsiTheme="minorHAnsi" w:cstheme="minorHAnsi"/>
          <w:sz w:val="26"/>
          <w:szCs w:val="26"/>
        </w:rPr>
        <w:t xml:space="preserve"> (art. 26)</w:t>
      </w:r>
      <w:r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B9080B" w:rsidRPr="00A549B7" w:rsidRDefault="00B35D1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Si l’on examine ces deux points cardinaux du droit international privé des couples, on constate une </w:t>
      </w:r>
      <w:r w:rsidR="00E34029" w:rsidRPr="00A549B7">
        <w:rPr>
          <w:rFonts w:asciiTheme="minorHAnsi" w:hAnsiTheme="minorHAnsi" w:cstheme="minorHAnsi"/>
          <w:sz w:val="26"/>
          <w:szCs w:val="26"/>
        </w:rPr>
        <w:t xml:space="preserve">forte </w:t>
      </w:r>
      <w:r w:rsidRPr="00A549B7">
        <w:rPr>
          <w:rFonts w:asciiTheme="minorHAnsi" w:hAnsiTheme="minorHAnsi" w:cstheme="minorHAnsi"/>
          <w:sz w:val="26"/>
          <w:szCs w:val="26"/>
        </w:rPr>
        <w:t>proximité</w:t>
      </w:r>
      <w:r w:rsidR="00E34029" w:rsidRPr="00A549B7">
        <w:rPr>
          <w:rFonts w:asciiTheme="minorHAnsi" w:hAnsiTheme="minorHAnsi" w:cstheme="minorHAnsi"/>
          <w:sz w:val="26"/>
          <w:szCs w:val="26"/>
        </w:rPr>
        <w:t xml:space="preserve"> avec les solutions retenues par le législateur belge en 2004</w:t>
      </w:r>
      <w:r w:rsidRPr="00A549B7">
        <w:rPr>
          <w:rFonts w:asciiTheme="minorHAnsi" w:hAnsiTheme="minorHAnsi" w:cstheme="minorHAnsi"/>
          <w:sz w:val="26"/>
          <w:szCs w:val="26"/>
        </w:rPr>
        <w:t xml:space="preserve">. </w:t>
      </w:r>
      <w:r w:rsidR="00E34029" w:rsidRPr="00A549B7">
        <w:rPr>
          <w:rFonts w:asciiTheme="minorHAnsi" w:hAnsiTheme="minorHAnsi" w:cstheme="minorHAnsi"/>
          <w:sz w:val="26"/>
          <w:szCs w:val="26"/>
        </w:rPr>
        <w:t xml:space="preserve">Ceci ne doit guère étonner : le Code doit en effet beaucoup à la Convention de La Haye de 1978, dont il a retenu la substance en écartant </w:t>
      </w:r>
      <w:r w:rsidR="008E2D31" w:rsidRPr="00A549B7">
        <w:rPr>
          <w:rFonts w:asciiTheme="minorHAnsi" w:hAnsiTheme="minorHAnsi" w:cstheme="minorHAnsi"/>
          <w:sz w:val="26"/>
          <w:szCs w:val="26"/>
        </w:rPr>
        <w:t xml:space="preserve">certaines </w:t>
      </w:r>
      <w:r w:rsidR="00E34029" w:rsidRPr="00A549B7">
        <w:rPr>
          <w:rFonts w:asciiTheme="minorHAnsi" w:hAnsiTheme="minorHAnsi" w:cstheme="minorHAnsi"/>
          <w:sz w:val="26"/>
          <w:szCs w:val="26"/>
        </w:rPr>
        <w:t>solutions</w:t>
      </w:r>
      <w:r w:rsidR="008E2D31" w:rsidRPr="00A549B7">
        <w:rPr>
          <w:rFonts w:asciiTheme="minorHAnsi" w:hAnsiTheme="minorHAnsi" w:cstheme="minorHAnsi"/>
          <w:sz w:val="26"/>
          <w:szCs w:val="26"/>
        </w:rPr>
        <w:t xml:space="preserve"> jugées</w:t>
      </w:r>
      <w:r w:rsidR="00E34029" w:rsidRPr="00A549B7">
        <w:rPr>
          <w:rFonts w:asciiTheme="minorHAnsi" w:hAnsiTheme="minorHAnsi" w:cstheme="minorHAnsi"/>
          <w:sz w:val="26"/>
          <w:szCs w:val="26"/>
        </w:rPr>
        <w:t xml:space="preserve"> moins </w:t>
      </w:r>
      <w:r w:rsidR="008E2D31" w:rsidRPr="00A549B7">
        <w:rPr>
          <w:rFonts w:asciiTheme="minorHAnsi" w:hAnsiTheme="minorHAnsi" w:cstheme="minorHAnsi"/>
          <w:sz w:val="26"/>
          <w:szCs w:val="26"/>
        </w:rPr>
        <w:t>opportunes</w:t>
      </w:r>
      <w:r w:rsidR="004D4D3D" w:rsidRPr="00A549B7">
        <w:rPr>
          <w:rStyle w:val="Appelnotedebasdep"/>
          <w:rFonts w:asciiTheme="minorHAnsi" w:hAnsiTheme="minorHAnsi" w:cstheme="minorHAnsi"/>
          <w:sz w:val="26"/>
          <w:szCs w:val="26"/>
        </w:rPr>
        <w:footnoteReference w:id="11"/>
      </w:r>
      <w:r w:rsidR="00E34029" w:rsidRPr="00A549B7">
        <w:rPr>
          <w:rFonts w:asciiTheme="minorHAnsi" w:hAnsiTheme="minorHAnsi" w:cstheme="minorHAnsi"/>
          <w:sz w:val="26"/>
          <w:szCs w:val="26"/>
        </w:rPr>
        <w:t xml:space="preserve">. </w:t>
      </w:r>
      <w:r w:rsidR="00003AA8" w:rsidRPr="00A549B7">
        <w:rPr>
          <w:rFonts w:asciiTheme="minorHAnsi" w:hAnsiTheme="minorHAnsi" w:cstheme="minorHAnsi"/>
          <w:sz w:val="26"/>
          <w:szCs w:val="26"/>
        </w:rPr>
        <w:t>Or les rédacteurs du texte européen n’ont pas manqué de s’inspirer également des dispositions de la Convention de La Haye, fut-ce pour s’écarter des solutions jugées moins convaincantes</w:t>
      </w:r>
      <w:r w:rsidR="002C2537" w:rsidRPr="00A549B7">
        <w:rPr>
          <w:rStyle w:val="Appelnotedebasdep"/>
          <w:rFonts w:asciiTheme="minorHAnsi" w:hAnsiTheme="minorHAnsi" w:cstheme="minorHAnsi"/>
          <w:sz w:val="26"/>
          <w:szCs w:val="26"/>
        </w:rPr>
        <w:footnoteReference w:id="12"/>
      </w:r>
      <w:r w:rsidR="00003AA8" w:rsidRPr="00A549B7">
        <w:rPr>
          <w:rFonts w:asciiTheme="minorHAnsi" w:hAnsiTheme="minorHAnsi" w:cstheme="minorHAnsi"/>
          <w:sz w:val="26"/>
          <w:szCs w:val="26"/>
        </w:rPr>
        <w:t>.</w:t>
      </w:r>
      <w:r w:rsidR="00003862" w:rsidRPr="00A549B7">
        <w:rPr>
          <w:rFonts w:asciiTheme="minorHAnsi" w:hAnsiTheme="minorHAnsi" w:cstheme="minorHAnsi"/>
          <w:sz w:val="26"/>
          <w:szCs w:val="26"/>
        </w:rPr>
        <w:t xml:space="preserve"> Il faut donc voir dans les solutions européennes la dernière version d’un ensemble de règles </w:t>
      </w:r>
      <w:r w:rsidR="008E2D31" w:rsidRPr="00A549B7">
        <w:rPr>
          <w:rFonts w:asciiTheme="minorHAnsi" w:hAnsiTheme="minorHAnsi" w:cstheme="minorHAnsi"/>
          <w:sz w:val="26"/>
          <w:szCs w:val="26"/>
        </w:rPr>
        <w:t xml:space="preserve">construites autour d’un socle commun, </w:t>
      </w:r>
      <w:r w:rsidR="00144B9C" w:rsidRPr="00A549B7">
        <w:rPr>
          <w:rFonts w:asciiTheme="minorHAnsi" w:hAnsiTheme="minorHAnsi" w:cstheme="minorHAnsi"/>
          <w:sz w:val="26"/>
          <w:szCs w:val="26"/>
        </w:rPr>
        <w:t>qui évolue</w:t>
      </w:r>
      <w:r w:rsidR="00003862" w:rsidRPr="00A549B7">
        <w:rPr>
          <w:rFonts w:asciiTheme="minorHAnsi" w:hAnsiTheme="minorHAnsi" w:cstheme="minorHAnsi"/>
          <w:sz w:val="26"/>
          <w:szCs w:val="26"/>
        </w:rPr>
        <w:t xml:space="preserve"> au fil des </w:t>
      </w:r>
      <w:r w:rsidR="003B1AAA" w:rsidRPr="00A549B7">
        <w:rPr>
          <w:rFonts w:asciiTheme="minorHAnsi" w:hAnsiTheme="minorHAnsi" w:cstheme="minorHAnsi"/>
          <w:sz w:val="26"/>
          <w:szCs w:val="26"/>
        </w:rPr>
        <w:t>années</w:t>
      </w:r>
      <w:r w:rsidR="00144B9C" w:rsidRPr="00A549B7">
        <w:rPr>
          <w:rFonts w:asciiTheme="minorHAnsi" w:hAnsiTheme="minorHAnsi" w:cstheme="minorHAnsi"/>
          <w:sz w:val="26"/>
          <w:szCs w:val="26"/>
        </w:rPr>
        <w:t xml:space="preserve"> et des codifications</w:t>
      </w:r>
      <w:r w:rsidR="00003862"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003862" w:rsidRPr="00A549B7" w:rsidRDefault="0000386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Pour éclairer les innovations (limitées) du texte européen, on peut relever tant les similitudes que les différences qui séparent le Code du Règlement. </w:t>
      </w:r>
      <w:r w:rsidR="00910D92" w:rsidRPr="00A549B7">
        <w:rPr>
          <w:rFonts w:asciiTheme="minorHAnsi" w:hAnsiTheme="minorHAnsi" w:cstheme="minorHAnsi"/>
          <w:sz w:val="26"/>
          <w:szCs w:val="26"/>
        </w:rPr>
        <w:t xml:space="preserve">Fidèle à </w:t>
      </w:r>
      <w:r w:rsidR="003B1AAA" w:rsidRPr="00A549B7">
        <w:rPr>
          <w:rFonts w:asciiTheme="minorHAnsi" w:hAnsiTheme="minorHAnsi" w:cstheme="minorHAnsi"/>
          <w:sz w:val="26"/>
          <w:szCs w:val="26"/>
        </w:rPr>
        <w:t>la division devenue classique entre règle subjective et règle objective, l</w:t>
      </w:r>
      <w:r w:rsidRPr="00A549B7">
        <w:rPr>
          <w:rFonts w:asciiTheme="minorHAnsi" w:hAnsiTheme="minorHAnsi" w:cstheme="minorHAnsi"/>
          <w:sz w:val="26"/>
          <w:szCs w:val="26"/>
        </w:rPr>
        <w:t xml:space="preserve">a comparaison </w:t>
      </w:r>
      <w:r w:rsidR="003B1AAA" w:rsidRPr="00A549B7">
        <w:rPr>
          <w:rFonts w:asciiTheme="minorHAnsi" w:hAnsiTheme="minorHAnsi" w:cstheme="minorHAnsi"/>
          <w:sz w:val="26"/>
          <w:szCs w:val="26"/>
        </w:rPr>
        <w:t>s’articulera</w:t>
      </w:r>
      <w:r w:rsidRPr="00A549B7">
        <w:rPr>
          <w:rFonts w:asciiTheme="minorHAnsi" w:hAnsiTheme="minorHAnsi" w:cstheme="minorHAnsi"/>
          <w:sz w:val="26"/>
          <w:szCs w:val="26"/>
        </w:rPr>
        <w:t xml:space="preserve"> autour des deux pôles que sont </w:t>
      </w:r>
      <w:r w:rsidR="00D65542" w:rsidRPr="00A549B7">
        <w:rPr>
          <w:rFonts w:asciiTheme="minorHAnsi" w:hAnsiTheme="minorHAnsi" w:cstheme="minorHAnsi"/>
          <w:sz w:val="26"/>
          <w:szCs w:val="26"/>
        </w:rPr>
        <w:t>le choix de loi et la règle objective.</w:t>
      </w:r>
    </w:p>
    <w:p w:rsidR="006769EF" w:rsidRPr="00A549B7" w:rsidRDefault="006769EF" w:rsidP="00A549B7">
      <w:pPr>
        <w:spacing w:line="288" w:lineRule="auto"/>
        <w:jc w:val="both"/>
        <w:rPr>
          <w:rFonts w:asciiTheme="minorHAnsi" w:hAnsiTheme="minorHAnsi" w:cstheme="minorHAnsi"/>
          <w:sz w:val="26"/>
          <w:szCs w:val="26"/>
        </w:rPr>
      </w:pPr>
    </w:p>
    <w:p w:rsidR="003B1AAA" w:rsidRPr="00A549B7" w:rsidRDefault="003B1AAA" w:rsidP="00A549B7">
      <w:pPr>
        <w:spacing w:line="288" w:lineRule="auto"/>
        <w:jc w:val="both"/>
        <w:rPr>
          <w:rFonts w:asciiTheme="minorHAnsi" w:hAnsiTheme="minorHAnsi" w:cstheme="minorHAnsi"/>
          <w:b/>
          <w:sz w:val="26"/>
          <w:szCs w:val="26"/>
        </w:rPr>
      </w:pPr>
      <w:r w:rsidRPr="00A549B7">
        <w:rPr>
          <w:rFonts w:asciiTheme="minorHAnsi" w:hAnsiTheme="minorHAnsi" w:cstheme="minorHAnsi"/>
          <w:b/>
          <w:sz w:val="26"/>
          <w:szCs w:val="26"/>
        </w:rPr>
        <w:t>A. Le choix de la loi applicable par les (futurs) époux</w:t>
      </w:r>
    </w:p>
    <w:p w:rsidR="003B1AAA" w:rsidRPr="00A549B7" w:rsidRDefault="003B1AAA" w:rsidP="00A549B7">
      <w:pPr>
        <w:spacing w:line="288" w:lineRule="auto"/>
        <w:jc w:val="both"/>
        <w:rPr>
          <w:rFonts w:asciiTheme="minorHAnsi" w:hAnsiTheme="minorHAnsi" w:cstheme="minorHAnsi"/>
          <w:sz w:val="26"/>
          <w:szCs w:val="26"/>
        </w:rPr>
      </w:pPr>
    </w:p>
    <w:p w:rsidR="00A549B7" w:rsidRDefault="00D6554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Lorsque l’on analyse le règlement 2016/1103 en ayant à l’esprit les solutions consacrées par le Code, l’on ne peut manquer d’être frappé par les nombreuses similitudes entre les textes</w:t>
      </w:r>
      <w:r w:rsidR="00E34029" w:rsidRPr="00A549B7">
        <w:rPr>
          <w:rFonts w:asciiTheme="minorHAnsi" w:hAnsiTheme="minorHAnsi" w:cstheme="minorHAnsi"/>
          <w:sz w:val="26"/>
          <w:szCs w:val="26"/>
        </w:rPr>
        <w:t xml:space="preserve">. On peut tout d’abord relever </w:t>
      </w:r>
      <w:r w:rsidR="00EB0A0D" w:rsidRPr="00A549B7">
        <w:rPr>
          <w:rFonts w:asciiTheme="minorHAnsi" w:hAnsiTheme="minorHAnsi" w:cstheme="minorHAnsi"/>
          <w:sz w:val="26"/>
          <w:szCs w:val="26"/>
        </w:rPr>
        <w:t>que</w:t>
      </w:r>
      <w:r w:rsidR="00AA66CF" w:rsidRPr="00A549B7">
        <w:rPr>
          <w:rFonts w:asciiTheme="minorHAnsi" w:hAnsiTheme="minorHAnsi" w:cstheme="minorHAnsi"/>
          <w:sz w:val="26"/>
          <w:szCs w:val="26"/>
        </w:rPr>
        <w:t xml:space="preserve"> s’il consacre le choix de loi comme principe premier</w:t>
      </w:r>
      <w:r w:rsidR="008E2D31" w:rsidRPr="00A549B7">
        <w:rPr>
          <w:rFonts w:asciiTheme="minorHAnsi" w:hAnsiTheme="minorHAnsi" w:cstheme="minorHAnsi"/>
          <w:sz w:val="26"/>
          <w:szCs w:val="26"/>
        </w:rPr>
        <w:t xml:space="preserve"> (art. 22)</w:t>
      </w:r>
      <w:r w:rsidR="00AA66CF" w:rsidRPr="00A549B7">
        <w:rPr>
          <w:rFonts w:asciiTheme="minorHAnsi" w:hAnsiTheme="minorHAnsi" w:cstheme="minorHAnsi"/>
          <w:sz w:val="26"/>
          <w:szCs w:val="26"/>
        </w:rPr>
        <w:t>,</w:t>
      </w:r>
      <w:r w:rsidR="00EB0A0D" w:rsidRPr="00A549B7">
        <w:rPr>
          <w:rFonts w:asciiTheme="minorHAnsi" w:hAnsiTheme="minorHAnsi" w:cstheme="minorHAnsi"/>
          <w:sz w:val="26"/>
          <w:szCs w:val="26"/>
        </w:rPr>
        <w:t xml:space="preserve"> </w:t>
      </w:r>
      <w:r w:rsidR="00E34029" w:rsidRPr="00A549B7">
        <w:rPr>
          <w:rFonts w:asciiTheme="minorHAnsi" w:hAnsiTheme="minorHAnsi" w:cstheme="minorHAnsi"/>
          <w:sz w:val="26"/>
          <w:szCs w:val="26"/>
        </w:rPr>
        <w:t>le règlement limite</w:t>
      </w:r>
      <w:r w:rsidR="00B35D12" w:rsidRPr="00A549B7">
        <w:rPr>
          <w:rFonts w:asciiTheme="minorHAnsi" w:hAnsiTheme="minorHAnsi" w:cstheme="minorHAnsi"/>
          <w:sz w:val="26"/>
          <w:szCs w:val="26"/>
        </w:rPr>
        <w:t xml:space="preserve"> le choix de (futurs) époux : ils ne peuvent se soumettre à </w:t>
      </w:r>
      <w:r w:rsidR="00E91270" w:rsidRPr="00A549B7">
        <w:rPr>
          <w:rFonts w:asciiTheme="minorHAnsi" w:hAnsiTheme="minorHAnsi" w:cstheme="minorHAnsi"/>
          <w:sz w:val="26"/>
          <w:szCs w:val="26"/>
        </w:rPr>
        <w:t xml:space="preserve">la loi de leur choix </w:t>
      </w:r>
      <w:r w:rsidR="008E2D31" w:rsidRPr="00A549B7">
        <w:rPr>
          <w:rFonts w:asciiTheme="minorHAnsi" w:hAnsiTheme="minorHAnsi" w:cstheme="minorHAnsi"/>
          <w:sz w:val="26"/>
          <w:szCs w:val="26"/>
        </w:rPr>
        <w:t>déterminée selon leur bon vouloir</w:t>
      </w:r>
      <w:r w:rsidR="00E91270" w:rsidRPr="00A549B7">
        <w:rPr>
          <w:rFonts w:asciiTheme="minorHAnsi" w:hAnsiTheme="minorHAnsi" w:cstheme="minorHAnsi"/>
          <w:sz w:val="26"/>
          <w:szCs w:val="26"/>
        </w:rPr>
        <w:t>, mais doivent se contenter de puiser dans une liste fermée établie par le législateur</w:t>
      </w:r>
      <w:r w:rsidR="00AA66CF" w:rsidRPr="00A549B7">
        <w:rPr>
          <w:rFonts w:asciiTheme="minorHAnsi" w:hAnsiTheme="minorHAnsi" w:cstheme="minorHAnsi"/>
          <w:sz w:val="26"/>
          <w:szCs w:val="26"/>
        </w:rPr>
        <w:t xml:space="preserve"> européen</w:t>
      </w:r>
      <w:r w:rsidR="00B35D12" w:rsidRPr="00A549B7">
        <w:rPr>
          <w:rFonts w:asciiTheme="minorHAnsi" w:hAnsiTheme="minorHAnsi" w:cstheme="minorHAnsi"/>
          <w:sz w:val="26"/>
          <w:szCs w:val="26"/>
        </w:rPr>
        <w:t>. A ce titre, l’autonomie de la volonté se rapproche d’une</w:t>
      </w:r>
      <w:r w:rsidR="00B9080B" w:rsidRPr="00A549B7">
        <w:rPr>
          <w:rFonts w:asciiTheme="minorHAnsi" w:hAnsiTheme="minorHAnsi" w:cstheme="minorHAnsi"/>
          <w:sz w:val="26"/>
          <w:szCs w:val="26"/>
        </w:rPr>
        <w:t xml:space="preserve"> option de droit</w:t>
      </w:r>
      <w:r w:rsidR="00E34029" w:rsidRPr="00A549B7">
        <w:rPr>
          <w:rFonts w:asciiTheme="minorHAnsi" w:hAnsiTheme="minorHAnsi" w:cstheme="minorHAnsi"/>
          <w:sz w:val="26"/>
          <w:szCs w:val="26"/>
        </w:rPr>
        <w:t>.</w:t>
      </w:r>
    </w:p>
    <w:p w:rsidR="00317CC4" w:rsidRPr="00A549B7" w:rsidRDefault="00E3402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Cette approche était déjà celle du Code</w:t>
      </w:r>
      <w:r w:rsidR="00EB0A0D" w:rsidRPr="00A549B7">
        <w:rPr>
          <w:rFonts w:asciiTheme="minorHAnsi" w:hAnsiTheme="minorHAnsi" w:cstheme="minorHAnsi"/>
          <w:sz w:val="26"/>
          <w:szCs w:val="26"/>
        </w:rPr>
        <w:t xml:space="preserve"> dont l’article 49 énonce les possibilités de choix qui s’ouvrent aux parties</w:t>
      </w:r>
      <w:r w:rsidR="00066F72" w:rsidRPr="00A549B7">
        <w:rPr>
          <w:rFonts w:asciiTheme="minorHAnsi" w:hAnsiTheme="minorHAnsi" w:cstheme="minorHAnsi"/>
          <w:sz w:val="26"/>
          <w:szCs w:val="26"/>
        </w:rPr>
        <w:t xml:space="preserve"> en excluant toute autre possibilité de choix</w:t>
      </w:r>
      <w:r w:rsidR="00AA66CF" w:rsidRPr="00A549B7">
        <w:rPr>
          <w:rFonts w:asciiTheme="minorHAnsi" w:hAnsiTheme="minorHAnsi" w:cstheme="minorHAnsi"/>
          <w:sz w:val="26"/>
          <w:szCs w:val="26"/>
        </w:rPr>
        <w:t>.</w:t>
      </w:r>
      <w:r w:rsidR="00144B9C" w:rsidRPr="00A549B7">
        <w:rPr>
          <w:rFonts w:asciiTheme="minorHAnsi" w:hAnsiTheme="minorHAnsi" w:cstheme="minorHAnsi"/>
          <w:sz w:val="26"/>
          <w:szCs w:val="26"/>
        </w:rPr>
        <w:t xml:space="preserve"> S’il limite les options entre lesquelles les (futurs) époux peuvent choisir, le règlement fait de leur choix le moteur de la détermination du droit applicable, en ne soumettant pas la loi choisie à d’éventuelles limitations imposées par une loi-cadre qui s’appliquerait objectivement aux époux</w:t>
      </w:r>
      <w:r w:rsidR="00910D92" w:rsidRPr="00A549B7">
        <w:rPr>
          <w:rStyle w:val="Appelnotedebasdep"/>
          <w:rFonts w:asciiTheme="minorHAnsi" w:hAnsiTheme="minorHAnsi" w:cstheme="minorHAnsi"/>
          <w:sz w:val="26"/>
          <w:szCs w:val="26"/>
        </w:rPr>
        <w:footnoteReference w:id="13"/>
      </w:r>
      <w:r w:rsidR="00144B9C" w:rsidRPr="00A549B7">
        <w:rPr>
          <w:rFonts w:asciiTheme="minorHAnsi" w:hAnsiTheme="minorHAnsi" w:cstheme="minorHAnsi"/>
          <w:sz w:val="26"/>
          <w:szCs w:val="26"/>
        </w:rPr>
        <w:t>. Sur ce point également, le texte européen se rapproche du Code</w:t>
      </w:r>
      <w:r w:rsidR="00144B9C" w:rsidRPr="00A549B7">
        <w:rPr>
          <w:rStyle w:val="Appelnotedebasdep"/>
          <w:rFonts w:asciiTheme="minorHAnsi" w:hAnsiTheme="minorHAnsi" w:cstheme="minorHAnsi"/>
          <w:sz w:val="26"/>
          <w:szCs w:val="26"/>
        </w:rPr>
        <w:footnoteReference w:id="14"/>
      </w:r>
      <w:r w:rsidR="00144B9C"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1F0D06" w:rsidRPr="00A549B7" w:rsidRDefault="00E3402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La comparaison révèle </w:t>
      </w:r>
      <w:r w:rsidR="00317CC4" w:rsidRPr="00A549B7">
        <w:rPr>
          <w:rFonts w:asciiTheme="minorHAnsi" w:hAnsiTheme="minorHAnsi" w:cstheme="minorHAnsi"/>
          <w:sz w:val="26"/>
          <w:szCs w:val="26"/>
        </w:rPr>
        <w:t xml:space="preserve">néanmoins </w:t>
      </w:r>
      <w:r w:rsidRPr="00A549B7">
        <w:rPr>
          <w:rFonts w:asciiTheme="minorHAnsi" w:hAnsiTheme="minorHAnsi" w:cstheme="minorHAnsi"/>
          <w:sz w:val="26"/>
          <w:szCs w:val="26"/>
        </w:rPr>
        <w:t>une différence : contrairement à ce qui était possible sous l’empire du Code, les futurs époux ne peuvent p</w:t>
      </w:r>
      <w:r w:rsidR="00E91270" w:rsidRPr="00A549B7">
        <w:rPr>
          <w:rFonts w:asciiTheme="minorHAnsi" w:hAnsiTheme="minorHAnsi" w:cstheme="minorHAnsi"/>
          <w:sz w:val="26"/>
          <w:szCs w:val="26"/>
        </w:rPr>
        <w:t xml:space="preserve">lus se soumettre à la loi de </w:t>
      </w:r>
      <w:r w:rsidRPr="00A549B7">
        <w:rPr>
          <w:rFonts w:asciiTheme="minorHAnsi" w:hAnsiTheme="minorHAnsi" w:cstheme="minorHAnsi"/>
          <w:sz w:val="26"/>
          <w:szCs w:val="26"/>
        </w:rPr>
        <w:t xml:space="preserve">l’Etat sur le territoire duquel ils fixeront leur résidence habituelle après la célébration du mariage. Cette différence ne devrait guère prêter à conséquence. </w:t>
      </w:r>
      <w:r w:rsidR="008E2D31" w:rsidRPr="00A549B7">
        <w:rPr>
          <w:rFonts w:asciiTheme="minorHAnsi" w:hAnsiTheme="minorHAnsi" w:cstheme="minorHAnsi"/>
          <w:sz w:val="26"/>
          <w:szCs w:val="26"/>
        </w:rPr>
        <w:t>Tel qu’il existait dans le Code, l</w:t>
      </w:r>
      <w:r w:rsidRPr="00A549B7">
        <w:rPr>
          <w:rFonts w:asciiTheme="minorHAnsi" w:hAnsiTheme="minorHAnsi" w:cstheme="minorHAnsi"/>
          <w:sz w:val="26"/>
          <w:szCs w:val="26"/>
        </w:rPr>
        <w:t>e choix pour la loi de la résidence future</w:t>
      </w:r>
      <w:r w:rsidR="001F0D06" w:rsidRPr="00A549B7">
        <w:rPr>
          <w:rFonts w:asciiTheme="minorHAnsi" w:hAnsiTheme="minorHAnsi" w:cstheme="minorHAnsi"/>
          <w:sz w:val="26"/>
          <w:szCs w:val="26"/>
        </w:rPr>
        <w:t xml:space="preserve"> des époux</w:t>
      </w:r>
      <w:r w:rsidRPr="00A549B7">
        <w:rPr>
          <w:rFonts w:asciiTheme="minorHAnsi" w:hAnsiTheme="minorHAnsi" w:cstheme="minorHAnsi"/>
          <w:sz w:val="26"/>
          <w:szCs w:val="26"/>
        </w:rPr>
        <w:t xml:space="preserve"> était en effet déjà </w:t>
      </w:r>
      <w:r w:rsidR="001F0D06" w:rsidRPr="00A549B7">
        <w:rPr>
          <w:rFonts w:asciiTheme="minorHAnsi" w:hAnsiTheme="minorHAnsi" w:cstheme="minorHAnsi"/>
          <w:sz w:val="26"/>
          <w:szCs w:val="26"/>
        </w:rPr>
        <w:t xml:space="preserve">présenté avec une certaine réserve. M. de Page écrivait par exemple qu’il importait que le notaire attire l’attention des futurs époux qui font un tel choix </w:t>
      </w:r>
      <w:r w:rsidR="00144B9C" w:rsidRPr="00A549B7">
        <w:rPr>
          <w:rFonts w:asciiTheme="minorHAnsi" w:hAnsiTheme="minorHAnsi" w:cstheme="minorHAnsi"/>
          <w:sz w:val="26"/>
          <w:szCs w:val="26"/>
        </w:rPr>
        <w:t xml:space="preserve">sur «  </w:t>
      </w:r>
      <w:r w:rsidR="001F0D06" w:rsidRPr="00A549B7">
        <w:rPr>
          <w:rFonts w:asciiTheme="minorHAnsi" w:hAnsiTheme="minorHAnsi" w:cstheme="minorHAnsi"/>
          <w:sz w:val="26"/>
          <w:szCs w:val="26"/>
        </w:rPr>
        <w:t>la nécessité de s’établir effectivement dans cet Etat pour rendre le choix opérant »</w:t>
      </w:r>
      <w:r w:rsidR="001F0D06" w:rsidRPr="00A549B7">
        <w:rPr>
          <w:rStyle w:val="Appelnotedebasdep"/>
          <w:rFonts w:asciiTheme="minorHAnsi" w:hAnsiTheme="minorHAnsi" w:cstheme="minorHAnsi"/>
          <w:sz w:val="26"/>
          <w:szCs w:val="26"/>
        </w:rPr>
        <w:footnoteReference w:id="15"/>
      </w:r>
      <w:r w:rsidR="001F0D06"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EB0A0D" w:rsidRPr="00A549B7" w:rsidRDefault="00EB0A0D"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Le législateur européen a par ailleurs interdit, comme l’a fait le législateur en 2004</w:t>
      </w:r>
      <w:r w:rsidR="00073CFA" w:rsidRPr="00A549B7">
        <w:rPr>
          <w:rStyle w:val="Appelnotedebasdep"/>
          <w:rFonts w:asciiTheme="minorHAnsi" w:hAnsiTheme="minorHAnsi" w:cstheme="minorHAnsi"/>
          <w:sz w:val="26"/>
          <w:szCs w:val="26"/>
        </w:rPr>
        <w:footnoteReference w:id="16"/>
      </w:r>
      <w:r w:rsidRPr="00A549B7">
        <w:rPr>
          <w:rFonts w:asciiTheme="minorHAnsi" w:hAnsiTheme="minorHAnsi" w:cstheme="minorHAnsi"/>
          <w:sz w:val="26"/>
          <w:szCs w:val="26"/>
        </w:rPr>
        <w:t>, le choix de loi partiel : tout dépeçage de la loi applicable est banni. Le choix de loi partiel n’a jamais vraiment séduit en Belgique</w:t>
      </w:r>
      <w:r w:rsidR="00EF22BD" w:rsidRPr="00A549B7">
        <w:rPr>
          <w:rStyle w:val="Appelnotedebasdep"/>
          <w:rFonts w:asciiTheme="minorHAnsi" w:hAnsiTheme="minorHAnsi" w:cstheme="minorHAnsi"/>
          <w:sz w:val="26"/>
          <w:szCs w:val="26"/>
        </w:rPr>
        <w:footnoteReference w:id="17"/>
      </w:r>
      <w:r w:rsidRPr="00A549B7">
        <w:rPr>
          <w:rFonts w:asciiTheme="minorHAnsi" w:hAnsiTheme="minorHAnsi" w:cstheme="minorHAnsi"/>
          <w:sz w:val="26"/>
          <w:szCs w:val="26"/>
        </w:rPr>
        <w:t>. Son interdiction par l’instrument européen constitue toutefois un signal important puisque cette faculté était connue du droit international privé de certains Etats membres</w:t>
      </w:r>
      <w:r w:rsidR="00D65542" w:rsidRPr="00A549B7">
        <w:rPr>
          <w:rStyle w:val="Appelnotedebasdep"/>
          <w:rFonts w:asciiTheme="minorHAnsi" w:hAnsiTheme="minorHAnsi" w:cstheme="minorHAnsi"/>
          <w:sz w:val="26"/>
          <w:szCs w:val="26"/>
        </w:rPr>
        <w:footnoteReference w:id="18"/>
      </w:r>
      <w:r w:rsidRPr="00A549B7">
        <w:rPr>
          <w:rFonts w:asciiTheme="minorHAnsi" w:hAnsiTheme="minorHAnsi" w:cstheme="minorHAnsi"/>
          <w:sz w:val="26"/>
          <w:szCs w:val="26"/>
        </w:rPr>
        <w:t>.</w:t>
      </w:r>
      <w:r w:rsidR="00EF22BD" w:rsidRPr="00A549B7">
        <w:rPr>
          <w:rFonts w:asciiTheme="minorHAnsi" w:hAnsiTheme="minorHAnsi" w:cstheme="minorHAnsi"/>
          <w:sz w:val="26"/>
          <w:szCs w:val="26"/>
        </w:rPr>
        <w:t xml:space="preserve"> Un autre point commun</w:t>
      </w:r>
      <w:r w:rsidR="00144B9C" w:rsidRPr="00A549B7">
        <w:rPr>
          <w:rFonts w:asciiTheme="minorHAnsi" w:hAnsiTheme="minorHAnsi" w:cstheme="minorHAnsi"/>
          <w:sz w:val="26"/>
          <w:szCs w:val="26"/>
        </w:rPr>
        <w:t xml:space="preserve"> entre le Code et le nouveau texte européen</w:t>
      </w:r>
      <w:r w:rsidR="00EF22BD" w:rsidRPr="00A549B7">
        <w:rPr>
          <w:rFonts w:asciiTheme="minorHAnsi" w:hAnsiTheme="minorHAnsi" w:cstheme="minorHAnsi"/>
          <w:sz w:val="26"/>
          <w:szCs w:val="26"/>
        </w:rPr>
        <w:t xml:space="preserve">, plus anecdotique, concerne l’interdiction de pétrification de la loi choisie : le choix qu’expriment deux </w:t>
      </w:r>
      <w:r w:rsidR="00144B9C" w:rsidRPr="00A549B7">
        <w:rPr>
          <w:rFonts w:asciiTheme="minorHAnsi" w:hAnsiTheme="minorHAnsi" w:cstheme="minorHAnsi"/>
          <w:sz w:val="26"/>
          <w:szCs w:val="26"/>
        </w:rPr>
        <w:t xml:space="preserve">(futurs) </w:t>
      </w:r>
      <w:r w:rsidR="00EF22BD" w:rsidRPr="00A549B7">
        <w:rPr>
          <w:rFonts w:asciiTheme="minorHAnsi" w:hAnsiTheme="minorHAnsi" w:cstheme="minorHAnsi"/>
          <w:sz w:val="26"/>
          <w:szCs w:val="26"/>
        </w:rPr>
        <w:t>époux en faveur d’une loi donnée s’entend de celle-ci telle qu’elle pourra évoluer à l’avenir</w:t>
      </w:r>
      <w:r w:rsidR="00EF22BD" w:rsidRPr="00A549B7">
        <w:rPr>
          <w:rStyle w:val="Appelnotedebasdep"/>
          <w:rFonts w:asciiTheme="minorHAnsi" w:hAnsiTheme="minorHAnsi" w:cstheme="minorHAnsi"/>
          <w:sz w:val="26"/>
          <w:szCs w:val="26"/>
        </w:rPr>
        <w:footnoteReference w:id="19"/>
      </w:r>
      <w:r w:rsidR="00EF22BD" w:rsidRPr="00A549B7">
        <w:rPr>
          <w:rFonts w:asciiTheme="minorHAnsi" w:hAnsiTheme="minorHAnsi" w:cstheme="minorHAnsi"/>
          <w:sz w:val="26"/>
          <w:szCs w:val="26"/>
        </w:rPr>
        <w:t>. Il n’est donc pas possible de prévoir que d’éventuelles modifications de la loi choisie ne pourront être opposées aux époux.</w:t>
      </w:r>
    </w:p>
    <w:p w:rsidR="00A549B7" w:rsidRDefault="00A549B7" w:rsidP="00A549B7">
      <w:pPr>
        <w:spacing w:line="288" w:lineRule="auto"/>
        <w:jc w:val="both"/>
        <w:rPr>
          <w:rFonts w:asciiTheme="minorHAnsi" w:hAnsiTheme="minorHAnsi" w:cstheme="minorHAnsi"/>
          <w:sz w:val="26"/>
          <w:szCs w:val="26"/>
        </w:rPr>
      </w:pPr>
    </w:p>
    <w:p w:rsidR="00B9080B" w:rsidRDefault="00EB0A0D"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On peut encore relever que les deux régimes sont caractérisés par les mêmes zones d’ombre. L’une des plus frustrantes concerne la possibilité de déduire des circonstances et surtout des dispositions d’un contrat de mariage l’existence d’un choix de loi implicite</w:t>
      </w:r>
      <w:r w:rsidR="001D66A1">
        <w:rPr>
          <w:rStyle w:val="Appelnotedebasdep"/>
          <w:rFonts w:asciiTheme="minorHAnsi" w:hAnsiTheme="minorHAnsi" w:cstheme="minorHAnsi"/>
          <w:sz w:val="26"/>
          <w:szCs w:val="26"/>
        </w:rPr>
        <w:footnoteReference w:id="20"/>
      </w:r>
      <w:r w:rsidRPr="00A549B7">
        <w:rPr>
          <w:rFonts w:asciiTheme="minorHAnsi" w:hAnsiTheme="minorHAnsi" w:cstheme="minorHAnsi"/>
          <w:sz w:val="26"/>
          <w:szCs w:val="26"/>
        </w:rPr>
        <w:t xml:space="preserve">. Ni le Code de droit international privé, ni le règlement ne se prononcent </w:t>
      </w:r>
      <w:r w:rsidR="00494D26" w:rsidRPr="00A549B7">
        <w:rPr>
          <w:rFonts w:asciiTheme="minorHAnsi" w:hAnsiTheme="minorHAnsi" w:cstheme="minorHAnsi"/>
          <w:sz w:val="26"/>
          <w:szCs w:val="26"/>
        </w:rPr>
        <w:t xml:space="preserve">de manière claire </w:t>
      </w:r>
      <w:r w:rsidRPr="00A549B7">
        <w:rPr>
          <w:rFonts w:asciiTheme="minorHAnsi" w:hAnsiTheme="minorHAnsi" w:cstheme="minorHAnsi"/>
          <w:sz w:val="26"/>
          <w:szCs w:val="26"/>
        </w:rPr>
        <w:t>sur la possibilité de tenir compte d’un tel outil. Ce silence est surprenant lorsque l’on sait que de très nombreux contrats de mariage ne contiennent pas de disposition expressément consacrée au choix de loi, alors même qu’ils ont été rédigés en tenant dûment compte d’un cadre juridique national</w:t>
      </w:r>
      <w:r w:rsidR="00494D26" w:rsidRPr="00A549B7">
        <w:rPr>
          <w:rStyle w:val="Appelnotedebasdep"/>
          <w:rFonts w:asciiTheme="minorHAnsi" w:hAnsiTheme="minorHAnsi" w:cstheme="minorHAnsi"/>
          <w:sz w:val="26"/>
          <w:szCs w:val="26"/>
        </w:rPr>
        <w:footnoteReference w:id="21"/>
      </w:r>
      <w:r w:rsidRPr="00A549B7">
        <w:rPr>
          <w:rFonts w:asciiTheme="minorHAnsi" w:hAnsiTheme="minorHAnsi" w:cstheme="minorHAnsi"/>
          <w:sz w:val="26"/>
          <w:szCs w:val="26"/>
        </w:rPr>
        <w:t xml:space="preserve">. </w:t>
      </w:r>
      <w:r w:rsidR="00FD5B39" w:rsidRPr="00A549B7">
        <w:rPr>
          <w:rFonts w:asciiTheme="minorHAnsi" w:hAnsiTheme="minorHAnsi" w:cstheme="minorHAnsi"/>
          <w:sz w:val="26"/>
          <w:szCs w:val="26"/>
        </w:rPr>
        <w:t>Un consensus semble se dessiner pour admettre la possibilité d’un tel choix implicite lorsque les époux sont soumis au Code de droit international privé</w:t>
      </w:r>
      <w:r w:rsidR="00FD5B39" w:rsidRPr="00A549B7">
        <w:rPr>
          <w:rStyle w:val="Appelnotedebasdep"/>
          <w:rFonts w:asciiTheme="minorHAnsi" w:hAnsiTheme="minorHAnsi" w:cstheme="minorHAnsi"/>
          <w:sz w:val="26"/>
          <w:szCs w:val="26"/>
        </w:rPr>
        <w:footnoteReference w:id="22"/>
      </w:r>
      <w:r w:rsidR="00FD5B39" w:rsidRPr="00A549B7">
        <w:rPr>
          <w:rFonts w:asciiTheme="minorHAnsi" w:hAnsiTheme="minorHAnsi" w:cstheme="minorHAnsi"/>
          <w:sz w:val="26"/>
          <w:szCs w:val="26"/>
        </w:rPr>
        <w:t>.</w:t>
      </w:r>
      <w:r w:rsidR="00737F18" w:rsidRPr="00A549B7">
        <w:rPr>
          <w:rFonts w:asciiTheme="minorHAnsi" w:hAnsiTheme="minorHAnsi" w:cstheme="minorHAnsi"/>
          <w:sz w:val="26"/>
          <w:szCs w:val="26"/>
        </w:rPr>
        <w:t xml:space="preserve"> L’appréciation est plus délicate à l’égard du règlement européen : celui-ci n’évoque pas la possibilité de déduire un choix des circonstances de la cause. On peut se demander s’il s’agit d’un oubli ou d’une volonté de n’accepter que le seul choix exprimé comme tel par les époux. L’absence de toute mention étonne dans la mesure où le </w:t>
      </w:r>
      <w:r w:rsidR="00AD69F2" w:rsidRPr="00A549B7">
        <w:rPr>
          <w:rFonts w:asciiTheme="minorHAnsi" w:hAnsiTheme="minorHAnsi" w:cstheme="minorHAnsi"/>
          <w:sz w:val="26"/>
          <w:szCs w:val="26"/>
        </w:rPr>
        <w:t>règlement successions reconnaît effet au choix de loi implicite</w:t>
      </w:r>
      <w:r w:rsidR="00144B9C" w:rsidRPr="00A549B7">
        <w:rPr>
          <w:rStyle w:val="Appelnotedebasdep"/>
          <w:rFonts w:asciiTheme="minorHAnsi" w:hAnsiTheme="minorHAnsi" w:cstheme="minorHAnsi"/>
          <w:sz w:val="26"/>
          <w:szCs w:val="26"/>
        </w:rPr>
        <w:footnoteReference w:id="23"/>
      </w:r>
      <w:r w:rsidR="00AD69F2" w:rsidRPr="00A549B7">
        <w:rPr>
          <w:rFonts w:asciiTheme="minorHAnsi" w:hAnsiTheme="minorHAnsi" w:cstheme="minorHAnsi"/>
          <w:sz w:val="26"/>
          <w:szCs w:val="26"/>
        </w:rPr>
        <w:t xml:space="preserve">. Seule la Cour de justice </w:t>
      </w:r>
      <w:r w:rsidR="007728A0" w:rsidRPr="00A549B7">
        <w:rPr>
          <w:rFonts w:asciiTheme="minorHAnsi" w:hAnsiTheme="minorHAnsi" w:cstheme="minorHAnsi"/>
          <w:sz w:val="26"/>
          <w:szCs w:val="26"/>
        </w:rPr>
        <w:t>pourra</w:t>
      </w:r>
      <w:r w:rsidR="00AD69F2" w:rsidRPr="00A549B7">
        <w:rPr>
          <w:rFonts w:asciiTheme="minorHAnsi" w:hAnsiTheme="minorHAnsi" w:cstheme="minorHAnsi"/>
          <w:sz w:val="26"/>
          <w:szCs w:val="26"/>
        </w:rPr>
        <w:t xml:space="preserve"> clarifier la situation.</w:t>
      </w:r>
      <w:r w:rsidR="007728A0" w:rsidRPr="00A549B7">
        <w:rPr>
          <w:rFonts w:asciiTheme="minorHAnsi" w:hAnsiTheme="minorHAnsi" w:cstheme="minorHAnsi"/>
          <w:sz w:val="26"/>
          <w:szCs w:val="26"/>
        </w:rPr>
        <w:t xml:space="preserve"> Dans l’attente d’une telle clarification, la prudence impose que l’on conseille aux (futurs) époux d’adjoindre à leur contrat de mariage une clause dédiée explicitement au choix de loi.</w:t>
      </w:r>
    </w:p>
    <w:p w:rsidR="00A549B7" w:rsidRPr="00A549B7" w:rsidRDefault="00A549B7" w:rsidP="00A549B7">
      <w:pPr>
        <w:spacing w:line="288" w:lineRule="auto"/>
        <w:jc w:val="both"/>
        <w:rPr>
          <w:rFonts w:asciiTheme="minorHAnsi" w:hAnsiTheme="minorHAnsi" w:cstheme="minorHAnsi"/>
          <w:sz w:val="26"/>
          <w:szCs w:val="26"/>
        </w:rPr>
      </w:pPr>
    </w:p>
    <w:p w:rsidR="00E91270" w:rsidRPr="00A549B7" w:rsidRDefault="00E91270"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En</w:t>
      </w:r>
      <w:r w:rsidR="00A80DF5" w:rsidRPr="00A549B7">
        <w:rPr>
          <w:rFonts w:asciiTheme="minorHAnsi" w:hAnsiTheme="minorHAnsi" w:cstheme="minorHAnsi"/>
          <w:sz w:val="26"/>
          <w:szCs w:val="26"/>
        </w:rPr>
        <w:t xml:space="preserve"> outre</w:t>
      </w:r>
      <w:r w:rsidRPr="00A549B7">
        <w:rPr>
          <w:rFonts w:asciiTheme="minorHAnsi" w:hAnsiTheme="minorHAnsi" w:cstheme="minorHAnsi"/>
          <w:sz w:val="26"/>
          <w:szCs w:val="26"/>
        </w:rPr>
        <w:t>, on peut noter que comme le Code le prévoit</w:t>
      </w:r>
      <w:r w:rsidRPr="00A549B7">
        <w:rPr>
          <w:rStyle w:val="Appelnotedebasdep"/>
          <w:rFonts w:asciiTheme="minorHAnsi" w:hAnsiTheme="minorHAnsi" w:cstheme="minorHAnsi"/>
          <w:sz w:val="26"/>
          <w:szCs w:val="26"/>
        </w:rPr>
        <w:footnoteReference w:id="24"/>
      </w:r>
      <w:r w:rsidRPr="00A549B7">
        <w:rPr>
          <w:rFonts w:asciiTheme="minorHAnsi" w:hAnsiTheme="minorHAnsi" w:cstheme="minorHAnsi"/>
          <w:sz w:val="26"/>
          <w:szCs w:val="26"/>
        </w:rPr>
        <w:t xml:space="preserve">, l’article 22 du règlement permet aux époux de modifier la loi applicable au régime matrimonial. </w:t>
      </w:r>
      <w:r w:rsidR="00E5679B" w:rsidRPr="00A549B7">
        <w:rPr>
          <w:rFonts w:asciiTheme="minorHAnsi" w:hAnsiTheme="minorHAnsi" w:cstheme="minorHAnsi"/>
          <w:sz w:val="26"/>
          <w:szCs w:val="26"/>
        </w:rPr>
        <w:t xml:space="preserve">La similitude </w:t>
      </w:r>
      <w:r w:rsidR="002673A2" w:rsidRPr="00A549B7">
        <w:rPr>
          <w:rFonts w:asciiTheme="minorHAnsi" w:hAnsiTheme="minorHAnsi" w:cstheme="minorHAnsi"/>
          <w:sz w:val="26"/>
          <w:szCs w:val="26"/>
        </w:rPr>
        <w:t xml:space="preserve">concerne tant le principe que </w:t>
      </w:r>
      <w:r w:rsidR="00E5679B" w:rsidRPr="00A549B7">
        <w:rPr>
          <w:rFonts w:asciiTheme="minorHAnsi" w:hAnsiTheme="minorHAnsi" w:cstheme="minorHAnsi"/>
          <w:sz w:val="26"/>
          <w:szCs w:val="26"/>
        </w:rPr>
        <w:t>la question de l’effet dans le temps d’un choix de loi opéré par les époux au cours du mariage</w:t>
      </w:r>
      <w:r w:rsidR="002673A2" w:rsidRPr="00A549B7">
        <w:rPr>
          <w:rFonts w:asciiTheme="minorHAnsi" w:hAnsiTheme="minorHAnsi" w:cstheme="minorHAnsi"/>
          <w:sz w:val="26"/>
          <w:szCs w:val="26"/>
        </w:rPr>
        <w:t>. L</w:t>
      </w:r>
      <w:r w:rsidRPr="00A549B7">
        <w:rPr>
          <w:rFonts w:asciiTheme="minorHAnsi" w:hAnsiTheme="minorHAnsi" w:cstheme="minorHAnsi"/>
          <w:sz w:val="26"/>
          <w:szCs w:val="26"/>
        </w:rPr>
        <w:t xml:space="preserve">es deux </w:t>
      </w:r>
      <w:r w:rsidR="00F649B1" w:rsidRPr="00A549B7">
        <w:rPr>
          <w:rFonts w:asciiTheme="minorHAnsi" w:hAnsiTheme="minorHAnsi" w:cstheme="minorHAnsi"/>
          <w:sz w:val="26"/>
          <w:szCs w:val="26"/>
        </w:rPr>
        <w:t>textes</w:t>
      </w:r>
      <w:r w:rsidRPr="00A549B7">
        <w:rPr>
          <w:rFonts w:asciiTheme="minorHAnsi" w:hAnsiTheme="minorHAnsi" w:cstheme="minorHAnsi"/>
          <w:sz w:val="26"/>
          <w:szCs w:val="26"/>
        </w:rPr>
        <w:t xml:space="preserve"> limitent </w:t>
      </w:r>
      <w:r w:rsidR="00E5679B" w:rsidRPr="00A549B7">
        <w:rPr>
          <w:rFonts w:asciiTheme="minorHAnsi" w:hAnsiTheme="minorHAnsi" w:cstheme="minorHAnsi"/>
          <w:sz w:val="26"/>
          <w:szCs w:val="26"/>
        </w:rPr>
        <w:t xml:space="preserve">en effet </w:t>
      </w:r>
      <w:r w:rsidRPr="00A549B7">
        <w:rPr>
          <w:rFonts w:asciiTheme="minorHAnsi" w:hAnsiTheme="minorHAnsi" w:cstheme="minorHAnsi"/>
          <w:sz w:val="26"/>
          <w:szCs w:val="26"/>
        </w:rPr>
        <w:t>le rayonnement d’un choix effectué par les époux en cours de mariage</w:t>
      </w:r>
      <w:r w:rsidR="002673A2" w:rsidRPr="00A549B7">
        <w:rPr>
          <w:rFonts w:asciiTheme="minorHAnsi" w:hAnsiTheme="minorHAnsi" w:cstheme="minorHAnsi"/>
          <w:sz w:val="26"/>
          <w:szCs w:val="26"/>
        </w:rPr>
        <w:t xml:space="preserve">. Un </w:t>
      </w:r>
      <w:r w:rsidRPr="00A549B7">
        <w:rPr>
          <w:rFonts w:asciiTheme="minorHAnsi" w:hAnsiTheme="minorHAnsi" w:cstheme="minorHAnsi"/>
          <w:sz w:val="26"/>
          <w:szCs w:val="26"/>
        </w:rPr>
        <w:t xml:space="preserve">tel choix n’a d’effet que pour l’avenir (art. 50, par. 3 du Code ; art. 22, par. 2 du </w:t>
      </w:r>
      <w:r w:rsidR="00C45ACD" w:rsidRPr="00A549B7">
        <w:rPr>
          <w:rFonts w:asciiTheme="minorHAnsi" w:hAnsiTheme="minorHAnsi" w:cstheme="minorHAnsi"/>
          <w:sz w:val="26"/>
          <w:szCs w:val="26"/>
        </w:rPr>
        <w:t>R</w:t>
      </w:r>
      <w:r w:rsidR="00E5679B" w:rsidRPr="00A549B7">
        <w:rPr>
          <w:rFonts w:asciiTheme="minorHAnsi" w:hAnsiTheme="minorHAnsi" w:cstheme="minorHAnsi"/>
          <w:sz w:val="26"/>
          <w:szCs w:val="26"/>
        </w:rPr>
        <w:t>èglement)</w:t>
      </w:r>
      <w:r w:rsidR="00F7765F" w:rsidRPr="00A549B7">
        <w:rPr>
          <w:rFonts w:asciiTheme="minorHAnsi" w:hAnsiTheme="minorHAnsi" w:cstheme="minorHAnsi"/>
          <w:sz w:val="26"/>
          <w:szCs w:val="26"/>
        </w:rPr>
        <w:t xml:space="preserve">. </w:t>
      </w:r>
      <w:r w:rsidR="002673A2" w:rsidRPr="00A549B7">
        <w:rPr>
          <w:rFonts w:asciiTheme="minorHAnsi" w:hAnsiTheme="minorHAnsi" w:cstheme="minorHAnsi"/>
          <w:sz w:val="26"/>
          <w:szCs w:val="26"/>
        </w:rPr>
        <w:t>Le parallélisme s’étend aussi à la nuance : tant le</w:t>
      </w:r>
      <w:r w:rsidR="00F7765F" w:rsidRPr="00A549B7">
        <w:rPr>
          <w:rFonts w:asciiTheme="minorHAnsi" w:hAnsiTheme="minorHAnsi" w:cstheme="minorHAnsi"/>
          <w:sz w:val="26"/>
          <w:szCs w:val="26"/>
        </w:rPr>
        <w:t xml:space="preserve"> Code que</w:t>
      </w:r>
      <w:r w:rsidR="002673A2" w:rsidRPr="00A549B7">
        <w:rPr>
          <w:rFonts w:asciiTheme="minorHAnsi" w:hAnsiTheme="minorHAnsi" w:cstheme="minorHAnsi"/>
          <w:sz w:val="26"/>
          <w:szCs w:val="26"/>
        </w:rPr>
        <w:t xml:space="preserve"> </w:t>
      </w:r>
      <w:r w:rsidR="00F7765F" w:rsidRPr="00A549B7">
        <w:rPr>
          <w:rFonts w:asciiTheme="minorHAnsi" w:hAnsiTheme="minorHAnsi" w:cstheme="minorHAnsi"/>
          <w:sz w:val="26"/>
          <w:szCs w:val="26"/>
        </w:rPr>
        <w:t>le Règlement</w:t>
      </w:r>
      <w:r w:rsidR="002673A2" w:rsidRPr="00A549B7">
        <w:rPr>
          <w:rFonts w:asciiTheme="minorHAnsi" w:hAnsiTheme="minorHAnsi" w:cstheme="minorHAnsi"/>
          <w:sz w:val="26"/>
          <w:szCs w:val="26"/>
        </w:rPr>
        <w:t xml:space="preserve"> permettent aux époux d’en décider autr</w:t>
      </w:r>
      <w:r w:rsidR="00F7765F" w:rsidRPr="00A549B7">
        <w:rPr>
          <w:rFonts w:asciiTheme="minorHAnsi" w:hAnsiTheme="minorHAnsi" w:cstheme="minorHAnsi"/>
          <w:sz w:val="26"/>
          <w:szCs w:val="26"/>
        </w:rPr>
        <w:t>ement.</w:t>
      </w:r>
    </w:p>
    <w:p w:rsidR="00A549B7" w:rsidRDefault="00A549B7" w:rsidP="00A549B7">
      <w:pPr>
        <w:spacing w:line="288" w:lineRule="auto"/>
        <w:jc w:val="both"/>
        <w:rPr>
          <w:rFonts w:asciiTheme="minorHAnsi" w:hAnsiTheme="minorHAnsi" w:cstheme="minorHAnsi"/>
          <w:sz w:val="26"/>
          <w:szCs w:val="26"/>
        </w:rPr>
      </w:pPr>
    </w:p>
    <w:p w:rsidR="00892087" w:rsidRPr="00A549B7" w:rsidRDefault="00A80DF5"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Les modalités du choix de loi diffèrent </w:t>
      </w:r>
      <w:r w:rsidR="002673A2" w:rsidRPr="00A549B7">
        <w:rPr>
          <w:rFonts w:asciiTheme="minorHAnsi" w:hAnsiTheme="minorHAnsi" w:cstheme="minorHAnsi"/>
          <w:sz w:val="26"/>
          <w:szCs w:val="26"/>
        </w:rPr>
        <w:t xml:space="preserve">par contre </w:t>
      </w:r>
      <w:r w:rsidRPr="00A549B7">
        <w:rPr>
          <w:rFonts w:asciiTheme="minorHAnsi" w:hAnsiTheme="minorHAnsi" w:cstheme="minorHAnsi"/>
          <w:sz w:val="26"/>
          <w:szCs w:val="26"/>
        </w:rPr>
        <w:t xml:space="preserve">sensiblement dans les deux régimes : </w:t>
      </w:r>
      <w:r w:rsidR="00C94F6D" w:rsidRPr="00A549B7">
        <w:rPr>
          <w:rFonts w:asciiTheme="minorHAnsi" w:hAnsiTheme="minorHAnsi" w:cstheme="minorHAnsi"/>
          <w:sz w:val="26"/>
          <w:szCs w:val="26"/>
        </w:rPr>
        <w:t xml:space="preserve">si tant le Code que le règlement exigent que le choix fasse l’objet d’un écrit daté et signé des deux époux, </w:t>
      </w:r>
      <w:r w:rsidRPr="00A549B7">
        <w:rPr>
          <w:rFonts w:asciiTheme="minorHAnsi" w:hAnsiTheme="minorHAnsi" w:cstheme="minorHAnsi"/>
          <w:sz w:val="26"/>
          <w:szCs w:val="26"/>
        </w:rPr>
        <w:t>le Code de droit international privé retenait une solution fort libérale, puisqu’il suffisait, pour qu’un choix de loi soit valable, qu’il réponde aux exigences formelles de la loi de l’Etat sur le territoire duquel il a été fait ou à celles de la loi choisie</w:t>
      </w:r>
      <w:r w:rsidRPr="00A549B7">
        <w:rPr>
          <w:rStyle w:val="Appelnotedebasdep"/>
          <w:rFonts w:asciiTheme="minorHAnsi" w:hAnsiTheme="minorHAnsi" w:cstheme="minorHAnsi"/>
          <w:sz w:val="26"/>
          <w:szCs w:val="26"/>
        </w:rPr>
        <w:footnoteReference w:id="25"/>
      </w:r>
      <w:r w:rsidRPr="00A549B7">
        <w:rPr>
          <w:rFonts w:asciiTheme="minorHAnsi" w:hAnsiTheme="minorHAnsi" w:cstheme="minorHAnsi"/>
          <w:sz w:val="26"/>
          <w:szCs w:val="26"/>
        </w:rPr>
        <w:t>.</w:t>
      </w:r>
      <w:r w:rsidR="00F649B1" w:rsidRPr="00A549B7">
        <w:rPr>
          <w:rFonts w:asciiTheme="minorHAnsi" w:hAnsiTheme="minorHAnsi" w:cstheme="minorHAnsi"/>
          <w:sz w:val="26"/>
          <w:szCs w:val="26"/>
        </w:rPr>
        <w:t xml:space="preserve"> Cette formule fort classique facilitait le travail du notariat belge puisqu’il suffisait, lorsque les (futurs) époux s’accordaient sur un choix de loi dans une étude notariale belge, de s’assurer du respect des exigences formelles imposées par la loi belge.</w:t>
      </w:r>
      <w:r w:rsidR="002673A2" w:rsidRPr="00A549B7">
        <w:rPr>
          <w:rFonts w:asciiTheme="minorHAnsi" w:hAnsiTheme="minorHAnsi" w:cstheme="minorHAnsi"/>
          <w:sz w:val="26"/>
          <w:szCs w:val="26"/>
        </w:rPr>
        <w:t xml:space="preserve"> Ainsi, lorsque deux époux de nationalité belge qui résident en Espagne retenaient les services d’un notaire belge afin de conclure une convention patrimoniale, le respect des seules exigences posées par le droit belge garantissait la validité formelle de la convention.</w:t>
      </w:r>
    </w:p>
    <w:p w:rsidR="00A549B7" w:rsidRDefault="00A549B7" w:rsidP="00A549B7">
      <w:pPr>
        <w:spacing w:line="288" w:lineRule="auto"/>
        <w:jc w:val="both"/>
        <w:rPr>
          <w:rFonts w:asciiTheme="minorHAnsi" w:hAnsiTheme="minorHAnsi" w:cstheme="minorHAnsi"/>
          <w:sz w:val="26"/>
          <w:szCs w:val="26"/>
        </w:rPr>
      </w:pPr>
    </w:p>
    <w:p w:rsidR="00317CC4" w:rsidRPr="00A549B7" w:rsidRDefault="000E53C6"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système mis en place par l’article 23 </w:t>
      </w:r>
      <w:r w:rsidR="00F649B1" w:rsidRPr="00A549B7">
        <w:rPr>
          <w:rFonts w:asciiTheme="minorHAnsi" w:hAnsiTheme="minorHAnsi" w:cstheme="minorHAnsi"/>
          <w:sz w:val="26"/>
          <w:szCs w:val="26"/>
        </w:rPr>
        <w:t xml:space="preserve">du règlement </w:t>
      </w:r>
      <w:r w:rsidRPr="00A549B7">
        <w:rPr>
          <w:rFonts w:asciiTheme="minorHAnsi" w:hAnsiTheme="minorHAnsi" w:cstheme="minorHAnsi"/>
          <w:sz w:val="26"/>
          <w:szCs w:val="26"/>
        </w:rPr>
        <w:t xml:space="preserve">est plus complexe. </w:t>
      </w:r>
      <w:r w:rsidR="00C94F6D" w:rsidRPr="00A549B7">
        <w:rPr>
          <w:rFonts w:asciiTheme="minorHAnsi" w:hAnsiTheme="minorHAnsi" w:cstheme="minorHAnsi"/>
          <w:sz w:val="26"/>
          <w:szCs w:val="26"/>
        </w:rPr>
        <w:t xml:space="preserve">Au-delà de l’exigence générale d’un </w:t>
      </w:r>
      <w:r w:rsidRPr="00A549B7">
        <w:rPr>
          <w:rFonts w:asciiTheme="minorHAnsi" w:hAnsiTheme="minorHAnsi" w:cstheme="minorHAnsi"/>
          <w:sz w:val="26"/>
          <w:szCs w:val="26"/>
        </w:rPr>
        <w:t>choix de loi formulé dans un écrit, daté et signé par les époux</w:t>
      </w:r>
      <w:r w:rsidR="00C94F6D" w:rsidRPr="00A549B7">
        <w:rPr>
          <w:rFonts w:asciiTheme="minorHAnsi" w:hAnsiTheme="minorHAnsi" w:cstheme="minorHAnsi"/>
          <w:sz w:val="26"/>
          <w:szCs w:val="26"/>
        </w:rPr>
        <w:t>, le ch</w:t>
      </w:r>
      <w:r w:rsidRPr="00A549B7">
        <w:rPr>
          <w:rFonts w:asciiTheme="minorHAnsi" w:hAnsiTheme="minorHAnsi" w:cstheme="minorHAnsi"/>
          <w:sz w:val="26"/>
          <w:szCs w:val="26"/>
        </w:rPr>
        <w:t>oix doit également être conforme aux exigences formelles de la loi de l’Etat membre sur le territoire duquel les époux résident au moment du choix (art. 23, par. 2). Des règles particulières visent les hypothèses dans lesquelles les époux ne résident pas ensemble</w:t>
      </w:r>
      <w:r w:rsidR="00DB55EF" w:rsidRPr="00A549B7">
        <w:rPr>
          <w:rFonts w:asciiTheme="minorHAnsi" w:hAnsiTheme="minorHAnsi" w:cstheme="minorHAnsi"/>
          <w:sz w:val="26"/>
          <w:szCs w:val="26"/>
        </w:rPr>
        <w:t>, soit qu’ils résident dans des Etats membres distincts, soit que seul l’un d’eux réside sur le territoire d’un Etat membre. Le système</w:t>
      </w:r>
      <w:r w:rsidR="00B32FC2" w:rsidRPr="00A549B7">
        <w:rPr>
          <w:rFonts w:asciiTheme="minorHAnsi" w:hAnsiTheme="minorHAnsi" w:cstheme="minorHAnsi"/>
          <w:sz w:val="26"/>
          <w:szCs w:val="26"/>
        </w:rPr>
        <w:t xml:space="preserve"> est assurément moins libéral que celui qui prévalait en droit international privé belge</w:t>
      </w:r>
      <w:r w:rsidR="002673A2" w:rsidRPr="00A549B7">
        <w:rPr>
          <w:rStyle w:val="Appelnotedebasdep"/>
          <w:rFonts w:asciiTheme="minorHAnsi" w:hAnsiTheme="minorHAnsi" w:cstheme="minorHAnsi"/>
          <w:sz w:val="26"/>
          <w:szCs w:val="26"/>
        </w:rPr>
        <w:footnoteReference w:id="26"/>
      </w:r>
      <w:r w:rsidR="00B32FC2" w:rsidRPr="00A549B7">
        <w:rPr>
          <w:rFonts w:asciiTheme="minorHAnsi" w:hAnsiTheme="minorHAnsi" w:cstheme="minorHAnsi"/>
          <w:sz w:val="26"/>
          <w:szCs w:val="26"/>
        </w:rPr>
        <w:t>. Il contraindra les praticiens à s’informer à propos des exigences formelles qui sont imposées par l’Etat membre sur le territoire duquel l’un des époux réside, et à en tenir compte.</w:t>
      </w:r>
      <w:r w:rsidR="00F649B1" w:rsidRPr="00A549B7">
        <w:rPr>
          <w:rFonts w:asciiTheme="minorHAnsi" w:hAnsiTheme="minorHAnsi" w:cstheme="minorHAnsi"/>
          <w:sz w:val="26"/>
          <w:szCs w:val="26"/>
        </w:rPr>
        <w:t xml:space="preserve"> Lorsque deux ressortissants belges qui résident en Espagne, font appel à un notaire belge pour recevoir un contrat de mariage, il conviendra de respecter les exigences formelles imposées par la loi espagnole</w:t>
      </w:r>
      <w:r w:rsidR="00F649B1" w:rsidRPr="00A549B7">
        <w:rPr>
          <w:rStyle w:val="Appelnotedebasdep"/>
          <w:rFonts w:asciiTheme="minorHAnsi" w:hAnsiTheme="minorHAnsi" w:cstheme="minorHAnsi"/>
          <w:sz w:val="26"/>
          <w:szCs w:val="26"/>
        </w:rPr>
        <w:footnoteReference w:id="27"/>
      </w:r>
      <w:r w:rsidR="00F649B1" w:rsidRPr="00A549B7">
        <w:rPr>
          <w:rFonts w:asciiTheme="minorHAnsi" w:hAnsiTheme="minorHAnsi" w:cstheme="minorHAnsi"/>
          <w:sz w:val="26"/>
          <w:szCs w:val="26"/>
        </w:rPr>
        <w:t>.</w:t>
      </w:r>
    </w:p>
    <w:p w:rsidR="00B9080B" w:rsidRPr="00A549B7" w:rsidRDefault="00B9080B" w:rsidP="00A549B7">
      <w:pPr>
        <w:spacing w:line="288" w:lineRule="auto"/>
        <w:rPr>
          <w:rFonts w:asciiTheme="minorHAnsi" w:hAnsiTheme="minorHAnsi" w:cstheme="minorHAnsi"/>
          <w:sz w:val="26"/>
          <w:szCs w:val="26"/>
        </w:rPr>
      </w:pPr>
    </w:p>
    <w:p w:rsidR="003B1AAA" w:rsidRPr="00A549B7" w:rsidRDefault="003B1AAA" w:rsidP="00A549B7">
      <w:pPr>
        <w:spacing w:line="288" w:lineRule="auto"/>
        <w:rPr>
          <w:rFonts w:asciiTheme="minorHAnsi" w:hAnsiTheme="minorHAnsi" w:cstheme="minorHAnsi"/>
          <w:b/>
          <w:sz w:val="26"/>
          <w:szCs w:val="26"/>
        </w:rPr>
      </w:pPr>
      <w:r w:rsidRPr="00A549B7">
        <w:rPr>
          <w:rFonts w:asciiTheme="minorHAnsi" w:hAnsiTheme="minorHAnsi" w:cstheme="minorHAnsi"/>
          <w:b/>
          <w:sz w:val="26"/>
          <w:szCs w:val="26"/>
        </w:rPr>
        <w:t>B. Le rattachement objectif</w:t>
      </w:r>
    </w:p>
    <w:p w:rsidR="003B1AAA" w:rsidRPr="00A549B7" w:rsidRDefault="003B1AAA" w:rsidP="00A549B7">
      <w:pPr>
        <w:spacing w:line="288" w:lineRule="auto"/>
        <w:jc w:val="both"/>
        <w:rPr>
          <w:rFonts w:asciiTheme="minorHAnsi" w:hAnsiTheme="minorHAnsi" w:cstheme="minorHAnsi"/>
          <w:sz w:val="26"/>
          <w:szCs w:val="26"/>
        </w:rPr>
      </w:pPr>
    </w:p>
    <w:p w:rsidR="00F7765F" w:rsidRPr="00A549B7" w:rsidRDefault="00F7765F"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L’article 26 du règlement est construit autour d’une échelle de rattachement, mécanisme devenu familier des praticiens belges depuis l’entrée en vigueur du Code de droit international privé. En effet, </w:t>
      </w:r>
      <w:r w:rsidR="00733915" w:rsidRPr="00A549B7">
        <w:rPr>
          <w:rFonts w:asciiTheme="minorHAnsi" w:hAnsiTheme="minorHAnsi" w:cstheme="minorHAnsi"/>
          <w:sz w:val="26"/>
          <w:szCs w:val="26"/>
        </w:rPr>
        <w:t>l’article 51 du Code de droit international privé retient aussi plusieurs rattachements alternatifs, qui sont organisés sur un mode hiérarchique.</w:t>
      </w:r>
      <w:r w:rsidR="005369FC" w:rsidRPr="00A549B7">
        <w:rPr>
          <w:rFonts w:asciiTheme="minorHAnsi" w:hAnsiTheme="minorHAnsi" w:cstheme="minorHAnsi"/>
          <w:sz w:val="26"/>
          <w:szCs w:val="26"/>
        </w:rPr>
        <w:t xml:space="preserve"> Les deux </w:t>
      </w:r>
      <w:r w:rsidR="00ED42A3" w:rsidRPr="00A549B7">
        <w:rPr>
          <w:rFonts w:asciiTheme="minorHAnsi" w:hAnsiTheme="minorHAnsi" w:cstheme="minorHAnsi"/>
          <w:sz w:val="26"/>
          <w:szCs w:val="26"/>
        </w:rPr>
        <w:t>textes</w:t>
      </w:r>
      <w:r w:rsidR="005369FC" w:rsidRPr="00A549B7">
        <w:rPr>
          <w:rFonts w:asciiTheme="minorHAnsi" w:hAnsiTheme="minorHAnsi" w:cstheme="minorHAnsi"/>
          <w:sz w:val="26"/>
          <w:szCs w:val="26"/>
        </w:rPr>
        <w:t xml:space="preserve"> se rejoignent pour privilégier la loi de la résidence habituelle que les époux ont établie après leur mariage</w:t>
      </w:r>
      <w:r w:rsidR="00ED42A3" w:rsidRPr="00A549B7">
        <w:rPr>
          <w:rFonts w:asciiTheme="minorHAnsi" w:hAnsiTheme="minorHAnsi" w:cstheme="minorHAnsi"/>
          <w:sz w:val="26"/>
          <w:szCs w:val="26"/>
        </w:rPr>
        <w:t xml:space="preserve"> (art. 26 du règlement, art. 51 Code)</w:t>
      </w:r>
      <w:r w:rsidR="005369FC" w:rsidRPr="00A549B7">
        <w:rPr>
          <w:rFonts w:asciiTheme="minorHAnsi" w:hAnsiTheme="minorHAnsi" w:cstheme="minorHAnsi"/>
          <w:sz w:val="26"/>
          <w:szCs w:val="26"/>
        </w:rPr>
        <w:t>. Ce n’est qu’à défaut d’une telle résidence que la loi de la nationalité commune des époux acquiert pertinence</w:t>
      </w:r>
      <w:r w:rsidR="006E7A23" w:rsidRPr="00A549B7">
        <w:rPr>
          <w:rStyle w:val="Appelnotedebasdep"/>
          <w:rFonts w:asciiTheme="minorHAnsi" w:hAnsiTheme="minorHAnsi" w:cstheme="minorHAnsi"/>
          <w:sz w:val="26"/>
          <w:szCs w:val="26"/>
        </w:rPr>
        <w:footnoteReference w:id="28"/>
      </w:r>
      <w:r w:rsidR="005369FC"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C94F6D" w:rsidRPr="00A549B7" w:rsidRDefault="00C94F6D"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Contrairement au règlement, le Code de droit international privé </w:t>
      </w:r>
      <w:r w:rsidR="00E0613F" w:rsidRPr="00A549B7">
        <w:rPr>
          <w:rFonts w:asciiTheme="minorHAnsi" w:hAnsiTheme="minorHAnsi" w:cstheme="minorHAnsi"/>
          <w:sz w:val="26"/>
          <w:szCs w:val="26"/>
        </w:rPr>
        <w:t>offre une définition du concept de résidence habituelle. Celle-ci doit s’entendre comme visant</w:t>
      </w:r>
      <w:r w:rsidR="00FC180B" w:rsidRPr="00A549B7">
        <w:rPr>
          <w:rFonts w:asciiTheme="minorHAnsi" w:hAnsiTheme="minorHAnsi" w:cstheme="minorHAnsi"/>
          <w:sz w:val="26"/>
          <w:szCs w:val="26"/>
        </w:rPr>
        <w:t xml:space="preserve"> le lieu où une personne physique s’est établie à titre principal</w:t>
      </w:r>
      <w:r w:rsidR="00FC180B" w:rsidRPr="00A549B7">
        <w:rPr>
          <w:rStyle w:val="Appelnotedebasdep"/>
          <w:rFonts w:asciiTheme="minorHAnsi" w:hAnsiTheme="minorHAnsi" w:cstheme="minorHAnsi"/>
          <w:sz w:val="26"/>
          <w:szCs w:val="26"/>
        </w:rPr>
        <w:footnoteReference w:id="29"/>
      </w:r>
      <w:r w:rsidR="00FC180B" w:rsidRPr="00A549B7">
        <w:rPr>
          <w:rFonts w:asciiTheme="minorHAnsi" w:hAnsiTheme="minorHAnsi" w:cstheme="minorHAnsi"/>
          <w:sz w:val="26"/>
          <w:szCs w:val="26"/>
        </w:rPr>
        <w:t xml:space="preserve">. Cette définition ne peut être étendue au règlement, qui appelle au développement d’une acceptation propre au droit européen. Il demeure que les éléments constitutifs de la définition qui figure à l’article 4 du Code, à savoir la présence physique d’un individu sur un territoire et son intention d’y demeurer, ne manqueront pas de </w:t>
      </w:r>
      <w:r w:rsidR="00D43D30" w:rsidRPr="00A549B7">
        <w:rPr>
          <w:rFonts w:asciiTheme="minorHAnsi" w:hAnsiTheme="minorHAnsi" w:cstheme="minorHAnsi"/>
          <w:sz w:val="26"/>
          <w:szCs w:val="26"/>
        </w:rPr>
        <w:t>trouver un écho dans la formule qui sera retenue à terme par la Cour de justice. On notera à cet égard une différence minime entre les deux textes : l’article 51 du Code suggère qu’il est possible de retenir la résidence habituelle comme facteur de rattachement alors que les jeunes époux ne cohabitent pas</w:t>
      </w:r>
      <w:r w:rsidR="00D43D30" w:rsidRPr="00A549B7">
        <w:rPr>
          <w:rStyle w:val="Appelnotedebasdep"/>
          <w:rFonts w:asciiTheme="minorHAnsi" w:hAnsiTheme="minorHAnsi" w:cstheme="minorHAnsi"/>
          <w:sz w:val="26"/>
          <w:szCs w:val="26"/>
        </w:rPr>
        <w:footnoteReference w:id="30"/>
      </w:r>
      <w:r w:rsidR="00D43D30" w:rsidRPr="00A549B7">
        <w:rPr>
          <w:rFonts w:asciiTheme="minorHAnsi" w:hAnsiTheme="minorHAnsi" w:cstheme="minorHAnsi"/>
          <w:sz w:val="26"/>
          <w:szCs w:val="26"/>
        </w:rPr>
        <w:t>, alors que le règlement semble exiger qu’il s’agisse d’une résidence commune.</w:t>
      </w:r>
    </w:p>
    <w:p w:rsidR="00EB4B03" w:rsidRPr="00A549B7" w:rsidRDefault="00733915"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Comme dans le Code de droit international privé, le règlement exige que les différents facteurs qu’il met en avant soient appréciés au moment du mariage et non au moment où se pose concrètement la question </w:t>
      </w:r>
      <w:r w:rsidR="00EB4B03" w:rsidRPr="00A549B7">
        <w:rPr>
          <w:rFonts w:asciiTheme="minorHAnsi" w:hAnsiTheme="minorHAnsi" w:cstheme="minorHAnsi"/>
          <w:sz w:val="26"/>
          <w:szCs w:val="26"/>
        </w:rPr>
        <w:t>relative aux relations patrimoniales entre époux. Cette règle repose sur un choix</w:t>
      </w:r>
      <w:r w:rsidR="004D4D3D" w:rsidRPr="00A549B7">
        <w:rPr>
          <w:rFonts w:asciiTheme="minorHAnsi" w:hAnsiTheme="minorHAnsi" w:cstheme="minorHAnsi"/>
          <w:sz w:val="26"/>
          <w:szCs w:val="26"/>
        </w:rPr>
        <w:t xml:space="preserve"> politique important. On sait en effet que deux approches sont possibles : la première fixe le rattachement au moment de la célébration de l’union, la seconde s’oriente sur base des circonstances de vie des époux au moment où se pose la question de la liquidation du régime matrimonial</w:t>
      </w:r>
      <w:r w:rsidR="00E65EE0" w:rsidRPr="00A549B7">
        <w:rPr>
          <w:rStyle w:val="Appelnotedebasdep"/>
          <w:rFonts w:asciiTheme="minorHAnsi" w:hAnsiTheme="minorHAnsi" w:cstheme="minorHAnsi"/>
          <w:sz w:val="26"/>
          <w:szCs w:val="26"/>
        </w:rPr>
        <w:footnoteReference w:id="31"/>
      </w:r>
      <w:r w:rsidR="004D4D3D" w:rsidRPr="00A549B7">
        <w:rPr>
          <w:rFonts w:asciiTheme="minorHAnsi" w:hAnsiTheme="minorHAnsi" w:cstheme="minorHAnsi"/>
          <w:sz w:val="26"/>
          <w:szCs w:val="26"/>
        </w:rPr>
        <w:t>. Les deux options présentent des avantages et des inconvénients</w:t>
      </w:r>
      <w:r w:rsidR="004D4D3D" w:rsidRPr="00A549B7">
        <w:rPr>
          <w:rStyle w:val="Appelnotedebasdep"/>
          <w:rFonts w:asciiTheme="minorHAnsi" w:hAnsiTheme="minorHAnsi" w:cstheme="minorHAnsi"/>
          <w:sz w:val="26"/>
          <w:szCs w:val="26"/>
        </w:rPr>
        <w:footnoteReference w:id="32"/>
      </w:r>
      <w:r w:rsidR="004D4D3D" w:rsidRPr="00A549B7">
        <w:rPr>
          <w:rFonts w:asciiTheme="minorHAnsi" w:hAnsiTheme="minorHAnsi" w:cstheme="minorHAnsi"/>
          <w:sz w:val="26"/>
          <w:szCs w:val="26"/>
        </w:rPr>
        <w:t>.</w:t>
      </w:r>
      <w:r w:rsidR="00E65EE0" w:rsidRPr="00A549B7">
        <w:rPr>
          <w:rFonts w:asciiTheme="minorHAnsi" w:hAnsiTheme="minorHAnsi" w:cstheme="minorHAnsi"/>
          <w:sz w:val="26"/>
          <w:szCs w:val="26"/>
        </w:rPr>
        <w:t xml:space="preserve"> </w:t>
      </w:r>
    </w:p>
    <w:p w:rsidR="00A549B7" w:rsidRDefault="00A549B7" w:rsidP="00A549B7">
      <w:pPr>
        <w:spacing w:line="288" w:lineRule="auto"/>
        <w:jc w:val="both"/>
        <w:rPr>
          <w:rFonts w:asciiTheme="minorHAnsi" w:hAnsiTheme="minorHAnsi" w:cstheme="minorHAnsi"/>
          <w:sz w:val="26"/>
          <w:szCs w:val="26"/>
        </w:rPr>
      </w:pPr>
    </w:p>
    <w:p w:rsidR="00B9080B" w:rsidRPr="00A549B7" w:rsidRDefault="00E65EE0"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 position adoptée par le législateur européen</w:t>
      </w:r>
      <w:r w:rsidR="00EB4B03" w:rsidRPr="00A549B7">
        <w:rPr>
          <w:rFonts w:asciiTheme="minorHAnsi" w:hAnsiTheme="minorHAnsi" w:cstheme="minorHAnsi"/>
          <w:sz w:val="26"/>
          <w:szCs w:val="26"/>
        </w:rPr>
        <w:t xml:space="preserve"> fige les époux dans le régime légal de l’Etat sur le territoire duquel ils ont vécu leurs premières années en tant que conjoints</w:t>
      </w:r>
      <w:r w:rsidR="00D43D30" w:rsidRPr="00A549B7">
        <w:rPr>
          <w:rStyle w:val="Appelnotedebasdep"/>
          <w:rFonts w:asciiTheme="minorHAnsi" w:hAnsiTheme="minorHAnsi" w:cstheme="minorHAnsi"/>
          <w:sz w:val="26"/>
          <w:szCs w:val="26"/>
        </w:rPr>
        <w:footnoteReference w:id="33"/>
      </w:r>
      <w:r w:rsidR="00EB4B03" w:rsidRPr="00A549B7">
        <w:rPr>
          <w:rFonts w:asciiTheme="minorHAnsi" w:hAnsiTheme="minorHAnsi" w:cstheme="minorHAnsi"/>
          <w:sz w:val="26"/>
          <w:szCs w:val="26"/>
        </w:rPr>
        <w:t xml:space="preserve">. Ce choix est garant d’une stabilité du cadre dans lequel s’inscrivent les relations patrimoniales entre époux. La stabilité est un ingrédient important, notamment pour les tiers qui sont amenés à contracter avec les époux. Le revers de la médaille est patent : dès lors que des époux ont, au cours de leur mariage, connu plusieurs résidences successives, ils pourraient ne plus avoir qu’un lien ténu avec la loi désignée par l’article 26. Ceci sera surtout le cas pour les époux qui vivaient </w:t>
      </w:r>
      <w:r w:rsidR="00180CEF" w:rsidRPr="00A549B7">
        <w:rPr>
          <w:rFonts w:asciiTheme="minorHAnsi" w:hAnsiTheme="minorHAnsi" w:cstheme="minorHAnsi"/>
          <w:sz w:val="26"/>
          <w:szCs w:val="26"/>
        </w:rPr>
        <w:t xml:space="preserve">à l’époque de </w:t>
      </w:r>
      <w:r w:rsidR="00EB4B03" w:rsidRPr="00A549B7">
        <w:rPr>
          <w:rFonts w:asciiTheme="minorHAnsi" w:hAnsiTheme="minorHAnsi" w:cstheme="minorHAnsi"/>
          <w:sz w:val="26"/>
          <w:szCs w:val="26"/>
        </w:rPr>
        <w:t>leur mariage dans un Etat qui n’était pas celui de leur nationalité. Soit deux ressortissants belges qui vivent au Sénégal et s’y marient.</w:t>
      </w:r>
      <w:r w:rsidR="00ED42A3" w:rsidRPr="00A549B7">
        <w:rPr>
          <w:rFonts w:asciiTheme="minorHAnsi" w:hAnsiTheme="minorHAnsi" w:cstheme="minorHAnsi"/>
          <w:sz w:val="26"/>
          <w:szCs w:val="26"/>
        </w:rPr>
        <w:t xml:space="preserve"> S’ils s’installent en Belgique trois ans après leur mariage et qu’un divorce intervient vingt ans après le début de l’union, l’application du droit sénégalais</w:t>
      </w:r>
      <w:r w:rsidR="00A121F6" w:rsidRPr="00A549B7">
        <w:rPr>
          <w:rFonts w:asciiTheme="minorHAnsi" w:hAnsiTheme="minorHAnsi" w:cstheme="minorHAnsi"/>
          <w:sz w:val="26"/>
          <w:szCs w:val="26"/>
        </w:rPr>
        <w:t>, droit de l’Etat sur le territoire duquel les époux étaient installés au moment du mariage,</w:t>
      </w:r>
      <w:r w:rsidR="00ED42A3" w:rsidRPr="00A549B7">
        <w:rPr>
          <w:rFonts w:asciiTheme="minorHAnsi" w:hAnsiTheme="minorHAnsi" w:cstheme="minorHAnsi"/>
          <w:sz w:val="26"/>
          <w:szCs w:val="26"/>
        </w:rPr>
        <w:t xml:space="preserve"> pourrait constituer une surprise pour les époux, pour qui le Sénégal n’est plus qu’un lointain </w:t>
      </w:r>
      <w:r w:rsidR="00A121F6" w:rsidRPr="00A549B7">
        <w:rPr>
          <w:rFonts w:asciiTheme="minorHAnsi" w:hAnsiTheme="minorHAnsi" w:cstheme="minorHAnsi"/>
          <w:sz w:val="26"/>
          <w:szCs w:val="26"/>
        </w:rPr>
        <w:t xml:space="preserve">(et, on l’espère, heureux) </w:t>
      </w:r>
      <w:r w:rsidR="00ED42A3" w:rsidRPr="00A549B7">
        <w:rPr>
          <w:rFonts w:asciiTheme="minorHAnsi" w:hAnsiTheme="minorHAnsi" w:cstheme="minorHAnsi"/>
          <w:sz w:val="26"/>
          <w:szCs w:val="26"/>
        </w:rPr>
        <w:t>souvenir d’une époque révolue.</w:t>
      </w:r>
    </w:p>
    <w:p w:rsidR="00A549B7" w:rsidRDefault="00A549B7" w:rsidP="00A549B7">
      <w:pPr>
        <w:spacing w:line="288" w:lineRule="auto"/>
        <w:jc w:val="both"/>
        <w:rPr>
          <w:rFonts w:asciiTheme="minorHAnsi" w:hAnsiTheme="minorHAnsi" w:cstheme="minorHAnsi"/>
          <w:sz w:val="26"/>
          <w:szCs w:val="26"/>
        </w:rPr>
      </w:pPr>
    </w:p>
    <w:p w:rsidR="00A121F6" w:rsidRPr="00A549B7" w:rsidRDefault="00EB4B03"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Pour apporter une réponse à cette difficulté, le Code et le règlement font appel à un instrument dont le maniement est délicat : la clause d’exception. Telle qu’elle est conçue par le législateur européen, la clause d’exception prend néanmoins un visage très différent de celui qui est le sien sous l’empire du Code. L’article 19 du Code met en effet en place un mécanisme d’application générale, qui est susceptible de corriger la plupart des rattachements prévus par le Code. </w:t>
      </w:r>
      <w:r w:rsidR="00A121F6" w:rsidRPr="00A549B7">
        <w:rPr>
          <w:rFonts w:asciiTheme="minorHAnsi" w:hAnsiTheme="minorHAnsi" w:cstheme="minorHAnsi"/>
          <w:sz w:val="26"/>
          <w:szCs w:val="26"/>
        </w:rPr>
        <w:t>Au cœur de ce fondement se trouve l’appréciation de l’intensité des liens qui unissent le mariage avec les Etats dont la loi est potentiellement applicable. Le Code ne donne pas de directive particulière permettant de tenir compte des spécificités des régimes matrimoniaux.</w:t>
      </w:r>
    </w:p>
    <w:p w:rsidR="00A549B7" w:rsidRDefault="00A549B7" w:rsidP="00A549B7">
      <w:pPr>
        <w:spacing w:line="288" w:lineRule="auto"/>
        <w:jc w:val="both"/>
        <w:rPr>
          <w:rFonts w:asciiTheme="minorHAnsi" w:hAnsiTheme="minorHAnsi" w:cstheme="minorHAnsi"/>
          <w:sz w:val="26"/>
          <w:szCs w:val="26"/>
        </w:rPr>
      </w:pPr>
    </w:p>
    <w:p w:rsidR="00A45B23" w:rsidRPr="00A549B7" w:rsidRDefault="00EB4B03"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Au contraire, l’article 26, par. 3 du règlement met à disposition des praticiens une clause d’exception spécialement conçue pour le champ des relations patrimoniales</w:t>
      </w:r>
      <w:r w:rsidR="00A248D7">
        <w:rPr>
          <w:rStyle w:val="Appelnotedebasdep"/>
          <w:rFonts w:asciiTheme="minorHAnsi" w:hAnsiTheme="minorHAnsi" w:cstheme="minorHAnsi"/>
          <w:sz w:val="26"/>
          <w:szCs w:val="26"/>
        </w:rPr>
        <w:footnoteReference w:id="34"/>
      </w:r>
      <w:r w:rsidRPr="00A549B7">
        <w:rPr>
          <w:rFonts w:asciiTheme="minorHAnsi" w:hAnsiTheme="minorHAnsi" w:cstheme="minorHAnsi"/>
          <w:sz w:val="26"/>
          <w:szCs w:val="26"/>
        </w:rPr>
        <w:t>.</w:t>
      </w:r>
      <w:r w:rsidR="00A121F6" w:rsidRPr="00A549B7">
        <w:rPr>
          <w:rFonts w:asciiTheme="minorHAnsi" w:hAnsiTheme="minorHAnsi" w:cstheme="minorHAnsi"/>
          <w:sz w:val="26"/>
          <w:szCs w:val="26"/>
        </w:rPr>
        <w:t xml:space="preserve"> Si elle se fonde elle aussi sur l’appréciation des liens étroits </w:t>
      </w:r>
      <w:r w:rsidR="001578A2" w:rsidRPr="00A549B7">
        <w:rPr>
          <w:rFonts w:asciiTheme="minorHAnsi" w:hAnsiTheme="minorHAnsi" w:cstheme="minorHAnsi"/>
          <w:sz w:val="26"/>
          <w:szCs w:val="26"/>
        </w:rPr>
        <w:t xml:space="preserve">qui unissent les deux époux aux Etats en cause, une différence important sépare néanmoins les </w:t>
      </w:r>
      <w:r w:rsidR="00A45B23" w:rsidRPr="00A549B7">
        <w:rPr>
          <w:rFonts w:asciiTheme="minorHAnsi" w:hAnsiTheme="minorHAnsi" w:cstheme="minorHAnsi"/>
          <w:sz w:val="26"/>
          <w:szCs w:val="26"/>
        </w:rPr>
        <w:t>deux versions de la clause d’exception</w:t>
      </w:r>
      <w:r w:rsidR="001578A2" w:rsidRPr="00A549B7">
        <w:rPr>
          <w:rFonts w:asciiTheme="minorHAnsi" w:hAnsiTheme="minorHAnsi" w:cstheme="minorHAnsi"/>
          <w:sz w:val="26"/>
          <w:szCs w:val="26"/>
        </w:rPr>
        <w:t xml:space="preserve">. Cette différence concerne </w:t>
      </w:r>
      <w:r w:rsidR="00A45B23" w:rsidRPr="00A549B7">
        <w:rPr>
          <w:rFonts w:asciiTheme="minorHAnsi" w:hAnsiTheme="minorHAnsi" w:cstheme="minorHAnsi"/>
          <w:sz w:val="26"/>
          <w:szCs w:val="26"/>
        </w:rPr>
        <w:t>la définition des liens plus étroits qui justifient de s’écarter de la règle principale de rattachement : alors que le Code de droit international privé retient une formule générale, fondée sur le constat que la situation présente « des liens très étroits » avec le droit d’un autre Etat que celui déclaré applicable</w:t>
      </w:r>
      <w:r w:rsidR="00380A15" w:rsidRPr="00A549B7">
        <w:rPr>
          <w:rStyle w:val="Appelnotedebasdep"/>
          <w:rFonts w:asciiTheme="minorHAnsi" w:hAnsiTheme="minorHAnsi" w:cstheme="minorHAnsi"/>
          <w:sz w:val="26"/>
          <w:szCs w:val="26"/>
        </w:rPr>
        <w:footnoteReference w:id="35"/>
      </w:r>
      <w:r w:rsidR="00A45B23" w:rsidRPr="00A549B7">
        <w:rPr>
          <w:rFonts w:asciiTheme="minorHAnsi" w:hAnsiTheme="minorHAnsi" w:cstheme="minorHAnsi"/>
          <w:sz w:val="26"/>
          <w:szCs w:val="26"/>
        </w:rPr>
        <w:t>, l’article 26, par. 3 subordonne la mise en œuvre de la clause d’exception à la démonstration de deux éléments concrets directement liés à la vie du couple : d’une part, il importe de démontrer que les époux ont résidé « pendant une période significativement plus longue » dans un Etat autre que celui dont la loi est désignée par la règle générale. D’autre part, la mise en œuvre de la clause d’exception est subordonnée à la démonstration</w:t>
      </w:r>
      <w:r w:rsidR="00547572" w:rsidRPr="00A549B7">
        <w:rPr>
          <w:rFonts w:asciiTheme="minorHAnsi" w:hAnsiTheme="minorHAnsi" w:cstheme="minorHAnsi"/>
          <w:sz w:val="26"/>
          <w:szCs w:val="26"/>
        </w:rPr>
        <w:t xml:space="preserve"> que les époux nourrissent des attentes légitimes quant à l’application de la loi de leur résidence habituelle actuelle, attentes qui se sont exprimées à l’occasion de l’organisation ou de la planification de leurs rapport patrimoniaux.</w:t>
      </w:r>
    </w:p>
    <w:p w:rsidR="00A549B7" w:rsidRDefault="00A549B7" w:rsidP="00A549B7">
      <w:pPr>
        <w:spacing w:line="288" w:lineRule="auto"/>
        <w:jc w:val="both"/>
        <w:rPr>
          <w:rFonts w:asciiTheme="minorHAnsi" w:hAnsiTheme="minorHAnsi" w:cstheme="minorHAnsi"/>
          <w:sz w:val="26"/>
          <w:szCs w:val="26"/>
        </w:rPr>
      </w:pPr>
    </w:p>
    <w:p w:rsidR="00547572" w:rsidRPr="00A549B7" w:rsidRDefault="0054757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 clause d’exception européenne est indéniablement plus délicate à mettre en œuvre que son équivalent belge. Le mécanisme n’est d’ailleurs pas exempt de difficultés</w:t>
      </w:r>
      <w:r w:rsidR="00F0135E" w:rsidRPr="00A549B7">
        <w:rPr>
          <w:rFonts w:asciiTheme="minorHAnsi" w:hAnsiTheme="minorHAnsi" w:cstheme="minorHAnsi"/>
          <w:sz w:val="26"/>
          <w:szCs w:val="26"/>
        </w:rPr>
        <w:t>. On peut par exemple se demander pourquoi sa mise en œuvre est réservée aux seules juridictions, privant le notariat de la possibilité de l’appliquer.</w:t>
      </w:r>
    </w:p>
    <w:p w:rsidR="00A549B7" w:rsidRDefault="00A549B7" w:rsidP="00A549B7">
      <w:pPr>
        <w:spacing w:line="288" w:lineRule="auto"/>
        <w:jc w:val="both"/>
        <w:rPr>
          <w:rFonts w:asciiTheme="minorHAnsi" w:hAnsiTheme="minorHAnsi" w:cstheme="minorHAnsi"/>
          <w:sz w:val="26"/>
          <w:szCs w:val="26"/>
        </w:rPr>
      </w:pPr>
    </w:p>
    <w:p w:rsidR="00F0135E" w:rsidRPr="00A549B7" w:rsidRDefault="00F0135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Si tant le Code de droit international privé que le règlement permettent d’écarter dans des circonstances exceptionnelles le droit déclaré applicable, ils </w:t>
      </w:r>
      <w:r w:rsidR="00374199" w:rsidRPr="00A549B7">
        <w:rPr>
          <w:rFonts w:asciiTheme="minorHAnsi" w:hAnsiTheme="minorHAnsi" w:cstheme="minorHAnsi"/>
          <w:sz w:val="26"/>
          <w:szCs w:val="26"/>
        </w:rPr>
        <w:t xml:space="preserve">se </w:t>
      </w:r>
      <w:r w:rsidRPr="00A549B7">
        <w:rPr>
          <w:rFonts w:asciiTheme="minorHAnsi" w:hAnsiTheme="minorHAnsi" w:cstheme="minorHAnsi"/>
          <w:sz w:val="26"/>
          <w:szCs w:val="26"/>
        </w:rPr>
        <w:t>rejoignent également pour exclure toute prise en compte du renvoi</w:t>
      </w:r>
      <w:r w:rsidR="00380A15" w:rsidRPr="00A549B7">
        <w:rPr>
          <w:rStyle w:val="Appelnotedebasdep"/>
          <w:rFonts w:asciiTheme="minorHAnsi" w:hAnsiTheme="minorHAnsi" w:cstheme="minorHAnsi"/>
          <w:sz w:val="26"/>
          <w:szCs w:val="26"/>
        </w:rPr>
        <w:footnoteReference w:id="36"/>
      </w:r>
      <w:r w:rsidRPr="00A549B7">
        <w:rPr>
          <w:rFonts w:asciiTheme="minorHAnsi" w:hAnsiTheme="minorHAnsi" w:cstheme="minorHAnsi"/>
          <w:sz w:val="26"/>
          <w:szCs w:val="26"/>
        </w:rPr>
        <w:t>. Celui-ci est banni des relations patrimoniales</w:t>
      </w:r>
      <w:r w:rsidR="00374199" w:rsidRPr="00A549B7">
        <w:rPr>
          <w:rFonts w:asciiTheme="minorHAnsi" w:hAnsiTheme="minorHAnsi" w:cstheme="minorHAnsi"/>
          <w:sz w:val="26"/>
          <w:szCs w:val="26"/>
        </w:rPr>
        <w:t xml:space="preserve"> (art. 32 du règlement, art. 16 du Code)</w:t>
      </w:r>
      <w:r w:rsidRPr="00A549B7">
        <w:rPr>
          <w:rFonts w:asciiTheme="minorHAnsi" w:hAnsiTheme="minorHAnsi" w:cstheme="minorHAnsi"/>
          <w:sz w:val="26"/>
          <w:szCs w:val="26"/>
        </w:rPr>
        <w:t>. Il ne subsiste même pas lorsque les règles européennes désignent le droit d’un Etat tiers, comme c’est le cas pour les successions régies par le Règlement successions.</w:t>
      </w:r>
    </w:p>
    <w:p w:rsidR="00A549B7" w:rsidRDefault="00A549B7" w:rsidP="00A549B7">
      <w:pPr>
        <w:spacing w:line="288" w:lineRule="auto"/>
        <w:jc w:val="both"/>
        <w:rPr>
          <w:rFonts w:asciiTheme="minorHAnsi" w:hAnsiTheme="minorHAnsi" w:cstheme="minorHAnsi"/>
          <w:sz w:val="26"/>
          <w:szCs w:val="26"/>
        </w:rPr>
      </w:pPr>
    </w:p>
    <w:p w:rsidR="00F0135E" w:rsidRPr="00A549B7" w:rsidRDefault="00F0135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Enfin, on peut aussi relever que le Règlement ne permet pas de résoudre une difficulté qui a suscité pas mal d’interrogation dans la mise en œuvre de l’échelle de rattachement</w:t>
      </w:r>
      <w:r w:rsidR="004B4F9F" w:rsidRPr="00A549B7">
        <w:rPr>
          <w:rFonts w:asciiTheme="minorHAnsi" w:hAnsiTheme="minorHAnsi" w:cstheme="minorHAnsi"/>
          <w:sz w:val="26"/>
          <w:szCs w:val="26"/>
        </w:rPr>
        <w:t xml:space="preserve">, qui est mise en place tant par l’article 26 du règlement européen que </w:t>
      </w:r>
      <w:r w:rsidRPr="00A549B7">
        <w:rPr>
          <w:rFonts w:asciiTheme="minorHAnsi" w:hAnsiTheme="minorHAnsi" w:cstheme="minorHAnsi"/>
          <w:sz w:val="26"/>
          <w:szCs w:val="26"/>
        </w:rPr>
        <w:t xml:space="preserve">par l’article 51 du Code de droit international privé. Cette difficulté concerne le passage du premier au deuxième degré de l’échelle de rattachement. Elle naît dans des situations dans lesquelles de jeunes époux ne cohabitent pas immédiatement après la célébration de leur union. Lorsque l’absence de cohabitation effective s’étend sur une période de quelques semaines, voire de quelques mois, l’on peut se demander s’il est permis de </w:t>
      </w:r>
      <w:r w:rsidR="00907514" w:rsidRPr="00A549B7">
        <w:rPr>
          <w:rFonts w:asciiTheme="minorHAnsi" w:hAnsiTheme="minorHAnsi" w:cstheme="minorHAnsi"/>
          <w:sz w:val="26"/>
          <w:szCs w:val="26"/>
        </w:rPr>
        <w:t>considérer que les époux n’ont pas fixé pour la première fois leur résidence habituelle sur le territoire d’un Etat après la célébration du mariage, ce qui permettrait d’activer le deuxième degré de l’échelle</w:t>
      </w:r>
      <w:r w:rsidR="00D26065" w:rsidRPr="00A549B7">
        <w:rPr>
          <w:rStyle w:val="Appelnotedebasdep"/>
          <w:rFonts w:asciiTheme="minorHAnsi" w:hAnsiTheme="minorHAnsi" w:cstheme="minorHAnsi"/>
          <w:sz w:val="26"/>
          <w:szCs w:val="26"/>
        </w:rPr>
        <w:footnoteReference w:id="37"/>
      </w:r>
      <w:r w:rsidR="00907514"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D26065" w:rsidRDefault="00907514"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passage d’un degré à l’autre </w:t>
      </w:r>
      <w:r w:rsidR="00D26065" w:rsidRPr="00A549B7">
        <w:rPr>
          <w:rFonts w:asciiTheme="minorHAnsi" w:hAnsiTheme="minorHAnsi" w:cstheme="minorHAnsi"/>
          <w:sz w:val="26"/>
          <w:szCs w:val="26"/>
        </w:rPr>
        <w:t xml:space="preserve">nécessite une appréciation des circonstances. Celle-ci donne nécessairement un peu de marge à l’interprète. La difficulté </w:t>
      </w:r>
      <w:r w:rsidR="00ED42A3" w:rsidRPr="00A549B7">
        <w:rPr>
          <w:rFonts w:asciiTheme="minorHAnsi" w:hAnsiTheme="minorHAnsi" w:cstheme="minorHAnsi"/>
          <w:sz w:val="26"/>
          <w:szCs w:val="26"/>
        </w:rPr>
        <w:t>consiste</w:t>
      </w:r>
      <w:r w:rsidR="00D26065" w:rsidRPr="00A549B7">
        <w:rPr>
          <w:rFonts w:asciiTheme="minorHAnsi" w:hAnsiTheme="minorHAnsi" w:cstheme="minorHAnsi"/>
          <w:sz w:val="26"/>
          <w:szCs w:val="26"/>
        </w:rPr>
        <w:t xml:space="preserve"> dès lors </w:t>
      </w:r>
      <w:r w:rsidR="00ED42A3" w:rsidRPr="00A549B7">
        <w:rPr>
          <w:rFonts w:asciiTheme="minorHAnsi" w:hAnsiTheme="minorHAnsi" w:cstheme="minorHAnsi"/>
          <w:sz w:val="26"/>
          <w:szCs w:val="26"/>
        </w:rPr>
        <w:t>à</w:t>
      </w:r>
      <w:r w:rsidR="00D26065" w:rsidRPr="00A549B7">
        <w:rPr>
          <w:rFonts w:asciiTheme="minorHAnsi" w:hAnsiTheme="minorHAnsi" w:cstheme="minorHAnsi"/>
          <w:sz w:val="26"/>
          <w:szCs w:val="26"/>
        </w:rPr>
        <w:t xml:space="preserve"> déterminer quelle peut être la durée de la période de latence qui sépare le mariage de l’installation commune. </w:t>
      </w:r>
      <w:r w:rsidR="00872094" w:rsidRPr="00A549B7">
        <w:rPr>
          <w:rFonts w:asciiTheme="minorHAnsi" w:hAnsiTheme="minorHAnsi" w:cstheme="minorHAnsi"/>
          <w:sz w:val="26"/>
          <w:szCs w:val="26"/>
        </w:rPr>
        <w:t>En l’absence de précisions dans le texte du Code, des propositions en sens divers avaient été faites</w:t>
      </w:r>
      <w:r w:rsidR="00872094" w:rsidRPr="00A549B7">
        <w:rPr>
          <w:rStyle w:val="Appelnotedebasdep"/>
          <w:rFonts w:asciiTheme="minorHAnsi" w:hAnsiTheme="minorHAnsi" w:cstheme="minorHAnsi"/>
          <w:sz w:val="26"/>
          <w:szCs w:val="26"/>
        </w:rPr>
        <w:footnoteReference w:id="38"/>
      </w:r>
      <w:r w:rsidR="00872094" w:rsidRPr="00A549B7">
        <w:rPr>
          <w:rFonts w:asciiTheme="minorHAnsi" w:hAnsiTheme="minorHAnsi" w:cstheme="minorHAnsi"/>
          <w:sz w:val="26"/>
          <w:szCs w:val="26"/>
        </w:rPr>
        <w:t xml:space="preserve">. </w:t>
      </w:r>
      <w:r w:rsidR="00D26065" w:rsidRPr="00A549B7">
        <w:rPr>
          <w:rFonts w:asciiTheme="minorHAnsi" w:hAnsiTheme="minorHAnsi" w:cstheme="minorHAnsi"/>
          <w:sz w:val="26"/>
          <w:szCs w:val="26"/>
        </w:rPr>
        <w:t xml:space="preserve">Le Règlement donne une indication, même si celle-ci est très ténue. </w:t>
      </w:r>
      <w:r w:rsidR="00AF2EAD" w:rsidRPr="00A549B7">
        <w:rPr>
          <w:rFonts w:asciiTheme="minorHAnsi" w:hAnsiTheme="minorHAnsi" w:cstheme="minorHAnsi"/>
          <w:sz w:val="26"/>
          <w:szCs w:val="26"/>
        </w:rPr>
        <w:t>S</w:t>
      </w:r>
      <w:r w:rsidR="00D26065" w:rsidRPr="00A549B7">
        <w:rPr>
          <w:rFonts w:asciiTheme="minorHAnsi" w:hAnsiTheme="minorHAnsi" w:cstheme="minorHAnsi"/>
          <w:sz w:val="26"/>
          <w:szCs w:val="26"/>
        </w:rPr>
        <w:t>elon le considérant 49 du préambule, la première résidence habituelle visée est celle établie « peu après le mariage ». On avouera que cette précision n’apporte guère de clarté.</w:t>
      </w:r>
    </w:p>
    <w:p w:rsidR="00A549B7" w:rsidRPr="00A549B7" w:rsidRDefault="00A549B7" w:rsidP="00A549B7">
      <w:pPr>
        <w:spacing w:line="288" w:lineRule="auto"/>
        <w:jc w:val="both"/>
        <w:rPr>
          <w:rFonts w:asciiTheme="minorHAnsi" w:hAnsiTheme="minorHAnsi" w:cstheme="minorHAnsi"/>
          <w:sz w:val="26"/>
          <w:szCs w:val="26"/>
        </w:rPr>
      </w:pPr>
    </w:p>
    <w:p w:rsidR="006769EF" w:rsidRPr="00A549B7" w:rsidRDefault="00D26065"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Au-delà des similitudes entre les textes, on peut aussi noter quelques différences importantes. La première concerne le dernier échelon de la règle objective. A l’égard d’époux qui ne possèdent ni première résidence conjugale, ni nationalité commune, l’article 51 du Code de droit international privé retient la loi de l’Etat où le mariage a été célébré. Ce rattachement quelque peu arbitraire cède</w:t>
      </w:r>
      <w:r w:rsidR="00ED42A3" w:rsidRPr="00A549B7">
        <w:rPr>
          <w:rFonts w:asciiTheme="minorHAnsi" w:hAnsiTheme="minorHAnsi" w:cstheme="minorHAnsi"/>
          <w:sz w:val="26"/>
          <w:szCs w:val="26"/>
        </w:rPr>
        <w:t>, dans le règlement,</w:t>
      </w:r>
      <w:r w:rsidRPr="00A549B7">
        <w:rPr>
          <w:rFonts w:asciiTheme="minorHAnsi" w:hAnsiTheme="minorHAnsi" w:cstheme="minorHAnsi"/>
          <w:sz w:val="26"/>
          <w:szCs w:val="26"/>
        </w:rPr>
        <w:t xml:space="preserve"> devant la loi de l’Etat avec lequel les époux présentent les liens les plus étroits</w:t>
      </w:r>
      <w:r w:rsidR="00ED42A3" w:rsidRPr="00A549B7">
        <w:rPr>
          <w:rFonts w:asciiTheme="minorHAnsi" w:hAnsiTheme="minorHAnsi" w:cstheme="minorHAnsi"/>
          <w:sz w:val="26"/>
          <w:szCs w:val="26"/>
        </w:rPr>
        <w:t xml:space="preserve"> (art. 26, par. 1, lettre c)</w:t>
      </w:r>
      <w:r w:rsidRPr="00A549B7">
        <w:rPr>
          <w:rFonts w:asciiTheme="minorHAnsi" w:hAnsiTheme="minorHAnsi" w:cstheme="minorHAnsi"/>
          <w:sz w:val="26"/>
          <w:szCs w:val="26"/>
        </w:rPr>
        <w:t>. La formule retenue par le législateur européen permet d’éviter de soumettre les époux</w:t>
      </w:r>
      <w:r w:rsidR="0080454B" w:rsidRPr="00A549B7">
        <w:rPr>
          <w:rFonts w:asciiTheme="minorHAnsi" w:hAnsiTheme="minorHAnsi" w:cstheme="minorHAnsi"/>
          <w:sz w:val="26"/>
          <w:szCs w:val="26"/>
        </w:rPr>
        <w:t xml:space="preserve"> au droit d’un Etat avec lequel ne les relie que la célébration du mariage. Il demeure que la formule ouverte ne permet guère d’anticiper et de conseiller les époux.</w:t>
      </w:r>
      <w:r w:rsidR="004B4F9F" w:rsidRPr="00A549B7">
        <w:rPr>
          <w:rFonts w:asciiTheme="minorHAnsi" w:hAnsiTheme="minorHAnsi" w:cstheme="minorHAnsi"/>
          <w:sz w:val="26"/>
          <w:szCs w:val="26"/>
        </w:rPr>
        <w:t xml:space="preserve"> On se consolera en notant qu’il s’agit d’une règle extrêmement subsidiaire dont l’application devrait demeurer exceptionnelle.</w:t>
      </w:r>
    </w:p>
    <w:p w:rsidR="00A549B7" w:rsidRDefault="00A549B7" w:rsidP="00A549B7">
      <w:pPr>
        <w:spacing w:line="288" w:lineRule="auto"/>
        <w:jc w:val="both"/>
        <w:rPr>
          <w:rFonts w:asciiTheme="minorHAnsi" w:hAnsiTheme="minorHAnsi" w:cstheme="minorHAnsi"/>
          <w:sz w:val="26"/>
          <w:szCs w:val="26"/>
        </w:rPr>
      </w:pPr>
    </w:p>
    <w:p w:rsidR="00133439" w:rsidRPr="00A549B7" w:rsidRDefault="0080454B"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Une autre différence tient au traitement des conflits de nationalités : lorsque les époux n’ont pas établi en temps utile une résidence habituelle commune après le mariage, tant l’article 51 du Code que l’article 26 du Règlement prévoient qu’il faut emprunter le régime légal au droit de leur nationalité commune. </w:t>
      </w:r>
      <w:r w:rsidR="00AC710F" w:rsidRPr="00A549B7">
        <w:rPr>
          <w:rFonts w:asciiTheme="minorHAnsi" w:hAnsiTheme="minorHAnsi" w:cstheme="minorHAnsi"/>
          <w:sz w:val="26"/>
          <w:szCs w:val="26"/>
        </w:rPr>
        <w:t>Lorsque l’un des époux possède, outre la nationalité commune, une autre nationalité, le</w:t>
      </w:r>
      <w:r w:rsidR="00133439" w:rsidRPr="00A549B7">
        <w:rPr>
          <w:rFonts w:asciiTheme="minorHAnsi" w:hAnsiTheme="minorHAnsi" w:cstheme="minorHAnsi"/>
          <w:sz w:val="26"/>
          <w:szCs w:val="26"/>
        </w:rPr>
        <w:t xml:space="preserve"> </w:t>
      </w:r>
      <w:r w:rsidR="00AC710F" w:rsidRPr="00A549B7">
        <w:rPr>
          <w:rFonts w:asciiTheme="minorHAnsi" w:hAnsiTheme="minorHAnsi" w:cstheme="minorHAnsi"/>
          <w:sz w:val="26"/>
          <w:szCs w:val="26"/>
        </w:rPr>
        <w:t xml:space="preserve">règlement rejoint le Code. En effet, dans cette hypothèse, </w:t>
      </w:r>
      <w:r w:rsidR="00133439" w:rsidRPr="00A549B7">
        <w:rPr>
          <w:rFonts w:asciiTheme="minorHAnsi" w:hAnsiTheme="minorHAnsi" w:cstheme="minorHAnsi"/>
          <w:sz w:val="26"/>
          <w:szCs w:val="26"/>
        </w:rPr>
        <w:t>il s’impose d’avoir égard aux règles relatives aux conflits de nationalité. Or le règlement prévoit expressément que ces règles sont préservées. Aux dires de son considérant n° 50, la question du conflit de nationalités constitue une question préalable qu’il appartient aux Etats membres de trancher.</w:t>
      </w:r>
    </w:p>
    <w:p w:rsidR="00A549B7" w:rsidRDefault="00A549B7" w:rsidP="00A549B7">
      <w:pPr>
        <w:spacing w:line="288" w:lineRule="auto"/>
        <w:jc w:val="both"/>
        <w:rPr>
          <w:rFonts w:asciiTheme="minorHAnsi" w:hAnsiTheme="minorHAnsi" w:cstheme="minorHAnsi"/>
          <w:sz w:val="26"/>
          <w:szCs w:val="26"/>
        </w:rPr>
      </w:pPr>
    </w:p>
    <w:p w:rsidR="00133439" w:rsidRPr="00A549B7" w:rsidRDefault="0013343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L’on aura dès lors égard aux règles de conflit de nationalités qui figurent à l’article 3 du Code. Dès lors que l’un des époux possède, outre la nationalité commune, la nationalité belge, celle-ci doit l’emporter. Il faudra constater dans cette situation que les époux ne possèdent pas de nationalité commune</w:t>
      </w:r>
      <w:r w:rsidRPr="00A549B7">
        <w:rPr>
          <w:rStyle w:val="Appelnotedebasdep"/>
          <w:rFonts w:asciiTheme="minorHAnsi" w:hAnsiTheme="minorHAnsi" w:cstheme="minorHAnsi"/>
          <w:sz w:val="26"/>
          <w:szCs w:val="26"/>
        </w:rPr>
        <w:footnoteReference w:id="39"/>
      </w:r>
      <w:r w:rsidRPr="00A549B7">
        <w:rPr>
          <w:rFonts w:asciiTheme="minorHAnsi" w:hAnsiTheme="minorHAnsi" w:cstheme="minorHAnsi"/>
          <w:sz w:val="26"/>
          <w:szCs w:val="26"/>
        </w:rPr>
        <w:t>.</w:t>
      </w:r>
      <w:r w:rsidR="003B17EA" w:rsidRPr="00A549B7">
        <w:rPr>
          <w:rFonts w:asciiTheme="minorHAnsi" w:hAnsiTheme="minorHAnsi" w:cstheme="minorHAnsi"/>
          <w:sz w:val="26"/>
          <w:szCs w:val="26"/>
        </w:rPr>
        <w:t xml:space="preserve"> Si la nationalité tierce que l’un des époux possède à côté de la nationalité commune est une nationalité étrangère, l’article 3 prescrit de retenir parmi les nationalités celle qui est la plus effective. Il se pourrait donc que la nationalité effective soit la nationalité commune aux deux époux.</w:t>
      </w:r>
    </w:p>
    <w:p w:rsidR="00A549B7" w:rsidRDefault="00A549B7" w:rsidP="00A549B7">
      <w:pPr>
        <w:spacing w:line="288" w:lineRule="auto"/>
        <w:jc w:val="both"/>
        <w:rPr>
          <w:rFonts w:asciiTheme="minorHAnsi" w:hAnsiTheme="minorHAnsi" w:cstheme="minorHAnsi"/>
          <w:sz w:val="26"/>
          <w:szCs w:val="26"/>
        </w:rPr>
      </w:pPr>
    </w:p>
    <w:p w:rsidR="006769EF" w:rsidRPr="00A549B7" w:rsidRDefault="00E32238"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Les deux </w:t>
      </w:r>
      <w:r w:rsidR="003B17EA" w:rsidRPr="00A549B7">
        <w:rPr>
          <w:rFonts w:asciiTheme="minorHAnsi" w:hAnsiTheme="minorHAnsi" w:cstheme="minorHAnsi"/>
          <w:sz w:val="26"/>
          <w:szCs w:val="26"/>
        </w:rPr>
        <w:t xml:space="preserve">textes </w:t>
      </w:r>
      <w:r w:rsidRPr="00A549B7">
        <w:rPr>
          <w:rFonts w:asciiTheme="minorHAnsi" w:hAnsiTheme="minorHAnsi" w:cstheme="minorHAnsi"/>
          <w:sz w:val="26"/>
          <w:szCs w:val="26"/>
        </w:rPr>
        <w:t>se séparent néanmoins dans l’hypothèse, exceptionnelle il est vrai, dans laquelle les deux époux possèdent deux nationalités communes. L’article 26, par. 2 prévoit en effet que dans cette hypothèse, les nationalités se neutralisent. Il ne reste dès lors plus qu’à consulter la règle ultime. La neutralisation des nationalités communes s’explique sans doute par le souci de ne pas contraindre un Etat membre</w:t>
      </w:r>
    </w:p>
    <w:p w:rsidR="00AC710F" w:rsidRPr="00A549B7" w:rsidRDefault="00AC710F" w:rsidP="00A549B7">
      <w:pPr>
        <w:spacing w:line="288" w:lineRule="auto"/>
        <w:jc w:val="both"/>
        <w:rPr>
          <w:rFonts w:asciiTheme="minorHAnsi" w:hAnsiTheme="minorHAnsi" w:cstheme="minorHAnsi"/>
          <w:sz w:val="26"/>
          <w:szCs w:val="26"/>
        </w:rPr>
      </w:pPr>
    </w:p>
    <w:p w:rsidR="00A66CCC" w:rsidRPr="00A549B7" w:rsidRDefault="003B1AAA" w:rsidP="00A549B7">
      <w:pPr>
        <w:spacing w:line="288" w:lineRule="auto"/>
        <w:rPr>
          <w:rFonts w:asciiTheme="minorHAnsi" w:hAnsiTheme="minorHAnsi" w:cstheme="minorHAnsi"/>
          <w:sz w:val="26"/>
          <w:szCs w:val="26"/>
        </w:rPr>
      </w:pPr>
      <w:r w:rsidRPr="00A549B7">
        <w:rPr>
          <w:rFonts w:asciiTheme="minorHAnsi" w:hAnsiTheme="minorHAnsi" w:cstheme="minorHAnsi"/>
          <w:b/>
          <w:sz w:val="26"/>
          <w:szCs w:val="26"/>
        </w:rPr>
        <w:t>3</w:t>
      </w:r>
      <w:r w:rsidR="006769EF" w:rsidRPr="00A549B7">
        <w:rPr>
          <w:rFonts w:asciiTheme="minorHAnsi" w:hAnsiTheme="minorHAnsi" w:cstheme="minorHAnsi"/>
          <w:b/>
          <w:sz w:val="26"/>
          <w:szCs w:val="26"/>
        </w:rPr>
        <w:t xml:space="preserve">. </w:t>
      </w:r>
      <w:r w:rsidR="00825EA9" w:rsidRPr="00A549B7">
        <w:rPr>
          <w:rFonts w:asciiTheme="minorHAnsi" w:hAnsiTheme="minorHAnsi" w:cstheme="minorHAnsi"/>
          <w:b/>
          <w:sz w:val="26"/>
          <w:szCs w:val="26"/>
        </w:rPr>
        <w:t xml:space="preserve">Le règlement européen et la mutation </w:t>
      </w:r>
      <w:r w:rsidR="00296BD5">
        <w:rPr>
          <w:rFonts w:asciiTheme="minorHAnsi" w:hAnsiTheme="minorHAnsi" w:cstheme="minorHAnsi"/>
          <w:b/>
          <w:sz w:val="26"/>
          <w:szCs w:val="26"/>
        </w:rPr>
        <w:t xml:space="preserve">conventionnelle </w:t>
      </w:r>
      <w:r w:rsidR="00825EA9" w:rsidRPr="00A549B7">
        <w:rPr>
          <w:rFonts w:asciiTheme="minorHAnsi" w:hAnsiTheme="minorHAnsi" w:cstheme="minorHAnsi"/>
          <w:b/>
          <w:sz w:val="26"/>
          <w:szCs w:val="26"/>
        </w:rPr>
        <w:t>de régime</w:t>
      </w:r>
    </w:p>
    <w:p w:rsidR="00B35D12" w:rsidRPr="00A549B7" w:rsidRDefault="00B35D12" w:rsidP="00A549B7">
      <w:pPr>
        <w:spacing w:line="288" w:lineRule="auto"/>
        <w:rPr>
          <w:rFonts w:asciiTheme="minorHAnsi" w:hAnsiTheme="minorHAnsi" w:cstheme="minorHAnsi"/>
          <w:sz w:val="26"/>
          <w:szCs w:val="26"/>
        </w:rPr>
      </w:pPr>
    </w:p>
    <w:p w:rsidR="00B9080B" w:rsidRPr="00A549B7" w:rsidRDefault="006769EF"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On l’a vu, les solutions européennes ne concerne</w:t>
      </w:r>
      <w:r w:rsidR="007A35F2" w:rsidRPr="00A549B7">
        <w:rPr>
          <w:rFonts w:asciiTheme="minorHAnsi" w:hAnsiTheme="minorHAnsi" w:cstheme="minorHAnsi"/>
          <w:sz w:val="26"/>
          <w:szCs w:val="26"/>
        </w:rPr>
        <w:t>ront dans un premier temps</w:t>
      </w:r>
      <w:r w:rsidRPr="00A549B7">
        <w:rPr>
          <w:rFonts w:asciiTheme="minorHAnsi" w:hAnsiTheme="minorHAnsi" w:cstheme="minorHAnsi"/>
          <w:sz w:val="26"/>
          <w:szCs w:val="26"/>
        </w:rPr>
        <w:t xml:space="preserve"> que les époux </w:t>
      </w:r>
      <w:r w:rsidR="00E3719D" w:rsidRPr="00A549B7">
        <w:rPr>
          <w:rFonts w:asciiTheme="minorHAnsi" w:hAnsiTheme="minorHAnsi" w:cstheme="minorHAnsi"/>
          <w:sz w:val="26"/>
          <w:szCs w:val="26"/>
        </w:rPr>
        <w:t>récemment</w:t>
      </w:r>
      <w:r w:rsidRPr="00A549B7">
        <w:rPr>
          <w:rFonts w:asciiTheme="minorHAnsi" w:hAnsiTheme="minorHAnsi" w:cstheme="minorHAnsi"/>
          <w:sz w:val="26"/>
          <w:szCs w:val="26"/>
        </w:rPr>
        <w:t xml:space="preserve"> mariés</w:t>
      </w:r>
      <w:r w:rsidR="00E3719D" w:rsidRPr="00A549B7">
        <w:rPr>
          <w:rFonts w:asciiTheme="minorHAnsi" w:hAnsiTheme="minorHAnsi" w:cstheme="minorHAnsi"/>
          <w:sz w:val="26"/>
          <w:szCs w:val="26"/>
        </w:rPr>
        <w:t>, laissant subsister les règles du Code de droit international privé</w:t>
      </w:r>
      <w:r w:rsidRPr="00A549B7">
        <w:rPr>
          <w:rFonts w:asciiTheme="minorHAnsi" w:hAnsiTheme="minorHAnsi" w:cstheme="minorHAnsi"/>
          <w:sz w:val="26"/>
          <w:szCs w:val="26"/>
        </w:rPr>
        <w:t xml:space="preserve">. </w:t>
      </w:r>
      <w:r w:rsidR="007A35F2" w:rsidRPr="00A549B7">
        <w:rPr>
          <w:rFonts w:asciiTheme="minorHAnsi" w:hAnsiTheme="minorHAnsi" w:cstheme="minorHAnsi"/>
          <w:sz w:val="26"/>
          <w:szCs w:val="26"/>
        </w:rPr>
        <w:t>Dans les années à venir, la plupart des liquidations devront encore être effectuées à l’aune des règles du Code</w:t>
      </w:r>
      <w:r w:rsidR="00BE7B64" w:rsidRPr="00A549B7">
        <w:rPr>
          <w:rFonts w:asciiTheme="minorHAnsi" w:hAnsiTheme="minorHAnsi" w:cstheme="minorHAnsi"/>
          <w:sz w:val="26"/>
          <w:szCs w:val="26"/>
        </w:rPr>
        <w:t>, voire, pour les mariages les plus anciens, à l’aide des règles dégagées par la jurisprudence sur base de l’article 3 du Code civil</w:t>
      </w:r>
      <w:r w:rsidR="007A35F2"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530645" w:rsidRPr="00A549B7" w:rsidRDefault="007A35F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Les règles européennes pourraient néanmoins trouver à s’appliquer à l’égard d’époux </w:t>
      </w:r>
      <w:r w:rsidR="00BE7B64" w:rsidRPr="00A549B7">
        <w:rPr>
          <w:rFonts w:asciiTheme="minorHAnsi" w:hAnsiTheme="minorHAnsi" w:cstheme="minorHAnsi"/>
          <w:sz w:val="26"/>
          <w:szCs w:val="26"/>
        </w:rPr>
        <w:t>mariés avant le 29 janvier 2019</w:t>
      </w:r>
      <w:r w:rsidR="00530645" w:rsidRPr="00A549B7">
        <w:rPr>
          <w:rFonts w:asciiTheme="minorHAnsi" w:hAnsiTheme="minorHAnsi" w:cstheme="minorHAnsi"/>
          <w:sz w:val="26"/>
          <w:szCs w:val="26"/>
        </w:rPr>
        <w:t xml:space="preserve"> lorsque ceux-ci</w:t>
      </w:r>
      <w:r w:rsidRPr="00A549B7">
        <w:rPr>
          <w:rFonts w:asciiTheme="minorHAnsi" w:hAnsiTheme="minorHAnsi" w:cstheme="minorHAnsi"/>
          <w:sz w:val="26"/>
          <w:szCs w:val="26"/>
        </w:rPr>
        <w:t xml:space="preserve"> souhaitent modifier leur régime. </w:t>
      </w:r>
      <w:r w:rsidR="00530645" w:rsidRPr="00A549B7">
        <w:rPr>
          <w:rFonts w:asciiTheme="minorHAnsi" w:hAnsiTheme="minorHAnsi" w:cstheme="minorHAnsi"/>
          <w:sz w:val="26"/>
          <w:szCs w:val="26"/>
        </w:rPr>
        <w:t xml:space="preserve">Lorsque les époux s’accordent sur une </w:t>
      </w:r>
      <w:r w:rsidR="00530645" w:rsidRPr="00A549B7">
        <w:rPr>
          <w:rStyle w:val="renv"/>
          <w:rFonts w:asciiTheme="minorHAnsi" w:hAnsiTheme="minorHAnsi" w:cstheme="minorHAnsi"/>
          <w:sz w:val="26"/>
          <w:szCs w:val="26"/>
        </w:rPr>
        <w:t>modification de régime, ils peuvent en effet être amenés à effectuer un choix de loi. Or, un tel accord pourrait provoquer le basculement des époux vers le régime européen.</w:t>
      </w:r>
    </w:p>
    <w:p w:rsidR="00A549B7" w:rsidRDefault="00A549B7" w:rsidP="00A549B7">
      <w:pPr>
        <w:spacing w:line="288" w:lineRule="auto"/>
        <w:jc w:val="both"/>
        <w:rPr>
          <w:rStyle w:val="renv"/>
          <w:rFonts w:asciiTheme="minorHAnsi" w:hAnsiTheme="minorHAnsi" w:cstheme="minorHAnsi"/>
          <w:sz w:val="26"/>
          <w:szCs w:val="26"/>
        </w:rPr>
      </w:pPr>
    </w:p>
    <w:p w:rsidR="00E83F79" w:rsidRPr="00A549B7" w:rsidRDefault="002C2C66" w:rsidP="00A549B7">
      <w:pPr>
        <w:spacing w:line="288" w:lineRule="auto"/>
        <w:jc w:val="both"/>
        <w:rPr>
          <w:rStyle w:val="renv"/>
          <w:rFonts w:asciiTheme="minorHAnsi" w:hAnsiTheme="minorHAnsi" w:cstheme="minorHAnsi"/>
          <w:sz w:val="26"/>
          <w:szCs w:val="26"/>
        </w:rPr>
      </w:pPr>
      <w:r w:rsidRPr="00A549B7">
        <w:rPr>
          <w:rStyle w:val="renv"/>
          <w:rFonts w:asciiTheme="minorHAnsi" w:hAnsiTheme="minorHAnsi" w:cstheme="minorHAnsi"/>
          <w:sz w:val="26"/>
          <w:szCs w:val="26"/>
        </w:rPr>
        <w:t>Il convient dès lors de s’intéresser à</w:t>
      </w:r>
      <w:r w:rsidR="00E83F79" w:rsidRPr="00A549B7">
        <w:rPr>
          <w:rStyle w:val="renv"/>
          <w:rFonts w:asciiTheme="minorHAnsi" w:hAnsiTheme="minorHAnsi" w:cstheme="minorHAnsi"/>
          <w:sz w:val="26"/>
          <w:szCs w:val="26"/>
        </w:rPr>
        <w:t xml:space="preserve"> la modification du régime</w:t>
      </w:r>
      <w:r w:rsidRPr="00A549B7">
        <w:rPr>
          <w:rStyle w:val="renv"/>
          <w:rFonts w:asciiTheme="minorHAnsi" w:hAnsiTheme="minorHAnsi" w:cstheme="minorHAnsi"/>
          <w:sz w:val="26"/>
          <w:szCs w:val="26"/>
        </w:rPr>
        <w:t xml:space="preserve"> pour apercevoir l’impact du règlement</w:t>
      </w:r>
      <w:r w:rsidR="00E83F79" w:rsidRPr="00A549B7">
        <w:rPr>
          <w:rStyle w:val="renv"/>
          <w:rFonts w:asciiTheme="minorHAnsi" w:hAnsiTheme="minorHAnsi" w:cstheme="minorHAnsi"/>
          <w:sz w:val="26"/>
          <w:szCs w:val="26"/>
        </w:rPr>
        <w:t xml:space="preserve">. </w:t>
      </w:r>
      <w:r w:rsidR="00530645" w:rsidRPr="00A549B7">
        <w:rPr>
          <w:rStyle w:val="renv"/>
          <w:rFonts w:asciiTheme="minorHAnsi" w:hAnsiTheme="minorHAnsi" w:cstheme="minorHAnsi"/>
          <w:sz w:val="26"/>
          <w:szCs w:val="26"/>
        </w:rPr>
        <w:t>L’analyse est d’autant plus justifiée que la pratique montre que de telles modifications, qui peuvent être justifiées par des circonstances de nature diverse, ne sont pas rares</w:t>
      </w:r>
      <w:r w:rsidR="00530645" w:rsidRPr="00A549B7">
        <w:rPr>
          <w:rStyle w:val="Appelnotedebasdep"/>
          <w:rFonts w:asciiTheme="minorHAnsi" w:hAnsiTheme="minorHAnsi" w:cstheme="minorHAnsi"/>
          <w:sz w:val="26"/>
          <w:szCs w:val="26"/>
        </w:rPr>
        <w:footnoteReference w:id="40"/>
      </w:r>
      <w:r w:rsidR="00530645" w:rsidRPr="00A549B7">
        <w:rPr>
          <w:rStyle w:val="renv"/>
          <w:rFonts w:asciiTheme="minorHAnsi" w:hAnsiTheme="minorHAnsi" w:cstheme="minorHAnsi"/>
          <w:sz w:val="26"/>
          <w:szCs w:val="26"/>
        </w:rPr>
        <w:t xml:space="preserve">. Elle se heurte néanmoins au constat que </w:t>
      </w:r>
      <w:r w:rsidR="00E83F79" w:rsidRPr="00A549B7">
        <w:rPr>
          <w:rStyle w:val="renv"/>
          <w:rFonts w:asciiTheme="minorHAnsi" w:hAnsiTheme="minorHAnsi" w:cstheme="minorHAnsi"/>
          <w:sz w:val="26"/>
          <w:szCs w:val="26"/>
        </w:rPr>
        <w:t>le règlement n’accorde que peu d’attention à la possibilité pour les époux de modifier leur régime en cours de route. Comme on l’a relevé,</w:t>
      </w:r>
      <w:r w:rsidR="00E83F79" w:rsidRPr="00A549B7">
        <w:rPr>
          <w:rFonts w:asciiTheme="minorHAnsi" w:hAnsiTheme="minorHAnsi" w:cstheme="minorHAnsi"/>
          <w:sz w:val="26"/>
          <w:szCs w:val="26"/>
        </w:rPr>
        <w:t xml:space="preserve"> </w:t>
      </w:r>
      <w:r w:rsidR="00E83F79" w:rsidRPr="00A549B7">
        <w:rPr>
          <w:rStyle w:val="renv"/>
          <w:rFonts w:asciiTheme="minorHAnsi" w:hAnsiTheme="minorHAnsi" w:cstheme="minorHAnsi"/>
          <w:sz w:val="26"/>
          <w:szCs w:val="26"/>
        </w:rPr>
        <w:t>« [l]</w:t>
      </w:r>
      <w:r w:rsidR="00E83F79" w:rsidRPr="00A549B7">
        <w:rPr>
          <w:rFonts w:asciiTheme="minorHAnsi" w:eastAsia="TimesNewRomanPSMT" w:hAnsiTheme="minorHAnsi" w:cstheme="minorHAnsi"/>
          <w:color w:val="333333"/>
          <w:sz w:val="26"/>
          <w:szCs w:val="26"/>
        </w:rPr>
        <w:t>a modification du régime matrimonial est le parent pauvre du Règlement »</w:t>
      </w:r>
      <w:r w:rsidR="00E83F79" w:rsidRPr="00A549B7">
        <w:rPr>
          <w:rStyle w:val="Appelnotedebasdep"/>
          <w:rFonts w:asciiTheme="minorHAnsi" w:eastAsia="TimesNewRomanPSMT" w:hAnsiTheme="minorHAnsi" w:cstheme="minorHAnsi"/>
          <w:color w:val="333333"/>
          <w:sz w:val="26"/>
          <w:szCs w:val="26"/>
        </w:rPr>
        <w:footnoteReference w:id="41"/>
      </w:r>
      <w:r w:rsidR="00E83F79" w:rsidRPr="00A549B7">
        <w:rPr>
          <w:rFonts w:asciiTheme="minorHAnsi" w:eastAsia="TimesNewRomanPSMT" w:hAnsiTheme="minorHAnsi" w:cstheme="minorHAnsi"/>
          <w:color w:val="333333"/>
          <w:sz w:val="26"/>
          <w:szCs w:val="26"/>
        </w:rPr>
        <w:t>. Si le Règlement vise expressément la possibilité d’une modification de la loi applicable, il ne consacre pas de disposition spéciale à la possibilité d’un changement de régime en tant que tel.</w:t>
      </w:r>
      <w:r w:rsidR="00E83F79" w:rsidRPr="00A549B7">
        <w:rPr>
          <w:rStyle w:val="renv"/>
          <w:rFonts w:asciiTheme="minorHAnsi" w:hAnsiTheme="minorHAnsi" w:cstheme="minorHAnsi"/>
          <w:sz w:val="26"/>
          <w:szCs w:val="26"/>
        </w:rPr>
        <w:t xml:space="preserve"> Cette question n’est pas non plus visée à l’article 27, qui aide à définir les questions visées par la loi applicable aux relations </w:t>
      </w:r>
      <w:r w:rsidR="000C56F2" w:rsidRPr="00A549B7">
        <w:rPr>
          <w:rStyle w:val="renv"/>
          <w:rFonts w:asciiTheme="minorHAnsi" w:hAnsiTheme="minorHAnsi" w:cstheme="minorHAnsi"/>
          <w:sz w:val="26"/>
          <w:szCs w:val="26"/>
        </w:rPr>
        <w:t xml:space="preserve">patrimoniales </w:t>
      </w:r>
      <w:r w:rsidR="00E83F79" w:rsidRPr="00A549B7">
        <w:rPr>
          <w:rStyle w:val="renv"/>
          <w:rFonts w:asciiTheme="minorHAnsi" w:hAnsiTheme="minorHAnsi" w:cstheme="minorHAnsi"/>
          <w:sz w:val="26"/>
          <w:szCs w:val="26"/>
        </w:rPr>
        <w:t>entre époux.</w:t>
      </w:r>
    </w:p>
    <w:p w:rsidR="00A549B7" w:rsidRDefault="00A549B7" w:rsidP="00A549B7">
      <w:pPr>
        <w:spacing w:line="288" w:lineRule="auto"/>
        <w:jc w:val="both"/>
        <w:rPr>
          <w:rStyle w:val="renv"/>
          <w:rFonts w:asciiTheme="minorHAnsi" w:hAnsiTheme="minorHAnsi" w:cstheme="minorHAnsi"/>
          <w:sz w:val="26"/>
          <w:szCs w:val="26"/>
        </w:rPr>
      </w:pPr>
    </w:p>
    <w:p w:rsidR="00E83F79" w:rsidRPr="00A549B7" w:rsidRDefault="000C56F2" w:rsidP="00A549B7">
      <w:pPr>
        <w:spacing w:line="288" w:lineRule="auto"/>
        <w:jc w:val="both"/>
        <w:rPr>
          <w:rStyle w:val="renv"/>
          <w:rFonts w:asciiTheme="minorHAnsi" w:hAnsiTheme="minorHAnsi" w:cstheme="minorHAnsi"/>
          <w:sz w:val="26"/>
          <w:szCs w:val="26"/>
        </w:rPr>
      </w:pPr>
      <w:r w:rsidRPr="00A549B7">
        <w:rPr>
          <w:rStyle w:val="renv"/>
          <w:rFonts w:asciiTheme="minorHAnsi" w:hAnsiTheme="minorHAnsi" w:cstheme="minorHAnsi"/>
          <w:sz w:val="26"/>
          <w:szCs w:val="26"/>
        </w:rPr>
        <w:t xml:space="preserve">Pour déterminer </w:t>
      </w:r>
      <w:r w:rsidR="00530645" w:rsidRPr="00A549B7">
        <w:rPr>
          <w:rStyle w:val="renv"/>
          <w:rFonts w:asciiTheme="minorHAnsi" w:hAnsiTheme="minorHAnsi" w:cstheme="minorHAnsi"/>
          <w:sz w:val="26"/>
          <w:szCs w:val="26"/>
        </w:rPr>
        <w:t xml:space="preserve">l’impact des règles européennes en cas de modification de régime, l’on s’attardera d’abord sur l’application dans le temps des règles européennes de conflit de lois (A) pour évoquer ensuite plusieurs scénarios de modification de régime en examinant à chaque fois la conduite qu’imposent les règles européennes (B). </w:t>
      </w:r>
    </w:p>
    <w:p w:rsidR="000C56F2" w:rsidRPr="00A549B7" w:rsidRDefault="000C56F2" w:rsidP="00A549B7">
      <w:pPr>
        <w:spacing w:line="288" w:lineRule="auto"/>
        <w:jc w:val="both"/>
        <w:rPr>
          <w:rFonts w:asciiTheme="minorHAnsi" w:hAnsiTheme="minorHAnsi" w:cstheme="minorHAnsi"/>
          <w:sz w:val="26"/>
          <w:szCs w:val="26"/>
          <w:highlight w:val="yellow"/>
        </w:rPr>
      </w:pPr>
    </w:p>
    <w:p w:rsidR="00825EA9" w:rsidRPr="00A549B7" w:rsidRDefault="00825EA9" w:rsidP="00A549B7">
      <w:pPr>
        <w:spacing w:line="288" w:lineRule="auto"/>
        <w:jc w:val="both"/>
        <w:rPr>
          <w:rStyle w:val="renv"/>
          <w:rFonts w:asciiTheme="minorHAnsi" w:hAnsiTheme="minorHAnsi" w:cstheme="minorHAnsi"/>
          <w:b/>
          <w:sz w:val="26"/>
          <w:szCs w:val="26"/>
        </w:rPr>
      </w:pPr>
      <w:r w:rsidRPr="00A549B7">
        <w:rPr>
          <w:rStyle w:val="renv"/>
          <w:rFonts w:asciiTheme="minorHAnsi" w:hAnsiTheme="minorHAnsi" w:cstheme="minorHAnsi"/>
          <w:b/>
          <w:sz w:val="26"/>
          <w:szCs w:val="26"/>
        </w:rPr>
        <w:t>A. Quand le règlement s’applique-t-il</w:t>
      </w:r>
      <w:r w:rsidR="000C56F2" w:rsidRPr="00A549B7">
        <w:rPr>
          <w:rStyle w:val="renv"/>
          <w:rFonts w:asciiTheme="minorHAnsi" w:hAnsiTheme="minorHAnsi" w:cstheme="minorHAnsi"/>
          <w:b/>
          <w:sz w:val="26"/>
          <w:szCs w:val="26"/>
        </w:rPr>
        <w:t xml:space="preserve"> à l’occasion d’une modification de régime</w:t>
      </w:r>
      <w:r w:rsidR="00271547" w:rsidRPr="00A549B7">
        <w:rPr>
          <w:rStyle w:val="renv"/>
          <w:rFonts w:asciiTheme="minorHAnsi" w:hAnsiTheme="minorHAnsi" w:cstheme="minorHAnsi"/>
          <w:b/>
          <w:sz w:val="26"/>
          <w:szCs w:val="26"/>
        </w:rPr>
        <w:t> ?</w:t>
      </w:r>
    </w:p>
    <w:p w:rsidR="00A549B7" w:rsidRDefault="00A549B7" w:rsidP="00A549B7">
      <w:pPr>
        <w:spacing w:line="288" w:lineRule="auto"/>
        <w:jc w:val="both"/>
        <w:rPr>
          <w:rFonts w:asciiTheme="minorHAnsi" w:hAnsiTheme="minorHAnsi" w:cstheme="minorHAnsi"/>
          <w:sz w:val="26"/>
          <w:szCs w:val="26"/>
        </w:rPr>
      </w:pPr>
    </w:p>
    <w:p w:rsidR="007A35F2" w:rsidRPr="00A549B7" w:rsidRDefault="00825EA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L’article 69 du Règlement, qui limite son application dans le temps, distingue selon</w:t>
      </w:r>
      <w:r w:rsidR="00504807" w:rsidRPr="00A549B7">
        <w:rPr>
          <w:rFonts w:asciiTheme="minorHAnsi" w:hAnsiTheme="minorHAnsi" w:cstheme="minorHAnsi"/>
          <w:sz w:val="26"/>
          <w:szCs w:val="26"/>
        </w:rPr>
        <w:t xml:space="preserve"> le type de dispositions en jeu</w:t>
      </w:r>
      <w:r w:rsidRPr="00A549B7">
        <w:rPr>
          <w:rFonts w:asciiTheme="minorHAnsi" w:hAnsiTheme="minorHAnsi" w:cstheme="minorHAnsi"/>
          <w:sz w:val="26"/>
          <w:szCs w:val="26"/>
        </w:rPr>
        <w:t>. La règle principale, déjà évoquée, réserve l’application des règles européennes de conflit de lois aux époux mariés à compter du 29 janvier 2019. La même disposition prévoit néanmoins une autre possibilité pour les époux de bénéficier des dispositions européennes.</w:t>
      </w:r>
    </w:p>
    <w:p w:rsidR="00A549B7" w:rsidRDefault="00A549B7" w:rsidP="00A549B7">
      <w:pPr>
        <w:spacing w:line="288" w:lineRule="auto"/>
        <w:jc w:val="both"/>
        <w:rPr>
          <w:rFonts w:asciiTheme="minorHAnsi" w:hAnsiTheme="minorHAnsi" w:cstheme="minorHAnsi"/>
          <w:sz w:val="26"/>
          <w:szCs w:val="26"/>
        </w:rPr>
      </w:pPr>
    </w:p>
    <w:p w:rsidR="00825EA9" w:rsidRPr="00A549B7" w:rsidRDefault="00825EA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L’article 69, paragraphe 3 impose en effet de faire application du Chapitre III du Règlement, qui contient les règles de conflit de lois européennes, aux époux qui « ont désigné la loi applicable à leur régime matrimonial à partir du 29 janvier 2019 »</w:t>
      </w:r>
      <w:r w:rsidR="00CC0F51" w:rsidRPr="00A549B7">
        <w:rPr>
          <w:rStyle w:val="Appelnotedebasdep"/>
          <w:rFonts w:asciiTheme="minorHAnsi" w:hAnsiTheme="minorHAnsi" w:cstheme="minorHAnsi"/>
          <w:sz w:val="26"/>
          <w:szCs w:val="26"/>
        </w:rPr>
        <w:footnoteReference w:id="42"/>
      </w:r>
      <w:r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CC0F51" w:rsidRPr="00A549B7" w:rsidRDefault="00CC0F51"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Le choix de loi constitue donc une porte d’entrée permettant aux époux de faire passer leur régime sous l’empire des règles européennes.</w:t>
      </w:r>
    </w:p>
    <w:p w:rsidR="00A549B7" w:rsidRDefault="00A549B7" w:rsidP="00A549B7">
      <w:pPr>
        <w:spacing w:line="288" w:lineRule="auto"/>
        <w:jc w:val="both"/>
        <w:rPr>
          <w:rFonts w:asciiTheme="minorHAnsi" w:hAnsiTheme="minorHAnsi" w:cstheme="minorHAnsi"/>
          <w:sz w:val="26"/>
          <w:szCs w:val="26"/>
        </w:rPr>
      </w:pPr>
    </w:p>
    <w:p w:rsidR="00CC0F51" w:rsidRPr="00A549B7" w:rsidRDefault="00CC0F51"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On pourrait penser qu’il en va de même de manière plus générale en cas de modification du régime. Une telle modification prendra en effet le plus souvent la forme d’un acte authentique</w:t>
      </w:r>
      <w:r w:rsidR="00A92058">
        <w:rPr>
          <w:rFonts w:asciiTheme="minorHAnsi" w:hAnsiTheme="minorHAnsi" w:cstheme="minorHAnsi"/>
          <w:sz w:val="26"/>
          <w:szCs w:val="26"/>
        </w:rPr>
        <w:t>, du moins dans les Etats qui connaissent le concept d’authenticité</w:t>
      </w:r>
      <w:r w:rsidRPr="00A549B7">
        <w:rPr>
          <w:rFonts w:asciiTheme="minorHAnsi" w:hAnsiTheme="minorHAnsi" w:cstheme="minorHAnsi"/>
          <w:sz w:val="26"/>
          <w:szCs w:val="26"/>
        </w:rPr>
        <w:t>. Or l’article 69, paragraphe 1 prévoit que le règlement s’applique aux actes authentiques dressés à compter du 29 janvier 2019. Ceci ne permet néanmoins pas d’envisager l’application de l’ensemble des règles européennes à tous les actes authentiques reçus à partir de cette date. L’article 69, paragraphe 1 réserve en effet l’application des paragraphes 2 et 3. Il faut comprendre que ce dernier paragraphe</w:t>
      </w:r>
      <w:r w:rsidR="00271547" w:rsidRPr="00A549B7">
        <w:rPr>
          <w:rFonts w:asciiTheme="minorHAnsi" w:hAnsiTheme="minorHAnsi" w:cstheme="minorHAnsi"/>
          <w:sz w:val="26"/>
          <w:szCs w:val="26"/>
        </w:rPr>
        <w:t xml:space="preserve"> l’emporte sur l’application immédiate du règlement aux actes authentiques reçus à partir de fin janvier 2019</w:t>
      </w:r>
      <w:r w:rsidR="00A92058">
        <w:rPr>
          <w:rStyle w:val="Appelnotedebasdep"/>
          <w:rFonts w:asciiTheme="minorHAnsi" w:hAnsiTheme="minorHAnsi" w:cstheme="minorHAnsi"/>
          <w:sz w:val="26"/>
          <w:szCs w:val="26"/>
        </w:rPr>
        <w:footnoteReference w:id="43"/>
      </w:r>
      <w:r w:rsidR="00271547"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530645" w:rsidRPr="00A549B7" w:rsidRDefault="00530645"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Une distinction s’impose dès lors en cas de modification de régime </w:t>
      </w:r>
      <w:r w:rsidR="006853C8">
        <w:rPr>
          <w:rFonts w:asciiTheme="minorHAnsi" w:hAnsiTheme="minorHAnsi" w:cstheme="minorHAnsi"/>
          <w:sz w:val="26"/>
          <w:szCs w:val="26"/>
        </w:rPr>
        <w:t xml:space="preserve">après le 29 janvier 2019 </w:t>
      </w:r>
      <w:r w:rsidRPr="00A549B7">
        <w:rPr>
          <w:rFonts w:asciiTheme="minorHAnsi" w:hAnsiTheme="minorHAnsi" w:cstheme="minorHAnsi"/>
          <w:sz w:val="26"/>
          <w:szCs w:val="26"/>
        </w:rPr>
        <w:t xml:space="preserve">par des époux mariés avant </w:t>
      </w:r>
      <w:r w:rsidR="006853C8">
        <w:rPr>
          <w:rFonts w:asciiTheme="minorHAnsi" w:hAnsiTheme="minorHAnsi" w:cstheme="minorHAnsi"/>
          <w:sz w:val="26"/>
          <w:szCs w:val="26"/>
        </w:rPr>
        <w:t>cette date</w:t>
      </w:r>
      <w:r w:rsidRPr="00A549B7">
        <w:rPr>
          <w:rFonts w:asciiTheme="minorHAnsi" w:hAnsiTheme="minorHAnsi" w:cstheme="minorHAnsi"/>
          <w:sz w:val="26"/>
          <w:szCs w:val="26"/>
        </w:rPr>
        <w:t xml:space="preserve"> : soit ils effectuent à l’occasion de cette modification un choix de loi, ce qui entraîne l’application des règles européennes. Soit au contraire, la modification se fait à droit constant, sans que les époux ne s’accordent sur la loi choisie. Même si </w:t>
      </w:r>
      <w:r w:rsidR="00A92058">
        <w:rPr>
          <w:rFonts w:asciiTheme="minorHAnsi" w:hAnsiTheme="minorHAnsi" w:cstheme="minorHAnsi"/>
          <w:sz w:val="26"/>
          <w:szCs w:val="26"/>
        </w:rPr>
        <w:t xml:space="preserve">la modification se concrétise par le biais d’un acte authentique </w:t>
      </w:r>
      <w:r w:rsidRPr="00A549B7">
        <w:rPr>
          <w:rFonts w:asciiTheme="minorHAnsi" w:hAnsiTheme="minorHAnsi" w:cstheme="minorHAnsi"/>
          <w:sz w:val="26"/>
          <w:szCs w:val="26"/>
        </w:rPr>
        <w:t>reçu après le 29 janvier 2019, ceci n’entraînera pas l’application des règles européennes</w:t>
      </w:r>
      <w:r w:rsidR="0032613A">
        <w:rPr>
          <w:rStyle w:val="Appelnotedebasdep"/>
          <w:rFonts w:asciiTheme="minorHAnsi" w:hAnsiTheme="minorHAnsi" w:cstheme="minorHAnsi"/>
          <w:sz w:val="26"/>
          <w:szCs w:val="26"/>
        </w:rPr>
        <w:footnoteReference w:id="44"/>
      </w:r>
      <w:r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617000" w:rsidRPr="00A549B7" w:rsidRDefault="0019716B"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Lorsqu’</w:t>
      </w:r>
      <w:r w:rsidR="00504807" w:rsidRPr="00A549B7">
        <w:rPr>
          <w:rFonts w:asciiTheme="minorHAnsi" w:hAnsiTheme="minorHAnsi" w:cstheme="minorHAnsi"/>
          <w:sz w:val="26"/>
          <w:szCs w:val="26"/>
        </w:rPr>
        <w:t xml:space="preserve">un notaire belge reçoit après </w:t>
      </w:r>
      <w:r w:rsidRPr="00A549B7">
        <w:rPr>
          <w:rFonts w:asciiTheme="minorHAnsi" w:hAnsiTheme="minorHAnsi" w:cstheme="minorHAnsi"/>
          <w:sz w:val="26"/>
          <w:szCs w:val="26"/>
        </w:rPr>
        <w:t>le 29 janvier 2019</w:t>
      </w:r>
      <w:r w:rsidR="00504807" w:rsidRPr="00A549B7">
        <w:rPr>
          <w:rFonts w:asciiTheme="minorHAnsi" w:hAnsiTheme="minorHAnsi" w:cstheme="minorHAnsi"/>
          <w:sz w:val="26"/>
          <w:szCs w:val="26"/>
        </w:rPr>
        <w:t xml:space="preserve"> un acte authentique par lequel des époux entendent modifier leur régime matrimonial, il devra </w:t>
      </w:r>
      <w:r w:rsidRPr="00A549B7">
        <w:rPr>
          <w:rFonts w:asciiTheme="minorHAnsi" w:hAnsiTheme="minorHAnsi" w:cstheme="minorHAnsi"/>
          <w:sz w:val="26"/>
          <w:szCs w:val="26"/>
        </w:rPr>
        <w:t xml:space="preserve">dès lors </w:t>
      </w:r>
      <w:r w:rsidR="00504807" w:rsidRPr="00A549B7">
        <w:rPr>
          <w:rFonts w:asciiTheme="minorHAnsi" w:hAnsiTheme="minorHAnsi" w:cstheme="minorHAnsi"/>
          <w:sz w:val="26"/>
          <w:szCs w:val="26"/>
        </w:rPr>
        <w:t xml:space="preserve">être attentif à la présence d’un choix de loi. </w:t>
      </w:r>
      <w:r w:rsidR="00BE7B64" w:rsidRPr="00A549B7">
        <w:rPr>
          <w:rFonts w:asciiTheme="minorHAnsi" w:hAnsiTheme="minorHAnsi" w:cstheme="minorHAnsi"/>
          <w:sz w:val="26"/>
          <w:szCs w:val="26"/>
        </w:rPr>
        <w:t xml:space="preserve">Si l’acte modificatif inclut un choix de loi, </w:t>
      </w:r>
      <w:r w:rsidR="00D7470C" w:rsidRPr="00A549B7">
        <w:rPr>
          <w:rFonts w:asciiTheme="minorHAnsi" w:hAnsiTheme="minorHAnsi" w:cstheme="minorHAnsi"/>
          <w:sz w:val="26"/>
          <w:szCs w:val="26"/>
        </w:rPr>
        <w:t xml:space="preserve">la situation des époux s’en trouve modifiée. Elle bascule sous l’empire du règlement, quelle que soit la date de leur mariage. L’emprise du règlement est dans cette hypothèse totale : elle ne se limite pas </w:t>
      </w:r>
      <w:r w:rsidR="00617000" w:rsidRPr="00A549B7">
        <w:rPr>
          <w:rFonts w:asciiTheme="minorHAnsi" w:hAnsiTheme="minorHAnsi" w:cstheme="minorHAnsi"/>
          <w:sz w:val="26"/>
          <w:szCs w:val="26"/>
        </w:rPr>
        <w:t>aux seules règles de conflit de lois, mais s’étend également aux autres dispositions des règlements, comme par exemple les règles de compétence.</w:t>
      </w:r>
    </w:p>
    <w:p w:rsidR="00A549B7" w:rsidRDefault="00A549B7" w:rsidP="00A549B7">
      <w:pPr>
        <w:spacing w:line="288" w:lineRule="auto"/>
        <w:jc w:val="both"/>
        <w:rPr>
          <w:rFonts w:asciiTheme="minorHAnsi" w:hAnsiTheme="minorHAnsi" w:cstheme="minorHAnsi"/>
          <w:sz w:val="26"/>
          <w:szCs w:val="26"/>
        </w:rPr>
      </w:pPr>
    </w:p>
    <w:p w:rsidR="0019716B" w:rsidRPr="00A549B7" w:rsidRDefault="00617000"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L’application des règles européennes aux époux mariés avant le 29 janvier 2019, mais qui ont effectué à compter de cette date un choix de loi suscite une question d’effet dans le temps. On peut en effet se demander si les dispositions du règlement ne s’appliquent qu’à la seule</w:t>
      </w:r>
      <w:r w:rsidR="00D7470C" w:rsidRPr="00A549B7">
        <w:rPr>
          <w:rFonts w:asciiTheme="minorHAnsi" w:hAnsiTheme="minorHAnsi" w:cstheme="minorHAnsi"/>
          <w:sz w:val="26"/>
          <w:szCs w:val="26"/>
        </w:rPr>
        <w:t xml:space="preserve"> période postérieure</w:t>
      </w:r>
      <w:r w:rsidRPr="00A549B7">
        <w:rPr>
          <w:rFonts w:asciiTheme="minorHAnsi" w:hAnsiTheme="minorHAnsi" w:cstheme="minorHAnsi"/>
          <w:sz w:val="26"/>
          <w:szCs w:val="26"/>
        </w:rPr>
        <w:t xml:space="preserve"> au choix de loi ou si, au contraire, dès lors que les époux </w:t>
      </w:r>
      <w:r w:rsidR="0019716B" w:rsidRPr="00A549B7">
        <w:rPr>
          <w:rFonts w:asciiTheme="minorHAnsi" w:hAnsiTheme="minorHAnsi" w:cstheme="minorHAnsi"/>
          <w:sz w:val="26"/>
          <w:szCs w:val="26"/>
        </w:rPr>
        <w:t xml:space="preserve">mariés avant le 29 janvier 2019 </w:t>
      </w:r>
      <w:r w:rsidRPr="00A549B7">
        <w:rPr>
          <w:rFonts w:asciiTheme="minorHAnsi" w:hAnsiTheme="minorHAnsi" w:cstheme="minorHAnsi"/>
          <w:sz w:val="26"/>
          <w:szCs w:val="26"/>
        </w:rPr>
        <w:t>ont arrêté</w:t>
      </w:r>
      <w:r w:rsidR="006853C8">
        <w:rPr>
          <w:rFonts w:asciiTheme="minorHAnsi" w:hAnsiTheme="minorHAnsi" w:cstheme="minorHAnsi"/>
          <w:sz w:val="26"/>
          <w:szCs w:val="26"/>
        </w:rPr>
        <w:t>, après cette date,</w:t>
      </w:r>
      <w:r w:rsidRPr="00A549B7">
        <w:rPr>
          <w:rFonts w:asciiTheme="minorHAnsi" w:hAnsiTheme="minorHAnsi" w:cstheme="minorHAnsi"/>
          <w:sz w:val="26"/>
          <w:szCs w:val="26"/>
        </w:rPr>
        <w:t xml:space="preserve"> un choix de loi, les règles européennes ont vocation à embrasser l’ensemble des relations patrimoniales entre époux</w:t>
      </w:r>
      <w:r w:rsidR="0019716B" w:rsidRPr="00A549B7">
        <w:rPr>
          <w:rFonts w:asciiTheme="minorHAnsi" w:hAnsiTheme="minorHAnsi" w:cstheme="minorHAnsi"/>
          <w:sz w:val="26"/>
          <w:szCs w:val="26"/>
        </w:rPr>
        <w:t>, en ce compris la période qui précède la modification</w:t>
      </w:r>
      <w:r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D7470C" w:rsidRPr="00A549B7" w:rsidRDefault="00617000"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principe posé par le règlement est celui de l’unité de la loi applicable (art. 21). L’on pourrait en déduire que le basculement opéré par la grâce d’un choix de loi conduit à évincer catégoriquement l’application des règles de conflit de lois en vigueur au moment du mariage, même à l’égard de la période qui a précédé le choix de loi. Pour autant, une telle application radicale des règles européennes ne se justifie pas. Elle porte en effet en germe le risque </w:t>
      </w:r>
      <w:r w:rsidR="00725838" w:rsidRPr="00A549B7">
        <w:rPr>
          <w:rFonts w:asciiTheme="minorHAnsi" w:hAnsiTheme="minorHAnsi" w:cstheme="minorHAnsi"/>
          <w:sz w:val="26"/>
          <w:szCs w:val="26"/>
        </w:rPr>
        <w:t>de remettre en cause des situations que les époux</w:t>
      </w:r>
      <w:r w:rsidR="0019716B" w:rsidRPr="00A549B7">
        <w:rPr>
          <w:rFonts w:asciiTheme="minorHAnsi" w:hAnsiTheme="minorHAnsi" w:cstheme="minorHAnsi"/>
          <w:sz w:val="26"/>
          <w:szCs w:val="26"/>
        </w:rPr>
        <w:t xml:space="preserve"> (et les tiers)</w:t>
      </w:r>
      <w:r w:rsidR="00725838" w:rsidRPr="00A549B7">
        <w:rPr>
          <w:rFonts w:asciiTheme="minorHAnsi" w:hAnsiTheme="minorHAnsi" w:cstheme="minorHAnsi"/>
          <w:sz w:val="26"/>
          <w:szCs w:val="26"/>
        </w:rPr>
        <w:t xml:space="preserve"> estimaient acquises. Le respect de ces situations commande dès lors que l’on adopte une approche plus prudente qui limite l’effet des règles européennes à la seule période qui suit le choix de loi. Cette interprétation est en outre conforme </w:t>
      </w:r>
      <w:r w:rsidR="00EB0BC4" w:rsidRPr="00A549B7">
        <w:rPr>
          <w:rFonts w:asciiTheme="minorHAnsi" w:hAnsiTheme="minorHAnsi" w:cstheme="minorHAnsi"/>
          <w:sz w:val="26"/>
          <w:szCs w:val="26"/>
        </w:rPr>
        <w:t>aux aménagements que le règlement apporte à l’autonomie de volonté reconnue aux époux : selon l’article 22, par. 2, un choix de loi effectué par les époux en cours de mariage n’a d’effet que pour l’avenir. Les époux demeurent toutefois libres d’en décider autrement, à condition de ne pas porter atteinte aux droits des tiers (art. 22, par. 3). Si effet il y a d’un choix de loi sur des situations déjà acquises, ce ne peut donc être que par le biais d’un choix en ce sens des époux. Le règlement en lui-même se limite à laisser aux époux la possibilité de décider quel effet leur choix de loi aura sur la période déjà écoulée de leur mariage.</w:t>
      </w:r>
    </w:p>
    <w:p w:rsidR="00A549B7" w:rsidRDefault="00A549B7" w:rsidP="00A549B7">
      <w:pPr>
        <w:spacing w:line="288" w:lineRule="auto"/>
        <w:jc w:val="both"/>
        <w:rPr>
          <w:rFonts w:asciiTheme="minorHAnsi" w:hAnsiTheme="minorHAnsi" w:cstheme="minorHAnsi"/>
          <w:sz w:val="26"/>
          <w:szCs w:val="26"/>
        </w:rPr>
      </w:pPr>
    </w:p>
    <w:p w:rsidR="00D7470C" w:rsidRPr="00A549B7" w:rsidRDefault="00725838"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S</w:t>
      </w:r>
      <w:r w:rsidR="00D7470C" w:rsidRPr="00A549B7">
        <w:rPr>
          <w:rFonts w:asciiTheme="minorHAnsi" w:hAnsiTheme="minorHAnsi" w:cstheme="minorHAnsi"/>
          <w:sz w:val="26"/>
          <w:szCs w:val="26"/>
        </w:rPr>
        <w:t xml:space="preserve">i les époux négligent d’inclure un choix de loi dans l’acte </w:t>
      </w:r>
      <w:r w:rsidR="006853C8">
        <w:rPr>
          <w:rFonts w:asciiTheme="minorHAnsi" w:hAnsiTheme="minorHAnsi" w:cstheme="minorHAnsi"/>
          <w:sz w:val="26"/>
          <w:szCs w:val="26"/>
        </w:rPr>
        <w:t xml:space="preserve">authentique </w:t>
      </w:r>
      <w:r w:rsidR="00D7470C" w:rsidRPr="00A549B7">
        <w:rPr>
          <w:rFonts w:asciiTheme="minorHAnsi" w:hAnsiTheme="minorHAnsi" w:cstheme="minorHAnsi"/>
          <w:sz w:val="26"/>
          <w:szCs w:val="26"/>
        </w:rPr>
        <w:t>modificatif</w:t>
      </w:r>
      <w:r w:rsidR="0019716B" w:rsidRPr="00A549B7">
        <w:rPr>
          <w:rFonts w:asciiTheme="minorHAnsi" w:hAnsiTheme="minorHAnsi" w:cstheme="minorHAnsi"/>
          <w:sz w:val="26"/>
          <w:szCs w:val="26"/>
        </w:rPr>
        <w:t xml:space="preserve"> reçu après le 29 janvier 2019</w:t>
      </w:r>
      <w:r w:rsidR="00D7470C" w:rsidRPr="00A549B7">
        <w:rPr>
          <w:rFonts w:asciiTheme="minorHAnsi" w:hAnsiTheme="minorHAnsi" w:cstheme="minorHAnsi"/>
          <w:sz w:val="26"/>
          <w:szCs w:val="26"/>
        </w:rPr>
        <w:t xml:space="preserve">, les portes du règlement </w:t>
      </w:r>
      <w:r w:rsidR="0019716B" w:rsidRPr="00A549B7">
        <w:rPr>
          <w:rFonts w:asciiTheme="minorHAnsi" w:hAnsiTheme="minorHAnsi" w:cstheme="minorHAnsi"/>
          <w:sz w:val="26"/>
          <w:szCs w:val="26"/>
        </w:rPr>
        <w:t>resteront fermées</w:t>
      </w:r>
      <w:r w:rsidR="00D7470C" w:rsidRPr="00A549B7">
        <w:rPr>
          <w:rFonts w:asciiTheme="minorHAnsi" w:hAnsiTheme="minorHAnsi" w:cstheme="minorHAnsi"/>
          <w:sz w:val="26"/>
          <w:szCs w:val="26"/>
        </w:rPr>
        <w:t>. Les époux demeureront soumis aux règles de conflit de lois en vigueur au moment de leur mariage.</w:t>
      </w:r>
    </w:p>
    <w:p w:rsidR="00A549B7" w:rsidRDefault="00A549B7" w:rsidP="00A549B7">
      <w:pPr>
        <w:spacing w:line="288" w:lineRule="auto"/>
        <w:jc w:val="both"/>
        <w:rPr>
          <w:rFonts w:asciiTheme="minorHAnsi" w:hAnsiTheme="minorHAnsi" w:cstheme="minorHAnsi"/>
          <w:sz w:val="26"/>
          <w:szCs w:val="26"/>
        </w:rPr>
      </w:pPr>
    </w:p>
    <w:p w:rsidR="00BE7B64" w:rsidRPr="00A549B7" w:rsidRDefault="00725838"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Entre les deux</w:t>
      </w:r>
      <w:r w:rsidR="00EB0BC4" w:rsidRPr="00A549B7">
        <w:rPr>
          <w:rFonts w:asciiTheme="minorHAnsi" w:hAnsiTheme="minorHAnsi" w:cstheme="minorHAnsi"/>
          <w:sz w:val="26"/>
          <w:szCs w:val="26"/>
        </w:rPr>
        <w:t xml:space="preserve"> </w:t>
      </w:r>
      <w:r w:rsidR="0084634E" w:rsidRPr="00A549B7">
        <w:rPr>
          <w:rFonts w:asciiTheme="minorHAnsi" w:hAnsiTheme="minorHAnsi" w:cstheme="minorHAnsi"/>
          <w:sz w:val="26"/>
          <w:szCs w:val="26"/>
        </w:rPr>
        <w:t>hypothèses</w:t>
      </w:r>
      <w:r w:rsidRPr="00A549B7">
        <w:rPr>
          <w:rFonts w:asciiTheme="minorHAnsi" w:hAnsiTheme="minorHAnsi" w:cstheme="minorHAnsi"/>
          <w:sz w:val="26"/>
          <w:szCs w:val="26"/>
        </w:rPr>
        <w:t xml:space="preserve">, </w:t>
      </w:r>
      <w:r w:rsidR="0084634E" w:rsidRPr="00A549B7">
        <w:rPr>
          <w:rFonts w:asciiTheme="minorHAnsi" w:hAnsiTheme="minorHAnsi" w:cstheme="minorHAnsi"/>
          <w:sz w:val="26"/>
          <w:szCs w:val="26"/>
        </w:rPr>
        <w:t xml:space="preserve">une question se pose lorsque l’acte modificatif ne comporte pas de disposition visant expressément le choix de loi, mais inclut des indices qui peuvent donner à penser que les époux avaient l’intention de se soumettre à une loi donnée. On a déjà indiqué que le statut du choix de loi implicite était pour le moins incertain dans la nouvelle règlement européenne (cf. </w:t>
      </w:r>
      <w:r w:rsidR="0084634E" w:rsidRPr="00A549B7">
        <w:rPr>
          <w:rFonts w:asciiTheme="minorHAnsi" w:hAnsiTheme="minorHAnsi" w:cstheme="minorHAnsi"/>
          <w:i/>
          <w:sz w:val="26"/>
          <w:szCs w:val="26"/>
        </w:rPr>
        <w:t>supra</w:t>
      </w:r>
      <w:r w:rsidR="0084634E" w:rsidRPr="00A549B7">
        <w:rPr>
          <w:rFonts w:asciiTheme="minorHAnsi" w:hAnsiTheme="minorHAnsi" w:cstheme="minorHAnsi"/>
          <w:sz w:val="26"/>
          <w:szCs w:val="26"/>
        </w:rPr>
        <w:t>). Si l’on accepte qu’un tel choix peut sortir effet en vertu de l’</w:t>
      </w:r>
      <w:r w:rsidR="002C2C66" w:rsidRPr="00A549B7">
        <w:rPr>
          <w:rFonts w:asciiTheme="minorHAnsi" w:hAnsiTheme="minorHAnsi" w:cstheme="minorHAnsi"/>
          <w:sz w:val="26"/>
          <w:szCs w:val="26"/>
        </w:rPr>
        <w:t xml:space="preserve">article 22, la cohérence commande de lui réserver le même sort qu’aux choix de loi expressément stipulés par les parties. En d’autres termes, un choix de loi implicite arrêté </w:t>
      </w:r>
      <w:r w:rsidR="0019716B" w:rsidRPr="00A549B7">
        <w:rPr>
          <w:rFonts w:asciiTheme="minorHAnsi" w:hAnsiTheme="minorHAnsi" w:cstheme="minorHAnsi"/>
          <w:sz w:val="26"/>
          <w:szCs w:val="26"/>
        </w:rPr>
        <w:t>à partir du</w:t>
      </w:r>
      <w:r w:rsidR="002C2C66" w:rsidRPr="00A549B7">
        <w:rPr>
          <w:rFonts w:asciiTheme="minorHAnsi" w:hAnsiTheme="minorHAnsi" w:cstheme="minorHAnsi"/>
          <w:sz w:val="26"/>
          <w:szCs w:val="26"/>
        </w:rPr>
        <w:t xml:space="preserve"> 29 janvier 2019 par des époux mariés avant cette date, entraînera l’application du règlement. Il faudra dès lors être particulièrement attentif au bon respect des exigences que le règlement pose. Ceci plaide encore une fois pour la généralisation des clauses de choix de loi dans les contrats de mariage.</w:t>
      </w:r>
    </w:p>
    <w:p w:rsidR="00271547" w:rsidRPr="00A549B7" w:rsidRDefault="00271547" w:rsidP="00A549B7">
      <w:pPr>
        <w:spacing w:line="288" w:lineRule="auto"/>
        <w:jc w:val="both"/>
        <w:rPr>
          <w:rFonts w:asciiTheme="minorHAnsi" w:hAnsiTheme="minorHAnsi" w:cstheme="minorHAnsi"/>
          <w:sz w:val="26"/>
          <w:szCs w:val="26"/>
        </w:rPr>
      </w:pPr>
    </w:p>
    <w:p w:rsidR="00271547" w:rsidRPr="00A549B7" w:rsidRDefault="00271547" w:rsidP="00A549B7">
      <w:pPr>
        <w:spacing w:line="288" w:lineRule="auto"/>
        <w:jc w:val="both"/>
        <w:rPr>
          <w:rFonts w:asciiTheme="minorHAnsi" w:hAnsiTheme="minorHAnsi" w:cstheme="minorHAnsi"/>
          <w:b/>
          <w:sz w:val="26"/>
          <w:szCs w:val="26"/>
        </w:rPr>
      </w:pPr>
      <w:r w:rsidRPr="00A549B7">
        <w:rPr>
          <w:rFonts w:asciiTheme="minorHAnsi" w:hAnsiTheme="minorHAnsi" w:cstheme="minorHAnsi"/>
          <w:b/>
          <w:sz w:val="26"/>
          <w:szCs w:val="26"/>
        </w:rPr>
        <w:t xml:space="preserve">B. </w:t>
      </w:r>
      <w:r w:rsidR="00504807" w:rsidRPr="00A549B7">
        <w:rPr>
          <w:rFonts w:asciiTheme="minorHAnsi" w:hAnsiTheme="minorHAnsi" w:cstheme="minorHAnsi"/>
          <w:b/>
          <w:sz w:val="26"/>
          <w:szCs w:val="26"/>
        </w:rPr>
        <w:t>Les différents scénarios de modification</w:t>
      </w:r>
      <w:r w:rsidR="0019716B" w:rsidRPr="00A549B7">
        <w:rPr>
          <w:rFonts w:asciiTheme="minorHAnsi" w:hAnsiTheme="minorHAnsi" w:cstheme="minorHAnsi"/>
          <w:b/>
          <w:sz w:val="26"/>
          <w:szCs w:val="26"/>
        </w:rPr>
        <w:t xml:space="preserve"> et l’impact du règlement</w:t>
      </w:r>
    </w:p>
    <w:p w:rsidR="00A549B7" w:rsidRDefault="00A549B7" w:rsidP="00A549B7">
      <w:pPr>
        <w:spacing w:line="288" w:lineRule="auto"/>
        <w:jc w:val="both"/>
        <w:rPr>
          <w:rFonts w:asciiTheme="minorHAnsi" w:hAnsiTheme="minorHAnsi" w:cstheme="minorHAnsi"/>
          <w:sz w:val="26"/>
          <w:szCs w:val="26"/>
        </w:rPr>
      </w:pPr>
    </w:p>
    <w:p w:rsidR="00271547" w:rsidRPr="00A549B7" w:rsidRDefault="00504807"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La modification du régime </w:t>
      </w:r>
      <w:r w:rsidR="002401F4" w:rsidRPr="00A549B7">
        <w:rPr>
          <w:rFonts w:asciiTheme="minorHAnsi" w:hAnsiTheme="minorHAnsi" w:cstheme="minorHAnsi"/>
          <w:sz w:val="26"/>
          <w:szCs w:val="26"/>
        </w:rPr>
        <w:t xml:space="preserve">matrimonial </w:t>
      </w:r>
      <w:r w:rsidRPr="00A549B7">
        <w:rPr>
          <w:rFonts w:asciiTheme="minorHAnsi" w:hAnsiTheme="minorHAnsi" w:cstheme="minorHAnsi"/>
          <w:sz w:val="26"/>
          <w:szCs w:val="26"/>
        </w:rPr>
        <w:t xml:space="preserve">peut répondre à différents impératifs. Dans certains cas, </w:t>
      </w:r>
      <w:r w:rsidR="002401F4" w:rsidRPr="00A549B7">
        <w:rPr>
          <w:rFonts w:asciiTheme="minorHAnsi" w:hAnsiTheme="minorHAnsi" w:cstheme="minorHAnsi"/>
          <w:sz w:val="26"/>
          <w:szCs w:val="26"/>
        </w:rPr>
        <w:t>il s’agira d’</w:t>
      </w:r>
      <w:r w:rsidRPr="00A549B7">
        <w:rPr>
          <w:rFonts w:asciiTheme="minorHAnsi" w:hAnsiTheme="minorHAnsi" w:cstheme="minorHAnsi"/>
          <w:sz w:val="26"/>
          <w:szCs w:val="26"/>
        </w:rPr>
        <w:t>accompagner l’évolution de la vie d’un couple marié de longue date, qui souhaite adopter des dispositions pour protéger un conjoint survivant. Dans d’autres cas, il s’</w:t>
      </w:r>
      <w:r w:rsidR="00B74749" w:rsidRPr="00A549B7">
        <w:rPr>
          <w:rFonts w:asciiTheme="minorHAnsi" w:hAnsiTheme="minorHAnsi" w:cstheme="minorHAnsi"/>
          <w:sz w:val="26"/>
          <w:szCs w:val="26"/>
        </w:rPr>
        <w:t>agi</w:t>
      </w:r>
      <w:r w:rsidR="002401F4" w:rsidRPr="00A549B7">
        <w:rPr>
          <w:rFonts w:asciiTheme="minorHAnsi" w:hAnsiTheme="minorHAnsi" w:cstheme="minorHAnsi"/>
          <w:sz w:val="26"/>
          <w:szCs w:val="26"/>
        </w:rPr>
        <w:t>ra</w:t>
      </w:r>
      <w:r w:rsidR="00B74749" w:rsidRPr="00A549B7">
        <w:rPr>
          <w:rFonts w:asciiTheme="minorHAnsi" w:hAnsiTheme="minorHAnsi" w:cstheme="minorHAnsi"/>
          <w:sz w:val="26"/>
          <w:szCs w:val="26"/>
        </w:rPr>
        <w:t xml:space="preserve"> d’adapter le régime à un nouvel environnement, après un déménagement et </w:t>
      </w:r>
      <w:r w:rsidR="002401F4" w:rsidRPr="00A549B7">
        <w:rPr>
          <w:rFonts w:asciiTheme="minorHAnsi" w:hAnsiTheme="minorHAnsi" w:cstheme="minorHAnsi"/>
          <w:sz w:val="26"/>
          <w:szCs w:val="26"/>
        </w:rPr>
        <w:t>une installation en Belgique. Enfin dans d’aut</w:t>
      </w:r>
      <w:r w:rsidR="007F05CE" w:rsidRPr="00A549B7">
        <w:rPr>
          <w:rFonts w:asciiTheme="minorHAnsi" w:hAnsiTheme="minorHAnsi" w:cstheme="minorHAnsi"/>
          <w:sz w:val="26"/>
          <w:szCs w:val="26"/>
        </w:rPr>
        <w:t>res cas, une modification constituera une réponse au souhait de s’adapter à un environnement fiscal.</w:t>
      </w:r>
    </w:p>
    <w:p w:rsidR="00A549B7" w:rsidRDefault="00A549B7" w:rsidP="00A549B7">
      <w:pPr>
        <w:spacing w:line="288" w:lineRule="auto"/>
        <w:jc w:val="both"/>
        <w:rPr>
          <w:rFonts w:asciiTheme="minorHAnsi" w:hAnsiTheme="minorHAnsi" w:cstheme="minorHAnsi"/>
          <w:sz w:val="26"/>
          <w:szCs w:val="26"/>
        </w:rPr>
      </w:pPr>
    </w:p>
    <w:p w:rsidR="00B74749" w:rsidRPr="00A549B7" w:rsidRDefault="00E83F79"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Pour bien mesurer l’impact des règles européennes, </w:t>
      </w:r>
      <w:r w:rsidR="007F05CE" w:rsidRPr="00A549B7">
        <w:rPr>
          <w:rFonts w:asciiTheme="minorHAnsi" w:hAnsiTheme="minorHAnsi" w:cstheme="minorHAnsi"/>
          <w:sz w:val="26"/>
          <w:szCs w:val="26"/>
        </w:rPr>
        <w:t>nous nous proposons d’examiner différents scénarios qui permettent</w:t>
      </w:r>
      <w:r w:rsidR="00D47830">
        <w:rPr>
          <w:rFonts w:asciiTheme="minorHAnsi" w:hAnsiTheme="minorHAnsi" w:cstheme="minorHAnsi"/>
          <w:sz w:val="26"/>
          <w:szCs w:val="26"/>
        </w:rPr>
        <w:t xml:space="preserve"> d’illustrer tant le jeu des règles nouvelles que l’emprise conservée par les règles du Code de droit international privé.</w:t>
      </w:r>
    </w:p>
    <w:p w:rsidR="00161704" w:rsidRPr="00A549B7" w:rsidRDefault="00161704" w:rsidP="00A549B7">
      <w:pPr>
        <w:spacing w:line="288" w:lineRule="auto"/>
        <w:jc w:val="both"/>
        <w:rPr>
          <w:rFonts w:asciiTheme="minorHAnsi" w:hAnsiTheme="minorHAnsi" w:cstheme="minorHAnsi"/>
          <w:sz w:val="26"/>
          <w:szCs w:val="26"/>
        </w:rPr>
      </w:pPr>
    </w:p>
    <w:p w:rsidR="007F05CE" w:rsidRPr="00A549B7" w:rsidRDefault="007F05CE" w:rsidP="00A549B7">
      <w:pPr>
        <w:spacing w:line="288" w:lineRule="auto"/>
        <w:jc w:val="both"/>
        <w:rPr>
          <w:rFonts w:asciiTheme="minorHAnsi" w:hAnsiTheme="minorHAnsi" w:cstheme="minorHAnsi"/>
          <w:b/>
          <w:sz w:val="26"/>
          <w:szCs w:val="26"/>
        </w:rPr>
      </w:pPr>
      <w:r w:rsidRPr="00A549B7">
        <w:rPr>
          <w:rFonts w:asciiTheme="minorHAnsi" w:hAnsiTheme="minorHAnsi" w:cstheme="minorHAnsi"/>
          <w:b/>
          <w:sz w:val="26"/>
          <w:szCs w:val="26"/>
        </w:rPr>
        <w:t>1.</w:t>
      </w:r>
      <w:r w:rsidRPr="00A549B7">
        <w:rPr>
          <w:rFonts w:asciiTheme="minorHAnsi" w:hAnsiTheme="minorHAnsi" w:cstheme="minorHAnsi"/>
          <w:b/>
          <w:sz w:val="26"/>
          <w:szCs w:val="26"/>
        </w:rPr>
        <w:tab/>
      </w:r>
      <w:r w:rsidR="002E34F1">
        <w:rPr>
          <w:rFonts w:asciiTheme="minorHAnsi" w:hAnsiTheme="minorHAnsi" w:cstheme="minorHAnsi"/>
          <w:b/>
          <w:sz w:val="26"/>
          <w:szCs w:val="26"/>
        </w:rPr>
        <w:t>Modification conventionnelle à droit constant</w:t>
      </w:r>
    </w:p>
    <w:p w:rsidR="00A549B7" w:rsidRDefault="00A549B7" w:rsidP="00A549B7">
      <w:pPr>
        <w:spacing w:line="288" w:lineRule="auto"/>
        <w:jc w:val="both"/>
        <w:rPr>
          <w:rFonts w:asciiTheme="minorHAnsi" w:hAnsiTheme="minorHAnsi" w:cstheme="minorHAnsi"/>
          <w:sz w:val="26"/>
          <w:szCs w:val="26"/>
        </w:rPr>
      </w:pPr>
    </w:p>
    <w:p w:rsidR="000C56F2" w:rsidRPr="00A549B7" w:rsidRDefault="007F05C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Le premier scénario concerne deux </w:t>
      </w:r>
      <w:r w:rsidR="000C56F2" w:rsidRPr="00A549B7">
        <w:rPr>
          <w:rFonts w:asciiTheme="minorHAnsi" w:hAnsiTheme="minorHAnsi" w:cstheme="minorHAnsi"/>
          <w:sz w:val="26"/>
          <w:szCs w:val="26"/>
        </w:rPr>
        <w:t xml:space="preserve">époux </w:t>
      </w:r>
      <w:r w:rsidRPr="00A549B7">
        <w:rPr>
          <w:rFonts w:asciiTheme="minorHAnsi" w:hAnsiTheme="minorHAnsi" w:cstheme="minorHAnsi"/>
          <w:sz w:val="26"/>
          <w:szCs w:val="26"/>
        </w:rPr>
        <w:t xml:space="preserve">de nationalité </w:t>
      </w:r>
      <w:r w:rsidR="000C56F2" w:rsidRPr="00A549B7">
        <w:rPr>
          <w:rFonts w:asciiTheme="minorHAnsi" w:hAnsiTheme="minorHAnsi" w:cstheme="minorHAnsi"/>
          <w:sz w:val="26"/>
          <w:szCs w:val="26"/>
        </w:rPr>
        <w:t>français</w:t>
      </w:r>
      <w:r w:rsidRPr="00A549B7">
        <w:rPr>
          <w:rFonts w:asciiTheme="minorHAnsi" w:hAnsiTheme="minorHAnsi" w:cstheme="minorHAnsi"/>
          <w:sz w:val="26"/>
          <w:szCs w:val="26"/>
        </w:rPr>
        <w:t>e qui se sont</w:t>
      </w:r>
      <w:r w:rsidR="000C56F2" w:rsidRPr="00A549B7">
        <w:rPr>
          <w:rFonts w:asciiTheme="minorHAnsi" w:hAnsiTheme="minorHAnsi" w:cstheme="minorHAnsi"/>
          <w:sz w:val="26"/>
          <w:szCs w:val="26"/>
        </w:rPr>
        <w:t xml:space="preserve"> mariés </w:t>
      </w:r>
      <w:r w:rsidRPr="00A549B7">
        <w:rPr>
          <w:rFonts w:asciiTheme="minorHAnsi" w:hAnsiTheme="minorHAnsi" w:cstheme="minorHAnsi"/>
          <w:sz w:val="26"/>
          <w:szCs w:val="26"/>
        </w:rPr>
        <w:t xml:space="preserve">en 2006 </w:t>
      </w:r>
      <w:r w:rsidR="000C56F2" w:rsidRPr="00A549B7">
        <w:rPr>
          <w:rFonts w:asciiTheme="minorHAnsi" w:hAnsiTheme="minorHAnsi" w:cstheme="minorHAnsi"/>
          <w:sz w:val="26"/>
          <w:szCs w:val="26"/>
        </w:rPr>
        <w:t>en France. A l’époque</w:t>
      </w:r>
      <w:r w:rsidRPr="00A549B7">
        <w:rPr>
          <w:rFonts w:asciiTheme="minorHAnsi" w:hAnsiTheme="minorHAnsi" w:cstheme="minorHAnsi"/>
          <w:sz w:val="26"/>
          <w:szCs w:val="26"/>
        </w:rPr>
        <w:t xml:space="preserve">, ils avaient conclu </w:t>
      </w:r>
      <w:r w:rsidR="000C56F2" w:rsidRPr="00A549B7">
        <w:rPr>
          <w:rFonts w:asciiTheme="minorHAnsi" w:hAnsiTheme="minorHAnsi" w:cstheme="minorHAnsi"/>
          <w:sz w:val="26"/>
          <w:szCs w:val="26"/>
        </w:rPr>
        <w:t>un contrat de séparation de biens</w:t>
      </w:r>
      <w:r w:rsidRPr="00A549B7">
        <w:rPr>
          <w:rFonts w:asciiTheme="minorHAnsi" w:hAnsiTheme="minorHAnsi" w:cstheme="minorHAnsi"/>
          <w:sz w:val="26"/>
          <w:szCs w:val="26"/>
        </w:rPr>
        <w:t xml:space="preserve"> avec l’aide d’un </w:t>
      </w:r>
      <w:r w:rsidR="000C56F2" w:rsidRPr="00A549B7">
        <w:rPr>
          <w:rFonts w:asciiTheme="minorHAnsi" w:hAnsiTheme="minorHAnsi" w:cstheme="minorHAnsi"/>
          <w:sz w:val="26"/>
          <w:szCs w:val="26"/>
        </w:rPr>
        <w:t xml:space="preserve">notaire français. </w:t>
      </w:r>
      <w:r w:rsidRPr="00A549B7">
        <w:rPr>
          <w:rFonts w:asciiTheme="minorHAnsi" w:hAnsiTheme="minorHAnsi" w:cstheme="minorHAnsi"/>
          <w:sz w:val="26"/>
          <w:szCs w:val="26"/>
        </w:rPr>
        <w:t xml:space="preserve">Aujourd’hui, ils souhaitent </w:t>
      </w:r>
      <w:r w:rsidR="000C56F2" w:rsidRPr="00A549B7">
        <w:rPr>
          <w:rFonts w:asciiTheme="minorHAnsi" w:hAnsiTheme="minorHAnsi" w:cstheme="minorHAnsi"/>
          <w:sz w:val="26"/>
          <w:szCs w:val="26"/>
        </w:rPr>
        <w:t xml:space="preserve">adjoindre à leur contrat une société d’acquêts, </w:t>
      </w:r>
      <w:r w:rsidRPr="00A549B7">
        <w:rPr>
          <w:rFonts w:asciiTheme="minorHAnsi" w:hAnsiTheme="minorHAnsi" w:cstheme="minorHAnsi"/>
          <w:sz w:val="26"/>
          <w:szCs w:val="26"/>
        </w:rPr>
        <w:t>qui accueillera</w:t>
      </w:r>
      <w:r w:rsidR="000C56F2" w:rsidRPr="00A549B7">
        <w:rPr>
          <w:rFonts w:asciiTheme="minorHAnsi" w:hAnsiTheme="minorHAnsi" w:cstheme="minorHAnsi"/>
          <w:sz w:val="26"/>
          <w:szCs w:val="26"/>
        </w:rPr>
        <w:t xml:space="preserve"> </w:t>
      </w:r>
      <w:r w:rsidR="00FD332C">
        <w:rPr>
          <w:rFonts w:asciiTheme="minorHAnsi" w:hAnsiTheme="minorHAnsi" w:cstheme="minorHAnsi"/>
          <w:sz w:val="26"/>
          <w:szCs w:val="26"/>
        </w:rPr>
        <w:t xml:space="preserve">notamment </w:t>
      </w:r>
      <w:r w:rsidR="000C56F2" w:rsidRPr="00A549B7">
        <w:rPr>
          <w:rFonts w:asciiTheme="minorHAnsi" w:hAnsiTheme="minorHAnsi" w:cstheme="minorHAnsi"/>
          <w:sz w:val="26"/>
          <w:szCs w:val="26"/>
        </w:rPr>
        <w:t>l’immeuble qu’ils ont acheté en Belgique.</w:t>
      </w:r>
    </w:p>
    <w:p w:rsidR="00A549B7" w:rsidRDefault="00A549B7" w:rsidP="00A549B7">
      <w:pPr>
        <w:spacing w:line="288" w:lineRule="auto"/>
        <w:jc w:val="both"/>
        <w:rPr>
          <w:rFonts w:asciiTheme="minorHAnsi" w:hAnsiTheme="minorHAnsi" w:cstheme="minorHAnsi"/>
          <w:sz w:val="26"/>
          <w:szCs w:val="26"/>
        </w:rPr>
      </w:pPr>
    </w:p>
    <w:p w:rsidR="007F05CE" w:rsidRPr="00A549B7" w:rsidRDefault="007F05C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Puisque ces époux se sont mariés avant le 29 janvier 2019, il n’est </w:t>
      </w:r>
      <w:r w:rsidRPr="00A549B7">
        <w:rPr>
          <w:rFonts w:asciiTheme="minorHAnsi" w:hAnsiTheme="minorHAnsi" w:cstheme="minorHAnsi"/>
          <w:i/>
          <w:sz w:val="26"/>
          <w:szCs w:val="26"/>
        </w:rPr>
        <w:t>a priori</w:t>
      </w:r>
      <w:r w:rsidRPr="00A549B7">
        <w:rPr>
          <w:rFonts w:asciiTheme="minorHAnsi" w:hAnsiTheme="minorHAnsi" w:cstheme="minorHAnsi"/>
          <w:sz w:val="26"/>
          <w:szCs w:val="26"/>
        </w:rPr>
        <w:t xml:space="preserve"> pas question d’appliquer les dispositions européennes. L’appréciation serait différente si les époux choisissaient de se soumettre, à l’occasion de la modification de leur régime, à la loi belge. Un tel changement n’est néanmoins pas nécessaire. L’opération à laquelle ils souhaitent procéder, se conçoit parfaitement en droit français.</w:t>
      </w:r>
      <w:r w:rsidR="00FD332C">
        <w:rPr>
          <w:rFonts w:asciiTheme="minorHAnsi" w:hAnsiTheme="minorHAnsi" w:cstheme="minorHAnsi"/>
          <w:sz w:val="26"/>
          <w:szCs w:val="26"/>
        </w:rPr>
        <w:t xml:space="preserve"> La modification peut dès lors s’effectuer à droit constant</w:t>
      </w:r>
      <w:r w:rsidR="009E2DCE">
        <w:rPr>
          <w:rStyle w:val="Appelnotedebasdep"/>
          <w:rFonts w:asciiTheme="minorHAnsi" w:hAnsiTheme="minorHAnsi" w:cstheme="minorHAnsi"/>
          <w:sz w:val="26"/>
          <w:szCs w:val="26"/>
        </w:rPr>
        <w:footnoteReference w:id="45"/>
      </w:r>
      <w:r w:rsidR="00FD332C">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7F05CE" w:rsidRPr="00A549B7" w:rsidRDefault="007F05CE"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 xml:space="preserve">A défaut de </w:t>
      </w:r>
      <w:r w:rsidR="0009784B" w:rsidRPr="00A549B7">
        <w:rPr>
          <w:rFonts w:asciiTheme="minorHAnsi" w:hAnsiTheme="minorHAnsi" w:cstheme="minorHAnsi"/>
          <w:sz w:val="26"/>
          <w:szCs w:val="26"/>
        </w:rPr>
        <w:t>choix de loi, les dispositions européennes n’ont pas vocation à s’appliquer. Il faut dès lors s’en remettre aux dispositions du Code de droit international privé pour déterminer si la modification est possible et à quelles conditions</w:t>
      </w:r>
      <w:r w:rsidR="0009784B" w:rsidRPr="00A549B7">
        <w:rPr>
          <w:rStyle w:val="Appelnotedebasdep"/>
          <w:rFonts w:asciiTheme="minorHAnsi" w:hAnsiTheme="minorHAnsi" w:cstheme="minorHAnsi"/>
          <w:sz w:val="26"/>
          <w:szCs w:val="26"/>
        </w:rPr>
        <w:footnoteReference w:id="46"/>
      </w:r>
      <w:r w:rsidR="0009784B"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0C56F2" w:rsidRPr="00A549B7" w:rsidRDefault="0070133F"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Pour rappel, les dispositions du Code de droit international privé s’appliquent pleinement aux époux mariés à compter du 1</w:t>
      </w:r>
      <w:r w:rsidRPr="00A549B7">
        <w:rPr>
          <w:rFonts w:asciiTheme="minorHAnsi" w:hAnsiTheme="minorHAnsi" w:cstheme="minorHAnsi"/>
          <w:sz w:val="26"/>
          <w:szCs w:val="26"/>
          <w:vertAlign w:val="superscript"/>
        </w:rPr>
        <w:t>er</w:t>
      </w:r>
      <w:r w:rsidRPr="00A549B7">
        <w:rPr>
          <w:rFonts w:asciiTheme="minorHAnsi" w:hAnsiTheme="minorHAnsi" w:cstheme="minorHAnsi"/>
          <w:sz w:val="26"/>
          <w:szCs w:val="26"/>
        </w:rPr>
        <w:t xml:space="preserve"> octobre 2004. Le Code maintient la règle classique selon laquelle la </w:t>
      </w:r>
      <w:r w:rsidR="000C56F2" w:rsidRPr="00A549B7">
        <w:rPr>
          <w:rFonts w:asciiTheme="minorHAnsi" w:hAnsiTheme="minorHAnsi" w:cstheme="minorHAnsi"/>
          <w:sz w:val="26"/>
          <w:szCs w:val="26"/>
        </w:rPr>
        <w:t xml:space="preserve">possibilité de modifier le régime en cours de route </w:t>
      </w:r>
      <w:r w:rsidRPr="00A549B7">
        <w:rPr>
          <w:rFonts w:asciiTheme="minorHAnsi" w:hAnsiTheme="minorHAnsi" w:cstheme="minorHAnsi"/>
          <w:sz w:val="26"/>
          <w:szCs w:val="26"/>
        </w:rPr>
        <w:t xml:space="preserve">est </w:t>
      </w:r>
      <w:r w:rsidR="000C56F2" w:rsidRPr="00A549B7">
        <w:rPr>
          <w:rFonts w:asciiTheme="minorHAnsi" w:hAnsiTheme="minorHAnsi" w:cstheme="minorHAnsi"/>
          <w:sz w:val="26"/>
          <w:szCs w:val="26"/>
        </w:rPr>
        <w:t>déterminée par la loi applicable au régime existant</w:t>
      </w:r>
      <w:r w:rsidR="00FD5B39" w:rsidRPr="00A549B7">
        <w:rPr>
          <w:rStyle w:val="Appelnotedebasdep"/>
          <w:rFonts w:asciiTheme="minorHAnsi" w:hAnsiTheme="minorHAnsi" w:cstheme="minorHAnsi"/>
          <w:sz w:val="26"/>
          <w:szCs w:val="26"/>
        </w:rPr>
        <w:footnoteReference w:id="47"/>
      </w:r>
      <w:r w:rsidR="000C56F2" w:rsidRPr="00A549B7">
        <w:rPr>
          <w:rFonts w:asciiTheme="minorHAnsi" w:hAnsiTheme="minorHAnsi" w:cstheme="minorHAnsi"/>
          <w:sz w:val="26"/>
          <w:szCs w:val="26"/>
        </w:rPr>
        <w:t>. L’article 53, par. 1, 4° du Code retient en effet que la loi applicable au régime matrimonial détermine « si et dans quelle mesure les époux peuvent changer de régime ». Il conviendra de consulter la loi applicable au régime existant</w:t>
      </w:r>
      <w:r w:rsidR="00A75964">
        <w:rPr>
          <w:rStyle w:val="Appelnotedebasdep"/>
          <w:rFonts w:asciiTheme="minorHAnsi" w:hAnsiTheme="minorHAnsi" w:cstheme="minorHAnsi"/>
          <w:sz w:val="26"/>
          <w:szCs w:val="26"/>
        </w:rPr>
        <w:footnoteReference w:id="48"/>
      </w:r>
      <w:r w:rsidR="000C56F2" w:rsidRPr="00A549B7">
        <w:rPr>
          <w:rFonts w:asciiTheme="minorHAnsi" w:hAnsiTheme="minorHAnsi" w:cstheme="minorHAnsi"/>
          <w:sz w:val="26"/>
          <w:szCs w:val="26"/>
        </w:rPr>
        <w:t>. Celle-ci dépend de la date du mariage : si le mariage a eu lieu avant le 1</w:t>
      </w:r>
      <w:r w:rsidR="000C56F2" w:rsidRPr="00A549B7">
        <w:rPr>
          <w:rFonts w:asciiTheme="minorHAnsi" w:hAnsiTheme="minorHAnsi" w:cstheme="minorHAnsi"/>
          <w:sz w:val="26"/>
          <w:szCs w:val="26"/>
          <w:vertAlign w:val="superscript"/>
        </w:rPr>
        <w:t>er</w:t>
      </w:r>
      <w:r w:rsidR="000C56F2" w:rsidRPr="00A549B7">
        <w:rPr>
          <w:rFonts w:asciiTheme="minorHAnsi" w:hAnsiTheme="minorHAnsi" w:cstheme="minorHAnsi"/>
          <w:sz w:val="26"/>
          <w:szCs w:val="26"/>
        </w:rPr>
        <w:t xml:space="preserve"> octobre 2004, on fera application des principes déduits par la jurisprudence de l’article 3 du Code civil. Par contre, à l’égard d’époux</w:t>
      </w:r>
      <w:r w:rsidR="00D11D27" w:rsidRPr="00A549B7">
        <w:rPr>
          <w:rFonts w:asciiTheme="minorHAnsi" w:hAnsiTheme="minorHAnsi" w:cstheme="minorHAnsi"/>
          <w:sz w:val="26"/>
          <w:szCs w:val="26"/>
        </w:rPr>
        <w:t xml:space="preserve"> qui se sont mariés après l’entrée en vigueur du Code de droit international privé, il faudra faire référence aux articles 49 et 51 du Code.</w:t>
      </w:r>
      <w:r w:rsidRPr="00A549B7">
        <w:rPr>
          <w:rFonts w:asciiTheme="minorHAnsi" w:hAnsiTheme="minorHAnsi" w:cstheme="minorHAnsi"/>
          <w:sz w:val="26"/>
          <w:szCs w:val="26"/>
        </w:rPr>
        <w:t xml:space="preserve"> En l’espèce, s’agissant de deux ressortissants français mariés en 2006, c’est la loi de leur première résidence habituelle qui est déterminante. S’ils se sont installés en France après leur mariage</w:t>
      </w:r>
      <w:r w:rsidR="008C2002" w:rsidRPr="00A549B7">
        <w:rPr>
          <w:rFonts w:asciiTheme="minorHAnsi" w:hAnsiTheme="minorHAnsi" w:cstheme="minorHAnsi"/>
          <w:sz w:val="26"/>
          <w:szCs w:val="26"/>
        </w:rPr>
        <w:t xml:space="preserve"> pendant une période relativement longue</w:t>
      </w:r>
      <w:r w:rsidRPr="00A549B7">
        <w:rPr>
          <w:rFonts w:asciiTheme="minorHAnsi" w:hAnsiTheme="minorHAnsi" w:cstheme="minorHAnsi"/>
          <w:sz w:val="26"/>
          <w:szCs w:val="26"/>
        </w:rPr>
        <w:t>, il conviendra de s’en référer à la loi française.</w:t>
      </w:r>
      <w:r w:rsidR="008C2002" w:rsidRPr="00A549B7">
        <w:rPr>
          <w:rFonts w:asciiTheme="minorHAnsi" w:hAnsiTheme="minorHAnsi" w:cstheme="minorHAnsi"/>
          <w:sz w:val="26"/>
          <w:szCs w:val="26"/>
        </w:rPr>
        <w:t xml:space="preserve"> </w:t>
      </w:r>
    </w:p>
    <w:p w:rsidR="00A549B7" w:rsidRDefault="00A549B7" w:rsidP="00A549B7">
      <w:pPr>
        <w:spacing w:line="288" w:lineRule="auto"/>
        <w:jc w:val="both"/>
        <w:rPr>
          <w:rFonts w:asciiTheme="minorHAnsi" w:hAnsiTheme="minorHAnsi" w:cstheme="minorHAnsi"/>
          <w:sz w:val="26"/>
          <w:szCs w:val="26"/>
        </w:rPr>
      </w:pPr>
    </w:p>
    <w:p w:rsidR="00D11D27" w:rsidRPr="00A549B7" w:rsidRDefault="00D11D27"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Dès lors que le droit applicable aux relations patrimoniales entre époux permet à ceux-ci de modifier leur régime</w:t>
      </w:r>
      <w:r w:rsidRPr="00A549B7">
        <w:rPr>
          <w:rStyle w:val="Appelnotedebasdep"/>
          <w:rFonts w:asciiTheme="minorHAnsi" w:hAnsiTheme="minorHAnsi" w:cstheme="minorHAnsi"/>
          <w:sz w:val="26"/>
          <w:szCs w:val="26"/>
        </w:rPr>
        <w:footnoteReference w:id="49"/>
      </w:r>
      <w:r w:rsidRPr="00A549B7">
        <w:rPr>
          <w:rFonts w:asciiTheme="minorHAnsi" w:hAnsiTheme="minorHAnsi" w:cstheme="minorHAnsi"/>
          <w:sz w:val="26"/>
          <w:szCs w:val="26"/>
        </w:rPr>
        <w:t>, il conviendra également de consulter ce droit pour déterminer les limites de la faculté conférée aux époux. Il se pourrait par exemple que des époux ne puissent pas modifier leur régime pendant une certaine période.</w:t>
      </w:r>
      <w:r w:rsidR="00FD5B39" w:rsidRPr="00A549B7">
        <w:rPr>
          <w:rFonts w:asciiTheme="minorHAnsi" w:hAnsiTheme="minorHAnsi" w:cstheme="minorHAnsi"/>
          <w:sz w:val="26"/>
          <w:szCs w:val="26"/>
        </w:rPr>
        <w:t xml:space="preserve"> Le droit actuel détermine aussi les limites de l’autonomie de la volonté des époux. Il peut par exemple interdire l’adoption de certaines dispositions. L’exemple le plus connu, et le plus pertinent pour la pratique belge, est certainement celui du droit italien, qui ne permet pas aux époux de convenir d’une répartition inégalitaire du patrimoine commun</w:t>
      </w:r>
      <w:r w:rsidR="00FD5B39" w:rsidRPr="00A549B7">
        <w:rPr>
          <w:rStyle w:val="Appelnotedebasdep"/>
          <w:rFonts w:asciiTheme="minorHAnsi" w:hAnsiTheme="minorHAnsi" w:cstheme="minorHAnsi"/>
          <w:sz w:val="26"/>
          <w:szCs w:val="26"/>
        </w:rPr>
        <w:footnoteReference w:id="50"/>
      </w:r>
      <w:r w:rsidR="00FD5B39" w:rsidRPr="00A549B7">
        <w:rPr>
          <w:rFonts w:asciiTheme="minorHAnsi" w:hAnsiTheme="minorHAnsi" w:cstheme="minorHAnsi"/>
          <w:sz w:val="26"/>
          <w:szCs w:val="26"/>
        </w:rPr>
        <w:t>.</w:t>
      </w:r>
    </w:p>
    <w:p w:rsidR="00A549B7" w:rsidRDefault="00A549B7" w:rsidP="00A549B7">
      <w:pPr>
        <w:spacing w:line="288" w:lineRule="auto"/>
        <w:jc w:val="both"/>
        <w:rPr>
          <w:rFonts w:asciiTheme="minorHAnsi" w:hAnsiTheme="minorHAnsi" w:cstheme="minorHAnsi"/>
          <w:sz w:val="26"/>
          <w:szCs w:val="26"/>
        </w:rPr>
      </w:pPr>
    </w:p>
    <w:p w:rsidR="008C2002" w:rsidRDefault="008C2002" w:rsidP="00A549B7">
      <w:pPr>
        <w:spacing w:line="288" w:lineRule="auto"/>
        <w:jc w:val="both"/>
        <w:rPr>
          <w:rFonts w:asciiTheme="minorHAnsi" w:hAnsiTheme="minorHAnsi" w:cstheme="minorHAnsi"/>
          <w:sz w:val="26"/>
          <w:szCs w:val="26"/>
        </w:rPr>
      </w:pPr>
      <w:r w:rsidRPr="00A549B7">
        <w:rPr>
          <w:rFonts w:asciiTheme="minorHAnsi" w:hAnsiTheme="minorHAnsi" w:cstheme="minorHAnsi"/>
          <w:sz w:val="26"/>
          <w:szCs w:val="26"/>
        </w:rPr>
        <w:t>La modification par des époux du régime qui les unit suscite également des questions quant au processus à suivre. L’on sait que depuis 2008</w:t>
      </w:r>
      <w:r w:rsidRPr="00A549B7">
        <w:rPr>
          <w:rStyle w:val="Appelnotedebasdep"/>
          <w:rFonts w:asciiTheme="minorHAnsi" w:hAnsiTheme="minorHAnsi" w:cstheme="minorHAnsi"/>
          <w:sz w:val="26"/>
          <w:szCs w:val="26"/>
        </w:rPr>
        <w:footnoteReference w:id="51"/>
      </w:r>
      <w:r w:rsidRPr="00A549B7">
        <w:rPr>
          <w:rFonts w:asciiTheme="minorHAnsi" w:hAnsiTheme="minorHAnsi" w:cstheme="minorHAnsi"/>
          <w:sz w:val="26"/>
          <w:szCs w:val="26"/>
        </w:rPr>
        <w:t>, le droit belge a supprimé l’obligation d’obtenir l’homologation judiciaire d’une modification de régime. Cette exigence subsiste dans d’autres Etats, de moins en moins nombreux il est vrai.</w:t>
      </w:r>
      <w:r w:rsidR="000A42DC">
        <w:rPr>
          <w:rFonts w:asciiTheme="minorHAnsi" w:hAnsiTheme="minorHAnsi" w:cstheme="minorHAnsi"/>
          <w:sz w:val="26"/>
          <w:szCs w:val="26"/>
        </w:rPr>
        <w:t xml:space="preserve"> Le droit français continue d’imposer le recours à une homologation judiciaire dans certaines circonstances</w:t>
      </w:r>
      <w:r w:rsidR="000A42DC">
        <w:rPr>
          <w:rStyle w:val="Appelnotedebasdep"/>
          <w:rFonts w:asciiTheme="minorHAnsi" w:hAnsiTheme="minorHAnsi" w:cstheme="minorHAnsi"/>
          <w:sz w:val="26"/>
          <w:szCs w:val="26"/>
        </w:rPr>
        <w:footnoteReference w:id="52"/>
      </w:r>
      <w:r w:rsidR="000A42DC">
        <w:rPr>
          <w:rFonts w:asciiTheme="minorHAnsi" w:hAnsiTheme="minorHAnsi" w:cstheme="minorHAnsi"/>
          <w:sz w:val="26"/>
          <w:szCs w:val="26"/>
        </w:rPr>
        <w:t>.</w:t>
      </w:r>
      <w:r w:rsidR="00787E29">
        <w:rPr>
          <w:rFonts w:asciiTheme="minorHAnsi" w:hAnsiTheme="minorHAnsi" w:cstheme="minorHAnsi"/>
          <w:sz w:val="26"/>
          <w:szCs w:val="26"/>
        </w:rPr>
        <w:t xml:space="preserve"> Cette différence d’approche rend nécessaire de déterminer si l’exigence d’homologation s’impose dès lors que la relation entre époux est régie par le droit français ou si au contraire elle constitue une exigence purement formelle. Dans ce dernier cas, toute homologation serait exclue puisque l’article 52, al. 2 du Code soumet la mutation du régime matrimonial aux « formalités prévues par le droit de l’Etat sur le territoire duquel la mutation est effectuée ».</w:t>
      </w:r>
    </w:p>
    <w:p w:rsidR="00787E29" w:rsidRDefault="00787E29" w:rsidP="00A549B7">
      <w:pPr>
        <w:spacing w:line="288" w:lineRule="auto"/>
        <w:jc w:val="both"/>
        <w:rPr>
          <w:rFonts w:asciiTheme="minorHAnsi" w:hAnsiTheme="minorHAnsi" w:cstheme="minorHAnsi"/>
          <w:sz w:val="26"/>
          <w:szCs w:val="26"/>
        </w:rPr>
      </w:pPr>
    </w:p>
    <w:p w:rsidR="00787E29" w:rsidRDefault="00787E29"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La question</w:t>
      </w:r>
      <w:r w:rsidR="00A1798B">
        <w:rPr>
          <w:rFonts w:asciiTheme="minorHAnsi" w:hAnsiTheme="minorHAnsi" w:cstheme="minorHAnsi"/>
          <w:sz w:val="26"/>
          <w:szCs w:val="26"/>
        </w:rPr>
        <w:t xml:space="preserve"> fait l’objet de débats de longue date</w:t>
      </w:r>
      <w:r w:rsidR="001A4D8C">
        <w:rPr>
          <w:rStyle w:val="Appelnotedebasdep"/>
          <w:rFonts w:asciiTheme="minorHAnsi" w:hAnsiTheme="minorHAnsi" w:cstheme="minorHAnsi"/>
          <w:sz w:val="26"/>
          <w:szCs w:val="26"/>
        </w:rPr>
        <w:footnoteReference w:id="53"/>
      </w:r>
      <w:r w:rsidR="00A1798B">
        <w:rPr>
          <w:rFonts w:asciiTheme="minorHAnsi" w:hAnsiTheme="minorHAnsi" w:cstheme="minorHAnsi"/>
          <w:sz w:val="26"/>
          <w:szCs w:val="26"/>
        </w:rPr>
        <w:t>. Elle n’a pas reçu de réponse définitive lors de la codification du droit international privé en 2004. Une majorité semble néanmoins se dégager pour considérer qu’une exigence d’homologation ne peut être réduite à une simple formalité. Il s’agit au contraire pour le juge chargé d’examiner le projet d’acte rédigé par les époux, de confronter celui-ci et en particulier les modifications que les époux souhaitent apporter à des principes généraux comme l’intérêt de la famille</w:t>
      </w:r>
      <w:r w:rsidR="00A1798B">
        <w:rPr>
          <w:rStyle w:val="Appelnotedebasdep"/>
          <w:rFonts w:asciiTheme="minorHAnsi" w:hAnsiTheme="minorHAnsi" w:cstheme="minorHAnsi"/>
          <w:sz w:val="26"/>
          <w:szCs w:val="26"/>
        </w:rPr>
        <w:footnoteReference w:id="54"/>
      </w:r>
      <w:r w:rsidR="00A1798B">
        <w:rPr>
          <w:rFonts w:asciiTheme="minorHAnsi" w:hAnsiTheme="minorHAnsi" w:cstheme="minorHAnsi"/>
          <w:sz w:val="26"/>
          <w:szCs w:val="26"/>
        </w:rPr>
        <w:t>.</w:t>
      </w:r>
    </w:p>
    <w:p w:rsidR="001A4D8C" w:rsidRDefault="001A4D8C" w:rsidP="00A549B7">
      <w:pPr>
        <w:spacing w:line="288" w:lineRule="auto"/>
        <w:jc w:val="both"/>
        <w:rPr>
          <w:rFonts w:asciiTheme="minorHAnsi" w:hAnsiTheme="minorHAnsi" w:cstheme="minorHAnsi"/>
          <w:sz w:val="26"/>
          <w:szCs w:val="26"/>
        </w:rPr>
      </w:pPr>
    </w:p>
    <w:p w:rsidR="00A1798B" w:rsidRDefault="00A1798B"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Dans cette mesure, dès lors que des époux choisissent de demeure</w:t>
      </w:r>
      <w:r w:rsidR="001A4D8C">
        <w:rPr>
          <w:rFonts w:asciiTheme="minorHAnsi" w:hAnsiTheme="minorHAnsi" w:cstheme="minorHAnsi"/>
          <w:sz w:val="26"/>
          <w:szCs w:val="26"/>
        </w:rPr>
        <w:t>r</w:t>
      </w:r>
      <w:r>
        <w:rPr>
          <w:rFonts w:asciiTheme="minorHAnsi" w:hAnsiTheme="minorHAnsi" w:cstheme="minorHAnsi"/>
          <w:sz w:val="26"/>
          <w:szCs w:val="26"/>
        </w:rPr>
        <w:t xml:space="preserve"> soumis à un droit qui subordonne la modification conventionnelle à une homologation, il conviendra d’obtenir celle-ci</w:t>
      </w:r>
      <w:r w:rsidR="00516C9A">
        <w:rPr>
          <w:rStyle w:val="Appelnotedebasdep"/>
          <w:rFonts w:asciiTheme="minorHAnsi" w:hAnsiTheme="minorHAnsi" w:cstheme="minorHAnsi"/>
          <w:sz w:val="26"/>
          <w:szCs w:val="26"/>
        </w:rPr>
        <w:footnoteReference w:id="55"/>
      </w:r>
      <w:r>
        <w:rPr>
          <w:rFonts w:asciiTheme="minorHAnsi" w:hAnsiTheme="minorHAnsi" w:cstheme="minorHAnsi"/>
          <w:sz w:val="26"/>
          <w:szCs w:val="26"/>
        </w:rPr>
        <w:t>.</w:t>
      </w:r>
      <w:r w:rsidR="001A4D8C">
        <w:rPr>
          <w:rFonts w:asciiTheme="minorHAnsi" w:hAnsiTheme="minorHAnsi" w:cstheme="minorHAnsi"/>
          <w:sz w:val="26"/>
          <w:szCs w:val="26"/>
        </w:rPr>
        <w:t xml:space="preserve"> Au besoin, la procédure devra être introduite devant le tribunal de première instance au titre de la compétence résiduaire qu’il possède, puisque le tribunal de la famille ne possède plus compétence pour procéder à l’homologation d’une modification conventionnelle de régime.</w:t>
      </w:r>
    </w:p>
    <w:p w:rsidR="001A4D8C" w:rsidRDefault="001A4D8C" w:rsidP="00A549B7">
      <w:pPr>
        <w:spacing w:line="288" w:lineRule="auto"/>
        <w:jc w:val="both"/>
        <w:rPr>
          <w:rFonts w:asciiTheme="minorHAnsi" w:hAnsiTheme="minorHAnsi" w:cstheme="minorHAnsi"/>
          <w:sz w:val="26"/>
          <w:szCs w:val="26"/>
        </w:rPr>
      </w:pPr>
    </w:p>
    <w:p w:rsidR="001A4D8C" w:rsidRPr="00A549B7" w:rsidRDefault="001A4D8C"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Reste la question de la publicité à assurer à une modification conventionnelle. Les mesures de publicité organisées peuvent varier selon le droit applicable. Il est certain que s’agissant d’une modification effectuée en Belgique, il revient au seul droit belge de se prononcer sur la publicité à assurer à la modification. </w:t>
      </w:r>
    </w:p>
    <w:p w:rsidR="00A549B7" w:rsidRDefault="00A549B7" w:rsidP="00A549B7">
      <w:pPr>
        <w:spacing w:line="288" w:lineRule="auto"/>
        <w:jc w:val="both"/>
        <w:rPr>
          <w:rFonts w:asciiTheme="minorHAnsi" w:hAnsiTheme="minorHAnsi" w:cstheme="minorHAnsi"/>
          <w:sz w:val="26"/>
          <w:szCs w:val="26"/>
        </w:rPr>
      </w:pPr>
    </w:p>
    <w:p w:rsidR="002E34F1" w:rsidRPr="00A549B7" w:rsidRDefault="002E34F1" w:rsidP="002E34F1">
      <w:pPr>
        <w:spacing w:line="288" w:lineRule="auto"/>
        <w:jc w:val="both"/>
        <w:rPr>
          <w:rFonts w:asciiTheme="minorHAnsi" w:hAnsiTheme="minorHAnsi" w:cstheme="minorHAnsi"/>
          <w:sz w:val="26"/>
          <w:szCs w:val="26"/>
        </w:rPr>
      </w:pPr>
    </w:p>
    <w:p w:rsidR="002E34F1" w:rsidRPr="00A549B7" w:rsidRDefault="002E34F1" w:rsidP="002E34F1">
      <w:pPr>
        <w:spacing w:line="288" w:lineRule="auto"/>
        <w:jc w:val="both"/>
        <w:rPr>
          <w:rFonts w:asciiTheme="minorHAnsi" w:hAnsiTheme="minorHAnsi" w:cstheme="minorHAnsi"/>
          <w:b/>
          <w:sz w:val="26"/>
          <w:szCs w:val="26"/>
        </w:rPr>
      </w:pPr>
      <w:r>
        <w:rPr>
          <w:rFonts w:asciiTheme="minorHAnsi" w:hAnsiTheme="minorHAnsi" w:cstheme="minorHAnsi"/>
          <w:b/>
          <w:sz w:val="26"/>
          <w:szCs w:val="26"/>
        </w:rPr>
        <w:t>2</w:t>
      </w:r>
      <w:r w:rsidRPr="00A549B7">
        <w:rPr>
          <w:rFonts w:asciiTheme="minorHAnsi" w:hAnsiTheme="minorHAnsi" w:cstheme="minorHAnsi"/>
          <w:b/>
          <w:sz w:val="26"/>
          <w:szCs w:val="26"/>
        </w:rPr>
        <w:t>.</w:t>
      </w:r>
      <w:r w:rsidRPr="00A549B7">
        <w:rPr>
          <w:rFonts w:asciiTheme="minorHAnsi" w:hAnsiTheme="minorHAnsi" w:cstheme="minorHAnsi"/>
          <w:b/>
          <w:sz w:val="26"/>
          <w:szCs w:val="26"/>
        </w:rPr>
        <w:tab/>
      </w:r>
      <w:r>
        <w:rPr>
          <w:rFonts w:asciiTheme="minorHAnsi" w:hAnsiTheme="minorHAnsi" w:cstheme="minorHAnsi"/>
          <w:b/>
          <w:sz w:val="26"/>
          <w:szCs w:val="26"/>
        </w:rPr>
        <w:t>Modification conventionnelle avec choix de loi</w:t>
      </w:r>
    </w:p>
    <w:p w:rsidR="002E34F1" w:rsidRDefault="002E34F1" w:rsidP="00A549B7">
      <w:pPr>
        <w:spacing w:line="288" w:lineRule="auto"/>
        <w:jc w:val="both"/>
        <w:rPr>
          <w:rFonts w:asciiTheme="minorHAnsi" w:hAnsiTheme="minorHAnsi" w:cstheme="minorHAnsi"/>
          <w:sz w:val="26"/>
          <w:szCs w:val="26"/>
        </w:rPr>
      </w:pPr>
    </w:p>
    <w:p w:rsidR="000C56F2" w:rsidRDefault="002E34F1"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Un deuxième scénario permet d’illustrer l’hypothèse d’</w:t>
      </w:r>
      <w:r w:rsidR="00FF3E53">
        <w:rPr>
          <w:rFonts w:asciiTheme="minorHAnsi" w:hAnsiTheme="minorHAnsi" w:cstheme="minorHAnsi"/>
          <w:sz w:val="26"/>
          <w:szCs w:val="26"/>
        </w:rPr>
        <w:t xml:space="preserve">une modification conventionnelle accompagnée d’un choix de loi. Soit un couple belgo-italien qui s’est marié en 2006. Les époux ont d’abord vécu à Dubaï pour s’installer à partir de 2018 en Belgique. Après avoir fait l’acquisition d’un bien immobilier et </w:t>
      </w:r>
      <w:r w:rsidR="00ED1F52">
        <w:rPr>
          <w:rFonts w:asciiTheme="minorHAnsi" w:hAnsiTheme="minorHAnsi" w:cstheme="minorHAnsi"/>
          <w:sz w:val="26"/>
          <w:szCs w:val="26"/>
        </w:rPr>
        <w:t>avoir été confronté au décès d’un proche, les époux ont entamé une réflexion sur leur situation patrimoniale pour aboutir à la conclusion qu’ils souhaitent adopter une convention protégeant le conjoint survivant.</w:t>
      </w:r>
    </w:p>
    <w:p w:rsidR="00ED1F52" w:rsidRDefault="00ED1F52" w:rsidP="00A549B7">
      <w:pPr>
        <w:spacing w:line="288" w:lineRule="auto"/>
        <w:jc w:val="both"/>
        <w:rPr>
          <w:rFonts w:asciiTheme="minorHAnsi" w:hAnsiTheme="minorHAnsi" w:cstheme="minorHAnsi"/>
          <w:sz w:val="26"/>
          <w:szCs w:val="26"/>
        </w:rPr>
      </w:pPr>
    </w:p>
    <w:p w:rsidR="00ED1F52" w:rsidRDefault="00ED1F52"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Le droit belge pourrait parfaitement convenir à la situation de ces deux époux : le régime légal de communauté contribuera dans une large mesure à protéger le conjoint survivant. Cette protection sera encore renforcée par l’application des dispositions du Code civil relatives à la position du conjoint survivant en cas de décès, qui </w:t>
      </w:r>
      <w:r w:rsidR="008D5615">
        <w:rPr>
          <w:rFonts w:asciiTheme="minorHAnsi" w:hAnsiTheme="minorHAnsi" w:cstheme="minorHAnsi"/>
          <w:sz w:val="26"/>
          <w:szCs w:val="26"/>
        </w:rPr>
        <w:t xml:space="preserve">se justifie au regard de la résidence habituelle que les époux ont installé en </w:t>
      </w:r>
      <w:r w:rsidR="00F8425E">
        <w:rPr>
          <w:rFonts w:asciiTheme="minorHAnsi" w:hAnsiTheme="minorHAnsi" w:cstheme="minorHAnsi"/>
          <w:sz w:val="26"/>
          <w:szCs w:val="26"/>
        </w:rPr>
        <w:t>Belgique et peut le cas échéant être confirmé par un choix de la loi successorale, du moins en ce qui concerne le conjoint de nationalité belge</w:t>
      </w:r>
      <w:r w:rsidR="008D5615">
        <w:rPr>
          <w:rFonts w:asciiTheme="minorHAnsi" w:hAnsiTheme="minorHAnsi" w:cstheme="minorHAnsi"/>
          <w:sz w:val="26"/>
          <w:szCs w:val="26"/>
        </w:rPr>
        <w:t>.</w:t>
      </w:r>
    </w:p>
    <w:p w:rsidR="008D5615" w:rsidRDefault="008D5615" w:rsidP="00A549B7">
      <w:pPr>
        <w:spacing w:line="288" w:lineRule="auto"/>
        <w:jc w:val="both"/>
        <w:rPr>
          <w:rFonts w:asciiTheme="minorHAnsi" w:hAnsiTheme="minorHAnsi" w:cstheme="minorHAnsi"/>
          <w:sz w:val="26"/>
          <w:szCs w:val="26"/>
        </w:rPr>
      </w:pPr>
    </w:p>
    <w:p w:rsidR="008D5615" w:rsidRDefault="008D5615"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Si les époux choisissent effectivement de conclure une convention emportant choix du régime légal belge, l’hypothèse la plus simple est celle dans laquelle la convention comporte une disposition soumettant expressément les époux au droit belge</w:t>
      </w:r>
      <w:r w:rsidR="00F45AA8">
        <w:rPr>
          <w:rStyle w:val="Appelnotedebasdep"/>
          <w:rFonts w:asciiTheme="minorHAnsi" w:hAnsiTheme="minorHAnsi" w:cstheme="minorHAnsi"/>
          <w:sz w:val="26"/>
          <w:szCs w:val="26"/>
        </w:rPr>
        <w:footnoteReference w:id="56"/>
      </w:r>
      <w:r>
        <w:rPr>
          <w:rFonts w:asciiTheme="minorHAnsi" w:hAnsiTheme="minorHAnsi" w:cstheme="minorHAnsi"/>
          <w:sz w:val="26"/>
          <w:szCs w:val="26"/>
        </w:rPr>
        <w:t>. La présence d’une telle clause de choix de loi emportera automatiquement application du règlement</w:t>
      </w:r>
      <w:r w:rsidR="00782C93">
        <w:rPr>
          <w:rStyle w:val="Appelnotedebasdep"/>
          <w:rFonts w:asciiTheme="minorHAnsi" w:hAnsiTheme="minorHAnsi" w:cstheme="minorHAnsi"/>
          <w:sz w:val="26"/>
          <w:szCs w:val="26"/>
        </w:rPr>
        <w:footnoteReference w:id="57"/>
      </w:r>
      <w:r>
        <w:rPr>
          <w:rFonts w:asciiTheme="minorHAnsi" w:hAnsiTheme="minorHAnsi" w:cstheme="minorHAnsi"/>
          <w:sz w:val="26"/>
          <w:szCs w:val="26"/>
        </w:rPr>
        <w:t>. C’est donc à l’aune de celui-ci qu’il faudra</w:t>
      </w:r>
      <w:r w:rsidR="003058C7">
        <w:rPr>
          <w:rFonts w:asciiTheme="minorHAnsi" w:hAnsiTheme="minorHAnsi" w:cstheme="minorHAnsi"/>
          <w:sz w:val="26"/>
          <w:szCs w:val="26"/>
        </w:rPr>
        <w:t xml:space="preserve"> examiner la modification envisagée par les époux.</w:t>
      </w:r>
    </w:p>
    <w:p w:rsidR="003058C7" w:rsidRDefault="003058C7" w:rsidP="00A549B7">
      <w:pPr>
        <w:spacing w:line="288" w:lineRule="auto"/>
        <w:jc w:val="both"/>
        <w:rPr>
          <w:rFonts w:asciiTheme="minorHAnsi" w:hAnsiTheme="minorHAnsi" w:cstheme="minorHAnsi"/>
          <w:sz w:val="26"/>
          <w:szCs w:val="26"/>
        </w:rPr>
      </w:pPr>
    </w:p>
    <w:p w:rsidR="0069522E" w:rsidRDefault="003058C7" w:rsidP="0069522E">
      <w:pPr>
        <w:spacing w:line="288" w:lineRule="auto"/>
        <w:jc w:val="both"/>
        <w:rPr>
          <w:rFonts w:asciiTheme="minorHAnsi" w:hAnsiTheme="minorHAnsi" w:cstheme="minorHAnsi"/>
          <w:sz w:val="26"/>
          <w:szCs w:val="26"/>
        </w:rPr>
      </w:pPr>
      <w:r>
        <w:rPr>
          <w:rFonts w:asciiTheme="minorHAnsi" w:hAnsiTheme="minorHAnsi" w:cstheme="minorHAnsi"/>
          <w:sz w:val="26"/>
          <w:szCs w:val="26"/>
        </w:rPr>
        <w:t>Le règlement n’évoque guère la modification conventionnelle du régime matrimonial. En particulier, le texte européen ne précise pas quelle loi s’applique à la possibilité pour les époux de modifier en cours de mariage le régime qui est le leur. Dans la mesure où l’article 27, lettre g) soumet la validité au fond d’une convention matrimoniale à la loi applicable au régime matrimonial, l’on peut en déduire qu’il appartient bien à la loi du régime actuel de déterminer s’il est permis aux époux de modifier leur régime</w:t>
      </w:r>
      <w:r w:rsidR="00A75964">
        <w:rPr>
          <w:rStyle w:val="Appelnotedebasdep"/>
          <w:rFonts w:asciiTheme="minorHAnsi" w:hAnsiTheme="minorHAnsi" w:cstheme="minorHAnsi"/>
          <w:sz w:val="26"/>
          <w:szCs w:val="26"/>
        </w:rPr>
        <w:footnoteReference w:id="58"/>
      </w:r>
      <w:r>
        <w:rPr>
          <w:rFonts w:asciiTheme="minorHAnsi" w:hAnsiTheme="minorHAnsi" w:cstheme="minorHAnsi"/>
          <w:sz w:val="26"/>
          <w:szCs w:val="26"/>
        </w:rPr>
        <w:t>.</w:t>
      </w:r>
      <w:r w:rsidR="0069522E">
        <w:rPr>
          <w:rFonts w:asciiTheme="minorHAnsi" w:hAnsiTheme="minorHAnsi" w:cstheme="minorHAnsi"/>
          <w:sz w:val="26"/>
          <w:szCs w:val="26"/>
        </w:rPr>
        <w:t xml:space="preserve"> En théorie, il faudrait dès lors consulter les règles de conflit de lois en vigueur au moment du mariage pour déterminer quel droit s’applique aux époux et vérifier que ce droit leur permet bien de modifier leur régime.</w:t>
      </w:r>
    </w:p>
    <w:p w:rsidR="0069522E" w:rsidRDefault="0069522E" w:rsidP="0069522E">
      <w:pPr>
        <w:spacing w:line="288" w:lineRule="auto"/>
        <w:jc w:val="both"/>
        <w:rPr>
          <w:rFonts w:asciiTheme="minorHAnsi" w:hAnsiTheme="minorHAnsi" w:cstheme="minorHAnsi"/>
          <w:sz w:val="26"/>
          <w:szCs w:val="26"/>
        </w:rPr>
      </w:pPr>
    </w:p>
    <w:p w:rsidR="0069522E" w:rsidRDefault="0069522E"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Ce chassé-croisé entre le règlement et les règles de conflit de lois en vigueur au moment du mariage perd néanmoins une grande partie de sa pertinence lorsque les époux entendent procéder à une modification de leur régime en assortissant l’acte modificatif d’un choix de loi. Dans ce cas en effet, l</w:t>
      </w:r>
      <w:r w:rsidR="005A7CF8">
        <w:rPr>
          <w:rFonts w:asciiTheme="minorHAnsi" w:hAnsiTheme="minorHAnsi" w:cstheme="minorHAnsi"/>
          <w:sz w:val="26"/>
          <w:szCs w:val="26"/>
        </w:rPr>
        <w:t>’existence d’un choix de loi par les époux ouvre la voie à l’application du règlement, faisant perdre aux règles de conflit de lois en vigueur au moment du mariage leur pertinence. En outre, l</w:t>
      </w:r>
      <w:r>
        <w:rPr>
          <w:rFonts w:asciiTheme="minorHAnsi" w:hAnsiTheme="minorHAnsi" w:cstheme="minorHAnsi"/>
          <w:sz w:val="26"/>
          <w:szCs w:val="26"/>
        </w:rPr>
        <w:t>a loi choisie par les époux constitue</w:t>
      </w:r>
      <w:r w:rsidR="005A7CF8">
        <w:rPr>
          <w:rFonts w:asciiTheme="minorHAnsi" w:hAnsiTheme="minorHAnsi" w:cstheme="minorHAnsi"/>
          <w:sz w:val="26"/>
          <w:szCs w:val="26"/>
        </w:rPr>
        <w:t>ra</w:t>
      </w:r>
      <w:r>
        <w:rPr>
          <w:rFonts w:asciiTheme="minorHAnsi" w:hAnsiTheme="minorHAnsi" w:cstheme="minorHAnsi"/>
          <w:sz w:val="26"/>
          <w:szCs w:val="26"/>
        </w:rPr>
        <w:t xml:space="preserve"> également la base dans laquelle les époux puisent la possibilité de modifier leur régime.</w:t>
      </w:r>
    </w:p>
    <w:p w:rsidR="0032613A" w:rsidRDefault="0032613A" w:rsidP="00A549B7">
      <w:pPr>
        <w:spacing w:line="288" w:lineRule="auto"/>
        <w:jc w:val="both"/>
        <w:rPr>
          <w:rFonts w:asciiTheme="minorHAnsi" w:hAnsiTheme="minorHAnsi" w:cstheme="minorHAnsi"/>
          <w:sz w:val="26"/>
          <w:szCs w:val="26"/>
        </w:rPr>
      </w:pPr>
    </w:p>
    <w:p w:rsidR="00795B5F" w:rsidRPr="00F96255" w:rsidRDefault="0032613A"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Lorsque l’on s’intéresse aux exigences formelles qui doivent entourer une telle modification, force est de constater que le règlement est peu disert. </w:t>
      </w:r>
      <w:r w:rsidR="002C65C4">
        <w:rPr>
          <w:rFonts w:asciiTheme="minorHAnsi" w:hAnsiTheme="minorHAnsi" w:cstheme="minorHAnsi"/>
          <w:sz w:val="26"/>
          <w:szCs w:val="26"/>
        </w:rPr>
        <w:t xml:space="preserve">Il faut en réalité emprunter les solutions aux dispositions qui concernent de manière générale la conclusion d’une convention matrimoniale (art. 25) et d’une clause de choix de loi (art. 23). Fort heureusement, ces dispositions convergent dans une large mesure. Comme on l’a déjà indiqué, elles reposent sur la combinaison d’un principe intangible, qui exige </w:t>
      </w:r>
      <w:r w:rsidR="002C65C4" w:rsidRPr="00F96255">
        <w:rPr>
          <w:rFonts w:asciiTheme="minorHAnsi" w:hAnsiTheme="minorHAnsi" w:cstheme="minorHAnsi"/>
          <w:sz w:val="26"/>
          <w:szCs w:val="26"/>
        </w:rPr>
        <w:t>que toute convention matrimoniale soit formulée dans un écrit daté et signé des époux, avec l’application des exigences formelles de l’Etat membre où résident les époux. Lorsque les époux résident en Belgique au moment de la modification, cette combinaison conduit à imposer le respect du formalisme prévu par le Code civil. Nulle modification du régime matrimonial ne peut dès lors être convenue sans l’assistance et le conseil d’un notaire, qui recevra l’acte modificatif</w:t>
      </w:r>
      <w:r w:rsidR="002C65C4" w:rsidRPr="00F96255">
        <w:rPr>
          <w:rStyle w:val="Appelnotedebasdep"/>
          <w:rFonts w:asciiTheme="minorHAnsi" w:hAnsiTheme="minorHAnsi" w:cstheme="minorHAnsi"/>
          <w:sz w:val="26"/>
          <w:szCs w:val="26"/>
        </w:rPr>
        <w:footnoteReference w:id="59"/>
      </w:r>
      <w:r w:rsidR="002C65C4" w:rsidRPr="00F96255">
        <w:rPr>
          <w:rFonts w:asciiTheme="minorHAnsi" w:hAnsiTheme="minorHAnsi" w:cstheme="minorHAnsi"/>
          <w:sz w:val="26"/>
          <w:szCs w:val="26"/>
        </w:rPr>
        <w:t>.</w:t>
      </w:r>
      <w:r w:rsidR="004045D6" w:rsidRPr="00F96255">
        <w:rPr>
          <w:rFonts w:asciiTheme="minorHAnsi" w:hAnsiTheme="minorHAnsi" w:cstheme="minorHAnsi"/>
          <w:sz w:val="26"/>
          <w:szCs w:val="26"/>
        </w:rPr>
        <w:t xml:space="preserve"> </w:t>
      </w:r>
    </w:p>
    <w:p w:rsidR="00795B5F" w:rsidRPr="00F96255" w:rsidRDefault="00795B5F" w:rsidP="00A549B7">
      <w:pPr>
        <w:spacing w:line="288" w:lineRule="auto"/>
        <w:jc w:val="both"/>
        <w:rPr>
          <w:rFonts w:asciiTheme="minorHAnsi" w:hAnsiTheme="minorHAnsi" w:cstheme="minorHAnsi"/>
          <w:sz w:val="26"/>
          <w:szCs w:val="26"/>
        </w:rPr>
      </w:pPr>
    </w:p>
    <w:p w:rsidR="00795B5F" w:rsidRPr="00F96255" w:rsidRDefault="00795B5F" w:rsidP="00795B5F">
      <w:pPr>
        <w:spacing w:line="288" w:lineRule="auto"/>
        <w:jc w:val="both"/>
        <w:rPr>
          <w:rFonts w:asciiTheme="minorHAnsi" w:hAnsiTheme="minorHAnsi" w:cstheme="minorHAnsi"/>
          <w:sz w:val="26"/>
          <w:szCs w:val="26"/>
        </w:rPr>
      </w:pPr>
      <w:r w:rsidRPr="00F96255">
        <w:rPr>
          <w:rFonts w:asciiTheme="minorHAnsi" w:hAnsiTheme="minorHAnsi" w:cstheme="minorHAnsi"/>
          <w:sz w:val="26"/>
          <w:szCs w:val="26"/>
        </w:rPr>
        <w:t xml:space="preserve">L’on sait que l’article 1394, paragraphe 2, al. 2 du Code civil prévoit qu’une modification du régime matrimonial doit être précédée de l’inventaire de tous les biens des époux si l’un d’eux le demande ou lorsque la modification du régime matrimonial entraîne la liquidation du régime préexistant. Bien considérée, cette obligation ne constitue pas une exigence formelle. Elle ne s’imposera dès lors que dans la mesure où </w:t>
      </w:r>
      <w:r w:rsidR="00F96255" w:rsidRPr="00F96255">
        <w:rPr>
          <w:rFonts w:asciiTheme="minorHAnsi" w:hAnsiTheme="minorHAnsi" w:cstheme="minorHAnsi"/>
          <w:sz w:val="26"/>
          <w:szCs w:val="26"/>
        </w:rPr>
        <w:t xml:space="preserve">l’un des membres du couple réside habituellement sur le territoire </w:t>
      </w:r>
      <w:r w:rsidR="00F96255">
        <w:rPr>
          <w:rFonts w:asciiTheme="minorHAnsi" w:hAnsiTheme="minorHAnsi" w:cstheme="minorHAnsi"/>
          <w:sz w:val="26"/>
          <w:szCs w:val="26"/>
        </w:rPr>
        <w:t xml:space="preserve">belge ou </w:t>
      </w:r>
      <w:r w:rsidR="00F96255" w:rsidRPr="00F96255">
        <w:rPr>
          <w:rFonts w:asciiTheme="minorHAnsi" w:hAnsiTheme="minorHAnsi" w:cstheme="minorHAnsi"/>
          <w:sz w:val="26"/>
          <w:szCs w:val="26"/>
        </w:rPr>
        <w:t xml:space="preserve">d’un </w:t>
      </w:r>
      <w:r w:rsidR="00F96255">
        <w:rPr>
          <w:rFonts w:asciiTheme="minorHAnsi" w:hAnsiTheme="minorHAnsi" w:cstheme="minorHAnsi"/>
          <w:sz w:val="26"/>
          <w:szCs w:val="26"/>
        </w:rPr>
        <w:t xml:space="preserve">autre </w:t>
      </w:r>
      <w:r w:rsidR="00F96255" w:rsidRPr="00F96255">
        <w:rPr>
          <w:rFonts w:asciiTheme="minorHAnsi" w:hAnsiTheme="minorHAnsi" w:cstheme="minorHAnsi"/>
          <w:sz w:val="26"/>
          <w:szCs w:val="26"/>
        </w:rPr>
        <w:t>Etat membre</w:t>
      </w:r>
      <w:r w:rsidR="00F96255">
        <w:rPr>
          <w:rFonts w:asciiTheme="minorHAnsi" w:hAnsiTheme="minorHAnsi" w:cstheme="minorHAnsi"/>
          <w:sz w:val="26"/>
          <w:szCs w:val="26"/>
        </w:rPr>
        <w:t xml:space="preserve"> qui impose cette exigence,</w:t>
      </w:r>
      <w:r w:rsidR="00F96255" w:rsidRPr="00F96255">
        <w:rPr>
          <w:rFonts w:asciiTheme="minorHAnsi" w:hAnsiTheme="minorHAnsi" w:cstheme="minorHAnsi"/>
          <w:sz w:val="26"/>
          <w:szCs w:val="26"/>
        </w:rPr>
        <w:t xml:space="preserve"> ou, en vertu de l’article 25, par. 3, </w:t>
      </w:r>
      <w:r w:rsidR="00F96255">
        <w:rPr>
          <w:rFonts w:asciiTheme="minorHAnsi" w:hAnsiTheme="minorHAnsi" w:cstheme="minorHAnsi"/>
          <w:sz w:val="26"/>
          <w:szCs w:val="26"/>
        </w:rPr>
        <w:t xml:space="preserve">si </w:t>
      </w:r>
      <w:r w:rsidR="00F96255" w:rsidRPr="00F96255">
        <w:rPr>
          <w:rFonts w:asciiTheme="minorHAnsi" w:hAnsiTheme="minorHAnsi" w:cstheme="minorHAnsi"/>
          <w:sz w:val="26"/>
          <w:szCs w:val="26"/>
        </w:rPr>
        <w:t>le régime matrimonial est régi par la loi belge</w:t>
      </w:r>
      <w:r w:rsidR="00782C93">
        <w:rPr>
          <w:rStyle w:val="Appelnotedebasdep"/>
          <w:rFonts w:asciiTheme="minorHAnsi" w:hAnsiTheme="minorHAnsi" w:cstheme="minorHAnsi"/>
          <w:sz w:val="26"/>
          <w:szCs w:val="26"/>
        </w:rPr>
        <w:footnoteReference w:id="60"/>
      </w:r>
      <w:r w:rsidR="00F96255" w:rsidRPr="00F96255">
        <w:rPr>
          <w:rFonts w:asciiTheme="minorHAnsi" w:hAnsiTheme="minorHAnsi" w:cstheme="minorHAnsi"/>
          <w:sz w:val="26"/>
          <w:szCs w:val="26"/>
        </w:rPr>
        <w:t>.</w:t>
      </w:r>
    </w:p>
    <w:p w:rsidR="00D41307" w:rsidRPr="00F96255" w:rsidRDefault="00D41307" w:rsidP="00A549B7">
      <w:pPr>
        <w:spacing w:line="288" w:lineRule="auto"/>
        <w:jc w:val="both"/>
        <w:rPr>
          <w:rFonts w:asciiTheme="minorHAnsi" w:hAnsiTheme="minorHAnsi" w:cstheme="minorHAnsi"/>
          <w:sz w:val="26"/>
          <w:szCs w:val="26"/>
        </w:rPr>
      </w:pPr>
    </w:p>
    <w:p w:rsidR="00D41307" w:rsidRDefault="00D41307" w:rsidP="00A549B7">
      <w:pPr>
        <w:spacing w:line="288" w:lineRule="auto"/>
        <w:jc w:val="both"/>
        <w:rPr>
          <w:rFonts w:asciiTheme="minorHAnsi" w:hAnsiTheme="minorHAnsi" w:cstheme="minorHAnsi"/>
          <w:sz w:val="26"/>
          <w:szCs w:val="26"/>
        </w:rPr>
      </w:pPr>
      <w:r w:rsidRPr="00F96255">
        <w:rPr>
          <w:rFonts w:asciiTheme="minorHAnsi" w:hAnsiTheme="minorHAnsi" w:cstheme="minorHAnsi"/>
          <w:sz w:val="26"/>
          <w:szCs w:val="26"/>
        </w:rPr>
        <w:t xml:space="preserve">L’appréciation est plus délicate lorsque l’acte modificatif est certes reçu par un notaire </w:t>
      </w:r>
      <w:r>
        <w:rPr>
          <w:rFonts w:asciiTheme="minorHAnsi" w:hAnsiTheme="minorHAnsi" w:cstheme="minorHAnsi"/>
          <w:sz w:val="26"/>
          <w:szCs w:val="26"/>
        </w:rPr>
        <w:t>belge, mais qu’il ne contient pas de disposition expressément consacrée au choix de loi. Comme déjà indiqué, on peut dans ce cas se demander si les époux n’ont pas entendu se soumettre au droit belge, sans pour autant prendre la peine d’exprimer ce souhait noir sur blanc. Pour autant qu’il soit permis, sous l’empire du règlement, de s’interroger sur l’existence d’un choix de loi implicite (</w:t>
      </w:r>
      <w:r w:rsidRPr="00D41307">
        <w:rPr>
          <w:rFonts w:asciiTheme="minorHAnsi" w:hAnsiTheme="minorHAnsi" w:cstheme="minorHAnsi"/>
          <w:i/>
          <w:sz w:val="26"/>
          <w:szCs w:val="26"/>
        </w:rPr>
        <w:t>supra</w:t>
      </w:r>
      <w:r>
        <w:rPr>
          <w:rFonts w:asciiTheme="minorHAnsi" w:hAnsiTheme="minorHAnsi" w:cstheme="minorHAnsi"/>
          <w:sz w:val="26"/>
          <w:szCs w:val="26"/>
        </w:rPr>
        <w:t>), l’on pourrait effectivement analyser l’acte modificatif pour y repérer les éléments qui démontrent l’intention des parties de se soumettre au droit belge.</w:t>
      </w:r>
    </w:p>
    <w:p w:rsidR="00D41307" w:rsidRDefault="00D41307" w:rsidP="00A549B7">
      <w:pPr>
        <w:spacing w:line="288" w:lineRule="auto"/>
        <w:jc w:val="both"/>
        <w:rPr>
          <w:rFonts w:asciiTheme="minorHAnsi" w:hAnsiTheme="minorHAnsi" w:cstheme="minorHAnsi"/>
          <w:sz w:val="26"/>
          <w:szCs w:val="26"/>
        </w:rPr>
      </w:pPr>
    </w:p>
    <w:p w:rsidR="00453286" w:rsidRDefault="00D41307"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L’on mesure le risque que fait peser une telle situation. Tout d’abord il n’est pas acquis que la tradition du choix de loi implicite, pourtant fortement ancrée dans le droit international privé des régimes matrimoniaux, ait résisté à l’adoption du règlement. Ensuite, si cet obstacle est surmonté, encore faut-il que l’acte modificatif contienne suffisamment d’éléments et que ceux-ci convergent pour conclure que les époux entendaient bien se soumettre à la loi belge. Certaines situations ne laisseront que peu de doute. Ainsi si deux époux choisissent de se soumettre à un régime de séparation de biens et qu’</w:t>
      </w:r>
      <w:r w:rsidR="00D47830">
        <w:rPr>
          <w:rFonts w:asciiTheme="minorHAnsi" w:hAnsiTheme="minorHAnsi" w:cstheme="minorHAnsi"/>
          <w:sz w:val="26"/>
          <w:szCs w:val="26"/>
        </w:rPr>
        <w:t>ils</w:t>
      </w:r>
      <w:r>
        <w:rPr>
          <w:rFonts w:asciiTheme="minorHAnsi" w:hAnsiTheme="minorHAnsi" w:cstheme="minorHAnsi"/>
          <w:sz w:val="26"/>
          <w:szCs w:val="26"/>
        </w:rPr>
        <w:t xml:space="preserve"> prévoient, conformément à l’article 1474/1 du Code civil, que le tribunal de la famille</w:t>
      </w:r>
      <w:r w:rsidR="00D47830">
        <w:rPr>
          <w:rFonts w:asciiTheme="minorHAnsi" w:hAnsiTheme="minorHAnsi" w:cstheme="minorHAnsi"/>
          <w:sz w:val="26"/>
          <w:szCs w:val="26"/>
        </w:rPr>
        <w:t xml:space="preserve"> pourra accorder une indemnisation à un époux en cas de divorce, lorsque les circonstances se sont modifiées de manière défavorable et imprévue depuis la conclusion du contrat, on pourra aisément conclure qu’elles ont entendu opter pour la loi belge. </w:t>
      </w:r>
      <w:r w:rsidR="00453286">
        <w:rPr>
          <w:rFonts w:asciiTheme="minorHAnsi" w:hAnsiTheme="minorHAnsi" w:cstheme="minorHAnsi"/>
          <w:sz w:val="26"/>
          <w:szCs w:val="26"/>
        </w:rPr>
        <w:t xml:space="preserve">Le dispositif sur lequel ils se sont mis d’accord est en effet propre au droit belge. </w:t>
      </w:r>
    </w:p>
    <w:p w:rsidR="00453286" w:rsidRDefault="00453286" w:rsidP="00A549B7">
      <w:pPr>
        <w:spacing w:line="288" w:lineRule="auto"/>
        <w:jc w:val="both"/>
        <w:rPr>
          <w:rFonts w:asciiTheme="minorHAnsi" w:hAnsiTheme="minorHAnsi" w:cstheme="minorHAnsi"/>
          <w:sz w:val="26"/>
          <w:szCs w:val="26"/>
        </w:rPr>
      </w:pPr>
    </w:p>
    <w:p w:rsidR="00D41307" w:rsidRPr="00A549B7" w:rsidRDefault="00D47830" w:rsidP="00D41307">
      <w:pPr>
        <w:spacing w:line="288" w:lineRule="auto"/>
        <w:jc w:val="both"/>
        <w:rPr>
          <w:rFonts w:asciiTheme="minorHAnsi" w:hAnsiTheme="minorHAnsi" w:cstheme="minorHAnsi"/>
          <w:sz w:val="26"/>
          <w:szCs w:val="26"/>
        </w:rPr>
      </w:pPr>
      <w:r>
        <w:rPr>
          <w:rFonts w:asciiTheme="minorHAnsi" w:hAnsiTheme="minorHAnsi" w:cstheme="minorHAnsi"/>
          <w:sz w:val="26"/>
          <w:szCs w:val="26"/>
        </w:rPr>
        <w:t>Dans bien d’autres situations malheureusement, l’appréciation se révélera plus délicate faute d’élément déterminant. La recherche de la volonté implicite des époux constitue une opération difficile, surtout lorsqu’elle a lieu de nombreuses années après la conclusion du contrat.</w:t>
      </w:r>
      <w:r w:rsidR="002A4663">
        <w:rPr>
          <w:rFonts w:asciiTheme="minorHAnsi" w:hAnsiTheme="minorHAnsi" w:cstheme="minorHAnsi"/>
          <w:sz w:val="26"/>
          <w:szCs w:val="26"/>
        </w:rPr>
        <w:t xml:space="preserve"> Pour </w:t>
      </w:r>
      <w:r w:rsidR="00D41307" w:rsidRPr="00A549B7">
        <w:rPr>
          <w:rFonts w:asciiTheme="minorHAnsi" w:hAnsiTheme="minorHAnsi" w:cstheme="minorHAnsi"/>
          <w:sz w:val="26"/>
          <w:szCs w:val="26"/>
        </w:rPr>
        <w:t>l’incertitude qui accompagne un contrat qui laisse subsister une ambiguïté sur l’existence d’une volonté dans le chef des époux de se soumettre à une loi donnée</w:t>
      </w:r>
      <w:r w:rsidR="002A4663">
        <w:rPr>
          <w:rFonts w:asciiTheme="minorHAnsi" w:hAnsiTheme="minorHAnsi" w:cstheme="minorHAnsi"/>
          <w:sz w:val="26"/>
          <w:szCs w:val="26"/>
        </w:rPr>
        <w:t>, le meilleur conseil à donner est d’inclure une disposition expresse de choix de loi.</w:t>
      </w:r>
    </w:p>
    <w:p w:rsidR="004045D6" w:rsidRDefault="004045D6" w:rsidP="004045D6">
      <w:pPr>
        <w:spacing w:line="288" w:lineRule="auto"/>
        <w:jc w:val="both"/>
        <w:rPr>
          <w:rFonts w:asciiTheme="minorHAnsi" w:hAnsiTheme="minorHAnsi" w:cstheme="minorHAnsi"/>
          <w:sz w:val="26"/>
          <w:szCs w:val="26"/>
        </w:rPr>
      </w:pPr>
    </w:p>
    <w:p w:rsidR="004045D6" w:rsidRPr="00A549B7" w:rsidRDefault="004045D6" w:rsidP="004045D6">
      <w:pPr>
        <w:spacing w:line="288" w:lineRule="auto"/>
        <w:jc w:val="both"/>
        <w:rPr>
          <w:rFonts w:asciiTheme="minorHAnsi" w:hAnsiTheme="minorHAnsi" w:cstheme="minorHAnsi"/>
          <w:sz w:val="26"/>
          <w:szCs w:val="26"/>
        </w:rPr>
      </w:pPr>
    </w:p>
    <w:p w:rsidR="004045D6" w:rsidRPr="00A549B7" w:rsidRDefault="004045D6" w:rsidP="004045D6">
      <w:pPr>
        <w:spacing w:line="288" w:lineRule="auto"/>
        <w:jc w:val="both"/>
        <w:rPr>
          <w:rFonts w:asciiTheme="minorHAnsi" w:hAnsiTheme="minorHAnsi" w:cstheme="minorHAnsi"/>
          <w:b/>
          <w:sz w:val="26"/>
          <w:szCs w:val="26"/>
        </w:rPr>
      </w:pPr>
      <w:r>
        <w:rPr>
          <w:rFonts w:asciiTheme="minorHAnsi" w:hAnsiTheme="minorHAnsi" w:cstheme="minorHAnsi"/>
          <w:b/>
          <w:sz w:val="26"/>
          <w:szCs w:val="26"/>
        </w:rPr>
        <w:t>3</w:t>
      </w:r>
      <w:r w:rsidRPr="00A549B7">
        <w:rPr>
          <w:rFonts w:asciiTheme="minorHAnsi" w:hAnsiTheme="minorHAnsi" w:cstheme="minorHAnsi"/>
          <w:b/>
          <w:sz w:val="26"/>
          <w:szCs w:val="26"/>
        </w:rPr>
        <w:t>.</w:t>
      </w:r>
      <w:r w:rsidRPr="00A549B7">
        <w:rPr>
          <w:rFonts w:asciiTheme="minorHAnsi" w:hAnsiTheme="minorHAnsi" w:cstheme="minorHAnsi"/>
          <w:b/>
          <w:sz w:val="26"/>
          <w:szCs w:val="26"/>
        </w:rPr>
        <w:tab/>
      </w:r>
      <w:r>
        <w:rPr>
          <w:rFonts w:asciiTheme="minorHAnsi" w:hAnsiTheme="minorHAnsi" w:cstheme="minorHAnsi"/>
          <w:b/>
          <w:sz w:val="26"/>
          <w:szCs w:val="26"/>
        </w:rPr>
        <w:t>Une modification conventionnelle pour des époux résidant à l’étranger</w:t>
      </w:r>
    </w:p>
    <w:p w:rsidR="004045D6" w:rsidRDefault="004045D6" w:rsidP="004045D6">
      <w:pPr>
        <w:spacing w:line="288" w:lineRule="auto"/>
        <w:jc w:val="both"/>
        <w:rPr>
          <w:rFonts w:asciiTheme="minorHAnsi" w:hAnsiTheme="minorHAnsi" w:cstheme="minorHAnsi"/>
          <w:sz w:val="26"/>
          <w:szCs w:val="26"/>
        </w:rPr>
      </w:pPr>
    </w:p>
    <w:p w:rsidR="000C56F2" w:rsidRDefault="004045D6"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Dans un troisième scénario, les époux installés à l’étranger procèdent à une modification de leur situation patrimoniale en Belgique. Soit deux époux de nationalité belge qui résident à Singapore. A l’occasion d’un séjour de vacances en Belgique, ils sollicitent un entretien auprès d’un notaire pour lui faire part de leur souhait d’adopter une convention patrimoniale. Les époux se sont mariés alors qu’ils résidaient en </w:t>
      </w:r>
      <w:r w:rsidR="00FE6B5C">
        <w:rPr>
          <w:rFonts w:asciiTheme="minorHAnsi" w:hAnsiTheme="minorHAnsi" w:cstheme="minorHAnsi"/>
          <w:sz w:val="26"/>
          <w:szCs w:val="26"/>
        </w:rPr>
        <w:t>Belgique,</w:t>
      </w:r>
      <w:r>
        <w:rPr>
          <w:rFonts w:asciiTheme="minorHAnsi" w:hAnsiTheme="minorHAnsi" w:cstheme="minorHAnsi"/>
          <w:sz w:val="26"/>
          <w:szCs w:val="26"/>
        </w:rPr>
        <w:t xml:space="preserve"> mais sont installés depuis quelques années à Singapore.</w:t>
      </w:r>
      <w:r w:rsidR="0015739D">
        <w:rPr>
          <w:rFonts w:asciiTheme="minorHAnsi" w:hAnsiTheme="minorHAnsi" w:cstheme="minorHAnsi"/>
          <w:sz w:val="26"/>
          <w:szCs w:val="26"/>
        </w:rPr>
        <w:t xml:space="preserve"> Ils n’ont pas l’intention de revenir en Belgique dans les prochaines années, mais n’excluent pas de revenir au pays un jour. Comment cette situation doit-elle être appréhendée ?</w:t>
      </w:r>
    </w:p>
    <w:p w:rsidR="003F2310" w:rsidRDefault="003F2310" w:rsidP="00A549B7">
      <w:pPr>
        <w:spacing w:line="288" w:lineRule="auto"/>
        <w:jc w:val="both"/>
        <w:rPr>
          <w:rFonts w:asciiTheme="minorHAnsi" w:hAnsiTheme="minorHAnsi" w:cstheme="minorHAnsi"/>
          <w:sz w:val="26"/>
          <w:szCs w:val="26"/>
        </w:rPr>
      </w:pPr>
    </w:p>
    <w:p w:rsidR="003F2310" w:rsidRDefault="003F2310"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Comme dans les deux scénarios précédents, l’application du règlement dépend en ordre principal de la date du mariage et en ordre subsidiaire de la présence d’un choix de loi dans l’acte modificatif. Si les époux se sont mariés avant le 29 janvier 2019, le règlement ne s’appliquera qu’à la condition qu’ils prévoient, dans leur convention modificative</w:t>
      </w:r>
      <w:r w:rsidR="00374DDF">
        <w:rPr>
          <w:rFonts w:asciiTheme="minorHAnsi" w:hAnsiTheme="minorHAnsi" w:cstheme="minorHAnsi"/>
          <w:sz w:val="26"/>
          <w:szCs w:val="26"/>
        </w:rPr>
        <w:t xml:space="preserve"> arrêtée après cette date</w:t>
      </w:r>
      <w:r>
        <w:rPr>
          <w:rFonts w:asciiTheme="minorHAnsi" w:hAnsiTheme="minorHAnsi" w:cstheme="minorHAnsi"/>
          <w:sz w:val="26"/>
          <w:szCs w:val="26"/>
        </w:rPr>
        <w:t>, une clause de choix de loi.</w:t>
      </w:r>
    </w:p>
    <w:p w:rsidR="003F2310" w:rsidRDefault="003F2310" w:rsidP="00A549B7">
      <w:pPr>
        <w:spacing w:line="288" w:lineRule="auto"/>
        <w:jc w:val="both"/>
        <w:rPr>
          <w:rFonts w:asciiTheme="minorHAnsi" w:hAnsiTheme="minorHAnsi" w:cstheme="minorHAnsi"/>
          <w:sz w:val="26"/>
          <w:szCs w:val="26"/>
        </w:rPr>
      </w:pPr>
    </w:p>
    <w:p w:rsidR="00FE6B5C" w:rsidRDefault="003F2310"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Dès lors que le contrat modificatif qu’ils s’apprêtent à conclure contient une clause subordonnant leurs relations au droit belge, ceci entraîne l’application du règlement. On ne reviendra plus sur le fait que le règlement permet aux époux de se soumettre à la loi de leur choix, dans les limites précisées par l’article 22. En l’occurrence, le choix pour la loi belge peut parfaitement se revendiquer des possibilités offertes par ces dispositions, dans la mesure où les époux possèdent la nationalité belge. Quant aux exigences formelles auxquelles la modification est soumise, la combinaison des articles 23 et 25 du règlement impose de disposer d’un écrit daté et signé des deux époux. Dans la mesure où aucun des époux ne réside en Belgique, ni dans aucun Etat membre, l’article 23 n’impose aucune exigence formelle supplémentaire</w:t>
      </w:r>
      <w:r w:rsidR="00137ADE">
        <w:rPr>
          <w:rFonts w:asciiTheme="minorHAnsi" w:hAnsiTheme="minorHAnsi" w:cstheme="minorHAnsi"/>
          <w:sz w:val="26"/>
          <w:szCs w:val="26"/>
        </w:rPr>
        <w:t xml:space="preserve"> pour la validité de la clause de choix de loi</w:t>
      </w:r>
      <w:r>
        <w:rPr>
          <w:rFonts w:asciiTheme="minorHAnsi" w:hAnsiTheme="minorHAnsi" w:cstheme="minorHAnsi"/>
          <w:sz w:val="26"/>
          <w:szCs w:val="26"/>
        </w:rPr>
        <w:t>.</w:t>
      </w:r>
    </w:p>
    <w:p w:rsidR="00FE6B5C" w:rsidRDefault="00FE6B5C" w:rsidP="00A549B7">
      <w:pPr>
        <w:spacing w:line="288" w:lineRule="auto"/>
        <w:jc w:val="both"/>
        <w:rPr>
          <w:rFonts w:asciiTheme="minorHAnsi" w:hAnsiTheme="minorHAnsi" w:cstheme="minorHAnsi"/>
          <w:sz w:val="26"/>
          <w:szCs w:val="26"/>
        </w:rPr>
      </w:pPr>
    </w:p>
    <w:p w:rsidR="003F2310" w:rsidRDefault="003F2310"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On sera toutefois attentif au fait que l’article 25, par. 3 impose</w:t>
      </w:r>
      <w:r w:rsidR="00137ADE">
        <w:rPr>
          <w:rFonts w:asciiTheme="minorHAnsi" w:hAnsiTheme="minorHAnsi" w:cstheme="minorHAnsi"/>
          <w:sz w:val="26"/>
          <w:szCs w:val="26"/>
        </w:rPr>
        <w:t>, pour la validité de la convention matrimoniale,</w:t>
      </w:r>
      <w:r>
        <w:rPr>
          <w:rFonts w:asciiTheme="minorHAnsi" w:hAnsiTheme="minorHAnsi" w:cstheme="minorHAnsi"/>
          <w:sz w:val="26"/>
          <w:szCs w:val="26"/>
        </w:rPr>
        <w:t xml:space="preserve"> le respect des exigences formelles prévues par la loi applicable au régime matrimonial</w:t>
      </w:r>
      <w:r w:rsidR="009C3158">
        <w:rPr>
          <w:rFonts w:asciiTheme="minorHAnsi" w:hAnsiTheme="minorHAnsi" w:cstheme="minorHAnsi"/>
          <w:sz w:val="26"/>
          <w:szCs w:val="26"/>
        </w:rPr>
        <w:t>, que cette loi soit celle d’un Etat membre ou d’un Etat tiers</w:t>
      </w:r>
      <w:r w:rsidR="009C3158">
        <w:rPr>
          <w:rStyle w:val="Appelnotedebasdep"/>
          <w:rFonts w:asciiTheme="minorHAnsi" w:hAnsiTheme="minorHAnsi" w:cstheme="minorHAnsi"/>
          <w:sz w:val="26"/>
          <w:szCs w:val="26"/>
        </w:rPr>
        <w:footnoteReference w:id="61"/>
      </w:r>
      <w:r>
        <w:rPr>
          <w:rFonts w:asciiTheme="minorHAnsi" w:hAnsiTheme="minorHAnsi" w:cstheme="minorHAnsi"/>
          <w:sz w:val="26"/>
          <w:szCs w:val="26"/>
        </w:rPr>
        <w:t xml:space="preserve">. Il faudra dès lors, et </w:t>
      </w:r>
      <w:r w:rsidR="00C75341">
        <w:rPr>
          <w:rFonts w:asciiTheme="minorHAnsi" w:hAnsiTheme="minorHAnsi" w:cstheme="minorHAnsi"/>
          <w:sz w:val="26"/>
          <w:szCs w:val="26"/>
        </w:rPr>
        <w:t>le réflexe est bien naturel, se conformer aux exigences du droit belge</w:t>
      </w:r>
      <w:r w:rsidR="00137ADE">
        <w:rPr>
          <w:rFonts w:asciiTheme="minorHAnsi" w:hAnsiTheme="minorHAnsi" w:cstheme="minorHAnsi"/>
          <w:sz w:val="26"/>
          <w:szCs w:val="26"/>
        </w:rPr>
        <w:t xml:space="preserve"> puisque l’acte modificatif contient une clause en faveur de ce droit</w:t>
      </w:r>
      <w:r w:rsidR="00C75341">
        <w:rPr>
          <w:rFonts w:asciiTheme="minorHAnsi" w:hAnsiTheme="minorHAnsi" w:cstheme="minorHAnsi"/>
          <w:sz w:val="26"/>
          <w:szCs w:val="26"/>
        </w:rPr>
        <w:t>. Le recours à un acte notarié s’avère indispensable. Les époux ne pourraient exciper du fait que le droit de l’Etat de leur résidence, Singapore en l’occurrence, se contente d’un acte sous seing privé. Si les époux souhaitent que l’acte modificatif puisse sortir ses effets en Belgique, par exemple à l’occasion d’une liquidation</w:t>
      </w:r>
      <w:r w:rsidR="00137ADE">
        <w:rPr>
          <w:rFonts w:asciiTheme="minorHAnsi" w:hAnsiTheme="minorHAnsi" w:cstheme="minorHAnsi"/>
          <w:sz w:val="26"/>
          <w:szCs w:val="26"/>
        </w:rPr>
        <w:t xml:space="preserve"> ultérieure</w:t>
      </w:r>
      <w:r w:rsidR="00C75341">
        <w:rPr>
          <w:rFonts w:asciiTheme="minorHAnsi" w:hAnsiTheme="minorHAnsi" w:cstheme="minorHAnsi"/>
          <w:sz w:val="26"/>
          <w:szCs w:val="26"/>
        </w:rPr>
        <w:t>, il est impératif</w:t>
      </w:r>
      <w:r w:rsidR="00296BD5">
        <w:rPr>
          <w:rFonts w:asciiTheme="minorHAnsi" w:hAnsiTheme="minorHAnsi" w:cstheme="minorHAnsi"/>
          <w:sz w:val="26"/>
          <w:szCs w:val="26"/>
        </w:rPr>
        <w:t xml:space="preserve"> de respecter l’ensemble des exigences formelles prévues par le droit belge.</w:t>
      </w:r>
    </w:p>
    <w:p w:rsidR="00296BD5" w:rsidRDefault="00296BD5" w:rsidP="00A549B7">
      <w:pPr>
        <w:spacing w:line="288" w:lineRule="auto"/>
        <w:jc w:val="both"/>
        <w:rPr>
          <w:rFonts w:asciiTheme="minorHAnsi" w:hAnsiTheme="minorHAnsi" w:cstheme="minorHAnsi"/>
          <w:sz w:val="26"/>
          <w:szCs w:val="26"/>
        </w:rPr>
      </w:pPr>
    </w:p>
    <w:p w:rsidR="00296BD5" w:rsidRDefault="00296BD5"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Dans l’hypothèse où les époux choisiraient de modifier le régime qui est le leur sans pour autant inclure dans l’acte modificatif une clause de choix de loi, le règlement ne pourra trouver à s’appliquer</w:t>
      </w:r>
      <w:r w:rsidR="00ED5220">
        <w:rPr>
          <w:rStyle w:val="Appelnotedebasdep"/>
          <w:rFonts w:asciiTheme="minorHAnsi" w:hAnsiTheme="minorHAnsi" w:cstheme="minorHAnsi"/>
          <w:sz w:val="26"/>
          <w:szCs w:val="26"/>
        </w:rPr>
        <w:footnoteReference w:id="62"/>
      </w:r>
      <w:r>
        <w:rPr>
          <w:rFonts w:asciiTheme="minorHAnsi" w:hAnsiTheme="minorHAnsi" w:cstheme="minorHAnsi"/>
          <w:sz w:val="26"/>
          <w:szCs w:val="26"/>
        </w:rPr>
        <w:t>.</w:t>
      </w:r>
      <w:r w:rsidR="00137ADE">
        <w:rPr>
          <w:rFonts w:asciiTheme="minorHAnsi" w:hAnsiTheme="minorHAnsi" w:cstheme="minorHAnsi"/>
          <w:sz w:val="26"/>
          <w:szCs w:val="26"/>
        </w:rPr>
        <w:t xml:space="preserve"> La circonstance que les époux utiliseraient, comme support de la modification, un acte authentique reçu par un notaire belge, ne suffira pas à permettre l’application du règlement.</w:t>
      </w:r>
    </w:p>
    <w:p w:rsidR="00296BD5" w:rsidRDefault="00296BD5" w:rsidP="00A549B7">
      <w:pPr>
        <w:spacing w:line="288" w:lineRule="auto"/>
        <w:jc w:val="both"/>
        <w:rPr>
          <w:rFonts w:asciiTheme="minorHAnsi" w:hAnsiTheme="minorHAnsi" w:cstheme="minorHAnsi"/>
          <w:sz w:val="26"/>
          <w:szCs w:val="26"/>
        </w:rPr>
      </w:pPr>
    </w:p>
    <w:p w:rsidR="00296BD5" w:rsidRPr="00FD1F2A" w:rsidRDefault="00296BD5"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Dans les deux hypothèses, la question se pose de l’importance, pour le notaire belge, de respecter les exigences prévues par le droit de l’Etat où les époux résident. Au terme de leur séjour en Belgique, les époux reviendront en effet à Singapore où ils continueront à demeurer dans les années à venir.</w:t>
      </w:r>
      <w:r w:rsidR="001A5B11">
        <w:rPr>
          <w:rFonts w:asciiTheme="minorHAnsi" w:hAnsiTheme="minorHAnsi" w:cstheme="minorHAnsi"/>
          <w:sz w:val="26"/>
          <w:szCs w:val="26"/>
        </w:rPr>
        <w:t xml:space="preserve"> Il n’est dès lors pas inutile de s’interroger sur la nécessité de respecter les exigences locales.</w:t>
      </w:r>
      <w:r w:rsidR="00F861D7">
        <w:rPr>
          <w:rFonts w:asciiTheme="minorHAnsi" w:hAnsiTheme="minorHAnsi" w:cstheme="minorHAnsi"/>
          <w:sz w:val="26"/>
          <w:szCs w:val="26"/>
        </w:rPr>
        <w:t xml:space="preserve"> Comme dans d’autres Etats de tradition anglaise, le droit de l’Etat de Singapore impose aux parties des obligations de transparence patrimoniale. Les époux sont tenus de s’informer mutuellement sur l’état de leur patrimoine avant de conclure un contrat. Lors de la liquidation, le juge peut tenir compte de l’absence de transparence dans le chef de l’un des époux</w:t>
      </w:r>
      <w:r w:rsidR="00F861D7" w:rsidRPr="004B36B6">
        <w:rPr>
          <w:rStyle w:val="Appelnotedebasdep"/>
          <w:sz w:val="22"/>
          <w:szCs w:val="22"/>
        </w:rPr>
        <w:footnoteReference w:id="63"/>
      </w:r>
      <w:r w:rsidR="00F861D7">
        <w:rPr>
          <w:rFonts w:asciiTheme="minorHAnsi" w:hAnsiTheme="minorHAnsi" w:cstheme="minorHAnsi"/>
          <w:sz w:val="26"/>
          <w:szCs w:val="26"/>
        </w:rPr>
        <w:t xml:space="preserve">. Des exigences de cette nature visent à permettre aux époux de procéder à un choix éclairé. On peut néanmoins </w:t>
      </w:r>
      <w:r w:rsidR="00ED5220">
        <w:rPr>
          <w:rFonts w:asciiTheme="minorHAnsi" w:hAnsiTheme="minorHAnsi" w:cstheme="minorHAnsi"/>
          <w:sz w:val="26"/>
          <w:szCs w:val="26"/>
        </w:rPr>
        <w:t>se demander s’</w:t>
      </w:r>
      <w:r w:rsidR="003742D5">
        <w:rPr>
          <w:rFonts w:asciiTheme="minorHAnsi" w:hAnsiTheme="minorHAnsi" w:cstheme="minorHAnsi"/>
          <w:sz w:val="26"/>
          <w:szCs w:val="26"/>
        </w:rPr>
        <w:t>il s’agit d’éléments de forme</w:t>
      </w:r>
      <w:r w:rsidR="00ED5220">
        <w:rPr>
          <w:rFonts w:asciiTheme="minorHAnsi" w:hAnsiTheme="minorHAnsi" w:cstheme="minorHAnsi"/>
          <w:sz w:val="26"/>
          <w:szCs w:val="26"/>
        </w:rPr>
        <w:t>, dont l’application serait soumise à l’article 25</w:t>
      </w:r>
      <w:r w:rsidR="003742D5">
        <w:rPr>
          <w:rFonts w:asciiTheme="minorHAnsi" w:hAnsiTheme="minorHAnsi" w:cstheme="minorHAnsi"/>
          <w:sz w:val="26"/>
          <w:szCs w:val="26"/>
        </w:rPr>
        <w:t>.</w:t>
      </w:r>
      <w:r w:rsidR="00ED5220">
        <w:rPr>
          <w:rFonts w:asciiTheme="minorHAnsi" w:hAnsiTheme="minorHAnsi" w:cstheme="minorHAnsi"/>
          <w:sz w:val="26"/>
          <w:szCs w:val="26"/>
        </w:rPr>
        <w:t xml:space="preserve"> Sous réserve d’une analyse plus approfondie, il semble qu’il faut considérer que ce type d’exigence ne répond pas au concept de « règle formelle » tel qu’il est entendu par l’article 25. Le respect de ce type d’exigence ne s’impose dès lors pas, au regard du règlement, </w:t>
      </w:r>
      <w:r w:rsidR="00AC051E">
        <w:rPr>
          <w:rFonts w:asciiTheme="minorHAnsi" w:hAnsiTheme="minorHAnsi" w:cstheme="minorHAnsi"/>
          <w:sz w:val="26"/>
          <w:szCs w:val="26"/>
        </w:rPr>
        <w:t>au titre du formalisme à respecter</w:t>
      </w:r>
      <w:r w:rsidR="00ED5220">
        <w:rPr>
          <w:rFonts w:asciiTheme="minorHAnsi" w:hAnsiTheme="minorHAnsi" w:cstheme="minorHAnsi"/>
          <w:sz w:val="26"/>
          <w:szCs w:val="26"/>
        </w:rPr>
        <w:t>. Une obligation de prudence bien comprise impose néanmoins</w:t>
      </w:r>
      <w:r w:rsidR="0089364B">
        <w:rPr>
          <w:rFonts w:asciiTheme="minorHAnsi" w:hAnsiTheme="minorHAnsi" w:cstheme="minorHAnsi"/>
          <w:sz w:val="26"/>
          <w:szCs w:val="26"/>
        </w:rPr>
        <w:t xml:space="preserve"> de tenir compte dans toute la mesure du possible de ces exigences</w:t>
      </w:r>
      <w:r w:rsidR="00ED5220">
        <w:rPr>
          <w:rFonts w:asciiTheme="minorHAnsi" w:hAnsiTheme="minorHAnsi" w:cstheme="minorHAnsi"/>
          <w:sz w:val="26"/>
          <w:szCs w:val="26"/>
        </w:rPr>
        <w:t>.</w:t>
      </w:r>
      <w:r w:rsidR="0089364B">
        <w:rPr>
          <w:rFonts w:asciiTheme="minorHAnsi" w:hAnsiTheme="minorHAnsi" w:cstheme="minorHAnsi"/>
          <w:sz w:val="26"/>
          <w:szCs w:val="26"/>
        </w:rPr>
        <w:t xml:space="preserve"> Ceci constitue en effet une condition permettant de garantir que l’acte modificatif pourra le cas échéant sortir ses effets dans l’Etat </w:t>
      </w:r>
      <w:r w:rsidR="0089364B" w:rsidRPr="00FD1F2A">
        <w:rPr>
          <w:rFonts w:asciiTheme="minorHAnsi" w:hAnsiTheme="minorHAnsi" w:cstheme="minorHAnsi"/>
          <w:sz w:val="26"/>
          <w:szCs w:val="26"/>
        </w:rPr>
        <w:t>tiers où les époux résident habituellement.</w:t>
      </w:r>
    </w:p>
    <w:p w:rsidR="00AC051E" w:rsidRPr="00FD1F2A" w:rsidRDefault="00AC051E" w:rsidP="00A549B7">
      <w:pPr>
        <w:spacing w:line="288" w:lineRule="auto"/>
        <w:jc w:val="both"/>
        <w:rPr>
          <w:rFonts w:asciiTheme="minorHAnsi" w:hAnsiTheme="minorHAnsi" w:cstheme="minorHAnsi"/>
          <w:sz w:val="26"/>
          <w:szCs w:val="26"/>
        </w:rPr>
      </w:pPr>
    </w:p>
    <w:p w:rsidR="00FD1F2A" w:rsidRPr="00FD1F2A" w:rsidRDefault="00AC051E" w:rsidP="00FD1F2A">
      <w:pPr>
        <w:spacing w:line="288" w:lineRule="auto"/>
        <w:jc w:val="both"/>
        <w:rPr>
          <w:rFonts w:asciiTheme="minorHAnsi" w:hAnsiTheme="minorHAnsi" w:cstheme="minorHAnsi"/>
          <w:sz w:val="26"/>
          <w:szCs w:val="26"/>
        </w:rPr>
      </w:pPr>
      <w:r w:rsidRPr="00FD1F2A">
        <w:rPr>
          <w:rFonts w:asciiTheme="minorHAnsi" w:hAnsiTheme="minorHAnsi" w:cstheme="minorHAnsi"/>
          <w:sz w:val="26"/>
          <w:szCs w:val="26"/>
        </w:rPr>
        <w:t>Qu’en est-il des exigences imposées par l’Etat tiers sur le territoire duquel résident les époux et qui peuvent, contrairement à l’obligation de transparence patrimoniale, être</w:t>
      </w:r>
      <w:r w:rsidR="00FD1F2A" w:rsidRPr="00FD1F2A">
        <w:rPr>
          <w:rFonts w:asciiTheme="minorHAnsi" w:hAnsiTheme="minorHAnsi" w:cstheme="minorHAnsi"/>
          <w:sz w:val="26"/>
          <w:szCs w:val="26"/>
        </w:rPr>
        <w:t xml:space="preserve"> réellement considérée comme touchant à la forme ? Si les deux époux avaient résidé en Californie et non à Singapore, il aurait été nécessaire de se pencher sur l’exigence posée par le droit californien, selon lequel le projet de contrat doit être remis aux futurs époux, en leur indiquant la nécessiter d’obtenir un avis juridique indépendant, au moins sept jours calendriers avant la signature</w:t>
      </w:r>
      <w:r w:rsidR="00FD1F2A" w:rsidRPr="00FD1F2A">
        <w:rPr>
          <w:rStyle w:val="Appelnotedebasdep"/>
          <w:rFonts w:asciiTheme="minorHAnsi" w:hAnsiTheme="minorHAnsi" w:cstheme="minorHAnsi"/>
          <w:sz w:val="26"/>
          <w:szCs w:val="26"/>
        </w:rPr>
        <w:footnoteReference w:id="64"/>
      </w:r>
      <w:r w:rsidR="00FD1F2A" w:rsidRPr="00FD1F2A">
        <w:rPr>
          <w:rFonts w:asciiTheme="minorHAnsi" w:hAnsiTheme="minorHAnsi" w:cstheme="minorHAnsi"/>
          <w:sz w:val="26"/>
          <w:szCs w:val="26"/>
        </w:rPr>
        <w:t xml:space="preserve">. </w:t>
      </w:r>
      <w:r w:rsidR="00A76186">
        <w:rPr>
          <w:rFonts w:asciiTheme="minorHAnsi" w:hAnsiTheme="minorHAnsi" w:cstheme="minorHAnsi"/>
          <w:sz w:val="26"/>
          <w:szCs w:val="26"/>
        </w:rPr>
        <w:t>S’il s’agit incontestablement d’une exigence formelle, elle ne s’imposera néanmoins pas lors d’une modification du régime par les époux du simple fait qu’ils résident habituellement en Californie. L’article 25, par. 2 limite en effet l’emprise des exigences formelles aux seules exigences imposées par un Etat membre lié par le règlement. Les exigences imposées par un Etat tiers ne sont pertinentes, et ne doivent être respectées, qu’à la condition qu’elles soient imposées par la loi applicable aux relations entre époux (art. 25, par. 3). Dans la mesure où le notariat belge aura soin, dans la plupart des situations, de guider les parties vers la loi belge, on peut</w:t>
      </w:r>
      <w:r w:rsidR="00ED10FE">
        <w:rPr>
          <w:rFonts w:asciiTheme="minorHAnsi" w:hAnsiTheme="minorHAnsi" w:cstheme="minorHAnsi"/>
          <w:sz w:val="26"/>
          <w:szCs w:val="26"/>
        </w:rPr>
        <w:t xml:space="preserve"> estimer qu’il ne devra que fort rarement se soucier des conditions particulières imposées par la loi d’un Etat tiers.</w:t>
      </w:r>
    </w:p>
    <w:p w:rsidR="00ED5220" w:rsidRPr="00FD1F2A" w:rsidRDefault="00ED5220" w:rsidP="00A549B7">
      <w:pPr>
        <w:spacing w:line="288" w:lineRule="auto"/>
        <w:jc w:val="both"/>
        <w:rPr>
          <w:rFonts w:asciiTheme="minorHAnsi" w:hAnsiTheme="minorHAnsi" w:cstheme="minorHAnsi"/>
          <w:sz w:val="26"/>
          <w:szCs w:val="26"/>
        </w:rPr>
      </w:pPr>
    </w:p>
    <w:p w:rsidR="00E05C2A" w:rsidRPr="00D62F89" w:rsidRDefault="003742D5" w:rsidP="00D62F89">
      <w:pPr>
        <w:spacing w:line="288" w:lineRule="auto"/>
        <w:jc w:val="both"/>
        <w:rPr>
          <w:rFonts w:asciiTheme="minorHAnsi" w:hAnsiTheme="minorHAnsi" w:cstheme="minorHAnsi"/>
          <w:sz w:val="26"/>
          <w:szCs w:val="26"/>
        </w:rPr>
      </w:pPr>
      <w:r w:rsidRPr="00FD1F2A">
        <w:rPr>
          <w:rFonts w:asciiTheme="minorHAnsi" w:hAnsiTheme="minorHAnsi" w:cstheme="minorHAnsi"/>
          <w:sz w:val="26"/>
          <w:szCs w:val="26"/>
        </w:rPr>
        <w:t xml:space="preserve">Un dernier point </w:t>
      </w:r>
      <w:r>
        <w:rPr>
          <w:rFonts w:asciiTheme="minorHAnsi" w:hAnsiTheme="minorHAnsi" w:cstheme="minorHAnsi"/>
          <w:sz w:val="26"/>
          <w:szCs w:val="26"/>
        </w:rPr>
        <w:t>mérite de retenir l’attention. Le scénario envisagé ici concernait des époux qui résident en dehors de l’Union européenne. Ceci explique qu</w:t>
      </w:r>
      <w:r w:rsidR="00ED10FE">
        <w:rPr>
          <w:rFonts w:asciiTheme="minorHAnsi" w:hAnsiTheme="minorHAnsi" w:cstheme="minorHAnsi"/>
          <w:sz w:val="26"/>
          <w:szCs w:val="26"/>
        </w:rPr>
        <w:t xml:space="preserve">’il n’est pas nécessaire de tenir compte des exigences formelles </w:t>
      </w:r>
      <w:r>
        <w:rPr>
          <w:rFonts w:asciiTheme="minorHAnsi" w:hAnsiTheme="minorHAnsi" w:cstheme="minorHAnsi"/>
          <w:sz w:val="26"/>
          <w:szCs w:val="26"/>
        </w:rPr>
        <w:t>de l’Etat où résident les époux. Les articles 23 et 25</w:t>
      </w:r>
      <w:r w:rsidR="00ED10FE">
        <w:rPr>
          <w:rFonts w:asciiTheme="minorHAnsi" w:hAnsiTheme="minorHAnsi" w:cstheme="minorHAnsi"/>
          <w:sz w:val="26"/>
          <w:szCs w:val="26"/>
        </w:rPr>
        <w:t>, par. 2</w:t>
      </w:r>
      <w:r>
        <w:rPr>
          <w:rFonts w:asciiTheme="minorHAnsi" w:hAnsiTheme="minorHAnsi" w:cstheme="minorHAnsi"/>
          <w:sz w:val="26"/>
          <w:szCs w:val="26"/>
        </w:rPr>
        <w:t xml:space="preserve"> </w:t>
      </w:r>
      <w:r w:rsidR="009C3158">
        <w:rPr>
          <w:rFonts w:asciiTheme="minorHAnsi" w:hAnsiTheme="minorHAnsi" w:cstheme="minorHAnsi"/>
          <w:sz w:val="26"/>
          <w:szCs w:val="26"/>
        </w:rPr>
        <w:t xml:space="preserve">du règlement </w:t>
      </w:r>
      <w:r>
        <w:rPr>
          <w:rFonts w:asciiTheme="minorHAnsi" w:hAnsiTheme="minorHAnsi" w:cstheme="minorHAnsi"/>
          <w:sz w:val="26"/>
          <w:szCs w:val="26"/>
        </w:rPr>
        <w:t xml:space="preserve">se limitent en effet </w:t>
      </w:r>
      <w:r w:rsidR="009C3158">
        <w:rPr>
          <w:rFonts w:asciiTheme="minorHAnsi" w:hAnsiTheme="minorHAnsi" w:cstheme="minorHAnsi"/>
          <w:sz w:val="26"/>
          <w:szCs w:val="26"/>
        </w:rPr>
        <w:t>aux seules exigences formelles imposées par les Etats membres liées par le règlement.</w:t>
      </w:r>
      <w:r>
        <w:rPr>
          <w:rFonts w:asciiTheme="minorHAnsi" w:hAnsiTheme="minorHAnsi" w:cstheme="minorHAnsi"/>
          <w:sz w:val="26"/>
          <w:szCs w:val="26"/>
        </w:rPr>
        <w:t xml:space="preserve"> Dès lors que les époux résident </w:t>
      </w:r>
      <w:r w:rsidR="002D25A4">
        <w:rPr>
          <w:rFonts w:asciiTheme="minorHAnsi" w:hAnsiTheme="minorHAnsi" w:cstheme="minorHAnsi"/>
          <w:sz w:val="26"/>
          <w:szCs w:val="26"/>
        </w:rPr>
        <w:t>dans un des Etats membres liés par le règlement</w:t>
      </w:r>
      <w:r>
        <w:rPr>
          <w:rFonts w:asciiTheme="minorHAnsi" w:hAnsiTheme="minorHAnsi" w:cstheme="minorHAnsi"/>
          <w:sz w:val="26"/>
          <w:szCs w:val="26"/>
        </w:rPr>
        <w:t xml:space="preserve">, il conviendra par contre d’être attentif aux exigences posées </w:t>
      </w:r>
      <w:r w:rsidR="002D25A4">
        <w:rPr>
          <w:rFonts w:asciiTheme="minorHAnsi" w:hAnsiTheme="minorHAnsi" w:cstheme="minorHAnsi"/>
          <w:sz w:val="26"/>
          <w:szCs w:val="26"/>
        </w:rPr>
        <w:t>par le droit local.</w:t>
      </w:r>
    </w:p>
    <w:p w:rsidR="00E05C2A" w:rsidRDefault="00E05C2A" w:rsidP="00A549B7">
      <w:pPr>
        <w:spacing w:line="288" w:lineRule="auto"/>
        <w:rPr>
          <w:rFonts w:asciiTheme="minorHAnsi" w:hAnsiTheme="minorHAnsi" w:cstheme="minorHAnsi"/>
        </w:rPr>
      </w:pPr>
    </w:p>
    <w:p w:rsidR="002D25A4" w:rsidRPr="00A549B7" w:rsidRDefault="002D25A4" w:rsidP="00A549B7">
      <w:pPr>
        <w:spacing w:line="288" w:lineRule="auto"/>
        <w:rPr>
          <w:rFonts w:asciiTheme="minorHAnsi" w:hAnsiTheme="minorHAnsi" w:cstheme="minorHAnsi"/>
        </w:rPr>
      </w:pPr>
    </w:p>
    <w:p w:rsidR="004045D6" w:rsidRPr="00A549B7" w:rsidRDefault="004045D6" w:rsidP="004045D6">
      <w:pPr>
        <w:spacing w:line="288" w:lineRule="auto"/>
        <w:jc w:val="both"/>
        <w:rPr>
          <w:rFonts w:asciiTheme="minorHAnsi" w:hAnsiTheme="minorHAnsi" w:cstheme="minorHAnsi"/>
          <w:b/>
          <w:sz w:val="26"/>
          <w:szCs w:val="26"/>
        </w:rPr>
      </w:pPr>
      <w:r>
        <w:rPr>
          <w:rFonts w:asciiTheme="minorHAnsi" w:hAnsiTheme="minorHAnsi" w:cstheme="minorHAnsi"/>
          <w:b/>
          <w:sz w:val="26"/>
          <w:szCs w:val="26"/>
        </w:rPr>
        <w:t>4</w:t>
      </w:r>
      <w:r w:rsidRPr="00A549B7">
        <w:rPr>
          <w:rFonts w:asciiTheme="minorHAnsi" w:hAnsiTheme="minorHAnsi" w:cstheme="minorHAnsi"/>
          <w:b/>
          <w:sz w:val="26"/>
          <w:szCs w:val="26"/>
        </w:rPr>
        <w:t>.</w:t>
      </w:r>
      <w:r w:rsidRPr="00A549B7">
        <w:rPr>
          <w:rFonts w:asciiTheme="minorHAnsi" w:hAnsiTheme="minorHAnsi" w:cstheme="minorHAnsi"/>
          <w:b/>
          <w:sz w:val="26"/>
          <w:szCs w:val="26"/>
        </w:rPr>
        <w:tab/>
      </w:r>
      <w:r>
        <w:rPr>
          <w:rFonts w:asciiTheme="minorHAnsi" w:hAnsiTheme="minorHAnsi" w:cstheme="minorHAnsi"/>
          <w:b/>
          <w:sz w:val="26"/>
          <w:szCs w:val="26"/>
        </w:rPr>
        <w:t>Une modification conventionnelle à l’étranger</w:t>
      </w:r>
    </w:p>
    <w:p w:rsidR="004045D6" w:rsidRDefault="004045D6" w:rsidP="004045D6">
      <w:pPr>
        <w:spacing w:line="288" w:lineRule="auto"/>
        <w:jc w:val="both"/>
        <w:rPr>
          <w:rFonts w:asciiTheme="minorHAnsi" w:hAnsiTheme="minorHAnsi" w:cstheme="minorHAnsi"/>
          <w:sz w:val="26"/>
          <w:szCs w:val="26"/>
        </w:rPr>
      </w:pPr>
    </w:p>
    <w:p w:rsidR="001115DA" w:rsidRDefault="001115DA" w:rsidP="001115DA">
      <w:pPr>
        <w:spacing w:line="288" w:lineRule="auto"/>
        <w:jc w:val="both"/>
        <w:rPr>
          <w:rFonts w:asciiTheme="minorHAnsi" w:hAnsiTheme="minorHAnsi" w:cstheme="minorHAnsi"/>
          <w:sz w:val="26"/>
          <w:szCs w:val="26"/>
        </w:rPr>
      </w:pPr>
      <w:r>
        <w:rPr>
          <w:rFonts w:asciiTheme="minorHAnsi" w:hAnsiTheme="minorHAnsi" w:cstheme="minorHAnsi"/>
          <w:sz w:val="26"/>
          <w:szCs w:val="26"/>
        </w:rPr>
        <w:t>Un dernier scénario voit deux ressortissants belges mariés en 2015 sans contrat, convenir d’un contrat de mariage en 2020. Les époux sont installés depuis leur mariage en Californie. Ils n’excluent pas de revenir s’installer un jour en Belgique. Le contrat a été négocié en et conclu en Californie, avec l’aide de deux avocats locaux. Il prévoit des dispositions protégeant le conjoint survivant</w:t>
      </w:r>
      <w:r w:rsidR="00420D2F">
        <w:rPr>
          <w:rFonts w:asciiTheme="minorHAnsi" w:hAnsiTheme="minorHAnsi" w:cstheme="minorHAnsi"/>
          <w:sz w:val="26"/>
          <w:szCs w:val="26"/>
        </w:rPr>
        <w:t>. Les conjoints conviennent aussi que certains biens qu’ils possèdent à titre individuel seront dorénavant communs. Le contrat prévoit enfin des dispositions restreignant le pouvoir de disposition à l’égard des biens communs.</w:t>
      </w:r>
    </w:p>
    <w:p w:rsidR="001115DA" w:rsidRDefault="001115DA" w:rsidP="001115DA">
      <w:pPr>
        <w:spacing w:line="288" w:lineRule="auto"/>
        <w:jc w:val="both"/>
        <w:rPr>
          <w:rFonts w:asciiTheme="minorHAnsi" w:hAnsiTheme="minorHAnsi" w:cstheme="minorHAnsi"/>
          <w:sz w:val="26"/>
          <w:szCs w:val="26"/>
        </w:rPr>
      </w:pPr>
    </w:p>
    <w:p w:rsidR="001115DA" w:rsidRDefault="001115DA" w:rsidP="001115DA">
      <w:pPr>
        <w:spacing w:line="288" w:lineRule="auto"/>
        <w:jc w:val="both"/>
        <w:rPr>
          <w:rFonts w:asciiTheme="minorHAnsi" w:hAnsiTheme="minorHAnsi" w:cstheme="minorHAnsi"/>
          <w:sz w:val="26"/>
          <w:szCs w:val="26"/>
        </w:rPr>
      </w:pPr>
      <w:r>
        <w:rPr>
          <w:rFonts w:asciiTheme="minorHAnsi" w:hAnsiTheme="minorHAnsi" w:cstheme="minorHAnsi"/>
          <w:sz w:val="26"/>
          <w:szCs w:val="26"/>
        </w:rPr>
        <w:t>L’entrée en vigueur du règlement européen ne modifie pas fondamentalement les principes qui régissent l’accueil en Belgique d’un contrat de mariage conclu à l’étranger.</w:t>
      </w:r>
      <w:r w:rsidR="008400E6">
        <w:rPr>
          <w:rFonts w:asciiTheme="minorHAnsi" w:hAnsiTheme="minorHAnsi" w:cstheme="minorHAnsi"/>
          <w:sz w:val="26"/>
          <w:szCs w:val="26"/>
        </w:rPr>
        <w:t xml:space="preserve"> </w:t>
      </w:r>
      <w:r w:rsidR="00D454E1">
        <w:rPr>
          <w:rFonts w:asciiTheme="minorHAnsi" w:hAnsiTheme="minorHAnsi" w:cstheme="minorHAnsi"/>
          <w:sz w:val="26"/>
          <w:szCs w:val="26"/>
        </w:rPr>
        <w:t xml:space="preserve">Le règlement reproduit en </w:t>
      </w:r>
      <w:r>
        <w:rPr>
          <w:rFonts w:asciiTheme="minorHAnsi" w:hAnsiTheme="minorHAnsi" w:cstheme="minorHAnsi"/>
          <w:sz w:val="26"/>
          <w:szCs w:val="26"/>
        </w:rPr>
        <w:t>effet à l’égard de ces contrats la logique conflictuelle déjà retenue par le Code. Ceci signifie que l’accueil des effets du contrat est subordonné au respect de l</w:t>
      </w:r>
      <w:r w:rsidR="007400E5">
        <w:rPr>
          <w:rFonts w:asciiTheme="minorHAnsi" w:hAnsiTheme="minorHAnsi" w:cstheme="minorHAnsi"/>
          <w:sz w:val="26"/>
          <w:szCs w:val="26"/>
        </w:rPr>
        <w:t xml:space="preserve">a </w:t>
      </w:r>
      <w:r>
        <w:rPr>
          <w:rFonts w:asciiTheme="minorHAnsi" w:hAnsiTheme="minorHAnsi" w:cstheme="minorHAnsi"/>
          <w:sz w:val="26"/>
          <w:szCs w:val="26"/>
        </w:rPr>
        <w:t>règle de conflit de lois en vigueur en Belgique</w:t>
      </w:r>
      <w:r w:rsidR="006C07A2">
        <w:rPr>
          <w:rStyle w:val="Appelnotedebasdep"/>
          <w:rFonts w:asciiTheme="minorHAnsi" w:hAnsiTheme="minorHAnsi" w:cstheme="minorHAnsi"/>
          <w:sz w:val="26"/>
          <w:szCs w:val="26"/>
        </w:rPr>
        <w:footnoteReference w:id="65"/>
      </w:r>
      <w:r>
        <w:rPr>
          <w:rFonts w:asciiTheme="minorHAnsi" w:hAnsiTheme="minorHAnsi" w:cstheme="minorHAnsi"/>
          <w:sz w:val="26"/>
          <w:szCs w:val="26"/>
        </w:rPr>
        <w:t>.</w:t>
      </w:r>
    </w:p>
    <w:p w:rsidR="001115DA" w:rsidRDefault="001115DA" w:rsidP="001115DA">
      <w:pPr>
        <w:spacing w:line="288" w:lineRule="auto"/>
        <w:jc w:val="both"/>
        <w:rPr>
          <w:rFonts w:asciiTheme="minorHAnsi" w:hAnsiTheme="minorHAnsi" w:cstheme="minorHAnsi"/>
          <w:sz w:val="26"/>
          <w:szCs w:val="26"/>
        </w:rPr>
      </w:pPr>
    </w:p>
    <w:p w:rsidR="001115DA" w:rsidRDefault="001115DA" w:rsidP="001115DA">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Le primat du raisonnement conflictuel </w:t>
      </w:r>
      <w:r w:rsidR="00420D2F">
        <w:rPr>
          <w:rFonts w:asciiTheme="minorHAnsi" w:hAnsiTheme="minorHAnsi" w:cstheme="minorHAnsi"/>
          <w:sz w:val="26"/>
          <w:szCs w:val="26"/>
        </w:rPr>
        <w:t>est</w:t>
      </w:r>
      <w:r>
        <w:rPr>
          <w:rFonts w:asciiTheme="minorHAnsi" w:hAnsiTheme="minorHAnsi" w:cstheme="minorHAnsi"/>
          <w:sz w:val="26"/>
          <w:szCs w:val="26"/>
        </w:rPr>
        <w:t xml:space="preserve"> expressément retenu à l’article 27 du Code. Selon cette disposition, un acte authentique étranger produit ses effets en Belgique s’il répond aux exigences de la loi déclarée applicable par le Code.</w:t>
      </w:r>
      <w:r w:rsidR="007400E5">
        <w:rPr>
          <w:rFonts w:asciiTheme="minorHAnsi" w:hAnsiTheme="minorHAnsi" w:cstheme="minorHAnsi"/>
          <w:sz w:val="26"/>
          <w:szCs w:val="26"/>
        </w:rPr>
        <w:t xml:space="preserve"> Si les limites du test conflictuel introduit par cette disposition ne sont pas entièrement élucidées</w:t>
      </w:r>
      <w:r w:rsidR="004A2EB0">
        <w:rPr>
          <w:rStyle w:val="Appelnotedebasdep"/>
          <w:rFonts w:asciiTheme="minorHAnsi" w:hAnsiTheme="minorHAnsi" w:cstheme="minorHAnsi"/>
          <w:sz w:val="26"/>
          <w:szCs w:val="26"/>
        </w:rPr>
        <w:footnoteReference w:id="66"/>
      </w:r>
      <w:r w:rsidR="007400E5">
        <w:rPr>
          <w:rFonts w:asciiTheme="minorHAnsi" w:hAnsiTheme="minorHAnsi" w:cstheme="minorHAnsi"/>
          <w:sz w:val="26"/>
          <w:szCs w:val="26"/>
        </w:rPr>
        <w:t>, il est acquis que le point de départ du raisonnement doit être la vérification que l’acte étranger répond bien aux exigences posées par la loi déclarée applicable par le Code.</w:t>
      </w:r>
    </w:p>
    <w:p w:rsidR="001115DA" w:rsidRDefault="001115DA" w:rsidP="001115DA">
      <w:pPr>
        <w:spacing w:line="288" w:lineRule="auto"/>
        <w:jc w:val="both"/>
        <w:rPr>
          <w:rFonts w:asciiTheme="minorHAnsi" w:hAnsiTheme="minorHAnsi" w:cstheme="minorHAnsi"/>
          <w:sz w:val="26"/>
          <w:szCs w:val="26"/>
        </w:rPr>
      </w:pPr>
    </w:p>
    <w:p w:rsidR="001115DA" w:rsidRDefault="001115DA" w:rsidP="001115DA">
      <w:pPr>
        <w:spacing w:line="288" w:lineRule="auto"/>
        <w:jc w:val="both"/>
        <w:rPr>
          <w:rFonts w:asciiTheme="minorHAnsi" w:hAnsiTheme="minorHAnsi" w:cstheme="minorHAnsi"/>
          <w:sz w:val="26"/>
          <w:szCs w:val="26"/>
        </w:rPr>
      </w:pPr>
      <w:r>
        <w:rPr>
          <w:rFonts w:asciiTheme="minorHAnsi" w:hAnsiTheme="minorHAnsi" w:cstheme="minorHAnsi"/>
          <w:sz w:val="26"/>
          <w:szCs w:val="26"/>
        </w:rPr>
        <w:t>Le règlement se montre moins explicite. L’article 58 du Code met en place un régime d’accueil de la force probante des actes authentiques étrangers. L’article 59 vise quant à lui la force exécutoire des actes authentiques. Le régime de la force obligatoire d’un acte étranger se dessine par contre en pointillés. L’on peut lire à l’article 58, par. 3 que lorsqu’une juridiction est saisie d’une contestation relative à un acte juridique ou à une relation juridique consignée dans un acte authentique, elle doit statuer « en vertu de la loi applicable conformément » au règlement.</w:t>
      </w:r>
      <w:r w:rsidR="00E625EC">
        <w:rPr>
          <w:rFonts w:asciiTheme="minorHAnsi" w:hAnsiTheme="minorHAnsi" w:cstheme="minorHAnsi"/>
          <w:sz w:val="26"/>
          <w:szCs w:val="26"/>
        </w:rPr>
        <w:t xml:space="preserve"> L’on peut en déduire que le règlement soumet également la circulation des actes authentiques au respect des règles de conflit de lois qu’il met en place</w:t>
      </w:r>
      <w:r w:rsidR="008400E6">
        <w:rPr>
          <w:rStyle w:val="Appelnotedebasdep"/>
          <w:rFonts w:asciiTheme="minorHAnsi" w:hAnsiTheme="minorHAnsi" w:cstheme="minorHAnsi"/>
          <w:sz w:val="26"/>
          <w:szCs w:val="26"/>
        </w:rPr>
        <w:footnoteReference w:id="67"/>
      </w:r>
      <w:r w:rsidR="00E625EC">
        <w:rPr>
          <w:rFonts w:asciiTheme="minorHAnsi" w:hAnsiTheme="minorHAnsi" w:cstheme="minorHAnsi"/>
          <w:sz w:val="26"/>
          <w:szCs w:val="26"/>
        </w:rPr>
        <w:t>.</w:t>
      </w:r>
    </w:p>
    <w:p w:rsidR="008400E6" w:rsidRDefault="008400E6" w:rsidP="001115DA">
      <w:pPr>
        <w:spacing w:line="288" w:lineRule="auto"/>
        <w:jc w:val="both"/>
        <w:rPr>
          <w:rFonts w:asciiTheme="minorHAnsi" w:hAnsiTheme="minorHAnsi" w:cstheme="minorHAnsi"/>
          <w:sz w:val="26"/>
          <w:szCs w:val="26"/>
        </w:rPr>
      </w:pPr>
    </w:p>
    <w:p w:rsidR="007400E5" w:rsidRDefault="008400E6" w:rsidP="001115DA">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L’élément central du raisonnement face à un acte étranger est dès lors bien la vérification du respect de la loi désignée par les règles de conflit de lois en vigueur en Belgique. </w:t>
      </w:r>
      <w:r w:rsidR="00D454E1">
        <w:rPr>
          <w:rFonts w:asciiTheme="minorHAnsi" w:hAnsiTheme="minorHAnsi" w:cstheme="minorHAnsi"/>
          <w:sz w:val="26"/>
          <w:szCs w:val="26"/>
        </w:rPr>
        <w:t>En outre, comme on l’a vu, les règles de conflit de lois contenue</w:t>
      </w:r>
      <w:r w:rsidR="004A2EB0">
        <w:rPr>
          <w:rFonts w:asciiTheme="minorHAnsi" w:hAnsiTheme="minorHAnsi" w:cstheme="minorHAnsi"/>
          <w:sz w:val="26"/>
          <w:szCs w:val="26"/>
        </w:rPr>
        <w:t>s</w:t>
      </w:r>
      <w:r w:rsidR="00D454E1">
        <w:rPr>
          <w:rFonts w:asciiTheme="minorHAnsi" w:hAnsiTheme="minorHAnsi" w:cstheme="minorHAnsi"/>
          <w:sz w:val="26"/>
          <w:szCs w:val="26"/>
        </w:rPr>
        <w:t xml:space="preserve"> dans le Code coïncident pour une large part avec celle du règlement</w:t>
      </w:r>
      <w:r w:rsidR="006A6D1B">
        <w:rPr>
          <w:rFonts w:asciiTheme="minorHAnsi" w:hAnsiTheme="minorHAnsi" w:cstheme="minorHAnsi"/>
          <w:sz w:val="26"/>
          <w:szCs w:val="26"/>
        </w:rPr>
        <w:t>, en tout cas en ce qui concerne la validité substantielle d’une convention entre époux</w:t>
      </w:r>
      <w:r w:rsidR="00D454E1">
        <w:rPr>
          <w:rFonts w:asciiTheme="minorHAnsi" w:hAnsiTheme="minorHAnsi" w:cstheme="minorHAnsi"/>
          <w:sz w:val="26"/>
          <w:szCs w:val="26"/>
        </w:rPr>
        <w:t>. Le contrôle sera dès lors effectué sur des bases qui se rejoignent dans une large mesure.</w:t>
      </w:r>
    </w:p>
    <w:p w:rsidR="007400E5" w:rsidRDefault="007400E5" w:rsidP="001115DA">
      <w:pPr>
        <w:spacing w:line="288" w:lineRule="auto"/>
        <w:jc w:val="both"/>
        <w:rPr>
          <w:rFonts w:asciiTheme="minorHAnsi" w:hAnsiTheme="minorHAnsi" w:cstheme="minorHAnsi"/>
          <w:sz w:val="26"/>
          <w:szCs w:val="26"/>
        </w:rPr>
      </w:pPr>
    </w:p>
    <w:p w:rsidR="007400E5" w:rsidRDefault="007400E5"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La coïncidence des approches permet d’évacuer certaines difficultés techniques que suscite l’entrée en vigueur du règlement. La première tient au droit transitoire. L’article 69, par. 1 du Règlement ne vise en effet que les actes authentiques « formellement dressés ou enregistrés » à compter du 29 janvier 2020. Le règlement n’a donc pas vocation à s’appliquer à l’égard des actes authentiques reçus avant cette date</w:t>
      </w:r>
      <w:r w:rsidR="004A2EB0">
        <w:rPr>
          <w:rStyle w:val="Appelnotedebasdep"/>
          <w:rFonts w:asciiTheme="minorHAnsi" w:hAnsiTheme="minorHAnsi" w:cstheme="minorHAnsi"/>
          <w:sz w:val="26"/>
          <w:szCs w:val="26"/>
        </w:rPr>
        <w:footnoteReference w:id="68"/>
      </w:r>
      <w:r>
        <w:rPr>
          <w:rFonts w:asciiTheme="minorHAnsi" w:hAnsiTheme="minorHAnsi" w:cstheme="minorHAnsi"/>
          <w:sz w:val="26"/>
          <w:szCs w:val="26"/>
        </w:rPr>
        <w:t xml:space="preserve">. Cette question </w:t>
      </w:r>
      <w:r w:rsidR="007E13BB">
        <w:rPr>
          <w:rFonts w:asciiTheme="minorHAnsi" w:hAnsiTheme="minorHAnsi" w:cstheme="minorHAnsi"/>
          <w:sz w:val="26"/>
          <w:szCs w:val="26"/>
        </w:rPr>
        <w:t>n’a</w:t>
      </w:r>
      <w:r>
        <w:rPr>
          <w:rFonts w:asciiTheme="minorHAnsi" w:hAnsiTheme="minorHAnsi" w:cstheme="minorHAnsi"/>
          <w:sz w:val="26"/>
          <w:szCs w:val="26"/>
        </w:rPr>
        <w:t xml:space="preserve"> néanmoins </w:t>
      </w:r>
      <w:r w:rsidR="007E13BB">
        <w:rPr>
          <w:rFonts w:asciiTheme="minorHAnsi" w:hAnsiTheme="minorHAnsi" w:cstheme="minorHAnsi"/>
          <w:sz w:val="26"/>
          <w:szCs w:val="26"/>
        </w:rPr>
        <w:t>qu’un intérêt limité</w:t>
      </w:r>
      <w:r>
        <w:rPr>
          <w:rFonts w:asciiTheme="minorHAnsi" w:hAnsiTheme="minorHAnsi" w:cstheme="minorHAnsi"/>
          <w:sz w:val="26"/>
          <w:szCs w:val="26"/>
        </w:rPr>
        <w:t xml:space="preserve">, puisque l’approche à adopter à l’égard des actes authentiques qui ne bénéficient pas du règlement, est la même que celle mise en place par ce dernier : dans les deux cas, le contrôle est fondé sur le bon respect du droit désigné par la règle de conflit de lois en vigueur en Belgique. La seule différence entre les deux catégories tient à l’identification de la règle de conflit de lois pertinente. La vérification doit se faire en tenant compte des prétentions dans le temps des diverses règles de conflit de lois. Ainsi, si un acte authentique </w:t>
      </w:r>
      <w:r w:rsidR="007E13BB">
        <w:rPr>
          <w:rFonts w:asciiTheme="minorHAnsi" w:hAnsiTheme="minorHAnsi" w:cstheme="minorHAnsi"/>
          <w:sz w:val="26"/>
          <w:szCs w:val="26"/>
        </w:rPr>
        <w:t>a été reçu en janvier 2015, l’analyse à effectuer en Belgique devra se faire sur base des règles de conflit de lois du Code de droit international privé, puisque le</w:t>
      </w:r>
      <w:r w:rsidR="004A2EB0">
        <w:rPr>
          <w:rFonts w:asciiTheme="minorHAnsi" w:hAnsiTheme="minorHAnsi" w:cstheme="minorHAnsi"/>
          <w:sz w:val="26"/>
          <w:szCs w:val="26"/>
        </w:rPr>
        <w:t>s règles de conflit de lois du</w:t>
      </w:r>
      <w:r w:rsidR="007E13BB">
        <w:rPr>
          <w:rFonts w:asciiTheme="minorHAnsi" w:hAnsiTheme="minorHAnsi" w:cstheme="minorHAnsi"/>
          <w:sz w:val="26"/>
          <w:szCs w:val="26"/>
        </w:rPr>
        <w:t xml:space="preserve"> règlement ne </w:t>
      </w:r>
      <w:r w:rsidR="004A2EB0">
        <w:rPr>
          <w:rFonts w:asciiTheme="minorHAnsi" w:hAnsiTheme="minorHAnsi" w:cstheme="minorHAnsi"/>
          <w:sz w:val="26"/>
          <w:szCs w:val="26"/>
        </w:rPr>
        <w:t xml:space="preserve">peuvent s’appliquer au mariage célébré </w:t>
      </w:r>
      <w:r w:rsidR="007E13BB">
        <w:rPr>
          <w:rFonts w:asciiTheme="minorHAnsi" w:hAnsiTheme="minorHAnsi" w:cstheme="minorHAnsi"/>
          <w:sz w:val="26"/>
          <w:szCs w:val="26"/>
        </w:rPr>
        <w:t>avant le 29 janvier 2019. Peu importe qu’un acte authentique soit présenté après cette date : ceci ne justifie pas la mise en œuvre du règlement. Seule compte la date à laquelle l’acte authentique a été reçu.</w:t>
      </w:r>
      <w:r w:rsidR="00D454E1">
        <w:rPr>
          <w:rFonts w:asciiTheme="minorHAnsi" w:hAnsiTheme="minorHAnsi" w:cstheme="minorHAnsi"/>
          <w:sz w:val="26"/>
          <w:szCs w:val="26"/>
        </w:rPr>
        <w:t xml:space="preserve"> Encore faut-il relever la grande parenté qui unit les règles de conflit de lois contenue d</w:t>
      </w:r>
      <w:r w:rsidR="00B61AA2">
        <w:rPr>
          <w:rFonts w:asciiTheme="minorHAnsi" w:hAnsiTheme="minorHAnsi" w:cstheme="minorHAnsi"/>
          <w:sz w:val="26"/>
          <w:szCs w:val="26"/>
        </w:rPr>
        <w:t>ans les deux textes, parenté qui enlève au droit transitoire une partie de sa pertinence.</w:t>
      </w:r>
    </w:p>
    <w:p w:rsidR="007400E5" w:rsidRDefault="007400E5" w:rsidP="007400E5">
      <w:pPr>
        <w:spacing w:line="288" w:lineRule="auto"/>
        <w:jc w:val="both"/>
        <w:rPr>
          <w:rFonts w:asciiTheme="minorHAnsi" w:hAnsiTheme="minorHAnsi" w:cstheme="minorHAnsi"/>
          <w:sz w:val="26"/>
          <w:szCs w:val="26"/>
        </w:rPr>
      </w:pPr>
    </w:p>
    <w:p w:rsidR="007400E5" w:rsidRDefault="007400E5"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La seconde difficulté tient au fait que le mécanisme mis en place par le règlement ne vise que les seuls actes authentiques émanant d’Etats membres. La définition même de l’acte authentique (art. 3, par. 1, lettre c) fait en effet référence aux actes authentiques dressés ou enregistrés dans un Etat membre. L’on ne peut dès lors s’appuyer sur le règlement lorsque</w:t>
      </w:r>
      <w:r w:rsidR="009A6173">
        <w:rPr>
          <w:rFonts w:asciiTheme="minorHAnsi" w:hAnsiTheme="minorHAnsi" w:cstheme="minorHAnsi"/>
          <w:sz w:val="26"/>
          <w:szCs w:val="26"/>
        </w:rPr>
        <w:t>,</w:t>
      </w:r>
      <w:r>
        <w:rPr>
          <w:rFonts w:asciiTheme="minorHAnsi" w:hAnsiTheme="minorHAnsi" w:cstheme="minorHAnsi"/>
          <w:sz w:val="26"/>
          <w:szCs w:val="26"/>
        </w:rPr>
        <w:t xml:space="preserve"> comme c’est le cas dans le scénario esquissé, la modification du régime s’est traduite par la conclusion d’un contrat en Californie. Cette difficulté n’est toutefois qu’apparente. En effet, puisque le règlement n’a pas vocation à s’appliquer lorsque la modification a eu lieu en dehors de l’Union européenne, il faudra faire confiance </w:t>
      </w:r>
      <w:r w:rsidR="000F4CB6">
        <w:rPr>
          <w:rFonts w:asciiTheme="minorHAnsi" w:hAnsiTheme="minorHAnsi" w:cstheme="minorHAnsi"/>
          <w:sz w:val="26"/>
          <w:szCs w:val="26"/>
        </w:rPr>
        <w:t xml:space="preserve">au Code de droit international privé qui conserve sa pertinence, même lorsque </w:t>
      </w:r>
      <w:r w:rsidR="009A6173">
        <w:rPr>
          <w:rFonts w:asciiTheme="minorHAnsi" w:hAnsiTheme="minorHAnsi" w:cstheme="minorHAnsi"/>
          <w:sz w:val="26"/>
          <w:szCs w:val="26"/>
        </w:rPr>
        <w:t xml:space="preserve">l’acte </w:t>
      </w:r>
      <w:r w:rsidR="000F4CB6">
        <w:rPr>
          <w:rFonts w:asciiTheme="minorHAnsi" w:hAnsiTheme="minorHAnsi" w:cstheme="minorHAnsi"/>
          <w:sz w:val="26"/>
          <w:szCs w:val="26"/>
        </w:rPr>
        <w:t>modificatif a été reçu après le 29 janvier 2020.</w:t>
      </w:r>
      <w:r w:rsidR="007E13BB">
        <w:rPr>
          <w:rFonts w:asciiTheme="minorHAnsi" w:hAnsiTheme="minorHAnsi" w:cstheme="minorHAnsi"/>
          <w:sz w:val="26"/>
          <w:szCs w:val="26"/>
        </w:rPr>
        <w:t xml:space="preserve"> Or le Code rejoint le règlement pour faire du respect de la règle de conflit de lois l’élément central</w:t>
      </w:r>
      <w:r w:rsidR="009A6173">
        <w:rPr>
          <w:rFonts w:asciiTheme="minorHAnsi" w:hAnsiTheme="minorHAnsi" w:cstheme="minorHAnsi"/>
          <w:sz w:val="26"/>
          <w:szCs w:val="26"/>
        </w:rPr>
        <w:t xml:space="preserve"> de l’analyse. </w:t>
      </w:r>
    </w:p>
    <w:p w:rsidR="007400E5" w:rsidRDefault="007400E5" w:rsidP="007400E5">
      <w:pPr>
        <w:spacing w:line="288" w:lineRule="auto"/>
        <w:jc w:val="both"/>
        <w:rPr>
          <w:rFonts w:asciiTheme="minorHAnsi" w:hAnsiTheme="minorHAnsi" w:cstheme="minorHAnsi"/>
          <w:sz w:val="26"/>
          <w:szCs w:val="26"/>
        </w:rPr>
      </w:pPr>
    </w:p>
    <w:p w:rsidR="00D454E1" w:rsidRDefault="007400E5"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Enfin, on peut aussi s’interroger sur l’applicabilité de la vérification conflictuelle qui vient d’être exposée lorsque, comme c’est le cas dans le scénario esquissé plus haut, la volonté des époux a été matérialisée dans un acte sous seing privé. L’acte authentique ne jouit en effet pas d’une reconnaissance universelle. Dans de nombreux Etats, les époux peuvent conclure une convention sans recourir à un acte authentique. Ni le Code, ni le règlement n’évoquent expressément la situation des actes sous seing privé. Il ne fait néanmoins aucun doute que leur accueil est également subordonné au contrôle du respect de la règle de conflit de lois</w:t>
      </w:r>
      <w:r>
        <w:rPr>
          <w:rStyle w:val="Appelnotedebasdep"/>
          <w:rFonts w:asciiTheme="minorHAnsi" w:hAnsiTheme="minorHAnsi" w:cstheme="minorHAnsi"/>
          <w:sz w:val="26"/>
          <w:szCs w:val="26"/>
        </w:rPr>
        <w:footnoteReference w:id="69"/>
      </w:r>
      <w:r>
        <w:rPr>
          <w:rFonts w:asciiTheme="minorHAnsi" w:hAnsiTheme="minorHAnsi" w:cstheme="minorHAnsi"/>
          <w:sz w:val="26"/>
          <w:szCs w:val="26"/>
        </w:rPr>
        <w:t>.</w:t>
      </w:r>
      <w:r w:rsidR="009A6173">
        <w:rPr>
          <w:rFonts w:asciiTheme="minorHAnsi" w:hAnsiTheme="minorHAnsi" w:cstheme="minorHAnsi"/>
          <w:sz w:val="26"/>
          <w:szCs w:val="26"/>
        </w:rPr>
        <w:t xml:space="preserve"> Ne pouvant bénéficier de l’enveloppe particulière de l’acte authentique, </w:t>
      </w:r>
      <w:r w:rsidR="00424A9E">
        <w:rPr>
          <w:rFonts w:asciiTheme="minorHAnsi" w:hAnsiTheme="minorHAnsi" w:cstheme="minorHAnsi"/>
          <w:sz w:val="26"/>
          <w:szCs w:val="26"/>
        </w:rPr>
        <w:t>il est d’autant plus justifié que l’acte sous seing privé soit</w:t>
      </w:r>
      <w:r w:rsidR="009A6173">
        <w:rPr>
          <w:rFonts w:asciiTheme="minorHAnsi" w:hAnsiTheme="minorHAnsi" w:cstheme="minorHAnsi"/>
          <w:sz w:val="26"/>
          <w:szCs w:val="26"/>
        </w:rPr>
        <w:t xml:space="preserve"> soumis au contrôle du bon respect de la règle de conflit de lois.</w:t>
      </w:r>
      <w:r w:rsidR="00D454E1">
        <w:rPr>
          <w:rFonts w:asciiTheme="minorHAnsi" w:hAnsiTheme="minorHAnsi" w:cstheme="minorHAnsi"/>
          <w:sz w:val="26"/>
          <w:szCs w:val="26"/>
        </w:rPr>
        <w:t xml:space="preserve"> </w:t>
      </w:r>
    </w:p>
    <w:p w:rsidR="00D454E1" w:rsidRDefault="00D454E1" w:rsidP="007400E5">
      <w:pPr>
        <w:spacing w:line="288" w:lineRule="auto"/>
        <w:jc w:val="both"/>
        <w:rPr>
          <w:rFonts w:asciiTheme="minorHAnsi" w:hAnsiTheme="minorHAnsi" w:cstheme="minorHAnsi"/>
          <w:sz w:val="26"/>
          <w:szCs w:val="26"/>
        </w:rPr>
      </w:pPr>
    </w:p>
    <w:p w:rsidR="00424A9E" w:rsidRDefault="00424A9E" w:rsidP="00397668">
      <w:pPr>
        <w:spacing w:line="288" w:lineRule="auto"/>
        <w:jc w:val="both"/>
        <w:rPr>
          <w:rFonts w:asciiTheme="minorHAnsi" w:hAnsiTheme="minorHAnsi" w:cstheme="minorHAnsi"/>
          <w:sz w:val="26"/>
          <w:szCs w:val="26"/>
        </w:rPr>
      </w:pPr>
      <w:r>
        <w:rPr>
          <w:rFonts w:asciiTheme="minorHAnsi" w:hAnsiTheme="minorHAnsi" w:cstheme="minorHAnsi"/>
          <w:sz w:val="26"/>
          <w:szCs w:val="26"/>
        </w:rPr>
        <w:t>Au contraire de l’acte authentique, l’acte sous seing privé ne peut pas être rattaché à l’Etat sur le territoire duquel les époux s’accordent pour modifier leurs relations patrimoniales. La conclusion d’un tel acte n’est en effet pas, contrairement à l’acte authentique, liée à un Etat</w:t>
      </w:r>
      <w:r w:rsidR="0031112C">
        <w:rPr>
          <w:rFonts w:asciiTheme="minorHAnsi" w:hAnsiTheme="minorHAnsi" w:cstheme="minorHAnsi"/>
          <w:sz w:val="26"/>
          <w:szCs w:val="26"/>
        </w:rPr>
        <w:t xml:space="preserve"> qui aurait accordé à un tiers le pouvoir d’authentifier la rencontre de volonté entre époux. Il semble donc que l’existence d’un choix de loi arrêté par les époux à compter du 29 janvier 2019 constitue l’unique possibilité de justifier l’application du règlement. A l’égard des actes sous seing privé qui précèdent cette date ou qui sont postérieurs à cette date, mais ne contiennent pas de choix de loi</w:t>
      </w:r>
      <w:r w:rsidR="00A807D4">
        <w:rPr>
          <w:rFonts w:asciiTheme="minorHAnsi" w:hAnsiTheme="minorHAnsi" w:cstheme="minorHAnsi"/>
          <w:sz w:val="26"/>
          <w:szCs w:val="26"/>
        </w:rPr>
        <w:t>, seul le Code demeure pertinent.</w:t>
      </w:r>
    </w:p>
    <w:p w:rsidR="009A6173" w:rsidRDefault="009A6173" w:rsidP="007400E5">
      <w:pPr>
        <w:spacing w:line="288" w:lineRule="auto"/>
        <w:jc w:val="both"/>
        <w:rPr>
          <w:rFonts w:asciiTheme="minorHAnsi" w:hAnsiTheme="minorHAnsi" w:cstheme="minorHAnsi"/>
          <w:sz w:val="26"/>
          <w:szCs w:val="26"/>
        </w:rPr>
      </w:pPr>
    </w:p>
    <w:p w:rsidR="00397668" w:rsidRDefault="009A6173"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Qu’en conclure à l’égard des deux époux belges qui ont conclu un contrat de mariage en 2020 en Californie ? La modification aura lieu par acte sous seing privé. </w:t>
      </w:r>
      <w:r w:rsidR="00832DEB">
        <w:rPr>
          <w:rFonts w:asciiTheme="minorHAnsi" w:hAnsiTheme="minorHAnsi" w:cstheme="minorHAnsi"/>
          <w:sz w:val="26"/>
          <w:szCs w:val="26"/>
        </w:rPr>
        <w:t>Certes, la modification a lieu en 2020, ce qui permet d’envisager l’application du règlement.</w:t>
      </w:r>
      <w:r>
        <w:rPr>
          <w:rFonts w:asciiTheme="minorHAnsi" w:hAnsiTheme="minorHAnsi" w:cstheme="minorHAnsi"/>
          <w:sz w:val="26"/>
          <w:szCs w:val="26"/>
        </w:rPr>
        <w:t xml:space="preserve"> Il reste qu’elle ne prend pas la forme d’un acte authentique qui permettrait de justifier l’application du règlement (art. 69, par. 1). En </w:t>
      </w:r>
      <w:r w:rsidR="00397668">
        <w:rPr>
          <w:rFonts w:asciiTheme="minorHAnsi" w:hAnsiTheme="minorHAnsi" w:cstheme="minorHAnsi"/>
          <w:sz w:val="26"/>
          <w:szCs w:val="26"/>
        </w:rPr>
        <w:t>outre, la modification a lieu dans un Etat tiers.</w:t>
      </w:r>
    </w:p>
    <w:p w:rsidR="00397668" w:rsidRDefault="00397668" w:rsidP="007400E5">
      <w:pPr>
        <w:spacing w:line="288" w:lineRule="auto"/>
        <w:jc w:val="both"/>
        <w:rPr>
          <w:rFonts w:asciiTheme="minorHAnsi" w:hAnsiTheme="minorHAnsi" w:cstheme="minorHAnsi"/>
          <w:sz w:val="26"/>
          <w:szCs w:val="26"/>
        </w:rPr>
      </w:pPr>
    </w:p>
    <w:p w:rsidR="00F94F47" w:rsidRDefault="009A6173"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A notre sens, l’application du règlement se recommande néanmoins</w:t>
      </w:r>
      <w:r w:rsidR="00AE1F7A">
        <w:rPr>
          <w:rFonts w:asciiTheme="minorHAnsi" w:hAnsiTheme="minorHAnsi" w:cstheme="minorHAnsi"/>
          <w:sz w:val="26"/>
          <w:szCs w:val="26"/>
        </w:rPr>
        <w:t xml:space="preserve">. Il semble en effet cohérent </w:t>
      </w:r>
      <w:r w:rsidR="00F94F47">
        <w:rPr>
          <w:rFonts w:asciiTheme="minorHAnsi" w:hAnsiTheme="minorHAnsi" w:cstheme="minorHAnsi"/>
          <w:sz w:val="26"/>
          <w:szCs w:val="26"/>
        </w:rPr>
        <w:t>d’appliquer l</w:t>
      </w:r>
      <w:r w:rsidR="00AE1F7A">
        <w:rPr>
          <w:rFonts w:asciiTheme="minorHAnsi" w:hAnsiTheme="minorHAnsi" w:cstheme="minorHAnsi"/>
          <w:sz w:val="26"/>
          <w:szCs w:val="26"/>
        </w:rPr>
        <w:t>es dispositions européennes à toutes les modifications de régime arrêtées par des époux à compter du 29 janvier 2019</w:t>
      </w:r>
      <w:r w:rsidR="00F94F47">
        <w:rPr>
          <w:rFonts w:asciiTheme="minorHAnsi" w:hAnsiTheme="minorHAnsi" w:cstheme="minorHAnsi"/>
          <w:sz w:val="26"/>
          <w:szCs w:val="26"/>
        </w:rPr>
        <w:t xml:space="preserve"> lorsqu</w:t>
      </w:r>
      <w:r w:rsidR="00832DEB">
        <w:rPr>
          <w:rFonts w:asciiTheme="minorHAnsi" w:hAnsiTheme="minorHAnsi" w:cstheme="minorHAnsi"/>
          <w:sz w:val="26"/>
          <w:szCs w:val="26"/>
        </w:rPr>
        <w:t xml:space="preserve">e les époux ont arrêté un choix de loi </w:t>
      </w:r>
      <w:r w:rsidR="00F94F47">
        <w:rPr>
          <w:rFonts w:asciiTheme="minorHAnsi" w:hAnsiTheme="minorHAnsi" w:cstheme="minorHAnsi"/>
          <w:sz w:val="26"/>
          <w:szCs w:val="26"/>
        </w:rPr>
        <w:t>(art. 69, par. 3)</w:t>
      </w:r>
      <w:r w:rsidR="00AE1F7A">
        <w:rPr>
          <w:rFonts w:asciiTheme="minorHAnsi" w:hAnsiTheme="minorHAnsi" w:cstheme="minorHAnsi"/>
          <w:sz w:val="26"/>
          <w:szCs w:val="26"/>
        </w:rPr>
        <w:t xml:space="preserve">. </w:t>
      </w:r>
      <w:r w:rsidR="00F94F47">
        <w:rPr>
          <w:rFonts w:asciiTheme="minorHAnsi" w:hAnsiTheme="minorHAnsi" w:cstheme="minorHAnsi"/>
          <w:sz w:val="26"/>
          <w:szCs w:val="26"/>
        </w:rPr>
        <w:t>En présence d’un choix de loi, les dispositions européennes pourront dès lors s’appliquer, même si les époux ont utilisé pour la modification de leur régime un acte sous seing privé.</w:t>
      </w:r>
      <w:r w:rsidR="00535258">
        <w:rPr>
          <w:rFonts w:asciiTheme="minorHAnsi" w:hAnsiTheme="minorHAnsi" w:cstheme="minorHAnsi"/>
          <w:sz w:val="26"/>
          <w:szCs w:val="26"/>
        </w:rPr>
        <w:t xml:space="preserve"> La circonstance que cet acte soit né sur le territoire d’un Etat tiers non lié par le règlement ne suffit pas pour écarter celui-ci, puisque l’acte n’est pas lié à l’ordre juridique de l’Etat sur le territoire duquel il naît.</w:t>
      </w:r>
    </w:p>
    <w:p w:rsidR="00F94F47" w:rsidRDefault="00F94F47" w:rsidP="007400E5">
      <w:pPr>
        <w:spacing w:line="288" w:lineRule="auto"/>
        <w:jc w:val="both"/>
        <w:rPr>
          <w:rFonts w:asciiTheme="minorHAnsi" w:hAnsiTheme="minorHAnsi" w:cstheme="minorHAnsi"/>
          <w:sz w:val="26"/>
          <w:szCs w:val="26"/>
        </w:rPr>
      </w:pPr>
    </w:p>
    <w:p w:rsidR="00F94F47" w:rsidRDefault="00535258" w:rsidP="007400E5">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Si l’on suit cette approche dans ses derniers retranchements, elle signifierait que les </w:t>
      </w:r>
      <w:r w:rsidR="00F94F47">
        <w:rPr>
          <w:rFonts w:asciiTheme="minorHAnsi" w:hAnsiTheme="minorHAnsi" w:cstheme="minorHAnsi"/>
          <w:sz w:val="26"/>
          <w:szCs w:val="26"/>
        </w:rPr>
        <w:t xml:space="preserve">dispositions européennes </w:t>
      </w:r>
      <w:r>
        <w:rPr>
          <w:rFonts w:asciiTheme="minorHAnsi" w:hAnsiTheme="minorHAnsi" w:cstheme="minorHAnsi"/>
          <w:sz w:val="26"/>
          <w:szCs w:val="26"/>
        </w:rPr>
        <w:t xml:space="preserve">peuvent trouver à s’appliquer </w:t>
      </w:r>
      <w:r w:rsidR="00F94F47">
        <w:rPr>
          <w:rFonts w:asciiTheme="minorHAnsi" w:hAnsiTheme="minorHAnsi" w:cstheme="minorHAnsi"/>
          <w:sz w:val="26"/>
          <w:szCs w:val="26"/>
        </w:rPr>
        <w:t>à l’égard d’un acte authentique reçu dans un Etat tiers, lorsque celui-ci comprend un choix de loi</w:t>
      </w:r>
      <w:r>
        <w:rPr>
          <w:rFonts w:asciiTheme="minorHAnsi" w:hAnsiTheme="minorHAnsi" w:cstheme="minorHAnsi"/>
          <w:sz w:val="26"/>
          <w:szCs w:val="26"/>
        </w:rPr>
        <w:t xml:space="preserve">. On peut penser à </w:t>
      </w:r>
      <w:r w:rsidR="00F94F47">
        <w:rPr>
          <w:rFonts w:asciiTheme="minorHAnsi" w:hAnsiTheme="minorHAnsi" w:cstheme="minorHAnsi"/>
          <w:sz w:val="26"/>
          <w:szCs w:val="26"/>
        </w:rPr>
        <w:t>un</w:t>
      </w:r>
      <w:r w:rsidR="00382A3C">
        <w:rPr>
          <w:rFonts w:asciiTheme="minorHAnsi" w:hAnsiTheme="minorHAnsi" w:cstheme="minorHAnsi"/>
          <w:sz w:val="26"/>
          <w:szCs w:val="26"/>
        </w:rPr>
        <w:t xml:space="preserve"> acte authentique reçu par un notaire suisse en novembre 2020, qui comprend un choix de loi. A priori, l’application du règlement est exclue puisque l’acte </w:t>
      </w:r>
      <w:r>
        <w:rPr>
          <w:rFonts w:asciiTheme="minorHAnsi" w:hAnsiTheme="minorHAnsi" w:cstheme="minorHAnsi"/>
          <w:sz w:val="26"/>
          <w:szCs w:val="26"/>
        </w:rPr>
        <w:t xml:space="preserve">authentique </w:t>
      </w:r>
      <w:r w:rsidR="00382A3C">
        <w:rPr>
          <w:rFonts w:asciiTheme="minorHAnsi" w:hAnsiTheme="minorHAnsi" w:cstheme="minorHAnsi"/>
          <w:sz w:val="26"/>
          <w:szCs w:val="26"/>
        </w:rPr>
        <w:t xml:space="preserve">a été reçu dans un Etat tiers. L’existence d’un choix de loi constitue néanmoins une autre porte d’entrée vers le règlement. </w:t>
      </w:r>
      <w:r>
        <w:rPr>
          <w:rFonts w:asciiTheme="minorHAnsi" w:hAnsiTheme="minorHAnsi" w:cstheme="minorHAnsi"/>
          <w:sz w:val="26"/>
          <w:szCs w:val="26"/>
        </w:rPr>
        <w:t>La question n’est pas d’une importance capitale</w:t>
      </w:r>
      <w:r w:rsidR="0021544B">
        <w:rPr>
          <w:rFonts w:asciiTheme="minorHAnsi" w:hAnsiTheme="minorHAnsi" w:cstheme="minorHAnsi"/>
          <w:sz w:val="26"/>
          <w:szCs w:val="26"/>
        </w:rPr>
        <w:t xml:space="preserve"> pour la pratique belge</w:t>
      </w:r>
      <w:r>
        <w:rPr>
          <w:rFonts w:asciiTheme="minorHAnsi" w:hAnsiTheme="minorHAnsi" w:cstheme="minorHAnsi"/>
          <w:sz w:val="26"/>
          <w:szCs w:val="26"/>
        </w:rPr>
        <w:t>, dans la mesure où si le règlement ne peut s’appliquer, l’analyse conflictuelle qu’il impose sera en tout état de cause à l’ordre du jour</w:t>
      </w:r>
      <w:r w:rsidR="0021544B">
        <w:rPr>
          <w:rFonts w:asciiTheme="minorHAnsi" w:hAnsiTheme="minorHAnsi" w:cstheme="minorHAnsi"/>
          <w:sz w:val="26"/>
          <w:szCs w:val="26"/>
        </w:rPr>
        <w:t>. Elle reste néanmoins pertinente compte tenu de la distance qui peut séparer les règles de conflit de lois européennes de celles qui étaient auparavant en vigueur dans certains Etats membres.</w:t>
      </w:r>
    </w:p>
    <w:p w:rsidR="00F94F47" w:rsidRDefault="00F94F47" w:rsidP="007400E5">
      <w:pPr>
        <w:spacing w:line="288" w:lineRule="auto"/>
        <w:jc w:val="both"/>
        <w:rPr>
          <w:rFonts w:asciiTheme="minorHAnsi" w:hAnsiTheme="minorHAnsi" w:cstheme="minorHAnsi"/>
          <w:sz w:val="26"/>
          <w:szCs w:val="26"/>
        </w:rPr>
      </w:pPr>
    </w:p>
    <w:p w:rsidR="00382A3C" w:rsidRDefault="0021544B" w:rsidP="00397668">
      <w:pPr>
        <w:spacing w:line="288" w:lineRule="auto"/>
        <w:jc w:val="both"/>
        <w:rPr>
          <w:rFonts w:asciiTheme="minorHAnsi" w:hAnsiTheme="minorHAnsi" w:cstheme="minorHAnsi"/>
          <w:sz w:val="26"/>
          <w:szCs w:val="26"/>
        </w:rPr>
      </w:pPr>
      <w:r>
        <w:rPr>
          <w:rFonts w:asciiTheme="minorHAnsi" w:hAnsiTheme="minorHAnsi" w:cstheme="minorHAnsi"/>
          <w:sz w:val="26"/>
          <w:szCs w:val="26"/>
        </w:rPr>
        <w:t>Si l’on retient l’application du règlement à l’égard de l’acte sous seing privé signé par les époux</w:t>
      </w:r>
      <w:r w:rsidR="006A6D1B">
        <w:rPr>
          <w:rFonts w:asciiTheme="minorHAnsi" w:hAnsiTheme="minorHAnsi" w:cstheme="minorHAnsi"/>
          <w:sz w:val="26"/>
          <w:szCs w:val="26"/>
        </w:rPr>
        <w:t xml:space="preserve"> en Californie en 2020, </w:t>
      </w:r>
      <w:r w:rsidR="00382A3C">
        <w:rPr>
          <w:rFonts w:asciiTheme="minorHAnsi" w:hAnsiTheme="minorHAnsi" w:cstheme="minorHAnsi"/>
          <w:sz w:val="26"/>
          <w:szCs w:val="26"/>
        </w:rPr>
        <w:t>l’analyse conflictuelle impose de vérifier</w:t>
      </w:r>
      <w:r w:rsidR="006A6D1B">
        <w:rPr>
          <w:rFonts w:asciiTheme="minorHAnsi" w:hAnsiTheme="minorHAnsi" w:cstheme="minorHAnsi"/>
          <w:sz w:val="26"/>
          <w:szCs w:val="26"/>
        </w:rPr>
        <w:t xml:space="preserve"> en présence d’une clause de choix de loi</w:t>
      </w:r>
      <w:r w:rsidR="00382A3C">
        <w:rPr>
          <w:rFonts w:asciiTheme="minorHAnsi" w:hAnsiTheme="minorHAnsi" w:cstheme="minorHAnsi"/>
          <w:sz w:val="26"/>
          <w:szCs w:val="26"/>
        </w:rPr>
        <w:t xml:space="preserve"> si les époux pouvaient légitimement effectuer un choix en faveur de la loi retenue. Dès lors que les époux ont choisi de se soumettre à la loi de la nationalité ou de la résidence habituelle de l’un d’entre eux, </w:t>
      </w:r>
      <w:r w:rsidR="006A6D1B">
        <w:rPr>
          <w:rFonts w:asciiTheme="minorHAnsi" w:hAnsiTheme="minorHAnsi" w:cstheme="minorHAnsi"/>
          <w:sz w:val="26"/>
          <w:szCs w:val="26"/>
        </w:rPr>
        <w:t>le choix de loi se justifie pleinement au regard de l’article 22. Quant aux exigences formelles, on a déjà souligné que les articles 23 et 25 n’imposaient pas le respect d’exigences formelles particulières lorsque les deux époux résident sur le territoire d’un Etat tiers lors de la conclusion de l’acte. Il n’en ira autrement que si les époux ont choisi de se soumettre au droit d’un Etat membre. Dans ce cas, le respect des exigences imposées par le droit de cet Etat doit être vérifié. Il est à craindre que dans ce cas, les époux ne puissent échapper à l’obligation de recourir à un acte notarié.</w:t>
      </w:r>
    </w:p>
    <w:p w:rsidR="006853C8" w:rsidRDefault="006853C8" w:rsidP="00397668">
      <w:pPr>
        <w:spacing w:line="288" w:lineRule="auto"/>
        <w:jc w:val="both"/>
        <w:rPr>
          <w:rFonts w:asciiTheme="minorHAnsi" w:hAnsiTheme="minorHAnsi" w:cstheme="minorHAnsi"/>
          <w:sz w:val="26"/>
          <w:szCs w:val="26"/>
        </w:rPr>
      </w:pPr>
    </w:p>
    <w:p w:rsidR="0060358C" w:rsidRPr="0060358C" w:rsidRDefault="0060358C" w:rsidP="00397668">
      <w:pPr>
        <w:spacing w:line="288" w:lineRule="auto"/>
        <w:jc w:val="both"/>
        <w:rPr>
          <w:rFonts w:asciiTheme="minorHAnsi" w:hAnsiTheme="minorHAnsi" w:cstheme="minorHAnsi"/>
          <w:b/>
          <w:sz w:val="26"/>
          <w:szCs w:val="26"/>
        </w:rPr>
      </w:pPr>
      <w:r w:rsidRPr="0060358C">
        <w:rPr>
          <w:rFonts w:asciiTheme="minorHAnsi" w:hAnsiTheme="minorHAnsi" w:cstheme="minorHAnsi"/>
          <w:b/>
          <w:sz w:val="26"/>
          <w:szCs w:val="26"/>
        </w:rPr>
        <w:t>Conclusion</w:t>
      </w:r>
    </w:p>
    <w:p w:rsidR="0060358C" w:rsidRDefault="0060358C" w:rsidP="00397668">
      <w:pPr>
        <w:spacing w:line="288" w:lineRule="auto"/>
        <w:jc w:val="both"/>
        <w:rPr>
          <w:rFonts w:asciiTheme="minorHAnsi" w:hAnsiTheme="minorHAnsi" w:cstheme="minorHAnsi"/>
          <w:sz w:val="26"/>
          <w:szCs w:val="26"/>
        </w:rPr>
      </w:pPr>
    </w:p>
    <w:p w:rsidR="0060358C" w:rsidRDefault="0014618E" w:rsidP="00397668">
      <w:pPr>
        <w:spacing w:line="288" w:lineRule="auto"/>
        <w:jc w:val="both"/>
        <w:rPr>
          <w:rFonts w:asciiTheme="minorHAnsi" w:hAnsiTheme="minorHAnsi" w:cstheme="minorHAnsi"/>
          <w:sz w:val="26"/>
          <w:szCs w:val="26"/>
        </w:rPr>
      </w:pPr>
      <w:r>
        <w:rPr>
          <w:rFonts w:asciiTheme="minorHAnsi" w:hAnsiTheme="minorHAnsi" w:cstheme="minorHAnsi"/>
          <w:sz w:val="26"/>
          <w:szCs w:val="26"/>
        </w:rPr>
        <w:t>L’</w:t>
      </w:r>
      <w:r w:rsidR="0060358C">
        <w:rPr>
          <w:rFonts w:asciiTheme="minorHAnsi" w:hAnsiTheme="minorHAnsi" w:cstheme="minorHAnsi"/>
          <w:sz w:val="26"/>
          <w:szCs w:val="26"/>
        </w:rPr>
        <w:t>entrée en vigueur du règlement européen relatif aux relation patrimoniales de couple</w:t>
      </w:r>
      <w:r>
        <w:rPr>
          <w:rFonts w:asciiTheme="minorHAnsi" w:hAnsiTheme="minorHAnsi" w:cstheme="minorHAnsi"/>
          <w:sz w:val="26"/>
          <w:szCs w:val="26"/>
        </w:rPr>
        <w:t xml:space="preserve"> n’apporte que peu d’innovation au droit international privé des régimes matrimoniaux. Dans l’ensemble les grands principes déjà bien connu</w:t>
      </w:r>
      <w:r w:rsidR="00442686">
        <w:rPr>
          <w:rFonts w:asciiTheme="minorHAnsi" w:hAnsiTheme="minorHAnsi" w:cstheme="minorHAnsi"/>
          <w:sz w:val="26"/>
          <w:szCs w:val="26"/>
        </w:rPr>
        <w:t>s</w:t>
      </w:r>
      <w:r>
        <w:rPr>
          <w:rFonts w:asciiTheme="minorHAnsi" w:hAnsiTheme="minorHAnsi" w:cstheme="minorHAnsi"/>
          <w:sz w:val="26"/>
          <w:szCs w:val="26"/>
        </w:rPr>
        <w:t xml:space="preserve"> de la pratique belge sont maintenus : d’une part</w:t>
      </w:r>
      <w:r w:rsidR="00442686">
        <w:rPr>
          <w:rFonts w:asciiTheme="minorHAnsi" w:hAnsiTheme="minorHAnsi" w:cstheme="minorHAnsi"/>
          <w:sz w:val="26"/>
          <w:szCs w:val="26"/>
        </w:rPr>
        <w:t>,</w:t>
      </w:r>
      <w:r>
        <w:rPr>
          <w:rFonts w:asciiTheme="minorHAnsi" w:hAnsiTheme="minorHAnsi" w:cstheme="minorHAnsi"/>
          <w:sz w:val="26"/>
          <w:szCs w:val="26"/>
        </w:rPr>
        <w:t xml:space="preserve"> l’importance du choix de loi qui peut utilement accompagner tout contrat de mariage et</w:t>
      </w:r>
      <w:r w:rsidR="00442686">
        <w:rPr>
          <w:rFonts w:asciiTheme="minorHAnsi" w:hAnsiTheme="minorHAnsi" w:cstheme="minorHAnsi"/>
          <w:sz w:val="26"/>
          <w:szCs w:val="26"/>
        </w:rPr>
        <w:t>,</w:t>
      </w:r>
      <w:r>
        <w:rPr>
          <w:rFonts w:asciiTheme="minorHAnsi" w:hAnsiTheme="minorHAnsi" w:cstheme="minorHAnsi"/>
          <w:sz w:val="26"/>
          <w:szCs w:val="26"/>
        </w:rPr>
        <w:t xml:space="preserve"> d’autre part</w:t>
      </w:r>
      <w:r w:rsidR="00442686">
        <w:rPr>
          <w:rFonts w:asciiTheme="minorHAnsi" w:hAnsiTheme="minorHAnsi" w:cstheme="minorHAnsi"/>
          <w:sz w:val="26"/>
          <w:szCs w:val="26"/>
        </w:rPr>
        <w:t>,</w:t>
      </w:r>
      <w:r>
        <w:rPr>
          <w:rFonts w:asciiTheme="minorHAnsi" w:hAnsiTheme="minorHAnsi" w:cstheme="minorHAnsi"/>
          <w:sz w:val="26"/>
          <w:szCs w:val="26"/>
        </w:rPr>
        <w:t xml:space="preserve"> la primauté de la loi de l’Etat où les époux ont établi leur première résidence habituelle après le mariage. En outre, les nouvelles règles ne s’appliqueront que très progressivement aux époux en raison de l’approche prudente adoptée par le législateur </w:t>
      </w:r>
      <w:r w:rsidR="00EA6484">
        <w:rPr>
          <w:rFonts w:asciiTheme="minorHAnsi" w:hAnsiTheme="minorHAnsi" w:cstheme="minorHAnsi"/>
          <w:sz w:val="26"/>
          <w:szCs w:val="26"/>
        </w:rPr>
        <w:t>européen en matière de dro</w:t>
      </w:r>
      <w:r>
        <w:rPr>
          <w:rFonts w:asciiTheme="minorHAnsi" w:hAnsiTheme="minorHAnsi" w:cstheme="minorHAnsi"/>
          <w:sz w:val="26"/>
          <w:szCs w:val="26"/>
        </w:rPr>
        <w:t>it transitoire.</w:t>
      </w:r>
    </w:p>
    <w:p w:rsidR="00442686" w:rsidRDefault="00442686" w:rsidP="00397668">
      <w:pPr>
        <w:spacing w:line="288" w:lineRule="auto"/>
        <w:jc w:val="both"/>
        <w:rPr>
          <w:rFonts w:asciiTheme="minorHAnsi" w:hAnsiTheme="minorHAnsi" w:cstheme="minorHAnsi"/>
          <w:sz w:val="26"/>
          <w:szCs w:val="26"/>
        </w:rPr>
      </w:pPr>
    </w:p>
    <w:p w:rsidR="0044779E" w:rsidRDefault="0014618E" w:rsidP="00A549B7">
      <w:pPr>
        <w:spacing w:line="288" w:lineRule="auto"/>
        <w:jc w:val="both"/>
        <w:rPr>
          <w:rFonts w:asciiTheme="minorHAnsi" w:hAnsiTheme="minorHAnsi" w:cstheme="minorHAnsi"/>
          <w:sz w:val="26"/>
          <w:szCs w:val="26"/>
        </w:rPr>
      </w:pPr>
      <w:r>
        <w:rPr>
          <w:rFonts w:asciiTheme="minorHAnsi" w:hAnsiTheme="minorHAnsi" w:cstheme="minorHAnsi"/>
          <w:sz w:val="26"/>
          <w:szCs w:val="26"/>
        </w:rPr>
        <w:t xml:space="preserve">Pour autant, il est essentiel de se familiariser sans tarder avec les </w:t>
      </w:r>
      <w:r w:rsidR="0044779E">
        <w:rPr>
          <w:rFonts w:asciiTheme="minorHAnsi" w:hAnsiTheme="minorHAnsi" w:cstheme="minorHAnsi"/>
          <w:sz w:val="26"/>
          <w:szCs w:val="26"/>
        </w:rPr>
        <w:t xml:space="preserve">règles européennes. </w:t>
      </w:r>
      <w:r w:rsidR="00EA6484">
        <w:rPr>
          <w:rFonts w:asciiTheme="minorHAnsi" w:hAnsiTheme="minorHAnsi" w:cstheme="minorHAnsi"/>
          <w:sz w:val="26"/>
          <w:szCs w:val="26"/>
        </w:rPr>
        <w:t>Les solutions de droit transitoire retenues p</w:t>
      </w:r>
      <w:r w:rsidR="005363FF">
        <w:rPr>
          <w:rFonts w:asciiTheme="minorHAnsi" w:hAnsiTheme="minorHAnsi" w:cstheme="minorHAnsi"/>
          <w:sz w:val="26"/>
          <w:szCs w:val="26"/>
        </w:rPr>
        <w:t>ar le législateur européen</w:t>
      </w:r>
      <w:r w:rsidR="00EA6484">
        <w:rPr>
          <w:rFonts w:asciiTheme="minorHAnsi" w:hAnsiTheme="minorHAnsi" w:cstheme="minorHAnsi"/>
          <w:sz w:val="26"/>
          <w:szCs w:val="26"/>
        </w:rPr>
        <w:t xml:space="preserve"> </w:t>
      </w:r>
      <w:r w:rsidR="0011325E">
        <w:rPr>
          <w:rFonts w:asciiTheme="minorHAnsi" w:hAnsiTheme="minorHAnsi" w:cstheme="minorHAnsi"/>
          <w:sz w:val="26"/>
          <w:szCs w:val="26"/>
        </w:rPr>
        <w:t>condui</w:t>
      </w:r>
      <w:r w:rsidR="00EA6484">
        <w:rPr>
          <w:rFonts w:asciiTheme="minorHAnsi" w:hAnsiTheme="minorHAnsi" w:cstheme="minorHAnsi"/>
          <w:sz w:val="26"/>
          <w:szCs w:val="26"/>
        </w:rPr>
        <w:t>sen</w:t>
      </w:r>
      <w:r w:rsidR="0011325E">
        <w:rPr>
          <w:rFonts w:asciiTheme="minorHAnsi" w:hAnsiTheme="minorHAnsi" w:cstheme="minorHAnsi"/>
          <w:sz w:val="26"/>
          <w:szCs w:val="26"/>
        </w:rPr>
        <w:t>t en effet à une mise en œuvre à plusieurs vitesses. La mod</w:t>
      </w:r>
      <w:r w:rsidR="00EA6484">
        <w:rPr>
          <w:rFonts w:asciiTheme="minorHAnsi" w:hAnsiTheme="minorHAnsi" w:cstheme="minorHAnsi"/>
          <w:sz w:val="26"/>
          <w:szCs w:val="26"/>
        </w:rPr>
        <w:t>ification du régime matrimonial</w:t>
      </w:r>
      <w:r w:rsidR="0011325E">
        <w:rPr>
          <w:rFonts w:asciiTheme="minorHAnsi" w:hAnsiTheme="minorHAnsi" w:cstheme="minorHAnsi"/>
          <w:sz w:val="26"/>
          <w:szCs w:val="26"/>
        </w:rPr>
        <w:t xml:space="preserve"> constituera le premier point d’entrée pour la pratique belge. Dès lors que les é</w:t>
      </w:r>
      <w:r w:rsidR="0044779E">
        <w:rPr>
          <w:rFonts w:asciiTheme="minorHAnsi" w:hAnsiTheme="minorHAnsi" w:cstheme="minorHAnsi"/>
          <w:sz w:val="26"/>
          <w:szCs w:val="26"/>
        </w:rPr>
        <w:t xml:space="preserve">poux expriment un choix de loi à l’occasion d’une </w:t>
      </w:r>
      <w:r w:rsidR="00EA6484">
        <w:rPr>
          <w:rFonts w:asciiTheme="minorHAnsi" w:hAnsiTheme="minorHAnsi" w:cstheme="minorHAnsi"/>
          <w:sz w:val="26"/>
          <w:szCs w:val="26"/>
        </w:rPr>
        <w:t xml:space="preserve">telle </w:t>
      </w:r>
      <w:r w:rsidR="0044779E">
        <w:rPr>
          <w:rFonts w:asciiTheme="minorHAnsi" w:hAnsiTheme="minorHAnsi" w:cstheme="minorHAnsi"/>
          <w:sz w:val="26"/>
          <w:szCs w:val="26"/>
        </w:rPr>
        <w:t>modification</w:t>
      </w:r>
      <w:r w:rsidR="0011325E">
        <w:rPr>
          <w:rFonts w:asciiTheme="minorHAnsi" w:hAnsiTheme="minorHAnsi" w:cstheme="minorHAnsi"/>
          <w:sz w:val="26"/>
          <w:szCs w:val="26"/>
        </w:rPr>
        <w:t>, il faudra</w:t>
      </w:r>
      <w:r w:rsidR="0044779E">
        <w:rPr>
          <w:rFonts w:asciiTheme="minorHAnsi" w:hAnsiTheme="minorHAnsi" w:cstheme="minorHAnsi"/>
          <w:sz w:val="26"/>
          <w:szCs w:val="26"/>
        </w:rPr>
        <w:t xml:space="preserve"> tenir compte des </w:t>
      </w:r>
      <w:r w:rsidR="00EA6484">
        <w:rPr>
          <w:rFonts w:asciiTheme="minorHAnsi" w:hAnsiTheme="minorHAnsi" w:cstheme="minorHAnsi"/>
          <w:sz w:val="26"/>
          <w:szCs w:val="26"/>
        </w:rPr>
        <w:t>nouvelles</w:t>
      </w:r>
      <w:r w:rsidR="0044779E">
        <w:rPr>
          <w:rFonts w:asciiTheme="minorHAnsi" w:hAnsiTheme="minorHAnsi" w:cstheme="minorHAnsi"/>
          <w:sz w:val="26"/>
          <w:szCs w:val="26"/>
        </w:rPr>
        <w:t xml:space="preserve"> règles européennes. Celles-ci peuvent révéler quelques surprises, notamment lorsque l’on s’intéresse aux exigences formelles dont le respect s’impose. </w:t>
      </w:r>
      <w:r w:rsidR="00EA6484">
        <w:rPr>
          <w:rFonts w:asciiTheme="minorHAnsi" w:hAnsiTheme="minorHAnsi" w:cstheme="minorHAnsi"/>
          <w:sz w:val="26"/>
          <w:szCs w:val="26"/>
        </w:rPr>
        <w:t>Il est dans l’intérêt de toutes les parties de se saisi</w:t>
      </w:r>
      <w:r w:rsidR="001D66A1">
        <w:rPr>
          <w:rFonts w:asciiTheme="minorHAnsi" w:hAnsiTheme="minorHAnsi" w:cstheme="minorHAnsi"/>
          <w:sz w:val="26"/>
          <w:szCs w:val="26"/>
        </w:rPr>
        <w:t>r</w:t>
      </w:r>
      <w:r w:rsidR="00EA6484">
        <w:rPr>
          <w:rFonts w:asciiTheme="minorHAnsi" w:hAnsiTheme="minorHAnsi" w:cstheme="minorHAnsi"/>
          <w:sz w:val="26"/>
          <w:szCs w:val="26"/>
        </w:rPr>
        <w:t xml:space="preserve"> de cette occasion pour mettre en place par voie contractuelle un régime conforme aux prescrits européens. A certains égards, ceci exigera beaucoup d’habileté, le règlement laissant subsister </w:t>
      </w:r>
      <w:r w:rsidR="0044779E">
        <w:rPr>
          <w:rFonts w:asciiTheme="minorHAnsi" w:hAnsiTheme="minorHAnsi" w:cstheme="minorHAnsi"/>
          <w:sz w:val="26"/>
          <w:szCs w:val="26"/>
        </w:rPr>
        <w:t>quelques zones d’ombre.</w:t>
      </w:r>
      <w:r w:rsidR="00EA6484">
        <w:rPr>
          <w:rFonts w:asciiTheme="minorHAnsi" w:hAnsiTheme="minorHAnsi" w:cstheme="minorHAnsi"/>
          <w:sz w:val="26"/>
          <w:szCs w:val="26"/>
        </w:rPr>
        <w:t xml:space="preserve"> Gageons que la pratique saura naviguer </w:t>
      </w:r>
      <w:r w:rsidR="001D66A1">
        <w:rPr>
          <w:rFonts w:asciiTheme="minorHAnsi" w:hAnsiTheme="minorHAnsi" w:cstheme="minorHAnsi"/>
          <w:sz w:val="26"/>
          <w:szCs w:val="26"/>
        </w:rPr>
        <w:t xml:space="preserve">adroitement </w:t>
      </w:r>
      <w:r w:rsidR="00EA6484">
        <w:rPr>
          <w:rFonts w:asciiTheme="minorHAnsi" w:hAnsiTheme="minorHAnsi" w:cstheme="minorHAnsi"/>
          <w:sz w:val="26"/>
          <w:szCs w:val="26"/>
        </w:rPr>
        <w:t>dans les</w:t>
      </w:r>
      <w:r w:rsidR="001D66A1">
        <w:rPr>
          <w:rFonts w:asciiTheme="minorHAnsi" w:hAnsiTheme="minorHAnsi" w:cstheme="minorHAnsi"/>
          <w:sz w:val="26"/>
          <w:szCs w:val="26"/>
        </w:rPr>
        <w:t xml:space="preserve"> </w:t>
      </w:r>
      <w:r w:rsidR="0040724A">
        <w:rPr>
          <w:rFonts w:asciiTheme="minorHAnsi" w:hAnsiTheme="minorHAnsi" w:cstheme="minorHAnsi"/>
          <w:sz w:val="26"/>
          <w:szCs w:val="26"/>
        </w:rPr>
        <w:t>nouvelles eaux européenne</w:t>
      </w:r>
      <w:r w:rsidR="00E51275">
        <w:rPr>
          <w:rFonts w:asciiTheme="minorHAnsi" w:hAnsiTheme="minorHAnsi" w:cstheme="minorHAnsi"/>
          <w:sz w:val="26"/>
          <w:szCs w:val="26"/>
        </w:rPr>
        <w:t>s</w:t>
      </w:r>
      <w:bookmarkStart w:id="0" w:name="_GoBack"/>
      <w:bookmarkEnd w:id="0"/>
      <w:r w:rsidR="0040724A">
        <w:rPr>
          <w:rFonts w:asciiTheme="minorHAnsi" w:hAnsiTheme="minorHAnsi" w:cstheme="minorHAnsi"/>
          <w:sz w:val="26"/>
          <w:szCs w:val="26"/>
        </w:rPr>
        <w:t xml:space="preserve"> pour</w:t>
      </w:r>
      <w:r w:rsidR="001D66A1">
        <w:rPr>
          <w:rFonts w:asciiTheme="minorHAnsi" w:hAnsiTheme="minorHAnsi" w:cstheme="minorHAnsi"/>
          <w:sz w:val="26"/>
          <w:szCs w:val="26"/>
        </w:rPr>
        <w:t xml:space="preserve"> offrir </w:t>
      </w:r>
      <w:r w:rsidR="0040724A">
        <w:rPr>
          <w:rFonts w:asciiTheme="minorHAnsi" w:hAnsiTheme="minorHAnsi" w:cstheme="minorHAnsi"/>
          <w:sz w:val="26"/>
          <w:szCs w:val="26"/>
        </w:rPr>
        <w:t>aux époux la solution la mieux adaptée à leurs besoins.</w:t>
      </w:r>
    </w:p>
    <w:p w:rsidR="008400E6" w:rsidRPr="00A549B7" w:rsidRDefault="008400E6" w:rsidP="00A549B7">
      <w:pPr>
        <w:spacing w:line="288" w:lineRule="auto"/>
        <w:jc w:val="both"/>
        <w:rPr>
          <w:rFonts w:asciiTheme="minorHAnsi" w:hAnsiTheme="minorHAnsi" w:cstheme="minorHAnsi"/>
          <w:sz w:val="26"/>
          <w:szCs w:val="26"/>
        </w:rPr>
      </w:pPr>
    </w:p>
    <w:sectPr w:rsidR="008400E6" w:rsidRPr="00A54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32" w:rsidRDefault="008F3832" w:rsidP="006769EF">
      <w:r>
        <w:separator/>
      </w:r>
    </w:p>
  </w:endnote>
  <w:endnote w:type="continuationSeparator" w:id="0">
    <w:p w:rsidR="008F3832" w:rsidRDefault="008F3832" w:rsidP="0067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32" w:rsidRDefault="008F3832" w:rsidP="006769EF">
      <w:r>
        <w:separator/>
      </w:r>
    </w:p>
  </w:footnote>
  <w:footnote w:type="continuationSeparator" w:id="0">
    <w:p w:rsidR="008F3832" w:rsidRDefault="008F3832" w:rsidP="006769EF">
      <w:r>
        <w:continuationSeparator/>
      </w:r>
    </w:p>
  </w:footnote>
  <w:footnote w:id="1">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Règlement (UE) 2016/1103 du Conseil du 24 juin 2016 mettant en œuvre une coopération renforcée dans le domaine de la compétence, de la loi applicable, de la reconnaissance et de l’exécution des décisions en matière de régimes matrimoniaux, </w:t>
      </w:r>
      <w:r w:rsidRPr="00A248D7">
        <w:rPr>
          <w:rFonts w:cstheme="minorHAnsi"/>
          <w:i/>
        </w:rPr>
        <w:t>J.O.</w:t>
      </w:r>
      <w:r w:rsidRPr="00A248D7">
        <w:rPr>
          <w:rFonts w:cstheme="minorHAnsi"/>
        </w:rPr>
        <w:t>, 8 juillet 2016, L-183/1.</w:t>
      </w:r>
    </w:p>
  </w:footnote>
  <w:footnote w:id="2">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Règlement (UE) 2016/1104 du Conseil du 24 juin 2016 mettant en œuvre une coopération renforcée dans le domaine de la compétence, de la loi applicable, de la reconnaissance et de l’exécution des décisions en matière d’effets patrimoniaux des partenariats enregistrés, </w:t>
      </w:r>
      <w:r w:rsidRPr="00A248D7">
        <w:rPr>
          <w:rFonts w:cstheme="minorHAnsi"/>
          <w:i/>
        </w:rPr>
        <w:t>J.O.</w:t>
      </w:r>
      <w:r w:rsidRPr="00A248D7">
        <w:rPr>
          <w:rFonts w:cstheme="minorHAnsi"/>
        </w:rPr>
        <w:t>, 8 juillet 2016, L-183/30.</w:t>
      </w:r>
    </w:p>
  </w:footnote>
  <w:footnote w:id="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Les deux règlements n’ont pu recueillir l’approbation de l’ensemble des Etats membres. Il a dès lors été nécessaire d’emprunter la procédure de coopération renforcée pour qu’aboutisse le processus d’adoption des deux textes. Seuls 18 Etats membres sont liés par les deux règlements. Pour la pratique belge, ce mode d’adoption particulier n’a guère d’importance : les deux règlements constituent le droit international privé en vigueur en Belgique, sans qu’il soit besoin de vérifier si l’Etat de la nationalité des époux ou partenaires, l’Etat du lieu où le mariage a été célébré ou celui de la résidence du couple ou encore l’Etat où se situe le patrimoine des membres du couple est bien un Etat membre lié par les règlements. Ces derniers s’appliquent en effet sans aucune condition de réciprocité.</w:t>
      </w:r>
    </w:p>
  </w:footnote>
  <w:footnote w:id="4">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le Règlement (UE) N° 650/2012 du Parlement européen et du Conseil du 4 juillet 2012 relatif à la compétence, la loi applicable, la reconnaissance et l’exécution des décisions, et l’acceptation et l’exécution des actes authentiques en matière de successions et à la création d’un certificat successoral européen, </w:t>
      </w:r>
      <w:r w:rsidRPr="00A248D7">
        <w:rPr>
          <w:rFonts w:cstheme="minorHAnsi"/>
          <w:i/>
        </w:rPr>
        <w:t>J.O.</w:t>
      </w:r>
      <w:r w:rsidRPr="00A248D7">
        <w:rPr>
          <w:rFonts w:cstheme="minorHAnsi"/>
        </w:rPr>
        <w:t>, 27 juillet 2012, L-201/7.</w:t>
      </w:r>
    </w:p>
  </w:footnote>
  <w:footnote w:id="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L’article 69 du Règlement a fait l’objet d’un correctif. La version initiale du règlement précisait que le mariage ou la désignation de la loi applicable devait avoir lieu « après le 29 janvier 2019 ». La version corrigée prévoit que « Le chapitre III n'est applicable qu'aux époux qui se sont mariés ou qui ont désigné la loi applicable à leur régime matrimonial </w:t>
      </w:r>
      <w:r w:rsidRPr="00A248D7">
        <w:rPr>
          <w:rFonts w:cstheme="minorHAnsi"/>
          <w:i/>
        </w:rPr>
        <w:t>à partir du</w:t>
      </w:r>
      <w:r w:rsidRPr="00A248D7">
        <w:rPr>
          <w:rFonts w:cstheme="minorHAnsi"/>
        </w:rPr>
        <w:t xml:space="preserve"> 29 janvier 2019 » : </w:t>
      </w:r>
      <w:r w:rsidRPr="00A248D7">
        <w:rPr>
          <w:rFonts w:cstheme="minorHAnsi"/>
          <w:bCs/>
        </w:rPr>
        <w:t xml:space="preserve">Rectificatif au règlement (UE) 2016/1103 du Conseil du 24 juin 2016 mettant en œuvre une coopération renforcée dans le domaine de la compétence, de la loi applicable, de la reconnaissance et de l'exécution des décisions en matière de régimes matrimoniaux, </w:t>
      </w:r>
      <w:r w:rsidRPr="00A248D7">
        <w:rPr>
          <w:rFonts w:cstheme="minorHAnsi"/>
          <w:bCs/>
          <w:i/>
        </w:rPr>
        <w:t>J.O.</w:t>
      </w:r>
      <w:r w:rsidRPr="00A248D7">
        <w:rPr>
          <w:rFonts w:cstheme="minorHAnsi"/>
          <w:bCs/>
        </w:rPr>
        <w:t>, 29 avril 2017, L-113/62.</w:t>
      </w:r>
    </w:p>
  </w:footnote>
  <w:footnote w:id="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par exemple Liège (1</w:t>
      </w:r>
      <w:r w:rsidRPr="00A248D7">
        <w:rPr>
          <w:rFonts w:cstheme="minorHAnsi"/>
          <w:vertAlign w:val="superscript"/>
        </w:rPr>
        <w:t>ère</w:t>
      </w:r>
      <w:r w:rsidRPr="00A248D7">
        <w:rPr>
          <w:rFonts w:cstheme="minorHAnsi"/>
        </w:rPr>
        <w:t xml:space="preserve"> ch.), 22 octobre 2014, </w:t>
      </w:r>
      <w:r w:rsidRPr="00A248D7">
        <w:rPr>
          <w:rFonts w:cstheme="minorHAnsi"/>
          <w:i/>
        </w:rPr>
        <w:t>Rev. trim. dr. fam.</w:t>
      </w:r>
      <w:r w:rsidRPr="00A248D7">
        <w:rPr>
          <w:rFonts w:cstheme="minorHAnsi"/>
        </w:rPr>
        <w:t xml:space="preserve">, 2015, p. 559 (la Cour relève que les règles de conflit contenues dans le Code « ne s’appliquent qu’aux régimes matrimoniaux issus de mariages célébrés après le 1er octobre 2004… ». Dans la littérature, cf. par ex. J. </w:t>
      </w:r>
      <w:r w:rsidRPr="00A248D7">
        <w:rPr>
          <w:rFonts w:cstheme="minorHAnsi"/>
          <w:smallCaps/>
        </w:rPr>
        <w:t>Erauw</w:t>
      </w:r>
      <w:r w:rsidRPr="00A248D7">
        <w:rPr>
          <w:rFonts w:cstheme="minorHAnsi"/>
        </w:rPr>
        <w:t xml:space="preserve"> et </w:t>
      </w:r>
      <w:r w:rsidRPr="00A248D7">
        <w:rPr>
          <w:rFonts w:cstheme="minorHAnsi"/>
          <w:smallCaps/>
        </w:rPr>
        <w:t>H. Storme</w:t>
      </w:r>
      <w:r w:rsidRPr="00A248D7">
        <w:rPr>
          <w:rFonts w:cstheme="minorHAnsi"/>
        </w:rPr>
        <w:t xml:space="preserve">, </w:t>
      </w:r>
      <w:r w:rsidRPr="00A248D7">
        <w:rPr>
          <w:rFonts w:cstheme="minorHAnsi"/>
          <w:i/>
        </w:rPr>
        <w:t>Internationaal privaatrecht</w:t>
      </w:r>
      <w:r w:rsidRPr="00A248D7">
        <w:rPr>
          <w:rFonts w:cstheme="minorHAnsi"/>
        </w:rPr>
        <w:t xml:space="preserve">, Kluwer, 2009, p. 531-532, n° 439 ; </w:t>
      </w:r>
      <w:r w:rsidRPr="00A248D7">
        <w:rPr>
          <w:rFonts w:cstheme="minorHAnsi"/>
          <w:smallCaps/>
        </w:rPr>
        <w:t>J.-L. van Boxstael</w:t>
      </w:r>
      <w:r w:rsidRPr="00A248D7">
        <w:rPr>
          <w:rFonts w:cstheme="minorHAnsi"/>
        </w:rPr>
        <w:t xml:space="preserve">, « Le régime matrimonial dans l’espace-temps. Brèves excursions à travers les planètes », </w:t>
      </w:r>
      <w:r w:rsidRPr="00A248D7">
        <w:rPr>
          <w:rFonts w:cstheme="minorHAnsi"/>
          <w:i/>
        </w:rPr>
        <w:t>Rev. not. b.</w:t>
      </w:r>
      <w:r w:rsidRPr="00A248D7">
        <w:rPr>
          <w:rFonts w:cstheme="minorHAnsi"/>
        </w:rPr>
        <w:t xml:space="preserve">, 2006, p. 312, n° 2 ; L. </w:t>
      </w:r>
      <w:r w:rsidRPr="00A248D7">
        <w:rPr>
          <w:rFonts w:cstheme="minorHAnsi"/>
          <w:smallCaps/>
        </w:rPr>
        <w:t>Barnich</w:t>
      </w:r>
      <w:r w:rsidRPr="00A248D7">
        <w:rPr>
          <w:rFonts w:cstheme="minorHAnsi"/>
        </w:rPr>
        <w:t xml:space="preserve">, « Présentation du nouveau Code belge de D.I.P. », </w:t>
      </w:r>
      <w:r w:rsidRPr="00A248D7">
        <w:rPr>
          <w:rFonts w:cstheme="minorHAnsi"/>
          <w:i/>
          <w:iCs/>
        </w:rPr>
        <w:t xml:space="preserve">Rev. not. b., </w:t>
      </w:r>
      <w:r w:rsidRPr="00A248D7">
        <w:rPr>
          <w:rFonts w:cstheme="minorHAnsi"/>
        </w:rPr>
        <w:t>2005, p. 37 (M. Barnich s’étonnait que cette règle ne figure pas expressément dans le Code).</w:t>
      </w:r>
    </w:p>
  </w:footnote>
  <w:footnote w:id="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Réserve doit toutefois être faite des époux mariés avant le 1</w:t>
      </w:r>
      <w:r w:rsidRPr="00A248D7">
        <w:rPr>
          <w:rFonts w:cstheme="minorHAnsi"/>
          <w:vertAlign w:val="superscript"/>
        </w:rPr>
        <w:t>er</w:t>
      </w:r>
      <w:r w:rsidRPr="00A248D7">
        <w:rPr>
          <w:rFonts w:cstheme="minorHAnsi"/>
        </w:rPr>
        <w:t xml:space="preserve"> octobre 2004 et qui ont avant cette date effectué un choix de loi. Comme l’a souligné la Cour d’appel de Liège en 2014, un choix de droit applicable effectué par les parties avant le 1</w:t>
      </w:r>
      <w:r w:rsidRPr="00A248D7">
        <w:rPr>
          <w:rFonts w:cstheme="minorHAnsi"/>
          <w:vertAlign w:val="superscript"/>
        </w:rPr>
        <w:t>er</w:t>
      </w:r>
      <w:r w:rsidRPr="00A248D7">
        <w:rPr>
          <w:rFonts w:cstheme="minorHAnsi"/>
        </w:rPr>
        <w:t xml:space="preserve"> octobre 2004 est valable s’il répond aux exigences du Code (Liège (1</w:t>
      </w:r>
      <w:r w:rsidRPr="00A248D7">
        <w:rPr>
          <w:rFonts w:cstheme="minorHAnsi"/>
          <w:vertAlign w:val="superscript"/>
        </w:rPr>
        <w:t>ère</w:t>
      </w:r>
      <w:r w:rsidRPr="00A248D7">
        <w:rPr>
          <w:rFonts w:cstheme="minorHAnsi"/>
        </w:rPr>
        <w:t xml:space="preserve"> ch.), 22 octobre 2014, </w:t>
      </w:r>
      <w:r w:rsidRPr="00A248D7">
        <w:rPr>
          <w:rFonts w:cstheme="minorHAnsi"/>
          <w:i/>
        </w:rPr>
        <w:t>Rev. trim. dr. fam.</w:t>
      </w:r>
      <w:r w:rsidRPr="00A248D7">
        <w:rPr>
          <w:rFonts w:cstheme="minorHAnsi"/>
        </w:rPr>
        <w:t>, 2015, p. 559). Ceci se déduit de l’article 127, par. 2 du Code (</w:t>
      </w:r>
      <w:r w:rsidRPr="00A248D7">
        <w:rPr>
          <w:rFonts w:cstheme="minorHAnsi"/>
          <w:smallCaps/>
        </w:rPr>
        <w:t>J.-L. van Boxstael</w:t>
      </w:r>
      <w:r w:rsidRPr="00A248D7">
        <w:rPr>
          <w:rFonts w:cstheme="minorHAnsi"/>
        </w:rPr>
        <w:t xml:space="preserve">, </w:t>
      </w:r>
      <w:r w:rsidRPr="00A248D7">
        <w:rPr>
          <w:rFonts w:cstheme="minorHAnsi"/>
          <w:i/>
        </w:rPr>
        <w:t>DIP. Premiers commentaires</w:t>
      </w:r>
      <w:r w:rsidRPr="00A248D7">
        <w:rPr>
          <w:rFonts w:cstheme="minorHAnsi"/>
        </w:rPr>
        <w:t>, Larcier, 2018, p. 330, n° 357). Dès lors que le choix de loi antérieur au 1</w:t>
      </w:r>
      <w:r w:rsidRPr="00A248D7">
        <w:rPr>
          <w:rFonts w:cstheme="minorHAnsi"/>
          <w:vertAlign w:val="superscript"/>
        </w:rPr>
        <w:t>er</w:t>
      </w:r>
      <w:r w:rsidRPr="00A248D7">
        <w:rPr>
          <w:rFonts w:cstheme="minorHAnsi"/>
        </w:rPr>
        <w:t xml:space="preserve"> octobre 2004 est appréhendé par le Code, c’est l’ensemble de la relation entre époux qui échappe aux anciennes règles pour glisser sous le Code. En effet, le choix de loi concernera en règle l’ensemble de la relation entre époux. Il ne se conçoit dès lors pas d’isoler le choix de loi et de réserver l’application du Code à cette seule disposition, à l’exclusion des autres questions.</w:t>
      </w:r>
    </w:p>
  </w:footnote>
  <w:footnote w:id="8">
    <w:p w:rsidR="00A248D7" w:rsidRPr="00A248D7" w:rsidRDefault="005A7CF8" w:rsidP="00A76186">
      <w:pPr>
        <w:pStyle w:val="Corpsdetexte"/>
        <w:spacing w:after="0" w:line="240" w:lineRule="auto"/>
        <w:jc w:val="both"/>
        <w:rPr>
          <w:rFonts w:asciiTheme="minorHAnsi" w:hAnsiTheme="minorHAnsi" w:cstheme="minorHAnsi"/>
          <w:sz w:val="20"/>
          <w:szCs w:val="20"/>
        </w:rPr>
      </w:pPr>
      <w:r w:rsidRPr="00A248D7">
        <w:rPr>
          <w:rStyle w:val="Appelnotedebasdep"/>
          <w:rFonts w:asciiTheme="minorHAnsi" w:hAnsiTheme="minorHAnsi" w:cstheme="minorHAnsi"/>
          <w:sz w:val="20"/>
          <w:szCs w:val="20"/>
        </w:rPr>
        <w:footnoteRef/>
      </w:r>
      <w:r w:rsidRPr="00A248D7">
        <w:rPr>
          <w:rFonts w:asciiTheme="minorHAnsi" w:hAnsiTheme="minorHAnsi" w:cstheme="minorHAnsi"/>
          <w:sz w:val="20"/>
          <w:szCs w:val="20"/>
        </w:rPr>
        <w:t xml:space="preserve"> Le lecteur qui souhaite une information plus complète se reportera à la littérature déjà abondante relative aux règlements. Parmi les contributions publiées en Belgique, on notera L. </w:t>
      </w:r>
      <w:r w:rsidRPr="00A248D7">
        <w:rPr>
          <w:rFonts w:asciiTheme="minorHAnsi" w:hAnsiTheme="minorHAnsi" w:cstheme="minorHAnsi"/>
          <w:smallCaps/>
          <w:sz w:val="20"/>
          <w:szCs w:val="20"/>
        </w:rPr>
        <w:t xml:space="preserve">Barnich, </w:t>
      </w:r>
      <w:r w:rsidRPr="00A248D7">
        <w:rPr>
          <w:rFonts w:asciiTheme="minorHAnsi" w:hAnsiTheme="minorHAnsi" w:cstheme="minorHAnsi"/>
          <w:sz w:val="20"/>
          <w:szCs w:val="20"/>
        </w:rPr>
        <w:t xml:space="preserve">« Deux nouveaux règlements européens de droit international privé : quelques changements à venir en matière de régimes matrimoniaux et de partenariats », </w:t>
      </w:r>
      <w:r w:rsidRPr="00A248D7">
        <w:rPr>
          <w:rFonts w:asciiTheme="minorHAnsi" w:hAnsiTheme="minorHAnsi" w:cstheme="minorHAnsi"/>
          <w:i/>
          <w:iCs/>
          <w:sz w:val="20"/>
          <w:szCs w:val="20"/>
        </w:rPr>
        <w:t>Rev. not.</w:t>
      </w:r>
      <w:r w:rsidRPr="00A248D7">
        <w:rPr>
          <w:rFonts w:asciiTheme="minorHAnsi" w:hAnsiTheme="minorHAnsi" w:cstheme="minorHAnsi"/>
          <w:sz w:val="20"/>
          <w:szCs w:val="20"/>
        </w:rPr>
        <w:t xml:space="preserve">, 2017, pp. 146-179 ; L. </w:t>
      </w:r>
      <w:r w:rsidRPr="00A248D7">
        <w:rPr>
          <w:rFonts w:asciiTheme="minorHAnsi" w:hAnsiTheme="minorHAnsi" w:cstheme="minorHAnsi"/>
          <w:smallCaps/>
          <w:kern w:val="24"/>
          <w:sz w:val="20"/>
          <w:szCs w:val="20"/>
        </w:rPr>
        <w:t>Barnich,</w:t>
      </w:r>
      <w:r w:rsidRPr="00A248D7">
        <w:rPr>
          <w:rFonts w:asciiTheme="minorHAnsi" w:hAnsiTheme="minorHAnsi" w:cstheme="minorHAnsi"/>
          <w:sz w:val="20"/>
          <w:szCs w:val="20"/>
        </w:rPr>
        <w:t xml:space="preserve"> « La réforme des régimes matrimoniaux en droit international privé », in : </w:t>
      </w:r>
      <w:r w:rsidRPr="00A248D7">
        <w:rPr>
          <w:rFonts w:asciiTheme="minorHAnsi" w:hAnsiTheme="minorHAnsi" w:cstheme="minorHAnsi"/>
          <w:smallCaps/>
          <w:kern w:val="24"/>
          <w:sz w:val="20"/>
          <w:szCs w:val="20"/>
        </w:rPr>
        <w:t>M. van Molle</w:t>
      </w:r>
      <w:r w:rsidRPr="00A248D7">
        <w:rPr>
          <w:rFonts w:asciiTheme="minorHAnsi" w:hAnsiTheme="minorHAnsi" w:cstheme="minorHAnsi"/>
          <w:sz w:val="20"/>
          <w:szCs w:val="20"/>
        </w:rPr>
        <w:t xml:space="preserve"> (éd.), </w:t>
      </w:r>
      <w:r w:rsidRPr="00A248D7">
        <w:rPr>
          <w:rFonts w:asciiTheme="minorHAnsi" w:hAnsiTheme="minorHAnsi" w:cstheme="minorHAnsi"/>
          <w:i/>
          <w:sz w:val="20"/>
          <w:szCs w:val="20"/>
        </w:rPr>
        <w:t>La réforme des régimes matrimoniaux en pratique</w:t>
      </w:r>
      <w:r w:rsidRPr="00A248D7">
        <w:rPr>
          <w:rFonts w:asciiTheme="minorHAnsi" w:hAnsiTheme="minorHAnsi" w:cstheme="minorHAnsi"/>
          <w:sz w:val="20"/>
          <w:szCs w:val="20"/>
        </w:rPr>
        <w:t xml:space="preserve">, Anthémis, 2019, pp. 187-214 ; A. </w:t>
      </w:r>
      <w:r w:rsidRPr="00A248D7">
        <w:rPr>
          <w:rFonts w:asciiTheme="minorHAnsi" w:hAnsiTheme="minorHAnsi" w:cstheme="minorHAnsi"/>
          <w:smallCaps/>
          <w:sz w:val="20"/>
          <w:szCs w:val="20"/>
        </w:rPr>
        <w:t>Faucon Alonso</w:t>
      </w:r>
      <w:r w:rsidRPr="00A248D7">
        <w:rPr>
          <w:rFonts w:asciiTheme="minorHAnsi" w:hAnsiTheme="minorHAnsi" w:cstheme="minorHAnsi"/>
          <w:sz w:val="20"/>
          <w:szCs w:val="20"/>
        </w:rPr>
        <w:t xml:space="preserve">, « Enfin un cadre législatif pour les couples européens et leur régime patrimonial », </w:t>
      </w:r>
      <w:r w:rsidRPr="00A248D7">
        <w:rPr>
          <w:rFonts w:asciiTheme="minorHAnsi" w:hAnsiTheme="minorHAnsi" w:cstheme="minorHAnsi"/>
          <w:i/>
          <w:iCs/>
          <w:sz w:val="20"/>
          <w:szCs w:val="20"/>
        </w:rPr>
        <w:t>Journal de droit européen</w:t>
      </w:r>
      <w:r w:rsidRPr="00A248D7">
        <w:rPr>
          <w:rFonts w:asciiTheme="minorHAnsi" w:hAnsiTheme="minorHAnsi" w:cstheme="minorHAnsi"/>
          <w:sz w:val="20"/>
          <w:szCs w:val="20"/>
        </w:rPr>
        <w:t xml:space="preserve">, 2016, pp. 348-351 ; L. </w:t>
      </w:r>
      <w:r w:rsidRPr="00A248D7">
        <w:rPr>
          <w:rFonts w:asciiTheme="minorHAnsi" w:hAnsiTheme="minorHAnsi" w:cstheme="minorHAnsi"/>
          <w:smallCaps/>
          <w:kern w:val="24"/>
          <w:sz w:val="20"/>
          <w:szCs w:val="20"/>
        </w:rPr>
        <w:t xml:space="preserve">Goossens, </w:t>
      </w:r>
      <w:r w:rsidRPr="00A248D7">
        <w:rPr>
          <w:rFonts w:asciiTheme="minorHAnsi" w:hAnsiTheme="minorHAnsi" w:cstheme="minorHAnsi"/>
          <w:sz w:val="20"/>
          <w:szCs w:val="20"/>
        </w:rPr>
        <w:t xml:space="preserve">« De Europese Verordeningen inzake relatievermogensstelsels : de do’s en don’ts », </w:t>
      </w:r>
      <w:r w:rsidRPr="00A248D7">
        <w:rPr>
          <w:rFonts w:asciiTheme="minorHAnsi" w:hAnsiTheme="minorHAnsi" w:cstheme="minorHAnsi"/>
          <w:i/>
          <w:sz w:val="20"/>
          <w:szCs w:val="20"/>
        </w:rPr>
        <w:t>Nieuwsbrief Notariaat</w:t>
      </w:r>
      <w:r w:rsidRPr="00A248D7">
        <w:rPr>
          <w:rFonts w:asciiTheme="minorHAnsi" w:hAnsiTheme="minorHAnsi" w:cstheme="minorHAnsi"/>
          <w:sz w:val="20"/>
          <w:szCs w:val="20"/>
        </w:rPr>
        <w:t xml:space="preserve">, 2018/4, pp. 5-9 ; H. </w:t>
      </w:r>
      <w:r w:rsidRPr="00A248D7">
        <w:rPr>
          <w:rFonts w:asciiTheme="minorHAnsi" w:hAnsiTheme="minorHAnsi" w:cstheme="minorHAnsi"/>
          <w:smallCaps/>
          <w:kern w:val="24"/>
          <w:sz w:val="20"/>
          <w:szCs w:val="20"/>
        </w:rPr>
        <w:t xml:space="preserve">Jacobs, </w:t>
      </w:r>
      <w:r w:rsidRPr="00A248D7">
        <w:rPr>
          <w:rFonts w:asciiTheme="minorHAnsi" w:hAnsiTheme="minorHAnsi" w:cstheme="minorHAnsi"/>
          <w:sz w:val="20"/>
          <w:szCs w:val="20"/>
        </w:rPr>
        <w:t xml:space="preserve">« De collisieregels inzake het toepasselijk recht in de Huwelijksvermogen-Vo », in : </w:t>
      </w:r>
      <w:r w:rsidRPr="00A248D7">
        <w:rPr>
          <w:rFonts w:asciiTheme="minorHAnsi" w:hAnsiTheme="minorHAnsi" w:cstheme="minorHAnsi"/>
          <w:smallCaps/>
          <w:kern w:val="24"/>
          <w:sz w:val="20"/>
          <w:szCs w:val="20"/>
        </w:rPr>
        <w:t xml:space="preserve">I. Boone, J. Put, F. Swennen </w:t>
      </w:r>
      <w:r w:rsidRPr="00A248D7">
        <w:rPr>
          <w:rFonts w:asciiTheme="minorHAnsi" w:hAnsiTheme="minorHAnsi" w:cstheme="minorHAnsi"/>
          <w:sz w:val="20"/>
          <w:szCs w:val="20"/>
        </w:rPr>
        <w:t xml:space="preserve">et G. </w:t>
      </w:r>
      <w:r w:rsidRPr="00A248D7">
        <w:rPr>
          <w:rFonts w:asciiTheme="minorHAnsi" w:hAnsiTheme="minorHAnsi" w:cstheme="minorHAnsi"/>
          <w:smallCaps/>
          <w:kern w:val="24"/>
          <w:sz w:val="20"/>
          <w:szCs w:val="20"/>
        </w:rPr>
        <w:t>Verschelden</w:t>
      </w:r>
      <w:r w:rsidRPr="00A248D7">
        <w:rPr>
          <w:rFonts w:asciiTheme="minorHAnsi" w:hAnsiTheme="minorHAnsi" w:cstheme="minorHAnsi"/>
          <w:sz w:val="20"/>
          <w:szCs w:val="20"/>
        </w:rPr>
        <w:t xml:space="preserve"> (éds.), </w:t>
      </w:r>
      <w:r w:rsidRPr="00A248D7">
        <w:rPr>
          <w:rFonts w:asciiTheme="minorHAnsi" w:hAnsiTheme="minorHAnsi" w:cstheme="minorHAnsi"/>
          <w:i/>
          <w:sz w:val="20"/>
          <w:szCs w:val="20"/>
        </w:rPr>
        <w:t>Liber amicorum Patrick Senaeve</w:t>
      </w:r>
      <w:r w:rsidRPr="00A248D7">
        <w:rPr>
          <w:rFonts w:asciiTheme="minorHAnsi" w:hAnsiTheme="minorHAnsi" w:cstheme="minorHAnsi"/>
          <w:sz w:val="20"/>
          <w:szCs w:val="20"/>
        </w:rPr>
        <w:t xml:space="preserve">, Kluwer, 2017, pp. 611-638 ; M. </w:t>
      </w:r>
      <w:r w:rsidRPr="00A248D7">
        <w:rPr>
          <w:rFonts w:asciiTheme="minorHAnsi" w:hAnsiTheme="minorHAnsi" w:cstheme="minorHAnsi"/>
          <w:smallCaps/>
          <w:kern w:val="24"/>
          <w:sz w:val="20"/>
          <w:szCs w:val="20"/>
        </w:rPr>
        <w:t xml:space="preserve">Muylle </w:t>
      </w:r>
      <w:r w:rsidRPr="00A248D7">
        <w:rPr>
          <w:rFonts w:asciiTheme="minorHAnsi" w:hAnsiTheme="minorHAnsi" w:cstheme="minorHAnsi"/>
          <w:sz w:val="20"/>
          <w:szCs w:val="20"/>
        </w:rPr>
        <w:t xml:space="preserve">et B. </w:t>
      </w:r>
      <w:r w:rsidRPr="00A248D7">
        <w:rPr>
          <w:rFonts w:asciiTheme="minorHAnsi" w:hAnsiTheme="minorHAnsi" w:cstheme="minorHAnsi"/>
          <w:smallCaps/>
          <w:kern w:val="24"/>
          <w:sz w:val="20"/>
          <w:szCs w:val="20"/>
        </w:rPr>
        <w:t>Verheye</w:t>
      </w:r>
      <w:r w:rsidRPr="00A248D7">
        <w:rPr>
          <w:rFonts w:asciiTheme="minorHAnsi" w:hAnsiTheme="minorHAnsi" w:cstheme="minorHAnsi"/>
          <w:sz w:val="20"/>
          <w:szCs w:val="20"/>
        </w:rPr>
        <w:t xml:space="preserve">, « De Huwelijksvermogensverordening : krachtlijnen voor de notariële praktijk », </w:t>
      </w:r>
      <w:r w:rsidRPr="00A248D7">
        <w:rPr>
          <w:rFonts w:asciiTheme="minorHAnsi" w:hAnsiTheme="minorHAnsi" w:cstheme="minorHAnsi"/>
          <w:i/>
          <w:sz w:val="20"/>
          <w:szCs w:val="20"/>
        </w:rPr>
        <w:t>Notarieel en Fiscaal Maandblad</w:t>
      </w:r>
      <w:r w:rsidRPr="00A248D7">
        <w:rPr>
          <w:rFonts w:asciiTheme="minorHAnsi" w:hAnsiTheme="minorHAnsi" w:cstheme="minorHAnsi"/>
          <w:sz w:val="20"/>
          <w:szCs w:val="20"/>
        </w:rPr>
        <w:t xml:space="preserve">, 2019, pp. 81-103 ; S. </w:t>
      </w:r>
      <w:r w:rsidRPr="00A248D7">
        <w:rPr>
          <w:rFonts w:asciiTheme="minorHAnsi" w:hAnsiTheme="minorHAnsi" w:cstheme="minorHAnsi"/>
          <w:smallCaps/>
          <w:kern w:val="24"/>
          <w:sz w:val="20"/>
          <w:szCs w:val="20"/>
          <w:shd w:val="clear" w:color="auto" w:fill="FFFFFF"/>
          <w:lang w:val="fr-CH"/>
        </w:rPr>
        <w:t>Pfeiff,</w:t>
      </w:r>
      <w:r w:rsidRPr="00A248D7">
        <w:rPr>
          <w:rFonts w:asciiTheme="minorHAnsi" w:hAnsiTheme="minorHAnsi" w:cstheme="minorHAnsi"/>
          <w:sz w:val="20"/>
          <w:szCs w:val="20"/>
          <w:shd w:val="clear" w:color="auto" w:fill="FFFFFF"/>
          <w:lang w:val="fr-CH"/>
        </w:rPr>
        <w:t xml:space="preserve"> « La nouvelle réglementation européenne relative aux régimes matrimoniaux. Étude des règles de compétence et de conflit de lois », </w:t>
      </w:r>
      <w:r w:rsidRPr="00A248D7">
        <w:rPr>
          <w:rFonts w:asciiTheme="minorHAnsi" w:hAnsiTheme="minorHAnsi" w:cstheme="minorHAnsi"/>
          <w:i/>
          <w:sz w:val="20"/>
          <w:szCs w:val="20"/>
          <w:shd w:val="clear" w:color="auto" w:fill="FFFFFF"/>
          <w:lang w:val="fr-CH"/>
        </w:rPr>
        <w:t xml:space="preserve">États généraux du droit de la famille III. </w:t>
      </w:r>
      <w:r w:rsidRPr="00A248D7">
        <w:rPr>
          <w:rFonts w:asciiTheme="minorHAnsi" w:hAnsiTheme="minorHAnsi" w:cstheme="minorHAnsi"/>
          <w:i/>
          <w:sz w:val="20"/>
          <w:szCs w:val="20"/>
          <w:shd w:val="clear" w:color="auto" w:fill="FFFFFF"/>
          <w:lang w:val="nl-NL"/>
        </w:rPr>
        <w:t>Actualités législatives et judiciaires en 2017 et 2018</w:t>
      </w:r>
      <w:r w:rsidRPr="00A248D7">
        <w:rPr>
          <w:rFonts w:asciiTheme="minorHAnsi" w:hAnsiTheme="minorHAnsi" w:cstheme="minorHAnsi"/>
          <w:sz w:val="20"/>
          <w:szCs w:val="20"/>
          <w:shd w:val="clear" w:color="auto" w:fill="FFFFFF"/>
          <w:lang w:val="nl-NL"/>
        </w:rPr>
        <w:t xml:space="preserve">, Bruxelles, Larcier/Anthémis, 2018, pp. 127-170 ; W. </w:t>
      </w:r>
      <w:r w:rsidRPr="00A248D7">
        <w:rPr>
          <w:rFonts w:asciiTheme="minorHAnsi" w:eastAsia="Liberation Serif" w:hAnsiTheme="minorHAnsi" w:cstheme="minorHAnsi"/>
          <w:smallCaps/>
          <w:kern w:val="20"/>
          <w:sz w:val="20"/>
          <w:szCs w:val="20"/>
          <w:lang w:val="nl-NL"/>
        </w:rPr>
        <w:t xml:space="preserve">Pintens, </w:t>
      </w:r>
      <w:r w:rsidRPr="00A248D7">
        <w:rPr>
          <w:rFonts w:asciiTheme="minorHAnsi" w:eastAsia="Liberation Serif" w:hAnsiTheme="minorHAnsi" w:cstheme="minorHAnsi"/>
          <w:sz w:val="20"/>
          <w:szCs w:val="20"/>
          <w:lang w:val="nl-NL"/>
        </w:rPr>
        <w:t xml:space="preserve">« Welke wijzigingen brengen de EU-Verordeningen over de huwelijksvermogensstelsels en de vermogensrechtelijke gevolgen van geregistreerde partnerschappen? », in </w:t>
      </w:r>
      <w:r w:rsidRPr="00A248D7">
        <w:rPr>
          <w:rFonts w:asciiTheme="minorHAnsi" w:eastAsia="Liberation Serif" w:hAnsiTheme="minorHAnsi" w:cstheme="minorHAnsi"/>
          <w:smallCaps/>
          <w:kern w:val="24"/>
          <w:sz w:val="20"/>
          <w:szCs w:val="20"/>
          <w:lang w:val="nl-NL"/>
        </w:rPr>
        <w:t>W. Pintens</w:t>
      </w:r>
      <w:r w:rsidRPr="00A248D7">
        <w:rPr>
          <w:rFonts w:asciiTheme="minorHAnsi" w:eastAsia="Liberation Serif" w:hAnsiTheme="minorHAnsi" w:cstheme="minorHAnsi"/>
          <w:sz w:val="20"/>
          <w:szCs w:val="20"/>
          <w:lang w:val="nl-NL"/>
        </w:rPr>
        <w:t xml:space="preserve"> et </w:t>
      </w:r>
      <w:r w:rsidRPr="00A248D7">
        <w:rPr>
          <w:rFonts w:asciiTheme="minorHAnsi" w:eastAsia="Liberation Serif" w:hAnsiTheme="minorHAnsi" w:cstheme="minorHAnsi"/>
          <w:smallCaps/>
          <w:kern w:val="24"/>
          <w:sz w:val="20"/>
          <w:szCs w:val="20"/>
          <w:lang w:val="nl-NL"/>
        </w:rPr>
        <w:t xml:space="preserve">Ch. </w:t>
      </w:r>
      <w:r w:rsidRPr="00A248D7">
        <w:rPr>
          <w:rFonts w:asciiTheme="minorHAnsi" w:eastAsia="Liberation Serif" w:hAnsiTheme="minorHAnsi" w:cstheme="minorHAnsi"/>
          <w:smallCaps/>
          <w:kern w:val="24"/>
          <w:sz w:val="20"/>
          <w:szCs w:val="20"/>
        </w:rPr>
        <w:t>Declerck</w:t>
      </w:r>
      <w:r w:rsidRPr="00A248D7">
        <w:rPr>
          <w:rFonts w:asciiTheme="minorHAnsi" w:eastAsia="Liberation Serif" w:hAnsiTheme="minorHAnsi" w:cstheme="minorHAnsi"/>
          <w:sz w:val="20"/>
          <w:szCs w:val="20"/>
        </w:rPr>
        <w:t xml:space="preserve"> (éds.), </w:t>
      </w:r>
      <w:r w:rsidRPr="00A248D7">
        <w:rPr>
          <w:rFonts w:asciiTheme="minorHAnsi" w:eastAsia="Liberation Serif" w:hAnsiTheme="minorHAnsi" w:cstheme="minorHAnsi"/>
          <w:i/>
          <w:sz w:val="20"/>
          <w:szCs w:val="20"/>
        </w:rPr>
        <w:t>Patrimonium 2018</w:t>
      </w:r>
      <w:r w:rsidRPr="00A248D7">
        <w:rPr>
          <w:rFonts w:asciiTheme="minorHAnsi" w:eastAsia="Liberation Serif" w:hAnsiTheme="minorHAnsi" w:cstheme="minorHAnsi"/>
          <w:sz w:val="20"/>
          <w:szCs w:val="20"/>
        </w:rPr>
        <w:t xml:space="preserve">, La Charte, 2018, pp. 277-335; J.-L. </w:t>
      </w:r>
      <w:r w:rsidRPr="00A248D7">
        <w:rPr>
          <w:rStyle w:val="small-caps"/>
          <w:rFonts w:asciiTheme="minorHAnsi" w:hAnsiTheme="minorHAnsi" w:cstheme="minorHAnsi"/>
          <w:smallCaps/>
          <w:kern w:val="24"/>
          <w:sz w:val="20"/>
          <w:szCs w:val="20"/>
          <w:shd w:val="clear" w:color="auto" w:fill="FFFFFF"/>
          <w:lang w:val="fr-CH"/>
        </w:rPr>
        <w:t>van Boxstael</w:t>
      </w:r>
      <w:r w:rsidRPr="00A248D7">
        <w:rPr>
          <w:rStyle w:val="small-caps"/>
          <w:rFonts w:asciiTheme="minorHAnsi" w:hAnsiTheme="minorHAnsi" w:cstheme="minorHAnsi"/>
          <w:sz w:val="20"/>
          <w:szCs w:val="20"/>
          <w:shd w:val="clear" w:color="auto" w:fill="FFFFFF"/>
          <w:lang w:val="fr-CH"/>
        </w:rPr>
        <w:t xml:space="preserve">, </w:t>
      </w:r>
      <w:r w:rsidRPr="00A248D7">
        <w:rPr>
          <w:rFonts w:asciiTheme="minorHAnsi" w:hAnsiTheme="minorHAnsi" w:cstheme="minorHAnsi"/>
          <w:sz w:val="20"/>
          <w:szCs w:val="20"/>
          <w:shd w:val="clear" w:color="auto" w:fill="FFFFFF"/>
          <w:lang w:val="fr-CH"/>
        </w:rPr>
        <w:t xml:space="preserve">« Le règlement européen ‘régimes matrimoniaux’ et la pratique notariale » in </w:t>
      </w:r>
      <w:r w:rsidRPr="00A248D7">
        <w:rPr>
          <w:rFonts w:asciiTheme="minorHAnsi" w:hAnsiTheme="minorHAnsi" w:cstheme="minorHAnsi"/>
          <w:smallCaps/>
          <w:kern w:val="24"/>
          <w:sz w:val="20"/>
          <w:szCs w:val="20"/>
          <w:shd w:val="clear" w:color="auto" w:fill="FFFFFF"/>
          <w:lang w:val="fr-CH"/>
        </w:rPr>
        <w:t>J. van Boxstael</w:t>
      </w:r>
      <w:r w:rsidRPr="00A248D7">
        <w:rPr>
          <w:rFonts w:asciiTheme="minorHAnsi" w:hAnsiTheme="minorHAnsi" w:cstheme="minorHAnsi"/>
          <w:sz w:val="20"/>
          <w:szCs w:val="20"/>
          <w:shd w:val="clear" w:color="auto" w:fill="FFFFFF"/>
          <w:lang w:val="fr-CH"/>
        </w:rPr>
        <w:t xml:space="preserve"> et F. </w:t>
      </w:r>
      <w:r w:rsidRPr="00A248D7">
        <w:rPr>
          <w:rFonts w:asciiTheme="minorHAnsi" w:hAnsiTheme="minorHAnsi" w:cstheme="minorHAnsi"/>
          <w:smallCaps/>
          <w:kern w:val="24"/>
          <w:sz w:val="20"/>
          <w:szCs w:val="20"/>
          <w:shd w:val="clear" w:color="auto" w:fill="FFFFFF"/>
          <w:lang w:val="fr-CH"/>
        </w:rPr>
        <w:t>Taimont</w:t>
      </w:r>
      <w:r w:rsidRPr="00A248D7">
        <w:rPr>
          <w:rFonts w:asciiTheme="minorHAnsi" w:hAnsiTheme="minorHAnsi" w:cstheme="minorHAnsi"/>
          <w:sz w:val="20"/>
          <w:szCs w:val="20"/>
          <w:shd w:val="clear" w:color="auto" w:fill="FFFFFF"/>
          <w:lang w:val="fr-CH"/>
        </w:rPr>
        <w:t xml:space="preserve"> (éds.), </w:t>
      </w:r>
      <w:r w:rsidRPr="00A248D7">
        <w:rPr>
          <w:rFonts w:asciiTheme="minorHAnsi" w:hAnsiTheme="minorHAnsi" w:cstheme="minorHAnsi"/>
          <w:i/>
          <w:iCs/>
          <w:sz w:val="20"/>
          <w:szCs w:val="20"/>
          <w:shd w:val="clear" w:color="auto" w:fill="FFFFFF"/>
          <w:lang w:val="fr-CH"/>
        </w:rPr>
        <w:t>Tapas de droit notarial 2018</w:t>
      </w:r>
      <w:r w:rsidRPr="00A248D7">
        <w:rPr>
          <w:rFonts w:asciiTheme="minorHAnsi" w:hAnsiTheme="minorHAnsi" w:cstheme="minorHAnsi"/>
          <w:sz w:val="20"/>
          <w:szCs w:val="20"/>
          <w:shd w:val="clear" w:color="auto" w:fill="FFFFFF"/>
          <w:lang w:val="fr-CH"/>
        </w:rPr>
        <w:t xml:space="preserve">, Bruxelles, Larcier, 2019, p. 189-229 ; J.-L. </w:t>
      </w:r>
      <w:r w:rsidRPr="00A248D7">
        <w:rPr>
          <w:rStyle w:val="small-caps"/>
          <w:rFonts w:asciiTheme="minorHAnsi" w:hAnsiTheme="minorHAnsi" w:cstheme="minorHAnsi"/>
          <w:smallCaps/>
          <w:kern w:val="24"/>
          <w:sz w:val="20"/>
          <w:szCs w:val="20"/>
          <w:shd w:val="clear" w:color="auto" w:fill="FFFFFF"/>
          <w:lang w:val="fr-CH"/>
        </w:rPr>
        <w:t>van Boxstael</w:t>
      </w:r>
      <w:r w:rsidRPr="00A248D7">
        <w:rPr>
          <w:rStyle w:val="small-caps"/>
          <w:rFonts w:asciiTheme="minorHAnsi" w:hAnsiTheme="minorHAnsi" w:cstheme="minorHAnsi"/>
          <w:sz w:val="20"/>
          <w:szCs w:val="20"/>
          <w:shd w:val="clear" w:color="auto" w:fill="FFFFFF"/>
          <w:lang w:val="fr-CH"/>
        </w:rPr>
        <w:t xml:space="preserve">, </w:t>
      </w:r>
      <w:r w:rsidRPr="00A248D7">
        <w:rPr>
          <w:rFonts w:asciiTheme="minorHAnsi" w:hAnsiTheme="minorHAnsi" w:cstheme="minorHAnsi"/>
          <w:sz w:val="20"/>
          <w:szCs w:val="20"/>
          <w:shd w:val="clear" w:color="auto" w:fill="FFFFFF"/>
          <w:lang w:val="fr-CH"/>
        </w:rPr>
        <w:t xml:space="preserve">« </w:t>
      </w:r>
      <w:r w:rsidRPr="00A248D7">
        <w:rPr>
          <w:rFonts w:asciiTheme="minorHAnsi" w:hAnsiTheme="minorHAnsi" w:cstheme="minorHAnsi"/>
          <w:sz w:val="20"/>
          <w:szCs w:val="20"/>
          <w:lang w:val="fr-CH"/>
        </w:rPr>
        <w:t xml:space="preserve">Que pouvons-nous retenir du règlement européen "régimes matrimoniaux ? », </w:t>
      </w:r>
      <w:r w:rsidRPr="00A248D7">
        <w:rPr>
          <w:rFonts w:asciiTheme="minorHAnsi" w:hAnsiTheme="minorHAnsi" w:cstheme="minorHAnsi"/>
          <w:i/>
          <w:sz w:val="20"/>
          <w:szCs w:val="20"/>
          <w:lang w:val="fr-CH"/>
        </w:rPr>
        <w:t>Notamus</w:t>
      </w:r>
      <w:r w:rsidRPr="00A248D7">
        <w:rPr>
          <w:rFonts w:asciiTheme="minorHAnsi" w:hAnsiTheme="minorHAnsi" w:cstheme="minorHAnsi"/>
          <w:sz w:val="20"/>
          <w:szCs w:val="20"/>
          <w:lang w:val="fr-CH"/>
        </w:rPr>
        <w:t xml:space="preserve">, 2019, pp. 27-40 ; P. </w:t>
      </w:r>
      <w:r w:rsidRPr="00A248D7">
        <w:rPr>
          <w:rFonts w:asciiTheme="minorHAnsi" w:hAnsiTheme="minorHAnsi" w:cstheme="minorHAnsi"/>
          <w:smallCaps/>
          <w:sz w:val="20"/>
          <w:szCs w:val="20"/>
        </w:rPr>
        <w:t>Wautelet</w:t>
      </w:r>
      <w:r w:rsidRPr="00A248D7">
        <w:rPr>
          <w:rFonts w:asciiTheme="minorHAnsi" w:hAnsiTheme="minorHAnsi" w:cstheme="minorHAnsi"/>
          <w:sz w:val="20"/>
          <w:szCs w:val="20"/>
        </w:rPr>
        <w:t>, « </w:t>
      </w:r>
      <w:r w:rsidRPr="00A248D7">
        <w:rPr>
          <w:rFonts w:asciiTheme="minorHAnsi" w:hAnsiTheme="minorHAnsi" w:cstheme="minorHAnsi"/>
          <w:sz w:val="20"/>
          <w:szCs w:val="20"/>
          <w:lang w:eastAsia="ar-SA"/>
        </w:rPr>
        <w:t xml:space="preserve">Grensoverschrijdende huwelijkscontracten. </w:t>
      </w:r>
      <w:r w:rsidRPr="00A248D7">
        <w:rPr>
          <w:rFonts w:asciiTheme="minorHAnsi" w:hAnsiTheme="minorHAnsi" w:cstheme="minorHAnsi"/>
          <w:sz w:val="20"/>
          <w:szCs w:val="20"/>
          <w:lang w:val="nl-NL" w:eastAsia="ar-SA"/>
        </w:rPr>
        <w:t xml:space="preserve">Goed nieuws uit Europa, met een aantal knipperlichten », </w:t>
      </w:r>
      <w:r w:rsidRPr="00A248D7">
        <w:rPr>
          <w:rFonts w:asciiTheme="minorHAnsi" w:hAnsiTheme="minorHAnsi" w:cstheme="minorHAnsi"/>
          <w:i/>
          <w:iCs/>
          <w:sz w:val="20"/>
          <w:szCs w:val="20"/>
          <w:lang w:val="nl-NL" w:eastAsia="ar-SA"/>
        </w:rPr>
        <w:t>TEP</w:t>
      </w:r>
      <w:r w:rsidRPr="00A248D7">
        <w:rPr>
          <w:rFonts w:asciiTheme="minorHAnsi" w:hAnsiTheme="minorHAnsi" w:cstheme="minorHAnsi"/>
          <w:sz w:val="20"/>
          <w:szCs w:val="20"/>
          <w:lang w:val="nl-NL" w:eastAsia="ar-SA"/>
        </w:rPr>
        <w:t>, 2016, pp. 510-518; L.</w:t>
      </w:r>
      <w:r w:rsidRPr="00A248D7">
        <w:rPr>
          <w:rFonts w:asciiTheme="minorHAnsi" w:hAnsiTheme="minorHAnsi" w:cstheme="minorHAnsi"/>
          <w:smallCaps/>
          <w:sz w:val="20"/>
          <w:szCs w:val="20"/>
          <w:lang w:val="nl-NL"/>
        </w:rPr>
        <w:t xml:space="preserve"> Weyts, </w:t>
      </w:r>
      <w:r w:rsidRPr="00A248D7">
        <w:rPr>
          <w:rFonts w:asciiTheme="minorHAnsi" w:hAnsiTheme="minorHAnsi" w:cstheme="minorHAnsi"/>
          <w:sz w:val="20"/>
          <w:szCs w:val="20"/>
          <w:lang w:val="nl-NL"/>
        </w:rPr>
        <w:t xml:space="preserve">« Een eerste notariële ‘tour d’horizon’ van de Europese Verordeningen op de huwelijksvermogensstelsels en geregistreerde partnerschappen », </w:t>
      </w:r>
      <w:r w:rsidRPr="00A248D7">
        <w:rPr>
          <w:rFonts w:asciiTheme="minorHAnsi" w:hAnsiTheme="minorHAnsi" w:cstheme="minorHAnsi"/>
          <w:i/>
          <w:iCs/>
          <w:sz w:val="20"/>
          <w:szCs w:val="20"/>
          <w:lang w:val="nl-NL"/>
        </w:rPr>
        <w:t>T. Not</w:t>
      </w:r>
      <w:r w:rsidRPr="00A248D7">
        <w:rPr>
          <w:rFonts w:asciiTheme="minorHAnsi" w:hAnsiTheme="minorHAnsi" w:cstheme="minorHAnsi"/>
          <w:sz w:val="20"/>
          <w:szCs w:val="20"/>
          <w:lang w:val="nl-NL"/>
        </w:rPr>
        <w:t xml:space="preserve">., 2017, pp. 909-920; L. </w:t>
      </w:r>
      <w:r w:rsidRPr="00A248D7">
        <w:rPr>
          <w:rFonts w:asciiTheme="minorHAnsi" w:hAnsiTheme="minorHAnsi" w:cstheme="minorHAnsi"/>
          <w:smallCaps/>
          <w:kern w:val="24"/>
          <w:sz w:val="20"/>
          <w:szCs w:val="20"/>
          <w:lang w:val="nl-NL"/>
        </w:rPr>
        <w:t>Weyts</w:t>
      </w:r>
      <w:r w:rsidRPr="00A248D7">
        <w:rPr>
          <w:rFonts w:asciiTheme="minorHAnsi" w:hAnsiTheme="minorHAnsi" w:cstheme="minorHAnsi"/>
          <w:sz w:val="20"/>
          <w:szCs w:val="20"/>
          <w:lang w:val="nl-NL"/>
        </w:rPr>
        <w:t xml:space="preserve">, « Op wandel doorheen de twee nieuwe Europese Verordeningen inzake huwelijksvermogensstelsels en geregistreerde partnerschappen vanuit internationaal en notarieel perspectief », </w:t>
      </w:r>
      <w:r w:rsidRPr="00A248D7">
        <w:rPr>
          <w:rFonts w:asciiTheme="minorHAnsi" w:hAnsiTheme="minorHAnsi" w:cstheme="minorHAnsi"/>
          <w:i/>
          <w:sz w:val="20"/>
          <w:szCs w:val="20"/>
          <w:lang w:val="nl-NL"/>
        </w:rPr>
        <w:t>T. Not</w:t>
      </w:r>
      <w:r w:rsidRPr="00A248D7">
        <w:rPr>
          <w:rFonts w:asciiTheme="minorHAnsi" w:hAnsiTheme="minorHAnsi" w:cstheme="minorHAnsi"/>
          <w:sz w:val="20"/>
          <w:szCs w:val="20"/>
          <w:lang w:val="nl-NL"/>
        </w:rPr>
        <w:t>., 2019, pp. 3-18.</w:t>
      </w:r>
      <w:r w:rsidR="00A248D7" w:rsidRPr="00A248D7">
        <w:rPr>
          <w:rFonts w:asciiTheme="minorHAnsi" w:hAnsiTheme="minorHAnsi" w:cstheme="minorHAnsi"/>
          <w:sz w:val="20"/>
          <w:szCs w:val="20"/>
          <w:lang w:val="nl-NL"/>
        </w:rPr>
        <w:t xml:space="preserve"> </w:t>
      </w:r>
      <w:r w:rsidR="00A248D7" w:rsidRPr="00A248D7">
        <w:rPr>
          <w:rFonts w:asciiTheme="minorHAnsi" w:hAnsiTheme="minorHAnsi" w:cstheme="minorHAnsi"/>
          <w:sz w:val="20"/>
          <w:szCs w:val="20"/>
        </w:rPr>
        <w:t xml:space="preserve">Cf. également </w:t>
      </w:r>
      <w:r w:rsidR="00A248D7" w:rsidRPr="00A248D7">
        <w:rPr>
          <w:rFonts w:asciiTheme="minorHAnsi" w:hAnsiTheme="minorHAnsi" w:cstheme="minorHAnsi"/>
          <w:sz w:val="20"/>
          <w:szCs w:val="20"/>
        </w:rPr>
        <w:t xml:space="preserve">A. </w:t>
      </w:r>
      <w:r w:rsidR="00A248D7" w:rsidRPr="00A248D7">
        <w:rPr>
          <w:rFonts w:asciiTheme="minorHAnsi" w:hAnsiTheme="minorHAnsi" w:cstheme="minorHAnsi"/>
          <w:smallCaps/>
          <w:sz w:val="20"/>
          <w:szCs w:val="20"/>
        </w:rPr>
        <w:t>Bonomi</w:t>
      </w:r>
      <w:r w:rsidR="00A248D7" w:rsidRPr="00A248D7">
        <w:rPr>
          <w:rFonts w:asciiTheme="minorHAnsi" w:hAnsiTheme="minorHAnsi" w:cstheme="minorHAnsi"/>
          <w:sz w:val="20"/>
          <w:szCs w:val="20"/>
        </w:rPr>
        <w:t xml:space="preserve"> et </w:t>
      </w:r>
      <w:r w:rsidR="00A248D7" w:rsidRPr="00A248D7">
        <w:rPr>
          <w:rFonts w:asciiTheme="minorHAnsi" w:hAnsiTheme="minorHAnsi" w:cstheme="minorHAnsi"/>
          <w:smallCaps/>
          <w:sz w:val="20"/>
          <w:szCs w:val="20"/>
        </w:rPr>
        <w:t>P. Wautelet</w:t>
      </w:r>
      <w:r w:rsidR="00A248D7" w:rsidRPr="00A248D7">
        <w:rPr>
          <w:rFonts w:asciiTheme="minorHAnsi" w:hAnsiTheme="minorHAnsi" w:cstheme="minorHAnsi"/>
          <w:sz w:val="20"/>
          <w:szCs w:val="20"/>
        </w:rPr>
        <w:t xml:space="preserve">, </w:t>
      </w:r>
      <w:r w:rsidR="00A248D7" w:rsidRPr="00A248D7">
        <w:rPr>
          <w:rFonts w:asciiTheme="minorHAnsi" w:hAnsiTheme="minorHAnsi" w:cstheme="minorHAnsi"/>
          <w:i/>
          <w:sz w:val="20"/>
          <w:szCs w:val="20"/>
        </w:rPr>
        <w:t>Le droit européen des relations patrimoniales de couple. Commentaire des Règlements (UE) n° 2016/1103 et 2016/1104</w:t>
      </w:r>
      <w:r w:rsidR="00A248D7" w:rsidRPr="00A248D7">
        <w:rPr>
          <w:rFonts w:asciiTheme="minorHAnsi" w:hAnsiTheme="minorHAnsi" w:cstheme="minorHAnsi"/>
          <w:sz w:val="20"/>
          <w:szCs w:val="20"/>
        </w:rPr>
        <w:t xml:space="preserve">, Bruylant, 2021, </w:t>
      </w:r>
      <w:r w:rsidR="00A248D7" w:rsidRPr="00A248D7">
        <w:rPr>
          <w:rFonts w:asciiTheme="minorHAnsi" w:hAnsiTheme="minorHAnsi" w:cstheme="minorHAnsi"/>
          <w:sz w:val="20"/>
          <w:szCs w:val="20"/>
        </w:rPr>
        <w:t>1356 p.</w:t>
      </w:r>
    </w:p>
  </w:footnote>
  <w:footnote w:id="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l’exposé de C. </w:t>
      </w:r>
      <w:r w:rsidRPr="00A248D7">
        <w:rPr>
          <w:rFonts w:cstheme="minorHAnsi"/>
          <w:smallCaps/>
        </w:rPr>
        <w:t>Gossart</w:t>
      </w:r>
      <w:r w:rsidRPr="00A248D7">
        <w:rPr>
          <w:rFonts w:cstheme="minorHAnsi"/>
        </w:rPr>
        <w:t xml:space="preserve"> et </w:t>
      </w:r>
      <w:r w:rsidRPr="00A248D7">
        <w:rPr>
          <w:rFonts w:cstheme="minorHAnsi"/>
          <w:smallCaps/>
        </w:rPr>
        <w:t>A. Boiché</w:t>
      </w:r>
      <w:r w:rsidRPr="00A248D7">
        <w:rPr>
          <w:rFonts w:cstheme="minorHAnsi"/>
        </w:rPr>
        <w:t xml:space="preserve">, « Règles de compétence, de reconnaissance et d’exécution des décisions dans le cadre du Règlement régimes matrimoniaux », </w:t>
      </w:r>
      <w:r w:rsidRPr="00A248D7">
        <w:rPr>
          <w:rFonts w:cstheme="minorHAnsi"/>
          <w:i/>
        </w:rPr>
        <w:t>AJ Famille</w:t>
      </w:r>
      <w:r w:rsidRPr="00A248D7">
        <w:rPr>
          <w:rFonts w:cstheme="minorHAnsi"/>
        </w:rPr>
        <w:t xml:space="preserve">, 2018, pp. 646-652 et </w:t>
      </w:r>
      <w:r w:rsidRPr="00A248D7">
        <w:rPr>
          <w:rFonts w:cstheme="minorHAnsi"/>
          <w:smallCaps/>
        </w:rPr>
        <w:t>M. Farge</w:t>
      </w:r>
      <w:r w:rsidRPr="00A248D7">
        <w:rPr>
          <w:rFonts w:cstheme="minorHAnsi"/>
        </w:rPr>
        <w:t xml:space="preserve">, « Les nouvelles règles de compétence juridictionnelle », </w:t>
      </w:r>
      <w:r w:rsidRPr="00A248D7">
        <w:rPr>
          <w:rFonts w:cstheme="minorHAnsi"/>
          <w:i/>
        </w:rPr>
        <w:t>Dr. Fam.</w:t>
      </w:r>
      <w:r w:rsidRPr="00A248D7">
        <w:rPr>
          <w:rFonts w:cstheme="minorHAnsi"/>
        </w:rPr>
        <w:t xml:space="preserve"> 2017, n° 30, pp. 17-23.</w:t>
      </w:r>
    </w:p>
  </w:footnote>
  <w:footnote w:id="10">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Code et le règlement permettent également aux époux de ne convenir que d’un choix de loi, sans se soumettre à un régime particulier. Dans ce cas, les époux seront soumis au régime légal de la loi choisie. Sur ce type de choix de loi ‘sec’, cf. </w:t>
      </w:r>
      <w:r w:rsidRPr="00A248D7">
        <w:rPr>
          <w:rFonts w:cstheme="minorHAnsi"/>
          <w:smallCaps/>
        </w:rPr>
        <w:t>C. de Busschere</w:t>
      </w:r>
      <w:r w:rsidRPr="00A248D7">
        <w:rPr>
          <w:rFonts w:cstheme="minorHAnsi"/>
        </w:rPr>
        <w:t xml:space="preserve">, “Artikel 49 WIPR”, in </w:t>
      </w:r>
      <w:r w:rsidRPr="00A248D7">
        <w:rPr>
          <w:rFonts w:cstheme="minorHAnsi"/>
          <w:i/>
        </w:rPr>
        <w:t>Commentaar Personen- en Familierecht</w:t>
      </w:r>
      <w:r w:rsidRPr="00A248D7">
        <w:rPr>
          <w:rFonts w:cstheme="minorHAnsi"/>
        </w:rPr>
        <w:t>, Kluwer, 2011, n° 10-13.</w:t>
      </w:r>
    </w:p>
  </w:footnote>
  <w:footnote w:id="11">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L’exposé des motifs qui accompagnait le texte devenu le Code de droit international privé précisait que le Code prend en compte « l’évolution du droit comparé, qu’exprime notamment la Convention de La Haye du 14 mars 1978 sur la loi applicable aux régimes matrimoniaux » : </w:t>
      </w:r>
      <w:r w:rsidRPr="00A248D7">
        <w:rPr>
          <w:rFonts w:cstheme="minorHAnsi"/>
          <w:i/>
        </w:rPr>
        <w:t>Doc. Parl</w:t>
      </w:r>
      <w:r w:rsidRPr="00A248D7">
        <w:rPr>
          <w:rFonts w:cstheme="minorHAnsi"/>
        </w:rPr>
        <w:t xml:space="preserve">. 3-27/1, SE 2003, p. 80. L’exposé des motifs précisait toutefois que sur certains points, comme l’effet du conflit mobile ou la protection des tiers, le Code se voulait « plus précis » que le texte conventionnel. L’influence de la Convention sur les solutions du Code est reconnue par J. Erauw, qui a contribué de manière significative à la rédaction du Code : J. </w:t>
      </w:r>
      <w:r w:rsidRPr="00A248D7">
        <w:rPr>
          <w:rFonts w:cstheme="minorHAnsi"/>
          <w:smallCaps/>
        </w:rPr>
        <w:t>Erauw</w:t>
      </w:r>
      <w:r w:rsidRPr="00A248D7">
        <w:rPr>
          <w:rFonts w:cstheme="minorHAnsi"/>
        </w:rPr>
        <w:t xml:space="preserve"> et </w:t>
      </w:r>
      <w:r w:rsidRPr="00A248D7">
        <w:rPr>
          <w:rFonts w:cstheme="minorHAnsi"/>
          <w:smallCaps/>
        </w:rPr>
        <w:t>H. Storme</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p. 531, note 25.</w:t>
      </w:r>
    </w:p>
  </w:footnote>
  <w:footnote w:id="12">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 plus importante des différences qui séparent le texte européen de la Convention de La Haye adoptée en 1978 tient à la possibilité d’une mutabilité silencieuse du régime prévue dans certaines circonstances par la Convention (art. 7, paragraphe 2). Le considérant 46 du Règlement répudie expressément toute possibilité de mutation silencieuse. Il prévoit en effet que « aucun changement de la loi applicable au régime matrimonial ne devrait intervenir sans demande expresse des parties ».</w:t>
      </w:r>
    </w:p>
  </w:footnote>
  <w:footnote w:id="1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par exemple la situation en Slovénie avant l’entrée en vigueur des règlements : l’article 39, par. 2 de la loi slovène relative au droit international privé prévoit que les relations patrimoniales entre époux sont régies, lorsque ceux-ci ont conclu un contrat de mariage, par la loi choisie par les époux, à condition que la loi objectivement applicable permette aux époux d’effectuer un tel choix.</w:t>
      </w:r>
    </w:p>
  </w:footnote>
  <w:footnote w:id="14">
    <w:p w:rsidR="005A7CF8" w:rsidRPr="00A248D7" w:rsidRDefault="005A7CF8" w:rsidP="00A76186">
      <w:pPr>
        <w:pStyle w:val="Notedebasdepage"/>
        <w:jc w:val="both"/>
        <w:rPr>
          <w:rFonts w:cstheme="minorHAnsi"/>
          <w:lang w:val="nl-NL"/>
        </w:rPr>
      </w:pPr>
      <w:r w:rsidRPr="00A248D7">
        <w:rPr>
          <w:rStyle w:val="Appelnotedebasdep"/>
          <w:rFonts w:cstheme="minorHAnsi"/>
        </w:rPr>
        <w:footnoteRef/>
      </w:r>
      <w:r w:rsidRPr="00A248D7">
        <w:rPr>
          <w:rFonts w:cstheme="minorHAnsi"/>
        </w:rPr>
        <w:t xml:space="preserve"> Tel qu’il est autorisé par le Code, le choix de loi possède en effet une véritable portée conflictuelle : ceci signifie que la loi choisie par les époux s’impose sans tenir compte des éventuelles limites qui découleraient de la loi qui aurait été applicable à défaut de choix. </w:t>
      </w:r>
      <w:r w:rsidRPr="00A248D7">
        <w:rPr>
          <w:rFonts w:cstheme="minorHAnsi"/>
          <w:lang w:val="nl-NL"/>
        </w:rPr>
        <w:t xml:space="preserve">Comme on l’expliquait, “Een rechtskeuze met betrekking tot het huwelijksvermogen komt neer op de aanduiding van een kaderwet van één bepaald land waarbinnen de vermogensrechtelijke betrekkingen tussen de echtgenoten worden geregeld” : </w:t>
      </w:r>
      <w:r w:rsidRPr="00A248D7">
        <w:rPr>
          <w:rFonts w:cstheme="minorHAnsi"/>
          <w:smallCaps/>
          <w:lang w:val="nl-NL"/>
        </w:rPr>
        <w:t>C. de Busschere</w:t>
      </w:r>
      <w:r w:rsidRPr="00A248D7">
        <w:rPr>
          <w:rFonts w:cstheme="minorHAnsi"/>
          <w:lang w:val="nl-NL"/>
        </w:rPr>
        <w:t xml:space="preserve">, “Artikel 49 WIPR”, in </w:t>
      </w:r>
      <w:r w:rsidRPr="00A248D7">
        <w:rPr>
          <w:rFonts w:cstheme="minorHAnsi"/>
          <w:i/>
          <w:lang w:val="nl-NL"/>
        </w:rPr>
        <w:t>Commentaar Personen- en Familierecht</w:t>
      </w:r>
      <w:r w:rsidRPr="00A248D7">
        <w:rPr>
          <w:rFonts w:cstheme="minorHAnsi"/>
          <w:lang w:val="nl-NL"/>
        </w:rPr>
        <w:t xml:space="preserve">, Kluwer, 2011, n° 6. Cf. </w:t>
      </w:r>
      <w:r w:rsidRPr="00A248D7">
        <w:rPr>
          <w:rFonts w:cstheme="minorHAnsi"/>
          <w:smallCaps/>
          <w:lang w:val="nl-NL"/>
        </w:rPr>
        <w:t>H. Jacobs</w:t>
      </w:r>
      <w:r w:rsidRPr="00A248D7">
        <w:rPr>
          <w:rFonts w:cstheme="minorHAnsi"/>
          <w:lang w:val="nl-NL"/>
        </w:rPr>
        <w:t xml:space="preserve"> et </w:t>
      </w:r>
      <w:r w:rsidRPr="00A248D7">
        <w:rPr>
          <w:rFonts w:cstheme="minorHAnsi"/>
          <w:smallCaps/>
          <w:lang w:val="nl-NL"/>
        </w:rPr>
        <w:t>V. de Backer</w:t>
      </w:r>
      <w:r w:rsidRPr="00A248D7">
        <w:rPr>
          <w:rFonts w:cstheme="minorHAnsi"/>
          <w:lang w:val="nl-NL"/>
        </w:rPr>
        <w:t xml:space="preserve">, « Het huwelijksvermogensrecht in het Wetboek internationaal privaatrecht », </w:t>
      </w:r>
      <w:r w:rsidRPr="00A248D7">
        <w:rPr>
          <w:rFonts w:cstheme="minorHAnsi"/>
          <w:i/>
          <w:lang w:val="nl-NL"/>
        </w:rPr>
        <w:t>Not. Fisc. M.</w:t>
      </w:r>
      <w:r w:rsidRPr="00A248D7">
        <w:rPr>
          <w:rFonts w:cstheme="minorHAnsi"/>
          <w:lang w:val="nl-NL"/>
        </w:rPr>
        <w:t>, 2005, p. 231, n° 19.</w:t>
      </w:r>
    </w:p>
  </w:footnote>
  <w:footnote w:id="1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w:t>
      </w:r>
      <w:r w:rsidRPr="00A248D7">
        <w:rPr>
          <w:rFonts w:cstheme="minorHAnsi"/>
          <w:smallCaps/>
        </w:rPr>
        <w:t>Ph. de Page</w:t>
      </w:r>
      <w:r w:rsidRPr="00A248D7">
        <w:rPr>
          <w:rFonts w:cstheme="minorHAnsi"/>
        </w:rPr>
        <w:t xml:space="preserve">, « Les règles de conflit de lois du nouveau Code de droit international privé relatives aux régimes matrimoniaux et aux succession », </w:t>
      </w:r>
      <w:r w:rsidRPr="00A248D7">
        <w:rPr>
          <w:rFonts w:cstheme="minorHAnsi"/>
          <w:i/>
        </w:rPr>
        <w:t>Rev. trim. dr. fam.</w:t>
      </w:r>
      <w:r w:rsidRPr="00A248D7">
        <w:rPr>
          <w:rFonts w:cstheme="minorHAnsi"/>
        </w:rPr>
        <w:t xml:space="preserve">, 2005, p. 665. </w:t>
      </w:r>
      <w:r w:rsidRPr="00A248D7">
        <w:rPr>
          <w:rFonts w:cstheme="minorHAnsi"/>
          <w:lang w:val="nl-NL"/>
        </w:rPr>
        <w:t xml:space="preserve">Cons. aussi la prudence affichée par J. </w:t>
      </w:r>
      <w:r w:rsidRPr="00A248D7">
        <w:rPr>
          <w:rFonts w:cstheme="minorHAnsi"/>
          <w:smallCaps/>
          <w:lang w:val="nl-NL"/>
        </w:rPr>
        <w:t>Erauw</w:t>
      </w:r>
      <w:r w:rsidRPr="00A248D7">
        <w:rPr>
          <w:rFonts w:cstheme="minorHAnsi"/>
          <w:lang w:val="nl-NL"/>
        </w:rPr>
        <w:t xml:space="preserve"> et </w:t>
      </w:r>
      <w:r w:rsidRPr="00A248D7">
        <w:rPr>
          <w:rFonts w:cstheme="minorHAnsi"/>
          <w:smallCaps/>
          <w:lang w:val="nl-NL"/>
        </w:rPr>
        <w:t>H. Storme</w:t>
      </w:r>
      <w:r w:rsidRPr="00A248D7">
        <w:rPr>
          <w:rFonts w:cstheme="minorHAnsi"/>
          <w:lang w:val="nl-NL"/>
        </w:rPr>
        <w:t xml:space="preserve">, </w:t>
      </w:r>
      <w:r w:rsidRPr="00A248D7">
        <w:rPr>
          <w:rFonts w:cstheme="minorHAnsi"/>
          <w:i/>
          <w:lang w:val="nl-NL"/>
        </w:rPr>
        <w:t>Internationaal privaatrecht</w:t>
      </w:r>
      <w:r w:rsidRPr="00A248D7">
        <w:rPr>
          <w:rFonts w:cstheme="minorHAnsi"/>
          <w:lang w:val="nl-NL"/>
        </w:rPr>
        <w:t xml:space="preserve">, Kluwer, 2009, p. 537, n° 445 et </w:t>
      </w:r>
      <w:r w:rsidRPr="00A248D7">
        <w:rPr>
          <w:rFonts w:cstheme="minorHAnsi"/>
          <w:smallCaps/>
          <w:lang w:val="nl-NL"/>
        </w:rPr>
        <w:t>H. Jacobs</w:t>
      </w:r>
      <w:r w:rsidRPr="00A248D7">
        <w:rPr>
          <w:rFonts w:cstheme="minorHAnsi"/>
          <w:lang w:val="nl-NL"/>
        </w:rPr>
        <w:t xml:space="preserve"> et </w:t>
      </w:r>
      <w:r w:rsidRPr="00A248D7">
        <w:rPr>
          <w:rFonts w:cstheme="minorHAnsi"/>
          <w:smallCaps/>
          <w:lang w:val="nl-NL"/>
        </w:rPr>
        <w:t>V. de Backer</w:t>
      </w:r>
      <w:r w:rsidRPr="00A248D7">
        <w:rPr>
          <w:rFonts w:cstheme="minorHAnsi"/>
          <w:lang w:val="nl-NL"/>
        </w:rPr>
        <w:t xml:space="preserve">, « Het huwelijksvermogensrecht in het Wetboek internationaal privaatrecht », </w:t>
      </w:r>
      <w:r w:rsidRPr="00A248D7">
        <w:rPr>
          <w:rFonts w:cstheme="minorHAnsi"/>
          <w:i/>
          <w:lang w:val="nl-NL"/>
        </w:rPr>
        <w:t xml:space="preserve">Not. </w:t>
      </w:r>
      <w:r w:rsidRPr="00A248D7">
        <w:rPr>
          <w:rFonts w:cstheme="minorHAnsi"/>
          <w:i/>
        </w:rPr>
        <w:t>Fisc. M.</w:t>
      </w:r>
      <w:r w:rsidRPr="00A248D7">
        <w:rPr>
          <w:rFonts w:cstheme="minorHAnsi"/>
        </w:rPr>
        <w:t>, 2005, p. 230, n° 16.</w:t>
      </w:r>
    </w:p>
  </w:footnote>
  <w:footnote w:id="1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Article 50, paragraphe 2, al. 2 Code de droit international privé.</w:t>
      </w:r>
    </w:p>
  </w:footnote>
  <w:footnote w:id="1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Mais il a pu séduire des ressortissants belges faisant l’acquisition d’une résidence secondaire en France. Sur les difficultés que de tels choix suscitent, cons.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336, n° 368.</w:t>
      </w:r>
    </w:p>
  </w:footnote>
  <w:footnote w:id="18">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Principalement des trois Etats liés par la Convention de La Haye de 1978, à savoir la France, les Pays-Bas et le Luxembourg. Les articles 3, al. 4 et 6, al. 4 de la Convention permettaient en effet aux (futurs) époux de désigner la loi de l’Etat où sont situés des immeubles. Un tel choix n’avait d’effet que pour ces immeubles.</w:t>
      </w:r>
    </w:p>
  </w:footnote>
  <w:footnote w:id="19">
    <w:p w:rsidR="005A7CF8" w:rsidRPr="00A248D7" w:rsidRDefault="005A7CF8" w:rsidP="00A76186">
      <w:pPr>
        <w:pStyle w:val="Notedebasdepage"/>
        <w:jc w:val="both"/>
        <w:rPr>
          <w:rFonts w:cstheme="minorHAnsi"/>
          <w:lang w:val="nl-NL"/>
        </w:rPr>
      </w:pPr>
      <w:r w:rsidRPr="00A248D7">
        <w:rPr>
          <w:rStyle w:val="Appelnotedebasdep"/>
          <w:rFonts w:cstheme="minorHAnsi"/>
        </w:rPr>
        <w:footnoteRef/>
      </w:r>
      <w:r w:rsidRPr="00A248D7">
        <w:rPr>
          <w:rFonts w:cstheme="minorHAnsi"/>
        </w:rPr>
        <w:t xml:space="preserve"> En droit commun belge, cons. </w:t>
      </w:r>
      <w:r w:rsidRPr="00A248D7">
        <w:rPr>
          <w:rFonts w:cstheme="minorHAnsi"/>
          <w:smallCaps/>
          <w:lang w:val="nl-NL"/>
        </w:rPr>
        <w:t>J.-L. van Boxstael</w:t>
      </w:r>
      <w:r w:rsidRPr="00A248D7">
        <w:rPr>
          <w:rFonts w:cstheme="minorHAnsi"/>
          <w:lang w:val="nl-NL"/>
        </w:rPr>
        <w:t xml:space="preserve">, </w:t>
      </w:r>
      <w:r w:rsidR="00B02832" w:rsidRPr="00A248D7">
        <w:rPr>
          <w:rFonts w:cstheme="minorHAnsi"/>
          <w:i/>
          <w:lang w:val="nl-NL"/>
        </w:rPr>
        <w:t>op. cit</w:t>
      </w:r>
      <w:r w:rsidR="00B02832" w:rsidRPr="00A248D7">
        <w:rPr>
          <w:rFonts w:cstheme="minorHAnsi"/>
          <w:lang w:val="nl-NL"/>
        </w:rPr>
        <w:t xml:space="preserve">., </w:t>
      </w:r>
      <w:r w:rsidRPr="00A248D7">
        <w:rPr>
          <w:rFonts w:cstheme="minorHAnsi"/>
          <w:lang w:val="nl-NL"/>
        </w:rPr>
        <w:t>Larcier, 2018, p. 336, n° 369.</w:t>
      </w:r>
    </w:p>
  </w:footnote>
  <w:footnote w:id="20">
    <w:p w:rsidR="001D66A1" w:rsidRPr="00A248D7" w:rsidRDefault="001D66A1" w:rsidP="001D66A1">
      <w:pPr>
        <w:pStyle w:val="Notedebasdepage"/>
        <w:jc w:val="both"/>
      </w:pPr>
      <w:r w:rsidRPr="00A248D7">
        <w:rPr>
          <w:rStyle w:val="Appelnotedebasdep"/>
        </w:rPr>
        <w:footnoteRef/>
      </w:r>
      <w:r w:rsidRPr="00A248D7">
        <w:t xml:space="preserve"> Sur cette question, P. </w:t>
      </w:r>
      <w:r w:rsidRPr="00A248D7">
        <w:rPr>
          <w:smallCaps/>
        </w:rPr>
        <w:t>Wautelet</w:t>
      </w:r>
      <w:r w:rsidRPr="00A248D7">
        <w:t xml:space="preserve">, « Article 22 », in A. </w:t>
      </w:r>
      <w:r w:rsidRPr="00A248D7">
        <w:rPr>
          <w:smallCaps/>
        </w:rPr>
        <w:t>Bonomi</w:t>
      </w:r>
      <w:r w:rsidRPr="00A248D7">
        <w:t xml:space="preserve"> et </w:t>
      </w:r>
      <w:r w:rsidRPr="00A248D7">
        <w:rPr>
          <w:smallCaps/>
        </w:rPr>
        <w:t>P. Wautelet</w:t>
      </w:r>
      <w:r w:rsidRPr="00A248D7">
        <w:t xml:space="preserve">, </w:t>
      </w:r>
      <w:r w:rsidRPr="00A248D7">
        <w:rPr>
          <w:i/>
        </w:rPr>
        <w:t>Le droit européen des relations patrimoniales de couple. Commentaire des Règlements (UE) n° 2016/1103 et 2016/1104</w:t>
      </w:r>
      <w:r w:rsidRPr="00A248D7">
        <w:t xml:space="preserve">, Bruylant, 2021, pp. 624-644, n° 98 à 140. </w:t>
      </w:r>
    </w:p>
  </w:footnote>
  <w:footnote w:id="21">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w:t>
      </w:r>
      <w:r w:rsidRPr="00A248D7">
        <w:rPr>
          <w:rFonts w:cstheme="minorHAnsi"/>
          <w:smallCaps/>
        </w:rPr>
        <w:t>N. Watté</w:t>
      </w:r>
      <w:r w:rsidRPr="00A248D7">
        <w:rPr>
          <w:rFonts w:cstheme="minorHAnsi"/>
        </w:rPr>
        <w:t xml:space="preserve">, </w:t>
      </w:r>
      <w:r w:rsidRPr="00A248D7">
        <w:rPr>
          <w:rFonts w:cstheme="minorHAnsi"/>
          <w:i/>
        </w:rPr>
        <w:t>Le droit patrimonial des familles en droit international privé : perspectives du récent Code belge</w:t>
      </w:r>
      <w:r w:rsidRPr="00A248D7">
        <w:rPr>
          <w:rFonts w:cstheme="minorHAnsi"/>
        </w:rPr>
        <w:t>, UMontréal, Ed. Thémis, 2008, p. 32, n° 17.</w:t>
      </w:r>
    </w:p>
  </w:footnote>
  <w:footnote w:id="22">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N. </w:t>
      </w:r>
      <w:r w:rsidRPr="00A248D7">
        <w:rPr>
          <w:rFonts w:cstheme="minorHAnsi"/>
          <w:smallCaps/>
        </w:rPr>
        <w:t>Watté</w:t>
      </w:r>
      <w:r w:rsidRPr="00A248D7">
        <w:rPr>
          <w:rFonts w:cstheme="minorHAnsi"/>
        </w:rPr>
        <w:t xml:space="preserve"> et C. </w:t>
      </w:r>
      <w:r w:rsidRPr="00A248D7">
        <w:rPr>
          <w:rFonts w:cstheme="minorHAnsi"/>
          <w:smallCaps/>
        </w:rPr>
        <w:t>Barbé</w:t>
      </w:r>
      <w:r w:rsidRPr="00A248D7">
        <w:rPr>
          <w:rFonts w:cstheme="minorHAnsi"/>
        </w:rPr>
        <w:t xml:space="preserve">, « Le nouveau droit international privé belge. Etude critique des fondements des règles de conflit de lois », </w:t>
      </w:r>
      <w:r w:rsidRPr="00A248D7">
        <w:rPr>
          <w:rFonts w:cstheme="minorHAnsi"/>
          <w:i/>
        </w:rPr>
        <w:t>JDI</w:t>
      </w:r>
      <w:r w:rsidRPr="00A248D7">
        <w:rPr>
          <w:rFonts w:cstheme="minorHAnsi"/>
        </w:rPr>
        <w:t xml:space="preserve">, 2006, p. 903, n° 81 ; </w:t>
      </w:r>
      <w:r w:rsidRPr="00A248D7">
        <w:rPr>
          <w:rFonts w:cstheme="minorHAnsi"/>
          <w:smallCaps/>
        </w:rPr>
        <w:t>Ph. de Page</w:t>
      </w:r>
      <w:r w:rsidRPr="00A248D7">
        <w:rPr>
          <w:rFonts w:cstheme="minorHAnsi"/>
        </w:rPr>
        <w:t xml:space="preserve">, « Les règles de conflit de lois du nouveau Code de droit international privé relatives aux régimes matrimoniaux et aux succession », </w:t>
      </w:r>
      <w:r w:rsidRPr="00A248D7">
        <w:rPr>
          <w:rFonts w:cstheme="minorHAnsi"/>
          <w:i/>
        </w:rPr>
        <w:t>Rev. trim. dr. fam.</w:t>
      </w:r>
      <w:r w:rsidRPr="00A248D7">
        <w:rPr>
          <w:rFonts w:cstheme="minorHAnsi"/>
        </w:rPr>
        <w:t xml:space="preserve">, 2005, p. 664 : « Il faut conseiller aux époux de manifester clairement leur volonté à ce sujet dans le contrat de mariage ». La jurisprudence se montre très stricte et refuse de considérer que des déclarations des époux relatives au type de régime choisi puissent être considérées comme traduisant un choix de loi :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338, n° 371.</w:t>
      </w:r>
    </w:p>
  </w:footnote>
  <w:footnote w:id="2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L’article 22, par. 2 du Règlement successions indique qu’un choix de loi pet être « formulé de manière expresse » ou résulter des termes d’une disposition à cause de mort. Sur le choix implicite en matière successorale, cons. </w:t>
      </w:r>
      <w:r w:rsidRPr="00A248D7">
        <w:rPr>
          <w:rFonts w:cstheme="minorHAnsi"/>
          <w:smallCaps/>
        </w:rPr>
        <w:t>A. Bonomi</w:t>
      </w:r>
      <w:r w:rsidRPr="00A248D7">
        <w:rPr>
          <w:rFonts w:cstheme="minorHAnsi"/>
        </w:rPr>
        <w:t xml:space="preserve">, « Article 22 », in A. </w:t>
      </w:r>
      <w:r w:rsidRPr="00A248D7">
        <w:rPr>
          <w:rFonts w:cstheme="minorHAnsi"/>
          <w:smallCaps/>
        </w:rPr>
        <w:t>Bonomi</w:t>
      </w:r>
      <w:r w:rsidRPr="00A248D7">
        <w:rPr>
          <w:rFonts w:cstheme="minorHAnsi"/>
        </w:rPr>
        <w:t xml:space="preserve"> et P. </w:t>
      </w:r>
      <w:r w:rsidRPr="00A248D7">
        <w:rPr>
          <w:rFonts w:cstheme="minorHAnsi"/>
          <w:smallCaps/>
        </w:rPr>
        <w:t>Wautelet</w:t>
      </w:r>
      <w:r w:rsidRPr="00A248D7">
        <w:rPr>
          <w:rFonts w:cstheme="minorHAnsi"/>
        </w:rPr>
        <w:t xml:space="preserve">, </w:t>
      </w:r>
      <w:r w:rsidRPr="00A248D7">
        <w:rPr>
          <w:rFonts w:cstheme="minorHAnsi"/>
          <w:i/>
        </w:rPr>
        <w:t>Le droit européen des successions</w:t>
      </w:r>
      <w:r w:rsidRPr="00A248D7">
        <w:rPr>
          <w:rFonts w:cstheme="minorHAnsi"/>
        </w:rPr>
        <w:t>, 2</w:t>
      </w:r>
      <w:r w:rsidRPr="00A248D7">
        <w:rPr>
          <w:rFonts w:cstheme="minorHAnsi"/>
          <w:vertAlign w:val="superscript"/>
        </w:rPr>
        <w:t>ème</w:t>
      </w:r>
      <w:r w:rsidRPr="00A248D7">
        <w:rPr>
          <w:rFonts w:cstheme="minorHAnsi"/>
        </w:rPr>
        <w:t xml:space="preserve"> éd., Bruylant, 2016, pp. 346-350, n° 56-63</w:t>
      </w:r>
    </w:p>
  </w:footnote>
  <w:footnote w:id="24">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L’article 50 par. 1 du Code prévoit que « Le choix du droit applicable […] peut modifier un choix antérieur ». </w:t>
      </w:r>
    </w:p>
  </w:footnote>
  <w:footnote w:id="2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Art. 50, par. 2, qui fait référence à la solution mise en place par l’article 52, al. 1 du Code.</w:t>
      </w:r>
    </w:p>
  </w:footnote>
  <w:footnote w:id="2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Sauf dans l’hypothèse dans laquelle aucun des deux époux ne réside sur le territoire d’un Etat membre au moment de la conclusion du contrat. Dans ce cas, l’article 23 se contente d’imposer le respect de l’exigence première, à savoir que le choix de loi doit faire l’objet d’un écrit daté et signé.</w:t>
      </w:r>
    </w:p>
  </w:footnote>
  <w:footnote w:id="2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On retiendra d’ailleurs que le droit espagnol a délégué aux différentes communautés qui composent l’Espagne la compétence en matière de régimes matrimoniaux. Le Code civil ne s’applique qu’aux communautés qui n’y ont pas dérogé.</w:t>
      </w:r>
    </w:p>
  </w:footnote>
  <w:footnote w:id="28">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 l’égard des époux mariés avant le 1</w:t>
      </w:r>
      <w:r w:rsidRPr="00A248D7">
        <w:rPr>
          <w:rFonts w:cstheme="minorHAnsi"/>
          <w:vertAlign w:val="superscript"/>
        </w:rPr>
        <w:t>er</w:t>
      </w:r>
      <w:r w:rsidRPr="00A248D7">
        <w:rPr>
          <w:rFonts w:cstheme="minorHAnsi"/>
        </w:rPr>
        <w:t xml:space="preserve"> octobre 2004, le rattachement se faisait prioritairement à la loi de la nationalité commune, même si celle-ci avait été acquise par le mariage. Ce n’est qu’à défaut de nationalité commune au moment du mariage, que la jurisprudence soumettait les époux au régime légal de la loi de l’Etat où ils avaient installé leur première résidence (par ex. Mons, 23 avril 1987, </w:t>
      </w:r>
      <w:r w:rsidRPr="00A248D7">
        <w:rPr>
          <w:rFonts w:cstheme="minorHAnsi"/>
          <w:i/>
        </w:rPr>
        <w:t>R.G.E.N.</w:t>
      </w:r>
      <w:r w:rsidRPr="00A248D7">
        <w:rPr>
          <w:rFonts w:cstheme="minorHAnsi"/>
        </w:rPr>
        <w:t xml:space="preserve">, 1988, n°23616 - mariage en 1971 entre une ressortissante belge et un ressortissant italien). Encore ce rattachement au premier lieu de vie des époux n’était-il accepté que depuis les années 1960. Auparavant, les cours et tribunaux retenaient la loi de la nationalité du mari, cf. par exemple Bruxelles, 16 mai 1960, </w:t>
      </w:r>
      <w:r w:rsidRPr="00A248D7">
        <w:rPr>
          <w:rFonts w:cstheme="minorHAnsi"/>
          <w:i/>
          <w:iCs/>
        </w:rPr>
        <w:t>Pas</w:t>
      </w:r>
      <w:r w:rsidRPr="00A248D7">
        <w:rPr>
          <w:rFonts w:cstheme="minorHAnsi"/>
        </w:rPr>
        <w:t>, 1960, II, 265.</w:t>
      </w:r>
    </w:p>
  </w:footnote>
  <w:footnote w:id="2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Art. 4, par. 2, 1° du Code.</w:t>
      </w:r>
    </w:p>
  </w:footnote>
  <w:footnote w:id="30">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2018, p. 339, n° 374.</w:t>
      </w:r>
    </w:p>
  </w:footnote>
  <w:footnote w:id="31">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C’est l’option retenue en Suisse. Cf. l’article 54, par. 1 lettre a de la loi suisse de 1987 relative au droit international privé.</w:t>
      </w:r>
    </w:p>
  </w:footnote>
  <w:footnote w:id="32">
    <w:p w:rsidR="005A7CF8" w:rsidRPr="00A248D7" w:rsidRDefault="005A7CF8" w:rsidP="00A76186">
      <w:pPr>
        <w:pStyle w:val="Notedebasdepage"/>
        <w:jc w:val="both"/>
        <w:rPr>
          <w:rFonts w:cstheme="minorHAnsi"/>
          <w:lang w:val="en-US"/>
        </w:rPr>
      </w:pPr>
      <w:r w:rsidRPr="00A248D7">
        <w:rPr>
          <w:rStyle w:val="Appelnotedebasdep"/>
          <w:rFonts w:cstheme="minorHAnsi"/>
        </w:rPr>
        <w:footnoteRef/>
      </w:r>
      <w:r w:rsidRPr="00A248D7">
        <w:rPr>
          <w:rFonts w:cstheme="minorHAnsi"/>
          <w:lang w:val="en-US"/>
        </w:rPr>
        <w:t xml:space="preserve"> Cf. A. </w:t>
      </w:r>
      <w:r w:rsidRPr="00A248D7">
        <w:rPr>
          <w:rFonts w:cstheme="minorHAnsi"/>
          <w:smallCaps/>
          <w:lang w:val="en-US"/>
        </w:rPr>
        <w:t>Bonomi</w:t>
      </w:r>
      <w:r w:rsidRPr="00A248D7">
        <w:rPr>
          <w:rFonts w:cstheme="minorHAnsi"/>
          <w:lang w:val="en-US"/>
        </w:rPr>
        <w:t xml:space="preserve">, « The Proposal for a Regulation on Matrimonial Property: A Critique of the Proposed Rule on the Immutability of the Applicable Law”, in: K. </w:t>
      </w:r>
      <w:r w:rsidRPr="00A248D7">
        <w:rPr>
          <w:rFonts w:cstheme="minorHAnsi"/>
          <w:smallCaps/>
          <w:lang w:val="en-US"/>
        </w:rPr>
        <w:t>Boele-Woelki, N. Dethloff</w:t>
      </w:r>
      <w:r w:rsidRPr="00A248D7">
        <w:rPr>
          <w:rFonts w:cstheme="minorHAnsi"/>
          <w:lang w:val="en-US"/>
        </w:rPr>
        <w:t xml:space="preserve"> et W. </w:t>
      </w:r>
      <w:r w:rsidRPr="00A248D7">
        <w:rPr>
          <w:rFonts w:cstheme="minorHAnsi"/>
          <w:smallCaps/>
          <w:lang w:val="en-US"/>
        </w:rPr>
        <w:t>Gephart</w:t>
      </w:r>
      <w:r w:rsidRPr="00A248D7">
        <w:rPr>
          <w:rFonts w:cstheme="minorHAnsi"/>
          <w:lang w:val="en-US"/>
        </w:rPr>
        <w:t xml:space="preserve"> (éd.), </w:t>
      </w:r>
      <w:r w:rsidRPr="00A248D7">
        <w:rPr>
          <w:rFonts w:cstheme="minorHAnsi"/>
          <w:i/>
          <w:lang w:val="en-US"/>
        </w:rPr>
        <w:t>Family Law and Culture in Europe</w:t>
      </w:r>
      <w:r w:rsidRPr="00A248D7">
        <w:rPr>
          <w:rFonts w:cstheme="minorHAnsi"/>
          <w:lang w:val="en-US"/>
        </w:rPr>
        <w:t>, Intersentia, 2014, pp. 231-247.</w:t>
      </w:r>
    </w:p>
  </w:footnote>
  <w:footnote w:id="3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Code de droit international privé adopte une position identique. Sur l’imperméabilité du Code au conflit mobile et aux autres modifications des circonstances, cf.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 xml:space="preserve">Larcier, 2018, pp. 339-340, n° 375-376. L’appréciation était déjà identique avant l’adoption du Code, cf. M. </w:t>
      </w:r>
      <w:r w:rsidRPr="00A248D7">
        <w:rPr>
          <w:rFonts w:cstheme="minorHAnsi"/>
          <w:smallCaps/>
        </w:rPr>
        <w:t>Verwilghen</w:t>
      </w:r>
      <w:r w:rsidRPr="00A248D7">
        <w:rPr>
          <w:rFonts w:cstheme="minorHAnsi"/>
        </w:rPr>
        <w:t xml:space="preserve"> et </w:t>
      </w:r>
      <w:r w:rsidRPr="00A248D7">
        <w:rPr>
          <w:rFonts w:cstheme="minorHAnsi"/>
          <w:smallCaps/>
        </w:rPr>
        <w:t>P. Vanden Eynde</w:t>
      </w:r>
      <w:r w:rsidRPr="00A248D7">
        <w:rPr>
          <w:rFonts w:cstheme="minorHAnsi"/>
        </w:rPr>
        <w:t xml:space="preserve">, v° Régimes matrimoniaux (droit international), </w:t>
      </w:r>
      <w:r w:rsidRPr="00A248D7">
        <w:rPr>
          <w:rFonts w:cstheme="minorHAnsi"/>
          <w:i/>
        </w:rPr>
        <w:t>RPDB</w:t>
      </w:r>
      <w:r w:rsidRPr="00A248D7">
        <w:rPr>
          <w:rFonts w:cstheme="minorHAnsi"/>
        </w:rPr>
        <w:t xml:space="preserve">, Compl. T. VI, 1983, p. 902, n° 112-115. On se souviendra néanmoins que la jurisprudence avait accepté de tenir compte du conflit mobile dans une situation particulière, celle de la modification conventionnelle par les époux de leur contrat de mariage. Cf. par exemple Civ. Bruxelles, 11 avril 1978, </w:t>
      </w:r>
      <w:r w:rsidRPr="00A248D7">
        <w:rPr>
          <w:rFonts w:cstheme="minorHAnsi"/>
          <w:i/>
        </w:rPr>
        <w:t>Rev. trim. dr. fam.</w:t>
      </w:r>
      <w:r w:rsidRPr="00A248D7">
        <w:rPr>
          <w:rFonts w:cstheme="minorHAnsi"/>
        </w:rPr>
        <w:t>, 1979, p. 313.</w:t>
      </w:r>
    </w:p>
  </w:footnote>
  <w:footnote w:id="34">
    <w:p w:rsidR="00A248D7" w:rsidRPr="00A248D7" w:rsidRDefault="00A248D7" w:rsidP="00A248D7">
      <w:pPr>
        <w:pStyle w:val="Notedebasdepage"/>
        <w:jc w:val="both"/>
      </w:pPr>
      <w:r w:rsidRPr="00A248D7">
        <w:rPr>
          <w:rStyle w:val="Appelnotedebasdep"/>
        </w:rPr>
        <w:footnoteRef/>
      </w:r>
      <w:r w:rsidRPr="00A248D7">
        <w:t xml:space="preserve"> Pour plus de détails sur la clause d’exception prévue par le règlement, cf. A. </w:t>
      </w:r>
      <w:r w:rsidRPr="00A248D7">
        <w:rPr>
          <w:smallCaps/>
        </w:rPr>
        <w:t>Bonomi</w:t>
      </w:r>
      <w:r w:rsidRPr="00A248D7">
        <w:t>, « Article 2</w:t>
      </w:r>
      <w:r w:rsidRPr="00A248D7">
        <w:t>6</w:t>
      </w:r>
      <w:r w:rsidRPr="00A248D7">
        <w:t xml:space="preserve"> », in A. </w:t>
      </w:r>
      <w:r w:rsidRPr="00A248D7">
        <w:rPr>
          <w:smallCaps/>
        </w:rPr>
        <w:t>Bonomi</w:t>
      </w:r>
      <w:r w:rsidRPr="00A248D7">
        <w:t xml:space="preserve"> et </w:t>
      </w:r>
      <w:r w:rsidRPr="00A248D7">
        <w:rPr>
          <w:smallCaps/>
        </w:rPr>
        <w:t>P. Wautelet</w:t>
      </w:r>
      <w:r w:rsidRPr="00A248D7">
        <w:t xml:space="preserve">, </w:t>
      </w:r>
      <w:r w:rsidRPr="00A248D7">
        <w:rPr>
          <w:i/>
        </w:rPr>
        <w:t>Le droit européen des relations patrimoniales de couple. Commentaire des Règlements (UE) n° 2016/1103 et 2016/1104</w:t>
      </w:r>
      <w:r w:rsidRPr="00A248D7">
        <w:t xml:space="preserve">, Bruylant, 2021, pp. </w:t>
      </w:r>
      <w:r w:rsidRPr="00A248D7">
        <w:t>811-833</w:t>
      </w:r>
      <w:r w:rsidRPr="00A248D7">
        <w:t xml:space="preserve">, n° </w:t>
      </w:r>
      <w:r w:rsidRPr="00A248D7">
        <w:t>85</w:t>
      </w:r>
      <w:r w:rsidRPr="00A248D7">
        <w:t xml:space="preserve"> à 1</w:t>
      </w:r>
      <w:r w:rsidRPr="00A248D7">
        <w:t>33</w:t>
      </w:r>
      <w:r w:rsidRPr="00A248D7">
        <w:t>.</w:t>
      </w:r>
    </w:p>
  </w:footnote>
  <w:footnote w:id="3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Par ex . Civ. Hainaut, div. Charleroi, 21</w:t>
      </w:r>
      <w:r w:rsidRPr="00A248D7">
        <w:rPr>
          <w:rFonts w:cstheme="minorHAnsi"/>
          <w:vertAlign w:val="superscript"/>
        </w:rPr>
        <w:t>ème</w:t>
      </w:r>
      <w:r w:rsidRPr="00A248D7">
        <w:rPr>
          <w:rFonts w:cstheme="minorHAnsi"/>
        </w:rPr>
        <w:t xml:space="preserve"> ch., 13 avril 2018, </w:t>
      </w:r>
      <w:r w:rsidRPr="00A248D7">
        <w:rPr>
          <w:rFonts w:cstheme="minorHAnsi"/>
          <w:i/>
        </w:rPr>
        <w:t>Revue@dipr.be</w:t>
      </w:r>
      <w:r w:rsidRPr="00A248D7">
        <w:rPr>
          <w:rFonts w:cstheme="minorHAnsi"/>
        </w:rPr>
        <w:t>, 2018/2, p. 81 (deux époux s’étaient mariés en France et avaient vécu les premières années de leur vie commune au Maroc ; madame souhaitait s’opposer à l’application du droit marocain au motif que le couple présentait des attaches plus importantes avec la Belgique. Le tribunal a refusé de mettre en œuvre la clause d’exception, relevant que les parties avaient établi des liens importants avec le Maroc au cours de leur séjour dans cet Etat pendant les deux premières années de leur mariage ; au demeurant les liens avec la Belgique étaient selon le tribunal moins substantiels).</w:t>
      </w:r>
    </w:p>
  </w:footnote>
  <w:footnote w:id="3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renvoi était néanmoins admis avant la codification du droit international privé en 2004, cf. par ex. Mons (2</w:t>
      </w:r>
      <w:r w:rsidRPr="00A248D7">
        <w:rPr>
          <w:rFonts w:cstheme="minorHAnsi"/>
          <w:vertAlign w:val="superscript"/>
        </w:rPr>
        <w:t>ème</w:t>
      </w:r>
      <w:r w:rsidRPr="00A248D7">
        <w:rPr>
          <w:rFonts w:cstheme="minorHAnsi"/>
        </w:rPr>
        <w:t xml:space="preserve"> ch.), 20 novembre 2007, </w:t>
      </w:r>
      <w:r w:rsidRPr="00A248D7">
        <w:rPr>
          <w:rFonts w:cstheme="minorHAnsi"/>
          <w:i/>
        </w:rPr>
        <w:t>Rev. not. b.</w:t>
      </w:r>
      <w:r w:rsidRPr="00A248D7">
        <w:rPr>
          <w:rFonts w:cstheme="minorHAnsi"/>
        </w:rPr>
        <w:t xml:space="preserve">, 2008, p. 71 (la Cour examine la règle de conflit de lois du droit anglais, déclaré applicable au régime matrimonial d’époux mariés en 1943, le mari possédant la nationalité britannique). Sur l’admission du renvoi avant l’adoption du Code de droit international privé, cf. M. </w:t>
      </w:r>
      <w:r w:rsidRPr="00A248D7">
        <w:rPr>
          <w:rFonts w:cstheme="minorHAnsi"/>
          <w:smallCaps/>
        </w:rPr>
        <w:t>Verwilghen</w:t>
      </w:r>
      <w:r w:rsidRPr="00A248D7">
        <w:rPr>
          <w:rFonts w:cstheme="minorHAnsi"/>
        </w:rPr>
        <w:t xml:space="preserve"> et </w:t>
      </w:r>
      <w:r w:rsidRPr="00A248D7">
        <w:rPr>
          <w:rFonts w:cstheme="minorHAnsi"/>
          <w:smallCaps/>
        </w:rPr>
        <w:t>P. Vanden Eynde</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p. 890, n° 47.</w:t>
      </w:r>
    </w:p>
  </w:footnote>
  <w:footnote w:id="3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problème était déjà soulevé à propos de la Convention de La Haye de 1978. Dans son rapport, M. von Overbeck indiquait qu’il n’était pas exclu qu’un certain laps de temps puisse s’écouler entre le mariage et la première résidence habituelle des époux. Selon M. von Overbeck, </w:t>
      </w:r>
      <w:r w:rsidRPr="00A248D7">
        <w:rPr>
          <w:rFonts w:cstheme="minorHAnsi"/>
          <w:i/>
          <w:iCs/>
        </w:rPr>
        <w:t>“</w:t>
      </w:r>
      <w:r w:rsidRPr="00A248D7">
        <w:rPr>
          <w:rFonts w:cstheme="minorHAnsi"/>
          <w:iCs/>
        </w:rPr>
        <w:t>Il n’est pas nécessaire que les époux prennent immédiatement après le mariage leur résidence habituelle dans le même Etat”</w:t>
      </w:r>
      <w:r w:rsidRPr="00A248D7">
        <w:rPr>
          <w:rFonts w:cstheme="minorHAnsi"/>
          <w:i/>
          <w:iCs/>
        </w:rPr>
        <w:t> : Actes et documents de la Treizième session</w:t>
      </w:r>
      <w:r w:rsidRPr="00A248D7">
        <w:rPr>
          <w:rFonts w:cstheme="minorHAnsi"/>
        </w:rPr>
        <w:t>, T. II: Régimes matrimoniaux, Imprimerie Nationale, 1978, La Haye, p. 362, n° 149.</w:t>
      </w:r>
    </w:p>
  </w:footnote>
  <w:footnote w:id="38">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Selon M. van Boxstael, « il nous paraît en toute hypothèse qu’une durée de séjour séparé de plus de six mois après la célébration du mariage devra conduire à la mise en œuvre des critères de rattachement subsidiaire »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 xml:space="preserve">Larcier, 2018, p. 341, n° 377). Nous avions proposé une interprétation plus stricte, qui aurait réservé l’application de la règle principale aux époux qui cohabitent effectivement un mois au plus tard après leur union :  P. </w:t>
      </w:r>
      <w:r w:rsidRPr="00A248D7">
        <w:rPr>
          <w:rFonts w:cstheme="minorHAnsi"/>
          <w:smallCaps/>
        </w:rPr>
        <w:t>Wautelet</w:t>
      </w:r>
      <w:r w:rsidRPr="00A248D7">
        <w:rPr>
          <w:rFonts w:cstheme="minorHAnsi"/>
        </w:rPr>
        <w:t xml:space="preserve">, « Les régimes matrimoniaux en droit international privé – Autour de trois questions d’actualité », in </w:t>
      </w:r>
      <w:r w:rsidRPr="00A248D7">
        <w:rPr>
          <w:rFonts w:cstheme="minorHAnsi"/>
          <w:i/>
        </w:rPr>
        <w:t>Droit familial sans frontières</w:t>
      </w:r>
      <w:r w:rsidRPr="00A248D7">
        <w:rPr>
          <w:rFonts w:cstheme="minorHAnsi"/>
        </w:rPr>
        <w:t xml:space="preserve">, </w:t>
      </w:r>
      <w:r w:rsidRPr="00A248D7">
        <w:rPr>
          <w:rFonts w:cstheme="minorHAnsi"/>
          <w:smallCaps/>
        </w:rPr>
        <w:t>E. Van den Broeck</w:t>
      </w:r>
      <w:r w:rsidRPr="00A248D7">
        <w:rPr>
          <w:rFonts w:cstheme="minorHAnsi"/>
        </w:rPr>
        <w:t xml:space="preserve"> (éd.), 2013, p. 194.</w:t>
      </w:r>
    </w:p>
  </w:footnote>
  <w:footnote w:id="3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Sous réserve d’une évolution de la jurisprudence, qui n’est pas purement hypothétique. La Cour de cassation a en effet adopté une approche résolument novatrice en matière de régimes matrimoniaux lorsqu’un des époux possède une autre nationalité que la nationalité commune. Alors que les principes classiques devraient conduire à accepter que si l’un des époux possède, outre la nationalité commune, également la nationalité belge, celle-ci l’emporte, la Cour a estimé en 2009 qu’il fallait considérer que les deux époux possédaient une nationalité commune. Cf. Cass., 4 déc. 2009, </w:t>
      </w:r>
      <w:r w:rsidRPr="00A248D7">
        <w:rPr>
          <w:rFonts w:cstheme="minorHAnsi"/>
          <w:i/>
        </w:rPr>
        <w:t>Pas.</w:t>
      </w:r>
      <w:r w:rsidRPr="00A248D7">
        <w:rPr>
          <w:rFonts w:cstheme="minorHAnsi"/>
        </w:rPr>
        <w:t xml:space="preserve">, 2009, p. 885. Cette jurisprudence visait la règle de conflit en vigueur avant la codification du droit international privé. L’on ne peut néanmoins exclure que la Cour en étende l’application aux situations soumises au Code (comme l’indique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342, n° 378).</w:t>
      </w:r>
    </w:p>
  </w:footnote>
  <w:footnote w:id="40">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baromètre publié par le notariat belge indique que pour l’année 2018, plus de 60% des 33.000 actes reçus par des notaires belges à propos des relations patrimoniales de couple sont des actes visant à modifier le régime des époux déjà mariés (Fédération des notaires, Baromètre des notaires – famille 2018).</w:t>
      </w:r>
    </w:p>
  </w:footnote>
  <w:footnote w:id="41">
    <w:p w:rsidR="005A7CF8" w:rsidRPr="00A248D7" w:rsidRDefault="005A7CF8" w:rsidP="00A76186">
      <w:pPr>
        <w:pStyle w:val="Corpsdetexte"/>
        <w:spacing w:after="0" w:line="240" w:lineRule="auto"/>
        <w:jc w:val="both"/>
        <w:rPr>
          <w:rFonts w:asciiTheme="minorHAnsi" w:hAnsiTheme="minorHAnsi" w:cstheme="minorHAnsi"/>
          <w:sz w:val="20"/>
          <w:szCs w:val="20"/>
        </w:rPr>
      </w:pPr>
      <w:r w:rsidRPr="00A248D7">
        <w:rPr>
          <w:rStyle w:val="Appelnotedebasdep"/>
          <w:rFonts w:asciiTheme="minorHAnsi" w:hAnsiTheme="minorHAnsi" w:cstheme="minorHAnsi"/>
          <w:sz w:val="20"/>
          <w:szCs w:val="20"/>
        </w:rPr>
        <w:footnoteRef/>
      </w:r>
      <w:r w:rsidRPr="00A248D7">
        <w:rPr>
          <w:rFonts w:asciiTheme="minorHAnsi" w:hAnsiTheme="minorHAnsi" w:cstheme="minorHAnsi"/>
          <w:sz w:val="20"/>
          <w:szCs w:val="20"/>
        </w:rPr>
        <w:t xml:space="preserve"> </w:t>
      </w:r>
      <w:r w:rsidRPr="00A248D7">
        <w:rPr>
          <w:rStyle w:val="small-caps"/>
          <w:rFonts w:asciiTheme="minorHAnsi" w:hAnsiTheme="minorHAnsi" w:cstheme="minorHAnsi"/>
          <w:smallCaps/>
          <w:kern w:val="24"/>
          <w:sz w:val="20"/>
          <w:szCs w:val="20"/>
          <w:shd w:val="clear" w:color="auto" w:fill="FFFFFF"/>
        </w:rPr>
        <w:t>J.-L. van Boxstael</w:t>
      </w:r>
      <w:r w:rsidRPr="00A248D7">
        <w:rPr>
          <w:rStyle w:val="small-caps"/>
          <w:rFonts w:asciiTheme="minorHAnsi" w:hAnsiTheme="minorHAnsi" w:cstheme="minorHAnsi"/>
          <w:sz w:val="20"/>
          <w:szCs w:val="20"/>
          <w:shd w:val="clear" w:color="auto" w:fill="FFFFFF"/>
        </w:rPr>
        <w:t xml:space="preserve">, </w:t>
      </w:r>
      <w:r w:rsidRPr="00A248D7">
        <w:rPr>
          <w:rFonts w:asciiTheme="minorHAnsi" w:hAnsiTheme="minorHAnsi" w:cstheme="minorHAnsi"/>
          <w:sz w:val="20"/>
          <w:szCs w:val="20"/>
          <w:shd w:val="clear" w:color="auto" w:fill="FFFFFF"/>
        </w:rPr>
        <w:t xml:space="preserve">« </w:t>
      </w:r>
      <w:r w:rsidRPr="00A248D7">
        <w:rPr>
          <w:rFonts w:asciiTheme="minorHAnsi" w:hAnsiTheme="minorHAnsi" w:cstheme="minorHAnsi"/>
          <w:sz w:val="20"/>
          <w:szCs w:val="20"/>
        </w:rPr>
        <w:t xml:space="preserve">Que pouvons-nous retenir du règlement européen "régimes matrimoniaux ? », </w:t>
      </w:r>
      <w:r w:rsidRPr="00A248D7">
        <w:rPr>
          <w:rFonts w:asciiTheme="minorHAnsi" w:hAnsiTheme="minorHAnsi" w:cstheme="minorHAnsi"/>
          <w:i/>
          <w:sz w:val="20"/>
          <w:szCs w:val="20"/>
        </w:rPr>
        <w:t>Notamus</w:t>
      </w:r>
      <w:r w:rsidRPr="00A248D7">
        <w:rPr>
          <w:rFonts w:asciiTheme="minorHAnsi" w:hAnsiTheme="minorHAnsi" w:cstheme="minorHAnsi"/>
          <w:sz w:val="20"/>
          <w:szCs w:val="20"/>
        </w:rPr>
        <w:t>, 2019, p. 33.</w:t>
      </w:r>
    </w:p>
  </w:footnote>
  <w:footnote w:id="42">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Dans la version de l’article 69 telle qu’elle a été corrigée, cf. </w:t>
      </w:r>
      <w:r w:rsidRPr="00A248D7">
        <w:rPr>
          <w:rFonts w:cstheme="minorHAnsi"/>
          <w:i/>
        </w:rPr>
        <w:t>supra</w:t>
      </w:r>
      <w:r w:rsidRPr="00A248D7">
        <w:rPr>
          <w:rFonts w:cstheme="minorHAnsi"/>
        </w:rPr>
        <w:t xml:space="preserve"> note X.</w:t>
      </w:r>
    </w:p>
  </w:footnote>
  <w:footnote w:id="4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 l’égard des actes authentiques reçus à partir du 29 janvier 2019, ce sont donc surtout les articles 58 et 59 du règlement qui peuvent trouver application.</w:t>
      </w:r>
    </w:p>
  </w:footnote>
  <w:footnote w:id="44">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En ce sens, L. </w:t>
      </w:r>
      <w:r w:rsidRPr="00A248D7">
        <w:rPr>
          <w:rFonts w:cstheme="minorHAnsi"/>
          <w:smallCaps/>
        </w:rPr>
        <w:t>Barnich</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i/>
        </w:rPr>
        <w:t>Rev. not. b.</w:t>
      </w:r>
      <w:r w:rsidRPr="00A248D7">
        <w:rPr>
          <w:rFonts w:cstheme="minorHAnsi"/>
        </w:rPr>
        <w:t>, 2017, pp. 175-176.</w:t>
      </w:r>
    </w:p>
  </w:footnote>
  <w:footnote w:id="4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Comme le rappelle M. van Boxstael, “un changement de loi applicable est une opération invasive », qui doit dès lors « être utilisé avec parcimonie ». Si une modification à droit constant permet de rencontrer les attentes des époux, elle doit dès lors être privilégiée : </w:t>
      </w:r>
      <w:r w:rsidRPr="00A248D7">
        <w:rPr>
          <w:rFonts w:cstheme="minorHAnsi"/>
          <w:smallCaps/>
        </w:rPr>
        <w:t>J.-L. van Boxstael</w:t>
      </w:r>
      <w:r w:rsidRPr="00A248D7">
        <w:rPr>
          <w:rFonts w:cstheme="minorHAnsi"/>
        </w:rPr>
        <w:t>,</w:t>
      </w:r>
      <w:r w:rsidR="00B02832" w:rsidRPr="00A248D7">
        <w:rPr>
          <w:rFonts w:cstheme="minorHAnsi"/>
          <w:i/>
        </w:rPr>
        <w:t xml:space="preserve"> op. cit</w:t>
      </w:r>
      <w:r w:rsidR="00B02832" w:rsidRPr="00A248D7">
        <w:rPr>
          <w:rFonts w:cstheme="minorHAnsi"/>
        </w:rPr>
        <w:t xml:space="preserve">., </w:t>
      </w:r>
      <w:r w:rsidRPr="00A248D7">
        <w:rPr>
          <w:rFonts w:cstheme="minorHAnsi"/>
        </w:rPr>
        <w:t>Larcier, 2018, p. 345, n° 384.</w:t>
      </w:r>
    </w:p>
  </w:footnote>
  <w:footnote w:id="4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L’on peut se demander s’il en ira de même lorsque les époux précisent dans l’acte modificatif que leurs relations sont soumises au droit français alors que ce droit régissait déjà les relations entre parties. Si en l’espèce, les relations entre époux sont soumises au droit français, soit que le contrat de mariage initial comprenait un choix en faveur de ce droit, soit que les époux étaient soumis au droit français en raison de leur premier domicile conjugal, et que les époux prévoient un choix de loi dans l’acte modificatif, le règlement s’appliquera même si le choix de loi a uniquement vocation à confirmer que les époux sont bien soumis au droit français.</w:t>
      </w:r>
    </w:p>
  </w:footnote>
  <w:footnote w:id="4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lang w:val="nl-NL"/>
        </w:rPr>
        <w:t xml:space="preserve"> S</w:t>
      </w:r>
      <w:r w:rsidRPr="00A248D7">
        <w:rPr>
          <w:rStyle w:val="renv"/>
          <w:rFonts w:cstheme="minorHAnsi"/>
          <w:sz w:val="20"/>
          <w:lang w:val="nl-NL"/>
        </w:rPr>
        <w:t xml:space="preserve">. </w:t>
      </w:r>
      <w:r w:rsidRPr="00A248D7">
        <w:rPr>
          <w:rStyle w:val="renv"/>
          <w:rFonts w:cstheme="minorHAnsi"/>
          <w:smallCaps/>
          <w:sz w:val="20"/>
          <w:lang w:val="nl-NL"/>
        </w:rPr>
        <w:t>Martens</w:t>
      </w:r>
      <w:r w:rsidRPr="00A248D7">
        <w:rPr>
          <w:rStyle w:val="renv"/>
          <w:rFonts w:cstheme="minorHAnsi"/>
          <w:sz w:val="20"/>
          <w:lang w:val="nl-NL"/>
        </w:rPr>
        <w:t xml:space="preserve">, « Wijziging van het huwelijksstelsel en het internationaal privaatrecht : geen eenvoudig huwelijk », </w:t>
      </w:r>
      <w:r w:rsidRPr="00A248D7">
        <w:rPr>
          <w:rStyle w:val="renv"/>
          <w:rFonts w:cstheme="minorHAnsi"/>
          <w:i/>
          <w:sz w:val="20"/>
          <w:lang w:val="nl-NL"/>
        </w:rPr>
        <w:t>TEP</w:t>
      </w:r>
      <w:r w:rsidRPr="00A248D7">
        <w:rPr>
          <w:rStyle w:val="renv"/>
          <w:rFonts w:cstheme="minorHAnsi"/>
          <w:sz w:val="20"/>
          <w:lang w:val="nl-NL"/>
        </w:rPr>
        <w:t>, 2008, p. 79, n° 101</w:t>
      </w:r>
      <w:r w:rsidR="00B02832" w:rsidRPr="00A248D7">
        <w:rPr>
          <w:rStyle w:val="renv"/>
          <w:rFonts w:cstheme="minorHAnsi"/>
          <w:sz w:val="20"/>
          <w:lang w:val="nl-NL"/>
        </w:rPr>
        <w:t>.</w:t>
      </w:r>
      <w:r w:rsidRPr="00A248D7">
        <w:rPr>
          <w:rFonts w:cstheme="minorHAnsi"/>
          <w:lang w:val="nl-NL"/>
        </w:rPr>
        <w:t xml:space="preserve"> </w:t>
      </w:r>
      <w:r w:rsidRPr="00A248D7">
        <w:rPr>
          <w:rFonts w:cstheme="minorHAnsi"/>
        </w:rPr>
        <w:t>Cette règle était déjà retenue par la jurisprudence avant la codification du droit international privé : Civ. Bruxelles (12</w:t>
      </w:r>
      <w:r w:rsidRPr="00A248D7">
        <w:rPr>
          <w:rFonts w:cstheme="minorHAnsi"/>
          <w:vertAlign w:val="superscript"/>
        </w:rPr>
        <w:t>ème</w:t>
      </w:r>
      <w:r w:rsidRPr="00A248D7">
        <w:rPr>
          <w:rFonts w:cstheme="minorHAnsi"/>
        </w:rPr>
        <w:t xml:space="preserve"> ch.), 21 janvier 1998, </w:t>
      </w:r>
      <w:r w:rsidRPr="00A248D7">
        <w:rPr>
          <w:rFonts w:cstheme="minorHAnsi"/>
          <w:i/>
        </w:rPr>
        <w:t>JLMB</w:t>
      </w:r>
      <w:r w:rsidRPr="00A248D7">
        <w:rPr>
          <w:rFonts w:cstheme="minorHAnsi"/>
        </w:rPr>
        <w:t xml:space="preserve">, 1998, p. 955 (application du droit italien à deux époux de nationalité italienne mariés sans contrat de mariage). Cf. les explications de M. </w:t>
      </w:r>
      <w:r w:rsidRPr="00A248D7">
        <w:rPr>
          <w:rFonts w:cstheme="minorHAnsi"/>
          <w:smallCaps/>
        </w:rPr>
        <w:t>Verwilghen</w:t>
      </w:r>
      <w:r w:rsidRPr="00A248D7">
        <w:rPr>
          <w:rFonts w:cstheme="minorHAnsi"/>
        </w:rPr>
        <w:t xml:space="preserve"> et </w:t>
      </w:r>
      <w:r w:rsidRPr="00A248D7">
        <w:rPr>
          <w:rFonts w:cstheme="minorHAnsi"/>
          <w:smallCaps/>
        </w:rPr>
        <w:t>P. Vanden Eynde</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p. 904, n° 125.</w:t>
      </w:r>
    </w:p>
  </w:footnote>
  <w:footnote w:id="48">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Par une sorte de chassé-croisé ou de jeu de cascade, la modification du régime peut dès lors relever de plusieurs règles de conflits de loi différentes : une modification qui a lieu en 2020, sans être accompagnée d’un choix de loi par les époux, dépend d’abord de la règle de conflit prévue par le Code de droit international privé. Dans la mesure où le Code fait dépendre la possibilité de modification de la loi applicable au régime existant, il sera nécessaire, lorsque les époux se sont mariés avant le 1</w:t>
      </w:r>
      <w:r w:rsidRPr="00A248D7">
        <w:rPr>
          <w:rFonts w:cstheme="minorHAnsi"/>
          <w:vertAlign w:val="superscript"/>
        </w:rPr>
        <w:t>er</w:t>
      </w:r>
      <w:r w:rsidRPr="00A248D7">
        <w:rPr>
          <w:rFonts w:cstheme="minorHAnsi"/>
        </w:rPr>
        <w:t xml:space="preserve"> octobre 2004, de consulter l’ancienne règle de conflit de lois.</w:t>
      </w:r>
    </w:p>
  </w:footnote>
  <w:footnote w:id="4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Certains droits maintiennent un principe d’immutabilité des régimes matrimoniaux, excluant toute modification par les époux au cours du mariage. Plutôt que de s’interroger sur la possibilité d’opposer l’exception d’ordre public à une telle loi étrangère (</w:t>
      </w:r>
      <w:r w:rsidRPr="00A248D7">
        <w:rPr>
          <w:rFonts w:cstheme="minorHAnsi"/>
          <w:smallCaps/>
        </w:rPr>
        <w:t>S. Godechot-Patris</w:t>
      </w:r>
      <w:r w:rsidRPr="00A248D7">
        <w:rPr>
          <w:rFonts w:cstheme="minorHAnsi"/>
        </w:rPr>
        <w:t xml:space="preserve">, « Article 27 », in </w:t>
      </w:r>
      <w:r w:rsidRPr="00A248D7">
        <w:rPr>
          <w:rFonts w:cstheme="minorHAnsi"/>
          <w:i/>
        </w:rPr>
        <w:t>Le droit européen des régimes matrimoniaux des couples. Commentaire des règlements 2016/1103 et 2016/1104</w:t>
      </w:r>
      <w:r w:rsidRPr="00A248D7">
        <w:rPr>
          <w:rFonts w:cstheme="minorHAnsi"/>
        </w:rPr>
        <w:t xml:space="preserve">, S. </w:t>
      </w:r>
      <w:r w:rsidRPr="00A248D7">
        <w:rPr>
          <w:rFonts w:cstheme="minorHAnsi"/>
          <w:smallCaps/>
        </w:rPr>
        <w:t>Corneloup</w:t>
      </w:r>
      <w:r w:rsidRPr="00A248D7">
        <w:rPr>
          <w:rFonts w:cstheme="minorHAnsi"/>
        </w:rPr>
        <w:t xml:space="preserve"> et al. (éds.), Société de législation comparée, 2018, p. 273, n° 18), l’on conseillera aux époux d’effectuer un choix en faveur du droit belge, choix qui était déjà permis par l’article 49 du Code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346, n° 386). Dès lors que les époux ont effectué un tel choix, ils pourront bénéficier de la mutabilité prévue par le droit belge.</w:t>
      </w:r>
    </w:p>
  </w:footnote>
  <w:footnote w:id="50">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Civ. Bruxelles (12</w:t>
      </w:r>
      <w:r w:rsidRPr="00A248D7">
        <w:rPr>
          <w:rFonts w:cstheme="minorHAnsi"/>
          <w:vertAlign w:val="superscript"/>
        </w:rPr>
        <w:t>ème</w:t>
      </w:r>
      <w:r w:rsidRPr="00A248D7">
        <w:rPr>
          <w:rFonts w:cstheme="minorHAnsi"/>
        </w:rPr>
        <w:t xml:space="preserve"> ch.), 21 janvier 1998, </w:t>
      </w:r>
      <w:r w:rsidRPr="00A248D7">
        <w:rPr>
          <w:rFonts w:cstheme="minorHAnsi"/>
          <w:i/>
        </w:rPr>
        <w:t>JLMB</w:t>
      </w:r>
      <w:r w:rsidRPr="00A248D7">
        <w:rPr>
          <w:rFonts w:cstheme="minorHAnsi"/>
        </w:rPr>
        <w:t xml:space="preserve">, 1998, p. 955 (homologation refusée d’un acte modificatif qui prévoyait que le conjoint survivant serait propriétaire de l’ensemble de la communauté, au motif qu’un tel partage inégal est contraire au droit italien). Le choix de loi peut ici aussi offrir une porte de sortie permettant aux époux d’échapper aux limites posées par un droit étranger :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pp. 346-347, n° 386.</w:t>
      </w:r>
    </w:p>
  </w:footnote>
  <w:footnote w:id="51">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Loi du 18 juillet 2008 modifiant la législation en ce qui concerne la modification du régime matrimonial sans intervention du tribunal et modifiant l’article 9 de la loi du 16 mars 1803 contenant organisation du notariat (</w:t>
      </w:r>
      <w:r w:rsidRPr="00A248D7">
        <w:rPr>
          <w:rFonts w:cstheme="minorHAnsi"/>
          <w:i/>
        </w:rPr>
        <w:t>M.B.</w:t>
      </w:r>
      <w:r w:rsidRPr="00A248D7">
        <w:rPr>
          <w:rFonts w:cstheme="minorHAnsi"/>
        </w:rPr>
        <w:t>, 14 août 2008).</w:t>
      </w:r>
    </w:p>
  </w:footnote>
  <w:footnote w:id="52">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L’article 1397 du Code civil français prévoit notamment qu’en cas d’opposition des créanciers, l’acte notarié modifiant le régime est soumis à l’homologation du tribunal du domicile des époux.</w:t>
      </w:r>
    </w:p>
  </w:footnote>
  <w:footnote w:id="53">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lang w:val="nl-NL"/>
        </w:rPr>
        <w:t xml:space="preserve"> Cf. en détail, </w:t>
      </w:r>
      <w:r w:rsidRPr="00A248D7">
        <w:rPr>
          <w:rFonts w:cstheme="minorHAnsi"/>
          <w:smallCaps/>
          <w:lang w:val="nl-NL"/>
        </w:rPr>
        <w:t>C. de Busschere</w:t>
      </w:r>
      <w:r w:rsidRPr="00A248D7">
        <w:rPr>
          <w:rFonts w:cstheme="minorHAnsi"/>
          <w:lang w:val="nl-NL"/>
        </w:rPr>
        <w:t xml:space="preserve">, « IPR-aspecten van de minnelijke wijziging van het huwelijksvermogensstelsel tijdens het huwelijk », in </w:t>
      </w:r>
      <w:r w:rsidRPr="00A248D7">
        <w:rPr>
          <w:rFonts w:cstheme="minorHAnsi"/>
          <w:i/>
          <w:lang w:val="nl-NL"/>
        </w:rPr>
        <w:t xml:space="preserve">Les relations contractuelles internationales. </w:t>
      </w:r>
      <w:r w:rsidRPr="00A248D7">
        <w:rPr>
          <w:rFonts w:cstheme="minorHAnsi"/>
          <w:i/>
        </w:rPr>
        <w:t>Le rôle du notaire</w:t>
      </w:r>
      <w:r w:rsidRPr="00A248D7">
        <w:rPr>
          <w:rFonts w:cstheme="minorHAnsi"/>
        </w:rPr>
        <w:t>, Maklu, 1995, pp. 150-159, n° 30-41.</w:t>
      </w:r>
    </w:p>
  </w:footnote>
  <w:footnote w:id="54">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Le critère de l’intérêt de la famille est retenu par l’article 1397 al. 1 du Code civil français.</w:t>
      </w:r>
    </w:p>
  </w:footnote>
  <w:footnote w:id="5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les explications de J</w:t>
      </w:r>
      <w:r w:rsidRPr="00A248D7">
        <w:rPr>
          <w:rFonts w:cstheme="minorHAnsi"/>
          <w:smallCaps/>
        </w:rPr>
        <w:t>.-L.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pp. 345-346, n° 385.</w:t>
      </w:r>
    </w:p>
  </w:footnote>
  <w:footnote w:id="56">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Cf. les exemples de rédaction donnés par </w:t>
      </w:r>
      <w:r w:rsidRPr="00A248D7">
        <w:rPr>
          <w:rFonts w:cstheme="minorHAnsi"/>
          <w:smallCaps/>
        </w:rPr>
        <w:t>J.-L. van Boxstael</w:t>
      </w:r>
      <w:r w:rsidRPr="00A248D7">
        <w:rPr>
          <w:rFonts w:cstheme="minorHAnsi"/>
        </w:rPr>
        <w:t xml:space="preserve">, </w:t>
      </w:r>
      <w:r w:rsidRPr="00A248D7">
        <w:rPr>
          <w:rFonts w:cstheme="minorHAnsi"/>
          <w:shd w:val="clear" w:color="auto" w:fill="FFFFFF"/>
          <w:lang w:val="fr-CH"/>
        </w:rPr>
        <w:t xml:space="preserve">« Le règlement européen ‘régimes matrimoniaux’ et la pratique notariale » in </w:t>
      </w:r>
      <w:r w:rsidRPr="00A248D7">
        <w:rPr>
          <w:rFonts w:cstheme="minorHAnsi"/>
          <w:smallCaps/>
          <w:kern w:val="24"/>
          <w:shd w:val="clear" w:color="auto" w:fill="FFFFFF"/>
          <w:lang w:val="fr-CH"/>
        </w:rPr>
        <w:t>J. van Boxstael</w:t>
      </w:r>
      <w:r w:rsidRPr="00A248D7">
        <w:rPr>
          <w:rFonts w:cstheme="minorHAnsi"/>
          <w:shd w:val="clear" w:color="auto" w:fill="FFFFFF"/>
          <w:lang w:val="fr-CH"/>
        </w:rPr>
        <w:t xml:space="preserve"> et F. </w:t>
      </w:r>
      <w:r w:rsidRPr="00A248D7">
        <w:rPr>
          <w:rFonts w:cstheme="minorHAnsi"/>
          <w:smallCaps/>
          <w:kern w:val="24"/>
          <w:shd w:val="clear" w:color="auto" w:fill="FFFFFF"/>
          <w:lang w:val="fr-CH"/>
        </w:rPr>
        <w:t>Taimont</w:t>
      </w:r>
      <w:r w:rsidRPr="00A248D7">
        <w:rPr>
          <w:rFonts w:cstheme="minorHAnsi"/>
          <w:shd w:val="clear" w:color="auto" w:fill="FFFFFF"/>
          <w:lang w:val="fr-CH"/>
        </w:rPr>
        <w:t xml:space="preserve"> (éds.), </w:t>
      </w:r>
      <w:r w:rsidRPr="00A248D7">
        <w:rPr>
          <w:rFonts w:cstheme="minorHAnsi"/>
          <w:i/>
          <w:iCs/>
          <w:shd w:val="clear" w:color="auto" w:fill="FFFFFF"/>
          <w:lang w:val="fr-CH"/>
        </w:rPr>
        <w:t>Tapas de droit notarial 2018</w:t>
      </w:r>
      <w:r w:rsidRPr="00A248D7">
        <w:rPr>
          <w:rFonts w:cstheme="minorHAnsi"/>
          <w:shd w:val="clear" w:color="auto" w:fill="FFFFFF"/>
          <w:lang w:val="fr-CH"/>
        </w:rPr>
        <w:t>, Bruxelles, Larcier, 2019, pp. 205-206.</w:t>
      </w:r>
    </w:p>
  </w:footnote>
  <w:footnote w:id="57">
    <w:p w:rsidR="00782C93" w:rsidRPr="00A248D7" w:rsidRDefault="00782C93"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En règle on conseillera aux époux de ne pas donner au choix de loi une portée rétroactive, comme le permet l’article 22 du Règlement. S’ils souhaitent donner une portée rétroactive à leur choix, il conviendra de réaliser un inventaire pour accompagner la modification.</w:t>
      </w:r>
    </w:p>
  </w:footnote>
  <w:footnote w:id="58">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Selon M. van Boxstael, cette solution est « implicite dans le texte de l’article 27 »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345, note 559).</w:t>
      </w:r>
    </w:p>
  </w:footnote>
  <w:footnote w:id="5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Art. 1392 C. civ.</w:t>
      </w:r>
    </w:p>
  </w:footnote>
  <w:footnote w:id="60">
    <w:p w:rsidR="00782C93" w:rsidRPr="00A248D7" w:rsidRDefault="00782C93"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Encore faut-il se demander si la modification envisagée par les époux emporte une « liquidation du régime préexistant » au sens de l’article 1394, par. 2, al. 2 C. civ. Avec M. van Boxstael, on peut admettre qu’il y a effectivement liquidation lorsque les époux donnent à leur choix de loi une portée rétroactive ou en cas de transformation d’un régime de communauté en régime de séparation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349, n° 391). Dans les autres situations, la rédaction d’un inventaire s’avère opportune, sans toutefois constituer une obligation.</w:t>
      </w:r>
    </w:p>
  </w:footnote>
  <w:footnote w:id="61">
    <w:p w:rsidR="009C3158" w:rsidRPr="00A248D7" w:rsidRDefault="009C315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Contrairement à l’article 23 et à l’article 25, par. 2 qui ne visent que les seules exigences formelles imposées par les Etats membres liés par le règlement.</w:t>
      </w:r>
    </w:p>
  </w:footnote>
  <w:footnote w:id="62">
    <w:p w:rsidR="00ED5220" w:rsidRPr="00A248D7" w:rsidRDefault="00ED5220"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Toujours sous réserve de l’existence d’un choix de loi implicite, cf. </w:t>
      </w:r>
      <w:r w:rsidRPr="00A248D7">
        <w:rPr>
          <w:rFonts w:cstheme="minorHAnsi"/>
          <w:i/>
        </w:rPr>
        <w:t>supra</w:t>
      </w:r>
      <w:r w:rsidRPr="00A248D7">
        <w:rPr>
          <w:rFonts w:cstheme="minorHAnsi"/>
        </w:rPr>
        <w:t>.</w:t>
      </w:r>
    </w:p>
  </w:footnote>
  <w:footnote w:id="63">
    <w:p w:rsidR="005A7CF8" w:rsidRPr="00A248D7" w:rsidRDefault="005A7CF8" w:rsidP="00A76186">
      <w:pPr>
        <w:pStyle w:val="Notedebasdepage"/>
        <w:jc w:val="both"/>
        <w:rPr>
          <w:rFonts w:cstheme="minorHAnsi"/>
          <w:kern w:val="20"/>
        </w:rPr>
      </w:pPr>
      <w:r w:rsidRPr="00A248D7">
        <w:rPr>
          <w:rStyle w:val="Appelnotedebasdep"/>
          <w:rFonts w:cstheme="minorHAnsi"/>
        </w:rPr>
        <w:footnoteRef/>
      </w:r>
      <w:r w:rsidRPr="00A248D7">
        <w:rPr>
          <w:rFonts w:cstheme="minorHAnsi"/>
        </w:rPr>
        <w:t xml:space="preserve"> Cf</w:t>
      </w:r>
      <w:r w:rsidRPr="00A248D7">
        <w:rPr>
          <w:rFonts w:cstheme="minorHAnsi"/>
          <w:kern w:val="20"/>
        </w:rPr>
        <w:t xml:space="preserve">. par exemple </w:t>
      </w:r>
      <w:r w:rsidRPr="00A248D7">
        <w:rPr>
          <w:rFonts w:cstheme="minorHAnsi"/>
          <w:i/>
          <w:kern w:val="20"/>
          <w:shd w:val="clear" w:color="auto" w:fill="FCFCFC"/>
        </w:rPr>
        <w:t>ATZ v AUA</w:t>
      </w:r>
      <w:r w:rsidRPr="00A248D7">
        <w:rPr>
          <w:rFonts w:cstheme="minorHAnsi"/>
          <w:kern w:val="20"/>
          <w:shd w:val="clear" w:color="auto" w:fill="FCFCFC"/>
        </w:rPr>
        <w:t xml:space="preserve"> [2015] SGHC 161, §§ 27-36 et </w:t>
      </w:r>
      <w:r w:rsidRPr="00A248D7">
        <w:rPr>
          <w:rFonts w:cstheme="minorHAnsi"/>
          <w:i/>
          <w:kern w:val="20"/>
          <w:shd w:val="clear" w:color="auto" w:fill="FCFCFC"/>
        </w:rPr>
        <w:t>Tiong Swee Eng v Yeo Khee Siang</w:t>
      </w:r>
      <w:r w:rsidRPr="00A248D7">
        <w:rPr>
          <w:rFonts w:cstheme="minorHAnsi"/>
          <w:kern w:val="20"/>
          <w:shd w:val="clear" w:color="auto" w:fill="FCFCFC"/>
        </w:rPr>
        <w:t xml:space="preserve"> [2015] 3 SLR 1141.</w:t>
      </w:r>
    </w:p>
  </w:footnote>
  <w:footnote w:id="64">
    <w:p w:rsidR="00FD1F2A" w:rsidRPr="00A248D7" w:rsidRDefault="00FD1F2A"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 1615 (c)(2) du </w:t>
      </w:r>
      <w:r w:rsidRPr="00A248D7">
        <w:rPr>
          <w:rFonts w:cstheme="minorHAnsi"/>
          <w:i/>
        </w:rPr>
        <w:t>Family Code</w:t>
      </w:r>
      <w:r w:rsidR="00A76186" w:rsidRPr="00A248D7">
        <w:rPr>
          <w:rFonts w:cstheme="minorHAnsi"/>
        </w:rPr>
        <w:t xml:space="preserve"> de Californie</w:t>
      </w:r>
      <w:r w:rsidRPr="00A248D7">
        <w:rPr>
          <w:rFonts w:cstheme="minorHAnsi"/>
        </w:rPr>
        <w:t>.</w:t>
      </w:r>
    </w:p>
  </w:footnote>
  <w:footnote w:id="65">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La nécessité de contrôler le respect de la règle de conflit de lois en vigueur en Belgique faisait déjà partie de la procédure d’accueil des actes étrangers avant la codification du droit international privé en 2004, cf. M. </w:t>
      </w:r>
      <w:r w:rsidRPr="00A248D7">
        <w:rPr>
          <w:rFonts w:cstheme="minorHAnsi"/>
          <w:smallCaps/>
        </w:rPr>
        <w:t>Verwilghen</w:t>
      </w:r>
      <w:r w:rsidRPr="00A248D7">
        <w:rPr>
          <w:rFonts w:cstheme="minorHAnsi"/>
        </w:rPr>
        <w:t xml:space="preserve"> et </w:t>
      </w:r>
      <w:r w:rsidRPr="00A248D7">
        <w:rPr>
          <w:rFonts w:cstheme="minorHAnsi"/>
          <w:smallCaps/>
        </w:rPr>
        <w:t>P. Vanden Eynde</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 xml:space="preserve">pp. 909-910, n° 154 ; F. </w:t>
      </w:r>
      <w:r w:rsidRPr="00A248D7">
        <w:rPr>
          <w:rFonts w:cstheme="minorHAnsi"/>
          <w:smallCaps/>
        </w:rPr>
        <w:t>Rigaux</w:t>
      </w:r>
      <w:r w:rsidRPr="00A248D7">
        <w:rPr>
          <w:rFonts w:cstheme="minorHAnsi"/>
        </w:rPr>
        <w:t xml:space="preserve">, « Quelques réflexions sur la loi du 14 juillet 1976. Droit interne et droit international privé », </w:t>
      </w:r>
      <w:r w:rsidRPr="00A248D7">
        <w:rPr>
          <w:rFonts w:cstheme="minorHAnsi"/>
          <w:i/>
        </w:rPr>
        <w:t>Rev. trim. dr. fam.</w:t>
      </w:r>
      <w:r w:rsidRPr="00A248D7">
        <w:rPr>
          <w:rFonts w:cstheme="minorHAnsi"/>
        </w:rPr>
        <w:t xml:space="preserve">, 1978, p. 22, n° 30. </w:t>
      </w:r>
      <w:r w:rsidRPr="00A248D7">
        <w:rPr>
          <w:rFonts w:cstheme="minorHAnsi"/>
          <w:i/>
        </w:rPr>
        <w:t>Comp</w:t>
      </w:r>
      <w:r w:rsidRPr="00A248D7">
        <w:rPr>
          <w:rFonts w:cstheme="minorHAnsi"/>
        </w:rPr>
        <w:t xml:space="preserve">. néanmoins avec l’approche plus libérale prônée par Mme Watté : </w:t>
      </w:r>
      <w:r w:rsidRPr="00A248D7">
        <w:rPr>
          <w:rFonts w:cstheme="minorHAnsi"/>
          <w:smallCaps/>
        </w:rPr>
        <w:t>N. Watté</w:t>
      </w:r>
      <w:r w:rsidRPr="00A248D7">
        <w:rPr>
          <w:rFonts w:cstheme="minorHAnsi"/>
        </w:rPr>
        <w:t xml:space="preserve"> et L. </w:t>
      </w:r>
      <w:r w:rsidRPr="00A248D7">
        <w:rPr>
          <w:rFonts w:cstheme="minorHAnsi"/>
          <w:smallCaps/>
        </w:rPr>
        <w:t>Barnich</w:t>
      </w:r>
      <w:r w:rsidRPr="00A248D7">
        <w:rPr>
          <w:rFonts w:cstheme="minorHAnsi"/>
        </w:rPr>
        <w:t xml:space="preserve">, « Les conflits de lois en matière de régimes matrimoniaux », </w:t>
      </w:r>
      <w:r w:rsidRPr="00A248D7">
        <w:rPr>
          <w:rFonts w:cstheme="minorHAnsi"/>
          <w:i/>
        </w:rPr>
        <w:t>Rép not.</w:t>
      </w:r>
      <w:r w:rsidRPr="00A248D7">
        <w:rPr>
          <w:rFonts w:cstheme="minorHAnsi"/>
        </w:rPr>
        <w:t>, t. XVIII, l. II, Larcier, 1997, pp. 124-125, n° 137 (ces auteurs n’exigeaient que le respect des « règles matérielles désignées par les règles de conflit de l’Etat » où l’acte modificatif a été passé).</w:t>
      </w:r>
    </w:p>
  </w:footnote>
  <w:footnote w:id="66">
    <w:p w:rsidR="004A2EB0" w:rsidRPr="00A248D7" w:rsidRDefault="004A2EB0" w:rsidP="004A2EB0">
      <w:pPr>
        <w:pStyle w:val="Notedebasdepage"/>
        <w:jc w:val="both"/>
      </w:pPr>
      <w:r w:rsidRPr="00A248D7">
        <w:rPr>
          <w:rStyle w:val="Appelnotedebasdep"/>
        </w:rPr>
        <w:footnoteRef/>
      </w:r>
      <w:r w:rsidRPr="00A248D7">
        <w:t xml:space="preserve"> On peut se demander s’il y a place, dans le cadre de cette analyse, pour une appréciation fondée sur l’équivalence des résultats ou si l’article 27 exige au contraire une identité parfaite entre l’acte étranger et celui qui aurait été produit sur base de la loi déclarée applicable par le Code.</w:t>
      </w:r>
    </w:p>
  </w:footnote>
  <w:footnote w:id="67">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En ce sens,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 xml:space="preserve">Larcier, 2018, p. 354, n° 401 ; </w:t>
      </w:r>
      <w:r w:rsidRPr="00A248D7">
        <w:rPr>
          <w:rFonts w:cstheme="minorHAnsi"/>
          <w:smallCaps/>
        </w:rPr>
        <w:t>P. Franzina</w:t>
      </w:r>
      <w:r w:rsidRPr="00A248D7">
        <w:rPr>
          <w:rFonts w:cstheme="minorHAnsi"/>
        </w:rPr>
        <w:t xml:space="preserve">, « Article 58 – Acceptance of Authentic Instruments », in </w:t>
      </w:r>
      <w:r w:rsidRPr="00A248D7">
        <w:rPr>
          <w:rFonts w:cstheme="minorHAnsi"/>
          <w:i/>
        </w:rPr>
        <w:t>The EU Regulations on The Property Regimes of International Couples. A Commentary</w:t>
      </w:r>
      <w:r w:rsidRPr="00A248D7">
        <w:rPr>
          <w:rFonts w:cstheme="minorHAnsi"/>
        </w:rPr>
        <w:t xml:space="preserve">, </w:t>
      </w:r>
      <w:r w:rsidRPr="00A248D7">
        <w:rPr>
          <w:rFonts w:cstheme="minorHAnsi"/>
          <w:smallCaps/>
        </w:rPr>
        <w:t>I. Viarengo</w:t>
      </w:r>
      <w:r w:rsidRPr="00A248D7">
        <w:rPr>
          <w:rFonts w:cstheme="minorHAnsi"/>
        </w:rPr>
        <w:t xml:space="preserve"> et P. </w:t>
      </w:r>
      <w:r w:rsidRPr="00A248D7">
        <w:rPr>
          <w:rFonts w:cstheme="minorHAnsi"/>
          <w:smallCaps/>
        </w:rPr>
        <w:t>Franzina</w:t>
      </w:r>
      <w:r w:rsidRPr="00A248D7">
        <w:rPr>
          <w:rFonts w:cstheme="minorHAnsi"/>
        </w:rPr>
        <w:t xml:space="preserve"> (éds.), EElgar, 2020, p. 439, n° 58.21 et p. 443, n° 58.42. </w:t>
      </w:r>
      <w:r w:rsidRPr="00A248D7">
        <w:rPr>
          <w:rFonts w:cstheme="minorHAnsi"/>
          <w:i/>
        </w:rPr>
        <w:t>Comp</w:t>
      </w:r>
      <w:r w:rsidRPr="00A248D7">
        <w:rPr>
          <w:rFonts w:cstheme="minorHAnsi"/>
        </w:rPr>
        <w:t xml:space="preserve">. M. </w:t>
      </w:r>
      <w:r w:rsidRPr="00A248D7">
        <w:rPr>
          <w:rFonts w:cstheme="minorHAnsi"/>
          <w:smallCaps/>
        </w:rPr>
        <w:t>Farge</w:t>
      </w:r>
      <w:r w:rsidRPr="00A248D7">
        <w:rPr>
          <w:rFonts w:cstheme="minorHAnsi"/>
        </w:rPr>
        <w:t xml:space="preserve">, « Article 58 », in </w:t>
      </w:r>
      <w:r w:rsidRPr="00A248D7">
        <w:rPr>
          <w:rFonts w:cstheme="minorHAnsi"/>
          <w:i/>
        </w:rPr>
        <w:t>Le droit européen des régimes matrimoniaux des couples. Commentaire des règlements 2016/1103 et 2016/1104</w:t>
      </w:r>
      <w:r w:rsidRPr="00A248D7">
        <w:rPr>
          <w:rFonts w:cstheme="minorHAnsi"/>
        </w:rPr>
        <w:t xml:space="preserve">, S. </w:t>
      </w:r>
      <w:r w:rsidRPr="00A248D7">
        <w:rPr>
          <w:rFonts w:cstheme="minorHAnsi"/>
          <w:smallCaps/>
        </w:rPr>
        <w:t>Corneloup</w:t>
      </w:r>
      <w:r w:rsidRPr="00A248D7">
        <w:rPr>
          <w:rFonts w:cstheme="minorHAnsi"/>
        </w:rPr>
        <w:t xml:space="preserve"> et al. (éds.), Société de législation comparée, 2018, p. 424, n° 33 (l’auteur évoque certes une « approche classique consistant à placer le negotium sous l’empire du conflit de lois au détriment d’un raisonnement en termes de reconnaissance », mais estime qu’il revient « aux droits internationaux privés des Etats membre de déterminer la valeur juridique du negotium consigné dans un acte émanant d’un autre Etat membre participant »).</w:t>
      </w:r>
    </w:p>
  </w:footnote>
  <w:footnote w:id="68">
    <w:p w:rsidR="004A2EB0" w:rsidRPr="00A248D7" w:rsidRDefault="004A2EB0" w:rsidP="004A2EB0">
      <w:pPr>
        <w:pStyle w:val="Notedebasdepage"/>
        <w:jc w:val="both"/>
      </w:pPr>
      <w:r w:rsidRPr="00A248D7">
        <w:rPr>
          <w:rStyle w:val="Appelnotedebasdep"/>
        </w:rPr>
        <w:footnoteRef/>
      </w:r>
      <w:r w:rsidRPr="00A248D7">
        <w:t xml:space="preserve"> Qu’un acte authentique reçu avant le 29 janvier 2019 contient un choix de loi ne suffit pas pour emporter l’application des dispositions du règlement, dans la mesure où un tel choix de loi aura par hypothèse été conclu avant cette date.</w:t>
      </w:r>
    </w:p>
  </w:footnote>
  <w:footnote w:id="69">
    <w:p w:rsidR="005A7CF8" w:rsidRPr="00A248D7" w:rsidRDefault="005A7CF8" w:rsidP="00A76186">
      <w:pPr>
        <w:pStyle w:val="Notedebasdepage"/>
        <w:jc w:val="both"/>
        <w:rPr>
          <w:rFonts w:cstheme="minorHAnsi"/>
        </w:rPr>
      </w:pPr>
      <w:r w:rsidRPr="00A248D7">
        <w:rPr>
          <w:rStyle w:val="Appelnotedebasdep"/>
          <w:rFonts w:cstheme="minorHAnsi"/>
        </w:rPr>
        <w:footnoteRef/>
      </w:r>
      <w:r w:rsidRPr="00A248D7">
        <w:rPr>
          <w:rFonts w:cstheme="minorHAnsi"/>
        </w:rPr>
        <w:t xml:space="preserve"> Pour le Code de droit international privé, cf. </w:t>
      </w:r>
      <w:r w:rsidRPr="00A248D7">
        <w:rPr>
          <w:rFonts w:cstheme="minorHAnsi"/>
          <w:smallCaps/>
        </w:rPr>
        <w:t>J.-L. van Boxstael</w:t>
      </w:r>
      <w:r w:rsidRPr="00A248D7">
        <w:rPr>
          <w:rFonts w:cstheme="minorHAnsi"/>
        </w:rPr>
        <w:t xml:space="preserve">, </w:t>
      </w:r>
      <w:r w:rsidR="00B02832" w:rsidRPr="00A248D7">
        <w:rPr>
          <w:rFonts w:cstheme="minorHAnsi"/>
          <w:i/>
        </w:rPr>
        <w:t>op. cit</w:t>
      </w:r>
      <w:r w:rsidR="00B02832" w:rsidRPr="00A248D7">
        <w:rPr>
          <w:rFonts w:cstheme="minorHAnsi"/>
        </w:rPr>
        <w:t xml:space="preserve">., </w:t>
      </w:r>
      <w:r w:rsidRPr="00A248D7">
        <w:rPr>
          <w:rFonts w:cstheme="minorHAnsi"/>
        </w:rPr>
        <w:t>Larcier, 2018, p. 352, n° 397 (selon M. van Boxstael, « que le contrat de mariage ait été reçu en la forme authentique ou non importe à cet égard peu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12"/>
    <w:rsid w:val="00002986"/>
    <w:rsid w:val="00003862"/>
    <w:rsid w:val="00003AA8"/>
    <w:rsid w:val="00066F72"/>
    <w:rsid w:val="00073CFA"/>
    <w:rsid w:val="000810A2"/>
    <w:rsid w:val="0009784B"/>
    <w:rsid w:val="000A42DC"/>
    <w:rsid w:val="000C56F2"/>
    <w:rsid w:val="000E53C6"/>
    <w:rsid w:val="000F4CB6"/>
    <w:rsid w:val="001115DA"/>
    <w:rsid w:val="0011325E"/>
    <w:rsid w:val="00133439"/>
    <w:rsid w:val="00137ADE"/>
    <w:rsid w:val="00144B9C"/>
    <w:rsid w:val="0014618E"/>
    <w:rsid w:val="0015739D"/>
    <w:rsid w:val="001578A2"/>
    <w:rsid w:val="00161224"/>
    <w:rsid w:val="00161704"/>
    <w:rsid w:val="00175B51"/>
    <w:rsid w:val="00180CEF"/>
    <w:rsid w:val="0019716B"/>
    <w:rsid w:val="001A4D8C"/>
    <w:rsid w:val="001A5B11"/>
    <w:rsid w:val="001D66A1"/>
    <w:rsid w:val="001F0D06"/>
    <w:rsid w:val="0021544B"/>
    <w:rsid w:val="00230164"/>
    <w:rsid w:val="00230BA6"/>
    <w:rsid w:val="00231CB6"/>
    <w:rsid w:val="002401F4"/>
    <w:rsid w:val="002673A2"/>
    <w:rsid w:val="00271547"/>
    <w:rsid w:val="00296BD5"/>
    <w:rsid w:val="002A4663"/>
    <w:rsid w:val="002B53C2"/>
    <w:rsid w:val="002C2537"/>
    <w:rsid w:val="002C2C66"/>
    <w:rsid w:val="002C6396"/>
    <w:rsid w:val="002C65C4"/>
    <w:rsid w:val="002D0EF9"/>
    <w:rsid w:val="002D25A4"/>
    <w:rsid w:val="002E34F1"/>
    <w:rsid w:val="003058C7"/>
    <w:rsid w:val="0031112C"/>
    <w:rsid w:val="00317CC4"/>
    <w:rsid w:val="0032613A"/>
    <w:rsid w:val="00374199"/>
    <w:rsid w:val="003742D5"/>
    <w:rsid w:val="00374DDF"/>
    <w:rsid w:val="00380A15"/>
    <w:rsid w:val="00381E1D"/>
    <w:rsid w:val="00382A3C"/>
    <w:rsid w:val="00385BC3"/>
    <w:rsid w:val="00386654"/>
    <w:rsid w:val="00397668"/>
    <w:rsid w:val="003B17EA"/>
    <w:rsid w:val="003B1AAA"/>
    <w:rsid w:val="003B4A0C"/>
    <w:rsid w:val="003E29DE"/>
    <w:rsid w:val="003F2310"/>
    <w:rsid w:val="004045D6"/>
    <w:rsid w:val="0040724A"/>
    <w:rsid w:val="00420D2F"/>
    <w:rsid w:val="00424A9E"/>
    <w:rsid w:val="00442686"/>
    <w:rsid w:val="0044779E"/>
    <w:rsid w:val="00453286"/>
    <w:rsid w:val="00494D26"/>
    <w:rsid w:val="004A2EB0"/>
    <w:rsid w:val="004B4F9F"/>
    <w:rsid w:val="004B69D2"/>
    <w:rsid w:val="004D4D3D"/>
    <w:rsid w:val="00504807"/>
    <w:rsid w:val="00516C9A"/>
    <w:rsid w:val="00530645"/>
    <w:rsid w:val="00531A59"/>
    <w:rsid w:val="00535258"/>
    <w:rsid w:val="005363FF"/>
    <w:rsid w:val="005369FC"/>
    <w:rsid w:val="0054678F"/>
    <w:rsid w:val="00547572"/>
    <w:rsid w:val="005A7CF8"/>
    <w:rsid w:val="005C47E4"/>
    <w:rsid w:val="0060358C"/>
    <w:rsid w:val="00615D49"/>
    <w:rsid w:val="00617000"/>
    <w:rsid w:val="00625ED6"/>
    <w:rsid w:val="006769EF"/>
    <w:rsid w:val="006853C8"/>
    <w:rsid w:val="0069522E"/>
    <w:rsid w:val="006A6D1B"/>
    <w:rsid w:val="006B6CBE"/>
    <w:rsid w:val="006C07A2"/>
    <w:rsid w:val="006E651F"/>
    <w:rsid w:val="006E7A23"/>
    <w:rsid w:val="0070133F"/>
    <w:rsid w:val="0071468E"/>
    <w:rsid w:val="00725838"/>
    <w:rsid w:val="00733915"/>
    <w:rsid w:val="00737F18"/>
    <w:rsid w:val="007400E5"/>
    <w:rsid w:val="00755B94"/>
    <w:rsid w:val="007728A0"/>
    <w:rsid w:val="00782C93"/>
    <w:rsid w:val="00784197"/>
    <w:rsid w:val="00787E29"/>
    <w:rsid w:val="00795B5F"/>
    <w:rsid w:val="007A35F2"/>
    <w:rsid w:val="007E13BB"/>
    <w:rsid w:val="007F05CE"/>
    <w:rsid w:val="007F1A77"/>
    <w:rsid w:val="0080454B"/>
    <w:rsid w:val="00825EA9"/>
    <w:rsid w:val="00832DEB"/>
    <w:rsid w:val="008400E6"/>
    <w:rsid w:val="0084634E"/>
    <w:rsid w:val="00864FB8"/>
    <w:rsid w:val="00872094"/>
    <w:rsid w:val="00892087"/>
    <w:rsid w:val="0089364B"/>
    <w:rsid w:val="008C1B7E"/>
    <w:rsid w:val="008C2002"/>
    <w:rsid w:val="008D5615"/>
    <w:rsid w:val="008E2D31"/>
    <w:rsid w:val="008E7BAF"/>
    <w:rsid w:val="008F3832"/>
    <w:rsid w:val="00907514"/>
    <w:rsid w:val="00907FAF"/>
    <w:rsid w:val="00910D92"/>
    <w:rsid w:val="00935556"/>
    <w:rsid w:val="009414DA"/>
    <w:rsid w:val="00965578"/>
    <w:rsid w:val="009A0478"/>
    <w:rsid w:val="009A6173"/>
    <w:rsid w:val="009C3158"/>
    <w:rsid w:val="009E2DCE"/>
    <w:rsid w:val="00A121F6"/>
    <w:rsid w:val="00A1798B"/>
    <w:rsid w:val="00A248D7"/>
    <w:rsid w:val="00A45B23"/>
    <w:rsid w:val="00A549B7"/>
    <w:rsid w:val="00A66CCC"/>
    <w:rsid w:val="00A75964"/>
    <w:rsid w:val="00A76186"/>
    <w:rsid w:val="00A807D4"/>
    <w:rsid w:val="00A80DF5"/>
    <w:rsid w:val="00A92058"/>
    <w:rsid w:val="00AA66CF"/>
    <w:rsid w:val="00AC051E"/>
    <w:rsid w:val="00AC710F"/>
    <w:rsid w:val="00AD69F2"/>
    <w:rsid w:val="00AE1F7A"/>
    <w:rsid w:val="00AF2EAD"/>
    <w:rsid w:val="00B02832"/>
    <w:rsid w:val="00B14357"/>
    <w:rsid w:val="00B32FC2"/>
    <w:rsid w:val="00B35D12"/>
    <w:rsid w:val="00B61AA2"/>
    <w:rsid w:val="00B74749"/>
    <w:rsid w:val="00B9080B"/>
    <w:rsid w:val="00B9589C"/>
    <w:rsid w:val="00BD0DE1"/>
    <w:rsid w:val="00BD78FD"/>
    <w:rsid w:val="00BE7B64"/>
    <w:rsid w:val="00C45ACD"/>
    <w:rsid w:val="00C621EF"/>
    <w:rsid w:val="00C67C70"/>
    <w:rsid w:val="00C75341"/>
    <w:rsid w:val="00C94F6D"/>
    <w:rsid w:val="00CC0F51"/>
    <w:rsid w:val="00D11D27"/>
    <w:rsid w:val="00D26065"/>
    <w:rsid w:val="00D27C52"/>
    <w:rsid w:val="00D35EBB"/>
    <w:rsid w:val="00D3661C"/>
    <w:rsid w:val="00D41307"/>
    <w:rsid w:val="00D43D30"/>
    <w:rsid w:val="00D454E1"/>
    <w:rsid w:val="00D47830"/>
    <w:rsid w:val="00D62F89"/>
    <w:rsid w:val="00D65542"/>
    <w:rsid w:val="00D66EF7"/>
    <w:rsid w:val="00D7470C"/>
    <w:rsid w:val="00DA6E63"/>
    <w:rsid w:val="00DB55EF"/>
    <w:rsid w:val="00DE068A"/>
    <w:rsid w:val="00E04E56"/>
    <w:rsid w:val="00E05C2A"/>
    <w:rsid w:val="00E0613F"/>
    <w:rsid w:val="00E315CD"/>
    <w:rsid w:val="00E32238"/>
    <w:rsid w:val="00E34029"/>
    <w:rsid w:val="00E3719D"/>
    <w:rsid w:val="00E51275"/>
    <w:rsid w:val="00E5679B"/>
    <w:rsid w:val="00E625EC"/>
    <w:rsid w:val="00E65EE0"/>
    <w:rsid w:val="00E74B4F"/>
    <w:rsid w:val="00E83F79"/>
    <w:rsid w:val="00E91270"/>
    <w:rsid w:val="00EA6484"/>
    <w:rsid w:val="00EB0A0D"/>
    <w:rsid w:val="00EB0BC4"/>
    <w:rsid w:val="00EB4B03"/>
    <w:rsid w:val="00ED10FE"/>
    <w:rsid w:val="00ED1F52"/>
    <w:rsid w:val="00ED42A3"/>
    <w:rsid w:val="00ED5220"/>
    <w:rsid w:val="00EE372A"/>
    <w:rsid w:val="00EF22BD"/>
    <w:rsid w:val="00F0135E"/>
    <w:rsid w:val="00F04DD6"/>
    <w:rsid w:val="00F40968"/>
    <w:rsid w:val="00F45AA8"/>
    <w:rsid w:val="00F649B1"/>
    <w:rsid w:val="00F74593"/>
    <w:rsid w:val="00F7765F"/>
    <w:rsid w:val="00F8425E"/>
    <w:rsid w:val="00F856E5"/>
    <w:rsid w:val="00F861D7"/>
    <w:rsid w:val="00F94F47"/>
    <w:rsid w:val="00F96255"/>
    <w:rsid w:val="00FC180B"/>
    <w:rsid w:val="00FD1F2A"/>
    <w:rsid w:val="00FD20DF"/>
    <w:rsid w:val="00FD332C"/>
    <w:rsid w:val="00FD5B39"/>
    <w:rsid w:val="00FE6B5C"/>
    <w:rsid w:val="00FF3E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7D1D"/>
  <w15:chartTrackingRefBased/>
  <w15:docId w15:val="{B30AB5DD-1E60-4A47-9927-AFAA8AEB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02"/>
    <w:pPr>
      <w:spacing w:after="0" w:line="240" w:lineRule="auto"/>
    </w:pPr>
    <w:rPr>
      <w:rFonts w:ascii="Times New Roman" w:eastAsia="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9EF"/>
    <w:pPr>
      <w:spacing w:after="160" w:line="259"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aliases w:val="Note de bas de pageNot,Note de bas de pageNot1,Note de bas de pageNot2,Note de bas de pageNot11,Note de bas de pageNot3,Note de bas de pageNot12,Note de bas de pageNot21,Note de bas de pageNot111,Ftnote-texte,Char"/>
    <w:basedOn w:val="Normal"/>
    <w:link w:val="NotedebasdepageCar"/>
    <w:unhideWhenUsed/>
    <w:qFormat/>
    <w:rsid w:val="006769EF"/>
    <w:rPr>
      <w:rFonts w:asciiTheme="minorHAnsi" w:eastAsiaTheme="minorHAnsi" w:hAnsiTheme="minorHAnsi" w:cstheme="minorBidi"/>
      <w:sz w:val="20"/>
      <w:szCs w:val="20"/>
      <w:lang w:eastAsia="en-US"/>
    </w:rPr>
  </w:style>
  <w:style w:type="character" w:customStyle="1" w:styleId="NotedebasdepageCar">
    <w:name w:val="Note de bas de page Car"/>
    <w:aliases w:val="Note de bas de pageNot Car,Note de bas de pageNot1 Car,Note de bas de pageNot2 Car,Note de bas de pageNot11 Car,Note de bas de pageNot3 Car,Note de bas de pageNot12 Car,Note de bas de pageNot21 Car,Note de bas de pageNot111 Car"/>
    <w:basedOn w:val="Policepardfaut"/>
    <w:link w:val="Notedebasdepage"/>
    <w:rsid w:val="006769EF"/>
    <w:rPr>
      <w:sz w:val="20"/>
      <w:szCs w:val="20"/>
    </w:rPr>
  </w:style>
  <w:style w:type="character" w:styleId="Appelnotedebasdep">
    <w:name w:val="footnote reference"/>
    <w:basedOn w:val="Policepardfaut"/>
    <w:uiPriority w:val="99"/>
    <w:unhideWhenUsed/>
    <w:qFormat/>
    <w:rsid w:val="006769EF"/>
    <w:rPr>
      <w:vertAlign w:val="superscript"/>
    </w:rPr>
  </w:style>
  <w:style w:type="character" w:customStyle="1" w:styleId="renv">
    <w:name w:val="renv"/>
    <w:rsid w:val="00E3719D"/>
    <w:rPr>
      <w:b w:val="0"/>
      <w:i w:val="0"/>
      <w:caps w:val="0"/>
      <w:smallCaps w:val="0"/>
      <w:color w:val="auto"/>
      <w:position w:val="0"/>
      <w:sz w:val="24"/>
      <w:vertAlign w:val="baseline"/>
    </w:rPr>
  </w:style>
  <w:style w:type="paragraph" w:customStyle="1" w:styleId="liste">
    <w:name w:val="liste"/>
    <w:basedOn w:val="Normal"/>
    <w:rsid w:val="00E3719D"/>
  </w:style>
  <w:style w:type="paragraph" w:styleId="Corpsdetexte">
    <w:name w:val="Body Text"/>
    <w:basedOn w:val="Normal"/>
    <w:link w:val="CorpsdetexteCar"/>
    <w:rsid w:val="00E3719D"/>
    <w:pPr>
      <w:spacing w:after="140" w:line="288" w:lineRule="auto"/>
    </w:pPr>
  </w:style>
  <w:style w:type="character" w:customStyle="1" w:styleId="CorpsdetexteCar">
    <w:name w:val="Corps de texte Car"/>
    <w:basedOn w:val="Policepardfaut"/>
    <w:link w:val="Corpsdetexte"/>
    <w:rsid w:val="00E3719D"/>
    <w:rPr>
      <w:rFonts w:ascii="Times New Roman" w:eastAsia="Times New Roman" w:hAnsi="Times New Roman" w:cs="Times New Roman"/>
      <w:sz w:val="24"/>
      <w:szCs w:val="24"/>
      <w:lang w:eastAsia="fr-BE"/>
    </w:rPr>
  </w:style>
  <w:style w:type="character" w:customStyle="1" w:styleId="small-caps">
    <w:name w:val="small-caps"/>
    <w:rsid w:val="00E3719D"/>
  </w:style>
  <w:style w:type="paragraph" w:customStyle="1" w:styleId="Default">
    <w:name w:val="Default"/>
    <w:rsid w:val="00825EA9"/>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31CB6"/>
    <w:rPr>
      <w:rFonts w:cstheme="minorBidi"/>
      <w:color w:val="auto"/>
    </w:rPr>
  </w:style>
  <w:style w:type="paragraph" w:customStyle="1" w:styleId="CM3">
    <w:name w:val="CM3"/>
    <w:basedOn w:val="Default"/>
    <w:next w:val="Default"/>
    <w:uiPriority w:val="99"/>
    <w:rsid w:val="00231CB6"/>
    <w:rPr>
      <w:rFonts w:cstheme="minorBidi"/>
      <w:color w:val="auto"/>
    </w:rPr>
  </w:style>
  <w:style w:type="paragraph" w:customStyle="1" w:styleId="CM4">
    <w:name w:val="CM4"/>
    <w:basedOn w:val="Default"/>
    <w:next w:val="Default"/>
    <w:uiPriority w:val="99"/>
    <w:rsid w:val="00231CB6"/>
    <w:rPr>
      <w:rFonts w:cstheme="minorBidi"/>
      <w:color w:val="auto"/>
    </w:rPr>
  </w:style>
  <w:style w:type="character" w:customStyle="1" w:styleId="titulo1">
    <w:name w:val="titulo1"/>
    <w:basedOn w:val="Policepardfaut"/>
    <w:rsid w:val="002B53C2"/>
  </w:style>
  <w:style w:type="paragraph" w:styleId="Sansinterligne">
    <w:name w:val="No Spacing"/>
    <w:autoRedefine/>
    <w:uiPriority w:val="1"/>
    <w:qFormat/>
    <w:rsid w:val="00AD69F2"/>
    <w:pPr>
      <w:spacing w:after="0" w:line="240" w:lineRule="auto"/>
      <w:jc w:val="both"/>
    </w:pPr>
    <w:rPr>
      <w:rFonts w:ascii="Times New Roman" w:hAnsi="Times New Roman" w:cs="Times New Roman"/>
      <w:bCs/>
      <w:lang w:val="fr-CH"/>
    </w:rPr>
  </w:style>
  <w:style w:type="character" w:styleId="Lienhypertexte">
    <w:name w:val="Hyperlink"/>
    <w:basedOn w:val="Policepardfaut"/>
    <w:uiPriority w:val="99"/>
    <w:unhideWhenUsed/>
    <w:rsid w:val="00386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C904C-F353-42DF-AAF6-AB342012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9691</Words>
  <Characters>53301</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Wautelet Patrick</dc:creator>
  <cp:keywords/>
  <dc:description/>
  <cp:lastModifiedBy>Wautelet Patrick</cp:lastModifiedBy>
  <cp:revision>9</cp:revision>
  <dcterms:created xsi:type="dcterms:W3CDTF">2020-11-13T13:22:00Z</dcterms:created>
  <dcterms:modified xsi:type="dcterms:W3CDTF">2020-11-13T13:51:00Z</dcterms:modified>
</cp:coreProperties>
</file>