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9D" w:rsidRPr="009F529D" w:rsidRDefault="00A93073" w:rsidP="00A93073">
      <w:pPr>
        <w:overflowPunct/>
        <w:autoSpaceDE/>
        <w:autoSpaceDN/>
        <w:adjustRightInd/>
        <w:jc w:val="center"/>
        <w:textAlignment w:val="auto"/>
        <w:rPr>
          <w:b/>
          <w:sz w:val="28"/>
        </w:rPr>
      </w:pPr>
      <w:r w:rsidRPr="009F529D">
        <w:rPr>
          <w:b/>
          <w:sz w:val="28"/>
        </w:rPr>
        <w:t xml:space="preserve">Les </w:t>
      </w:r>
      <w:r w:rsidR="00ED78E4" w:rsidRPr="009F529D">
        <w:rPr>
          <w:b/>
          <w:sz w:val="28"/>
        </w:rPr>
        <w:t>Représentations</w:t>
      </w:r>
      <w:r w:rsidRPr="009F529D">
        <w:rPr>
          <w:b/>
          <w:sz w:val="28"/>
        </w:rPr>
        <w:t xml:space="preserve"> me</w:t>
      </w:r>
      <w:r w:rsidR="006A559F" w:rsidRPr="009F529D">
        <w:rPr>
          <w:b/>
          <w:sz w:val="28"/>
        </w:rPr>
        <w:t>ntales</w:t>
      </w:r>
      <w:r w:rsidR="0007369E" w:rsidRPr="009F529D">
        <w:rPr>
          <w:b/>
          <w:sz w:val="28"/>
        </w:rPr>
        <w:t xml:space="preserve"> </w:t>
      </w:r>
    </w:p>
    <w:p w:rsidR="00ED78E4" w:rsidRPr="009F529D" w:rsidRDefault="006A559F" w:rsidP="00A93073">
      <w:pPr>
        <w:overflowPunct/>
        <w:autoSpaceDE/>
        <w:autoSpaceDN/>
        <w:adjustRightInd/>
        <w:jc w:val="center"/>
        <w:textAlignment w:val="auto"/>
        <w:rPr>
          <w:b/>
        </w:rPr>
      </w:pPr>
      <w:r w:rsidRPr="009F529D">
        <w:rPr>
          <w:b/>
          <w:sz w:val="26"/>
        </w:rPr>
        <w:t>P</w:t>
      </w:r>
      <w:r w:rsidR="00984ADC" w:rsidRPr="009F529D">
        <w:rPr>
          <w:b/>
          <w:sz w:val="26"/>
        </w:rPr>
        <w:t>roposition d’</w:t>
      </w:r>
      <w:r w:rsidR="00D1550C" w:rsidRPr="009F529D">
        <w:rPr>
          <w:b/>
          <w:sz w:val="26"/>
        </w:rPr>
        <w:t>une</w:t>
      </w:r>
      <w:r w:rsidR="0007369E" w:rsidRPr="009F529D">
        <w:rPr>
          <w:b/>
          <w:sz w:val="26"/>
        </w:rPr>
        <w:t xml:space="preserve"> </w:t>
      </w:r>
      <w:r w:rsidRPr="009F529D">
        <w:rPr>
          <w:b/>
        </w:rPr>
        <w:t>d</w:t>
      </w:r>
      <w:r w:rsidR="00677D3C" w:rsidRPr="009F529D">
        <w:rPr>
          <w:b/>
        </w:rPr>
        <w:t>éfinition à géométrie variable</w:t>
      </w:r>
    </w:p>
    <w:p w:rsidR="00A93073" w:rsidRDefault="00A93073" w:rsidP="00A93073">
      <w:pPr>
        <w:overflowPunct/>
        <w:autoSpaceDE/>
        <w:autoSpaceDN/>
        <w:adjustRightInd/>
        <w:jc w:val="center"/>
        <w:textAlignment w:val="auto"/>
      </w:pPr>
      <w:r>
        <w:t>D. Leclercq (</w:t>
      </w:r>
      <w:r w:rsidR="00A260FC">
        <w:t>octobre</w:t>
      </w:r>
      <w:bookmarkStart w:id="0" w:name="_GoBack"/>
      <w:bookmarkEnd w:id="0"/>
      <w:r w:rsidR="00B155A5">
        <w:t xml:space="preserve"> </w:t>
      </w:r>
      <w:r w:rsidR="009747E1">
        <w:t>2020</w:t>
      </w:r>
      <w:r>
        <w:t>)</w:t>
      </w:r>
    </w:p>
    <w:p w:rsidR="00677D3C" w:rsidRDefault="00677D3C" w:rsidP="00ED78E4">
      <w:pPr>
        <w:overflowPunct/>
        <w:autoSpaceDE/>
        <w:autoSpaceDN/>
        <w:adjustRightInd/>
        <w:jc w:val="left"/>
        <w:textAlignment w:val="auto"/>
      </w:pPr>
    </w:p>
    <w:p w:rsidR="00A93073" w:rsidRPr="00A93073" w:rsidRDefault="00A93073" w:rsidP="00A93073">
      <w:pPr>
        <w:rPr>
          <w:b/>
        </w:rPr>
      </w:pPr>
      <w:r w:rsidRPr="00A93073">
        <w:rPr>
          <w:b/>
        </w:rPr>
        <w:t>Préambule</w:t>
      </w:r>
      <w:r w:rsidR="006A559F">
        <w:rPr>
          <w:b/>
        </w:rPr>
        <w:t xml:space="preserve"> sur les définitions de représentations</w:t>
      </w:r>
    </w:p>
    <w:p w:rsidR="006A559F" w:rsidRDefault="006A559F" w:rsidP="006A559F">
      <w:r>
        <w:t>Le mot « mentales » figure dans le titre, mais, par commodité, ne sera pas rappelé</w:t>
      </w:r>
      <w:r w:rsidR="003D420D">
        <w:t>, bien qu’faille distinguer l</w:t>
      </w:r>
      <w:r>
        <w:t xml:space="preserve">es représentations </w:t>
      </w:r>
      <w:r w:rsidR="003D420D">
        <w:t xml:space="preserve">mentales des </w:t>
      </w:r>
      <w:r>
        <w:t xml:space="preserve">artistiques (théâtrales, </w:t>
      </w:r>
      <w:r w:rsidR="003D420D">
        <w:t xml:space="preserve">picturales, </w:t>
      </w:r>
      <w:r>
        <w:t xml:space="preserve">etc.)…quoique. </w:t>
      </w:r>
      <w:r w:rsidR="00A93073">
        <w:t xml:space="preserve">Depuis que j’ai entamé mes études à l’université (1963), j’ai été déçu non pas de l’abondance des définitions du mot « représentations », mais de leur manque d’opérationnalité, autrement dit de leur employabilité, de leur utilité pour l’action. Or cette caractéristique (la facilitation de l’interprétation, de l’action, de la communication est une composante de certaines de ses définitions. Il est normal que des auteurs différents donnent des définitions différentes à un même terme, dans la mesure où certaines définitions pourraient être plus </w:t>
      </w:r>
      <w:r w:rsidR="00A93073" w:rsidRPr="00A872CA">
        <w:rPr>
          <w:b/>
        </w:rPr>
        <w:t>fécondes</w:t>
      </w:r>
      <w:r w:rsidR="00A93073">
        <w:t xml:space="preserve"> que d’autres. Il ne s’agit donc pas de décider de laquelle est la plus vraie (ou correcte) mais la</w:t>
      </w:r>
      <w:r>
        <w:t>quelle est la</w:t>
      </w:r>
      <w:r w:rsidR="00A93073">
        <w:t xml:space="preserve"> plus utile, et pour quoi</w:t>
      </w:r>
      <w:r>
        <w:t xml:space="preserve"> en faire</w:t>
      </w:r>
      <w:r w:rsidR="00A93073">
        <w:t xml:space="preserve">. </w:t>
      </w:r>
      <w:r w:rsidR="00ED78E4">
        <w:t>En m’</w:t>
      </w:r>
      <w:r w:rsidR="00677D3C">
        <w:t>ins</w:t>
      </w:r>
      <w:r w:rsidR="00ED78E4">
        <w:t>p</w:t>
      </w:r>
      <w:r w:rsidR="00677D3C">
        <w:t>i</w:t>
      </w:r>
      <w:r w:rsidR="00ED78E4">
        <w:t>rant de Piaget (1926</w:t>
      </w:r>
      <w:r>
        <w:t>, 195</w:t>
      </w:r>
      <w:r w:rsidR="003D420D">
        <w:t>0, 196</w:t>
      </w:r>
      <w:r>
        <w:t>2</w:t>
      </w:r>
      <w:r w:rsidR="00ED78E4">
        <w:t>), de Moscovici (196</w:t>
      </w:r>
      <w:r w:rsidR="003D420D">
        <w:t>1 et 1984</w:t>
      </w:r>
      <w:r w:rsidR="00ED78E4">
        <w:t>), de Jodelet (</w:t>
      </w:r>
      <w:r w:rsidR="003D420D">
        <w:t>1984 e 1991</w:t>
      </w:r>
      <w:r w:rsidR="00ED78E4">
        <w:t xml:space="preserve">), </w:t>
      </w:r>
      <w:r w:rsidR="00ED78E4">
        <w:rPr>
          <w:rStyle w:val="Appelnotedebasdep"/>
        </w:rPr>
        <w:footnoteReference w:id="1"/>
      </w:r>
      <w:r w:rsidR="00A93073">
        <w:t xml:space="preserve"> je propose la définition suivante</w:t>
      </w:r>
      <w:r w:rsidR="00984ADC">
        <w:t xml:space="preserve"> (Cadre 1)</w:t>
      </w:r>
      <w:r w:rsidR="00A93073">
        <w:t xml:space="preserve">. </w:t>
      </w:r>
    </w:p>
    <w:p w:rsidR="006A559F" w:rsidRDefault="006A559F" w:rsidP="006A559F"/>
    <w:p w:rsidR="006A559F" w:rsidRPr="006A559F" w:rsidRDefault="006A559F" w:rsidP="006A559F">
      <w:pPr>
        <w:rPr>
          <w:b/>
        </w:rPr>
      </w:pPr>
      <w:r w:rsidRPr="006A559F">
        <w:rPr>
          <w:b/>
        </w:rPr>
        <w:t>Une définition à géométrie variable</w:t>
      </w:r>
      <w:r>
        <w:rPr>
          <w:b/>
        </w:rPr>
        <w:t>…</w:t>
      </w:r>
    </w:p>
    <w:p w:rsidR="00ED78E4" w:rsidRDefault="006A559F" w:rsidP="006A559F">
      <w:r>
        <w:t xml:space="preserve">Cette expression </w:t>
      </w:r>
      <w:r w:rsidR="003D420D">
        <w:t>signifie qu’on peut n’</w:t>
      </w:r>
      <w:r w:rsidR="00A93073">
        <w:t>utiliser qu’une partie</w:t>
      </w:r>
      <w:r w:rsidR="003D420D">
        <w:t xml:space="preserve"> de la définition</w:t>
      </w:r>
      <w:r w:rsidR="00A93073">
        <w:t>, selon les besoins. Par exemple, les seuls termes en gras, ce qui est l’utilisation syncrétique (Decroly, 1</w:t>
      </w:r>
      <w:r w:rsidR="00AA27A3">
        <w:t>929</w:t>
      </w:r>
      <w:r w:rsidR="00A93073">
        <w:t xml:space="preserve">), sans entrer dans les détails. </w:t>
      </w:r>
      <w:r w:rsidR="00D24AC4">
        <w:t>Autre exemple : on</w:t>
      </w:r>
      <w:r w:rsidR="00A93073">
        <w:t xml:space="preserve"> se focaliser sur ses seules </w:t>
      </w:r>
      <w:r w:rsidR="00A93073" w:rsidRPr="00D24AC4">
        <w:rPr>
          <w:b/>
        </w:rPr>
        <w:t>aspects</w:t>
      </w:r>
      <w:r w:rsidR="00A93073">
        <w:t xml:space="preserve"> (sous formes de), ou </w:t>
      </w:r>
      <w:r w:rsidR="0007620C">
        <w:t xml:space="preserve">sur ses seuls </w:t>
      </w:r>
      <w:r w:rsidR="0007620C" w:rsidRPr="0007620C">
        <w:rPr>
          <w:b/>
        </w:rPr>
        <w:t xml:space="preserve">domaines </w:t>
      </w:r>
      <w:r w:rsidR="0007620C">
        <w:t xml:space="preserve">(relevant de) ou </w:t>
      </w:r>
      <w:r w:rsidR="00A93073">
        <w:t xml:space="preserve">ses seuls </w:t>
      </w:r>
      <w:r w:rsidR="00A93073" w:rsidRPr="00D24AC4">
        <w:rPr>
          <w:b/>
        </w:rPr>
        <w:t>objets</w:t>
      </w:r>
      <w:r w:rsidR="00A93073">
        <w:t xml:space="preserve"> (portant sur) ou ses seules </w:t>
      </w:r>
      <w:r w:rsidR="00A93073" w:rsidRPr="00D24AC4">
        <w:rPr>
          <w:b/>
        </w:rPr>
        <w:t>fonctions</w:t>
      </w:r>
      <w:r w:rsidR="00A93073">
        <w:t xml:space="preserve"> (permettant de)</w:t>
      </w:r>
      <w:r w:rsidR="00984ADC">
        <w:t xml:space="preserve"> ou ses</w:t>
      </w:r>
      <w:r w:rsidR="0007620C">
        <w:t xml:space="preserve"> seules</w:t>
      </w:r>
      <w:r w:rsidR="00984ADC">
        <w:t xml:space="preserve"> </w:t>
      </w:r>
      <w:r w:rsidR="00984ADC" w:rsidRPr="00D24AC4">
        <w:rPr>
          <w:b/>
        </w:rPr>
        <w:t xml:space="preserve">propriétés </w:t>
      </w:r>
      <w:r w:rsidR="00984ADC">
        <w:t xml:space="preserve">(se caractérisant par ;..), etc. </w:t>
      </w:r>
    </w:p>
    <w:p w:rsidR="00E35C6E" w:rsidRDefault="00E35C6E" w:rsidP="00ED78E4">
      <w:pPr>
        <w:overflowPunct/>
        <w:autoSpaceDE/>
        <w:autoSpaceDN/>
        <w:adjustRightInd/>
        <w:jc w:val="left"/>
        <w:textAlignment w:val="auto"/>
      </w:pPr>
    </w:p>
    <w:p w:rsidR="006A559F" w:rsidRPr="006A559F" w:rsidRDefault="006A559F" w:rsidP="00ED78E4">
      <w:pPr>
        <w:overflowPunct/>
        <w:autoSpaceDE/>
        <w:autoSpaceDN/>
        <w:adjustRightInd/>
        <w:jc w:val="left"/>
        <w:textAlignment w:val="auto"/>
        <w:rPr>
          <w:b/>
        </w:rPr>
      </w:pPr>
      <w:r>
        <w:rPr>
          <w:b/>
        </w:rPr>
        <w:t>…e</w:t>
      </w:r>
      <w:r w:rsidRPr="006A559F">
        <w:rPr>
          <w:b/>
        </w:rPr>
        <w:t>t encore incomplète</w:t>
      </w:r>
    </w:p>
    <w:p w:rsidR="0047160A" w:rsidRDefault="0047160A" w:rsidP="00ED78E4">
      <w:pPr>
        <w:overflowPunct/>
        <w:autoSpaceDE/>
        <w:autoSpaceDN/>
        <w:adjustRightInd/>
        <w:jc w:val="left"/>
        <w:textAlignment w:val="auto"/>
      </w:pPr>
      <w:r>
        <w:t xml:space="preserve">Chacune de ces facettes ou composantes de la définition peut être à son tour approfondie. Pour ne prendre qu’un exemple, considérons un mode d’observation (tout en bas de la définition) : la technique de la carte conceptuelle. Ses variantes sont nombreuses : depuis celle des pionniers comme Buzan </w:t>
      </w:r>
      <w:r w:rsidR="00AA27A3">
        <w:t xml:space="preserve">(1984) </w:t>
      </w:r>
      <w:r>
        <w:t>et Novick (</w:t>
      </w:r>
      <w:r w:rsidR="00AA27A3">
        <w:t>1998) (</w:t>
      </w:r>
      <w:r>
        <w:t>écrire un mot puis tout ce qui s’y rattache) à celle de Marchand (2000) où c’est l’intervieweur qui la dessine en pass</w:t>
      </w:r>
      <w:r w:rsidR="00AA27A3">
        <w:t xml:space="preserve">ant par celle d’Albertini </w:t>
      </w:r>
      <w:r>
        <w:t xml:space="preserve">(1985) où le répondant fait les liens entre termes ou images proposés. Sans parler des techniques mixtes (le photo langage par exemple). </w:t>
      </w:r>
      <w:r w:rsidR="00AA27A3">
        <w:t>La mise en ordre de valeurs relève aussi de représentations (Leclercq &amp; al., 2019).</w:t>
      </w:r>
    </w:p>
    <w:p w:rsidR="006A559F" w:rsidRDefault="0047160A" w:rsidP="00ED78E4">
      <w:pPr>
        <w:overflowPunct/>
        <w:autoSpaceDE/>
        <w:autoSpaceDN/>
        <w:adjustRightInd/>
        <w:jc w:val="left"/>
        <w:textAlignment w:val="auto"/>
      </w:pPr>
      <w:r>
        <w:t xml:space="preserve">Les articles rendant compte de recherches sur les représentations mentionnent souvent dans leur titre </w:t>
      </w:r>
      <w:r w:rsidR="00486F50">
        <w:t xml:space="preserve">le choix des facettes, ce qui aide les lecteurs à repérer sur quels plans il peut espérer y trouver des éclairages. </w:t>
      </w:r>
    </w:p>
    <w:p w:rsidR="006A559F" w:rsidRDefault="006A559F" w:rsidP="00ED78E4">
      <w:pPr>
        <w:overflowPunct/>
        <w:autoSpaceDE/>
        <w:autoSpaceDN/>
        <w:adjustRightInd/>
        <w:jc w:val="left"/>
        <w:textAlignment w:val="auto"/>
      </w:pPr>
    </w:p>
    <w:p w:rsidR="0047160A" w:rsidRPr="005A68E7" w:rsidRDefault="006A559F" w:rsidP="00ED78E4">
      <w:pPr>
        <w:overflowPunct/>
        <w:autoSpaceDE/>
        <w:autoSpaceDN/>
        <w:adjustRightInd/>
        <w:jc w:val="left"/>
        <w:textAlignment w:val="auto"/>
        <w:rPr>
          <w:b/>
        </w:rPr>
      </w:pPr>
      <w:r w:rsidRPr="005A68E7">
        <w:rPr>
          <w:b/>
        </w:rPr>
        <w:t xml:space="preserve">Le « noyau de la représentation » </w:t>
      </w:r>
    </w:p>
    <w:p w:rsidR="00984ADC" w:rsidRDefault="0007620C" w:rsidP="003D420D">
      <w:pPr>
        <w:pStyle w:val="NormalWeb"/>
        <w:spacing w:before="0" w:beforeAutospacing="0"/>
        <w:jc w:val="both"/>
      </w:pPr>
      <w:r>
        <w:t>« Selon Jean-Claude Abric</w:t>
      </w:r>
      <w:hyperlink r:id="rId6" w:anchor="cite_note-24" w:history="1">
        <w:r>
          <w:rPr>
            <w:rStyle w:val="Lienhypertexte"/>
            <w:vertAlign w:val="superscript"/>
          </w:rPr>
          <w:t>24</w:t>
        </w:r>
      </w:hyperlink>
      <w:r>
        <w:rPr>
          <w:vertAlign w:val="superscript"/>
        </w:rPr>
        <w:t>,</w:t>
      </w:r>
      <w:hyperlink r:id="rId7" w:anchor="cite_note-Albric-16" w:history="1">
        <w:r>
          <w:rPr>
            <w:rStyle w:val="Lienhypertexte"/>
            <w:vertAlign w:val="superscript"/>
          </w:rPr>
          <w:t>16</w:t>
        </w:r>
      </w:hyperlink>
      <w:r>
        <w:t xml:space="preserve">, la représentation sociale se structure en éléments organisateurs, stables et non négociables (formant </w:t>
      </w:r>
      <w:r w:rsidRPr="0007620C">
        <w:rPr>
          <w:b/>
        </w:rPr>
        <w:t>le noyau de la représentation</w:t>
      </w:r>
      <w:r>
        <w:t>) autour duquel des éléments périphériques instables et négociables exercent le rôle de tampon à la réalité. Dans l'expérience qui lui permit d'avancer cette théorie, Abric mit à jour en exemple, les éléments nucléaires de la représentation sociale de l'</w:t>
      </w:r>
      <w:r w:rsidRPr="00984ADC">
        <w:rPr>
          <w:b/>
        </w:rPr>
        <w:t>Artisan</w:t>
      </w:r>
      <w:r>
        <w:t> : ces cinq éléments que sont « travailleur manuel », « amour du métier », « travail personnalisé », « travail de qualité » et « apprenti », sont dits non négociables du fait qu'ils constituent les éléments indispensables qu'un objet social doit comporter pour appartenir à cette représentation. Ainsi, un artisan qui ne présente pas un certain amour du métier, par exemple, ne peut être réellement considéré comme tel. »</w:t>
      </w:r>
      <w:r w:rsidR="00984ADC">
        <w:br w:type="page"/>
      </w:r>
    </w:p>
    <w:tbl>
      <w:tblPr>
        <w:tblStyle w:val="Grilledutableau"/>
        <w:tblW w:w="0" w:type="auto"/>
        <w:tblLook w:val="04A0" w:firstRow="1" w:lastRow="0" w:firstColumn="1" w:lastColumn="0" w:noHBand="0" w:noVBand="1"/>
      </w:tblPr>
      <w:tblGrid>
        <w:gridCol w:w="9212"/>
      </w:tblGrid>
      <w:tr w:rsidR="00984ADC" w:rsidTr="00984ADC">
        <w:tc>
          <w:tcPr>
            <w:tcW w:w="9212" w:type="dxa"/>
          </w:tcPr>
          <w:p w:rsidR="00984ADC" w:rsidRDefault="00984ADC" w:rsidP="00984ADC">
            <w:pPr>
              <w:overflowPunct/>
              <w:autoSpaceDE/>
              <w:autoSpaceDN/>
              <w:adjustRightInd/>
              <w:jc w:val="center"/>
              <w:textAlignment w:val="auto"/>
            </w:pPr>
            <w:r>
              <w:lastRenderedPageBreak/>
              <w:t xml:space="preserve">Proposition de </w:t>
            </w:r>
            <w:r w:rsidRPr="00984ADC">
              <w:rPr>
                <w:b/>
              </w:rPr>
              <w:t>définition</w:t>
            </w:r>
            <w:r>
              <w:t xml:space="preserve"> à géométrie variable de « </w:t>
            </w:r>
            <w:r w:rsidRPr="00984ADC">
              <w:rPr>
                <w:b/>
              </w:rPr>
              <w:t>représentation mentale</w:t>
            </w:r>
            <w:r>
              <w:t> »</w:t>
            </w:r>
          </w:p>
          <w:p w:rsidR="00984ADC" w:rsidRDefault="00984ADC" w:rsidP="00984ADC">
            <w:pPr>
              <w:overflowPunct/>
              <w:autoSpaceDE/>
              <w:autoSpaceDN/>
              <w:adjustRightInd/>
              <w:jc w:val="center"/>
              <w:textAlignment w:val="auto"/>
            </w:pPr>
            <w:r>
              <w:t>D. Leclercq (juin 2018)</w:t>
            </w:r>
          </w:p>
          <w:p w:rsidR="00984ADC" w:rsidRDefault="00984ADC" w:rsidP="00984ADC">
            <w:pPr>
              <w:overflowPunct/>
              <w:autoSpaceDE/>
              <w:autoSpaceDN/>
              <w:adjustRightInd/>
              <w:jc w:val="center"/>
              <w:textAlignment w:val="auto"/>
            </w:pPr>
          </w:p>
          <w:p w:rsidR="00984ADC" w:rsidRPr="00FC36A5" w:rsidRDefault="00984ADC" w:rsidP="00984ADC">
            <w:pPr>
              <w:overflowPunct/>
              <w:autoSpaceDE/>
              <w:autoSpaceDN/>
              <w:adjustRightInd/>
              <w:textAlignment w:val="auto"/>
            </w:pPr>
            <w:r w:rsidRPr="004D18C9">
              <w:rPr>
                <w:b/>
              </w:rPr>
              <w:t>Ensemble structuré</w:t>
            </w:r>
            <w:r w:rsidRPr="00FC36A5">
              <w:t xml:space="preserve">                            (par des liens associatifs) </w:t>
            </w:r>
          </w:p>
          <w:p w:rsidR="00984ADC" w:rsidRPr="00FC36A5" w:rsidRDefault="00984ADC" w:rsidP="00984ADC">
            <w:pPr>
              <w:overflowPunct/>
              <w:autoSpaceDE/>
              <w:autoSpaceDN/>
              <w:adjustRightInd/>
              <w:textAlignment w:val="auto"/>
            </w:pPr>
            <w:r w:rsidRPr="004D18C9">
              <w:rPr>
                <w:b/>
              </w:rPr>
              <w:t xml:space="preserve">de </w:t>
            </w:r>
            <w:r w:rsidRPr="00D1550C">
              <w:rPr>
                <w:b/>
                <w:u w:val="single"/>
              </w:rPr>
              <w:t xml:space="preserve">significations </w:t>
            </w:r>
            <w:r w:rsidRPr="00D1550C">
              <w:rPr>
                <w:u w:val="single"/>
              </w:rPr>
              <w:t xml:space="preserve"> </w:t>
            </w:r>
            <w:r>
              <w:t xml:space="preserve">                    </w:t>
            </w:r>
            <w:r w:rsidRPr="00FC36A5">
              <w:t>(intériorisation</w:t>
            </w:r>
            <w:r>
              <w:t>, interprétation</w:t>
            </w:r>
            <w:r w:rsidRPr="00FC36A5">
              <w:t>)</w:t>
            </w:r>
            <w:r>
              <w:t xml:space="preserve"> du monde, de soi, des autres</w:t>
            </w:r>
            <w:r w:rsidRPr="00FC36A5">
              <w:t xml:space="preserve"> </w:t>
            </w:r>
          </w:p>
          <w:p w:rsidR="00486F50" w:rsidRDefault="00486F50" w:rsidP="00D24AC4">
            <w:pPr>
              <w:overflowPunct/>
              <w:autoSpaceDE/>
              <w:autoSpaceDN/>
              <w:adjustRightInd/>
              <w:ind w:left="709" w:hanging="709"/>
              <w:textAlignment w:val="auto"/>
              <w:rPr>
                <w:b/>
              </w:rPr>
            </w:pPr>
            <w:r>
              <w:rPr>
                <w:b/>
              </w:rPr>
              <w:t xml:space="preserve">centrales (nodales) ou secondaires </w:t>
            </w:r>
            <w:r w:rsidRPr="00486F50">
              <w:t>(voir définition d’Abric)</w:t>
            </w:r>
          </w:p>
          <w:p w:rsidR="00D24AC4" w:rsidRDefault="00984ADC" w:rsidP="00D24AC4">
            <w:pPr>
              <w:overflowPunct/>
              <w:autoSpaceDE/>
              <w:autoSpaceDN/>
              <w:adjustRightInd/>
              <w:ind w:left="709" w:hanging="709"/>
              <w:textAlignment w:val="auto"/>
            </w:pPr>
            <w:r w:rsidRPr="004D18C9">
              <w:rPr>
                <w:b/>
              </w:rPr>
              <w:t xml:space="preserve">sous </w:t>
            </w:r>
            <w:r w:rsidR="0007620C">
              <w:rPr>
                <w:b/>
              </w:rPr>
              <w:t xml:space="preserve">des </w:t>
            </w:r>
            <w:r w:rsidRPr="004D18C9">
              <w:rPr>
                <w:b/>
              </w:rPr>
              <w:t>formes</w:t>
            </w:r>
            <w:r w:rsidR="00D24AC4">
              <w:rPr>
                <w:b/>
              </w:rPr>
              <w:t xml:space="preserve"> diverses </w:t>
            </w:r>
            <w:r w:rsidR="0007620C" w:rsidRPr="0007620C">
              <w:t>(modalités</w:t>
            </w:r>
            <w:r w:rsidR="0007620C">
              <w:t>, aspects</w:t>
            </w:r>
            <w:r w:rsidR="0007620C" w:rsidRPr="0007620C">
              <w:t>)</w:t>
            </w:r>
            <w:r w:rsidR="0007620C">
              <w:rPr>
                <w:b/>
              </w:rPr>
              <w:t xml:space="preserve"> </w:t>
            </w:r>
            <w:r w:rsidR="00D24AC4">
              <w:rPr>
                <w:b/>
              </w:rPr>
              <w:t>:</w:t>
            </w:r>
            <w:r w:rsidRPr="004D18C9">
              <w:rPr>
                <w:b/>
              </w:rPr>
              <w:t xml:space="preserve"> </w:t>
            </w:r>
            <w:r w:rsidRPr="00D24AC4">
              <w:t xml:space="preserve">verbales (mots, locutions, textes) </w:t>
            </w:r>
            <w:r w:rsidR="00D24AC4" w:rsidRPr="00D24AC4">
              <w:t>ou ic</w:t>
            </w:r>
            <w:r w:rsidRPr="00D24AC4">
              <w:t>onique (images figuratives ou non)</w:t>
            </w:r>
            <w:r w:rsidR="00D24AC4" w:rsidRPr="00D24AC4">
              <w:t xml:space="preserve"> ou sensori (ex : auditive, tactile, dolorifique,</w:t>
            </w:r>
            <w:r w:rsidR="00D24AC4">
              <w:rPr>
                <w:b/>
              </w:rPr>
              <w:t xml:space="preserve"> </w:t>
            </w:r>
            <w:r w:rsidR="00D24AC4" w:rsidRPr="00D24AC4">
              <w:t>etc.)</w:t>
            </w:r>
            <w:r w:rsidR="00D24AC4">
              <w:rPr>
                <w:b/>
              </w:rPr>
              <w:t xml:space="preserve"> -</w:t>
            </w:r>
            <w:r w:rsidR="00D24AC4" w:rsidRPr="00D24AC4">
              <w:t>motrices (gestes)</w:t>
            </w:r>
          </w:p>
          <w:p w:rsidR="00984ADC" w:rsidRPr="00FC36A5" w:rsidRDefault="0007620C" w:rsidP="00D24AC4">
            <w:pPr>
              <w:overflowPunct/>
              <w:autoSpaceDE/>
              <w:autoSpaceDN/>
              <w:adjustRightInd/>
              <w:ind w:left="709" w:hanging="709"/>
              <w:textAlignment w:val="auto"/>
            </w:pPr>
            <w:r>
              <w:rPr>
                <w:b/>
              </w:rPr>
              <w:t xml:space="preserve">relevant de </w:t>
            </w:r>
            <w:r w:rsidRPr="0007620C">
              <w:t>(</w:t>
            </w:r>
            <w:r w:rsidR="00D24AC4" w:rsidRPr="0007620C">
              <w:t>domaines</w:t>
            </w:r>
            <w:r w:rsidRPr="0007620C">
              <w:t>)</w:t>
            </w:r>
            <w:r w:rsidR="00D24AC4">
              <w:rPr>
                <w:b/>
              </w:rPr>
              <w:t xml:space="preserve"> </w:t>
            </w:r>
            <w:r w:rsidR="00984ADC">
              <w:rPr>
                <w:b/>
              </w:rPr>
              <w:t xml:space="preserve"> </w:t>
            </w:r>
            <w:r>
              <w:t xml:space="preserve"> </w:t>
            </w:r>
            <w:r w:rsidR="00D24AC4">
              <w:t>(Affectif, Attitudinale, Attentes, Savoir-Faire –automatismes, Connaissances, croyances, Images de soi, Décision, Normes (Leclercq 2010)</w:t>
            </w:r>
            <w:r w:rsidR="00984ADC" w:rsidRPr="00FC36A5">
              <w:t xml:space="preserve"> </w:t>
            </w:r>
          </w:p>
          <w:p w:rsidR="00984ADC" w:rsidRPr="00FC36A5" w:rsidRDefault="00984ADC" w:rsidP="00984ADC">
            <w:pPr>
              <w:overflowPunct/>
              <w:autoSpaceDE/>
              <w:autoSpaceDN/>
              <w:adjustRightInd/>
              <w:textAlignment w:val="auto"/>
            </w:pPr>
            <w:r w:rsidRPr="004D18C9">
              <w:rPr>
                <w:b/>
              </w:rPr>
              <w:t>portant sur</w:t>
            </w:r>
            <w:r w:rsidRPr="00FC36A5">
              <w:t xml:space="preserve"> (ou donnant du sens à) un objet concret ou une abstraction (</w:t>
            </w:r>
            <w:r w:rsidR="00D24AC4">
              <w:t xml:space="preserve">un </w:t>
            </w:r>
            <w:r w:rsidRPr="00FC36A5">
              <w:t>concept)</w:t>
            </w:r>
          </w:p>
          <w:p w:rsidR="00984ADC" w:rsidRPr="00D24AC4" w:rsidRDefault="00984ADC" w:rsidP="00984ADC">
            <w:pPr>
              <w:overflowPunct/>
              <w:autoSpaceDE/>
              <w:autoSpaceDN/>
              <w:adjustRightInd/>
              <w:textAlignment w:val="auto"/>
            </w:pPr>
            <w:r w:rsidRPr="004D18C9">
              <w:rPr>
                <w:b/>
              </w:rPr>
              <w:t xml:space="preserve">permettant </w:t>
            </w:r>
            <w:r w:rsidR="00D24AC4">
              <w:rPr>
                <w:b/>
              </w:rPr>
              <w:t>(</w:t>
            </w:r>
            <w:r w:rsidR="00D24AC4" w:rsidRPr="00D24AC4">
              <w:t>fonctions)</w:t>
            </w:r>
          </w:p>
          <w:p w:rsidR="00984ADC" w:rsidRPr="00FC36A5" w:rsidRDefault="00984ADC" w:rsidP="00984ADC">
            <w:pPr>
              <w:overflowPunct/>
              <w:autoSpaceDE/>
              <w:autoSpaceDN/>
              <w:adjustRightInd/>
              <w:ind w:left="1418" w:hanging="709"/>
              <w:textAlignment w:val="auto"/>
            </w:pPr>
            <w:r w:rsidRPr="00FC36A5">
              <w:t>-</w:t>
            </w:r>
            <w:r w:rsidRPr="004D18C9">
              <w:rPr>
                <w:b/>
              </w:rPr>
              <w:t>d’interpréter ce monde</w:t>
            </w:r>
            <w:r w:rsidRPr="00FC36A5">
              <w:t xml:space="preserve">                   (souvent en projeta</w:t>
            </w:r>
            <w:r>
              <w:t>nt sur lui cette vision interne</w:t>
            </w:r>
            <w:r w:rsidRPr="00FC36A5">
              <w:t xml:space="preserve">, </w:t>
            </w:r>
            <w:r>
              <w:t xml:space="preserve">cette </w:t>
            </w:r>
            <w:r w:rsidRPr="00FC36A5">
              <w:t xml:space="preserve">« grille de lecture », </w:t>
            </w:r>
          </w:p>
          <w:p w:rsidR="00984ADC" w:rsidRPr="00FC36A5" w:rsidRDefault="00984ADC" w:rsidP="00984ADC">
            <w:pPr>
              <w:overflowPunct/>
              <w:autoSpaceDE/>
              <w:autoSpaceDN/>
              <w:adjustRightInd/>
              <w:ind w:left="1418" w:hanging="709"/>
              <w:textAlignment w:val="auto"/>
            </w:pPr>
            <w:r w:rsidRPr="00FC36A5">
              <w:t>-</w:t>
            </w:r>
            <w:r w:rsidRPr="004D18C9">
              <w:rPr>
                <w:b/>
              </w:rPr>
              <w:t>de guider sa propre action</w:t>
            </w:r>
            <w:r w:rsidRPr="00FC36A5">
              <w:t xml:space="preserve"> …………..(« guide de conduite ») et</w:t>
            </w:r>
          </w:p>
          <w:p w:rsidR="00984ADC" w:rsidRPr="00FC36A5" w:rsidRDefault="00984ADC" w:rsidP="00984ADC">
            <w:pPr>
              <w:overflowPunct/>
              <w:autoSpaceDE/>
              <w:autoSpaceDN/>
              <w:adjustRightInd/>
              <w:ind w:left="1418" w:hanging="709"/>
              <w:textAlignment w:val="auto"/>
            </w:pPr>
            <w:r w:rsidRPr="00FC36A5">
              <w:t>-</w:t>
            </w:r>
            <w:r w:rsidRPr="004D18C9">
              <w:rPr>
                <w:b/>
              </w:rPr>
              <w:t>de communiquer</w:t>
            </w:r>
            <w:r w:rsidRPr="00FC36A5">
              <w:t xml:space="preserve"> avec autrui </w:t>
            </w:r>
          </w:p>
          <w:p w:rsidR="00984ADC" w:rsidRPr="00FC36A5" w:rsidRDefault="00984ADC" w:rsidP="00984ADC">
            <w:pPr>
              <w:overflowPunct/>
              <w:autoSpaceDE/>
              <w:autoSpaceDN/>
              <w:adjustRightInd/>
              <w:ind w:left="1418"/>
              <w:textAlignment w:val="auto"/>
            </w:pPr>
            <w:r w:rsidRPr="00FC36A5">
              <w:t>à condition que ce</w:t>
            </w:r>
            <w:r>
              <w:t>tte</w:t>
            </w:r>
            <w:r w:rsidRPr="00FC36A5">
              <w:t xml:space="preserve"> représentation</w:t>
            </w:r>
            <w:r>
              <w:t xml:space="preserve"> soit partagée</w:t>
            </w:r>
            <w:r w:rsidRPr="00FC36A5">
              <w:t>, voire consensue</w:t>
            </w:r>
            <w:r>
              <w:t>lle (s</w:t>
            </w:r>
            <w:r w:rsidRPr="00FC36A5">
              <w:t>ur certains de ses aspects</w:t>
            </w:r>
            <w:r>
              <w:t xml:space="preserve"> au moins</w:t>
            </w:r>
            <w:r w:rsidRPr="00FC36A5">
              <w:t>)</w:t>
            </w:r>
            <w:r>
              <w:t>, donc une</w:t>
            </w:r>
            <w:r w:rsidRPr="00FC36A5">
              <w:t xml:space="preserve"> </w:t>
            </w:r>
            <w:r w:rsidRPr="00FC36A5">
              <w:rPr>
                <w:b/>
              </w:rPr>
              <w:t>représentation</w:t>
            </w:r>
            <w:r w:rsidRPr="00FC36A5">
              <w:t xml:space="preserve"> collectives ou </w:t>
            </w:r>
            <w:r w:rsidRPr="00FC36A5">
              <w:rPr>
                <w:b/>
              </w:rPr>
              <w:t>sociales</w:t>
            </w:r>
            <w:r w:rsidRPr="00FC36A5">
              <w:t xml:space="preserve"> (Moscovici), favorisant le sentiment d’appartenance et</w:t>
            </w:r>
            <w:r>
              <w:t>/ou</w:t>
            </w:r>
            <w:r w:rsidRPr="00FC36A5">
              <w:t xml:space="preserve"> d’</w:t>
            </w:r>
            <w:r>
              <w:t>identité individuelle.</w:t>
            </w:r>
          </w:p>
          <w:p w:rsidR="00984ADC" w:rsidRPr="00FC36A5" w:rsidRDefault="00984ADC" w:rsidP="00984ADC">
            <w:pPr>
              <w:overflowPunct/>
              <w:autoSpaceDE/>
              <w:autoSpaceDN/>
              <w:adjustRightInd/>
              <w:textAlignment w:val="auto"/>
              <w:rPr>
                <w:b/>
              </w:rPr>
            </w:pPr>
            <w:r w:rsidRPr="00FC36A5">
              <w:rPr>
                <w:b/>
              </w:rPr>
              <w:t xml:space="preserve">qui se caractérise par </w:t>
            </w:r>
            <w:r w:rsidR="00D24AC4" w:rsidRPr="00D24AC4">
              <w:t>(propriétés)</w:t>
            </w:r>
          </w:p>
          <w:p w:rsidR="00984ADC" w:rsidRPr="00FC36A5" w:rsidRDefault="00984ADC" w:rsidP="00984ADC">
            <w:pPr>
              <w:overflowPunct/>
              <w:autoSpaceDE/>
              <w:autoSpaceDN/>
              <w:adjustRightInd/>
              <w:ind w:left="708"/>
              <w:textAlignment w:val="auto"/>
            </w:pPr>
            <w:r w:rsidRPr="00FC36A5">
              <w:t xml:space="preserve">-son intensité, </w:t>
            </w:r>
          </w:p>
          <w:p w:rsidR="00984ADC" w:rsidRPr="00FC36A5" w:rsidRDefault="00984ADC" w:rsidP="00984ADC">
            <w:pPr>
              <w:overflowPunct/>
              <w:autoSpaceDE/>
              <w:autoSpaceDN/>
              <w:adjustRightInd/>
              <w:ind w:left="708"/>
              <w:textAlignment w:val="auto"/>
            </w:pPr>
            <w:r w:rsidRPr="00FC36A5">
              <w:t>- son ori</w:t>
            </w:r>
            <w:r>
              <w:t xml:space="preserve">entation (négative / positive </w:t>
            </w:r>
            <w:r w:rsidRPr="00FC36A5">
              <w:t>ou attractive / répu</w:t>
            </w:r>
            <w:r>
              <w:t>lsive)</w:t>
            </w:r>
            <w:r w:rsidRPr="00FC36A5">
              <w:t xml:space="preserve">, </w:t>
            </w:r>
          </w:p>
          <w:p w:rsidR="00984ADC" w:rsidRPr="00FC36A5" w:rsidRDefault="00984ADC" w:rsidP="00984ADC">
            <w:pPr>
              <w:overflowPunct/>
              <w:autoSpaceDE/>
              <w:autoSpaceDN/>
              <w:adjustRightInd/>
              <w:ind w:left="708"/>
              <w:textAlignment w:val="auto"/>
            </w:pPr>
            <w:r w:rsidRPr="00FC36A5">
              <w:t xml:space="preserve">- son stabilité </w:t>
            </w:r>
            <w:r w:rsidR="00E35C6E">
              <w:t xml:space="preserve">(ou répétabilité) </w:t>
            </w:r>
            <w:r w:rsidRPr="00FC36A5">
              <w:t xml:space="preserve">vs </w:t>
            </w:r>
            <w:r w:rsidR="00E35C6E">
              <w:t>sa</w:t>
            </w:r>
            <w:r w:rsidRPr="00FC36A5">
              <w:t xml:space="preserve"> variabilité d’une fois à l’autre, </w:t>
            </w:r>
          </w:p>
          <w:p w:rsidR="00984ADC" w:rsidRDefault="00984ADC" w:rsidP="00984ADC">
            <w:pPr>
              <w:overflowPunct/>
              <w:autoSpaceDE/>
              <w:autoSpaceDN/>
              <w:adjustRightInd/>
              <w:ind w:left="708"/>
              <w:textAlignment w:val="auto"/>
            </w:pPr>
            <w:r w:rsidRPr="00FC36A5">
              <w:t>-</w:t>
            </w:r>
            <w:r>
              <w:t xml:space="preserve"> sa</w:t>
            </w:r>
            <w:r w:rsidRPr="00FC36A5">
              <w:t xml:space="preserve"> </w:t>
            </w:r>
            <w:r w:rsidR="00E35C6E">
              <w:t xml:space="preserve">robustesse </w:t>
            </w:r>
            <w:r w:rsidRPr="00FC36A5">
              <w:t>(ou résistance à l’influence</w:t>
            </w:r>
            <w:r w:rsidR="00E35C6E">
              <w:t xml:space="preserve"> ou certitude</w:t>
            </w:r>
            <w:r w:rsidRPr="00FC36A5">
              <w:t xml:space="preserve">) vs leur modifiabilité, </w:t>
            </w:r>
          </w:p>
          <w:p w:rsidR="00E35C6E" w:rsidRPr="00FC36A5" w:rsidRDefault="00E35C6E" w:rsidP="00984ADC">
            <w:pPr>
              <w:overflowPunct/>
              <w:autoSpaceDE/>
              <w:autoSpaceDN/>
              <w:adjustRightInd/>
              <w:ind w:left="708"/>
              <w:textAlignment w:val="auto"/>
            </w:pPr>
            <w:r>
              <w:t>-sa précision</w:t>
            </w:r>
          </w:p>
          <w:p w:rsidR="00984ADC" w:rsidRPr="00FC36A5" w:rsidRDefault="00984ADC" w:rsidP="00984ADC">
            <w:pPr>
              <w:overflowPunct/>
              <w:autoSpaceDE/>
              <w:autoSpaceDN/>
              <w:adjustRightInd/>
              <w:ind w:left="708"/>
              <w:textAlignment w:val="auto"/>
            </w:pPr>
            <w:r w:rsidRPr="00FC36A5">
              <w:t xml:space="preserve">- son extension (le nombre de cas ou situations auxquelles elles s’appliquent), </w:t>
            </w:r>
          </w:p>
          <w:p w:rsidR="00984ADC" w:rsidRPr="00FC36A5" w:rsidRDefault="00984ADC" w:rsidP="00984ADC">
            <w:pPr>
              <w:overflowPunct/>
              <w:autoSpaceDE/>
              <w:autoSpaceDN/>
              <w:adjustRightInd/>
              <w:ind w:left="708"/>
              <w:textAlignment w:val="auto"/>
            </w:pPr>
            <w:r w:rsidRPr="00FC36A5">
              <w:t xml:space="preserve">- son iconicité (caractère imagé), </w:t>
            </w:r>
          </w:p>
          <w:p w:rsidR="00984ADC" w:rsidRPr="00FC36A5" w:rsidRDefault="00984ADC" w:rsidP="00984ADC">
            <w:pPr>
              <w:overflowPunct/>
              <w:autoSpaceDE/>
              <w:autoSpaceDN/>
              <w:adjustRightInd/>
              <w:ind w:left="708"/>
              <w:textAlignment w:val="auto"/>
            </w:pPr>
            <w:r w:rsidRPr="00FC36A5">
              <w:t>-</w:t>
            </w:r>
            <w:r>
              <w:t xml:space="preserve"> sa</w:t>
            </w:r>
            <w:r w:rsidRPr="00FC36A5">
              <w:t xml:space="preserve"> conformité </w:t>
            </w:r>
            <w:r w:rsidR="00D24AC4">
              <w:t xml:space="preserve">ou non </w:t>
            </w:r>
            <w:r w:rsidRPr="00FC36A5">
              <w:t>à un dogme ou une idéologie</w:t>
            </w:r>
            <w:r>
              <w:t>, à une norme statistique</w:t>
            </w:r>
            <w:r w:rsidRPr="00FC36A5">
              <w:t xml:space="preserve">. </w:t>
            </w:r>
          </w:p>
          <w:p w:rsidR="00984ADC" w:rsidRPr="00FC36A5" w:rsidRDefault="00984ADC" w:rsidP="00984ADC">
            <w:pPr>
              <w:overflowPunct/>
              <w:autoSpaceDE/>
              <w:autoSpaceDN/>
              <w:adjustRightInd/>
              <w:ind w:left="708"/>
              <w:textAlignment w:val="auto"/>
            </w:pPr>
            <w:r w:rsidRPr="00FC36A5">
              <w:t>- son jaillissement (disponibilité : vitesse de réponse)</w:t>
            </w:r>
          </w:p>
          <w:p w:rsidR="00984ADC" w:rsidRDefault="00984ADC" w:rsidP="00984ADC">
            <w:pPr>
              <w:overflowPunct/>
              <w:autoSpaceDE/>
              <w:autoSpaceDN/>
              <w:adjustRightInd/>
              <w:ind w:left="708"/>
              <w:textAlignment w:val="auto"/>
            </w:pPr>
            <w:r w:rsidRPr="00FC36A5">
              <w:t>-son irradiation (ses connections avec d’autres concepts)</w:t>
            </w:r>
          </w:p>
          <w:p w:rsidR="0007620C" w:rsidRDefault="0007620C" w:rsidP="00984ADC">
            <w:pPr>
              <w:overflowPunct/>
              <w:autoSpaceDE/>
              <w:autoSpaceDN/>
              <w:adjustRightInd/>
              <w:ind w:left="708"/>
              <w:textAlignment w:val="auto"/>
            </w:pPr>
            <w:r>
              <w:t>-son origine (mémoire événementielle ou épisodique vs sémantique)</w:t>
            </w:r>
          </w:p>
          <w:p w:rsidR="00E35C6E" w:rsidRPr="00FC36A5" w:rsidRDefault="00E35C6E" w:rsidP="00984ADC">
            <w:pPr>
              <w:overflowPunct/>
              <w:autoSpaceDE/>
              <w:autoSpaceDN/>
              <w:adjustRightInd/>
              <w:ind w:left="708"/>
              <w:textAlignment w:val="auto"/>
            </w:pPr>
            <w:r>
              <w:t>-son évolution vs sa permanence dans le temps chez une personne ou un groupe</w:t>
            </w:r>
          </w:p>
          <w:p w:rsidR="00984ADC" w:rsidRPr="00FC36A5" w:rsidRDefault="00984ADC" w:rsidP="00984ADC">
            <w:pPr>
              <w:overflowPunct/>
              <w:autoSpaceDE/>
              <w:autoSpaceDN/>
              <w:adjustRightInd/>
              <w:textAlignment w:val="auto"/>
              <w:rPr>
                <w:b/>
              </w:rPr>
            </w:pPr>
            <w:r w:rsidRPr="00FC36A5">
              <w:t>-</w:t>
            </w:r>
            <w:r w:rsidRPr="00FC36A5">
              <w:rPr>
                <w:b/>
              </w:rPr>
              <w:t>construite</w:t>
            </w:r>
            <w:r w:rsidR="00D24AC4">
              <w:rPr>
                <w:b/>
              </w:rPr>
              <w:t xml:space="preserve"> </w:t>
            </w:r>
          </w:p>
          <w:p w:rsidR="00984ADC" w:rsidRPr="00FC36A5" w:rsidRDefault="00984ADC" w:rsidP="00984ADC">
            <w:pPr>
              <w:overflowPunct/>
              <w:autoSpaceDE/>
              <w:autoSpaceDN/>
              <w:adjustRightInd/>
              <w:ind w:left="708"/>
              <w:textAlignment w:val="auto"/>
            </w:pPr>
            <w:r w:rsidRPr="00FC36A5">
              <w:t xml:space="preserve">-pour certaines </w:t>
            </w:r>
            <w:r w:rsidRPr="0007620C">
              <w:rPr>
                <w:b/>
              </w:rPr>
              <w:t>par</w:t>
            </w:r>
            <w:r w:rsidRPr="00FC36A5">
              <w:t xml:space="preserve"> les interactions directes de l’individu avec le milieu (Piaget), </w:t>
            </w:r>
          </w:p>
          <w:p w:rsidR="00984ADC" w:rsidRPr="00FC36A5" w:rsidRDefault="00984ADC" w:rsidP="00984ADC">
            <w:pPr>
              <w:overflowPunct/>
              <w:autoSpaceDE/>
              <w:autoSpaceDN/>
              <w:adjustRightInd/>
              <w:ind w:left="1417" w:hanging="709"/>
              <w:textAlignment w:val="auto"/>
            </w:pPr>
            <w:r w:rsidRPr="00FC36A5">
              <w:t xml:space="preserve">-pour d’autres </w:t>
            </w:r>
            <w:r w:rsidRPr="0007620C">
              <w:rPr>
                <w:b/>
              </w:rPr>
              <w:t>par</w:t>
            </w:r>
            <w:r w:rsidRPr="00FC36A5">
              <w:t xml:space="preserve"> transmission (multi-média : textes, images fixes ou en mouvement), souvent par les médias de masse (TV, Journaux, réseaux sociaux sur internet)</w:t>
            </w:r>
          </w:p>
          <w:p w:rsidR="00984ADC" w:rsidRPr="00FC36A5" w:rsidRDefault="00984ADC" w:rsidP="00984ADC">
            <w:pPr>
              <w:overflowPunct/>
              <w:autoSpaceDE/>
              <w:autoSpaceDN/>
              <w:adjustRightInd/>
              <w:ind w:left="709" w:hanging="709"/>
              <w:textAlignment w:val="auto"/>
              <w:rPr>
                <w:b/>
              </w:rPr>
            </w:pPr>
            <w:r>
              <w:rPr>
                <w:b/>
              </w:rPr>
              <w:t>-comparables</w:t>
            </w:r>
            <w:r w:rsidRPr="00FC36A5">
              <w:rPr>
                <w:b/>
              </w:rPr>
              <w:t xml:space="preserve"> à des référents </w:t>
            </w:r>
          </w:p>
          <w:p w:rsidR="00984ADC" w:rsidRPr="00FC36A5" w:rsidRDefault="00984ADC" w:rsidP="00984ADC">
            <w:pPr>
              <w:overflowPunct/>
              <w:autoSpaceDE/>
              <w:autoSpaceDN/>
              <w:adjustRightInd/>
              <w:ind w:left="1417" w:hanging="709"/>
              <w:textAlignment w:val="auto"/>
            </w:pPr>
            <w:r w:rsidRPr="00FC36A5">
              <w:t xml:space="preserve">-pour certaines (les </w:t>
            </w:r>
            <w:r w:rsidRPr="00FC36A5">
              <w:rPr>
                <w:b/>
              </w:rPr>
              <w:t>connaissances personnelles)</w:t>
            </w:r>
            <w:r w:rsidRPr="00FC36A5">
              <w:t xml:space="preserve"> (</w:t>
            </w:r>
            <w:r w:rsidRPr="00FC36A5">
              <w:rPr>
                <w:u w:val="single"/>
              </w:rPr>
              <w:t>correctes ou non</w:t>
            </w:r>
            <w:r w:rsidRPr="00FC36A5">
              <w:t xml:space="preserve">) à un référent </w:t>
            </w:r>
            <w:r w:rsidR="00D24AC4">
              <w:t>(u</w:t>
            </w:r>
            <w:r>
              <w:t>n</w:t>
            </w:r>
            <w:r w:rsidR="00D24AC4">
              <w:t>e</w:t>
            </w:r>
            <w:r>
              <w:t xml:space="preserve"> norme) </w:t>
            </w:r>
            <w:r w:rsidRPr="00FC36A5">
              <w:t xml:space="preserve">comme le </w:t>
            </w:r>
            <w:r w:rsidRPr="00FC36A5">
              <w:rPr>
                <w:u w:val="single"/>
              </w:rPr>
              <w:t>consensus scientifique officiel</w:t>
            </w:r>
            <w:r w:rsidRPr="00FC36A5">
              <w:t xml:space="preserve"> sur un sujet à une époque) </w:t>
            </w:r>
            <w:r w:rsidR="005A68E7">
              <w:t>voire des référents culturels voire interspécifiques (humains ou non)</w:t>
            </w:r>
          </w:p>
          <w:p w:rsidR="00984ADC" w:rsidRPr="00FC36A5" w:rsidRDefault="00984ADC" w:rsidP="00984ADC">
            <w:pPr>
              <w:overflowPunct/>
              <w:autoSpaceDE/>
              <w:autoSpaceDN/>
              <w:adjustRightInd/>
              <w:ind w:left="1417" w:hanging="709"/>
              <w:textAlignment w:val="auto"/>
            </w:pPr>
            <w:r w:rsidRPr="00FC36A5">
              <w:t xml:space="preserve">-pour d’autres (les </w:t>
            </w:r>
            <w:r w:rsidRPr="00FC36A5">
              <w:rPr>
                <w:b/>
              </w:rPr>
              <w:t>convictions personnelles)</w:t>
            </w:r>
            <w:r w:rsidRPr="00FC36A5">
              <w:t xml:space="preserve"> (orthodoxes ou non) comparées à un </w:t>
            </w:r>
            <w:r w:rsidRPr="00FC36A5">
              <w:rPr>
                <w:u w:val="single"/>
              </w:rPr>
              <w:t>dogme</w:t>
            </w:r>
            <w:r w:rsidRPr="00FC36A5">
              <w:t xml:space="preserve"> (religieux par exemple) ou une idéologie (politique, économique, etc.)</w:t>
            </w:r>
          </w:p>
          <w:p w:rsidR="00F3431A" w:rsidRDefault="00F3431A" w:rsidP="00984ADC">
            <w:pPr>
              <w:overflowPunct/>
              <w:autoSpaceDE/>
              <w:autoSpaceDN/>
              <w:adjustRightInd/>
              <w:ind w:left="709" w:hanging="709"/>
              <w:textAlignment w:val="auto"/>
            </w:pPr>
            <w:r>
              <w:t>-</w:t>
            </w:r>
            <w:r w:rsidR="00984ADC" w:rsidRPr="00FC36A5">
              <w:rPr>
                <w:b/>
              </w:rPr>
              <w:t xml:space="preserve"> i</w:t>
            </w:r>
            <w:r w:rsidR="00984ADC">
              <w:rPr>
                <w:b/>
              </w:rPr>
              <w:t xml:space="preserve">diosyncrasique </w:t>
            </w:r>
            <w:r w:rsidRPr="00F3431A">
              <w:t>(unique</w:t>
            </w:r>
            <w:r>
              <w:rPr>
                <w:b/>
              </w:rPr>
              <w:t>)</w:t>
            </w:r>
            <w:r w:rsidR="00984ADC" w:rsidRPr="00FC36A5">
              <w:t xml:space="preserve"> </w:t>
            </w:r>
            <w:r w:rsidRPr="00F3431A">
              <w:rPr>
                <w:b/>
              </w:rPr>
              <w:t>vs partagée</w:t>
            </w:r>
            <w:r>
              <w:t xml:space="preserve"> (groupale, commune) </w:t>
            </w:r>
          </w:p>
          <w:p w:rsidR="00984ADC" w:rsidRPr="00FC36A5" w:rsidRDefault="00F3431A" w:rsidP="00984ADC">
            <w:pPr>
              <w:overflowPunct/>
              <w:autoSpaceDE/>
              <w:autoSpaceDN/>
              <w:adjustRightInd/>
              <w:ind w:left="709" w:hanging="709"/>
              <w:textAlignment w:val="auto"/>
            </w:pPr>
            <w:r>
              <w:t>-</w:t>
            </w:r>
            <w:r w:rsidRPr="00F3431A">
              <w:rPr>
                <w:b/>
              </w:rPr>
              <w:t xml:space="preserve">publique </w:t>
            </w:r>
            <w:r>
              <w:rPr>
                <w:b/>
              </w:rPr>
              <w:t>vs</w:t>
            </w:r>
            <w:r w:rsidRPr="00F3431A">
              <w:rPr>
                <w:b/>
              </w:rPr>
              <w:t xml:space="preserve"> intime</w:t>
            </w:r>
            <w:r>
              <w:t xml:space="preserve"> ou privée ou secrète (ex </w:t>
            </w:r>
            <w:r w:rsidR="00984ADC" w:rsidRPr="00FC36A5">
              <w:t>: le sec</w:t>
            </w:r>
            <w:r>
              <w:t>ret du vote dans certains pays)</w:t>
            </w:r>
          </w:p>
          <w:p w:rsidR="0047160A" w:rsidRDefault="00984ADC" w:rsidP="0047160A">
            <w:pPr>
              <w:overflowPunct/>
              <w:autoSpaceDE/>
              <w:autoSpaceDN/>
              <w:adjustRightInd/>
              <w:ind w:left="709" w:hanging="709"/>
              <w:textAlignment w:val="auto"/>
            </w:pPr>
            <w:r w:rsidRPr="00FC36A5">
              <w:t>-</w:t>
            </w:r>
            <w:r w:rsidR="00F3431A" w:rsidRPr="00F3431A">
              <w:rPr>
                <w:b/>
              </w:rPr>
              <w:t>correcte ou erronée</w:t>
            </w:r>
            <w:r w:rsidR="00F3431A">
              <w:t xml:space="preserve"> </w:t>
            </w:r>
            <w:r w:rsidR="00F3431A" w:rsidRPr="00F3431A">
              <w:t>(</w:t>
            </w:r>
            <w:r w:rsidRPr="00F3431A">
              <w:t>« fausse croyance »</w:t>
            </w:r>
            <w:r w:rsidR="00F3431A" w:rsidRPr="00F3431A">
              <w:t>)</w:t>
            </w:r>
            <w:r w:rsidRPr="00FC36A5">
              <w:t xml:space="preserve"> </w:t>
            </w:r>
            <w:r w:rsidR="00F3431A">
              <w:t xml:space="preserve">vs </w:t>
            </w:r>
            <w:r w:rsidR="0047160A" w:rsidRPr="0047160A">
              <w:rPr>
                <w:b/>
              </w:rPr>
              <w:t>a-normée</w:t>
            </w:r>
            <w:r w:rsidR="0047160A">
              <w:t xml:space="preserve"> </w:t>
            </w:r>
          </w:p>
          <w:p w:rsidR="00F3431A" w:rsidRDefault="00F3431A" w:rsidP="0047160A">
            <w:pPr>
              <w:overflowPunct/>
              <w:autoSpaceDE/>
              <w:autoSpaceDN/>
              <w:adjustRightInd/>
              <w:ind w:left="709" w:hanging="709"/>
              <w:textAlignment w:val="auto"/>
            </w:pPr>
            <w:r>
              <w:t>-</w:t>
            </w:r>
            <w:r w:rsidRPr="00F3431A">
              <w:rPr>
                <w:b/>
              </w:rPr>
              <w:t>observée par</w:t>
            </w:r>
            <w:r>
              <w:t xml:space="preserve"> </w:t>
            </w:r>
            <w:r w:rsidRPr="00F3431A">
              <w:rPr>
                <w:b/>
              </w:rPr>
              <w:t>divers moyens</w:t>
            </w:r>
            <w:r>
              <w:t xml:space="preserve"> (carte conceptuelle, questionnaire, récit, interviews, etc.)</w:t>
            </w:r>
          </w:p>
        </w:tc>
      </w:tr>
    </w:tbl>
    <w:p w:rsidR="00984ADC" w:rsidRDefault="00984ADC" w:rsidP="00984ADC">
      <w:pPr>
        <w:overflowPunct/>
        <w:autoSpaceDE/>
        <w:autoSpaceDN/>
        <w:adjustRightInd/>
        <w:jc w:val="center"/>
        <w:textAlignment w:val="auto"/>
      </w:pPr>
      <w:r>
        <w:t>Cadre 1 : Définition à géométrie variable de « représentation mentale »</w:t>
      </w:r>
    </w:p>
    <w:p w:rsidR="005A68E7" w:rsidRPr="005A68E7" w:rsidRDefault="005A68E7" w:rsidP="005E6BBE">
      <w:pPr>
        <w:pStyle w:val="NormalWeb"/>
        <w:jc w:val="both"/>
      </w:pPr>
      <w:r w:rsidRPr="005A68E7">
        <w:lastRenderedPageBreak/>
        <w:t>Pour rappel, chacun des aspects évoqués dans la définition peut faire l’objet d’un approfondissement.</w:t>
      </w:r>
      <w:r>
        <w:t xml:space="preserve"> En voici des ébauches pour deux seulement de ces aspects : la communication et les référents.  </w:t>
      </w:r>
    </w:p>
    <w:p w:rsidR="0028311A" w:rsidRPr="0028311A" w:rsidRDefault="0028311A" w:rsidP="005E6BBE">
      <w:pPr>
        <w:pStyle w:val="NormalWeb"/>
        <w:jc w:val="both"/>
        <w:rPr>
          <w:b/>
        </w:rPr>
      </w:pPr>
      <w:r w:rsidRPr="0028311A">
        <w:rPr>
          <w:b/>
        </w:rPr>
        <w:t>Représentations et communication</w:t>
      </w:r>
    </w:p>
    <w:p w:rsidR="00143030" w:rsidRDefault="007D58E1" w:rsidP="0028311A">
      <w:pPr>
        <w:pStyle w:val="NormalWeb"/>
        <w:spacing w:after="0" w:afterAutospacing="0"/>
        <w:jc w:val="both"/>
      </w:pPr>
      <w:r>
        <w:t xml:space="preserve">Pour illustrer avec humour le caractère « particulier » (par opposition à « commun ») que peut prendre une représentation, Albertini (1992, p. 44) écrit : </w:t>
      </w:r>
    </w:p>
    <w:p w:rsidR="007D58E1" w:rsidRDefault="007D58E1" w:rsidP="0028311A">
      <w:pPr>
        <w:pStyle w:val="NormalWeb"/>
        <w:spacing w:before="0" w:beforeAutospacing="0"/>
        <w:ind w:left="708"/>
        <w:jc w:val="both"/>
      </w:pPr>
      <w:r>
        <w:t xml:space="preserve">«Le spécialiste a toujours quelque chose de l’expert en chèvres des </w:t>
      </w:r>
      <w:r w:rsidRPr="007D58E1">
        <w:rPr>
          <w:i/>
        </w:rPr>
        <w:t>Silences du Colonel Bramble</w:t>
      </w:r>
      <w:r>
        <w:t xml:space="preserve">. Voyant la cathédrale de Chartres, celui-ci ne put s’empêcher de dire : «Ce serait un bel abri pour chèvres, malheureusement, c’est un peu haut. ». </w:t>
      </w:r>
    </w:p>
    <w:p w:rsidR="0028311A" w:rsidRDefault="0028311A" w:rsidP="00B25880">
      <w:pPr>
        <w:overflowPunct/>
        <w:autoSpaceDE/>
        <w:autoSpaceDN/>
        <w:adjustRightInd/>
        <w:jc w:val="left"/>
        <w:textAlignment w:val="auto"/>
      </w:pPr>
      <w:r>
        <w:t xml:space="preserve">Le schéma ci-dessous visualise sous forme d’espaces qui s’intersectent ou non plusieurs caractéristiques de la définition. </w:t>
      </w:r>
    </w:p>
    <w:p w:rsidR="0028311A" w:rsidRDefault="0028311A" w:rsidP="00B25880">
      <w:pPr>
        <w:overflowPunct/>
        <w:autoSpaceDE/>
        <w:autoSpaceDN/>
        <w:adjustRightInd/>
        <w:jc w:val="left"/>
        <w:textAlignment w:val="auto"/>
      </w:pPr>
      <w:r>
        <w:t xml:space="preserve">Pour la communication entre deux personnes A et B (un formateur et un formé par exemple) sont très importantes </w:t>
      </w:r>
    </w:p>
    <w:p w:rsidR="0028311A" w:rsidRDefault="0028311A" w:rsidP="00E35C6E">
      <w:pPr>
        <w:overflowPunct/>
        <w:autoSpaceDE/>
        <w:autoSpaceDN/>
        <w:adjustRightInd/>
        <w:ind w:left="708"/>
        <w:jc w:val="left"/>
        <w:textAlignment w:val="auto"/>
      </w:pPr>
      <w:r>
        <w:t>-les représentations communes (l’intersection entre les deux ovales)</w:t>
      </w:r>
    </w:p>
    <w:p w:rsidR="0028311A" w:rsidRDefault="0028311A" w:rsidP="00E35C6E">
      <w:pPr>
        <w:overflowPunct/>
        <w:autoSpaceDE/>
        <w:autoSpaceDN/>
        <w:adjustRightInd/>
        <w:ind w:left="708"/>
        <w:jc w:val="left"/>
        <w:textAlignment w:val="auto"/>
      </w:pPr>
      <w:r>
        <w:t>-les représenta</w:t>
      </w:r>
      <w:r w:rsidR="00E35C6E">
        <w:t>t</w:t>
      </w:r>
      <w:r>
        <w:t xml:space="preserve">ions </w:t>
      </w:r>
      <w:r w:rsidR="00E35C6E">
        <w:t xml:space="preserve">de l’un différentes de celles de l’autre (la double flèche verticale les signale). </w:t>
      </w:r>
    </w:p>
    <w:p w:rsidR="005E3F7D" w:rsidRDefault="00E35C6E" w:rsidP="00B25880">
      <w:pPr>
        <w:overflowPunct/>
        <w:autoSpaceDE/>
        <w:autoSpaceDN/>
        <w:adjustRightInd/>
        <w:jc w:val="left"/>
        <w:textAlignment w:val="auto"/>
      </w:pPr>
      <w:r>
        <w:rPr>
          <w:noProof/>
          <w:lang w:val="fr-BE"/>
        </w:rPr>
        <mc:AlternateContent>
          <mc:Choice Requires="wps">
            <w:drawing>
              <wp:anchor distT="0" distB="0" distL="114300" distR="114300" simplePos="0" relativeHeight="251660800" behindDoc="0" locked="0" layoutInCell="1" allowOverlap="1">
                <wp:simplePos x="0" y="0"/>
                <wp:positionH relativeFrom="column">
                  <wp:posOffset>3730202</wp:posOffset>
                </wp:positionH>
                <wp:positionV relativeFrom="paragraph">
                  <wp:posOffset>2658534</wp:posOffset>
                </wp:positionV>
                <wp:extent cx="914400" cy="4826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914400" cy="482600"/>
                        </a:xfrm>
                        <a:prstGeom prst="rect">
                          <a:avLst/>
                        </a:prstGeom>
                        <a:noFill/>
                        <a:ln w="6350">
                          <a:noFill/>
                        </a:ln>
                      </wps:spPr>
                      <wps:txbx>
                        <w:txbxContent>
                          <w:p w:rsidR="005A68E7" w:rsidRPr="0028311A" w:rsidRDefault="005A68E7">
                            <w:pPr>
                              <w:rPr>
                                <w:sz w:val="16"/>
                              </w:rPr>
                            </w:pPr>
                            <w:r w:rsidRPr="0028311A">
                              <w:rPr>
                                <w:sz w:val="16"/>
                              </w:rPr>
                              <w:t xml:space="preserve">Représentations communes </w:t>
                            </w:r>
                          </w:p>
                          <w:p w:rsidR="005A68E7" w:rsidRPr="0028311A" w:rsidRDefault="005A68E7">
                            <w:pPr>
                              <w:rPr>
                                <w:sz w:val="16"/>
                              </w:rPr>
                            </w:pPr>
                            <w:r w:rsidRPr="0028311A">
                              <w:rPr>
                                <w:sz w:val="16"/>
                              </w:rPr>
                              <w:t>« correctes ou officielles</w:t>
                            </w:r>
                            <w:r>
                              <w:rPr>
                                <w:sz w:val="16"/>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93.7pt;margin-top:209.35pt;width:1in;height:38pt;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VrLQIAAFMEAAAOAAAAZHJzL2Uyb0RvYy54bWysVF1v2jAUfZ+0/2D5fSRklLWIULFWTJOq&#10;thKdKu3NOA6JlPhatiFhv37HDlDU7Wnai7n2vbkf55zL/LZvG7ZX1tWkcz4epZwpLamo9TbnP15W&#10;n645c17oQjSkVc4PyvHbxccP887MVEYVNYWyDEm0m3Um55X3ZpYkTlaqFW5ERmk4S7Kt8LjabVJY&#10;0SF72yRZmk6TjmxhLEnlHF7vBydfxPxlqaR/KkunPGtyjt58PG08N+FMFnMx21phqloe2xD/0EUr&#10;ao2i51T3wgu2s/UfqdpaWnJU+pGkNqGyrKWKM2CacfpumnUljIqzABxnzjC5/5dWPu6fLauLnGec&#10;adGCop8gihWKedV7xbIAUWfcDJFrg1jff6UeVJ/eHR7D5H1p2/CLmRj8APtwBhiZmMTjzXgySeGR&#10;cE2usylsZE/ePjbW+W+KWhaMnFvwF2EV+wfnh9BTSKilaVU3TeSw0azL+fTzVRo/OHuQvNGoEUYY&#10;Wg2W7zf9ca4NFQeMZWnQhjNyVaP4g3D+WViIAf1C4P4JR9kQitDR4qwi++tv7yEeHMHLWQdx5VwD&#10;VM6a7xrcRRSgxXiZXH3JUMFeejaXHr1r7wjqHWORjIxmiPfNySwtta/YgmWoCZfQEpVz7k/mnR8E&#10;jy2SarmMQVCfEf5Br40MqQOYAdiX/lVYc0Q/COCRTiIUs3ckDLEDDcudp7KODAV4B0yPqEO5kePj&#10;loXVuLzHqLf/gsVvAAAA//8DAFBLAwQUAAYACAAAACEAhdrI0+QAAAALAQAADwAAAGRycy9kb3du&#10;cmV2LnhtbEyPy07DMBBF90j8gzVIbBB1AqEJIU4FSCCEeIgWoS7deIijxnZkO2369wwrWM6doztn&#10;qsVkerZDHzpnBaSzBBjaxqnOtgI+Vw/nBbAQpVWydxYFHDDAoj4+qmSp3N5+4G4ZW0YlNpRSgI5x&#10;KDkPjUYjw8wNaGn37byRkUbfcuXlnspNzy+SZM6N7Cxd0HLAe43NdjkaAVv9fPaePL7efc2fDv5t&#10;Nbq1f1kLcXoy3d4AizjFPxh+9UkdanLauNGqwHoBV0WeESogS4scGBH5ZUrJhpLrLAdeV/z/D/UP&#10;AAAA//8DAFBLAQItABQABgAIAAAAIQC2gziS/gAAAOEBAAATAAAAAAAAAAAAAAAAAAAAAABbQ29u&#10;dGVudF9UeXBlc10ueG1sUEsBAi0AFAAGAAgAAAAhADj9If/WAAAAlAEAAAsAAAAAAAAAAAAAAAAA&#10;LwEAAF9yZWxzLy5yZWxzUEsBAi0AFAAGAAgAAAAhAN4flWstAgAAUwQAAA4AAAAAAAAAAAAAAAAA&#10;LgIAAGRycy9lMm9Eb2MueG1sUEsBAi0AFAAGAAgAAAAhAIXayNPkAAAACwEAAA8AAAAAAAAAAAAA&#10;AAAAhwQAAGRycy9kb3ducmV2LnhtbFBLBQYAAAAABAAEAPMAAACYBQAAAAA=&#10;" filled="f" stroked="f" strokeweight=".5pt">
                <v:textbox>
                  <w:txbxContent>
                    <w:p w:rsidR="005A68E7" w:rsidRPr="0028311A" w:rsidRDefault="005A68E7">
                      <w:pPr>
                        <w:rPr>
                          <w:sz w:val="16"/>
                        </w:rPr>
                      </w:pPr>
                      <w:r w:rsidRPr="0028311A">
                        <w:rPr>
                          <w:sz w:val="16"/>
                        </w:rPr>
                        <w:t xml:space="preserve">Représentations communes </w:t>
                      </w:r>
                    </w:p>
                    <w:p w:rsidR="005A68E7" w:rsidRPr="0028311A" w:rsidRDefault="005A68E7">
                      <w:pPr>
                        <w:rPr>
                          <w:sz w:val="16"/>
                        </w:rPr>
                      </w:pPr>
                      <w:r w:rsidRPr="0028311A">
                        <w:rPr>
                          <w:sz w:val="16"/>
                        </w:rPr>
                        <w:t>« correctes ou officielles</w:t>
                      </w:r>
                      <w:r>
                        <w:rPr>
                          <w:sz w:val="16"/>
                        </w:rPr>
                        <w:t> »</w:t>
                      </w:r>
                    </w:p>
                  </w:txbxContent>
                </v:textbox>
              </v:shape>
            </w:pict>
          </mc:Fallback>
        </mc:AlternateContent>
      </w:r>
      <w:r>
        <w:rPr>
          <w:noProof/>
          <w:lang w:val="fr-BE"/>
        </w:rPr>
        <w:drawing>
          <wp:anchor distT="0" distB="0" distL="114300" distR="114300" simplePos="0" relativeHeight="251656704" behindDoc="1" locked="0" layoutInCell="1" allowOverlap="1" wp14:anchorId="1FBE7329" wp14:editId="6854BF2C">
            <wp:simplePos x="0" y="0"/>
            <wp:positionH relativeFrom="column">
              <wp:posOffset>-3175</wp:posOffset>
            </wp:positionH>
            <wp:positionV relativeFrom="paragraph">
              <wp:posOffset>470112</wp:posOffset>
            </wp:positionV>
            <wp:extent cx="6021070" cy="3686175"/>
            <wp:effectExtent l="0" t="0" r="0" b="9525"/>
            <wp:wrapTight wrapText="bothSides">
              <wp:wrapPolygon edited="0">
                <wp:start x="0" y="0"/>
                <wp:lineTo x="0" y="21544"/>
                <wp:lineTo x="21527" y="21544"/>
                <wp:lineTo x="2152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2995" t="1900" r="12775" b="17312"/>
                    <a:stretch/>
                  </pic:blipFill>
                  <pic:spPr bwMode="auto">
                    <a:xfrm>
                      <a:off x="0" y="0"/>
                      <a:ext cx="6021070" cy="3686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Pour l’information ou l’éducation, sont très importantes les intersections de chacun avec  le savoir officiel (le carré gris). </w:t>
      </w:r>
    </w:p>
    <w:p w:rsidR="00EE427C" w:rsidRDefault="00EE427C" w:rsidP="00EE427C">
      <w:pPr>
        <w:overflowPunct/>
        <w:autoSpaceDE/>
        <w:autoSpaceDN/>
        <w:adjustRightInd/>
        <w:spacing w:line="276" w:lineRule="auto"/>
        <w:jc w:val="left"/>
        <w:textAlignment w:val="auto"/>
      </w:pPr>
      <w:r>
        <w:t xml:space="preserve">La définition à géométrie variable et le schéma ci-dessus peuvent paraître complexes. Et ils le sont…parce que la </w:t>
      </w:r>
      <w:r w:rsidRPr="00EE427C">
        <w:rPr>
          <w:b/>
        </w:rPr>
        <w:t xml:space="preserve">réalité </w:t>
      </w:r>
      <w:r>
        <w:t xml:space="preserve">l’est, complexe. </w:t>
      </w:r>
    </w:p>
    <w:p w:rsidR="00EE427C" w:rsidRPr="00EE427C" w:rsidRDefault="00EE427C" w:rsidP="00EE427C">
      <w:pPr>
        <w:overflowPunct/>
        <w:autoSpaceDE/>
        <w:autoSpaceDN/>
        <w:adjustRightInd/>
        <w:spacing w:line="276" w:lineRule="auto"/>
        <w:ind w:left="1416"/>
        <w:jc w:val="left"/>
        <w:textAlignment w:val="auto"/>
        <w:rPr>
          <w:lang w:val="fr-BE"/>
        </w:rPr>
      </w:pPr>
      <w:r w:rsidRPr="00EE427C">
        <w:rPr>
          <w:lang w:val="fr-BE"/>
        </w:rPr>
        <w:t xml:space="preserve">« Ce que j’appelle la pensée complexe, </w:t>
      </w:r>
    </w:p>
    <w:p w:rsidR="00EE427C" w:rsidRPr="00EE427C" w:rsidRDefault="00EE427C" w:rsidP="00EE427C">
      <w:pPr>
        <w:overflowPunct/>
        <w:autoSpaceDE/>
        <w:autoSpaceDN/>
        <w:adjustRightInd/>
        <w:spacing w:line="276" w:lineRule="auto"/>
        <w:ind w:left="1416"/>
        <w:jc w:val="left"/>
        <w:textAlignment w:val="auto"/>
        <w:rPr>
          <w:lang w:val="fr-BE"/>
        </w:rPr>
      </w:pPr>
      <w:r w:rsidRPr="00EE427C">
        <w:rPr>
          <w:lang w:val="fr-BE"/>
        </w:rPr>
        <w:t xml:space="preserve">c’est celle qui surmonte la confusion, l’embarras </w:t>
      </w:r>
    </w:p>
    <w:p w:rsidR="00EE427C" w:rsidRPr="00EE427C" w:rsidRDefault="00EE427C" w:rsidP="00EE427C">
      <w:pPr>
        <w:overflowPunct/>
        <w:autoSpaceDE/>
        <w:autoSpaceDN/>
        <w:adjustRightInd/>
        <w:spacing w:line="276" w:lineRule="auto"/>
        <w:ind w:left="1416"/>
        <w:jc w:val="left"/>
        <w:textAlignment w:val="auto"/>
        <w:rPr>
          <w:lang w:val="fr-BE"/>
        </w:rPr>
      </w:pPr>
      <w:r w:rsidRPr="00EE427C">
        <w:rPr>
          <w:lang w:val="fr-BE"/>
        </w:rPr>
        <w:t xml:space="preserve">et la difficulté de penser à l’aide d’opérateurs </w:t>
      </w:r>
    </w:p>
    <w:p w:rsidR="00EE427C" w:rsidRDefault="00EE427C" w:rsidP="00EE427C">
      <w:pPr>
        <w:overflowPunct/>
        <w:autoSpaceDE/>
        <w:autoSpaceDN/>
        <w:adjustRightInd/>
        <w:spacing w:after="200" w:line="276" w:lineRule="auto"/>
        <w:ind w:left="1416"/>
        <w:jc w:val="left"/>
        <w:textAlignment w:val="auto"/>
        <w:rPr>
          <w:lang w:val="fr-BE"/>
        </w:rPr>
      </w:pPr>
      <w:r w:rsidRPr="00EE427C">
        <w:rPr>
          <w:lang w:val="fr-BE"/>
        </w:rPr>
        <w:t xml:space="preserve">et à l’aide d’une pensée organisatrice : séparatrice et reliante. » </w:t>
      </w:r>
      <w:r>
        <w:rPr>
          <w:lang w:val="fr-BE"/>
        </w:rPr>
        <w:t xml:space="preserve"> </w:t>
      </w:r>
    </w:p>
    <w:p w:rsidR="00E35C6E" w:rsidRDefault="00EE427C" w:rsidP="00EE427C">
      <w:pPr>
        <w:overflowPunct/>
        <w:autoSpaceDE/>
        <w:autoSpaceDN/>
        <w:adjustRightInd/>
        <w:spacing w:after="200" w:line="276" w:lineRule="auto"/>
        <w:ind w:left="1416"/>
        <w:jc w:val="right"/>
        <w:textAlignment w:val="auto"/>
      </w:pPr>
      <w:r>
        <w:rPr>
          <w:lang w:val="fr-BE"/>
        </w:rPr>
        <w:t>Edgar Morin (2014)</w:t>
      </w:r>
      <w:r w:rsidRPr="00EE427C">
        <w:t xml:space="preserve"> </w:t>
      </w:r>
      <w:r w:rsidR="00E35C6E">
        <w:br w:type="page"/>
      </w:r>
    </w:p>
    <w:p w:rsidR="00486F50" w:rsidRPr="005A68E7" w:rsidRDefault="005A68E7">
      <w:pPr>
        <w:overflowPunct/>
        <w:autoSpaceDE/>
        <w:autoSpaceDN/>
        <w:adjustRightInd/>
        <w:spacing w:after="200" w:line="276" w:lineRule="auto"/>
        <w:jc w:val="left"/>
        <w:textAlignment w:val="auto"/>
        <w:rPr>
          <w:b/>
        </w:rPr>
      </w:pPr>
      <w:r>
        <w:rPr>
          <w:b/>
        </w:rPr>
        <w:lastRenderedPageBreak/>
        <w:t>Représentations et r</w:t>
      </w:r>
      <w:r w:rsidRPr="005A68E7">
        <w:rPr>
          <w:b/>
        </w:rPr>
        <w:t>éférents</w:t>
      </w:r>
    </w:p>
    <w:p w:rsidR="005A68E7" w:rsidRDefault="005A68E7">
      <w:pPr>
        <w:overflowPunct/>
        <w:autoSpaceDE/>
        <w:autoSpaceDN/>
        <w:adjustRightInd/>
        <w:spacing w:after="200" w:line="276" w:lineRule="auto"/>
        <w:jc w:val="left"/>
        <w:textAlignment w:val="auto"/>
      </w:pPr>
      <w:r>
        <w:t xml:space="preserve">Lors de notre histoire personnelle nous nous sommes construits des référents mentaux que ce soit par la mémoire épisodique (ce que nous avons vécu) soit sémantique (ce que nous avons appris par l’école, les livres, les médias de masse, etc.). </w:t>
      </w:r>
    </w:p>
    <w:p w:rsidR="005A68E7" w:rsidRDefault="005A68E7" w:rsidP="005A68E7">
      <w:pPr>
        <w:overflowPunct/>
        <w:autoSpaceDE/>
        <w:autoSpaceDN/>
        <w:adjustRightInd/>
        <w:spacing w:line="276" w:lineRule="auto"/>
        <w:jc w:val="left"/>
        <w:textAlignment w:val="auto"/>
      </w:pPr>
      <w:r>
        <w:t>Ainsi, dans la chanson « Un jour », Jean Ferrat chante Louis Aragon parlant de la haine entre les</w:t>
      </w:r>
      <w:r w:rsidR="00F428A0">
        <w:t xml:space="preserve"> peuples </w:t>
      </w:r>
      <w:r>
        <w:t xml:space="preserve">: </w:t>
      </w:r>
    </w:p>
    <w:p w:rsidR="005A68E7" w:rsidRDefault="005A68E7" w:rsidP="00F428A0">
      <w:pPr>
        <w:overflowPunct/>
        <w:autoSpaceDE/>
        <w:autoSpaceDN/>
        <w:adjustRightInd/>
        <w:spacing w:line="276" w:lineRule="auto"/>
        <w:ind w:left="708"/>
        <w:jc w:val="left"/>
        <w:textAlignment w:val="auto"/>
      </w:pPr>
      <w:r>
        <w:t xml:space="preserve">«Quoi, ce serait toujours la guerre , la querelle, </w:t>
      </w:r>
    </w:p>
    <w:p w:rsidR="005A68E7" w:rsidRDefault="005A68E7" w:rsidP="00F428A0">
      <w:pPr>
        <w:overflowPunct/>
        <w:autoSpaceDE/>
        <w:autoSpaceDN/>
        <w:adjustRightInd/>
        <w:spacing w:after="200" w:line="276" w:lineRule="auto"/>
        <w:ind w:left="708"/>
        <w:jc w:val="left"/>
        <w:textAlignment w:val="auto"/>
      </w:pPr>
      <w:r>
        <w:t>le massacre toujours, justifié d’Iole… » </w:t>
      </w:r>
    </w:p>
    <w:p w:rsidR="00F428A0" w:rsidRDefault="00F428A0" w:rsidP="008A0F1A">
      <w:pPr>
        <w:overflowPunct/>
        <w:autoSpaceDE/>
        <w:autoSpaceDN/>
        <w:adjustRightInd/>
        <w:spacing w:after="200" w:line="276" w:lineRule="auto"/>
        <w:ind w:left="708"/>
        <w:jc w:val="left"/>
        <w:textAlignment w:val="auto"/>
      </w:pPr>
      <w:r>
        <w:t>L’expression « justifié d’Iole » est une f</w:t>
      </w:r>
      <w:r w:rsidR="00AA27A3">
        <w:t>açon</w:t>
      </w:r>
      <w:r>
        <w:t xml:space="preserve"> poétique de signifie</w:t>
      </w:r>
      <w:r w:rsidR="00AA27A3">
        <w:t>r</w:t>
      </w:r>
      <w:r>
        <w:t xml:space="preserve"> «haine ancestrale ». D</w:t>
      </w:r>
      <w:r w:rsidR="008A0F1A">
        <w:t>ans</w:t>
      </w:r>
      <w:r>
        <w:t xml:space="preserve"> la mythologie grecque, l’amour d’Héraclès pour Iole rendit jalouse </w:t>
      </w:r>
      <w:r w:rsidR="008A0F1A">
        <w:t xml:space="preserve">son épouse </w:t>
      </w:r>
      <w:r>
        <w:t>Déjanire qui</w:t>
      </w:r>
      <w:r w:rsidR="008A0F1A">
        <w:t xml:space="preserve">, abusée par Nessos (qu’Héraclès tua) </w:t>
      </w:r>
      <w:r>
        <w:t>envo</w:t>
      </w:r>
      <w:r w:rsidR="008A0F1A">
        <w:t xml:space="preserve">ya à Héraclès, pour le protéger, la tunique de Nessos…mais empoisonnée. </w:t>
      </w:r>
    </w:p>
    <w:p w:rsidR="008A0F1A" w:rsidRDefault="008A0F1A" w:rsidP="008A0F1A">
      <w:pPr>
        <w:overflowPunct/>
        <w:autoSpaceDE/>
        <w:autoSpaceDN/>
        <w:adjustRightInd/>
        <w:spacing w:after="200" w:line="276" w:lineRule="auto"/>
        <w:jc w:val="left"/>
        <w:textAlignment w:val="auto"/>
      </w:pPr>
      <w:r>
        <w:t>Cette histoire mythique de cascades d’agressions et de revanches m’évoque les conflits « ancestraux » franco-allemands remontant aux guerres de Napoléon, de 1870, de 1918, de 1940</w:t>
      </w:r>
      <w:r w:rsidR="00E16EE8">
        <w:t xml:space="preserve">, renforçant, de guerre en guerre les </w:t>
      </w:r>
      <w:r w:rsidR="00E16EE8" w:rsidRPr="00E16EE8">
        <w:rPr>
          <w:b/>
        </w:rPr>
        <w:t>représentations</w:t>
      </w:r>
      <w:r w:rsidR="00E16EE8">
        <w:t xml:space="preserve"> </w:t>
      </w:r>
      <w:r w:rsidR="00E16EE8" w:rsidRPr="00E16EE8">
        <w:rPr>
          <w:b/>
        </w:rPr>
        <w:t>affectives</w:t>
      </w:r>
      <w:r w:rsidR="00E16EE8">
        <w:t xml:space="preserve"> </w:t>
      </w:r>
      <w:r w:rsidR="00E16EE8" w:rsidRPr="00E16EE8">
        <w:rPr>
          <w:b/>
        </w:rPr>
        <w:t>négatives</w:t>
      </w:r>
      <w:r w:rsidR="00E16EE8">
        <w:t xml:space="preserve"> que chaque nation a de l’autre. Cela relève du miracle que </w:t>
      </w:r>
      <w:r>
        <w:t xml:space="preserve">les Français (pas n’importe lesquels ! ceux de De Gaulle et de Jean Moulin) aient pu, cinq ans seulement à peine après la dernière </w:t>
      </w:r>
      <w:r w:rsidR="00E16EE8">
        <w:t xml:space="preserve">guerre « ancestrale», </w:t>
      </w:r>
      <w:r>
        <w:t xml:space="preserve">créer une communauté européenne avec les Allemands (pas n’importe lesquels : ceux d’Adenauer et de Willy Brandt). </w:t>
      </w:r>
      <w:r w:rsidR="00E16EE8">
        <w:t xml:space="preserve">A ce miracle ont oeuvré le procès de Nuremberg et son Procureur général </w:t>
      </w:r>
      <w:r w:rsidR="00AA27A3">
        <w:t>« </w:t>
      </w:r>
      <w:r w:rsidR="00E16EE8">
        <w:t>Justice</w:t>
      </w:r>
      <w:r w:rsidR="00AA27A3">
        <w:t> »</w:t>
      </w:r>
      <w:r w:rsidR="00E16EE8">
        <w:t xml:space="preserve"> Jackson, Simon Wiesenthal, Beate et Serge Klarsfeld et </w:t>
      </w:r>
      <w:r w:rsidR="00A8463B">
        <w:t>Frtiz Bauer.</w:t>
      </w:r>
      <w:r w:rsidR="00AA27A3">
        <w:t xml:space="preserve"> Les représentations, cela se change, à force de (bonnes) volontés.</w:t>
      </w:r>
    </w:p>
    <w:p w:rsidR="00E16EE8" w:rsidRDefault="0056159C" w:rsidP="008A0F1A">
      <w:pPr>
        <w:overflowPunct/>
        <w:autoSpaceDE/>
        <w:autoSpaceDN/>
        <w:adjustRightInd/>
        <w:spacing w:after="200" w:line="276" w:lineRule="auto"/>
        <w:jc w:val="left"/>
        <w:textAlignment w:val="auto"/>
      </w:pPr>
      <w:r w:rsidRPr="0056159C">
        <w:rPr>
          <w:noProof/>
          <w:color w:val="FF0000"/>
          <w:lang w:val="fr-BE"/>
        </w:rPr>
        <w:drawing>
          <wp:anchor distT="0" distB="0" distL="114300" distR="114300" simplePos="0" relativeHeight="251661824" behindDoc="1" locked="0" layoutInCell="1" allowOverlap="1">
            <wp:simplePos x="0" y="0"/>
            <wp:positionH relativeFrom="column">
              <wp:posOffset>1174539</wp:posOffset>
            </wp:positionH>
            <wp:positionV relativeFrom="paragraph">
              <wp:posOffset>701040</wp:posOffset>
            </wp:positionV>
            <wp:extent cx="3845610" cy="2856230"/>
            <wp:effectExtent l="19050" t="19050" r="21590" b="20320"/>
            <wp:wrapTight wrapText="bothSides">
              <wp:wrapPolygon edited="0">
                <wp:start x="-107" y="-144"/>
                <wp:lineTo x="-107" y="21610"/>
                <wp:lineTo x="21614" y="21610"/>
                <wp:lineTo x="21614" y="-144"/>
                <wp:lineTo x="-107" y="-144"/>
              </wp:wrapPolygon>
            </wp:wrapTight>
            <wp:docPr id="4099" name="Picture 3" descr="A:\Unti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descr="A:\Untit.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660"/>
                    <a:stretch/>
                  </pic:blipFill>
                  <pic:spPr bwMode="auto">
                    <a:xfrm>
                      <a:off x="0" y="0"/>
                      <a:ext cx="3845610" cy="2856230"/>
                    </a:xfrm>
                    <a:prstGeom prst="rect">
                      <a:avLst/>
                    </a:prstGeom>
                    <a:noFill/>
                    <a:ln>
                      <a:solidFill>
                        <a:schemeClr val="tx1"/>
                      </a:solidFill>
                    </a:ln>
                    <a:extLst/>
                  </pic:spPr>
                </pic:pic>
              </a:graphicData>
            </a:graphic>
            <wp14:sizeRelH relativeFrom="page">
              <wp14:pctWidth>0</wp14:pctWidth>
            </wp14:sizeRelH>
            <wp14:sizeRelV relativeFrom="page">
              <wp14:pctHeight>0</wp14:pctHeight>
            </wp14:sizeRelV>
          </wp:anchor>
        </w:drawing>
      </w:r>
      <w:r w:rsidR="00E16EE8">
        <w:t>Dans un tout autre registre, divers che</w:t>
      </w:r>
      <w:r w:rsidR="00A8463B">
        <w:t>r</w:t>
      </w:r>
      <w:r w:rsidR="00E16EE8">
        <w:t xml:space="preserve">cheurs </w:t>
      </w:r>
      <w:r w:rsidR="00AA27A3">
        <w:t xml:space="preserve">comme </w:t>
      </w:r>
      <w:r w:rsidR="00A8463B" w:rsidRPr="00AA27A3">
        <w:rPr>
          <w:bCs/>
        </w:rPr>
        <w:t>von Uexküll</w:t>
      </w:r>
      <w:r w:rsidR="00AA27A3">
        <w:rPr>
          <w:bCs/>
        </w:rPr>
        <w:t xml:space="preserve"> (2004) ou </w:t>
      </w:r>
      <w:r>
        <w:t>von Frich</w:t>
      </w:r>
      <w:r w:rsidR="00AA27A3">
        <w:t xml:space="preserve"> (1960) </w:t>
      </w:r>
      <w:r w:rsidR="00E16EE8">
        <w:t xml:space="preserve">ont </w:t>
      </w:r>
      <w:r w:rsidR="00A8463B">
        <w:t xml:space="preserve">étudié les représentations que se font du monde diverses espèces animales. </w:t>
      </w:r>
      <w:r w:rsidR="00AA27A3">
        <w:t>La plus belle ill</w:t>
      </w:r>
      <w:r>
        <w:t>ustra</w:t>
      </w:r>
      <w:r w:rsidR="00AA27A3">
        <w:t>t</w:t>
      </w:r>
      <w:r>
        <w:t>ion iconique que j’en ai</w:t>
      </w:r>
      <w:r w:rsidR="00AA27A3">
        <w:t>e</w:t>
      </w:r>
      <w:r>
        <w:t xml:space="preserve"> trouvé est celle (humorist</w:t>
      </w:r>
      <w:r w:rsidR="00AA27A3">
        <w:t>ique) de Quino (mort en 2020).</w:t>
      </w:r>
    </w:p>
    <w:p w:rsidR="0056159C" w:rsidRDefault="0056159C">
      <w:pPr>
        <w:overflowPunct/>
        <w:autoSpaceDE/>
        <w:autoSpaceDN/>
        <w:adjustRightInd/>
        <w:spacing w:after="200" w:line="276" w:lineRule="auto"/>
        <w:jc w:val="left"/>
        <w:textAlignment w:val="auto"/>
        <w:rPr>
          <w:color w:val="FF0000"/>
        </w:rPr>
      </w:pPr>
    </w:p>
    <w:p w:rsidR="0056159C" w:rsidRPr="008A0F1A" w:rsidRDefault="0056159C" w:rsidP="008A0F1A">
      <w:pPr>
        <w:overflowPunct/>
        <w:autoSpaceDE/>
        <w:autoSpaceDN/>
        <w:adjustRightInd/>
        <w:spacing w:after="200" w:line="276" w:lineRule="auto"/>
        <w:jc w:val="left"/>
        <w:textAlignment w:val="auto"/>
        <w:rPr>
          <w:color w:val="FF0000"/>
        </w:rPr>
      </w:pPr>
    </w:p>
    <w:p w:rsidR="008A0F1A" w:rsidRDefault="008A0F1A"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56159C" w:rsidRDefault="0056159C" w:rsidP="008A0F1A">
      <w:pPr>
        <w:overflowPunct/>
        <w:autoSpaceDE/>
        <w:autoSpaceDN/>
        <w:adjustRightInd/>
        <w:spacing w:after="200" w:line="276" w:lineRule="auto"/>
        <w:jc w:val="left"/>
        <w:textAlignment w:val="auto"/>
      </w:pPr>
    </w:p>
    <w:p w:rsidR="008A0F1A" w:rsidRDefault="009F529D" w:rsidP="009F529D">
      <w:pPr>
        <w:overflowPunct/>
        <w:autoSpaceDE/>
        <w:autoSpaceDN/>
        <w:adjustRightInd/>
        <w:spacing w:after="200" w:line="276" w:lineRule="auto"/>
        <w:jc w:val="center"/>
        <w:textAlignment w:val="auto"/>
      </w:pPr>
      <w:r>
        <w:t>Quino, 1963, p. 13</w:t>
      </w:r>
    </w:p>
    <w:p w:rsidR="00AA27A3" w:rsidRDefault="00AA27A3" w:rsidP="008A0F1A">
      <w:pPr>
        <w:overflowPunct/>
        <w:autoSpaceDE/>
        <w:autoSpaceDN/>
        <w:adjustRightInd/>
        <w:spacing w:after="200" w:line="276" w:lineRule="auto"/>
        <w:jc w:val="left"/>
        <w:textAlignment w:val="auto"/>
        <w:rPr>
          <w:b/>
        </w:rPr>
      </w:pPr>
    </w:p>
    <w:p w:rsidR="008A0F1A" w:rsidRPr="009F529D" w:rsidRDefault="009F529D" w:rsidP="008A0F1A">
      <w:pPr>
        <w:overflowPunct/>
        <w:autoSpaceDE/>
        <w:autoSpaceDN/>
        <w:adjustRightInd/>
        <w:spacing w:after="200" w:line="276" w:lineRule="auto"/>
        <w:jc w:val="left"/>
        <w:textAlignment w:val="auto"/>
        <w:rPr>
          <w:b/>
        </w:rPr>
      </w:pPr>
      <w:r w:rsidRPr="009F529D">
        <w:rPr>
          <w:b/>
        </w:rPr>
        <w:lastRenderedPageBreak/>
        <w:t>Références</w:t>
      </w:r>
    </w:p>
    <w:p w:rsidR="00486F50" w:rsidRDefault="00486F50" w:rsidP="005E3F7D">
      <w:pPr>
        <w:overflowPunct/>
        <w:autoSpaceDE/>
        <w:autoSpaceDN/>
        <w:adjustRightInd/>
        <w:ind w:left="709" w:hanging="709"/>
        <w:jc w:val="left"/>
        <w:textAlignment w:val="auto"/>
        <w:rPr>
          <w:rStyle w:val="reference-text"/>
        </w:rPr>
      </w:pPr>
      <w:r>
        <w:rPr>
          <w:rStyle w:val="reference-text"/>
        </w:rPr>
        <w:t xml:space="preserve">Abric, J.-C. (Ed.) (1994), </w:t>
      </w:r>
      <w:r>
        <w:rPr>
          <w:rStyle w:val="reference-text"/>
          <w:i/>
          <w:iCs/>
        </w:rPr>
        <w:t>Pratiques sociales et représentations</w:t>
      </w:r>
      <w:r>
        <w:rPr>
          <w:rStyle w:val="reference-text"/>
        </w:rPr>
        <w:t>, Paris, PUF.</w:t>
      </w:r>
    </w:p>
    <w:p w:rsidR="003D420D" w:rsidRDefault="003D420D" w:rsidP="003D420D">
      <w:pPr>
        <w:pStyle w:val="somm30"/>
        <w:rPr>
          <w:sz w:val="22"/>
          <w:szCs w:val="22"/>
          <w:lang w:val="fr-BE"/>
        </w:rPr>
      </w:pPr>
      <w:r w:rsidRPr="004B34A9">
        <w:rPr>
          <w:sz w:val="22"/>
          <w:szCs w:val="22"/>
        </w:rPr>
        <w:t>Albertini, J.M. (Ed.) (1985). Les jeunes, l'économie et la consommation, Bruxelles : Labor</w:t>
      </w:r>
      <w:r w:rsidRPr="00CD1049">
        <w:rPr>
          <w:sz w:val="22"/>
          <w:szCs w:val="22"/>
          <w:lang w:val="fr-BE"/>
        </w:rPr>
        <w:t xml:space="preserve"> </w:t>
      </w:r>
    </w:p>
    <w:p w:rsidR="003D420D" w:rsidRPr="004B34A9" w:rsidRDefault="003D420D" w:rsidP="003D420D">
      <w:pPr>
        <w:pStyle w:val="somm30"/>
        <w:rPr>
          <w:sz w:val="22"/>
          <w:szCs w:val="22"/>
        </w:rPr>
      </w:pPr>
      <w:r w:rsidRPr="00CD1049">
        <w:rPr>
          <w:sz w:val="22"/>
          <w:szCs w:val="22"/>
          <w:lang w:val="fr-BE"/>
        </w:rPr>
        <w:t>Buzan, T.</w:t>
      </w:r>
      <w:r>
        <w:rPr>
          <w:sz w:val="22"/>
          <w:szCs w:val="22"/>
          <w:lang w:val="fr-BE"/>
        </w:rPr>
        <w:t xml:space="preserve"> (1984). </w:t>
      </w:r>
      <w:r w:rsidRPr="00CD1049">
        <w:rPr>
          <w:sz w:val="22"/>
          <w:szCs w:val="22"/>
          <w:lang w:val="fr-BE"/>
        </w:rPr>
        <w:t xml:space="preserve">Une tête bien faite. </w:t>
      </w:r>
      <w:r w:rsidRPr="004B34A9">
        <w:rPr>
          <w:sz w:val="22"/>
          <w:szCs w:val="22"/>
        </w:rPr>
        <w:t>Exploitez vos ressources intellectuelles, Paris</w:t>
      </w:r>
      <w:r>
        <w:rPr>
          <w:sz w:val="22"/>
          <w:szCs w:val="22"/>
        </w:rPr>
        <w:t xml:space="preserve">, Les Editions d'Organisation, </w:t>
      </w:r>
      <w:r w:rsidRPr="004B34A9">
        <w:rPr>
          <w:sz w:val="22"/>
          <w:szCs w:val="22"/>
        </w:rPr>
        <w:t>167 p.</w:t>
      </w:r>
    </w:p>
    <w:p w:rsidR="003D420D" w:rsidRDefault="003D420D" w:rsidP="005E3F7D">
      <w:pPr>
        <w:overflowPunct/>
        <w:autoSpaceDE/>
        <w:autoSpaceDN/>
        <w:adjustRightInd/>
        <w:ind w:left="709" w:hanging="709"/>
        <w:jc w:val="left"/>
        <w:textAlignment w:val="auto"/>
        <w:rPr>
          <w:rStyle w:val="reference-text"/>
        </w:rPr>
      </w:pPr>
      <w:r>
        <w:rPr>
          <w:rStyle w:val="reference-text"/>
        </w:rPr>
        <w:t>Decroly (</w:t>
      </w:r>
      <w:r w:rsidRPr="003D420D">
        <w:rPr>
          <w:rStyle w:val="reference-text"/>
        </w:rPr>
        <w:t>1929</w:t>
      </w:r>
      <w:r>
        <w:rPr>
          <w:rStyle w:val="reference-text"/>
        </w:rPr>
        <w:t>)</w:t>
      </w:r>
      <w:r w:rsidRPr="003D420D">
        <w:rPr>
          <w:rStyle w:val="reference-text"/>
        </w:rPr>
        <w:t xml:space="preserve"> La fonction de globalisation et l'enseignement</w:t>
      </w:r>
      <w:r>
        <w:rPr>
          <w:rStyle w:val="reference-text"/>
        </w:rPr>
        <w:t>.</w:t>
      </w:r>
    </w:p>
    <w:p w:rsidR="003D420D" w:rsidRDefault="004110F1" w:rsidP="003D420D">
      <w:pPr>
        <w:overflowPunct/>
        <w:autoSpaceDE/>
        <w:autoSpaceDN/>
        <w:adjustRightInd/>
        <w:ind w:left="1417" w:hanging="709"/>
        <w:jc w:val="left"/>
        <w:textAlignment w:val="auto"/>
        <w:rPr>
          <w:rStyle w:val="reference-text"/>
        </w:rPr>
      </w:pPr>
      <w:hyperlink r:id="rId10" w:history="1">
        <w:r w:rsidR="003D420D" w:rsidRPr="00380F26">
          <w:rPr>
            <w:rStyle w:val="Lienhypertexte"/>
          </w:rPr>
          <w:t>https://fr.wikipedia.org/wiki/Ovide_Decroly</w:t>
        </w:r>
      </w:hyperlink>
    </w:p>
    <w:p w:rsidR="00486F50" w:rsidRPr="00AA27A3" w:rsidRDefault="00486F50" w:rsidP="00AA27A3">
      <w:pPr>
        <w:overflowPunct/>
        <w:autoSpaceDE/>
        <w:autoSpaceDN/>
        <w:adjustRightInd/>
        <w:ind w:left="709" w:hanging="709"/>
        <w:jc w:val="left"/>
        <w:textAlignment w:val="auto"/>
        <w:rPr>
          <w:rStyle w:val="reference-text"/>
        </w:rPr>
      </w:pPr>
      <w:r>
        <w:rPr>
          <w:rStyle w:val="reference-text"/>
        </w:rPr>
        <w:t xml:space="preserve">Durkheim, E. (1898). </w:t>
      </w:r>
      <w:hyperlink r:id="rId11" w:history="1">
        <w:r w:rsidRPr="00AA27A3">
          <w:rPr>
            <w:rStyle w:val="Lienhypertexte"/>
            <w:iCs/>
            <w:color w:val="000000" w:themeColor="text1"/>
            <w:u w:val="none"/>
          </w:rPr>
          <w:t>Représentations individuelles et représentations collectives</w:t>
        </w:r>
      </w:hyperlink>
      <w:r w:rsidRPr="00AA27A3">
        <w:rPr>
          <w:rStyle w:val="reference-text"/>
          <w:color w:val="000000" w:themeColor="text1"/>
        </w:rPr>
        <w:t> [</w:t>
      </w:r>
      <w:hyperlink r:id="rId12" w:tooltip="archive sur Wikiwix" w:history="1">
        <w:r w:rsidRPr="00AA27A3">
          <w:rPr>
            <w:rStyle w:val="Lienhypertexte"/>
            <w:color w:val="000000" w:themeColor="text1"/>
            <w:sz w:val="20"/>
            <w:u w:val="none"/>
          </w:rPr>
          <w:t>archive</w:t>
        </w:r>
      </w:hyperlink>
      <w:r>
        <w:rPr>
          <w:rStyle w:val="reference-text"/>
        </w:rPr>
        <w:t xml:space="preserve">], </w:t>
      </w:r>
      <w:r w:rsidRPr="00AA27A3">
        <w:rPr>
          <w:rStyle w:val="reference-text"/>
          <w:iCs/>
        </w:rPr>
        <w:t>Revue de métaphysique et de morale</w:t>
      </w:r>
      <w:r w:rsidRPr="00AA27A3">
        <w:rPr>
          <w:rStyle w:val="reference-text"/>
        </w:rPr>
        <w:t>, VI,</w:t>
      </w:r>
    </w:p>
    <w:p w:rsidR="0028311A" w:rsidRPr="00AA27A3" w:rsidRDefault="0028311A" w:rsidP="005E3F7D">
      <w:pPr>
        <w:overflowPunct/>
        <w:autoSpaceDE/>
        <w:autoSpaceDN/>
        <w:adjustRightInd/>
        <w:ind w:left="709" w:hanging="709"/>
        <w:jc w:val="left"/>
        <w:textAlignment w:val="auto"/>
        <w:rPr>
          <w:rStyle w:val="reference-text"/>
        </w:rPr>
      </w:pPr>
      <w:r w:rsidRPr="00AA27A3">
        <w:rPr>
          <w:rStyle w:val="reference-text"/>
        </w:rPr>
        <w:t xml:space="preserve">Jodelet, D. (1984), </w:t>
      </w:r>
      <w:r w:rsidRPr="00AA27A3">
        <w:rPr>
          <w:rStyle w:val="reference-text"/>
          <w:iCs/>
        </w:rPr>
        <w:t>Représentations sociales : phénomènes, concepts et théorie</w:t>
      </w:r>
      <w:r w:rsidRPr="00AA27A3">
        <w:rPr>
          <w:rStyle w:val="reference-text"/>
        </w:rPr>
        <w:t xml:space="preserve">. In : S. Moscovici, </w:t>
      </w:r>
      <w:r w:rsidRPr="00AA27A3">
        <w:rPr>
          <w:rStyle w:val="reference-text"/>
          <w:iCs/>
        </w:rPr>
        <w:t>Psychologie sociale</w:t>
      </w:r>
      <w:r w:rsidRPr="00AA27A3">
        <w:rPr>
          <w:rStyle w:val="reference-text"/>
        </w:rPr>
        <w:t>, Paris, PUF, p. 357-378.</w:t>
      </w:r>
    </w:p>
    <w:p w:rsidR="00486F50" w:rsidRPr="00AA27A3" w:rsidRDefault="00486F50" w:rsidP="005E3F7D">
      <w:pPr>
        <w:overflowPunct/>
        <w:autoSpaceDE/>
        <w:autoSpaceDN/>
        <w:adjustRightInd/>
        <w:ind w:left="709" w:hanging="709"/>
        <w:jc w:val="left"/>
        <w:textAlignment w:val="auto"/>
        <w:rPr>
          <w:rStyle w:val="reference-text"/>
        </w:rPr>
      </w:pPr>
      <w:r w:rsidRPr="00AA27A3">
        <w:rPr>
          <w:rStyle w:val="reference-text"/>
        </w:rPr>
        <w:t xml:space="preserve">Jodelet, D. (1991), </w:t>
      </w:r>
      <w:r w:rsidRPr="00AA27A3">
        <w:rPr>
          <w:rStyle w:val="reference-text"/>
          <w:iCs/>
        </w:rPr>
        <w:t>L'idéologie dans l'étude des Représentations Sociales</w:t>
      </w:r>
      <w:r w:rsidRPr="00AA27A3">
        <w:rPr>
          <w:rStyle w:val="reference-text"/>
        </w:rPr>
        <w:t>, In V. Aesbischer, J.P. Deconchy</w:t>
      </w:r>
      <w:r w:rsidR="0028311A" w:rsidRPr="00AA27A3">
        <w:rPr>
          <w:rStyle w:val="reference-text"/>
        </w:rPr>
        <w:t xml:space="preserve"> &amp;</w:t>
      </w:r>
      <w:r w:rsidRPr="00AA27A3">
        <w:rPr>
          <w:rStyle w:val="reference-text"/>
        </w:rPr>
        <w:t xml:space="preserve"> R. Lipiansky, </w:t>
      </w:r>
      <w:r w:rsidRPr="00AA27A3">
        <w:rPr>
          <w:rStyle w:val="reference-text"/>
          <w:iCs/>
        </w:rPr>
        <w:t>Idéologies et représentations sociales</w:t>
      </w:r>
      <w:r w:rsidRPr="00AA27A3">
        <w:rPr>
          <w:rStyle w:val="reference-text"/>
        </w:rPr>
        <w:t>, DelVal : Fribourg.</w:t>
      </w:r>
    </w:p>
    <w:p w:rsidR="00AA27A3" w:rsidRPr="00AA27A3" w:rsidRDefault="00AA27A3" w:rsidP="00AA27A3">
      <w:pPr>
        <w:pStyle w:val="somm30"/>
        <w:ind w:left="431" w:hanging="431"/>
        <w:rPr>
          <w:rFonts w:ascii="Times New Roman" w:hAnsi="Times New Roman"/>
          <w:szCs w:val="22"/>
          <w:lang w:val="fr-BE"/>
        </w:rPr>
      </w:pPr>
      <w:r w:rsidRPr="00AA27A3">
        <w:rPr>
          <w:rFonts w:ascii="Times New Roman" w:hAnsi="Times New Roman"/>
          <w:szCs w:val="22"/>
          <w:lang w:val="fr-BE"/>
        </w:rPr>
        <w:t xml:space="preserve">Leclercq, D., Sauvage, C. &amp; Pétré, B. 2019. Quelle place pour la santé dans la qualité de la vie déclarée à 16 ans ? Comparaison à 37 ans de distance en région liégeoise. Poster au Colloque « La qualité de vie au cœur des soins de première ligne : Evaluations, applications et perspectives. ». Université de liège. </w:t>
      </w:r>
    </w:p>
    <w:p w:rsidR="00AA27A3" w:rsidRPr="0083394F" w:rsidRDefault="004110F1" w:rsidP="00AA27A3">
      <w:pPr>
        <w:pStyle w:val="PrformatHTML"/>
        <w:ind w:left="431"/>
        <w:rPr>
          <w:b/>
          <w:lang w:val="fr-BE" w:eastAsia="fr-BE"/>
        </w:rPr>
      </w:pPr>
      <w:hyperlink r:id="rId13" w:history="1">
        <w:r w:rsidR="00AA27A3" w:rsidRPr="0083394F">
          <w:rPr>
            <w:rStyle w:val="Lienhypertexte"/>
            <w:b/>
            <w:lang w:val="fr-BE"/>
          </w:rPr>
          <w:t>http://hdl.handle.net/2268/235718</w:t>
        </w:r>
      </w:hyperlink>
    </w:p>
    <w:p w:rsidR="007368EB" w:rsidRDefault="007368EB" w:rsidP="007368EB">
      <w:pPr>
        <w:pStyle w:val="somm30"/>
      </w:pPr>
      <w:r>
        <w:t xml:space="preserve">Marchand, C. (2000). Les </w:t>
      </w:r>
      <w:r w:rsidRPr="00D516A4">
        <w:rPr>
          <w:sz w:val="22"/>
          <w:szCs w:val="22"/>
        </w:rPr>
        <w:t>connaissances</w:t>
      </w:r>
      <w:r>
        <w:t xml:space="preserve"> antérieures des patients sur leur maladie dans le contexte de leur éducation : analyse de leur rôle, de leur nature, de leur configuration cognitive et de leur évolution, par l’utilisation de cartes conceptuelles. Thèse de doctorat. Paris : Sorbonne, U.F.R. des Sciences de l’Education.</w:t>
      </w:r>
    </w:p>
    <w:p w:rsidR="007368EB" w:rsidRPr="007368EB" w:rsidRDefault="007368EB" w:rsidP="007368EB">
      <w:pPr>
        <w:pStyle w:val="somm30"/>
      </w:pPr>
      <w:r w:rsidRPr="007368EB">
        <w:t xml:space="preserve">Marchand, C &amp; d’Ivernois, J-F (2004). Les cartes conceptuelles dans les formations en santé. Pédagogie médicale, </w:t>
      </w:r>
      <w:r>
        <w:t>vol 5, n° 4, 230-240</w:t>
      </w:r>
    </w:p>
    <w:p w:rsidR="00EE427C" w:rsidRPr="00EE427C" w:rsidRDefault="00EE427C" w:rsidP="00EE427C">
      <w:pPr>
        <w:jc w:val="left"/>
        <w:rPr>
          <w:rFonts w:ascii="Times New Roman" w:hAnsi="Times New Roman"/>
          <w:szCs w:val="24"/>
          <w:lang w:val="fr-BE"/>
        </w:rPr>
      </w:pPr>
      <w:r>
        <w:rPr>
          <w:rFonts w:ascii="Times New Roman" w:hAnsi="Times New Roman"/>
          <w:szCs w:val="24"/>
          <w:lang w:val="fr-BE"/>
        </w:rPr>
        <w:t xml:space="preserve">Morin, E. (2014) </w:t>
      </w:r>
      <w:r w:rsidRPr="00EE427C">
        <w:t>Enseigner à vivre : manifeste pour changer l’éducation.</w:t>
      </w:r>
      <w:r>
        <w:t xml:space="preserve"> </w:t>
      </w:r>
      <w:r w:rsidRPr="00EE427C">
        <w:rPr>
          <w:rFonts w:ascii="Times New Roman" w:hAnsi="Times New Roman"/>
          <w:szCs w:val="24"/>
          <w:lang w:val="fr-BE"/>
        </w:rPr>
        <w:t>Arles : Actes Sud</w:t>
      </w:r>
    </w:p>
    <w:p w:rsidR="00486F50" w:rsidRPr="00486F50" w:rsidRDefault="00486F50" w:rsidP="00EE427C">
      <w:pPr>
        <w:overflowPunct/>
        <w:autoSpaceDE/>
        <w:autoSpaceDN/>
        <w:adjustRightInd/>
        <w:jc w:val="left"/>
        <w:textAlignment w:val="auto"/>
        <w:rPr>
          <w:rFonts w:ascii="Times New Roman" w:hAnsi="Times New Roman"/>
          <w:szCs w:val="24"/>
          <w:lang w:val="fr-BE"/>
        </w:rPr>
      </w:pPr>
      <w:r w:rsidRPr="00486F50">
        <w:rPr>
          <w:rFonts w:ascii="Times New Roman" w:hAnsi="Times New Roman"/>
          <w:szCs w:val="24"/>
          <w:lang w:val="fr-BE"/>
        </w:rPr>
        <w:t xml:space="preserve">Moscovici, </w:t>
      </w:r>
      <w:r>
        <w:rPr>
          <w:rFonts w:ascii="Times New Roman" w:hAnsi="Times New Roman"/>
          <w:szCs w:val="24"/>
          <w:lang w:val="fr-BE"/>
        </w:rPr>
        <w:t>S. (</w:t>
      </w:r>
      <w:r w:rsidRPr="00486F50">
        <w:rPr>
          <w:rFonts w:ascii="Times New Roman" w:hAnsi="Times New Roman"/>
          <w:szCs w:val="24"/>
          <w:lang w:val="fr-BE"/>
        </w:rPr>
        <w:t>1961</w:t>
      </w:r>
      <w:r>
        <w:rPr>
          <w:rFonts w:ascii="Times New Roman" w:hAnsi="Times New Roman"/>
          <w:szCs w:val="24"/>
          <w:lang w:val="fr-BE"/>
        </w:rPr>
        <w:t>)</w:t>
      </w:r>
      <w:r w:rsidRPr="00486F50">
        <w:rPr>
          <w:rFonts w:ascii="Times New Roman" w:hAnsi="Times New Roman"/>
          <w:szCs w:val="24"/>
          <w:lang w:val="fr-BE"/>
        </w:rPr>
        <w:t xml:space="preserve">, </w:t>
      </w:r>
      <w:r w:rsidRPr="00486F50">
        <w:rPr>
          <w:rFonts w:ascii="Times New Roman" w:hAnsi="Times New Roman"/>
          <w:i/>
          <w:iCs/>
          <w:szCs w:val="24"/>
          <w:lang w:val="fr-BE"/>
        </w:rPr>
        <w:t>La psychanalyse, son image et son public</w:t>
      </w:r>
      <w:r w:rsidRPr="00486F50">
        <w:rPr>
          <w:rFonts w:ascii="Times New Roman" w:hAnsi="Times New Roman"/>
          <w:szCs w:val="24"/>
          <w:lang w:val="fr-BE"/>
        </w:rPr>
        <w:t xml:space="preserve">. Paris, PUF. </w:t>
      </w:r>
    </w:p>
    <w:p w:rsidR="00486F50" w:rsidRDefault="00486F50" w:rsidP="00486F50">
      <w:pPr>
        <w:overflowPunct/>
        <w:autoSpaceDE/>
        <w:autoSpaceDN/>
        <w:adjustRightInd/>
        <w:ind w:left="709" w:hanging="709"/>
        <w:jc w:val="left"/>
        <w:textAlignment w:val="auto"/>
        <w:rPr>
          <w:rFonts w:ascii="Times New Roman" w:hAnsi="Times New Roman"/>
          <w:szCs w:val="24"/>
          <w:lang w:val="fr-BE"/>
        </w:rPr>
      </w:pPr>
      <w:r w:rsidRPr="00486F50">
        <w:rPr>
          <w:rFonts w:ascii="Times New Roman" w:hAnsi="Times New Roman"/>
          <w:szCs w:val="24"/>
          <w:lang w:val="fr-BE"/>
        </w:rPr>
        <w:t xml:space="preserve">Moscovici, </w:t>
      </w:r>
      <w:r>
        <w:rPr>
          <w:rFonts w:ascii="Times New Roman" w:hAnsi="Times New Roman"/>
          <w:szCs w:val="24"/>
          <w:lang w:val="fr-BE"/>
        </w:rPr>
        <w:t>S. (</w:t>
      </w:r>
      <w:r w:rsidRPr="00486F50">
        <w:rPr>
          <w:rFonts w:ascii="Times New Roman" w:hAnsi="Times New Roman"/>
          <w:szCs w:val="24"/>
          <w:lang w:val="fr-BE"/>
        </w:rPr>
        <w:t>1984</w:t>
      </w:r>
      <w:r>
        <w:rPr>
          <w:rFonts w:ascii="Times New Roman" w:hAnsi="Times New Roman"/>
          <w:szCs w:val="24"/>
          <w:lang w:val="fr-BE"/>
        </w:rPr>
        <w:t>)</w:t>
      </w:r>
      <w:r w:rsidRPr="00486F50">
        <w:rPr>
          <w:rFonts w:ascii="Times New Roman" w:hAnsi="Times New Roman"/>
          <w:szCs w:val="24"/>
          <w:lang w:val="fr-BE"/>
        </w:rPr>
        <w:t xml:space="preserve">, (Ed), </w:t>
      </w:r>
      <w:r w:rsidRPr="00486F50">
        <w:rPr>
          <w:rFonts w:ascii="Times New Roman" w:hAnsi="Times New Roman"/>
          <w:i/>
          <w:iCs/>
          <w:szCs w:val="24"/>
          <w:lang w:val="fr-BE"/>
        </w:rPr>
        <w:t>La psychologie sociale</w:t>
      </w:r>
      <w:r w:rsidRPr="00486F50">
        <w:rPr>
          <w:rFonts w:ascii="Times New Roman" w:hAnsi="Times New Roman"/>
          <w:szCs w:val="24"/>
          <w:lang w:val="fr-BE"/>
        </w:rPr>
        <w:t>, Paris, PUF.</w:t>
      </w:r>
    </w:p>
    <w:p w:rsidR="007368EB" w:rsidRDefault="00AA27A3" w:rsidP="00486F50">
      <w:pPr>
        <w:overflowPunct/>
        <w:autoSpaceDE/>
        <w:autoSpaceDN/>
        <w:adjustRightInd/>
        <w:ind w:left="709" w:hanging="709"/>
        <w:jc w:val="left"/>
        <w:textAlignment w:val="auto"/>
      </w:pPr>
      <w:r>
        <w:rPr>
          <w:lang w:val="en-US"/>
        </w:rPr>
        <w:t>Novak, J. (</w:t>
      </w:r>
      <w:r w:rsidR="007368EB" w:rsidRPr="007368EB">
        <w:rPr>
          <w:lang w:val="en-US"/>
        </w:rPr>
        <w:t>1998</w:t>
      </w:r>
      <w:r>
        <w:rPr>
          <w:lang w:val="en-US"/>
        </w:rPr>
        <w:t>)</w:t>
      </w:r>
      <w:r w:rsidR="007368EB" w:rsidRPr="007368EB">
        <w:rPr>
          <w:lang w:val="en-US"/>
        </w:rPr>
        <w:t xml:space="preserve">. </w:t>
      </w:r>
      <w:r w:rsidR="007368EB" w:rsidRPr="007368EB">
        <w:rPr>
          <w:i/>
          <w:iCs/>
          <w:lang w:val="en-US"/>
        </w:rPr>
        <w:t>Learning, Creating , and Using Knowledge: Concept maps as facilitative tools for schools and corporations</w:t>
      </w:r>
      <w:r w:rsidR="007368EB" w:rsidRPr="007368EB">
        <w:rPr>
          <w:lang w:val="en-US"/>
        </w:rPr>
        <w:t xml:space="preserve">. </w:t>
      </w:r>
      <w:r w:rsidR="007368EB">
        <w:t>Mahwah, N.J.: Lawrence Erlbaum &amp; Assoc.</w:t>
      </w:r>
    </w:p>
    <w:p w:rsidR="0028311A" w:rsidRDefault="0028311A" w:rsidP="00486F50">
      <w:pPr>
        <w:overflowPunct/>
        <w:autoSpaceDE/>
        <w:autoSpaceDN/>
        <w:adjustRightInd/>
        <w:ind w:left="709" w:hanging="709"/>
        <w:jc w:val="left"/>
        <w:textAlignment w:val="auto"/>
        <w:rPr>
          <w:rStyle w:val="reference-text"/>
        </w:rPr>
      </w:pPr>
      <w:r>
        <w:rPr>
          <w:rStyle w:val="reference-text"/>
        </w:rPr>
        <w:t xml:space="preserve">Piaget, J. (1926), </w:t>
      </w:r>
      <w:r>
        <w:rPr>
          <w:rStyle w:val="reference-text"/>
          <w:i/>
          <w:iCs/>
        </w:rPr>
        <w:t>La représentation du monde chez l'enfant</w:t>
      </w:r>
      <w:r>
        <w:rPr>
          <w:rStyle w:val="reference-text"/>
        </w:rPr>
        <w:t>, Paris, PUF.</w:t>
      </w:r>
    </w:p>
    <w:p w:rsidR="00486F50" w:rsidRDefault="00486F50" w:rsidP="00486F50">
      <w:pPr>
        <w:overflowPunct/>
        <w:autoSpaceDE/>
        <w:autoSpaceDN/>
        <w:adjustRightInd/>
        <w:ind w:left="709" w:hanging="709"/>
        <w:jc w:val="left"/>
        <w:textAlignment w:val="auto"/>
        <w:rPr>
          <w:rStyle w:val="reference-text"/>
        </w:rPr>
      </w:pPr>
      <w:r>
        <w:rPr>
          <w:rStyle w:val="reference-text"/>
        </w:rPr>
        <w:t xml:space="preserve">Piaget, J. (1950), </w:t>
      </w:r>
      <w:r>
        <w:rPr>
          <w:rStyle w:val="reference-text"/>
          <w:i/>
          <w:iCs/>
        </w:rPr>
        <w:t>Introduction à l'épistémologie génétique</w:t>
      </w:r>
      <w:r>
        <w:rPr>
          <w:rStyle w:val="reference-text"/>
        </w:rPr>
        <w:t>. Paris, PUF</w:t>
      </w:r>
    </w:p>
    <w:p w:rsidR="00486F50" w:rsidRDefault="00486F50" w:rsidP="005E3F7D">
      <w:pPr>
        <w:overflowPunct/>
        <w:autoSpaceDE/>
        <w:autoSpaceDN/>
        <w:adjustRightInd/>
        <w:ind w:left="709" w:hanging="709"/>
        <w:jc w:val="left"/>
        <w:textAlignment w:val="auto"/>
        <w:rPr>
          <w:rStyle w:val="reference-text"/>
        </w:rPr>
      </w:pPr>
      <w:r>
        <w:rPr>
          <w:rStyle w:val="reference-text"/>
        </w:rPr>
        <w:t xml:space="preserve">Piaget, J. (1962).  </w:t>
      </w:r>
      <w:r>
        <w:rPr>
          <w:rStyle w:val="reference-text"/>
          <w:i/>
          <w:iCs/>
        </w:rPr>
        <w:t>Le rôle de l'imitation dans la formation de la représentation</w:t>
      </w:r>
      <w:r>
        <w:rPr>
          <w:rStyle w:val="reference-text"/>
        </w:rPr>
        <w:t xml:space="preserve">, In </w:t>
      </w:r>
      <w:r>
        <w:rPr>
          <w:rStyle w:val="reference-text"/>
          <w:i/>
          <w:iCs/>
        </w:rPr>
        <w:t>Évolution psychiatrique</w:t>
      </w:r>
      <w:r>
        <w:rPr>
          <w:rStyle w:val="reference-text"/>
        </w:rPr>
        <w:t xml:space="preserve">, </w:t>
      </w:r>
      <w:r>
        <w:rPr>
          <w:rStyle w:val="nowrap"/>
        </w:rPr>
        <w:t>p. 27</w:t>
      </w:r>
      <w:r>
        <w:rPr>
          <w:rStyle w:val="reference-text"/>
        </w:rPr>
        <w:t>, p. 141-150.</w:t>
      </w:r>
    </w:p>
    <w:p w:rsidR="003D420D" w:rsidRPr="003D420D" w:rsidRDefault="003D420D" w:rsidP="005E3F7D">
      <w:pPr>
        <w:overflowPunct/>
        <w:autoSpaceDE/>
        <w:autoSpaceDN/>
        <w:adjustRightInd/>
        <w:ind w:left="709" w:hanging="709"/>
        <w:jc w:val="left"/>
        <w:textAlignment w:val="auto"/>
        <w:rPr>
          <w:rStyle w:val="reference-text"/>
          <w:iCs/>
          <w:lang w:val="es-ES"/>
        </w:rPr>
      </w:pPr>
      <w:r w:rsidRPr="003D420D">
        <w:rPr>
          <w:rStyle w:val="reference-text"/>
          <w:iCs/>
          <w:lang w:val="es-ES"/>
        </w:rPr>
        <w:t>Quino (1963). Mund</w:t>
      </w:r>
      <w:r w:rsidR="009F529D" w:rsidRPr="003D420D">
        <w:rPr>
          <w:rStyle w:val="reference-text"/>
          <w:iCs/>
          <w:lang w:val="es-ES"/>
        </w:rPr>
        <w:t>o Quino. Editorial Lumen, Barcelona</w:t>
      </w:r>
    </w:p>
    <w:p w:rsidR="0056159C" w:rsidRPr="003D420D" w:rsidRDefault="0056159C" w:rsidP="005E3F7D">
      <w:pPr>
        <w:overflowPunct/>
        <w:autoSpaceDE/>
        <w:autoSpaceDN/>
        <w:adjustRightInd/>
        <w:ind w:left="709" w:hanging="709"/>
        <w:jc w:val="left"/>
        <w:textAlignment w:val="auto"/>
        <w:rPr>
          <w:rStyle w:val="reference-text"/>
          <w:iCs/>
        </w:rPr>
      </w:pPr>
      <w:r w:rsidRPr="00EE427C">
        <w:rPr>
          <w:rStyle w:val="reference-text"/>
          <w:iCs/>
          <w:lang w:val="fr-BE"/>
        </w:rPr>
        <w:t xml:space="preserve">von Frisch, K. (1960). </w:t>
      </w:r>
      <w:r w:rsidRPr="003D420D">
        <w:rPr>
          <w:rStyle w:val="reference-text"/>
        </w:rPr>
        <w:t>L'homme et le monde vivant : une biologie moderne à la portée de tous</w:t>
      </w:r>
      <w:r w:rsidRPr="003D420D">
        <w:rPr>
          <w:rStyle w:val="reference-text"/>
          <w:iCs/>
        </w:rPr>
        <w:t xml:space="preserve"> </w:t>
      </w:r>
      <w:hyperlink r:id="rId14" w:tooltip="Albin Michel (éditeur)" w:history="1">
        <w:r w:rsidRPr="003D420D">
          <w:rPr>
            <w:rStyle w:val="reference-text"/>
            <w:iCs/>
          </w:rPr>
          <w:t>Albin Michel</w:t>
        </w:r>
      </w:hyperlink>
      <w:r w:rsidRPr="003D420D">
        <w:rPr>
          <w:rStyle w:val="reference-text"/>
          <w:iCs/>
        </w:rPr>
        <w:t>, coll. « </w:t>
      </w:r>
      <w:hyperlink r:id="rId15" w:tooltip="Sciences d'aujourd'hui" w:history="1">
        <w:r w:rsidRPr="003D420D">
          <w:rPr>
            <w:rStyle w:val="reference-text"/>
            <w:iCs/>
          </w:rPr>
          <w:t>Sciences d'aujourd'hui</w:t>
        </w:r>
      </w:hyperlink>
      <w:r w:rsidRPr="003D420D">
        <w:rPr>
          <w:rStyle w:val="reference-text"/>
          <w:iCs/>
        </w:rPr>
        <w:t xml:space="preserve"> », 1960, 451 p. </w:t>
      </w:r>
    </w:p>
    <w:p w:rsidR="00A8463B" w:rsidRPr="003D420D" w:rsidRDefault="00A8463B" w:rsidP="005E3F7D">
      <w:pPr>
        <w:overflowPunct/>
        <w:autoSpaceDE/>
        <w:autoSpaceDN/>
        <w:adjustRightInd/>
        <w:ind w:left="709" w:hanging="709"/>
        <w:jc w:val="left"/>
        <w:textAlignment w:val="auto"/>
        <w:rPr>
          <w:rStyle w:val="reference-text"/>
          <w:iCs/>
        </w:rPr>
      </w:pPr>
      <w:r w:rsidRPr="003D420D">
        <w:rPr>
          <w:rStyle w:val="reference-text"/>
          <w:iCs/>
        </w:rPr>
        <w:t>von Uexküll</w:t>
      </w:r>
      <w:r w:rsidR="0056159C" w:rsidRPr="003D420D">
        <w:rPr>
          <w:rStyle w:val="reference-text"/>
          <w:iCs/>
        </w:rPr>
        <w:t>, J.</w:t>
      </w:r>
      <w:r w:rsidRPr="003D420D">
        <w:rPr>
          <w:rStyle w:val="reference-text"/>
          <w:iCs/>
        </w:rPr>
        <w:t xml:space="preserve"> (2004),Mondes animaux et monde humain. Suiv</w:t>
      </w:r>
      <w:r w:rsidR="00AA27A3">
        <w:rPr>
          <w:rStyle w:val="reference-text"/>
          <w:iCs/>
        </w:rPr>
        <w:t>i de La théorie de la significa</w:t>
      </w:r>
      <w:r w:rsidRPr="003D420D">
        <w:rPr>
          <w:rStyle w:val="reference-text"/>
          <w:iCs/>
        </w:rPr>
        <w:t>tion, Paris : Pocket, Agora, 188 p.</w:t>
      </w:r>
    </w:p>
    <w:p w:rsidR="00A8463B" w:rsidRPr="003D420D" w:rsidRDefault="00A8463B" w:rsidP="005E3F7D">
      <w:pPr>
        <w:overflowPunct/>
        <w:autoSpaceDE/>
        <w:autoSpaceDN/>
        <w:adjustRightInd/>
        <w:ind w:left="709" w:hanging="709"/>
        <w:jc w:val="left"/>
        <w:textAlignment w:val="auto"/>
        <w:rPr>
          <w:rStyle w:val="reference-text"/>
          <w:iCs/>
        </w:rPr>
      </w:pPr>
      <w:r w:rsidRPr="003D420D">
        <w:rPr>
          <w:rStyle w:val="reference-text"/>
          <w:iCs/>
        </w:rPr>
        <w:t>von Uexküll</w:t>
      </w:r>
      <w:r w:rsidR="0056159C" w:rsidRPr="003D420D">
        <w:rPr>
          <w:rStyle w:val="reference-text"/>
          <w:iCs/>
        </w:rPr>
        <w:t>, J.</w:t>
      </w:r>
      <w:r w:rsidRPr="003D420D">
        <w:rPr>
          <w:rStyle w:val="reference-text"/>
          <w:iCs/>
        </w:rPr>
        <w:t xml:space="preserve"> (2010),Milieu animal et milieu humain, Paris : Payot &amp; Rivages, 176 p.</w:t>
      </w:r>
    </w:p>
    <w:p w:rsidR="0056159C" w:rsidRDefault="0056159C" w:rsidP="005E3F7D">
      <w:pPr>
        <w:overflowPunct/>
        <w:autoSpaceDE/>
        <w:autoSpaceDN/>
        <w:adjustRightInd/>
        <w:ind w:left="709" w:hanging="709"/>
        <w:jc w:val="left"/>
        <w:textAlignment w:val="auto"/>
        <w:rPr>
          <w:rStyle w:val="reference-text"/>
          <w:i/>
          <w:iCs/>
        </w:rPr>
      </w:pPr>
    </w:p>
    <w:p w:rsidR="00DC7E1B" w:rsidRDefault="00DC7E1B" w:rsidP="005E3F7D">
      <w:pPr>
        <w:overflowPunct/>
        <w:autoSpaceDE/>
        <w:autoSpaceDN/>
        <w:adjustRightInd/>
        <w:ind w:left="709" w:hanging="709"/>
        <w:jc w:val="left"/>
        <w:textAlignment w:val="auto"/>
        <w:rPr>
          <w:rStyle w:val="reference-text"/>
          <w:i/>
          <w:iCs/>
        </w:rPr>
      </w:pPr>
    </w:p>
    <w:p w:rsidR="00B155A5" w:rsidRDefault="00B155A5" w:rsidP="005E3F7D">
      <w:pPr>
        <w:overflowPunct/>
        <w:autoSpaceDE/>
        <w:autoSpaceDN/>
        <w:adjustRightInd/>
        <w:ind w:left="709" w:hanging="709"/>
        <w:jc w:val="left"/>
        <w:textAlignment w:val="auto"/>
        <w:rPr>
          <w:rStyle w:val="reference-text"/>
          <w:i/>
          <w:iCs/>
        </w:rPr>
      </w:pPr>
    </w:p>
    <w:p w:rsidR="00AA27A3" w:rsidRDefault="00AA27A3" w:rsidP="00B155A5">
      <w:pPr>
        <w:overflowPunct/>
        <w:autoSpaceDE/>
        <w:autoSpaceDN/>
        <w:adjustRightInd/>
        <w:jc w:val="left"/>
        <w:textAlignment w:val="auto"/>
        <w:rPr>
          <w:rStyle w:val="reference-text"/>
          <w:i/>
          <w:iCs/>
        </w:rPr>
      </w:pPr>
      <w:r>
        <w:rPr>
          <w:rStyle w:val="reference-text"/>
          <w:i/>
          <w:iCs/>
        </w:rPr>
        <w:t>Ce document se veut une</w:t>
      </w:r>
      <w:r w:rsidR="00DC7E1B">
        <w:rPr>
          <w:rStyle w:val="reference-text"/>
          <w:i/>
          <w:iCs/>
        </w:rPr>
        <w:t xml:space="preserve"> </w:t>
      </w:r>
      <w:r>
        <w:rPr>
          <w:rStyle w:val="reference-text"/>
          <w:i/>
          <w:iCs/>
        </w:rPr>
        <w:t xml:space="preserve">publication « liquide » (expression de </w:t>
      </w:r>
      <w:r w:rsidR="00DC7E1B">
        <w:rPr>
          <w:rStyle w:val="reference-text"/>
          <w:i/>
          <w:iCs/>
        </w:rPr>
        <w:t>B</w:t>
      </w:r>
      <w:r>
        <w:rPr>
          <w:rStyle w:val="reference-text"/>
          <w:i/>
          <w:iCs/>
        </w:rPr>
        <w:t>ernard Rentier, recteur hon</w:t>
      </w:r>
      <w:r w:rsidR="00DC7E1B">
        <w:rPr>
          <w:rStyle w:val="reference-text"/>
          <w:i/>
          <w:iCs/>
        </w:rPr>
        <w:t>oraire d</w:t>
      </w:r>
      <w:r>
        <w:rPr>
          <w:rStyle w:val="reference-text"/>
          <w:i/>
          <w:iCs/>
        </w:rPr>
        <w:t>e</w:t>
      </w:r>
      <w:r w:rsidR="00DC7E1B">
        <w:rPr>
          <w:rStyle w:val="reference-text"/>
          <w:i/>
          <w:iCs/>
        </w:rPr>
        <w:t xml:space="preserve"> </w:t>
      </w:r>
      <w:r>
        <w:rPr>
          <w:rStyle w:val="reference-text"/>
          <w:i/>
          <w:iCs/>
        </w:rPr>
        <w:t>l’</w:t>
      </w:r>
      <w:r w:rsidR="00DC7E1B">
        <w:rPr>
          <w:rStyle w:val="reference-text"/>
          <w:i/>
          <w:iCs/>
        </w:rPr>
        <w:t>U</w:t>
      </w:r>
      <w:r>
        <w:rPr>
          <w:rStyle w:val="reference-text"/>
          <w:i/>
          <w:iCs/>
        </w:rPr>
        <w:t>nive</w:t>
      </w:r>
      <w:r w:rsidR="00DC7E1B">
        <w:rPr>
          <w:rStyle w:val="reference-text"/>
          <w:i/>
          <w:iCs/>
        </w:rPr>
        <w:t>r</w:t>
      </w:r>
      <w:r>
        <w:rPr>
          <w:rStyle w:val="reference-text"/>
          <w:i/>
          <w:iCs/>
        </w:rPr>
        <w:t>sité de Liège)</w:t>
      </w:r>
      <w:r w:rsidR="00DC7E1B">
        <w:rPr>
          <w:rStyle w:val="reference-text"/>
          <w:i/>
          <w:iCs/>
        </w:rPr>
        <w:t xml:space="preserve"> : elle est destinée à être </w:t>
      </w:r>
      <w:r w:rsidR="00B155A5">
        <w:rPr>
          <w:rStyle w:val="reference-text"/>
          <w:i/>
          <w:iCs/>
        </w:rPr>
        <w:t>« </w:t>
      </w:r>
      <w:r w:rsidR="00DC7E1B">
        <w:rPr>
          <w:rStyle w:val="reference-text"/>
          <w:i/>
          <w:iCs/>
        </w:rPr>
        <w:t>augmentée</w:t>
      </w:r>
      <w:r w:rsidR="00B155A5">
        <w:rPr>
          <w:rStyle w:val="reference-text"/>
          <w:i/>
          <w:iCs/>
        </w:rPr>
        <w:t xml:space="preserve"> ou modifiée</w:t>
      </w:r>
      <w:r w:rsidR="00DC7E1B">
        <w:rPr>
          <w:rStyle w:val="reference-text"/>
          <w:i/>
          <w:iCs/>
        </w:rPr>
        <w:t xml:space="preserve"> » par l’auteur lui-même ou par d’autres avec son accord. </w:t>
      </w:r>
    </w:p>
    <w:p w:rsidR="00DC7E1B" w:rsidRDefault="00DC7E1B" w:rsidP="005E3F7D">
      <w:pPr>
        <w:overflowPunct/>
        <w:autoSpaceDE/>
        <w:autoSpaceDN/>
        <w:adjustRightInd/>
        <w:ind w:left="709" w:hanging="709"/>
        <w:jc w:val="left"/>
        <w:textAlignment w:val="auto"/>
        <w:rPr>
          <w:rStyle w:val="reference-text"/>
          <w:i/>
          <w:iCs/>
        </w:rPr>
      </w:pPr>
      <w:r>
        <w:rPr>
          <w:rStyle w:val="reference-text"/>
          <w:i/>
          <w:iCs/>
        </w:rPr>
        <w:t xml:space="preserve">Elle est accessible gratuitement sur le site </w:t>
      </w:r>
      <w:hyperlink r:id="rId16" w:history="1">
        <w:r w:rsidRPr="00380F26">
          <w:rPr>
            <w:rStyle w:val="Lienhypertexte"/>
            <w:i/>
            <w:iCs/>
          </w:rPr>
          <w:t>https://orbi.uliege.be</w:t>
        </w:r>
      </w:hyperlink>
      <w:r>
        <w:rPr>
          <w:rStyle w:val="reference-text"/>
          <w:i/>
          <w:iCs/>
        </w:rPr>
        <w:t xml:space="preserve"> </w:t>
      </w:r>
    </w:p>
    <w:p w:rsidR="00DC7E1B" w:rsidRDefault="00DC7E1B" w:rsidP="005E3F7D">
      <w:pPr>
        <w:overflowPunct/>
        <w:autoSpaceDE/>
        <w:autoSpaceDN/>
        <w:adjustRightInd/>
        <w:ind w:left="709" w:hanging="709"/>
        <w:jc w:val="left"/>
        <w:textAlignment w:val="auto"/>
        <w:rPr>
          <w:rStyle w:val="reference-text"/>
          <w:i/>
          <w:iCs/>
        </w:rPr>
      </w:pPr>
      <w:r>
        <w:rPr>
          <w:rStyle w:val="reference-text"/>
          <w:i/>
          <w:iCs/>
        </w:rPr>
        <w:t xml:space="preserve">                                                                    puis introduire Leclercq Dieudonné</w:t>
      </w:r>
    </w:p>
    <w:p w:rsidR="00B155A5" w:rsidRDefault="00B155A5" w:rsidP="005E3F7D">
      <w:pPr>
        <w:overflowPunct/>
        <w:autoSpaceDE/>
        <w:autoSpaceDN/>
        <w:adjustRightInd/>
        <w:ind w:left="709" w:hanging="709"/>
        <w:jc w:val="left"/>
        <w:textAlignment w:val="auto"/>
        <w:rPr>
          <w:rStyle w:val="reference-text"/>
          <w:i/>
          <w:iCs/>
        </w:rPr>
      </w:pPr>
    </w:p>
    <w:p w:rsidR="00B155A5" w:rsidRPr="0056159C" w:rsidRDefault="00B155A5" w:rsidP="005E3F7D">
      <w:pPr>
        <w:overflowPunct/>
        <w:autoSpaceDE/>
        <w:autoSpaceDN/>
        <w:adjustRightInd/>
        <w:ind w:left="709" w:hanging="709"/>
        <w:jc w:val="left"/>
        <w:textAlignment w:val="auto"/>
        <w:rPr>
          <w:rStyle w:val="reference-text"/>
          <w:i/>
          <w:iCs/>
        </w:rPr>
      </w:pPr>
      <w:r>
        <w:rPr>
          <w:rStyle w:val="reference-text"/>
          <w:i/>
          <w:iCs/>
        </w:rPr>
        <w:t>Les publications apparaissent par ordre de récence (donc commençant par 2020).</w:t>
      </w:r>
    </w:p>
    <w:sectPr w:rsidR="00B155A5" w:rsidRPr="0056159C" w:rsidSect="003D420D">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F1" w:rsidRDefault="004110F1" w:rsidP="00ED78E4">
      <w:r>
        <w:separator/>
      </w:r>
    </w:p>
  </w:endnote>
  <w:endnote w:type="continuationSeparator" w:id="0">
    <w:p w:rsidR="004110F1" w:rsidRDefault="004110F1" w:rsidP="00ED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me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9D" w:rsidRDefault="009F52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888252289"/>
      <w:docPartObj>
        <w:docPartGallery w:val="Page Numbers (Bottom of Page)"/>
        <w:docPartUnique/>
      </w:docPartObj>
    </w:sdtPr>
    <w:sdtEndPr>
      <w:rPr>
        <w:sz w:val="24"/>
      </w:rPr>
    </w:sdtEndPr>
    <w:sdtContent>
      <w:p w:rsidR="005A68E7" w:rsidRPr="009F529D" w:rsidRDefault="009F529D" w:rsidP="009F529D">
        <w:pPr>
          <w:pStyle w:val="Pieddepage"/>
          <w:jc w:val="right"/>
        </w:pPr>
        <w:r w:rsidRPr="009F529D">
          <w:rPr>
            <w:sz w:val="18"/>
          </w:rPr>
          <w:t>D. Leclercq (2020) Les représentations mentales. Proposition d’une définition à géométrie variable</w:t>
        </w:r>
        <w:r>
          <w:rPr>
            <w:sz w:val="18"/>
          </w:rPr>
          <w:t xml:space="preserve">  Université de Liège   </w:t>
        </w:r>
        <w:r w:rsidR="005A68E7">
          <w:fldChar w:fldCharType="begin"/>
        </w:r>
        <w:r w:rsidR="005A68E7">
          <w:instrText>PAGE   \* MERGEFORMAT</w:instrText>
        </w:r>
        <w:r w:rsidR="005A68E7">
          <w:fldChar w:fldCharType="separate"/>
        </w:r>
        <w:r w:rsidR="00A260FC">
          <w:rPr>
            <w:noProof/>
          </w:rPr>
          <w:t>4</w:t>
        </w:r>
        <w:r w:rsidR="005A68E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9D" w:rsidRDefault="009F52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F1" w:rsidRDefault="004110F1" w:rsidP="00ED78E4">
      <w:r>
        <w:separator/>
      </w:r>
    </w:p>
  </w:footnote>
  <w:footnote w:type="continuationSeparator" w:id="0">
    <w:p w:rsidR="004110F1" w:rsidRDefault="004110F1" w:rsidP="00ED78E4">
      <w:r>
        <w:continuationSeparator/>
      </w:r>
    </w:p>
  </w:footnote>
  <w:footnote w:id="1">
    <w:p w:rsidR="005A68E7" w:rsidRDefault="005A68E7" w:rsidP="003D420D">
      <w:pPr>
        <w:pStyle w:val="Notedebasdepage"/>
        <w:spacing w:after="0"/>
        <w:rPr>
          <w:rFonts w:ascii="helmet" w:hAnsi="helmet"/>
        </w:rPr>
      </w:pPr>
      <w:r>
        <w:rPr>
          <w:rStyle w:val="Appelnotedebasdep"/>
        </w:rPr>
        <w:footnoteRef/>
      </w:r>
      <w:r>
        <w:t xml:space="preserve"> Voir aussi </w:t>
      </w:r>
      <w:hyperlink r:id="rId1" w:anchor="initiale" w:history="1">
        <w:r w:rsidRPr="001B5887">
          <w:rPr>
            <w:rStyle w:val="Lienhypertexte"/>
            <w:rFonts w:ascii="helmet" w:hAnsi="helmet"/>
          </w:rPr>
          <w:t>http://daimon.free.fr/mediactrices/representations.html#initiale</w:t>
        </w:r>
      </w:hyperlink>
    </w:p>
    <w:p w:rsidR="005A68E7" w:rsidRPr="00D04DC3" w:rsidRDefault="005A68E7" w:rsidP="009F529D">
      <w:pPr>
        <w:overflowPunct/>
        <w:autoSpaceDE/>
        <w:autoSpaceDN/>
        <w:adjustRightInd/>
        <w:jc w:val="left"/>
        <w:textAlignment w:val="auto"/>
      </w:pPr>
      <w:r>
        <w:t xml:space="preserve">et </w:t>
      </w:r>
      <w:hyperlink r:id="rId2" w:history="1">
        <w:r w:rsidRPr="001B5887">
          <w:rPr>
            <w:rStyle w:val="Lienhypertexte"/>
          </w:rPr>
          <w:t>https://fr.wikipedia.org/wiki/Représentation_sociale</w:t>
        </w:r>
      </w:hyperlink>
      <w:r w:rsidR="009F529D">
        <w:rPr>
          <w:rStyle w:val="Lienhypertex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9D" w:rsidRDefault="009F52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9D" w:rsidRDefault="009F52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9D" w:rsidRDefault="009F52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E4"/>
    <w:rsid w:val="00012942"/>
    <w:rsid w:val="00043CAF"/>
    <w:rsid w:val="0007369E"/>
    <w:rsid w:val="0007620C"/>
    <w:rsid w:val="000764BD"/>
    <w:rsid w:val="00143030"/>
    <w:rsid w:val="0028311A"/>
    <w:rsid w:val="003D420D"/>
    <w:rsid w:val="004110F1"/>
    <w:rsid w:val="0047160A"/>
    <w:rsid w:val="00486F50"/>
    <w:rsid w:val="004C2059"/>
    <w:rsid w:val="004D18C9"/>
    <w:rsid w:val="0056159C"/>
    <w:rsid w:val="005A37A9"/>
    <w:rsid w:val="005A68E7"/>
    <w:rsid w:val="005E3F7D"/>
    <w:rsid w:val="005E6BBE"/>
    <w:rsid w:val="00626DCF"/>
    <w:rsid w:val="00677D3C"/>
    <w:rsid w:val="006A559F"/>
    <w:rsid w:val="007368EB"/>
    <w:rsid w:val="007D58E1"/>
    <w:rsid w:val="008A0F1A"/>
    <w:rsid w:val="008E0024"/>
    <w:rsid w:val="009747E1"/>
    <w:rsid w:val="00984ADC"/>
    <w:rsid w:val="009B173C"/>
    <w:rsid w:val="009B7798"/>
    <w:rsid w:val="009F529D"/>
    <w:rsid w:val="00A260FC"/>
    <w:rsid w:val="00A8463B"/>
    <w:rsid w:val="00A93073"/>
    <w:rsid w:val="00AA27A3"/>
    <w:rsid w:val="00B155A5"/>
    <w:rsid w:val="00B25880"/>
    <w:rsid w:val="00B91845"/>
    <w:rsid w:val="00CD28B9"/>
    <w:rsid w:val="00D1550C"/>
    <w:rsid w:val="00D24AC4"/>
    <w:rsid w:val="00DC7E1B"/>
    <w:rsid w:val="00DD1460"/>
    <w:rsid w:val="00E16EE8"/>
    <w:rsid w:val="00E35C6E"/>
    <w:rsid w:val="00ED78E4"/>
    <w:rsid w:val="00EE427C"/>
    <w:rsid w:val="00F3431A"/>
    <w:rsid w:val="00F428A0"/>
    <w:rsid w:val="00F75306"/>
    <w:rsid w:val="00FC36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CFFD"/>
  <w15:docId w15:val="{0D546AE2-7821-4689-AD6A-5B9C732D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E4"/>
    <w:pPr>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fr-FR" w:eastAsia="fr-BE"/>
    </w:rPr>
  </w:style>
  <w:style w:type="paragraph" w:styleId="Titre2">
    <w:name w:val="heading 2"/>
    <w:basedOn w:val="Normal"/>
    <w:link w:val="Titre2Car"/>
    <w:uiPriority w:val="9"/>
    <w:qFormat/>
    <w:rsid w:val="007368EB"/>
    <w:pPr>
      <w:overflowPunct/>
      <w:autoSpaceDE/>
      <w:autoSpaceDN/>
      <w:adjustRightInd/>
      <w:spacing w:before="100" w:beforeAutospacing="1" w:after="100" w:afterAutospacing="1"/>
      <w:jc w:val="left"/>
      <w:textAlignment w:val="auto"/>
      <w:outlineLvl w:val="1"/>
    </w:pPr>
    <w:rPr>
      <w:rFonts w:ascii="Times New Roman" w:hAnsi="Times New Roman"/>
      <w:b/>
      <w:bCs/>
      <w:sz w:val="36"/>
      <w:szCs w:val="36"/>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link w:val="NotedebasdepageCar"/>
    <w:semiHidden/>
    <w:rsid w:val="00ED78E4"/>
    <w:pPr>
      <w:tabs>
        <w:tab w:val="left" w:pos="288"/>
      </w:tabs>
      <w:overflowPunct w:val="0"/>
      <w:autoSpaceDE w:val="0"/>
      <w:autoSpaceDN w:val="0"/>
      <w:adjustRightInd w:val="0"/>
      <w:spacing w:after="120" w:line="180" w:lineRule="exact"/>
      <w:ind w:left="288" w:hanging="288"/>
      <w:jc w:val="both"/>
      <w:textAlignment w:val="baseline"/>
    </w:pPr>
    <w:rPr>
      <w:rFonts w:ascii="Tms Rmn" w:eastAsia="Times New Roman" w:hAnsi="Tms Rmn" w:cs="Times New Roman"/>
      <w:sz w:val="20"/>
      <w:szCs w:val="20"/>
      <w:lang w:val="fr-FR" w:eastAsia="fr-BE"/>
    </w:rPr>
  </w:style>
  <w:style w:type="character" w:customStyle="1" w:styleId="NotedebasdepageCar">
    <w:name w:val="Note de bas de page Car"/>
    <w:basedOn w:val="Policepardfaut"/>
    <w:link w:val="Notedebasdepage"/>
    <w:semiHidden/>
    <w:rsid w:val="00ED78E4"/>
    <w:rPr>
      <w:rFonts w:ascii="Tms Rmn" w:eastAsia="Times New Roman" w:hAnsi="Tms Rmn" w:cs="Times New Roman"/>
      <w:sz w:val="20"/>
      <w:szCs w:val="20"/>
      <w:lang w:val="fr-FR" w:eastAsia="fr-BE"/>
    </w:rPr>
  </w:style>
  <w:style w:type="character" w:styleId="Appelnotedebasdep">
    <w:name w:val="footnote reference"/>
    <w:basedOn w:val="Policepardfaut"/>
    <w:semiHidden/>
    <w:rsid w:val="00ED78E4"/>
    <w:rPr>
      <w:vertAlign w:val="superscript"/>
    </w:rPr>
  </w:style>
  <w:style w:type="character" w:styleId="Lienhypertexte">
    <w:name w:val="Hyperlink"/>
    <w:basedOn w:val="Policepardfaut"/>
    <w:unhideWhenUsed/>
    <w:rsid w:val="00ED78E4"/>
    <w:rPr>
      <w:color w:val="0000FF"/>
      <w:u w:val="single"/>
    </w:rPr>
  </w:style>
  <w:style w:type="paragraph" w:styleId="NormalWeb">
    <w:name w:val="Normal (Web)"/>
    <w:basedOn w:val="Normal"/>
    <w:uiPriority w:val="99"/>
    <w:unhideWhenUsed/>
    <w:rsid w:val="00ED78E4"/>
    <w:pPr>
      <w:overflowPunct/>
      <w:autoSpaceDE/>
      <w:autoSpaceDN/>
      <w:adjustRightInd/>
      <w:spacing w:before="100" w:beforeAutospacing="1" w:after="100" w:afterAutospacing="1"/>
      <w:jc w:val="left"/>
      <w:textAlignment w:val="auto"/>
    </w:pPr>
    <w:rPr>
      <w:rFonts w:ascii="Times New Roman" w:hAnsi="Times New Roman"/>
      <w:szCs w:val="24"/>
      <w:lang w:val="fr-BE"/>
    </w:rPr>
  </w:style>
  <w:style w:type="character" w:styleId="Lienhypertextesuivivisit">
    <w:name w:val="FollowedHyperlink"/>
    <w:basedOn w:val="Policepardfaut"/>
    <w:uiPriority w:val="99"/>
    <w:semiHidden/>
    <w:unhideWhenUsed/>
    <w:rsid w:val="00ED78E4"/>
    <w:rPr>
      <w:color w:val="800080" w:themeColor="followedHyperlink"/>
      <w:u w:val="single"/>
    </w:rPr>
  </w:style>
  <w:style w:type="paragraph" w:styleId="En-tte">
    <w:name w:val="header"/>
    <w:basedOn w:val="Normal"/>
    <w:link w:val="En-tteCar"/>
    <w:uiPriority w:val="99"/>
    <w:unhideWhenUsed/>
    <w:rsid w:val="00FC36A5"/>
    <w:pPr>
      <w:tabs>
        <w:tab w:val="center" w:pos="4536"/>
        <w:tab w:val="right" w:pos="9072"/>
      </w:tabs>
    </w:pPr>
  </w:style>
  <w:style w:type="character" w:customStyle="1" w:styleId="En-tteCar">
    <w:name w:val="En-tête Car"/>
    <w:basedOn w:val="Policepardfaut"/>
    <w:link w:val="En-tte"/>
    <w:uiPriority w:val="99"/>
    <w:rsid w:val="00FC36A5"/>
    <w:rPr>
      <w:rFonts w:ascii="Tms Rmn" w:eastAsia="Times New Roman" w:hAnsi="Tms Rmn" w:cs="Times New Roman"/>
      <w:sz w:val="24"/>
      <w:szCs w:val="20"/>
      <w:lang w:val="fr-FR" w:eastAsia="fr-BE"/>
    </w:rPr>
  </w:style>
  <w:style w:type="paragraph" w:styleId="Pieddepage">
    <w:name w:val="footer"/>
    <w:basedOn w:val="Normal"/>
    <w:link w:val="PieddepageCar"/>
    <w:uiPriority w:val="99"/>
    <w:unhideWhenUsed/>
    <w:rsid w:val="00FC36A5"/>
    <w:pPr>
      <w:tabs>
        <w:tab w:val="center" w:pos="4536"/>
        <w:tab w:val="right" w:pos="9072"/>
      </w:tabs>
    </w:pPr>
  </w:style>
  <w:style w:type="character" w:customStyle="1" w:styleId="PieddepageCar">
    <w:name w:val="Pied de page Car"/>
    <w:basedOn w:val="Policepardfaut"/>
    <w:link w:val="Pieddepage"/>
    <w:uiPriority w:val="99"/>
    <w:rsid w:val="00FC36A5"/>
    <w:rPr>
      <w:rFonts w:ascii="Tms Rmn" w:eastAsia="Times New Roman" w:hAnsi="Tms Rmn" w:cs="Times New Roman"/>
      <w:sz w:val="24"/>
      <w:szCs w:val="20"/>
      <w:lang w:val="fr-FR" w:eastAsia="fr-BE"/>
    </w:rPr>
  </w:style>
  <w:style w:type="paragraph" w:styleId="Textedebulles">
    <w:name w:val="Balloon Text"/>
    <w:basedOn w:val="Normal"/>
    <w:link w:val="TextedebullesCar"/>
    <w:uiPriority w:val="99"/>
    <w:semiHidden/>
    <w:unhideWhenUsed/>
    <w:rsid w:val="00143030"/>
    <w:rPr>
      <w:rFonts w:ascii="Tahoma" w:hAnsi="Tahoma" w:cs="Tahoma"/>
      <w:sz w:val="16"/>
      <w:szCs w:val="16"/>
    </w:rPr>
  </w:style>
  <w:style w:type="character" w:customStyle="1" w:styleId="TextedebullesCar">
    <w:name w:val="Texte de bulles Car"/>
    <w:basedOn w:val="Policepardfaut"/>
    <w:link w:val="Textedebulles"/>
    <w:uiPriority w:val="99"/>
    <w:semiHidden/>
    <w:rsid w:val="00143030"/>
    <w:rPr>
      <w:rFonts w:ascii="Tahoma" w:eastAsia="Times New Roman" w:hAnsi="Tahoma" w:cs="Tahoma"/>
      <w:sz w:val="16"/>
      <w:szCs w:val="16"/>
      <w:lang w:val="fr-FR" w:eastAsia="fr-BE"/>
    </w:rPr>
  </w:style>
  <w:style w:type="table" w:styleId="Grilledutableau">
    <w:name w:val="Table Grid"/>
    <w:basedOn w:val="TableauNormal"/>
    <w:uiPriority w:val="59"/>
    <w:rsid w:val="0098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Policepardfaut"/>
    <w:rsid w:val="00486F50"/>
  </w:style>
  <w:style w:type="character" w:customStyle="1" w:styleId="nowrap">
    <w:name w:val="nowrap"/>
    <w:basedOn w:val="Policepardfaut"/>
    <w:rsid w:val="00486F50"/>
  </w:style>
  <w:style w:type="character" w:customStyle="1" w:styleId="ouvrage">
    <w:name w:val="ouvrage"/>
    <w:basedOn w:val="Policepardfaut"/>
    <w:rsid w:val="0056159C"/>
  </w:style>
  <w:style w:type="character" w:customStyle="1" w:styleId="nomauteur">
    <w:name w:val="nom_auteur"/>
    <w:basedOn w:val="Policepardfaut"/>
    <w:rsid w:val="0056159C"/>
  </w:style>
  <w:style w:type="character" w:styleId="CitationHTML">
    <w:name w:val="HTML Cite"/>
    <w:basedOn w:val="Policepardfaut"/>
    <w:uiPriority w:val="99"/>
    <w:semiHidden/>
    <w:unhideWhenUsed/>
    <w:rsid w:val="0056159C"/>
    <w:rPr>
      <w:i/>
      <w:iCs/>
    </w:rPr>
  </w:style>
  <w:style w:type="character" w:customStyle="1" w:styleId="lang-de">
    <w:name w:val="lang-de"/>
    <w:basedOn w:val="Policepardfaut"/>
    <w:rsid w:val="0056159C"/>
  </w:style>
  <w:style w:type="paragraph" w:customStyle="1" w:styleId="somm30">
    <w:name w:val="somm 3 0"/>
    <w:link w:val="somm30Car"/>
    <w:rsid w:val="003D420D"/>
    <w:pPr>
      <w:tabs>
        <w:tab w:val="left" w:pos="432"/>
      </w:tabs>
      <w:spacing w:after="0" w:line="240" w:lineRule="auto"/>
      <w:ind w:left="432" w:hanging="432"/>
      <w:jc w:val="both"/>
    </w:pPr>
    <w:rPr>
      <w:rFonts w:ascii="Tms Rmn" w:eastAsia="Times New Roman" w:hAnsi="Tms Rmn" w:cs="Times New Roman"/>
      <w:sz w:val="24"/>
      <w:szCs w:val="20"/>
      <w:lang w:val="fr-FR" w:eastAsia="fr-FR"/>
    </w:rPr>
  </w:style>
  <w:style w:type="character" w:customStyle="1" w:styleId="somm30Car">
    <w:name w:val="somm 3 0 Car"/>
    <w:link w:val="somm30"/>
    <w:rsid w:val="003D420D"/>
    <w:rPr>
      <w:rFonts w:ascii="Tms Rmn" w:eastAsia="Times New Roman" w:hAnsi="Tms Rmn" w:cs="Times New Roman"/>
      <w:sz w:val="24"/>
      <w:szCs w:val="20"/>
      <w:lang w:val="fr-FR" w:eastAsia="fr-FR"/>
    </w:rPr>
  </w:style>
  <w:style w:type="character" w:customStyle="1" w:styleId="Titre2Car">
    <w:name w:val="Titre 2 Car"/>
    <w:basedOn w:val="Policepardfaut"/>
    <w:link w:val="Titre2"/>
    <w:uiPriority w:val="9"/>
    <w:rsid w:val="007368EB"/>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7368EB"/>
    <w:rPr>
      <w:b/>
      <w:bCs/>
    </w:rPr>
  </w:style>
  <w:style w:type="paragraph" w:styleId="PrformatHTML">
    <w:name w:val="HTML Preformatted"/>
    <w:basedOn w:val="Normal"/>
    <w:link w:val="PrformatHTMLCar"/>
    <w:uiPriority w:val="99"/>
    <w:unhideWhenUsed/>
    <w:rsid w:val="00AA2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sz w:val="20"/>
      <w:lang w:val="es-CL" w:eastAsia="es-CL"/>
    </w:rPr>
  </w:style>
  <w:style w:type="character" w:customStyle="1" w:styleId="PrformatHTMLCar">
    <w:name w:val="Préformaté HTML Car"/>
    <w:basedOn w:val="Policepardfaut"/>
    <w:link w:val="PrformatHTML"/>
    <w:uiPriority w:val="99"/>
    <w:rsid w:val="00AA27A3"/>
    <w:rPr>
      <w:rFonts w:ascii="Courier New" w:eastAsia="Times New Roman" w:hAnsi="Courier New" w:cs="Courier New"/>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7184">
      <w:bodyDiv w:val="1"/>
      <w:marLeft w:val="0"/>
      <w:marRight w:val="0"/>
      <w:marTop w:val="0"/>
      <w:marBottom w:val="0"/>
      <w:divBdr>
        <w:top w:val="none" w:sz="0" w:space="0" w:color="auto"/>
        <w:left w:val="none" w:sz="0" w:space="0" w:color="auto"/>
        <w:bottom w:val="none" w:sz="0" w:space="0" w:color="auto"/>
        <w:right w:val="none" w:sz="0" w:space="0" w:color="auto"/>
      </w:divBdr>
    </w:div>
    <w:div w:id="376583769">
      <w:bodyDiv w:val="1"/>
      <w:marLeft w:val="0"/>
      <w:marRight w:val="0"/>
      <w:marTop w:val="0"/>
      <w:marBottom w:val="0"/>
      <w:divBdr>
        <w:top w:val="none" w:sz="0" w:space="0" w:color="auto"/>
        <w:left w:val="none" w:sz="0" w:space="0" w:color="auto"/>
        <w:bottom w:val="none" w:sz="0" w:space="0" w:color="auto"/>
        <w:right w:val="none" w:sz="0" w:space="0" w:color="auto"/>
      </w:divBdr>
    </w:div>
    <w:div w:id="577519225">
      <w:bodyDiv w:val="1"/>
      <w:marLeft w:val="0"/>
      <w:marRight w:val="0"/>
      <w:marTop w:val="0"/>
      <w:marBottom w:val="0"/>
      <w:divBdr>
        <w:top w:val="none" w:sz="0" w:space="0" w:color="auto"/>
        <w:left w:val="none" w:sz="0" w:space="0" w:color="auto"/>
        <w:bottom w:val="none" w:sz="0" w:space="0" w:color="auto"/>
        <w:right w:val="none" w:sz="0" w:space="0" w:color="auto"/>
      </w:divBdr>
      <w:divsChild>
        <w:div w:id="701829736">
          <w:marLeft w:val="0"/>
          <w:marRight w:val="0"/>
          <w:marTop w:val="0"/>
          <w:marBottom w:val="0"/>
          <w:divBdr>
            <w:top w:val="none" w:sz="0" w:space="0" w:color="auto"/>
            <w:left w:val="none" w:sz="0" w:space="0" w:color="auto"/>
            <w:bottom w:val="none" w:sz="0" w:space="0" w:color="auto"/>
            <w:right w:val="none" w:sz="0" w:space="0" w:color="auto"/>
          </w:divBdr>
        </w:div>
      </w:divsChild>
    </w:div>
    <w:div w:id="707265711">
      <w:bodyDiv w:val="1"/>
      <w:marLeft w:val="0"/>
      <w:marRight w:val="0"/>
      <w:marTop w:val="0"/>
      <w:marBottom w:val="0"/>
      <w:divBdr>
        <w:top w:val="none" w:sz="0" w:space="0" w:color="auto"/>
        <w:left w:val="none" w:sz="0" w:space="0" w:color="auto"/>
        <w:bottom w:val="none" w:sz="0" w:space="0" w:color="auto"/>
        <w:right w:val="none" w:sz="0" w:space="0" w:color="auto"/>
      </w:divBdr>
    </w:div>
    <w:div w:id="14258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dl.handle.net/2268/235718"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fr.wikipedia.org/wiki/Repr%C3%A9sentation_sociale" TargetMode="External"/><Relationship Id="rId12" Type="http://schemas.openxmlformats.org/officeDocument/2006/relationships/hyperlink" Target="http://archive.wikiwix.com/cache/?url=https%3A%2F%2Fgallica.bnf.fr%2Fark%3A%2F12148%2Fbpt6k11052n%2Ff278.image.langFR"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orbi.uliege.be"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fr.wikipedia.org/wiki/Repr%C3%A9sentation_sociale" TargetMode="External"/><Relationship Id="rId11" Type="http://schemas.openxmlformats.org/officeDocument/2006/relationships/hyperlink" Target="https://gallica.bnf.fr/ark:/12148/bpt6k11052n/f278.image.langF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r.wikipedia.org/wiki/Sciences_d%27aujourd%27hui" TargetMode="External"/><Relationship Id="rId23" Type="http://schemas.openxmlformats.org/officeDocument/2006/relationships/fontTable" Target="fontTable.xml"/><Relationship Id="rId10" Type="http://schemas.openxmlformats.org/officeDocument/2006/relationships/hyperlink" Target="https://fr.wikipedia.org/wiki/Ovide_Decroly"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fr.wikipedia.org/wiki/Albin_Michel_(%C3%A9diteu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fr.wikipedia.org/wiki/Repr&#233;sentation_sociale" TargetMode="External"/><Relationship Id="rId1" Type="http://schemas.openxmlformats.org/officeDocument/2006/relationships/hyperlink" Target="http://daimon.free.fr/mediactrices/representation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5</Pages>
  <Words>2161</Words>
  <Characters>11888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Dieudonné Leclercq 2</dc:creator>
  <cp:lastModifiedBy>d.leclercq@uliege.be</cp:lastModifiedBy>
  <cp:revision>20</cp:revision>
  <cp:lastPrinted>2021-01-12T15:40:00Z</cp:lastPrinted>
  <dcterms:created xsi:type="dcterms:W3CDTF">2017-09-20T19:09:00Z</dcterms:created>
  <dcterms:modified xsi:type="dcterms:W3CDTF">2021-01-12T17:17:00Z</dcterms:modified>
</cp:coreProperties>
</file>