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5D7" w:rsidRPr="005C5BC1" w:rsidRDefault="00275306" w:rsidP="004F05D7">
      <w:pPr>
        <w:pStyle w:val="MDPI11articletype"/>
      </w:pPr>
      <w:r>
        <w:t>Article</w:t>
      </w:r>
    </w:p>
    <w:p w:rsidR="004F05D7" w:rsidRPr="005C5BC1" w:rsidRDefault="00275306" w:rsidP="004F05D7">
      <w:pPr>
        <w:pStyle w:val="MDPI12title"/>
        <w:tabs>
          <w:tab w:val="left" w:pos="2687"/>
        </w:tabs>
        <w:spacing w:line="240" w:lineRule="atLeast"/>
      </w:pPr>
      <w:r w:rsidRPr="00275306">
        <w:t xml:space="preserve">Identification of </w:t>
      </w:r>
      <w:proofErr w:type="spellStart"/>
      <w:r w:rsidRPr="00275306">
        <w:t>Shigatoxigenic</w:t>
      </w:r>
      <w:proofErr w:type="spellEnd"/>
      <w:r w:rsidRPr="00275306">
        <w:t xml:space="preserve"> and </w:t>
      </w:r>
      <w:proofErr w:type="spellStart"/>
      <w:r w:rsidRPr="00275306">
        <w:t>enteropathogenic</w:t>
      </w:r>
      <w:proofErr w:type="spellEnd"/>
      <w:r w:rsidRPr="00275306">
        <w:t xml:space="preserve"> </w:t>
      </w:r>
      <w:r w:rsidRPr="001F6DB0">
        <w:rPr>
          <w:i/>
        </w:rPr>
        <w:t>Escherichia coli</w:t>
      </w:r>
      <w:r w:rsidRPr="00275306">
        <w:t xml:space="preserve"> serotypes in healthy young dairy calves in Belgium by recto-anal mucosal swabbing</w:t>
      </w:r>
    </w:p>
    <w:p w:rsidR="00275306" w:rsidRDefault="00275306" w:rsidP="006915C2">
      <w:pPr>
        <w:pStyle w:val="MDPI16affiliation"/>
        <w:ind w:left="113" w:firstLine="0"/>
      </w:pPr>
      <w:r w:rsidRPr="00275306">
        <w:rPr>
          <w:b/>
          <w:sz w:val="20"/>
          <w:szCs w:val="22"/>
        </w:rPr>
        <w:t xml:space="preserve">Audrey </w:t>
      </w:r>
      <w:proofErr w:type="spellStart"/>
      <w:r w:rsidRPr="00275306">
        <w:rPr>
          <w:b/>
          <w:sz w:val="20"/>
          <w:szCs w:val="22"/>
        </w:rPr>
        <w:t>Habets</w:t>
      </w:r>
      <w:proofErr w:type="spellEnd"/>
      <w:r w:rsidRPr="00275306">
        <w:rPr>
          <w:b/>
          <w:sz w:val="20"/>
          <w:szCs w:val="22"/>
        </w:rPr>
        <w:t xml:space="preserve"> </w:t>
      </w:r>
      <w:r w:rsidRPr="00275306">
        <w:rPr>
          <w:b/>
          <w:sz w:val="20"/>
          <w:szCs w:val="22"/>
          <w:vertAlign w:val="superscript"/>
        </w:rPr>
        <w:t>1°</w:t>
      </w:r>
      <w:r w:rsidRPr="00275306">
        <w:rPr>
          <w:b/>
          <w:sz w:val="20"/>
          <w:szCs w:val="22"/>
        </w:rPr>
        <w:t xml:space="preserve">, Frederik </w:t>
      </w:r>
      <w:proofErr w:type="spellStart"/>
      <w:r w:rsidRPr="00275306">
        <w:rPr>
          <w:b/>
          <w:sz w:val="20"/>
          <w:szCs w:val="22"/>
        </w:rPr>
        <w:t>Engelen</w:t>
      </w:r>
      <w:proofErr w:type="spellEnd"/>
      <w:r w:rsidRPr="00275306">
        <w:rPr>
          <w:b/>
          <w:sz w:val="20"/>
          <w:szCs w:val="22"/>
        </w:rPr>
        <w:t xml:space="preserve"> </w:t>
      </w:r>
      <w:r w:rsidRPr="00275306">
        <w:rPr>
          <w:b/>
          <w:sz w:val="20"/>
          <w:szCs w:val="22"/>
          <w:vertAlign w:val="superscript"/>
        </w:rPr>
        <w:t>2</w:t>
      </w:r>
      <w:r w:rsidRPr="00275306">
        <w:rPr>
          <w:b/>
          <w:sz w:val="20"/>
          <w:szCs w:val="22"/>
        </w:rPr>
        <w:t xml:space="preserve">, Jean-Noël </w:t>
      </w:r>
      <w:proofErr w:type="spellStart"/>
      <w:r w:rsidRPr="00275306">
        <w:rPr>
          <w:b/>
          <w:sz w:val="20"/>
          <w:szCs w:val="22"/>
        </w:rPr>
        <w:t>Duprez</w:t>
      </w:r>
      <w:proofErr w:type="spellEnd"/>
      <w:r w:rsidRPr="00275306">
        <w:rPr>
          <w:b/>
          <w:sz w:val="20"/>
          <w:szCs w:val="22"/>
        </w:rPr>
        <w:t xml:space="preserve"> </w:t>
      </w:r>
      <w:r w:rsidRPr="00275306">
        <w:rPr>
          <w:b/>
          <w:sz w:val="20"/>
          <w:szCs w:val="22"/>
          <w:vertAlign w:val="superscript"/>
        </w:rPr>
        <w:t>1</w:t>
      </w:r>
      <w:r w:rsidRPr="00275306">
        <w:rPr>
          <w:b/>
          <w:sz w:val="20"/>
          <w:szCs w:val="22"/>
        </w:rPr>
        <w:t xml:space="preserve">, Brecht </w:t>
      </w:r>
      <w:proofErr w:type="spellStart"/>
      <w:r w:rsidRPr="00275306">
        <w:rPr>
          <w:b/>
          <w:sz w:val="20"/>
          <w:szCs w:val="22"/>
        </w:rPr>
        <w:t>Devleesschauwer</w:t>
      </w:r>
      <w:proofErr w:type="spellEnd"/>
      <w:r w:rsidRPr="00275306">
        <w:rPr>
          <w:b/>
          <w:sz w:val="20"/>
          <w:szCs w:val="22"/>
        </w:rPr>
        <w:t xml:space="preserve"> </w:t>
      </w:r>
      <w:r w:rsidRPr="00275306">
        <w:rPr>
          <w:b/>
          <w:sz w:val="20"/>
          <w:szCs w:val="22"/>
          <w:vertAlign w:val="superscript"/>
        </w:rPr>
        <w:t>3,4</w:t>
      </w:r>
      <w:r w:rsidRPr="00275306">
        <w:rPr>
          <w:b/>
          <w:sz w:val="20"/>
          <w:szCs w:val="22"/>
        </w:rPr>
        <w:t xml:space="preserve">, Marc </w:t>
      </w:r>
      <w:proofErr w:type="spellStart"/>
      <w:r w:rsidRPr="00275306">
        <w:rPr>
          <w:b/>
          <w:sz w:val="20"/>
          <w:szCs w:val="22"/>
        </w:rPr>
        <w:t>Heyndrickx</w:t>
      </w:r>
      <w:proofErr w:type="spellEnd"/>
      <w:r w:rsidRPr="00275306">
        <w:rPr>
          <w:b/>
          <w:sz w:val="20"/>
          <w:szCs w:val="22"/>
        </w:rPr>
        <w:t xml:space="preserve"> </w:t>
      </w:r>
      <w:r w:rsidRPr="00275306">
        <w:rPr>
          <w:b/>
          <w:sz w:val="20"/>
          <w:szCs w:val="22"/>
          <w:vertAlign w:val="superscript"/>
        </w:rPr>
        <w:t>5,6</w:t>
      </w:r>
      <w:r w:rsidRPr="00275306">
        <w:rPr>
          <w:b/>
          <w:sz w:val="20"/>
          <w:szCs w:val="22"/>
        </w:rPr>
        <w:t xml:space="preserve">, </w:t>
      </w:r>
      <w:proofErr w:type="spellStart"/>
      <w:r w:rsidRPr="00275306">
        <w:rPr>
          <w:b/>
          <w:sz w:val="20"/>
          <w:szCs w:val="22"/>
        </w:rPr>
        <w:t>Lieven</w:t>
      </w:r>
      <w:proofErr w:type="spellEnd"/>
      <w:r w:rsidRPr="00275306">
        <w:rPr>
          <w:b/>
          <w:sz w:val="20"/>
          <w:szCs w:val="22"/>
        </w:rPr>
        <w:t xml:space="preserve"> De </w:t>
      </w:r>
      <w:proofErr w:type="spellStart"/>
      <w:r w:rsidRPr="00275306">
        <w:rPr>
          <w:b/>
          <w:sz w:val="20"/>
          <w:szCs w:val="22"/>
        </w:rPr>
        <w:t>Zutter</w:t>
      </w:r>
      <w:proofErr w:type="spellEnd"/>
      <w:r w:rsidRPr="00275306">
        <w:rPr>
          <w:b/>
          <w:sz w:val="20"/>
          <w:szCs w:val="22"/>
        </w:rPr>
        <w:t xml:space="preserve"> </w:t>
      </w:r>
      <w:r w:rsidRPr="00275306">
        <w:rPr>
          <w:b/>
          <w:sz w:val="20"/>
          <w:szCs w:val="22"/>
          <w:vertAlign w:val="superscript"/>
        </w:rPr>
        <w:t>4</w:t>
      </w:r>
      <w:r w:rsidRPr="00275306">
        <w:rPr>
          <w:b/>
          <w:sz w:val="20"/>
          <w:szCs w:val="22"/>
        </w:rPr>
        <w:t xml:space="preserve">, Damien </w:t>
      </w:r>
      <w:proofErr w:type="spellStart"/>
      <w:r w:rsidRPr="00275306">
        <w:rPr>
          <w:b/>
          <w:sz w:val="20"/>
          <w:szCs w:val="22"/>
        </w:rPr>
        <w:t>Thiry</w:t>
      </w:r>
      <w:proofErr w:type="spellEnd"/>
      <w:r w:rsidRPr="00275306">
        <w:rPr>
          <w:b/>
          <w:sz w:val="20"/>
          <w:szCs w:val="22"/>
        </w:rPr>
        <w:t xml:space="preserve"> </w:t>
      </w:r>
      <w:r w:rsidRPr="00275306">
        <w:rPr>
          <w:b/>
          <w:sz w:val="20"/>
          <w:szCs w:val="22"/>
          <w:vertAlign w:val="superscript"/>
        </w:rPr>
        <w:t>1#</w:t>
      </w:r>
      <w:r w:rsidRPr="00275306">
        <w:rPr>
          <w:b/>
          <w:sz w:val="20"/>
          <w:szCs w:val="22"/>
        </w:rPr>
        <w:t xml:space="preserve">, Eric Cox </w:t>
      </w:r>
      <w:r w:rsidRPr="00275306">
        <w:rPr>
          <w:b/>
          <w:sz w:val="20"/>
          <w:szCs w:val="22"/>
          <w:vertAlign w:val="superscript"/>
        </w:rPr>
        <w:t>2</w:t>
      </w:r>
      <w:r w:rsidRPr="00275306">
        <w:rPr>
          <w:b/>
          <w:sz w:val="20"/>
          <w:szCs w:val="22"/>
        </w:rPr>
        <w:t xml:space="preserve">, Jacques Mainil </w:t>
      </w:r>
      <w:r w:rsidRPr="00275306">
        <w:rPr>
          <w:b/>
          <w:sz w:val="20"/>
          <w:szCs w:val="22"/>
          <w:vertAlign w:val="superscript"/>
        </w:rPr>
        <w:t>1</w:t>
      </w:r>
    </w:p>
    <w:p w:rsidR="00275306" w:rsidRDefault="00275306" w:rsidP="00275306">
      <w:pPr>
        <w:pStyle w:val="MDPI16affiliation"/>
      </w:pPr>
      <w:r>
        <w:t xml:space="preserve">1 Bacteriology, Department of Infectious Diseases, Institute for Fundamental and Applied Research in Animals and Health (FARAH) and Faculty of Veterinary Medicine, University of Liège, Quartier </w:t>
      </w:r>
      <w:proofErr w:type="spellStart"/>
      <w:r>
        <w:t>Vallée</w:t>
      </w:r>
      <w:proofErr w:type="spellEnd"/>
      <w:r>
        <w:t xml:space="preserve"> II, Avenue de </w:t>
      </w:r>
      <w:proofErr w:type="spellStart"/>
      <w:r>
        <w:t>Cureghem</w:t>
      </w:r>
      <w:proofErr w:type="spellEnd"/>
      <w:r>
        <w:t xml:space="preserve"> 6, B-4000 Liège, Belgium </w:t>
      </w:r>
      <w:hyperlink r:id="rId7" w:history="1">
        <w:r w:rsidR="00C47C1B" w:rsidRPr="00AE2962">
          <w:rPr>
            <w:rStyle w:val="Lienhypertexte"/>
          </w:rPr>
          <w:t>damien.thiry@uliege.be</w:t>
        </w:r>
      </w:hyperlink>
    </w:p>
    <w:p w:rsidR="00275306" w:rsidRDefault="00275306" w:rsidP="00275306">
      <w:pPr>
        <w:pStyle w:val="MDPI16affiliation"/>
      </w:pPr>
      <w:r>
        <w:t xml:space="preserve">2 Laboratory of Immunology, Department of Virology, Parasitology and Immunology, Faculty of Veterinary Medicine, Ghent University, </w:t>
      </w:r>
      <w:proofErr w:type="spellStart"/>
      <w:r>
        <w:t>Salisburylaan</w:t>
      </w:r>
      <w:proofErr w:type="spellEnd"/>
      <w:r>
        <w:t xml:space="preserve"> 133, B-9820 </w:t>
      </w:r>
      <w:proofErr w:type="spellStart"/>
      <w:r>
        <w:t>Merelbeke</w:t>
      </w:r>
      <w:proofErr w:type="spellEnd"/>
      <w:r>
        <w:t xml:space="preserve">, Belgium </w:t>
      </w:r>
      <w:hyperlink r:id="rId8" w:history="1">
        <w:r w:rsidR="00C47C1B" w:rsidRPr="00AE2962">
          <w:rPr>
            <w:rStyle w:val="Lienhypertexte"/>
          </w:rPr>
          <w:t>eric.cox@ugent.be</w:t>
        </w:r>
      </w:hyperlink>
    </w:p>
    <w:p w:rsidR="00275306" w:rsidRDefault="00275306" w:rsidP="00275306">
      <w:pPr>
        <w:pStyle w:val="MDPI16affiliation"/>
      </w:pPr>
      <w:r>
        <w:t xml:space="preserve">3 Department of Epidemiology and Public Health, </w:t>
      </w:r>
      <w:proofErr w:type="spellStart"/>
      <w:r>
        <w:t>Sciensano</w:t>
      </w:r>
      <w:proofErr w:type="spellEnd"/>
      <w:r>
        <w:t xml:space="preserve">, Rue Juliette </w:t>
      </w:r>
      <w:proofErr w:type="spellStart"/>
      <w:r>
        <w:t>Wytsmanstraat</w:t>
      </w:r>
      <w:proofErr w:type="spellEnd"/>
      <w:r>
        <w:t xml:space="preserve"> 14, B-1050 Brussels, Belgium</w:t>
      </w:r>
      <w:r w:rsidR="00C47C1B">
        <w:t xml:space="preserve"> </w:t>
      </w:r>
      <w:bookmarkStart w:id="0" w:name="_GoBack"/>
      <w:bookmarkEnd w:id="0"/>
      <w:r w:rsidR="0058480F" w:rsidRPr="00F210C4">
        <w:rPr>
          <w:rStyle w:val="object"/>
          <w:highlight w:val="yellow"/>
        </w:rPr>
        <w:fldChar w:fldCharType="begin"/>
      </w:r>
      <w:r w:rsidR="0058480F" w:rsidRPr="00F210C4">
        <w:rPr>
          <w:rStyle w:val="object"/>
          <w:highlight w:val="yellow"/>
        </w:rPr>
        <w:instrText xml:space="preserve"> HYPERLINK "mailto:brecht.devleesschauwer@sciensano.be" \t "_blank" </w:instrText>
      </w:r>
      <w:r w:rsidR="0058480F" w:rsidRPr="00F210C4">
        <w:rPr>
          <w:rStyle w:val="object"/>
          <w:highlight w:val="yellow"/>
        </w:rPr>
        <w:fldChar w:fldCharType="separate"/>
      </w:r>
      <w:r w:rsidR="0058480F" w:rsidRPr="00F210C4">
        <w:rPr>
          <w:rStyle w:val="Lienhypertexte"/>
          <w:highlight w:val="yellow"/>
        </w:rPr>
        <w:t>brecht.devleesschauwer@sciensano.be</w:t>
      </w:r>
      <w:r w:rsidR="0058480F" w:rsidRPr="00F210C4">
        <w:rPr>
          <w:rStyle w:val="object"/>
          <w:highlight w:val="yellow"/>
        </w:rPr>
        <w:fldChar w:fldCharType="end"/>
      </w:r>
      <w:r w:rsidR="0058480F">
        <w:t> </w:t>
      </w:r>
      <w:r>
        <w:t xml:space="preserve"> </w:t>
      </w:r>
    </w:p>
    <w:p w:rsidR="00275306" w:rsidRDefault="00275306" w:rsidP="00275306">
      <w:pPr>
        <w:pStyle w:val="MDPI16affiliation"/>
      </w:pPr>
      <w:r>
        <w:t xml:space="preserve">4 Department of Veterinary Public Health and Food Safety, Faculty of Veterinary Medicine, Ghent University, </w:t>
      </w:r>
      <w:proofErr w:type="spellStart"/>
      <w:r>
        <w:t>Salisburylaan</w:t>
      </w:r>
      <w:proofErr w:type="spellEnd"/>
      <w:r>
        <w:t xml:space="preserve"> 133, B-9820 </w:t>
      </w:r>
      <w:proofErr w:type="spellStart"/>
      <w:r>
        <w:t>Merelbeke</w:t>
      </w:r>
      <w:proofErr w:type="spellEnd"/>
      <w:r>
        <w:t xml:space="preserve">, Belgium </w:t>
      </w:r>
      <w:hyperlink r:id="rId9" w:history="1">
        <w:r w:rsidR="00C47C1B" w:rsidRPr="00AE2962">
          <w:rPr>
            <w:rStyle w:val="Lienhypertexte"/>
          </w:rPr>
          <w:t>lieven.dezutter@ugent.be</w:t>
        </w:r>
      </w:hyperlink>
    </w:p>
    <w:p w:rsidR="00275306" w:rsidRDefault="00275306" w:rsidP="00275306">
      <w:pPr>
        <w:pStyle w:val="MDPI16affiliation"/>
      </w:pPr>
      <w:proofErr w:type="gramStart"/>
      <w:r>
        <w:t>5</w:t>
      </w:r>
      <w:proofErr w:type="gramEnd"/>
      <w:r>
        <w:t xml:space="preserve"> Institute for Agricultural and Fisheries Research, Unit Technology and Food, </w:t>
      </w:r>
      <w:proofErr w:type="spellStart"/>
      <w:r>
        <w:t>Brusselsesteenweg</w:t>
      </w:r>
      <w:proofErr w:type="spellEnd"/>
      <w:r>
        <w:t xml:space="preserve"> 370, B-9090 </w:t>
      </w:r>
      <w:proofErr w:type="spellStart"/>
      <w:r>
        <w:t>Melle</w:t>
      </w:r>
      <w:proofErr w:type="spellEnd"/>
      <w:r>
        <w:t xml:space="preserve">, Belgium </w:t>
      </w:r>
      <w:hyperlink r:id="rId10" w:history="1">
        <w:r w:rsidR="00C47C1B" w:rsidRPr="00AE2962">
          <w:rPr>
            <w:rStyle w:val="Lienhypertexte"/>
          </w:rPr>
          <w:t>marc.heyndrickx@ilvo.vlaanderen.be</w:t>
        </w:r>
      </w:hyperlink>
      <w:r>
        <w:t xml:space="preserve"> </w:t>
      </w:r>
    </w:p>
    <w:p w:rsidR="00275306" w:rsidRDefault="00275306" w:rsidP="00275306">
      <w:pPr>
        <w:pStyle w:val="MDPI16affiliation"/>
      </w:pPr>
      <w:r>
        <w:t xml:space="preserve">6 Department of Pathology, Bacteriology and Poultry Diseases, Faculty of Veterinary Medicine, Ghent University, </w:t>
      </w:r>
      <w:proofErr w:type="spellStart"/>
      <w:r>
        <w:t>Salisburylaan</w:t>
      </w:r>
      <w:proofErr w:type="spellEnd"/>
      <w:r>
        <w:t xml:space="preserve"> 133, B-9820 </w:t>
      </w:r>
      <w:proofErr w:type="spellStart"/>
      <w:r>
        <w:t>Merelbeke</w:t>
      </w:r>
      <w:proofErr w:type="spellEnd"/>
      <w:r>
        <w:t xml:space="preserve">, Belgium </w:t>
      </w:r>
      <w:hyperlink r:id="rId11" w:history="1">
        <w:r w:rsidRPr="00DE0DA5">
          <w:rPr>
            <w:rStyle w:val="Lienhypertexte"/>
          </w:rPr>
          <w:t>marc.heyndrickx@ugent.be</w:t>
        </w:r>
      </w:hyperlink>
    </w:p>
    <w:p w:rsidR="00275306" w:rsidRDefault="00275306" w:rsidP="00275306">
      <w:pPr>
        <w:pStyle w:val="MDPI16affiliation"/>
        <w:rPr>
          <w:b/>
        </w:rPr>
      </w:pPr>
      <w:r w:rsidRPr="00275306">
        <w:rPr>
          <w:b/>
        </w:rPr>
        <w:t xml:space="preserve">° </w:t>
      </w:r>
      <w:r w:rsidRPr="00275306">
        <w:t xml:space="preserve">Current address: </w:t>
      </w:r>
      <w:proofErr w:type="spellStart"/>
      <w:r w:rsidRPr="00275306">
        <w:t>Eurogentec</w:t>
      </w:r>
      <w:proofErr w:type="spellEnd"/>
      <w:r w:rsidRPr="00275306">
        <w:t xml:space="preserve"> SA, Seraing, Belgium</w:t>
      </w:r>
    </w:p>
    <w:p w:rsidR="004F05D7" w:rsidRPr="000822F7" w:rsidRDefault="00275306" w:rsidP="00275306">
      <w:pPr>
        <w:pStyle w:val="MDPI16affiliation"/>
        <w:rPr>
          <w:lang w:val="en-GB"/>
        </w:rPr>
      </w:pPr>
      <w:r w:rsidRPr="000822F7">
        <w:rPr>
          <w:b/>
          <w:sz w:val="20"/>
          <w:szCs w:val="22"/>
          <w:vertAlign w:val="superscript"/>
          <w:lang w:val="en-GB"/>
        </w:rPr>
        <w:t>#</w:t>
      </w:r>
      <w:r w:rsidR="004F05D7" w:rsidRPr="000822F7">
        <w:rPr>
          <w:lang w:val="en-GB"/>
        </w:rPr>
        <w:t xml:space="preserve">Correspondence: </w:t>
      </w:r>
      <w:hyperlink r:id="rId12" w:history="1">
        <w:r w:rsidRPr="000822F7">
          <w:rPr>
            <w:rStyle w:val="Lienhypertexte"/>
            <w:lang w:val="en-GB"/>
          </w:rPr>
          <w:t>damien.thiry@uliege.be</w:t>
        </w:r>
      </w:hyperlink>
      <w:r w:rsidRPr="000822F7">
        <w:rPr>
          <w:lang w:val="en-GB"/>
        </w:rPr>
        <w:t xml:space="preserve"> </w:t>
      </w:r>
      <w:r w:rsidR="004F05D7" w:rsidRPr="000822F7">
        <w:rPr>
          <w:lang w:val="en-GB"/>
        </w:rPr>
        <w:t xml:space="preserve">; </w:t>
      </w:r>
      <w:r w:rsidRPr="000822F7">
        <w:rPr>
          <w:lang w:val="en-GB"/>
        </w:rPr>
        <w:t>(D.T</w:t>
      </w:r>
      <w:r w:rsidR="00C265CE" w:rsidRPr="000822F7">
        <w:rPr>
          <w:lang w:val="en-GB"/>
        </w:rPr>
        <w:t>.)</w:t>
      </w:r>
    </w:p>
    <w:p w:rsidR="004F05D7" w:rsidRPr="005C5BC1" w:rsidRDefault="004F05D7" w:rsidP="004F05D7">
      <w:pPr>
        <w:pStyle w:val="MDPI14history"/>
      </w:pPr>
      <w:r w:rsidRPr="005C5BC1">
        <w:t>Received: date; Accepted: date; Published: date</w:t>
      </w:r>
    </w:p>
    <w:p w:rsidR="004F05D7" w:rsidRPr="005C5BC1" w:rsidRDefault="004F05D7" w:rsidP="004F05D7">
      <w:pPr>
        <w:pStyle w:val="MDPI17abstract"/>
        <w:rPr>
          <w:color w:val="auto"/>
        </w:rPr>
      </w:pPr>
      <w:r w:rsidRPr="005C5BC1">
        <w:rPr>
          <w:b/>
        </w:rPr>
        <w:t xml:space="preserve">Abstract: </w:t>
      </w:r>
      <w:proofErr w:type="spellStart"/>
      <w:r w:rsidR="000822F7" w:rsidRPr="000822F7">
        <w:t>Enterohemorrhagic</w:t>
      </w:r>
      <w:proofErr w:type="spellEnd"/>
      <w:r w:rsidR="000822F7" w:rsidRPr="000822F7">
        <w:t xml:space="preserve"> </w:t>
      </w:r>
      <w:r w:rsidR="000822F7" w:rsidRPr="001F6DB0">
        <w:rPr>
          <w:i/>
        </w:rPr>
        <w:t>Escherichia coli</w:t>
      </w:r>
      <w:r w:rsidR="000822F7" w:rsidRPr="000822F7">
        <w:t xml:space="preserve"> (EHEC), </w:t>
      </w:r>
      <w:proofErr w:type="spellStart"/>
      <w:r w:rsidR="000822F7" w:rsidRPr="000822F7">
        <w:t>enteropathogenic</w:t>
      </w:r>
      <w:proofErr w:type="spellEnd"/>
      <w:r w:rsidR="000822F7" w:rsidRPr="000822F7">
        <w:t xml:space="preserve"> </w:t>
      </w:r>
      <w:r w:rsidR="001F6DB0" w:rsidRPr="001F6DB0">
        <w:rPr>
          <w:i/>
        </w:rPr>
        <w:t>E. coli</w:t>
      </w:r>
      <w:r w:rsidR="000822F7" w:rsidRPr="000822F7">
        <w:t xml:space="preserve"> (EPEC) and </w:t>
      </w:r>
      <w:proofErr w:type="spellStart"/>
      <w:r w:rsidR="000822F7" w:rsidRPr="000822F7">
        <w:t>Shigatoxigenic</w:t>
      </w:r>
      <w:proofErr w:type="spellEnd"/>
      <w:r w:rsidR="000822F7" w:rsidRPr="000822F7">
        <w:t xml:space="preserve"> </w:t>
      </w:r>
      <w:r w:rsidR="001F6DB0" w:rsidRPr="001F6DB0">
        <w:rPr>
          <w:i/>
        </w:rPr>
        <w:t>E. coli</w:t>
      </w:r>
      <w:r w:rsidR="000822F7" w:rsidRPr="000822F7">
        <w:t xml:space="preserve"> (STEC) are carried by healthy adult cattle and even more frequently, young calves in their intestinal tract, especially at the height of the recto-anal junction. The purpose of the present study was to assess the presence of ten EHEC, EPEC and/or STEC O serotypes (O5, O26, O80, O103, O111, O118, O121, O145, O157, </w:t>
      </w:r>
      <w:proofErr w:type="gramStart"/>
      <w:r w:rsidR="000822F7" w:rsidRPr="000822F7">
        <w:t>O165</w:t>
      </w:r>
      <w:proofErr w:type="gramEnd"/>
      <w:r w:rsidR="000822F7" w:rsidRPr="000822F7">
        <w:t xml:space="preserve">) in calves sampled by recto-anal mucosal swabs (RAMS) in three dairy farms in Belgium. </w:t>
      </w:r>
      <w:proofErr w:type="gramStart"/>
      <w:r w:rsidR="000822F7" w:rsidRPr="000822F7">
        <w:t>A total of 233</w:t>
      </w:r>
      <w:proofErr w:type="gramEnd"/>
      <w:r w:rsidR="000822F7" w:rsidRPr="000822F7">
        <w:t xml:space="preserve"> RAMS were collected on 3 consecutive times from healthy &lt;6-month-old Holstein-Friesian calves and submitted to a PCR targeting the </w:t>
      </w:r>
      <w:proofErr w:type="spellStart"/>
      <w:r w:rsidR="000822F7" w:rsidRPr="00993723">
        <w:rPr>
          <w:i/>
        </w:rPr>
        <w:t>eae</w:t>
      </w:r>
      <w:proofErr w:type="spellEnd"/>
      <w:r w:rsidR="000822F7" w:rsidRPr="000822F7">
        <w:t xml:space="preserve">, </w:t>
      </w:r>
      <w:r w:rsidR="000822F7" w:rsidRPr="00993723">
        <w:rPr>
          <w:i/>
        </w:rPr>
        <w:t>stx1</w:t>
      </w:r>
      <w:r w:rsidR="000822F7" w:rsidRPr="000822F7">
        <w:t xml:space="preserve"> and </w:t>
      </w:r>
      <w:r w:rsidR="000822F7" w:rsidRPr="00993723">
        <w:rPr>
          <w:i/>
        </w:rPr>
        <w:t>stx2</w:t>
      </w:r>
      <w:r w:rsidR="000822F7" w:rsidRPr="000822F7">
        <w:t xml:space="preserve"> genes after non-selective overnight enrichment growth. The 148 RAMS testing positive </w:t>
      </w:r>
      <w:proofErr w:type="gramStart"/>
      <w:r w:rsidR="000822F7" w:rsidRPr="000822F7">
        <w:t>were streaked</w:t>
      </w:r>
      <w:proofErr w:type="gramEnd"/>
      <w:r w:rsidR="000822F7" w:rsidRPr="000822F7">
        <w:t xml:space="preserve"> on four (semi-)selective agar media: of the 2146 colonies tested, 294 from 69 RAMS were PCR-confirmed as EHEC, EPEC or STEC. The most frequent </w:t>
      </w:r>
      <w:proofErr w:type="spellStart"/>
      <w:r w:rsidR="000822F7" w:rsidRPr="000822F7">
        <w:t>virulotype</w:t>
      </w:r>
      <w:proofErr w:type="spellEnd"/>
      <w:r w:rsidR="000822F7" w:rsidRPr="000822F7">
        <w:t xml:space="preserve"> was </w:t>
      </w:r>
      <w:proofErr w:type="spellStart"/>
      <w:r w:rsidR="000822F7" w:rsidRPr="00993723">
        <w:rPr>
          <w:i/>
        </w:rPr>
        <w:t>eae</w:t>
      </w:r>
      <w:proofErr w:type="spellEnd"/>
      <w:r w:rsidR="000822F7" w:rsidRPr="000822F7">
        <w:t xml:space="preserve">+ EPEC and the second one was </w:t>
      </w:r>
      <w:r w:rsidR="000822F7" w:rsidRPr="00993723">
        <w:rPr>
          <w:i/>
        </w:rPr>
        <w:t>stx1</w:t>
      </w:r>
      <w:r w:rsidR="000822F7" w:rsidRPr="000822F7">
        <w:t>+</w:t>
      </w:r>
      <w:r w:rsidR="000822F7" w:rsidRPr="00993723">
        <w:rPr>
          <w:i/>
        </w:rPr>
        <w:t>stx2</w:t>
      </w:r>
      <w:r w:rsidR="000822F7" w:rsidRPr="000822F7">
        <w:t xml:space="preserve">+ STEC while the </w:t>
      </w:r>
      <w:r w:rsidR="000822F7" w:rsidRPr="00993723">
        <w:rPr>
          <w:i/>
        </w:rPr>
        <w:t>eae</w:t>
      </w:r>
      <w:r w:rsidR="000822F7" w:rsidRPr="000822F7">
        <w:t>+</w:t>
      </w:r>
      <w:r w:rsidR="000822F7" w:rsidRPr="00993723">
        <w:rPr>
          <w:i/>
        </w:rPr>
        <w:t>stx1</w:t>
      </w:r>
      <w:r w:rsidR="000822F7" w:rsidRPr="000822F7">
        <w:t xml:space="preserve">+ and </w:t>
      </w:r>
      <w:r w:rsidR="000822F7" w:rsidRPr="00993723">
        <w:rPr>
          <w:i/>
        </w:rPr>
        <w:t>eae</w:t>
      </w:r>
      <w:r w:rsidR="000822F7" w:rsidRPr="000822F7">
        <w:t>+</w:t>
      </w:r>
      <w:r w:rsidR="000822F7" w:rsidRPr="00993723">
        <w:rPr>
          <w:i/>
        </w:rPr>
        <w:t>stx1</w:t>
      </w:r>
      <w:r w:rsidR="000822F7" w:rsidRPr="000822F7">
        <w:t>+</w:t>
      </w:r>
      <w:r w:rsidR="000822F7" w:rsidRPr="00993723">
        <w:rPr>
          <w:i/>
        </w:rPr>
        <w:t>stx2</w:t>
      </w:r>
      <w:r w:rsidR="000822F7" w:rsidRPr="000822F7">
        <w:t xml:space="preserve">+ </w:t>
      </w:r>
      <w:proofErr w:type="spellStart"/>
      <w:r w:rsidR="000822F7" w:rsidRPr="000822F7">
        <w:t>virulotypes</w:t>
      </w:r>
      <w:proofErr w:type="spellEnd"/>
      <w:r w:rsidR="000822F7" w:rsidRPr="000822F7">
        <w:t xml:space="preserve"> were the most frequent amongst EHEC. The majority of EHEC (73%) tested positive for one of the </w:t>
      </w:r>
      <w:proofErr w:type="gramStart"/>
      <w:r w:rsidR="000822F7" w:rsidRPr="000822F7">
        <w:t>5</w:t>
      </w:r>
      <w:proofErr w:type="gramEnd"/>
      <w:r w:rsidR="000822F7" w:rsidRPr="000822F7">
        <w:t xml:space="preserve"> O serotypes detected (O26, O103, O111, O145, or O157) </w:t>
      </w:r>
      <w:r w:rsidR="000822F7" w:rsidRPr="00993723">
        <w:rPr>
          <w:i/>
        </w:rPr>
        <w:t>vs.</w:t>
      </w:r>
      <w:r w:rsidR="000822F7" w:rsidRPr="000822F7">
        <w:t xml:space="preserve"> 23% of EPEC and 45% of STEC. Similarly, more RAMS (73%) harbored EHEC isolates positive for those </w:t>
      </w:r>
      <w:proofErr w:type="gramStart"/>
      <w:r w:rsidR="000822F7" w:rsidRPr="000822F7">
        <w:t>5</w:t>
      </w:r>
      <w:proofErr w:type="gramEnd"/>
      <w:r w:rsidR="000822F7" w:rsidRPr="000822F7">
        <w:t xml:space="preserve"> serotypes, than EPEC (53%) or STEC (52%). This survey </w:t>
      </w:r>
      <w:r w:rsidR="000822F7" w:rsidRPr="00993723">
        <w:rPr>
          <w:highlight w:val="yellow"/>
        </w:rPr>
        <w:t>confirm</w:t>
      </w:r>
      <w:r w:rsidR="00A46CE5" w:rsidRPr="00993723">
        <w:rPr>
          <w:highlight w:val="yellow"/>
        </w:rPr>
        <w:t>s</w:t>
      </w:r>
      <w:r w:rsidR="000822F7" w:rsidRPr="000822F7">
        <w:t xml:space="preserve"> that (</w:t>
      </w:r>
      <w:proofErr w:type="spellStart"/>
      <w:r w:rsidR="000822F7" w:rsidRPr="000822F7">
        <w:t>i</w:t>
      </w:r>
      <w:proofErr w:type="spellEnd"/>
      <w:r w:rsidR="000822F7" w:rsidRPr="000822F7">
        <w:t xml:space="preserve">) healthy young dairy calves are asymptomatic carriers of EHEC and EPEC in Belgium; (ii) the carrier state rates, the </w:t>
      </w:r>
      <w:proofErr w:type="spellStart"/>
      <w:r w:rsidR="000822F7" w:rsidRPr="000822F7">
        <w:t>virulotypes</w:t>
      </w:r>
      <w:proofErr w:type="spellEnd"/>
      <w:r w:rsidR="000822F7" w:rsidRPr="000822F7">
        <w:t xml:space="preserve"> and the identified O serotypes differ between farms and in time; and (iii) a majority of EPEC belong to still unidentified O serotypes.</w:t>
      </w:r>
    </w:p>
    <w:p w:rsidR="004F05D7" w:rsidRPr="005C5BC1" w:rsidRDefault="004F05D7" w:rsidP="00275306">
      <w:pPr>
        <w:pStyle w:val="MDPI18keywords"/>
      </w:pPr>
      <w:r w:rsidRPr="005C5BC1">
        <w:rPr>
          <w:b/>
        </w:rPr>
        <w:t xml:space="preserve">Keywords: </w:t>
      </w:r>
      <w:r w:rsidR="00275306" w:rsidRPr="00275306">
        <w:rPr>
          <w:i/>
        </w:rPr>
        <w:t>Escherichia coli</w:t>
      </w:r>
      <w:r w:rsidR="00275306" w:rsidRPr="00275306">
        <w:t>, EPEC, STEC, dairy calves, recto-anal mucosal swab, Belgium</w:t>
      </w:r>
    </w:p>
    <w:p w:rsidR="001F6DB0" w:rsidRDefault="001F6DB0" w:rsidP="00275306">
      <w:pPr>
        <w:pStyle w:val="MDPI21heading1"/>
        <w:rPr>
          <w:lang w:eastAsia="zh-CN"/>
        </w:rPr>
      </w:pPr>
    </w:p>
    <w:p w:rsidR="001F6DB0" w:rsidRDefault="001F6DB0" w:rsidP="00275306">
      <w:pPr>
        <w:pStyle w:val="MDPI21heading1"/>
        <w:rPr>
          <w:lang w:eastAsia="zh-CN"/>
        </w:rPr>
      </w:pPr>
    </w:p>
    <w:p w:rsidR="00275306" w:rsidRDefault="00275306" w:rsidP="00275306">
      <w:pPr>
        <w:pStyle w:val="MDPI21heading1"/>
        <w:rPr>
          <w:lang w:eastAsia="zh-CN"/>
        </w:rPr>
      </w:pPr>
      <w:r>
        <w:rPr>
          <w:lang w:eastAsia="zh-CN"/>
        </w:rPr>
        <w:lastRenderedPageBreak/>
        <w:t>1. Introduction</w:t>
      </w:r>
    </w:p>
    <w:p w:rsidR="00D244F6" w:rsidRDefault="00D244F6" w:rsidP="00275306">
      <w:pPr>
        <w:pStyle w:val="MDPI21heading1"/>
        <w:rPr>
          <w:lang w:eastAsia="zh-CN"/>
        </w:rPr>
      </w:pPr>
    </w:p>
    <w:p w:rsidR="00275306" w:rsidRPr="00275306" w:rsidRDefault="00275306" w:rsidP="00275306">
      <w:pPr>
        <w:pStyle w:val="MDPI21heading1"/>
        <w:jc w:val="both"/>
        <w:rPr>
          <w:b w:val="0"/>
          <w:lang w:eastAsia="zh-CN"/>
        </w:rPr>
      </w:pPr>
      <w:proofErr w:type="spellStart"/>
      <w:r w:rsidRPr="00275306">
        <w:rPr>
          <w:b w:val="0"/>
          <w:lang w:eastAsia="zh-CN"/>
        </w:rPr>
        <w:t>Enterohemorrhagic</w:t>
      </w:r>
      <w:proofErr w:type="spellEnd"/>
      <w:r w:rsidRPr="00275306">
        <w:rPr>
          <w:b w:val="0"/>
          <w:lang w:eastAsia="zh-CN"/>
        </w:rPr>
        <w:t xml:space="preserve"> </w:t>
      </w:r>
      <w:r w:rsidRPr="001F6DB0">
        <w:rPr>
          <w:b w:val="0"/>
          <w:i/>
          <w:lang w:eastAsia="zh-CN"/>
        </w:rPr>
        <w:t>Escherichia coli</w:t>
      </w:r>
      <w:r w:rsidRPr="00275306">
        <w:rPr>
          <w:b w:val="0"/>
          <w:lang w:eastAsia="zh-CN"/>
        </w:rPr>
        <w:t xml:space="preserve"> (EHEC) are important human pathogens, responsible for hemorrhagic colitis (HC), at the origin of their name, and the life-threatening hemolytic-uremic syndrome (HUS). Their most important virulence-associated properties are the Shiga toxins (Stx1 and/or Stx2) encoded by phage-located genes (</w:t>
      </w:r>
      <w:r w:rsidRPr="00993723">
        <w:rPr>
          <w:b w:val="0"/>
          <w:i/>
          <w:lang w:eastAsia="zh-CN"/>
        </w:rPr>
        <w:t>stx1</w:t>
      </w:r>
      <w:r w:rsidRPr="00275306">
        <w:rPr>
          <w:b w:val="0"/>
          <w:lang w:eastAsia="zh-CN"/>
        </w:rPr>
        <w:t xml:space="preserve"> and </w:t>
      </w:r>
      <w:r w:rsidRPr="00993723">
        <w:rPr>
          <w:b w:val="0"/>
          <w:i/>
          <w:lang w:eastAsia="zh-CN"/>
        </w:rPr>
        <w:t>stx2</w:t>
      </w:r>
      <w:r w:rsidRPr="00275306">
        <w:rPr>
          <w:b w:val="0"/>
          <w:lang w:eastAsia="zh-CN"/>
        </w:rPr>
        <w:t xml:space="preserve">), and the production of the histological Attaching-Effacing (AE) lesion, encoded by genes located on a pathogenicity island (the Locus of Enterocyte Effacement or LEE), including the </w:t>
      </w:r>
      <w:proofErr w:type="spellStart"/>
      <w:r w:rsidRPr="00993723">
        <w:rPr>
          <w:b w:val="0"/>
          <w:i/>
          <w:lang w:eastAsia="zh-CN"/>
        </w:rPr>
        <w:t>eae</w:t>
      </w:r>
      <w:proofErr w:type="spellEnd"/>
      <w:r w:rsidRPr="00275306">
        <w:rPr>
          <w:b w:val="0"/>
          <w:lang w:eastAsia="zh-CN"/>
        </w:rPr>
        <w:t xml:space="preserve"> gene coding for the </w:t>
      </w:r>
      <w:proofErr w:type="spellStart"/>
      <w:r w:rsidRPr="00275306">
        <w:rPr>
          <w:b w:val="0"/>
          <w:lang w:eastAsia="zh-CN"/>
        </w:rPr>
        <w:t>intimin</w:t>
      </w:r>
      <w:proofErr w:type="spellEnd"/>
      <w:r w:rsidRPr="00275306">
        <w:rPr>
          <w:b w:val="0"/>
          <w:lang w:eastAsia="zh-CN"/>
        </w:rPr>
        <w:t xml:space="preserve"> </w:t>
      </w:r>
      <w:proofErr w:type="spellStart"/>
      <w:r w:rsidRPr="00275306">
        <w:rPr>
          <w:b w:val="0"/>
          <w:lang w:eastAsia="zh-CN"/>
        </w:rPr>
        <w:t>adhesin</w:t>
      </w:r>
      <w:proofErr w:type="spellEnd"/>
      <w:r w:rsidRPr="00275306">
        <w:rPr>
          <w:b w:val="0"/>
          <w:lang w:eastAsia="zh-CN"/>
        </w:rPr>
        <w:t>. There exists a broad variety of human EHEC serotypes of whom O26:H11, O103:H2, O111</w:t>
      </w:r>
      <w:proofErr w:type="gramStart"/>
      <w:r w:rsidRPr="00275306">
        <w:rPr>
          <w:b w:val="0"/>
          <w:lang w:eastAsia="zh-CN"/>
        </w:rPr>
        <w:t>:H</w:t>
      </w:r>
      <w:proofErr w:type="gramEnd"/>
      <w:r w:rsidRPr="00275306">
        <w:rPr>
          <w:b w:val="0"/>
          <w:lang w:eastAsia="zh-CN"/>
        </w:rPr>
        <w:t xml:space="preserve">-, O121:H19, O145:H-, O157:H7, and O165:H25 (the so-called “gang of seven”) are the most frequent and pathogenic worldwide and O157:H7 and O26:H11 represent the majority of the confirmed human cases in the EU [1-4]. However, not all </w:t>
      </w:r>
      <w:proofErr w:type="spellStart"/>
      <w:r w:rsidRPr="00275306">
        <w:rPr>
          <w:b w:val="0"/>
          <w:lang w:eastAsia="zh-CN"/>
        </w:rPr>
        <w:t>Stx</w:t>
      </w:r>
      <w:proofErr w:type="spellEnd"/>
      <w:r w:rsidRPr="00275306">
        <w:rPr>
          <w:b w:val="0"/>
          <w:lang w:eastAsia="zh-CN"/>
        </w:rPr>
        <w:t xml:space="preserve">- and AE-producing </w:t>
      </w:r>
      <w:r w:rsidR="001F6DB0" w:rsidRPr="001F6DB0">
        <w:rPr>
          <w:b w:val="0"/>
          <w:i/>
          <w:lang w:eastAsia="zh-CN"/>
        </w:rPr>
        <w:t>E. coli</w:t>
      </w:r>
      <w:r w:rsidRPr="00275306">
        <w:rPr>
          <w:b w:val="0"/>
          <w:lang w:eastAsia="zh-CN"/>
        </w:rPr>
        <w:t xml:space="preserve"> cause HC in humans and the acronym EHEC is not appropriate for them. Therefore, the acronym AE-STEC, after Attaching-Effacing Shiga toxin-producing </w:t>
      </w:r>
      <w:r w:rsidR="001F6DB0" w:rsidRPr="001F6DB0">
        <w:rPr>
          <w:b w:val="0"/>
          <w:i/>
          <w:lang w:eastAsia="zh-CN"/>
        </w:rPr>
        <w:t>E. coli</w:t>
      </w:r>
      <w:r w:rsidRPr="00275306">
        <w:rPr>
          <w:b w:val="0"/>
          <w:lang w:eastAsia="zh-CN"/>
        </w:rPr>
        <w:t xml:space="preserve"> </w:t>
      </w:r>
      <w:proofErr w:type="gramStart"/>
      <w:r w:rsidRPr="00275306">
        <w:rPr>
          <w:b w:val="0"/>
          <w:lang w:eastAsia="zh-CN"/>
        </w:rPr>
        <w:t>will be used</w:t>
      </w:r>
      <w:proofErr w:type="gramEnd"/>
      <w:r w:rsidRPr="00275306">
        <w:rPr>
          <w:b w:val="0"/>
          <w:lang w:eastAsia="zh-CN"/>
        </w:rPr>
        <w:t xml:space="preserve"> throughout this manuscript, as previously proposed [5].</w:t>
      </w:r>
    </w:p>
    <w:p w:rsidR="00275306" w:rsidRPr="00275306" w:rsidRDefault="00275306" w:rsidP="00275306">
      <w:pPr>
        <w:pStyle w:val="MDPI21heading1"/>
        <w:jc w:val="both"/>
        <w:rPr>
          <w:b w:val="0"/>
          <w:lang w:eastAsia="zh-CN"/>
        </w:rPr>
      </w:pPr>
      <w:r w:rsidRPr="00275306">
        <w:rPr>
          <w:b w:val="0"/>
          <w:lang w:eastAsia="zh-CN"/>
        </w:rPr>
        <w:t>Human infection most frequently occurs via the consumption of animal or plant-derived foodstuffs contaminated with ruminant, mostly cattle feces. Cattle can indeed be asymptomatic carriers in their intestinal tract, more especially in the colon and at the height of the recto-anal junction [2</w:t>
      </w:r>
      <w:proofErr w:type="gramStart"/>
      <w:r w:rsidRPr="00275306">
        <w:rPr>
          <w:b w:val="0"/>
          <w:lang w:eastAsia="zh-CN"/>
        </w:rPr>
        <w:t>,6</w:t>
      </w:r>
      <w:proofErr w:type="gramEnd"/>
      <w:r w:rsidRPr="00275306">
        <w:rPr>
          <w:b w:val="0"/>
          <w:lang w:eastAsia="zh-CN"/>
        </w:rPr>
        <w:t>-8]. Furthermore, young calves are more frequently healthy carriers of AE-STEC than older animals [9-11]. In addition, AE-STEC are also responsible for diarrhea in &lt;3-month-old calves. The majority belong to some “gang-of-seven”, like O26:H11 and O111</w:t>
      </w:r>
      <w:proofErr w:type="gramStart"/>
      <w:r w:rsidRPr="00275306">
        <w:rPr>
          <w:b w:val="0"/>
          <w:lang w:eastAsia="zh-CN"/>
        </w:rPr>
        <w:t>:H</w:t>
      </w:r>
      <w:proofErr w:type="gramEnd"/>
      <w:r w:rsidRPr="00275306">
        <w:rPr>
          <w:b w:val="0"/>
          <w:lang w:eastAsia="zh-CN"/>
        </w:rPr>
        <w:t xml:space="preserve">-, and to a few other serotypes, like O5:H-, O80:H2 and O118:H16 [12-14]. </w:t>
      </w:r>
    </w:p>
    <w:p w:rsidR="00275306" w:rsidRPr="00275306" w:rsidRDefault="00275306" w:rsidP="00275306">
      <w:pPr>
        <w:pStyle w:val="MDPI21heading1"/>
        <w:jc w:val="both"/>
        <w:rPr>
          <w:b w:val="0"/>
          <w:lang w:eastAsia="zh-CN"/>
        </w:rPr>
      </w:pPr>
      <w:r w:rsidRPr="00275306">
        <w:rPr>
          <w:b w:val="0"/>
          <w:lang w:eastAsia="zh-CN"/>
        </w:rPr>
        <w:t xml:space="preserve">Besides AE-STEC, </w:t>
      </w:r>
      <w:proofErr w:type="spellStart"/>
      <w:r w:rsidRPr="00275306">
        <w:rPr>
          <w:b w:val="0"/>
          <w:lang w:eastAsia="zh-CN"/>
        </w:rPr>
        <w:t>enteropathogenic</w:t>
      </w:r>
      <w:proofErr w:type="spellEnd"/>
      <w:r w:rsidRPr="00275306">
        <w:rPr>
          <w:b w:val="0"/>
          <w:lang w:eastAsia="zh-CN"/>
        </w:rPr>
        <w:t xml:space="preserve"> </w:t>
      </w:r>
      <w:r w:rsidR="001F6DB0" w:rsidRPr="001F6DB0">
        <w:rPr>
          <w:b w:val="0"/>
          <w:i/>
          <w:lang w:eastAsia="zh-CN"/>
        </w:rPr>
        <w:t>E. coli</w:t>
      </w:r>
      <w:r w:rsidRPr="00275306">
        <w:rPr>
          <w:b w:val="0"/>
          <w:lang w:eastAsia="zh-CN"/>
        </w:rPr>
        <w:t xml:space="preserve"> (EPEC) harbor the LEE and the </w:t>
      </w:r>
      <w:proofErr w:type="spellStart"/>
      <w:r w:rsidRPr="00993723">
        <w:rPr>
          <w:b w:val="0"/>
          <w:i/>
          <w:lang w:eastAsia="zh-CN"/>
        </w:rPr>
        <w:t>eae</w:t>
      </w:r>
      <w:proofErr w:type="spellEnd"/>
      <w:r w:rsidRPr="00275306">
        <w:rPr>
          <w:b w:val="0"/>
          <w:lang w:eastAsia="zh-CN"/>
        </w:rPr>
        <w:t xml:space="preserve"> gene and  produce the AE lesion, but no </w:t>
      </w:r>
      <w:proofErr w:type="spellStart"/>
      <w:r w:rsidRPr="00275306">
        <w:rPr>
          <w:b w:val="0"/>
          <w:lang w:eastAsia="zh-CN"/>
        </w:rPr>
        <w:t>Stx</w:t>
      </w:r>
      <w:proofErr w:type="spellEnd"/>
      <w:r w:rsidRPr="00275306">
        <w:rPr>
          <w:b w:val="0"/>
          <w:lang w:eastAsia="zh-CN"/>
        </w:rPr>
        <w:t xml:space="preserve">, while STEC </w:t>
      </w:r>
      <w:proofErr w:type="spellStart"/>
      <w:r w:rsidRPr="00275306">
        <w:rPr>
          <w:b w:val="0"/>
          <w:lang w:eastAsia="zh-CN"/>
        </w:rPr>
        <w:t>sensu</w:t>
      </w:r>
      <w:proofErr w:type="spellEnd"/>
      <w:r w:rsidRPr="00275306">
        <w:rPr>
          <w:b w:val="0"/>
          <w:lang w:eastAsia="zh-CN"/>
        </w:rPr>
        <w:t xml:space="preserve"> </w:t>
      </w:r>
      <w:proofErr w:type="spellStart"/>
      <w:r w:rsidRPr="00275306">
        <w:rPr>
          <w:b w:val="0"/>
          <w:lang w:eastAsia="zh-CN"/>
        </w:rPr>
        <w:t>stricto</w:t>
      </w:r>
      <w:proofErr w:type="spellEnd"/>
      <w:r w:rsidRPr="00275306">
        <w:rPr>
          <w:b w:val="0"/>
          <w:lang w:eastAsia="zh-CN"/>
        </w:rPr>
        <w:t xml:space="preserve"> produce </w:t>
      </w:r>
      <w:proofErr w:type="spellStart"/>
      <w:r w:rsidRPr="00275306">
        <w:rPr>
          <w:b w:val="0"/>
          <w:lang w:eastAsia="zh-CN"/>
        </w:rPr>
        <w:t>Stx</w:t>
      </w:r>
      <w:proofErr w:type="spellEnd"/>
      <w:r w:rsidRPr="00275306">
        <w:rPr>
          <w:b w:val="0"/>
          <w:lang w:eastAsia="zh-CN"/>
        </w:rPr>
        <w:t xml:space="preserve"> but no AE lesion. EPEC are responsible for diarrheic diseases in humans and several animals, including young calves. EPEC can belong to host-specific serotypes (like O127 in humans or O15 in rabbits) or to host-non-specific, including “gang-of-seven” serotypes (like O26:H11, O80:H2 and O111</w:t>
      </w:r>
      <w:proofErr w:type="gramStart"/>
      <w:r w:rsidRPr="00275306">
        <w:rPr>
          <w:b w:val="0"/>
          <w:lang w:eastAsia="zh-CN"/>
        </w:rPr>
        <w:t>:H</w:t>
      </w:r>
      <w:proofErr w:type="gramEnd"/>
      <w:r w:rsidRPr="00275306">
        <w:rPr>
          <w:b w:val="0"/>
          <w:lang w:eastAsia="zh-CN"/>
        </w:rPr>
        <w:t>- in calves). However, the serotypes of the majority of bovine EPEC remain unidentified. Like AE-STEC, EPEC and STEC are also present in asymptomatic cattle [1</w:t>
      </w:r>
      <w:proofErr w:type="gramStart"/>
      <w:r w:rsidRPr="00275306">
        <w:rPr>
          <w:b w:val="0"/>
          <w:lang w:eastAsia="zh-CN"/>
        </w:rPr>
        <w:t>,12</w:t>
      </w:r>
      <w:proofErr w:type="gramEnd"/>
      <w:r w:rsidRPr="00275306">
        <w:rPr>
          <w:b w:val="0"/>
          <w:lang w:eastAsia="zh-CN"/>
        </w:rPr>
        <w:t>-17].</w:t>
      </w:r>
    </w:p>
    <w:p w:rsidR="00275306" w:rsidRPr="00275306" w:rsidRDefault="00275306" w:rsidP="00275306">
      <w:pPr>
        <w:pStyle w:val="MDPI21heading1"/>
        <w:jc w:val="both"/>
        <w:rPr>
          <w:b w:val="0"/>
          <w:lang w:eastAsia="zh-CN"/>
        </w:rPr>
      </w:pPr>
      <w:r w:rsidRPr="00275306">
        <w:rPr>
          <w:b w:val="0"/>
          <w:lang w:eastAsia="zh-CN"/>
        </w:rPr>
        <w:t>The purpose of the present study was to assess the presence of the “gang-of-seven” and of 3 other (O5, O80 and O118) (AE-</w:t>
      </w:r>
      <w:proofErr w:type="gramStart"/>
      <w:r w:rsidRPr="00275306">
        <w:rPr>
          <w:b w:val="0"/>
          <w:lang w:eastAsia="zh-CN"/>
        </w:rPr>
        <w:t>)STEC</w:t>
      </w:r>
      <w:proofErr w:type="gramEnd"/>
      <w:r w:rsidRPr="00275306">
        <w:rPr>
          <w:b w:val="0"/>
          <w:lang w:eastAsia="zh-CN"/>
        </w:rPr>
        <w:t xml:space="preserve"> and EPEC O serotypes in healthy &lt;6-month-old dairy calves of three farms sampled by recto-anal mucosal swabs (RAMS) [18,19], following a serotype non-specific enrichment and isolation procedure [17].</w:t>
      </w:r>
    </w:p>
    <w:p w:rsidR="00275306" w:rsidRDefault="00275306" w:rsidP="00275306">
      <w:pPr>
        <w:pStyle w:val="MDPI21heading1"/>
        <w:rPr>
          <w:lang w:eastAsia="zh-CN"/>
        </w:rPr>
      </w:pPr>
      <w:r>
        <w:rPr>
          <w:lang w:eastAsia="zh-CN"/>
        </w:rPr>
        <w:t> </w:t>
      </w:r>
    </w:p>
    <w:p w:rsidR="00275306" w:rsidRDefault="00275306" w:rsidP="00275306">
      <w:pPr>
        <w:pStyle w:val="MDPI21heading1"/>
        <w:rPr>
          <w:lang w:eastAsia="zh-CN"/>
        </w:rPr>
      </w:pPr>
      <w:r>
        <w:rPr>
          <w:lang w:eastAsia="zh-CN"/>
        </w:rPr>
        <w:t>2. Material &amp; Methods</w:t>
      </w:r>
    </w:p>
    <w:p w:rsidR="00275306" w:rsidRDefault="00275306" w:rsidP="00275306">
      <w:pPr>
        <w:pStyle w:val="MDPI21heading1"/>
        <w:rPr>
          <w:lang w:eastAsia="zh-CN"/>
        </w:rPr>
      </w:pPr>
    </w:p>
    <w:p w:rsidR="00275306" w:rsidRDefault="00275306" w:rsidP="00275306">
      <w:pPr>
        <w:pStyle w:val="MDPI21heading1"/>
        <w:rPr>
          <w:lang w:eastAsia="zh-CN"/>
        </w:rPr>
      </w:pPr>
      <w:r>
        <w:rPr>
          <w:lang w:eastAsia="zh-CN"/>
        </w:rPr>
        <w:t>2.1 Farms, Animals and Sampling</w:t>
      </w:r>
    </w:p>
    <w:p w:rsidR="00E06D3F" w:rsidRDefault="00275306" w:rsidP="00E06D3F">
      <w:pPr>
        <w:pStyle w:val="MDPI64CoI"/>
        <w:rPr>
          <w:rFonts w:eastAsia="Calibri"/>
        </w:rPr>
      </w:pPr>
      <w:r w:rsidRPr="00275306">
        <w:rPr>
          <w:lang w:eastAsia="zh-CN"/>
        </w:rPr>
        <w:t xml:space="preserve">A total of 233 RAMS was collected from &lt;6-month-old Holstein-Friesian calves in 3 Belgian dairy farms situated in East Flanders (74 in </w:t>
      </w:r>
      <w:proofErr w:type="spellStart"/>
      <w:r w:rsidRPr="00275306">
        <w:rPr>
          <w:lang w:eastAsia="zh-CN"/>
        </w:rPr>
        <w:t>FarmA</w:t>
      </w:r>
      <w:proofErr w:type="spellEnd"/>
      <w:r w:rsidRPr="00275306">
        <w:rPr>
          <w:lang w:eastAsia="zh-CN"/>
        </w:rPr>
        <w:t xml:space="preserve">, 71 in </w:t>
      </w:r>
      <w:proofErr w:type="spellStart"/>
      <w:r w:rsidRPr="00275306">
        <w:rPr>
          <w:lang w:eastAsia="zh-CN"/>
        </w:rPr>
        <w:t>FarmB</w:t>
      </w:r>
      <w:proofErr w:type="spellEnd"/>
      <w:r w:rsidRPr="00275306">
        <w:rPr>
          <w:lang w:eastAsia="zh-CN"/>
        </w:rPr>
        <w:t xml:space="preserve">, and 88 in </w:t>
      </w:r>
      <w:proofErr w:type="spellStart"/>
      <w:r w:rsidRPr="00275306">
        <w:rPr>
          <w:lang w:eastAsia="zh-CN"/>
        </w:rPr>
        <w:t>FarmC</w:t>
      </w:r>
      <w:proofErr w:type="spellEnd"/>
      <w:r w:rsidRPr="00275306">
        <w:rPr>
          <w:lang w:eastAsia="zh-CN"/>
        </w:rPr>
        <w:t xml:space="preserve">) on 3 consecutive times (65 at Sampling1, 75 at Sampling2, 93 at Sampling3) 2 to 4 weeks apart between June and October 2018 [20]. Eighteen calves in </w:t>
      </w:r>
      <w:proofErr w:type="spellStart"/>
      <w:r w:rsidRPr="00275306">
        <w:rPr>
          <w:lang w:eastAsia="zh-CN"/>
        </w:rPr>
        <w:t>FarmA</w:t>
      </w:r>
      <w:proofErr w:type="spellEnd"/>
      <w:r w:rsidRPr="00275306">
        <w:rPr>
          <w:lang w:eastAsia="zh-CN"/>
        </w:rPr>
        <w:t xml:space="preserve">, 19 calves in </w:t>
      </w:r>
      <w:proofErr w:type="spellStart"/>
      <w:r w:rsidRPr="00275306">
        <w:rPr>
          <w:lang w:eastAsia="zh-CN"/>
        </w:rPr>
        <w:t>FarmB</w:t>
      </w:r>
      <w:proofErr w:type="spellEnd"/>
      <w:r w:rsidRPr="00275306">
        <w:rPr>
          <w:lang w:eastAsia="zh-CN"/>
        </w:rPr>
        <w:t xml:space="preserve"> and 11 calves in </w:t>
      </w:r>
      <w:proofErr w:type="spellStart"/>
      <w:r w:rsidRPr="00275306">
        <w:rPr>
          <w:lang w:eastAsia="zh-CN"/>
        </w:rPr>
        <w:t>FarmC</w:t>
      </w:r>
      <w:proofErr w:type="spellEnd"/>
      <w:r w:rsidRPr="00275306">
        <w:rPr>
          <w:lang w:eastAsia="zh-CN"/>
        </w:rPr>
        <w:t xml:space="preserve"> </w:t>
      </w:r>
      <w:proofErr w:type="gramStart"/>
      <w:r w:rsidRPr="00275306">
        <w:rPr>
          <w:lang w:eastAsia="zh-CN"/>
        </w:rPr>
        <w:t>were sampled</w:t>
      </w:r>
      <w:proofErr w:type="gramEnd"/>
      <w:r w:rsidRPr="00275306">
        <w:rPr>
          <w:lang w:eastAsia="zh-CN"/>
        </w:rPr>
        <w:t xml:space="preserve"> twice while 6 calves in </w:t>
      </w:r>
      <w:proofErr w:type="spellStart"/>
      <w:r w:rsidRPr="00275306">
        <w:rPr>
          <w:lang w:eastAsia="zh-CN"/>
        </w:rPr>
        <w:t>FarmA</w:t>
      </w:r>
      <w:proofErr w:type="spellEnd"/>
      <w:r w:rsidRPr="00275306">
        <w:rPr>
          <w:lang w:eastAsia="zh-CN"/>
        </w:rPr>
        <w:t xml:space="preserve"> and 13 calves in </w:t>
      </w:r>
      <w:proofErr w:type="spellStart"/>
      <w:r w:rsidRPr="00275306">
        <w:rPr>
          <w:lang w:eastAsia="zh-CN"/>
        </w:rPr>
        <w:t>FarmC</w:t>
      </w:r>
      <w:proofErr w:type="spellEnd"/>
      <w:r w:rsidRPr="00275306">
        <w:rPr>
          <w:lang w:eastAsia="zh-CN"/>
        </w:rPr>
        <w:t xml:space="preserve"> were sampled thrice during the survey. Sterile cotton prepping balls (</w:t>
      </w:r>
      <w:proofErr w:type="spellStart"/>
      <w:r w:rsidRPr="00275306">
        <w:rPr>
          <w:lang w:eastAsia="zh-CN"/>
        </w:rPr>
        <w:t>CovidienTM</w:t>
      </w:r>
      <w:proofErr w:type="spellEnd"/>
      <w:r w:rsidRPr="00275306">
        <w:rPr>
          <w:lang w:eastAsia="zh-CN"/>
        </w:rPr>
        <w:t xml:space="preserve">) </w:t>
      </w:r>
      <w:proofErr w:type="gramStart"/>
      <w:r w:rsidRPr="00275306">
        <w:rPr>
          <w:lang w:eastAsia="zh-CN"/>
        </w:rPr>
        <w:t>were inserted</w:t>
      </w:r>
      <w:proofErr w:type="gramEnd"/>
      <w:r w:rsidRPr="00275306">
        <w:rPr>
          <w:lang w:eastAsia="zh-CN"/>
        </w:rPr>
        <w:t xml:space="preserve"> into the anus of the calves and circular motions were applied to sample the entire mucosal surface of the recto-anal junction. Clinical signs (diarrhea), if any </w:t>
      </w:r>
      <w:proofErr w:type="gramStart"/>
      <w:r w:rsidRPr="00275306">
        <w:rPr>
          <w:lang w:eastAsia="zh-CN"/>
        </w:rPr>
        <w:t>were recorded</w:t>
      </w:r>
      <w:proofErr w:type="gramEnd"/>
      <w:r w:rsidRPr="00275306">
        <w:rPr>
          <w:lang w:eastAsia="zh-CN"/>
        </w:rPr>
        <w:t xml:space="preserve"> at each visit.</w:t>
      </w:r>
      <w:r w:rsidR="00E06D3F">
        <w:rPr>
          <w:b/>
          <w:lang w:eastAsia="zh-CN"/>
        </w:rPr>
        <w:t xml:space="preserve"> </w:t>
      </w:r>
      <w:r w:rsidR="00E06D3F" w:rsidRPr="005E22FC">
        <w:rPr>
          <w:highlight w:val="yellow"/>
        </w:rPr>
        <w:t xml:space="preserve">Fecal sampling by recto-anal swabbing </w:t>
      </w:r>
      <w:proofErr w:type="gramStart"/>
      <w:r w:rsidR="00E06D3F" w:rsidRPr="005E22FC">
        <w:rPr>
          <w:highlight w:val="yellow"/>
        </w:rPr>
        <w:t>is considered</w:t>
      </w:r>
      <w:proofErr w:type="gramEnd"/>
      <w:r w:rsidR="00E06D3F" w:rsidRPr="005E22FC">
        <w:rPr>
          <w:highlight w:val="yellow"/>
        </w:rPr>
        <w:t xml:space="preserve"> as non-invasive. Therefore, the calves in this study did not fall into the definition of experimental animals and no ethical approval was required.</w:t>
      </w:r>
      <w:r w:rsidR="00E06D3F">
        <w:t xml:space="preserve"> </w:t>
      </w:r>
    </w:p>
    <w:p w:rsidR="00275306" w:rsidRPr="00275306" w:rsidRDefault="00275306" w:rsidP="00275306">
      <w:pPr>
        <w:pStyle w:val="MDPI21heading1"/>
        <w:jc w:val="both"/>
        <w:rPr>
          <w:b w:val="0"/>
          <w:lang w:eastAsia="zh-CN"/>
        </w:rPr>
      </w:pPr>
      <w:r w:rsidRPr="00275306">
        <w:rPr>
          <w:b w:val="0"/>
          <w:lang w:eastAsia="zh-CN"/>
        </w:rPr>
        <w:lastRenderedPageBreak/>
        <w:t xml:space="preserve"> </w:t>
      </w:r>
    </w:p>
    <w:p w:rsidR="00275306" w:rsidRDefault="00275306" w:rsidP="00275306">
      <w:pPr>
        <w:pStyle w:val="MDPI21heading1"/>
        <w:rPr>
          <w:lang w:eastAsia="zh-CN"/>
        </w:rPr>
      </w:pPr>
    </w:p>
    <w:p w:rsidR="00275306" w:rsidRDefault="00275306" w:rsidP="00275306">
      <w:pPr>
        <w:pStyle w:val="MDPI21heading1"/>
        <w:rPr>
          <w:lang w:eastAsia="zh-CN"/>
        </w:rPr>
      </w:pPr>
      <w:r>
        <w:rPr>
          <w:lang w:eastAsia="zh-CN"/>
        </w:rPr>
        <w:t xml:space="preserve">2.2 Preliminary Screening </w:t>
      </w:r>
    </w:p>
    <w:p w:rsidR="00275306" w:rsidRPr="00275306" w:rsidRDefault="00275306" w:rsidP="00275306">
      <w:pPr>
        <w:pStyle w:val="MDPI21heading1"/>
        <w:jc w:val="both"/>
        <w:rPr>
          <w:b w:val="0"/>
          <w:lang w:eastAsia="zh-CN"/>
        </w:rPr>
      </w:pPr>
      <w:r w:rsidRPr="00275306">
        <w:rPr>
          <w:b w:val="0"/>
          <w:lang w:eastAsia="zh-CN"/>
        </w:rPr>
        <w:t xml:space="preserve">All RAMS were transported on ice to the laboratory of </w:t>
      </w:r>
      <w:proofErr w:type="spellStart"/>
      <w:r w:rsidRPr="00275306">
        <w:rPr>
          <w:b w:val="0"/>
          <w:lang w:eastAsia="zh-CN"/>
        </w:rPr>
        <w:t>UGent</w:t>
      </w:r>
      <w:proofErr w:type="spellEnd"/>
      <w:r w:rsidRPr="00275306">
        <w:rPr>
          <w:b w:val="0"/>
          <w:lang w:eastAsia="zh-CN"/>
        </w:rPr>
        <w:t>, stored overnight at 4°C and homogenized in 25 ml of maximum recovery diluent (</w:t>
      </w:r>
      <w:proofErr w:type="spellStart"/>
      <w:r w:rsidRPr="00275306">
        <w:rPr>
          <w:b w:val="0"/>
          <w:lang w:eastAsia="zh-CN"/>
        </w:rPr>
        <w:t>Oxoid</w:t>
      </w:r>
      <w:proofErr w:type="spellEnd"/>
      <w:r w:rsidRPr="00275306">
        <w:rPr>
          <w:b w:val="0"/>
          <w:lang w:eastAsia="zh-CN"/>
        </w:rPr>
        <w:t xml:space="preserve">, Belgium) by stomaching [20]. At </w:t>
      </w:r>
      <w:proofErr w:type="spellStart"/>
      <w:r w:rsidRPr="00275306">
        <w:rPr>
          <w:b w:val="0"/>
          <w:lang w:eastAsia="zh-CN"/>
        </w:rPr>
        <w:t>ULiège</w:t>
      </w:r>
      <w:proofErr w:type="spellEnd"/>
      <w:r w:rsidRPr="00275306">
        <w:rPr>
          <w:b w:val="0"/>
          <w:lang w:eastAsia="zh-CN"/>
        </w:rPr>
        <w:t>, the whole procedure to isolate EPEC and (AE-</w:t>
      </w:r>
      <w:proofErr w:type="gramStart"/>
      <w:r w:rsidRPr="00275306">
        <w:rPr>
          <w:b w:val="0"/>
          <w:lang w:eastAsia="zh-CN"/>
        </w:rPr>
        <w:t>)STEC</w:t>
      </w:r>
      <w:proofErr w:type="gramEnd"/>
      <w:r w:rsidRPr="00275306">
        <w:rPr>
          <w:b w:val="0"/>
          <w:lang w:eastAsia="zh-CN"/>
        </w:rPr>
        <w:t xml:space="preserve"> was slightly adapted from </w:t>
      </w:r>
      <w:proofErr w:type="spellStart"/>
      <w:r w:rsidRPr="00275306">
        <w:rPr>
          <w:b w:val="0"/>
          <w:lang w:eastAsia="zh-CN"/>
        </w:rPr>
        <w:t>Thiry</w:t>
      </w:r>
      <w:proofErr w:type="spellEnd"/>
      <w:r w:rsidRPr="00275306">
        <w:rPr>
          <w:b w:val="0"/>
          <w:lang w:eastAsia="zh-CN"/>
        </w:rPr>
        <w:t xml:space="preserve"> and collaborators [17]. </w:t>
      </w:r>
    </w:p>
    <w:p w:rsidR="00275306" w:rsidRPr="00275306" w:rsidRDefault="00275306" w:rsidP="00275306">
      <w:pPr>
        <w:pStyle w:val="MDPI21heading1"/>
        <w:jc w:val="both"/>
        <w:rPr>
          <w:b w:val="0"/>
          <w:lang w:eastAsia="zh-CN"/>
        </w:rPr>
      </w:pPr>
      <w:r w:rsidRPr="00275306">
        <w:rPr>
          <w:b w:val="0"/>
          <w:lang w:eastAsia="zh-CN"/>
        </w:rPr>
        <w:t xml:space="preserve">Briefly, 100 µl of the suspension </w:t>
      </w:r>
      <w:proofErr w:type="gramStart"/>
      <w:r w:rsidRPr="00275306">
        <w:rPr>
          <w:b w:val="0"/>
          <w:lang w:eastAsia="zh-CN"/>
        </w:rPr>
        <w:t>were added to 5 ml of Lauryl-Sulfate broth (Sigma Aldrich, Germany) and incubated overnight at 37°C.</w:t>
      </w:r>
      <w:proofErr w:type="gramEnd"/>
      <w:r w:rsidRPr="00275306">
        <w:rPr>
          <w:b w:val="0"/>
          <w:lang w:eastAsia="zh-CN"/>
        </w:rPr>
        <w:t xml:space="preserve"> Bacterial DNA </w:t>
      </w:r>
      <w:proofErr w:type="gramStart"/>
      <w:r w:rsidRPr="00275306">
        <w:rPr>
          <w:b w:val="0"/>
          <w:lang w:eastAsia="zh-CN"/>
        </w:rPr>
        <w:t>was extracted from 1.5 ml of the enrichment broths by the alkaline-boiling method and stored at -20°C.</w:t>
      </w:r>
      <w:proofErr w:type="gramEnd"/>
      <w:r w:rsidRPr="00275306">
        <w:rPr>
          <w:b w:val="0"/>
          <w:lang w:eastAsia="zh-CN"/>
        </w:rPr>
        <w:t xml:space="preserve"> Lysates </w:t>
      </w:r>
      <w:proofErr w:type="gramStart"/>
      <w:r w:rsidRPr="00275306">
        <w:rPr>
          <w:b w:val="0"/>
          <w:lang w:eastAsia="zh-CN"/>
        </w:rPr>
        <w:t>were tested</w:t>
      </w:r>
      <w:proofErr w:type="gramEnd"/>
      <w:r w:rsidRPr="00275306">
        <w:rPr>
          <w:b w:val="0"/>
          <w:lang w:eastAsia="zh-CN"/>
        </w:rPr>
        <w:t xml:space="preserve"> with a triplex PCR targeting the </w:t>
      </w:r>
      <w:proofErr w:type="spellStart"/>
      <w:r w:rsidRPr="001F6DB0">
        <w:rPr>
          <w:b w:val="0"/>
          <w:i/>
          <w:lang w:eastAsia="zh-CN"/>
        </w:rPr>
        <w:t>eae</w:t>
      </w:r>
      <w:proofErr w:type="spellEnd"/>
      <w:r w:rsidRPr="00275306">
        <w:rPr>
          <w:b w:val="0"/>
          <w:lang w:eastAsia="zh-CN"/>
        </w:rPr>
        <w:t xml:space="preserve">, </w:t>
      </w:r>
      <w:r w:rsidRPr="001F6DB0">
        <w:rPr>
          <w:b w:val="0"/>
          <w:i/>
          <w:lang w:eastAsia="zh-CN"/>
        </w:rPr>
        <w:t>stx1</w:t>
      </w:r>
      <w:r w:rsidRPr="00275306">
        <w:rPr>
          <w:b w:val="0"/>
          <w:lang w:eastAsia="zh-CN"/>
        </w:rPr>
        <w:t xml:space="preserve"> and </w:t>
      </w:r>
      <w:r w:rsidRPr="001F6DB0">
        <w:rPr>
          <w:b w:val="0"/>
          <w:i/>
          <w:lang w:eastAsia="zh-CN"/>
        </w:rPr>
        <w:t>stx2</w:t>
      </w:r>
      <w:r w:rsidRPr="00275306">
        <w:rPr>
          <w:b w:val="0"/>
          <w:lang w:eastAsia="zh-CN"/>
        </w:rPr>
        <w:t xml:space="preserve"> genes [21]. Each PCR-positive broth was subsequently streaked onto four (semi-)selective agar plates and incubated overnight at 37°C: </w:t>
      </w:r>
      <w:proofErr w:type="spellStart"/>
      <w:r w:rsidRPr="00275306">
        <w:rPr>
          <w:b w:val="0"/>
          <w:lang w:eastAsia="zh-CN"/>
        </w:rPr>
        <w:t>McConkey’s</w:t>
      </w:r>
      <w:proofErr w:type="spellEnd"/>
      <w:r w:rsidRPr="00275306">
        <w:rPr>
          <w:b w:val="0"/>
          <w:lang w:eastAsia="zh-CN"/>
        </w:rPr>
        <w:t xml:space="preserve"> (MC), </w:t>
      </w:r>
      <w:proofErr w:type="spellStart"/>
      <w:r w:rsidRPr="00275306">
        <w:rPr>
          <w:b w:val="0"/>
          <w:lang w:eastAsia="zh-CN"/>
        </w:rPr>
        <w:t>Chromocult</w:t>
      </w:r>
      <w:proofErr w:type="spellEnd"/>
      <w:r w:rsidRPr="00275306">
        <w:rPr>
          <w:b w:val="0"/>
          <w:lang w:eastAsia="zh-CN"/>
        </w:rPr>
        <w:t xml:space="preserve"> Coliform ES (ES) (VWR, Belgium), </w:t>
      </w:r>
      <w:proofErr w:type="spellStart"/>
      <w:r w:rsidRPr="00275306">
        <w:rPr>
          <w:b w:val="0"/>
          <w:lang w:eastAsia="zh-CN"/>
        </w:rPr>
        <w:t>Chromocult</w:t>
      </w:r>
      <w:proofErr w:type="spellEnd"/>
      <w:r w:rsidRPr="00275306">
        <w:rPr>
          <w:b w:val="0"/>
          <w:lang w:eastAsia="zh-CN"/>
        </w:rPr>
        <w:t xml:space="preserve"> Coliform ES supplemented with 2.5 mg/mL of potassium tellurite (</w:t>
      </w:r>
      <w:proofErr w:type="spellStart"/>
      <w:r w:rsidRPr="00275306">
        <w:rPr>
          <w:b w:val="0"/>
          <w:lang w:eastAsia="zh-CN"/>
        </w:rPr>
        <w:t>ESTe</w:t>
      </w:r>
      <w:proofErr w:type="spellEnd"/>
      <w:r w:rsidRPr="00275306">
        <w:rPr>
          <w:b w:val="0"/>
          <w:lang w:eastAsia="zh-CN"/>
        </w:rPr>
        <w:t xml:space="preserve">) (Sigma-Aldrich, Germany) [22], and supplemented </w:t>
      </w:r>
      <w:proofErr w:type="spellStart"/>
      <w:r w:rsidRPr="00275306">
        <w:rPr>
          <w:b w:val="0"/>
          <w:lang w:eastAsia="zh-CN"/>
        </w:rPr>
        <w:t>CHROMagarTM</w:t>
      </w:r>
      <w:proofErr w:type="spellEnd"/>
      <w:r w:rsidRPr="00275306">
        <w:rPr>
          <w:b w:val="0"/>
          <w:lang w:eastAsia="zh-CN"/>
        </w:rPr>
        <w:t xml:space="preserve"> STEC base (STECB) (I2A, France). </w:t>
      </w:r>
    </w:p>
    <w:p w:rsidR="00275306" w:rsidRDefault="00275306" w:rsidP="00275306">
      <w:pPr>
        <w:pStyle w:val="MDPI21heading1"/>
        <w:rPr>
          <w:lang w:eastAsia="zh-CN"/>
        </w:rPr>
      </w:pPr>
    </w:p>
    <w:p w:rsidR="00275306" w:rsidRDefault="00275306" w:rsidP="00275306">
      <w:pPr>
        <w:pStyle w:val="MDPI21heading1"/>
        <w:rPr>
          <w:lang w:eastAsia="zh-CN"/>
        </w:rPr>
      </w:pPr>
      <w:r>
        <w:rPr>
          <w:lang w:eastAsia="zh-CN"/>
        </w:rPr>
        <w:t xml:space="preserve">2.3 Identification of </w:t>
      </w:r>
      <w:proofErr w:type="spellStart"/>
      <w:r>
        <w:rPr>
          <w:lang w:eastAsia="zh-CN"/>
        </w:rPr>
        <w:t>Virulotypes</w:t>
      </w:r>
      <w:proofErr w:type="spellEnd"/>
      <w:r>
        <w:rPr>
          <w:lang w:eastAsia="zh-CN"/>
        </w:rPr>
        <w:t xml:space="preserve"> and O Serotypes</w:t>
      </w:r>
    </w:p>
    <w:p w:rsidR="00275306" w:rsidRPr="00275306" w:rsidRDefault="00275306" w:rsidP="00275306">
      <w:pPr>
        <w:pStyle w:val="MDPI21heading1"/>
        <w:jc w:val="both"/>
        <w:rPr>
          <w:b w:val="0"/>
          <w:lang w:eastAsia="zh-CN"/>
        </w:rPr>
      </w:pPr>
      <w:r w:rsidRPr="00275306">
        <w:rPr>
          <w:b w:val="0"/>
          <w:lang w:eastAsia="zh-CN"/>
        </w:rPr>
        <w:t xml:space="preserve">Up to </w:t>
      </w:r>
      <w:proofErr w:type="gramStart"/>
      <w:r w:rsidRPr="00275306">
        <w:rPr>
          <w:b w:val="0"/>
          <w:lang w:eastAsia="zh-CN"/>
        </w:rPr>
        <w:t>5</w:t>
      </w:r>
      <w:proofErr w:type="gramEnd"/>
      <w:r w:rsidRPr="00275306">
        <w:rPr>
          <w:b w:val="0"/>
          <w:lang w:eastAsia="zh-CN"/>
        </w:rPr>
        <w:t xml:space="preserve"> colonies per agar plate were picked up, inoculated into 200 µl Luria-</w:t>
      </w:r>
      <w:proofErr w:type="spellStart"/>
      <w:r w:rsidRPr="00275306">
        <w:rPr>
          <w:b w:val="0"/>
          <w:lang w:eastAsia="zh-CN"/>
        </w:rPr>
        <w:t>Bertani</w:t>
      </w:r>
      <w:proofErr w:type="spellEnd"/>
      <w:r w:rsidRPr="00275306">
        <w:rPr>
          <w:b w:val="0"/>
          <w:lang w:eastAsia="zh-CN"/>
        </w:rPr>
        <w:t xml:space="preserve"> (LB) broth in 96-well </w:t>
      </w:r>
      <w:proofErr w:type="spellStart"/>
      <w:r w:rsidRPr="00275306">
        <w:rPr>
          <w:b w:val="0"/>
          <w:lang w:eastAsia="zh-CN"/>
        </w:rPr>
        <w:t>microtiter</w:t>
      </w:r>
      <w:proofErr w:type="spellEnd"/>
      <w:r w:rsidRPr="00275306">
        <w:rPr>
          <w:b w:val="0"/>
          <w:lang w:eastAsia="zh-CN"/>
        </w:rPr>
        <w:t xml:space="preserve"> plates, and tested by colony hybridization (CH). CH was performed with PCR-derived 32P radioactively-labelled gene probes targeting the </w:t>
      </w:r>
      <w:proofErr w:type="spellStart"/>
      <w:r w:rsidRPr="001F6DB0">
        <w:rPr>
          <w:b w:val="0"/>
          <w:i/>
          <w:lang w:eastAsia="zh-CN"/>
        </w:rPr>
        <w:t>eae</w:t>
      </w:r>
      <w:proofErr w:type="spellEnd"/>
      <w:r w:rsidRPr="00275306">
        <w:rPr>
          <w:b w:val="0"/>
          <w:lang w:eastAsia="zh-CN"/>
        </w:rPr>
        <w:t xml:space="preserve">, </w:t>
      </w:r>
      <w:r w:rsidRPr="001F6DB0">
        <w:rPr>
          <w:b w:val="0"/>
          <w:i/>
          <w:lang w:eastAsia="zh-CN"/>
        </w:rPr>
        <w:t>stx1</w:t>
      </w:r>
      <w:r w:rsidRPr="00275306">
        <w:rPr>
          <w:b w:val="0"/>
          <w:lang w:eastAsia="zh-CN"/>
        </w:rPr>
        <w:t xml:space="preserve"> and </w:t>
      </w:r>
      <w:r w:rsidRPr="001F6DB0">
        <w:rPr>
          <w:b w:val="0"/>
          <w:i/>
          <w:lang w:eastAsia="zh-CN"/>
        </w:rPr>
        <w:t>stx2</w:t>
      </w:r>
      <w:r w:rsidRPr="00275306">
        <w:rPr>
          <w:b w:val="0"/>
          <w:lang w:eastAsia="zh-CN"/>
        </w:rPr>
        <w:t xml:space="preserve"> genes to identify EPEC and (AE-</w:t>
      </w:r>
      <w:proofErr w:type="gramStart"/>
      <w:r w:rsidRPr="00275306">
        <w:rPr>
          <w:b w:val="0"/>
          <w:lang w:eastAsia="zh-CN"/>
        </w:rPr>
        <w:t>)STEC</w:t>
      </w:r>
      <w:proofErr w:type="gramEnd"/>
      <w:r w:rsidRPr="00275306">
        <w:rPr>
          <w:b w:val="0"/>
          <w:lang w:eastAsia="zh-CN"/>
        </w:rPr>
        <w:t xml:space="preserve"> [23]. After overnight incubation at 37°C, </w:t>
      </w:r>
      <w:proofErr w:type="gramStart"/>
      <w:r w:rsidRPr="00275306">
        <w:rPr>
          <w:b w:val="0"/>
          <w:lang w:eastAsia="zh-CN"/>
        </w:rPr>
        <w:t>1</w:t>
      </w:r>
      <w:proofErr w:type="gramEnd"/>
      <w:r w:rsidRPr="00275306">
        <w:rPr>
          <w:b w:val="0"/>
          <w:lang w:eastAsia="zh-CN"/>
        </w:rPr>
        <w:t xml:space="preserve"> µl from each well was transferred onto LB agar using a transfer comb, followed by overnight incubation at 37°C. The colonies </w:t>
      </w:r>
      <w:proofErr w:type="gramStart"/>
      <w:r w:rsidRPr="00275306">
        <w:rPr>
          <w:b w:val="0"/>
          <w:lang w:eastAsia="zh-CN"/>
        </w:rPr>
        <w:t xml:space="preserve">were transferred by contact onto </w:t>
      </w:r>
      <w:proofErr w:type="spellStart"/>
      <w:r w:rsidRPr="00275306">
        <w:rPr>
          <w:b w:val="0"/>
          <w:lang w:eastAsia="zh-CN"/>
        </w:rPr>
        <w:t>Whatman</w:t>
      </w:r>
      <w:proofErr w:type="spellEnd"/>
      <w:r w:rsidRPr="00275306">
        <w:rPr>
          <w:b w:val="0"/>
          <w:lang w:eastAsia="zh-CN"/>
        </w:rPr>
        <w:t xml:space="preserve"> 541 paper filters (VWR, Belgium) and treated to lyse </w:t>
      </w:r>
      <w:r w:rsidR="001F6DB0">
        <w:rPr>
          <w:b w:val="0"/>
          <w:lang w:eastAsia="zh-CN"/>
        </w:rPr>
        <w:t>the cells and denature the DNA</w:t>
      </w:r>
      <w:proofErr w:type="gramEnd"/>
      <w:r w:rsidR="001F6DB0">
        <w:rPr>
          <w:b w:val="0"/>
          <w:lang w:eastAsia="zh-CN"/>
        </w:rPr>
        <w:t>.</w:t>
      </w:r>
      <w:r w:rsidRPr="00275306">
        <w:rPr>
          <w:b w:val="0"/>
          <w:lang w:eastAsia="zh-CN"/>
        </w:rPr>
        <w:t xml:space="preserve"> All probe-positive colonies were stored at -80°C in LB broth with 40% glycerol </w:t>
      </w:r>
      <w:proofErr w:type="gramStart"/>
      <w:r w:rsidRPr="00275306">
        <w:rPr>
          <w:b w:val="0"/>
          <w:lang w:eastAsia="zh-CN"/>
        </w:rPr>
        <w:t>till</w:t>
      </w:r>
      <w:proofErr w:type="gramEnd"/>
      <w:r w:rsidRPr="00275306">
        <w:rPr>
          <w:b w:val="0"/>
          <w:lang w:eastAsia="zh-CN"/>
        </w:rPr>
        <w:t xml:space="preserve"> further use.</w:t>
      </w:r>
    </w:p>
    <w:p w:rsidR="00275306" w:rsidRPr="00275306" w:rsidRDefault="00275306" w:rsidP="00275306">
      <w:pPr>
        <w:pStyle w:val="MDPI21heading1"/>
        <w:jc w:val="both"/>
        <w:rPr>
          <w:b w:val="0"/>
          <w:lang w:eastAsia="zh-CN"/>
        </w:rPr>
      </w:pPr>
      <w:r w:rsidRPr="00275306">
        <w:rPr>
          <w:b w:val="0"/>
          <w:lang w:eastAsia="zh-CN"/>
        </w:rPr>
        <w:t xml:space="preserve">Probe-positive colonies were subsequently grown overnight on LB agar plates at 37°C. DNA was extracted from a single colony by the alkaline-boiling method and subjected to the triplex PCR for the </w:t>
      </w:r>
      <w:proofErr w:type="spellStart"/>
      <w:r w:rsidRPr="001F6DB0">
        <w:rPr>
          <w:b w:val="0"/>
          <w:i/>
          <w:lang w:eastAsia="zh-CN"/>
        </w:rPr>
        <w:t>eae</w:t>
      </w:r>
      <w:proofErr w:type="spellEnd"/>
      <w:r w:rsidRPr="00275306">
        <w:rPr>
          <w:b w:val="0"/>
          <w:lang w:eastAsia="zh-CN"/>
        </w:rPr>
        <w:t xml:space="preserve">, </w:t>
      </w:r>
      <w:r w:rsidRPr="001F6DB0">
        <w:rPr>
          <w:b w:val="0"/>
          <w:i/>
          <w:lang w:eastAsia="zh-CN"/>
        </w:rPr>
        <w:t>stx1</w:t>
      </w:r>
      <w:r w:rsidRPr="00275306">
        <w:rPr>
          <w:b w:val="0"/>
          <w:lang w:eastAsia="zh-CN"/>
        </w:rPr>
        <w:t xml:space="preserve"> and </w:t>
      </w:r>
      <w:r w:rsidRPr="001F6DB0">
        <w:rPr>
          <w:b w:val="0"/>
          <w:i/>
          <w:lang w:eastAsia="zh-CN"/>
        </w:rPr>
        <w:t>stx2</w:t>
      </w:r>
      <w:r w:rsidRPr="00275306">
        <w:rPr>
          <w:b w:val="0"/>
          <w:lang w:eastAsia="zh-CN"/>
        </w:rPr>
        <w:t xml:space="preserve"> genes for confirmation of the </w:t>
      </w:r>
      <w:proofErr w:type="spellStart"/>
      <w:r w:rsidRPr="00275306">
        <w:rPr>
          <w:b w:val="0"/>
          <w:lang w:eastAsia="zh-CN"/>
        </w:rPr>
        <w:t>virulotypes</w:t>
      </w:r>
      <w:proofErr w:type="spellEnd"/>
      <w:r w:rsidRPr="00275306">
        <w:rPr>
          <w:b w:val="0"/>
          <w:lang w:eastAsia="zh-CN"/>
        </w:rPr>
        <w:t xml:space="preserve"> [21</w:t>
      </w:r>
      <w:proofErr w:type="gramStart"/>
      <w:r w:rsidRPr="00275306">
        <w:rPr>
          <w:b w:val="0"/>
          <w:lang w:eastAsia="zh-CN"/>
        </w:rPr>
        <w:t>,24</w:t>
      </w:r>
      <w:proofErr w:type="gramEnd"/>
      <w:r w:rsidRPr="00275306">
        <w:rPr>
          <w:b w:val="0"/>
          <w:lang w:eastAsia="zh-CN"/>
        </w:rPr>
        <w:t xml:space="preserve">]. Isolates with CH/PCR discordant results </w:t>
      </w:r>
      <w:proofErr w:type="gramStart"/>
      <w:r w:rsidRPr="00275306">
        <w:rPr>
          <w:b w:val="0"/>
          <w:lang w:eastAsia="zh-CN"/>
        </w:rPr>
        <w:t>were retested</w:t>
      </w:r>
      <w:proofErr w:type="gramEnd"/>
      <w:r w:rsidRPr="00275306">
        <w:rPr>
          <w:b w:val="0"/>
          <w:lang w:eastAsia="zh-CN"/>
        </w:rPr>
        <w:t xml:space="preserve"> with the PCR. Finally, confirmed triplex PCR-positive colonies </w:t>
      </w:r>
      <w:proofErr w:type="gramStart"/>
      <w:r w:rsidRPr="00275306">
        <w:rPr>
          <w:b w:val="0"/>
          <w:lang w:eastAsia="zh-CN"/>
        </w:rPr>
        <w:t>were tested</w:t>
      </w:r>
      <w:proofErr w:type="gramEnd"/>
      <w:r w:rsidRPr="00275306">
        <w:rPr>
          <w:b w:val="0"/>
          <w:lang w:eastAsia="zh-CN"/>
        </w:rPr>
        <w:t xml:space="preserve"> by PCR for the ten O serotypes listed above: the “gang-of-seven”, O5, O80 and O118 [21]. </w:t>
      </w:r>
    </w:p>
    <w:p w:rsidR="00275306" w:rsidRDefault="00275306" w:rsidP="00275306">
      <w:pPr>
        <w:pStyle w:val="MDPI21heading1"/>
        <w:rPr>
          <w:lang w:eastAsia="zh-CN"/>
        </w:rPr>
      </w:pPr>
      <w:r>
        <w:rPr>
          <w:lang w:eastAsia="zh-CN"/>
        </w:rPr>
        <w:t> </w:t>
      </w:r>
    </w:p>
    <w:p w:rsidR="00275306" w:rsidRDefault="00275306" w:rsidP="00275306">
      <w:pPr>
        <w:pStyle w:val="MDPI21heading1"/>
        <w:rPr>
          <w:lang w:eastAsia="zh-CN"/>
        </w:rPr>
      </w:pPr>
      <w:r>
        <w:rPr>
          <w:lang w:eastAsia="zh-CN"/>
        </w:rPr>
        <w:t>3. Results</w:t>
      </w:r>
    </w:p>
    <w:p w:rsidR="00275306" w:rsidRDefault="00275306" w:rsidP="00275306">
      <w:pPr>
        <w:pStyle w:val="MDPI21heading1"/>
        <w:rPr>
          <w:lang w:eastAsia="zh-CN"/>
        </w:rPr>
      </w:pPr>
    </w:p>
    <w:p w:rsidR="00275306" w:rsidRDefault="00275306" w:rsidP="00275306">
      <w:pPr>
        <w:pStyle w:val="MDPI21heading1"/>
        <w:rPr>
          <w:lang w:eastAsia="zh-CN"/>
        </w:rPr>
      </w:pPr>
      <w:proofErr w:type="gramStart"/>
      <w:r>
        <w:rPr>
          <w:lang w:eastAsia="zh-CN"/>
        </w:rPr>
        <w:t>3.1</w:t>
      </w:r>
      <w:proofErr w:type="gramEnd"/>
      <w:r>
        <w:rPr>
          <w:lang w:eastAsia="zh-CN"/>
        </w:rPr>
        <w:t xml:space="preserve"> PCR-Positive RAMS</w:t>
      </w:r>
    </w:p>
    <w:p w:rsidR="00275306" w:rsidRPr="00275306" w:rsidRDefault="00275306" w:rsidP="00275306">
      <w:pPr>
        <w:pStyle w:val="MDPI21heading1"/>
        <w:jc w:val="both"/>
        <w:rPr>
          <w:b w:val="0"/>
          <w:lang w:eastAsia="zh-CN"/>
        </w:rPr>
      </w:pPr>
      <w:r w:rsidRPr="00275306">
        <w:rPr>
          <w:b w:val="0"/>
          <w:lang w:eastAsia="zh-CN"/>
        </w:rPr>
        <w:t xml:space="preserve">Of the 233 RAMS after overnight enrichment in Lauryl-Sulfate, 148 tested positive with the triplex PCR (Table 1): 49 in </w:t>
      </w:r>
      <w:proofErr w:type="spellStart"/>
      <w:r w:rsidRPr="00275306">
        <w:rPr>
          <w:b w:val="0"/>
          <w:lang w:eastAsia="zh-CN"/>
        </w:rPr>
        <w:t>FarmA</w:t>
      </w:r>
      <w:proofErr w:type="spellEnd"/>
      <w:r w:rsidRPr="00275306">
        <w:rPr>
          <w:b w:val="0"/>
          <w:lang w:eastAsia="zh-CN"/>
        </w:rPr>
        <w:t xml:space="preserve"> (66%), 47 in </w:t>
      </w:r>
      <w:proofErr w:type="spellStart"/>
      <w:r w:rsidRPr="00275306">
        <w:rPr>
          <w:b w:val="0"/>
          <w:lang w:eastAsia="zh-CN"/>
        </w:rPr>
        <w:t>FarmB</w:t>
      </w:r>
      <w:proofErr w:type="spellEnd"/>
      <w:r w:rsidRPr="00275306">
        <w:rPr>
          <w:b w:val="0"/>
          <w:lang w:eastAsia="zh-CN"/>
        </w:rPr>
        <w:t xml:space="preserve"> (66%) and 52 in </w:t>
      </w:r>
      <w:proofErr w:type="spellStart"/>
      <w:r w:rsidRPr="00275306">
        <w:rPr>
          <w:b w:val="0"/>
          <w:lang w:eastAsia="zh-CN"/>
        </w:rPr>
        <w:t>FarmC</w:t>
      </w:r>
      <w:proofErr w:type="spellEnd"/>
      <w:r w:rsidRPr="00275306">
        <w:rPr>
          <w:b w:val="0"/>
          <w:lang w:eastAsia="zh-CN"/>
        </w:rPr>
        <w:t xml:space="preserve"> (59%). The number of PCR-positive RAMS increased with the sampling time (Table 1): at Sampling1, 13 RAMS (20%) were PCR-positive </w:t>
      </w:r>
      <w:r w:rsidRPr="00993723">
        <w:rPr>
          <w:b w:val="0"/>
          <w:i/>
          <w:lang w:eastAsia="zh-CN"/>
        </w:rPr>
        <w:t>vs.</w:t>
      </w:r>
      <w:r w:rsidRPr="00275306">
        <w:rPr>
          <w:b w:val="0"/>
          <w:lang w:eastAsia="zh-CN"/>
        </w:rPr>
        <w:t xml:space="preserve"> 50 RAMS (77%) at Sampling2 and 85 RAMS (91%) at Sampling3. Eleven of the PCR-positive RAMS were sampled from calves with signs of diarrhea. All 148 PCR-positive broths </w:t>
      </w:r>
      <w:proofErr w:type="gramStart"/>
      <w:r w:rsidRPr="00275306">
        <w:rPr>
          <w:b w:val="0"/>
          <w:lang w:eastAsia="zh-CN"/>
        </w:rPr>
        <w:t xml:space="preserve">were subsequently streaked on MC, ES, </w:t>
      </w:r>
      <w:proofErr w:type="spellStart"/>
      <w:r w:rsidRPr="00275306">
        <w:rPr>
          <w:b w:val="0"/>
          <w:lang w:eastAsia="zh-CN"/>
        </w:rPr>
        <w:t>ESTe</w:t>
      </w:r>
      <w:proofErr w:type="spellEnd"/>
      <w:r w:rsidRPr="00275306">
        <w:rPr>
          <w:b w:val="0"/>
          <w:lang w:eastAsia="zh-CN"/>
        </w:rPr>
        <w:t xml:space="preserve"> and STECB agar plates and incubated overnight at 37°C.</w:t>
      </w:r>
      <w:proofErr w:type="gramEnd"/>
    </w:p>
    <w:p w:rsidR="00275306" w:rsidRDefault="00275306" w:rsidP="00275306">
      <w:pPr>
        <w:pStyle w:val="MDPI21heading1"/>
        <w:rPr>
          <w:lang w:eastAsia="zh-CN"/>
        </w:rPr>
      </w:pPr>
    </w:p>
    <w:p w:rsidR="00275306" w:rsidRDefault="00275306" w:rsidP="00275306">
      <w:pPr>
        <w:pStyle w:val="MDPI21heading1"/>
        <w:rPr>
          <w:lang w:eastAsia="zh-CN"/>
        </w:rPr>
      </w:pPr>
      <w:proofErr w:type="gramStart"/>
      <w:r>
        <w:rPr>
          <w:lang w:eastAsia="zh-CN"/>
        </w:rPr>
        <w:t>3.2</w:t>
      </w:r>
      <w:proofErr w:type="gramEnd"/>
      <w:r>
        <w:rPr>
          <w:lang w:eastAsia="zh-CN"/>
        </w:rPr>
        <w:t xml:space="preserve"> CH- and PCR-Positive Colonies</w:t>
      </w:r>
    </w:p>
    <w:p w:rsidR="00275306" w:rsidRPr="00275306" w:rsidRDefault="00275306" w:rsidP="00275306">
      <w:pPr>
        <w:pStyle w:val="MDPI21heading1"/>
        <w:jc w:val="both"/>
        <w:rPr>
          <w:b w:val="0"/>
          <w:lang w:eastAsia="zh-CN"/>
        </w:rPr>
      </w:pPr>
      <w:r w:rsidRPr="00275306">
        <w:rPr>
          <w:b w:val="0"/>
          <w:lang w:eastAsia="zh-CN"/>
        </w:rPr>
        <w:t xml:space="preserve">Of the 2146 colonies studied, 721 were isolated on MC, 711 on ES, 233 on </w:t>
      </w:r>
      <w:proofErr w:type="spellStart"/>
      <w:r w:rsidRPr="00275306">
        <w:rPr>
          <w:b w:val="0"/>
          <w:lang w:eastAsia="zh-CN"/>
        </w:rPr>
        <w:t>ESTe</w:t>
      </w:r>
      <w:proofErr w:type="spellEnd"/>
      <w:r w:rsidRPr="00275306">
        <w:rPr>
          <w:b w:val="0"/>
          <w:lang w:eastAsia="zh-CN"/>
        </w:rPr>
        <w:t xml:space="preserve"> and 481 on STECB media. Of them, 338 (16%) from 77 RAMS (52%) tested positive with the probes for the </w:t>
      </w:r>
      <w:proofErr w:type="spellStart"/>
      <w:r w:rsidRPr="00993723">
        <w:rPr>
          <w:b w:val="0"/>
          <w:i/>
          <w:lang w:eastAsia="zh-CN"/>
        </w:rPr>
        <w:t>eae</w:t>
      </w:r>
      <w:proofErr w:type="spellEnd"/>
      <w:r w:rsidRPr="00275306">
        <w:rPr>
          <w:b w:val="0"/>
          <w:lang w:eastAsia="zh-CN"/>
        </w:rPr>
        <w:t xml:space="preserve">, </w:t>
      </w:r>
      <w:r w:rsidRPr="00993723">
        <w:rPr>
          <w:b w:val="0"/>
          <w:i/>
          <w:lang w:eastAsia="zh-CN"/>
        </w:rPr>
        <w:t>stx1</w:t>
      </w:r>
      <w:r w:rsidRPr="00275306">
        <w:rPr>
          <w:b w:val="0"/>
          <w:lang w:eastAsia="zh-CN"/>
        </w:rPr>
        <w:t xml:space="preserve"> and/or </w:t>
      </w:r>
      <w:r w:rsidRPr="00993723">
        <w:rPr>
          <w:b w:val="0"/>
          <w:i/>
          <w:lang w:eastAsia="zh-CN"/>
        </w:rPr>
        <w:t>stx2</w:t>
      </w:r>
      <w:r w:rsidRPr="00275306">
        <w:rPr>
          <w:b w:val="0"/>
          <w:lang w:eastAsia="zh-CN"/>
        </w:rPr>
        <w:t xml:space="preserve"> genes (Table 1). Of these 338 CH-positive colonies, 294 (87%) from 69 RAMS (90%) were confirmed by the triplex PCR (Table 1). Seven of the </w:t>
      </w:r>
      <w:proofErr w:type="gramStart"/>
      <w:r w:rsidRPr="00275306">
        <w:rPr>
          <w:b w:val="0"/>
          <w:lang w:eastAsia="zh-CN"/>
        </w:rPr>
        <w:t>8</w:t>
      </w:r>
      <w:proofErr w:type="gramEnd"/>
      <w:r w:rsidRPr="00275306">
        <w:rPr>
          <w:b w:val="0"/>
          <w:lang w:eastAsia="zh-CN"/>
        </w:rPr>
        <w:t xml:space="preserve"> RAMS with no confirmed PCR-positive colonies had only one or two CH-positive colonies. Some CH-positive PCR-negative colonies </w:t>
      </w:r>
      <w:proofErr w:type="gramStart"/>
      <w:r w:rsidRPr="00275306">
        <w:rPr>
          <w:b w:val="0"/>
          <w:lang w:eastAsia="zh-CN"/>
        </w:rPr>
        <w:t>were also observed</w:t>
      </w:r>
      <w:proofErr w:type="gramEnd"/>
      <w:r w:rsidRPr="00275306">
        <w:rPr>
          <w:b w:val="0"/>
          <w:lang w:eastAsia="zh-CN"/>
        </w:rPr>
        <w:t xml:space="preserve"> in 20 other RAMS. CH and PCR results </w:t>
      </w:r>
      <w:proofErr w:type="gramStart"/>
      <w:r w:rsidRPr="00275306">
        <w:rPr>
          <w:b w:val="0"/>
          <w:lang w:eastAsia="zh-CN"/>
        </w:rPr>
        <w:t>were in agreement</w:t>
      </w:r>
      <w:proofErr w:type="gramEnd"/>
      <w:r w:rsidRPr="00275306">
        <w:rPr>
          <w:b w:val="0"/>
          <w:lang w:eastAsia="zh-CN"/>
        </w:rPr>
        <w:t xml:space="preserve"> for 257 PCR-positive colonies (87%). </w:t>
      </w:r>
    </w:p>
    <w:p w:rsidR="00275306" w:rsidRPr="00275306" w:rsidRDefault="00275306" w:rsidP="00275306">
      <w:pPr>
        <w:pStyle w:val="MDPI21heading1"/>
        <w:jc w:val="both"/>
        <w:rPr>
          <w:b w:val="0"/>
          <w:lang w:eastAsia="zh-CN"/>
        </w:rPr>
      </w:pPr>
      <w:r w:rsidRPr="00275306">
        <w:rPr>
          <w:b w:val="0"/>
          <w:lang w:eastAsia="zh-CN"/>
        </w:rPr>
        <w:t xml:space="preserve">In summary, 69 of the 148 PCR-positive RAMS (47%) and of the 233 collected RAMS (30%) harbored PCR-positive colonies. Those percentages in the three farms </w:t>
      </w:r>
      <w:proofErr w:type="gramStart"/>
      <w:r w:rsidRPr="00275306">
        <w:rPr>
          <w:b w:val="0"/>
          <w:lang w:eastAsia="zh-CN"/>
        </w:rPr>
        <w:t>were:</w:t>
      </w:r>
      <w:proofErr w:type="gramEnd"/>
      <w:r w:rsidRPr="00275306">
        <w:rPr>
          <w:b w:val="0"/>
          <w:lang w:eastAsia="zh-CN"/>
        </w:rPr>
        <w:t xml:space="preserve"> 31% and 20% (</w:t>
      </w:r>
      <w:proofErr w:type="spellStart"/>
      <w:r w:rsidRPr="00275306">
        <w:rPr>
          <w:b w:val="0"/>
          <w:lang w:eastAsia="zh-CN"/>
        </w:rPr>
        <w:t>FarmA</w:t>
      </w:r>
      <w:proofErr w:type="spellEnd"/>
      <w:r w:rsidRPr="00275306">
        <w:rPr>
          <w:b w:val="0"/>
          <w:lang w:eastAsia="zh-CN"/>
        </w:rPr>
        <w:t>); 55% and 37% (</w:t>
      </w:r>
      <w:proofErr w:type="spellStart"/>
      <w:r w:rsidRPr="00275306">
        <w:rPr>
          <w:b w:val="0"/>
          <w:lang w:eastAsia="zh-CN"/>
        </w:rPr>
        <w:t>FarmB</w:t>
      </w:r>
      <w:proofErr w:type="spellEnd"/>
      <w:r w:rsidRPr="00275306">
        <w:rPr>
          <w:b w:val="0"/>
          <w:lang w:eastAsia="zh-CN"/>
        </w:rPr>
        <w:t>); 54% and 32% (</w:t>
      </w:r>
      <w:proofErr w:type="spellStart"/>
      <w:r w:rsidRPr="00275306">
        <w:rPr>
          <w:b w:val="0"/>
          <w:lang w:eastAsia="zh-CN"/>
        </w:rPr>
        <w:t>FarmC</w:t>
      </w:r>
      <w:proofErr w:type="spellEnd"/>
      <w:r w:rsidRPr="00275306">
        <w:rPr>
          <w:b w:val="0"/>
          <w:lang w:eastAsia="zh-CN"/>
        </w:rPr>
        <w:t xml:space="preserve">), respectively. The same respective percentages according to the sampling time </w:t>
      </w:r>
      <w:proofErr w:type="gramStart"/>
      <w:r w:rsidRPr="00275306">
        <w:rPr>
          <w:b w:val="0"/>
          <w:lang w:eastAsia="zh-CN"/>
        </w:rPr>
        <w:t>were:</w:t>
      </w:r>
      <w:proofErr w:type="gramEnd"/>
      <w:r w:rsidRPr="00275306">
        <w:rPr>
          <w:b w:val="0"/>
          <w:lang w:eastAsia="zh-CN"/>
        </w:rPr>
        <w:t xml:space="preserve"> 31% and 6% (Sampling1); 42% and 28% (Sampling2); 52% and 47% (Sampling3). However, the percentage of triplex PCR-positive RAMS differently increases with sampling in the </w:t>
      </w:r>
      <w:proofErr w:type="gramStart"/>
      <w:r w:rsidRPr="00275306">
        <w:rPr>
          <w:b w:val="0"/>
          <w:lang w:eastAsia="zh-CN"/>
        </w:rPr>
        <w:t>3</w:t>
      </w:r>
      <w:proofErr w:type="gramEnd"/>
      <w:r w:rsidRPr="00275306">
        <w:rPr>
          <w:b w:val="0"/>
          <w:lang w:eastAsia="zh-CN"/>
        </w:rPr>
        <w:t xml:space="preserve"> farms: in </w:t>
      </w:r>
      <w:proofErr w:type="spellStart"/>
      <w:r w:rsidRPr="00275306">
        <w:rPr>
          <w:b w:val="0"/>
          <w:lang w:eastAsia="zh-CN"/>
        </w:rPr>
        <w:t>FarmA</w:t>
      </w:r>
      <w:proofErr w:type="spellEnd"/>
      <w:r w:rsidRPr="00275306">
        <w:rPr>
          <w:b w:val="0"/>
          <w:lang w:eastAsia="zh-CN"/>
        </w:rPr>
        <w:t xml:space="preserve"> only at the Sampling3 (6%-4%-38%); in </w:t>
      </w:r>
      <w:proofErr w:type="spellStart"/>
      <w:r w:rsidRPr="00275306">
        <w:rPr>
          <w:b w:val="0"/>
          <w:lang w:eastAsia="zh-CN"/>
        </w:rPr>
        <w:t>FarmB</w:t>
      </w:r>
      <w:proofErr w:type="spellEnd"/>
      <w:r w:rsidRPr="00275306">
        <w:rPr>
          <w:b w:val="0"/>
          <w:lang w:eastAsia="zh-CN"/>
        </w:rPr>
        <w:t xml:space="preserve"> already at Sampling2 to stabilize at Sampling3 (9%-46%-55%); in Farm C consecutively from Sampling1 to Sampling2 and to Sampling3 (4%-32%-51%). </w:t>
      </w:r>
    </w:p>
    <w:p w:rsidR="00275306" w:rsidRPr="00275306" w:rsidRDefault="00275306" w:rsidP="00275306">
      <w:pPr>
        <w:pStyle w:val="MDPI21heading1"/>
        <w:jc w:val="both"/>
        <w:rPr>
          <w:b w:val="0"/>
          <w:lang w:eastAsia="zh-CN"/>
        </w:rPr>
      </w:pPr>
      <w:r w:rsidRPr="00275306">
        <w:rPr>
          <w:b w:val="0"/>
          <w:lang w:eastAsia="zh-CN"/>
        </w:rPr>
        <w:t xml:space="preserve">Seventeen RAMS harbored only one PCR-positive colony, while the remaining 52 RAMS harbored up to 15 PCR-positive colonies. Of the 11 PCR-positive RAMS from diarrheic calves, only one PCR-positive colony was isolated in </w:t>
      </w:r>
      <w:proofErr w:type="spellStart"/>
      <w:r w:rsidRPr="00275306">
        <w:rPr>
          <w:b w:val="0"/>
          <w:lang w:eastAsia="zh-CN"/>
        </w:rPr>
        <w:t>FarmA</w:t>
      </w:r>
      <w:proofErr w:type="spellEnd"/>
      <w:r w:rsidRPr="00275306">
        <w:rPr>
          <w:b w:val="0"/>
          <w:lang w:eastAsia="zh-CN"/>
        </w:rPr>
        <w:t xml:space="preserve"> at Sampling3. </w:t>
      </w:r>
    </w:p>
    <w:p w:rsidR="00275306" w:rsidRDefault="00275306" w:rsidP="00275306">
      <w:pPr>
        <w:pStyle w:val="MDPI21heading1"/>
        <w:rPr>
          <w:lang w:eastAsia="zh-CN"/>
        </w:rPr>
      </w:pPr>
    </w:p>
    <w:p w:rsidR="00275306" w:rsidRDefault="00275306" w:rsidP="00275306">
      <w:pPr>
        <w:pStyle w:val="MDPI21heading1"/>
        <w:rPr>
          <w:lang w:eastAsia="zh-CN"/>
        </w:rPr>
      </w:pPr>
      <w:r>
        <w:rPr>
          <w:lang w:eastAsia="zh-CN"/>
        </w:rPr>
        <w:t xml:space="preserve">3.3 </w:t>
      </w:r>
      <w:proofErr w:type="spellStart"/>
      <w:r>
        <w:rPr>
          <w:lang w:eastAsia="zh-CN"/>
        </w:rPr>
        <w:t>Virulotypes</w:t>
      </w:r>
      <w:proofErr w:type="spellEnd"/>
      <w:r>
        <w:rPr>
          <w:lang w:eastAsia="zh-CN"/>
        </w:rPr>
        <w:t xml:space="preserve"> of the PCR-Positive Colonies</w:t>
      </w:r>
    </w:p>
    <w:p w:rsidR="00275306" w:rsidRPr="00275306" w:rsidRDefault="00275306" w:rsidP="00275306">
      <w:pPr>
        <w:pStyle w:val="MDPI21heading1"/>
        <w:jc w:val="both"/>
        <w:rPr>
          <w:b w:val="0"/>
          <w:lang w:eastAsia="zh-CN"/>
        </w:rPr>
      </w:pPr>
      <w:r w:rsidRPr="00275306">
        <w:rPr>
          <w:b w:val="0"/>
          <w:lang w:eastAsia="zh-CN"/>
        </w:rPr>
        <w:t xml:space="preserve">The 294 PCR-positive colonies from 69 RAMS were identified as either EPEC (131 isolates including the one from one diarrheic calf), or AE-STEC (89 isolates) or STEC (74 isolates) (Table 2). EPEC </w:t>
      </w:r>
      <w:proofErr w:type="gramStart"/>
      <w:r w:rsidRPr="00275306">
        <w:rPr>
          <w:b w:val="0"/>
          <w:lang w:eastAsia="zh-CN"/>
        </w:rPr>
        <w:t>were identified</w:t>
      </w:r>
      <w:proofErr w:type="gramEnd"/>
      <w:r w:rsidRPr="00275306">
        <w:rPr>
          <w:b w:val="0"/>
          <w:lang w:eastAsia="zh-CN"/>
        </w:rPr>
        <w:t xml:space="preserve"> in 36 of the 69 RAMS with PCR-positive colonies (52%), AE-STEC in 23 RAMS (33%) and STEC in 27 RAMS (39%). Of the 52 RAMS with more than one PCR-positive colony, 4 RAMS from </w:t>
      </w:r>
      <w:proofErr w:type="spellStart"/>
      <w:r w:rsidRPr="00275306">
        <w:rPr>
          <w:b w:val="0"/>
          <w:lang w:eastAsia="zh-CN"/>
        </w:rPr>
        <w:t>FarmA</w:t>
      </w:r>
      <w:proofErr w:type="spellEnd"/>
      <w:r w:rsidRPr="00275306">
        <w:rPr>
          <w:b w:val="0"/>
          <w:lang w:eastAsia="zh-CN"/>
        </w:rPr>
        <w:t xml:space="preserve">, 6 RAMS from </w:t>
      </w:r>
      <w:proofErr w:type="spellStart"/>
      <w:r w:rsidRPr="00275306">
        <w:rPr>
          <w:b w:val="0"/>
          <w:lang w:eastAsia="zh-CN"/>
        </w:rPr>
        <w:t>FarmB</w:t>
      </w:r>
      <w:proofErr w:type="spellEnd"/>
      <w:r w:rsidRPr="00275306">
        <w:rPr>
          <w:b w:val="0"/>
          <w:lang w:eastAsia="zh-CN"/>
        </w:rPr>
        <w:t xml:space="preserve"> and 1 RAMS from </w:t>
      </w:r>
      <w:proofErr w:type="spellStart"/>
      <w:r w:rsidRPr="00275306">
        <w:rPr>
          <w:b w:val="0"/>
          <w:lang w:eastAsia="zh-CN"/>
        </w:rPr>
        <w:t>FarmC</w:t>
      </w:r>
      <w:proofErr w:type="spellEnd"/>
      <w:r w:rsidRPr="00275306">
        <w:rPr>
          <w:b w:val="0"/>
          <w:lang w:eastAsia="zh-CN"/>
        </w:rPr>
        <w:t xml:space="preserve"> harbored </w:t>
      </w:r>
      <w:r w:rsidR="001F6DB0" w:rsidRPr="001F6DB0">
        <w:rPr>
          <w:b w:val="0"/>
          <w:i/>
          <w:lang w:eastAsia="zh-CN"/>
        </w:rPr>
        <w:t>E. coli</w:t>
      </w:r>
      <w:r w:rsidRPr="00275306">
        <w:rPr>
          <w:b w:val="0"/>
          <w:lang w:eastAsia="zh-CN"/>
        </w:rPr>
        <w:t xml:space="preserve"> belonging to 2 different </w:t>
      </w:r>
      <w:proofErr w:type="spellStart"/>
      <w:r w:rsidRPr="00275306">
        <w:rPr>
          <w:b w:val="0"/>
          <w:lang w:eastAsia="zh-CN"/>
        </w:rPr>
        <w:t>pathotypes</w:t>
      </w:r>
      <w:proofErr w:type="spellEnd"/>
      <w:r w:rsidRPr="00275306">
        <w:rPr>
          <w:b w:val="0"/>
          <w:lang w:eastAsia="zh-CN"/>
        </w:rPr>
        <w:t xml:space="preserve"> while 3 RAMS from </w:t>
      </w:r>
      <w:proofErr w:type="spellStart"/>
      <w:r w:rsidRPr="00275306">
        <w:rPr>
          <w:b w:val="0"/>
          <w:lang w:eastAsia="zh-CN"/>
        </w:rPr>
        <w:t>FarmB</w:t>
      </w:r>
      <w:proofErr w:type="spellEnd"/>
      <w:r w:rsidRPr="00275306">
        <w:rPr>
          <w:b w:val="0"/>
          <w:lang w:eastAsia="zh-CN"/>
        </w:rPr>
        <w:t xml:space="preserve"> and 1 RAMS from </w:t>
      </w:r>
      <w:proofErr w:type="spellStart"/>
      <w:r w:rsidRPr="00275306">
        <w:rPr>
          <w:b w:val="0"/>
          <w:lang w:eastAsia="zh-CN"/>
        </w:rPr>
        <w:t>FarmC</w:t>
      </w:r>
      <w:proofErr w:type="spellEnd"/>
      <w:r w:rsidRPr="00275306">
        <w:rPr>
          <w:b w:val="0"/>
          <w:lang w:eastAsia="zh-CN"/>
        </w:rPr>
        <w:t xml:space="preserve"> harbored </w:t>
      </w:r>
      <w:r w:rsidR="001F6DB0" w:rsidRPr="001F6DB0">
        <w:rPr>
          <w:b w:val="0"/>
          <w:i/>
          <w:lang w:eastAsia="zh-CN"/>
        </w:rPr>
        <w:t>E. coli</w:t>
      </w:r>
      <w:r w:rsidRPr="00275306">
        <w:rPr>
          <w:b w:val="0"/>
          <w:lang w:eastAsia="zh-CN"/>
        </w:rPr>
        <w:t xml:space="preserve"> belonging to 3 different </w:t>
      </w:r>
      <w:proofErr w:type="spellStart"/>
      <w:r w:rsidRPr="00275306">
        <w:rPr>
          <w:b w:val="0"/>
          <w:lang w:eastAsia="zh-CN"/>
        </w:rPr>
        <w:t>pathotypes</w:t>
      </w:r>
      <w:proofErr w:type="spellEnd"/>
      <w:r w:rsidRPr="00275306">
        <w:rPr>
          <w:b w:val="0"/>
          <w:lang w:eastAsia="zh-CN"/>
        </w:rPr>
        <w:t xml:space="preserve">. </w:t>
      </w:r>
    </w:p>
    <w:p w:rsidR="00275306" w:rsidRPr="00275306" w:rsidRDefault="00275306" w:rsidP="00275306">
      <w:pPr>
        <w:pStyle w:val="MDPI21heading1"/>
        <w:jc w:val="both"/>
        <w:rPr>
          <w:b w:val="0"/>
          <w:lang w:eastAsia="zh-CN"/>
        </w:rPr>
      </w:pPr>
      <w:r w:rsidRPr="00275306">
        <w:rPr>
          <w:b w:val="0"/>
          <w:lang w:eastAsia="zh-CN"/>
        </w:rPr>
        <w:t xml:space="preserve">The most frequent </w:t>
      </w:r>
      <w:proofErr w:type="spellStart"/>
      <w:r w:rsidRPr="00275306">
        <w:rPr>
          <w:b w:val="0"/>
          <w:lang w:eastAsia="zh-CN"/>
        </w:rPr>
        <w:t>virulotype</w:t>
      </w:r>
      <w:proofErr w:type="spellEnd"/>
      <w:r w:rsidRPr="00275306">
        <w:rPr>
          <w:b w:val="0"/>
          <w:lang w:eastAsia="zh-CN"/>
        </w:rPr>
        <w:t xml:space="preserve"> amongst colonies was </w:t>
      </w:r>
      <w:proofErr w:type="spellStart"/>
      <w:r w:rsidRPr="001F6DB0">
        <w:rPr>
          <w:b w:val="0"/>
          <w:i/>
          <w:lang w:eastAsia="zh-CN"/>
        </w:rPr>
        <w:t>eae</w:t>
      </w:r>
      <w:proofErr w:type="spellEnd"/>
      <w:r w:rsidRPr="00275306">
        <w:rPr>
          <w:b w:val="0"/>
          <w:lang w:eastAsia="zh-CN"/>
        </w:rPr>
        <w:t xml:space="preserve">+ EPEC and the second one was </w:t>
      </w:r>
      <w:r w:rsidRPr="001F6DB0">
        <w:rPr>
          <w:b w:val="0"/>
          <w:i/>
          <w:lang w:eastAsia="zh-CN"/>
        </w:rPr>
        <w:t>stx1+stx2+</w:t>
      </w:r>
      <w:r w:rsidRPr="00275306">
        <w:rPr>
          <w:b w:val="0"/>
          <w:lang w:eastAsia="zh-CN"/>
        </w:rPr>
        <w:t xml:space="preserve"> STEC. The </w:t>
      </w:r>
      <w:r w:rsidRPr="001F6DB0">
        <w:rPr>
          <w:b w:val="0"/>
          <w:i/>
          <w:lang w:eastAsia="zh-CN"/>
        </w:rPr>
        <w:t>eae+stx1+</w:t>
      </w:r>
      <w:r w:rsidRPr="00275306">
        <w:rPr>
          <w:b w:val="0"/>
          <w:lang w:eastAsia="zh-CN"/>
        </w:rPr>
        <w:t xml:space="preserve"> and </w:t>
      </w:r>
      <w:r w:rsidRPr="001F6DB0">
        <w:rPr>
          <w:b w:val="0"/>
          <w:i/>
          <w:lang w:eastAsia="zh-CN"/>
        </w:rPr>
        <w:t>eae+stx1+stx2+</w:t>
      </w:r>
      <w:r w:rsidRPr="00275306">
        <w:rPr>
          <w:b w:val="0"/>
          <w:lang w:eastAsia="zh-CN"/>
        </w:rPr>
        <w:t xml:space="preserve"> </w:t>
      </w:r>
      <w:proofErr w:type="spellStart"/>
      <w:r w:rsidRPr="00275306">
        <w:rPr>
          <w:b w:val="0"/>
          <w:lang w:eastAsia="zh-CN"/>
        </w:rPr>
        <w:t>virulotypes</w:t>
      </w:r>
      <w:proofErr w:type="spellEnd"/>
      <w:r w:rsidRPr="00275306">
        <w:rPr>
          <w:b w:val="0"/>
          <w:lang w:eastAsia="zh-CN"/>
        </w:rPr>
        <w:t xml:space="preserve"> were the most frequent amongst AE-STEC, while the </w:t>
      </w:r>
      <w:r w:rsidRPr="001F6DB0">
        <w:rPr>
          <w:b w:val="0"/>
          <w:i/>
          <w:lang w:eastAsia="zh-CN"/>
        </w:rPr>
        <w:t>eae+stx2+</w:t>
      </w:r>
      <w:r w:rsidRPr="00275306">
        <w:rPr>
          <w:b w:val="0"/>
          <w:lang w:eastAsia="zh-CN"/>
        </w:rPr>
        <w:t xml:space="preserve"> AE-STEC and the </w:t>
      </w:r>
      <w:r w:rsidRPr="001F6DB0">
        <w:rPr>
          <w:b w:val="0"/>
          <w:i/>
          <w:lang w:eastAsia="zh-CN"/>
        </w:rPr>
        <w:t>stx1+</w:t>
      </w:r>
      <w:r w:rsidRPr="00275306">
        <w:rPr>
          <w:b w:val="0"/>
          <w:lang w:eastAsia="zh-CN"/>
        </w:rPr>
        <w:t xml:space="preserve"> STEC </w:t>
      </w:r>
      <w:proofErr w:type="spellStart"/>
      <w:r w:rsidRPr="00275306">
        <w:rPr>
          <w:b w:val="0"/>
          <w:lang w:eastAsia="zh-CN"/>
        </w:rPr>
        <w:t>virulotypes</w:t>
      </w:r>
      <w:proofErr w:type="spellEnd"/>
      <w:r w:rsidRPr="00275306">
        <w:rPr>
          <w:b w:val="0"/>
          <w:lang w:eastAsia="zh-CN"/>
        </w:rPr>
        <w:t xml:space="preserve"> were the less frequent (Table 2). </w:t>
      </w:r>
    </w:p>
    <w:p w:rsidR="00275306" w:rsidRPr="00275306" w:rsidRDefault="00275306" w:rsidP="00275306">
      <w:pPr>
        <w:pStyle w:val="MDPI21heading1"/>
        <w:jc w:val="both"/>
        <w:rPr>
          <w:b w:val="0"/>
          <w:lang w:eastAsia="zh-CN"/>
        </w:rPr>
      </w:pPr>
      <w:r w:rsidRPr="00275306">
        <w:rPr>
          <w:b w:val="0"/>
          <w:lang w:eastAsia="zh-CN"/>
        </w:rPr>
        <w:t xml:space="preserve">No calf sampled twice or thrice in </w:t>
      </w:r>
      <w:proofErr w:type="spellStart"/>
      <w:r w:rsidRPr="00275306">
        <w:rPr>
          <w:b w:val="0"/>
          <w:lang w:eastAsia="zh-CN"/>
        </w:rPr>
        <w:t>FarmA</w:t>
      </w:r>
      <w:proofErr w:type="spellEnd"/>
      <w:r w:rsidRPr="00275306">
        <w:rPr>
          <w:b w:val="0"/>
          <w:lang w:eastAsia="zh-CN"/>
        </w:rPr>
        <w:t xml:space="preserve"> was more than once positive, while 2 calves in </w:t>
      </w:r>
      <w:proofErr w:type="spellStart"/>
      <w:r w:rsidRPr="00275306">
        <w:rPr>
          <w:b w:val="0"/>
          <w:lang w:eastAsia="zh-CN"/>
        </w:rPr>
        <w:t>FarmB</w:t>
      </w:r>
      <w:proofErr w:type="spellEnd"/>
      <w:r w:rsidRPr="00275306">
        <w:rPr>
          <w:b w:val="0"/>
          <w:lang w:eastAsia="zh-CN"/>
        </w:rPr>
        <w:t xml:space="preserve"> sampled twice were twice positive, 3 calves in </w:t>
      </w:r>
      <w:proofErr w:type="spellStart"/>
      <w:r w:rsidRPr="00275306">
        <w:rPr>
          <w:b w:val="0"/>
          <w:lang w:eastAsia="zh-CN"/>
        </w:rPr>
        <w:t>FarmC</w:t>
      </w:r>
      <w:proofErr w:type="spellEnd"/>
      <w:r w:rsidRPr="00275306">
        <w:rPr>
          <w:b w:val="0"/>
          <w:lang w:eastAsia="zh-CN"/>
        </w:rPr>
        <w:t xml:space="preserve"> sampled thrice were positive twice (at the 2nd and 3rd samplings), and one calf in </w:t>
      </w:r>
      <w:proofErr w:type="spellStart"/>
      <w:r w:rsidRPr="00275306">
        <w:rPr>
          <w:b w:val="0"/>
          <w:lang w:eastAsia="zh-CN"/>
        </w:rPr>
        <w:t>FarmC</w:t>
      </w:r>
      <w:proofErr w:type="spellEnd"/>
      <w:r w:rsidRPr="00275306">
        <w:rPr>
          <w:b w:val="0"/>
          <w:lang w:eastAsia="zh-CN"/>
        </w:rPr>
        <w:t xml:space="preserve"> sampled thrice was positive 3  times. The </w:t>
      </w:r>
      <w:proofErr w:type="spellStart"/>
      <w:r w:rsidRPr="00275306">
        <w:rPr>
          <w:b w:val="0"/>
          <w:lang w:eastAsia="zh-CN"/>
        </w:rPr>
        <w:t>virulotypes</w:t>
      </w:r>
      <w:proofErr w:type="spellEnd"/>
      <w:r w:rsidRPr="00275306">
        <w:rPr>
          <w:b w:val="0"/>
          <w:lang w:eastAsia="zh-CN"/>
        </w:rPr>
        <w:t xml:space="preserve"> were identical (</w:t>
      </w:r>
      <w:proofErr w:type="spellStart"/>
      <w:r w:rsidRPr="001F6DB0">
        <w:rPr>
          <w:b w:val="0"/>
          <w:i/>
          <w:lang w:eastAsia="zh-CN"/>
        </w:rPr>
        <w:t>eae</w:t>
      </w:r>
      <w:proofErr w:type="spellEnd"/>
      <w:r w:rsidRPr="001F6DB0">
        <w:rPr>
          <w:b w:val="0"/>
          <w:i/>
          <w:lang w:eastAsia="zh-CN"/>
        </w:rPr>
        <w:t>+</w:t>
      </w:r>
      <w:r w:rsidRPr="00275306">
        <w:rPr>
          <w:b w:val="0"/>
          <w:lang w:eastAsia="zh-CN"/>
        </w:rPr>
        <w:t xml:space="preserve"> and </w:t>
      </w:r>
      <w:r w:rsidRPr="001F6DB0">
        <w:rPr>
          <w:b w:val="0"/>
          <w:i/>
          <w:lang w:eastAsia="zh-CN"/>
        </w:rPr>
        <w:t>eae+stx1+stx2+</w:t>
      </w:r>
      <w:r w:rsidRPr="00275306">
        <w:rPr>
          <w:b w:val="0"/>
          <w:lang w:eastAsia="zh-CN"/>
        </w:rPr>
        <w:t xml:space="preserve">) in only the </w:t>
      </w:r>
      <w:proofErr w:type="gramStart"/>
      <w:r w:rsidRPr="00275306">
        <w:rPr>
          <w:b w:val="0"/>
          <w:lang w:eastAsia="zh-CN"/>
        </w:rPr>
        <w:t>2</w:t>
      </w:r>
      <w:proofErr w:type="gramEnd"/>
      <w:r w:rsidRPr="00275306">
        <w:rPr>
          <w:b w:val="0"/>
          <w:lang w:eastAsia="zh-CN"/>
        </w:rPr>
        <w:t xml:space="preserve"> calves in </w:t>
      </w:r>
      <w:proofErr w:type="spellStart"/>
      <w:r w:rsidRPr="00275306">
        <w:rPr>
          <w:b w:val="0"/>
          <w:lang w:eastAsia="zh-CN"/>
        </w:rPr>
        <w:t>FarmB</w:t>
      </w:r>
      <w:proofErr w:type="spellEnd"/>
      <w:r w:rsidRPr="00275306">
        <w:rPr>
          <w:b w:val="0"/>
          <w:lang w:eastAsia="zh-CN"/>
        </w:rPr>
        <w:t xml:space="preserve"> sampled twice.  </w:t>
      </w:r>
    </w:p>
    <w:p w:rsidR="00275306" w:rsidRDefault="00275306" w:rsidP="00275306">
      <w:pPr>
        <w:pStyle w:val="MDPI21heading1"/>
        <w:rPr>
          <w:lang w:eastAsia="zh-CN"/>
        </w:rPr>
      </w:pPr>
    </w:p>
    <w:p w:rsidR="00275306" w:rsidRDefault="00275306" w:rsidP="00275306">
      <w:pPr>
        <w:pStyle w:val="MDPI21heading1"/>
        <w:rPr>
          <w:lang w:eastAsia="zh-CN"/>
        </w:rPr>
      </w:pPr>
      <w:r>
        <w:rPr>
          <w:lang w:eastAsia="zh-CN"/>
        </w:rPr>
        <w:t>3.4 O serotypes of the PCR-Positive Colonies</w:t>
      </w:r>
    </w:p>
    <w:p w:rsidR="00275306" w:rsidRPr="00275306" w:rsidRDefault="00275306" w:rsidP="00275306">
      <w:pPr>
        <w:pStyle w:val="MDPI21heading1"/>
        <w:jc w:val="both"/>
        <w:rPr>
          <w:b w:val="0"/>
          <w:lang w:eastAsia="zh-CN"/>
        </w:rPr>
      </w:pPr>
      <w:r w:rsidRPr="00275306">
        <w:rPr>
          <w:b w:val="0"/>
          <w:lang w:eastAsia="zh-CN"/>
        </w:rPr>
        <w:t xml:space="preserve">Of the 294 PCR-positive colonies, 136 (46%) tested positive for </w:t>
      </w:r>
      <w:proofErr w:type="gramStart"/>
      <w:r w:rsidRPr="00275306">
        <w:rPr>
          <w:b w:val="0"/>
          <w:lang w:eastAsia="zh-CN"/>
        </w:rPr>
        <w:t>5</w:t>
      </w:r>
      <w:proofErr w:type="gramEnd"/>
      <w:r w:rsidRPr="00275306">
        <w:rPr>
          <w:b w:val="0"/>
          <w:lang w:eastAsia="zh-CN"/>
        </w:rPr>
        <w:t xml:space="preserve"> of the 10 serotypes searched for: O26, O103, O111, O145, or O157 (Table 3). The majority of AE-STEC (73%) tested positive for one of the </w:t>
      </w:r>
      <w:proofErr w:type="gramStart"/>
      <w:r w:rsidRPr="00275306">
        <w:rPr>
          <w:b w:val="0"/>
          <w:lang w:eastAsia="zh-CN"/>
        </w:rPr>
        <w:t>5</w:t>
      </w:r>
      <w:proofErr w:type="gramEnd"/>
      <w:r w:rsidRPr="00275306">
        <w:rPr>
          <w:b w:val="0"/>
          <w:lang w:eastAsia="zh-CN"/>
        </w:rPr>
        <w:t xml:space="preserve"> O serotypes detected </w:t>
      </w:r>
      <w:r w:rsidRPr="00993723">
        <w:rPr>
          <w:b w:val="0"/>
          <w:i/>
          <w:lang w:eastAsia="zh-CN"/>
        </w:rPr>
        <w:t>vs.</w:t>
      </w:r>
      <w:r w:rsidRPr="00275306">
        <w:rPr>
          <w:b w:val="0"/>
          <w:lang w:eastAsia="zh-CN"/>
        </w:rPr>
        <w:t xml:space="preserve"> a minority of EPEC (23%) and almost half of STEC (45%). Similarly, a majority of RAMS harboring AE-STEC isolates (83%) were positive for one of those </w:t>
      </w:r>
      <w:proofErr w:type="gramStart"/>
      <w:r w:rsidRPr="00275306">
        <w:rPr>
          <w:b w:val="0"/>
          <w:lang w:eastAsia="zh-CN"/>
        </w:rPr>
        <w:t>5</w:t>
      </w:r>
      <w:proofErr w:type="gramEnd"/>
      <w:r w:rsidRPr="00275306">
        <w:rPr>
          <w:b w:val="0"/>
          <w:lang w:eastAsia="zh-CN"/>
        </w:rPr>
        <w:t xml:space="preserve"> serotypes </w:t>
      </w:r>
      <w:r w:rsidRPr="00993723">
        <w:rPr>
          <w:b w:val="0"/>
          <w:i/>
          <w:lang w:eastAsia="zh-CN"/>
        </w:rPr>
        <w:t>vs.</w:t>
      </w:r>
      <w:r w:rsidRPr="00275306">
        <w:rPr>
          <w:b w:val="0"/>
          <w:lang w:eastAsia="zh-CN"/>
        </w:rPr>
        <w:t xml:space="preserve"> </w:t>
      </w:r>
      <w:r w:rsidRPr="00275306">
        <w:rPr>
          <w:b w:val="0"/>
          <w:lang w:eastAsia="zh-CN"/>
        </w:rPr>
        <w:lastRenderedPageBreak/>
        <w:t>half of the RAMS harboring EPEC (53%) or STEC (52%) (Table 3). Nevertheless, 65% of the RAMS with EPEC and/or (AE-</w:t>
      </w:r>
      <w:proofErr w:type="gramStart"/>
      <w:r w:rsidRPr="00275306">
        <w:rPr>
          <w:b w:val="0"/>
          <w:lang w:eastAsia="zh-CN"/>
        </w:rPr>
        <w:t>)STEC</w:t>
      </w:r>
      <w:proofErr w:type="gramEnd"/>
      <w:r w:rsidRPr="00275306">
        <w:rPr>
          <w:b w:val="0"/>
          <w:lang w:eastAsia="zh-CN"/>
        </w:rPr>
        <w:t xml:space="preserve"> harbored isolates not belonging to the “gang-of-seven” serotypes.  </w:t>
      </w:r>
    </w:p>
    <w:p w:rsidR="00275306" w:rsidRPr="00275306" w:rsidRDefault="00275306" w:rsidP="00275306">
      <w:pPr>
        <w:pStyle w:val="MDPI21heading1"/>
        <w:jc w:val="both"/>
        <w:rPr>
          <w:b w:val="0"/>
          <w:lang w:eastAsia="zh-CN"/>
        </w:rPr>
      </w:pPr>
      <w:r w:rsidRPr="00275306">
        <w:rPr>
          <w:b w:val="0"/>
          <w:lang w:eastAsia="zh-CN"/>
        </w:rPr>
        <w:t xml:space="preserve">The most frequent were the O111 (62 colonies from 18 RAMS) and O145 (43 colonies from 16 RAMS) serotypes, while the O26, O103 and O157 serotypes were the less frequent. In 27 RAMS, all PCR-positive colonies, including the one from the diarrheic calf, tested negative with the PCR for the 10 searched-for serotypes. The identified serotypes </w:t>
      </w:r>
      <w:proofErr w:type="gramStart"/>
      <w:r w:rsidRPr="00275306">
        <w:rPr>
          <w:b w:val="0"/>
          <w:lang w:eastAsia="zh-CN"/>
        </w:rPr>
        <w:t>were not equally distributed</w:t>
      </w:r>
      <w:proofErr w:type="gramEnd"/>
      <w:r w:rsidRPr="00275306">
        <w:rPr>
          <w:b w:val="0"/>
          <w:lang w:eastAsia="zh-CN"/>
        </w:rPr>
        <w:t xml:space="preserve"> amongst the different </w:t>
      </w:r>
      <w:proofErr w:type="spellStart"/>
      <w:r w:rsidRPr="00275306">
        <w:rPr>
          <w:b w:val="0"/>
          <w:lang w:eastAsia="zh-CN"/>
        </w:rPr>
        <w:t>virulotypes</w:t>
      </w:r>
      <w:proofErr w:type="spellEnd"/>
      <w:r w:rsidRPr="00275306">
        <w:rPr>
          <w:b w:val="0"/>
          <w:lang w:eastAsia="zh-CN"/>
        </w:rPr>
        <w:t xml:space="preserve">, but they were all identified only amongst </w:t>
      </w:r>
      <w:proofErr w:type="spellStart"/>
      <w:r w:rsidRPr="00993723">
        <w:rPr>
          <w:b w:val="0"/>
          <w:i/>
          <w:lang w:eastAsia="zh-CN"/>
        </w:rPr>
        <w:t>eae</w:t>
      </w:r>
      <w:proofErr w:type="spellEnd"/>
      <w:r w:rsidRPr="00275306">
        <w:rPr>
          <w:b w:val="0"/>
          <w:lang w:eastAsia="zh-CN"/>
        </w:rPr>
        <w:t xml:space="preserve">+ EPEC. Of the 52 RAMS with more than one PCR-positive colony, 34 (65%) harbored EPEC, AE-STEC and/or STEC belonging to different serotypes, including unidentified ones. </w:t>
      </w:r>
    </w:p>
    <w:p w:rsidR="00275306" w:rsidRPr="00275306" w:rsidRDefault="00275306" w:rsidP="00275306">
      <w:pPr>
        <w:pStyle w:val="MDPI21heading1"/>
        <w:jc w:val="both"/>
        <w:rPr>
          <w:b w:val="0"/>
          <w:lang w:eastAsia="zh-CN"/>
        </w:rPr>
      </w:pPr>
      <w:r w:rsidRPr="00275306">
        <w:rPr>
          <w:b w:val="0"/>
          <w:lang w:eastAsia="zh-CN"/>
        </w:rPr>
        <w:t xml:space="preserve">The serotype O26 </w:t>
      </w:r>
      <w:proofErr w:type="gramStart"/>
      <w:r w:rsidRPr="00275306">
        <w:rPr>
          <w:b w:val="0"/>
          <w:lang w:eastAsia="zh-CN"/>
        </w:rPr>
        <w:t>was identified</w:t>
      </w:r>
      <w:proofErr w:type="gramEnd"/>
      <w:r w:rsidRPr="00275306">
        <w:rPr>
          <w:b w:val="0"/>
          <w:lang w:eastAsia="zh-CN"/>
        </w:rPr>
        <w:t xml:space="preserve"> only in </w:t>
      </w:r>
      <w:proofErr w:type="spellStart"/>
      <w:r w:rsidRPr="00275306">
        <w:rPr>
          <w:b w:val="0"/>
          <w:lang w:eastAsia="zh-CN"/>
        </w:rPr>
        <w:t>FarmB</w:t>
      </w:r>
      <w:proofErr w:type="spellEnd"/>
      <w:r w:rsidRPr="00275306">
        <w:rPr>
          <w:b w:val="0"/>
          <w:lang w:eastAsia="zh-CN"/>
        </w:rPr>
        <w:t xml:space="preserve"> while serotypes O157 and O103 were not detected in </w:t>
      </w:r>
      <w:proofErr w:type="spellStart"/>
      <w:r w:rsidRPr="00275306">
        <w:rPr>
          <w:b w:val="0"/>
          <w:lang w:eastAsia="zh-CN"/>
        </w:rPr>
        <w:t>FarmB</w:t>
      </w:r>
      <w:proofErr w:type="spellEnd"/>
      <w:r w:rsidRPr="00275306">
        <w:rPr>
          <w:b w:val="0"/>
          <w:lang w:eastAsia="zh-CN"/>
        </w:rPr>
        <w:t xml:space="preserve"> and </w:t>
      </w:r>
      <w:proofErr w:type="spellStart"/>
      <w:r w:rsidRPr="00275306">
        <w:rPr>
          <w:b w:val="0"/>
          <w:lang w:eastAsia="zh-CN"/>
        </w:rPr>
        <w:t>FarmC</w:t>
      </w:r>
      <w:proofErr w:type="spellEnd"/>
      <w:r w:rsidRPr="00275306">
        <w:rPr>
          <w:b w:val="0"/>
          <w:lang w:eastAsia="zh-CN"/>
        </w:rPr>
        <w:t xml:space="preserve">, respectively (Table 4). The number of serotypes identified actually increased with sampling time: from </w:t>
      </w:r>
      <w:proofErr w:type="gramStart"/>
      <w:r w:rsidRPr="00275306">
        <w:rPr>
          <w:b w:val="0"/>
          <w:lang w:eastAsia="zh-CN"/>
        </w:rPr>
        <w:t>2</w:t>
      </w:r>
      <w:proofErr w:type="gramEnd"/>
      <w:r w:rsidRPr="00275306">
        <w:rPr>
          <w:b w:val="0"/>
          <w:lang w:eastAsia="zh-CN"/>
        </w:rPr>
        <w:t xml:space="preserve"> (O111 and O145) at Sampling1 to four at Sampling2 (O26, O111, O145 and O157) and all 5 at Sampling3 (O26, O103, O111, O145 and O157). Similarly, the number of RAMS with </w:t>
      </w:r>
      <w:proofErr w:type="spellStart"/>
      <w:r w:rsidRPr="00275306">
        <w:rPr>
          <w:b w:val="0"/>
          <w:lang w:eastAsia="zh-CN"/>
        </w:rPr>
        <w:t>typeable</w:t>
      </w:r>
      <w:proofErr w:type="spellEnd"/>
      <w:r w:rsidRPr="00275306">
        <w:rPr>
          <w:b w:val="0"/>
          <w:lang w:eastAsia="zh-CN"/>
        </w:rPr>
        <w:t xml:space="preserve"> isolates also increased with sampling time, more especially those positive for the O111 and O145 serotypes (Table 4).</w:t>
      </w:r>
    </w:p>
    <w:p w:rsidR="00275306" w:rsidRPr="00275306" w:rsidRDefault="00275306" w:rsidP="00275306">
      <w:pPr>
        <w:pStyle w:val="MDPI21heading1"/>
        <w:jc w:val="both"/>
        <w:rPr>
          <w:b w:val="0"/>
          <w:lang w:eastAsia="zh-CN"/>
        </w:rPr>
      </w:pPr>
      <w:r w:rsidRPr="00275306">
        <w:rPr>
          <w:b w:val="0"/>
          <w:lang w:eastAsia="zh-CN"/>
        </w:rPr>
        <w:t xml:space="preserve">These same </w:t>
      </w:r>
      <w:proofErr w:type="gramStart"/>
      <w:r w:rsidRPr="00275306">
        <w:rPr>
          <w:b w:val="0"/>
          <w:lang w:eastAsia="zh-CN"/>
        </w:rPr>
        <w:t>2</w:t>
      </w:r>
      <w:proofErr w:type="gramEnd"/>
      <w:r w:rsidRPr="00275306">
        <w:rPr>
          <w:b w:val="0"/>
          <w:lang w:eastAsia="zh-CN"/>
        </w:rPr>
        <w:t xml:space="preserve"> serotypes O111 and O145 were identified, along with other serotypes in the 6 calves sampled twice or thrice in </w:t>
      </w:r>
      <w:proofErr w:type="spellStart"/>
      <w:r w:rsidRPr="00275306">
        <w:rPr>
          <w:b w:val="0"/>
          <w:lang w:eastAsia="zh-CN"/>
        </w:rPr>
        <w:t>FarmB</w:t>
      </w:r>
      <w:proofErr w:type="spellEnd"/>
      <w:r w:rsidRPr="00275306">
        <w:rPr>
          <w:b w:val="0"/>
          <w:lang w:eastAsia="zh-CN"/>
        </w:rPr>
        <w:t xml:space="preserve"> and </w:t>
      </w:r>
      <w:proofErr w:type="spellStart"/>
      <w:r w:rsidRPr="00275306">
        <w:rPr>
          <w:b w:val="0"/>
          <w:lang w:eastAsia="zh-CN"/>
        </w:rPr>
        <w:t>FarmC</w:t>
      </w:r>
      <w:proofErr w:type="spellEnd"/>
      <w:r w:rsidRPr="00275306">
        <w:rPr>
          <w:b w:val="0"/>
          <w:lang w:eastAsia="zh-CN"/>
        </w:rPr>
        <w:t xml:space="preserve">. Nevertheless, only one of the 2 calves positive twice in </w:t>
      </w:r>
      <w:proofErr w:type="spellStart"/>
      <w:r w:rsidRPr="00275306">
        <w:rPr>
          <w:b w:val="0"/>
          <w:lang w:eastAsia="zh-CN"/>
        </w:rPr>
        <w:t>FarmB</w:t>
      </w:r>
      <w:proofErr w:type="spellEnd"/>
      <w:r w:rsidRPr="00275306">
        <w:rPr>
          <w:b w:val="0"/>
          <w:lang w:eastAsia="zh-CN"/>
        </w:rPr>
        <w:t xml:space="preserve"> had the same serotype (O111) identified at both samplings (all isolates were </w:t>
      </w:r>
      <w:r w:rsidRPr="001303E1">
        <w:rPr>
          <w:b w:val="0"/>
          <w:i/>
          <w:lang w:eastAsia="zh-CN"/>
        </w:rPr>
        <w:t>eae+stx1+stx2+</w:t>
      </w:r>
      <w:r w:rsidRPr="00275306">
        <w:rPr>
          <w:b w:val="0"/>
          <w:lang w:eastAsia="zh-CN"/>
        </w:rPr>
        <w:t xml:space="preserve">) and the calf positive thrice in </w:t>
      </w:r>
      <w:proofErr w:type="spellStart"/>
      <w:r w:rsidRPr="00275306">
        <w:rPr>
          <w:b w:val="0"/>
          <w:lang w:eastAsia="zh-CN"/>
        </w:rPr>
        <w:t>FarmC</w:t>
      </w:r>
      <w:proofErr w:type="spellEnd"/>
      <w:r w:rsidRPr="00275306">
        <w:rPr>
          <w:b w:val="0"/>
          <w:lang w:eastAsia="zh-CN"/>
        </w:rPr>
        <w:t xml:space="preserve"> had the same serotype (O111) identified at Sampling1 and Sampling3, but the </w:t>
      </w:r>
      <w:proofErr w:type="spellStart"/>
      <w:r w:rsidRPr="00275306">
        <w:rPr>
          <w:b w:val="0"/>
          <w:lang w:eastAsia="zh-CN"/>
        </w:rPr>
        <w:t>virulotypes</w:t>
      </w:r>
      <w:proofErr w:type="spellEnd"/>
      <w:r w:rsidRPr="00275306">
        <w:rPr>
          <w:b w:val="0"/>
          <w:lang w:eastAsia="zh-CN"/>
        </w:rPr>
        <w:t xml:space="preserve"> were not identical (</w:t>
      </w:r>
      <w:r w:rsidRPr="001303E1">
        <w:rPr>
          <w:b w:val="0"/>
          <w:i/>
          <w:lang w:eastAsia="zh-CN"/>
        </w:rPr>
        <w:t>stx1+stx2+</w:t>
      </w:r>
      <w:r w:rsidRPr="00275306">
        <w:rPr>
          <w:b w:val="0"/>
          <w:lang w:eastAsia="zh-CN"/>
        </w:rPr>
        <w:t xml:space="preserve"> and </w:t>
      </w:r>
      <w:r w:rsidRPr="001303E1">
        <w:rPr>
          <w:b w:val="0"/>
          <w:i/>
          <w:lang w:eastAsia="zh-CN"/>
        </w:rPr>
        <w:t>eae+stx1+stx2+</w:t>
      </w:r>
      <w:r w:rsidRPr="00275306">
        <w:rPr>
          <w:b w:val="0"/>
          <w:lang w:eastAsia="zh-CN"/>
        </w:rPr>
        <w:t xml:space="preserve">). </w:t>
      </w:r>
    </w:p>
    <w:p w:rsidR="00275306" w:rsidRPr="00275306" w:rsidRDefault="00275306" w:rsidP="00275306">
      <w:pPr>
        <w:pStyle w:val="MDPI21heading1"/>
        <w:jc w:val="both"/>
        <w:rPr>
          <w:b w:val="0"/>
          <w:lang w:eastAsia="zh-CN"/>
        </w:rPr>
      </w:pPr>
    </w:p>
    <w:p w:rsidR="00275306" w:rsidRDefault="00275306" w:rsidP="00275306">
      <w:pPr>
        <w:pStyle w:val="MDPI21heading1"/>
        <w:rPr>
          <w:lang w:eastAsia="zh-CN"/>
        </w:rPr>
      </w:pPr>
      <w:r>
        <w:rPr>
          <w:lang w:eastAsia="zh-CN"/>
        </w:rPr>
        <w:t>3.5 Agar Media and PCR-Positive Colonies</w:t>
      </w:r>
    </w:p>
    <w:p w:rsidR="00275306" w:rsidRPr="00275306" w:rsidRDefault="00275306" w:rsidP="00275306">
      <w:pPr>
        <w:pStyle w:val="MDPI21heading1"/>
        <w:jc w:val="both"/>
        <w:rPr>
          <w:b w:val="0"/>
          <w:lang w:eastAsia="zh-CN"/>
        </w:rPr>
      </w:pPr>
      <w:r w:rsidRPr="00275306">
        <w:rPr>
          <w:b w:val="0"/>
          <w:lang w:eastAsia="zh-CN"/>
        </w:rPr>
        <w:t xml:space="preserve">The STECB medium gave the highest rate of PCR-positive colonies: 45% of the tested colonies growing on STECB were PCR-positive </w:t>
      </w:r>
      <w:r w:rsidRPr="00993723">
        <w:rPr>
          <w:b w:val="0"/>
          <w:i/>
          <w:lang w:eastAsia="zh-CN"/>
        </w:rPr>
        <w:t>vs.</w:t>
      </w:r>
      <w:r w:rsidRPr="00275306">
        <w:rPr>
          <w:b w:val="0"/>
          <w:lang w:eastAsia="zh-CN"/>
        </w:rPr>
        <w:t xml:space="preserve"> 3%-5% for the other </w:t>
      </w:r>
      <w:proofErr w:type="gramStart"/>
      <w:r w:rsidRPr="00275306">
        <w:rPr>
          <w:b w:val="0"/>
          <w:lang w:eastAsia="zh-CN"/>
        </w:rPr>
        <w:t>3</w:t>
      </w:r>
      <w:proofErr w:type="gramEnd"/>
      <w:r w:rsidRPr="00275306">
        <w:rPr>
          <w:b w:val="0"/>
          <w:lang w:eastAsia="zh-CN"/>
        </w:rPr>
        <w:t xml:space="preserve"> media. The highest rate of RAMS with PCR-positive colonies was also obtained with the STECB medium (Table 5): 54% </w:t>
      </w:r>
      <w:r w:rsidRPr="00993723">
        <w:rPr>
          <w:b w:val="0"/>
          <w:i/>
          <w:lang w:eastAsia="zh-CN"/>
        </w:rPr>
        <w:t>vs.</w:t>
      </w:r>
      <w:r w:rsidRPr="00275306">
        <w:rPr>
          <w:b w:val="0"/>
          <w:lang w:eastAsia="zh-CN"/>
        </w:rPr>
        <w:t xml:space="preserve"> 8-12% for the other </w:t>
      </w:r>
      <w:proofErr w:type="gramStart"/>
      <w:r w:rsidRPr="00275306">
        <w:rPr>
          <w:b w:val="0"/>
          <w:lang w:eastAsia="zh-CN"/>
        </w:rPr>
        <w:t>3</w:t>
      </w:r>
      <w:proofErr w:type="gramEnd"/>
      <w:r w:rsidRPr="00275306">
        <w:rPr>
          <w:b w:val="0"/>
          <w:lang w:eastAsia="zh-CN"/>
        </w:rPr>
        <w:t xml:space="preserve"> media. Similarly, 73% of the 294 PCR-positive colonies and 84% of the 69 RAMS with PCR-positive colonies </w:t>
      </w:r>
      <w:proofErr w:type="gramStart"/>
      <w:r w:rsidRPr="00275306">
        <w:rPr>
          <w:b w:val="0"/>
          <w:lang w:eastAsia="zh-CN"/>
        </w:rPr>
        <w:t>were obtained</w:t>
      </w:r>
      <w:proofErr w:type="gramEnd"/>
      <w:r w:rsidRPr="00275306">
        <w:rPr>
          <w:b w:val="0"/>
          <w:lang w:eastAsia="zh-CN"/>
        </w:rPr>
        <w:t xml:space="preserve"> with the STECB medium, </w:t>
      </w:r>
      <w:r w:rsidRPr="00993723">
        <w:rPr>
          <w:b w:val="0"/>
          <w:i/>
          <w:lang w:eastAsia="zh-CN"/>
        </w:rPr>
        <w:t>vs.</w:t>
      </w:r>
      <w:r w:rsidRPr="00275306">
        <w:rPr>
          <w:b w:val="0"/>
          <w:lang w:eastAsia="zh-CN"/>
        </w:rPr>
        <w:t xml:space="preserve"> 2%-13%, and 7%-25% for the other 3 media, respectively. Of the 52 RAMS with more than one PCR-positive colony, 13 were positive on </w:t>
      </w:r>
      <w:proofErr w:type="gramStart"/>
      <w:r w:rsidRPr="00275306">
        <w:rPr>
          <w:b w:val="0"/>
          <w:lang w:eastAsia="zh-CN"/>
        </w:rPr>
        <w:t>2</w:t>
      </w:r>
      <w:proofErr w:type="gramEnd"/>
      <w:r w:rsidRPr="00275306">
        <w:rPr>
          <w:b w:val="0"/>
          <w:lang w:eastAsia="zh-CN"/>
        </w:rPr>
        <w:t xml:space="preserve"> agar media, 4 on 3 agar media and 2 on the 4 agar media. Besides the selective properties of </w:t>
      </w:r>
      <w:proofErr w:type="spellStart"/>
      <w:r w:rsidRPr="00275306">
        <w:rPr>
          <w:b w:val="0"/>
          <w:lang w:eastAsia="zh-CN"/>
        </w:rPr>
        <w:t>ESTe</w:t>
      </w:r>
      <w:proofErr w:type="spellEnd"/>
      <w:r w:rsidRPr="00275306">
        <w:rPr>
          <w:b w:val="0"/>
          <w:lang w:eastAsia="zh-CN"/>
        </w:rPr>
        <w:t xml:space="preserve"> and STECB, there was no correlation between the agar medium and the identified </w:t>
      </w:r>
      <w:proofErr w:type="spellStart"/>
      <w:r w:rsidRPr="00275306">
        <w:rPr>
          <w:b w:val="0"/>
          <w:lang w:eastAsia="zh-CN"/>
        </w:rPr>
        <w:t>virulotypes</w:t>
      </w:r>
      <w:proofErr w:type="spellEnd"/>
      <w:r w:rsidRPr="00275306">
        <w:rPr>
          <w:b w:val="0"/>
          <w:lang w:eastAsia="zh-CN"/>
        </w:rPr>
        <w:t xml:space="preserve">. </w:t>
      </w:r>
    </w:p>
    <w:p w:rsidR="00571041" w:rsidRDefault="00275306" w:rsidP="00571041">
      <w:pPr>
        <w:pStyle w:val="MDPI22heading2"/>
        <w:rPr>
          <w:b/>
          <w:lang w:eastAsia="zh-CN"/>
        </w:rPr>
        <w:sectPr w:rsidR="00571041" w:rsidSect="004F05D7">
          <w:headerReference w:type="even" r:id="rId13"/>
          <w:headerReference w:type="default" r:id="rId14"/>
          <w:footerReference w:type="default" r:id="rId15"/>
          <w:headerReference w:type="first" r:id="rId16"/>
          <w:footerReference w:type="first" r:id="rId17"/>
          <w:pgSz w:w="11906" w:h="16838" w:code="9"/>
          <w:pgMar w:top="1417" w:right="1531" w:bottom="1077" w:left="1531" w:header="1020" w:footer="850" w:gutter="0"/>
          <w:lnNumType w:countBy="1" w:restart="continuous"/>
          <w:pgNumType w:start="1"/>
          <w:cols w:space="425"/>
          <w:titlePg/>
          <w:docGrid w:type="lines" w:linePitch="326"/>
        </w:sectPr>
      </w:pPr>
      <w:r w:rsidRPr="00275306">
        <w:rPr>
          <w:b/>
          <w:lang w:eastAsia="zh-CN"/>
        </w:rPr>
        <w:t> </w:t>
      </w:r>
    </w:p>
    <w:p w:rsidR="00571041" w:rsidRDefault="00571041" w:rsidP="00571041">
      <w:pPr>
        <w:pStyle w:val="MDPI22heading2"/>
      </w:pPr>
      <w:r w:rsidRPr="00571041">
        <w:lastRenderedPageBreak/>
        <w:t xml:space="preserve"> </w:t>
      </w:r>
      <w:r w:rsidRPr="005C5BC1">
        <w:t>Figures, Tables and Schemes</w:t>
      </w:r>
    </w:p>
    <w:p w:rsidR="00571041" w:rsidRPr="00C128C2" w:rsidRDefault="00571041" w:rsidP="00571041">
      <w:pPr>
        <w:pStyle w:val="MDPI22heading2"/>
        <w:rPr>
          <w:b/>
          <w:i w:val="0"/>
          <w:sz w:val="18"/>
          <w:szCs w:val="18"/>
          <w:lang w:eastAsia="zh-CN"/>
        </w:rPr>
      </w:pPr>
      <w:r w:rsidRPr="00C128C2">
        <w:rPr>
          <w:b/>
          <w:i w:val="0"/>
          <w:sz w:val="18"/>
          <w:szCs w:val="18"/>
          <w:lang w:eastAsia="zh-CN"/>
        </w:rPr>
        <w:t>Table 1. Results of the different tests performed on the 233 Recto-Anal Mucosal Swabs (RAMS) and isolated colonies from &lt;6-month-old calves in 3 farms during the 3 sampling times.</w:t>
      </w:r>
    </w:p>
    <w:tbl>
      <w:tblPr>
        <w:tblpPr w:leftFromText="141" w:rightFromText="141" w:vertAnchor="text" w:horzAnchor="margin" w:tblpY="362"/>
        <w:tblW w:w="13570" w:type="dxa"/>
        <w:tblBorders>
          <w:top w:val="single" w:sz="4" w:space="0" w:color="auto"/>
          <w:bottom w:val="single" w:sz="4" w:space="0" w:color="auto"/>
        </w:tblBorders>
        <w:tblLayout w:type="fixed"/>
        <w:tblLook w:val="04A0" w:firstRow="1" w:lastRow="0" w:firstColumn="1" w:lastColumn="0" w:noHBand="0" w:noVBand="1"/>
      </w:tblPr>
      <w:tblGrid>
        <w:gridCol w:w="2056"/>
        <w:gridCol w:w="1914"/>
        <w:gridCol w:w="958"/>
        <w:gridCol w:w="987"/>
        <w:gridCol w:w="993"/>
        <w:gridCol w:w="850"/>
        <w:gridCol w:w="992"/>
        <w:gridCol w:w="993"/>
        <w:gridCol w:w="850"/>
        <w:gridCol w:w="851"/>
        <w:gridCol w:w="992"/>
        <w:gridCol w:w="1134"/>
      </w:tblGrid>
      <w:tr w:rsidR="005C38CE" w:rsidRPr="005C38CE" w:rsidTr="005C38CE">
        <w:tc>
          <w:tcPr>
            <w:tcW w:w="2056" w:type="dxa"/>
            <w:vMerge w:val="restart"/>
            <w:tcBorders>
              <w:top w:val="single" w:sz="4" w:space="0" w:color="auto"/>
              <w:tl2br w:val="nil"/>
            </w:tcBorders>
            <w:shd w:val="clear" w:color="auto" w:fill="auto"/>
            <w:vAlign w:val="center"/>
          </w:tcPr>
          <w:p w:rsidR="00571041" w:rsidRPr="005C38CE" w:rsidRDefault="00571041" w:rsidP="005C38CE">
            <w:pPr>
              <w:pStyle w:val="MDPI21heading1"/>
              <w:spacing w:before="0"/>
              <w:jc w:val="both"/>
              <w:rPr>
                <w:sz w:val="18"/>
                <w:szCs w:val="18"/>
                <w:lang w:eastAsia="zh-CN"/>
              </w:rPr>
            </w:pPr>
            <w:r w:rsidRPr="005C38CE">
              <w:rPr>
                <w:sz w:val="18"/>
                <w:szCs w:val="18"/>
                <w:lang w:eastAsia="zh-CN"/>
              </w:rPr>
              <w:t>Performed tests</w:t>
            </w:r>
          </w:p>
        </w:tc>
        <w:tc>
          <w:tcPr>
            <w:tcW w:w="1914" w:type="dxa"/>
            <w:tcBorders>
              <w:top w:val="single" w:sz="4" w:space="0" w:color="auto"/>
              <w:bottom w:val="single" w:sz="4" w:space="0" w:color="auto"/>
              <w:tl2br w:val="nil"/>
            </w:tcBorders>
            <w:shd w:val="clear" w:color="auto" w:fill="auto"/>
          </w:tcPr>
          <w:p w:rsidR="00571041" w:rsidRPr="005C38CE" w:rsidRDefault="00571041" w:rsidP="005C38CE">
            <w:pPr>
              <w:pStyle w:val="MDPI21heading1"/>
              <w:spacing w:before="0"/>
              <w:jc w:val="both"/>
              <w:rPr>
                <w:sz w:val="18"/>
                <w:szCs w:val="18"/>
                <w:lang w:eastAsia="zh-CN"/>
              </w:rPr>
            </w:pPr>
            <w:r w:rsidRPr="005C38CE">
              <w:rPr>
                <w:sz w:val="18"/>
                <w:szCs w:val="18"/>
                <w:lang w:eastAsia="zh-CN"/>
              </w:rPr>
              <w:t>RAMS</w:t>
            </w:r>
          </w:p>
        </w:tc>
        <w:tc>
          <w:tcPr>
            <w:tcW w:w="9600" w:type="dxa"/>
            <w:gridSpan w:val="10"/>
            <w:tcBorders>
              <w:top w:val="single" w:sz="4" w:space="0" w:color="auto"/>
              <w:bottom w:val="single" w:sz="4" w:space="0" w:color="auto"/>
            </w:tcBorders>
            <w:shd w:val="clear" w:color="auto" w:fill="auto"/>
          </w:tcPr>
          <w:p w:rsidR="00571041" w:rsidRPr="005C38CE" w:rsidRDefault="00571041" w:rsidP="005C38CE">
            <w:pPr>
              <w:pStyle w:val="MDPI21heading1"/>
              <w:spacing w:before="0"/>
              <w:jc w:val="both"/>
              <w:rPr>
                <w:sz w:val="18"/>
                <w:szCs w:val="18"/>
                <w:lang w:eastAsia="zh-CN"/>
              </w:rPr>
            </w:pPr>
            <w:r w:rsidRPr="005C38CE">
              <w:rPr>
                <w:sz w:val="18"/>
                <w:szCs w:val="18"/>
                <w:lang w:eastAsia="zh-CN"/>
              </w:rPr>
              <w:t>N° positive RAMS (n=69)</w:t>
            </w:r>
          </w:p>
        </w:tc>
      </w:tr>
      <w:tr w:rsidR="005C38CE" w:rsidRPr="005C38CE" w:rsidTr="005C38CE">
        <w:tc>
          <w:tcPr>
            <w:tcW w:w="2056" w:type="dxa"/>
            <w:vMerge/>
            <w:tcBorders>
              <w:tl2br w:val="nil"/>
            </w:tcBorders>
            <w:shd w:val="clear" w:color="auto" w:fill="auto"/>
          </w:tcPr>
          <w:p w:rsidR="00571041" w:rsidRPr="005C38CE" w:rsidRDefault="00571041" w:rsidP="005C38CE">
            <w:pPr>
              <w:pStyle w:val="MDPI21heading1"/>
              <w:spacing w:before="0"/>
              <w:jc w:val="both"/>
              <w:rPr>
                <w:sz w:val="18"/>
                <w:szCs w:val="18"/>
                <w:lang w:eastAsia="zh-CN"/>
              </w:rPr>
            </w:pPr>
          </w:p>
        </w:tc>
        <w:tc>
          <w:tcPr>
            <w:tcW w:w="1914" w:type="dxa"/>
            <w:tcBorders>
              <w:top w:val="single" w:sz="4" w:space="0" w:color="auto"/>
              <w:bottom w:val="single" w:sz="4" w:space="0" w:color="auto"/>
              <w:tl2br w:val="nil"/>
            </w:tcBorders>
            <w:shd w:val="clear" w:color="auto" w:fill="auto"/>
          </w:tcPr>
          <w:p w:rsidR="00571041" w:rsidRPr="005C38CE" w:rsidRDefault="00571041" w:rsidP="005C38CE">
            <w:pPr>
              <w:pStyle w:val="MDPI21heading1"/>
              <w:spacing w:before="0"/>
              <w:jc w:val="both"/>
              <w:rPr>
                <w:sz w:val="18"/>
                <w:szCs w:val="18"/>
                <w:lang w:eastAsia="zh-CN"/>
              </w:rPr>
            </w:pPr>
            <w:r w:rsidRPr="005C38CE">
              <w:rPr>
                <w:sz w:val="18"/>
                <w:szCs w:val="18"/>
                <w:lang w:eastAsia="zh-CN"/>
              </w:rPr>
              <w:t>Farms</w:t>
            </w:r>
          </w:p>
        </w:tc>
        <w:tc>
          <w:tcPr>
            <w:tcW w:w="2938" w:type="dxa"/>
            <w:gridSpan w:val="3"/>
            <w:tcBorders>
              <w:top w:val="single" w:sz="4" w:space="0" w:color="auto"/>
              <w:bottom w:val="single" w:sz="4" w:space="0" w:color="auto"/>
            </w:tcBorders>
            <w:shd w:val="clear" w:color="auto" w:fill="auto"/>
          </w:tcPr>
          <w:p w:rsidR="00571041" w:rsidRPr="005C38CE" w:rsidRDefault="00571041" w:rsidP="005C38CE">
            <w:pPr>
              <w:pStyle w:val="MDPI21heading1"/>
              <w:spacing w:before="0"/>
              <w:jc w:val="both"/>
              <w:rPr>
                <w:sz w:val="18"/>
                <w:szCs w:val="18"/>
                <w:lang w:eastAsia="zh-CN"/>
              </w:rPr>
            </w:pPr>
            <w:proofErr w:type="spellStart"/>
            <w:r w:rsidRPr="005C38CE">
              <w:rPr>
                <w:sz w:val="18"/>
                <w:szCs w:val="18"/>
                <w:lang w:eastAsia="zh-CN"/>
              </w:rPr>
              <w:t>FarmA</w:t>
            </w:r>
            <w:proofErr w:type="spellEnd"/>
          </w:p>
        </w:tc>
        <w:tc>
          <w:tcPr>
            <w:tcW w:w="2835" w:type="dxa"/>
            <w:gridSpan w:val="3"/>
            <w:tcBorders>
              <w:top w:val="single" w:sz="4" w:space="0" w:color="auto"/>
              <w:bottom w:val="single" w:sz="4" w:space="0" w:color="auto"/>
            </w:tcBorders>
            <w:shd w:val="clear" w:color="auto" w:fill="auto"/>
          </w:tcPr>
          <w:p w:rsidR="00571041" w:rsidRPr="005C38CE" w:rsidRDefault="00571041" w:rsidP="005C38CE">
            <w:pPr>
              <w:pStyle w:val="MDPI21heading1"/>
              <w:spacing w:before="0"/>
              <w:jc w:val="both"/>
              <w:rPr>
                <w:sz w:val="18"/>
                <w:szCs w:val="18"/>
                <w:lang w:eastAsia="zh-CN"/>
              </w:rPr>
            </w:pPr>
            <w:proofErr w:type="spellStart"/>
            <w:r w:rsidRPr="005C38CE">
              <w:rPr>
                <w:sz w:val="18"/>
                <w:szCs w:val="18"/>
                <w:lang w:eastAsia="zh-CN"/>
              </w:rPr>
              <w:t>FarmB</w:t>
            </w:r>
            <w:proofErr w:type="spellEnd"/>
          </w:p>
        </w:tc>
        <w:tc>
          <w:tcPr>
            <w:tcW w:w="2693" w:type="dxa"/>
            <w:gridSpan w:val="3"/>
            <w:tcBorders>
              <w:top w:val="single" w:sz="4" w:space="0" w:color="auto"/>
              <w:bottom w:val="single" w:sz="4" w:space="0" w:color="auto"/>
            </w:tcBorders>
            <w:shd w:val="clear" w:color="auto" w:fill="auto"/>
          </w:tcPr>
          <w:p w:rsidR="00571041" w:rsidRPr="005C38CE" w:rsidRDefault="00571041" w:rsidP="005C38CE">
            <w:pPr>
              <w:pStyle w:val="MDPI21heading1"/>
              <w:spacing w:before="0"/>
              <w:jc w:val="both"/>
              <w:rPr>
                <w:sz w:val="18"/>
                <w:szCs w:val="18"/>
                <w:lang w:eastAsia="zh-CN"/>
              </w:rPr>
            </w:pPr>
            <w:proofErr w:type="spellStart"/>
            <w:r w:rsidRPr="005C38CE">
              <w:rPr>
                <w:sz w:val="18"/>
                <w:szCs w:val="18"/>
                <w:lang w:eastAsia="zh-CN"/>
              </w:rPr>
              <w:t>FarmC</w:t>
            </w:r>
            <w:proofErr w:type="spellEnd"/>
          </w:p>
        </w:tc>
        <w:tc>
          <w:tcPr>
            <w:tcW w:w="1134" w:type="dxa"/>
            <w:vMerge w:val="restart"/>
            <w:tcBorders>
              <w:top w:val="single" w:sz="4" w:space="0" w:color="auto"/>
            </w:tcBorders>
            <w:shd w:val="clear" w:color="auto" w:fill="auto"/>
            <w:vAlign w:val="center"/>
          </w:tcPr>
          <w:p w:rsidR="00571041" w:rsidRPr="005C38CE" w:rsidRDefault="00571041" w:rsidP="005C38CE">
            <w:pPr>
              <w:pStyle w:val="MDPI21heading1"/>
              <w:spacing w:before="0"/>
              <w:jc w:val="both"/>
              <w:rPr>
                <w:sz w:val="18"/>
                <w:szCs w:val="18"/>
                <w:lang w:eastAsia="zh-CN"/>
              </w:rPr>
            </w:pPr>
            <w:r w:rsidRPr="005C38CE">
              <w:rPr>
                <w:sz w:val="18"/>
                <w:szCs w:val="18"/>
                <w:lang w:eastAsia="zh-CN"/>
              </w:rPr>
              <w:t>Total</w:t>
            </w:r>
          </w:p>
        </w:tc>
      </w:tr>
      <w:tr w:rsidR="005C38CE" w:rsidRPr="005C38CE" w:rsidTr="005C38CE">
        <w:tc>
          <w:tcPr>
            <w:tcW w:w="2056" w:type="dxa"/>
            <w:vMerge/>
            <w:tcBorders>
              <w:bottom w:val="single" w:sz="4" w:space="0" w:color="auto"/>
              <w:tl2br w:val="nil"/>
            </w:tcBorders>
            <w:shd w:val="clear" w:color="auto" w:fill="auto"/>
          </w:tcPr>
          <w:p w:rsidR="00571041" w:rsidRPr="005C38CE" w:rsidRDefault="00571041" w:rsidP="005C38CE">
            <w:pPr>
              <w:pStyle w:val="MDPI21heading1"/>
              <w:spacing w:before="0"/>
              <w:jc w:val="both"/>
              <w:rPr>
                <w:sz w:val="18"/>
                <w:szCs w:val="18"/>
                <w:lang w:eastAsia="zh-CN"/>
              </w:rPr>
            </w:pPr>
          </w:p>
        </w:tc>
        <w:tc>
          <w:tcPr>
            <w:tcW w:w="1914" w:type="dxa"/>
            <w:tcBorders>
              <w:top w:val="single" w:sz="4" w:space="0" w:color="auto"/>
              <w:bottom w:val="single" w:sz="4" w:space="0" w:color="auto"/>
              <w:tl2br w:val="nil"/>
            </w:tcBorders>
            <w:shd w:val="clear" w:color="auto" w:fill="auto"/>
          </w:tcPr>
          <w:p w:rsidR="00571041" w:rsidRPr="005C38CE" w:rsidRDefault="00571041" w:rsidP="005C38CE">
            <w:pPr>
              <w:pStyle w:val="MDPI21heading1"/>
              <w:spacing w:before="0"/>
              <w:jc w:val="both"/>
              <w:rPr>
                <w:sz w:val="18"/>
                <w:szCs w:val="18"/>
                <w:lang w:eastAsia="zh-CN"/>
              </w:rPr>
            </w:pPr>
            <w:r w:rsidRPr="005C38CE">
              <w:rPr>
                <w:sz w:val="18"/>
                <w:szCs w:val="18"/>
                <w:lang w:eastAsia="zh-CN"/>
              </w:rPr>
              <w:t>Samplings (S)</w:t>
            </w:r>
          </w:p>
        </w:tc>
        <w:tc>
          <w:tcPr>
            <w:tcW w:w="958" w:type="dxa"/>
            <w:tcBorders>
              <w:top w:val="single" w:sz="4" w:space="0" w:color="auto"/>
              <w:bottom w:val="single" w:sz="4" w:space="0" w:color="auto"/>
            </w:tcBorders>
            <w:shd w:val="clear" w:color="auto" w:fill="auto"/>
            <w:vAlign w:val="center"/>
          </w:tcPr>
          <w:p w:rsidR="00571041" w:rsidRPr="005C38CE" w:rsidRDefault="00571041" w:rsidP="005C38CE">
            <w:pPr>
              <w:pStyle w:val="MDPI21heading1"/>
              <w:spacing w:before="0"/>
              <w:jc w:val="both"/>
              <w:rPr>
                <w:sz w:val="18"/>
                <w:szCs w:val="18"/>
                <w:lang w:eastAsia="zh-CN"/>
              </w:rPr>
            </w:pPr>
            <w:r w:rsidRPr="005C38CE">
              <w:rPr>
                <w:sz w:val="18"/>
                <w:szCs w:val="18"/>
                <w:lang w:eastAsia="zh-CN"/>
              </w:rPr>
              <w:t>S1</w:t>
            </w:r>
          </w:p>
        </w:tc>
        <w:tc>
          <w:tcPr>
            <w:tcW w:w="987" w:type="dxa"/>
            <w:tcBorders>
              <w:top w:val="single" w:sz="4" w:space="0" w:color="auto"/>
              <w:bottom w:val="single" w:sz="4" w:space="0" w:color="auto"/>
            </w:tcBorders>
            <w:shd w:val="clear" w:color="auto" w:fill="auto"/>
            <w:vAlign w:val="center"/>
          </w:tcPr>
          <w:p w:rsidR="00571041" w:rsidRPr="005C38CE" w:rsidRDefault="00571041" w:rsidP="005C38CE">
            <w:pPr>
              <w:pStyle w:val="MDPI21heading1"/>
              <w:spacing w:before="0"/>
              <w:jc w:val="both"/>
              <w:rPr>
                <w:sz w:val="18"/>
                <w:szCs w:val="18"/>
                <w:lang w:eastAsia="zh-CN"/>
              </w:rPr>
            </w:pPr>
            <w:r w:rsidRPr="005C38CE">
              <w:rPr>
                <w:sz w:val="18"/>
                <w:szCs w:val="18"/>
                <w:lang w:eastAsia="zh-CN"/>
              </w:rPr>
              <w:t>S2</w:t>
            </w:r>
          </w:p>
        </w:tc>
        <w:tc>
          <w:tcPr>
            <w:tcW w:w="993" w:type="dxa"/>
            <w:tcBorders>
              <w:top w:val="single" w:sz="4" w:space="0" w:color="auto"/>
              <w:bottom w:val="single" w:sz="4" w:space="0" w:color="auto"/>
            </w:tcBorders>
            <w:shd w:val="clear" w:color="auto" w:fill="auto"/>
            <w:vAlign w:val="center"/>
          </w:tcPr>
          <w:p w:rsidR="00571041" w:rsidRPr="005C38CE" w:rsidRDefault="00571041" w:rsidP="005C38CE">
            <w:pPr>
              <w:pStyle w:val="MDPI21heading1"/>
              <w:spacing w:before="0"/>
              <w:jc w:val="both"/>
              <w:rPr>
                <w:sz w:val="18"/>
                <w:szCs w:val="18"/>
                <w:lang w:eastAsia="zh-CN"/>
              </w:rPr>
            </w:pPr>
            <w:r w:rsidRPr="005C38CE">
              <w:rPr>
                <w:sz w:val="18"/>
                <w:szCs w:val="18"/>
                <w:lang w:eastAsia="zh-CN"/>
              </w:rPr>
              <w:t>S3</w:t>
            </w:r>
          </w:p>
        </w:tc>
        <w:tc>
          <w:tcPr>
            <w:tcW w:w="850" w:type="dxa"/>
            <w:tcBorders>
              <w:top w:val="single" w:sz="4" w:space="0" w:color="auto"/>
              <w:bottom w:val="single" w:sz="4" w:space="0" w:color="auto"/>
            </w:tcBorders>
            <w:shd w:val="clear" w:color="auto" w:fill="auto"/>
            <w:vAlign w:val="center"/>
          </w:tcPr>
          <w:p w:rsidR="00571041" w:rsidRPr="005C38CE" w:rsidRDefault="00571041" w:rsidP="005C38CE">
            <w:pPr>
              <w:pStyle w:val="MDPI21heading1"/>
              <w:spacing w:before="0"/>
              <w:jc w:val="both"/>
              <w:rPr>
                <w:sz w:val="18"/>
                <w:szCs w:val="18"/>
                <w:lang w:eastAsia="zh-CN"/>
              </w:rPr>
            </w:pPr>
            <w:r w:rsidRPr="005C38CE">
              <w:rPr>
                <w:sz w:val="18"/>
                <w:szCs w:val="18"/>
                <w:lang w:eastAsia="zh-CN"/>
              </w:rPr>
              <w:t>S1</w:t>
            </w:r>
          </w:p>
        </w:tc>
        <w:tc>
          <w:tcPr>
            <w:tcW w:w="992" w:type="dxa"/>
            <w:tcBorders>
              <w:top w:val="single" w:sz="4" w:space="0" w:color="auto"/>
              <w:bottom w:val="single" w:sz="4" w:space="0" w:color="auto"/>
            </w:tcBorders>
            <w:shd w:val="clear" w:color="auto" w:fill="auto"/>
            <w:vAlign w:val="center"/>
          </w:tcPr>
          <w:p w:rsidR="00571041" w:rsidRPr="005C38CE" w:rsidRDefault="00571041" w:rsidP="005C38CE">
            <w:pPr>
              <w:pStyle w:val="MDPI21heading1"/>
              <w:spacing w:before="0"/>
              <w:jc w:val="both"/>
              <w:rPr>
                <w:sz w:val="18"/>
                <w:szCs w:val="18"/>
                <w:lang w:eastAsia="zh-CN"/>
              </w:rPr>
            </w:pPr>
            <w:r w:rsidRPr="005C38CE">
              <w:rPr>
                <w:sz w:val="18"/>
                <w:szCs w:val="18"/>
                <w:lang w:eastAsia="zh-CN"/>
              </w:rPr>
              <w:t>S2</w:t>
            </w:r>
          </w:p>
        </w:tc>
        <w:tc>
          <w:tcPr>
            <w:tcW w:w="993" w:type="dxa"/>
            <w:tcBorders>
              <w:top w:val="single" w:sz="4" w:space="0" w:color="auto"/>
              <w:bottom w:val="single" w:sz="4" w:space="0" w:color="auto"/>
            </w:tcBorders>
            <w:shd w:val="clear" w:color="auto" w:fill="auto"/>
            <w:vAlign w:val="center"/>
          </w:tcPr>
          <w:p w:rsidR="00571041" w:rsidRPr="005C38CE" w:rsidRDefault="00571041" w:rsidP="005C38CE">
            <w:pPr>
              <w:pStyle w:val="MDPI21heading1"/>
              <w:spacing w:before="0"/>
              <w:jc w:val="both"/>
              <w:rPr>
                <w:sz w:val="18"/>
                <w:szCs w:val="18"/>
                <w:lang w:eastAsia="zh-CN"/>
              </w:rPr>
            </w:pPr>
            <w:r w:rsidRPr="005C38CE">
              <w:rPr>
                <w:sz w:val="18"/>
                <w:szCs w:val="18"/>
                <w:lang w:eastAsia="zh-CN"/>
              </w:rPr>
              <w:t>S3</w:t>
            </w:r>
          </w:p>
        </w:tc>
        <w:tc>
          <w:tcPr>
            <w:tcW w:w="850" w:type="dxa"/>
            <w:tcBorders>
              <w:top w:val="single" w:sz="4" w:space="0" w:color="auto"/>
              <w:bottom w:val="single" w:sz="4" w:space="0" w:color="auto"/>
            </w:tcBorders>
            <w:shd w:val="clear" w:color="auto" w:fill="auto"/>
            <w:vAlign w:val="center"/>
          </w:tcPr>
          <w:p w:rsidR="00571041" w:rsidRPr="005C38CE" w:rsidRDefault="00571041" w:rsidP="005C38CE">
            <w:pPr>
              <w:pStyle w:val="MDPI21heading1"/>
              <w:spacing w:before="0"/>
              <w:jc w:val="both"/>
              <w:rPr>
                <w:sz w:val="18"/>
                <w:szCs w:val="18"/>
                <w:lang w:eastAsia="zh-CN"/>
              </w:rPr>
            </w:pPr>
            <w:r w:rsidRPr="005C38CE">
              <w:rPr>
                <w:sz w:val="18"/>
                <w:szCs w:val="18"/>
                <w:lang w:eastAsia="zh-CN"/>
              </w:rPr>
              <w:t>S1</w:t>
            </w:r>
          </w:p>
        </w:tc>
        <w:tc>
          <w:tcPr>
            <w:tcW w:w="851" w:type="dxa"/>
            <w:tcBorders>
              <w:top w:val="single" w:sz="4" w:space="0" w:color="auto"/>
              <w:bottom w:val="single" w:sz="4" w:space="0" w:color="auto"/>
            </w:tcBorders>
            <w:shd w:val="clear" w:color="auto" w:fill="auto"/>
            <w:vAlign w:val="center"/>
          </w:tcPr>
          <w:p w:rsidR="00571041" w:rsidRPr="005C38CE" w:rsidRDefault="00571041" w:rsidP="005C38CE">
            <w:pPr>
              <w:pStyle w:val="MDPI21heading1"/>
              <w:spacing w:before="0"/>
              <w:jc w:val="both"/>
              <w:rPr>
                <w:sz w:val="18"/>
                <w:szCs w:val="18"/>
                <w:lang w:eastAsia="zh-CN"/>
              </w:rPr>
            </w:pPr>
            <w:r w:rsidRPr="005C38CE">
              <w:rPr>
                <w:sz w:val="18"/>
                <w:szCs w:val="18"/>
                <w:lang w:eastAsia="zh-CN"/>
              </w:rPr>
              <w:t>S2</w:t>
            </w:r>
          </w:p>
        </w:tc>
        <w:tc>
          <w:tcPr>
            <w:tcW w:w="992" w:type="dxa"/>
            <w:tcBorders>
              <w:top w:val="single" w:sz="4" w:space="0" w:color="auto"/>
              <w:bottom w:val="single" w:sz="4" w:space="0" w:color="auto"/>
            </w:tcBorders>
            <w:shd w:val="clear" w:color="auto" w:fill="auto"/>
            <w:vAlign w:val="center"/>
          </w:tcPr>
          <w:p w:rsidR="00571041" w:rsidRPr="005C38CE" w:rsidRDefault="00571041" w:rsidP="005C38CE">
            <w:pPr>
              <w:pStyle w:val="MDPI21heading1"/>
              <w:spacing w:before="0"/>
              <w:jc w:val="both"/>
              <w:rPr>
                <w:sz w:val="18"/>
                <w:szCs w:val="18"/>
                <w:lang w:eastAsia="zh-CN"/>
              </w:rPr>
            </w:pPr>
            <w:r w:rsidRPr="005C38CE">
              <w:rPr>
                <w:sz w:val="18"/>
                <w:szCs w:val="18"/>
                <w:lang w:eastAsia="zh-CN"/>
              </w:rPr>
              <w:t>S3</w:t>
            </w:r>
          </w:p>
        </w:tc>
        <w:tc>
          <w:tcPr>
            <w:tcW w:w="1134" w:type="dxa"/>
            <w:vMerge/>
            <w:tcBorders>
              <w:bottom w:val="single" w:sz="4" w:space="0" w:color="auto"/>
            </w:tcBorders>
            <w:shd w:val="clear" w:color="auto" w:fill="auto"/>
            <w:vAlign w:val="center"/>
          </w:tcPr>
          <w:p w:rsidR="00571041" w:rsidRPr="005C38CE" w:rsidRDefault="00571041" w:rsidP="005C38CE">
            <w:pPr>
              <w:pStyle w:val="MDPI21heading1"/>
              <w:spacing w:before="0"/>
              <w:jc w:val="both"/>
              <w:rPr>
                <w:sz w:val="18"/>
                <w:szCs w:val="18"/>
                <w:lang w:eastAsia="zh-CN"/>
              </w:rPr>
            </w:pPr>
          </w:p>
        </w:tc>
      </w:tr>
      <w:tr w:rsidR="005C38CE" w:rsidRPr="005C38CE" w:rsidTr="005C38CE">
        <w:tc>
          <w:tcPr>
            <w:tcW w:w="3970" w:type="dxa"/>
            <w:gridSpan w:val="2"/>
            <w:shd w:val="clear" w:color="auto" w:fill="auto"/>
            <w:vAlign w:val="center"/>
          </w:tcPr>
          <w:p w:rsidR="00571041" w:rsidRPr="005C38CE" w:rsidRDefault="00571041" w:rsidP="005C38CE">
            <w:pPr>
              <w:pStyle w:val="MDPI21heading1"/>
              <w:spacing w:before="0"/>
              <w:jc w:val="both"/>
              <w:rPr>
                <w:sz w:val="18"/>
                <w:szCs w:val="18"/>
                <w:lang w:eastAsia="zh-CN"/>
              </w:rPr>
            </w:pPr>
            <w:r w:rsidRPr="005C38CE">
              <w:rPr>
                <w:sz w:val="18"/>
                <w:szCs w:val="18"/>
                <w:lang w:eastAsia="zh-CN"/>
              </w:rPr>
              <w:t>Lauryl sulfate broth triplex PCR</w:t>
            </w:r>
          </w:p>
        </w:tc>
        <w:tc>
          <w:tcPr>
            <w:tcW w:w="958" w:type="dxa"/>
            <w:shd w:val="clear" w:color="auto" w:fill="auto"/>
            <w:vAlign w:val="center"/>
          </w:tcPr>
          <w:p w:rsidR="00571041" w:rsidRPr="005C38CE" w:rsidRDefault="00571041" w:rsidP="005C38CE">
            <w:pPr>
              <w:pStyle w:val="MDPI21heading1"/>
              <w:spacing w:before="0"/>
              <w:jc w:val="both"/>
              <w:rPr>
                <w:sz w:val="18"/>
                <w:szCs w:val="18"/>
                <w:lang w:eastAsia="zh-CN"/>
              </w:rPr>
            </w:pPr>
            <w:r w:rsidRPr="005C38CE">
              <w:rPr>
                <w:sz w:val="18"/>
                <w:szCs w:val="18"/>
                <w:lang w:eastAsia="zh-CN"/>
              </w:rPr>
              <w:t xml:space="preserve">8   (50%) </w:t>
            </w:r>
            <w:r w:rsidRPr="005C38CE">
              <w:rPr>
                <w:sz w:val="18"/>
                <w:szCs w:val="18"/>
                <w:vertAlign w:val="superscript"/>
                <w:lang w:eastAsia="zh-CN"/>
              </w:rPr>
              <w:t>1</w:t>
            </w:r>
          </w:p>
        </w:tc>
        <w:tc>
          <w:tcPr>
            <w:tcW w:w="987" w:type="dxa"/>
            <w:shd w:val="clear" w:color="auto" w:fill="auto"/>
            <w:vAlign w:val="center"/>
          </w:tcPr>
          <w:p w:rsidR="00571041" w:rsidRPr="005C38CE" w:rsidRDefault="00571041" w:rsidP="005C38CE">
            <w:pPr>
              <w:pStyle w:val="MDPI21heading1"/>
              <w:spacing w:before="0"/>
              <w:jc w:val="both"/>
              <w:rPr>
                <w:sz w:val="18"/>
                <w:szCs w:val="18"/>
                <w:lang w:eastAsia="zh-CN"/>
              </w:rPr>
            </w:pPr>
            <w:r w:rsidRPr="005C38CE">
              <w:rPr>
                <w:sz w:val="18"/>
                <w:szCs w:val="18"/>
                <w:lang w:eastAsia="zh-CN"/>
              </w:rPr>
              <w:t>8 (33%)</w:t>
            </w:r>
          </w:p>
        </w:tc>
        <w:tc>
          <w:tcPr>
            <w:tcW w:w="993" w:type="dxa"/>
            <w:shd w:val="clear" w:color="auto" w:fill="auto"/>
            <w:vAlign w:val="center"/>
          </w:tcPr>
          <w:p w:rsidR="00571041" w:rsidRPr="005C38CE" w:rsidRDefault="00571041" w:rsidP="005C38CE">
            <w:pPr>
              <w:pStyle w:val="MDPI21heading1"/>
              <w:spacing w:before="0"/>
              <w:jc w:val="both"/>
              <w:rPr>
                <w:sz w:val="18"/>
                <w:szCs w:val="18"/>
                <w:lang w:eastAsia="zh-CN"/>
              </w:rPr>
            </w:pPr>
            <w:r w:rsidRPr="005C38CE">
              <w:rPr>
                <w:sz w:val="18"/>
                <w:szCs w:val="18"/>
                <w:lang w:eastAsia="zh-CN"/>
              </w:rPr>
              <w:t>33 (97%)</w:t>
            </w:r>
          </w:p>
        </w:tc>
        <w:tc>
          <w:tcPr>
            <w:tcW w:w="850" w:type="dxa"/>
            <w:shd w:val="clear" w:color="auto" w:fill="auto"/>
            <w:vAlign w:val="center"/>
          </w:tcPr>
          <w:p w:rsidR="00571041" w:rsidRPr="005C38CE" w:rsidRDefault="00571041" w:rsidP="005C38CE">
            <w:pPr>
              <w:pStyle w:val="MDPI21heading1"/>
              <w:spacing w:before="0"/>
              <w:jc w:val="both"/>
              <w:rPr>
                <w:sz w:val="18"/>
                <w:szCs w:val="18"/>
                <w:lang w:eastAsia="zh-CN"/>
              </w:rPr>
            </w:pPr>
            <w:r w:rsidRPr="005C38CE">
              <w:rPr>
                <w:sz w:val="18"/>
                <w:szCs w:val="18"/>
                <w:lang w:eastAsia="zh-CN"/>
              </w:rPr>
              <w:t>4 (17%)</w:t>
            </w:r>
          </w:p>
        </w:tc>
        <w:tc>
          <w:tcPr>
            <w:tcW w:w="992" w:type="dxa"/>
            <w:shd w:val="clear" w:color="auto" w:fill="auto"/>
            <w:vAlign w:val="center"/>
          </w:tcPr>
          <w:p w:rsidR="00571041" w:rsidRPr="005C38CE" w:rsidRDefault="00571041" w:rsidP="005C38CE">
            <w:pPr>
              <w:pStyle w:val="MDPI21heading1"/>
              <w:spacing w:before="0"/>
              <w:jc w:val="both"/>
              <w:rPr>
                <w:sz w:val="18"/>
                <w:szCs w:val="18"/>
                <w:lang w:eastAsia="zh-CN"/>
              </w:rPr>
            </w:pPr>
            <w:r w:rsidRPr="005C38CE">
              <w:rPr>
                <w:sz w:val="18"/>
                <w:szCs w:val="18"/>
                <w:lang w:eastAsia="zh-CN"/>
              </w:rPr>
              <w:t>23 (88%)</w:t>
            </w:r>
          </w:p>
        </w:tc>
        <w:tc>
          <w:tcPr>
            <w:tcW w:w="993" w:type="dxa"/>
            <w:shd w:val="clear" w:color="auto" w:fill="auto"/>
            <w:vAlign w:val="center"/>
          </w:tcPr>
          <w:p w:rsidR="00571041" w:rsidRPr="005C38CE" w:rsidRDefault="00571041" w:rsidP="005C38CE">
            <w:pPr>
              <w:pStyle w:val="MDPI21heading1"/>
              <w:spacing w:before="0"/>
              <w:jc w:val="both"/>
              <w:rPr>
                <w:sz w:val="18"/>
                <w:szCs w:val="18"/>
                <w:lang w:eastAsia="zh-CN"/>
              </w:rPr>
            </w:pPr>
            <w:r w:rsidRPr="005C38CE">
              <w:rPr>
                <w:sz w:val="18"/>
                <w:szCs w:val="18"/>
                <w:lang w:eastAsia="zh-CN"/>
              </w:rPr>
              <w:t>20 (91%)</w:t>
            </w:r>
          </w:p>
        </w:tc>
        <w:tc>
          <w:tcPr>
            <w:tcW w:w="850" w:type="dxa"/>
            <w:shd w:val="clear" w:color="auto" w:fill="auto"/>
            <w:vAlign w:val="center"/>
          </w:tcPr>
          <w:p w:rsidR="00571041" w:rsidRPr="005C38CE" w:rsidRDefault="00571041" w:rsidP="005C38CE">
            <w:pPr>
              <w:pStyle w:val="MDPI21heading1"/>
              <w:spacing w:before="0"/>
              <w:jc w:val="both"/>
              <w:rPr>
                <w:sz w:val="18"/>
                <w:szCs w:val="18"/>
                <w:lang w:eastAsia="zh-CN"/>
              </w:rPr>
            </w:pPr>
            <w:r w:rsidRPr="005C38CE">
              <w:rPr>
                <w:sz w:val="18"/>
                <w:szCs w:val="18"/>
                <w:lang w:eastAsia="zh-CN"/>
              </w:rPr>
              <w:t>1 (4%)</w:t>
            </w:r>
          </w:p>
        </w:tc>
        <w:tc>
          <w:tcPr>
            <w:tcW w:w="851" w:type="dxa"/>
            <w:shd w:val="clear" w:color="auto" w:fill="auto"/>
            <w:vAlign w:val="center"/>
          </w:tcPr>
          <w:p w:rsidR="00571041" w:rsidRPr="005C38CE" w:rsidRDefault="00571041" w:rsidP="005C38CE">
            <w:pPr>
              <w:pStyle w:val="MDPI21heading1"/>
              <w:spacing w:before="0"/>
              <w:jc w:val="both"/>
              <w:rPr>
                <w:sz w:val="18"/>
                <w:szCs w:val="18"/>
                <w:lang w:eastAsia="zh-CN"/>
              </w:rPr>
            </w:pPr>
            <w:r w:rsidRPr="005C38CE">
              <w:rPr>
                <w:sz w:val="18"/>
                <w:szCs w:val="18"/>
                <w:lang w:eastAsia="zh-CN"/>
              </w:rPr>
              <w:t>19 (76%)</w:t>
            </w:r>
          </w:p>
        </w:tc>
        <w:tc>
          <w:tcPr>
            <w:tcW w:w="992" w:type="dxa"/>
            <w:shd w:val="clear" w:color="auto" w:fill="auto"/>
            <w:vAlign w:val="center"/>
          </w:tcPr>
          <w:p w:rsidR="00571041" w:rsidRPr="005C38CE" w:rsidRDefault="00571041" w:rsidP="005C38CE">
            <w:pPr>
              <w:pStyle w:val="MDPI21heading1"/>
              <w:spacing w:before="0"/>
              <w:jc w:val="both"/>
              <w:rPr>
                <w:sz w:val="18"/>
                <w:szCs w:val="18"/>
                <w:lang w:eastAsia="zh-CN"/>
              </w:rPr>
            </w:pPr>
            <w:r w:rsidRPr="005C38CE">
              <w:rPr>
                <w:sz w:val="18"/>
                <w:szCs w:val="18"/>
                <w:lang w:eastAsia="zh-CN"/>
              </w:rPr>
              <w:t>32 (86%)</w:t>
            </w:r>
          </w:p>
        </w:tc>
        <w:tc>
          <w:tcPr>
            <w:tcW w:w="1134" w:type="dxa"/>
            <w:shd w:val="clear" w:color="auto" w:fill="auto"/>
            <w:vAlign w:val="center"/>
          </w:tcPr>
          <w:p w:rsidR="00571041" w:rsidRPr="005C38CE" w:rsidRDefault="00571041" w:rsidP="005C38CE">
            <w:pPr>
              <w:pStyle w:val="MDPI21heading1"/>
              <w:spacing w:before="0"/>
              <w:jc w:val="both"/>
              <w:rPr>
                <w:sz w:val="18"/>
                <w:szCs w:val="18"/>
                <w:lang w:eastAsia="zh-CN"/>
              </w:rPr>
            </w:pPr>
            <w:r w:rsidRPr="005C38CE">
              <w:rPr>
                <w:sz w:val="18"/>
                <w:szCs w:val="18"/>
                <w:lang w:eastAsia="zh-CN"/>
              </w:rPr>
              <w:t>148</w:t>
            </w:r>
          </w:p>
          <w:p w:rsidR="00571041" w:rsidRPr="005C38CE" w:rsidRDefault="00571041" w:rsidP="005C38CE">
            <w:pPr>
              <w:pStyle w:val="MDPI21heading1"/>
              <w:spacing w:before="0"/>
              <w:jc w:val="both"/>
              <w:rPr>
                <w:sz w:val="18"/>
                <w:szCs w:val="18"/>
                <w:lang w:eastAsia="zh-CN"/>
              </w:rPr>
            </w:pPr>
            <w:r w:rsidRPr="005C38CE">
              <w:rPr>
                <w:sz w:val="18"/>
                <w:szCs w:val="18"/>
                <w:lang w:eastAsia="zh-CN"/>
              </w:rPr>
              <w:t>(64%)</w:t>
            </w:r>
          </w:p>
        </w:tc>
      </w:tr>
      <w:tr w:rsidR="005C38CE" w:rsidRPr="005C38CE" w:rsidTr="005C38CE">
        <w:tc>
          <w:tcPr>
            <w:tcW w:w="3970" w:type="dxa"/>
            <w:gridSpan w:val="2"/>
            <w:shd w:val="clear" w:color="auto" w:fill="auto"/>
            <w:vAlign w:val="center"/>
          </w:tcPr>
          <w:p w:rsidR="00571041" w:rsidRPr="005C38CE" w:rsidRDefault="00571041" w:rsidP="005C38CE">
            <w:pPr>
              <w:pStyle w:val="MDPI21heading1"/>
              <w:spacing w:before="0"/>
              <w:jc w:val="both"/>
              <w:rPr>
                <w:sz w:val="18"/>
                <w:szCs w:val="18"/>
                <w:lang w:eastAsia="zh-CN"/>
              </w:rPr>
            </w:pPr>
            <w:r w:rsidRPr="005C38CE">
              <w:rPr>
                <w:sz w:val="18"/>
                <w:szCs w:val="18"/>
                <w:lang w:eastAsia="zh-CN"/>
              </w:rPr>
              <w:t>Growth on the four agar media</w:t>
            </w:r>
            <w:r w:rsidRPr="005C38CE">
              <w:rPr>
                <w:sz w:val="18"/>
                <w:szCs w:val="18"/>
                <w:vertAlign w:val="superscript"/>
                <w:lang w:eastAsia="zh-CN"/>
              </w:rPr>
              <w:t xml:space="preserve"> 2</w:t>
            </w:r>
          </w:p>
        </w:tc>
        <w:tc>
          <w:tcPr>
            <w:tcW w:w="958" w:type="dxa"/>
            <w:shd w:val="clear" w:color="auto" w:fill="auto"/>
            <w:vAlign w:val="center"/>
          </w:tcPr>
          <w:p w:rsidR="00571041" w:rsidRPr="005C38CE" w:rsidRDefault="00571041" w:rsidP="005C38CE">
            <w:pPr>
              <w:pStyle w:val="MDPI21heading1"/>
              <w:spacing w:before="0"/>
              <w:jc w:val="both"/>
              <w:rPr>
                <w:sz w:val="18"/>
                <w:szCs w:val="18"/>
                <w:lang w:eastAsia="zh-CN"/>
              </w:rPr>
            </w:pPr>
            <w:r w:rsidRPr="005C38CE">
              <w:rPr>
                <w:sz w:val="18"/>
                <w:szCs w:val="18"/>
                <w:lang w:eastAsia="zh-CN"/>
              </w:rPr>
              <w:t>8</w:t>
            </w:r>
          </w:p>
          <w:p w:rsidR="00571041" w:rsidRPr="005C38CE" w:rsidRDefault="00571041" w:rsidP="005C38CE">
            <w:pPr>
              <w:pStyle w:val="MDPI21heading1"/>
              <w:spacing w:before="0"/>
              <w:jc w:val="both"/>
              <w:rPr>
                <w:sz w:val="18"/>
                <w:szCs w:val="18"/>
                <w:lang w:eastAsia="zh-CN"/>
              </w:rPr>
            </w:pPr>
            <w:r w:rsidRPr="005C38CE">
              <w:rPr>
                <w:sz w:val="18"/>
                <w:szCs w:val="18"/>
                <w:lang w:eastAsia="zh-CN"/>
              </w:rPr>
              <w:t xml:space="preserve">(70) </w:t>
            </w:r>
            <w:r w:rsidRPr="005C38CE">
              <w:rPr>
                <w:sz w:val="18"/>
                <w:szCs w:val="18"/>
                <w:vertAlign w:val="superscript"/>
                <w:lang w:eastAsia="zh-CN"/>
              </w:rPr>
              <w:t>3</w:t>
            </w:r>
          </w:p>
        </w:tc>
        <w:tc>
          <w:tcPr>
            <w:tcW w:w="987" w:type="dxa"/>
            <w:shd w:val="clear" w:color="auto" w:fill="auto"/>
            <w:vAlign w:val="center"/>
          </w:tcPr>
          <w:p w:rsidR="00571041" w:rsidRPr="005C38CE" w:rsidRDefault="00571041" w:rsidP="005C38CE">
            <w:pPr>
              <w:pStyle w:val="MDPI21heading1"/>
              <w:spacing w:before="0"/>
              <w:jc w:val="both"/>
              <w:rPr>
                <w:sz w:val="18"/>
                <w:szCs w:val="18"/>
                <w:lang w:eastAsia="zh-CN"/>
              </w:rPr>
            </w:pPr>
            <w:r w:rsidRPr="005C38CE">
              <w:rPr>
                <w:sz w:val="18"/>
                <w:szCs w:val="18"/>
                <w:lang w:eastAsia="zh-CN"/>
              </w:rPr>
              <w:t>8 (131)</w:t>
            </w:r>
          </w:p>
        </w:tc>
        <w:tc>
          <w:tcPr>
            <w:tcW w:w="993" w:type="dxa"/>
            <w:shd w:val="clear" w:color="auto" w:fill="auto"/>
            <w:vAlign w:val="center"/>
          </w:tcPr>
          <w:p w:rsidR="00571041" w:rsidRPr="005C38CE" w:rsidRDefault="00571041" w:rsidP="005C38CE">
            <w:pPr>
              <w:pStyle w:val="MDPI21heading1"/>
              <w:spacing w:before="0"/>
              <w:jc w:val="both"/>
              <w:rPr>
                <w:sz w:val="18"/>
                <w:szCs w:val="18"/>
                <w:lang w:eastAsia="zh-CN"/>
              </w:rPr>
            </w:pPr>
            <w:r w:rsidRPr="005C38CE">
              <w:rPr>
                <w:sz w:val="18"/>
                <w:szCs w:val="18"/>
                <w:lang w:eastAsia="zh-CN"/>
              </w:rPr>
              <w:t>33 (495)</w:t>
            </w:r>
          </w:p>
        </w:tc>
        <w:tc>
          <w:tcPr>
            <w:tcW w:w="850" w:type="dxa"/>
            <w:shd w:val="clear" w:color="auto" w:fill="auto"/>
            <w:vAlign w:val="center"/>
          </w:tcPr>
          <w:p w:rsidR="00571041" w:rsidRPr="005C38CE" w:rsidRDefault="00571041" w:rsidP="005C38CE">
            <w:pPr>
              <w:pStyle w:val="MDPI21heading1"/>
              <w:spacing w:before="0"/>
              <w:jc w:val="both"/>
              <w:rPr>
                <w:sz w:val="18"/>
                <w:szCs w:val="18"/>
                <w:lang w:eastAsia="zh-CN"/>
              </w:rPr>
            </w:pPr>
            <w:r w:rsidRPr="005C38CE">
              <w:rPr>
                <w:sz w:val="18"/>
                <w:szCs w:val="18"/>
                <w:lang w:eastAsia="zh-CN"/>
              </w:rPr>
              <w:t>4  (42)</w:t>
            </w:r>
          </w:p>
        </w:tc>
        <w:tc>
          <w:tcPr>
            <w:tcW w:w="992" w:type="dxa"/>
            <w:shd w:val="clear" w:color="auto" w:fill="auto"/>
            <w:vAlign w:val="center"/>
          </w:tcPr>
          <w:p w:rsidR="00571041" w:rsidRPr="005C38CE" w:rsidRDefault="00571041" w:rsidP="005C38CE">
            <w:pPr>
              <w:pStyle w:val="MDPI21heading1"/>
              <w:spacing w:before="0"/>
              <w:jc w:val="both"/>
              <w:rPr>
                <w:sz w:val="18"/>
                <w:szCs w:val="18"/>
                <w:lang w:eastAsia="zh-CN"/>
              </w:rPr>
            </w:pPr>
            <w:r w:rsidRPr="005C38CE">
              <w:rPr>
                <w:sz w:val="18"/>
                <w:szCs w:val="18"/>
                <w:lang w:eastAsia="zh-CN"/>
              </w:rPr>
              <w:t>23 (326)</w:t>
            </w:r>
          </w:p>
        </w:tc>
        <w:tc>
          <w:tcPr>
            <w:tcW w:w="993" w:type="dxa"/>
            <w:shd w:val="clear" w:color="auto" w:fill="auto"/>
            <w:vAlign w:val="center"/>
          </w:tcPr>
          <w:p w:rsidR="00571041" w:rsidRPr="005C38CE" w:rsidRDefault="00571041" w:rsidP="005C38CE">
            <w:pPr>
              <w:pStyle w:val="MDPI21heading1"/>
              <w:spacing w:before="0"/>
              <w:jc w:val="both"/>
              <w:rPr>
                <w:sz w:val="18"/>
                <w:szCs w:val="18"/>
                <w:lang w:eastAsia="zh-CN"/>
              </w:rPr>
            </w:pPr>
            <w:r w:rsidRPr="005C38CE">
              <w:rPr>
                <w:sz w:val="18"/>
                <w:szCs w:val="18"/>
                <w:lang w:eastAsia="zh-CN"/>
              </w:rPr>
              <w:t>20 (270)</w:t>
            </w:r>
          </w:p>
        </w:tc>
        <w:tc>
          <w:tcPr>
            <w:tcW w:w="850" w:type="dxa"/>
            <w:shd w:val="clear" w:color="auto" w:fill="auto"/>
            <w:vAlign w:val="center"/>
          </w:tcPr>
          <w:p w:rsidR="00571041" w:rsidRPr="005C38CE" w:rsidRDefault="00571041" w:rsidP="005C38CE">
            <w:pPr>
              <w:pStyle w:val="MDPI21heading1"/>
              <w:spacing w:before="0"/>
              <w:jc w:val="both"/>
              <w:rPr>
                <w:sz w:val="18"/>
                <w:szCs w:val="18"/>
                <w:lang w:eastAsia="zh-CN"/>
              </w:rPr>
            </w:pPr>
            <w:r w:rsidRPr="005C38CE">
              <w:rPr>
                <w:sz w:val="18"/>
                <w:szCs w:val="18"/>
                <w:lang w:eastAsia="zh-CN"/>
              </w:rPr>
              <w:t>1  (14)</w:t>
            </w:r>
          </w:p>
        </w:tc>
        <w:tc>
          <w:tcPr>
            <w:tcW w:w="851" w:type="dxa"/>
            <w:shd w:val="clear" w:color="auto" w:fill="auto"/>
            <w:vAlign w:val="center"/>
          </w:tcPr>
          <w:p w:rsidR="00571041" w:rsidRPr="005C38CE" w:rsidRDefault="00571041" w:rsidP="005C38CE">
            <w:pPr>
              <w:pStyle w:val="MDPI21heading1"/>
              <w:spacing w:before="0"/>
              <w:jc w:val="both"/>
              <w:rPr>
                <w:sz w:val="18"/>
                <w:szCs w:val="18"/>
                <w:lang w:eastAsia="zh-CN"/>
              </w:rPr>
            </w:pPr>
            <w:r w:rsidRPr="005C38CE">
              <w:rPr>
                <w:sz w:val="18"/>
                <w:szCs w:val="18"/>
                <w:lang w:eastAsia="zh-CN"/>
              </w:rPr>
              <w:t>19 (294)</w:t>
            </w:r>
          </w:p>
        </w:tc>
        <w:tc>
          <w:tcPr>
            <w:tcW w:w="992" w:type="dxa"/>
            <w:shd w:val="clear" w:color="auto" w:fill="auto"/>
            <w:vAlign w:val="center"/>
          </w:tcPr>
          <w:p w:rsidR="00571041" w:rsidRPr="005C38CE" w:rsidRDefault="00571041" w:rsidP="005C38CE">
            <w:pPr>
              <w:pStyle w:val="MDPI21heading1"/>
              <w:spacing w:before="0"/>
              <w:jc w:val="both"/>
              <w:rPr>
                <w:sz w:val="18"/>
                <w:szCs w:val="18"/>
                <w:lang w:eastAsia="zh-CN"/>
              </w:rPr>
            </w:pPr>
            <w:r w:rsidRPr="005C38CE">
              <w:rPr>
                <w:sz w:val="18"/>
                <w:szCs w:val="18"/>
                <w:lang w:eastAsia="zh-CN"/>
              </w:rPr>
              <w:t>32 (504)</w:t>
            </w:r>
          </w:p>
        </w:tc>
        <w:tc>
          <w:tcPr>
            <w:tcW w:w="1134" w:type="dxa"/>
            <w:shd w:val="clear" w:color="auto" w:fill="auto"/>
            <w:vAlign w:val="center"/>
          </w:tcPr>
          <w:p w:rsidR="00571041" w:rsidRPr="005C38CE" w:rsidRDefault="00571041" w:rsidP="005C38CE">
            <w:pPr>
              <w:pStyle w:val="MDPI21heading1"/>
              <w:spacing w:before="0"/>
              <w:jc w:val="both"/>
              <w:rPr>
                <w:sz w:val="18"/>
                <w:szCs w:val="18"/>
                <w:lang w:eastAsia="zh-CN"/>
              </w:rPr>
            </w:pPr>
            <w:r w:rsidRPr="005C38CE">
              <w:rPr>
                <w:sz w:val="18"/>
                <w:szCs w:val="18"/>
                <w:lang w:eastAsia="zh-CN"/>
              </w:rPr>
              <w:t>148</w:t>
            </w:r>
          </w:p>
          <w:p w:rsidR="00571041" w:rsidRPr="005C38CE" w:rsidRDefault="00571041" w:rsidP="005C38CE">
            <w:pPr>
              <w:pStyle w:val="MDPI21heading1"/>
              <w:spacing w:before="0"/>
              <w:jc w:val="both"/>
              <w:rPr>
                <w:sz w:val="18"/>
                <w:szCs w:val="18"/>
                <w:lang w:eastAsia="zh-CN"/>
              </w:rPr>
            </w:pPr>
            <w:r w:rsidRPr="005C38CE">
              <w:rPr>
                <w:sz w:val="18"/>
                <w:szCs w:val="18"/>
                <w:lang w:eastAsia="zh-CN"/>
              </w:rPr>
              <w:t>(2146)</w:t>
            </w:r>
          </w:p>
        </w:tc>
      </w:tr>
      <w:tr w:rsidR="005C38CE" w:rsidRPr="005C38CE" w:rsidTr="005C38CE">
        <w:tc>
          <w:tcPr>
            <w:tcW w:w="3970" w:type="dxa"/>
            <w:gridSpan w:val="2"/>
            <w:shd w:val="clear" w:color="auto" w:fill="auto"/>
            <w:vAlign w:val="center"/>
          </w:tcPr>
          <w:p w:rsidR="00571041" w:rsidRPr="005C38CE" w:rsidRDefault="00571041" w:rsidP="005C38CE">
            <w:pPr>
              <w:pStyle w:val="MDPI21heading1"/>
              <w:spacing w:before="0"/>
              <w:jc w:val="both"/>
              <w:rPr>
                <w:sz w:val="18"/>
                <w:szCs w:val="18"/>
                <w:lang w:eastAsia="zh-CN"/>
              </w:rPr>
            </w:pPr>
            <w:r w:rsidRPr="005C38CE">
              <w:rPr>
                <w:sz w:val="18"/>
                <w:szCs w:val="18"/>
                <w:lang w:eastAsia="zh-CN"/>
              </w:rPr>
              <w:t xml:space="preserve">Colony triplex hybridization (CH) </w:t>
            </w:r>
            <w:r w:rsidRPr="005C38CE">
              <w:rPr>
                <w:sz w:val="18"/>
                <w:szCs w:val="18"/>
                <w:vertAlign w:val="superscript"/>
                <w:lang w:eastAsia="zh-CN"/>
              </w:rPr>
              <w:t>4</w:t>
            </w:r>
          </w:p>
        </w:tc>
        <w:tc>
          <w:tcPr>
            <w:tcW w:w="958" w:type="dxa"/>
            <w:shd w:val="clear" w:color="auto" w:fill="auto"/>
            <w:vAlign w:val="center"/>
          </w:tcPr>
          <w:p w:rsidR="00571041" w:rsidRPr="005C38CE" w:rsidRDefault="00571041" w:rsidP="005C38CE">
            <w:pPr>
              <w:pStyle w:val="MDPI21heading1"/>
              <w:spacing w:before="0"/>
              <w:jc w:val="both"/>
              <w:rPr>
                <w:sz w:val="18"/>
                <w:szCs w:val="18"/>
                <w:lang w:eastAsia="zh-CN"/>
              </w:rPr>
            </w:pPr>
            <w:r w:rsidRPr="005C38CE">
              <w:rPr>
                <w:sz w:val="18"/>
                <w:szCs w:val="18"/>
                <w:lang w:eastAsia="zh-CN"/>
              </w:rPr>
              <w:t xml:space="preserve">3     </w:t>
            </w:r>
            <w:r w:rsidRPr="005C38CE">
              <w:rPr>
                <w:sz w:val="18"/>
                <w:szCs w:val="18"/>
                <w:vertAlign w:val="superscript"/>
                <w:lang w:eastAsia="zh-CN"/>
              </w:rPr>
              <w:t xml:space="preserve"> </w:t>
            </w:r>
            <w:r w:rsidRPr="005C38CE">
              <w:rPr>
                <w:sz w:val="18"/>
                <w:szCs w:val="18"/>
                <w:lang w:eastAsia="zh-CN"/>
              </w:rPr>
              <w:t xml:space="preserve">(14) </w:t>
            </w:r>
            <w:r w:rsidRPr="005C38CE">
              <w:rPr>
                <w:sz w:val="18"/>
                <w:szCs w:val="18"/>
                <w:vertAlign w:val="superscript"/>
                <w:lang w:eastAsia="zh-CN"/>
              </w:rPr>
              <w:t>5</w:t>
            </w:r>
          </w:p>
        </w:tc>
        <w:tc>
          <w:tcPr>
            <w:tcW w:w="987" w:type="dxa"/>
            <w:shd w:val="clear" w:color="auto" w:fill="auto"/>
            <w:vAlign w:val="center"/>
          </w:tcPr>
          <w:p w:rsidR="00571041" w:rsidRPr="005C38CE" w:rsidRDefault="00571041" w:rsidP="005C38CE">
            <w:pPr>
              <w:pStyle w:val="MDPI21heading1"/>
              <w:spacing w:before="0"/>
              <w:jc w:val="both"/>
              <w:rPr>
                <w:sz w:val="18"/>
                <w:szCs w:val="18"/>
                <w:lang w:eastAsia="zh-CN"/>
              </w:rPr>
            </w:pPr>
            <w:r w:rsidRPr="005C38CE">
              <w:rPr>
                <w:sz w:val="18"/>
                <w:szCs w:val="18"/>
                <w:lang w:eastAsia="zh-CN"/>
              </w:rPr>
              <w:t>3     (4)</w:t>
            </w:r>
          </w:p>
        </w:tc>
        <w:tc>
          <w:tcPr>
            <w:tcW w:w="993" w:type="dxa"/>
            <w:shd w:val="clear" w:color="auto" w:fill="auto"/>
            <w:vAlign w:val="center"/>
          </w:tcPr>
          <w:p w:rsidR="00571041" w:rsidRPr="005C38CE" w:rsidRDefault="00571041" w:rsidP="005C38CE">
            <w:pPr>
              <w:pStyle w:val="MDPI21heading1"/>
              <w:spacing w:before="0"/>
              <w:jc w:val="both"/>
              <w:rPr>
                <w:sz w:val="18"/>
                <w:szCs w:val="18"/>
                <w:lang w:eastAsia="zh-CN"/>
              </w:rPr>
            </w:pPr>
            <w:r w:rsidRPr="005C38CE">
              <w:rPr>
                <w:sz w:val="18"/>
                <w:szCs w:val="18"/>
                <w:lang w:eastAsia="zh-CN"/>
              </w:rPr>
              <w:t>13  (50)</w:t>
            </w:r>
          </w:p>
        </w:tc>
        <w:tc>
          <w:tcPr>
            <w:tcW w:w="850" w:type="dxa"/>
            <w:shd w:val="clear" w:color="auto" w:fill="auto"/>
            <w:vAlign w:val="center"/>
          </w:tcPr>
          <w:p w:rsidR="00571041" w:rsidRPr="005C38CE" w:rsidRDefault="00571041" w:rsidP="005C38CE">
            <w:pPr>
              <w:pStyle w:val="MDPI21heading1"/>
              <w:spacing w:before="0"/>
              <w:jc w:val="both"/>
              <w:rPr>
                <w:sz w:val="18"/>
                <w:szCs w:val="18"/>
                <w:lang w:eastAsia="zh-CN"/>
              </w:rPr>
            </w:pPr>
            <w:r w:rsidRPr="005C38CE">
              <w:rPr>
                <w:sz w:val="18"/>
                <w:szCs w:val="18"/>
                <w:lang w:eastAsia="zh-CN"/>
              </w:rPr>
              <w:t>3  (14)</w:t>
            </w:r>
          </w:p>
        </w:tc>
        <w:tc>
          <w:tcPr>
            <w:tcW w:w="992" w:type="dxa"/>
            <w:shd w:val="clear" w:color="auto" w:fill="auto"/>
            <w:vAlign w:val="center"/>
          </w:tcPr>
          <w:p w:rsidR="00571041" w:rsidRPr="005C38CE" w:rsidRDefault="00571041" w:rsidP="005C38CE">
            <w:pPr>
              <w:pStyle w:val="MDPI21heading1"/>
              <w:spacing w:before="0"/>
              <w:jc w:val="both"/>
              <w:rPr>
                <w:sz w:val="18"/>
                <w:szCs w:val="18"/>
                <w:lang w:eastAsia="zh-CN"/>
              </w:rPr>
            </w:pPr>
            <w:r w:rsidRPr="005C38CE">
              <w:rPr>
                <w:sz w:val="18"/>
                <w:szCs w:val="18"/>
                <w:lang w:eastAsia="zh-CN"/>
              </w:rPr>
              <w:t>13  (59)</w:t>
            </w:r>
          </w:p>
        </w:tc>
        <w:tc>
          <w:tcPr>
            <w:tcW w:w="993" w:type="dxa"/>
            <w:shd w:val="clear" w:color="auto" w:fill="auto"/>
            <w:vAlign w:val="center"/>
          </w:tcPr>
          <w:p w:rsidR="00571041" w:rsidRPr="005C38CE" w:rsidRDefault="00571041" w:rsidP="005C38CE">
            <w:pPr>
              <w:pStyle w:val="MDPI21heading1"/>
              <w:spacing w:before="0"/>
              <w:jc w:val="both"/>
              <w:rPr>
                <w:sz w:val="18"/>
                <w:szCs w:val="18"/>
                <w:lang w:eastAsia="zh-CN"/>
              </w:rPr>
            </w:pPr>
            <w:r w:rsidRPr="005C38CE">
              <w:rPr>
                <w:sz w:val="18"/>
                <w:szCs w:val="18"/>
                <w:lang w:eastAsia="zh-CN"/>
              </w:rPr>
              <w:t>12  (58)</w:t>
            </w:r>
          </w:p>
        </w:tc>
        <w:tc>
          <w:tcPr>
            <w:tcW w:w="850" w:type="dxa"/>
            <w:shd w:val="clear" w:color="auto" w:fill="auto"/>
            <w:vAlign w:val="center"/>
          </w:tcPr>
          <w:p w:rsidR="00571041" w:rsidRPr="005C38CE" w:rsidRDefault="00AE76D7" w:rsidP="005C38CE">
            <w:pPr>
              <w:pStyle w:val="MDPI21heading1"/>
              <w:spacing w:before="0"/>
              <w:jc w:val="both"/>
              <w:rPr>
                <w:sz w:val="18"/>
                <w:szCs w:val="18"/>
                <w:lang w:eastAsia="zh-CN"/>
              </w:rPr>
            </w:pPr>
            <w:r w:rsidRPr="005C38CE">
              <w:rPr>
                <w:sz w:val="18"/>
                <w:szCs w:val="18"/>
                <w:lang w:eastAsia="zh-CN"/>
              </w:rPr>
              <w:t xml:space="preserve">1 </w:t>
            </w:r>
            <w:r w:rsidR="00571041" w:rsidRPr="005C38CE">
              <w:rPr>
                <w:sz w:val="18"/>
                <w:szCs w:val="18"/>
                <w:lang w:eastAsia="zh-CN"/>
              </w:rPr>
              <w:t xml:space="preserve"> (5)</w:t>
            </w:r>
          </w:p>
        </w:tc>
        <w:tc>
          <w:tcPr>
            <w:tcW w:w="851" w:type="dxa"/>
            <w:shd w:val="clear" w:color="auto" w:fill="auto"/>
            <w:vAlign w:val="center"/>
          </w:tcPr>
          <w:p w:rsidR="00571041" w:rsidRPr="005C38CE" w:rsidRDefault="00571041" w:rsidP="005C38CE">
            <w:pPr>
              <w:pStyle w:val="MDPI21heading1"/>
              <w:spacing w:before="0"/>
              <w:jc w:val="both"/>
              <w:rPr>
                <w:sz w:val="18"/>
                <w:szCs w:val="18"/>
                <w:lang w:eastAsia="zh-CN"/>
              </w:rPr>
            </w:pPr>
            <w:r w:rsidRPr="005C38CE">
              <w:rPr>
                <w:sz w:val="18"/>
                <w:szCs w:val="18"/>
                <w:lang w:eastAsia="zh-CN"/>
              </w:rPr>
              <w:t>8  (34)</w:t>
            </w:r>
          </w:p>
        </w:tc>
        <w:tc>
          <w:tcPr>
            <w:tcW w:w="992" w:type="dxa"/>
            <w:shd w:val="clear" w:color="auto" w:fill="auto"/>
            <w:vAlign w:val="center"/>
          </w:tcPr>
          <w:p w:rsidR="00571041" w:rsidRPr="005C38CE" w:rsidRDefault="00571041" w:rsidP="005C38CE">
            <w:pPr>
              <w:pStyle w:val="MDPI21heading1"/>
              <w:spacing w:before="0"/>
              <w:jc w:val="both"/>
              <w:rPr>
                <w:sz w:val="18"/>
                <w:szCs w:val="18"/>
                <w:lang w:eastAsia="zh-CN"/>
              </w:rPr>
            </w:pPr>
            <w:r w:rsidRPr="005C38CE">
              <w:rPr>
                <w:sz w:val="18"/>
                <w:szCs w:val="18"/>
                <w:lang w:eastAsia="zh-CN"/>
              </w:rPr>
              <w:t>21 (100)</w:t>
            </w:r>
          </w:p>
        </w:tc>
        <w:tc>
          <w:tcPr>
            <w:tcW w:w="1134" w:type="dxa"/>
            <w:shd w:val="clear" w:color="auto" w:fill="auto"/>
            <w:vAlign w:val="center"/>
          </w:tcPr>
          <w:p w:rsidR="00571041" w:rsidRPr="005C38CE" w:rsidRDefault="00571041" w:rsidP="005C38CE">
            <w:pPr>
              <w:pStyle w:val="MDPI21heading1"/>
              <w:spacing w:before="0"/>
              <w:jc w:val="both"/>
              <w:rPr>
                <w:sz w:val="18"/>
                <w:szCs w:val="18"/>
                <w:lang w:eastAsia="zh-CN"/>
              </w:rPr>
            </w:pPr>
            <w:r w:rsidRPr="005C38CE">
              <w:rPr>
                <w:sz w:val="18"/>
                <w:szCs w:val="18"/>
                <w:lang w:eastAsia="zh-CN"/>
              </w:rPr>
              <w:t>77</w:t>
            </w:r>
          </w:p>
          <w:p w:rsidR="00571041" w:rsidRPr="005C38CE" w:rsidRDefault="00571041" w:rsidP="005C38CE">
            <w:pPr>
              <w:pStyle w:val="MDPI21heading1"/>
              <w:spacing w:before="0"/>
              <w:jc w:val="both"/>
              <w:rPr>
                <w:sz w:val="18"/>
                <w:szCs w:val="18"/>
                <w:lang w:eastAsia="zh-CN"/>
              </w:rPr>
            </w:pPr>
            <w:r w:rsidRPr="005C38CE">
              <w:rPr>
                <w:sz w:val="18"/>
                <w:szCs w:val="18"/>
                <w:lang w:eastAsia="zh-CN"/>
              </w:rPr>
              <w:t>(338)</w:t>
            </w:r>
          </w:p>
        </w:tc>
      </w:tr>
      <w:tr w:rsidR="005C38CE" w:rsidRPr="005C38CE" w:rsidTr="005C38CE">
        <w:tc>
          <w:tcPr>
            <w:tcW w:w="3970" w:type="dxa"/>
            <w:gridSpan w:val="2"/>
            <w:shd w:val="clear" w:color="auto" w:fill="auto"/>
            <w:vAlign w:val="center"/>
          </w:tcPr>
          <w:p w:rsidR="00571041" w:rsidRPr="005C38CE" w:rsidRDefault="00571041" w:rsidP="005C38CE">
            <w:pPr>
              <w:pStyle w:val="MDPI21heading1"/>
              <w:spacing w:before="0"/>
              <w:jc w:val="both"/>
              <w:rPr>
                <w:sz w:val="18"/>
                <w:szCs w:val="18"/>
                <w:lang w:eastAsia="zh-CN"/>
              </w:rPr>
            </w:pPr>
            <w:r w:rsidRPr="005C38CE">
              <w:rPr>
                <w:sz w:val="18"/>
                <w:szCs w:val="18"/>
                <w:lang w:eastAsia="zh-CN"/>
              </w:rPr>
              <w:t>Colony triplex PCR</w:t>
            </w:r>
            <w:r w:rsidRPr="005C38CE">
              <w:rPr>
                <w:sz w:val="18"/>
                <w:szCs w:val="18"/>
                <w:vertAlign w:val="superscript"/>
                <w:lang w:eastAsia="zh-CN"/>
              </w:rPr>
              <w:t xml:space="preserve"> 6</w:t>
            </w:r>
          </w:p>
        </w:tc>
        <w:tc>
          <w:tcPr>
            <w:tcW w:w="958" w:type="dxa"/>
            <w:shd w:val="clear" w:color="auto" w:fill="auto"/>
            <w:vAlign w:val="center"/>
          </w:tcPr>
          <w:p w:rsidR="00571041" w:rsidRPr="005C38CE" w:rsidRDefault="00571041" w:rsidP="005C38CE">
            <w:pPr>
              <w:pStyle w:val="MDPI21heading1"/>
              <w:spacing w:before="0"/>
              <w:jc w:val="both"/>
              <w:rPr>
                <w:sz w:val="18"/>
                <w:szCs w:val="18"/>
                <w:lang w:eastAsia="zh-CN"/>
              </w:rPr>
            </w:pPr>
            <w:r w:rsidRPr="005C38CE">
              <w:rPr>
                <w:sz w:val="18"/>
                <w:szCs w:val="18"/>
                <w:lang w:eastAsia="zh-CN"/>
              </w:rPr>
              <w:t xml:space="preserve">1 (9) </w:t>
            </w:r>
            <w:r w:rsidRPr="005C38CE">
              <w:rPr>
                <w:sz w:val="18"/>
                <w:szCs w:val="18"/>
                <w:vertAlign w:val="superscript"/>
                <w:lang w:eastAsia="zh-CN"/>
              </w:rPr>
              <w:t>5</w:t>
            </w:r>
          </w:p>
        </w:tc>
        <w:tc>
          <w:tcPr>
            <w:tcW w:w="987" w:type="dxa"/>
            <w:shd w:val="clear" w:color="auto" w:fill="auto"/>
            <w:vAlign w:val="center"/>
          </w:tcPr>
          <w:p w:rsidR="00571041" w:rsidRPr="005C38CE" w:rsidRDefault="00571041" w:rsidP="005C38CE">
            <w:pPr>
              <w:pStyle w:val="MDPI21heading1"/>
              <w:spacing w:before="0"/>
              <w:jc w:val="both"/>
              <w:rPr>
                <w:sz w:val="18"/>
                <w:szCs w:val="18"/>
                <w:lang w:eastAsia="zh-CN"/>
              </w:rPr>
            </w:pPr>
            <w:r w:rsidRPr="005C38CE">
              <w:rPr>
                <w:sz w:val="18"/>
                <w:szCs w:val="18"/>
                <w:lang w:eastAsia="zh-CN"/>
              </w:rPr>
              <w:t>1 (2)</w:t>
            </w:r>
          </w:p>
        </w:tc>
        <w:tc>
          <w:tcPr>
            <w:tcW w:w="993" w:type="dxa"/>
            <w:shd w:val="clear" w:color="auto" w:fill="auto"/>
            <w:vAlign w:val="center"/>
          </w:tcPr>
          <w:p w:rsidR="00571041" w:rsidRPr="005C38CE" w:rsidRDefault="00571041" w:rsidP="005C38CE">
            <w:pPr>
              <w:pStyle w:val="MDPI21heading1"/>
              <w:spacing w:before="0"/>
              <w:jc w:val="both"/>
              <w:rPr>
                <w:sz w:val="18"/>
                <w:szCs w:val="18"/>
                <w:lang w:eastAsia="zh-CN"/>
              </w:rPr>
            </w:pPr>
            <w:r w:rsidRPr="005C38CE">
              <w:rPr>
                <w:sz w:val="18"/>
                <w:szCs w:val="18"/>
                <w:lang w:eastAsia="zh-CN"/>
              </w:rPr>
              <w:t>13 (42)</w:t>
            </w:r>
          </w:p>
        </w:tc>
        <w:tc>
          <w:tcPr>
            <w:tcW w:w="850" w:type="dxa"/>
            <w:shd w:val="clear" w:color="auto" w:fill="auto"/>
            <w:vAlign w:val="center"/>
          </w:tcPr>
          <w:p w:rsidR="00571041" w:rsidRPr="005C38CE" w:rsidRDefault="00571041" w:rsidP="005C38CE">
            <w:pPr>
              <w:pStyle w:val="MDPI21heading1"/>
              <w:spacing w:before="0"/>
              <w:jc w:val="both"/>
              <w:rPr>
                <w:sz w:val="18"/>
                <w:szCs w:val="18"/>
                <w:lang w:eastAsia="zh-CN"/>
              </w:rPr>
            </w:pPr>
            <w:r w:rsidRPr="005C38CE">
              <w:rPr>
                <w:sz w:val="18"/>
                <w:szCs w:val="18"/>
                <w:lang w:eastAsia="zh-CN"/>
              </w:rPr>
              <w:t>2 (10)</w:t>
            </w:r>
          </w:p>
        </w:tc>
        <w:tc>
          <w:tcPr>
            <w:tcW w:w="992" w:type="dxa"/>
            <w:shd w:val="clear" w:color="auto" w:fill="auto"/>
            <w:vAlign w:val="center"/>
          </w:tcPr>
          <w:p w:rsidR="00571041" w:rsidRPr="005C38CE" w:rsidRDefault="00571041" w:rsidP="005C38CE">
            <w:pPr>
              <w:pStyle w:val="MDPI21heading1"/>
              <w:spacing w:before="0"/>
              <w:jc w:val="both"/>
              <w:rPr>
                <w:sz w:val="18"/>
                <w:szCs w:val="18"/>
                <w:lang w:eastAsia="zh-CN"/>
              </w:rPr>
            </w:pPr>
            <w:r w:rsidRPr="005C38CE">
              <w:rPr>
                <w:sz w:val="18"/>
                <w:szCs w:val="18"/>
                <w:lang w:eastAsia="zh-CN"/>
              </w:rPr>
              <w:t>12 (51)</w:t>
            </w:r>
          </w:p>
        </w:tc>
        <w:tc>
          <w:tcPr>
            <w:tcW w:w="993" w:type="dxa"/>
            <w:shd w:val="clear" w:color="auto" w:fill="auto"/>
            <w:vAlign w:val="center"/>
          </w:tcPr>
          <w:p w:rsidR="00571041" w:rsidRPr="005C38CE" w:rsidRDefault="00571041" w:rsidP="005C38CE">
            <w:pPr>
              <w:pStyle w:val="MDPI21heading1"/>
              <w:spacing w:before="0"/>
              <w:jc w:val="both"/>
              <w:rPr>
                <w:sz w:val="18"/>
                <w:szCs w:val="18"/>
                <w:lang w:eastAsia="zh-CN"/>
              </w:rPr>
            </w:pPr>
            <w:r w:rsidRPr="005C38CE">
              <w:rPr>
                <w:sz w:val="18"/>
                <w:szCs w:val="18"/>
                <w:lang w:eastAsia="zh-CN"/>
              </w:rPr>
              <w:t>12 (52)</w:t>
            </w:r>
          </w:p>
        </w:tc>
        <w:tc>
          <w:tcPr>
            <w:tcW w:w="850" w:type="dxa"/>
            <w:shd w:val="clear" w:color="auto" w:fill="auto"/>
            <w:vAlign w:val="center"/>
          </w:tcPr>
          <w:p w:rsidR="00571041" w:rsidRPr="005C38CE" w:rsidRDefault="00571041" w:rsidP="005C38CE">
            <w:pPr>
              <w:pStyle w:val="MDPI21heading1"/>
              <w:spacing w:before="0"/>
              <w:jc w:val="both"/>
              <w:rPr>
                <w:sz w:val="18"/>
                <w:szCs w:val="18"/>
                <w:lang w:eastAsia="zh-CN"/>
              </w:rPr>
            </w:pPr>
            <w:r w:rsidRPr="005C38CE">
              <w:rPr>
                <w:sz w:val="18"/>
                <w:szCs w:val="18"/>
                <w:lang w:eastAsia="zh-CN"/>
              </w:rPr>
              <w:t>1 (3)</w:t>
            </w:r>
          </w:p>
        </w:tc>
        <w:tc>
          <w:tcPr>
            <w:tcW w:w="851" w:type="dxa"/>
            <w:shd w:val="clear" w:color="auto" w:fill="auto"/>
            <w:vAlign w:val="center"/>
          </w:tcPr>
          <w:p w:rsidR="00571041" w:rsidRPr="005C38CE" w:rsidRDefault="00571041" w:rsidP="005C38CE">
            <w:pPr>
              <w:pStyle w:val="MDPI21heading1"/>
              <w:spacing w:before="0"/>
              <w:jc w:val="both"/>
              <w:rPr>
                <w:sz w:val="18"/>
                <w:szCs w:val="18"/>
                <w:lang w:eastAsia="zh-CN"/>
              </w:rPr>
            </w:pPr>
            <w:r w:rsidRPr="005C38CE">
              <w:rPr>
                <w:sz w:val="18"/>
                <w:szCs w:val="18"/>
                <w:lang w:eastAsia="zh-CN"/>
              </w:rPr>
              <w:t>8 (34)</w:t>
            </w:r>
          </w:p>
        </w:tc>
        <w:tc>
          <w:tcPr>
            <w:tcW w:w="992" w:type="dxa"/>
            <w:shd w:val="clear" w:color="auto" w:fill="auto"/>
            <w:vAlign w:val="center"/>
          </w:tcPr>
          <w:p w:rsidR="00571041" w:rsidRPr="005C38CE" w:rsidRDefault="00571041" w:rsidP="005C38CE">
            <w:pPr>
              <w:pStyle w:val="MDPI21heading1"/>
              <w:spacing w:before="0"/>
              <w:jc w:val="both"/>
              <w:rPr>
                <w:sz w:val="18"/>
                <w:szCs w:val="18"/>
                <w:lang w:eastAsia="zh-CN"/>
              </w:rPr>
            </w:pPr>
            <w:r w:rsidRPr="005C38CE">
              <w:rPr>
                <w:sz w:val="18"/>
                <w:szCs w:val="18"/>
                <w:lang w:eastAsia="zh-CN"/>
              </w:rPr>
              <w:t>19 (91)</w:t>
            </w:r>
          </w:p>
        </w:tc>
        <w:tc>
          <w:tcPr>
            <w:tcW w:w="1134" w:type="dxa"/>
            <w:shd w:val="clear" w:color="auto" w:fill="auto"/>
            <w:vAlign w:val="center"/>
          </w:tcPr>
          <w:p w:rsidR="00571041" w:rsidRPr="005C38CE" w:rsidRDefault="00571041" w:rsidP="005C38CE">
            <w:pPr>
              <w:pStyle w:val="MDPI21heading1"/>
              <w:spacing w:before="0"/>
              <w:jc w:val="both"/>
              <w:rPr>
                <w:sz w:val="18"/>
                <w:szCs w:val="18"/>
                <w:lang w:eastAsia="zh-CN"/>
              </w:rPr>
            </w:pPr>
            <w:r w:rsidRPr="005C38CE">
              <w:rPr>
                <w:sz w:val="18"/>
                <w:szCs w:val="18"/>
                <w:lang w:eastAsia="zh-CN"/>
              </w:rPr>
              <w:t>69 (294)</w:t>
            </w:r>
          </w:p>
        </w:tc>
      </w:tr>
    </w:tbl>
    <w:p w:rsidR="00571041" w:rsidRPr="00571041" w:rsidRDefault="00571041" w:rsidP="00571041">
      <w:pPr>
        <w:pStyle w:val="MDPI21heading1"/>
        <w:jc w:val="both"/>
        <w:rPr>
          <w:sz w:val="18"/>
          <w:szCs w:val="18"/>
          <w:lang w:eastAsia="zh-CN"/>
        </w:rPr>
      </w:pPr>
    </w:p>
    <w:p w:rsidR="00571041" w:rsidRPr="00571041" w:rsidRDefault="00571041" w:rsidP="00571041">
      <w:pPr>
        <w:pStyle w:val="MDPI21heading1"/>
        <w:jc w:val="both"/>
        <w:rPr>
          <w:sz w:val="18"/>
          <w:szCs w:val="18"/>
          <w:vertAlign w:val="superscript"/>
          <w:lang w:eastAsia="zh-CN"/>
        </w:rPr>
      </w:pPr>
    </w:p>
    <w:p w:rsidR="00571041" w:rsidRDefault="00571041" w:rsidP="00571041">
      <w:pPr>
        <w:pStyle w:val="MDPI21heading1"/>
        <w:jc w:val="both"/>
        <w:rPr>
          <w:sz w:val="18"/>
          <w:szCs w:val="18"/>
          <w:vertAlign w:val="superscript"/>
          <w:lang w:eastAsia="zh-CN"/>
        </w:rPr>
      </w:pPr>
    </w:p>
    <w:p w:rsidR="00571041" w:rsidRDefault="00571041" w:rsidP="00571041">
      <w:pPr>
        <w:pStyle w:val="MDPI21heading1"/>
        <w:jc w:val="both"/>
        <w:rPr>
          <w:sz w:val="18"/>
          <w:szCs w:val="18"/>
          <w:vertAlign w:val="superscript"/>
          <w:lang w:eastAsia="zh-CN"/>
        </w:rPr>
      </w:pPr>
    </w:p>
    <w:p w:rsidR="00571041" w:rsidRDefault="00571041" w:rsidP="00571041">
      <w:pPr>
        <w:pStyle w:val="MDPI21heading1"/>
        <w:jc w:val="both"/>
        <w:rPr>
          <w:sz w:val="18"/>
          <w:szCs w:val="18"/>
          <w:vertAlign w:val="superscript"/>
          <w:lang w:eastAsia="zh-CN"/>
        </w:rPr>
      </w:pPr>
    </w:p>
    <w:p w:rsidR="00571041" w:rsidRDefault="00571041" w:rsidP="00571041">
      <w:pPr>
        <w:pStyle w:val="MDPI21heading1"/>
        <w:jc w:val="both"/>
        <w:rPr>
          <w:sz w:val="18"/>
          <w:szCs w:val="18"/>
          <w:vertAlign w:val="superscript"/>
          <w:lang w:eastAsia="zh-CN"/>
        </w:rPr>
      </w:pPr>
    </w:p>
    <w:p w:rsidR="00571041" w:rsidRDefault="00571041" w:rsidP="00571041">
      <w:pPr>
        <w:pStyle w:val="MDPI21heading1"/>
        <w:jc w:val="both"/>
        <w:rPr>
          <w:sz w:val="18"/>
          <w:szCs w:val="18"/>
          <w:vertAlign w:val="superscript"/>
          <w:lang w:eastAsia="zh-CN"/>
        </w:rPr>
      </w:pPr>
    </w:p>
    <w:p w:rsidR="00571041" w:rsidRDefault="00571041" w:rsidP="00571041">
      <w:pPr>
        <w:pStyle w:val="MDPI21heading1"/>
        <w:jc w:val="both"/>
        <w:rPr>
          <w:sz w:val="18"/>
          <w:szCs w:val="18"/>
          <w:vertAlign w:val="superscript"/>
          <w:lang w:eastAsia="zh-CN"/>
        </w:rPr>
      </w:pPr>
    </w:p>
    <w:p w:rsidR="00571041" w:rsidRDefault="00571041" w:rsidP="00571041">
      <w:pPr>
        <w:pStyle w:val="MDPI21heading1"/>
        <w:jc w:val="both"/>
        <w:rPr>
          <w:sz w:val="18"/>
          <w:szCs w:val="18"/>
          <w:vertAlign w:val="superscript"/>
          <w:lang w:eastAsia="zh-CN"/>
        </w:rPr>
      </w:pPr>
    </w:p>
    <w:p w:rsidR="00571041" w:rsidRDefault="00571041" w:rsidP="00571041">
      <w:pPr>
        <w:pStyle w:val="MDPI21heading1"/>
        <w:jc w:val="both"/>
        <w:rPr>
          <w:sz w:val="18"/>
          <w:szCs w:val="18"/>
          <w:lang w:eastAsia="zh-CN"/>
        </w:rPr>
      </w:pPr>
      <w:r w:rsidRPr="00571041">
        <w:rPr>
          <w:sz w:val="18"/>
          <w:szCs w:val="18"/>
          <w:vertAlign w:val="superscript"/>
          <w:lang w:eastAsia="zh-CN"/>
        </w:rPr>
        <w:t>1</w:t>
      </w:r>
      <w:r w:rsidRPr="00571041" w:rsidDel="00E5197E">
        <w:rPr>
          <w:sz w:val="18"/>
          <w:szCs w:val="18"/>
          <w:vertAlign w:val="superscript"/>
          <w:lang w:eastAsia="zh-CN"/>
        </w:rPr>
        <w:t xml:space="preserve"> </w:t>
      </w:r>
      <w:r w:rsidRPr="00571041">
        <w:rPr>
          <w:sz w:val="18"/>
          <w:szCs w:val="18"/>
          <w:lang w:eastAsia="zh-CN"/>
        </w:rPr>
        <w:t xml:space="preserve">N° PCR-positive RAMS (% of RAMS tested). </w:t>
      </w:r>
      <w:r w:rsidRPr="00571041">
        <w:rPr>
          <w:sz w:val="18"/>
          <w:szCs w:val="18"/>
          <w:vertAlign w:val="superscript"/>
          <w:lang w:eastAsia="zh-CN"/>
        </w:rPr>
        <w:t xml:space="preserve">2 </w:t>
      </w:r>
      <w:r w:rsidRPr="00571041">
        <w:rPr>
          <w:sz w:val="18"/>
          <w:szCs w:val="18"/>
          <w:lang w:eastAsia="zh-CN"/>
        </w:rPr>
        <w:t xml:space="preserve">Only the PCR-positive broths were inoculated onto the 4 agar media. </w:t>
      </w:r>
      <w:r w:rsidRPr="00571041">
        <w:rPr>
          <w:sz w:val="18"/>
          <w:szCs w:val="18"/>
          <w:vertAlign w:val="superscript"/>
          <w:lang w:eastAsia="zh-CN"/>
        </w:rPr>
        <w:t>3</w:t>
      </w:r>
      <w:r w:rsidRPr="00571041" w:rsidDel="00E5197E">
        <w:rPr>
          <w:sz w:val="18"/>
          <w:szCs w:val="18"/>
          <w:vertAlign w:val="superscript"/>
          <w:lang w:eastAsia="zh-CN"/>
        </w:rPr>
        <w:t xml:space="preserve"> </w:t>
      </w:r>
      <w:r w:rsidRPr="00571041">
        <w:rPr>
          <w:sz w:val="18"/>
          <w:szCs w:val="18"/>
          <w:lang w:eastAsia="zh-CN"/>
        </w:rPr>
        <w:t xml:space="preserve">N° RAMS with growing colonies (N° colonies picked up). </w:t>
      </w:r>
      <w:r w:rsidRPr="00571041">
        <w:rPr>
          <w:sz w:val="18"/>
          <w:szCs w:val="18"/>
          <w:vertAlign w:val="superscript"/>
          <w:lang w:eastAsia="zh-CN"/>
        </w:rPr>
        <w:t xml:space="preserve">4 </w:t>
      </w:r>
      <w:r w:rsidRPr="00571041">
        <w:rPr>
          <w:sz w:val="18"/>
          <w:szCs w:val="18"/>
          <w:lang w:eastAsia="zh-CN"/>
        </w:rPr>
        <w:t xml:space="preserve">Only the growing colonies from the PCR-positive broths were tested by CH. </w:t>
      </w:r>
      <w:r w:rsidRPr="00571041">
        <w:rPr>
          <w:sz w:val="18"/>
          <w:szCs w:val="18"/>
          <w:vertAlign w:val="superscript"/>
          <w:lang w:eastAsia="zh-CN"/>
        </w:rPr>
        <w:t>5</w:t>
      </w:r>
      <w:r w:rsidRPr="00571041" w:rsidDel="00E5197E">
        <w:rPr>
          <w:sz w:val="18"/>
          <w:szCs w:val="18"/>
          <w:vertAlign w:val="superscript"/>
          <w:lang w:eastAsia="zh-CN"/>
        </w:rPr>
        <w:t xml:space="preserve"> </w:t>
      </w:r>
      <w:r w:rsidRPr="00571041">
        <w:rPr>
          <w:sz w:val="18"/>
          <w:szCs w:val="18"/>
          <w:lang w:eastAsia="zh-CN"/>
        </w:rPr>
        <w:t>N° CH/PCR-positive RAMS (N° positive colonies).</w:t>
      </w:r>
      <w:r w:rsidRPr="00571041">
        <w:rPr>
          <w:sz w:val="18"/>
          <w:szCs w:val="18"/>
          <w:vertAlign w:val="superscript"/>
          <w:lang w:eastAsia="zh-CN"/>
        </w:rPr>
        <w:t xml:space="preserve"> 6 </w:t>
      </w:r>
      <w:r w:rsidRPr="00571041">
        <w:rPr>
          <w:sz w:val="18"/>
          <w:szCs w:val="18"/>
          <w:lang w:eastAsia="zh-CN"/>
        </w:rPr>
        <w:t xml:space="preserve">Only the CH-positive colonies were tested by PCR. </w:t>
      </w:r>
    </w:p>
    <w:p w:rsidR="00AE76D7" w:rsidRDefault="00AE76D7" w:rsidP="00571041">
      <w:pPr>
        <w:pStyle w:val="MDPI21heading1"/>
        <w:jc w:val="both"/>
        <w:rPr>
          <w:sz w:val="18"/>
          <w:szCs w:val="18"/>
          <w:lang w:eastAsia="zh-CN"/>
        </w:rPr>
      </w:pPr>
    </w:p>
    <w:p w:rsidR="00AE76D7" w:rsidRDefault="00AE76D7" w:rsidP="00571041">
      <w:pPr>
        <w:pStyle w:val="MDPI21heading1"/>
        <w:jc w:val="both"/>
        <w:rPr>
          <w:sz w:val="18"/>
          <w:szCs w:val="18"/>
          <w:lang w:eastAsia="zh-CN"/>
        </w:rPr>
      </w:pPr>
    </w:p>
    <w:p w:rsidR="00AE76D7" w:rsidRPr="00571041" w:rsidRDefault="00AE76D7" w:rsidP="00571041">
      <w:pPr>
        <w:pStyle w:val="MDPI21heading1"/>
        <w:jc w:val="both"/>
        <w:rPr>
          <w:sz w:val="18"/>
          <w:szCs w:val="18"/>
          <w:lang w:eastAsia="zh-CN"/>
        </w:rPr>
      </w:pPr>
    </w:p>
    <w:p w:rsidR="00571041" w:rsidRPr="00571041" w:rsidRDefault="00571041" w:rsidP="00571041">
      <w:pPr>
        <w:pStyle w:val="MDPI21heading1"/>
        <w:jc w:val="both"/>
        <w:rPr>
          <w:sz w:val="18"/>
          <w:szCs w:val="18"/>
          <w:lang w:eastAsia="zh-CN"/>
        </w:rPr>
      </w:pPr>
      <w:r w:rsidRPr="00571041">
        <w:rPr>
          <w:bCs/>
          <w:sz w:val="18"/>
          <w:szCs w:val="18"/>
          <w:lang w:eastAsia="zh-CN"/>
        </w:rPr>
        <w:lastRenderedPageBreak/>
        <w:t xml:space="preserve">Table 2. </w:t>
      </w:r>
      <w:proofErr w:type="spellStart"/>
      <w:r w:rsidRPr="00571041">
        <w:rPr>
          <w:bCs/>
          <w:sz w:val="18"/>
          <w:szCs w:val="18"/>
          <w:lang w:eastAsia="zh-CN"/>
        </w:rPr>
        <w:t>Pathotypes</w:t>
      </w:r>
      <w:proofErr w:type="spellEnd"/>
      <w:r w:rsidRPr="00571041">
        <w:rPr>
          <w:bCs/>
          <w:sz w:val="18"/>
          <w:szCs w:val="18"/>
          <w:lang w:eastAsia="zh-CN"/>
        </w:rPr>
        <w:t xml:space="preserve"> and </w:t>
      </w:r>
      <w:proofErr w:type="spellStart"/>
      <w:r w:rsidRPr="00571041">
        <w:rPr>
          <w:bCs/>
          <w:sz w:val="18"/>
          <w:szCs w:val="18"/>
          <w:lang w:eastAsia="zh-CN"/>
        </w:rPr>
        <w:t>virulotypes</w:t>
      </w:r>
      <w:proofErr w:type="spellEnd"/>
      <w:r w:rsidRPr="00571041">
        <w:rPr>
          <w:bCs/>
          <w:sz w:val="18"/>
          <w:szCs w:val="18"/>
          <w:lang w:eastAsia="zh-CN"/>
        </w:rPr>
        <w:t xml:space="preserve"> of the triplex PCR-positive colonies </w:t>
      </w:r>
      <w:r w:rsidRPr="00571041">
        <w:rPr>
          <w:sz w:val="18"/>
          <w:szCs w:val="18"/>
          <w:lang w:eastAsia="zh-CN"/>
        </w:rPr>
        <w:t>according to the farms and sampling time.</w:t>
      </w:r>
    </w:p>
    <w:tbl>
      <w:tblPr>
        <w:tblpPr w:leftFromText="141" w:rightFromText="141" w:vertAnchor="text" w:horzAnchor="margin" w:tblpY="93"/>
        <w:tblW w:w="13182" w:type="dxa"/>
        <w:tblBorders>
          <w:top w:val="single" w:sz="4" w:space="0" w:color="auto"/>
          <w:bottom w:val="single" w:sz="4" w:space="0" w:color="auto"/>
          <w:insideH w:val="single" w:sz="4" w:space="0" w:color="auto"/>
        </w:tblBorders>
        <w:tblLook w:val="04A0" w:firstRow="1" w:lastRow="0" w:firstColumn="1" w:lastColumn="0" w:noHBand="0" w:noVBand="1"/>
      </w:tblPr>
      <w:tblGrid>
        <w:gridCol w:w="1071"/>
        <w:gridCol w:w="562"/>
        <w:gridCol w:w="771"/>
        <w:gridCol w:w="1080"/>
        <w:gridCol w:w="1113"/>
        <w:gridCol w:w="1113"/>
        <w:gridCol w:w="1470"/>
        <w:gridCol w:w="907"/>
        <w:gridCol w:w="1047"/>
        <w:gridCol w:w="1077"/>
        <w:gridCol w:w="1309"/>
        <w:gridCol w:w="1662"/>
      </w:tblGrid>
      <w:tr w:rsidR="005C38CE" w:rsidRPr="005C38CE" w:rsidTr="005C38CE">
        <w:tc>
          <w:tcPr>
            <w:tcW w:w="2404" w:type="dxa"/>
            <w:gridSpan w:val="3"/>
            <w:shd w:val="clear" w:color="auto" w:fill="auto"/>
            <w:vAlign w:val="center"/>
          </w:tcPr>
          <w:p w:rsidR="00571041" w:rsidRPr="005C38CE" w:rsidRDefault="00571041" w:rsidP="005C38CE">
            <w:pPr>
              <w:pStyle w:val="MDPI21heading1"/>
              <w:spacing w:before="0"/>
              <w:jc w:val="both"/>
              <w:rPr>
                <w:bCs/>
                <w:sz w:val="18"/>
                <w:szCs w:val="18"/>
                <w:lang w:eastAsia="zh-CN"/>
              </w:rPr>
            </w:pPr>
            <w:proofErr w:type="spellStart"/>
            <w:r w:rsidRPr="005C38CE">
              <w:rPr>
                <w:bCs/>
                <w:sz w:val="18"/>
                <w:szCs w:val="18"/>
                <w:lang w:eastAsia="zh-CN"/>
              </w:rPr>
              <w:t>Pathotypes</w:t>
            </w:r>
            <w:proofErr w:type="spellEnd"/>
          </w:p>
        </w:tc>
        <w:tc>
          <w:tcPr>
            <w:tcW w:w="1080" w:type="dxa"/>
            <w:shd w:val="clear" w:color="auto" w:fill="auto"/>
            <w:vAlign w:val="center"/>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EPEC</w:t>
            </w:r>
          </w:p>
        </w:tc>
        <w:tc>
          <w:tcPr>
            <w:tcW w:w="3696" w:type="dxa"/>
            <w:gridSpan w:val="3"/>
            <w:shd w:val="clear" w:color="auto" w:fill="auto"/>
            <w:vAlign w:val="center"/>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 xml:space="preserve">AE-STEC </w:t>
            </w:r>
            <w:r w:rsidRPr="005C38CE">
              <w:rPr>
                <w:sz w:val="18"/>
                <w:szCs w:val="18"/>
                <w:vertAlign w:val="superscript"/>
                <w:lang w:eastAsia="zh-CN"/>
              </w:rPr>
              <w:t>1</w:t>
            </w:r>
            <w:r w:rsidRPr="005C38CE">
              <w:rPr>
                <w:bCs/>
                <w:sz w:val="18"/>
                <w:szCs w:val="18"/>
                <w:lang w:eastAsia="zh-CN"/>
              </w:rPr>
              <w:t xml:space="preserve"> (= EHEC)</w:t>
            </w:r>
          </w:p>
        </w:tc>
        <w:tc>
          <w:tcPr>
            <w:tcW w:w="3031" w:type="dxa"/>
            <w:gridSpan w:val="3"/>
            <w:shd w:val="clear" w:color="auto" w:fill="auto"/>
            <w:vAlign w:val="center"/>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STEC</w:t>
            </w:r>
          </w:p>
        </w:tc>
        <w:tc>
          <w:tcPr>
            <w:tcW w:w="2971" w:type="dxa"/>
            <w:gridSpan w:val="2"/>
            <w:shd w:val="clear" w:color="auto" w:fill="auto"/>
            <w:vAlign w:val="center"/>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PCR-positive colonies</w:t>
            </w:r>
          </w:p>
        </w:tc>
      </w:tr>
      <w:tr w:rsidR="005C38CE" w:rsidRPr="005C38CE" w:rsidTr="005C38CE">
        <w:tc>
          <w:tcPr>
            <w:tcW w:w="2404" w:type="dxa"/>
            <w:gridSpan w:val="3"/>
            <w:tcBorders>
              <w:bottom w:val="single" w:sz="4" w:space="0" w:color="auto"/>
            </w:tcBorders>
            <w:shd w:val="clear" w:color="auto" w:fill="auto"/>
            <w:vAlign w:val="center"/>
          </w:tcPr>
          <w:p w:rsidR="00571041" w:rsidRPr="005C38CE" w:rsidRDefault="00571041" w:rsidP="005C38CE">
            <w:pPr>
              <w:pStyle w:val="MDPI21heading1"/>
              <w:spacing w:before="0"/>
              <w:jc w:val="both"/>
              <w:rPr>
                <w:bCs/>
                <w:i/>
                <w:sz w:val="18"/>
                <w:szCs w:val="18"/>
                <w:lang w:eastAsia="zh-CN"/>
              </w:rPr>
            </w:pPr>
            <w:proofErr w:type="spellStart"/>
            <w:r w:rsidRPr="005C38CE">
              <w:rPr>
                <w:bCs/>
                <w:sz w:val="18"/>
                <w:szCs w:val="18"/>
                <w:lang w:eastAsia="zh-CN"/>
              </w:rPr>
              <w:t>Virulotypes</w:t>
            </w:r>
            <w:proofErr w:type="spellEnd"/>
          </w:p>
        </w:tc>
        <w:tc>
          <w:tcPr>
            <w:tcW w:w="1080" w:type="dxa"/>
            <w:tcBorders>
              <w:bottom w:val="single" w:sz="4" w:space="0" w:color="auto"/>
            </w:tcBorders>
            <w:shd w:val="clear" w:color="auto" w:fill="auto"/>
            <w:vAlign w:val="center"/>
            <w:hideMark/>
          </w:tcPr>
          <w:p w:rsidR="00571041" w:rsidRPr="005C38CE" w:rsidRDefault="00571041" w:rsidP="005C38CE">
            <w:pPr>
              <w:pStyle w:val="MDPI21heading1"/>
              <w:spacing w:before="0"/>
              <w:jc w:val="both"/>
              <w:rPr>
                <w:bCs/>
                <w:i/>
                <w:sz w:val="18"/>
                <w:szCs w:val="18"/>
                <w:lang w:eastAsia="zh-CN"/>
              </w:rPr>
            </w:pPr>
            <w:proofErr w:type="spellStart"/>
            <w:r w:rsidRPr="005C38CE">
              <w:rPr>
                <w:bCs/>
                <w:i/>
                <w:sz w:val="18"/>
                <w:szCs w:val="18"/>
                <w:lang w:eastAsia="zh-CN"/>
              </w:rPr>
              <w:t>eae</w:t>
            </w:r>
            <w:proofErr w:type="spellEnd"/>
          </w:p>
        </w:tc>
        <w:tc>
          <w:tcPr>
            <w:tcW w:w="1113" w:type="dxa"/>
            <w:tcBorders>
              <w:bottom w:val="single" w:sz="4" w:space="0" w:color="auto"/>
            </w:tcBorders>
            <w:shd w:val="clear" w:color="auto" w:fill="auto"/>
            <w:vAlign w:val="center"/>
            <w:hideMark/>
          </w:tcPr>
          <w:p w:rsidR="00571041" w:rsidRPr="005C38CE" w:rsidRDefault="00571041" w:rsidP="005C38CE">
            <w:pPr>
              <w:pStyle w:val="MDPI21heading1"/>
              <w:spacing w:before="0"/>
              <w:jc w:val="both"/>
              <w:rPr>
                <w:bCs/>
                <w:i/>
                <w:sz w:val="18"/>
                <w:szCs w:val="18"/>
                <w:lang w:eastAsia="zh-CN"/>
              </w:rPr>
            </w:pPr>
            <w:r w:rsidRPr="005C38CE">
              <w:rPr>
                <w:bCs/>
                <w:i/>
                <w:sz w:val="18"/>
                <w:szCs w:val="18"/>
                <w:lang w:eastAsia="zh-CN"/>
              </w:rPr>
              <w:t>eae,stx1</w:t>
            </w:r>
          </w:p>
        </w:tc>
        <w:tc>
          <w:tcPr>
            <w:tcW w:w="1113" w:type="dxa"/>
            <w:tcBorders>
              <w:bottom w:val="single" w:sz="4" w:space="0" w:color="auto"/>
            </w:tcBorders>
            <w:shd w:val="clear" w:color="auto" w:fill="auto"/>
            <w:vAlign w:val="center"/>
            <w:hideMark/>
          </w:tcPr>
          <w:p w:rsidR="00571041" w:rsidRPr="005C38CE" w:rsidRDefault="00571041" w:rsidP="005C38CE">
            <w:pPr>
              <w:pStyle w:val="MDPI21heading1"/>
              <w:spacing w:before="0"/>
              <w:jc w:val="both"/>
              <w:rPr>
                <w:bCs/>
                <w:i/>
                <w:sz w:val="18"/>
                <w:szCs w:val="18"/>
                <w:lang w:eastAsia="zh-CN"/>
              </w:rPr>
            </w:pPr>
            <w:r w:rsidRPr="005C38CE">
              <w:rPr>
                <w:bCs/>
                <w:i/>
                <w:sz w:val="18"/>
                <w:szCs w:val="18"/>
                <w:lang w:eastAsia="zh-CN"/>
              </w:rPr>
              <w:t>eae,stx2</w:t>
            </w:r>
          </w:p>
        </w:tc>
        <w:tc>
          <w:tcPr>
            <w:tcW w:w="1470" w:type="dxa"/>
            <w:tcBorders>
              <w:bottom w:val="single" w:sz="4" w:space="0" w:color="auto"/>
            </w:tcBorders>
            <w:shd w:val="clear" w:color="auto" w:fill="auto"/>
            <w:vAlign w:val="center"/>
            <w:hideMark/>
          </w:tcPr>
          <w:p w:rsidR="00571041" w:rsidRPr="005C38CE" w:rsidRDefault="00571041" w:rsidP="005C38CE">
            <w:pPr>
              <w:pStyle w:val="MDPI21heading1"/>
              <w:spacing w:before="0"/>
              <w:jc w:val="both"/>
              <w:rPr>
                <w:bCs/>
                <w:i/>
                <w:sz w:val="18"/>
                <w:szCs w:val="18"/>
                <w:lang w:eastAsia="zh-CN"/>
              </w:rPr>
            </w:pPr>
            <w:r w:rsidRPr="005C38CE">
              <w:rPr>
                <w:bCs/>
                <w:i/>
                <w:sz w:val="18"/>
                <w:szCs w:val="18"/>
                <w:lang w:eastAsia="zh-CN"/>
              </w:rPr>
              <w:t>eae,stx1,stx2</w:t>
            </w:r>
          </w:p>
        </w:tc>
        <w:tc>
          <w:tcPr>
            <w:tcW w:w="907" w:type="dxa"/>
            <w:tcBorders>
              <w:bottom w:val="single" w:sz="4" w:space="0" w:color="auto"/>
            </w:tcBorders>
            <w:shd w:val="clear" w:color="auto" w:fill="auto"/>
            <w:vAlign w:val="center"/>
            <w:hideMark/>
          </w:tcPr>
          <w:p w:rsidR="00571041" w:rsidRPr="005C38CE" w:rsidRDefault="00571041" w:rsidP="005C38CE">
            <w:pPr>
              <w:pStyle w:val="MDPI21heading1"/>
              <w:spacing w:before="0"/>
              <w:jc w:val="both"/>
              <w:rPr>
                <w:bCs/>
                <w:i/>
                <w:sz w:val="18"/>
                <w:szCs w:val="18"/>
                <w:lang w:eastAsia="zh-CN"/>
              </w:rPr>
            </w:pPr>
            <w:r w:rsidRPr="005C38CE">
              <w:rPr>
                <w:bCs/>
                <w:i/>
                <w:sz w:val="18"/>
                <w:szCs w:val="18"/>
                <w:lang w:eastAsia="zh-CN"/>
              </w:rPr>
              <w:t>stx1</w:t>
            </w:r>
          </w:p>
        </w:tc>
        <w:tc>
          <w:tcPr>
            <w:tcW w:w="1047" w:type="dxa"/>
            <w:tcBorders>
              <w:bottom w:val="single" w:sz="4" w:space="0" w:color="auto"/>
            </w:tcBorders>
            <w:shd w:val="clear" w:color="auto" w:fill="auto"/>
            <w:vAlign w:val="center"/>
            <w:hideMark/>
          </w:tcPr>
          <w:p w:rsidR="00571041" w:rsidRPr="005C38CE" w:rsidRDefault="00571041" w:rsidP="005C38CE">
            <w:pPr>
              <w:pStyle w:val="MDPI21heading1"/>
              <w:spacing w:before="0"/>
              <w:jc w:val="both"/>
              <w:rPr>
                <w:bCs/>
                <w:i/>
                <w:sz w:val="18"/>
                <w:szCs w:val="18"/>
                <w:lang w:eastAsia="zh-CN"/>
              </w:rPr>
            </w:pPr>
            <w:r w:rsidRPr="005C38CE">
              <w:rPr>
                <w:bCs/>
                <w:i/>
                <w:sz w:val="18"/>
                <w:szCs w:val="18"/>
                <w:lang w:eastAsia="zh-CN"/>
              </w:rPr>
              <w:t>stx2</w:t>
            </w:r>
          </w:p>
        </w:tc>
        <w:tc>
          <w:tcPr>
            <w:tcW w:w="1077" w:type="dxa"/>
            <w:tcBorders>
              <w:bottom w:val="single" w:sz="4" w:space="0" w:color="auto"/>
            </w:tcBorders>
            <w:shd w:val="clear" w:color="auto" w:fill="auto"/>
            <w:vAlign w:val="center"/>
            <w:hideMark/>
          </w:tcPr>
          <w:p w:rsidR="00571041" w:rsidRPr="005C38CE" w:rsidRDefault="00571041" w:rsidP="005C38CE">
            <w:pPr>
              <w:pStyle w:val="MDPI21heading1"/>
              <w:spacing w:before="0"/>
              <w:jc w:val="both"/>
              <w:rPr>
                <w:bCs/>
                <w:i/>
                <w:sz w:val="18"/>
                <w:szCs w:val="18"/>
                <w:lang w:eastAsia="zh-CN"/>
              </w:rPr>
            </w:pPr>
            <w:r w:rsidRPr="005C38CE">
              <w:rPr>
                <w:bCs/>
                <w:i/>
                <w:sz w:val="18"/>
                <w:szCs w:val="18"/>
                <w:lang w:eastAsia="zh-CN"/>
              </w:rPr>
              <w:t>stx1,stx2</w:t>
            </w:r>
          </w:p>
        </w:tc>
        <w:tc>
          <w:tcPr>
            <w:tcW w:w="1309" w:type="dxa"/>
            <w:tcBorders>
              <w:bottom w:val="single" w:sz="4" w:space="0" w:color="auto"/>
            </w:tcBorders>
            <w:shd w:val="clear" w:color="auto" w:fill="auto"/>
            <w:vAlign w:val="center"/>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Per Farm</w:t>
            </w:r>
          </w:p>
        </w:tc>
        <w:tc>
          <w:tcPr>
            <w:tcW w:w="1662" w:type="dxa"/>
            <w:tcBorders>
              <w:bottom w:val="single" w:sz="4" w:space="0" w:color="auto"/>
            </w:tcBorders>
            <w:shd w:val="clear" w:color="auto" w:fill="auto"/>
            <w:vAlign w:val="center"/>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Per Sampling</w:t>
            </w:r>
          </w:p>
        </w:tc>
      </w:tr>
      <w:tr w:rsidR="005C38CE" w:rsidRPr="005C38CE" w:rsidTr="005C38CE">
        <w:tc>
          <w:tcPr>
            <w:tcW w:w="1071" w:type="dxa"/>
            <w:vMerge w:val="restart"/>
            <w:tcBorders>
              <w:bottom w:val="nil"/>
            </w:tcBorders>
            <w:shd w:val="clear" w:color="auto" w:fill="auto"/>
            <w:vAlign w:val="center"/>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FARMS</w:t>
            </w:r>
          </w:p>
        </w:tc>
        <w:tc>
          <w:tcPr>
            <w:tcW w:w="562" w:type="dxa"/>
            <w:vMerge w:val="restart"/>
            <w:tcBorders>
              <w:bottom w:val="nil"/>
            </w:tcBorders>
            <w:shd w:val="clear" w:color="auto" w:fill="auto"/>
            <w:vAlign w:val="center"/>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A</w:t>
            </w:r>
          </w:p>
        </w:tc>
        <w:tc>
          <w:tcPr>
            <w:tcW w:w="771" w:type="dxa"/>
            <w:tcBorders>
              <w:bottom w:val="nil"/>
            </w:tcBorders>
            <w:shd w:val="clear" w:color="auto" w:fill="auto"/>
            <w:vAlign w:val="center"/>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 xml:space="preserve">  S1 </w:t>
            </w:r>
            <w:r w:rsidRPr="005C38CE">
              <w:rPr>
                <w:sz w:val="18"/>
                <w:szCs w:val="18"/>
                <w:vertAlign w:val="superscript"/>
                <w:lang w:eastAsia="zh-CN"/>
              </w:rPr>
              <w:t>2</w:t>
            </w:r>
          </w:p>
        </w:tc>
        <w:tc>
          <w:tcPr>
            <w:tcW w:w="1080" w:type="dxa"/>
            <w:tcBorders>
              <w:bottom w:val="nil"/>
            </w:tcBorders>
            <w:shd w:val="clear" w:color="auto" w:fill="auto"/>
            <w:vAlign w:val="center"/>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 xml:space="preserve">9 (1) </w:t>
            </w:r>
            <w:r w:rsidRPr="005C38CE">
              <w:rPr>
                <w:bCs/>
                <w:sz w:val="18"/>
                <w:szCs w:val="18"/>
                <w:vertAlign w:val="superscript"/>
                <w:lang w:eastAsia="zh-CN"/>
              </w:rPr>
              <w:t>3</w:t>
            </w:r>
          </w:p>
        </w:tc>
        <w:tc>
          <w:tcPr>
            <w:tcW w:w="1113" w:type="dxa"/>
            <w:tcBorders>
              <w:bottom w:val="nil"/>
            </w:tcBorders>
            <w:shd w:val="clear" w:color="auto" w:fill="auto"/>
            <w:vAlign w:val="center"/>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w:t>
            </w:r>
          </w:p>
        </w:tc>
        <w:tc>
          <w:tcPr>
            <w:tcW w:w="1113" w:type="dxa"/>
            <w:tcBorders>
              <w:bottom w:val="nil"/>
            </w:tcBorders>
            <w:shd w:val="clear" w:color="auto" w:fill="auto"/>
            <w:vAlign w:val="center"/>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w:t>
            </w:r>
          </w:p>
        </w:tc>
        <w:tc>
          <w:tcPr>
            <w:tcW w:w="1470" w:type="dxa"/>
            <w:tcBorders>
              <w:bottom w:val="nil"/>
            </w:tcBorders>
            <w:shd w:val="clear" w:color="auto" w:fill="auto"/>
            <w:vAlign w:val="center"/>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w:t>
            </w:r>
          </w:p>
        </w:tc>
        <w:tc>
          <w:tcPr>
            <w:tcW w:w="907" w:type="dxa"/>
            <w:tcBorders>
              <w:bottom w:val="nil"/>
            </w:tcBorders>
            <w:shd w:val="clear" w:color="auto" w:fill="auto"/>
            <w:vAlign w:val="center"/>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w:t>
            </w:r>
          </w:p>
        </w:tc>
        <w:tc>
          <w:tcPr>
            <w:tcW w:w="1047" w:type="dxa"/>
            <w:tcBorders>
              <w:bottom w:val="nil"/>
            </w:tcBorders>
            <w:shd w:val="clear" w:color="auto" w:fill="auto"/>
            <w:vAlign w:val="center"/>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w:t>
            </w:r>
          </w:p>
        </w:tc>
        <w:tc>
          <w:tcPr>
            <w:tcW w:w="1077" w:type="dxa"/>
            <w:tcBorders>
              <w:bottom w:val="nil"/>
            </w:tcBorders>
            <w:shd w:val="clear" w:color="auto" w:fill="auto"/>
            <w:vAlign w:val="center"/>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w:t>
            </w:r>
          </w:p>
        </w:tc>
        <w:tc>
          <w:tcPr>
            <w:tcW w:w="1309" w:type="dxa"/>
            <w:vMerge w:val="restart"/>
            <w:tcBorders>
              <w:bottom w:val="nil"/>
            </w:tcBorders>
            <w:shd w:val="clear" w:color="auto" w:fill="auto"/>
            <w:vAlign w:val="center"/>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A: 53   (15)</w:t>
            </w:r>
          </w:p>
        </w:tc>
        <w:tc>
          <w:tcPr>
            <w:tcW w:w="1662" w:type="dxa"/>
            <w:vMerge w:val="restart"/>
            <w:tcBorders>
              <w:bottom w:val="nil"/>
            </w:tcBorders>
            <w:shd w:val="clear" w:color="auto" w:fill="auto"/>
            <w:vAlign w:val="center"/>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1: 22 (4)</w:t>
            </w:r>
          </w:p>
        </w:tc>
      </w:tr>
      <w:tr w:rsidR="005C38CE" w:rsidRPr="005C38CE" w:rsidTr="005C38CE">
        <w:tc>
          <w:tcPr>
            <w:tcW w:w="1071" w:type="dxa"/>
            <w:vMerge/>
            <w:tcBorders>
              <w:top w:val="nil"/>
              <w:bottom w:val="nil"/>
            </w:tcBorders>
            <w:shd w:val="clear" w:color="auto" w:fill="auto"/>
            <w:vAlign w:val="center"/>
          </w:tcPr>
          <w:p w:rsidR="00571041" w:rsidRPr="005C38CE" w:rsidRDefault="00571041" w:rsidP="005C38CE">
            <w:pPr>
              <w:pStyle w:val="MDPI21heading1"/>
              <w:spacing w:before="0"/>
              <w:jc w:val="both"/>
              <w:rPr>
                <w:bCs/>
                <w:sz w:val="18"/>
                <w:szCs w:val="18"/>
                <w:lang w:eastAsia="zh-CN"/>
              </w:rPr>
            </w:pPr>
          </w:p>
        </w:tc>
        <w:tc>
          <w:tcPr>
            <w:tcW w:w="562" w:type="dxa"/>
            <w:vMerge/>
            <w:tcBorders>
              <w:top w:val="nil"/>
              <w:bottom w:val="nil"/>
            </w:tcBorders>
            <w:shd w:val="clear" w:color="auto" w:fill="auto"/>
            <w:vAlign w:val="center"/>
          </w:tcPr>
          <w:p w:rsidR="00571041" w:rsidRPr="005C38CE" w:rsidRDefault="00571041" w:rsidP="005C38CE">
            <w:pPr>
              <w:pStyle w:val="MDPI21heading1"/>
              <w:spacing w:before="0"/>
              <w:jc w:val="both"/>
              <w:rPr>
                <w:bCs/>
                <w:sz w:val="18"/>
                <w:szCs w:val="18"/>
                <w:lang w:eastAsia="zh-CN"/>
              </w:rPr>
            </w:pPr>
          </w:p>
        </w:tc>
        <w:tc>
          <w:tcPr>
            <w:tcW w:w="771" w:type="dxa"/>
            <w:tcBorders>
              <w:top w:val="nil"/>
              <w:bottom w:val="nil"/>
            </w:tcBorders>
            <w:shd w:val="clear" w:color="auto" w:fill="auto"/>
            <w:vAlign w:val="center"/>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S2</w:t>
            </w:r>
          </w:p>
        </w:tc>
        <w:tc>
          <w:tcPr>
            <w:tcW w:w="1080" w:type="dxa"/>
            <w:tcBorders>
              <w:top w:val="nil"/>
              <w:bottom w:val="nil"/>
            </w:tcBorders>
            <w:shd w:val="clear" w:color="auto" w:fill="auto"/>
            <w:vAlign w:val="center"/>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 xml:space="preserve">--- </w:t>
            </w:r>
            <w:r w:rsidRPr="005C38CE">
              <w:rPr>
                <w:bCs/>
                <w:sz w:val="18"/>
                <w:szCs w:val="18"/>
                <w:vertAlign w:val="superscript"/>
                <w:lang w:eastAsia="zh-CN"/>
              </w:rPr>
              <w:t>4</w:t>
            </w:r>
          </w:p>
        </w:tc>
        <w:tc>
          <w:tcPr>
            <w:tcW w:w="1113" w:type="dxa"/>
            <w:tcBorders>
              <w:top w:val="nil"/>
              <w:bottom w:val="nil"/>
            </w:tcBorders>
            <w:shd w:val="clear" w:color="auto" w:fill="auto"/>
            <w:vAlign w:val="center"/>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w:t>
            </w:r>
          </w:p>
        </w:tc>
        <w:tc>
          <w:tcPr>
            <w:tcW w:w="1113" w:type="dxa"/>
            <w:tcBorders>
              <w:top w:val="nil"/>
              <w:bottom w:val="nil"/>
            </w:tcBorders>
            <w:shd w:val="clear" w:color="auto" w:fill="auto"/>
            <w:vAlign w:val="center"/>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2 (1)</w:t>
            </w:r>
          </w:p>
        </w:tc>
        <w:tc>
          <w:tcPr>
            <w:tcW w:w="1470" w:type="dxa"/>
            <w:tcBorders>
              <w:top w:val="nil"/>
              <w:bottom w:val="nil"/>
            </w:tcBorders>
            <w:shd w:val="clear" w:color="auto" w:fill="auto"/>
            <w:vAlign w:val="center"/>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w:t>
            </w:r>
          </w:p>
        </w:tc>
        <w:tc>
          <w:tcPr>
            <w:tcW w:w="907" w:type="dxa"/>
            <w:tcBorders>
              <w:top w:val="nil"/>
              <w:bottom w:val="nil"/>
            </w:tcBorders>
            <w:shd w:val="clear" w:color="auto" w:fill="auto"/>
            <w:vAlign w:val="center"/>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w:t>
            </w:r>
          </w:p>
        </w:tc>
        <w:tc>
          <w:tcPr>
            <w:tcW w:w="1047" w:type="dxa"/>
            <w:tcBorders>
              <w:top w:val="nil"/>
              <w:bottom w:val="nil"/>
            </w:tcBorders>
            <w:shd w:val="clear" w:color="auto" w:fill="auto"/>
            <w:vAlign w:val="center"/>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w:t>
            </w:r>
          </w:p>
        </w:tc>
        <w:tc>
          <w:tcPr>
            <w:tcW w:w="1077" w:type="dxa"/>
            <w:tcBorders>
              <w:top w:val="nil"/>
              <w:bottom w:val="nil"/>
            </w:tcBorders>
            <w:shd w:val="clear" w:color="auto" w:fill="auto"/>
            <w:vAlign w:val="center"/>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w:t>
            </w:r>
          </w:p>
        </w:tc>
        <w:tc>
          <w:tcPr>
            <w:tcW w:w="1309" w:type="dxa"/>
            <w:vMerge/>
            <w:tcBorders>
              <w:top w:val="single" w:sz="4" w:space="0" w:color="auto"/>
              <w:bottom w:val="nil"/>
            </w:tcBorders>
            <w:shd w:val="clear" w:color="auto" w:fill="auto"/>
            <w:vAlign w:val="center"/>
          </w:tcPr>
          <w:p w:rsidR="00571041" w:rsidRPr="005C38CE" w:rsidRDefault="00571041" w:rsidP="005C38CE">
            <w:pPr>
              <w:pStyle w:val="MDPI21heading1"/>
              <w:spacing w:before="0"/>
              <w:jc w:val="both"/>
              <w:rPr>
                <w:bCs/>
                <w:sz w:val="18"/>
                <w:szCs w:val="18"/>
                <w:lang w:eastAsia="zh-CN"/>
              </w:rPr>
            </w:pPr>
          </w:p>
        </w:tc>
        <w:tc>
          <w:tcPr>
            <w:tcW w:w="1662" w:type="dxa"/>
            <w:vMerge/>
            <w:tcBorders>
              <w:top w:val="single" w:sz="4" w:space="0" w:color="auto"/>
              <w:bottom w:val="nil"/>
            </w:tcBorders>
            <w:shd w:val="clear" w:color="auto" w:fill="auto"/>
            <w:vAlign w:val="center"/>
          </w:tcPr>
          <w:p w:rsidR="00571041" w:rsidRPr="005C38CE" w:rsidRDefault="00571041" w:rsidP="005C38CE">
            <w:pPr>
              <w:pStyle w:val="MDPI21heading1"/>
              <w:spacing w:before="0"/>
              <w:jc w:val="both"/>
              <w:rPr>
                <w:bCs/>
                <w:sz w:val="18"/>
                <w:szCs w:val="18"/>
                <w:lang w:eastAsia="zh-CN"/>
              </w:rPr>
            </w:pPr>
          </w:p>
        </w:tc>
      </w:tr>
      <w:tr w:rsidR="005C38CE" w:rsidRPr="005C38CE" w:rsidTr="005C38CE">
        <w:tc>
          <w:tcPr>
            <w:tcW w:w="1071" w:type="dxa"/>
            <w:vMerge/>
            <w:tcBorders>
              <w:top w:val="nil"/>
              <w:bottom w:val="nil"/>
            </w:tcBorders>
            <w:shd w:val="clear" w:color="auto" w:fill="auto"/>
            <w:vAlign w:val="center"/>
          </w:tcPr>
          <w:p w:rsidR="00571041" w:rsidRPr="005C38CE" w:rsidRDefault="00571041" w:rsidP="005C38CE">
            <w:pPr>
              <w:pStyle w:val="MDPI21heading1"/>
              <w:spacing w:before="0"/>
              <w:jc w:val="both"/>
              <w:rPr>
                <w:bCs/>
                <w:sz w:val="18"/>
                <w:szCs w:val="18"/>
                <w:lang w:eastAsia="zh-CN"/>
              </w:rPr>
            </w:pPr>
          </w:p>
        </w:tc>
        <w:tc>
          <w:tcPr>
            <w:tcW w:w="562" w:type="dxa"/>
            <w:vMerge/>
            <w:tcBorders>
              <w:top w:val="nil"/>
              <w:bottom w:val="nil"/>
            </w:tcBorders>
            <w:shd w:val="clear" w:color="auto" w:fill="auto"/>
            <w:vAlign w:val="center"/>
          </w:tcPr>
          <w:p w:rsidR="00571041" w:rsidRPr="005C38CE" w:rsidRDefault="00571041" w:rsidP="005C38CE">
            <w:pPr>
              <w:pStyle w:val="MDPI21heading1"/>
              <w:spacing w:before="0"/>
              <w:jc w:val="both"/>
              <w:rPr>
                <w:bCs/>
                <w:sz w:val="18"/>
                <w:szCs w:val="18"/>
                <w:lang w:eastAsia="zh-CN"/>
              </w:rPr>
            </w:pPr>
          </w:p>
        </w:tc>
        <w:tc>
          <w:tcPr>
            <w:tcW w:w="771" w:type="dxa"/>
            <w:tcBorders>
              <w:top w:val="nil"/>
              <w:bottom w:val="nil"/>
            </w:tcBorders>
            <w:shd w:val="clear" w:color="auto" w:fill="auto"/>
            <w:vAlign w:val="center"/>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S3</w:t>
            </w:r>
          </w:p>
        </w:tc>
        <w:tc>
          <w:tcPr>
            <w:tcW w:w="1080" w:type="dxa"/>
            <w:tcBorders>
              <w:top w:val="nil"/>
              <w:bottom w:val="nil"/>
            </w:tcBorders>
            <w:shd w:val="clear" w:color="auto" w:fill="auto"/>
            <w:vAlign w:val="center"/>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 xml:space="preserve">23 (9) </w:t>
            </w:r>
            <w:r w:rsidRPr="005C38CE">
              <w:rPr>
                <w:bCs/>
                <w:sz w:val="18"/>
                <w:szCs w:val="18"/>
                <w:vertAlign w:val="superscript"/>
                <w:lang w:eastAsia="zh-CN"/>
              </w:rPr>
              <w:t>5</w:t>
            </w:r>
          </w:p>
        </w:tc>
        <w:tc>
          <w:tcPr>
            <w:tcW w:w="1113" w:type="dxa"/>
            <w:tcBorders>
              <w:top w:val="nil"/>
              <w:bottom w:val="nil"/>
            </w:tcBorders>
            <w:shd w:val="clear" w:color="auto" w:fill="auto"/>
            <w:vAlign w:val="center"/>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15 (4)</w:t>
            </w:r>
          </w:p>
        </w:tc>
        <w:tc>
          <w:tcPr>
            <w:tcW w:w="1113" w:type="dxa"/>
            <w:tcBorders>
              <w:top w:val="nil"/>
              <w:bottom w:val="nil"/>
            </w:tcBorders>
            <w:shd w:val="clear" w:color="auto" w:fill="auto"/>
            <w:vAlign w:val="center"/>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w:t>
            </w:r>
          </w:p>
        </w:tc>
        <w:tc>
          <w:tcPr>
            <w:tcW w:w="1470" w:type="dxa"/>
            <w:tcBorders>
              <w:top w:val="nil"/>
              <w:bottom w:val="nil"/>
            </w:tcBorders>
            <w:shd w:val="clear" w:color="auto" w:fill="auto"/>
            <w:vAlign w:val="center"/>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w:t>
            </w:r>
          </w:p>
        </w:tc>
        <w:tc>
          <w:tcPr>
            <w:tcW w:w="907" w:type="dxa"/>
            <w:tcBorders>
              <w:top w:val="nil"/>
              <w:bottom w:val="nil"/>
            </w:tcBorders>
            <w:shd w:val="clear" w:color="auto" w:fill="auto"/>
            <w:vAlign w:val="center"/>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w:t>
            </w:r>
          </w:p>
        </w:tc>
        <w:tc>
          <w:tcPr>
            <w:tcW w:w="1047" w:type="dxa"/>
            <w:tcBorders>
              <w:top w:val="nil"/>
              <w:bottom w:val="nil"/>
            </w:tcBorders>
            <w:shd w:val="clear" w:color="auto" w:fill="auto"/>
            <w:vAlign w:val="center"/>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2 (2)</w:t>
            </w:r>
          </w:p>
        </w:tc>
        <w:tc>
          <w:tcPr>
            <w:tcW w:w="1077" w:type="dxa"/>
            <w:tcBorders>
              <w:top w:val="nil"/>
              <w:bottom w:val="nil"/>
            </w:tcBorders>
            <w:shd w:val="clear" w:color="auto" w:fill="auto"/>
            <w:vAlign w:val="center"/>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2 (2)</w:t>
            </w:r>
          </w:p>
        </w:tc>
        <w:tc>
          <w:tcPr>
            <w:tcW w:w="1309" w:type="dxa"/>
            <w:vMerge/>
            <w:tcBorders>
              <w:top w:val="single" w:sz="4" w:space="0" w:color="auto"/>
              <w:bottom w:val="nil"/>
            </w:tcBorders>
            <w:shd w:val="clear" w:color="auto" w:fill="auto"/>
            <w:vAlign w:val="center"/>
          </w:tcPr>
          <w:p w:rsidR="00571041" w:rsidRPr="005C38CE" w:rsidRDefault="00571041" w:rsidP="005C38CE">
            <w:pPr>
              <w:pStyle w:val="MDPI21heading1"/>
              <w:spacing w:before="0"/>
              <w:jc w:val="both"/>
              <w:rPr>
                <w:bCs/>
                <w:sz w:val="18"/>
                <w:szCs w:val="18"/>
                <w:lang w:eastAsia="zh-CN"/>
              </w:rPr>
            </w:pPr>
          </w:p>
        </w:tc>
        <w:tc>
          <w:tcPr>
            <w:tcW w:w="1662" w:type="dxa"/>
            <w:vMerge/>
            <w:tcBorders>
              <w:top w:val="single" w:sz="4" w:space="0" w:color="auto"/>
              <w:bottom w:val="nil"/>
            </w:tcBorders>
            <w:shd w:val="clear" w:color="auto" w:fill="auto"/>
            <w:vAlign w:val="center"/>
          </w:tcPr>
          <w:p w:rsidR="00571041" w:rsidRPr="005C38CE" w:rsidRDefault="00571041" w:rsidP="005C38CE">
            <w:pPr>
              <w:pStyle w:val="MDPI21heading1"/>
              <w:spacing w:before="0"/>
              <w:jc w:val="both"/>
              <w:rPr>
                <w:bCs/>
                <w:sz w:val="18"/>
                <w:szCs w:val="18"/>
                <w:lang w:eastAsia="zh-CN"/>
              </w:rPr>
            </w:pPr>
          </w:p>
        </w:tc>
      </w:tr>
      <w:tr w:rsidR="005C38CE" w:rsidRPr="005C38CE" w:rsidTr="005C38CE">
        <w:tc>
          <w:tcPr>
            <w:tcW w:w="1071" w:type="dxa"/>
            <w:vMerge/>
            <w:tcBorders>
              <w:top w:val="nil"/>
              <w:bottom w:val="nil"/>
            </w:tcBorders>
            <w:shd w:val="clear" w:color="auto" w:fill="auto"/>
            <w:vAlign w:val="center"/>
          </w:tcPr>
          <w:p w:rsidR="00571041" w:rsidRPr="005C38CE" w:rsidRDefault="00571041" w:rsidP="005C38CE">
            <w:pPr>
              <w:pStyle w:val="MDPI21heading1"/>
              <w:spacing w:before="0"/>
              <w:jc w:val="both"/>
              <w:rPr>
                <w:bCs/>
                <w:sz w:val="18"/>
                <w:szCs w:val="18"/>
                <w:lang w:eastAsia="zh-CN"/>
              </w:rPr>
            </w:pPr>
          </w:p>
        </w:tc>
        <w:tc>
          <w:tcPr>
            <w:tcW w:w="562" w:type="dxa"/>
            <w:vMerge w:val="restart"/>
            <w:tcBorders>
              <w:top w:val="nil"/>
              <w:bottom w:val="nil"/>
            </w:tcBorders>
            <w:shd w:val="clear" w:color="auto" w:fill="auto"/>
            <w:vAlign w:val="center"/>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B</w:t>
            </w:r>
          </w:p>
        </w:tc>
        <w:tc>
          <w:tcPr>
            <w:tcW w:w="771" w:type="dxa"/>
            <w:tcBorders>
              <w:top w:val="nil"/>
              <w:bottom w:val="nil"/>
            </w:tcBorders>
            <w:shd w:val="clear" w:color="auto" w:fill="auto"/>
            <w:vAlign w:val="center"/>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S1</w:t>
            </w:r>
          </w:p>
        </w:tc>
        <w:tc>
          <w:tcPr>
            <w:tcW w:w="1080" w:type="dxa"/>
            <w:tcBorders>
              <w:top w:val="nil"/>
              <w:bottom w:val="nil"/>
            </w:tcBorders>
            <w:shd w:val="clear" w:color="auto" w:fill="auto"/>
            <w:vAlign w:val="center"/>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9 (1)</w:t>
            </w:r>
          </w:p>
        </w:tc>
        <w:tc>
          <w:tcPr>
            <w:tcW w:w="1113" w:type="dxa"/>
            <w:tcBorders>
              <w:top w:val="nil"/>
              <w:bottom w:val="nil"/>
            </w:tcBorders>
            <w:shd w:val="clear" w:color="auto" w:fill="auto"/>
            <w:vAlign w:val="center"/>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w:t>
            </w:r>
          </w:p>
        </w:tc>
        <w:tc>
          <w:tcPr>
            <w:tcW w:w="1113" w:type="dxa"/>
            <w:tcBorders>
              <w:top w:val="nil"/>
              <w:bottom w:val="nil"/>
            </w:tcBorders>
            <w:shd w:val="clear" w:color="auto" w:fill="auto"/>
            <w:vAlign w:val="center"/>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w:t>
            </w:r>
          </w:p>
        </w:tc>
        <w:tc>
          <w:tcPr>
            <w:tcW w:w="1470" w:type="dxa"/>
            <w:tcBorders>
              <w:top w:val="nil"/>
              <w:bottom w:val="nil"/>
            </w:tcBorders>
            <w:shd w:val="clear" w:color="auto" w:fill="auto"/>
            <w:vAlign w:val="center"/>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w:t>
            </w:r>
          </w:p>
        </w:tc>
        <w:tc>
          <w:tcPr>
            <w:tcW w:w="907" w:type="dxa"/>
            <w:tcBorders>
              <w:top w:val="nil"/>
              <w:bottom w:val="nil"/>
            </w:tcBorders>
            <w:shd w:val="clear" w:color="auto" w:fill="auto"/>
            <w:vAlign w:val="center"/>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w:t>
            </w:r>
          </w:p>
        </w:tc>
        <w:tc>
          <w:tcPr>
            <w:tcW w:w="1047" w:type="dxa"/>
            <w:tcBorders>
              <w:top w:val="nil"/>
              <w:bottom w:val="nil"/>
            </w:tcBorders>
            <w:shd w:val="clear" w:color="auto" w:fill="auto"/>
            <w:vAlign w:val="center"/>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w:t>
            </w:r>
          </w:p>
        </w:tc>
        <w:tc>
          <w:tcPr>
            <w:tcW w:w="1077" w:type="dxa"/>
            <w:tcBorders>
              <w:top w:val="nil"/>
              <w:bottom w:val="nil"/>
            </w:tcBorders>
            <w:shd w:val="clear" w:color="auto" w:fill="auto"/>
            <w:vAlign w:val="center"/>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1 (1)</w:t>
            </w:r>
          </w:p>
        </w:tc>
        <w:tc>
          <w:tcPr>
            <w:tcW w:w="1309" w:type="dxa"/>
            <w:vMerge w:val="restart"/>
            <w:tcBorders>
              <w:top w:val="nil"/>
              <w:bottom w:val="nil"/>
            </w:tcBorders>
            <w:shd w:val="clear" w:color="auto" w:fill="auto"/>
            <w:vAlign w:val="center"/>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B: 113 (26)</w:t>
            </w:r>
          </w:p>
        </w:tc>
        <w:tc>
          <w:tcPr>
            <w:tcW w:w="1662" w:type="dxa"/>
            <w:vMerge w:val="restart"/>
            <w:tcBorders>
              <w:top w:val="nil"/>
              <w:bottom w:val="nil"/>
            </w:tcBorders>
            <w:shd w:val="clear" w:color="auto" w:fill="auto"/>
            <w:vAlign w:val="center"/>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2: 87 (21)</w:t>
            </w:r>
          </w:p>
        </w:tc>
      </w:tr>
      <w:tr w:rsidR="005C38CE" w:rsidRPr="005C38CE" w:rsidTr="005C38CE">
        <w:tc>
          <w:tcPr>
            <w:tcW w:w="1071" w:type="dxa"/>
            <w:vMerge/>
            <w:tcBorders>
              <w:top w:val="nil"/>
              <w:bottom w:val="nil"/>
            </w:tcBorders>
            <w:shd w:val="clear" w:color="auto" w:fill="auto"/>
            <w:vAlign w:val="center"/>
          </w:tcPr>
          <w:p w:rsidR="00571041" w:rsidRPr="005C38CE" w:rsidRDefault="00571041" w:rsidP="005C38CE">
            <w:pPr>
              <w:pStyle w:val="MDPI21heading1"/>
              <w:spacing w:before="0"/>
              <w:jc w:val="both"/>
              <w:rPr>
                <w:bCs/>
                <w:sz w:val="18"/>
                <w:szCs w:val="18"/>
                <w:lang w:eastAsia="zh-CN"/>
              </w:rPr>
            </w:pPr>
          </w:p>
        </w:tc>
        <w:tc>
          <w:tcPr>
            <w:tcW w:w="562" w:type="dxa"/>
            <w:vMerge/>
            <w:tcBorders>
              <w:top w:val="nil"/>
              <w:bottom w:val="nil"/>
            </w:tcBorders>
            <w:shd w:val="clear" w:color="auto" w:fill="auto"/>
            <w:vAlign w:val="center"/>
          </w:tcPr>
          <w:p w:rsidR="00571041" w:rsidRPr="005C38CE" w:rsidRDefault="00571041" w:rsidP="005C38CE">
            <w:pPr>
              <w:pStyle w:val="MDPI21heading1"/>
              <w:spacing w:before="0"/>
              <w:jc w:val="both"/>
              <w:rPr>
                <w:bCs/>
                <w:sz w:val="18"/>
                <w:szCs w:val="18"/>
                <w:lang w:eastAsia="zh-CN"/>
              </w:rPr>
            </w:pPr>
          </w:p>
        </w:tc>
        <w:tc>
          <w:tcPr>
            <w:tcW w:w="771" w:type="dxa"/>
            <w:tcBorders>
              <w:top w:val="nil"/>
              <w:bottom w:val="nil"/>
            </w:tcBorders>
            <w:shd w:val="clear" w:color="auto" w:fill="auto"/>
            <w:vAlign w:val="center"/>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S2</w:t>
            </w:r>
          </w:p>
        </w:tc>
        <w:tc>
          <w:tcPr>
            <w:tcW w:w="1080" w:type="dxa"/>
            <w:tcBorders>
              <w:top w:val="nil"/>
              <w:bottom w:val="nil"/>
            </w:tcBorders>
            <w:shd w:val="clear" w:color="auto" w:fill="auto"/>
            <w:vAlign w:val="center"/>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28 (10)</w:t>
            </w:r>
          </w:p>
        </w:tc>
        <w:tc>
          <w:tcPr>
            <w:tcW w:w="1113" w:type="dxa"/>
            <w:tcBorders>
              <w:top w:val="nil"/>
              <w:bottom w:val="nil"/>
            </w:tcBorders>
            <w:shd w:val="clear" w:color="auto" w:fill="auto"/>
            <w:vAlign w:val="center"/>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9 (4)</w:t>
            </w:r>
          </w:p>
        </w:tc>
        <w:tc>
          <w:tcPr>
            <w:tcW w:w="1113" w:type="dxa"/>
            <w:tcBorders>
              <w:top w:val="nil"/>
              <w:bottom w:val="nil"/>
            </w:tcBorders>
            <w:shd w:val="clear" w:color="auto" w:fill="auto"/>
            <w:vAlign w:val="center"/>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w:t>
            </w:r>
          </w:p>
        </w:tc>
        <w:tc>
          <w:tcPr>
            <w:tcW w:w="1470" w:type="dxa"/>
            <w:tcBorders>
              <w:top w:val="nil"/>
              <w:bottom w:val="nil"/>
            </w:tcBorders>
            <w:shd w:val="clear" w:color="auto" w:fill="auto"/>
            <w:vAlign w:val="center"/>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1 (1)</w:t>
            </w:r>
          </w:p>
        </w:tc>
        <w:tc>
          <w:tcPr>
            <w:tcW w:w="907" w:type="dxa"/>
            <w:tcBorders>
              <w:top w:val="nil"/>
              <w:bottom w:val="nil"/>
            </w:tcBorders>
            <w:shd w:val="clear" w:color="auto" w:fill="auto"/>
            <w:vAlign w:val="center"/>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w:t>
            </w:r>
          </w:p>
        </w:tc>
        <w:tc>
          <w:tcPr>
            <w:tcW w:w="1047" w:type="dxa"/>
            <w:tcBorders>
              <w:top w:val="nil"/>
              <w:bottom w:val="nil"/>
            </w:tcBorders>
            <w:shd w:val="clear" w:color="auto" w:fill="auto"/>
            <w:vAlign w:val="center"/>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13 (3)</w:t>
            </w:r>
          </w:p>
        </w:tc>
        <w:tc>
          <w:tcPr>
            <w:tcW w:w="1077" w:type="dxa"/>
            <w:tcBorders>
              <w:top w:val="nil"/>
              <w:bottom w:val="nil"/>
            </w:tcBorders>
            <w:shd w:val="clear" w:color="auto" w:fill="auto"/>
            <w:vAlign w:val="center"/>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w:t>
            </w:r>
          </w:p>
        </w:tc>
        <w:tc>
          <w:tcPr>
            <w:tcW w:w="1309" w:type="dxa"/>
            <w:vMerge/>
            <w:tcBorders>
              <w:top w:val="nil"/>
              <w:bottom w:val="nil"/>
            </w:tcBorders>
            <w:shd w:val="clear" w:color="auto" w:fill="auto"/>
            <w:vAlign w:val="center"/>
          </w:tcPr>
          <w:p w:rsidR="00571041" w:rsidRPr="005C38CE" w:rsidRDefault="00571041" w:rsidP="005C38CE">
            <w:pPr>
              <w:pStyle w:val="MDPI21heading1"/>
              <w:spacing w:before="0"/>
              <w:jc w:val="both"/>
              <w:rPr>
                <w:bCs/>
                <w:sz w:val="18"/>
                <w:szCs w:val="18"/>
                <w:lang w:eastAsia="zh-CN"/>
              </w:rPr>
            </w:pPr>
          </w:p>
        </w:tc>
        <w:tc>
          <w:tcPr>
            <w:tcW w:w="1662" w:type="dxa"/>
            <w:vMerge/>
            <w:tcBorders>
              <w:top w:val="nil"/>
              <w:bottom w:val="nil"/>
            </w:tcBorders>
            <w:shd w:val="clear" w:color="auto" w:fill="auto"/>
            <w:vAlign w:val="center"/>
          </w:tcPr>
          <w:p w:rsidR="00571041" w:rsidRPr="005C38CE" w:rsidRDefault="00571041" w:rsidP="005C38CE">
            <w:pPr>
              <w:pStyle w:val="MDPI21heading1"/>
              <w:spacing w:before="0"/>
              <w:jc w:val="both"/>
              <w:rPr>
                <w:bCs/>
                <w:sz w:val="18"/>
                <w:szCs w:val="18"/>
                <w:lang w:eastAsia="zh-CN"/>
              </w:rPr>
            </w:pPr>
          </w:p>
        </w:tc>
      </w:tr>
      <w:tr w:rsidR="005C38CE" w:rsidRPr="005C38CE" w:rsidTr="005C38CE">
        <w:tc>
          <w:tcPr>
            <w:tcW w:w="1071" w:type="dxa"/>
            <w:vMerge/>
            <w:tcBorders>
              <w:top w:val="nil"/>
              <w:bottom w:val="nil"/>
            </w:tcBorders>
            <w:shd w:val="clear" w:color="auto" w:fill="auto"/>
            <w:vAlign w:val="center"/>
          </w:tcPr>
          <w:p w:rsidR="00571041" w:rsidRPr="005C38CE" w:rsidRDefault="00571041" w:rsidP="005C38CE">
            <w:pPr>
              <w:pStyle w:val="MDPI21heading1"/>
              <w:spacing w:before="0"/>
              <w:jc w:val="both"/>
              <w:rPr>
                <w:bCs/>
                <w:sz w:val="18"/>
                <w:szCs w:val="18"/>
                <w:lang w:eastAsia="zh-CN"/>
              </w:rPr>
            </w:pPr>
          </w:p>
        </w:tc>
        <w:tc>
          <w:tcPr>
            <w:tcW w:w="562" w:type="dxa"/>
            <w:vMerge/>
            <w:tcBorders>
              <w:top w:val="nil"/>
              <w:bottom w:val="nil"/>
            </w:tcBorders>
            <w:shd w:val="clear" w:color="auto" w:fill="auto"/>
            <w:vAlign w:val="center"/>
          </w:tcPr>
          <w:p w:rsidR="00571041" w:rsidRPr="005C38CE" w:rsidRDefault="00571041" w:rsidP="005C38CE">
            <w:pPr>
              <w:pStyle w:val="MDPI21heading1"/>
              <w:spacing w:before="0"/>
              <w:jc w:val="both"/>
              <w:rPr>
                <w:bCs/>
                <w:sz w:val="18"/>
                <w:szCs w:val="18"/>
                <w:lang w:eastAsia="zh-CN"/>
              </w:rPr>
            </w:pPr>
          </w:p>
        </w:tc>
        <w:tc>
          <w:tcPr>
            <w:tcW w:w="771" w:type="dxa"/>
            <w:tcBorders>
              <w:top w:val="nil"/>
              <w:bottom w:val="nil"/>
            </w:tcBorders>
            <w:shd w:val="clear" w:color="auto" w:fill="auto"/>
            <w:vAlign w:val="center"/>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S3</w:t>
            </w:r>
          </w:p>
        </w:tc>
        <w:tc>
          <w:tcPr>
            <w:tcW w:w="1080" w:type="dxa"/>
            <w:tcBorders>
              <w:top w:val="nil"/>
              <w:bottom w:val="nil"/>
            </w:tcBorders>
            <w:shd w:val="clear" w:color="auto" w:fill="auto"/>
            <w:vAlign w:val="center"/>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29 (8)</w:t>
            </w:r>
          </w:p>
        </w:tc>
        <w:tc>
          <w:tcPr>
            <w:tcW w:w="1113" w:type="dxa"/>
            <w:tcBorders>
              <w:top w:val="nil"/>
              <w:bottom w:val="nil"/>
            </w:tcBorders>
            <w:shd w:val="clear" w:color="auto" w:fill="auto"/>
            <w:vAlign w:val="center"/>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w:t>
            </w:r>
          </w:p>
        </w:tc>
        <w:tc>
          <w:tcPr>
            <w:tcW w:w="1113" w:type="dxa"/>
            <w:tcBorders>
              <w:top w:val="nil"/>
              <w:bottom w:val="nil"/>
            </w:tcBorders>
            <w:shd w:val="clear" w:color="auto" w:fill="auto"/>
            <w:vAlign w:val="center"/>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1 (1)</w:t>
            </w:r>
          </w:p>
        </w:tc>
        <w:tc>
          <w:tcPr>
            <w:tcW w:w="1470" w:type="dxa"/>
            <w:tcBorders>
              <w:top w:val="nil"/>
              <w:bottom w:val="nil"/>
            </w:tcBorders>
            <w:shd w:val="clear" w:color="auto" w:fill="auto"/>
            <w:vAlign w:val="center"/>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5 (2)</w:t>
            </w:r>
          </w:p>
        </w:tc>
        <w:tc>
          <w:tcPr>
            <w:tcW w:w="907" w:type="dxa"/>
            <w:tcBorders>
              <w:top w:val="nil"/>
              <w:bottom w:val="nil"/>
            </w:tcBorders>
            <w:shd w:val="clear" w:color="auto" w:fill="auto"/>
            <w:vAlign w:val="center"/>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5 (4)</w:t>
            </w:r>
          </w:p>
        </w:tc>
        <w:tc>
          <w:tcPr>
            <w:tcW w:w="1047" w:type="dxa"/>
            <w:tcBorders>
              <w:top w:val="nil"/>
              <w:bottom w:val="nil"/>
            </w:tcBorders>
            <w:shd w:val="clear" w:color="auto" w:fill="auto"/>
            <w:vAlign w:val="center"/>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12 (3)</w:t>
            </w:r>
          </w:p>
        </w:tc>
        <w:tc>
          <w:tcPr>
            <w:tcW w:w="1077" w:type="dxa"/>
            <w:tcBorders>
              <w:top w:val="nil"/>
              <w:bottom w:val="nil"/>
            </w:tcBorders>
            <w:shd w:val="clear" w:color="auto" w:fill="auto"/>
            <w:vAlign w:val="center"/>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w:t>
            </w:r>
          </w:p>
        </w:tc>
        <w:tc>
          <w:tcPr>
            <w:tcW w:w="1309" w:type="dxa"/>
            <w:vMerge/>
            <w:tcBorders>
              <w:top w:val="nil"/>
              <w:bottom w:val="nil"/>
            </w:tcBorders>
            <w:shd w:val="clear" w:color="auto" w:fill="auto"/>
            <w:vAlign w:val="center"/>
          </w:tcPr>
          <w:p w:rsidR="00571041" w:rsidRPr="005C38CE" w:rsidRDefault="00571041" w:rsidP="005C38CE">
            <w:pPr>
              <w:pStyle w:val="MDPI21heading1"/>
              <w:spacing w:before="0"/>
              <w:jc w:val="both"/>
              <w:rPr>
                <w:bCs/>
                <w:sz w:val="18"/>
                <w:szCs w:val="18"/>
                <w:lang w:eastAsia="zh-CN"/>
              </w:rPr>
            </w:pPr>
          </w:p>
        </w:tc>
        <w:tc>
          <w:tcPr>
            <w:tcW w:w="1662" w:type="dxa"/>
            <w:vMerge/>
            <w:tcBorders>
              <w:top w:val="nil"/>
              <w:bottom w:val="nil"/>
            </w:tcBorders>
            <w:shd w:val="clear" w:color="auto" w:fill="auto"/>
            <w:vAlign w:val="center"/>
          </w:tcPr>
          <w:p w:rsidR="00571041" w:rsidRPr="005C38CE" w:rsidRDefault="00571041" w:rsidP="005C38CE">
            <w:pPr>
              <w:pStyle w:val="MDPI21heading1"/>
              <w:spacing w:before="0"/>
              <w:jc w:val="both"/>
              <w:rPr>
                <w:bCs/>
                <w:sz w:val="18"/>
                <w:szCs w:val="18"/>
                <w:lang w:eastAsia="zh-CN"/>
              </w:rPr>
            </w:pPr>
          </w:p>
        </w:tc>
      </w:tr>
      <w:tr w:rsidR="005C38CE" w:rsidRPr="005C38CE" w:rsidTr="005C38CE">
        <w:tc>
          <w:tcPr>
            <w:tcW w:w="1071" w:type="dxa"/>
            <w:vMerge/>
            <w:tcBorders>
              <w:top w:val="nil"/>
              <w:bottom w:val="nil"/>
            </w:tcBorders>
            <w:shd w:val="clear" w:color="auto" w:fill="auto"/>
            <w:vAlign w:val="center"/>
          </w:tcPr>
          <w:p w:rsidR="00571041" w:rsidRPr="005C38CE" w:rsidRDefault="00571041" w:rsidP="005C38CE">
            <w:pPr>
              <w:pStyle w:val="MDPI21heading1"/>
              <w:spacing w:before="0"/>
              <w:jc w:val="both"/>
              <w:rPr>
                <w:bCs/>
                <w:sz w:val="18"/>
                <w:szCs w:val="18"/>
                <w:lang w:eastAsia="zh-CN"/>
              </w:rPr>
            </w:pPr>
          </w:p>
        </w:tc>
        <w:tc>
          <w:tcPr>
            <w:tcW w:w="562" w:type="dxa"/>
            <w:vMerge w:val="restart"/>
            <w:tcBorders>
              <w:top w:val="nil"/>
              <w:bottom w:val="nil"/>
            </w:tcBorders>
            <w:shd w:val="clear" w:color="auto" w:fill="auto"/>
            <w:vAlign w:val="center"/>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C</w:t>
            </w:r>
          </w:p>
        </w:tc>
        <w:tc>
          <w:tcPr>
            <w:tcW w:w="771" w:type="dxa"/>
            <w:tcBorders>
              <w:top w:val="nil"/>
              <w:bottom w:val="nil"/>
            </w:tcBorders>
            <w:shd w:val="clear" w:color="auto" w:fill="auto"/>
            <w:vAlign w:val="center"/>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S1</w:t>
            </w:r>
          </w:p>
        </w:tc>
        <w:tc>
          <w:tcPr>
            <w:tcW w:w="1080" w:type="dxa"/>
            <w:tcBorders>
              <w:top w:val="nil"/>
              <w:bottom w:val="nil"/>
            </w:tcBorders>
            <w:shd w:val="clear" w:color="auto" w:fill="auto"/>
            <w:vAlign w:val="center"/>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w:t>
            </w:r>
          </w:p>
        </w:tc>
        <w:tc>
          <w:tcPr>
            <w:tcW w:w="1113" w:type="dxa"/>
            <w:tcBorders>
              <w:top w:val="nil"/>
              <w:bottom w:val="nil"/>
            </w:tcBorders>
            <w:shd w:val="clear" w:color="auto" w:fill="auto"/>
            <w:vAlign w:val="center"/>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w:t>
            </w:r>
          </w:p>
        </w:tc>
        <w:tc>
          <w:tcPr>
            <w:tcW w:w="1113" w:type="dxa"/>
            <w:tcBorders>
              <w:top w:val="nil"/>
              <w:bottom w:val="nil"/>
            </w:tcBorders>
            <w:shd w:val="clear" w:color="auto" w:fill="auto"/>
            <w:vAlign w:val="center"/>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w:t>
            </w:r>
          </w:p>
        </w:tc>
        <w:tc>
          <w:tcPr>
            <w:tcW w:w="1470" w:type="dxa"/>
            <w:tcBorders>
              <w:top w:val="nil"/>
              <w:bottom w:val="nil"/>
            </w:tcBorders>
            <w:shd w:val="clear" w:color="auto" w:fill="auto"/>
            <w:vAlign w:val="center"/>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w:t>
            </w:r>
          </w:p>
        </w:tc>
        <w:tc>
          <w:tcPr>
            <w:tcW w:w="907" w:type="dxa"/>
            <w:tcBorders>
              <w:top w:val="nil"/>
              <w:bottom w:val="nil"/>
            </w:tcBorders>
            <w:shd w:val="clear" w:color="auto" w:fill="auto"/>
            <w:vAlign w:val="center"/>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w:t>
            </w:r>
          </w:p>
        </w:tc>
        <w:tc>
          <w:tcPr>
            <w:tcW w:w="1047" w:type="dxa"/>
            <w:tcBorders>
              <w:top w:val="nil"/>
              <w:bottom w:val="nil"/>
            </w:tcBorders>
            <w:shd w:val="clear" w:color="auto" w:fill="auto"/>
            <w:vAlign w:val="center"/>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w:t>
            </w:r>
          </w:p>
        </w:tc>
        <w:tc>
          <w:tcPr>
            <w:tcW w:w="1077" w:type="dxa"/>
            <w:tcBorders>
              <w:top w:val="nil"/>
              <w:bottom w:val="nil"/>
            </w:tcBorders>
            <w:shd w:val="clear" w:color="auto" w:fill="auto"/>
            <w:vAlign w:val="center"/>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3 (1)</w:t>
            </w:r>
          </w:p>
        </w:tc>
        <w:tc>
          <w:tcPr>
            <w:tcW w:w="1309" w:type="dxa"/>
            <w:vMerge w:val="restart"/>
            <w:tcBorders>
              <w:top w:val="nil"/>
              <w:bottom w:val="nil"/>
            </w:tcBorders>
            <w:shd w:val="clear" w:color="auto" w:fill="auto"/>
            <w:vAlign w:val="center"/>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C: 128 (28)</w:t>
            </w:r>
          </w:p>
        </w:tc>
        <w:tc>
          <w:tcPr>
            <w:tcW w:w="1662" w:type="dxa"/>
            <w:vMerge w:val="restart"/>
            <w:tcBorders>
              <w:top w:val="nil"/>
              <w:bottom w:val="nil"/>
            </w:tcBorders>
            <w:shd w:val="clear" w:color="auto" w:fill="auto"/>
            <w:vAlign w:val="center"/>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3: 185 (44)</w:t>
            </w:r>
          </w:p>
        </w:tc>
      </w:tr>
      <w:tr w:rsidR="005C38CE" w:rsidRPr="005C38CE" w:rsidTr="005C38CE">
        <w:tc>
          <w:tcPr>
            <w:tcW w:w="1071" w:type="dxa"/>
            <w:vMerge/>
            <w:tcBorders>
              <w:top w:val="nil"/>
              <w:bottom w:val="nil"/>
            </w:tcBorders>
            <w:shd w:val="clear" w:color="auto" w:fill="auto"/>
            <w:vAlign w:val="center"/>
          </w:tcPr>
          <w:p w:rsidR="00571041" w:rsidRPr="005C38CE" w:rsidRDefault="00571041" w:rsidP="005C38CE">
            <w:pPr>
              <w:pStyle w:val="MDPI21heading1"/>
              <w:spacing w:before="0"/>
              <w:jc w:val="both"/>
              <w:rPr>
                <w:bCs/>
                <w:sz w:val="18"/>
                <w:szCs w:val="18"/>
                <w:lang w:eastAsia="zh-CN"/>
              </w:rPr>
            </w:pPr>
          </w:p>
        </w:tc>
        <w:tc>
          <w:tcPr>
            <w:tcW w:w="562" w:type="dxa"/>
            <w:vMerge/>
            <w:tcBorders>
              <w:top w:val="nil"/>
              <w:bottom w:val="nil"/>
            </w:tcBorders>
            <w:shd w:val="clear" w:color="auto" w:fill="auto"/>
            <w:vAlign w:val="center"/>
          </w:tcPr>
          <w:p w:rsidR="00571041" w:rsidRPr="005C38CE" w:rsidRDefault="00571041" w:rsidP="005C38CE">
            <w:pPr>
              <w:pStyle w:val="MDPI21heading1"/>
              <w:spacing w:before="0"/>
              <w:jc w:val="both"/>
              <w:rPr>
                <w:bCs/>
                <w:sz w:val="18"/>
                <w:szCs w:val="18"/>
                <w:lang w:eastAsia="zh-CN"/>
              </w:rPr>
            </w:pPr>
          </w:p>
        </w:tc>
        <w:tc>
          <w:tcPr>
            <w:tcW w:w="771" w:type="dxa"/>
            <w:tcBorders>
              <w:top w:val="nil"/>
              <w:bottom w:val="nil"/>
            </w:tcBorders>
            <w:shd w:val="clear" w:color="auto" w:fill="auto"/>
            <w:vAlign w:val="center"/>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S2</w:t>
            </w:r>
          </w:p>
        </w:tc>
        <w:tc>
          <w:tcPr>
            <w:tcW w:w="1080" w:type="dxa"/>
            <w:tcBorders>
              <w:top w:val="nil"/>
              <w:bottom w:val="nil"/>
            </w:tcBorders>
            <w:shd w:val="clear" w:color="auto" w:fill="auto"/>
            <w:vAlign w:val="center"/>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18 (3)</w:t>
            </w:r>
          </w:p>
        </w:tc>
        <w:tc>
          <w:tcPr>
            <w:tcW w:w="1113" w:type="dxa"/>
            <w:tcBorders>
              <w:top w:val="nil"/>
              <w:bottom w:val="nil"/>
            </w:tcBorders>
            <w:shd w:val="clear" w:color="auto" w:fill="auto"/>
            <w:vAlign w:val="center"/>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w:t>
            </w:r>
          </w:p>
        </w:tc>
        <w:tc>
          <w:tcPr>
            <w:tcW w:w="1113" w:type="dxa"/>
            <w:tcBorders>
              <w:top w:val="nil"/>
              <w:bottom w:val="nil"/>
            </w:tcBorders>
            <w:shd w:val="clear" w:color="auto" w:fill="auto"/>
            <w:vAlign w:val="center"/>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w:t>
            </w:r>
          </w:p>
        </w:tc>
        <w:tc>
          <w:tcPr>
            <w:tcW w:w="1470" w:type="dxa"/>
            <w:tcBorders>
              <w:top w:val="nil"/>
              <w:bottom w:val="nil"/>
            </w:tcBorders>
            <w:shd w:val="clear" w:color="auto" w:fill="auto"/>
            <w:vAlign w:val="center"/>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1 (1)</w:t>
            </w:r>
          </w:p>
        </w:tc>
        <w:tc>
          <w:tcPr>
            <w:tcW w:w="907" w:type="dxa"/>
            <w:tcBorders>
              <w:top w:val="nil"/>
              <w:bottom w:val="nil"/>
            </w:tcBorders>
            <w:shd w:val="clear" w:color="auto" w:fill="auto"/>
            <w:vAlign w:val="center"/>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w:t>
            </w:r>
          </w:p>
        </w:tc>
        <w:tc>
          <w:tcPr>
            <w:tcW w:w="1047" w:type="dxa"/>
            <w:tcBorders>
              <w:top w:val="nil"/>
              <w:bottom w:val="nil"/>
            </w:tcBorders>
            <w:shd w:val="clear" w:color="auto" w:fill="auto"/>
            <w:vAlign w:val="center"/>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w:t>
            </w:r>
          </w:p>
        </w:tc>
        <w:tc>
          <w:tcPr>
            <w:tcW w:w="1077" w:type="dxa"/>
            <w:tcBorders>
              <w:top w:val="nil"/>
              <w:bottom w:val="nil"/>
            </w:tcBorders>
            <w:shd w:val="clear" w:color="auto" w:fill="auto"/>
            <w:vAlign w:val="center"/>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15 (4)</w:t>
            </w:r>
          </w:p>
        </w:tc>
        <w:tc>
          <w:tcPr>
            <w:tcW w:w="1309" w:type="dxa"/>
            <w:vMerge/>
            <w:tcBorders>
              <w:top w:val="nil"/>
              <w:bottom w:val="nil"/>
            </w:tcBorders>
            <w:shd w:val="clear" w:color="auto" w:fill="auto"/>
            <w:vAlign w:val="center"/>
          </w:tcPr>
          <w:p w:rsidR="00571041" w:rsidRPr="005C38CE" w:rsidRDefault="00571041" w:rsidP="005C38CE">
            <w:pPr>
              <w:pStyle w:val="MDPI21heading1"/>
              <w:spacing w:before="0"/>
              <w:jc w:val="both"/>
              <w:rPr>
                <w:bCs/>
                <w:sz w:val="18"/>
                <w:szCs w:val="18"/>
                <w:lang w:eastAsia="zh-CN"/>
              </w:rPr>
            </w:pPr>
          </w:p>
        </w:tc>
        <w:tc>
          <w:tcPr>
            <w:tcW w:w="1662" w:type="dxa"/>
            <w:vMerge/>
            <w:tcBorders>
              <w:top w:val="nil"/>
              <w:bottom w:val="nil"/>
            </w:tcBorders>
            <w:shd w:val="clear" w:color="auto" w:fill="auto"/>
            <w:vAlign w:val="center"/>
          </w:tcPr>
          <w:p w:rsidR="00571041" w:rsidRPr="005C38CE" w:rsidRDefault="00571041" w:rsidP="005C38CE">
            <w:pPr>
              <w:pStyle w:val="MDPI21heading1"/>
              <w:spacing w:before="0"/>
              <w:jc w:val="both"/>
              <w:rPr>
                <w:bCs/>
                <w:sz w:val="18"/>
                <w:szCs w:val="18"/>
                <w:lang w:eastAsia="zh-CN"/>
              </w:rPr>
            </w:pPr>
          </w:p>
        </w:tc>
      </w:tr>
      <w:tr w:rsidR="005C38CE" w:rsidRPr="005C38CE" w:rsidTr="005C38CE">
        <w:tc>
          <w:tcPr>
            <w:tcW w:w="1071" w:type="dxa"/>
            <w:vMerge/>
            <w:tcBorders>
              <w:top w:val="nil"/>
              <w:bottom w:val="nil"/>
            </w:tcBorders>
            <w:shd w:val="clear" w:color="auto" w:fill="auto"/>
            <w:vAlign w:val="center"/>
          </w:tcPr>
          <w:p w:rsidR="00571041" w:rsidRPr="005C38CE" w:rsidRDefault="00571041" w:rsidP="005C38CE">
            <w:pPr>
              <w:pStyle w:val="MDPI21heading1"/>
              <w:spacing w:before="0"/>
              <w:jc w:val="both"/>
              <w:rPr>
                <w:bCs/>
                <w:sz w:val="18"/>
                <w:szCs w:val="18"/>
                <w:lang w:eastAsia="zh-CN"/>
              </w:rPr>
            </w:pPr>
          </w:p>
        </w:tc>
        <w:tc>
          <w:tcPr>
            <w:tcW w:w="562" w:type="dxa"/>
            <w:vMerge/>
            <w:tcBorders>
              <w:top w:val="nil"/>
              <w:bottom w:val="nil"/>
            </w:tcBorders>
            <w:shd w:val="clear" w:color="auto" w:fill="auto"/>
            <w:vAlign w:val="center"/>
          </w:tcPr>
          <w:p w:rsidR="00571041" w:rsidRPr="005C38CE" w:rsidRDefault="00571041" w:rsidP="005C38CE">
            <w:pPr>
              <w:pStyle w:val="MDPI21heading1"/>
              <w:spacing w:before="0"/>
              <w:jc w:val="both"/>
              <w:rPr>
                <w:bCs/>
                <w:sz w:val="18"/>
                <w:szCs w:val="18"/>
                <w:lang w:eastAsia="zh-CN"/>
              </w:rPr>
            </w:pPr>
          </w:p>
        </w:tc>
        <w:tc>
          <w:tcPr>
            <w:tcW w:w="771" w:type="dxa"/>
            <w:tcBorders>
              <w:top w:val="nil"/>
              <w:bottom w:val="nil"/>
            </w:tcBorders>
            <w:shd w:val="clear" w:color="auto" w:fill="auto"/>
            <w:vAlign w:val="center"/>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S3</w:t>
            </w:r>
          </w:p>
        </w:tc>
        <w:tc>
          <w:tcPr>
            <w:tcW w:w="1080" w:type="dxa"/>
            <w:tcBorders>
              <w:top w:val="nil"/>
              <w:bottom w:val="nil"/>
            </w:tcBorders>
            <w:shd w:val="clear" w:color="auto" w:fill="auto"/>
            <w:vAlign w:val="center"/>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15 (4)</w:t>
            </w:r>
          </w:p>
        </w:tc>
        <w:tc>
          <w:tcPr>
            <w:tcW w:w="1113" w:type="dxa"/>
            <w:tcBorders>
              <w:top w:val="nil"/>
              <w:bottom w:val="nil"/>
            </w:tcBorders>
            <w:shd w:val="clear" w:color="auto" w:fill="auto"/>
            <w:vAlign w:val="center"/>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9 (2)</w:t>
            </w:r>
          </w:p>
        </w:tc>
        <w:tc>
          <w:tcPr>
            <w:tcW w:w="1113" w:type="dxa"/>
            <w:tcBorders>
              <w:top w:val="nil"/>
              <w:bottom w:val="nil"/>
            </w:tcBorders>
            <w:shd w:val="clear" w:color="auto" w:fill="auto"/>
            <w:vAlign w:val="center"/>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8 (1)</w:t>
            </w:r>
          </w:p>
        </w:tc>
        <w:tc>
          <w:tcPr>
            <w:tcW w:w="1470" w:type="dxa"/>
            <w:tcBorders>
              <w:top w:val="nil"/>
              <w:bottom w:val="nil"/>
            </w:tcBorders>
            <w:shd w:val="clear" w:color="auto" w:fill="auto"/>
            <w:vAlign w:val="center"/>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38 (7)</w:t>
            </w:r>
          </w:p>
        </w:tc>
        <w:tc>
          <w:tcPr>
            <w:tcW w:w="907" w:type="dxa"/>
            <w:tcBorders>
              <w:top w:val="nil"/>
              <w:bottom w:val="nil"/>
            </w:tcBorders>
            <w:shd w:val="clear" w:color="auto" w:fill="auto"/>
            <w:vAlign w:val="center"/>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w:t>
            </w:r>
          </w:p>
        </w:tc>
        <w:tc>
          <w:tcPr>
            <w:tcW w:w="1047" w:type="dxa"/>
            <w:tcBorders>
              <w:top w:val="nil"/>
              <w:bottom w:val="nil"/>
            </w:tcBorders>
            <w:shd w:val="clear" w:color="auto" w:fill="auto"/>
            <w:vAlign w:val="center"/>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w:t>
            </w:r>
          </w:p>
        </w:tc>
        <w:tc>
          <w:tcPr>
            <w:tcW w:w="1077" w:type="dxa"/>
            <w:tcBorders>
              <w:top w:val="nil"/>
              <w:bottom w:val="nil"/>
            </w:tcBorders>
            <w:shd w:val="clear" w:color="auto" w:fill="auto"/>
            <w:vAlign w:val="center"/>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21 (8)</w:t>
            </w:r>
          </w:p>
        </w:tc>
        <w:tc>
          <w:tcPr>
            <w:tcW w:w="1309" w:type="dxa"/>
            <w:vMerge/>
            <w:tcBorders>
              <w:top w:val="nil"/>
              <w:bottom w:val="nil"/>
            </w:tcBorders>
            <w:shd w:val="clear" w:color="auto" w:fill="auto"/>
            <w:vAlign w:val="center"/>
          </w:tcPr>
          <w:p w:rsidR="00571041" w:rsidRPr="005C38CE" w:rsidRDefault="00571041" w:rsidP="005C38CE">
            <w:pPr>
              <w:pStyle w:val="MDPI21heading1"/>
              <w:spacing w:before="0"/>
              <w:jc w:val="both"/>
              <w:rPr>
                <w:bCs/>
                <w:sz w:val="18"/>
                <w:szCs w:val="18"/>
                <w:lang w:eastAsia="zh-CN"/>
              </w:rPr>
            </w:pPr>
          </w:p>
        </w:tc>
        <w:tc>
          <w:tcPr>
            <w:tcW w:w="1662" w:type="dxa"/>
            <w:vMerge/>
            <w:tcBorders>
              <w:top w:val="nil"/>
              <w:bottom w:val="nil"/>
            </w:tcBorders>
            <w:shd w:val="clear" w:color="auto" w:fill="auto"/>
            <w:vAlign w:val="center"/>
          </w:tcPr>
          <w:p w:rsidR="00571041" w:rsidRPr="005C38CE" w:rsidRDefault="00571041" w:rsidP="005C38CE">
            <w:pPr>
              <w:pStyle w:val="MDPI21heading1"/>
              <w:spacing w:before="0"/>
              <w:jc w:val="both"/>
              <w:rPr>
                <w:bCs/>
                <w:sz w:val="18"/>
                <w:szCs w:val="18"/>
                <w:lang w:eastAsia="zh-CN"/>
              </w:rPr>
            </w:pPr>
          </w:p>
        </w:tc>
      </w:tr>
      <w:tr w:rsidR="005C38CE" w:rsidRPr="005C38CE" w:rsidTr="005C38CE">
        <w:tc>
          <w:tcPr>
            <w:tcW w:w="2404" w:type="dxa"/>
            <w:gridSpan w:val="3"/>
            <w:tcBorders>
              <w:top w:val="nil"/>
              <w:bottom w:val="nil"/>
            </w:tcBorders>
            <w:shd w:val="clear" w:color="auto" w:fill="auto"/>
            <w:vAlign w:val="center"/>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 xml:space="preserve">Total </w:t>
            </w:r>
            <w:proofErr w:type="spellStart"/>
            <w:r w:rsidRPr="005C38CE">
              <w:rPr>
                <w:bCs/>
                <w:sz w:val="18"/>
                <w:szCs w:val="18"/>
                <w:lang w:eastAsia="zh-CN"/>
              </w:rPr>
              <w:t>virulotypes</w:t>
            </w:r>
            <w:proofErr w:type="spellEnd"/>
          </w:p>
        </w:tc>
        <w:tc>
          <w:tcPr>
            <w:tcW w:w="1080" w:type="dxa"/>
            <w:tcBorders>
              <w:top w:val="nil"/>
              <w:bottom w:val="nil"/>
            </w:tcBorders>
            <w:shd w:val="clear" w:color="auto" w:fill="auto"/>
            <w:vAlign w:val="center"/>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131 (36)</w:t>
            </w:r>
          </w:p>
        </w:tc>
        <w:tc>
          <w:tcPr>
            <w:tcW w:w="1113" w:type="dxa"/>
            <w:tcBorders>
              <w:top w:val="nil"/>
              <w:bottom w:val="nil"/>
            </w:tcBorders>
            <w:shd w:val="clear" w:color="auto" w:fill="auto"/>
            <w:vAlign w:val="center"/>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33 (10)</w:t>
            </w:r>
          </w:p>
        </w:tc>
        <w:tc>
          <w:tcPr>
            <w:tcW w:w="1113" w:type="dxa"/>
            <w:tcBorders>
              <w:top w:val="nil"/>
              <w:bottom w:val="nil"/>
            </w:tcBorders>
            <w:shd w:val="clear" w:color="auto" w:fill="auto"/>
            <w:vAlign w:val="center"/>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11 (3)</w:t>
            </w:r>
          </w:p>
        </w:tc>
        <w:tc>
          <w:tcPr>
            <w:tcW w:w="1470" w:type="dxa"/>
            <w:tcBorders>
              <w:top w:val="nil"/>
              <w:bottom w:val="nil"/>
            </w:tcBorders>
            <w:shd w:val="clear" w:color="auto" w:fill="auto"/>
            <w:vAlign w:val="center"/>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45 (11)</w:t>
            </w:r>
          </w:p>
        </w:tc>
        <w:tc>
          <w:tcPr>
            <w:tcW w:w="907" w:type="dxa"/>
            <w:tcBorders>
              <w:top w:val="nil"/>
              <w:bottom w:val="nil"/>
            </w:tcBorders>
            <w:shd w:val="clear" w:color="auto" w:fill="auto"/>
            <w:vAlign w:val="center"/>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5 (4)</w:t>
            </w:r>
          </w:p>
        </w:tc>
        <w:tc>
          <w:tcPr>
            <w:tcW w:w="1047" w:type="dxa"/>
            <w:tcBorders>
              <w:top w:val="nil"/>
              <w:bottom w:val="nil"/>
            </w:tcBorders>
            <w:shd w:val="clear" w:color="auto" w:fill="auto"/>
            <w:vAlign w:val="center"/>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27 (8)</w:t>
            </w:r>
          </w:p>
        </w:tc>
        <w:tc>
          <w:tcPr>
            <w:tcW w:w="1077" w:type="dxa"/>
            <w:tcBorders>
              <w:top w:val="nil"/>
              <w:bottom w:val="nil"/>
            </w:tcBorders>
            <w:shd w:val="clear" w:color="auto" w:fill="auto"/>
            <w:vAlign w:val="center"/>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42 (16)</w:t>
            </w:r>
          </w:p>
        </w:tc>
        <w:tc>
          <w:tcPr>
            <w:tcW w:w="2971" w:type="dxa"/>
            <w:gridSpan w:val="2"/>
            <w:vMerge w:val="restart"/>
            <w:tcBorders>
              <w:top w:val="nil"/>
            </w:tcBorders>
            <w:shd w:val="clear" w:color="auto" w:fill="auto"/>
            <w:vAlign w:val="center"/>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294 (69)</w:t>
            </w:r>
          </w:p>
        </w:tc>
      </w:tr>
      <w:tr w:rsidR="005C38CE" w:rsidRPr="005C38CE" w:rsidTr="005C38CE">
        <w:tc>
          <w:tcPr>
            <w:tcW w:w="2404" w:type="dxa"/>
            <w:gridSpan w:val="3"/>
            <w:tcBorders>
              <w:top w:val="nil"/>
            </w:tcBorders>
            <w:shd w:val="clear" w:color="auto" w:fill="auto"/>
            <w:vAlign w:val="center"/>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 xml:space="preserve">Total </w:t>
            </w:r>
            <w:proofErr w:type="spellStart"/>
            <w:r w:rsidRPr="005C38CE">
              <w:rPr>
                <w:bCs/>
                <w:sz w:val="18"/>
                <w:szCs w:val="18"/>
                <w:lang w:eastAsia="zh-CN"/>
              </w:rPr>
              <w:t>pathotypes</w:t>
            </w:r>
            <w:proofErr w:type="spellEnd"/>
          </w:p>
        </w:tc>
        <w:tc>
          <w:tcPr>
            <w:tcW w:w="1080" w:type="dxa"/>
            <w:tcBorders>
              <w:top w:val="nil"/>
            </w:tcBorders>
            <w:shd w:val="clear" w:color="auto" w:fill="auto"/>
            <w:vAlign w:val="center"/>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131 (36)</w:t>
            </w:r>
          </w:p>
        </w:tc>
        <w:tc>
          <w:tcPr>
            <w:tcW w:w="3696" w:type="dxa"/>
            <w:gridSpan w:val="3"/>
            <w:tcBorders>
              <w:top w:val="nil"/>
            </w:tcBorders>
            <w:shd w:val="clear" w:color="auto" w:fill="auto"/>
            <w:vAlign w:val="center"/>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 xml:space="preserve">89 (23) </w:t>
            </w:r>
            <w:r w:rsidRPr="005C38CE">
              <w:rPr>
                <w:bCs/>
                <w:sz w:val="18"/>
                <w:szCs w:val="18"/>
                <w:vertAlign w:val="superscript"/>
                <w:lang w:eastAsia="zh-CN"/>
              </w:rPr>
              <w:t>6</w:t>
            </w:r>
          </w:p>
        </w:tc>
        <w:tc>
          <w:tcPr>
            <w:tcW w:w="3031" w:type="dxa"/>
            <w:gridSpan w:val="3"/>
            <w:tcBorders>
              <w:top w:val="nil"/>
            </w:tcBorders>
            <w:shd w:val="clear" w:color="auto" w:fill="auto"/>
            <w:vAlign w:val="center"/>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 xml:space="preserve">74 (27) </w:t>
            </w:r>
            <w:r w:rsidRPr="005C38CE">
              <w:rPr>
                <w:bCs/>
                <w:sz w:val="18"/>
                <w:szCs w:val="18"/>
                <w:vertAlign w:val="superscript"/>
                <w:lang w:eastAsia="zh-CN"/>
              </w:rPr>
              <w:t>6</w:t>
            </w:r>
          </w:p>
        </w:tc>
        <w:tc>
          <w:tcPr>
            <w:tcW w:w="2971" w:type="dxa"/>
            <w:gridSpan w:val="2"/>
            <w:vMerge/>
            <w:tcBorders>
              <w:top w:val="single" w:sz="4" w:space="0" w:color="auto"/>
            </w:tcBorders>
            <w:shd w:val="clear" w:color="auto" w:fill="auto"/>
            <w:vAlign w:val="center"/>
          </w:tcPr>
          <w:p w:rsidR="00571041" w:rsidRPr="005C38CE" w:rsidRDefault="00571041" w:rsidP="005C38CE">
            <w:pPr>
              <w:pStyle w:val="MDPI21heading1"/>
              <w:spacing w:before="0"/>
              <w:jc w:val="both"/>
              <w:rPr>
                <w:bCs/>
                <w:sz w:val="18"/>
                <w:szCs w:val="18"/>
                <w:lang w:eastAsia="zh-CN"/>
              </w:rPr>
            </w:pPr>
          </w:p>
        </w:tc>
      </w:tr>
    </w:tbl>
    <w:p w:rsidR="00571041" w:rsidRPr="00571041" w:rsidRDefault="00571041" w:rsidP="00571041">
      <w:pPr>
        <w:pStyle w:val="MDPI21heading1"/>
        <w:rPr>
          <w:sz w:val="18"/>
          <w:szCs w:val="18"/>
          <w:lang w:eastAsia="zh-CN"/>
        </w:rPr>
      </w:pPr>
    </w:p>
    <w:p w:rsidR="00571041" w:rsidRPr="00571041" w:rsidRDefault="00571041" w:rsidP="00571041">
      <w:pPr>
        <w:pStyle w:val="MDPI21heading1"/>
        <w:rPr>
          <w:sz w:val="18"/>
          <w:szCs w:val="18"/>
          <w:lang w:eastAsia="zh-CN"/>
        </w:rPr>
      </w:pPr>
    </w:p>
    <w:p w:rsidR="00AE76D7" w:rsidRDefault="00AE76D7" w:rsidP="00571041">
      <w:pPr>
        <w:pStyle w:val="MDPI21heading1"/>
        <w:jc w:val="both"/>
        <w:rPr>
          <w:sz w:val="18"/>
          <w:szCs w:val="18"/>
          <w:vertAlign w:val="superscript"/>
          <w:lang w:eastAsia="zh-CN"/>
        </w:rPr>
      </w:pPr>
    </w:p>
    <w:p w:rsidR="00AE76D7" w:rsidRDefault="00AE76D7" w:rsidP="00571041">
      <w:pPr>
        <w:pStyle w:val="MDPI21heading1"/>
        <w:jc w:val="both"/>
        <w:rPr>
          <w:sz w:val="18"/>
          <w:szCs w:val="18"/>
          <w:vertAlign w:val="superscript"/>
          <w:lang w:eastAsia="zh-CN"/>
        </w:rPr>
      </w:pPr>
    </w:p>
    <w:p w:rsidR="00AE76D7" w:rsidRDefault="00AE76D7" w:rsidP="00571041">
      <w:pPr>
        <w:pStyle w:val="MDPI21heading1"/>
        <w:jc w:val="both"/>
        <w:rPr>
          <w:sz w:val="18"/>
          <w:szCs w:val="18"/>
          <w:vertAlign w:val="superscript"/>
          <w:lang w:eastAsia="zh-CN"/>
        </w:rPr>
      </w:pPr>
    </w:p>
    <w:p w:rsidR="00AE76D7" w:rsidRDefault="00AE76D7" w:rsidP="00571041">
      <w:pPr>
        <w:pStyle w:val="MDPI21heading1"/>
        <w:jc w:val="both"/>
        <w:rPr>
          <w:sz w:val="18"/>
          <w:szCs w:val="18"/>
          <w:vertAlign w:val="superscript"/>
          <w:lang w:eastAsia="zh-CN"/>
        </w:rPr>
      </w:pPr>
    </w:p>
    <w:p w:rsidR="00AE76D7" w:rsidRDefault="00AE76D7" w:rsidP="00571041">
      <w:pPr>
        <w:pStyle w:val="MDPI21heading1"/>
        <w:jc w:val="both"/>
        <w:rPr>
          <w:sz w:val="18"/>
          <w:szCs w:val="18"/>
          <w:vertAlign w:val="superscript"/>
          <w:lang w:eastAsia="zh-CN"/>
        </w:rPr>
      </w:pPr>
    </w:p>
    <w:p w:rsidR="00AE76D7" w:rsidRDefault="00AE76D7" w:rsidP="00571041">
      <w:pPr>
        <w:pStyle w:val="MDPI21heading1"/>
        <w:jc w:val="both"/>
        <w:rPr>
          <w:sz w:val="18"/>
          <w:szCs w:val="18"/>
          <w:vertAlign w:val="superscript"/>
          <w:lang w:eastAsia="zh-CN"/>
        </w:rPr>
      </w:pPr>
    </w:p>
    <w:p w:rsidR="00AE76D7" w:rsidRDefault="00AE76D7" w:rsidP="00571041">
      <w:pPr>
        <w:pStyle w:val="MDPI21heading1"/>
        <w:jc w:val="both"/>
        <w:rPr>
          <w:sz w:val="18"/>
          <w:szCs w:val="18"/>
          <w:vertAlign w:val="superscript"/>
          <w:lang w:eastAsia="zh-CN"/>
        </w:rPr>
      </w:pPr>
    </w:p>
    <w:p w:rsidR="00AE76D7" w:rsidRDefault="00AE76D7" w:rsidP="00571041">
      <w:pPr>
        <w:pStyle w:val="MDPI21heading1"/>
        <w:jc w:val="both"/>
        <w:rPr>
          <w:sz w:val="18"/>
          <w:szCs w:val="18"/>
          <w:vertAlign w:val="superscript"/>
          <w:lang w:eastAsia="zh-CN"/>
        </w:rPr>
      </w:pPr>
    </w:p>
    <w:p w:rsidR="00571041" w:rsidRPr="00571041" w:rsidRDefault="00571041" w:rsidP="00571041">
      <w:pPr>
        <w:pStyle w:val="MDPI21heading1"/>
        <w:jc w:val="both"/>
        <w:rPr>
          <w:bCs/>
          <w:sz w:val="18"/>
          <w:szCs w:val="18"/>
          <w:lang w:eastAsia="zh-CN"/>
        </w:rPr>
      </w:pPr>
      <w:r w:rsidRPr="00571041">
        <w:rPr>
          <w:sz w:val="18"/>
          <w:szCs w:val="18"/>
          <w:vertAlign w:val="superscript"/>
          <w:lang w:eastAsia="zh-CN"/>
        </w:rPr>
        <w:t xml:space="preserve">1 </w:t>
      </w:r>
      <w:r w:rsidRPr="00571041">
        <w:rPr>
          <w:sz w:val="18"/>
          <w:szCs w:val="18"/>
          <w:lang w:eastAsia="zh-CN"/>
        </w:rPr>
        <w:t xml:space="preserve">AE-STEC = Attaching-Effacing </w:t>
      </w:r>
      <w:proofErr w:type="spellStart"/>
      <w:r w:rsidRPr="00571041">
        <w:rPr>
          <w:sz w:val="18"/>
          <w:szCs w:val="18"/>
          <w:lang w:eastAsia="zh-CN"/>
        </w:rPr>
        <w:t>Shigatoxigenic</w:t>
      </w:r>
      <w:proofErr w:type="spellEnd"/>
      <w:r w:rsidRPr="00571041">
        <w:rPr>
          <w:sz w:val="18"/>
          <w:szCs w:val="18"/>
          <w:lang w:eastAsia="zh-CN"/>
        </w:rPr>
        <w:t xml:space="preserve"> </w:t>
      </w:r>
      <w:r w:rsidRPr="00571041">
        <w:rPr>
          <w:i/>
          <w:sz w:val="18"/>
          <w:szCs w:val="18"/>
          <w:lang w:eastAsia="zh-CN"/>
        </w:rPr>
        <w:t>Escherichia coli</w:t>
      </w:r>
      <w:r w:rsidRPr="00571041">
        <w:rPr>
          <w:sz w:val="18"/>
          <w:szCs w:val="18"/>
          <w:lang w:eastAsia="zh-CN"/>
        </w:rPr>
        <w:t>.</w:t>
      </w:r>
      <w:r w:rsidRPr="00571041">
        <w:rPr>
          <w:bCs/>
          <w:sz w:val="18"/>
          <w:szCs w:val="18"/>
          <w:lang w:eastAsia="zh-CN"/>
        </w:rPr>
        <w:t xml:space="preserve"> </w:t>
      </w:r>
      <w:r w:rsidRPr="00571041">
        <w:rPr>
          <w:sz w:val="18"/>
          <w:szCs w:val="18"/>
          <w:vertAlign w:val="superscript"/>
          <w:lang w:eastAsia="zh-CN"/>
        </w:rPr>
        <w:t>2</w:t>
      </w:r>
      <w:r w:rsidRPr="00571041">
        <w:rPr>
          <w:sz w:val="18"/>
          <w:szCs w:val="18"/>
          <w:lang w:eastAsia="zh-CN"/>
        </w:rPr>
        <w:t xml:space="preserve"> S = Sampling.</w:t>
      </w:r>
      <w:r w:rsidRPr="00571041">
        <w:rPr>
          <w:sz w:val="18"/>
          <w:szCs w:val="18"/>
          <w:vertAlign w:val="superscript"/>
          <w:lang w:eastAsia="zh-CN"/>
        </w:rPr>
        <w:t xml:space="preserve"> </w:t>
      </w:r>
      <w:r w:rsidRPr="00571041">
        <w:rPr>
          <w:bCs/>
          <w:sz w:val="18"/>
          <w:szCs w:val="18"/>
          <w:vertAlign w:val="superscript"/>
          <w:lang w:eastAsia="zh-CN"/>
        </w:rPr>
        <w:t>3</w:t>
      </w:r>
      <w:r w:rsidRPr="00571041">
        <w:rPr>
          <w:bCs/>
          <w:sz w:val="18"/>
          <w:szCs w:val="18"/>
          <w:lang w:eastAsia="zh-CN"/>
        </w:rPr>
        <w:t xml:space="preserve"> No. </w:t>
      </w:r>
      <w:r w:rsidR="001F6DB0" w:rsidRPr="001F6DB0">
        <w:rPr>
          <w:bCs/>
          <w:i/>
          <w:sz w:val="18"/>
          <w:szCs w:val="18"/>
          <w:lang w:eastAsia="zh-CN"/>
        </w:rPr>
        <w:t>E. coli</w:t>
      </w:r>
      <w:r w:rsidRPr="00571041">
        <w:rPr>
          <w:bCs/>
          <w:sz w:val="18"/>
          <w:szCs w:val="18"/>
          <w:lang w:eastAsia="zh-CN"/>
        </w:rPr>
        <w:t xml:space="preserve"> isolates (No. RAMS). </w:t>
      </w:r>
      <w:r w:rsidRPr="00571041">
        <w:rPr>
          <w:bCs/>
          <w:sz w:val="18"/>
          <w:szCs w:val="18"/>
          <w:vertAlign w:val="superscript"/>
          <w:lang w:eastAsia="zh-CN"/>
        </w:rPr>
        <w:t>4</w:t>
      </w:r>
      <w:r w:rsidRPr="00571041">
        <w:rPr>
          <w:bCs/>
          <w:sz w:val="18"/>
          <w:szCs w:val="18"/>
          <w:lang w:eastAsia="zh-CN"/>
        </w:rPr>
        <w:t xml:space="preserve"> No positive colony detected. </w:t>
      </w:r>
      <w:r w:rsidRPr="00571041">
        <w:rPr>
          <w:bCs/>
          <w:sz w:val="18"/>
          <w:szCs w:val="18"/>
          <w:vertAlign w:val="superscript"/>
          <w:lang w:eastAsia="zh-CN"/>
        </w:rPr>
        <w:t>5</w:t>
      </w:r>
      <w:r w:rsidRPr="00571041">
        <w:rPr>
          <w:bCs/>
          <w:sz w:val="18"/>
          <w:szCs w:val="18"/>
          <w:lang w:eastAsia="zh-CN"/>
        </w:rPr>
        <w:t xml:space="preserve"> Including one isolate from one diarrheic calf. </w:t>
      </w:r>
      <w:r w:rsidRPr="00571041">
        <w:rPr>
          <w:bCs/>
          <w:sz w:val="18"/>
          <w:szCs w:val="18"/>
          <w:vertAlign w:val="superscript"/>
          <w:lang w:eastAsia="zh-CN"/>
        </w:rPr>
        <w:t>6</w:t>
      </w:r>
      <w:r w:rsidRPr="00571041">
        <w:rPr>
          <w:bCs/>
          <w:sz w:val="18"/>
          <w:szCs w:val="18"/>
          <w:lang w:eastAsia="zh-CN"/>
        </w:rPr>
        <w:t xml:space="preserve"> One RAMS harbored </w:t>
      </w:r>
      <w:r w:rsidR="001F6DB0" w:rsidRPr="001F6DB0">
        <w:rPr>
          <w:bCs/>
          <w:i/>
          <w:sz w:val="18"/>
          <w:szCs w:val="18"/>
          <w:lang w:eastAsia="zh-CN"/>
        </w:rPr>
        <w:t>E. coli</w:t>
      </w:r>
      <w:r w:rsidRPr="00571041">
        <w:rPr>
          <w:bCs/>
          <w:sz w:val="18"/>
          <w:szCs w:val="18"/>
          <w:lang w:eastAsia="zh-CN"/>
        </w:rPr>
        <w:t xml:space="preserve"> belonging to 2 different </w:t>
      </w:r>
      <w:proofErr w:type="spellStart"/>
      <w:r w:rsidRPr="00571041">
        <w:rPr>
          <w:bCs/>
          <w:sz w:val="18"/>
          <w:szCs w:val="18"/>
          <w:lang w:eastAsia="zh-CN"/>
        </w:rPr>
        <w:t>virulotypes</w:t>
      </w:r>
      <w:proofErr w:type="spellEnd"/>
    </w:p>
    <w:p w:rsidR="00571041" w:rsidRPr="00571041" w:rsidRDefault="00571041" w:rsidP="00571041">
      <w:pPr>
        <w:pStyle w:val="MDPI21heading1"/>
        <w:jc w:val="both"/>
        <w:rPr>
          <w:bCs/>
          <w:sz w:val="18"/>
          <w:szCs w:val="18"/>
          <w:lang w:eastAsia="zh-CN"/>
        </w:rPr>
      </w:pPr>
      <w:r w:rsidRPr="00571041">
        <w:rPr>
          <w:bCs/>
          <w:sz w:val="18"/>
          <w:szCs w:val="18"/>
          <w:lang w:eastAsia="zh-CN"/>
        </w:rPr>
        <w:br w:type="page"/>
      </w:r>
      <w:r w:rsidRPr="00571041">
        <w:rPr>
          <w:bCs/>
          <w:sz w:val="18"/>
          <w:szCs w:val="18"/>
          <w:lang w:eastAsia="zh-CN"/>
        </w:rPr>
        <w:lastRenderedPageBreak/>
        <w:t xml:space="preserve">Table 3. O somatic serotypes identified amongst triplex PCR-positive colonies. </w:t>
      </w:r>
    </w:p>
    <w:tbl>
      <w:tblPr>
        <w:tblpPr w:leftFromText="141" w:rightFromText="141" w:vertAnchor="text" w:horzAnchor="margin" w:tblpX="-294" w:tblpY="458"/>
        <w:tblW w:w="13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1834"/>
        <w:gridCol w:w="1552"/>
        <w:gridCol w:w="1410"/>
        <w:gridCol w:w="1697"/>
        <w:gridCol w:w="1022"/>
        <w:gridCol w:w="1275"/>
        <w:gridCol w:w="1447"/>
        <w:gridCol w:w="1825"/>
      </w:tblGrid>
      <w:tr w:rsidR="005C38CE" w:rsidRPr="005C38CE" w:rsidTr="005C38CE">
        <w:tc>
          <w:tcPr>
            <w:tcW w:w="1416" w:type="dxa"/>
            <w:vMerge w:val="restart"/>
            <w:tcBorders>
              <w:top w:val="single" w:sz="4" w:space="0" w:color="auto"/>
              <w:left w:val="nil"/>
              <w:bottom w:val="nil"/>
              <w:right w:val="nil"/>
            </w:tcBorders>
            <w:shd w:val="clear" w:color="auto" w:fill="auto"/>
            <w:vAlign w:val="center"/>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 xml:space="preserve">O somatic serotypes </w:t>
            </w:r>
            <w:r w:rsidRPr="005C38CE">
              <w:rPr>
                <w:bCs/>
                <w:sz w:val="18"/>
                <w:szCs w:val="18"/>
                <w:vertAlign w:val="superscript"/>
                <w:lang w:eastAsia="zh-CN"/>
              </w:rPr>
              <w:t>1</w:t>
            </w:r>
          </w:p>
        </w:tc>
        <w:tc>
          <w:tcPr>
            <w:tcW w:w="1834" w:type="dxa"/>
            <w:tcBorders>
              <w:top w:val="single" w:sz="4" w:space="0" w:color="auto"/>
              <w:left w:val="nil"/>
              <w:bottom w:val="single" w:sz="4" w:space="0" w:color="auto"/>
              <w:right w:val="nil"/>
            </w:tcBorders>
            <w:shd w:val="clear" w:color="auto" w:fill="auto"/>
            <w:vAlign w:val="center"/>
            <w:hideMark/>
          </w:tcPr>
          <w:p w:rsidR="00571041" w:rsidRPr="005C38CE" w:rsidRDefault="00571041" w:rsidP="005C38CE">
            <w:pPr>
              <w:pStyle w:val="MDPI21heading1"/>
              <w:spacing w:before="0"/>
              <w:jc w:val="both"/>
              <w:rPr>
                <w:bCs/>
                <w:i/>
                <w:sz w:val="18"/>
                <w:szCs w:val="18"/>
                <w:lang w:eastAsia="zh-CN"/>
              </w:rPr>
            </w:pPr>
            <w:r w:rsidRPr="005C38CE">
              <w:rPr>
                <w:bCs/>
                <w:sz w:val="18"/>
                <w:szCs w:val="18"/>
                <w:lang w:eastAsia="zh-CN"/>
              </w:rPr>
              <w:t>EPEC</w:t>
            </w:r>
          </w:p>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 xml:space="preserve">n=131 (36) </w:t>
            </w:r>
            <w:r w:rsidRPr="005C38CE">
              <w:rPr>
                <w:bCs/>
                <w:sz w:val="18"/>
                <w:szCs w:val="18"/>
                <w:vertAlign w:val="superscript"/>
                <w:lang w:eastAsia="zh-CN"/>
              </w:rPr>
              <w:t>2</w:t>
            </w:r>
          </w:p>
        </w:tc>
        <w:tc>
          <w:tcPr>
            <w:tcW w:w="4659" w:type="dxa"/>
            <w:gridSpan w:val="3"/>
            <w:tcBorders>
              <w:top w:val="single" w:sz="4" w:space="0" w:color="auto"/>
              <w:left w:val="nil"/>
              <w:bottom w:val="single" w:sz="4" w:space="0" w:color="auto"/>
              <w:right w:val="nil"/>
            </w:tcBorders>
            <w:shd w:val="clear" w:color="auto" w:fill="auto"/>
            <w:vAlign w:val="center"/>
            <w:hideMark/>
          </w:tcPr>
          <w:p w:rsidR="00571041" w:rsidRPr="005C38CE" w:rsidRDefault="00571041" w:rsidP="005C38CE">
            <w:pPr>
              <w:pStyle w:val="MDPI21heading1"/>
              <w:spacing w:before="0"/>
              <w:jc w:val="both"/>
              <w:rPr>
                <w:bCs/>
                <w:i/>
                <w:sz w:val="18"/>
                <w:szCs w:val="18"/>
                <w:lang w:eastAsia="zh-CN"/>
              </w:rPr>
            </w:pPr>
            <w:r w:rsidRPr="005C38CE">
              <w:rPr>
                <w:bCs/>
                <w:sz w:val="18"/>
                <w:szCs w:val="18"/>
                <w:lang w:eastAsia="zh-CN"/>
              </w:rPr>
              <w:t xml:space="preserve">AE-STEC </w:t>
            </w:r>
            <w:r w:rsidRPr="005C38CE">
              <w:rPr>
                <w:bCs/>
                <w:sz w:val="18"/>
                <w:szCs w:val="18"/>
                <w:vertAlign w:val="superscript"/>
                <w:lang w:eastAsia="zh-CN"/>
              </w:rPr>
              <w:t>3</w:t>
            </w:r>
            <w:r w:rsidRPr="005C38CE">
              <w:rPr>
                <w:bCs/>
                <w:sz w:val="18"/>
                <w:szCs w:val="18"/>
                <w:lang w:eastAsia="zh-CN"/>
              </w:rPr>
              <w:t xml:space="preserve"> (= EHEC)</w:t>
            </w:r>
          </w:p>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n=89 (23)</w:t>
            </w:r>
          </w:p>
        </w:tc>
        <w:tc>
          <w:tcPr>
            <w:tcW w:w="3744" w:type="dxa"/>
            <w:gridSpan w:val="3"/>
            <w:tcBorders>
              <w:top w:val="single" w:sz="4" w:space="0" w:color="auto"/>
              <w:left w:val="nil"/>
              <w:bottom w:val="single" w:sz="4" w:space="0" w:color="auto"/>
              <w:right w:val="nil"/>
            </w:tcBorders>
            <w:shd w:val="clear" w:color="auto" w:fill="auto"/>
            <w:vAlign w:val="center"/>
            <w:hideMark/>
          </w:tcPr>
          <w:p w:rsidR="00571041" w:rsidRPr="005C38CE" w:rsidRDefault="00571041" w:rsidP="005C38CE">
            <w:pPr>
              <w:pStyle w:val="MDPI21heading1"/>
              <w:spacing w:before="0"/>
              <w:jc w:val="both"/>
              <w:rPr>
                <w:bCs/>
                <w:i/>
                <w:sz w:val="18"/>
                <w:szCs w:val="18"/>
                <w:lang w:eastAsia="zh-CN"/>
              </w:rPr>
            </w:pPr>
            <w:r w:rsidRPr="005C38CE">
              <w:rPr>
                <w:bCs/>
                <w:sz w:val="18"/>
                <w:szCs w:val="18"/>
                <w:lang w:eastAsia="zh-CN"/>
              </w:rPr>
              <w:t>STEC</w:t>
            </w:r>
          </w:p>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n=74 (27)</w:t>
            </w:r>
          </w:p>
        </w:tc>
        <w:tc>
          <w:tcPr>
            <w:tcW w:w="1825" w:type="dxa"/>
            <w:vMerge w:val="restart"/>
            <w:tcBorders>
              <w:top w:val="single" w:sz="4" w:space="0" w:color="auto"/>
              <w:left w:val="nil"/>
              <w:bottom w:val="nil"/>
              <w:right w:val="nil"/>
            </w:tcBorders>
            <w:shd w:val="clear" w:color="auto" w:fill="auto"/>
            <w:vAlign w:val="center"/>
            <w:hideMark/>
          </w:tcPr>
          <w:p w:rsidR="00571041" w:rsidRPr="005C38CE" w:rsidRDefault="00571041" w:rsidP="005C38CE">
            <w:pPr>
              <w:pStyle w:val="MDPI21heading1"/>
              <w:spacing w:before="0"/>
              <w:jc w:val="both"/>
              <w:rPr>
                <w:bCs/>
                <w:i/>
                <w:sz w:val="18"/>
                <w:szCs w:val="18"/>
                <w:lang w:eastAsia="zh-CN"/>
              </w:rPr>
            </w:pPr>
            <w:r w:rsidRPr="005C38CE">
              <w:rPr>
                <w:bCs/>
                <w:sz w:val="18"/>
                <w:szCs w:val="18"/>
                <w:lang w:eastAsia="zh-CN"/>
              </w:rPr>
              <w:t>Total</w:t>
            </w:r>
          </w:p>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n=294 (69)</w:t>
            </w:r>
          </w:p>
        </w:tc>
      </w:tr>
      <w:tr w:rsidR="005C38CE" w:rsidRPr="005C38CE" w:rsidTr="005C38CE">
        <w:tc>
          <w:tcPr>
            <w:tcW w:w="1416" w:type="dxa"/>
            <w:vMerge/>
            <w:tcBorders>
              <w:top w:val="single" w:sz="4" w:space="0" w:color="auto"/>
              <w:left w:val="nil"/>
              <w:bottom w:val="single" w:sz="4" w:space="0" w:color="auto"/>
              <w:right w:val="nil"/>
            </w:tcBorders>
            <w:shd w:val="clear" w:color="auto" w:fill="auto"/>
            <w:vAlign w:val="center"/>
            <w:hideMark/>
          </w:tcPr>
          <w:p w:rsidR="00571041" w:rsidRPr="005C38CE" w:rsidRDefault="00571041" w:rsidP="005C38CE">
            <w:pPr>
              <w:pStyle w:val="MDPI21heading1"/>
              <w:spacing w:before="0"/>
              <w:jc w:val="both"/>
              <w:rPr>
                <w:bCs/>
                <w:sz w:val="18"/>
                <w:szCs w:val="18"/>
                <w:lang w:eastAsia="zh-CN"/>
              </w:rPr>
            </w:pPr>
          </w:p>
        </w:tc>
        <w:tc>
          <w:tcPr>
            <w:tcW w:w="1834" w:type="dxa"/>
            <w:tcBorders>
              <w:top w:val="single" w:sz="4" w:space="0" w:color="auto"/>
              <w:left w:val="nil"/>
              <w:bottom w:val="single" w:sz="4" w:space="0" w:color="auto"/>
              <w:right w:val="nil"/>
            </w:tcBorders>
            <w:shd w:val="clear" w:color="auto" w:fill="auto"/>
            <w:vAlign w:val="center"/>
            <w:hideMark/>
          </w:tcPr>
          <w:p w:rsidR="00571041" w:rsidRPr="005C38CE" w:rsidRDefault="00571041" w:rsidP="005C38CE">
            <w:pPr>
              <w:pStyle w:val="MDPI21heading1"/>
              <w:spacing w:before="0"/>
              <w:jc w:val="both"/>
              <w:rPr>
                <w:bCs/>
                <w:i/>
                <w:sz w:val="18"/>
                <w:szCs w:val="18"/>
                <w:lang w:eastAsia="zh-CN"/>
              </w:rPr>
            </w:pPr>
            <w:proofErr w:type="spellStart"/>
            <w:r w:rsidRPr="005C38CE">
              <w:rPr>
                <w:bCs/>
                <w:i/>
                <w:sz w:val="18"/>
                <w:szCs w:val="18"/>
                <w:lang w:eastAsia="zh-CN"/>
              </w:rPr>
              <w:t>eae</w:t>
            </w:r>
            <w:proofErr w:type="spellEnd"/>
          </w:p>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n=131 (36)</w:t>
            </w:r>
          </w:p>
        </w:tc>
        <w:tc>
          <w:tcPr>
            <w:tcW w:w="1552" w:type="dxa"/>
            <w:tcBorders>
              <w:top w:val="single" w:sz="4" w:space="0" w:color="auto"/>
              <w:left w:val="nil"/>
              <w:bottom w:val="single" w:sz="4" w:space="0" w:color="auto"/>
              <w:right w:val="nil"/>
            </w:tcBorders>
            <w:shd w:val="clear" w:color="auto" w:fill="auto"/>
            <w:vAlign w:val="center"/>
            <w:hideMark/>
          </w:tcPr>
          <w:p w:rsidR="00571041" w:rsidRPr="005C38CE" w:rsidRDefault="00571041" w:rsidP="005C38CE">
            <w:pPr>
              <w:pStyle w:val="MDPI21heading1"/>
              <w:spacing w:before="0"/>
              <w:jc w:val="both"/>
              <w:rPr>
                <w:bCs/>
                <w:i/>
                <w:sz w:val="18"/>
                <w:szCs w:val="18"/>
                <w:lang w:eastAsia="zh-CN"/>
              </w:rPr>
            </w:pPr>
            <w:r w:rsidRPr="005C38CE">
              <w:rPr>
                <w:bCs/>
                <w:i/>
                <w:sz w:val="18"/>
                <w:szCs w:val="18"/>
                <w:lang w:eastAsia="zh-CN"/>
              </w:rPr>
              <w:t>eae,stx1</w:t>
            </w:r>
          </w:p>
          <w:p w:rsidR="00571041" w:rsidRPr="005C38CE" w:rsidRDefault="00571041" w:rsidP="005C38CE">
            <w:pPr>
              <w:pStyle w:val="MDPI21heading1"/>
              <w:spacing w:before="0"/>
              <w:jc w:val="both"/>
              <w:rPr>
                <w:bCs/>
                <w:i/>
                <w:sz w:val="18"/>
                <w:szCs w:val="18"/>
                <w:lang w:eastAsia="zh-CN"/>
              </w:rPr>
            </w:pPr>
            <w:r w:rsidRPr="005C38CE">
              <w:rPr>
                <w:bCs/>
                <w:sz w:val="18"/>
                <w:szCs w:val="18"/>
                <w:lang w:eastAsia="zh-CN"/>
              </w:rPr>
              <w:t>n=33 (10)</w:t>
            </w:r>
          </w:p>
        </w:tc>
        <w:tc>
          <w:tcPr>
            <w:tcW w:w="1410" w:type="dxa"/>
            <w:tcBorders>
              <w:top w:val="single" w:sz="4" w:space="0" w:color="auto"/>
              <w:left w:val="nil"/>
              <w:bottom w:val="single" w:sz="4" w:space="0" w:color="auto"/>
              <w:right w:val="nil"/>
            </w:tcBorders>
            <w:shd w:val="clear" w:color="auto" w:fill="auto"/>
            <w:vAlign w:val="center"/>
            <w:hideMark/>
          </w:tcPr>
          <w:p w:rsidR="00571041" w:rsidRPr="005C38CE" w:rsidRDefault="00571041" w:rsidP="005C38CE">
            <w:pPr>
              <w:pStyle w:val="MDPI21heading1"/>
              <w:spacing w:before="0"/>
              <w:jc w:val="both"/>
              <w:rPr>
                <w:bCs/>
                <w:i/>
                <w:sz w:val="18"/>
                <w:szCs w:val="18"/>
                <w:lang w:eastAsia="zh-CN"/>
              </w:rPr>
            </w:pPr>
            <w:r w:rsidRPr="005C38CE">
              <w:rPr>
                <w:bCs/>
                <w:i/>
                <w:sz w:val="18"/>
                <w:szCs w:val="18"/>
                <w:lang w:eastAsia="zh-CN"/>
              </w:rPr>
              <w:t>eae,stx2</w:t>
            </w:r>
          </w:p>
          <w:p w:rsidR="00571041" w:rsidRPr="005C38CE" w:rsidRDefault="00571041" w:rsidP="005C38CE">
            <w:pPr>
              <w:pStyle w:val="MDPI21heading1"/>
              <w:spacing w:before="0"/>
              <w:jc w:val="both"/>
              <w:rPr>
                <w:bCs/>
                <w:i/>
                <w:sz w:val="18"/>
                <w:szCs w:val="18"/>
                <w:lang w:eastAsia="zh-CN"/>
              </w:rPr>
            </w:pPr>
            <w:r w:rsidRPr="005C38CE">
              <w:rPr>
                <w:bCs/>
                <w:sz w:val="18"/>
                <w:szCs w:val="18"/>
                <w:lang w:eastAsia="zh-CN"/>
              </w:rPr>
              <w:t>n=11 (3)</w:t>
            </w:r>
          </w:p>
        </w:tc>
        <w:tc>
          <w:tcPr>
            <w:tcW w:w="1697" w:type="dxa"/>
            <w:tcBorders>
              <w:top w:val="single" w:sz="4" w:space="0" w:color="auto"/>
              <w:left w:val="nil"/>
              <w:bottom w:val="single" w:sz="4" w:space="0" w:color="auto"/>
              <w:right w:val="nil"/>
            </w:tcBorders>
            <w:shd w:val="clear" w:color="auto" w:fill="auto"/>
            <w:vAlign w:val="center"/>
            <w:hideMark/>
          </w:tcPr>
          <w:p w:rsidR="00571041" w:rsidRPr="005C38CE" w:rsidRDefault="00571041" w:rsidP="005C38CE">
            <w:pPr>
              <w:pStyle w:val="MDPI21heading1"/>
              <w:spacing w:before="0"/>
              <w:jc w:val="both"/>
              <w:rPr>
                <w:bCs/>
                <w:i/>
                <w:sz w:val="18"/>
                <w:szCs w:val="18"/>
                <w:lang w:eastAsia="zh-CN"/>
              </w:rPr>
            </w:pPr>
            <w:r w:rsidRPr="005C38CE">
              <w:rPr>
                <w:bCs/>
                <w:i/>
                <w:sz w:val="18"/>
                <w:szCs w:val="18"/>
                <w:lang w:eastAsia="zh-CN"/>
              </w:rPr>
              <w:t>eae,stx1,stx2</w:t>
            </w:r>
          </w:p>
          <w:p w:rsidR="00571041" w:rsidRPr="005C38CE" w:rsidRDefault="00571041" w:rsidP="005C38CE">
            <w:pPr>
              <w:pStyle w:val="MDPI21heading1"/>
              <w:spacing w:before="0"/>
              <w:jc w:val="both"/>
              <w:rPr>
                <w:bCs/>
                <w:i/>
                <w:sz w:val="18"/>
                <w:szCs w:val="18"/>
                <w:lang w:eastAsia="zh-CN"/>
              </w:rPr>
            </w:pPr>
            <w:r w:rsidRPr="005C38CE">
              <w:rPr>
                <w:bCs/>
                <w:sz w:val="18"/>
                <w:szCs w:val="18"/>
                <w:lang w:eastAsia="zh-CN"/>
              </w:rPr>
              <w:t>n=45 (11)</w:t>
            </w:r>
          </w:p>
        </w:tc>
        <w:tc>
          <w:tcPr>
            <w:tcW w:w="1022" w:type="dxa"/>
            <w:tcBorders>
              <w:top w:val="single" w:sz="4" w:space="0" w:color="auto"/>
              <w:left w:val="nil"/>
              <w:bottom w:val="single" w:sz="4" w:space="0" w:color="auto"/>
              <w:right w:val="nil"/>
            </w:tcBorders>
            <w:shd w:val="clear" w:color="auto" w:fill="auto"/>
            <w:vAlign w:val="center"/>
            <w:hideMark/>
          </w:tcPr>
          <w:p w:rsidR="00571041" w:rsidRPr="005C38CE" w:rsidRDefault="00571041" w:rsidP="005C38CE">
            <w:pPr>
              <w:pStyle w:val="MDPI21heading1"/>
              <w:spacing w:before="0"/>
              <w:jc w:val="both"/>
              <w:rPr>
                <w:bCs/>
                <w:i/>
                <w:sz w:val="18"/>
                <w:szCs w:val="18"/>
                <w:lang w:eastAsia="zh-CN"/>
              </w:rPr>
            </w:pPr>
            <w:r w:rsidRPr="005C38CE">
              <w:rPr>
                <w:bCs/>
                <w:i/>
                <w:sz w:val="18"/>
                <w:szCs w:val="18"/>
                <w:lang w:eastAsia="zh-CN"/>
              </w:rPr>
              <w:t>stx1</w:t>
            </w:r>
          </w:p>
          <w:p w:rsidR="00571041" w:rsidRPr="005C38CE" w:rsidRDefault="00571041" w:rsidP="005C38CE">
            <w:pPr>
              <w:pStyle w:val="MDPI21heading1"/>
              <w:spacing w:before="0"/>
              <w:jc w:val="both"/>
              <w:rPr>
                <w:bCs/>
                <w:i/>
                <w:sz w:val="18"/>
                <w:szCs w:val="18"/>
                <w:lang w:eastAsia="zh-CN"/>
              </w:rPr>
            </w:pPr>
            <w:r w:rsidRPr="005C38CE">
              <w:rPr>
                <w:bCs/>
                <w:sz w:val="18"/>
                <w:szCs w:val="18"/>
                <w:lang w:eastAsia="zh-CN"/>
              </w:rPr>
              <w:t>n=5 (4)</w:t>
            </w:r>
          </w:p>
        </w:tc>
        <w:tc>
          <w:tcPr>
            <w:tcW w:w="1275" w:type="dxa"/>
            <w:tcBorders>
              <w:top w:val="single" w:sz="4" w:space="0" w:color="auto"/>
              <w:left w:val="nil"/>
              <w:bottom w:val="single" w:sz="4" w:space="0" w:color="auto"/>
              <w:right w:val="nil"/>
            </w:tcBorders>
            <w:shd w:val="clear" w:color="auto" w:fill="auto"/>
            <w:vAlign w:val="center"/>
            <w:hideMark/>
          </w:tcPr>
          <w:p w:rsidR="00571041" w:rsidRPr="005C38CE" w:rsidRDefault="00571041" w:rsidP="005C38CE">
            <w:pPr>
              <w:pStyle w:val="MDPI21heading1"/>
              <w:spacing w:before="0"/>
              <w:jc w:val="both"/>
              <w:rPr>
                <w:bCs/>
                <w:i/>
                <w:sz w:val="18"/>
                <w:szCs w:val="18"/>
                <w:lang w:eastAsia="zh-CN"/>
              </w:rPr>
            </w:pPr>
            <w:r w:rsidRPr="005C38CE">
              <w:rPr>
                <w:bCs/>
                <w:i/>
                <w:sz w:val="18"/>
                <w:szCs w:val="18"/>
                <w:lang w:eastAsia="zh-CN"/>
              </w:rPr>
              <w:t>stx2</w:t>
            </w:r>
          </w:p>
          <w:p w:rsidR="00571041" w:rsidRPr="005C38CE" w:rsidRDefault="00571041" w:rsidP="005C38CE">
            <w:pPr>
              <w:pStyle w:val="MDPI21heading1"/>
              <w:spacing w:before="0"/>
              <w:jc w:val="both"/>
              <w:rPr>
                <w:bCs/>
                <w:i/>
                <w:sz w:val="18"/>
                <w:szCs w:val="18"/>
                <w:lang w:eastAsia="zh-CN"/>
              </w:rPr>
            </w:pPr>
            <w:r w:rsidRPr="005C38CE">
              <w:rPr>
                <w:bCs/>
                <w:sz w:val="18"/>
                <w:szCs w:val="18"/>
                <w:lang w:eastAsia="zh-CN"/>
              </w:rPr>
              <w:t>n=27 (8)</w:t>
            </w:r>
          </w:p>
        </w:tc>
        <w:tc>
          <w:tcPr>
            <w:tcW w:w="1447" w:type="dxa"/>
            <w:tcBorders>
              <w:top w:val="single" w:sz="4" w:space="0" w:color="auto"/>
              <w:left w:val="nil"/>
              <w:bottom w:val="single" w:sz="4" w:space="0" w:color="auto"/>
              <w:right w:val="nil"/>
            </w:tcBorders>
            <w:shd w:val="clear" w:color="auto" w:fill="auto"/>
            <w:vAlign w:val="center"/>
            <w:hideMark/>
          </w:tcPr>
          <w:p w:rsidR="00571041" w:rsidRPr="005C38CE" w:rsidRDefault="00571041" w:rsidP="005C38CE">
            <w:pPr>
              <w:pStyle w:val="MDPI21heading1"/>
              <w:spacing w:before="0"/>
              <w:jc w:val="both"/>
              <w:rPr>
                <w:bCs/>
                <w:i/>
                <w:sz w:val="18"/>
                <w:szCs w:val="18"/>
                <w:lang w:eastAsia="zh-CN"/>
              </w:rPr>
            </w:pPr>
            <w:r w:rsidRPr="005C38CE">
              <w:rPr>
                <w:bCs/>
                <w:i/>
                <w:sz w:val="18"/>
                <w:szCs w:val="18"/>
                <w:lang w:eastAsia="zh-CN"/>
              </w:rPr>
              <w:t>stx1,stx2</w:t>
            </w:r>
          </w:p>
          <w:p w:rsidR="00571041" w:rsidRPr="005C38CE" w:rsidRDefault="00571041" w:rsidP="005C38CE">
            <w:pPr>
              <w:pStyle w:val="MDPI21heading1"/>
              <w:spacing w:before="0"/>
              <w:jc w:val="both"/>
              <w:rPr>
                <w:bCs/>
                <w:i/>
                <w:sz w:val="18"/>
                <w:szCs w:val="18"/>
                <w:lang w:eastAsia="zh-CN"/>
              </w:rPr>
            </w:pPr>
            <w:r w:rsidRPr="005C38CE">
              <w:rPr>
                <w:bCs/>
                <w:sz w:val="18"/>
                <w:szCs w:val="18"/>
                <w:lang w:eastAsia="zh-CN"/>
              </w:rPr>
              <w:t>n=42 (16)</w:t>
            </w:r>
          </w:p>
        </w:tc>
        <w:tc>
          <w:tcPr>
            <w:tcW w:w="1825" w:type="dxa"/>
            <w:vMerge/>
            <w:tcBorders>
              <w:top w:val="single" w:sz="4" w:space="0" w:color="auto"/>
              <w:left w:val="nil"/>
              <w:bottom w:val="single" w:sz="4" w:space="0" w:color="auto"/>
              <w:right w:val="nil"/>
            </w:tcBorders>
            <w:shd w:val="clear" w:color="auto" w:fill="auto"/>
            <w:vAlign w:val="center"/>
            <w:hideMark/>
          </w:tcPr>
          <w:p w:rsidR="00571041" w:rsidRPr="005C38CE" w:rsidRDefault="00571041" w:rsidP="005C38CE">
            <w:pPr>
              <w:pStyle w:val="MDPI21heading1"/>
              <w:spacing w:before="0"/>
              <w:jc w:val="both"/>
              <w:rPr>
                <w:bCs/>
                <w:sz w:val="18"/>
                <w:szCs w:val="18"/>
                <w:lang w:eastAsia="zh-CN"/>
              </w:rPr>
            </w:pPr>
          </w:p>
        </w:tc>
      </w:tr>
      <w:tr w:rsidR="005C38CE" w:rsidRPr="005C38CE" w:rsidTr="005C38CE">
        <w:tc>
          <w:tcPr>
            <w:tcW w:w="1416" w:type="dxa"/>
            <w:tcBorders>
              <w:top w:val="single" w:sz="4" w:space="0" w:color="auto"/>
              <w:left w:val="nil"/>
              <w:bottom w:val="nil"/>
              <w:right w:val="nil"/>
            </w:tcBorders>
            <w:shd w:val="clear" w:color="auto" w:fill="auto"/>
            <w:vAlign w:val="center"/>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O26</w:t>
            </w:r>
          </w:p>
        </w:tc>
        <w:tc>
          <w:tcPr>
            <w:tcW w:w="1834" w:type="dxa"/>
            <w:tcBorders>
              <w:top w:val="single" w:sz="4" w:space="0" w:color="auto"/>
              <w:left w:val="nil"/>
              <w:bottom w:val="nil"/>
              <w:right w:val="nil"/>
            </w:tcBorders>
            <w:shd w:val="clear" w:color="auto" w:fill="auto"/>
            <w:vAlign w:val="center"/>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 xml:space="preserve">  4 (3) </w:t>
            </w:r>
            <w:r w:rsidRPr="005C38CE">
              <w:rPr>
                <w:bCs/>
                <w:sz w:val="18"/>
                <w:szCs w:val="18"/>
                <w:vertAlign w:val="superscript"/>
                <w:lang w:eastAsia="zh-CN"/>
              </w:rPr>
              <w:t>4</w:t>
            </w:r>
          </w:p>
        </w:tc>
        <w:tc>
          <w:tcPr>
            <w:tcW w:w="1552" w:type="dxa"/>
            <w:tcBorders>
              <w:top w:val="single" w:sz="4" w:space="0" w:color="auto"/>
              <w:left w:val="nil"/>
              <w:bottom w:val="nil"/>
              <w:right w:val="nil"/>
            </w:tcBorders>
            <w:shd w:val="clear" w:color="auto" w:fill="auto"/>
            <w:vAlign w:val="center"/>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5 (2)</w:t>
            </w:r>
          </w:p>
        </w:tc>
        <w:tc>
          <w:tcPr>
            <w:tcW w:w="1410" w:type="dxa"/>
            <w:tcBorders>
              <w:top w:val="single" w:sz="4" w:space="0" w:color="auto"/>
              <w:left w:val="nil"/>
              <w:bottom w:val="nil"/>
              <w:right w:val="nil"/>
            </w:tcBorders>
            <w:shd w:val="clear" w:color="auto" w:fill="auto"/>
            <w:vAlign w:val="center"/>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0</w:t>
            </w:r>
          </w:p>
        </w:tc>
        <w:tc>
          <w:tcPr>
            <w:tcW w:w="1697" w:type="dxa"/>
            <w:tcBorders>
              <w:top w:val="single" w:sz="4" w:space="0" w:color="auto"/>
              <w:left w:val="nil"/>
              <w:bottom w:val="nil"/>
              <w:right w:val="nil"/>
            </w:tcBorders>
            <w:shd w:val="clear" w:color="auto" w:fill="auto"/>
            <w:vAlign w:val="center"/>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0</w:t>
            </w:r>
          </w:p>
        </w:tc>
        <w:tc>
          <w:tcPr>
            <w:tcW w:w="1022" w:type="dxa"/>
            <w:tcBorders>
              <w:top w:val="single" w:sz="4" w:space="0" w:color="auto"/>
              <w:left w:val="nil"/>
              <w:bottom w:val="nil"/>
              <w:right w:val="nil"/>
            </w:tcBorders>
            <w:shd w:val="clear" w:color="auto" w:fill="auto"/>
            <w:vAlign w:val="center"/>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0</w:t>
            </w:r>
          </w:p>
        </w:tc>
        <w:tc>
          <w:tcPr>
            <w:tcW w:w="1275" w:type="dxa"/>
            <w:tcBorders>
              <w:top w:val="single" w:sz="4" w:space="0" w:color="auto"/>
              <w:left w:val="nil"/>
              <w:bottom w:val="nil"/>
              <w:right w:val="nil"/>
            </w:tcBorders>
            <w:shd w:val="clear" w:color="auto" w:fill="auto"/>
            <w:vAlign w:val="center"/>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0</w:t>
            </w:r>
          </w:p>
        </w:tc>
        <w:tc>
          <w:tcPr>
            <w:tcW w:w="1447" w:type="dxa"/>
            <w:tcBorders>
              <w:top w:val="single" w:sz="4" w:space="0" w:color="auto"/>
              <w:left w:val="nil"/>
              <w:bottom w:val="nil"/>
              <w:right w:val="nil"/>
            </w:tcBorders>
            <w:shd w:val="clear" w:color="auto" w:fill="auto"/>
            <w:vAlign w:val="center"/>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0</w:t>
            </w:r>
          </w:p>
        </w:tc>
        <w:tc>
          <w:tcPr>
            <w:tcW w:w="1825" w:type="dxa"/>
            <w:tcBorders>
              <w:top w:val="single" w:sz="4" w:space="0" w:color="auto"/>
              <w:left w:val="nil"/>
              <w:bottom w:val="nil"/>
              <w:right w:val="nil"/>
            </w:tcBorders>
            <w:shd w:val="clear" w:color="auto" w:fill="auto"/>
            <w:vAlign w:val="center"/>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9 (4)</w:t>
            </w:r>
          </w:p>
        </w:tc>
      </w:tr>
      <w:tr w:rsidR="005C38CE" w:rsidRPr="005C38CE" w:rsidTr="005C38CE">
        <w:tc>
          <w:tcPr>
            <w:tcW w:w="1416" w:type="dxa"/>
            <w:tcBorders>
              <w:top w:val="nil"/>
              <w:left w:val="nil"/>
              <w:bottom w:val="nil"/>
              <w:right w:val="nil"/>
            </w:tcBorders>
            <w:shd w:val="clear" w:color="auto" w:fill="auto"/>
            <w:vAlign w:val="center"/>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O103</w:t>
            </w:r>
          </w:p>
        </w:tc>
        <w:tc>
          <w:tcPr>
            <w:tcW w:w="1834" w:type="dxa"/>
            <w:tcBorders>
              <w:top w:val="nil"/>
              <w:left w:val="nil"/>
              <w:bottom w:val="nil"/>
              <w:right w:val="nil"/>
            </w:tcBorders>
            <w:shd w:val="clear" w:color="auto" w:fill="auto"/>
            <w:vAlign w:val="center"/>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4 (2)</w:t>
            </w:r>
          </w:p>
        </w:tc>
        <w:tc>
          <w:tcPr>
            <w:tcW w:w="1552" w:type="dxa"/>
            <w:tcBorders>
              <w:top w:val="nil"/>
              <w:left w:val="nil"/>
              <w:bottom w:val="nil"/>
              <w:right w:val="nil"/>
            </w:tcBorders>
            <w:shd w:val="clear" w:color="auto" w:fill="auto"/>
            <w:vAlign w:val="center"/>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7 (3)</w:t>
            </w:r>
          </w:p>
        </w:tc>
        <w:tc>
          <w:tcPr>
            <w:tcW w:w="1410" w:type="dxa"/>
            <w:tcBorders>
              <w:top w:val="nil"/>
              <w:left w:val="nil"/>
              <w:bottom w:val="nil"/>
              <w:right w:val="nil"/>
            </w:tcBorders>
            <w:shd w:val="clear" w:color="auto" w:fill="auto"/>
            <w:vAlign w:val="center"/>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0</w:t>
            </w:r>
          </w:p>
        </w:tc>
        <w:tc>
          <w:tcPr>
            <w:tcW w:w="1697" w:type="dxa"/>
            <w:tcBorders>
              <w:top w:val="nil"/>
              <w:left w:val="nil"/>
              <w:bottom w:val="nil"/>
              <w:right w:val="nil"/>
            </w:tcBorders>
            <w:shd w:val="clear" w:color="auto" w:fill="auto"/>
            <w:vAlign w:val="center"/>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0</w:t>
            </w:r>
          </w:p>
        </w:tc>
        <w:tc>
          <w:tcPr>
            <w:tcW w:w="1022" w:type="dxa"/>
            <w:tcBorders>
              <w:top w:val="nil"/>
              <w:left w:val="nil"/>
              <w:bottom w:val="nil"/>
              <w:right w:val="nil"/>
            </w:tcBorders>
            <w:shd w:val="clear" w:color="auto" w:fill="auto"/>
            <w:vAlign w:val="center"/>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0</w:t>
            </w:r>
          </w:p>
        </w:tc>
        <w:tc>
          <w:tcPr>
            <w:tcW w:w="1275" w:type="dxa"/>
            <w:tcBorders>
              <w:top w:val="nil"/>
              <w:left w:val="nil"/>
              <w:bottom w:val="nil"/>
              <w:right w:val="nil"/>
            </w:tcBorders>
            <w:shd w:val="clear" w:color="auto" w:fill="auto"/>
            <w:vAlign w:val="center"/>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0</w:t>
            </w:r>
          </w:p>
        </w:tc>
        <w:tc>
          <w:tcPr>
            <w:tcW w:w="1447" w:type="dxa"/>
            <w:tcBorders>
              <w:top w:val="nil"/>
              <w:left w:val="nil"/>
              <w:bottom w:val="nil"/>
              <w:right w:val="nil"/>
            </w:tcBorders>
            <w:shd w:val="clear" w:color="auto" w:fill="auto"/>
            <w:vAlign w:val="center"/>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0</w:t>
            </w:r>
          </w:p>
        </w:tc>
        <w:tc>
          <w:tcPr>
            <w:tcW w:w="1825" w:type="dxa"/>
            <w:tcBorders>
              <w:top w:val="nil"/>
              <w:left w:val="nil"/>
              <w:bottom w:val="nil"/>
              <w:right w:val="nil"/>
            </w:tcBorders>
            <w:shd w:val="clear" w:color="auto" w:fill="auto"/>
            <w:vAlign w:val="center"/>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11 (4)</w:t>
            </w:r>
          </w:p>
        </w:tc>
      </w:tr>
      <w:tr w:rsidR="005C38CE" w:rsidRPr="005C38CE" w:rsidTr="005C38CE">
        <w:tc>
          <w:tcPr>
            <w:tcW w:w="1416" w:type="dxa"/>
            <w:tcBorders>
              <w:top w:val="nil"/>
              <w:left w:val="nil"/>
              <w:bottom w:val="nil"/>
              <w:right w:val="nil"/>
            </w:tcBorders>
            <w:shd w:val="clear" w:color="auto" w:fill="auto"/>
            <w:vAlign w:val="center"/>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O111</w:t>
            </w:r>
          </w:p>
        </w:tc>
        <w:tc>
          <w:tcPr>
            <w:tcW w:w="1834" w:type="dxa"/>
            <w:tcBorders>
              <w:top w:val="nil"/>
              <w:left w:val="nil"/>
              <w:bottom w:val="nil"/>
              <w:right w:val="nil"/>
            </w:tcBorders>
            <w:shd w:val="clear" w:color="auto" w:fill="auto"/>
            <w:vAlign w:val="center"/>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5 (4)</w:t>
            </w:r>
          </w:p>
        </w:tc>
        <w:tc>
          <w:tcPr>
            <w:tcW w:w="1552" w:type="dxa"/>
            <w:tcBorders>
              <w:top w:val="nil"/>
              <w:left w:val="nil"/>
              <w:bottom w:val="nil"/>
              <w:right w:val="nil"/>
            </w:tcBorders>
            <w:shd w:val="clear" w:color="auto" w:fill="auto"/>
            <w:vAlign w:val="center"/>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2 (2)</w:t>
            </w:r>
          </w:p>
        </w:tc>
        <w:tc>
          <w:tcPr>
            <w:tcW w:w="1410" w:type="dxa"/>
            <w:tcBorders>
              <w:top w:val="nil"/>
              <w:left w:val="nil"/>
              <w:bottom w:val="nil"/>
              <w:right w:val="nil"/>
            </w:tcBorders>
            <w:shd w:val="clear" w:color="auto" w:fill="auto"/>
            <w:vAlign w:val="center"/>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0</w:t>
            </w:r>
          </w:p>
        </w:tc>
        <w:tc>
          <w:tcPr>
            <w:tcW w:w="1697" w:type="dxa"/>
            <w:tcBorders>
              <w:top w:val="nil"/>
              <w:left w:val="nil"/>
              <w:bottom w:val="nil"/>
              <w:right w:val="nil"/>
            </w:tcBorders>
            <w:shd w:val="clear" w:color="auto" w:fill="auto"/>
            <w:vAlign w:val="center"/>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38 (8)</w:t>
            </w:r>
          </w:p>
        </w:tc>
        <w:tc>
          <w:tcPr>
            <w:tcW w:w="1022" w:type="dxa"/>
            <w:tcBorders>
              <w:top w:val="nil"/>
              <w:left w:val="nil"/>
              <w:bottom w:val="nil"/>
              <w:right w:val="nil"/>
            </w:tcBorders>
            <w:shd w:val="clear" w:color="auto" w:fill="auto"/>
            <w:vAlign w:val="center"/>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0</w:t>
            </w:r>
          </w:p>
        </w:tc>
        <w:tc>
          <w:tcPr>
            <w:tcW w:w="1275" w:type="dxa"/>
            <w:tcBorders>
              <w:top w:val="nil"/>
              <w:left w:val="nil"/>
              <w:bottom w:val="nil"/>
              <w:right w:val="nil"/>
            </w:tcBorders>
            <w:shd w:val="clear" w:color="auto" w:fill="auto"/>
            <w:vAlign w:val="center"/>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2 (2)</w:t>
            </w:r>
          </w:p>
        </w:tc>
        <w:tc>
          <w:tcPr>
            <w:tcW w:w="1447" w:type="dxa"/>
            <w:tcBorders>
              <w:top w:val="nil"/>
              <w:left w:val="nil"/>
              <w:bottom w:val="nil"/>
              <w:right w:val="nil"/>
            </w:tcBorders>
            <w:shd w:val="clear" w:color="auto" w:fill="auto"/>
            <w:vAlign w:val="center"/>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15 (6)</w:t>
            </w:r>
          </w:p>
        </w:tc>
        <w:tc>
          <w:tcPr>
            <w:tcW w:w="1825" w:type="dxa"/>
            <w:tcBorders>
              <w:top w:val="nil"/>
              <w:left w:val="nil"/>
              <w:bottom w:val="nil"/>
              <w:right w:val="nil"/>
            </w:tcBorders>
            <w:shd w:val="clear" w:color="auto" w:fill="auto"/>
            <w:vAlign w:val="center"/>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62 (18)</w:t>
            </w:r>
          </w:p>
        </w:tc>
      </w:tr>
      <w:tr w:rsidR="005C38CE" w:rsidRPr="005C38CE" w:rsidTr="005C38CE">
        <w:tc>
          <w:tcPr>
            <w:tcW w:w="1416" w:type="dxa"/>
            <w:tcBorders>
              <w:top w:val="nil"/>
              <w:left w:val="nil"/>
              <w:bottom w:val="nil"/>
              <w:right w:val="nil"/>
            </w:tcBorders>
            <w:shd w:val="clear" w:color="auto" w:fill="auto"/>
            <w:vAlign w:val="center"/>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O145</w:t>
            </w:r>
          </w:p>
        </w:tc>
        <w:tc>
          <w:tcPr>
            <w:tcW w:w="1834" w:type="dxa"/>
            <w:tcBorders>
              <w:top w:val="nil"/>
              <w:left w:val="nil"/>
              <w:bottom w:val="nil"/>
              <w:right w:val="nil"/>
            </w:tcBorders>
            <w:shd w:val="clear" w:color="auto" w:fill="auto"/>
            <w:vAlign w:val="center"/>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21 (9)</w:t>
            </w:r>
          </w:p>
        </w:tc>
        <w:tc>
          <w:tcPr>
            <w:tcW w:w="1552" w:type="dxa"/>
            <w:tcBorders>
              <w:top w:val="nil"/>
              <w:left w:val="nil"/>
              <w:bottom w:val="nil"/>
              <w:right w:val="nil"/>
            </w:tcBorders>
            <w:shd w:val="clear" w:color="auto" w:fill="auto"/>
            <w:vAlign w:val="center"/>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6 (2)</w:t>
            </w:r>
          </w:p>
        </w:tc>
        <w:tc>
          <w:tcPr>
            <w:tcW w:w="1410" w:type="dxa"/>
            <w:tcBorders>
              <w:top w:val="nil"/>
              <w:left w:val="nil"/>
              <w:bottom w:val="nil"/>
              <w:right w:val="nil"/>
            </w:tcBorders>
            <w:shd w:val="clear" w:color="auto" w:fill="auto"/>
            <w:vAlign w:val="center"/>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4 (2)</w:t>
            </w:r>
          </w:p>
        </w:tc>
        <w:tc>
          <w:tcPr>
            <w:tcW w:w="1697" w:type="dxa"/>
            <w:tcBorders>
              <w:top w:val="nil"/>
              <w:left w:val="nil"/>
              <w:bottom w:val="nil"/>
              <w:right w:val="nil"/>
            </w:tcBorders>
            <w:shd w:val="clear" w:color="auto" w:fill="auto"/>
            <w:vAlign w:val="center"/>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1 (1)</w:t>
            </w:r>
          </w:p>
        </w:tc>
        <w:tc>
          <w:tcPr>
            <w:tcW w:w="1022" w:type="dxa"/>
            <w:tcBorders>
              <w:top w:val="nil"/>
              <w:left w:val="nil"/>
              <w:bottom w:val="nil"/>
              <w:right w:val="nil"/>
            </w:tcBorders>
            <w:shd w:val="clear" w:color="auto" w:fill="auto"/>
            <w:vAlign w:val="center"/>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0</w:t>
            </w:r>
          </w:p>
        </w:tc>
        <w:tc>
          <w:tcPr>
            <w:tcW w:w="1275" w:type="dxa"/>
            <w:tcBorders>
              <w:top w:val="nil"/>
              <w:left w:val="nil"/>
              <w:bottom w:val="nil"/>
              <w:right w:val="nil"/>
            </w:tcBorders>
            <w:shd w:val="clear" w:color="auto" w:fill="auto"/>
            <w:vAlign w:val="center"/>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4 (2)</w:t>
            </w:r>
          </w:p>
        </w:tc>
        <w:tc>
          <w:tcPr>
            <w:tcW w:w="1447" w:type="dxa"/>
            <w:tcBorders>
              <w:top w:val="nil"/>
              <w:left w:val="nil"/>
              <w:bottom w:val="nil"/>
              <w:right w:val="nil"/>
            </w:tcBorders>
            <w:shd w:val="clear" w:color="auto" w:fill="auto"/>
            <w:vAlign w:val="center"/>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7 (3)</w:t>
            </w:r>
          </w:p>
        </w:tc>
        <w:tc>
          <w:tcPr>
            <w:tcW w:w="1825" w:type="dxa"/>
            <w:tcBorders>
              <w:top w:val="nil"/>
              <w:left w:val="nil"/>
              <w:bottom w:val="nil"/>
              <w:right w:val="nil"/>
            </w:tcBorders>
            <w:shd w:val="clear" w:color="auto" w:fill="auto"/>
            <w:vAlign w:val="center"/>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43 (16)</w:t>
            </w:r>
          </w:p>
        </w:tc>
      </w:tr>
      <w:tr w:rsidR="005C38CE" w:rsidRPr="005C38CE" w:rsidTr="005C38CE">
        <w:tc>
          <w:tcPr>
            <w:tcW w:w="1416" w:type="dxa"/>
            <w:tcBorders>
              <w:top w:val="nil"/>
              <w:left w:val="nil"/>
              <w:bottom w:val="nil"/>
              <w:right w:val="nil"/>
            </w:tcBorders>
            <w:shd w:val="clear" w:color="auto" w:fill="auto"/>
            <w:vAlign w:val="center"/>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O157</w:t>
            </w:r>
          </w:p>
        </w:tc>
        <w:tc>
          <w:tcPr>
            <w:tcW w:w="1834" w:type="dxa"/>
            <w:tcBorders>
              <w:top w:val="nil"/>
              <w:left w:val="nil"/>
              <w:bottom w:val="nil"/>
              <w:right w:val="nil"/>
            </w:tcBorders>
            <w:shd w:val="clear" w:color="auto" w:fill="auto"/>
            <w:vAlign w:val="center"/>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4 (1)</w:t>
            </w:r>
          </w:p>
        </w:tc>
        <w:tc>
          <w:tcPr>
            <w:tcW w:w="1552" w:type="dxa"/>
            <w:tcBorders>
              <w:top w:val="nil"/>
              <w:left w:val="nil"/>
              <w:bottom w:val="nil"/>
              <w:right w:val="nil"/>
            </w:tcBorders>
            <w:shd w:val="clear" w:color="auto" w:fill="auto"/>
            <w:vAlign w:val="center"/>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0</w:t>
            </w:r>
          </w:p>
        </w:tc>
        <w:tc>
          <w:tcPr>
            <w:tcW w:w="1410" w:type="dxa"/>
            <w:tcBorders>
              <w:top w:val="nil"/>
              <w:left w:val="nil"/>
              <w:bottom w:val="nil"/>
              <w:right w:val="nil"/>
            </w:tcBorders>
            <w:shd w:val="clear" w:color="auto" w:fill="auto"/>
            <w:vAlign w:val="center"/>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2 (1)</w:t>
            </w:r>
          </w:p>
        </w:tc>
        <w:tc>
          <w:tcPr>
            <w:tcW w:w="1697" w:type="dxa"/>
            <w:tcBorders>
              <w:top w:val="nil"/>
              <w:left w:val="nil"/>
              <w:bottom w:val="nil"/>
              <w:right w:val="nil"/>
            </w:tcBorders>
            <w:shd w:val="clear" w:color="auto" w:fill="auto"/>
            <w:vAlign w:val="center"/>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0</w:t>
            </w:r>
          </w:p>
        </w:tc>
        <w:tc>
          <w:tcPr>
            <w:tcW w:w="1022" w:type="dxa"/>
            <w:tcBorders>
              <w:top w:val="nil"/>
              <w:left w:val="nil"/>
              <w:bottom w:val="nil"/>
              <w:right w:val="nil"/>
            </w:tcBorders>
            <w:shd w:val="clear" w:color="auto" w:fill="auto"/>
            <w:vAlign w:val="center"/>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0</w:t>
            </w:r>
          </w:p>
        </w:tc>
        <w:tc>
          <w:tcPr>
            <w:tcW w:w="1275" w:type="dxa"/>
            <w:tcBorders>
              <w:top w:val="nil"/>
              <w:left w:val="nil"/>
              <w:bottom w:val="nil"/>
              <w:right w:val="nil"/>
            </w:tcBorders>
            <w:shd w:val="clear" w:color="auto" w:fill="auto"/>
            <w:vAlign w:val="center"/>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0</w:t>
            </w:r>
          </w:p>
        </w:tc>
        <w:tc>
          <w:tcPr>
            <w:tcW w:w="1447" w:type="dxa"/>
            <w:tcBorders>
              <w:top w:val="nil"/>
              <w:left w:val="nil"/>
              <w:bottom w:val="nil"/>
              <w:right w:val="nil"/>
            </w:tcBorders>
            <w:shd w:val="clear" w:color="auto" w:fill="auto"/>
            <w:vAlign w:val="center"/>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5 (1)</w:t>
            </w:r>
          </w:p>
        </w:tc>
        <w:tc>
          <w:tcPr>
            <w:tcW w:w="1825" w:type="dxa"/>
            <w:tcBorders>
              <w:top w:val="nil"/>
              <w:left w:val="nil"/>
              <w:bottom w:val="nil"/>
              <w:right w:val="nil"/>
            </w:tcBorders>
            <w:shd w:val="clear" w:color="auto" w:fill="auto"/>
            <w:vAlign w:val="center"/>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11 (3)</w:t>
            </w:r>
          </w:p>
        </w:tc>
      </w:tr>
      <w:tr w:rsidR="005C38CE" w:rsidRPr="005C38CE" w:rsidTr="005C38CE">
        <w:tc>
          <w:tcPr>
            <w:tcW w:w="1416" w:type="dxa"/>
            <w:vMerge w:val="restart"/>
            <w:tcBorders>
              <w:top w:val="nil"/>
              <w:left w:val="nil"/>
              <w:bottom w:val="single" w:sz="4" w:space="0" w:color="auto"/>
              <w:right w:val="nil"/>
            </w:tcBorders>
            <w:shd w:val="clear" w:color="auto" w:fill="auto"/>
            <w:vAlign w:val="center"/>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Total</w:t>
            </w:r>
          </w:p>
        </w:tc>
        <w:tc>
          <w:tcPr>
            <w:tcW w:w="1834" w:type="dxa"/>
            <w:tcBorders>
              <w:top w:val="nil"/>
              <w:left w:val="nil"/>
              <w:bottom w:val="nil"/>
              <w:right w:val="nil"/>
            </w:tcBorders>
            <w:shd w:val="clear" w:color="auto" w:fill="auto"/>
            <w:vAlign w:val="center"/>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38 (19)</w:t>
            </w:r>
          </w:p>
        </w:tc>
        <w:tc>
          <w:tcPr>
            <w:tcW w:w="1552" w:type="dxa"/>
            <w:tcBorders>
              <w:top w:val="nil"/>
              <w:left w:val="nil"/>
              <w:bottom w:val="nil"/>
              <w:right w:val="nil"/>
            </w:tcBorders>
            <w:shd w:val="clear" w:color="auto" w:fill="auto"/>
            <w:vAlign w:val="center"/>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20 (8)</w:t>
            </w:r>
          </w:p>
        </w:tc>
        <w:tc>
          <w:tcPr>
            <w:tcW w:w="1410" w:type="dxa"/>
            <w:tcBorders>
              <w:top w:val="nil"/>
              <w:left w:val="nil"/>
              <w:bottom w:val="nil"/>
              <w:right w:val="nil"/>
            </w:tcBorders>
            <w:shd w:val="clear" w:color="auto" w:fill="auto"/>
            <w:vAlign w:val="center"/>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6 (3)</w:t>
            </w:r>
          </w:p>
        </w:tc>
        <w:tc>
          <w:tcPr>
            <w:tcW w:w="1697" w:type="dxa"/>
            <w:tcBorders>
              <w:top w:val="nil"/>
              <w:left w:val="nil"/>
              <w:bottom w:val="nil"/>
              <w:right w:val="nil"/>
            </w:tcBorders>
            <w:shd w:val="clear" w:color="auto" w:fill="auto"/>
            <w:vAlign w:val="center"/>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39 (9)</w:t>
            </w:r>
          </w:p>
        </w:tc>
        <w:tc>
          <w:tcPr>
            <w:tcW w:w="1022" w:type="dxa"/>
            <w:tcBorders>
              <w:top w:val="nil"/>
              <w:left w:val="nil"/>
              <w:bottom w:val="nil"/>
              <w:right w:val="nil"/>
            </w:tcBorders>
            <w:shd w:val="clear" w:color="auto" w:fill="auto"/>
            <w:vAlign w:val="center"/>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0/5</w:t>
            </w:r>
          </w:p>
        </w:tc>
        <w:tc>
          <w:tcPr>
            <w:tcW w:w="1275" w:type="dxa"/>
            <w:tcBorders>
              <w:top w:val="nil"/>
              <w:left w:val="nil"/>
              <w:bottom w:val="nil"/>
              <w:right w:val="nil"/>
            </w:tcBorders>
            <w:shd w:val="clear" w:color="auto" w:fill="auto"/>
            <w:vAlign w:val="center"/>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6 (4)</w:t>
            </w:r>
          </w:p>
        </w:tc>
        <w:tc>
          <w:tcPr>
            <w:tcW w:w="1447" w:type="dxa"/>
            <w:tcBorders>
              <w:top w:val="nil"/>
              <w:left w:val="nil"/>
              <w:bottom w:val="nil"/>
              <w:right w:val="nil"/>
            </w:tcBorders>
            <w:shd w:val="clear" w:color="auto" w:fill="auto"/>
            <w:vAlign w:val="center"/>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27 (10)</w:t>
            </w:r>
          </w:p>
        </w:tc>
        <w:tc>
          <w:tcPr>
            <w:tcW w:w="1825" w:type="dxa"/>
            <w:vMerge w:val="restart"/>
            <w:tcBorders>
              <w:top w:val="nil"/>
              <w:left w:val="nil"/>
              <w:bottom w:val="single" w:sz="4" w:space="0" w:color="auto"/>
              <w:right w:val="nil"/>
            </w:tcBorders>
            <w:shd w:val="clear" w:color="auto" w:fill="auto"/>
            <w:vAlign w:val="center"/>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136 (42)</w:t>
            </w:r>
          </w:p>
        </w:tc>
      </w:tr>
      <w:tr w:rsidR="005C38CE" w:rsidRPr="005C38CE" w:rsidTr="005C38CE">
        <w:tc>
          <w:tcPr>
            <w:tcW w:w="1416" w:type="dxa"/>
            <w:vMerge/>
            <w:tcBorders>
              <w:top w:val="nil"/>
              <w:left w:val="nil"/>
              <w:bottom w:val="single" w:sz="4" w:space="0" w:color="auto"/>
              <w:right w:val="nil"/>
            </w:tcBorders>
            <w:shd w:val="clear" w:color="auto" w:fill="auto"/>
            <w:vAlign w:val="center"/>
          </w:tcPr>
          <w:p w:rsidR="00571041" w:rsidRPr="005C38CE" w:rsidRDefault="00571041" w:rsidP="005C38CE">
            <w:pPr>
              <w:pStyle w:val="MDPI21heading1"/>
              <w:spacing w:before="0"/>
              <w:jc w:val="both"/>
              <w:rPr>
                <w:bCs/>
                <w:sz w:val="18"/>
                <w:szCs w:val="18"/>
                <w:lang w:eastAsia="zh-CN"/>
              </w:rPr>
            </w:pPr>
          </w:p>
        </w:tc>
        <w:tc>
          <w:tcPr>
            <w:tcW w:w="1834" w:type="dxa"/>
            <w:tcBorders>
              <w:top w:val="nil"/>
              <w:left w:val="nil"/>
              <w:bottom w:val="single" w:sz="4" w:space="0" w:color="auto"/>
              <w:right w:val="nil"/>
            </w:tcBorders>
            <w:shd w:val="clear" w:color="auto" w:fill="auto"/>
            <w:vAlign w:val="center"/>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38 (19)</w:t>
            </w:r>
          </w:p>
        </w:tc>
        <w:tc>
          <w:tcPr>
            <w:tcW w:w="4659" w:type="dxa"/>
            <w:gridSpan w:val="3"/>
            <w:tcBorders>
              <w:top w:val="nil"/>
              <w:left w:val="nil"/>
              <w:bottom w:val="single" w:sz="4" w:space="0" w:color="auto"/>
              <w:right w:val="nil"/>
            </w:tcBorders>
            <w:shd w:val="clear" w:color="auto" w:fill="auto"/>
            <w:vAlign w:val="center"/>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65 (19)</w:t>
            </w:r>
          </w:p>
        </w:tc>
        <w:tc>
          <w:tcPr>
            <w:tcW w:w="3744" w:type="dxa"/>
            <w:gridSpan w:val="3"/>
            <w:tcBorders>
              <w:top w:val="nil"/>
              <w:left w:val="nil"/>
              <w:bottom w:val="single" w:sz="4" w:space="0" w:color="auto"/>
              <w:right w:val="nil"/>
            </w:tcBorders>
            <w:shd w:val="clear" w:color="auto" w:fill="auto"/>
            <w:vAlign w:val="center"/>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33 (14)</w:t>
            </w:r>
          </w:p>
        </w:tc>
        <w:tc>
          <w:tcPr>
            <w:tcW w:w="1825" w:type="dxa"/>
            <w:vMerge/>
            <w:tcBorders>
              <w:top w:val="nil"/>
              <w:left w:val="nil"/>
              <w:bottom w:val="single" w:sz="4" w:space="0" w:color="auto"/>
              <w:right w:val="nil"/>
            </w:tcBorders>
            <w:shd w:val="clear" w:color="auto" w:fill="auto"/>
            <w:vAlign w:val="center"/>
          </w:tcPr>
          <w:p w:rsidR="00571041" w:rsidRPr="005C38CE" w:rsidRDefault="00571041" w:rsidP="005C38CE">
            <w:pPr>
              <w:pStyle w:val="MDPI21heading1"/>
              <w:spacing w:before="0"/>
              <w:jc w:val="both"/>
              <w:rPr>
                <w:bCs/>
                <w:sz w:val="18"/>
                <w:szCs w:val="18"/>
                <w:lang w:eastAsia="zh-CN"/>
              </w:rPr>
            </w:pPr>
          </w:p>
        </w:tc>
      </w:tr>
    </w:tbl>
    <w:p w:rsidR="00571041" w:rsidRPr="00571041" w:rsidRDefault="00571041" w:rsidP="00571041">
      <w:pPr>
        <w:pStyle w:val="MDPI21heading1"/>
        <w:rPr>
          <w:sz w:val="18"/>
          <w:szCs w:val="18"/>
          <w:lang w:eastAsia="zh-CN"/>
        </w:rPr>
      </w:pPr>
    </w:p>
    <w:p w:rsidR="00571041" w:rsidRPr="00571041" w:rsidRDefault="00571041" w:rsidP="00571041">
      <w:pPr>
        <w:pStyle w:val="MDPI21heading1"/>
        <w:jc w:val="both"/>
        <w:rPr>
          <w:bCs/>
          <w:sz w:val="18"/>
          <w:szCs w:val="18"/>
          <w:lang w:eastAsia="zh-CN"/>
        </w:rPr>
      </w:pPr>
    </w:p>
    <w:p w:rsidR="00571041" w:rsidRPr="00571041" w:rsidRDefault="00571041" w:rsidP="00571041">
      <w:pPr>
        <w:pStyle w:val="MDPI21heading1"/>
        <w:jc w:val="both"/>
        <w:rPr>
          <w:bCs/>
          <w:sz w:val="18"/>
          <w:szCs w:val="18"/>
          <w:lang w:eastAsia="zh-CN"/>
        </w:rPr>
      </w:pPr>
    </w:p>
    <w:p w:rsidR="00571041" w:rsidRPr="00571041" w:rsidRDefault="00571041" w:rsidP="00571041">
      <w:pPr>
        <w:pStyle w:val="MDPI21heading1"/>
        <w:jc w:val="both"/>
        <w:rPr>
          <w:bCs/>
          <w:sz w:val="18"/>
          <w:szCs w:val="18"/>
          <w:lang w:eastAsia="zh-CN"/>
        </w:rPr>
      </w:pPr>
    </w:p>
    <w:p w:rsidR="00571041" w:rsidRPr="00571041" w:rsidRDefault="00571041" w:rsidP="00571041">
      <w:pPr>
        <w:pStyle w:val="MDPI21heading1"/>
        <w:jc w:val="both"/>
        <w:rPr>
          <w:bCs/>
          <w:sz w:val="18"/>
          <w:szCs w:val="18"/>
          <w:lang w:eastAsia="zh-CN"/>
        </w:rPr>
      </w:pPr>
    </w:p>
    <w:p w:rsidR="00571041" w:rsidRPr="00571041" w:rsidRDefault="00571041" w:rsidP="00571041">
      <w:pPr>
        <w:pStyle w:val="MDPI21heading1"/>
        <w:jc w:val="both"/>
        <w:rPr>
          <w:bCs/>
          <w:sz w:val="18"/>
          <w:szCs w:val="18"/>
          <w:lang w:eastAsia="zh-CN"/>
        </w:rPr>
      </w:pPr>
    </w:p>
    <w:p w:rsidR="00571041" w:rsidRPr="00571041" w:rsidRDefault="00571041" w:rsidP="00571041">
      <w:pPr>
        <w:pStyle w:val="MDPI21heading1"/>
        <w:jc w:val="both"/>
        <w:rPr>
          <w:bCs/>
          <w:sz w:val="18"/>
          <w:szCs w:val="18"/>
          <w:lang w:eastAsia="zh-CN"/>
        </w:rPr>
      </w:pPr>
    </w:p>
    <w:p w:rsidR="00571041" w:rsidRPr="00571041" w:rsidRDefault="00571041" w:rsidP="00571041">
      <w:pPr>
        <w:pStyle w:val="MDPI21heading1"/>
        <w:jc w:val="both"/>
        <w:rPr>
          <w:bCs/>
          <w:sz w:val="18"/>
          <w:szCs w:val="18"/>
          <w:lang w:eastAsia="zh-CN"/>
        </w:rPr>
      </w:pPr>
    </w:p>
    <w:p w:rsidR="00571041" w:rsidRPr="00571041" w:rsidRDefault="00571041" w:rsidP="00571041">
      <w:pPr>
        <w:pStyle w:val="MDPI21heading1"/>
        <w:jc w:val="both"/>
        <w:rPr>
          <w:bCs/>
          <w:sz w:val="18"/>
          <w:szCs w:val="18"/>
          <w:lang w:eastAsia="zh-CN"/>
        </w:rPr>
      </w:pPr>
    </w:p>
    <w:p w:rsidR="00571041" w:rsidRPr="00571041" w:rsidRDefault="00571041" w:rsidP="00571041">
      <w:pPr>
        <w:pStyle w:val="MDPI21heading1"/>
        <w:jc w:val="both"/>
        <w:rPr>
          <w:bCs/>
          <w:sz w:val="18"/>
          <w:szCs w:val="18"/>
          <w:lang w:eastAsia="zh-CN"/>
        </w:rPr>
      </w:pPr>
    </w:p>
    <w:p w:rsidR="00571041" w:rsidRPr="00571041" w:rsidRDefault="00571041" w:rsidP="00571041">
      <w:pPr>
        <w:pStyle w:val="MDPI21heading1"/>
        <w:jc w:val="both"/>
        <w:rPr>
          <w:bCs/>
          <w:sz w:val="18"/>
          <w:szCs w:val="18"/>
          <w:lang w:eastAsia="zh-CN"/>
        </w:rPr>
      </w:pPr>
      <w:r w:rsidRPr="00571041">
        <w:rPr>
          <w:bCs/>
          <w:sz w:val="18"/>
          <w:szCs w:val="18"/>
          <w:vertAlign w:val="superscript"/>
          <w:lang w:eastAsia="zh-CN"/>
        </w:rPr>
        <w:t>1</w:t>
      </w:r>
      <w:r w:rsidRPr="00571041">
        <w:rPr>
          <w:bCs/>
          <w:sz w:val="18"/>
          <w:szCs w:val="18"/>
          <w:lang w:eastAsia="zh-CN"/>
        </w:rPr>
        <w:t xml:space="preserve"> O5, O80, O118, O121 and O165 serotypes were not identified. </w:t>
      </w:r>
      <w:r w:rsidRPr="00571041">
        <w:rPr>
          <w:bCs/>
          <w:sz w:val="18"/>
          <w:szCs w:val="18"/>
          <w:vertAlign w:val="superscript"/>
          <w:lang w:eastAsia="zh-CN"/>
        </w:rPr>
        <w:t>2</w:t>
      </w:r>
      <w:r w:rsidRPr="00571041">
        <w:rPr>
          <w:bCs/>
          <w:sz w:val="18"/>
          <w:szCs w:val="18"/>
          <w:lang w:eastAsia="zh-CN"/>
        </w:rPr>
        <w:t xml:space="preserve"> No. PCR-positive </w:t>
      </w:r>
      <w:r w:rsidRPr="00571041">
        <w:rPr>
          <w:bCs/>
          <w:i/>
          <w:sz w:val="18"/>
          <w:szCs w:val="18"/>
          <w:lang w:eastAsia="zh-CN"/>
        </w:rPr>
        <w:t>Escherichia coli</w:t>
      </w:r>
      <w:r w:rsidRPr="00571041">
        <w:rPr>
          <w:bCs/>
          <w:sz w:val="18"/>
          <w:szCs w:val="18"/>
          <w:lang w:eastAsia="zh-CN"/>
        </w:rPr>
        <w:t xml:space="preserve"> isolates (No. RAMS with PCR-positive colonies). </w:t>
      </w:r>
      <w:r w:rsidRPr="00571041">
        <w:rPr>
          <w:sz w:val="18"/>
          <w:szCs w:val="18"/>
          <w:vertAlign w:val="superscript"/>
          <w:lang w:eastAsia="zh-CN"/>
        </w:rPr>
        <w:t xml:space="preserve">3 </w:t>
      </w:r>
      <w:r w:rsidRPr="00571041">
        <w:rPr>
          <w:sz w:val="18"/>
          <w:szCs w:val="18"/>
          <w:lang w:eastAsia="zh-CN"/>
        </w:rPr>
        <w:t xml:space="preserve">AE-STEC = Attaching-Effacing </w:t>
      </w:r>
      <w:proofErr w:type="spellStart"/>
      <w:r w:rsidRPr="00571041">
        <w:rPr>
          <w:sz w:val="18"/>
          <w:szCs w:val="18"/>
          <w:lang w:eastAsia="zh-CN"/>
        </w:rPr>
        <w:t>Shigatoxigenic</w:t>
      </w:r>
      <w:proofErr w:type="spellEnd"/>
      <w:r w:rsidRPr="00571041">
        <w:rPr>
          <w:sz w:val="18"/>
          <w:szCs w:val="18"/>
          <w:lang w:eastAsia="zh-CN"/>
        </w:rPr>
        <w:t xml:space="preserve"> </w:t>
      </w:r>
      <w:r w:rsidR="001F6DB0" w:rsidRPr="001F6DB0">
        <w:rPr>
          <w:i/>
          <w:sz w:val="18"/>
          <w:szCs w:val="18"/>
          <w:lang w:eastAsia="zh-CN"/>
        </w:rPr>
        <w:t>E. coli</w:t>
      </w:r>
      <w:r w:rsidRPr="00571041">
        <w:rPr>
          <w:sz w:val="18"/>
          <w:szCs w:val="18"/>
          <w:lang w:eastAsia="zh-CN"/>
        </w:rPr>
        <w:t>.</w:t>
      </w:r>
      <w:r w:rsidRPr="00571041">
        <w:rPr>
          <w:bCs/>
          <w:sz w:val="18"/>
          <w:szCs w:val="18"/>
          <w:lang w:eastAsia="zh-CN"/>
        </w:rPr>
        <w:t xml:space="preserve"> </w:t>
      </w:r>
      <w:r w:rsidRPr="00571041">
        <w:rPr>
          <w:bCs/>
          <w:sz w:val="18"/>
          <w:szCs w:val="18"/>
          <w:vertAlign w:val="superscript"/>
          <w:lang w:eastAsia="zh-CN"/>
        </w:rPr>
        <w:t>4</w:t>
      </w:r>
      <w:r w:rsidRPr="00571041">
        <w:rPr>
          <w:bCs/>
          <w:sz w:val="18"/>
          <w:szCs w:val="18"/>
          <w:lang w:eastAsia="zh-CN"/>
        </w:rPr>
        <w:t xml:space="preserve"> No. serotype-positive </w:t>
      </w:r>
      <w:r w:rsidR="001F6DB0" w:rsidRPr="001F6DB0">
        <w:rPr>
          <w:bCs/>
          <w:i/>
          <w:sz w:val="18"/>
          <w:szCs w:val="18"/>
          <w:lang w:eastAsia="zh-CN"/>
        </w:rPr>
        <w:t>E. coli</w:t>
      </w:r>
      <w:r w:rsidRPr="00571041">
        <w:rPr>
          <w:bCs/>
          <w:sz w:val="18"/>
          <w:szCs w:val="18"/>
          <w:lang w:eastAsia="zh-CN"/>
        </w:rPr>
        <w:t xml:space="preserve"> isolates (No. RAMS). </w:t>
      </w:r>
    </w:p>
    <w:p w:rsidR="00571041" w:rsidRPr="00571041" w:rsidRDefault="00571041" w:rsidP="00571041">
      <w:pPr>
        <w:pStyle w:val="MDPI21heading1"/>
        <w:jc w:val="both"/>
        <w:rPr>
          <w:bCs/>
          <w:sz w:val="18"/>
          <w:szCs w:val="18"/>
          <w:lang w:eastAsia="zh-CN"/>
        </w:rPr>
      </w:pPr>
      <w:r w:rsidRPr="00571041">
        <w:rPr>
          <w:bCs/>
          <w:sz w:val="18"/>
          <w:szCs w:val="18"/>
          <w:lang w:eastAsia="zh-CN"/>
        </w:rPr>
        <w:br w:type="page"/>
      </w:r>
      <w:r w:rsidRPr="00571041">
        <w:rPr>
          <w:bCs/>
          <w:sz w:val="18"/>
          <w:szCs w:val="18"/>
          <w:lang w:eastAsia="zh-CN"/>
        </w:rPr>
        <w:lastRenderedPageBreak/>
        <w:t xml:space="preserve">Table 4. Distribution of the O somatic serotypes </w:t>
      </w:r>
      <w:r w:rsidRPr="00571041">
        <w:rPr>
          <w:sz w:val="18"/>
          <w:szCs w:val="18"/>
          <w:lang w:eastAsia="zh-CN"/>
        </w:rPr>
        <w:t xml:space="preserve">according to the farms and sampling times </w:t>
      </w:r>
      <w:r w:rsidRPr="00571041">
        <w:rPr>
          <w:bCs/>
          <w:sz w:val="18"/>
          <w:szCs w:val="18"/>
          <w:lang w:eastAsia="zh-CN"/>
        </w:rPr>
        <w:t xml:space="preserve">in the 42 RAMS with </w:t>
      </w:r>
      <w:proofErr w:type="spellStart"/>
      <w:r w:rsidRPr="00571041">
        <w:rPr>
          <w:bCs/>
          <w:sz w:val="18"/>
          <w:szCs w:val="18"/>
          <w:lang w:eastAsia="zh-CN"/>
        </w:rPr>
        <w:t>typeable</w:t>
      </w:r>
      <w:proofErr w:type="spellEnd"/>
      <w:r w:rsidRPr="00571041">
        <w:rPr>
          <w:bCs/>
          <w:sz w:val="18"/>
          <w:szCs w:val="18"/>
          <w:lang w:eastAsia="zh-CN"/>
        </w:rPr>
        <w:t xml:space="preserve"> colonies The O5, O80, O118, O121 and O165 serotypes were not identified. </w:t>
      </w:r>
    </w:p>
    <w:tbl>
      <w:tblPr>
        <w:tblpPr w:leftFromText="141" w:rightFromText="141" w:vertAnchor="text" w:horzAnchor="margin" w:tblpY="303"/>
        <w:tblW w:w="12049"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985"/>
        <w:gridCol w:w="2268"/>
        <w:gridCol w:w="2268"/>
        <w:gridCol w:w="2268"/>
        <w:gridCol w:w="3260"/>
      </w:tblGrid>
      <w:tr w:rsidR="005C38CE" w:rsidRPr="005C38CE" w:rsidTr="005C38CE">
        <w:tc>
          <w:tcPr>
            <w:tcW w:w="1985" w:type="dxa"/>
            <w:shd w:val="clear" w:color="auto" w:fill="auto"/>
            <w:vAlign w:val="center"/>
          </w:tcPr>
          <w:p w:rsidR="00571041" w:rsidRPr="005C38CE" w:rsidRDefault="00571041" w:rsidP="005C38CE">
            <w:pPr>
              <w:pStyle w:val="MDPI21heading1"/>
              <w:spacing w:before="0"/>
              <w:jc w:val="both"/>
              <w:rPr>
                <w:sz w:val="18"/>
                <w:szCs w:val="18"/>
                <w:lang w:eastAsia="zh-CN"/>
              </w:rPr>
            </w:pPr>
            <w:r w:rsidRPr="005C38CE">
              <w:rPr>
                <w:sz w:val="18"/>
                <w:szCs w:val="18"/>
                <w:lang w:eastAsia="zh-CN"/>
              </w:rPr>
              <w:t>Sampling / Farm</w:t>
            </w:r>
          </w:p>
        </w:tc>
        <w:tc>
          <w:tcPr>
            <w:tcW w:w="2268" w:type="dxa"/>
            <w:shd w:val="clear" w:color="auto" w:fill="auto"/>
            <w:vAlign w:val="center"/>
          </w:tcPr>
          <w:p w:rsidR="00571041" w:rsidRPr="005C38CE" w:rsidRDefault="00571041" w:rsidP="005C38CE">
            <w:pPr>
              <w:pStyle w:val="MDPI21heading1"/>
              <w:spacing w:before="0"/>
              <w:jc w:val="both"/>
              <w:rPr>
                <w:sz w:val="18"/>
                <w:szCs w:val="18"/>
                <w:lang w:eastAsia="zh-CN"/>
              </w:rPr>
            </w:pPr>
            <w:r w:rsidRPr="005C38CE">
              <w:rPr>
                <w:sz w:val="18"/>
                <w:szCs w:val="18"/>
                <w:lang w:eastAsia="zh-CN"/>
              </w:rPr>
              <w:t>A</w:t>
            </w:r>
          </w:p>
        </w:tc>
        <w:tc>
          <w:tcPr>
            <w:tcW w:w="2268" w:type="dxa"/>
            <w:shd w:val="clear" w:color="auto" w:fill="auto"/>
            <w:vAlign w:val="center"/>
          </w:tcPr>
          <w:p w:rsidR="00571041" w:rsidRPr="005C38CE" w:rsidRDefault="00571041" w:rsidP="005C38CE">
            <w:pPr>
              <w:pStyle w:val="MDPI21heading1"/>
              <w:spacing w:before="0"/>
              <w:jc w:val="both"/>
              <w:rPr>
                <w:sz w:val="18"/>
                <w:szCs w:val="18"/>
                <w:lang w:eastAsia="zh-CN"/>
              </w:rPr>
            </w:pPr>
            <w:r w:rsidRPr="005C38CE">
              <w:rPr>
                <w:sz w:val="18"/>
                <w:szCs w:val="18"/>
                <w:lang w:eastAsia="zh-CN"/>
              </w:rPr>
              <w:t>B</w:t>
            </w:r>
          </w:p>
        </w:tc>
        <w:tc>
          <w:tcPr>
            <w:tcW w:w="2268" w:type="dxa"/>
            <w:shd w:val="clear" w:color="auto" w:fill="auto"/>
            <w:vAlign w:val="center"/>
          </w:tcPr>
          <w:p w:rsidR="00571041" w:rsidRPr="005C38CE" w:rsidRDefault="00571041" w:rsidP="005C38CE">
            <w:pPr>
              <w:pStyle w:val="MDPI21heading1"/>
              <w:spacing w:before="0"/>
              <w:jc w:val="both"/>
              <w:rPr>
                <w:sz w:val="18"/>
                <w:szCs w:val="18"/>
                <w:lang w:eastAsia="zh-CN"/>
              </w:rPr>
            </w:pPr>
            <w:r w:rsidRPr="005C38CE">
              <w:rPr>
                <w:sz w:val="18"/>
                <w:szCs w:val="18"/>
                <w:lang w:eastAsia="zh-CN"/>
              </w:rPr>
              <w:t>C</w:t>
            </w:r>
          </w:p>
        </w:tc>
        <w:tc>
          <w:tcPr>
            <w:tcW w:w="3260" w:type="dxa"/>
            <w:shd w:val="clear" w:color="auto" w:fill="auto"/>
            <w:vAlign w:val="center"/>
          </w:tcPr>
          <w:p w:rsidR="00571041" w:rsidRPr="005C38CE" w:rsidRDefault="00571041" w:rsidP="005C38CE">
            <w:pPr>
              <w:pStyle w:val="MDPI21heading1"/>
              <w:spacing w:before="0"/>
              <w:jc w:val="both"/>
              <w:rPr>
                <w:sz w:val="18"/>
                <w:szCs w:val="18"/>
                <w:lang w:eastAsia="zh-CN"/>
              </w:rPr>
            </w:pPr>
            <w:r w:rsidRPr="005C38CE">
              <w:rPr>
                <w:sz w:val="18"/>
                <w:szCs w:val="18"/>
                <w:lang w:eastAsia="zh-CN"/>
              </w:rPr>
              <w:t>TOTAL</w:t>
            </w:r>
          </w:p>
        </w:tc>
      </w:tr>
      <w:tr w:rsidR="005C38CE" w:rsidRPr="005C38CE" w:rsidTr="005C38CE">
        <w:tc>
          <w:tcPr>
            <w:tcW w:w="1985" w:type="dxa"/>
            <w:shd w:val="clear" w:color="auto" w:fill="auto"/>
            <w:vAlign w:val="center"/>
          </w:tcPr>
          <w:p w:rsidR="00571041" w:rsidRPr="005C38CE" w:rsidRDefault="00571041" w:rsidP="005C38CE">
            <w:pPr>
              <w:pStyle w:val="MDPI21heading1"/>
              <w:spacing w:before="0"/>
              <w:jc w:val="both"/>
              <w:rPr>
                <w:sz w:val="18"/>
                <w:szCs w:val="18"/>
                <w:lang w:eastAsia="zh-CN"/>
              </w:rPr>
            </w:pPr>
            <w:r w:rsidRPr="005C38CE">
              <w:rPr>
                <w:sz w:val="18"/>
                <w:szCs w:val="18"/>
                <w:lang w:eastAsia="zh-CN"/>
              </w:rPr>
              <w:t xml:space="preserve">S1 </w:t>
            </w:r>
            <w:r w:rsidRPr="005C38CE">
              <w:rPr>
                <w:sz w:val="18"/>
                <w:szCs w:val="18"/>
                <w:vertAlign w:val="superscript"/>
                <w:lang w:eastAsia="zh-CN"/>
              </w:rPr>
              <w:t>1</w:t>
            </w:r>
          </w:p>
        </w:tc>
        <w:tc>
          <w:tcPr>
            <w:tcW w:w="2268" w:type="dxa"/>
            <w:shd w:val="clear" w:color="auto" w:fill="auto"/>
            <w:vAlign w:val="center"/>
          </w:tcPr>
          <w:p w:rsidR="00571041" w:rsidRPr="005C38CE" w:rsidRDefault="00571041" w:rsidP="005C38CE">
            <w:pPr>
              <w:pStyle w:val="MDPI21heading1"/>
              <w:spacing w:before="0"/>
              <w:jc w:val="both"/>
              <w:rPr>
                <w:sz w:val="18"/>
                <w:szCs w:val="18"/>
                <w:lang w:eastAsia="zh-CN"/>
              </w:rPr>
            </w:pPr>
            <w:r w:rsidRPr="005C38CE">
              <w:rPr>
                <w:sz w:val="18"/>
                <w:szCs w:val="18"/>
                <w:lang w:eastAsia="zh-CN"/>
              </w:rPr>
              <w:t xml:space="preserve">O145 (1) </w:t>
            </w:r>
            <w:r w:rsidRPr="005C38CE">
              <w:rPr>
                <w:bCs/>
                <w:sz w:val="18"/>
                <w:szCs w:val="18"/>
                <w:vertAlign w:val="superscript"/>
                <w:lang w:eastAsia="zh-CN"/>
              </w:rPr>
              <w:t>2</w:t>
            </w:r>
          </w:p>
        </w:tc>
        <w:tc>
          <w:tcPr>
            <w:tcW w:w="2268" w:type="dxa"/>
            <w:shd w:val="clear" w:color="auto" w:fill="auto"/>
            <w:vAlign w:val="center"/>
          </w:tcPr>
          <w:p w:rsidR="00571041" w:rsidRPr="005C38CE" w:rsidRDefault="00571041" w:rsidP="005C38CE">
            <w:pPr>
              <w:pStyle w:val="MDPI21heading1"/>
              <w:spacing w:before="0"/>
              <w:jc w:val="both"/>
              <w:rPr>
                <w:sz w:val="18"/>
                <w:szCs w:val="18"/>
                <w:lang w:eastAsia="zh-CN"/>
              </w:rPr>
            </w:pPr>
            <w:r w:rsidRPr="005C38CE">
              <w:rPr>
                <w:sz w:val="18"/>
                <w:szCs w:val="18"/>
                <w:lang w:eastAsia="zh-CN"/>
              </w:rPr>
              <w:t>O111 (1)</w:t>
            </w:r>
          </w:p>
        </w:tc>
        <w:tc>
          <w:tcPr>
            <w:tcW w:w="2268" w:type="dxa"/>
            <w:shd w:val="clear" w:color="auto" w:fill="auto"/>
            <w:vAlign w:val="center"/>
          </w:tcPr>
          <w:p w:rsidR="00571041" w:rsidRPr="005C38CE" w:rsidRDefault="00571041" w:rsidP="005C38CE">
            <w:pPr>
              <w:pStyle w:val="MDPI21heading1"/>
              <w:spacing w:before="0"/>
              <w:jc w:val="both"/>
              <w:rPr>
                <w:sz w:val="18"/>
                <w:szCs w:val="18"/>
                <w:lang w:eastAsia="zh-CN"/>
              </w:rPr>
            </w:pPr>
            <w:r w:rsidRPr="005C38CE">
              <w:rPr>
                <w:sz w:val="18"/>
                <w:szCs w:val="18"/>
                <w:lang w:eastAsia="zh-CN"/>
              </w:rPr>
              <w:t>O111 (1)</w:t>
            </w:r>
          </w:p>
        </w:tc>
        <w:tc>
          <w:tcPr>
            <w:tcW w:w="3260" w:type="dxa"/>
            <w:shd w:val="clear" w:color="auto" w:fill="auto"/>
            <w:vAlign w:val="center"/>
          </w:tcPr>
          <w:p w:rsidR="00571041" w:rsidRPr="005C38CE" w:rsidRDefault="00571041" w:rsidP="005C38CE">
            <w:pPr>
              <w:pStyle w:val="MDPI21heading1"/>
              <w:spacing w:before="0"/>
              <w:jc w:val="both"/>
              <w:rPr>
                <w:sz w:val="18"/>
                <w:szCs w:val="18"/>
                <w:lang w:eastAsia="zh-CN"/>
              </w:rPr>
            </w:pPr>
            <w:r w:rsidRPr="005C38CE">
              <w:rPr>
                <w:sz w:val="18"/>
                <w:szCs w:val="18"/>
                <w:lang w:eastAsia="zh-CN"/>
              </w:rPr>
              <w:t>O111 (2), O145 (1)</w:t>
            </w:r>
          </w:p>
        </w:tc>
      </w:tr>
      <w:tr w:rsidR="005C38CE" w:rsidRPr="005C38CE" w:rsidTr="005C38CE">
        <w:tc>
          <w:tcPr>
            <w:tcW w:w="1985" w:type="dxa"/>
            <w:shd w:val="clear" w:color="auto" w:fill="auto"/>
            <w:vAlign w:val="center"/>
          </w:tcPr>
          <w:p w:rsidR="00571041" w:rsidRPr="005C38CE" w:rsidRDefault="00571041" w:rsidP="005C38CE">
            <w:pPr>
              <w:pStyle w:val="MDPI21heading1"/>
              <w:spacing w:before="0"/>
              <w:jc w:val="both"/>
              <w:rPr>
                <w:sz w:val="18"/>
                <w:szCs w:val="18"/>
                <w:lang w:eastAsia="zh-CN"/>
              </w:rPr>
            </w:pPr>
            <w:r w:rsidRPr="005C38CE">
              <w:rPr>
                <w:sz w:val="18"/>
                <w:szCs w:val="18"/>
                <w:lang w:eastAsia="zh-CN"/>
              </w:rPr>
              <w:t>S2</w:t>
            </w:r>
          </w:p>
        </w:tc>
        <w:tc>
          <w:tcPr>
            <w:tcW w:w="2268" w:type="dxa"/>
            <w:shd w:val="clear" w:color="auto" w:fill="auto"/>
            <w:vAlign w:val="center"/>
          </w:tcPr>
          <w:p w:rsidR="00571041" w:rsidRPr="005C38CE" w:rsidRDefault="00571041" w:rsidP="005C38CE">
            <w:pPr>
              <w:pStyle w:val="MDPI21heading1"/>
              <w:spacing w:before="0"/>
              <w:jc w:val="both"/>
              <w:rPr>
                <w:sz w:val="18"/>
                <w:szCs w:val="18"/>
                <w:lang w:eastAsia="zh-CN"/>
              </w:rPr>
            </w:pPr>
            <w:r w:rsidRPr="005C38CE">
              <w:rPr>
                <w:sz w:val="18"/>
                <w:szCs w:val="18"/>
                <w:lang w:eastAsia="zh-CN"/>
              </w:rPr>
              <w:t>O157 (1)</w:t>
            </w:r>
          </w:p>
        </w:tc>
        <w:tc>
          <w:tcPr>
            <w:tcW w:w="2268" w:type="dxa"/>
            <w:shd w:val="clear" w:color="auto" w:fill="auto"/>
            <w:vAlign w:val="center"/>
          </w:tcPr>
          <w:p w:rsidR="00571041" w:rsidRPr="005C38CE" w:rsidRDefault="00571041" w:rsidP="005C38CE">
            <w:pPr>
              <w:pStyle w:val="MDPI21heading1"/>
              <w:spacing w:before="0"/>
              <w:jc w:val="both"/>
              <w:rPr>
                <w:sz w:val="18"/>
                <w:szCs w:val="18"/>
                <w:lang w:eastAsia="zh-CN"/>
              </w:rPr>
            </w:pPr>
            <w:r w:rsidRPr="005C38CE">
              <w:rPr>
                <w:sz w:val="18"/>
                <w:szCs w:val="18"/>
                <w:lang w:eastAsia="zh-CN"/>
              </w:rPr>
              <w:t>O26 (3), O111 (2), O145 (2)</w:t>
            </w:r>
          </w:p>
        </w:tc>
        <w:tc>
          <w:tcPr>
            <w:tcW w:w="2268" w:type="dxa"/>
            <w:shd w:val="clear" w:color="auto" w:fill="auto"/>
            <w:vAlign w:val="center"/>
          </w:tcPr>
          <w:p w:rsidR="00571041" w:rsidRPr="005C38CE" w:rsidRDefault="00571041" w:rsidP="005C38CE">
            <w:pPr>
              <w:pStyle w:val="MDPI21heading1"/>
              <w:spacing w:before="0"/>
              <w:jc w:val="both"/>
              <w:rPr>
                <w:sz w:val="18"/>
                <w:szCs w:val="18"/>
                <w:lang w:eastAsia="zh-CN"/>
              </w:rPr>
            </w:pPr>
            <w:r w:rsidRPr="005C38CE">
              <w:rPr>
                <w:sz w:val="18"/>
                <w:szCs w:val="18"/>
                <w:lang w:eastAsia="zh-CN"/>
              </w:rPr>
              <w:t>O111 (3), O145 (2)</w:t>
            </w:r>
          </w:p>
        </w:tc>
        <w:tc>
          <w:tcPr>
            <w:tcW w:w="3260" w:type="dxa"/>
            <w:shd w:val="clear" w:color="auto" w:fill="auto"/>
            <w:vAlign w:val="center"/>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O26 (3), O111 (5), O145 (4), O157 (1)</w:t>
            </w:r>
          </w:p>
        </w:tc>
      </w:tr>
      <w:tr w:rsidR="005C38CE" w:rsidRPr="005C38CE" w:rsidTr="005C38CE">
        <w:tc>
          <w:tcPr>
            <w:tcW w:w="1985" w:type="dxa"/>
            <w:shd w:val="clear" w:color="auto" w:fill="auto"/>
            <w:vAlign w:val="center"/>
          </w:tcPr>
          <w:p w:rsidR="00571041" w:rsidRPr="005C38CE" w:rsidRDefault="00571041" w:rsidP="005C38CE">
            <w:pPr>
              <w:pStyle w:val="MDPI21heading1"/>
              <w:spacing w:before="0"/>
              <w:jc w:val="both"/>
              <w:rPr>
                <w:sz w:val="18"/>
                <w:szCs w:val="18"/>
                <w:lang w:eastAsia="zh-CN"/>
              </w:rPr>
            </w:pPr>
            <w:r w:rsidRPr="005C38CE">
              <w:rPr>
                <w:sz w:val="18"/>
                <w:szCs w:val="18"/>
                <w:lang w:eastAsia="zh-CN"/>
              </w:rPr>
              <w:t>S3</w:t>
            </w:r>
          </w:p>
        </w:tc>
        <w:tc>
          <w:tcPr>
            <w:tcW w:w="2268" w:type="dxa"/>
            <w:shd w:val="clear" w:color="auto" w:fill="auto"/>
            <w:vAlign w:val="center"/>
          </w:tcPr>
          <w:p w:rsidR="00571041" w:rsidRPr="005C38CE" w:rsidRDefault="00571041" w:rsidP="005C38CE">
            <w:pPr>
              <w:pStyle w:val="MDPI21heading1"/>
              <w:spacing w:before="0"/>
              <w:jc w:val="both"/>
              <w:rPr>
                <w:sz w:val="18"/>
                <w:szCs w:val="18"/>
                <w:lang w:eastAsia="zh-CN"/>
              </w:rPr>
            </w:pPr>
            <w:r w:rsidRPr="005C38CE">
              <w:rPr>
                <w:sz w:val="18"/>
                <w:szCs w:val="18"/>
                <w:lang w:eastAsia="zh-CN"/>
              </w:rPr>
              <w:t>O103 (3), O111 (4)</w:t>
            </w:r>
          </w:p>
          <w:p w:rsidR="00571041" w:rsidRPr="005C38CE" w:rsidRDefault="00571041" w:rsidP="005C38CE">
            <w:pPr>
              <w:pStyle w:val="MDPI21heading1"/>
              <w:spacing w:before="0"/>
              <w:jc w:val="both"/>
              <w:rPr>
                <w:sz w:val="18"/>
                <w:szCs w:val="18"/>
                <w:lang w:eastAsia="zh-CN"/>
              </w:rPr>
            </w:pPr>
            <w:r w:rsidRPr="005C38CE">
              <w:rPr>
                <w:sz w:val="18"/>
                <w:szCs w:val="18"/>
                <w:lang w:eastAsia="zh-CN"/>
              </w:rPr>
              <w:t>O145 (3)</w:t>
            </w:r>
          </w:p>
        </w:tc>
        <w:tc>
          <w:tcPr>
            <w:tcW w:w="2268" w:type="dxa"/>
            <w:shd w:val="clear" w:color="auto" w:fill="auto"/>
            <w:vAlign w:val="center"/>
          </w:tcPr>
          <w:p w:rsidR="00571041" w:rsidRPr="005C38CE" w:rsidRDefault="00571041" w:rsidP="005C38CE">
            <w:pPr>
              <w:pStyle w:val="MDPI21heading1"/>
              <w:spacing w:before="0"/>
              <w:jc w:val="both"/>
              <w:rPr>
                <w:sz w:val="18"/>
                <w:szCs w:val="18"/>
                <w:lang w:eastAsia="zh-CN"/>
              </w:rPr>
            </w:pPr>
            <w:r w:rsidRPr="005C38CE">
              <w:rPr>
                <w:sz w:val="18"/>
                <w:szCs w:val="18"/>
                <w:lang w:eastAsia="zh-CN"/>
              </w:rPr>
              <w:t>O26 (1), O103 (1), O145 (4)</w:t>
            </w:r>
          </w:p>
        </w:tc>
        <w:tc>
          <w:tcPr>
            <w:tcW w:w="2268" w:type="dxa"/>
            <w:shd w:val="clear" w:color="auto" w:fill="auto"/>
            <w:vAlign w:val="center"/>
          </w:tcPr>
          <w:p w:rsidR="00571041" w:rsidRPr="005C38CE" w:rsidRDefault="00571041" w:rsidP="005C38CE">
            <w:pPr>
              <w:pStyle w:val="MDPI21heading1"/>
              <w:spacing w:before="0"/>
              <w:jc w:val="both"/>
              <w:rPr>
                <w:sz w:val="18"/>
                <w:szCs w:val="18"/>
                <w:lang w:eastAsia="zh-CN"/>
              </w:rPr>
            </w:pPr>
            <w:r w:rsidRPr="005C38CE">
              <w:rPr>
                <w:sz w:val="18"/>
                <w:szCs w:val="18"/>
                <w:lang w:eastAsia="zh-CN"/>
              </w:rPr>
              <w:t>O111 (7), O145 (4), O157 (2)</w:t>
            </w:r>
          </w:p>
        </w:tc>
        <w:tc>
          <w:tcPr>
            <w:tcW w:w="3260" w:type="dxa"/>
            <w:shd w:val="clear" w:color="auto" w:fill="auto"/>
            <w:vAlign w:val="center"/>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O26 (1), O103 (4), O111 (11), O145 (11), O157 (2)</w:t>
            </w:r>
          </w:p>
        </w:tc>
      </w:tr>
      <w:tr w:rsidR="005C38CE" w:rsidRPr="005C38CE" w:rsidTr="005C38CE">
        <w:tc>
          <w:tcPr>
            <w:tcW w:w="1985" w:type="dxa"/>
            <w:shd w:val="clear" w:color="auto" w:fill="auto"/>
            <w:vAlign w:val="center"/>
          </w:tcPr>
          <w:p w:rsidR="00571041" w:rsidRPr="005C38CE" w:rsidRDefault="00571041" w:rsidP="005C38CE">
            <w:pPr>
              <w:pStyle w:val="MDPI21heading1"/>
              <w:spacing w:before="0"/>
              <w:jc w:val="both"/>
              <w:rPr>
                <w:sz w:val="18"/>
                <w:szCs w:val="18"/>
                <w:lang w:eastAsia="zh-CN"/>
              </w:rPr>
            </w:pPr>
            <w:r w:rsidRPr="005C38CE">
              <w:rPr>
                <w:sz w:val="18"/>
                <w:szCs w:val="18"/>
                <w:lang w:eastAsia="zh-CN"/>
              </w:rPr>
              <w:t>TOTAL</w:t>
            </w:r>
          </w:p>
        </w:tc>
        <w:tc>
          <w:tcPr>
            <w:tcW w:w="2268" w:type="dxa"/>
            <w:shd w:val="clear" w:color="auto" w:fill="auto"/>
            <w:vAlign w:val="center"/>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O103 (3), O111 (4), O145 (4), O157 (1)</w:t>
            </w:r>
          </w:p>
        </w:tc>
        <w:tc>
          <w:tcPr>
            <w:tcW w:w="2268" w:type="dxa"/>
            <w:shd w:val="clear" w:color="auto" w:fill="auto"/>
            <w:vAlign w:val="center"/>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O26 (4), O103 (1), O111 (3), O145 (6)</w:t>
            </w:r>
          </w:p>
        </w:tc>
        <w:tc>
          <w:tcPr>
            <w:tcW w:w="2268" w:type="dxa"/>
            <w:shd w:val="clear" w:color="auto" w:fill="auto"/>
            <w:vAlign w:val="center"/>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O111 (11), O145 (6), O157 (2)</w:t>
            </w:r>
          </w:p>
        </w:tc>
        <w:tc>
          <w:tcPr>
            <w:tcW w:w="3260" w:type="dxa"/>
            <w:shd w:val="clear" w:color="auto" w:fill="auto"/>
            <w:vAlign w:val="center"/>
          </w:tcPr>
          <w:p w:rsidR="00571041" w:rsidRPr="005C38CE" w:rsidRDefault="00571041" w:rsidP="005C38CE">
            <w:pPr>
              <w:pStyle w:val="MDPI21heading1"/>
              <w:spacing w:before="0"/>
              <w:jc w:val="both"/>
              <w:rPr>
                <w:sz w:val="18"/>
                <w:szCs w:val="18"/>
                <w:lang w:eastAsia="zh-CN"/>
              </w:rPr>
            </w:pPr>
            <w:r w:rsidRPr="005C38CE">
              <w:rPr>
                <w:bCs/>
                <w:sz w:val="18"/>
                <w:szCs w:val="18"/>
                <w:lang w:eastAsia="zh-CN"/>
              </w:rPr>
              <w:t>O26 (4), O103 (4), O111 (18), O145 (16), O157 (3)</w:t>
            </w:r>
          </w:p>
        </w:tc>
      </w:tr>
    </w:tbl>
    <w:p w:rsidR="00571041" w:rsidRPr="00571041" w:rsidRDefault="00571041" w:rsidP="00571041">
      <w:pPr>
        <w:pStyle w:val="MDPI21heading1"/>
        <w:jc w:val="both"/>
        <w:rPr>
          <w:sz w:val="18"/>
          <w:szCs w:val="18"/>
          <w:lang w:eastAsia="zh-CN"/>
        </w:rPr>
      </w:pPr>
    </w:p>
    <w:p w:rsidR="00571041" w:rsidRPr="00571041" w:rsidRDefault="00571041" w:rsidP="00571041">
      <w:pPr>
        <w:pStyle w:val="MDPI21heading1"/>
        <w:rPr>
          <w:bCs/>
          <w:sz w:val="18"/>
          <w:szCs w:val="18"/>
          <w:lang w:eastAsia="zh-CN"/>
        </w:rPr>
      </w:pPr>
    </w:p>
    <w:p w:rsidR="00571041" w:rsidRPr="00571041" w:rsidRDefault="00571041" w:rsidP="00571041">
      <w:pPr>
        <w:pStyle w:val="MDPI21heading1"/>
        <w:rPr>
          <w:bCs/>
          <w:sz w:val="18"/>
          <w:szCs w:val="18"/>
          <w:lang w:eastAsia="zh-CN"/>
        </w:rPr>
      </w:pPr>
    </w:p>
    <w:p w:rsidR="00571041" w:rsidRPr="00571041" w:rsidRDefault="00571041" w:rsidP="00571041">
      <w:pPr>
        <w:pStyle w:val="MDPI21heading1"/>
        <w:rPr>
          <w:bCs/>
          <w:sz w:val="18"/>
          <w:szCs w:val="18"/>
          <w:lang w:eastAsia="zh-CN"/>
        </w:rPr>
      </w:pPr>
    </w:p>
    <w:p w:rsidR="00571041" w:rsidRPr="00571041" w:rsidRDefault="00571041" w:rsidP="00571041">
      <w:pPr>
        <w:pStyle w:val="MDPI21heading1"/>
        <w:jc w:val="both"/>
        <w:rPr>
          <w:bCs/>
          <w:sz w:val="18"/>
          <w:szCs w:val="18"/>
          <w:lang w:eastAsia="zh-CN"/>
        </w:rPr>
      </w:pPr>
    </w:p>
    <w:p w:rsidR="00571041" w:rsidRPr="00571041" w:rsidRDefault="00571041" w:rsidP="00571041">
      <w:pPr>
        <w:pStyle w:val="MDPI21heading1"/>
        <w:jc w:val="both"/>
        <w:rPr>
          <w:bCs/>
          <w:sz w:val="18"/>
          <w:szCs w:val="18"/>
          <w:lang w:eastAsia="zh-CN"/>
        </w:rPr>
      </w:pPr>
    </w:p>
    <w:p w:rsidR="00571041" w:rsidRPr="00571041" w:rsidRDefault="00571041" w:rsidP="00571041">
      <w:pPr>
        <w:pStyle w:val="MDPI21heading1"/>
        <w:jc w:val="both"/>
        <w:rPr>
          <w:bCs/>
          <w:sz w:val="18"/>
          <w:szCs w:val="18"/>
          <w:lang w:eastAsia="zh-CN"/>
        </w:rPr>
      </w:pPr>
    </w:p>
    <w:p w:rsidR="00571041" w:rsidRPr="00571041" w:rsidRDefault="00571041" w:rsidP="00571041">
      <w:pPr>
        <w:pStyle w:val="MDPI21heading1"/>
        <w:jc w:val="both"/>
        <w:rPr>
          <w:sz w:val="18"/>
          <w:szCs w:val="18"/>
          <w:lang w:eastAsia="zh-CN"/>
        </w:rPr>
      </w:pPr>
      <w:r w:rsidRPr="00571041">
        <w:rPr>
          <w:sz w:val="18"/>
          <w:szCs w:val="18"/>
          <w:vertAlign w:val="superscript"/>
          <w:lang w:eastAsia="zh-CN"/>
        </w:rPr>
        <w:t xml:space="preserve">1 </w:t>
      </w:r>
      <w:r w:rsidRPr="00571041">
        <w:rPr>
          <w:sz w:val="18"/>
          <w:szCs w:val="18"/>
          <w:lang w:eastAsia="zh-CN"/>
        </w:rPr>
        <w:t>S = Sampling.</w:t>
      </w:r>
      <w:r w:rsidRPr="00571041">
        <w:rPr>
          <w:sz w:val="18"/>
          <w:szCs w:val="18"/>
          <w:vertAlign w:val="superscript"/>
          <w:lang w:eastAsia="zh-CN"/>
        </w:rPr>
        <w:t xml:space="preserve"> 2</w:t>
      </w:r>
      <w:r w:rsidRPr="00571041" w:rsidDel="00E5197E">
        <w:rPr>
          <w:sz w:val="18"/>
          <w:szCs w:val="18"/>
          <w:vertAlign w:val="superscript"/>
          <w:lang w:eastAsia="zh-CN"/>
        </w:rPr>
        <w:t xml:space="preserve"> </w:t>
      </w:r>
      <w:r w:rsidRPr="00571041">
        <w:rPr>
          <w:sz w:val="18"/>
          <w:szCs w:val="18"/>
          <w:lang w:eastAsia="zh-CN"/>
        </w:rPr>
        <w:t>O serotype (N° positive RAMS).</w:t>
      </w:r>
    </w:p>
    <w:p w:rsidR="00571041" w:rsidRPr="00571041" w:rsidRDefault="00571041" w:rsidP="00571041">
      <w:pPr>
        <w:pStyle w:val="MDPI21heading1"/>
        <w:jc w:val="both"/>
        <w:rPr>
          <w:sz w:val="18"/>
          <w:szCs w:val="18"/>
          <w:lang w:eastAsia="zh-CN"/>
        </w:rPr>
      </w:pPr>
      <w:r w:rsidRPr="00571041">
        <w:rPr>
          <w:bCs/>
          <w:sz w:val="18"/>
          <w:szCs w:val="18"/>
          <w:lang w:eastAsia="zh-CN"/>
        </w:rPr>
        <w:br w:type="page"/>
      </w:r>
      <w:r w:rsidRPr="00571041">
        <w:rPr>
          <w:bCs/>
          <w:sz w:val="18"/>
          <w:szCs w:val="18"/>
          <w:lang w:eastAsia="zh-CN"/>
        </w:rPr>
        <w:lastRenderedPageBreak/>
        <w:t xml:space="preserve">Table 5. </w:t>
      </w:r>
      <w:proofErr w:type="spellStart"/>
      <w:r w:rsidRPr="00571041">
        <w:rPr>
          <w:bCs/>
          <w:sz w:val="18"/>
          <w:szCs w:val="18"/>
          <w:lang w:eastAsia="zh-CN"/>
        </w:rPr>
        <w:t>Pathotypes</w:t>
      </w:r>
      <w:proofErr w:type="spellEnd"/>
      <w:r w:rsidRPr="00571041">
        <w:rPr>
          <w:bCs/>
          <w:sz w:val="18"/>
          <w:szCs w:val="18"/>
          <w:lang w:eastAsia="zh-CN"/>
        </w:rPr>
        <w:t xml:space="preserve"> and </w:t>
      </w:r>
      <w:proofErr w:type="spellStart"/>
      <w:r w:rsidRPr="00571041">
        <w:rPr>
          <w:bCs/>
          <w:sz w:val="18"/>
          <w:szCs w:val="18"/>
          <w:lang w:eastAsia="zh-CN"/>
        </w:rPr>
        <w:t>virulotypes</w:t>
      </w:r>
      <w:proofErr w:type="spellEnd"/>
      <w:r w:rsidRPr="00571041">
        <w:rPr>
          <w:bCs/>
          <w:sz w:val="18"/>
          <w:szCs w:val="18"/>
          <w:lang w:eastAsia="zh-CN"/>
        </w:rPr>
        <w:t xml:space="preserve"> of the triplex PCR-positive colonies </w:t>
      </w:r>
      <w:r w:rsidRPr="00571041">
        <w:rPr>
          <w:sz w:val="18"/>
          <w:szCs w:val="18"/>
          <w:lang w:eastAsia="zh-CN"/>
        </w:rPr>
        <w:t>according to the agar media.</w:t>
      </w:r>
    </w:p>
    <w:tbl>
      <w:tblPr>
        <w:tblpPr w:leftFromText="141" w:rightFromText="141" w:vertAnchor="text" w:horzAnchor="margin" w:tblpX="-289" w:tblpY="383"/>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851"/>
        <w:gridCol w:w="1260"/>
        <w:gridCol w:w="1010"/>
        <w:gridCol w:w="1010"/>
        <w:gridCol w:w="1470"/>
        <w:gridCol w:w="683"/>
        <w:gridCol w:w="985"/>
        <w:gridCol w:w="1133"/>
        <w:gridCol w:w="2231"/>
        <w:gridCol w:w="2693"/>
      </w:tblGrid>
      <w:tr w:rsidR="005C38CE" w:rsidRPr="005C38CE" w:rsidTr="005C38CE">
        <w:tc>
          <w:tcPr>
            <w:tcW w:w="1984" w:type="dxa"/>
            <w:gridSpan w:val="2"/>
            <w:tcBorders>
              <w:top w:val="single" w:sz="4" w:space="0" w:color="auto"/>
              <w:left w:val="nil"/>
              <w:bottom w:val="single" w:sz="4" w:space="0" w:color="auto"/>
              <w:right w:val="nil"/>
            </w:tcBorders>
            <w:shd w:val="clear" w:color="auto" w:fill="auto"/>
            <w:vAlign w:val="center"/>
          </w:tcPr>
          <w:p w:rsidR="00571041" w:rsidRPr="005C38CE" w:rsidRDefault="00571041" w:rsidP="005C38CE">
            <w:pPr>
              <w:pStyle w:val="MDPI21heading1"/>
              <w:spacing w:before="0"/>
              <w:jc w:val="both"/>
              <w:rPr>
                <w:bCs/>
                <w:sz w:val="18"/>
                <w:szCs w:val="18"/>
                <w:lang w:eastAsia="zh-CN"/>
              </w:rPr>
            </w:pPr>
            <w:proofErr w:type="spellStart"/>
            <w:r w:rsidRPr="005C38CE">
              <w:rPr>
                <w:bCs/>
                <w:sz w:val="18"/>
                <w:szCs w:val="18"/>
                <w:lang w:eastAsia="zh-CN"/>
              </w:rPr>
              <w:t>Pathotypes</w:t>
            </w:r>
            <w:proofErr w:type="spellEnd"/>
          </w:p>
        </w:tc>
        <w:tc>
          <w:tcPr>
            <w:tcW w:w="1260" w:type="dxa"/>
            <w:tcBorders>
              <w:top w:val="single" w:sz="4" w:space="0" w:color="auto"/>
              <w:left w:val="nil"/>
              <w:bottom w:val="single" w:sz="4" w:space="0" w:color="auto"/>
              <w:right w:val="nil"/>
            </w:tcBorders>
            <w:shd w:val="clear" w:color="auto" w:fill="auto"/>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EPEC</w:t>
            </w:r>
          </w:p>
        </w:tc>
        <w:tc>
          <w:tcPr>
            <w:tcW w:w="3490" w:type="dxa"/>
            <w:gridSpan w:val="3"/>
            <w:tcBorders>
              <w:top w:val="single" w:sz="4" w:space="0" w:color="auto"/>
              <w:left w:val="nil"/>
              <w:bottom w:val="single" w:sz="4" w:space="0" w:color="auto"/>
              <w:right w:val="nil"/>
            </w:tcBorders>
            <w:shd w:val="clear" w:color="auto" w:fill="auto"/>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 xml:space="preserve">AE-STEC </w:t>
            </w:r>
            <w:r w:rsidRPr="005C38CE">
              <w:rPr>
                <w:sz w:val="18"/>
                <w:szCs w:val="18"/>
                <w:vertAlign w:val="superscript"/>
                <w:lang w:eastAsia="zh-CN"/>
              </w:rPr>
              <w:t>2</w:t>
            </w:r>
            <w:r w:rsidRPr="005C38CE">
              <w:rPr>
                <w:bCs/>
                <w:sz w:val="18"/>
                <w:szCs w:val="18"/>
                <w:lang w:eastAsia="zh-CN"/>
              </w:rPr>
              <w:t xml:space="preserve"> (= EHEC)</w:t>
            </w:r>
          </w:p>
        </w:tc>
        <w:tc>
          <w:tcPr>
            <w:tcW w:w="2801" w:type="dxa"/>
            <w:gridSpan w:val="3"/>
            <w:tcBorders>
              <w:top w:val="single" w:sz="4" w:space="0" w:color="auto"/>
              <w:left w:val="nil"/>
              <w:bottom w:val="single" w:sz="4" w:space="0" w:color="auto"/>
              <w:right w:val="nil"/>
            </w:tcBorders>
            <w:shd w:val="clear" w:color="auto" w:fill="auto"/>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STEC</w:t>
            </w:r>
          </w:p>
        </w:tc>
        <w:tc>
          <w:tcPr>
            <w:tcW w:w="2231" w:type="dxa"/>
            <w:vMerge w:val="restart"/>
            <w:tcBorders>
              <w:top w:val="single" w:sz="4" w:space="0" w:color="auto"/>
              <w:left w:val="nil"/>
              <w:bottom w:val="single" w:sz="4" w:space="0" w:color="auto"/>
              <w:right w:val="nil"/>
            </w:tcBorders>
            <w:shd w:val="clear" w:color="auto" w:fill="auto"/>
            <w:vAlign w:val="center"/>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Total PCR-positive colonies (%)</w:t>
            </w:r>
          </w:p>
        </w:tc>
        <w:tc>
          <w:tcPr>
            <w:tcW w:w="2693" w:type="dxa"/>
            <w:vMerge w:val="restart"/>
            <w:tcBorders>
              <w:top w:val="single" w:sz="4" w:space="0" w:color="auto"/>
              <w:left w:val="nil"/>
              <w:right w:val="nil"/>
            </w:tcBorders>
            <w:shd w:val="clear" w:color="auto" w:fill="auto"/>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Total RAMS with PCR-positive colonies (%)</w:t>
            </w:r>
          </w:p>
        </w:tc>
      </w:tr>
      <w:tr w:rsidR="005C38CE" w:rsidRPr="005C38CE" w:rsidTr="005C38CE">
        <w:tc>
          <w:tcPr>
            <w:tcW w:w="1984" w:type="dxa"/>
            <w:gridSpan w:val="2"/>
            <w:tcBorders>
              <w:top w:val="single" w:sz="4" w:space="0" w:color="auto"/>
              <w:left w:val="nil"/>
              <w:bottom w:val="single" w:sz="4" w:space="0" w:color="auto"/>
              <w:right w:val="nil"/>
            </w:tcBorders>
            <w:shd w:val="clear" w:color="auto" w:fill="auto"/>
            <w:vAlign w:val="center"/>
          </w:tcPr>
          <w:p w:rsidR="00571041" w:rsidRPr="005C38CE" w:rsidRDefault="00571041" w:rsidP="005C38CE">
            <w:pPr>
              <w:pStyle w:val="MDPI21heading1"/>
              <w:spacing w:before="0"/>
              <w:jc w:val="both"/>
              <w:rPr>
                <w:bCs/>
                <w:sz w:val="18"/>
                <w:szCs w:val="18"/>
                <w:lang w:eastAsia="zh-CN"/>
              </w:rPr>
            </w:pPr>
            <w:proofErr w:type="spellStart"/>
            <w:r w:rsidRPr="005C38CE">
              <w:rPr>
                <w:bCs/>
                <w:sz w:val="18"/>
                <w:szCs w:val="18"/>
                <w:lang w:eastAsia="zh-CN"/>
              </w:rPr>
              <w:t>Virulotypes</w:t>
            </w:r>
            <w:proofErr w:type="spellEnd"/>
          </w:p>
        </w:tc>
        <w:tc>
          <w:tcPr>
            <w:tcW w:w="1260" w:type="dxa"/>
            <w:tcBorders>
              <w:top w:val="single" w:sz="4" w:space="0" w:color="auto"/>
              <w:left w:val="nil"/>
              <w:bottom w:val="single" w:sz="4" w:space="0" w:color="auto"/>
              <w:right w:val="nil"/>
            </w:tcBorders>
            <w:shd w:val="clear" w:color="auto" w:fill="auto"/>
            <w:hideMark/>
          </w:tcPr>
          <w:p w:rsidR="00571041" w:rsidRPr="005C38CE" w:rsidRDefault="00571041" w:rsidP="005C38CE">
            <w:pPr>
              <w:pStyle w:val="MDPI21heading1"/>
              <w:spacing w:before="0"/>
              <w:jc w:val="both"/>
              <w:rPr>
                <w:bCs/>
                <w:i/>
                <w:sz w:val="18"/>
                <w:szCs w:val="18"/>
                <w:lang w:eastAsia="zh-CN"/>
              </w:rPr>
            </w:pPr>
            <w:proofErr w:type="spellStart"/>
            <w:r w:rsidRPr="005C38CE">
              <w:rPr>
                <w:bCs/>
                <w:i/>
                <w:sz w:val="18"/>
                <w:szCs w:val="18"/>
                <w:lang w:eastAsia="zh-CN"/>
              </w:rPr>
              <w:t>eae</w:t>
            </w:r>
            <w:proofErr w:type="spellEnd"/>
          </w:p>
        </w:tc>
        <w:tc>
          <w:tcPr>
            <w:tcW w:w="1010" w:type="dxa"/>
            <w:tcBorders>
              <w:top w:val="single" w:sz="4" w:space="0" w:color="auto"/>
              <w:left w:val="nil"/>
              <w:bottom w:val="single" w:sz="4" w:space="0" w:color="auto"/>
              <w:right w:val="nil"/>
            </w:tcBorders>
            <w:shd w:val="clear" w:color="auto" w:fill="auto"/>
            <w:hideMark/>
          </w:tcPr>
          <w:p w:rsidR="00571041" w:rsidRPr="005C38CE" w:rsidRDefault="00571041" w:rsidP="005C38CE">
            <w:pPr>
              <w:pStyle w:val="MDPI21heading1"/>
              <w:spacing w:before="0"/>
              <w:jc w:val="both"/>
              <w:rPr>
                <w:bCs/>
                <w:i/>
                <w:sz w:val="18"/>
                <w:szCs w:val="18"/>
                <w:lang w:eastAsia="zh-CN"/>
              </w:rPr>
            </w:pPr>
            <w:r w:rsidRPr="005C38CE">
              <w:rPr>
                <w:bCs/>
                <w:i/>
                <w:sz w:val="18"/>
                <w:szCs w:val="18"/>
                <w:lang w:eastAsia="zh-CN"/>
              </w:rPr>
              <w:t>eae,stx1</w:t>
            </w:r>
          </w:p>
        </w:tc>
        <w:tc>
          <w:tcPr>
            <w:tcW w:w="1010" w:type="dxa"/>
            <w:tcBorders>
              <w:top w:val="single" w:sz="4" w:space="0" w:color="auto"/>
              <w:left w:val="nil"/>
              <w:bottom w:val="single" w:sz="4" w:space="0" w:color="auto"/>
              <w:right w:val="nil"/>
            </w:tcBorders>
            <w:shd w:val="clear" w:color="auto" w:fill="auto"/>
            <w:hideMark/>
          </w:tcPr>
          <w:p w:rsidR="00571041" w:rsidRPr="005C38CE" w:rsidRDefault="00571041" w:rsidP="005C38CE">
            <w:pPr>
              <w:pStyle w:val="MDPI21heading1"/>
              <w:spacing w:before="0"/>
              <w:jc w:val="both"/>
              <w:rPr>
                <w:bCs/>
                <w:i/>
                <w:sz w:val="18"/>
                <w:szCs w:val="18"/>
                <w:lang w:eastAsia="zh-CN"/>
              </w:rPr>
            </w:pPr>
            <w:r w:rsidRPr="005C38CE">
              <w:rPr>
                <w:bCs/>
                <w:i/>
                <w:sz w:val="18"/>
                <w:szCs w:val="18"/>
                <w:lang w:eastAsia="zh-CN"/>
              </w:rPr>
              <w:t>eae,stx2</w:t>
            </w:r>
          </w:p>
        </w:tc>
        <w:tc>
          <w:tcPr>
            <w:tcW w:w="1470" w:type="dxa"/>
            <w:tcBorders>
              <w:top w:val="single" w:sz="4" w:space="0" w:color="auto"/>
              <w:left w:val="nil"/>
              <w:bottom w:val="single" w:sz="4" w:space="0" w:color="auto"/>
              <w:right w:val="nil"/>
            </w:tcBorders>
            <w:shd w:val="clear" w:color="auto" w:fill="auto"/>
            <w:hideMark/>
          </w:tcPr>
          <w:p w:rsidR="00571041" w:rsidRPr="005C38CE" w:rsidRDefault="00571041" w:rsidP="005C38CE">
            <w:pPr>
              <w:pStyle w:val="MDPI21heading1"/>
              <w:spacing w:before="0"/>
              <w:jc w:val="both"/>
              <w:rPr>
                <w:bCs/>
                <w:i/>
                <w:sz w:val="18"/>
                <w:szCs w:val="18"/>
                <w:lang w:eastAsia="zh-CN"/>
              </w:rPr>
            </w:pPr>
            <w:r w:rsidRPr="005C38CE">
              <w:rPr>
                <w:bCs/>
                <w:i/>
                <w:sz w:val="18"/>
                <w:szCs w:val="18"/>
                <w:lang w:eastAsia="zh-CN"/>
              </w:rPr>
              <w:t>eae,stx1,stx2</w:t>
            </w:r>
          </w:p>
        </w:tc>
        <w:tc>
          <w:tcPr>
            <w:tcW w:w="683" w:type="dxa"/>
            <w:tcBorders>
              <w:top w:val="single" w:sz="4" w:space="0" w:color="auto"/>
              <w:left w:val="nil"/>
              <w:bottom w:val="single" w:sz="4" w:space="0" w:color="auto"/>
              <w:right w:val="nil"/>
            </w:tcBorders>
            <w:shd w:val="clear" w:color="auto" w:fill="auto"/>
            <w:hideMark/>
          </w:tcPr>
          <w:p w:rsidR="00571041" w:rsidRPr="005C38CE" w:rsidRDefault="00571041" w:rsidP="005C38CE">
            <w:pPr>
              <w:pStyle w:val="MDPI21heading1"/>
              <w:spacing w:before="0"/>
              <w:jc w:val="both"/>
              <w:rPr>
                <w:bCs/>
                <w:i/>
                <w:sz w:val="18"/>
                <w:szCs w:val="18"/>
                <w:lang w:eastAsia="zh-CN"/>
              </w:rPr>
            </w:pPr>
            <w:r w:rsidRPr="005C38CE">
              <w:rPr>
                <w:bCs/>
                <w:i/>
                <w:sz w:val="18"/>
                <w:szCs w:val="18"/>
                <w:lang w:eastAsia="zh-CN"/>
              </w:rPr>
              <w:t>stx1</w:t>
            </w:r>
          </w:p>
        </w:tc>
        <w:tc>
          <w:tcPr>
            <w:tcW w:w="985" w:type="dxa"/>
            <w:tcBorders>
              <w:top w:val="single" w:sz="4" w:space="0" w:color="auto"/>
              <w:left w:val="nil"/>
              <w:bottom w:val="single" w:sz="4" w:space="0" w:color="auto"/>
              <w:right w:val="nil"/>
            </w:tcBorders>
            <w:shd w:val="clear" w:color="auto" w:fill="auto"/>
            <w:hideMark/>
          </w:tcPr>
          <w:p w:rsidR="00571041" w:rsidRPr="005C38CE" w:rsidRDefault="00571041" w:rsidP="005C38CE">
            <w:pPr>
              <w:pStyle w:val="MDPI21heading1"/>
              <w:spacing w:before="0"/>
              <w:jc w:val="both"/>
              <w:rPr>
                <w:bCs/>
                <w:i/>
                <w:sz w:val="18"/>
                <w:szCs w:val="18"/>
                <w:lang w:eastAsia="zh-CN"/>
              </w:rPr>
            </w:pPr>
            <w:r w:rsidRPr="005C38CE">
              <w:rPr>
                <w:bCs/>
                <w:i/>
                <w:sz w:val="18"/>
                <w:szCs w:val="18"/>
                <w:lang w:eastAsia="zh-CN"/>
              </w:rPr>
              <w:t>stx2</w:t>
            </w:r>
          </w:p>
        </w:tc>
        <w:tc>
          <w:tcPr>
            <w:tcW w:w="1133" w:type="dxa"/>
            <w:tcBorders>
              <w:top w:val="single" w:sz="4" w:space="0" w:color="auto"/>
              <w:left w:val="nil"/>
              <w:bottom w:val="single" w:sz="4" w:space="0" w:color="auto"/>
              <w:right w:val="nil"/>
            </w:tcBorders>
            <w:shd w:val="clear" w:color="auto" w:fill="auto"/>
            <w:hideMark/>
          </w:tcPr>
          <w:p w:rsidR="00571041" w:rsidRPr="005C38CE" w:rsidRDefault="00571041" w:rsidP="005C38CE">
            <w:pPr>
              <w:pStyle w:val="MDPI21heading1"/>
              <w:spacing w:before="0"/>
              <w:jc w:val="both"/>
              <w:rPr>
                <w:bCs/>
                <w:i/>
                <w:sz w:val="18"/>
                <w:szCs w:val="18"/>
                <w:lang w:eastAsia="zh-CN"/>
              </w:rPr>
            </w:pPr>
            <w:r w:rsidRPr="005C38CE">
              <w:rPr>
                <w:bCs/>
                <w:i/>
                <w:sz w:val="18"/>
                <w:szCs w:val="18"/>
                <w:lang w:eastAsia="zh-CN"/>
              </w:rPr>
              <w:t>stx1,stx2</w:t>
            </w:r>
          </w:p>
        </w:tc>
        <w:tc>
          <w:tcPr>
            <w:tcW w:w="2231" w:type="dxa"/>
            <w:vMerge/>
            <w:tcBorders>
              <w:top w:val="single" w:sz="4" w:space="0" w:color="auto"/>
              <w:left w:val="nil"/>
              <w:bottom w:val="single" w:sz="4" w:space="0" w:color="auto"/>
              <w:right w:val="nil"/>
            </w:tcBorders>
            <w:shd w:val="clear" w:color="auto" w:fill="auto"/>
            <w:vAlign w:val="center"/>
            <w:hideMark/>
          </w:tcPr>
          <w:p w:rsidR="00571041" w:rsidRPr="005C38CE" w:rsidRDefault="00571041" w:rsidP="005C38CE">
            <w:pPr>
              <w:pStyle w:val="MDPI21heading1"/>
              <w:spacing w:before="0"/>
              <w:jc w:val="both"/>
              <w:rPr>
                <w:bCs/>
                <w:sz w:val="18"/>
                <w:szCs w:val="18"/>
                <w:lang w:eastAsia="zh-CN"/>
              </w:rPr>
            </w:pPr>
          </w:p>
        </w:tc>
        <w:tc>
          <w:tcPr>
            <w:tcW w:w="2693" w:type="dxa"/>
            <w:vMerge/>
            <w:tcBorders>
              <w:left w:val="nil"/>
              <w:bottom w:val="single" w:sz="4" w:space="0" w:color="auto"/>
              <w:right w:val="nil"/>
            </w:tcBorders>
            <w:shd w:val="clear" w:color="auto" w:fill="auto"/>
          </w:tcPr>
          <w:p w:rsidR="00571041" w:rsidRPr="005C38CE" w:rsidRDefault="00571041" w:rsidP="005C38CE">
            <w:pPr>
              <w:pStyle w:val="MDPI21heading1"/>
              <w:spacing w:before="0"/>
              <w:jc w:val="both"/>
              <w:rPr>
                <w:bCs/>
                <w:sz w:val="18"/>
                <w:szCs w:val="18"/>
                <w:lang w:eastAsia="zh-CN"/>
              </w:rPr>
            </w:pPr>
          </w:p>
        </w:tc>
      </w:tr>
      <w:tr w:rsidR="005C38CE" w:rsidRPr="005C38CE" w:rsidTr="005C38CE">
        <w:tc>
          <w:tcPr>
            <w:tcW w:w="1133" w:type="dxa"/>
            <w:vMerge w:val="restart"/>
            <w:tcBorders>
              <w:top w:val="single" w:sz="4" w:space="0" w:color="auto"/>
              <w:left w:val="nil"/>
              <w:right w:val="nil"/>
            </w:tcBorders>
            <w:shd w:val="clear" w:color="auto" w:fill="auto"/>
            <w:vAlign w:val="center"/>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 xml:space="preserve">Agar media </w:t>
            </w:r>
            <w:r w:rsidRPr="005C38CE">
              <w:rPr>
                <w:bCs/>
                <w:sz w:val="18"/>
                <w:szCs w:val="18"/>
                <w:vertAlign w:val="superscript"/>
                <w:lang w:eastAsia="zh-CN"/>
              </w:rPr>
              <w:t>1</w:t>
            </w:r>
          </w:p>
        </w:tc>
        <w:tc>
          <w:tcPr>
            <w:tcW w:w="851" w:type="dxa"/>
            <w:tcBorders>
              <w:top w:val="single" w:sz="4" w:space="0" w:color="auto"/>
              <w:left w:val="nil"/>
              <w:bottom w:val="single" w:sz="4" w:space="0" w:color="auto"/>
              <w:right w:val="nil"/>
            </w:tcBorders>
            <w:shd w:val="clear" w:color="auto" w:fill="auto"/>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MC</w:t>
            </w:r>
          </w:p>
        </w:tc>
        <w:tc>
          <w:tcPr>
            <w:tcW w:w="1260" w:type="dxa"/>
            <w:tcBorders>
              <w:top w:val="single" w:sz="4" w:space="0" w:color="auto"/>
              <w:left w:val="nil"/>
              <w:bottom w:val="single" w:sz="4" w:space="0" w:color="auto"/>
              <w:right w:val="nil"/>
            </w:tcBorders>
            <w:shd w:val="clear" w:color="auto" w:fill="auto"/>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 xml:space="preserve">11 (5) </w:t>
            </w:r>
            <w:r w:rsidRPr="005C38CE">
              <w:rPr>
                <w:bCs/>
                <w:sz w:val="18"/>
                <w:szCs w:val="18"/>
                <w:vertAlign w:val="superscript"/>
                <w:lang w:eastAsia="zh-CN"/>
              </w:rPr>
              <w:t>3</w:t>
            </w:r>
          </w:p>
        </w:tc>
        <w:tc>
          <w:tcPr>
            <w:tcW w:w="1010" w:type="dxa"/>
            <w:tcBorders>
              <w:top w:val="single" w:sz="4" w:space="0" w:color="auto"/>
              <w:left w:val="nil"/>
              <w:bottom w:val="single" w:sz="4" w:space="0" w:color="auto"/>
              <w:right w:val="nil"/>
            </w:tcBorders>
            <w:shd w:val="clear" w:color="auto" w:fill="auto"/>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2 (1)</w:t>
            </w:r>
          </w:p>
        </w:tc>
        <w:tc>
          <w:tcPr>
            <w:tcW w:w="1010" w:type="dxa"/>
            <w:tcBorders>
              <w:top w:val="single" w:sz="4" w:space="0" w:color="auto"/>
              <w:left w:val="nil"/>
              <w:bottom w:val="single" w:sz="4" w:space="0" w:color="auto"/>
              <w:right w:val="nil"/>
            </w:tcBorders>
            <w:shd w:val="clear" w:color="auto" w:fill="auto"/>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3 (1)</w:t>
            </w:r>
          </w:p>
        </w:tc>
        <w:tc>
          <w:tcPr>
            <w:tcW w:w="1470" w:type="dxa"/>
            <w:tcBorders>
              <w:top w:val="single" w:sz="4" w:space="0" w:color="auto"/>
              <w:left w:val="nil"/>
              <w:bottom w:val="single" w:sz="4" w:space="0" w:color="auto"/>
              <w:right w:val="nil"/>
            </w:tcBorders>
            <w:shd w:val="clear" w:color="auto" w:fill="auto"/>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6 (2)</w:t>
            </w:r>
          </w:p>
        </w:tc>
        <w:tc>
          <w:tcPr>
            <w:tcW w:w="683" w:type="dxa"/>
            <w:tcBorders>
              <w:top w:val="single" w:sz="4" w:space="0" w:color="auto"/>
              <w:left w:val="nil"/>
              <w:bottom w:val="single" w:sz="4" w:space="0" w:color="auto"/>
              <w:right w:val="nil"/>
            </w:tcBorders>
            <w:shd w:val="clear" w:color="auto" w:fill="auto"/>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2 (2)</w:t>
            </w:r>
          </w:p>
        </w:tc>
        <w:tc>
          <w:tcPr>
            <w:tcW w:w="985" w:type="dxa"/>
            <w:tcBorders>
              <w:top w:val="single" w:sz="4" w:space="0" w:color="auto"/>
              <w:left w:val="nil"/>
              <w:bottom w:val="single" w:sz="4" w:space="0" w:color="auto"/>
              <w:right w:val="nil"/>
            </w:tcBorders>
            <w:shd w:val="clear" w:color="auto" w:fill="auto"/>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12 (5)</w:t>
            </w:r>
          </w:p>
        </w:tc>
        <w:tc>
          <w:tcPr>
            <w:tcW w:w="1133" w:type="dxa"/>
            <w:tcBorders>
              <w:top w:val="single" w:sz="4" w:space="0" w:color="auto"/>
              <w:left w:val="nil"/>
              <w:bottom w:val="single" w:sz="4" w:space="0" w:color="auto"/>
              <w:right w:val="nil"/>
            </w:tcBorders>
            <w:shd w:val="clear" w:color="auto" w:fill="auto"/>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1 (1)</w:t>
            </w:r>
          </w:p>
        </w:tc>
        <w:tc>
          <w:tcPr>
            <w:tcW w:w="2231" w:type="dxa"/>
            <w:tcBorders>
              <w:top w:val="single" w:sz="4" w:space="0" w:color="auto"/>
              <w:left w:val="nil"/>
              <w:bottom w:val="single" w:sz="4" w:space="0" w:color="auto"/>
              <w:right w:val="nil"/>
            </w:tcBorders>
            <w:shd w:val="clear" w:color="auto" w:fill="auto"/>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37 (5%)</w:t>
            </w:r>
          </w:p>
        </w:tc>
        <w:tc>
          <w:tcPr>
            <w:tcW w:w="2693" w:type="dxa"/>
            <w:tcBorders>
              <w:top w:val="single" w:sz="4" w:space="0" w:color="auto"/>
              <w:left w:val="nil"/>
              <w:bottom w:val="single" w:sz="4" w:space="0" w:color="auto"/>
              <w:right w:val="nil"/>
            </w:tcBorders>
            <w:shd w:val="clear" w:color="auto" w:fill="auto"/>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16 (11%)</w:t>
            </w:r>
          </w:p>
        </w:tc>
      </w:tr>
      <w:tr w:rsidR="005C38CE" w:rsidRPr="005C38CE" w:rsidTr="005C38CE">
        <w:tc>
          <w:tcPr>
            <w:tcW w:w="1133" w:type="dxa"/>
            <w:vMerge/>
            <w:tcBorders>
              <w:left w:val="nil"/>
              <w:right w:val="nil"/>
            </w:tcBorders>
            <w:shd w:val="clear" w:color="auto" w:fill="auto"/>
          </w:tcPr>
          <w:p w:rsidR="00571041" w:rsidRPr="005C38CE" w:rsidRDefault="00571041" w:rsidP="005C38CE">
            <w:pPr>
              <w:pStyle w:val="MDPI21heading1"/>
              <w:spacing w:before="0"/>
              <w:jc w:val="both"/>
              <w:rPr>
                <w:bCs/>
                <w:sz w:val="18"/>
                <w:szCs w:val="18"/>
                <w:lang w:eastAsia="zh-CN"/>
              </w:rPr>
            </w:pPr>
          </w:p>
        </w:tc>
        <w:tc>
          <w:tcPr>
            <w:tcW w:w="851" w:type="dxa"/>
            <w:tcBorders>
              <w:top w:val="single" w:sz="4" w:space="0" w:color="auto"/>
              <w:left w:val="nil"/>
              <w:bottom w:val="single" w:sz="4" w:space="0" w:color="auto"/>
              <w:right w:val="nil"/>
            </w:tcBorders>
            <w:shd w:val="clear" w:color="auto" w:fill="auto"/>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ES</w:t>
            </w:r>
          </w:p>
        </w:tc>
        <w:tc>
          <w:tcPr>
            <w:tcW w:w="1260" w:type="dxa"/>
            <w:tcBorders>
              <w:top w:val="single" w:sz="4" w:space="0" w:color="auto"/>
              <w:left w:val="nil"/>
              <w:bottom w:val="single" w:sz="4" w:space="0" w:color="auto"/>
              <w:right w:val="nil"/>
            </w:tcBorders>
            <w:shd w:val="clear" w:color="auto" w:fill="auto"/>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12 (5)</w:t>
            </w:r>
          </w:p>
        </w:tc>
        <w:tc>
          <w:tcPr>
            <w:tcW w:w="1010" w:type="dxa"/>
            <w:tcBorders>
              <w:top w:val="single" w:sz="4" w:space="0" w:color="auto"/>
              <w:left w:val="nil"/>
              <w:bottom w:val="single" w:sz="4" w:space="0" w:color="auto"/>
              <w:right w:val="nil"/>
            </w:tcBorders>
            <w:shd w:val="clear" w:color="auto" w:fill="auto"/>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2 (1)</w:t>
            </w:r>
          </w:p>
        </w:tc>
        <w:tc>
          <w:tcPr>
            <w:tcW w:w="1010" w:type="dxa"/>
            <w:tcBorders>
              <w:top w:val="single" w:sz="4" w:space="0" w:color="auto"/>
              <w:left w:val="nil"/>
              <w:bottom w:val="single" w:sz="4" w:space="0" w:color="auto"/>
              <w:right w:val="nil"/>
            </w:tcBorders>
            <w:shd w:val="clear" w:color="auto" w:fill="auto"/>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0</w:t>
            </w:r>
          </w:p>
        </w:tc>
        <w:tc>
          <w:tcPr>
            <w:tcW w:w="1470" w:type="dxa"/>
            <w:tcBorders>
              <w:top w:val="single" w:sz="4" w:space="0" w:color="auto"/>
              <w:left w:val="nil"/>
              <w:bottom w:val="single" w:sz="4" w:space="0" w:color="auto"/>
              <w:right w:val="nil"/>
            </w:tcBorders>
            <w:shd w:val="clear" w:color="auto" w:fill="auto"/>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0</w:t>
            </w:r>
          </w:p>
        </w:tc>
        <w:tc>
          <w:tcPr>
            <w:tcW w:w="683" w:type="dxa"/>
            <w:tcBorders>
              <w:top w:val="single" w:sz="4" w:space="0" w:color="auto"/>
              <w:left w:val="nil"/>
              <w:bottom w:val="single" w:sz="4" w:space="0" w:color="auto"/>
              <w:right w:val="nil"/>
            </w:tcBorders>
            <w:shd w:val="clear" w:color="auto" w:fill="auto"/>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3 (2)</w:t>
            </w:r>
          </w:p>
        </w:tc>
        <w:tc>
          <w:tcPr>
            <w:tcW w:w="985" w:type="dxa"/>
            <w:tcBorders>
              <w:top w:val="single" w:sz="4" w:space="0" w:color="auto"/>
              <w:left w:val="nil"/>
              <w:bottom w:val="single" w:sz="4" w:space="0" w:color="auto"/>
              <w:right w:val="nil"/>
            </w:tcBorders>
            <w:shd w:val="clear" w:color="auto" w:fill="auto"/>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14 (6)</w:t>
            </w:r>
          </w:p>
        </w:tc>
        <w:tc>
          <w:tcPr>
            <w:tcW w:w="1133" w:type="dxa"/>
            <w:tcBorders>
              <w:top w:val="single" w:sz="4" w:space="0" w:color="auto"/>
              <w:left w:val="nil"/>
              <w:bottom w:val="single" w:sz="4" w:space="0" w:color="auto"/>
              <w:right w:val="nil"/>
            </w:tcBorders>
            <w:shd w:val="clear" w:color="auto" w:fill="auto"/>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3 (3)</w:t>
            </w:r>
          </w:p>
        </w:tc>
        <w:tc>
          <w:tcPr>
            <w:tcW w:w="2231" w:type="dxa"/>
            <w:tcBorders>
              <w:top w:val="single" w:sz="4" w:space="0" w:color="auto"/>
              <w:left w:val="nil"/>
              <w:bottom w:val="single" w:sz="4" w:space="0" w:color="auto"/>
              <w:right w:val="nil"/>
            </w:tcBorders>
            <w:shd w:val="clear" w:color="auto" w:fill="auto"/>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33 (5%)</w:t>
            </w:r>
          </w:p>
        </w:tc>
        <w:tc>
          <w:tcPr>
            <w:tcW w:w="2693" w:type="dxa"/>
            <w:tcBorders>
              <w:top w:val="single" w:sz="4" w:space="0" w:color="auto"/>
              <w:left w:val="nil"/>
              <w:bottom w:val="single" w:sz="4" w:space="0" w:color="auto"/>
              <w:right w:val="nil"/>
            </w:tcBorders>
            <w:shd w:val="clear" w:color="auto" w:fill="auto"/>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17 (12%)</w:t>
            </w:r>
          </w:p>
        </w:tc>
      </w:tr>
      <w:tr w:rsidR="005C38CE" w:rsidRPr="005C38CE" w:rsidTr="005C38CE">
        <w:tc>
          <w:tcPr>
            <w:tcW w:w="1133" w:type="dxa"/>
            <w:vMerge/>
            <w:tcBorders>
              <w:left w:val="nil"/>
              <w:right w:val="nil"/>
            </w:tcBorders>
            <w:shd w:val="clear" w:color="auto" w:fill="auto"/>
          </w:tcPr>
          <w:p w:rsidR="00571041" w:rsidRPr="005C38CE" w:rsidRDefault="00571041" w:rsidP="005C38CE">
            <w:pPr>
              <w:pStyle w:val="MDPI21heading1"/>
              <w:spacing w:before="0"/>
              <w:jc w:val="both"/>
              <w:rPr>
                <w:bCs/>
                <w:sz w:val="18"/>
                <w:szCs w:val="18"/>
                <w:lang w:eastAsia="zh-CN"/>
              </w:rPr>
            </w:pPr>
          </w:p>
        </w:tc>
        <w:tc>
          <w:tcPr>
            <w:tcW w:w="851" w:type="dxa"/>
            <w:tcBorders>
              <w:top w:val="single" w:sz="4" w:space="0" w:color="auto"/>
              <w:left w:val="nil"/>
              <w:bottom w:val="single" w:sz="4" w:space="0" w:color="auto"/>
              <w:right w:val="nil"/>
            </w:tcBorders>
            <w:shd w:val="clear" w:color="auto" w:fill="auto"/>
          </w:tcPr>
          <w:p w:rsidR="00571041" w:rsidRPr="005C38CE" w:rsidRDefault="00571041" w:rsidP="005C38CE">
            <w:pPr>
              <w:pStyle w:val="MDPI21heading1"/>
              <w:spacing w:before="0"/>
              <w:jc w:val="both"/>
              <w:rPr>
                <w:bCs/>
                <w:sz w:val="18"/>
                <w:szCs w:val="18"/>
                <w:lang w:eastAsia="zh-CN"/>
              </w:rPr>
            </w:pPr>
            <w:proofErr w:type="spellStart"/>
            <w:r w:rsidRPr="005C38CE">
              <w:rPr>
                <w:bCs/>
                <w:sz w:val="18"/>
                <w:szCs w:val="18"/>
                <w:lang w:eastAsia="zh-CN"/>
              </w:rPr>
              <w:t>ESTe</w:t>
            </w:r>
            <w:proofErr w:type="spellEnd"/>
          </w:p>
        </w:tc>
        <w:tc>
          <w:tcPr>
            <w:tcW w:w="1260" w:type="dxa"/>
            <w:tcBorders>
              <w:top w:val="single" w:sz="4" w:space="0" w:color="auto"/>
              <w:left w:val="nil"/>
              <w:bottom w:val="single" w:sz="4" w:space="0" w:color="auto"/>
              <w:right w:val="nil"/>
            </w:tcBorders>
            <w:shd w:val="clear" w:color="auto" w:fill="auto"/>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5 (4)</w:t>
            </w:r>
          </w:p>
        </w:tc>
        <w:tc>
          <w:tcPr>
            <w:tcW w:w="1010" w:type="dxa"/>
            <w:tcBorders>
              <w:top w:val="single" w:sz="4" w:space="0" w:color="auto"/>
              <w:left w:val="nil"/>
              <w:bottom w:val="single" w:sz="4" w:space="0" w:color="auto"/>
              <w:right w:val="nil"/>
            </w:tcBorders>
            <w:shd w:val="clear" w:color="auto" w:fill="auto"/>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1 (1)</w:t>
            </w:r>
          </w:p>
        </w:tc>
        <w:tc>
          <w:tcPr>
            <w:tcW w:w="1010" w:type="dxa"/>
            <w:tcBorders>
              <w:top w:val="single" w:sz="4" w:space="0" w:color="auto"/>
              <w:left w:val="nil"/>
              <w:bottom w:val="single" w:sz="4" w:space="0" w:color="auto"/>
              <w:right w:val="nil"/>
            </w:tcBorders>
            <w:shd w:val="clear" w:color="auto" w:fill="auto"/>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0</w:t>
            </w:r>
          </w:p>
        </w:tc>
        <w:tc>
          <w:tcPr>
            <w:tcW w:w="1470" w:type="dxa"/>
            <w:tcBorders>
              <w:top w:val="single" w:sz="4" w:space="0" w:color="auto"/>
              <w:left w:val="nil"/>
              <w:bottom w:val="single" w:sz="4" w:space="0" w:color="auto"/>
              <w:right w:val="nil"/>
            </w:tcBorders>
            <w:shd w:val="clear" w:color="auto" w:fill="auto"/>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1 (1)</w:t>
            </w:r>
          </w:p>
        </w:tc>
        <w:tc>
          <w:tcPr>
            <w:tcW w:w="683" w:type="dxa"/>
            <w:tcBorders>
              <w:top w:val="single" w:sz="4" w:space="0" w:color="auto"/>
              <w:left w:val="nil"/>
              <w:bottom w:val="single" w:sz="4" w:space="0" w:color="auto"/>
              <w:right w:val="nil"/>
            </w:tcBorders>
            <w:shd w:val="clear" w:color="auto" w:fill="auto"/>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0</w:t>
            </w:r>
          </w:p>
        </w:tc>
        <w:tc>
          <w:tcPr>
            <w:tcW w:w="985" w:type="dxa"/>
            <w:tcBorders>
              <w:top w:val="single" w:sz="4" w:space="0" w:color="auto"/>
              <w:left w:val="nil"/>
              <w:bottom w:val="single" w:sz="4" w:space="0" w:color="auto"/>
              <w:right w:val="nil"/>
            </w:tcBorders>
            <w:shd w:val="clear" w:color="auto" w:fill="auto"/>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0</w:t>
            </w:r>
          </w:p>
        </w:tc>
        <w:tc>
          <w:tcPr>
            <w:tcW w:w="1133" w:type="dxa"/>
            <w:tcBorders>
              <w:top w:val="single" w:sz="4" w:space="0" w:color="auto"/>
              <w:left w:val="nil"/>
              <w:bottom w:val="single" w:sz="4" w:space="0" w:color="auto"/>
              <w:right w:val="nil"/>
            </w:tcBorders>
            <w:shd w:val="clear" w:color="auto" w:fill="auto"/>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0</w:t>
            </w:r>
          </w:p>
        </w:tc>
        <w:tc>
          <w:tcPr>
            <w:tcW w:w="2231" w:type="dxa"/>
            <w:tcBorders>
              <w:top w:val="single" w:sz="4" w:space="0" w:color="auto"/>
              <w:left w:val="nil"/>
              <w:bottom w:val="single" w:sz="4" w:space="0" w:color="auto"/>
              <w:right w:val="nil"/>
            </w:tcBorders>
            <w:shd w:val="clear" w:color="auto" w:fill="auto"/>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7 (3%)</w:t>
            </w:r>
          </w:p>
        </w:tc>
        <w:tc>
          <w:tcPr>
            <w:tcW w:w="2693" w:type="dxa"/>
            <w:tcBorders>
              <w:top w:val="single" w:sz="4" w:space="0" w:color="auto"/>
              <w:left w:val="nil"/>
              <w:bottom w:val="single" w:sz="4" w:space="0" w:color="auto"/>
              <w:right w:val="nil"/>
            </w:tcBorders>
            <w:shd w:val="clear" w:color="auto" w:fill="auto"/>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5 (8%)</w:t>
            </w:r>
          </w:p>
        </w:tc>
      </w:tr>
      <w:tr w:rsidR="005C38CE" w:rsidRPr="005C38CE" w:rsidTr="005C38CE">
        <w:tc>
          <w:tcPr>
            <w:tcW w:w="1133" w:type="dxa"/>
            <w:vMerge/>
            <w:tcBorders>
              <w:left w:val="nil"/>
              <w:bottom w:val="single" w:sz="4" w:space="0" w:color="auto"/>
              <w:right w:val="nil"/>
            </w:tcBorders>
            <w:shd w:val="clear" w:color="auto" w:fill="auto"/>
          </w:tcPr>
          <w:p w:rsidR="00571041" w:rsidRPr="005C38CE" w:rsidRDefault="00571041" w:rsidP="005C38CE">
            <w:pPr>
              <w:pStyle w:val="MDPI21heading1"/>
              <w:spacing w:before="0"/>
              <w:jc w:val="both"/>
              <w:rPr>
                <w:bCs/>
                <w:sz w:val="18"/>
                <w:szCs w:val="18"/>
                <w:lang w:eastAsia="zh-CN"/>
              </w:rPr>
            </w:pPr>
          </w:p>
        </w:tc>
        <w:tc>
          <w:tcPr>
            <w:tcW w:w="851" w:type="dxa"/>
            <w:tcBorders>
              <w:top w:val="single" w:sz="4" w:space="0" w:color="auto"/>
              <w:left w:val="nil"/>
              <w:bottom w:val="single" w:sz="4" w:space="0" w:color="auto"/>
              <w:right w:val="nil"/>
            </w:tcBorders>
            <w:shd w:val="clear" w:color="auto" w:fill="auto"/>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STEC</w:t>
            </w:r>
          </w:p>
        </w:tc>
        <w:tc>
          <w:tcPr>
            <w:tcW w:w="1260" w:type="dxa"/>
            <w:tcBorders>
              <w:top w:val="single" w:sz="4" w:space="0" w:color="auto"/>
              <w:left w:val="nil"/>
              <w:bottom w:val="single" w:sz="4" w:space="0" w:color="auto"/>
              <w:right w:val="nil"/>
            </w:tcBorders>
            <w:shd w:val="clear" w:color="auto" w:fill="auto"/>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 xml:space="preserve">103 (30) </w:t>
            </w:r>
            <w:r w:rsidRPr="005C38CE">
              <w:rPr>
                <w:bCs/>
                <w:sz w:val="18"/>
                <w:szCs w:val="18"/>
                <w:vertAlign w:val="superscript"/>
                <w:lang w:eastAsia="zh-CN"/>
              </w:rPr>
              <w:t>4</w:t>
            </w:r>
          </w:p>
        </w:tc>
        <w:tc>
          <w:tcPr>
            <w:tcW w:w="1010" w:type="dxa"/>
            <w:tcBorders>
              <w:top w:val="single" w:sz="4" w:space="0" w:color="auto"/>
              <w:left w:val="nil"/>
              <w:bottom w:val="single" w:sz="4" w:space="0" w:color="auto"/>
              <w:right w:val="nil"/>
            </w:tcBorders>
            <w:shd w:val="clear" w:color="auto" w:fill="auto"/>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28 (10)</w:t>
            </w:r>
          </w:p>
        </w:tc>
        <w:tc>
          <w:tcPr>
            <w:tcW w:w="1010" w:type="dxa"/>
            <w:tcBorders>
              <w:top w:val="single" w:sz="4" w:space="0" w:color="auto"/>
              <w:left w:val="nil"/>
              <w:bottom w:val="single" w:sz="4" w:space="0" w:color="auto"/>
              <w:right w:val="nil"/>
            </w:tcBorders>
            <w:shd w:val="clear" w:color="auto" w:fill="auto"/>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8 (3)</w:t>
            </w:r>
          </w:p>
        </w:tc>
        <w:tc>
          <w:tcPr>
            <w:tcW w:w="1470" w:type="dxa"/>
            <w:tcBorders>
              <w:top w:val="single" w:sz="4" w:space="0" w:color="auto"/>
              <w:left w:val="nil"/>
              <w:bottom w:val="single" w:sz="4" w:space="0" w:color="auto"/>
              <w:right w:val="nil"/>
            </w:tcBorders>
            <w:shd w:val="clear" w:color="auto" w:fill="auto"/>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38 (11)</w:t>
            </w:r>
          </w:p>
        </w:tc>
        <w:tc>
          <w:tcPr>
            <w:tcW w:w="683" w:type="dxa"/>
            <w:tcBorders>
              <w:top w:val="single" w:sz="4" w:space="0" w:color="auto"/>
              <w:left w:val="nil"/>
              <w:bottom w:val="single" w:sz="4" w:space="0" w:color="auto"/>
              <w:right w:val="nil"/>
            </w:tcBorders>
            <w:shd w:val="clear" w:color="auto" w:fill="auto"/>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0</w:t>
            </w:r>
          </w:p>
        </w:tc>
        <w:tc>
          <w:tcPr>
            <w:tcW w:w="985" w:type="dxa"/>
            <w:tcBorders>
              <w:top w:val="single" w:sz="4" w:space="0" w:color="auto"/>
              <w:left w:val="nil"/>
              <w:bottom w:val="single" w:sz="4" w:space="0" w:color="auto"/>
              <w:right w:val="nil"/>
            </w:tcBorders>
            <w:shd w:val="clear" w:color="auto" w:fill="auto"/>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1 (1)</w:t>
            </w:r>
          </w:p>
        </w:tc>
        <w:tc>
          <w:tcPr>
            <w:tcW w:w="1133" w:type="dxa"/>
            <w:tcBorders>
              <w:top w:val="single" w:sz="4" w:space="0" w:color="auto"/>
              <w:left w:val="nil"/>
              <w:bottom w:val="single" w:sz="4" w:space="0" w:color="auto"/>
              <w:right w:val="nil"/>
            </w:tcBorders>
            <w:shd w:val="clear" w:color="auto" w:fill="auto"/>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38 (12)</w:t>
            </w:r>
          </w:p>
        </w:tc>
        <w:tc>
          <w:tcPr>
            <w:tcW w:w="2231" w:type="dxa"/>
            <w:tcBorders>
              <w:top w:val="single" w:sz="4" w:space="0" w:color="auto"/>
              <w:left w:val="nil"/>
              <w:bottom w:val="single" w:sz="4" w:space="0" w:color="auto"/>
              <w:right w:val="nil"/>
            </w:tcBorders>
            <w:shd w:val="clear" w:color="auto" w:fill="auto"/>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216 (45%)</w:t>
            </w:r>
          </w:p>
        </w:tc>
        <w:tc>
          <w:tcPr>
            <w:tcW w:w="2693" w:type="dxa"/>
            <w:tcBorders>
              <w:top w:val="single" w:sz="4" w:space="0" w:color="auto"/>
              <w:left w:val="nil"/>
              <w:bottom w:val="single" w:sz="4" w:space="0" w:color="auto"/>
              <w:right w:val="nil"/>
            </w:tcBorders>
            <w:shd w:val="clear" w:color="auto" w:fill="auto"/>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58 (54%)</w:t>
            </w:r>
          </w:p>
        </w:tc>
      </w:tr>
      <w:tr w:rsidR="005C38CE" w:rsidRPr="005C38CE" w:rsidTr="005C38CE">
        <w:tc>
          <w:tcPr>
            <w:tcW w:w="1984" w:type="dxa"/>
            <w:gridSpan w:val="2"/>
            <w:tcBorders>
              <w:top w:val="single" w:sz="4" w:space="0" w:color="auto"/>
              <w:left w:val="nil"/>
              <w:bottom w:val="single" w:sz="4" w:space="0" w:color="auto"/>
              <w:right w:val="nil"/>
            </w:tcBorders>
            <w:shd w:val="clear" w:color="auto" w:fill="auto"/>
            <w:vAlign w:val="center"/>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 xml:space="preserve">Total </w:t>
            </w:r>
            <w:proofErr w:type="spellStart"/>
            <w:r w:rsidRPr="005C38CE">
              <w:rPr>
                <w:bCs/>
                <w:sz w:val="18"/>
                <w:szCs w:val="18"/>
                <w:lang w:eastAsia="zh-CN"/>
              </w:rPr>
              <w:t>virulotypes</w:t>
            </w:r>
            <w:proofErr w:type="spellEnd"/>
          </w:p>
        </w:tc>
        <w:tc>
          <w:tcPr>
            <w:tcW w:w="1260" w:type="dxa"/>
            <w:tcBorders>
              <w:top w:val="single" w:sz="4" w:space="0" w:color="auto"/>
              <w:left w:val="nil"/>
              <w:bottom w:val="single" w:sz="4" w:space="0" w:color="auto"/>
              <w:right w:val="nil"/>
            </w:tcBorders>
            <w:shd w:val="clear" w:color="auto" w:fill="auto"/>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131 (36)</w:t>
            </w:r>
          </w:p>
        </w:tc>
        <w:tc>
          <w:tcPr>
            <w:tcW w:w="1010" w:type="dxa"/>
            <w:tcBorders>
              <w:top w:val="single" w:sz="4" w:space="0" w:color="auto"/>
              <w:left w:val="nil"/>
              <w:bottom w:val="single" w:sz="4" w:space="0" w:color="auto"/>
              <w:right w:val="nil"/>
            </w:tcBorders>
            <w:shd w:val="clear" w:color="auto" w:fill="auto"/>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33 (10)</w:t>
            </w:r>
          </w:p>
        </w:tc>
        <w:tc>
          <w:tcPr>
            <w:tcW w:w="1010" w:type="dxa"/>
            <w:tcBorders>
              <w:top w:val="single" w:sz="4" w:space="0" w:color="auto"/>
              <w:left w:val="nil"/>
              <w:bottom w:val="single" w:sz="4" w:space="0" w:color="auto"/>
              <w:right w:val="nil"/>
            </w:tcBorders>
            <w:shd w:val="clear" w:color="auto" w:fill="auto"/>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11 (3)</w:t>
            </w:r>
          </w:p>
        </w:tc>
        <w:tc>
          <w:tcPr>
            <w:tcW w:w="1470" w:type="dxa"/>
            <w:tcBorders>
              <w:top w:val="single" w:sz="4" w:space="0" w:color="auto"/>
              <w:left w:val="nil"/>
              <w:bottom w:val="single" w:sz="4" w:space="0" w:color="auto"/>
              <w:right w:val="nil"/>
            </w:tcBorders>
            <w:shd w:val="clear" w:color="auto" w:fill="auto"/>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45 (11)</w:t>
            </w:r>
          </w:p>
        </w:tc>
        <w:tc>
          <w:tcPr>
            <w:tcW w:w="683" w:type="dxa"/>
            <w:tcBorders>
              <w:top w:val="single" w:sz="4" w:space="0" w:color="auto"/>
              <w:left w:val="nil"/>
              <w:bottom w:val="single" w:sz="4" w:space="0" w:color="auto"/>
              <w:right w:val="nil"/>
            </w:tcBorders>
            <w:shd w:val="clear" w:color="auto" w:fill="auto"/>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5 (4)</w:t>
            </w:r>
          </w:p>
        </w:tc>
        <w:tc>
          <w:tcPr>
            <w:tcW w:w="985" w:type="dxa"/>
            <w:tcBorders>
              <w:top w:val="single" w:sz="4" w:space="0" w:color="auto"/>
              <w:left w:val="nil"/>
              <w:bottom w:val="single" w:sz="4" w:space="0" w:color="auto"/>
              <w:right w:val="nil"/>
            </w:tcBorders>
            <w:shd w:val="clear" w:color="auto" w:fill="auto"/>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27 (8)</w:t>
            </w:r>
          </w:p>
        </w:tc>
        <w:tc>
          <w:tcPr>
            <w:tcW w:w="1133" w:type="dxa"/>
            <w:tcBorders>
              <w:top w:val="single" w:sz="4" w:space="0" w:color="auto"/>
              <w:left w:val="nil"/>
              <w:bottom w:val="single" w:sz="4" w:space="0" w:color="auto"/>
              <w:right w:val="nil"/>
            </w:tcBorders>
            <w:shd w:val="clear" w:color="auto" w:fill="auto"/>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42 (16)</w:t>
            </w:r>
          </w:p>
        </w:tc>
        <w:tc>
          <w:tcPr>
            <w:tcW w:w="2231" w:type="dxa"/>
            <w:vMerge w:val="restart"/>
            <w:tcBorders>
              <w:top w:val="single" w:sz="4" w:space="0" w:color="auto"/>
              <w:left w:val="nil"/>
              <w:right w:val="nil"/>
            </w:tcBorders>
            <w:shd w:val="clear" w:color="auto" w:fill="auto"/>
            <w:vAlign w:val="center"/>
            <w:hideMark/>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294 (14%)</w:t>
            </w:r>
          </w:p>
        </w:tc>
        <w:tc>
          <w:tcPr>
            <w:tcW w:w="2693" w:type="dxa"/>
            <w:vMerge w:val="restart"/>
            <w:tcBorders>
              <w:top w:val="single" w:sz="4" w:space="0" w:color="auto"/>
              <w:left w:val="nil"/>
              <w:right w:val="nil"/>
            </w:tcBorders>
            <w:shd w:val="clear" w:color="auto" w:fill="auto"/>
            <w:vAlign w:val="center"/>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69 (45%)</w:t>
            </w:r>
          </w:p>
        </w:tc>
      </w:tr>
      <w:tr w:rsidR="005C38CE" w:rsidRPr="005C38CE" w:rsidTr="005C38CE">
        <w:tc>
          <w:tcPr>
            <w:tcW w:w="1984" w:type="dxa"/>
            <w:gridSpan w:val="2"/>
            <w:tcBorders>
              <w:top w:val="single" w:sz="4" w:space="0" w:color="auto"/>
              <w:left w:val="nil"/>
              <w:bottom w:val="single" w:sz="4" w:space="0" w:color="auto"/>
              <w:right w:val="nil"/>
            </w:tcBorders>
            <w:shd w:val="clear" w:color="auto" w:fill="auto"/>
            <w:vAlign w:val="center"/>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 xml:space="preserve">Total </w:t>
            </w:r>
            <w:proofErr w:type="spellStart"/>
            <w:r w:rsidRPr="005C38CE">
              <w:rPr>
                <w:bCs/>
                <w:sz w:val="18"/>
                <w:szCs w:val="18"/>
                <w:lang w:eastAsia="zh-CN"/>
              </w:rPr>
              <w:t>pathotypes</w:t>
            </w:r>
            <w:proofErr w:type="spellEnd"/>
          </w:p>
        </w:tc>
        <w:tc>
          <w:tcPr>
            <w:tcW w:w="1260" w:type="dxa"/>
            <w:tcBorders>
              <w:top w:val="single" w:sz="4" w:space="0" w:color="auto"/>
              <w:left w:val="nil"/>
              <w:bottom w:val="single" w:sz="4" w:space="0" w:color="auto"/>
              <w:right w:val="nil"/>
            </w:tcBorders>
            <w:shd w:val="clear" w:color="auto" w:fill="auto"/>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131 (36)</w:t>
            </w:r>
          </w:p>
        </w:tc>
        <w:tc>
          <w:tcPr>
            <w:tcW w:w="3490" w:type="dxa"/>
            <w:gridSpan w:val="3"/>
            <w:tcBorders>
              <w:top w:val="single" w:sz="4" w:space="0" w:color="auto"/>
              <w:left w:val="nil"/>
              <w:bottom w:val="single" w:sz="4" w:space="0" w:color="auto"/>
              <w:right w:val="nil"/>
            </w:tcBorders>
            <w:shd w:val="clear" w:color="auto" w:fill="auto"/>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89 (23)</w:t>
            </w:r>
          </w:p>
        </w:tc>
        <w:tc>
          <w:tcPr>
            <w:tcW w:w="2801" w:type="dxa"/>
            <w:gridSpan w:val="3"/>
            <w:tcBorders>
              <w:top w:val="single" w:sz="4" w:space="0" w:color="auto"/>
              <w:left w:val="nil"/>
              <w:bottom w:val="single" w:sz="4" w:space="0" w:color="auto"/>
              <w:right w:val="nil"/>
            </w:tcBorders>
            <w:shd w:val="clear" w:color="auto" w:fill="auto"/>
          </w:tcPr>
          <w:p w:rsidR="00571041" w:rsidRPr="005C38CE" w:rsidRDefault="00571041" w:rsidP="005C38CE">
            <w:pPr>
              <w:pStyle w:val="MDPI21heading1"/>
              <w:spacing w:before="0"/>
              <w:jc w:val="both"/>
              <w:rPr>
                <w:bCs/>
                <w:sz w:val="18"/>
                <w:szCs w:val="18"/>
                <w:lang w:eastAsia="zh-CN"/>
              </w:rPr>
            </w:pPr>
            <w:r w:rsidRPr="005C38CE">
              <w:rPr>
                <w:bCs/>
                <w:sz w:val="18"/>
                <w:szCs w:val="18"/>
                <w:lang w:eastAsia="zh-CN"/>
              </w:rPr>
              <w:t>74 (27)</w:t>
            </w:r>
          </w:p>
        </w:tc>
        <w:tc>
          <w:tcPr>
            <w:tcW w:w="2231" w:type="dxa"/>
            <w:vMerge/>
            <w:tcBorders>
              <w:left w:val="nil"/>
              <w:bottom w:val="single" w:sz="4" w:space="0" w:color="auto"/>
              <w:right w:val="nil"/>
            </w:tcBorders>
            <w:shd w:val="clear" w:color="auto" w:fill="auto"/>
          </w:tcPr>
          <w:p w:rsidR="00571041" w:rsidRPr="005C38CE" w:rsidRDefault="00571041" w:rsidP="005C38CE">
            <w:pPr>
              <w:pStyle w:val="MDPI21heading1"/>
              <w:spacing w:before="0"/>
              <w:jc w:val="both"/>
              <w:rPr>
                <w:bCs/>
                <w:sz w:val="18"/>
                <w:szCs w:val="18"/>
                <w:lang w:eastAsia="zh-CN"/>
              </w:rPr>
            </w:pPr>
          </w:p>
        </w:tc>
        <w:tc>
          <w:tcPr>
            <w:tcW w:w="2693" w:type="dxa"/>
            <w:vMerge/>
            <w:tcBorders>
              <w:left w:val="nil"/>
              <w:bottom w:val="single" w:sz="4" w:space="0" w:color="auto"/>
              <w:right w:val="nil"/>
            </w:tcBorders>
            <w:shd w:val="clear" w:color="auto" w:fill="auto"/>
          </w:tcPr>
          <w:p w:rsidR="00571041" w:rsidRPr="005C38CE" w:rsidRDefault="00571041" w:rsidP="005C38CE">
            <w:pPr>
              <w:pStyle w:val="MDPI21heading1"/>
              <w:spacing w:before="0"/>
              <w:jc w:val="both"/>
              <w:rPr>
                <w:bCs/>
                <w:sz w:val="18"/>
                <w:szCs w:val="18"/>
                <w:lang w:eastAsia="zh-CN"/>
              </w:rPr>
            </w:pPr>
          </w:p>
        </w:tc>
      </w:tr>
    </w:tbl>
    <w:p w:rsidR="00571041" w:rsidRPr="00571041" w:rsidRDefault="00571041" w:rsidP="00571041">
      <w:pPr>
        <w:pStyle w:val="MDPI21heading1"/>
        <w:jc w:val="both"/>
        <w:rPr>
          <w:bCs/>
          <w:sz w:val="18"/>
          <w:szCs w:val="18"/>
          <w:lang w:eastAsia="zh-CN"/>
        </w:rPr>
      </w:pPr>
      <w:r w:rsidRPr="00571041">
        <w:rPr>
          <w:bCs/>
          <w:sz w:val="18"/>
          <w:szCs w:val="18"/>
          <w:vertAlign w:val="superscript"/>
          <w:lang w:eastAsia="zh-CN"/>
        </w:rPr>
        <w:t>1</w:t>
      </w:r>
      <w:r w:rsidRPr="00571041">
        <w:rPr>
          <w:bCs/>
          <w:sz w:val="18"/>
          <w:szCs w:val="18"/>
          <w:lang w:eastAsia="zh-CN"/>
        </w:rPr>
        <w:t xml:space="preserve"> MC = </w:t>
      </w:r>
      <w:proofErr w:type="spellStart"/>
      <w:r w:rsidRPr="00571041">
        <w:rPr>
          <w:sz w:val="18"/>
          <w:szCs w:val="18"/>
          <w:lang w:eastAsia="zh-CN"/>
        </w:rPr>
        <w:t>McConkey’s</w:t>
      </w:r>
      <w:proofErr w:type="spellEnd"/>
      <w:r w:rsidRPr="00571041">
        <w:rPr>
          <w:sz w:val="18"/>
          <w:szCs w:val="18"/>
          <w:lang w:eastAsia="zh-CN"/>
        </w:rPr>
        <w:t xml:space="preserve">; </w:t>
      </w:r>
      <w:r w:rsidRPr="00571041">
        <w:rPr>
          <w:bCs/>
          <w:sz w:val="18"/>
          <w:szCs w:val="18"/>
          <w:lang w:eastAsia="zh-CN"/>
        </w:rPr>
        <w:t xml:space="preserve">ES = </w:t>
      </w:r>
      <w:proofErr w:type="spellStart"/>
      <w:r w:rsidRPr="00571041">
        <w:rPr>
          <w:sz w:val="18"/>
          <w:szCs w:val="18"/>
          <w:lang w:eastAsia="zh-CN"/>
        </w:rPr>
        <w:t>Chromocult</w:t>
      </w:r>
      <w:proofErr w:type="spellEnd"/>
      <w:r w:rsidRPr="00571041">
        <w:rPr>
          <w:sz w:val="18"/>
          <w:szCs w:val="18"/>
          <w:lang w:eastAsia="zh-CN"/>
        </w:rPr>
        <w:t xml:space="preserve"> Coliform ES</w:t>
      </w:r>
      <w:r w:rsidRPr="00571041">
        <w:rPr>
          <w:bCs/>
          <w:sz w:val="18"/>
          <w:szCs w:val="18"/>
          <w:lang w:eastAsia="zh-CN"/>
        </w:rPr>
        <w:t xml:space="preserve">; </w:t>
      </w:r>
      <w:proofErr w:type="spellStart"/>
      <w:r w:rsidRPr="00571041">
        <w:rPr>
          <w:bCs/>
          <w:sz w:val="18"/>
          <w:szCs w:val="18"/>
          <w:lang w:eastAsia="zh-CN"/>
        </w:rPr>
        <w:t>ESTe</w:t>
      </w:r>
      <w:proofErr w:type="spellEnd"/>
      <w:r w:rsidRPr="00571041">
        <w:rPr>
          <w:bCs/>
          <w:sz w:val="18"/>
          <w:szCs w:val="18"/>
          <w:lang w:eastAsia="zh-CN"/>
        </w:rPr>
        <w:t xml:space="preserve"> = </w:t>
      </w:r>
      <w:proofErr w:type="spellStart"/>
      <w:r w:rsidRPr="00571041">
        <w:rPr>
          <w:sz w:val="18"/>
          <w:szCs w:val="18"/>
          <w:lang w:eastAsia="zh-CN"/>
        </w:rPr>
        <w:t>Chromocult</w:t>
      </w:r>
      <w:proofErr w:type="spellEnd"/>
      <w:r w:rsidRPr="00571041">
        <w:rPr>
          <w:sz w:val="18"/>
          <w:szCs w:val="18"/>
          <w:lang w:eastAsia="zh-CN"/>
        </w:rPr>
        <w:t xml:space="preserve"> Coliform ES supplemented with </w:t>
      </w:r>
      <w:proofErr w:type="spellStart"/>
      <w:r w:rsidRPr="00571041">
        <w:rPr>
          <w:sz w:val="18"/>
          <w:szCs w:val="18"/>
          <w:lang w:eastAsia="zh-CN"/>
        </w:rPr>
        <w:t>TeK</w:t>
      </w:r>
      <w:proofErr w:type="spellEnd"/>
      <w:r w:rsidRPr="00571041">
        <w:rPr>
          <w:bCs/>
          <w:sz w:val="18"/>
          <w:szCs w:val="18"/>
          <w:lang w:eastAsia="zh-CN"/>
        </w:rPr>
        <w:t xml:space="preserve">; STEC = </w:t>
      </w:r>
      <w:r w:rsidRPr="00571041">
        <w:rPr>
          <w:sz w:val="18"/>
          <w:szCs w:val="18"/>
          <w:lang w:eastAsia="zh-CN"/>
        </w:rPr>
        <w:t xml:space="preserve">supplemented </w:t>
      </w:r>
      <w:proofErr w:type="spellStart"/>
      <w:r w:rsidRPr="00571041">
        <w:rPr>
          <w:sz w:val="18"/>
          <w:szCs w:val="18"/>
          <w:lang w:eastAsia="zh-CN"/>
        </w:rPr>
        <w:t>CHROMagar</w:t>
      </w:r>
      <w:r w:rsidRPr="00571041">
        <w:rPr>
          <w:sz w:val="18"/>
          <w:szCs w:val="18"/>
          <w:vertAlign w:val="superscript"/>
          <w:lang w:eastAsia="zh-CN"/>
        </w:rPr>
        <w:t>TM</w:t>
      </w:r>
      <w:proofErr w:type="spellEnd"/>
      <w:r w:rsidRPr="00571041">
        <w:rPr>
          <w:sz w:val="18"/>
          <w:szCs w:val="18"/>
          <w:lang w:eastAsia="zh-CN"/>
        </w:rPr>
        <w:t xml:space="preserve"> STEC base</w:t>
      </w:r>
      <w:r w:rsidRPr="00571041">
        <w:rPr>
          <w:bCs/>
          <w:sz w:val="18"/>
          <w:szCs w:val="18"/>
          <w:lang w:eastAsia="zh-CN"/>
        </w:rPr>
        <w:t xml:space="preserve">. </w:t>
      </w:r>
      <w:r w:rsidRPr="00571041">
        <w:rPr>
          <w:sz w:val="18"/>
          <w:szCs w:val="18"/>
          <w:vertAlign w:val="superscript"/>
          <w:lang w:eastAsia="zh-CN"/>
        </w:rPr>
        <w:t xml:space="preserve">2 </w:t>
      </w:r>
      <w:r w:rsidRPr="00571041">
        <w:rPr>
          <w:sz w:val="18"/>
          <w:szCs w:val="18"/>
          <w:lang w:eastAsia="zh-CN"/>
        </w:rPr>
        <w:t xml:space="preserve">AE-STEC = Attaching-Effacing </w:t>
      </w:r>
      <w:proofErr w:type="spellStart"/>
      <w:r w:rsidRPr="00571041">
        <w:rPr>
          <w:sz w:val="18"/>
          <w:szCs w:val="18"/>
          <w:lang w:eastAsia="zh-CN"/>
        </w:rPr>
        <w:t>Shigatoxigenic</w:t>
      </w:r>
      <w:proofErr w:type="spellEnd"/>
      <w:r w:rsidRPr="00571041">
        <w:rPr>
          <w:sz w:val="18"/>
          <w:szCs w:val="18"/>
          <w:lang w:eastAsia="zh-CN"/>
        </w:rPr>
        <w:t xml:space="preserve"> </w:t>
      </w:r>
      <w:r w:rsidRPr="00571041">
        <w:rPr>
          <w:i/>
          <w:sz w:val="18"/>
          <w:szCs w:val="18"/>
          <w:lang w:eastAsia="zh-CN"/>
        </w:rPr>
        <w:t>Escherichia coli</w:t>
      </w:r>
      <w:r w:rsidRPr="00571041">
        <w:rPr>
          <w:sz w:val="18"/>
          <w:szCs w:val="18"/>
          <w:lang w:eastAsia="zh-CN"/>
        </w:rPr>
        <w:t>.</w:t>
      </w:r>
      <w:r w:rsidRPr="00571041">
        <w:rPr>
          <w:bCs/>
          <w:sz w:val="18"/>
          <w:szCs w:val="18"/>
          <w:lang w:eastAsia="zh-CN"/>
        </w:rPr>
        <w:t xml:space="preserve"> </w:t>
      </w:r>
      <w:r w:rsidRPr="00571041">
        <w:rPr>
          <w:bCs/>
          <w:sz w:val="18"/>
          <w:szCs w:val="18"/>
          <w:vertAlign w:val="superscript"/>
          <w:lang w:eastAsia="zh-CN"/>
        </w:rPr>
        <w:t>3</w:t>
      </w:r>
      <w:r w:rsidRPr="00571041">
        <w:rPr>
          <w:bCs/>
          <w:sz w:val="18"/>
          <w:szCs w:val="18"/>
          <w:lang w:eastAsia="zh-CN"/>
        </w:rPr>
        <w:t xml:space="preserve"> No. PCR-positive </w:t>
      </w:r>
      <w:r w:rsidR="001F6DB0" w:rsidRPr="001F6DB0">
        <w:rPr>
          <w:bCs/>
          <w:i/>
          <w:sz w:val="18"/>
          <w:szCs w:val="18"/>
          <w:lang w:eastAsia="zh-CN"/>
        </w:rPr>
        <w:t>E. coli</w:t>
      </w:r>
      <w:r w:rsidRPr="00571041">
        <w:rPr>
          <w:bCs/>
          <w:sz w:val="18"/>
          <w:szCs w:val="18"/>
          <w:lang w:eastAsia="zh-CN"/>
        </w:rPr>
        <w:t xml:space="preserve"> isolates (No. RAMS with PCR-positive </w:t>
      </w:r>
      <w:r w:rsidR="001F6DB0" w:rsidRPr="001F6DB0">
        <w:rPr>
          <w:bCs/>
          <w:i/>
          <w:sz w:val="18"/>
          <w:szCs w:val="18"/>
          <w:lang w:eastAsia="zh-CN"/>
        </w:rPr>
        <w:t>E. coli</w:t>
      </w:r>
      <w:r w:rsidRPr="00571041">
        <w:rPr>
          <w:bCs/>
          <w:sz w:val="18"/>
          <w:szCs w:val="18"/>
          <w:lang w:eastAsia="zh-CN"/>
        </w:rPr>
        <w:t xml:space="preserve"> isolates). </w:t>
      </w:r>
      <w:r w:rsidRPr="00571041">
        <w:rPr>
          <w:bCs/>
          <w:sz w:val="18"/>
          <w:szCs w:val="18"/>
          <w:vertAlign w:val="superscript"/>
          <w:lang w:eastAsia="zh-CN"/>
        </w:rPr>
        <w:t>4</w:t>
      </w:r>
      <w:r w:rsidRPr="00571041">
        <w:rPr>
          <w:bCs/>
          <w:sz w:val="18"/>
          <w:szCs w:val="18"/>
          <w:lang w:eastAsia="zh-CN"/>
        </w:rPr>
        <w:t xml:space="preserve"> Including one isolate from one diarrheic calf. </w:t>
      </w:r>
    </w:p>
    <w:p w:rsidR="00571041" w:rsidRDefault="00571041" w:rsidP="00275306">
      <w:pPr>
        <w:pStyle w:val="MDPI21heading1"/>
        <w:jc w:val="both"/>
        <w:rPr>
          <w:b w:val="0"/>
          <w:lang w:eastAsia="zh-CN"/>
        </w:rPr>
      </w:pPr>
    </w:p>
    <w:p w:rsidR="00571041" w:rsidRDefault="00571041" w:rsidP="00275306">
      <w:pPr>
        <w:pStyle w:val="MDPI21heading1"/>
        <w:jc w:val="both"/>
        <w:rPr>
          <w:b w:val="0"/>
          <w:lang w:eastAsia="zh-CN"/>
        </w:rPr>
        <w:sectPr w:rsidR="00571041" w:rsidSect="00571041">
          <w:pgSz w:w="16838" w:h="11906" w:orient="landscape" w:code="9"/>
          <w:pgMar w:top="1531" w:right="1417" w:bottom="1531" w:left="1077" w:header="1020" w:footer="850" w:gutter="0"/>
          <w:lnNumType w:countBy="1" w:restart="continuous"/>
          <w:pgNumType w:start="1"/>
          <w:cols w:space="425"/>
          <w:titlePg/>
          <w:docGrid w:type="lines" w:linePitch="326"/>
        </w:sectPr>
      </w:pPr>
    </w:p>
    <w:p w:rsidR="00275306" w:rsidRDefault="00275306" w:rsidP="00275306">
      <w:pPr>
        <w:pStyle w:val="MDPI21heading1"/>
        <w:rPr>
          <w:lang w:eastAsia="zh-CN"/>
        </w:rPr>
      </w:pPr>
      <w:r>
        <w:rPr>
          <w:lang w:eastAsia="zh-CN"/>
        </w:rPr>
        <w:lastRenderedPageBreak/>
        <w:t>4. Discussion</w:t>
      </w:r>
    </w:p>
    <w:p w:rsidR="00275306" w:rsidRDefault="00275306" w:rsidP="00275306">
      <w:pPr>
        <w:pStyle w:val="MDPI21heading1"/>
        <w:rPr>
          <w:lang w:eastAsia="zh-CN"/>
        </w:rPr>
      </w:pPr>
    </w:p>
    <w:p w:rsidR="00275306" w:rsidRPr="00275306" w:rsidRDefault="00275306" w:rsidP="00275306">
      <w:pPr>
        <w:pStyle w:val="MDPI21heading1"/>
        <w:jc w:val="both"/>
        <w:rPr>
          <w:b w:val="0"/>
          <w:lang w:eastAsia="zh-CN"/>
        </w:rPr>
      </w:pPr>
      <w:r w:rsidRPr="00275306">
        <w:rPr>
          <w:b w:val="0"/>
          <w:lang w:eastAsia="zh-CN"/>
        </w:rPr>
        <w:t xml:space="preserve">Using RAMS, &lt;6-month-old dairy calves from 3 farms in Belgium are identified as healthy carriers not only of (AE-)STEC serotypes, but also of EPEC. Although the populations are different (dairy calves and beef cattle), as are the regions in Belgium (Flanders and Wallonia), more calves in farms than adult cattle at slaughterhouse harbor one “gang-of-seven” serotype (61% </w:t>
      </w:r>
      <w:r w:rsidRPr="00993723">
        <w:rPr>
          <w:b w:val="0"/>
          <w:i/>
          <w:lang w:eastAsia="zh-CN"/>
        </w:rPr>
        <w:t>vs.</w:t>
      </w:r>
      <w:r w:rsidRPr="00275306">
        <w:rPr>
          <w:b w:val="0"/>
          <w:lang w:eastAsia="zh-CN"/>
        </w:rPr>
        <w:t xml:space="preserve"> 19%) and more “gang-of-seven“ serotypes (O26, O103, O111, O145 and O157 </w:t>
      </w:r>
      <w:r w:rsidRPr="00993723">
        <w:rPr>
          <w:b w:val="0"/>
          <w:i/>
          <w:lang w:eastAsia="zh-CN"/>
        </w:rPr>
        <w:t>vs.</w:t>
      </w:r>
      <w:r w:rsidRPr="00275306">
        <w:rPr>
          <w:b w:val="0"/>
          <w:lang w:eastAsia="zh-CN"/>
        </w:rPr>
        <w:t xml:space="preserve"> O26, O103 and O157) are detected during this study than during the study by </w:t>
      </w:r>
      <w:proofErr w:type="spellStart"/>
      <w:r w:rsidRPr="00275306">
        <w:rPr>
          <w:b w:val="0"/>
          <w:lang w:eastAsia="zh-CN"/>
        </w:rPr>
        <w:t>Thiry</w:t>
      </w:r>
      <w:proofErr w:type="spellEnd"/>
      <w:r w:rsidRPr="00275306">
        <w:rPr>
          <w:b w:val="0"/>
          <w:lang w:eastAsia="zh-CN"/>
        </w:rPr>
        <w:t xml:space="preserve"> and collaborators [17]. Such a higher prevalence of “gang-of-seven” serotypes in young calves has already been reported during different surveys in Australia and New-Zealand in dairy, beef or veal calves compared to adult animals sampled at slaughterhouses [9,10,</w:t>
      </w:r>
      <w:r w:rsidRPr="001469DB">
        <w:rPr>
          <w:b w:val="0"/>
          <w:highlight w:val="yellow"/>
          <w:lang w:eastAsia="zh-CN"/>
        </w:rPr>
        <w:t>2</w:t>
      </w:r>
      <w:r w:rsidR="008F5AD8" w:rsidRPr="001469DB">
        <w:rPr>
          <w:b w:val="0"/>
          <w:highlight w:val="yellow"/>
          <w:lang w:eastAsia="zh-CN"/>
        </w:rPr>
        <w:t>5</w:t>
      </w:r>
      <w:r w:rsidRPr="001469DB">
        <w:rPr>
          <w:b w:val="0"/>
          <w:highlight w:val="yellow"/>
          <w:lang w:eastAsia="zh-CN"/>
        </w:rPr>
        <w:t>].</w:t>
      </w:r>
      <w:r w:rsidRPr="00275306">
        <w:rPr>
          <w:b w:val="0"/>
          <w:lang w:eastAsia="zh-CN"/>
        </w:rPr>
        <w:t xml:space="preserve"> </w:t>
      </w:r>
    </w:p>
    <w:p w:rsidR="00275306" w:rsidRPr="00275306" w:rsidRDefault="00275306" w:rsidP="00275306">
      <w:pPr>
        <w:pStyle w:val="MDPI21heading1"/>
        <w:jc w:val="both"/>
        <w:rPr>
          <w:b w:val="0"/>
          <w:lang w:eastAsia="zh-CN"/>
        </w:rPr>
      </w:pPr>
      <w:r w:rsidRPr="00275306">
        <w:rPr>
          <w:b w:val="0"/>
          <w:lang w:eastAsia="zh-CN"/>
        </w:rPr>
        <w:t xml:space="preserve">Nevertheless, the identified serotypes are not evenly distributed in the three farms at the 3 samplings (Table 4). For instance, the serotype O26 is identified only in </w:t>
      </w:r>
      <w:proofErr w:type="spellStart"/>
      <w:r w:rsidRPr="00275306">
        <w:rPr>
          <w:b w:val="0"/>
          <w:lang w:eastAsia="zh-CN"/>
        </w:rPr>
        <w:t>FarmB</w:t>
      </w:r>
      <w:proofErr w:type="spellEnd"/>
      <w:r w:rsidRPr="00275306">
        <w:rPr>
          <w:b w:val="0"/>
          <w:lang w:eastAsia="zh-CN"/>
        </w:rPr>
        <w:t xml:space="preserve"> while serotypes O157 and O103 are not detected in </w:t>
      </w:r>
      <w:proofErr w:type="spellStart"/>
      <w:r w:rsidRPr="00275306">
        <w:rPr>
          <w:b w:val="0"/>
          <w:lang w:eastAsia="zh-CN"/>
        </w:rPr>
        <w:t>FarmB</w:t>
      </w:r>
      <w:proofErr w:type="spellEnd"/>
      <w:r w:rsidRPr="00275306">
        <w:rPr>
          <w:b w:val="0"/>
          <w:lang w:eastAsia="zh-CN"/>
        </w:rPr>
        <w:t xml:space="preserve"> and </w:t>
      </w:r>
      <w:proofErr w:type="spellStart"/>
      <w:r w:rsidRPr="00275306">
        <w:rPr>
          <w:b w:val="0"/>
          <w:lang w:eastAsia="zh-CN"/>
        </w:rPr>
        <w:t>FarmC</w:t>
      </w:r>
      <w:proofErr w:type="spellEnd"/>
      <w:r w:rsidRPr="00275306">
        <w:rPr>
          <w:b w:val="0"/>
          <w:lang w:eastAsia="zh-CN"/>
        </w:rPr>
        <w:t xml:space="preserve">, respectively. These 5 serotypes are neither evenly distributed between the </w:t>
      </w:r>
      <w:proofErr w:type="spellStart"/>
      <w:r w:rsidRPr="00275306">
        <w:rPr>
          <w:b w:val="0"/>
          <w:lang w:eastAsia="zh-CN"/>
        </w:rPr>
        <w:t>pathotypes</w:t>
      </w:r>
      <w:proofErr w:type="spellEnd"/>
      <w:r w:rsidRPr="00275306">
        <w:rPr>
          <w:b w:val="0"/>
          <w:lang w:eastAsia="zh-CN"/>
        </w:rPr>
        <w:t xml:space="preserve"> and </w:t>
      </w:r>
      <w:proofErr w:type="spellStart"/>
      <w:r w:rsidRPr="00275306">
        <w:rPr>
          <w:b w:val="0"/>
          <w:lang w:eastAsia="zh-CN"/>
        </w:rPr>
        <w:t>virulotypes</w:t>
      </w:r>
      <w:proofErr w:type="spellEnd"/>
      <w:r w:rsidRPr="00275306">
        <w:rPr>
          <w:b w:val="0"/>
          <w:lang w:eastAsia="zh-CN"/>
        </w:rPr>
        <w:t xml:space="preserve"> (Table 3). For instance, the O26 and O103 serotypes are detected only amongst </w:t>
      </w:r>
      <w:proofErr w:type="spellStart"/>
      <w:r w:rsidRPr="00275306">
        <w:rPr>
          <w:b w:val="0"/>
          <w:lang w:eastAsia="zh-CN"/>
        </w:rPr>
        <w:t>eae</w:t>
      </w:r>
      <w:proofErr w:type="spellEnd"/>
      <w:r w:rsidRPr="00275306">
        <w:rPr>
          <w:b w:val="0"/>
          <w:lang w:eastAsia="zh-CN"/>
        </w:rPr>
        <w:t xml:space="preserve">+ EPEC and eae+stx1+ AE-STEC. In addition, more RAMS harboring AE-STEC isolates (83%) are positive for one of those 5 serotypes, than STEC (52%) and EPEC (53%) (Table 3). These latter results are similar to those in diarrheic calves, but different from those in healthy cattle in Belgium [13,17]. </w:t>
      </w:r>
    </w:p>
    <w:p w:rsidR="00275306" w:rsidRPr="00275306" w:rsidRDefault="00275306" w:rsidP="00275306">
      <w:pPr>
        <w:pStyle w:val="MDPI21heading1"/>
        <w:jc w:val="both"/>
        <w:rPr>
          <w:b w:val="0"/>
          <w:lang w:eastAsia="zh-CN"/>
        </w:rPr>
      </w:pPr>
      <w:r w:rsidRPr="00275306">
        <w:rPr>
          <w:b w:val="0"/>
          <w:lang w:eastAsia="zh-CN"/>
        </w:rPr>
        <w:t xml:space="preserve">Conversely, the other 3 serotypes that were looked for in this study, O5, O80 and O118 were not identified, confirming previous findings in Belgium [17,26] and in Europe in general [4] that they are absent, or very rare in asymptomatic calves and adult cattle. This situation is quite different from the situation in young diarrheic calves that can be infected with O5, O118 and O80, in addition to O26 and O111 AE-STEC and EPEC [12-14,16]. Their absence could mean that these O serotypes are present in very low numbers, under the detection level, in healthy calves and adult cattle, or that the sampling was not appropriate: recto-anal junction and large intestinal content instead of small intestine in diarrheic calves. </w:t>
      </w:r>
    </w:p>
    <w:p w:rsidR="00275306" w:rsidRPr="00275306" w:rsidRDefault="00275306" w:rsidP="00275306">
      <w:pPr>
        <w:pStyle w:val="MDPI21heading1"/>
        <w:jc w:val="both"/>
        <w:rPr>
          <w:b w:val="0"/>
          <w:lang w:eastAsia="zh-CN"/>
        </w:rPr>
      </w:pPr>
      <w:r w:rsidRPr="00275306">
        <w:rPr>
          <w:b w:val="0"/>
          <w:lang w:eastAsia="zh-CN"/>
        </w:rPr>
        <w:t xml:space="preserve">Of the 69 RAMS (30% of all RAMS) with triplex PCR-positive colonies (Table 1), 36 RAMS (15%) harbor EPEC, 23 RAMS AE-STEC (EHEC) (10%) and 27 RAMS (12%) STEC. The </w:t>
      </w:r>
      <w:proofErr w:type="spellStart"/>
      <w:r w:rsidRPr="001303E1">
        <w:rPr>
          <w:b w:val="0"/>
          <w:i/>
          <w:lang w:eastAsia="zh-CN"/>
        </w:rPr>
        <w:t>eae</w:t>
      </w:r>
      <w:proofErr w:type="spellEnd"/>
      <w:r w:rsidRPr="001303E1">
        <w:rPr>
          <w:b w:val="0"/>
          <w:i/>
          <w:lang w:eastAsia="zh-CN"/>
        </w:rPr>
        <w:t>+</w:t>
      </w:r>
      <w:r w:rsidRPr="00275306">
        <w:rPr>
          <w:b w:val="0"/>
          <w:lang w:eastAsia="zh-CN"/>
        </w:rPr>
        <w:t xml:space="preserve"> EPEC is the most frequent </w:t>
      </w:r>
      <w:proofErr w:type="spellStart"/>
      <w:r w:rsidRPr="00275306">
        <w:rPr>
          <w:b w:val="0"/>
          <w:lang w:eastAsia="zh-CN"/>
        </w:rPr>
        <w:t>virulotype</w:t>
      </w:r>
      <w:proofErr w:type="spellEnd"/>
      <w:r w:rsidRPr="00275306">
        <w:rPr>
          <w:b w:val="0"/>
          <w:lang w:eastAsia="zh-CN"/>
        </w:rPr>
        <w:t xml:space="preserve"> while the </w:t>
      </w:r>
      <w:r w:rsidRPr="001303E1">
        <w:rPr>
          <w:b w:val="0"/>
          <w:i/>
          <w:lang w:eastAsia="zh-CN"/>
        </w:rPr>
        <w:t>eae+stx1+stx2+</w:t>
      </w:r>
      <w:r w:rsidRPr="00275306">
        <w:rPr>
          <w:b w:val="0"/>
          <w:lang w:eastAsia="zh-CN"/>
        </w:rPr>
        <w:t xml:space="preserve"> </w:t>
      </w:r>
      <w:proofErr w:type="spellStart"/>
      <w:r w:rsidRPr="00275306">
        <w:rPr>
          <w:b w:val="0"/>
          <w:lang w:eastAsia="zh-CN"/>
        </w:rPr>
        <w:t>virulotype</w:t>
      </w:r>
      <w:proofErr w:type="spellEnd"/>
      <w:r w:rsidRPr="00275306">
        <w:rPr>
          <w:b w:val="0"/>
          <w:lang w:eastAsia="zh-CN"/>
        </w:rPr>
        <w:t xml:space="preserve"> is the most frequent amongst AE-STEC and the </w:t>
      </w:r>
      <w:r w:rsidRPr="001303E1">
        <w:rPr>
          <w:b w:val="0"/>
          <w:i/>
          <w:lang w:eastAsia="zh-CN"/>
        </w:rPr>
        <w:t>stx1+stx2+</w:t>
      </w:r>
      <w:r w:rsidRPr="00275306">
        <w:rPr>
          <w:b w:val="0"/>
          <w:lang w:eastAsia="zh-CN"/>
        </w:rPr>
        <w:t xml:space="preserve"> amongst STEC. Moreover, 15 RAMS (6%) harbor </w:t>
      </w:r>
      <w:r w:rsidR="001F6DB0" w:rsidRPr="001F6DB0">
        <w:rPr>
          <w:b w:val="0"/>
          <w:i/>
          <w:lang w:eastAsia="zh-CN"/>
        </w:rPr>
        <w:t>E. coli</w:t>
      </w:r>
      <w:r w:rsidRPr="00275306">
        <w:rPr>
          <w:b w:val="0"/>
          <w:lang w:eastAsia="zh-CN"/>
        </w:rPr>
        <w:t xml:space="preserve"> belonging to more than one </w:t>
      </w:r>
      <w:proofErr w:type="spellStart"/>
      <w:r w:rsidRPr="00275306">
        <w:rPr>
          <w:b w:val="0"/>
          <w:lang w:eastAsia="zh-CN"/>
        </w:rPr>
        <w:t>virulotype</w:t>
      </w:r>
      <w:proofErr w:type="spellEnd"/>
      <w:r w:rsidRPr="00275306">
        <w:rPr>
          <w:b w:val="0"/>
          <w:lang w:eastAsia="zh-CN"/>
        </w:rPr>
        <w:t xml:space="preserve">, a situation previously reported in Belgium [27]. These results are to some extent different from those obtained during the study in 2 slaughterhouses in Belgium [17].  For instance, although the percentage of colon samples harboring triplex PCR-positive colonies is similar (25%), more of the colon samples harbor </w:t>
      </w:r>
      <w:r w:rsidR="001F6DB0" w:rsidRPr="001F6DB0">
        <w:rPr>
          <w:b w:val="0"/>
          <w:i/>
          <w:lang w:eastAsia="zh-CN"/>
        </w:rPr>
        <w:t>E. coli</w:t>
      </w:r>
      <w:r w:rsidRPr="00275306">
        <w:rPr>
          <w:b w:val="0"/>
          <w:lang w:eastAsia="zh-CN"/>
        </w:rPr>
        <w:t xml:space="preserve"> belonging to different </w:t>
      </w:r>
      <w:proofErr w:type="spellStart"/>
      <w:r w:rsidRPr="00275306">
        <w:rPr>
          <w:b w:val="0"/>
          <w:lang w:eastAsia="zh-CN"/>
        </w:rPr>
        <w:t>virulotypes</w:t>
      </w:r>
      <w:proofErr w:type="spellEnd"/>
      <w:r w:rsidRPr="00275306">
        <w:rPr>
          <w:b w:val="0"/>
          <w:lang w:eastAsia="zh-CN"/>
        </w:rPr>
        <w:t xml:space="preserve"> (15%). Moreover, though the </w:t>
      </w:r>
      <w:proofErr w:type="spellStart"/>
      <w:r w:rsidRPr="001303E1">
        <w:rPr>
          <w:b w:val="0"/>
          <w:i/>
          <w:lang w:eastAsia="zh-CN"/>
        </w:rPr>
        <w:t>eae</w:t>
      </w:r>
      <w:proofErr w:type="spellEnd"/>
      <w:r w:rsidRPr="001303E1">
        <w:rPr>
          <w:b w:val="0"/>
          <w:i/>
          <w:lang w:eastAsia="zh-CN"/>
        </w:rPr>
        <w:t>+</w:t>
      </w:r>
      <w:r w:rsidRPr="00275306">
        <w:rPr>
          <w:b w:val="0"/>
          <w:lang w:eastAsia="zh-CN"/>
        </w:rPr>
        <w:t xml:space="preserve"> EPEC is the most frequently identified </w:t>
      </w:r>
      <w:proofErr w:type="spellStart"/>
      <w:r w:rsidRPr="00275306">
        <w:rPr>
          <w:b w:val="0"/>
          <w:lang w:eastAsia="zh-CN"/>
        </w:rPr>
        <w:t>virulotype</w:t>
      </w:r>
      <w:proofErr w:type="spellEnd"/>
      <w:r w:rsidRPr="00275306">
        <w:rPr>
          <w:b w:val="0"/>
          <w:lang w:eastAsia="zh-CN"/>
        </w:rPr>
        <w:t xml:space="preserve"> in both surveys, the most frequent AE-STEC and STEC </w:t>
      </w:r>
      <w:proofErr w:type="spellStart"/>
      <w:r w:rsidRPr="00275306">
        <w:rPr>
          <w:b w:val="0"/>
          <w:lang w:eastAsia="zh-CN"/>
        </w:rPr>
        <w:t>virulotypes</w:t>
      </w:r>
      <w:proofErr w:type="spellEnd"/>
      <w:r w:rsidRPr="00275306">
        <w:rPr>
          <w:b w:val="0"/>
          <w:lang w:eastAsia="zh-CN"/>
        </w:rPr>
        <w:t xml:space="preserve"> are different: </w:t>
      </w:r>
      <w:r w:rsidRPr="001303E1">
        <w:rPr>
          <w:b w:val="0"/>
          <w:i/>
          <w:lang w:eastAsia="zh-CN"/>
        </w:rPr>
        <w:t>eae+stx1+</w:t>
      </w:r>
      <w:r w:rsidRPr="00275306">
        <w:rPr>
          <w:b w:val="0"/>
          <w:lang w:eastAsia="zh-CN"/>
        </w:rPr>
        <w:t xml:space="preserve"> and </w:t>
      </w:r>
      <w:r w:rsidRPr="001303E1">
        <w:rPr>
          <w:b w:val="0"/>
          <w:i/>
          <w:lang w:eastAsia="zh-CN"/>
        </w:rPr>
        <w:t>stx2+</w:t>
      </w:r>
      <w:r w:rsidRPr="00275306">
        <w:rPr>
          <w:b w:val="0"/>
          <w:lang w:eastAsia="zh-CN"/>
        </w:rPr>
        <w:t>.</w:t>
      </w:r>
    </w:p>
    <w:p w:rsidR="00275306" w:rsidRPr="00275306" w:rsidRDefault="00275306" w:rsidP="00275306">
      <w:pPr>
        <w:pStyle w:val="MDPI21heading1"/>
        <w:jc w:val="both"/>
        <w:rPr>
          <w:b w:val="0"/>
          <w:lang w:eastAsia="zh-CN"/>
        </w:rPr>
      </w:pPr>
      <w:r w:rsidRPr="00275306">
        <w:rPr>
          <w:b w:val="0"/>
          <w:lang w:eastAsia="zh-CN"/>
        </w:rPr>
        <w:t xml:space="preserve">Differences in the percentage of RAMS positive for the presence of EPEC, AE-STEC or STEC are observed between farms and between samplings. This percentage is much lower in </w:t>
      </w:r>
      <w:proofErr w:type="spellStart"/>
      <w:r w:rsidRPr="00275306">
        <w:rPr>
          <w:b w:val="0"/>
          <w:lang w:eastAsia="zh-CN"/>
        </w:rPr>
        <w:t>FarmA</w:t>
      </w:r>
      <w:proofErr w:type="spellEnd"/>
      <w:r w:rsidRPr="00275306">
        <w:rPr>
          <w:b w:val="0"/>
          <w:lang w:eastAsia="zh-CN"/>
        </w:rPr>
        <w:t xml:space="preserve"> (20%) than in Farm B (37%) and in </w:t>
      </w:r>
      <w:proofErr w:type="spellStart"/>
      <w:r w:rsidRPr="00275306">
        <w:rPr>
          <w:b w:val="0"/>
          <w:lang w:eastAsia="zh-CN"/>
        </w:rPr>
        <w:t>FarmC</w:t>
      </w:r>
      <w:proofErr w:type="spellEnd"/>
      <w:r w:rsidRPr="00275306">
        <w:rPr>
          <w:b w:val="0"/>
          <w:lang w:eastAsia="zh-CN"/>
        </w:rPr>
        <w:t xml:space="preserve"> (32%) and at Sampling1 (6%) than at Sampling2 (28%) and at Sampling3 (47%). The distributions of </w:t>
      </w:r>
      <w:proofErr w:type="spellStart"/>
      <w:r w:rsidRPr="00275306">
        <w:rPr>
          <w:b w:val="0"/>
          <w:lang w:eastAsia="zh-CN"/>
        </w:rPr>
        <w:t>pathotypes</w:t>
      </w:r>
      <w:proofErr w:type="spellEnd"/>
      <w:r w:rsidRPr="00275306">
        <w:rPr>
          <w:b w:val="0"/>
          <w:lang w:eastAsia="zh-CN"/>
        </w:rPr>
        <w:t xml:space="preserve"> are also different according to the farms and to the samplings (Table 2). A majority of RAMS are positive for EPEC in </w:t>
      </w:r>
      <w:proofErr w:type="spellStart"/>
      <w:r w:rsidRPr="00275306">
        <w:rPr>
          <w:b w:val="0"/>
          <w:lang w:eastAsia="zh-CN"/>
        </w:rPr>
        <w:t>FarmA</w:t>
      </w:r>
      <w:proofErr w:type="spellEnd"/>
      <w:r w:rsidRPr="00275306">
        <w:rPr>
          <w:b w:val="0"/>
          <w:lang w:eastAsia="zh-CN"/>
        </w:rPr>
        <w:t xml:space="preserve"> and </w:t>
      </w:r>
      <w:proofErr w:type="spellStart"/>
      <w:r w:rsidRPr="00275306">
        <w:rPr>
          <w:b w:val="0"/>
          <w:lang w:eastAsia="zh-CN"/>
        </w:rPr>
        <w:t>FarmB</w:t>
      </w:r>
      <w:proofErr w:type="spellEnd"/>
      <w:r w:rsidRPr="00275306">
        <w:rPr>
          <w:b w:val="0"/>
          <w:lang w:eastAsia="zh-CN"/>
        </w:rPr>
        <w:t xml:space="preserve"> and for STEC in </w:t>
      </w:r>
      <w:proofErr w:type="spellStart"/>
      <w:r w:rsidRPr="00275306">
        <w:rPr>
          <w:b w:val="0"/>
          <w:lang w:eastAsia="zh-CN"/>
        </w:rPr>
        <w:t>FarmC</w:t>
      </w:r>
      <w:proofErr w:type="spellEnd"/>
      <w:r w:rsidRPr="00275306">
        <w:rPr>
          <w:b w:val="0"/>
          <w:lang w:eastAsia="zh-CN"/>
        </w:rPr>
        <w:t xml:space="preserve"> while a minority of RAMS are positive for AE-STEC in </w:t>
      </w:r>
      <w:proofErr w:type="spellStart"/>
      <w:r w:rsidRPr="00275306">
        <w:rPr>
          <w:b w:val="0"/>
          <w:lang w:eastAsia="zh-CN"/>
        </w:rPr>
        <w:t>FarmB</w:t>
      </w:r>
      <w:proofErr w:type="spellEnd"/>
      <w:r w:rsidRPr="00275306">
        <w:rPr>
          <w:b w:val="0"/>
          <w:lang w:eastAsia="zh-CN"/>
        </w:rPr>
        <w:t xml:space="preserve"> and for EPEC in </w:t>
      </w:r>
      <w:proofErr w:type="spellStart"/>
      <w:r w:rsidRPr="00275306">
        <w:rPr>
          <w:b w:val="0"/>
          <w:lang w:eastAsia="zh-CN"/>
        </w:rPr>
        <w:t>FarmC</w:t>
      </w:r>
      <w:proofErr w:type="spellEnd"/>
      <w:r w:rsidRPr="00275306">
        <w:rPr>
          <w:b w:val="0"/>
          <w:lang w:eastAsia="zh-CN"/>
        </w:rPr>
        <w:t xml:space="preserve">. Not enough RAMS are positive at Sampling1 for a detailed analysis, but the percentage of EPEC-positive RAMS decreases from Sampling2 to Sampling3 while the percentage of STEC-positive RAMS </w:t>
      </w:r>
      <w:r w:rsidRPr="00275306">
        <w:rPr>
          <w:b w:val="0"/>
          <w:lang w:eastAsia="zh-CN"/>
        </w:rPr>
        <w:lastRenderedPageBreak/>
        <w:t xml:space="preserve">increases and the percentage AE-STEC-positive remains stable. Several hypotheses may explain for such differences between farms and samplings. Were the STEC and EPEC present in such low numbers in </w:t>
      </w:r>
      <w:proofErr w:type="spellStart"/>
      <w:r w:rsidRPr="00275306">
        <w:rPr>
          <w:b w:val="0"/>
          <w:lang w:eastAsia="zh-CN"/>
        </w:rPr>
        <w:t>FarmA</w:t>
      </w:r>
      <w:proofErr w:type="spellEnd"/>
      <w:r w:rsidRPr="00275306">
        <w:rPr>
          <w:b w:val="0"/>
          <w:lang w:eastAsia="zh-CN"/>
        </w:rPr>
        <w:t xml:space="preserve"> that testing only 5 colonies per agar medium was not enough? Was Farm A less contaminated with STEC and EPEC? Or were the </w:t>
      </w:r>
      <w:proofErr w:type="spellStart"/>
      <w:r w:rsidRPr="001303E1">
        <w:rPr>
          <w:b w:val="0"/>
          <w:i/>
          <w:lang w:eastAsia="zh-CN"/>
        </w:rPr>
        <w:t>stx</w:t>
      </w:r>
      <w:proofErr w:type="spellEnd"/>
      <w:r w:rsidRPr="00275306">
        <w:rPr>
          <w:b w:val="0"/>
          <w:lang w:eastAsia="zh-CN"/>
        </w:rPr>
        <w:t xml:space="preserve"> genes more unstable </w:t>
      </w:r>
      <w:r w:rsidRPr="00993723">
        <w:rPr>
          <w:b w:val="0"/>
          <w:i/>
          <w:lang w:eastAsia="zh-CN"/>
        </w:rPr>
        <w:t>in vivo</w:t>
      </w:r>
      <w:r w:rsidRPr="00275306">
        <w:rPr>
          <w:b w:val="0"/>
          <w:lang w:eastAsia="zh-CN"/>
        </w:rPr>
        <w:t xml:space="preserve"> or in </w:t>
      </w:r>
      <w:r w:rsidRPr="00993723">
        <w:rPr>
          <w:b w:val="0"/>
          <w:i/>
          <w:lang w:eastAsia="zh-CN"/>
        </w:rPr>
        <w:t>vitro</w:t>
      </w:r>
      <w:r w:rsidRPr="00275306">
        <w:rPr>
          <w:b w:val="0"/>
          <w:lang w:eastAsia="zh-CN"/>
        </w:rPr>
        <w:t xml:space="preserve"> in the </w:t>
      </w:r>
      <w:r w:rsidR="001F6DB0" w:rsidRPr="001F6DB0">
        <w:rPr>
          <w:b w:val="0"/>
          <w:i/>
          <w:lang w:eastAsia="zh-CN"/>
        </w:rPr>
        <w:t>E. coli</w:t>
      </w:r>
      <w:r w:rsidRPr="00275306">
        <w:rPr>
          <w:b w:val="0"/>
          <w:lang w:eastAsia="zh-CN"/>
        </w:rPr>
        <w:t xml:space="preserve"> isolates of </w:t>
      </w:r>
      <w:proofErr w:type="spellStart"/>
      <w:r w:rsidRPr="00275306">
        <w:rPr>
          <w:b w:val="0"/>
          <w:lang w:eastAsia="zh-CN"/>
        </w:rPr>
        <w:t>FarmA</w:t>
      </w:r>
      <w:proofErr w:type="spellEnd"/>
      <w:r w:rsidRPr="00275306">
        <w:rPr>
          <w:b w:val="0"/>
          <w:lang w:eastAsia="zh-CN"/>
        </w:rPr>
        <w:t xml:space="preserve">? Similarly, the reason for the increase of RAMS with PCR-confirmed colonies according to the sampling in the 3 Farms (though at different rates) can only be hypothesized, e.g. by the introduction of new asymptomatic carriers and/or by an increase of the shedding of STEC and EPEC in the feces of young or adult animals following some stress. Spread of one (AE-)STEC or EPEC serotype within a farm has been observed as soon as one calf becomes a super-shedder and the numbers of shedders increase with the number of calves and with their age [11]. Another hypothesis would be the occurrence of EPEC- or AE-STEC-associated diarrhea in some of these young calves. However, this last hypothesis is of a very low probability since only one of the 11 diarrheic calves sampled excrete EPEC, and none (AE-)STEC.  </w:t>
      </w:r>
    </w:p>
    <w:p w:rsidR="00275306" w:rsidRPr="00275306" w:rsidRDefault="00275306" w:rsidP="00275306">
      <w:pPr>
        <w:pStyle w:val="MDPI21heading1"/>
        <w:jc w:val="both"/>
        <w:rPr>
          <w:b w:val="0"/>
          <w:lang w:eastAsia="zh-CN"/>
        </w:rPr>
      </w:pPr>
      <w:r w:rsidRPr="00275306">
        <w:rPr>
          <w:b w:val="0"/>
          <w:lang w:eastAsia="zh-CN"/>
        </w:rPr>
        <w:t xml:space="preserve">Besides their prevalence, the second purpose of this study was to follow the persistence of the different </w:t>
      </w:r>
      <w:proofErr w:type="spellStart"/>
      <w:r w:rsidRPr="00275306">
        <w:rPr>
          <w:b w:val="0"/>
          <w:lang w:eastAsia="zh-CN"/>
        </w:rPr>
        <w:t>virulotypes</w:t>
      </w:r>
      <w:proofErr w:type="spellEnd"/>
      <w:r w:rsidRPr="00275306">
        <w:rPr>
          <w:b w:val="0"/>
          <w:lang w:eastAsia="zh-CN"/>
        </w:rPr>
        <w:t xml:space="preserve"> and serotypes in the same calves. The results confirm not only that one negative calf can become a shedder a few weeks later probably after being contaminated by another shedder, but also that EPEC, AE-STEC and STEC belonging to different </w:t>
      </w:r>
      <w:proofErr w:type="spellStart"/>
      <w:r w:rsidRPr="00275306">
        <w:rPr>
          <w:b w:val="0"/>
          <w:lang w:eastAsia="zh-CN"/>
        </w:rPr>
        <w:t>virulotypes</w:t>
      </w:r>
      <w:proofErr w:type="spellEnd"/>
      <w:r w:rsidRPr="00275306">
        <w:rPr>
          <w:b w:val="0"/>
          <w:lang w:eastAsia="zh-CN"/>
        </w:rPr>
        <w:t xml:space="preserve"> and serotypes can be excreted at different times by one single calf illustrating possible multiple contamination events. These results are similar to those obtained by Rice and collaborators [18] who could differentiate between cattle colonized by and cattle transiently shedding O157:H7 </w:t>
      </w:r>
      <w:r w:rsidR="001F6DB0" w:rsidRPr="001F6DB0">
        <w:rPr>
          <w:b w:val="0"/>
          <w:i/>
          <w:lang w:eastAsia="zh-CN"/>
        </w:rPr>
        <w:t>E. coli</w:t>
      </w:r>
      <w:r w:rsidRPr="00275306">
        <w:rPr>
          <w:b w:val="0"/>
          <w:lang w:eastAsia="zh-CN"/>
        </w:rPr>
        <w:t xml:space="preserve"> using RAMS. Therefore, more than one sampling over a period of several weeks should be recommended when performing a survey in any farm. </w:t>
      </w:r>
    </w:p>
    <w:p w:rsidR="00275306" w:rsidRPr="00275306" w:rsidRDefault="00275306" w:rsidP="00275306">
      <w:pPr>
        <w:pStyle w:val="MDPI21heading1"/>
        <w:jc w:val="both"/>
        <w:rPr>
          <w:b w:val="0"/>
          <w:lang w:eastAsia="zh-CN"/>
        </w:rPr>
      </w:pPr>
      <w:r w:rsidRPr="00275306">
        <w:rPr>
          <w:b w:val="0"/>
          <w:lang w:eastAsia="zh-CN"/>
        </w:rPr>
        <w:t xml:space="preserve">Although less healthy dairy calves in those 3 farms than adult cattle in slaughterhouses in Belgium harbor “non-gang-of-seven” serotypes (65% </w:t>
      </w:r>
      <w:r w:rsidRPr="00993723">
        <w:rPr>
          <w:b w:val="0"/>
          <w:i/>
          <w:lang w:eastAsia="zh-CN"/>
        </w:rPr>
        <w:t>vs.</w:t>
      </w:r>
      <w:r w:rsidRPr="00275306">
        <w:rPr>
          <w:b w:val="0"/>
          <w:lang w:eastAsia="zh-CN"/>
        </w:rPr>
        <w:t xml:space="preserve"> 97%) and although the identification of their actual serotypes will be the purpose of future studies, the question in surveys is the same as previously [17]: “How to isolate and identify them”? Indeed so far, the selective methodologies target only the “gang-of-seven” serotypes. The results of this study were obtained using a first </w:t>
      </w:r>
      <w:proofErr w:type="spellStart"/>
      <w:r w:rsidRPr="00275306">
        <w:rPr>
          <w:b w:val="0"/>
          <w:lang w:eastAsia="zh-CN"/>
        </w:rPr>
        <w:t>enterobacteria</w:t>
      </w:r>
      <w:proofErr w:type="spellEnd"/>
      <w:r w:rsidRPr="00275306">
        <w:rPr>
          <w:b w:val="0"/>
          <w:lang w:eastAsia="zh-CN"/>
        </w:rPr>
        <w:t xml:space="preserve"> enrichment step f</w:t>
      </w:r>
      <w:r w:rsidR="001303E1">
        <w:rPr>
          <w:b w:val="0"/>
          <w:lang w:eastAsia="zh-CN"/>
        </w:rPr>
        <w:t>ollowed by growth on four (semi</w:t>
      </w:r>
      <w:r w:rsidRPr="00275306">
        <w:rPr>
          <w:b w:val="0"/>
          <w:lang w:eastAsia="zh-CN"/>
        </w:rPr>
        <w:t xml:space="preserve">-)selective agar media. MC and ES are selective for </w:t>
      </w:r>
      <w:proofErr w:type="spellStart"/>
      <w:r w:rsidRPr="00275306">
        <w:rPr>
          <w:b w:val="0"/>
          <w:lang w:eastAsia="zh-CN"/>
        </w:rPr>
        <w:t>enterobacteria</w:t>
      </w:r>
      <w:proofErr w:type="spellEnd"/>
      <w:r w:rsidRPr="00275306">
        <w:rPr>
          <w:b w:val="0"/>
          <w:lang w:eastAsia="zh-CN"/>
        </w:rPr>
        <w:t xml:space="preserve"> and coliforms in general, respectively. </w:t>
      </w:r>
      <w:proofErr w:type="spellStart"/>
      <w:r w:rsidRPr="00275306">
        <w:rPr>
          <w:b w:val="0"/>
          <w:lang w:eastAsia="zh-CN"/>
        </w:rPr>
        <w:t>ESTe</w:t>
      </w:r>
      <w:proofErr w:type="spellEnd"/>
      <w:r w:rsidRPr="00275306">
        <w:rPr>
          <w:b w:val="0"/>
          <w:lang w:eastAsia="zh-CN"/>
        </w:rPr>
        <w:t xml:space="preserve"> and STECB are selective for tellurite-resistant coliforms, including the majority, if not all “gang-of-seven” and several “non-gang-of-seven” (AE-)STEC and EPEC, in opposition to the majority of non-STEC non-EPEC strains [28,29]. This selective property is reflected by the lower number of RAMS with colonies growing on </w:t>
      </w:r>
      <w:proofErr w:type="spellStart"/>
      <w:r w:rsidRPr="00275306">
        <w:rPr>
          <w:b w:val="0"/>
          <w:lang w:eastAsia="zh-CN"/>
        </w:rPr>
        <w:t>ESTe</w:t>
      </w:r>
      <w:proofErr w:type="spellEnd"/>
      <w:r w:rsidRPr="00275306">
        <w:rPr>
          <w:b w:val="0"/>
          <w:lang w:eastAsia="zh-CN"/>
        </w:rPr>
        <w:t xml:space="preserve"> and STECB, 63 and 107 out of 148, respectively (Table 5). STECB is the most performant during this study with a similar rate than in the previous study [17]. While MC and ES also have a similar efficiency in either studies, the situation is highly different for </w:t>
      </w:r>
      <w:proofErr w:type="spellStart"/>
      <w:r w:rsidRPr="00275306">
        <w:rPr>
          <w:b w:val="0"/>
          <w:lang w:eastAsia="zh-CN"/>
        </w:rPr>
        <w:t>ESTe</w:t>
      </w:r>
      <w:proofErr w:type="spellEnd"/>
      <w:r w:rsidRPr="00275306">
        <w:rPr>
          <w:b w:val="0"/>
          <w:lang w:eastAsia="zh-CN"/>
        </w:rPr>
        <w:t xml:space="preserve"> (7% of RAMS </w:t>
      </w:r>
      <w:r w:rsidRPr="00993723">
        <w:rPr>
          <w:b w:val="0"/>
          <w:i/>
          <w:lang w:eastAsia="zh-CN"/>
        </w:rPr>
        <w:t>vs.</w:t>
      </w:r>
      <w:r w:rsidRPr="00275306">
        <w:rPr>
          <w:b w:val="0"/>
          <w:lang w:eastAsia="zh-CN"/>
        </w:rPr>
        <w:t xml:space="preserve"> 53% of colon contents). The reason for this lower efficiency of </w:t>
      </w:r>
      <w:proofErr w:type="spellStart"/>
      <w:r w:rsidRPr="00275306">
        <w:rPr>
          <w:b w:val="0"/>
          <w:lang w:eastAsia="zh-CN"/>
        </w:rPr>
        <w:t>ESTe</w:t>
      </w:r>
      <w:proofErr w:type="spellEnd"/>
      <w:r w:rsidRPr="00275306">
        <w:rPr>
          <w:b w:val="0"/>
          <w:lang w:eastAsia="zh-CN"/>
        </w:rPr>
        <w:t xml:space="preserve"> in this study is unknown. </w:t>
      </w:r>
    </w:p>
    <w:p w:rsidR="00275306" w:rsidRPr="00275306" w:rsidRDefault="00275306" w:rsidP="00275306">
      <w:pPr>
        <w:pStyle w:val="MDPI21heading1"/>
        <w:jc w:val="both"/>
        <w:rPr>
          <w:b w:val="0"/>
          <w:lang w:eastAsia="zh-CN"/>
        </w:rPr>
      </w:pPr>
      <w:r w:rsidRPr="00275306">
        <w:rPr>
          <w:b w:val="0"/>
          <w:lang w:eastAsia="zh-CN"/>
        </w:rPr>
        <w:t xml:space="preserve">The choice between serotype-selective </w:t>
      </w:r>
      <w:r w:rsidRPr="00993723">
        <w:rPr>
          <w:b w:val="0"/>
          <w:i/>
          <w:lang w:eastAsia="zh-CN"/>
        </w:rPr>
        <w:t>vs.</w:t>
      </w:r>
      <w:r w:rsidRPr="00275306">
        <w:rPr>
          <w:b w:val="0"/>
          <w:lang w:eastAsia="zh-CN"/>
        </w:rPr>
        <w:t xml:space="preserve"> a non-selective procedure depends on the actual purpose of the study: studying the distribution and circulation of some “gang-of-seven” serotypes or of all EPEC and (AE-)STEC in one farm or one region? The answer to this question is most important since prevalence and incidence results can differ according to the procedure. For instance, using a serotype-selective procedure on the same RAMS [20], O157 EPEC and (AE-)STEC are detected in </w:t>
      </w:r>
      <w:proofErr w:type="spellStart"/>
      <w:r w:rsidRPr="00275306">
        <w:rPr>
          <w:b w:val="0"/>
          <w:lang w:eastAsia="zh-CN"/>
        </w:rPr>
        <w:t>FarmA</w:t>
      </w:r>
      <w:proofErr w:type="spellEnd"/>
      <w:r w:rsidRPr="00275306">
        <w:rPr>
          <w:b w:val="0"/>
          <w:lang w:eastAsia="zh-CN"/>
        </w:rPr>
        <w:t xml:space="preserve"> and in </w:t>
      </w:r>
      <w:proofErr w:type="spellStart"/>
      <w:r w:rsidRPr="00275306">
        <w:rPr>
          <w:b w:val="0"/>
          <w:lang w:eastAsia="zh-CN"/>
        </w:rPr>
        <w:t>FarmC</w:t>
      </w:r>
      <w:proofErr w:type="spellEnd"/>
      <w:r w:rsidRPr="00275306">
        <w:rPr>
          <w:b w:val="0"/>
          <w:lang w:eastAsia="zh-CN"/>
        </w:rPr>
        <w:t xml:space="preserve"> at more sampling times than in this study and O26 EPEC and (AE-)STEC are detected not only in </w:t>
      </w:r>
      <w:proofErr w:type="spellStart"/>
      <w:r w:rsidRPr="00275306">
        <w:rPr>
          <w:b w:val="0"/>
          <w:lang w:eastAsia="zh-CN"/>
        </w:rPr>
        <w:t>FarmB</w:t>
      </w:r>
      <w:proofErr w:type="spellEnd"/>
      <w:r w:rsidRPr="00275306">
        <w:rPr>
          <w:b w:val="0"/>
          <w:lang w:eastAsia="zh-CN"/>
        </w:rPr>
        <w:t xml:space="preserve"> like in this study, but also in </w:t>
      </w:r>
      <w:proofErr w:type="spellStart"/>
      <w:r w:rsidRPr="00275306">
        <w:rPr>
          <w:b w:val="0"/>
          <w:lang w:eastAsia="zh-CN"/>
        </w:rPr>
        <w:t>FarmA</w:t>
      </w:r>
      <w:proofErr w:type="spellEnd"/>
      <w:r w:rsidRPr="00275306">
        <w:rPr>
          <w:b w:val="0"/>
          <w:lang w:eastAsia="zh-CN"/>
        </w:rPr>
        <w:t xml:space="preserve"> and in </w:t>
      </w:r>
      <w:proofErr w:type="spellStart"/>
      <w:r w:rsidRPr="00275306">
        <w:rPr>
          <w:b w:val="0"/>
          <w:lang w:eastAsia="zh-CN"/>
        </w:rPr>
        <w:t>FarmC</w:t>
      </w:r>
      <w:proofErr w:type="spellEnd"/>
      <w:r w:rsidRPr="00275306">
        <w:rPr>
          <w:b w:val="0"/>
          <w:lang w:eastAsia="zh-CN"/>
        </w:rPr>
        <w:t xml:space="preserve">. </w:t>
      </w:r>
    </w:p>
    <w:p w:rsidR="00275306" w:rsidRPr="00275306" w:rsidRDefault="00275306" w:rsidP="00275306">
      <w:pPr>
        <w:pStyle w:val="MDPI21heading1"/>
        <w:jc w:val="both"/>
        <w:rPr>
          <w:b w:val="0"/>
          <w:lang w:eastAsia="zh-CN"/>
        </w:rPr>
      </w:pPr>
      <w:r w:rsidRPr="00275306">
        <w:rPr>
          <w:b w:val="0"/>
          <w:lang w:eastAsia="zh-CN"/>
        </w:rPr>
        <w:t xml:space="preserve">The final question is the actual place of the EPEC belonging to same serotypes as AE-STEC. So far, to our knowledge indeed, no classical genetic method has been able to fully distinguish between true EPEC and AE-STEC having lost the </w:t>
      </w:r>
      <w:proofErr w:type="spellStart"/>
      <w:r w:rsidRPr="001303E1">
        <w:rPr>
          <w:b w:val="0"/>
          <w:i/>
          <w:lang w:eastAsia="zh-CN"/>
        </w:rPr>
        <w:t>stx</w:t>
      </w:r>
      <w:proofErr w:type="spellEnd"/>
      <w:r w:rsidRPr="00275306">
        <w:rPr>
          <w:b w:val="0"/>
          <w:lang w:eastAsia="zh-CN"/>
        </w:rPr>
        <w:t xml:space="preserve"> genes [23,30,31]. Recently however we performed a phylogenetic analysis of ca. 50 AE-STEC and EPEC O80:H2 isolated from humans and calves, based on the Single Nucleotide </w:t>
      </w:r>
      <w:proofErr w:type="spellStart"/>
      <w:r w:rsidRPr="00275306">
        <w:rPr>
          <w:b w:val="0"/>
          <w:lang w:eastAsia="zh-CN"/>
        </w:rPr>
        <w:t>Polymorphims</w:t>
      </w:r>
      <w:proofErr w:type="spellEnd"/>
      <w:r w:rsidRPr="00275306">
        <w:rPr>
          <w:b w:val="0"/>
          <w:lang w:eastAsia="zh-CN"/>
        </w:rPr>
        <w:t xml:space="preserve"> (SNP) and constructed a Maximum </w:t>
      </w:r>
      <w:proofErr w:type="spellStart"/>
      <w:r w:rsidRPr="00275306">
        <w:rPr>
          <w:b w:val="0"/>
          <w:lang w:eastAsia="zh-CN"/>
        </w:rPr>
        <w:t>Likehood</w:t>
      </w:r>
      <w:proofErr w:type="spellEnd"/>
      <w:r w:rsidRPr="00275306">
        <w:rPr>
          <w:b w:val="0"/>
          <w:lang w:eastAsia="zh-CN"/>
        </w:rPr>
        <w:t xml:space="preserve"> (ML) tree that could distinguish between true EPEC and AE-STEC suspect of having lost the </w:t>
      </w:r>
      <w:proofErr w:type="spellStart"/>
      <w:r w:rsidRPr="001303E1">
        <w:rPr>
          <w:b w:val="0"/>
          <w:i/>
          <w:lang w:eastAsia="zh-CN"/>
        </w:rPr>
        <w:t>stx</w:t>
      </w:r>
      <w:proofErr w:type="spellEnd"/>
      <w:r w:rsidRPr="00275306">
        <w:rPr>
          <w:b w:val="0"/>
          <w:lang w:eastAsia="zh-CN"/>
        </w:rPr>
        <w:t xml:space="preserve"> genes [14]. This </w:t>
      </w:r>
      <w:r w:rsidRPr="00275306">
        <w:rPr>
          <w:b w:val="0"/>
          <w:lang w:eastAsia="zh-CN"/>
        </w:rPr>
        <w:lastRenderedPageBreak/>
        <w:t xml:space="preserve">may also represent a possibility of analyzing other serotypes containing both AE-STEC and EPEC [1-4,12,15,19,32,33]. </w:t>
      </w:r>
    </w:p>
    <w:p w:rsidR="00275306" w:rsidRPr="00275306" w:rsidRDefault="00275306" w:rsidP="00275306">
      <w:pPr>
        <w:pStyle w:val="MDPI21heading1"/>
        <w:jc w:val="both"/>
        <w:rPr>
          <w:b w:val="0"/>
          <w:lang w:eastAsia="zh-CN"/>
        </w:rPr>
      </w:pPr>
    </w:p>
    <w:p w:rsidR="00275306" w:rsidRPr="00275306" w:rsidRDefault="00275306" w:rsidP="00275306">
      <w:pPr>
        <w:pStyle w:val="MDPI21heading1"/>
        <w:rPr>
          <w:lang w:eastAsia="zh-CN"/>
        </w:rPr>
      </w:pPr>
      <w:r>
        <w:rPr>
          <w:lang w:eastAsia="zh-CN"/>
        </w:rPr>
        <w:t>5. Conclusion</w:t>
      </w:r>
    </w:p>
    <w:p w:rsidR="004F05D7" w:rsidRPr="005C5BC1" w:rsidRDefault="00275306" w:rsidP="00275306">
      <w:pPr>
        <w:pStyle w:val="MDPI21heading1"/>
        <w:jc w:val="both"/>
      </w:pPr>
      <w:r w:rsidRPr="00275306">
        <w:rPr>
          <w:b w:val="0"/>
          <w:lang w:eastAsia="zh-CN"/>
        </w:rPr>
        <w:t>The results of this survey confirm (</w:t>
      </w:r>
      <w:proofErr w:type="spellStart"/>
      <w:r w:rsidRPr="00275306">
        <w:rPr>
          <w:b w:val="0"/>
          <w:lang w:eastAsia="zh-CN"/>
        </w:rPr>
        <w:t>i</w:t>
      </w:r>
      <w:proofErr w:type="spellEnd"/>
      <w:r w:rsidRPr="00275306">
        <w:rPr>
          <w:b w:val="0"/>
          <w:lang w:eastAsia="zh-CN"/>
        </w:rPr>
        <w:t>) that, besides suffering diarrhea from AE-STEC and EPEC [12-16], healthy young calves in farms in Belgium can also be asymptomatic carriers of (AE-)STEC and EPEC at least at the same rate as adult cattle and (ii) that several (AE-)STEC and EPEC belong to several other O serotypes that are not considered in most surveys and must still be identified.</w:t>
      </w:r>
    </w:p>
    <w:p w:rsidR="00275306" w:rsidRDefault="00275306" w:rsidP="004F05D7">
      <w:pPr>
        <w:pStyle w:val="MDPI22heading2"/>
      </w:pPr>
    </w:p>
    <w:p w:rsidR="005D2F1F" w:rsidRPr="005D2F1F" w:rsidRDefault="005D2F1F" w:rsidP="005365BE">
      <w:pPr>
        <w:pStyle w:val="MDPI62Acknowledgments"/>
      </w:pPr>
      <w:r>
        <w:rPr>
          <w:b/>
        </w:rPr>
        <w:t xml:space="preserve">Author Contributions: </w:t>
      </w:r>
      <w:r w:rsidR="00571041" w:rsidRPr="00571041">
        <w:t>Conceptualization, B.D., L.DZ., E.C. and J.M.; Methodology, A.H., F.E., J.-N.D. and D.T.; Investigation, A.H., F.E., and J.-N.D.; Writing—Original Draft Preparation, A.H. and J.M.; Writing—Review &amp; Editing, F.E., B.D., M.H., L.DZ., D.T., and E.C.; Supervision, E.C. and J.M..; Project Administration, E.C. All authors have read and agreed to the published version of the manuscript.</w:t>
      </w:r>
    </w:p>
    <w:p w:rsidR="00976149" w:rsidRPr="00976149" w:rsidRDefault="00976149" w:rsidP="005365BE">
      <w:pPr>
        <w:pStyle w:val="MDPI62Acknowledgments"/>
      </w:pPr>
      <w:r>
        <w:rPr>
          <w:b/>
        </w:rPr>
        <w:t xml:space="preserve">Funding: </w:t>
      </w:r>
      <w:r w:rsidR="00571041" w:rsidRPr="00571041">
        <w:t>This study was funded by the Belgian “Federal Public Service of Health, Food Chain Safety and Environment” for financial support (VTEFFECT Grant; RT16/1).</w:t>
      </w:r>
    </w:p>
    <w:p w:rsidR="005365BE" w:rsidRPr="00B32897" w:rsidRDefault="00B32897" w:rsidP="005365BE">
      <w:pPr>
        <w:pStyle w:val="MDPI62Acknowledgments"/>
      </w:pPr>
      <w:r>
        <w:rPr>
          <w:b/>
        </w:rPr>
        <w:t>Acknowledgments:</w:t>
      </w:r>
      <w:r w:rsidRPr="00B32897">
        <w:t xml:space="preserve"> </w:t>
      </w:r>
      <w:r w:rsidR="00571041" w:rsidRPr="00571041">
        <w:t xml:space="preserve">The authors thank Mr. Rudy </w:t>
      </w:r>
      <w:proofErr w:type="spellStart"/>
      <w:r w:rsidR="00571041" w:rsidRPr="00571041">
        <w:t>Cooman</w:t>
      </w:r>
      <w:proofErr w:type="spellEnd"/>
      <w:r w:rsidR="00571041" w:rsidRPr="00571041">
        <w:t xml:space="preserve"> and Mrs. </w:t>
      </w:r>
      <w:proofErr w:type="spellStart"/>
      <w:r w:rsidR="00571041" w:rsidRPr="00571041">
        <w:t>Anneleen</w:t>
      </w:r>
      <w:proofErr w:type="spellEnd"/>
      <w:r w:rsidR="00571041" w:rsidRPr="00571041">
        <w:t xml:space="preserve"> </w:t>
      </w:r>
      <w:proofErr w:type="spellStart"/>
      <w:r w:rsidR="00571041" w:rsidRPr="00571041">
        <w:t>Mertens</w:t>
      </w:r>
      <w:proofErr w:type="spellEnd"/>
      <w:r w:rsidR="00571041" w:rsidRPr="00571041">
        <w:t xml:space="preserve"> (</w:t>
      </w:r>
      <w:proofErr w:type="spellStart"/>
      <w:r w:rsidR="00571041" w:rsidRPr="00571041">
        <w:t>UGent</w:t>
      </w:r>
      <w:proofErr w:type="spellEnd"/>
      <w:r w:rsidR="00571041" w:rsidRPr="00571041">
        <w:t>) for their assistance in animal sampling, and the Belgian dairy cattle farmers who kindly participated in this study.</w:t>
      </w:r>
    </w:p>
    <w:p w:rsidR="005365BE" w:rsidRDefault="005365BE" w:rsidP="005365BE">
      <w:pPr>
        <w:pStyle w:val="MDPI64CoI"/>
        <w:rPr>
          <w:rFonts w:eastAsia="Calibri"/>
        </w:rPr>
      </w:pPr>
      <w:r w:rsidRPr="005C5BC1">
        <w:rPr>
          <w:b/>
        </w:rPr>
        <w:t>Conflicts of Interest:</w:t>
      </w:r>
      <w:r w:rsidRPr="005C5BC1">
        <w:t xml:space="preserve"> </w:t>
      </w:r>
      <w:r w:rsidR="00571041" w:rsidRPr="00571041">
        <w:rPr>
          <w:rFonts w:eastAsia="Calibri"/>
        </w:rPr>
        <w:t>The authors declare no conflict of interest.</w:t>
      </w:r>
    </w:p>
    <w:p w:rsidR="00FF49C3" w:rsidRPr="005C5BC1" w:rsidRDefault="00FF49C3" w:rsidP="005365BE">
      <w:pPr>
        <w:pStyle w:val="MDPI64CoI"/>
      </w:pPr>
    </w:p>
    <w:p w:rsidR="004F05D7" w:rsidRPr="005C5BC1" w:rsidRDefault="004F05D7" w:rsidP="004F05D7">
      <w:pPr>
        <w:pStyle w:val="MDPI21heading1"/>
      </w:pPr>
      <w:r w:rsidRPr="005C5BC1">
        <w:t>References</w:t>
      </w:r>
    </w:p>
    <w:p w:rsidR="00571041" w:rsidRDefault="00571041" w:rsidP="00571041">
      <w:pPr>
        <w:pStyle w:val="MDPI71References"/>
        <w:numPr>
          <w:ilvl w:val="0"/>
          <w:numId w:val="0"/>
        </w:numPr>
        <w:ind w:left="425"/>
      </w:pPr>
    </w:p>
    <w:p w:rsidR="00571041" w:rsidRDefault="00571041" w:rsidP="00571041">
      <w:pPr>
        <w:pStyle w:val="MDPI71References"/>
      </w:pPr>
      <w:proofErr w:type="spellStart"/>
      <w:r>
        <w:t>Tozzoli</w:t>
      </w:r>
      <w:proofErr w:type="spellEnd"/>
      <w:r>
        <w:t xml:space="preserve">, R.; and </w:t>
      </w:r>
      <w:proofErr w:type="spellStart"/>
      <w:r>
        <w:t>Scheutz</w:t>
      </w:r>
      <w:proofErr w:type="spellEnd"/>
      <w:r>
        <w:t xml:space="preserve">, F. </w:t>
      </w:r>
      <w:proofErr w:type="spellStart"/>
      <w:r>
        <w:t>Diarrhoeagenic</w:t>
      </w:r>
      <w:proofErr w:type="spellEnd"/>
      <w:r>
        <w:t xml:space="preserve"> </w:t>
      </w:r>
      <w:r w:rsidRPr="00993723">
        <w:rPr>
          <w:i/>
        </w:rPr>
        <w:t>Escherichia coli</w:t>
      </w:r>
      <w:r>
        <w:t xml:space="preserve"> infections in humans. In: Pathogenic </w:t>
      </w:r>
      <w:r w:rsidRPr="00993723">
        <w:rPr>
          <w:i/>
        </w:rPr>
        <w:t>Escherichia coli</w:t>
      </w:r>
      <w:r>
        <w:t xml:space="preserve">: Molecular and cellular microbiology (ed. </w:t>
      </w:r>
      <w:proofErr w:type="spellStart"/>
      <w:r>
        <w:t>Morabito</w:t>
      </w:r>
      <w:proofErr w:type="spellEnd"/>
      <w:r>
        <w:t xml:space="preserve"> S.). Horizon Scientific Press and </w:t>
      </w:r>
      <w:proofErr w:type="spellStart"/>
      <w:r>
        <w:t>Caister</w:t>
      </w:r>
      <w:proofErr w:type="spellEnd"/>
      <w:r>
        <w:t xml:space="preserve"> Academic Press, Norwich, England, UK, 2014, 1-18. ISBN 978-1-908230-37-9</w:t>
      </w:r>
    </w:p>
    <w:p w:rsidR="00571041" w:rsidRDefault="00571041" w:rsidP="00571041">
      <w:pPr>
        <w:pStyle w:val="MDPI71References"/>
      </w:pPr>
      <w:proofErr w:type="spellStart"/>
      <w:r>
        <w:t>Beutin</w:t>
      </w:r>
      <w:proofErr w:type="spellEnd"/>
      <w:r>
        <w:t xml:space="preserve">, L.; </w:t>
      </w:r>
      <w:proofErr w:type="spellStart"/>
      <w:r>
        <w:t>Fach</w:t>
      </w:r>
      <w:proofErr w:type="spellEnd"/>
      <w:r>
        <w:t xml:space="preserve">, P. Detection of Shiga toxin-producing </w:t>
      </w:r>
      <w:r w:rsidRPr="00993723">
        <w:rPr>
          <w:i/>
        </w:rPr>
        <w:t>Escherichia coli</w:t>
      </w:r>
      <w:r>
        <w:t xml:space="preserve"> from nonhuman sources and strain typing. In: </w:t>
      </w:r>
      <w:proofErr w:type="spellStart"/>
      <w:r>
        <w:t>Enterohemorrhagic</w:t>
      </w:r>
      <w:proofErr w:type="spellEnd"/>
      <w:r>
        <w:t xml:space="preserve"> </w:t>
      </w:r>
      <w:r w:rsidRPr="00993723">
        <w:rPr>
          <w:i/>
        </w:rPr>
        <w:t>Escherichia coli</w:t>
      </w:r>
      <w:r>
        <w:t xml:space="preserve"> and other Shiga toxin-producing </w:t>
      </w:r>
      <w:r w:rsidRPr="00993723">
        <w:rPr>
          <w:i/>
        </w:rPr>
        <w:t>Escherichia coli</w:t>
      </w:r>
      <w:r>
        <w:t xml:space="preserve"> (eds. </w:t>
      </w:r>
      <w:proofErr w:type="spellStart"/>
      <w:r>
        <w:t>Sperandio</w:t>
      </w:r>
      <w:proofErr w:type="spellEnd"/>
      <w:r>
        <w:t xml:space="preserve">, V.; </w:t>
      </w:r>
      <w:proofErr w:type="spellStart"/>
      <w:r>
        <w:t>Hovde</w:t>
      </w:r>
      <w:proofErr w:type="spellEnd"/>
      <w:r>
        <w:t>, C.J.) ASM Press, Norwich, Washington, D.C., 2015, 263-295. ISBN 978-1-555581-878-4</w:t>
      </w:r>
    </w:p>
    <w:p w:rsidR="00571041" w:rsidRDefault="00571041" w:rsidP="00571041">
      <w:pPr>
        <w:pStyle w:val="MDPI71References"/>
      </w:pPr>
      <w:r>
        <w:t xml:space="preserve">Stevens, M.P.; Frankel, G.M. The locus of enterocyte effacement and other associated virulence factors of </w:t>
      </w:r>
      <w:proofErr w:type="spellStart"/>
      <w:r>
        <w:t>enterohemorrhagic</w:t>
      </w:r>
      <w:proofErr w:type="spellEnd"/>
      <w:r>
        <w:t xml:space="preserve"> </w:t>
      </w:r>
      <w:r w:rsidRPr="00993723">
        <w:rPr>
          <w:i/>
        </w:rPr>
        <w:t>Escherichia coli</w:t>
      </w:r>
      <w:r>
        <w:t xml:space="preserve">. In: </w:t>
      </w:r>
      <w:proofErr w:type="spellStart"/>
      <w:r>
        <w:t>Enterohemorrhagic</w:t>
      </w:r>
      <w:proofErr w:type="spellEnd"/>
      <w:r>
        <w:t xml:space="preserve"> </w:t>
      </w:r>
      <w:r w:rsidRPr="00993723">
        <w:rPr>
          <w:i/>
        </w:rPr>
        <w:t>Escherichia coli</w:t>
      </w:r>
      <w:r>
        <w:t xml:space="preserve"> and other Shiga toxin-producing </w:t>
      </w:r>
      <w:r w:rsidRPr="00993723">
        <w:rPr>
          <w:i/>
        </w:rPr>
        <w:t>Escherichia coli</w:t>
      </w:r>
      <w:r>
        <w:t xml:space="preserve"> (eds. </w:t>
      </w:r>
      <w:proofErr w:type="spellStart"/>
      <w:r>
        <w:t>Sperandio</w:t>
      </w:r>
      <w:proofErr w:type="spellEnd"/>
      <w:r>
        <w:t xml:space="preserve">, V. and </w:t>
      </w:r>
      <w:proofErr w:type="spellStart"/>
      <w:r>
        <w:t>Hovde</w:t>
      </w:r>
      <w:proofErr w:type="spellEnd"/>
      <w:r>
        <w:t>, C.J.) ASM Press, Norwich, Washington, D.C., 2015, 97-130. ISBN 978-1-555581-878-4</w:t>
      </w:r>
    </w:p>
    <w:p w:rsidR="00571041" w:rsidRDefault="00571041" w:rsidP="00571041">
      <w:pPr>
        <w:pStyle w:val="MDPI71References"/>
      </w:pPr>
      <w:r>
        <w:t xml:space="preserve">EFSA; ECDC (European Food Safety Authority, European Centre for Disease Prevention and Control). The European Union One Health 2018 </w:t>
      </w:r>
      <w:proofErr w:type="spellStart"/>
      <w:r>
        <w:t>zoonoses</w:t>
      </w:r>
      <w:proofErr w:type="spellEnd"/>
      <w:r>
        <w:t xml:space="preserve"> report. EFSA J. 2019, 17, e05926. http://www.efsa.europa.eu/efsajournal</w:t>
      </w:r>
    </w:p>
    <w:p w:rsidR="00571041" w:rsidRDefault="00571041" w:rsidP="00571041">
      <w:pPr>
        <w:pStyle w:val="MDPI71References"/>
      </w:pPr>
      <w:proofErr w:type="spellStart"/>
      <w:r>
        <w:t>Piérard</w:t>
      </w:r>
      <w:proofErr w:type="spellEnd"/>
      <w:r>
        <w:t xml:space="preserve">, D.; De </w:t>
      </w:r>
      <w:proofErr w:type="spellStart"/>
      <w:r>
        <w:t>Greve</w:t>
      </w:r>
      <w:proofErr w:type="spellEnd"/>
      <w:r>
        <w:t xml:space="preserve">, H.; </w:t>
      </w:r>
      <w:proofErr w:type="spellStart"/>
      <w:r>
        <w:t>Haesebrouck</w:t>
      </w:r>
      <w:proofErr w:type="spellEnd"/>
      <w:r>
        <w:t xml:space="preserve">, F.; Mainil J.G. O157:H7 and O104:H4 Vero/Shiga toxin-producing </w:t>
      </w:r>
      <w:r w:rsidRPr="00993723">
        <w:rPr>
          <w:i/>
        </w:rPr>
        <w:t>Escherichia coli</w:t>
      </w:r>
      <w:r>
        <w:t>: respective role of cattle and humans. Vet. Res. 2012, 43, 13. https://doi.org/10.1186/1297-9716-43-13</w:t>
      </w:r>
    </w:p>
    <w:p w:rsidR="00571041" w:rsidRDefault="00571041" w:rsidP="00571041">
      <w:pPr>
        <w:pStyle w:val="MDPI71References"/>
      </w:pPr>
      <w:r>
        <w:t xml:space="preserve">Naylor, S.W.; Low, J.C.; </w:t>
      </w:r>
      <w:proofErr w:type="spellStart"/>
      <w:r>
        <w:t>Besser</w:t>
      </w:r>
      <w:proofErr w:type="spellEnd"/>
      <w:r>
        <w:t xml:space="preserve">, T.E.; Mahajan, A.; Gunn, G.J.; Pearce, M.C.; </w:t>
      </w:r>
      <w:proofErr w:type="spellStart"/>
      <w:r>
        <w:t>McKendrick</w:t>
      </w:r>
      <w:proofErr w:type="spellEnd"/>
      <w:r>
        <w:t xml:space="preserve">, I.J.; Smith, D.G.E.; </w:t>
      </w:r>
      <w:proofErr w:type="spellStart"/>
      <w:r>
        <w:t>Gally</w:t>
      </w:r>
      <w:proofErr w:type="spellEnd"/>
      <w:r>
        <w:t xml:space="preserve">, D.L. Lymphoid follicle-dense mucosa at the terminal rectum is the principal site of colonization of </w:t>
      </w:r>
      <w:proofErr w:type="spellStart"/>
      <w:r>
        <w:t>enterohemorrhagic</w:t>
      </w:r>
      <w:proofErr w:type="spellEnd"/>
      <w:r>
        <w:t xml:space="preserve"> </w:t>
      </w:r>
      <w:r w:rsidRPr="00993723">
        <w:rPr>
          <w:i/>
        </w:rPr>
        <w:t>Escherichia coli</w:t>
      </w:r>
      <w:r>
        <w:t xml:space="preserve"> O157:H7 in the bovine host. Infect. Immun. 2003, 71, 150-1512. https://doi.org/10.1128/IAI.71.3.1505–1512.2003</w:t>
      </w:r>
    </w:p>
    <w:p w:rsidR="00571041" w:rsidRDefault="00571041" w:rsidP="00571041">
      <w:pPr>
        <w:pStyle w:val="MDPI71References"/>
      </w:pPr>
      <w:proofErr w:type="spellStart"/>
      <w:r>
        <w:t>Kudva</w:t>
      </w:r>
      <w:proofErr w:type="spellEnd"/>
      <w:r>
        <w:t xml:space="preserve">, I.T.; </w:t>
      </w:r>
      <w:proofErr w:type="spellStart"/>
      <w:r>
        <w:t>Hovde</w:t>
      </w:r>
      <w:proofErr w:type="spellEnd"/>
      <w:r>
        <w:t xml:space="preserve">, C.J.; John, M. Adherence of non-O157 Shiga toxin–producing </w:t>
      </w:r>
      <w:r w:rsidRPr="00993723">
        <w:rPr>
          <w:i/>
        </w:rPr>
        <w:t>Escherichia coli</w:t>
      </w:r>
      <w:r>
        <w:t xml:space="preserve"> to bovine recto-anal junction squamous epithelial cells appears to be mediated by mechanisms distinct from those used by O157. </w:t>
      </w:r>
      <w:proofErr w:type="spellStart"/>
      <w:r>
        <w:t>Foodb</w:t>
      </w:r>
      <w:proofErr w:type="spellEnd"/>
      <w:r>
        <w:t xml:space="preserve">. </w:t>
      </w:r>
      <w:proofErr w:type="spellStart"/>
      <w:r>
        <w:t>Pathog</w:t>
      </w:r>
      <w:proofErr w:type="spellEnd"/>
      <w:r>
        <w:t>. Dis. 2013, 10, 375-381. https://doi.org/10.1089/fpd.2012.1382</w:t>
      </w:r>
    </w:p>
    <w:p w:rsidR="00571041" w:rsidRDefault="00571041" w:rsidP="00571041">
      <w:pPr>
        <w:pStyle w:val="MDPI71References"/>
      </w:pPr>
      <w:proofErr w:type="spellStart"/>
      <w:r>
        <w:lastRenderedPageBreak/>
        <w:t>Persad</w:t>
      </w:r>
      <w:proofErr w:type="spellEnd"/>
      <w:r>
        <w:t xml:space="preserve">, A.K.; Lejeune, J.T. Animal reservoirs of Shiga toxin producing </w:t>
      </w:r>
      <w:r w:rsidRPr="00993723">
        <w:rPr>
          <w:i/>
        </w:rPr>
        <w:t>Escherichia coli</w:t>
      </w:r>
      <w:r>
        <w:t xml:space="preserve">. In: </w:t>
      </w:r>
      <w:proofErr w:type="spellStart"/>
      <w:r>
        <w:t>Enterohemorrhagic</w:t>
      </w:r>
      <w:proofErr w:type="spellEnd"/>
      <w:r>
        <w:t xml:space="preserve"> </w:t>
      </w:r>
      <w:r w:rsidRPr="00993723">
        <w:rPr>
          <w:i/>
        </w:rPr>
        <w:t>Escherichia coli</w:t>
      </w:r>
      <w:r>
        <w:t xml:space="preserve"> and Other Shiga Toxin-Producing </w:t>
      </w:r>
      <w:r w:rsidRPr="00993723">
        <w:rPr>
          <w:i/>
        </w:rPr>
        <w:t>Escherichia coli</w:t>
      </w:r>
      <w:r>
        <w:t xml:space="preserve"> (eds. </w:t>
      </w:r>
      <w:proofErr w:type="spellStart"/>
      <w:r>
        <w:t>Sperandio</w:t>
      </w:r>
      <w:proofErr w:type="spellEnd"/>
      <w:r>
        <w:t xml:space="preserve">, V.; </w:t>
      </w:r>
      <w:proofErr w:type="spellStart"/>
      <w:r>
        <w:t>Hovde</w:t>
      </w:r>
      <w:proofErr w:type="spellEnd"/>
      <w:r>
        <w:t>, C.J.) ASM Press, Norwich, Washington, D.C., 2015, 211-230. ISBN 978-1-555581-878-4</w:t>
      </w:r>
    </w:p>
    <w:p w:rsidR="00571041" w:rsidRDefault="00571041" w:rsidP="00571041">
      <w:pPr>
        <w:pStyle w:val="MDPI71References"/>
      </w:pPr>
      <w:proofErr w:type="spellStart"/>
      <w:r>
        <w:t>Cobbold</w:t>
      </w:r>
      <w:proofErr w:type="spellEnd"/>
      <w:r>
        <w:t xml:space="preserve">, R.; </w:t>
      </w:r>
      <w:proofErr w:type="spellStart"/>
      <w:r>
        <w:t>Desmarchelier</w:t>
      </w:r>
      <w:proofErr w:type="spellEnd"/>
      <w:r>
        <w:t xml:space="preserve">, P. A longitudinal study of Shiga-toxigenic </w:t>
      </w:r>
      <w:r w:rsidRPr="00993723">
        <w:rPr>
          <w:i/>
        </w:rPr>
        <w:t>Escherichia coli</w:t>
      </w:r>
      <w:r>
        <w:t xml:space="preserve"> (STEC) prevalence in three Australian dairy herds. Vet. </w:t>
      </w:r>
      <w:proofErr w:type="spellStart"/>
      <w:r>
        <w:t>Microbiol</w:t>
      </w:r>
      <w:proofErr w:type="spellEnd"/>
      <w:r>
        <w:t>. 2000, 71, 125–137. https://doi.org/10.1016/s0378-1135(99)00173-x</w:t>
      </w:r>
    </w:p>
    <w:p w:rsidR="00571041" w:rsidRDefault="00571041" w:rsidP="00571041">
      <w:pPr>
        <w:pStyle w:val="MDPI71References"/>
      </w:pPr>
      <w:r>
        <w:t xml:space="preserve">Mellor, G.E.; </w:t>
      </w:r>
      <w:proofErr w:type="spellStart"/>
      <w:r>
        <w:t>Fegan</w:t>
      </w:r>
      <w:proofErr w:type="spellEnd"/>
      <w:r>
        <w:t xml:space="preserve">, N.; Duffy, L.L.; McMillan, K.E.; Jordan, D.; Barlow, R.S. National survey of Shiga toxin-producing </w:t>
      </w:r>
      <w:r w:rsidRPr="00993723">
        <w:rPr>
          <w:i/>
        </w:rPr>
        <w:t>Escherichia coli</w:t>
      </w:r>
      <w:r>
        <w:t xml:space="preserve"> serotypes O26, O45, O103, O111, O121, O145, and O157 in Australian beef cattle feces. J. Food Prot. 2016, 79, 1868–1874. https://doi.org/10.4315/0362-028X.JFP-15-507</w:t>
      </w:r>
    </w:p>
    <w:p w:rsidR="00571041" w:rsidRDefault="00571041" w:rsidP="00571041">
      <w:pPr>
        <w:pStyle w:val="MDPI71References"/>
      </w:pPr>
      <w:r>
        <w:t xml:space="preserve">Browne, A.S.; Midwinter, A.C.; Withers, H.; Cookson, A.L.; Biggs, P.J.; Marshall, J.C.; </w:t>
      </w:r>
      <w:proofErr w:type="spellStart"/>
      <w:r>
        <w:t>Benschop</w:t>
      </w:r>
      <w:proofErr w:type="spellEnd"/>
      <w:r>
        <w:t xml:space="preserve">, J.; Hathaway, S.; Haack, N.A.; Akhter, R.N.; French, N.P. Molecular epidemiology of Shiga toxin-producing </w:t>
      </w:r>
      <w:r w:rsidRPr="00993723">
        <w:rPr>
          <w:i/>
        </w:rPr>
        <w:t>Escherichia coli</w:t>
      </w:r>
      <w:r>
        <w:t xml:space="preserve"> (STEC) on New-Zealand dairy farms: application of a culture-independent assay and whole-genome sequencing. Appl. Environ. </w:t>
      </w:r>
      <w:proofErr w:type="spellStart"/>
      <w:r>
        <w:t>Microbiol</w:t>
      </w:r>
      <w:proofErr w:type="spellEnd"/>
      <w:r>
        <w:t>. 2018, 84, e00481-18.  https://doi.org/10.1128/AEM.00481-18</w:t>
      </w:r>
    </w:p>
    <w:p w:rsidR="00571041" w:rsidRDefault="00571041" w:rsidP="00571041">
      <w:pPr>
        <w:pStyle w:val="MDPI71References"/>
      </w:pPr>
      <w:r>
        <w:t xml:space="preserve">Mainil, J.G.; </w:t>
      </w:r>
      <w:proofErr w:type="spellStart"/>
      <w:r>
        <w:t>Fairbrother</w:t>
      </w:r>
      <w:proofErr w:type="spellEnd"/>
      <w:r>
        <w:t xml:space="preserve">, J.M. Pathogenic </w:t>
      </w:r>
      <w:r w:rsidRPr="00993723">
        <w:rPr>
          <w:i/>
        </w:rPr>
        <w:t>Escherichia coli</w:t>
      </w:r>
      <w:r>
        <w:t xml:space="preserve"> in domestic mammals and birds. In: Pathogenic </w:t>
      </w:r>
      <w:r w:rsidRPr="00993723">
        <w:rPr>
          <w:i/>
        </w:rPr>
        <w:t>Escherichia coli</w:t>
      </w:r>
      <w:r>
        <w:t xml:space="preserve">: Molecular and cellular microbiology (ed. </w:t>
      </w:r>
      <w:proofErr w:type="spellStart"/>
      <w:r>
        <w:t>Morabito</w:t>
      </w:r>
      <w:proofErr w:type="spellEnd"/>
      <w:r>
        <w:t xml:space="preserve"> S.). Horizon Scientific Press and </w:t>
      </w:r>
      <w:proofErr w:type="spellStart"/>
      <w:r>
        <w:t>Caister</w:t>
      </w:r>
      <w:proofErr w:type="spellEnd"/>
      <w:r>
        <w:t xml:space="preserve"> Academic Press, Norwich, England, UK, 2014, 19-43. ISBN 978-1-908230-37-9</w:t>
      </w:r>
    </w:p>
    <w:p w:rsidR="00571041" w:rsidRDefault="00571041" w:rsidP="00571041">
      <w:pPr>
        <w:pStyle w:val="MDPI71References"/>
      </w:pPr>
      <w:r>
        <w:t xml:space="preserve">Fakih, I.; </w:t>
      </w:r>
      <w:proofErr w:type="spellStart"/>
      <w:r>
        <w:t>Thiry</w:t>
      </w:r>
      <w:proofErr w:type="spellEnd"/>
      <w:r>
        <w:t xml:space="preserve">, D.; </w:t>
      </w:r>
      <w:proofErr w:type="spellStart"/>
      <w:r>
        <w:t>Duprez</w:t>
      </w:r>
      <w:proofErr w:type="spellEnd"/>
      <w:r>
        <w:t xml:space="preserve">, J.-N.; </w:t>
      </w:r>
      <w:proofErr w:type="spellStart"/>
      <w:r>
        <w:t>Saulmont</w:t>
      </w:r>
      <w:proofErr w:type="spellEnd"/>
      <w:r>
        <w:t xml:space="preserve">, M.; Iguchi, A.; </w:t>
      </w:r>
      <w:proofErr w:type="spellStart"/>
      <w:r>
        <w:t>Piérard</w:t>
      </w:r>
      <w:proofErr w:type="spellEnd"/>
      <w:r>
        <w:t xml:space="preserve">, D.; </w:t>
      </w:r>
      <w:proofErr w:type="spellStart"/>
      <w:r>
        <w:t>Jouant</w:t>
      </w:r>
      <w:proofErr w:type="spellEnd"/>
      <w:r>
        <w:t xml:space="preserve">, L.; Daube, G.; Ogura, Y.; Hayashi, T.; </w:t>
      </w:r>
      <w:proofErr w:type="spellStart"/>
      <w:r>
        <w:t>Taminiau</w:t>
      </w:r>
      <w:proofErr w:type="spellEnd"/>
      <w:r>
        <w:t xml:space="preserve">, B.; Mainil, J.G. Identification of Shiga toxin-producing (STEC) and </w:t>
      </w:r>
      <w:proofErr w:type="spellStart"/>
      <w:r>
        <w:t>enteropathogenic</w:t>
      </w:r>
      <w:proofErr w:type="spellEnd"/>
      <w:r>
        <w:t xml:space="preserve"> (EPEC) </w:t>
      </w:r>
      <w:r w:rsidRPr="00993723">
        <w:rPr>
          <w:i/>
        </w:rPr>
        <w:t>Escherichia coli</w:t>
      </w:r>
      <w:r>
        <w:t xml:space="preserve"> in </w:t>
      </w:r>
      <w:proofErr w:type="spellStart"/>
      <w:r>
        <w:t>diarrhoeic</w:t>
      </w:r>
      <w:proofErr w:type="spellEnd"/>
      <w:r>
        <w:t xml:space="preserve"> calves and comparative genomics of O5 bovine and human STEC. Vet. </w:t>
      </w:r>
      <w:proofErr w:type="spellStart"/>
      <w:r>
        <w:t>Microbiol</w:t>
      </w:r>
      <w:proofErr w:type="spellEnd"/>
      <w:r>
        <w:t xml:space="preserve">. 2017, 202, 16-22. https://doi.org/10.1016/j.vetmic.2016.02.017 </w:t>
      </w:r>
    </w:p>
    <w:p w:rsidR="00571041" w:rsidRDefault="00571041" w:rsidP="00571041">
      <w:pPr>
        <w:pStyle w:val="MDPI71References"/>
      </w:pPr>
      <w:proofErr w:type="spellStart"/>
      <w:r>
        <w:t>Habets</w:t>
      </w:r>
      <w:proofErr w:type="spellEnd"/>
      <w:r>
        <w:t xml:space="preserve">, A.; </w:t>
      </w:r>
      <w:proofErr w:type="spellStart"/>
      <w:r>
        <w:t>Crombé</w:t>
      </w:r>
      <w:proofErr w:type="spellEnd"/>
      <w:r>
        <w:t xml:space="preserve">, F.; Nakamura, K.; </w:t>
      </w:r>
      <w:proofErr w:type="spellStart"/>
      <w:r>
        <w:t>Guérin</w:t>
      </w:r>
      <w:proofErr w:type="spellEnd"/>
      <w:r>
        <w:t xml:space="preserve">, V.; De </w:t>
      </w:r>
      <w:proofErr w:type="spellStart"/>
      <w:r>
        <w:t>Rauw</w:t>
      </w:r>
      <w:proofErr w:type="spellEnd"/>
      <w:r>
        <w:t xml:space="preserve">, K.; </w:t>
      </w:r>
      <w:proofErr w:type="spellStart"/>
      <w:r>
        <w:t>Piérard</w:t>
      </w:r>
      <w:proofErr w:type="spellEnd"/>
      <w:r>
        <w:t xml:space="preserve">, D.; </w:t>
      </w:r>
      <w:proofErr w:type="spellStart"/>
      <w:r>
        <w:t>Saulmont</w:t>
      </w:r>
      <w:proofErr w:type="spellEnd"/>
      <w:r>
        <w:t xml:space="preserve">, M.; Hayashi, T.; Mainil, J.G.; </w:t>
      </w:r>
      <w:proofErr w:type="spellStart"/>
      <w:r>
        <w:t>Thiry</w:t>
      </w:r>
      <w:proofErr w:type="spellEnd"/>
      <w:r>
        <w:t xml:space="preserve">, D. Genetic characterization of </w:t>
      </w:r>
      <w:proofErr w:type="spellStart"/>
      <w:r>
        <w:t>Shigatoxigenic</w:t>
      </w:r>
      <w:proofErr w:type="spellEnd"/>
      <w:r>
        <w:t xml:space="preserve"> and </w:t>
      </w:r>
      <w:proofErr w:type="spellStart"/>
      <w:r>
        <w:t>enteropathogenic</w:t>
      </w:r>
      <w:proofErr w:type="spellEnd"/>
      <w:r>
        <w:t xml:space="preserve"> </w:t>
      </w:r>
      <w:r w:rsidRPr="00993723">
        <w:rPr>
          <w:i/>
        </w:rPr>
        <w:t>Escherichia coli</w:t>
      </w:r>
      <w:r>
        <w:t xml:space="preserve"> O80:H2 from diarrheic and septicemic calves and relatedness to human </w:t>
      </w:r>
      <w:proofErr w:type="spellStart"/>
      <w:r>
        <w:t>Shigatoxigenic</w:t>
      </w:r>
      <w:proofErr w:type="spellEnd"/>
      <w:r>
        <w:t xml:space="preserve"> </w:t>
      </w:r>
      <w:r w:rsidR="001F6DB0" w:rsidRPr="001F6DB0">
        <w:rPr>
          <w:i/>
        </w:rPr>
        <w:t>E. coli</w:t>
      </w:r>
      <w:r>
        <w:t xml:space="preserve"> O80:H2. J. Appl. </w:t>
      </w:r>
      <w:proofErr w:type="spellStart"/>
      <w:r>
        <w:t>Microbiol</w:t>
      </w:r>
      <w:proofErr w:type="spellEnd"/>
      <w:r>
        <w:t>. 2020, available on line. https://doi.org/10.1111/jam.14759</w:t>
      </w:r>
    </w:p>
    <w:p w:rsidR="00571041" w:rsidRDefault="00571041" w:rsidP="00571041">
      <w:pPr>
        <w:pStyle w:val="MDPI71References"/>
      </w:pPr>
      <w:proofErr w:type="spellStart"/>
      <w:r>
        <w:t>Moxley</w:t>
      </w:r>
      <w:proofErr w:type="spellEnd"/>
      <w:r>
        <w:t xml:space="preserve">, R.A.; Smith, D.R. Attaching-effacing </w:t>
      </w:r>
      <w:r w:rsidRPr="00993723">
        <w:rPr>
          <w:i/>
        </w:rPr>
        <w:t>Escherichia coli</w:t>
      </w:r>
      <w:r>
        <w:t xml:space="preserve"> infections in cattle. Vet. </w:t>
      </w:r>
      <w:proofErr w:type="spellStart"/>
      <w:r>
        <w:t>Clin</w:t>
      </w:r>
      <w:proofErr w:type="spellEnd"/>
      <w:r>
        <w:t xml:space="preserve">. North Am. Food Anim. </w:t>
      </w:r>
      <w:proofErr w:type="spellStart"/>
      <w:r>
        <w:t>Pract</w:t>
      </w:r>
      <w:proofErr w:type="spellEnd"/>
      <w:r>
        <w:t>. 2010, 26, 29-56. https://doi.org/10.1016/j.cvfa.2009.10.011</w:t>
      </w:r>
    </w:p>
    <w:p w:rsidR="00571041" w:rsidRDefault="00571041" w:rsidP="00571041">
      <w:pPr>
        <w:pStyle w:val="MDPI71References"/>
      </w:pPr>
      <w:proofErr w:type="spellStart"/>
      <w:r>
        <w:t>Thiry</w:t>
      </w:r>
      <w:proofErr w:type="spellEnd"/>
      <w:r>
        <w:t xml:space="preserve">, D.; </w:t>
      </w:r>
      <w:proofErr w:type="spellStart"/>
      <w:r>
        <w:t>Saulmont</w:t>
      </w:r>
      <w:proofErr w:type="spellEnd"/>
      <w:r>
        <w:t xml:space="preserve">, M.; </w:t>
      </w:r>
      <w:proofErr w:type="spellStart"/>
      <w:r>
        <w:t>Takaki</w:t>
      </w:r>
      <w:proofErr w:type="spellEnd"/>
      <w:r>
        <w:t xml:space="preserve">, S.; De </w:t>
      </w:r>
      <w:proofErr w:type="spellStart"/>
      <w:r>
        <w:t>Rauw</w:t>
      </w:r>
      <w:proofErr w:type="spellEnd"/>
      <w:r>
        <w:t xml:space="preserve">, K.; </w:t>
      </w:r>
      <w:proofErr w:type="spellStart"/>
      <w:r>
        <w:t>Duprez</w:t>
      </w:r>
      <w:proofErr w:type="spellEnd"/>
      <w:r>
        <w:t xml:space="preserve">, J.-N.; Iguchi, A.; </w:t>
      </w:r>
      <w:proofErr w:type="spellStart"/>
      <w:r>
        <w:t>Piérard</w:t>
      </w:r>
      <w:proofErr w:type="spellEnd"/>
      <w:r>
        <w:t xml:space="preserve">, D.; Mainil, J.G. </w:t>
      </w:r>
      <w:proofErr w:type="spellStart"/>
      <w:r>
        <w:t>Enteropathogenic</w:t>
      </w:r>
      <w:proofErr w:type="spellEnd"/>
      <w:r>
        <w:t xml:space="preserve"> </w:t>
      </w:r>
      <w:r w:rsidRPr="00993723">
        <w:rPr>
          <w:i/>
        </w:rPr>
        <w:t>Escherichia coli</w:t>
      </w:r>
      <w:r>
        <w:t xml:space="preserve"> O80:H2 in young calves with diarrhea, Belgium. </w:t>
      </w:r>
      <w:proofErr w:type="spellStart"/>
      <w:r>
        <w:t>Emerg</w:t>
      </w:r>
      <w:proofErr w:type="spellEnd"/>
      <w:r>
        <w:t>. Infect. Dis. 2017, 23, 2093-2095. https://doi.org/10.3201/eid2312.170450</w:t>
      </w:r>
    </w:p>
    <w:p w:rsidR="00571041" w:rsidRDefault="00571041" w:rsidP="00571041">
      <w:pPr>
        <w:pStyle w:val="MDPI71References"/>
      </w:pPr>
      <w:proofErr w:type="spellStart"/>
      <w:r>
        <w:t>Thiry</w:t>
      </w:r>
      <w:proofErr w:type="spellEnd"/>
      <w:r>
        <w:t xml:space="preserve">, D.; De </w:t>
      </w:r>
      <w:proofErr w:type="spellStart"/>
      <w:r>
        <w:t>Rauw</w:t>
      </w:r>
      <w:proofErr w:type="spellEnd"/>
      <w:r>
        <w:t xml:space="preserve">, K.; </w:t>
      </w:r>
      <w:proofErr w:type="spellStart"/>
      <w:r>
        <w:t>Takaki</w:t>
      </w:r>
      <w:proofErr w:type="spellEnd"/>
      <w:r>
        <w:t xml:space="preserve">, S.; </w:t>
      </w:r>
      <w:proofErr w:type="spellStart"/>
      <w:r>
        <w:t>Duprez</w:t>
      </w:r>
      <w:proofErr w:type="spellEnd"/>
      <w:r>
        <w:t xml:space="preserve">, J.-N.; Iguchi, A.; </w:t>
      </w:r>
      <w:proofErr w:type="spellStart"/>
      <w:r>
        <w:t>Piérard</w:t>
      </w:r>
      <w:proofErr w:type="spellEnd"/>
      <w:r>
        <w:t xml:space="preserve">, D.; </w:t>
      </w:r>
      <w:proofErr w:type="spellStart"/>
      <w:r>
        <w:t>Korsak</w:t>
      </w:r>
      <w:proofErr w:type="spellEnd"/>
      <w:r>
        <w:t xml:space="preserve">, N.; Mainil, J. G. Low prevalence of the “gang of seven” and absence of the O80:H2 serotypes among </w:t>
      </w:r>
      <w:proofErr w:type="spellStart"/>
      <w:r>
        <w:t>Shigatoxigenic</w:t>
      </w:r>
      <w:proofErr w:type="spellEnd"/>
      <w:r>
        <w:t xml:space="preserve"> and </w:t>
      </w:r>
      <w:proofErr w:type="spellStart"/>
      <w:r>
        <w:t>enteropathogenic</w:t>
      </w:r>
      <w:proofErr w:type="spellEnd"/>
      <w:r>
        <w:t xml:space="preserve"> </w:t>
      </w:r>
      <w:r w:rsidRPr="00993723">
        <w:rPr>
          <w:i/>
        </w:rPr>
        <w:t>Escherichia coli</w:t>
      </w:r>
      <w:r>
        <w:t xml:space="preserve"> (STEC and EPEC) in intestinal contents of healthy cattle at two slaughterhouses in Belgium in 2014. J. Appl. </w:t>
      </w:r>
      <w:proofErr w:type="spellStart"/>
      <w:r>
        <w:t>Microbiol</w:t>
      </w:r>
      <w:proofErr w:type="spellEnd"/>
      <w:r>
        <w:t>. 2018, 124, 867-873. https://doi.org/10.1111/jam.13677</w:t>
      </w:r>
    </w:p>
    <w:p w:rsidR="00571041" w:rsidRDefault="00571041" w:rsidP="00571041">
      <w:pPr>
        <w:pStyle w:val="MDPI71References"/>
      </w:pPr>
      <w:r>
        <w:t xml:space="preserve">Rice, D.H.; Sheng, H.Q.; </w:t>
      </w:r>
      <w:proofErr w:type="spellStart"/>
      <w:r>
        <w:t>Wynia</w:t>
      </w:r>
      <w:proofErr w:type="spellEnd"/>
      <w:r>
        <w:t xml:space="preserve">, S.A.; </w:t>
      </w:r>
      <w:proofErr w:type="spellStart"/>
      <w:r>
        <w:t>Hovde</w:t>
      </w:r>
      <w:proofErr w:type="spellEnd"/>
      <w:r>
        <w:t xml:space="preserve">, C.J. </w:t>
      </w:r>
      <w:proofErr w:type="spellStart"/>
      <w:r>
        <w:t>Rectoanal</w:t>
      </w:r>
      <w:proofErr w:type="spellEnd"/>
      <w:r>
        <w:t xml:space="preserve"> mucosal swab culture is more sensitive than fecal culture and distinguishes </w:t>
      </w:r>
      <w:r w:rsidRPr="00993723">
        <w:rPr>
          <w:i/>
        </w:rPr>
        <w:t>Escherichia coli</w:t>
      </w:r>
      <w:r>
        <w:t xml:space="preserve"> O157:H7-colonized cattle and those transiently shedding the same organism. J. </w:t>
      </w:r>
      <w:proofErr w:type="spellStart"/>
      <w:r>
        <w:t>Clin</w:t>
      </w:r>
      <w:proofErr w:type="spellEnd"/>
      <w:r>
        <w:t xml:space="preserve">. </w:t>
      </w:r>
      <w:proofErr w:type="spellStart"/>
      <w:r>
        <w:t>Microbiol</w:t>
      </w:r>
      <w:proofErr w:type="spellEnd"/>
      <w:r>
        <w:t>. 2003, 41, 4924–4929. https://doi.org/10.1128/JCM.41.11.4924–4929.2003</w:t>
      </w:r>
    </w:p>
    <w:p w:rsidR="00571041" w:rsidRDefault="00571041" w:rsidP="00571041">
      <w:pPr>
        <w:pStyle w:val="MDPI71References"/>
      </w:pPr>
      <w:r>
        <w:t xml:space="preserve">McCabe, E.; Burgess, C.M.; </w:t>
      </w:r>
      <w:proofErr w:type="spellStart"/>
      <w:r>
        <w:t>Lawal</w:t>
      </w:r>
      <w:proofErr w:type="spellEnd"/>
      <w:r>
        <w:t xml:space="preserve">, D.; Whyte, P.; Duffy, G. An investigation of shedding and super-shedding of Shiga toxigenic </w:t>
      </w:r>
      <w:r w:rsidRPr="00993723">
        <w:rPr>
          <w:i/>
        </w:rPr>
        <w:t>Escherichia coli</w:t>
      </w:r>
      <w:r>
        <w:t xml:space="preserve"> O157 and </w:t>
      </w:r>
      <w:r w:rsidR="001F6DB0" w:rsidRPr="001F6DB0">
        <w:rPr>
          <w:i/>
        </w:rPr>
        <w:t>E. coli</w:t>
      </w:r>
      <w:r>
        <w:t xml:space="preserve"> O26 in cattle presented for slaughter in the Republic of Ireland. Zoon. Publ. </w:t>
      </w:r>
      <w:proofErr w:type="spellStart"/>
      <w:r>
        <w:t>Hlth</w:t>
      </w:r>
      <w:proofErr w:type="spellEnd"/>
      <w:r>
        <w:t>. 2019, 66, 83–91. https://doi.org/10.1111/zph.12531</w:t>
      </w:r>
    </w:p>
    <w:p w:rsidR="00571041" w:rsidRDefault="00571041" w:rsidP="00571041">
      <w:pPr>
        <w:pStyle w:val="MDPI71References"/>
      </w:pPr>
      <w:proofErr w:type="spellStart"/>
      <w:r>
        <w:t>Engelen</w:t>
      </w:r>
      <w:proofErr w:type="spellEnd"/>
      <w:r>
        <w:t xml:space="preserve">, F.; </w:t>
      </w:r>
      <w:proofErr w:type="spellStart"/>
      <w:r>
        <w:t>Thiry</w:t>
      </w:r>
      <w:proofErr w:type="spellEnd"/>
      <w:r>
        <w:t xml:space="preserve">, D.; </w:t>
      </w:r>
      <w:proofErr w:type="spellStart"/>
      <w:r>
        <w:t>Devleesschauwer</w:t>
      </w:r>
      <w:proofErr w:type="spellEnd"/>
      <w:r>
        <w:t xml:space="preserve">, B.; </w:t>
      </w:r>
      <w:proofErr w:type="spellStart"/>
      <w:r>
        <w:t>Heyndrickx</w:t>
      </w:r>
      <w:proofErr w:type="spellEnd"/>
      <w:r>
        <w:t xml:space="preserve">, M.; Mainil, J.; De </w:t>
      </w:r>
      <w:proofErr w:type="spellStart"/>
      <w:r>
        <w:t>Zutter</w:t>
      </w:r>
      <w:proofErr w:type="spellEnd"/>
      <w:r>
        <w:t>, L.; Cox, E.</w:t>
      </w:r>
      <w:r w:rsidRPr="00993723">
        <w:rPr>
          <w:i/>
        </w:rPr>
        <w:t xml:space="preserve"> Escherichia coli </w:t>
      </w:r>
      <w:r>
        <w:t xml:space="preserve">O157 and O26 in young Belgian dairy calves by recto-anal mucosal swab culturing. </w:t>
      </w:r>
      <w:r w:rsidR="00C61824" w:rsidRPr="00C61824">
        <w:rPr>
          <w:highlight w:val="yellow"/>
        </w:rPr>
        <w:t xml:space="preserve">J. Appl. </w:t>
      </w:r>
      <w:proofErr w:type="spellStart"/>
      <w:r w:rsidR="00C61824" w:rsidRPr="00C61824">
        <w:rPr>
          <w:highlight w:val="yellow"/>
        </w:rPr>
        <w:t>Microbiol</w:t>
      </w:r>
      <w:proofErr w:type="spellEnd"/>
      <w:r w:rsidR="00C61824" w:rsidRPr="00C61824">
        <w:rPr>
          <w:highlight w:val="yellow"/>
        </w:rPr>
        <w:t>. m</w:t>
      </w:r>
      <w:r w:rsidRPr="00C61824">
        <w:rPr>
          <w:highlight w:val="yellow"/>
        </w:rPr>
        <w:t xml:space="preserve">anuscript </w:t>
      </w:r>
      <w:r w:rsidR="00C61824" w:rsidRPr="00606B71">
        <w:rPr>
          <w:highlight w:val="yellow"/>
        </w:rPr>
        <w:t>accept</w:t>
      </w:r>
      <w:r w:rsidRPr="00606B71">
        <w:rPr>
          <w:highlight w:val="yellow"/>
        </w:rPr>
        <w:t xml:space="preserve">ed. </w:t>
      </w:r>
      <w:r w:rsidR="00606B71" w:rsidRPr="00606B71">
        <w:rPr>
          <w:highlight w:val="yellow"/>
        </w:rPr>
        <w:t>https://</w:t>
      </w:r>
      <w:r w:rsidR="00606B71" w:rsidRPr="00606B71">
        <w:rPr>
          <w:rFonts w:cs="Calibri"/>
          <w:highlight w:val="yellow"/>
        </w:rPr>
        <w:t>doi.org/10.1111/JAM.14909</w:t>
      </w:r>
    </w:p>
    <w:p w:rsidR="00571041" w:rsidRDefault="00571041" w:rsidP="00571041">
      <w:pPr>
        <w:pStyle w:val="MDPI71References"/>
      </w:pPr>
      <w:r>
        <w:t xml:space="preserve">Iguchi, A.; </w:t>
      </w:r>
      <w:proofErr w:type="spellStart"/>
      <w:r>
        <w:t>Iyoda</w:t>
      </w:r>
      <w:proofErr w:type="spellEnd"/>
      <w:r>
        <w:t xml:space="preserve">, S.; </w:t>
      </w:r>
      <w:proofErr w:type="spellStart"/>
      <w:r>
        <w:t>Seto</w:t>
      </w:r>
      <w:proofErr w:type="spellEnd"/>
      <w:r>
        <w:t xml:space="preserve">, K.; Morita-Ishihara, T.; </w:t>
      </w:r>
      <w:proofErr w:type="spellStart"/>
      <w:r>
        <w:t>Scheutz</w:t>
      </w:r>
      <w:proofErr w:type="spellEnd"/>
      <w:r>
        <w:t xml:space="preserve">, F.; Ohnishi, M.; the Pathogenic </w:t>
      </w:r>
      <w:r w:rsidR="001F6DB0" w:rsidRPr="001F6DB0">
        <w:rPr>
          <w:i/>
        </w:rPr>
        <w:t>E. coli</w:t>
      </w:r>
      <w:r>
        <w:t xml:space="preserve"> Working Group in Japan. </w:t>
      </w:r>
      <w:r w:rsidRPr="00993723">
        <w:rPr>
          <w:i/>
        </w:rPr>
        <w:t>Escherichia coli</w:t>
      </w:r>
      <w:r>
        <w:t xml:space="preserve"> O-genotyping PCR: a comprehensive and practical platform for molecular O </w:t>
      </w:r>
      <w:proofErr w:type="spellStart"/>
      <w:r>
        <w:t>serogrouping</w:t>
      </w:r>
      <w:proofErr w:type="spellEnd"/>
      <w:r>
        <w:t xml:space="preserve">. J. </w:t>
      </w:r>
      <w:proofErr w:type="spellStart"/>
      <w:r>
        <w:t>Clin</w:t>
      </w:r>
      <w:proofErr w:type="spellEnd"/>
      <w:r>
        <w:t xml:space="preserve">. </w:t>
      </w:r>
      <w:proofErr w:type="spellStart"/>
      <w:r>
        <w:t>Microbiol</w:t>
      </w:r>
      <w:proofErr w:type="spellEnd"/>
      <w:r>
        <w:t xml:space="preserve">. 2015, 53, 2427-2432. https://doi.org/10.1128/JCM.00321-15 </w:t>
      </w:r>
    </w:p>
    <w:p w:rsidR="00571041" w:rsidRDefault="00571041" w:rsidP="00571041">
      <w:pPr>
        <w:pStyle w:val="MDPI71References"/>
      </w:pPr>
      <w:proofErr w:type="spellStart"/>
      <w:r>
        <w:t>Zadik</w:t>
      </w:r>
      <w:proofErr w:type="spellEnd"/>
      <w:r>
        <w:t xml:space="preserve">, P.M.; Chapman, P.A.; Siddons, C.A. Use of tellurite for the selection of </w:t>
      </w:r>
      <w:proofErr w:type="spellStart"/>
      <w:r>
        <w:t>verocytotoxigenic</w:t>
      </w:r>
      <w:proofErr w:type="spellEnd"/>
      <w:r>
        <w:t xml:space="preserve"> </w:t>
      </w:r>
      <w:r w:rsidRPr="00993723">
        <w:rPr>
          <w:i/>
        </w:rPr>
        <w:t>Escherichia coli</w:t>
      </w:r>
      <w:r>
        <w:t xml:space="preserve"> O157. J. Med. </w:t>
      </w:r>
      <w:proofErr w:type="spellStart"/>
      <w:r>
        <w:t>Microbiol</w:t>
      </w:r>
      <w:proofErr w:type="spellEnd"/>
      <w:r>
        <w:t>. 1993, 39, 155–158. https://doi.org/10.1099/00222615-39-2-155</w:t>
      </w:r>
    </w:p>
    <w:p w:rsidR="00571041" w:rsidRDefault="00571041" w:rsidP="00571041">
      <w:pPr>
        <w:pStyle w:val="MDPI71References"/>
      </w:pPr>
      <w:proofErr w:type="spellStart"/>
      <w:r>
        <w:t>Szalo</w:t>
      </w:r>
      <w:proofErr w:type="spellEnd"/>
      <w:r>
        <w:t xml:space="preserve">, I.M.; </w:t>
      </w:r>
      <w:proofErr w:type="spellStart"/>
      <w:r>
        <w:t>Goffaux</w:t>
      </w:r>
      <w:proofErr w:type="spellEnd"/>
      <w:r>
        <w:t xml:space="preserve">, F.; </w:t>
      </w:r>
      <w:proofErr w:type="spellStart"/>
      <w:r>
        <w:t>Pirson</w:t>
      </w:r>
      <w:proofErr w:type="spellEnd"/>
      <w:r>
        <w:t xml:space="preserve">, V.; </w:t>
      </w:r>
      <w:proofErr w:type="spellStart"/>
      <w:r>
        <w:t>Piérard</w:t>
      </w:r>
      <w:proofErr w:type="spellEnd"/>
      <w:r>
        <w:t xml:space="preserve">, D.; Ball, H.; Mainil, J. Presence in bovine </w:t>
      </w:r>
      <w:proofErr w:type="spellStart"/>
      <w:r>
        <w:t>enteropathogenic</w:t>
      </w:r>
      <w:proofErr w:type="spellEnd"/>
      <w:r>
        <w:t xml:space="preserve"> (EPEC) and </w:t>
      </w:r>
      <w:proofErr w:type="spellStart"/>
      <w:r>
        <w:t>enterohaemorrhagic</w:t>
      </w:r>
      <w:proofErr w:type="spellEnd"/>
      <w:r>
        <w:t xml:space="preserve"> (EHEC) </w:t>
      </w:r>
      <w:r w:rsidRPr="00993723">
        <w:rPr>
          <w:i/>
        </w:rPr>
        <w:t>Escherichia coli</w:t>
      </w:r>
      <w:r>
        <w:t xml:space="preserve"> of genes coding for putative </w:t>
      </w:r>
      <w:proofErr w:type="spellStart"/>
      <w:r>
        <w:t>adhesins</w:t>
      </w:r>
      <w:proofErr w:type="spellEnd"/>
      <w:r>
        <w:t xml:space="preserve"> of human EHEC strains. Res. </w:t>
      </w:r>
      <w:proofErr w:type="spellStart"/>
      <w:r>
        <w:t>Microbiol</w:t>
      </w:r>
      <w:proofErr w:type="spellEnd"/>
      <w:r>
        <w:t>. 2002, 153, 653-658. https://doi.org/10.1016/s0923-2508(02)01379-7</w:t>
      </w:r>
    </w:p>
    <w:p w:rsidR="00571041" w:rsidRDefault="00571041" w:rsidP="00571041">
      <w:pPr>
        <w:pStyle w:val="MDPI71References"/>
      </w:pPr>
      <w:r>
        <w:t xml:space="preserve">Mainil, J.G.; </w:t>
      </w:r>
      <w:proofErr w:type="spellStart"/>
      <w:r>
        <w:t>Bardiau</w:t>
      </w:r>
      <w:proofErr w:type="spellEnd"/>
      <w:r>
        <w:t xml:space="preserve">, M.; </w:t>
      </w:r>
      <w:proofErr w:type="spellStart"/>
      <w:r>
        <w:t>Ooka</w:t>
      </w:r>
      <w:proofErr w:type="spellEnd"/>
      <w:r>
        <w:t xml:space="preserve">, T.; Ogura, Y.; </w:t>
      </w:r>
      <w:proofErr w:type="spellStart"/>
      <w:r>
        <w:t>Murase</w:t>
      </w:r>
      <w:proofErr w:type="spellEnd"/>
      <w:r>
        <w:t xml:space="preserve">, K.; </w:t>
      </w:r>
      <w:proofErr w:type="spellStart"/>
      <w:r>
        <w:t>Etoh</w:t>
      </w:r>
      <w:proofErr w:type="spellEnd"/>
      <w:r>
        <w:t xml:space="preserve">, Y.; </w:t>
      </w:r>
      <w:proofErr w:type="spellStart"/>
      <w:r>
        <w:t>Ichibara</w:t>
      </w:r>
      <w:proofErr w:type="spellEnd"/>
      <w:r>
        <w:t xml:space="preserve">, S.; </w:t>
      </w:r>
      <w:proofErr w:type="spellStart"/>
      <w:r>
        <w:t>Horikawa</w:t>
      </w:r>
      <w:proofErr w:type="spellEnd"/>
      <w:r>
        <w:t xml:space="preserve">, K.; </w:t>
      </w:r>
      <w:proofErr w:type="spellStart"/>
      <w:r>
        <w:t>Buvens</w:t>
      </w:r>
      <w:proofErr w:type="spellEnd"/>
      <w:r>
        <w:t xml:space="preserve">, G.; </w:t>
      </w:r>
      <w:proofErr w:type="spellStart"/>
      <w:r>
        <w:t>Piérard</w:t>
      </w:r>
      <w:proofErr w:type="spellEnd"/>
      <w:r>
        <w:t xml:space="preserve">, D.; Itoh, T.; Hayashi, T. IS621-based multiplex PCR printing method of O26 </w:t>
      </w:r>
      <w:proofErr w:type="spellStart"/>
      <w:r>
        <w:t>enterohaemorrhagic</w:t>
      </w:r>
      <w:proofErr w:type="spellEnd"/>
      <w:r>
        <w:t xml:space="preserve"> </w:t>
      </w:r>
      <w:r>
        <w:lastRenderedPageBreak/>
        <w:t xml:space="preserve">and </w:t>
      </w:r>
      <w:proofErr w:type="spellStart"/>
      <w:r>
        <w:t>enteropathogenic</w:t>
      </w:r>
      <w:proofErr w:type="spellEnd"/>
      <w:r>
        <w:t xml:space="preserve"> </w:t>
      </w:r>
      <w:r w:rsidRPr="00993723">
        <w:rPr>
          <w:i/>
        </w:rPr>
        <w:t>Escherichia coli</w:t>
      </w:r>
      <w:r>
        <w:t xml:space="preserve"> isolated from humans and cattle. J. Appl. </w:t>
      </w:r>
      <w:proofErr w:type="spellStart"/>
      <w:r>
        <w:t>Microbiol</w:t>
      </w:r>
      <w:proofErr w:type="spellEnd"/>
      <w:r>
        <w:t>. 2011, 111, 773-786. https://doi.org/10.1111/j.1365-2672.2011.05089.x</w:t>
      </w:r>
    </w:p>
    <w:p w:rsidR="00571041" w:rsidRDefault="00571041" w:rsidP="00571041">
      <w:pPr>
        <w:pStyle w:val="MDPI71References"/>
      </w:pPr>
      <w:proofErr w:type="spellStart"/>
      <w:r>
        <w:t>Jaros</w:t>
      </w:r>
      <w:proofErr w:type="spellEnd"/>
      <w:r>
        <w:t xml:space="preserve">, P.; Cookson, A.L.; Reynolds, A.; </w:t>
      </w:r>
      <w:proofErr w:type="spellStart"/>
      <w:r>
        <w:t>Prattley</w:t>
      </w:r>
      <w:proofErr w:type="spellEnd"/>
      <w:r>
        <w:t xml:space="preserve">, D.J.; Campbell, D.M.; Hathaway, S.; French, N.P. Nationwide prevalence and risk factors for </w:t>
      </w:r>
      <w:proofErr w:type="spellStart"/>
      <w:r>
        <w:t>faecal</w:t>
      </w:r>
      <w:proofErr w:type="spellEnd"/>
      <w:r>
        <w:t xml:space="preserve"> carriage of </w:t>
      </w:r>
      <w:r w:rsidRPr="00993723">
        <w:rPr>
          <w:i/>
        </w:rPr>
        <w:t>Escherichia coli</w:t>
      </w:r>
      <w:r>
        <w:t xml:space="preserve"> O157 and O26 in very young calves and adult cattle at slaughter in New Zealand. </w:t>
      </w:r>
      <w:proofErr w:type="spellStart"/>
      <w:r>
        <w:t>Epidemiol</w:t>
      </w:r>
      <w:proofErr w:type="spellEnd"/>
      <w:r>
        <w:t>. Infect. 2016, 144, 1736–1747. https://doi.org/10.1017/S0950268815003209</w:t>
      </w:r>
    </w:p>
    <w:p w:rsidR="00571041" w:rsidRPr="00993723" w:rsidRDefault="00571041" w:rsidP="00571041">
      <w:pPr>
        <w:pStyle w:val="MDPI71References"/>
        <w:rPr>
          <w:lang w:val="fr-BE"/>
        </w:rPr>
      </w:pPr>
      <w:proofErr w:type="spellStart"/>
      <w:r w:rsidRPr="00571041">
        <w:rPr>
          <w:lang w:val="fr-BE"/>
        </w:rPr>
        <w:t>Pohl</w:t>
      </w:r>
      <w:proofErr w:type="spellEnd"/>
      <w:r w:rsidRPr="00571041">
        <w:rPr>
          <w:lang w:val="fr-BE"/>
        </w:rPr>
        <w:t xml:space="preserve">, P.; </w:t>
      </w:r>
      <w:proofErr w:type="spellStart"/>
      <w:r w:rsidRPr="00571041">
        <w:rPr>
          <w:lang w:val="fr-BE"/>
        </w:rPr>
        <w:t>Cleenwerk</w:t>
      </w:r>
      <w:proofErr w:type="spellEnd"/>
      <w:r w:rsidRPr="00571041">
        <w:rPr>
          <w:lang w:val="fr-BE"/>
        </w:rPr>
        <w:t xml:space="preserve">, I.; </w:t>
      </w:r>
      <w:proofErr w:type="spellStart"/>
      <w:r w:rsidRPr="00571041">
        <w:rPr>
          <w:lang w:val="fr-BE"/>
        </w:rPr>
        <w:t>Imberechts</w:t>
      </w:r>
      <w:proofErr w:type="spellEnd"/>
      <w:r w:rsidRPr="00571041">
        <w:rPr>
          <w:lang w:val="fr-BE"/>
        </w:rPr>
        <w:t xml:space="preserve">, H.; Jacquemin, E.; Marin, M.; China, B.; Mainil J. Différences entre les </w:t>
      </w:r>
      <w:proofErr w:type="spellStart"/>
      <w:r w:rsidRPr="00571041">
        <w:rPr>
          <w:lang w:val="fr-BE"/>
        </w:rPr>
        <w:t>pathotypes</w:t>
      </w:r>
      <w:proofErr w:type="spellEnd"/>
      <w:r w:rsidRPr="00571041">
        <w:rPr>
          <w:lang w:val="fr-BE"/>
        </w:rPr>
        <w:t xml:space="preserve"> et les </w:t>
      </w:r>
      <w:proofErr w:type="spellStart"/>
      <w:r w:rsidRPr="00571041">
        <w:rPr>
          <w:lang w:val="fr-BE"/>
        </w:rPr>
        <w:t>sérogroupes</w:t>
      </w:r>
      <w:proofErr w:type="spellEnd"/>
      <w:r w:rsidRPr="00571041">
        <w:rPr>
          <w:lang w:val="fr-BE"/>
        </w:rPr>
        <w:t xml:space="preserve"> des </w:t>
      </w:r>
      <w:r w:rsidRPr="00993723">
        <w:rPr>
          <w:i/>
          <w:lang w:val="fr-BE"/>
        </w:rPr>
        <w:t>Escherichia coli</w:t>
      </w:r>
      <w:r w:rsidRPr="00571041">
        <w:rPr>
          <w:lang w:val="fr-BE"/>
        </w:rPr>
        <w:t xml:space="preserve"> </w:t>
      </w:r>
      <w:proofErr w:type="spellStart"/>
      <w:r w:rsidRPr="00571041">
        <w:rPr>
          <w:lang w:val="fr-BE"/>
        </w:rPr>
        <w:t>vérotoxinogènes</w:t>
      </w:r>
      <w:proofErr w:type="spellEnd"/>
      <w:r w:rsidRPr="00571041">
        <w:rPr>
          <w:lang w:val="fr-BE"/>
        </w:rPr>
        <w:t xml:space="preserve"> isolées de veaux sains et celles isolées de veaux souffrant de diarrhée. </w:t>
      </w:r>
      <w:r w:rsidRPr="00993723">
        <w:rPr>
          <w:lang w:val="fr-BE"/>
        </w:rPr>
        <w:t xml:space="preserve">Ann. Méd. </w:t>
      </w:r>
      <w:proofErr w:type="spellStart"/>
      <w:r w:rsidRPr="00993723">
        <w:rPr>
          <w:lang w:val="fr-BE"/>
        </w:rPr>
        <w:t>Vét</w:t>
      </w:r>
      <w:proofErr w:type="spellEnd"/>
      <w:r w:rsidRPr="00993723">
        <w:rPr>
          <w:lang w:val="fr-BE"/>
        </w:rPr>
        <w:t xml:space="preserve">. 1997, 141, 155-159. </w:t>
      </w:r>
    </w:p>
    <w:p w:rsidR="00571041" w:rsidRPr="00993723" w:rsidRDefault="00571041" w:rsidP="00571041">
      <w:pPr>
        <w:pStyle w:val="MDPI71References"/>
        <w:rPr>
          <w:lang w:val="fr-BE"/>
        </w:rPr>
      </w:pPr>
      <w:proofErr w:type="spellStart"/>
      <w:r w:rsidRPr="00571041">
        <w:rPr>
          <w:lang w:val="fr-BE"/>
        </w:rPr>
        <w:t>Pohl</w:t>
      </w:r>
      <w:proofErr w:type="spellEnd"/>
      <w:r w:rsidRPr="00571041">
        <w:rPr>
          <w:lang w:val="fr-BE"/>
        </w:rPr>
        <w:t xml:space="preserve">, P.; Daube, G.; </w:t>
      </w:r>
      <w:proofErr w:type="spellStart"/>
      <w:r w:rsidRPr="00571041">
        <w:rPr>
          <w:lang w:val="fr-BE"/>
        </w:rPr>
        <w:t>Lintermans</w:t>
      </w:r>
      <w:proofErr w:type="spellEnd"/>
      <w:r w:rsidRPr="00571041">
        <w:rPr>
          <w:lang w:val="fr-BE"/>
        </w:rPr>
        <w:t xml:space="preserve">, P.; </w:t>
      </w:r>
      <w:proofErr w:type="spellStart"/>
      <w:r w:rsidRPr="00571041">
        <w:rPr>
          <w:lang w:val="fr-BE"/>
        </w:rPr>
        <w:t>Imberechts</w:t>
      </w:r>
      <w:proofErr w:type="spellEnd"/>
      <w:r w:rsidRPr="00571041">
        <w:rPr>
          <w:lang w:val="fr-BE"/>
        </w:rPr>
        <w:t xml:space="preserve">, H.; </w:t>
      </w:r>
      <w:proofErr w:type="spellStart"/>
      <w:r w:rsidRPr="00571041">
        <w:rPr>
          <w:lang w:val="fr-BE"/>
        </w:rPr>
        <w:t>Kaeckenbeeck</w:t>
      </w:r>
      <w:proofErr w:type="spellEnd"/>
      <w:r w:rsidRPr="00571041">
        <w:rPr>
          <w:lang w:val="fr-BE"/>
        </w:rPr>
        <w:t xml:space="preserve">, A.; Mainil, J. Infection multiple des veaux par </w:t>
      </w:r>
      <w:r w:rsidRPr="00993723">
        <w:rPr>
          <w:i/>
          <w:lang w:val="fr-BE"/>
        </w:rPr>
        <w:t>Escherichia coli</w:t>
      </w:r>
      <w:r w:rsidRPr="00571041">
        <w:rPr>
          <w:lang w:val="fr-BE"/>
        </w:rPr>
        <w:t xml:space="preserve"> </w:t>
      </w:r>
      <w:proofErr w:type="spellStart"/>
      <w:r w:rsidRPr="00571041">
        <w:rPr>
          <w:lang w:val="fr-BE"/>
        </w:rPr>
        <w:t>vérotoxinogènes</w:t>
      </w:r>
      <w:proofErr w:type="spellEnd"/>
      <w:r w:rsidRPr="00571041">
        <w:rPr>
          <w:lang w:val="fr-BE"/>
        </w:rPr>
        <w:t xml:space="preserve"> (VTEC). </w:t>
      </w:r>
      <w:r w:rsidRPr="00993723">
        <w:rPr>
          <w:lang w:val="fr-BE"/>
        </w:rPr>
        <w:t xml:space="preserve">Ann. Méd. </w:t>
      </w:r>
      <w:proofErr w:type="spellStart"/>
      <w:r w:rsidRPr="00993723">
        <w:rPr>
          <w:lang w:val="fr-BE"/>
        </w:rPr>
        <w:t>Vét</w:t>
      </w:r>
      <w:proofErr w:type="spellEnd"/>
      <w:r w:rsidRPr="00993723">
        <w:rPr>
          <w:lang w:val="fr-BE"/>
        </w:rPr>
        <w:t xml:space="preserve">. 1992, 136, 259-262. </w:t>
      </w:r>
    </w:p>
    <w:p w:rsidR="00571041" w:rsidRDefault="00571041" w:rsidP="00571041">
      <w:pPr>
        <w:pStyle w:val="MDPI71References"/>
      </w:pPr>
      <w:r>
        <w:t xml:space="preserve">Mainil, J.; Daube, G. </w:t>
      </w:r>
      <w:proofErr w:type="spellStart"/>
      <w:r>
        <w:t>Verotoxigenic</w:t>
      </w:r>
      <w:proofErr w:type="spellEnd"/>
      <w:r>
        <w:t xml:space="preserve"> </w:t>
      </w:r>
      <w:r w:rsidRPr="00993723">
        <w:rPr>
          <w:i/>
        </w:rPr>
        <w:t>Escherichia coli</w:t>
      </w:r>
      <w:r>
        <w:t xml:space="preserve"> from animals, humans and foods: Who’s who ? J. Appl. </w:t>
      </w:r>
      <w:proofErr w:type="spellStart"/>
      <w:r>
        <w:t>Microbiol</w:t>
      </w:r>
      <w:proofErr w:type="spellEnd"/>
      <w:r>
        <w:t>. 2005, 98, 1332-1344. https://doi.org/10.1111/j.1365-2672.2005.02653.x</w:t>
      </w:r>
    </w:p>
    <w:p w:rsidR="00571041" w:rsidRDefault="00571041" w:rsidP="00571041">
      <w:pPr>
        <w:pStyle w:val="MDPI71References"/>
      </w:pPr>
      <w:proofErr w:type="spellStart"/>
      <w:r>
        <w:t>Verhaegen</w:t>
      </w:r>
      <w:proofErr w:type="spellEnd"/>
      <w:r>
        <w:t xml:space="preserve">, B.; De </w:t>
      </w:r>
      <w:proofErr w:type="spellStart"/>
      <w:r>
        <w:t>Reu</w:t>
      </w:r>
      <w:proofErr w:type="spellEnd"/>
      <w:r>
        <w:t xml:space="preserve">, K.; </w:t>
      </w:r>
      <w:proofErr w:type="spellStart"/>
      <w:r>
        <w:t>Heyndrickx</w:t>
      </w:r>
      <w:proofErr w:type="spellEnd"/>
      <w:r>
        <w:t xml:space="preserve">, M.; De </w:t>
      </w:r>
      <w:proofErr w:type="spellStart"/>
      <w:r>
        <w:t>Zutter</w:t>
      </w:r>
      <w:proofErr w:type="spellEnd"/>
      <w:r>
        <w:t xml:space="preserve">, L. Comparison of six chromogenic agar media for the isolation of a broad variety of non-O157 Shiga toxin-producing </w:t>
      </w:r>
      <w:r w:rsidRPr="00993723">
        <w:rPr>
          <w:i/>
        </w:rPr>
        <w:t>Escherichia coli</w:t>
      </w:r>
      <w:r>
        <w:t xml:space="preserve"> (STEC) </w:t>
      </w:r>
      <w:proofErr w:type="spellStart"/>
      <w:r>
        <w:t>serogroups</w:t>
      </w:r>
      <w:proofErr w:type="spellEnd"/>
      <w:r>
        <w:t xml:space="preserve">. Int. J. Environ. Res. Publ. </w:t>
      </w:r>
      <w:proofErr w:type="spellStart"/>
      <w:r>
        <w:t>Hlth</w:t>
      </w:r>
      <w:proofErr w:type="spellEnd"/>
      <w:r>
        <w:t>. 2015, 12, 6965-6978. https://doi.org/10.3390/ijerph120606965</w:t>
      </w:r>
    </w:p>
    <w:p w:rsidR="00571041" w:rsidRDefault="00571041" w:rsidP="00571041">
      <w:pPr>
        <w:pStyle w:val="MDPI71References"/>
      </w:pPr>
      <w:proofErr w:type="spellStart"/>
      <w:r>
        <w:t>Bardiau</w:t>
      </w:r>
      <w:proofErr w:type="spellEnd"/>
      <w:r>
        <w:t xml:space="preserve">, M.; </w:t>
      </w:r>
      <w:proofErr w:type="spellStart"/>
      <w:r>
        <w:t>Labrozzo</w:t>
      </w:r>
      <w:proofErr w:type="spellEnd"/>
      <w:r>
        <w:t xml:space="preserve">, S.; Mainil, J.G. Putative </w:t>
      </w:r>
      <w:proofErr w:type="spellStart"/>
      <w:r>
        <w:t>adhesins</w:t>
      </w:r>
      <w:proofErr w:type="spellEnd"/>
      <w:r>
        <w:t xml:space="preserve"> of </w:t>
      </w:r>
      <w:proofErr w:type="spellStart"/>
      <w:r>
        <w:t>enteropathogenic</w:t>
      </w:r>
      <w:proofErr w:type="spellEnd"/>
      <w:r>
        <w:t xml:space="preserve"> and </w:t>
      </w:r>
      <w:proofErr w:type="spellStart"/>
      <w:r>
        <w:t>enterohemorrhagic</w:t>
      </w:r>
      <w:proofErr w:type="spellEnd"/>
      <w:r>
        <w:t xml:space="preserve"> </w:t>
      </w:r>
      <w:r w:rsidRPr="00993723">
        <w:rPr>
          <w:i/>
        </w:rPr>
        <w:t>Escherichia coli</w:t>
      </w:r>
      <w:r>
        <w:t xml:space="preserve"> of </w:t>
      </w:r>
      <w:proofErr w:type="spellStart"/>
      <w:r>
        <w:t>serogroup</w:t>
      </w:r>
      <w:proofErr w:type="spellEnd"/>
      <w:r>
        <w:t xml:space="preserve"> O26 isolated from humans and cattle. J. </w:t>
      </w:r>
      <w:proofErr w:type="spellStart"/>
      <w:r>
        <w:t>Clin</w:t>
      </w:r>
      <w:proofErr w:type="spellEnd"/>
      <w:r>
        <w:t xml:space="preserve">. </w:t>
      </w:r>
      <w:proofErr w:type="spellStart"/>
      <w:r>
        <w:t>Microbiol</w:t>
      </w:r>
      <w:proofErr w:type="spellEnd"/>
      <w:r>
        <w:t>. 2009, 47, 2090-2096. https://doi.org/10.1128/JCM.02048-08</w:t>
      </w:r>
    </w:p>
    <w:p w:rsidR="00571041" w:rsidRDefault="00571041" w:rsidP="00571041">
      <w:pPr>
        <w:pStyle w:val="MDPI71References"/>
      </w:pPr>
      <w:proofErr w:type="spellStart"/>
      <w:r>
        <w:t>Bugarel</w:t>
      </w:r>
      <w:proofErr w:type="spellEnd"/>
      <w:r>
        <w:t xml:space="preserve">, M.; </w:t>
      </w:r>
      <w:proofErr w:type="spellStart"/>
      <w:r>
        <w:t>Beutin</w:t>
      </w:r>
      <w:proofErr w:type="spellEnd"/>
      <w:r>
        <w:t xml:space="preserve">, L.; </w:t>
      </w:r>
      <w:proofErr w:type="spellStart"/>
      <w:r>
        <w:t>Scheutz</w:t>
      </w:r>
      <w:proofErr w:type="spellEnd"/>
      <w:r>
        <w:t xml:space="preserve">, F.; </w:t>
      </w:r>
      <w:proofErr w:type="spellStart"/>
      <w:r>
        <w:t>Loukiadis</w:t>
      </w:r>
      <w:proofErr w:type="spellEnd"/>
      <w:r>
        <w:t xml:space="preserve">, E.; </w:t>
      </w:r>
      <w:proofErr w:type="spellStart"/>
      <w:r>
        <w:t>Fach</w:t>
      </w:r>
      <w:proofErr w:type="spellEnd"/>
      <w:r>
        <w:t xml:space="preserve">, P. Identification of genetic markers for differentiation of Shiga toxin-producing, </w:t>
      </w:r>
      <w:proofErr w:type="spellStart"/>
      <w:r>
        <w:t>enteropathogenic</w:t>
      </w:r>
      <w:proofErr w:type="spellEnd"/>
      <w:r>
        <w:t xml:space="preserve">, and </w:t>
      </w:r>
      <w:proofErr w:type="spellStart"/>
      <w:r>
        <w:t>avirulent</w:t>
      </w:r>
      <w:proofErr w:type="spellEnd"/>
      <w:r>
        <w:t xml:space="preserve"> strains of </w:t>
      </w:r>
      <w:r w:rsidRPr="00993723">
        <w:rPr>
          <w:i/>
        </w:rPr>
        <w:t>Escherichia coli</w:t>
      </w:r>
      <w:r>
        <w:t xml:space="preserve"> O26. Appl. Environ. </w:t>
      </w:r>
      <w:proofErr w:type="spellStart"/>
      <w:r>
        <w:t>Microbiol</w:t>
      </w:r>
      <w:proofErr w:type="spellEnd"/>
      <w:r>
        <w:t xml:space="preserve">. 2011, 77, 2275–2281. https://doi.org/10.1128/AEM.02832-10 </w:t>
      </w:r>
    </w:p>
    <w:p w:rsidR="00571041" w:rsidRDefault="00571041" w:rsidP="00571041">
      <w:pPr>
        <w:pStyle w:val="MDPI71References"/>
      </w:pPr>
      <w:proofErr w:type="spellStart"/>
      <w:r>
        <w:t>Soysal</w:t>
      </w:r>
      <w:proofErr w:type="spellEnd"/>
      <w:r>
        <w:t xml:space="preserve">, N.; </w:t>
      </w:r>
      <w:proofErr w:type="spellStart"/>
      <w:r>
        <w:t>Mariani-Kurkdjian</w:t>
      </w:r>
      <w:proofErr w:type="spellEnd"/>
      <w:r>
        <w:t xml:space="preserve">, P.; </w:t>
      </w:r>
      <w:proofErr w:type="spellStart"/>
      <w:r>
        <w:t>Smail</w:t>
      </w:r>
      <w:proofErr w:type="spellEnd"/>
      <w:r>
        <w:t xml:space="preserve">, Y.; </w:t>
      </w:r>
      <w:proofErr w:type="spellStart"/>
      <w:r>
        <w:t>Liguori</w:t>
      </w:r>
      <w:proofErr w:type="spellEnd"/>
      <w:r>
        <w:t xml:space="preserve">, S.; </w:t>
      </w:r>
      <w:proofErr w:type="spellStart"/>
      <w:r>
        <w:t>Gouali</w:t>
      </w:r>
      <w:proofErr w:type="spellEnd"/>
      <w:r>
        <w:t xml:space="preserve">, M.; </w:t>
      </w:r>
      <w:proofErr w:type="spellStart"/>
      <w:r>
        <w:t>Loukiadis</w:t>
      </w:r>
      <w:proofErr w:type="spellEnd"/>
      <w:r>
        <w:t xml:space="preserve">, E.; </w:t>
      </w:r>
      <w:proofErr w:type="spellStart"/>
      <w:r>
        <w:t>Fach</w:t>
      </w:r>
      <w:proofErr w:type="spellEnd"/>
      <w:r>
        <w:t xml:space="preserve">, P.; </w:t>
      </w:r>
      <w:proofErr w:type="spellStart"/>
      <w:r>
        <w:t>Bruyand</w:t>
      </w:r>
      <w:proofErr w:type="spellEnd"/>
      <w:r>
        <w:t xml:space="preserve">, M.; Blanco, J.; Bidet, P.; </w:t>
      </w:r>
      <w:proofErr w:type="spellStart"/>
      <w:r>
        <w:t>Bonacorsi</w:t>
      </w:r>
      <w:proofErr w:type="spellEnd"/>
      <w:r>
        <w:t xml:space="preserve">, S. </w:t>
      </w:r>
      <w:proofErr w:type="spellStart"/>
      <w:r>
        <w:t>Enterohemorrhagic</w:t>
      </w:r>
      <w:proofErr w:type="spellEnd"/>
      <w:r>
        <w:t xml:space="preserve"> </w:t>
      </w:r>
      <w:r w:rsidRPr="00993723">
        <w:rPr>
          <w:i/>
        </w:rPr>
        <w:t>Escherichia coli</w:t>
      </w:r>
      <w:r>
        <w:t xml:space="preserve"> hybrid </w:t>
      </w:r>
      <w:proofErr w:type="spellStart"/>
      <w:r>
        <w:t>pathotype</w:t>
      </w:r>
      <w:proofErr w:type="spellEnd"/>
      <w:r>
        <w:t xml:space="preserve"> O80:H2 as a new therapeutic challenge. </w:t>
      </w:r>
      <w:proofErr w:type="spellStart"/>
      <w:r>
        <w:t>Emerg</w:t>
      </w:r>
      <w:proofErr w:type="spellEnd"/>
      <w:r>
        <w:t>. Infect. Dis. 2016, 22, 1604-1612. https://doi.org/10.3201/eid2209.160304</w:t>
      </w:r>
    </w:p>
    <w:p w:rsidR="00571041" w:rsidRDefault="00571041" w:rsidP="00571041">
      <w:pPr>
        <w:pStyle w:val="MDPI71References"/>
      </w:pPr>
      <w:r>
        <w:t xml:space="preserve">Ogura, Y.; </w:t>
      </w:r>
      <w:proofErr w:type="spellStart"/>
      <w:r>
        <w:t>Gotoh</w:t>
      </w:r>
      <w:proofErr w:type="spellEnd"/>
      <w:r>
        <w:t xml:space="preserve">, Y.; Itoh, T.; Sato, M.; </w:t>
      </w:r>
      <w:proofErr w:type="spellStart"/>
      <w:r>
        <w:t>Seto</w:t>
      </w:r>
      <w:proofErr w:type="spellEnd"/>
      <w:r>
        <w:t xml:space="preserve">, K.; Yoshino, S.; </w:t>
      </w:r>
      <w:proofErr w:type="spellStart"/>
      <w:r>
        <w:t>Isobe</w:t>
      </w:r>
      <w:proofErr w:type="spellEnd"/>
      <w:r>
        <w:t xml:space="preserve">, J.; </w:t>
      </w:r>
      <w:proofErr w:type="spellStart"/>
      <w:r>
        <w:t>Etoh</w:t>
      </w:r>
      <w:proofErr w:type="spellEnd"/>
      <w:r>
        <w:t xml:space="preserve">, Y.; </w:t>
      </w:r>
      <w:proofErr w:type="spellStart"/>
      <w:r>
        <w:t>Kurogi</w:t>
      </w:r>
      <w:proofErr w:type="spellEnd"/>
      <w:r>
        <w:t xml:space="preserve">, M.; </w:t>
      </w:r>
      <w:proofErr w:type="spellStart"/>
      <w:r>
        <w:t>Kimata</w:t>
      </w:r>
      <w:proofErr w:type="spellEnd"/>
      <w:r>
        <w:t xml:space="preserve">, K.; Maeda, E.; </w:t>
      </w:r>
      <w:proofErr w:type="spellStart"/>
      <w:r>
        <w:t>Piérard</w:t>
      </w:r>
      <w:proofErr w:type="spellEnd"/>
      <w:r>
        <w:t xml:space="preserve">, D.; </w:t>
      </w:r>
      <w:proofErr w:type="spellStart"/>
      <w:r>
        <w:t>Kusumoto</w:t>
      </w:r>
      <w:proofErr w:type="spellEnd"/>
      <w:r>
        <w:t xml:space="preserve">, M.; </w:t>
      </w:r>
      <w:proofErr w:type="spellStart"/>
      <w:r>
        <w:t>Akiba</w:t>
      </w:r>
      <w:proofErr w:type="spellEnd"/>
      <w:r>
        <w:t xml:space="preserve">, M.; </w:t>
      </w:r>
      <w:proofErr w:type="spellStart"/>
      <w:r>
        <w:t>Tominaga</w:t>
      </w:r>
      <w:proofErr w:type="spellEnd"/>
      <w:r>
        <w:t xml:space="preserve">, K.; </w:t>
      </w:r>
      <w:proofErr w:type="spellStart"/>
      <w:r>
        <w:t>Kirino</w:t>
      </w:r>
      <w:proofErr w:type="spellEnd"/>
      <w:r>
        <w:t xml:space="preserve">, Y.; Kato, Y.; </w:t>
      </w:r>
      <w:proofErr w:type="spellStart"/>
      <w:r>
        <w:t>Shirahige</w:t>
      </w:r>
      <w:proofErr w:type="spellEnd"/>
      <w:r>
        <w:t xml:space="preserve">, K.; </w:t>
      </w:r>
      <w:proofErr w:type="spellStart"/>
      <w:r>
        <w:t>Ooka</w:t>
      </w:r>
      <w:proofErr w:type="spellEnd"/>
      <w:r>
        <w:t xml:space="preserve">, T.; </w:t>
      </w:r>
      <w:proofErr w:type="spellStart"/>
      <w:r>
        <w:t>Ishijima</w:t>
      </w:r>
      <w:proofErr w:type="spellEnd"/>
      <w:r>
        <w:t xml:space="preserve">, N.; Lee, K.I.; </w:t>
      </w:r>
      <w:proofErr w:type="spellStart"/>
      <w:r>
        <w:t>Iyoda</w:t>
      </w:r>
      <w:proofErr w:type="spellEnd"/>
      <w:r>
        <w:t xml:space="preserve">, S.; Mainil, J.G.; Hayashi, T. The population structure of </w:t>
      </w:r>
      <w:r w:rsidRPr="00993723">
        <w:rPr>
          <w:i/>
        </w:rPr>
        <w:t>Escherichia coli</w:t>
      </w:r>
      <w:r>
        <w:t xml:space="preserve"> O26:H11 with recent and repeated stx2 acquisition in multiple lineages. </w:t>
      </w:r>
      <w:proofErr w:type="spellStart"/>
      <w:r>
        <w:t>Microb</w:t>
      </w:r>
      <w:proofErr w:type="spellEnd"/>
      <w:r>
        <w:t xml:space="preserve">. </w:t>
      </w:r>
      <w:proofErr w:type="spellStart"/>
      <w:r>
        <w:t>Genom</w:t>
      </w:r>
      <w:proofErr w:type="spellEnd"/>
      <w:r>
        <w:t xml:space="preserve">. 2017, 3(11). https://doi.org/10.1099/mgen.0.000141 </w:t>
      </w:r>
    </w:p>
    <w:tbl>
      <w:tblPr>
        <w:tblW w:w="0" w:type="auto"/>
        <w:jc w:val="center"/>
        <w:tblLook w:val="04A0" w:firstRow="1" w:lastRow="0" w:firstColumn="1" w:lastColumn="0" w:noHBand="0" w:noVBand="1"/>
      </w:tblPr>
      <w:tblGrid>
        <w:gridCol w:w="1701"/>
        <w:gridCol w:w="7149"/>
      </w:tblGrid>
      <w:tr w:rsidR="00C265CE" w:rsidRPr="00F938E7" w:rsidTr="001A6709">
        <w:trPr>
          <w:jc w:val="center"/>
        </w:trPr>
        <w:tc>
          <w:tcPr>
            <w:tcW w:w="0" w:type="auto"/>
            <w:shd w:val="clear" w:color="auto" w:fill="auto"/>
            <w:vAlign w:val="center"/>
          </w:tcPr>
          <w:p w:rsidR="00C265CE" w:rsidRPr="00F938E7" w:rsidRDefault="00E06D3F" w:rsidP="004D2430">
            <w:pPr>
              <w:pStyle w:val="MDPI71References"/>
              <w:numPr>
                <w:ilvl w:val="0"/>
                <w:numId w:val="0"/>
              </w:numPr>
              <w:ind w:left="-85"/>
              <w:rPr>
                <w:rFonts w:eastAsia="SimSun"/>
                <w:bCs/>
              </w:rPr>
            </w:pPr>
            <w:r>
              <w:rPr>
                <w:rFonts w:eastAsia="SimSun"/>
                <w:bC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8.5pt;height:28pt">
                  <v:imagedata r:id="rId18" o:title="copyRight"/>
                </v:shape>
              </w:pict>
            </w:r>
          </w:p>
        </w:tc>
        <w:tc>
          <w:tcPr>
            <w:tcW w:w="7149" w:type="dxa"/>
            <w:shd w:val="clear" w:color="auto" w:fill="auto"/>
            <w:vAlign w:val="center"/>
          </w:tcPr>
          <w:p w:rsidR="00C265CE" w:rsidRPr="00F938E7" w:rsidRDefault="00476654" w:rsidP="00476654">
            <w:pPr>
              <w:pStyle w:val="MDPI71References"/>
              <w:numPr>
                <w:ilvl w:val="0"/>
                <w:numId w:val="0"/>
              </w:numPr>
              <w:ind w:left="-85"/>
              <w:rPr>
                <w:rFonts w:eastAsia="SimSun"/>
                <w:bCs/>
              </w:rPr>
            </w:pPr>
            <w:r>
              <w:rPr>
                <w:rFonts w:eastAsia="SimSun"/>
                <w:bCs/>
              </w:rPr>
              <w:t>© 2020</w:t>
            </w:r>
            <w:r w:rsidR="00C265CE" w:rsidRPr="00F938E7">
              <w:rPr>
                <w:rFonts w:eastAsia="SimSun"/>
                <w:bCs/>
              </w:rPr>
              <w:t xml:space="preserve"> by the authors. Submitted for possible open access publication under the terms and conditions of the Creative Commons Attribution (CC BY) license (http://creativecommons.org/licenses/by/4.0/).</w:t>
            </w:r>
          </w:p>
        </w:tc>
      </w:tr>
    </w:tbl>
    <w:p w:rsidR="004F05D7" w:rsidRPr="00E57387" w:rsidRDefault="004F05D7" w:rsidP="00C265CE">
      <w:pPr>
        <w:pStyle w:val="MDPI71References"/>
        <w:numPr>
          <w:ilvl w:val="0"/>
          <w:numId w:val="0"/>
        </w:numPr>
        <w:spacing w:after="240"/>
        <w:rPr>
          <w:rFonts w:eastAsia="SimSun"/>
        </w:rPr>
      </w:pPr>
    </w:p>
    <w:sectPr w:rsidR="004F05D7" w:rsidRPr="00E57387" w:rsidSect="004F05D7">
      <w:pgSz w:w="11906" w:h="16838" w:code="9"/>
      <w:pgMar w:top="1417" w:right="1531" w:bottom="1077" w:left="1531" w:header="1020" w:footer="850" w:gutter="0"/>
      <w:lnNumType w:countBy="1" w:restart="continuous"/>
      <w:pgNumType w:start="1"/>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5426" w:rsidRDefault="002E5426">
      <w:pPr>
        <w:spacing w:line="240" w:lineRule="auto"/>
      </w:pPr>
      <w:r>
        <w:separator/>
      </w:r>
    </w:p>
  </w:endnote>
  <w:endnote w:type="continuationSeparator" w:id="0">
    <w:p w:rsidR="002E5426" w:rsidRDefault="002E54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E7C" w:rsidRPr="00FE4587" w:rsidRDefault="001C7E7C" w:rsidP="00BF5A30">
    <w:pPr>
      <w:pStyle w:val="Pieddepage"/>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E7C" w:rsidRPr="00275306" w:rsidRDefault="001C7E7C" w:rsidP="00476654">
    <w:pPr>
      <w:tabs>
        <w:tab w:val="right" w:pos="8844"/>
      </w:tabs>
      <w:adjustRightInd w:val="0"/>
      <w:snapToGrid w:val="0"/>
      <w:spacing w:before="120" w:line="240" w:lineRule="auto"/>
      <w:rPr>
        <w:rFonts w:ascii="Palatino Linotype" w:hAnsi="Palatino Linotype"/>
        <w:sz w:val="16"/>
        <w:szCs w:val="16"/>
        <w:lang w:val="en-GB"/>
      </w:rPr>
    </w:pPr>
    <w:r w:rsidRPr="0039282D">
      <w:rPr>
        <w:rFonts w:ascii="Palatino Linotype" w:hAnsi="Palatino Linotype"/>
        <w:i/>
        <w:sz w:val="16"/>
        <w:szCs w:val="16"/>
      </w:rPr>
      <w:t>Vet. Sci.</w:t>
    </w:r>
    <w:r>
      <w:rPr>
        <w:rFonts w:ascii="Palatino Linotype" w:hAnsi="Palatino Linotype"/>
        <w:i/>
        <w:sz w:val="16"/>
        <w:szCs w:val="16"/>
      </w:rPr>
      <w:t xml:space="preserve"> </w:t>
    </w:r>
    <w:r w:rsidRPr="00C265CE">
      <w:rPr>
        <w:rFonts w:ascii="Palatino Linotype" w:hAnsi="Palatino Linotype"/>
        <w:b/>
        <w:bCs/>
        <w:iCs/>
        <w:sz w:val="16"/>
        <w:szCs w:val="16"/>
      </w:rPr>
      <w:t>20</w:t>
    </w:r>
    <w:r>
      <w:rPr>
        <w:rFonts w:ascii="Palatino Linotype" w:hAnsi="Palatino Linotype"/>
        <w:b/>
        <w:bCs/>
        <w:iCs/>
        <w:sz w:val="16"/>
        <w:szCs w:val="16"/>
      </w:rPr>
      <w:t>20</w:t>
    </w:r>
    <w:r w:rsidRPr="00C265CE">
      <w:rPr>
        <w:rFonts w:ascii="Palatino Linotype" w:hAnsi="Palatino Linotype"/>
        <w:bCs/>
        <w:iCs/>
        <w:sz w:val="16"/>
        <w:szCs w:val="16"/>
      </w:rPr>
      <w:t xml:space="preserve">, </w:t>
    </w:r>
    <w:r>
      <w:rPr>
        <w:rFonts w:ascii="Palatino Linotype" w:hAnsi="Palatino Linotype"/>
        <w:bCs/>
        <w:i/>
        <w:iCs/>
        <w:sz w:val="16"/>
        <w:szCs w:val="16"/>
      </w:rPr>
      <w:t>7</w:t>
    </w:r>
    <w:r w:rsidRPr="00C265CE">
      <w:rPr>
        <w:rFonts w:ascii="Palatino Linotype" w:hAnsi="Palatino Linotype"/>
        <w:bCs/>
        <w:iCs/>
        <w:sz w:val="16"/>
        <w:szCs w:val="16"/>
      </w:rPr>
      <w:t xml:space="preserve">, </w:t>
    </w:r>
    <w:r>
      <w:rPr>
        <w:rFonts w:ascii="Palatino Linotype" w:hAnsi="Palatino Linotype"/>
        <w:bCs/>
        <w:iCs/>
        <w:sz w:val="16"/>
        <w:szCs w:val="16"/>
      </w:rPr>
      <w:t xml:space="preserve">x; </w:t>
    </w:r>
    <w:proofErr w:type="spellStart"/>
    <w:r>
      <w:rPr>
        <w:rFonts w:ascii="Palatino Linotype" w:hAnsi="Palatino Linotype"/>
        <w:bCs/>
        <w:iCs/>
        <w:sz w:val="16"/>
        <w:szCs w:val="16"/>
      </w:rPr>
      <w:t>doi</w:t>
    </w:r>
    <w:proofErr w:type="spellEnd"/>
    <w:r>
      <w:rPr>
        <w:rFonts w:ascii="Palatino Linotype" w:hAnsi="Palatino Linotype"/>
        <w:bCs/>
        <w:iCs/>
        <w:sz w:val="16"/>
        <w:szCs w:val="16"/>
      </w:rPr>
      <w:t>: FOR PEER REVIEW</w:t>
    </w:r>
    <w:r w:rsidRPr="00275306">
      <w:rPr>
        <w:rFonts w:ascii="Palatino Linotype" w:hAnsi="Palatino Linotype"/>
        <w:sz w:val="16"/>
        <w:szCs w:val="16"/>
        <w:lang w:val="en-GB"/>
      </w:rPr>
      <w:tab/>
      <w:t>www.mdpi.com/journal/</w:t>
    </w:r>
    <w:proofErr w:type="spellStart"/>
    <w:r w:rsidRPr="0039282D">
      <w:rPr>
        <w:rFonts w:ascii="Palatino Linotype" w:hAnsi="Palatino Linotype"/>
        <w:sz w:val="16"/>
        <w:szCs w:val="16"/>
      </w:rPr>
      <w:t>vetsci</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5426" w:rsidRDefault="002E5426">
      <w:pPr>
        <w:spacing w:line="240" w:lineRule="auto"/>
      </w:pPr>
      <w:r>
        <w:separator/>
      </w:r>
    </w:p>
  </w:footnote>
  <w:footnote w:type="continuationSeparator" w:id="0">
    <w:p w:rsidR="002E5426" w:rsidRDefault="002E542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E7C" w:rsidRDefault="001C7E7C" w:rsidP="00BF5A30">
    <w:pPr>
      <w:pStyle w:val="En-tte"/>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E7C" w:rsidRPr="002604BC" w:rsidRDefault="001C7E7C" w:rsidP="00476654">
    <w:pPr>
      <w:tabs>
        <w:tab w:val="right" w:pos="8844"/>
      </w:tabs>
      <w:adjustRightInd w:val="0"/>
      <w:snapToGrid w:val="0"/>
      <w:spacing w:after="240" w:line="240" w:lineRule="auto"/>
      <w:rPr>
        <w:rFonts w:ascii="Palatino Linotype" w:hAnsi="Palatino Linotype"/>
        <w:sz w:val="16"/>
      </w:rPr>
    </w:pPr>
    <w:r>
      <w:rPr>
        <w:rFonts w:ascii="Palatino Linotype" w:hAnsi="Palatino Linotype"/>
        <w:i/>
        <w:sz w:val="16"/>
      </w:rPr>
      <w:t xml:space="preserve">Vet. Sci. </w:t>
    </w:r>
    <w:r w:rsidRPr="00C265CE">
      <w:rPr>
        <w:rFonts w:ascii="Palatino Linotype" w:hAnsi="Palatino Linotype"/>
        <w:b/>
        <w:sz w:val="16"/>
      </w:rPr>
      <w:t>20</w:t>
    </w:r>
    <w:r>
      <w:rPr>
        <w:rFonts w:ascii="Palatino Linotype" w:hAnsi="Palatino Linotype"/>
        <w:b/>
        <w:sz w:val="16"/>
      </w:rPr>
      <w:t>20</w:t>
    </w:r>
    <w:r w:rsidRPr="00C265CE">
      <w:rPr>
        <w:rFonts w:ascii="Palatino Linotype" w:hAnsi="Palatino Linotype"/>
        <w:sz w:val="16"/>
      </w:rPr>
      <w:t xml:space="preserve">, </w:t>
    </w:r>
    <w:r>
      <w:rPr>
        <w:rFonts w:ascii="Palatino Linotype" w:hAnsi="Palatino Linotype"/>
        <w:i/>
        <w:sz w:val="16"/>
      </w:rPr>
      <w:t>7</w:t>
    </w:r>
    <w:r>
      <w:rPr>
        <w:rFonts w:ascii="Palatino Linotype" w:hAnsi="Palatino Linotype"/>
        <w:sz w:val="16"/>
      </w:rPr>
      <w:t>, x FOR PEER REVIEW</w:t>
    </w:r>
    <w:r>
      <w:rPr>
        <w:rFonts w:ascii="Palatino Linotype" w:hAnsi="Palatino Linotype"/>
        <w:sz w:val="16"/>
      </w:rPr>
      <w:tab/>
    </w:r>
    <w:r>
      <w:rPr>
        <w:rFonts w:ascii="Palatino Linotype" w:hAnsi="Palatino Linotype"/>
        <w:sz w:val="16"/>
      </w:rPr>
      <w:fldChar w:fldCharType="begin"/>
    </w:r>
    <w:r>
      <w:rPr>
        <w:rFonts w:ascii="Palatino Linotype" w:hAnsi="Palatino Linotype"/>
        <w:sz w:val="16"/>
      </w:rPr>
      <w:instrText xml:space="preserve"> PAGE   \* MERGEFORMAT </w:instrText>
    </w:r>
    <w:r>
      <w:rPr>
        <w:rFonts w:ascii="Palatino Linotype" w:hAnsi="Palatino Linotype"/>
        <w:sz w:val="16"/>
      </w:rPr>
      <w:fldChar w:fldCharType="separate"/>
    </w:r>
    <w:r w:rsidR="00F210C4">
      <w:rPr>
        <w:rFonts w:ascii="Palatino Linotype" w:hAnsi="Palatino Linotype"/>
        <w:noProof/>
        <w:sz w:val="16"/>
      </w:rPr>
      <w:t>3</w:t>
    </w:r>
    <w:r>
      <w:rPr>
        <w:rFonts w:ascii="Palatino Linotype" w:hAnsi="Palatino Linotype"/>
        <w:sz w:val="16"/>
      </w:rPr>
      <w:fldChar w:fldCharType="end"/>
    </w:r>
    <w:r>
      <w:rPr>
        <w:rFonts w:ascii="Palatino Linotype" w:hAnsi="Palatino Linotype"/>
        <w:sz w:val="16"/>
      </w:rPr>
      <w:t xml:space="preserve"> of </w:t>
    </w:r>
    <w:r>
      <w:rPr>
        <w:rFonts w:ascii="Palatino Linotype" w:hAnsi="Palatino Linotype"/>
        <w:sz w:val="16"/>
      </w:rPr>
      <w:fldChar w:fldCharType="begin"/>
    </w:r>
    <w:r>
      <w:rPr>
        <w:rFonts w:ascii="Palatino Linotype" w:hAnsi="Palatino Linotype"/>
        <w:sz w:val="16"/>
      </w:rPr>
      <w:instrText xml:space="preserve"> NUMPAGES   \* MERGEFORMAT </w:instrText>
    </w:r>
    <w:r>
      <w:rPr>
        <w:rFonts w:ascii="Palatino Linotype" w:hAnsi="Palatino Linotype"/>
        <w:sz w:val="16"/>
      </w:rPr>
      <w:fldChar w:fldCharType="separate"/>
    </w:r>
    <w:r w:rsidR="00F210C4">
      <w:rPr>
        <w:rFonts w:ascii="Palatino Linotype" w:hAnsi="Palatino Linotype"/>
        <w:noProof/>
        <w:sz w:val="16"/>
      </w:rPr>
      <w:t>15</w:t>
    </w:r>
    <w:r>
      <w:rPr>
        <w:rFonts w:ascii="Palatino Linotype" w:hAnsi="Palatino Linotype"/>
        <w:sz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E7C" w:rsidRDefault="002E5426" w:rsidP="00BF5A30">
    <w:pPr>
      <w:pStyle w:val="MDPIheaderjournallogo"/>
    </w:pPr>
    <w:r>
      <w:rPr>
        <w:i w:val="0"/>
        <w:noProof/>
        <w:szCs w:val="16"/>
        <w:lang w:eastAsia="zh-CN"/>
      </w:rPr>
      <w:pict>
        <v:shapetype id="_x0000_t202" coordsize="21600,21600" o:spt="202" path="m,l,21600r21600,l21600,xe">
          <v:stroke joinstyle="miter"/>
          <v:path gradientshapeok="t" o:connecttype="rect"/>
        </v:shapetype>
        <v:shape id="Text Box 2" o:spid="_x0000_s2049" type="#_x0000_t202" style="position:absolute;margin-left:474.8pt;margin-top:51pt;width:45.05pt;height:55.85pt;z-index:-1;visibility:visible;mso-wrap-style:none;mso-wrap-distance-top:3.6pt;mso-wrap-distance-bottom:3.6pt;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" stroked="f">
          <v:textbox style="mso-next-textbox:#Text Box 2" inset="0,0,0,0">
            <w:txbxContent>
              <w:p w:rsidR="001C7E7C" w:rsidRDefault="002E5426" w:rsidP="00BF5A30">
                <w:pPr>
                  <w:pStyle w:val="MDPIheaderjournallogo"/>
                  <w:jc w:val="center"/>
                  <w:textboxTightWrap w:val="allLines"/>
                  <w:rPr>
                    <w:i w:val="0"/>
                    <w:szCs w:val="16"/>
                  </w:rPr>
                </w:pPr>
                <w:r>
                  <w:rPr>
                    <w:i w:val="0"/>
                    <w:noProof/>
                    <w:szCs w:val="16"/>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5pt;height:28pt;visibility:visible">
                      <v:imagedata r:id="rId1" o:title="logo-mdpi"/>
                    </v:shape>
                  </w:pict>
                </w:r>
              </w:p>
            </w:txbxContent>
          </v:textbox>
          <w10:wrap anchorx="margin" anchory="page"/>
        </v:shape>
      </w:pict>
    </w:r>
    <w:r w:rsidR="00E06D3F">
      <w:rPr>
        <w:noProof/>
        <w:lang w:eastAsia="zh-CN"/>
      </w:rPr>
      <w:pict>
        <v:shape id="Picture 3" o:spid="_x0000_i1027" type="#_x0000_t75" style="width:106pt;height:34pt;visibility:visible">
          <v:imagedata r:id="rId2" o:title="VetSci_logo"/>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5051C"/>
    <w:multiLevelType w:val="hybridMultilevel"/>
    <w:tmpl w:val="D6480D34"/>
    <w:lvl w:ilvl="0" w:tplc="CDCEE7DA">
      <w:start w:val="1"/>
      <w:numFmt w:val="decimal"/>
      <w:pStyle w:val="MDPI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2" w15:restartNumberingAfterBreak="0">
    <w:nsid w:val="369A6535"/>
    <w:multiLevelType w:val="hybridMultilevel"/>
    <w:tmpl w:val="3CB68362"/>
    <w:lvl w:ilvl="0" w:tplc="B2367048">
      <w:start w:val="1"/>
      <w:numFmt w:val="bullet"/>
      <w:pStyle w:val="MDPI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trackRevisions/>
  <w:doNotTrackMoves/>
  <w:defaultTabStop w:val="420"/>
  <w:hyphenationZone w:val="425"/>
  <w:drawingGridHorizontalSpacing w:val="120"/>
  <w:drawingGridVerticalSpacing w:val="163"/>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5306"/>
    <w:rsid w:val="00066768"/>
    <w:rsid w:val="00077698"/>
    <w:rsid w:val="000822F7"/>
    <w:rsid w:val="000909A6"/>
    <w:rsid w:val="000F2EDF"/>
    <w:rsid w:val="00114409"/>
    <w:rsid w:val="001303E1"/>
    <w:rsid w:val="001469DB"/>
    <w:rsid w:val="001A6709"/>
    <w:rsid w:val="001C7E7C"/>
    <w:rsid w:val="001E2AEB"/>
    <w:rsid w:val="001F6DB0"/>
    <w:rsid w:val="00203808"/>
    <w:rsid w:val="00275306"/>
    <w:rsid w:val="002A39F7"/>
    <w:rsid w:val="002B081A"/>
    <w:rsid w:val="002C4347"/>
    <w:rsid w:val="002D7856"/>
    <w:rsid w:val="002E5426"/>
    <w:rsid w:val="002F746C"/>
    <w:rsid w:val="00326141"/>
    <w:rsid w:val="00354A4C"/>
    <w:rsid w:val="00380F33"/>
    <w:rsid w:val="003B5E51"/>
    <w:rsid w:val="00401D30"/>
    <w:rsid w:val="00476654"/>
    <w:rsid w:val="004959CC"/>
    <w:rsid w:val="004A3321"/>
    <w:rsid w:val="004A3C75"/>
    <w:rsid w:val="004D2430"/>
    <w:rsid w:val="004F05D7"/>
    <w:rsid w:val="00513DBA"/>
    <w:rsid w:val="005165E1"/>
    <w:rsid w:val="005365BE"/>
    <w:rsid w:val="00571041"/>
    <w:rsid w:val="00576B7D"/>
    <w:rsid w:val="00583B9A"/>
    <w:rsid w:val="0058480F"/>
    <w:rsid w:val="005C38CE"/>
    <w:rsid w:val="005D2F1F"/>
    <w:rsid w:val="005D4C85"/>
    <w:rsid w:val="005E22FC"/>
    <w:rsid w:val="00606B71"/>
    <w:rsid w:val="00680AF7"/>
    <w:rsid w:val="0068675B"/>
    <w:rsid w:val="006915C2"/>
    <w:rsid w:val="00692393"/>
    <w:rsid w:val="006D6247"/>
    <w:rsid w:val="0070739E"/>
    <w:rsid w:val="0071269C"/>
    <w:rsid w:val="007538F5"/>
    <w:rsid w:val="00772BFA"/>
    <w:rsid w:val="007D035B"/>
    <w:rsid w:val="007F71A9"/>
    <w:rsid w:val="00833EB2"/>
    <w:rsid w:val="00864C05"/>
    <w:rsid w:val="008654BC"/>
    <w:rsid w:val="008C2465"/>
    <w:rsid w:val="008F19DC"/>
    <w:rsid w:val="008F5653"/>
    <w:rsid w:val="008F5AD8"/>
    <w:rsid w:val="009038AE"/>
    <w:rsid w:val="00904F66"/>
    <w:rsid w:val="00924288"/>
    <w:rsid w:val="00976149"/>
    <w:rsid w:val="00993723"/>
    <w:rsid w:val="009A21E7"/>
    <w:rsid w:val="009E193B"/>
    <w:rsid w:val="009F70E6"/>
    <w:rsid w:val="00A46CE5"/>
    <w:rsid w:val="00AA2E5A"/>
    <w:rsid w:val="00AD0FB8"/>
    <w:rsid w:val="00AE76D7"/>
    <w:rsid w:val="00B32897"/>
    <w:rsid w:val="00B32D7B"/>
    <w:rsid w:val="00B62774"/>
    <w:rsid w:val="00B8461B"/>
    <w:rsid w:val="00B9412F"/>
    <w:rsid w:val="00B944C3"/>
    <w:rsid w:val="00BC08E1"/>
    <w:rsid w:val="00BD13F7"/>
    <w:rsid w:val="00BF5A30"/>
    <w:rsid w:val="00C128C2"/>
    <w:rsid w:val="00C144CB"/>
    <w:rsid w:val="00C14903"/>
    <w:rsid w:val="00C24016"/>
    <w:rsid w:val="00C243C0"/>
    <w:rsid w:val="00C265CE"/>
    <w:rsid w:val="00C47C1B"/>
    <w:rsid w:val="00C61824"/>
    <w:rsid w:val="00C64EA4"/>
    <w:rsid w:val="00C834AC"/>
    <w:rsid w:val="00C866BC"/>
    <w:rsid w:val="00CB1B81"/>
    <w:rsid w:val="00D11A89"/>
    <w:rsid w:val="00D20310"/>
    <w:rsid w:val="00D244F6"/>
    <w:rsid w:val="00D255AC"/>
    <w:rsid w:val="00D46E30"/>
    <w:rsid w:val="00D623DE"/>
    <w:rsid w:val="00D70A2F"/>
    <w:rsid w:val="00D85140"/>
    <w:rsid w:val="00DB64C9"/>
    <w:rsid w:val="00E06D3F"/>
    <w:rsid w:val="00E137C9"/>
    <w:rsid w:val="00E248E7"/>
    <w:rsid w:val="00E315CC"/>
    <w:rsid w:val="00E8130E"/>
    <w:rsid w:val="00ED7F90"/>
    <w:rsid w:val="00F06E0E"/>
    <w:rsid w:val="00F110ED"/>
    <w:rsid w:val="00F11932"/>
    <w:rsid w:val="00F210C4"/>
    <w:rsid w:val="00F51B7F"/>
    <w:rsid w:val="00F762F8"/>
    <w:rsid w:val="00F83B0A"/>
    <w:rsid w:val="00F938E7"/>
    <w:rsid w:val="00FB0886"/>
    <w:rsid w:val="00FB6077"/>
    <w:rsid w:val="00FF49C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C745DA6"/>
  <w15:chartTrackingRefBased/>
  <w15:docId w15:val="{922ABF8A-DC8D-4B83-9BA0-B511BB32C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fr-BE" w:eastAsia="fr-B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5D7"/>
    <w:pPr>
      <w:spacing w:line="340" w:lineRule="atLeast"/>
      <w:jc w:val="both"/>
    </w:pPr>
    <w:rPr>
      <w:rFonts w:ascii="Times New Roman" w:eastAsia="Times New Roman" w:hAnsi="Times New Roman"/>
      <w:color w:val="000000"/>
      <w:sz w:val="24"/>
      <w:lang w:val="en-US"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DPI11articletype">
    <w:name w:val="MDPI_1.1_article_type"/>
    <w:basedOn w:val="MDPI31text"/>
    <w:next w:val="MDPI12title"/>
    <w:qFormat/>
    <w:rsid w:val="004F05D7"/>
    <w:pPr>
      <w:spacing w:before="240" w:line="240" w:lineRule="auto"/>
      <w:ind w:firstLine="0"/>
      <w:jc w:val="left"/>
    </w:pPr>
    <w:rPr>
      <w:i/>
    </w:rPr>
  </w:style>
  <w:style w:type="paragraph" w:customStyle="1" w:styleId="MDPI12title">
    <w:name w:val="MDPI_1.2_title"/>
    <w:next w:val="MDPI13authornames"/>
    <w:qFormat/>
    <w:rsid w:val="004F05D7"/>
    <w:pPr>
      <w:adjustRightInd w:val="0"/>
      <w:snapToGrid w:val="0"/>
      <w:spacing w:after="240" w:line="400" w:lineRule="exact"/>
    </w:pPr>
    <w:rPr>
      <w:rFonts w:ascii="Palatino Linotype" w:eastAsia="Times New Roman" w:hAnsi="Palatino Linotype"/>
      <w:b/>
      <w:snapToGrid w:val="0"/>
      <w:color w:val="000000"/>
      <w:sz w:val="36"/>
      <w:lang w:val="en-US" w:eastAsia="de-DE" w:bidi="en-US"/>
    </w:rPr>
  </w:style>
  <w:style w:type="paragraph" w:customStyle="1" w:styleId="MDPI13authornames">
    <w:name w:val="MDPI_1.3_authornames"/>
    <w:basedOn w:val="MDPI31text"/>
    <w:next w:val="MDPI14history"/>
    <w:qFormat/>
    <w:rsid w:val="004F05D7"/>
    <w:pPr>
      <w:spacing w:after="120"/>
      <w:ind w:firstLine="0"/>
      <w:jc w:val="left"/>
    </w:pPr>
    <w:rPr>
      <w:b/>
      <w:snapToGrid/>
    </w:rPr>
  </w:style>
  <w:style w:type="paragraph" w:customStyle="1" w:styleId="MDPI14history">
    <w:name w:val="MDPI_1.4_history"/>
    <w:basedOn w:val="MDPI62Acknowledgments"/>
    <w:next w:val="Normal"/>
    <w:qFormat/>
    <w:rsid w:val="004F05D7"/>
    <w:pPr>
      <w:ind w:left="113"/>
      <w:jc w:val="left"/>
    </w:pPr>
    <w:rPr>
      <w:snapToGrid/>
    </w:rPr>
  </w:style>
  <w:style w:type="paragraph" w:customStyle="1" w:styleId="MDPI16affiliation">
    <w:name w:val="MDPI_1.6_affiliation"/>
    <w:basedOn w:val="MDPI62Acknowledgments"/>
    <w:qFormat/>
    <w:rsid w:val="004F05D7"/>
    <w:pPr>
      <w:spacing w:before="0"/>
      <w:ind w:left="311" w:hanging="198"/>
      <w:jc w:val="left"/>
    </w:pPr>
    <w:rPr>
      <w:snapToGrid/>
      <w:szCs w:val="18"/>
    </w:rPr>
  </w:style>
  <w:style w:type="paragraph" w:customStyle="1" w:styleId="MDPI17abstract">
    <w:name w:val="MDPI_1.7_abstract"/>
    <w:basedOn w:val="MDPI31text"/>
    <w:next w:val="MDPI18keywords"/>
    <w:qFormat/>
    <w:rsid w:val="004F05D7"/>
    <w:pPr>
      <w:spacing w:before="240"/>
      <w:ind w:left="113" w:firstLine="0"/>
    </w:pPr>
    <w:rPr>
      <w:snapToGrid/>
    </w:rPr>
  </w:style>
  <w:style w:type="paragraph" w:customStyle="1" w:styleId="MDPI18keywords">
    <w:name w:val="MDPI_1.8_keywords"/>
    <w:basedOn w:val="MDPI31text"/>
    <w:next w:val="Normal"/>
    <w:qFormat/>
    <w:rsid w:val="004F05D7"/>
    <w:pPr>
      <w:spacing w:before="240"/>
      <w:ind w:left="113" w:firstLine="0"/>
    </w:pPr>
  </w:style>
  <w:style w:type="paragraph" w:customStyle="1" w:styleId="MDPI19line">
    <w:name w:val="MDPI_1.9_line"/>
    <w:basedOn w:val="MDPI31text"/>
    <w:qFormat/>
    <w:rsid w:val="004F05D7"/>
    <w:pPr>
      <w:pBdr>
        <w:bottom w:val="single" w:sz="6" w:space="1" w:color="auto"/>
      </w:pBdr>
      <w:ind w:firstLine="0"/>
    </w:pPr>
    <w:rPr>
      <w:snapToGrid/>
      <w:szCs w:val="24"/>
    </w:rPr>
  </w:style>
  <w:style w:type="table" w:customStyle="1" w:styleId="Mdeck5tablebodythreelines">
    <w:name w:val="M_deck_5_table_body_three_lines"/>
    <w:basedOn w:val="TableauNormal"/>
    <w:uiPriority w:val="99"/>
    <w:rsid w:val="004F05D7"/>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Grilledutableau">
    <w:name w:val="Table Grid"/>
    <w:basedOn w:val="TableauNormal"/>
    <w:uiPriority w:val="59"/>
    <w:rsid w:val="004F05D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rsid w:val="004F05D7"/>
    <w:pPr>
      <w:tabs>
        <w:tab w:val="center" w:pos="4153"/>
        <w:tab w:val="right" w:pos="8306"/>
      </w:tabs>
      <w:snapToGrid w:val="0"/>
      <w:spacing w:line="240" w:lineRule="atLeast"/>
    </w:pPr>
    <w:rPr>
      <w:sz w:val="18"/>
      <w:szCs w:val="18"/>
    </w:rPr>
  </w:style>
  <w:style w:type="character" w:customStyle="1" w:styleId="PieddepageCar">
    <w:name w:val="Pied de page Car"/>
    <w:link w:val="Pieddepage"/>
    <w:uiPriority w:val="99"/>
    <w:rsid w:val="004F05D7"/>
    <w:rPr>
      <w:rFonts w:ascii="Times New Roman" w:eastAsia="Times New Roman" w:hAnsi="Times New Roman" w:cs="Times New Roman"/>
      <w:color w:val="000000"/>
      <w:kern w:val="0"/>
      <w:sz w:val="18"/>
      <w:szCs w:val="18"/>
      <w:lang w:eastAsia="de-DE"/>
    </w:rPr>
  </w:style>
  <w:style w:type="paragraph" w:styleId="En-tte">
    <w:name w:val="header"/>
    <w:basedOn w:val="Normal"/>
    <w:link w:val="En-tteCar"/>
    <w:uiPriority w:val="99"/>
    <w:rsid w:val="004F05D7"/>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En-tteCar">
    <w:name w:val="En-tête Car"/>
    <w:link w:val="En-tte"/>
    <w:uiPriority w:val="99"/>
    <w:rsid w:val="004F05D7"/>
    <w:rPr>
      <w:rFonts w:ascii="Times New Roman" w:eastAsia="Times New Roman" w:hAnsi="Times New Roman" w:cs="Times New Roman"/>
      <w:color w:val="000000"/>
      <w:kern w:val="0"/>
      <w:sz w:val="18"/>
      <w:szCs w:val="18"/>
      <w:lang w:eastAsia="de-DE"/>
    </w:rPr>
  </w:style>
  <w:style w:type="paragraph" w:customStyle="1" w:styleId="MDPIheaderjournallogo">
    <w:name w:val="MDPI_header_journal_logo"/>
    <w:qFormat/>
    <w:rsid w:val="004F05D7"/>
    <w:pPr>
      <w:adjustRightInd w:val="0"/>
      <w:snapToGrid w:val="0"/>
    </w:pPr>
    <w:rPr>
      <w:rFonts w:ascii="Palatino Linotype" w:eastAsia="Times New Roman" w:hAnsi="Palatino Linotype"/>
      <w:i/>
      <w:color w:val="000000"/>
      <w:sz w:val="24"/>
      <w:szCs w:val="22"/>
      <w:lang w:val="en-US" w:eastAsia="de-CH"/>
    </w:rPr>
  </w:style>
  <w:style w:type="paragraph" w:customStyle="1" w:styleId="MDPI32textnoindent">
    <w:name w:val="MDPI_3.2_text_no_indent"/>
    <w:basedOn w:val="MDPI31text"/>
    <w:qFormat/>
    <w:rsid w:val="004F05D7"/>
    <w:pPr>
      <w:ind w:firstLine="0"/>
    </w:pPr>
  </w:style>
  <w:style w:type="paragraph" w:customStyle="1" w:styleId="MDPI33textspaceafter">
    <w:name w:val="MDPI_3.3_text_space_after"/>
    <w:basedOn w:val="MDPI31text"/>
    <w:qFormat/>
    <w:rsid w:val="004F05D7"/>
    <w:pPr>
      <w:spacing w:after="240"/>
    </w:pPr>
  </w:style>
  <w:style w:type="paragraph" w:customStyle="1" w:styleId="MDPI35textbeforelist">
    <w:name w:val="MDPI_3.5_text_before_list"/>
    <w:basedOn w:val="MDPI31text"/>
    <w:qFormat/>
    <w:rsid w:val="004F05D7"/>
    <w:pPr>
      <w:spacing w:after="120"/>
    </w:pPr>
  </w:style>
  <w:style w:type="paragraph" w:customStyle="1" w:styleId="MDPI36textafterlist">
    <w:name w:val="MDPI_3.6_text_after_list"/>
    <w:basedOn w:val="MDPI31text"/>
    <w:qFormat/>
    <w:rsid w:val="004F05D7"/>
    <w:pPr>
      <w:spacing w:before="120"/>
    </w:pPr>
  </w:style>
  <w:style w:type="paragraph" w:customStyle="1" w:styleId="MDPI37itemize">
    <w:name w:val="MDPI_3.7_itemize"/>
    <w:basedOn w:val="MDPI31text"/>
    <w:qFormat/>
    <w:rsid w:val="004F05D7"/>
    <w:pPr>
      <w:numPr>
        <w:numId w:val="1"/>
      </w:numPr>
      <w:ind w:left="425" w:hanging="425"/>
    </w:pPr>
  </w:style>
  <w:style w:type="paragraph" w:customStyle="1" w:styleId="MDPI38bullet">
    <w:name w:val="MDPI_3.8_bullet"/>
    <w:basedOn w:val="MDPI31text"/>
    <w:qFormat/>
    <w:rsid w:val="004F05D7"/>
    <w:pPr>
      <w:numPr>
        <w:numId w:val="2"/>
      </w:numPr>
      <w:ind w:left="425" w:hanging="425"/>
    </w:pPr>
  </w:style>
  <w:style w:type="paragraph" w:customStyle="1" w:styleId="MDPI39equation">
    <w:name w:val="MDPI_3.9_equation"/>
    <w:basedOn w:val="MDPI31text"/>
    <w:qFormat/>
    <w:rsid w:val="004F05D7"/>
    <w:pPr>
      <w:spacing w:before="120" w:after="120"/>
      <w:ind w:left="709" w:firstLine="0"/>
      <w:jc w:val="center"/>
    </w:pPr>
  </w:style>
  <w:style w:type="paragraph" w:customStyle="1" w:styleId="MDPI3aequationnumber">
    <w:name w:val="MDPI_3.a_equation_number"/>
    <w:basedOn w:val="MDPI31text"/>
    <w:qFormat/>
    <w:rsid w:val="004F05D7"/>
    <w:pPr>
      <w:spacing w:before="120" w:after="120" w:line="240" w:lineRule="auto"/>
      <w:ind w:firstLine="0"/>
      <w:jc w:val="right"/>
    </w:pPr>
  </w:style>
  <w:style w:type="paragraph" w:customStyle="1" w:styleId="MDPI62Acknowledgments">
    <w:name w:val="MDPI_6.2_Acknowledgments"/>
    <w:qFormat/>
    <w:rsid w:val="004F05D7"/>
    <w:pPr>
      <w:adjustRightInd w:val="0"/>
      <w:snapToGrid w:val="0"/>
      <w:spacing w:before="120" w:line="200" w:lineRule="atLeast"/>
      <w:jc w:val="both"/>
    </w:pPr>
    <w:rPr>
      <w:rFonts w:ascii="Palatino Linotype" w:eastAsia="Times New Roman" w:hAnsi="Palatino Linotype"/>
      <w:snapToGrid w:val="0"/>
      <w:color w:val="000000"/>
      <w:sz w:val="18"/>
      <w:lang w:val="en-US" w:eastAsia="de-DE" w:bidi="en-US"/>
    </w:rPr>
  </w:style>
  <w:style w:type="paragraph" w:customStyle="1" w:styleId="MDPI41tablecaption">
    <w:name w:val="MDPI_4.1_table_caption"/>
    <w:basedOn w:val="MDPI62Acknowledgments"/>
    <w:qFormat/>
    <w:rsid w:val="004F05D7"/>
    <w:pPr>
      <w:spacing w:before="240" w:after="120" w:line="260" w:lineRule="atLeast"/>
      <w:ind w:left="425" w:right="425"/>
    </w:pPr>
    <w:rPr>
      <w:snapToGrid/>
      <w:szCs w:val="22"/>
    </w:rPr>
  </w:style>
  <w:style w:type="paragraph" w:customStyle="1" w:styleId="MDPI42tablebody">
    <w:name w:val="MDPI_4.2_table_body"/>
    <w:qFormat/>
    <w:rsid w:val="00F51B7F"/>
    <w:pPr>
      <w:adjustRightInd w:val="0"/>
      <w:snapToGrid w:val="0"/>
      <w:spacing w:line="260" w:lineRule="atLeast"/>
      <w:jc w:val="center"/>
    </w:pPr>
    <w:rPr>
      <w:rFonts w:ascii="Palatino Linotype" w:eastAsia="Times New Roman" w:hAnsi="Palatino Linotype"/>
      <w:snapToGrid w:val="0"/>
      <w:color w:val="000000"/>
      <w:lang w:val="en-US" w:eastAsia="de-DE" w:bidi="en-US"/>
    </w:rPr>
  </w:style>
  <w:style w:type="paragraph" w:customStyle="1" w:styleId="MDPI43tablefooter">
    <w:name w:val="MDPI_4.3_table_footer"/>
    <w:basedOn w:val="MDPI41tablecaption"/>
    <w:next w:val="MDPI31text"/>
    <w:qFormat/>
    <w:rsid w:val="004F05D7"/>
    <w:pPr>
      <w:spacing w:before="0"/>
      <w:ind w:left="0" w:right="0"/>
    </w:pPr>
  </w:style>
  <w:style w:type="paragraph" w:customStyle="1" w:styleId="MDPI51figurecaption">
    <w:name w:val="MDPI_5.1_figure_caption"/>
    <w:basedOn w:val="MDPI62Acknowledgments"/>
    <w:qFormat/>
    <w:rsid w:val="004F05D7"/>
    <w:pPr>
      <w:spacing w:after="240" w:line="260" w:lineRule="atLeast"/>
      <w:ind w:left="425" w:right="425"/>
    </w:pPr>
    <w:rPr>
      <w:snapToGrid/>
    </w:rPr>
  </w:style>
  <w:style w:type="paragraph" w:customStyle="1" w:styleId="MDPI52figure">
    <w:name w:val="MDPI_5.2_figure"/>
    <w:qFormat/>
    <w:rsid w:val="004F05D7"/>
    <w:pPr>
      <w:jc w:val="center"/>
    </w:pPr>
    <w:rPr>
      <w:rFonts w:ascii="Palatino Linotype" w:eastAsia="Times New Roman" w:hAnsi="Palatino Linotype"/>
      <w:snapToGrid w:val="0"/>
      <w:color w:val="000000"/>
      <w:sz w:val="24"/>
      <w:lang w:val="en-US" w:eastAsia="de-DE" w:bidi="en-US"/>
    </w:rPr>
  </w:style>
  <w:style w:type="paragraph" w:customStyle="1" w:styleId="MDPI61Supplementary">
    <w:name w:val="MDPI_6.1_Supplementary"/>
    <w:basedOn w:val="MDPI62Acknowledgments"/>
    <w:qFormat/>
    <w:rsid w:val="004F05D7"/>
    <w:pPr>
      <w:spacing w:before="240"/>
    </w:pPr>
    <w:rPr>
      <w:lang w:eastAsia="en-US"/>
    </w:rPr>
  </w:style>
  <w:style w:type="paragraph" w:customStyle="1" w:styleId="MDPI63AuthorContributions">
    <w:name w:val="MDPI_6.3_AuthorContributions"/>
    <w:basedOn w:val="MDPI62Acknowledgments"/>
    <w:qFormat/>
    <w:rsid w:val="004F05D7"/>
    <w:rPr>
      <w:rFonts w:eastAsia="SimSun"/>
      <w:color w:val="auto"/>
      <w:lang w:eastAsia="en-US"/>
    </w:rPr>
  </w:style>
  <w:style w:type="paragraph" w:customStyle="1" w:styleId="MDPI64CoI">
    <w:name w:val="MDPI_6.4_CoI"/>
    <w:basedOn w:val="MDPI62Acknowledgments"/>
    <w:qFormat/>
    <w:rsid w:val="004F05D7"/>
  </w:style>
  <w:style w:type="paragraph" w:customStyle="1" w:styleId="MDPI31text">
    <w:name w:val="MDPI_3.1_text"/>
    <w:qFormat/>
    <w:rsid w:val="004F05D7"/>
    <w:pPr>
      <w:adjustRightInd w:val="0"/>
      <w:snapToGrid w:val="0"/>
      <w:spacing w:line="260" w:lineRule="atLeast"/>
      <w:ind w:firstLine="425"/>
      <w:jc w:val="both"/>
    </w:pPr>
    <w:rPr>
      <w:rFonts w:ascii="Palatino Linotype" w:eastAsia="Times New Roman" w:hAnsi="Palatino Linotype"/>
      <w:snapToGrid w:val="0"/>
      <w:color w:val="000000"/>
      <w:szCs w:val="22"/>
      <w:lang w:val="en-US" w:eastAsia="de-DE" w:bidi="en-US"/>
    </w:rPr>
  </w:style>
  <w:style w:type="paragraph" w:customStyle="1" w:styleId="MDPI23heading3">
    <w:name w:val="MDPI_2.3_heading3"/>
    <w:basedOn w:val="MDPI31text"/>
    <w:qFormat/>
    <w:rsid w:val="004F05D7"/>
    <w:pPr>
      <w:spacing w:before="240" w:after="120"/>
      <w:ind w:firstLine="0"/>
      <w:jc w:val="left"/>
      <w:outlineLvl w:val="2"/>
    </w:pPr>
  </w:style>
  <w:style w:type="paragraph" w:customStyle="1" w:styleId="MDPI21heading1">
    <w:name w:val="MDPI_2.1_heading1"/>
    <w:basedOn w:val="MDPI23heading3"/>
    <w:qFormat/>
    <w:rsid w:val="004F05D7"/>
    <w:pPr>
      <w:outlineLvl w:val="0"/>
    </w:pPr>
    <w:rPr>
      <w:b/>
    </w:rPr>
  </w:style>
  <w:style w:type="paragraph" w:customStyle="1" w:styleId="MDPI22heading2">
    <w:name w:val="MDPI_2.2_heading2"/>
    <w:basedOn w:val="Normal"/>
    <w:qFormat/>
    <w:rsid w:val="004F05D7"/>
    <w:pPr>
      <w:kinsoku w:val="0"/>
      <w:overflowPunct w:val="0"/>
      <w:autoSpaceDE w:val="0"/>
      <w:autoSpaceDN w:val="0"/>
      <w:adjustRightInd w:val="0"/>
      <w:snapToGrid w:val="0"/>
      <w:spacing w:before="240" w:after="120" w:line="260" w:lineRule="atLeast"/>
      <w:jc w:val="left"/>
      <w:outlineLvl w:val="1"/>
    </w:pPr>
    <w:rPr>
      <w:rFonts w:ascii="Palatino Linotype" w:hAnsi="Palatino Linotype"/>
      <w:i/>
      <w:noProof/>
      <w:snapToGrid w:val="0"/>
      <w:sz w:val="20"/>
      <w:szCs w:val="22"/>
      <w:lang w:bidi="en-US"/>
    </w:rPr>
  </w:style>
  <w:style w:type="paragraph" w:customStyle="1" w:styleId="MDPI71References">
    <w:name w:val="MDPI_7.1_References"/>
    <w:basedOn w:val="MDPI62Acknowledgments"/>
    <w:qFormat/>
    <w:rsid w:val="004F05D7"/>
    <w:pPr>
      <w:numPr>
        <w:numId w:val="3"/>
      </w:numPr>
      <w:spacing w:before="0" w:line="260" w:lineRule="atLeast"/>
      <w:ind w:left="425" w:hanging="425"/>
    </w:pPr>
  </w:style>
  <w:style w:type="paragraph" w:styleId="Textedebulles">
    <w:name w:val="Balloon Text"/>
    <w:basedOn w:val="Normal"/>
    <w:link w:val="TextedebullesCar"/>
    <w:uiPriority w:val="99"/>
    <w:semiHidden/>
    <w:unhideWhenUsed/>
    <w:rsid w:val="004F05D7"/>
    <w:pPr>
      <w:spacing w:line="240" w:lineRule="auto"/>
    </w:pPr>
    <w:rPr>
      <w:sz w:val="18"/>
      <w:szCs w:val="18"/>
    </w:rPr>
  </w:style>
  <w:style w:type="character" w:customStyle="1" w:styleId="TextedebullesCar">
    <w:name w:val="Texte de bulles Car"/>
    <w:link w:val="Textedebulles"/>
    <w:uiPriority w:val="99"/>
    <w:semiHidden/>
    <w:rsid w:val="004F05D7"/>
    <w:rPr>
      <w:rFonts w:ascii="Times New Roman" w:eastAsia="Times New Roman" w:hAnsi="Times New Roman" w:cs="Times New Roman"/>
      <w:color w:val="000000"/>
      <w:kern w:val="0"/>
      <w:sz w:val="18"/>
      <w:szCs w:val="18"/>
      <w:lang w:eastAsia="de-DE"/>
    </w:rPr>
  </w:style>
  <w:style w:type="character" w:styleId="Numrodeligne">
    <w:name w:val="line number"/>
    <w:basedOn w:val="Policepardfaut"/>
    <w:uiPriority w:val="99"/>
    <w:semiHidden/>
    <w:unhideWhenUsed/>
    <w:rsid w:val="004F05D7"/>
  </w:style>
  <w:style w:type="table" w:customStyle="1" w:styleId="MDPI41threelinetable">
    <w:name w:val="MDPI_4.1_three_line_table"/>
    <w:basedOn w:val="TableauNormal"/>
    <w:uiPriority w:val="99"/>
    <w:rsid w:val="00F51B7F"/>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Calibri Light" w:hAnsi="Calibri Light"/>
        <w:b/>
        <w:i w:val="0"/>
        <w:sz w:val="20"/>
      </w:rPr>
      <w:tblPr/>
      <w:tcPr>
        <w:tcBorders>
          <w:bottom w:val="single" w:sz="4" w:space="0" w:color="auto"/>
        </w:tcBorders>
      </w:tcPr>
    </w:tblStylePr>
  </w:style>
  <w:style w:type="character" w:styleId="Lienhypertexte">
    <w:name w:val="Hyperlink"/>
    <w:uiPriority w:val="99"/>
    <w:unhideWhenUsed/>
    <w:rsid w:val="00583B9A"/>
    <w:rPr>
      <w:color w:val="0563C1"/>
      <w:u w:val="single"/>
    </w:rPr>
  </w:style>
  <w:style w:type="character" w:customStyle="1" w:styleId="UnresolvedMention">
    <w:name w:val="Unresolved Mention"/>
    <w:uiPriority w:val="99"/>
    <w:semiHidden/>
    <w:unhideWhenUsed/>
    <w:rsid w:val="00C144CB"/>
    <w:rPr>
      <w:color w:val="605E5C"/>
      <w:shd w:val="clear" w:color="auto" w:fill="E1DFDD"/>
    </w:rPr>
  </w:style>
  <w:style w:type="table" w:styleId="Tableausimple4">
    <w:name w:val="Plain Table 4"/>
    <w:basedOn w:val="TableauNormal"/>
    <w:uiPriority w:val="44"/>
    <w:rsid w:val="00C265C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object">
    <w:name w:val="object"/>
    <w:rsid w:val="00C47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iso-8859-6"/>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ric.cox@ugent.be" TargetMode="External"/><Relationship Id="rId13" Type="http://schemas.openxmlformats.org/officeDocument/2006/relationships/header" Target="header1.xml"/><Relationship Id="rId1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mailto:damien.thiry@uliege.be" TargetMode="External"/><Relationship Id="rId12" Type="http://schemas.openxmlformats.org/officeDocument/2006/relationships/hyperlink" Target="mailto:damien.thiry@uliege.be"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c.heyndrickx@ugent.b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marc.heyndrickx@ilvo.vlaanderen.b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ieven.dezutter@ugent.be"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166428\Desktop\vetsci-templat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vetsci-template.dot</Template>
  <TotalTime>153</TotalTime>
  <Pages>15</Pages>
  <Words>6321</Words>
  <Characters>34767</Characters>
  <Application>Microsoft Office Word</Application>
  <DocSecurity>0</DocSecurity>
  <Lines>289</Lines>
  <Paragraphs>82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41006</CharactersWithSpaces>
  <SharedDoc>false</SharedDoc>
  <HLinks>
    <vt:vector size="6" baseType="variant">
      <vt:variant>
        <vt:i4>6094915</vt:i4>
      </vt:variant>
      <vt:variant>
        <vt:i4>0</vt:i4>
      </vt:variant>
      <vt:variant>
        <vt:i4>0</vt:i4>
      </vt:variant>
      <vt:variant>
        <vt:i4>5</vt:i4>
      </vt:variant>
      <vt:variant>
        <vt:lpwstr>http://img.mdpi.org/data/contributor-role-instruction.pdf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Thiry Damien</dc:creator>
  <cp:keywords/>
  <dc:description/>
  <cp:lastModifiedBy>Mainil Jacques</cp:lastModifiedBy>
  <cp:revision>35</cp:revision>
  <dcterms:created xsi:type="dcterms:W3CDTF">2020-09-09T10:40:00Z</dcterms:created>
  <dcterms:modified xsi:type="dcterms:W3CDTF">2020-10-27T08:17:00Z</dcterms:modified>
</cp:coreProperties>
</file>