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AE" w:rsidRPr="001057AE" w:rsidRDefault="00E17972">
      <w:pPr>
        <w:rPr>
          <w:b/>
        </w:rPr>
      </w:pPr>
      <w:r>
        <w:rPr>
          <w:b/>
        </w:rPr>
        <w:t>Publiekrecht i</w:t>
      </w:r>
      <w:r w:rsidR="001057AE" w:rsidRPr="001057AE">
        <w:rPr>
          <w:b/>
        </w:rPr>
        <w:t>n het Prinsbisdom Luik</w:t>
      </w:r>
    </w:p>
    <w:p w:rsidR="001057AE" w:rsidRDefault="001057AE" w:rsidP="008A5BF0">
      <w:pPr>
        <w:jc w:val="both"/>
      </w:pPr>
    </w:p>
    <w:p w:rsidR="003E7CAD" w:rsidRDefault="003E7CAD" w:rsidP="008A5BF0">
      <w:pPr>
        <w:jc w:val="both"/>
      </w:pPr>
      <w:r>
        <w:t>Sébastien Dubois – Bruno Demoulin – Jean-Louis Kupper (</w:t>
      </w:r>
      <w:r w:rsidR="00AC0BBE">
        <w:t>éds</w:t>
      </w:r>
      <w:r>
        <w:t xml:space="preserve">.), </w:t>
      </w:r>
      <w:r w:rsidRPr="00F3779D">
        <w:rPr>
          <w:i/>
        </w:rPr>
        <w:t>Les institutions publiques de la principauté de Liège (980-1794)</w:t>
      </w:r>
      <w:r>
        <w:t>, (Archives générales du Royaume et archives de l’État dans les provinces, Studia, 133), Bru</w:t>
      </w:r>
      <w:r w:rsidR="00EE78DE">
        <w:t>xelles</w:t>
      </w:r>
      <w:r>
        <w:t>, A</w:t>
      </w:r>
      <w:r w:rsidR="00EE78DE">
        <w:t>rchives générales du Royaume</w:t>
      </w:r>
      <w:r>
        <w:t>, 2012, 2 vols., 1294 p. ISBN 978-90-5746-462-1</w:t>
      </w:r>
    </w:p>
    <w:p w:rsidR="00CF031B" w:rsidRDefault="00CF031B" w:rsidP="008A5BF0">
      <w:pPr>
        <w:jc w:val="both"/>
      </w:pPr>
    </w:p>
    <w:p w:rsidR="00CF031B" w:rsidRDefault="007063A2" w:rsidP="0015781C">
      <w:pPr>
        <w:tabs>
          <w:tab w:val="left" w:pos="5745"/>
        </w:tabs>
        <w:jc w:val="both"/>
      </w:pPr>
      <w:r>
        <w:t xml:space="preserve">Met de publicatie van dit </w:t>
      </w:r>
      <w:r w:rsidR="004A1208">
        <w:t>lijvige</w:t>
      </w:r>
      <w:r>
        <w:t xml:space="preserve"> </w:t>
      </w:r>
      <w:r w:rsidR="00AC0BBE">
        <w:t>handboek over</w:t>
      </w:r>
      <w:r>
        <w:t xml:space="preserve"> de instellingen in het Prinsbisdom Luik komen de </w:t>
      </w:r>
      <w:r w:rsidR="009B3392">
        <w:t>auteurs</w:t>
      </w:r>
      <w:r>
        <w:t xml:space="preserve"> tegemoet aan</w:t>
      </w:r>
      <w:r w:rsidR="00CF031B">
        <w:t xml:space="preserve"> een verzuchting die </w:t>
      </w:r>
      <w:r w:rsidR="00421E53">
        <w:t>onlangs</w:t>
      </w:r>
      <w:r w:rsidR="00CF031B">
        <w:t xml:space="preserve"> nog door Paul Nève werd </w:t>
      </w:r>
      <w:r w:rsidR="00BD36AB">
        <w:t>geformuleerd</w:t>
      </w:r>
      <w:r w:rsidR="0042532E">
        <w:t>: n</w:t>
      </w:r>
      <w:r w:rsidR="006A3A04">
        <w:t>a</w:t>
      </w:r>
      <w:r w:rsidR="00AC0BBE">
        <w:t xml:space="preserve"> het </w:t>
      </w:r>
      <w:r w:rsidR="00DE5EA9">
        <w:t>tijdperk</w:t>
      </w:r>
      <w:r w:rsidR="00AC0BBE">
        <w:t xml:space="preserve"> </w:t>
      </w:r>
      <w:r w:rsidR="006E2A12">
        <w:t>van</w:t>
      </w:r>
      <w:r w:rsidR="006A3A04">
        <w:t xml:space="preserve"> Poncelet, Harsin en Halkin bleef het wachten op </w:t>
      </w:r>
      <w:r w:rsidR="00AC0BBE">
        <w:t xml:space="preserve">een nieuwe onderzoeksgeneratie </w:t>
      </w:r>
      <w:r w:rsidR="006C3F3F">
        <w:t xml:space="preserve">met </w:t>
      </w:r>
      <w:r w:rsidR="007F3AF8">
        <w:t xml:space="preserve">een </w:t>
      </w:r>
      <w:r w:rsidR="00BD36AB">
        <w:t>uitdrukkelijk</w:t>
      </w:r>
      <w:r w:rsidR="007F3AF8">
        <w:t>e</w:t>
      </w:r>
      <w:r w:rsidR="006C3F3F">
        <w:t xml:space="preserve"> belangstelling voor</w:t>
      </w:r>
      <w:r w:rsidR="00AC0BBE">
        <w:t xml:space="preserve"> de institution</w:t>
      </w:r>
      <w:r w:rsidR="003365D0">
        <w:t>e</w:t>
      </w:r>
      <w:r w:rsidR="00AC0BBE">
        <w:t>el</w:t>
      </w:r>
      <w:r w:rsidR="003365D0">
        <w:t xml:space="preserve">-juridische </w:t>
      </w:r>
      <w:r w:rsidR="00AC0BBE">
        <w:t xml:space="preserve">aspecten van de </w:t>
      </w:r>
      <w:r w:rsidR="00A81B64">
        <w:t xml:space="preserve">Luikse </w:t>
      </w:r>
      <w:r w:rsidR="00AC0BBE">
        <w:t>geschiedenis</w:t>
      </w:r>
      <w:r w:rsidR="004A1208">
        <w:t>.</w:t>
      </w:r>
      <w:r w:rsidR="004A1208">
        <w:rPr>
          <w:rStyle w:val="FootnoteReference"/>
        </w:rPr>
        <w:footnoteReference w:id="1"/>
      </w:r>
      <w:r w:rsidR="006A3A04">
        <w:t xml:space="preserve"> </w:t>
      </w:r>
      <w:r w:rsidR="00BD36AB">
        <w:rPr>
          <w:rStyle w:val="apple-converted-space"/>
          <w:rFonts w:eastAsiaTheme="majorEastAsia"/>
          <w:color w:val="000000"/>
        </w:rPr>
        <w:t xml:space="preserve">Die geschiedenis </w:t>
      </w:r>
      <w:r w:rsidR="00A95656">
        <w:rPr>
          <w:rStyle w:val="apple-converted-space"/>
          <w:rFonts w:eastAsiaTheme="majorEastAsia"/>
          <w:color w:val="000000"/>
        </w:rPr>
        <w:t xml:space="preserve">is uiteraard rijk maar complex, en ze </w:t>
      </w:r>
      <w:r w:rsidR="00BD36AB">
        <w:rPr>
          <w:rStyle w:val="apple-converted-space"/>
          <w:rFonts w:eastAsiaTheme="majorEastAsia"/>
          <w:color w:val="000000"/>
        </w:rPr>
        <w:t>reikt ver buiten de grenzen v</w:t>
      </w:r>
      <w:r w:rsidR="0032043A">
        <w:rPr>
          <w:rStyle w:val="apple-converted-space"/>
          <w:rFonts w:eastAsiaTheme="majorEastAsia"/>
          <w:color w:val="000000"/>
        </w:rPr>
        <w:t>an de vurige stede</w:t>
      </w:r>
      <w:r w:rsidR="00BD36AB">
        <w:rPr>
          <w:rStyle w:val="apple-converted-space"/>
          <w:rFonts w:eastAsiaTheme="majorEastAsia"/>
          <w:color w:val="000000"/>
        </w:rPr>
        <w:t xml:space="preserve">. </w:t>
      </w:r>
      <w:r w:rsidR="00922EBA">
        <w:rPr>
          <w:rStyle w:val="apple-converted-space"/>
          <w:rFonts w:eastAsiaTheme="majorEastAsia"/>
          <w:color w:val="000000"/>
        </w:rPr>
        <w:t>Sedert</w:t>
      </w:r>
      <w:r w:rsidR="00BD7918">
        <w:rPr>
          <w:rStyle w:val="apple-converted-space"/>
          <w:rFonts w:eastAsiaTheme="majorEastAsia"/>
          <w:color w:val="000000"/>
        </w:rPr>
        <w:t xml:space="preserve"> Notger – de </w:t>
      </w:r>
      <w:r w:rsidR="00BD36AB">
        <w:rPr>
          <w:rStyle w:val="apple-converted-space"/>
          <w:rFonts w:eastAsiaTheme="majorEastAsia"/>
          <w:color w:val="000000"/>
        </w:rPr>
        <w:t>eerste prins-bis</w:t>
      </w:r>
      <w:r w:rsidR="002B4DD5">
        <w:rPr>
          <w:rStyle w:val="apple-converted-space"/>
          <w:rFonts w:eastAsiaTheme="majorEastAsia"/>
          <w:color w:val="000000"/>
        </w:rPr>
        <w:t>s</w:t>
      </w:r>
      <w:r w:rsidR="00BD36AB">
        <w:rPr>
          <w:rStyle w:val="apple-converted-space"/>
          <w:rFonts w:eastAsiaTheme="majorEastAsia"/>
          <w:color w:val="000000"/>
        </w:rPr>
        <w:t xml:space="preserve">chop (980-1008) </w:t>
      </w:r>
      <w:r w:rsidR="0042532E">
        <w:rPr>
          <w:rStyle w:val="apple-converted-space"/>
          <w:rFonts w:eastAsiaTheme="majorEastAsia"/>
          <w:color w:val="000000"/>
        </w:rPr>
        <w:t>kr</w:t>
      </w:r>
      <w:r w:rsidR="00BD36AB">
        <w:rPr>
          <w:rStyle w:val="apple-converted-space"/>
          <w:rFonts w:eastAsiaTheme="majorEastAsia"/>
          <w:color w:val="000000"/>
        </w:rPr>
        <w:t xml:space="preserve">achtens het immuniteitsprivilege </w:t>
      </w:r>
      <w:r w:rsidR="003B60DF">
        <w:rPr>
          <w:rStyle w:val="apple-converted-space"/>
          <w:rFonts w:eastAsiaTheme="majorEastAsia"/>
          <w:color w:val="000000"/>
        </w:rPr>
        <w:t>toegekend door</w:t>
      </w:r>
      <w:r w:rsidR="00BD36AB">
        <w:rPr>
          <w:rStyle w:val="apple-converted-space"/>
          <w:rFonts w:eastAsiaTheme="majorEastAsia"/>
          <w:color w:val="000000"/>
        </w:rPr>
        <w:t xml:space="preserve"> Keizer Otto II</w:t>
      </w:r>
      <w:r w:rsidR="00BD7918">
        <w:rPr>
          <w:rStyle w:val="apple-converted-space"/>
          <w:rFonts w:eastAsiaTheme="majorEastAsia"/>
          <w:color w:val="000000"/>
        </w:rPr>
        <w:t xml:space="preserve"> – viel </w:t>
      </w:r>
      <w:r w:rsidR="006E2A12">
        <w:rPr>
          <w:rStyle w:val="apple-converted-space"/>
          <w:rFonts w:eastAsiaTheme="majorEastAsia"/>
          <w:color w:val="000000"/>
        </w:rPr>
        <w:t xml:space="preserve">Luik </w:t>
      </w:r>
      <w:r w:rsidR="00BD36AB">
        <w:rPr>
          <w:rStyle w:val="apple-converted-space"/>
          <w:rFonts w:eastAsiaTheme="majorEastAsia"/>
          <w:color w:val="000000"/>
        </w:rPr>
        <w:t>een stelstelmatige gebiedsuitbreiding</w:t>
      </w:r>
      <w:r w:rsidR="00922EBA">
        <w:rPr>
          <w:rStyle w:val="apple-converted-space"/>
          <w:rFonts w:eastAsiaTheme="majorEastAsia"/>
          <w:color w:val="000000"/>
        </w:rPr>
        <w:t xml:space="preserve"> ten deel</w:t>
      </w:r>
      <w:r w:rsidR="0032043A">
        <w:rPr>
          <w:rStyle w:val="apple-converted-space"/>
          <w:rFonts w:eastAsiaTheme="majorEastAsia"/>
          <w:color w:val="000000"/>
        </w:rPr>
        <w:t>. Daardoor bestreek</w:t>
      </w:r>
      <w:r w:rsidR="00A736AD">
        <w:rPr>
          <w:rStyle w:val="apple-converted-space"/>
          <w:rFonts w:eastAsiaTheme="majorEastAsia"/>
          <w:color w:val="000000"/>
        </w:rPr>
        <w:t xml:space="preserve"> het P</w:t>
      </w:r>
      <w:r w:rsidR="00BD36AB">
        <w:rPr>
          <w:rStyle w:val="apple-converted-space"/>
          <w:rFonts w:eastAsiaTheme="majorEastAsia"/>
          <w:color w:val="000000"/>
        </w:rPr>
        <w:t xml:space="preserve">rinsbisdom </w:t>
      </w:r>
      <w:r w:rsidR="0042532E">
        <w:rPr>
          <w:rStyle w:val="apple-converted-space"/>
          <w:rFonts w:eastAsiaTheme="majorEastAsia"/>
          <w:color w:val="000000"/>
        </w:rPr>
        <w:t>sedert</w:t>
      </w:r>
      <w:r w:rsidR="00BD36AB">
        <w:rPr>
          <w:rStyle w:val="apple-converted-space"/>
          <w:rFonts w:eastAsiaTheme="majorEastAsia"/>
          <w:color w:val="000000"/>
        </w:rPr>
        <w:t xml:space="preserve"> het midden van de </w:t>
      </w:r>
      <w:r w:rsidR="00421E53">
        <w:rPr>
          <w:rStyle w:val="apple-converted-space"/>
          <w:rFonts w:eastAsiaTheme="majorEastAsia"/>
          <w:color w:val="000000"/>
        </w:rPr>
        <w:t>veertien</w:t>
      </w:r>
      <w:r w:rsidR="00BD36AB">
        <w:rPr>
          <w:rStyle w:val="apple-converted-space"/>
          <w:rFonts w:eastAsiaTheme="majorEastAsia"/>
          <w:color w:val="000000"/>
        </w:rPr>
        <w:t xml:space="preserve">de eeuw </w:t>
      </w:r>
      <w:r w:rsidR="00421E53">
        <w:rPr>
          <w:rStyle w:val="apple-converted-space"/>
          <w:rFonts w:eastAsiaTheme="majorEastAsia"/>
          <w:color w:val="000000"/>
        </w:rPr>
        <w:t xml:space="preserve">tot bij haar </w:t>
      </w:r>
      <w:r w:rsidR="00922EBA">
        <w:rPr>
          <w:rStyle w:val="apple-converted-space"/>
          <w:rFonts w:eastAsiaTheme="majorEastAsia"/>
          <w:color w:val="000000"/>
        </w:rPr>
        <w:t xml:space="preserve">feitelijke </w:t>
      </w:r>
      <w:r w:rsidR="00421E53">
        <w:rPr>
          <w:rStyle w:val="apple-converted-space"/>
          <w:rFonts w:eastAsiaTheme="majorEastAsia"/>
          <w:color w:val="000000"/>
        </w:rPr>
        <w:t>teloorgang onder de Franse bezett</w:t>
      </w:r>
      <w:r w:rsidR="00BD7918">
        <w:rPr>
          <w:rStyle w:val="apple-converted-space"/>
          <w:rFonts w:eastAsiaTheme="majorEastAsia"/>
          <w:color w:val="000000"/>
        </w:rPr>
        <w:t>er</w:t>
      </w:r>
      <w:r w:rsidR="00421E53">
        <w:rPr>
          <w:rStyle w:val="apple-converted-space"/>
          <w:rFonts w:eastAsiaTheme="majorEastAsia"/>
          <w:color w:val="000000"/>
        </w:rPr>
        <w:t xml:space="preserve"> </w:t>
      </w:r>
      <w:r w:rsidR="006D793D">
        <w:rPr>
          <w:rStyle w:val="apple-converted-space"/>
          <w:rFonts w:eastAsiaTheme="majorEastAsia"/>
          <w:color w:val="000000"/>
        </w:rPr>
        <w:t xml:space="preserve">in 1794 </w:t>
      </w:r>
      <w:r w:rsidR="00BD36AB">
        <w:rPr>
          <w:rStyle w:val="apple-converted-space"/>
          <w:rFonts w:eastAsiaTheme="majorEastAsia"/>
          <w:color w:val="000000"/>
        </w:rPr>
        <w:t xml:space="preserve">een oppervlakte van </w:t>
      </w:r>
      <w:r w:rsidR="0032043A">
        <w:rPr>
          <w:rStyle w:val="apple-converted-space"/>
          <w:rFonts w:eastAsiaTheme="majorEastAsia"/>
          <w:color w:val="000000"/>
        </w:rPr>
        <w:t>bijna</w:t>
      </w:r>
      <w:r w:rsidR="00B53C1F">
        <w:rPr>
          <w:rStyle w:val="apple-converted-space"/>
          <w:rFonts w:eastAsiaTheme="majorEastAsia"/>
          <w:color w:val="000000"/>
        </w:rPr>
        <w:t xml:space="preserve"> 5</w:t>
      </w:r>
      <w:r w:rsidR="0032043A">
        <w:rPr>
          <w:rStyle w:val="apple-converted-space"/>
          <w:rFonts w:eastAsiaTheme="majorEastAsia"/>
          <w:color w:val="000000"/>
        </w:rPr>
        <w:t>7</w:t>
      </w:r>
      <w:r w:rsidR="00B53C1F">
        <w:rPr>
          <w:rStyle w:val="apple-converted-space"/>
          <w:rFonts w:eastAsiaTheme="majorEastAsia"/>
          <w:color w:val="000000"/>
        </w:rPr>
        <w:t>00 m</w:t>
      </w:r>
      <w:r w:rsidR="00B53C1F">
        <w:rPr>
          <w:rStyle w:val="apple-converted-space"/>
          <w:rFonts w:eastAsiaTheme="majorEastAsia"/>
          <w:color w:val="000000"/>
          <w:vertAlign w:val="superscript"/>
        </w:rPr>
        <w:t>2</w:t>
      </w:r>
      <w:r w:rsidR="00421E53">
        <w:rPr>
          <w:rStyle w:val="apple-converted-space"/>
          <w:rFonts w:eastAsiaTheme="majorEastAsia"/>
          <w:color w:val="000000"/>
        </w:rPr>
        <w:t>. De macht van de prins-bisschop reikte va</w:t>
      </w:r>
      <w:r w:rsidR="002B4DD5">
        <w:rPr>
          <w:rStyle w:val="apple-converted-space"/>
          <w:rFonts w:eastAsiaTheme="majorEastAsia"/>
          <w:color w:val="000000"/>
        </w:rPr>
        <w:t xml:space="preserve">n </w:t>
      </w:r>
      <w:r w:rsidR="00B90425">
        <w:rPr>
          <w:rStyle w:val="apple-converted-space"/>
          <w:rFonts w:eastAsiaTheme="majorEastAsia"/>
          <w:color w:val="000000"/>
        </w:rPr>
        <w:t xml:space="preserve">Thuin in het westen tot </w:t>
      </w:r>
      <w:r w:rsidR="00421E53">
        <w:rPr>
          <w:rStyle w:val="apple-converted-space"/>
          <w:rFonts w:eastAsiaTheme="majorEastAsia"/>
          <w:color w:val="000000"/>
        </w:rPr>
        <w:t>Verviers</w:t>
      </w:r>
      <w:r w:rsidR="00B90425">
        <w:rPr>
          <w:rStyle w:val="apple-converted-space"/>
          <w:rFonts w:eastAsiaTheme="majorEastAsia"/>
          <w:color w:val="000000"/>
        </w:rPr>
        <w:t xml:space="preserve"> in het</w:t>
      </w:r>
      <w:r w:rsidR="00421E53">
        <w:rPr>
          <w:rStyle w:val="apple-converted-space"/>
          <w:rFonts w:eastAsiaTheme="majorEastAsia"/>
          <w:color w:val="000000"/>
        </w:rPr>
        <w:t xml:space="preserve"> oosten, en van </w:t>
      </w:r>
      <w:r w:rsidR="0042532E">
        <w:rPr>
          <w:rStyle w:val="apple-converted-space"/>
          <w:rFonts w:eastAsiaTheme="majorEastAsia"/>
          <w:color w:val="000000"/>
        </w:rPr>
        <w:t xml:space="preserve">Couvin en </w:t>
      </w:r>
      <w:r w:rsidR="008C5766">
        <w:rPr>
          <w:rStyle w:val="apple-converted-space"/>
          <w:rFonts w:eastAsiaTheme="majorEastAsia"/>
          <w:color w:val="000000"/>
        </w:rPr>
        <w:t xml:space="preserve">Dinant in het zuiden tot Hasselt </w:t>
      </w:r>
      <w:r w:rsidR="0042532E">
        <w:rPr>
          <w:rStyle w:val="apple-converted-space"/>
          <w:rFonts w:eastAsiaTheme="majorEastAsia"/>
          <w:color w:val="000000"/>
        </w:rPr>
        <w:t xml:space="preserve">en Hamont </w:t>
      </w:r>
      <w:r w:rsidR="008C5766">
        <w:rPr>
          <w:rStyle w:val="apple-converted-space"/>
          <w:rFonts w:eastAsiaTheme="majorEastAsia"/>
          <w:color w:val="000000"/>
        </w:rPr>
        <w:t>in het noorden</w:t>
      </w:r>
      <w:r w:rsidR="00421E53">
        <w:rPr>
          <w:rStyle w:val="apple-converted-space"/>
          <w:rFonts w:eastAsiaTheme="majorEastAsia"/>
          <w:color w:val="000000"/>
        </w:rPr>
        <w:t xml:space="preserve">. </w:t>
      </w:r>
      <w:r w:rsidR="002B4DD5">
        <w:rPr>
          <w:rStyle w:val="apple-converted-space"/>
          <w:rFonts w:eastAsiaTheme="majorEastAsia"/>
          <w:color w:val="000000"/>
        </w:rPr>
        <w:t>Bo</w:t>
      </w:r>
      <w:r w:rsidR="008C5766">
        <w:rPr>
          <w:rStyle w:val="apple-converted-space"/>
          <w:rFonts w:eastAsiaTheme="majorEastAsia"/>
          <w:color w:val="000000"/>
        </w:rPr>
        <w:t xml:space="preserve">vendien </w:t>
      </w:r>
      <w:r w:rsidR="002B4DD5">
        <w:rPr>
          <w:rStyle w:val="apple-converted-space"/>
          <w:rFonts w:eastAsiaTheme="majorEastAsia"/>
          <w:color w:val="000000"/>
        </w:rPr>
        <w:t xml:space="preserve">oefende </w:t>
      </w:r>
      <w:r w:rsidR="00421E53">
        <w:rPr>
          <w:rStyle w:val="apple-converted-space"/>
          <w:rFonts w:eastAsiaTheme="majorEastAsia"/>
          <w:color w:val="000000"/>
        </w:rPr>
        <w:t>hij</w:t>
      </w:r>
      <w:r w:rsidR="002B4DD5">
        <w:rPr>
          <w:rStyle w:val="apple-converted-space"/>
          <w:rFonts w:eastAsiaTheme="majorEastAsia"/>
          <w:color w:val="000000"/>
        </w:rPr>
        <w:t xml:space="preserve"> samen met de hertog van Brabant de tweeherigheid over Maastricht uit.</w:t>
      </w:r>
      <w:r w:rsidR="002A4DC1">
        <w:rPr>
          <w:rStyle w:val="apple-converted-space"/>
          <w:rFonts w:eastAsiaTheme="majorEastAsia"/>
          <w:color w:val="000000"/>
        </w:rPr>
        <w:t xml:space="preserve"> </w:t>
      </w:r>
      <w:r w:rsidR="00A95656">
        <w:rPr>
          <w:rStyle w:val="apple-converted-space"/>
          <w:rFonts w:eastAsiaTheme="majorEastAsia"/>
          <w:color w:val="000000"/>
        </w:rPr>
        <w:t xml:space="preserve">De dertig medewerkers aan </w:t>
      </w:r>
      <w:r w:rsidR="001D3467">
        <w:rPr>
          <w:rStyle w:val="apple-converted-space"/>
          <w:rFonts w:eastAsiaTheme="majorEastAsia"/>
          <w:color w:val="000000"/>
        </w:rPr>
        <w:t>‘</w:t>
      </w:r>
      <w:r w:rsidR="00A95656" w:rsidRPr="001D3467">
        <w:t>Les institutions publiques de la principauté de Liège (980-1794)</w:t>
      </w:r>
      <w:r w:rsidR="001D3467">
        <w:t>’</w:t>
      </w:r>
      <w:r w:rsidR="00A95656">
        <w:rPr>
          <w:rStyle w:val="apple-converted-space"/>
          <w:rFonts w:eastAsiaTheme="majorEastAsia"/>
          <w:color w:val="000000"/>
        </w:rPr>
        <w:t xml:space="preserve"> hebben </w:t>
      </w:r>
      <w:r w:rsidR="00922EBA">
        <w:rPr>
          <w:rStyle w:val="apple-converted-space"/>
          <w:rFonts w:eastAsiaTheme="majorEastAsia"/>
          <w:color w:val="000000"/>
        </w:rPr>
        <w:t xml:space="preserve">dus </w:t>
      </w:r>
      <w:r w:rsidR="005D7F90">
        <w:rPr>
          <w:rStyle w:val="apple-converted-space"/>
          <w:rFonts w:eastAsiaTheme="majorEastAsia"/>
          <w:color w:val="000000"/>
        </w:rPr>
        <w:t xml:space="preserve">een </w:t>
      </w:r>
      <w:r w:rsidR="006E2A12">
        <w:rPr>
          <w:rStyle w:val="apple-converted-space"/>
          <w:rFonts w:eastAsiaTheme="majorEastAsia"/>
          <w:color w:val="000000"/>
        </w:rPr>
        <w:t xml:space="preserve">kostbaar </w:t>
      </w:r>
      <w:r w:rsidR="005D7F90">
        <w:rPr>
          <w:rStyle w:val="apple-converted-space"/>
          <w:rFonts w:eastAsiaTheme="majorEastAsia"/>
          <w:color w:val="000000"/>
        </w:rPr>
        <w:t xml:space="preserve">werkinstrument afgeleverd dat niet alleen Franstalige rechtshistorici </w:t>
      </w:r>
      <w:r w:rsidR="006E2A12">
        <w:rPr>
          <w:rStyle w:val="apple-converted-space"/>
          <w:rFonts w:eastAsiaTheme="majorEastAsia"/>
          <w:color w:val="000000"/>
        </w:rPr>
        <w:t>uit</w:t>
      </w:r>
      <w:r w:rsidR="005D7F90">
        <w:rPr>
          <w:rStyle w:val="apple-converted-space"/>
          <w:rFonts w:eastAsiaTheme="majorEastAsia"/>
          <w:color w:val="000000"/>
        </w:rPr>
        <w:t xml:space="preserve"> de Nederlanden</w:t>
      </w:r>
      <w:r w:rsidR="006E2A12">
        <w:rPr>
          <w:rStyle w:val="apple-converted-space"/>
          <w:rFonts w:eastAsiaTheme="majorEastAsia"/>
          <w:color w:val="000000"/>
        </w:rPr>
        <w:t xml:space="preserve"> </w:t>
      </w:r>
      <w:r w:rsidR="00632D24">
        <w:rPr>
          <w:rStyle w:val="apple-converted-space"/>
          <w:rFonts w:eastAsiaTheme="majorEastAsia"/>
          <w:color w:val="000000"/>
        </w:rPr>
        <w:t>zal bekoren</w:t>
      </w:r>
      <w:r w:rsidR="005D7F90">
        <w:rPr>
          <w:rStyle w:val="apple-converted-space"/>
          <w:rFonts w:eastAsiaTheme="majorEastAsia"/>
          <w:color w:val="000000"/>
        </w:rPr>
        <w:t>.</w:t>
      </w:r>
      <w:r w:rsidR="00D05E39">
        <w:rPr>
          <w:rStyle w:val="apple-converted-space"/>
          <w:rFonts w:eastAsiaTheme="majorEastAsia"/>
          <w:color w:val="000000"/>
        </w:rPr>
        <w:t xml:space="preserve"> Overigens zijn de bijdragen over instellingen </w:t>
      </w:r>
      <w:r w:rsidR="00274583">
        <w:rPr>
          <w:rStyle w:val="apple-converted-space"/>
          <w:rFonts w:eastAsiaTheme="majorEastAsia"/>
          <w:color w:val="000000"/>
        </w:rPr>
        <w:t xml:space="preserve">die overwegend in het Oudnederlands of Diets functioneerden (b.v. </w:t>
      </w:r>
      <w:r w:rsidR="00D05E39">
        <w:rPr>
          <w:rStyle w:val="apple-converted-space"/>
          <w:rFonts w:eastAsiaTheme="majorEastAsia"/>
          <w:color w:val="000000"/>
        </w:rPr>
        <w:t>de Leenzaal van Kuringen en de Loonse Oppergerechten</w:t>
      </w:r>
      <w:r w:rsidR="00274583">
        <w:rPr>
          <w:rStyle w:val="apple-converted-space"/>
          <w:rFonts w:eastAsiaTheme="majorEastAsia"/>
          <w:color w:val="000000"/>
        </w:rPr>
        <w:t>)</w:t>
      </w:r>
      <w:r w:rsidR="00D05E39">
        <w:rPr>
          <w:rStyle w:val="apple-converted-space"/>
          <w:rFonts w:eastAsiaTheme="majorEastAsia"/>
          <w:color w:val="000000"/>
        </w:rPr>
        <w:t xml:space="preserve"> of </w:t>
      </w:r>
      <w:r w:rsidR="001D3467">
        <w:rPr>
          <w:rStyle w:val="apple-converted-space"/>
          <w:rFonts w:eastAsiaTheme="majorEastAsia"/>
          <w:color w:val="000000"/>
        </w:rPr>
        <w:t>over sommige ‘</w:t>
      </w:r>
      <w:r w:rsidR="00274583">
        <w:rPr>
          <w:rStyle w:val="apple-converted-space"/>
          <w:rFonts w:eastAsiaTheme="majorEastAsia"/>
          <w:color w:val="000000"/>
        </w:rPr>
        <w:t>Goede Steden</w:t>
      </w:r>
      <w:r w:rsidR="001D3467">
        <w:rPr>
          <w:rStyle w:val="apple-converted-space"/>
          <w:rFonts w:eastAsiaTheme="majorEastAsia"/>
          <w:color w:val="000000"/>
        </w:rPr>
        <w:t>’</w:t>
      </w:r>
      <w:r w:rsidR="00274583">
        <w:rPr>
          <w:rStyle w:val="apple-converted-space"/>
          <w:rFonts w:eastAsiaTheme="majorEastAsia"/>
          <w:color w:val="000000"/>
        </w:rPr>
        <w:t xml:space="preserve"> (b.v. Maaseik en Tongeren) in het Nederlands </w:t>
      </w:r>
      <w:r w:rsidR="004C154E">
        <w:rPr>
          <w:rStyle w:val="apple-converted-space"/>
          <w:rFonts w:eastAsiaTheme="majorEastAsia"/>
          <w:color w:val="000000"/>
        </w:rPr>
        <w:t>opgesteld</w:t>
      </w:r>
      <w:r w:rsidR="00C6600E">
        <w:rPr>
          <w:rStyle w:val="apple-converted-space"/>
          <w:rFonts w:eastAsiaTheme="majorEastAsia"/>
          <w:color w:val="000000"/>
        </w:rPr>
        <w:t>, vaak</w:t>
      </w:r>
      <w:r w:rsidR="00274583">
        <w:rPr>
          <w:rStyle w:val="apple-converted-space"/>
          <w:rFonts w:eastAsiaTheme="majorEastAsia"/>
          <w:color w:val="000000"/>
        </w:rPr>
        <w:t xml:space="preserve"> </w:t>
      </w:r>
      <w:r w:rsidR="004C154E">
        <w:rPr>
          <w:rStyle w:val="apple-converted-space"/>
          <w:rFonts w:eastAsiaTheme="majorEastAsia"/>
          <w:color w:val="000000"/>
        </w:rPr>
        <w:t>door</w:t>
      </w:r>
      <w:r w:rsidR="00274583">
        <w:rPr>
          <w:rStyle w:val="apple-converted-space"/>
          <w:rFonts w:eastAsiaTheme="majorEastAsia"/>
          <w:color w:val="000000"/>
        </w:rPr>
        <w:t xml:space="preserve"> de Hasseltse Rijksarchivaris Rombout Nijssen. </w:t>
      </w:r>
    </w:p>
    <w:p w:rsidR="00E93988" w:rsidRDefault="002F452A" w:rsidP="00D7379F">
      <w:pPr>
        <w:ind w:firstLine="708"/>
        <w:jc w:val="both"/>
      </w:pPr>
      <w:r>
        <w:t xml:space="preserve">De gids valt uiteen in drie grote delen die </w:t>
      </w:r>
      <w:r w:rsidR="00BD7918">
        <w:t>respectievelijk de instellingen in</w:t>
      </w:r>
      <w:r>
        <w:t xml:space="preserve"> het Heilige Roomse Rijk, het Prinsbisdom, en </w:t>
      </w:r>
      <w:r w:rsidR="00665DB5">
        <w:t xml:space="preserve">Luik en </w:t>
      </w:r>
      <w:r>
        <w:t xml:space="preserve">de </w:t>
      </w:r>
      <w:r w:rsidR="00B721BD">
        <w:t xml:space="preserve">zogenaamde </w:t>
      </w:r>
      <w:r w:rsidR="001D3467">
        <w:t>‘</w:t>
      </w:r>
      <w:r w:rsidR="0015781C">
        <w:t xml:space="preserve">Goede </w:t>
      </w:r>
      <w:r>
        <w:t>steden</w:t>
      </w:r>
      <w:r w:rsidR="001D3467">
        <w:t>’</w:t>
      </w:r>
      <w:r w:rsidR="00BD7918">
        <w:t xml:space="preserve"> behandelen</w:t>
      </w:r>
      <w:r w:rsidR="005C48E3">
        <w:t>.</w:t>
      </w:r>
      <w:r w:rsidR="00A736AD">
        <w:t xml:space="preserve"> </w:t>
      </w:r>
      <w:r w:rsidR="0042532E">
        <w:t xml:space="preserve">Hoewel het </w:t>
      </w:r>
      <w:r w:rsidR="00E93988">
        <w:t xml:space="preserve">tweede </w:t>
      </w:r>
      <w:r w:rsidR="00F8215E">
        <w:t xml:space="preserve">en het derde </w:t>
      </w:r>
      <w:r w:rsidR="00E93988">
        <w:t>deel</w:t>
      </w:r>
      <w:r w:rsidR="00F8215E">
        <w:t xml:space="preserve"> </w:t>
      </w:r>
      <w:r w:rsidR="00E93988">
        <w:t xml:space="preserve">over </w:t>
      </w:r>
      <w:r w:rsidR="0042532E">
        <w:t xml:space="preserve">de instellingen </w:t>
      </w:r>
      <w:r w:rsidR="00BD7918">
        <w:t>op het</w:t>
      </w:r>
      <w:r w:rsidR="004C154E">
        <w:t xml:space="preserve"> prins-bisschoppelijke</w:t>
      </w:r>
      <w:r w:rsidR="00F8215E">
        <w:t xml:space="preserve"> </w:t>
      </w:r>
      <w:r w:rsidR="004C154E">
        <w:t>en</w:t>
      </w:r>
      <w:r w:rsidR="00F8215E">
        <w:t xml:space="preserve"> het </w:t>
      </w:r>
      <w:r w:rsidR="004C154E">
        <w:t xml:space="preserve">stedelijke </w:t>
      </w:r>
      <w:r w:rsidR="00F8215E">
        <w:t>niveau</w:t>
      </w:r>
      <w:r w:rsidR="00E93988">
        <w:t xml:space="preserve"> </w:t>
      </w:r>
      <w:r w:rsidR="00B721BD">
        <w:t>de hoofdbrok</w:t>
      </w:r>
      <w:r w:rsidR="00F8215E">
        <w:t xml:space="preserve"> van het handboek </w:t>
      </w:r>
      <w:r w:rsidR="00B721BD">
        <w:t>vormen,</w:t>
      </w:r>
      <w:r w:rsidR="0042532E">
        <w:t xml:space="preserve"> </w:t>
      </w:r>
      <w:r w:rsidR="00F8215E">
        <w:t xml:space="preserve">begint </w:t>
      </w:r>
      <w:r w:rsidR="00E93988">
        <w:t xml:space="preserve">de gids </w:t>
      </w:r>
      <w:r w:rsidR="00F8215E">
        <w:t xml:space="preserve">met </w:t>
      </w:r>
      <w:r w:rsidR="0042532E">
        <w:t xml:space="preserve">de </w:t>
      </w:r>
      <w:r w:rsidR="003B60DF">
        <w:t xml:space="preserve">centrale </w:t>
      </w:r>
      <w:r w:rsidR="0042532E">
        <w:t>institutionele connecties tussen Luik en het Heilige Roomse Rijk</w:t>
      </w:r>
      <w:r w:rsidR="00F8215E">
        <w:t xml:space="preserve">. In zekere zin is dit een afwijking van de tot dusver gehanteerde structuur </w:t>
      </w:r>
      <w:r w:rsidR="003B60DF">
        <w:t>in de</w:t>
      </w:r>
      <w:r w:rsidR="00F8215E">
        <w:t xml:space="preserve"> </w:t>
      </w:r>
      <w:r w:rsidR="004C154E">
        <w:t xml:space="preserve">institutioneel-historische </w:t>
      </w:r>
      <w:r w:rsidR="00F8215E">
        <w:t xml:space="preserve">reeks van het </w:t>
      </w:r>
      <w:r w:rsidR="004C154E">
        <w:t xml:space="preserve">Belgische </w:t>
      </w:r>
      <w:r w:rsidR="00F8215E">
        <w:t xml:space="preserve">Rijksarchief. Na de </w:t>
      </w:r>
      <w:r w:rsidR="003B60DF">
        <w:t>eerste</w:t>
      </w:r>
      <w:r w:rsidR="00F8215E">
        <w:t xml:space="preserve"> publicatie over de </w:t>
      </w:r>
      <w:r w:rsidR="00B721BD">
        <w:t xml:space="preserve">algemene, </w:t>
      </w:r>
      <w:r w:rsidR="00F8215E">
        <w:t xml:space="preserve">centrale overheidsinstellingen van de Habsburgse Nederlanden (1482-1795) </w:t>
      </w:r>
      <w:r w:rsidR="00421E53">
        <w:t xml:space="preserve">volgden immers telkens </w:t>
      </w:r>
      <w:r w:rsidR="004A1208">
        <w:t xml:space="preserve">bijzondere </w:t>
      </w:r>
      <w:r w:rsidR="00421E53">
        <w:t xml:space="preserve">studies over de gewestelijke en </w:t>
      </w:r>
      <w:r w:rsidR="001A288D">
        <w:t xml:space="preserve">de </w:t>
      </w:r>
      <w:r w:rsidR="00421E53">
        <w:t>lokale overheidsinstellingen in Vlaanderen, Brabant</w:t>
      </w:r>
      <w:r w:rsidR="004A1208">
        <w:t xml:space="preserve"> en Henegouwen</w:t>
      </w:r>
      <w:r w:rsidR="00421E53">
        <w:t>.</w:t>
      </w:r>
      <w:r w:rsidR="00421E53">
        <w:rPr>
          <w:rStyle w:val="FootnoteReference"/>
        </w:rPr>
        <w:footnoteReference w:id="2"/>
      </w:r>
      <w:r w:rsidR="004A1208">
        <w:t xml:space="preserve"> </w:t>
      </w:r>
      <w:r w:rsidR="003B60DF">
        <w:t>Terecht</w:t>
      </w:r>
      <w:r w:rsidR="004A1208">
        <w:t xml:space="preserve"> k</w:t>
      </w:r>
      <w:r w:rsidR="003B60DF">
        <w:t>o</w:t>
      </w:r>
      <w:r w:rsidR="004A1208">
        <w:t xml:space="preserve">n dit schema niet </w:t>
      </w:r>
      <w:r w:rsidR="003B60DF">
        <w:t xml:space="preserve">zomaar </w:t>
      </w:r>
      <w:r w:rsidR="004A1208">
        <w:t>op het Prinsbisdom toegepast worden</w:t>
      </w:r>
      <w:r w:rsidR="003B60DF">
        <w:t>. H</w:t>
      </w:r>
      <w:r w:rsidR="004A1208">
        <w:t xml:space="preserve">et Prinsbisdom </w:t>
      </w:r>
      <w:r w:rsidR="003B60DF">
        <w:t xml:space="preserve">bleef immers </w:t>
      </w:r>
      <w:r w:rsidR="004A1208">
        <w:t xml:space="preserve">onafgebroken deel uitmaken van het Heilige Roomse Rijk, </w:t>
      </w:r>
      <w:r w:rsidR="001A288D">
        <w:t xml:space="preserve">en dat </w:t>
      </w:r>
      <w:r w:rsidR="003B60DF">
        <w:t xml:space="preserve">terwijl </w:t>
      </w:r>
      <w:r w:rsidR="004A1208">
        <w:t xml:space="preserve">de </w:t>
      </w:r>
      <w:r w:rsidR="00B721BD">
        <w:t xml:space="preserve">band tussen de </w:t>
      </w:r>
      <w:r w:rsidR="009B3392">
        <w:t xml:space="preserve">Zeventien Provinciën </w:t>
      </w:r>
      <w:r w:rsidR="00B721BD">
        <w:t xml:space="preserve">en de Duitse prinsen </w:t>
      </w:r>
      <w:r w:rsidR="00BD7918">
        <w:t xml:space="preserve">in 1548 </w:t>
      </w:r>
      <w:r w:rsidR="004A1208">
        <w:t>door</w:t>
      </w:r>
      <w:r w:rsidR="003B60DF">
        <w:t xml:space="preserve"> </w:t>
      </w:r>
      <w:r w:rsidR="001D3467">
        <w:lastRenderedPageBreak/>
        <w:t>de Transactie</w:t>
      </w:r>
      <w:r w:rsidR="004A1208">
        <w:t xml:space="preserve"> van Augsburg </w:t>
      </w:r>
      <w:r w:rsidR="00451A61">
        <w:t>feitelijk doorgeknipt</w:t>
      </w:r>
      <w:r w:rsidR="00B721BD">
        <w:t xml:space="preserve"> werd</w:t>
      </w:r>
      <w:r w:rsidR="004A1208">
        <w:t>.</w:t>
      </w:r>
      <w:r w:rsidR="001A288D">
        <w:t xml:space="preserve"> Eerder was het Prinsbisdom </w:t>
      </w:r>
      <w:r w:rsidR="003B60DF">
        <w:t xml:space="preserve">aan </w:t>
      </w:r>
      <w:r w:rsidR="001A288D">
        <w:t xml:space="preserve">de expansiedrift </w:t>
      </w:r>
      <w:r w:rsidR="003B60DF">
        <w:t>van de Bourgondiërs</w:t>
      </w:r>
      <w:r w:rsidR="001A288D">
        <w:t xml:space="preserve"> ontsnapt</w:t>
      </w:r>
      <w:r w:rsidR="003B60DF">
        <w:t xml:space="preserve">, </w:t>
      </w:r>
      <w:r w:rsidR="00BD7918">
        <w:t xml:space="preserve">ondanks een kortstondige bezetting </w:t>
      </w:r>
      <w:r w:rsidR="008E194D">
        <w:t>(1467-1477) onder</w:t>
      </w:r>
      <w:r w:rsidR="001D3467">
        <w:t xml:space="preserve"> Karel de Stoute</w:t>
      </w:r>
      <w:r w:rsidR="00BD7918">
        <w:t>.</w:t>
      </w:r>
    </w:p>
    <w:p w:rsidR="00754D83" w:rsidRDefault="009B3392" w:rsidP="004A1208">
      <w:pPr>
        <w:jc w:val="both"/>
      </w:pPr>
      <w:r>
        <w:tab/>
      </w:r>
      <w:r w:rsidR="003C2B46">
        <w:t xml:space="preserve">In het </w:t>
      </w:r>
      <w:r w:rsidR="000F6874">
        <w:t xml:space="preserve">eerste </w:t>
      </w:r>
      <w:r w:rsidR="003C2B46">
        <w:t>deel over de keizerlijke instellingen komen aan bod</w:t>
      </w:r>
      <w:r w:rsidR="00451A61">
        <w:t>:</w:t>
      </w:r>
      <w:r w:rsidR="003C2B46">
        <w:t xml:space="preserve"> de Nederrijns-Westfaalse Kreits, de Rijksdag,</w:t>
      </w:r>
      <w:r w:rsidR="006A2B16">
        <w:t xml:space="preserve"> </w:t>
      </w:r>
      <w:r w:rsidR="00754D83">
        <w:t xml:space="preserve">het Rijkskamergerecht, en de Rijkshofraad. Émilie Toussaint, </w:t>
      </w:r>
      <w:r w:rsidR="00910833">
        <w:t>medewerkster</w:t>
      </w:r>
      <w:r w:rsidR="00754D83">
        <w:t xml:space="preserve"> van het Luikse Rijksarchief, </w:t>
      </w:r>
      <w:r w:rsidR="009F26B4">
        <w:t xml:space="preserve">wijst er terecht op </w:t>
      </w:r>
      <w:r w:rsidR="00754D83">
        <w:t xml:space="preserve">dat de band tussen Luik en de Nederrijns-Westfaalse Kreits </w:t>
      </w:r>
      <w:r w:rsidR="009F26B4">
        <w:t>nader onderzoek verdient (p. </w:t>
      </w:r>
      <w:r w:rsidR="00BD7918">
        <w:t>84). D</w:t>
      </w:r>
      <w:r w:rsidR="00754D83">
        <w:t xml:space="preserve">e </w:t>
      </w:r>
      <w:r w:rsidR="00191D1C">
        <w:t xml:space="preserve">interactie tussen </w:t>
      </w:r>
      <w:r w:rsidR="00754D83">
        <w:t xml:space="preserve">Rijksdag </w:t>
      </w:r>
      <w:r w:rsidR="00191D1C">
        <w:t xml:space="preserve">en prins-bisschopen </w:t>
      </w:r>
      <w:r w:rsidR="009F26B4">
        <w:t>moet</w:t>
      </w:r>
      <w:r w:rsidR="00BD7918">
        <w:t xml:space="preserve"> zelfs </w:t>
      </w:r>
      <w:r w:rsidR="00754D83">
        <w:t xml:space="preserve">nog </w:t>
      </w:r>
      <w:r w:rsidR="009F26B4">
        <w:t xml:space="preserve">voor de eerste keer </w:t>
      </w:r>
      <w:r w:rsidR="00665DB5">
        <w:t xml:space="preserve">grondig </w:t>
      </w:r>
      <w:r w:rsidR="009F26B4">
        <w:t>bestudeerd worden</w:t>
      </w:r>
      <w:r w:rsidR="00D45513">
        <w:t xml:space="preserve"> </w:t>
      </w:r>
      <w:r w:rsidR="00191D1C">
        <w:t>(</w:t>
      </w:r>
      <w:r w:rsidR="00754D83">
        <w:t>p. 93).</w:t>
      </w:r>
      <w:r w:rsidR="00191D1C">
        <w:t xml:space="preserve"> </w:t>
      </w:r>
      <w:r w:rsidR="00E2082B">
        <w:t>In het algemeen valt op dat de historiografie</w:t>
      </w:r>
      <w:r w:rsidR="009F26B4">
        <w:t xml:space="preserve"> </w:t>
      </w:r>
      <w:r w:rsidR="00E2082B">
        <w:t xml:space="preserve">weinig aandacht </w:t>
      </w:r>
      <w:r w:rsidR="00B3709F">
        <w:t xml:space="preserve">besteed </w:t>
      </w:r>
      <w:r w:rsidR="008E194D">
        <w:t xml:space="preserve">heeft </w:t>
      </w:r>
      <w:r w:rsidR="00B3709F">
        <w:t xml:space="preserve">aan de inbedding van </w:t>
      </w:r>
      <w:r w:rsidR="001254E0">
        <w:t xml:space="preserve">de gebeurtenissen in </w:t>
      </w:r>
      <w:r w:rsidR="00B3709F">
        <w:t xml:space="preserve">het Luikse prinsbisdom </w:t>
      </w:r>
      <w:r w:rsidR="001254E0">
        <w:t xml:space="preserve">binnen </w:t>
      </w:r>
      <w:r w:rsidR="00E2082B">
        <w:t xml:space="preserve">het </w:t>
      </w:r>
      <w:r w:rsidR="00665DB5">
        <w:t xml:space="preserve">grotere geheel van het </w:t>
      </w:r>
      <w:r w:rsidR="00E2082B">
        <w:t>Heilige Roomse Rijk</w:t>
      </w:r>
      <w:r w:rsidR="009F26B4">
        <w:t xml:space="preserve">. </w:t>
      </w:r>
      <w:r w:rsidR="00E2082B">
        <w:t xml:space="preserve">Zo lijkt het </w:t>
      </w:r>
      <w:r w:rsidR="009F26B4">
        <w:t>geen toeval</w:t>
      </w:r>
      <w:r w:rsidR="00B3709F">
        <w:t xml:space="preserve"> dat bij de bespreking van de </w:t>
      </w:r>
      <w:r w:rsidR="001254E0">
        <w:t xml:space="preserve">verre </w:t>
      </w:r>
      <w:r w:rsidR="00B3709F">
        <w:t xml:space="preserve">oorsprong van het Vredesgerecht in de Godsvrede van 1081 </w:t>
      </w:r>
      <w:r w:rsidR="001254E0">
        <w:t xml:space="preserve">(p. 460) wordt </w:t>
      </w:r>
      <w:r w:rsidR="00B3709F">
        <w:t xml:space="preserve">voorbijgegaan aan het feit </w:t>
      </w:r>
      <w:r w:rsidR="001254E0">
        <w:t xml:space="preserve">dat </w:t>
      </w:r>
      <w:r w:rsidR="00FC3ECF">
        <w:t>dit de eerste</w:t>
      </w:r>
      <w:r w:rsidR="001254E0">
        <w:t xml:space="preserve"> </w:t>
      </w:r>
      <w:r w:rsidR="002E5839">
        <w:t xml:space="preserve">algemene </w:t>
      </w:r>
      <w:r w:rsidR="001254E0">
        <w:t>God</w:t>
      </w:r>
      <w:r w:rsidR="00287B5D">
        <w:t>s</w:t>
      </w:r>
      <w:r w:rsidR="001254E0">
        <w:t>vrede binnen het Heilige Roomse Rijk</w:t>
      </w:r>
      <w:r w:rsidR="00FC3ECF">
        <w:t xml:space="preserve"> was</w:t>
      </w:r>
      <w:r w:rsidR="001254E0">
        <w:t xml:space="preserve">. Of verraadt dit stilzwijgen </w:t>
      </w:r>
      <w:r w:rsidR="00665DB5">
        <w:t>gewoon</w:t>
      </w:r>
      <w:r w:rsidR="00E2082B">
        <w:t xml:space="preserve"> een </w:t>
      </w:r>
      <w:r w:rsidR="00665DB5">
        <w:t>ver</w:t>
      </w:r>
      <w:r w:rsidR="008E194D">
        <w:t xml:space="preserve">gane </w:t>
      </w:r>
      <w:r w:rsidR="00E2082B">
        <w:t xml:space="preserve">Luikse trots? </w:t>
      </w:r>
      <w:r w:rsidR="00191D1C">
        <w:t xml:space="preserve">De bibliografie </w:t>
      </w:r>
      <w:r w:rsidR="00D45513">
        <w:t>over</w:t>
      </w:r>
      <w:r w:rsidR="00191D1C">
        <w:t xml:space="preserve"> het Rijkskamergerecht is </w:t>
      </w:r>
      <w:r w:rsidR="001254E0">
        <w:t xml:space="preserve">dan weer </w:t>
      </w:r>
      <w:r w:rsidR="00BD7918">
        <w:t xml:space="preserve">kritisch </w:t>
      </w:r>
      <w:r w:rsidR="00191D1C">
        <w:t xml:space="preserve">beredeneerd en up-to-date, </w:t>
      </w:r>
      <w:r w:rsidR="00416BE5">
        <w:t>ook al ontbreekt af en toe een</w:t>
      </w:r>
      <w:r w:rsidR="00191D1C">
        <w:t xml:space="preserve"> verwijzing naar meer </w:t>
      </w:r>
      <w:r w:rsidR="00191D1C" w:rsidRPr="00E2082B">
        <w:t>gespecialiseerde</w:t>
      </w:r>
      <w:r w:rsidR="00191D1C">
        <w:t xml:space="preserve"> literatuur zoals Steffen Wunderlich’s </w:t>
      </w:r>
      <w:r w:rsidR="00287B5D">
        <w:t>‘</w:t>
      </w:r>
      <w:r w:rsidR="00191D1C" w:rsidRPr="00287B5D">
        <w:t>opus maximum</w:t>
      </w:r>
      <w:r w:rsidR="00287B5D">
        <w:t>’</w:t>
      </w:r>
      <w:r w:rsidR="00191D1C">
        <w:t xml:space="preserve"> over het protokolboek van Mathias Alber.</w:t>
      </w:r>
      <w:r w:rsidR="00191D1C">
        <w:rPr>
          <w:rStyle w:val="FootnoteReference"/>
        </w:rPr>
        <w:footnoteReference w:id="3"/>
      </w:r>
      <w:r w:rsidR="00191D1C">
        <w:t xml:space="preserve"> </w:t>
      </w:r>
      <w:r w:rsidR="00EF44E5">
        <w:t xml:space="preserve">Eveneens afwezig is een verwijzing naar de literatuur over de rol van het Rijkskamergerecht in het </w:t>
      </w:r>
      <w:r w:rsidR="00CE22D0">
        <w:t>bedwingen</w:t>
      </w:r>
      <w:r w:rsidR="00EF44E5">
        <w:t xml:space="preserve"> van de Luikse Revolutie </w:t>
      </w:r>
      <w:r w:rsidR="00CE22D0">
        <w:t>(</w:t>
      </w:r>
      <w:r w:rsidR="00EF44E5">
        <w:t>1789</w:t>
      </w:r>
      <w:r w:rsidR="00CE22D0">
        <w:t>)</w:t>
      </w:r>
      <w:r w:rsidR="00EF44E5">
        <w:t xml:space="preserve">, </w:t>
      </w:r>
      <w:r w:rsidR="00BD7918">
        <w:t xml:space="preserve">nochtans </w:t>
      </w:r>
      <w:r w:rsidR="00D45513">
        <w:t xml:space="preserve">uitvoerig bestudeerd door </w:t>
      </w:r>
      <w:r w:rsidR="00EF44E5">
        <w:t xml:space="preserve">Paul Nève. </w:t>
      </w:r>
      <w:r w:rsidR="00FC55FA">
        <w:t xml:space="preserve">Belangrijk is de </w:t>
      </w:r>
      <w:r w:rsidR="00BD7918">
        <w:t xml:space="preserve">kennisgeving over de </w:t>
      </w:r>
      <w:r w:rsidR="00FC55FA">
        <w:t xml:space="preserve">start </w:t>
      </w:r>
      <w:r w:rsidR="00910833">
        <w:t xml:space="preserve">in april 2012 </w:t>
      </w:r>
      <w:r w:rsidR="00FC55FA">
        <w:t xml:space="preserve">van een nieuw inventarisatie- en digitaliseringsproject in het Luikse Rijksarchief ter ontsluiting van de procesdossiers uit </w:t>
      </w:r>
      <w:r w:rsidR="008E194D">
        <w:t>het Prinsbisdom</w:t>
      </w:r>
      <w:r w:rsidR="00FC55FA">
        <w:t xml:space="preserve"> die voor het Rijkskamergerecht behandeld werden</w:t>
      </w:r>
      <w:r w:rsidR="00EA36C0">
        <w:t xml:space="preserve"> (p. 107)</w:t>
      </w:r>
      <w:r w:rsidR="00FC55FA">
        <w:t>.</w:t>
      </w:r>
      <w:r w:rsidR="00910833">
        <w:t xml:space="preserve"> </w:t>
      </w:r>
      <w:r w:rsidR="004C154E">
        <w:t>O</w:t>
      </w:r>
      <w:r w:rsidR="00BD7918">
        <w:t xml:space="preserve">p termijn </w:t>
      </w:r>
      <w:r w:rsidR="004C154E">
        <w:t xml:space="preserve">zou </w:t>
      </w:r>
      <w:r w:rsidR="00BD7918">
        <w:t>een gelijkaardig</w:t>
      </w:r>
      <w:r w:rsidR="00910833">
        <w:t xml:space="preserve"> project voor de Rijkshofraad</w:t>
      </w:r>
      <w:r w:rsidR="00BD7918">
        <w:t xml:space="preserve"> </w:t>
      </w:r>
      <w:r w:rsidR="004C154E">
        <w:t>wenselijk zijn</w:t>
      </w:r>
      <w:r w:rsidR="00BD7918">
        <w:t>.</w:t>
      </w:r>
    </w:p>
    <w:p w:rsidR="001D2DBA" w:rsidRDefault="009D6B1B" w:rsidP="004A1208">
      <w:pPr>
        <w:jc w:val="both"/>
      </w:pPr>
      <w:r>
        <w:tab/>
      </w:r>
      <w:r w:rsidR="001D2DBA">
        <w:t xml:space="preserve">Deel twee over de politieke, gerechtelijke, financiële, </w:t>
      </w:r>
      <w:r w:rsidR="001076BF">
        <w:t xml:space="preserve">notariële, en </w:t>
      </w:r>
      <w:r w:rsidR="001D2DBA">
        <w:t xml:space="preserve">militaire instellingen op het niveau van het Prinsbisdom </w:t>
      </w:r>
      <w:r w:rsidR="00D05E39">
        <w:t xml:space="preserve">en het Graafschaf Loon </w:t>
      </w:r>
      <w:r w:rsidR="001076BF">
        <w:t xml:space="preserve">is een parel van systematisch en helder uiteengezet bronnen- en literatuuronderzoek. Van elke instelling worden achtereenvolgens </w:t>
      </w:r>
      <w:r w:rsidR="00F70AD6">
        <w:t xml:space="preserve">historische evolutie, organisatie en bevoegdheden </w:t>
      </w:r>
      <w:r w:rsidR="001076BF">
        <w:t>besproken</w:t>
      </w:r>
      <w:r w:rsidR="00F70AD6">
        <w:t xml:space="preserve">, waarna </w:t>
      </w:r>
      <w:r w:rsidR="008E194D">
        <w:t xml:space="preserve">een praktisch </w:t>
      </w:r>
      <w:r w:rsidR="00F70AD6">
        <w:t>overzicht</w:t>
      </w:r>
      <w:r w:rsidR="008E194D">
        <w:t xml:space="preserve"> </w:t>
      </w:r>
      <w:r w:rsidR="00F70AD6">
        <w:t xml:space="preserve">van de </w:t>
      </w:r>
      <w:r w:rsidR="004C154E">
        <w:t>wetgeving</w:t>
      </w:r>
      <w:r w:rsidR="00F70AD6">
        <w:t xml:space="preserve"> betreffende de instelling</w:t>
      </w:r>
      <w:r w:rsidR="008E194D">
        <w:t xml:space="preserve"> volgt</w:t>
      </w:r>
      <w:r w:rsidR="00F70AD6">
        <w:t xml:space="preserve">, een analytische bibliografie, </w:t>
      </w:r>
      <w:r w:rsidR="00D05E39">
        <w:t xml:space="preserve">een lijst van </w:t>
      </w:r>
      <w:r w:rsidR="00A109EC">
        <w:t>de</w:t>
      </w:r>
      <w:r w:rsidR="00287B5D">
        <w:t xml:space="preserve"> </w:t>
      </w:r>
      <w:r w:rsidR="00F70AD6">
        <w:t xml:space="preserve">onuitgegeven </w:t>
      </w:r>
      <w:r w:rsidR="00287B5D">
        <w:t xml:space="preserve">en uitgegeven </w:t>
      </w:r>
      <w:r w:rsidR="00D05E39">
        <w:t>bronnen</w:t>
      </w:r>
      <w:r w:rsidR="00F70AD6">
        <w:t xml:space="preserve"> en </w:t>
      </w:r>
      <w:r w:rsidR="00A109EC">
        <w:t xml:space="preserve">hun </w:t>
      </w:r>
      <w:r w:rsidR="00F70AD6">
        <w:t xml:space="preserve">concrete </w:t>
      </w:r>
      <w:r w:rsidR="00A109EC">
        <w:t>vindplaats</w:t>
      </w:r>
      <w:r w:rsidR="001374DB">
        <w:t xml:space="preserve"> in archieve</w:t>
      </w:r>
      <w:r w:rsidR="003B10DB">
        <w:t>n</w:t>
      </w:r>
      <w:r w:rsidR="001374DB">
        <w:t xml:space="preserve">. </w:t>
      </w:r>
      <w:r w:rsidR="003B10DB">
        <w:t>Occasioneel</w:t>
      </w:r>
      <w:r w:rsidR="001374DB">
        <w:t xml:space="preserve"> is de bijdrage over de instelling </w:t>
      </w:r>
      <w:r w:rsidR="000F6874">
        <w:t xml:space="preserve">in kwestie </w:t>
      </w:r>
      <w:r w:rsidR="001374DB">
        <w:t>vervolledigd met een prosopografie.</w:t>
      </w:r>
      <w:r w:rsidR="00F70AD6">
        <w:t xml:space="preserve"> Alleen al voor de </w:t>
      </w:r>
      <w:r w:rsidR="00945919">
        <w:t xml:space="preserve">meer dan </w:t>
      </w:r>
      <w:r w:rsidR="00F70AD6">
        <w:t xml:space="preserve">tien gerechtelijke instellingen – een schoolvoorbeeld van rechtspluralisme tijdens het </w:t>
      </w:r>
      <w:r w:rsidR="00F70AD6" w:rsidRPr="00287B5D">
        <w:t>ancien régime</w:t>
      </w:r>
      <w:r w:rsidR="00F70AD6">
        <w:t xml:space="preserve"> – blijkt deze methodische aanpak bijzonder nuttig</w:t>
      </w:r>
      <w:r w:rsidR="00945919">
        <w:t>.</w:t>
      </w:r>
      <w:r w:rsidR="00F70AD6">
        <w:t xml:space="preserve"> Terwijl </w:t>
      </w:r>
      <w:r w:rsidR="00945919">
        <w:t>voor</w:t>
      </w:r>
      <w:r w:rsidR="00F70AD6">
        <w:t xml:space="preserve"> instellingen </w:t>
      </w:r>
      <w:r w:rsidR="00945919">
        <w:t>zoals</w:t>
      </w:r>
      <w:r w:rsidR="00F70AD6">
        <w:t xml:space="preserve"> </w:t>
      </w:r>
      <w:r w:rsidR="00945919">
        <w:t xml:space="preserve">de </w:t>
      </w:r>
      <w:r w:rsidR="00287B5D">
        <w:t>‘</w:t>
      </w:r>
      <w:r w:rsidR="004C154E" w:rsidRPr="006A12E7">
        <w:t>Cours jurées des charbonnages, des eaux et du cordeau</w:t>
      </w:r>
      <w:r w:rsidR="006A12E7">
        <w:t>’</w:t>
      </w:r>
      <w:r w:rsidR="004C154E">
        <w:t xml:space="preserve">, </w:t>
      </w:r>
      <w:r w:rsidR="00D05E39">
        <w:t xml:space="preserve">de </w:t>
      </w:r>
      <w:r w:rsidR="00945919">
        <w:t xml:space="preserve">Leenzaal, </w:t>
      </w:r>
      <w:r w:rsidR="003B10DB">
        <w:t xml:space="preserve">de Geheime Raad, </w:t>
      </w:r>
      <w:r w:rsidR="00945919">
        <w:t xml:space="preserve">de Gewone Raad, de Officialiteit, het </w:t>
      </w:r>
      <w:r w:rsidR="006A12E7">
        <w:t>‘</w:t>
      </w:r>
      <w:r w:rsidR="00945919" w:rsidRPr="006A12E7">
        <w:t>Tribunal de l’Anneau du Palais</w:t>
      </w:r>
      <w:r w:rsidR="006A12E7">
        <w:t>’</w:t>
      </w:r>
      <w:r w:rsidR="004C154E">
        <w:t xml:space="preserve"> en </w:t>
      </w:r>
      <w:r w:rsidR="00945919">
        <w:t>de Rechtbank der Tweeëntwintig</w:t>
      </w:r>
      <w:r w:rsidR="00D05E39">
        <w:t xml:space="preserve"> </w:t>
      </w:r>
      <w:r w:rsidR="00F70AD6">
        <w:t>een gede</w:t>
      </w:r>
      <w:r w:rsidR="00945919">
        <w:t>gen</w:t>
      </w:r>
      <w:r w:rsidR="00F70AD6">
        <w:t xml:space="preserve"> onderzoeks</w:t>
      </w:r>
      <w:r w:rsidR="00945919">
        <w:t>traditie</w:t>
      </w:r>
      <w:r w:rsidR="00F70AD6">
        <w:t xml:space="preserve"> bestaat, wij</w:t>
      </w:r>
      <w:r w:rsidR="00A109EC">
        <w:t>st Laurence Druez, medewerkster van het Luikse Rijksarchief,</w:t>
      </w:r>
      <w:r w:rsidR="00945919">
        <w:t xml:space="preserve"> op </w:t>
      </w:r>
      <w:r w:rsidR="00A109EC">
        <w:t>het ontbreken v</w:t>
      </w:r>
      <w:r w:rsidR="00945919">
        <w:t xml:space="preserve">an </w:t>
      </w:r>
      <w:r w:rsidR="00D05E39">
        <w:t xml:space="preserve">onder meer </w:t>
      </w:r>
      <w:r w:rsidR="00945919">
        <w:t xml:space="preserve">een </w:t>
      </w:r>
      <w:r w:rsidR="00A109EC">
        <w:t xml:space="preserve">omvattende </w:t>
      </w:r>
      <w:r w:rsidR="00945919">
        <w:t xml:space="preserve">uitgave van het archiefmateriaal </w:t>
      </w:r>
      <w:r w:rsidR="00A109EC">
        <w:t xml:space="preserve">betreffende </w:t>
      </w:r>
      <w:r w:rsidR="00945919">
        <w:t>het Allodiale Hof</w:t>
      </w:r>
      <w:r w:rsidR="00A109EC">
        <w:t xml:space="preserve"> (p. 425</w:t>
      </w:r>
      <w:r w:rsidR="003B10DB">
        <w:t xml:space="preserve">). </w:t>
      </w:r>
      <w:r w:rsidR="004B583C">
        <w:t>Volgens</w:t>
      </w:r>
      <w:r w:rsidR="003B10DB">
        <w:t xml:space="preserve"> de Luikse stadsarchivaris Françoise Jeuris blijft het ook uitzien naar een synthetische studie over de Rekenkamer</w:t>
      </w:r>
      <w:r w:rsidR="006A12E7">
        <w:t xml:space="preserve"> (p. 650)</w:t>
      </w:r>
      <w:r w:rsidR="003B10DB">
        <w:t>.</w:t>
      </w:r>
      <w:r w:rsidR="00E2082B">
        <w:t xml:space="preserve"> </w:t>
      </w:r>
      <w:r w:rsidR="007122D3">
        <w:t xml:space="preserve">Hier en daar onderschat het werkinstrument dan weer de bestaande literatuur. Zo </w:t>
      </w:r>
      <w:r w:rsidR="006A12E7">
        <w:t>wordt van</w:t>
      </w:r>
      <w:r w:rsidR="007122D3">
        <w:t xml:space="preserve"> de recente publicaties van Paul Nève over het Luikse notariaat</w:t>
      </w:r>
      <w:r w:rsidR="006A12E7">
        <w:t xml:space="preserve"> geen akte genomen</w:t>
      </w:r>
      <w:r w:rsidR="007122D3">
        <w:t xml:space="preserve"> (p. 688).</w:t>
      </w:r>
    </w:p>
    <w:p w:rsidR="00770467" w:rsidRDefault="00836320" w:rsidP="004A1208">
      <w:pPr>
        <w:jc w:val="both"/>
      </w:pPr>
      <w:r>
        <w:tab/>
      </w:r>
      <w:r w:rsidR="00770467">
        <w:t>In het derde d</w:t>
      </w:r>
      <w:r>
        <w:t>eel</w:t>
      </w:r>
      <w:r w:rsidR="00770467">
        <w:t xml:space="preserve"> passeren de lokale instellingen op stedelijk en landelijk niveau de revue. </w:t>
      </w:r>
      <w:r w:rsidR="00665DB5">
        <w:t>Opnieuw blinkt</w:t>
      </w:r>
      <w:r w:rsidR="008B0F1D">
        <w:t xml:space="preserve"> de gids uit door helderheid, structuur en zin voor praktische relevantie. De politieke en gerechtelijke instanties </w:t>
      </w:r>
      <w:r w:rsidR="00492FF9">
        <w:t>va</w:t>
      </w:r>
      <w:r w:rsidR="008B0F1D">
        <w:t xml:space="preserve">n de stad Luik </w:t>
      </w:r>
      <w:r w:rsidR="00492FF9">
        <w:t>worden in detail geschilderd</w:t>
      </w:r>
      <w:r w:rsidR="008B0F1D">
        <w:t xml:space="preserve">. </w:t>
      </w:r>
      <w:r w:rsidR="00E27343">
        <w:t xml:space="preserve">Toussaint noteert de behoefte aan </w:t>
      </w:r>
      <w:r w:rsidR="008E194D">
        <w:t>grondig</w:t>
      </w:r>
      <w:r w:rsidR="008B0F1D">
        <w:t xml:space="preserve"> onderzoek </w:t>
      </w:r>
      <w:r w:rsidR="008E194D">
        <w:t>over</w:t>
      </w:r>
      <w:r w:rsidR="008B0F1D">
        <w:t xml:space="preserve"> </w:t>
      </w:r>
      <w:r w:rsidR="00E27343">
        <w:t>de</w:t>
      </w:r>
      <w:r w:rsidR="008B0F1D">
        <w:t xml:space="preserve"> </w:t>
      </w:r>
      <w:r w:rsidR="00E27343">
        <w:t>Statutenrechtbank</w:t>
      </w:r>
      <w:r w:rsidR="008B0F1D">
        <w:t xml:space="preserve">, </w:t>
      </w:r>
      <w:r w:rsidR="00E27343">
        <w:t xml:space="preserve">die </w:t>
      </w:r>
      <w:r w:rsidR="006A12E7">
        <w:t xml:space="preserve">bevoegd was </w:t>
      </w:r>
      <w:r w:rsidR="008B0F1D">
        <w:t xml:space="preserve">voor </w:t>
      </w:r>
      <w:r w:rsidR="004D39BD">
        <w:t>allerlei inbreuken op</w:t>
      </w:r>
      <w:r w:rsidR="008B0F1D">
        <w:t xml:space="preserve"> de </w:t>
      </w:r>
      <w:r w:rsidR="006A12E7">
        <w:t>‘</w:t>
      </w:r>
      <w:r w:rsidR="004D39BD" w:rsidRPr="006A12E7">
        <w:t>Statuts de la Cité</w:t>
      </w:r>
      <w:r w:rsidR="006A12E7">
        <w:t>’</w:t>
      </w:r>
      <w:r w:rsidR="004D39BD">
        <w:t xml:space="preserve">, een </w:t>
      </w:r>
      <w:r w:rsidR="00492FF9">
        <w:t>verzameling strafrechtelijke bepalingen u</w:t>
      </w:r>
      <w:r w:rsidR="004D39BD">
        <w:t>it 1328</w:t>
      </w:r>
      <w:r w:rsidR="006A12E7">
        <w:t xml:space="preserve"> </w:t>
      </w:r>
      <w:r w:rsidR="00492FF9">
        <w:t>(p. </w:t>
      </w:r>
      <w:r w:rsidR="00E27343">
        <w:t>874).</w:t>
      </w:r>
      <w:r w:rsidR="004D39BD">
        <w:t xml:space="preserve"> </w:t>
      </w:r>
      <w:r w:rsidR="00E27343">
        <w:t xml:space="preserve">Ook de latere geschiedenis van de Stadsraad en haar meesters en gezworenen is tot dusver niet het voorwerp van </w:t>
      </w:r>
      <w:r w:rsidR="006A12E7">
        <w:t xml:space="preserve">diepgaande </w:t>
      </w:r>
      <w:r w:rsidR="00E27343">
        <w:t xml:space="preserve">analyse geweest (p. 816). </w:t>
      </w:r>
      <w:r w:rsidR="003A4935">
        <w:lastRenderedPageBreak/>
        <w:t>Dezelfde vaststelling maakt</w:t>
      </w:r>
      <w:r w:rsidR="00492FF9">
        <w:t xml:space="preserve"> Rombout Nijssen </w:t>
      </w:r>
      <w:r w:rsidR="008E194D">
        <w:t>inzake h</w:t>
      </w:r>
      <w:r w:rsidR="00492FF9">
        <w:t xml:space="preserve">et bestuur van een </w:t>
      </w:r>
      <w:r w:rsidR="006A12E7">
        <w:t>‘</w:t>
      </w:r>
      <w:r w:rsidR="00492FF9">
        <w:t>Goede Stad</w:t>
      </w:r>
      <w:r w:rsidR="006A12E7">
        <w:t>’</w:t>
      </w:r>
      <w:r w:rsidR="00492FF9">
        <w:t xml:space="preserve"> als Maaseik </w:t>
      </w:r>
      <w:r w:rsidR="007C49A6">
        <w:t xml:space="preserve">(p. 1068). De </w:t>
      </w:r>
      <w:r w:rsidR="00E27343">
        <w:t xml:space="preserve">drieëntwintig </w:t>
      </w:r>
      <w:r w:rsidR="006A12E7">
        <w:t>‘</w:t>
      </w:r>
      <w:r w:rsidR="00E27343">
        <w:t>Goede Steden</w:t>
      </w:r>
      <w:r w:rsidR="006A12E7">
        <w:t>’</w:t>
      </w:r>
      <w:r w:rsidR="00492FF9">
        <w:t xml:space="preserve"> participeerden via de derde stand aan het bestuur van het Prinsbisdom en genoten het recht op een stadswal. Hun instellingen en archieven kom</w:t>
      </w:r>
      <w:r w:rsidR="00247369">
        <w:t>en uitvoerig aan bod in de gids, deels in het Frans, deels in het Nederlands.</w:t>
      </w:r>
      <w:r w:rsidR="00492FF9">
        <w:t xml:space="preserve"> </w:t>
      </w:r>
      <w:r w:rsidR="001C3B8B">
        <w:t xml:space="preserve">Een grote lacune in het onderzoek </w:t>
      </w:r>
      <w:r w:rsidR="001D6A6B">
        <w:t>blijken</w:t>
      </w:r>
      <w:r w:rsidR="001C3B8B">
        <w:t xml:space="preserve"> de beleidsstructuren van de ongeveer zeven honderd landelijke gemeenschappen </w:t>
      </w:r>
      <w:r w:rsidR="001D6A6B">
        <w:t xml:space="preserve">te zijn </w:t>
      </w:r>
      <w:r w:rsidR="001C3B8B">
        <w:t>(p. 1197)</w:t>
      </w:r>
      <w:r w:rsidR="003A4935">
        <w:t>. N</w:t>
      </w:r>
      <w:r w:rsidR="001D6A6B">
        <w:t>et zoals voor de laathoven en andere feodale re</w:t>
      </w:r>
      <w:r w:rsidR="003A4935">
        <w:t>chtbanken</w:t>
      </w:r>
      <w:r w:rsidR="001D6A6B">
        <w:t xml:space="preserve"> </w:t>
      </w:r>
      <w:r w:rsidR="003A4935">
        <w:t>in het Luikse Prinsbisdom</w:t>
      </w:r>
      <w:r w:rsidR="001D6A6B">
        <w:t xml:space="preserve"> </w:t>
      </w:r>
      <w:r w:rsidR="003A4935">
        <w:t xml:space="preserve">geldt </w:t>
      </w:r>
      <w:r w:rsidR="001D6A6B">
        <w:t>dat gebrekkige documentaire overlevering een obstakel blijft</w:t>
      </w:r>
      <w:r w:rsidR="003A4935">
        <w:t xml:space="preserve"> voor onze kennis van de lokale institutionele realiteit</w:t>
      </w:r>
      <w:r w:rsidR="001D6A6B">
        <w:t>.</w:t>
      </w:r>
      <w:r w:rsidR="001C3B8B">
        <w:t xml:space="preserve"> </w:t>
      </w:r>
    </w:p>
    <w:p w:rsidR="00247369" w:rsidRDefault="00D25B28" w:rsidP="00D25B28">
      <w:pPr>
        <w:jc w:val="both"/>
        <w:rPr>
          <w:rStyle w:val="apple-converted-space"/>
          <w:rFonts w:eastAsiaTheme="majorEastAsia"/>
          <w:color w:val="000000"/>
        </w:rPr>
      </w:pPr>
      <w:r>
        <w:tab/>
      </w:r>
      <w:r w:rsidR="00D457C9">
        <w:t>D</w:t>
      </w:r>
      <w:r w:rsidR="00247369">
        <w:t>it</w:t>
      </w:r>
      <w:r w:rsidR="0063533D">
        <w:rPr>
          <w:rStyle w:val="apple-converted-space"/>
          <w:rFonts w:eastAsiaTheme="majorEastAsia"/>
          <w:color w:val="000000"/>
        </w:rPr>
        <w:t xml:space="preserve"> jongste volume in de </w:t>
      </w:r>
      <w:r w:rsidR="00D457C9">
        <w:rPr>
          <w:rStyle w:val="apple-converted-space"/>
          <w:rFonts w:eastAsiaTheme="majorEastAsia"/>
          <w:color w:val="000000"/>
        </w:rPr>
        <w:t>studia</w:t>
      </w:r>
      <w:r w:rsidR="0063533D">
        <w:rPr>
          <w:rStyle w:val="apple-converted-space"/>
          <w:rFonts w:eastAsiaTheme="majorEastAsia"/>
          <w:color w:val="000000"/>
        </w:rPr>
        <w:t xml:space="preserve">reeks van </w:t>
      </w:r>
      <w:r w:rsidR="00247369">
        <w:rPr>
          <w:rStyle w:val="apple-converted-space"/>
          <w:rFonts w:eastAsiaTheme="majorEastAsia"/>
          <w:color w:val="000000"/>
        </w:rPr>
        <w:t xml:space="preserve">het Belgische </w:t>
      </w:r>
      <w:r w:rsidR="0063533D">
        <w:rPr>
          <w:rStyle w:val="apple-converted-space"/>
          <w:rFonts w:eastAsiaTheme="majorEastAsia"/>
          <w:color w:val="000000"/>
        </w:rPr>
        <w:t xml:space="preserve">Rijksarchief </w:t>
      </w:r>
      <w:r w:rsidR="00247369">
        <w:rPr>
          <w:rStyle w:val="apple-converted-space"/>
          <w:rFonts w:eastAsiaTheme="majorEastAsia"/>
          <w:color w:val="000000"/>
        </w:rPr>
        <w:t xml:space="preserve">opent perspectieven voor zowel professionele vorsers als amateur-historici in binnen- en buitenland. </w:t>
      </w:r>
      <w:r w:rsidR="00D457C9">
        <w:rPr>
          <w:rStyle w:val="apple-converted-space"/>
          <w:rFonts w:eastAsiaTheme="majorEastAsia"/>
          <w:color w:val="000000"/>
        </w:rPr>
        <w:t>Het is e</w:t>
      </w:r>
      <w:r w:rsidR="00D457C9">
        <w:t xml:space="preserve">en geleerd standaardwerk en een praktische gids over het institutionele kader van het Prinsbisdom Luik, maar evenzeer een goudmijn voor vergelijkend-historisch onderzoek naar het publiekrecht in het </w:t>
      </w:r>
      <w:r w:rsidR="00D457C9" w:rsidRPr="003F6443">
        <w:t>ancien régime</w:t>
      </w:r>
      <w:r w:rsidR="00D457C9">
        <w:t>.</w:t>
      </w:r>
      <w:bookmarkStart w:id="0" w:name="_GoBack"/>
      <w:bookmarkEnd w:id="0"/>
      <w:r w:rsidR="00D457C9">
        <w:t xml:space="preserve"> </w:t>
      </w:r>
      <w:r w:rsidR="00247369">
        <w:rPr>
          <w:rStyle w:val="apple-converted-space"/>
          <w:rFonts w:eastAsiaTheme="majorEastAsia"/>
          <w:color w:val="000000"/>
        </w:rPr>
        <w:t xml:space="preserve">Daarbij zal de lezer van dit tijdschrift </w:t>
      </w:r>
      <w:r w:rsidR="00371DDD">
        <w:rPr>
          <w:rStyle w:val="apple-converted-space"/>
          <w:rFonts w:eastAsiaTheme="majorEastAsia"/>
          <w:color w:val="000000"/>
        </w:rPr>
        <w:t>de conclusie van S</w:t>
      </w:r>
      <w:r w:rsidR="00247369">
        <w:rPr>
          <w:rStyle w:val="apple-converted-space"/>
          <w:rFonts w:eastAsiaTheme="majorEastAsia"/>
          <w:color w:val="000000"/>
        </w:rPr>
        <w:t xml:space="preserve">ébastien Dubois, diensthoofd van het Luikse Rijksarchief en hoofdredacteur van het gerecenseerde werk, niet licht vergeten: </w:t>
      </w:r>
      <w:r w:rsidR="00334289">
        <w:rPr>
          <w:rStyle w:val="apple-converted-space"/>
          <w:rFonts w:eastAsiaTheme="majorEastAsia"/>
          <w:color w:val="000000"/>
        </w:rPr>
        <w:t xml:space="preserve">het Luikse recht </w:t>
      </w:r>
      <w:r w:rsidR="00371DDD">
        <w:rPr>
          <w:rStyle w:val="apple-converted-space"/>
          <w:rFonts w:eastAsiaTheme="majorEastAsia"/>
          <w:color w:val="000000"/>
        </w:rPr>
        <w:t xml:space="preserve">blijft </w:t>
      </w:r>
      <w:r w:rsidR="00334289">
        <w:rPr>
          <w:rStyle w:val="apple-converted-space"/>
          <w:rFonts w:eastAsiaTheme="majorEastAsia"/>
          <w:color w:val="000000"/>
        </w:rPr>
        <w:t xml:space="preserve">een onuitputtelijke </w:t>
      </w:r>
      <w:r w:rsidR="00371DDD">
        <w:rPr>
          <w:rStyle w:val="apple-converted-space"/>
          <w:rFonts w:eastAsiaTheme="majorEastAsia"/>
          <w:color w:val="000000"/>
        </w:rPr>
        <w:t xml:space="preserve">bron voor innovatief onderzoek, </w:t>
      </w:r>
      <w:r w:rsidR="00334289">
        <w:rPr>
          <w:rStyle w:val="apple-converted-space"/>
          <w:rFonts w:eastAsiaTheme="majorEastAsia"/>
          <w:color w:val="000000"/>
        </w:rPr>
        <w:t>de rechtsgeschiedenis van het Prinsbisdom moet nog geschreven worden</w:t>
      </w:r>
      <w:r w:rsidR="00371DDD">
        <w:rPr>
          <w:rStyle w:val="apple-converted-space"/>
          <w:rFonts w:eastAsiaTheme="majorEastAsia"/>
          <w:color w:val="000000"/>
        </w:rPr>
        <w:t xml:space="preserve">, en er ligt </w:t>
      </w:r>
      <w:r w:rsidR="00006D6E">
        <w:rPr>
          <w:rStyle w:val="apple-converted-space"/>
          <w:rFonts w:eastAsiaTheme="majorEastAsia"/>
          <w:color w:val="000000"/>
        </w:rPr>
        <w:t xml:space="preserve">onmetelijk veel </w:t>
      </w:r>
      <w:r w:rsidR="00371DDD">
        <w:rPr>
          <w:rStyle w:val="apple-converted-space"/>
          <w:rFonts w:eastAsiaTheme="majorEastAsia"/>
          <w:color w:val="000000"/>
        </w:rPr>
        <w:t>braakliggend terrein op het vlak van het Luiks privaatrecht</w:t>
      </w:r>
      <w:r w:rsidR="00334289">
        <w:rPr>
          <w:rStyle w:val="apple-converted-space"/>
          <w:rFonts w:eastAsiaTheme="majorEastAsia"/>
          <w:color w:val="000000"/>
        </w:rPr>
        <w:t xml:space="preserve"> </w:t>
      </w:r>
      <w:r w:rsidR="00C050A1">
        <w:rPr>
          <w:rStyle w:val="apple-converted-space"/>
          <w:rFonts w:eastAsiaTheme="majorEastAsia"/>
          <w:color w:val="000000"/>
        </w:rPr>
        <w:t>(p. 23-24). Allen daarheen!</w:t>
      </w:r>
    </w:p>
    <w:p w:rsidR="002F452A" w:rsidRDefault="002F452A"/>
    <w:p w:rsidR="002F452A" w:rsidRDefault="00C050A1">
      <w:r>
        <w:t>Wim Decock, Frankfurt/Leuven</w:t>
      </w:r>
    </w:p>
    <w:sectPr w:rsidR="002F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CA" w:rsidRDefault="005015CA" w:rsidP="00F8215E">
      <w:r>
        <w:separator/>
      </w:r>
    </w:p>
  </w:endnote>
  <w:endnote w:type="continuationSeparator" w:id="0">
    <w:p w:rsidR="005015CA" w:rsidRDefault="005015CA" w:rsidP="00F8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CA" w:rsidRDefault="005015CA" w:rsidP="00F8215E">
      <w:r>
        <w:separator/>
      </w:r>
    </w:p>
  </w:footnote>
  <w:footnote w:type="continuationSeparator" w:id="0">
    <w:p w:rsidR="005015CA" w:rsidRDefault="005015CA" w:rsidP="00F8215E">
      <w:r>
        <w:continuationSeparator/>
      </w:r>
    </w:p>
  </w:footnote>
  <w:footnote w:id="1">
    <w:p w:rsidR="004A1208" w:rsidRPr="00481219" w:rsidRDefault="004A1208" w:rsidP="0057478B">
      <w:pPr>
        <w:pStyle w:val="FootnoteText"/>
        <w:jc w:val="both"/>
        <w:rPr>
          <w:lang w:val="nl-NL"/>
        </w:rPr>
      </w:pPr>
      <w:r w:rsidRPr="00481219">
        <w:rPr>
          <w:rStyle w:val="FootnoteReference"/>
        </w:rPr>
        <w:footnoteRef/>
      </w:r>
      <w:r w:rsidRPr="00481219">
        <w:t xml:space="preserve"> P.L. Nève, ‘Een voorlopig overzicht van de procesdossiers van het voormalige Rijkskamergerecht, berustend in de Archives de l’État te Luik’, in</w:t>
      </w:r>
      <w:r w:rsidRPr="00481219">
        <w:rPr>
          <w:color w:val="000000"/>
        </w:rPr>
        <w:t>: D.</w:t>
      </w:r>
      <w:r w:rsidRPr="00481219">
        <w:rPr>
          <w:rStyle w:val="apple-converted-space"/>
          <w:rFonts w:eastAsiaTheme="majorEastAsia"/>
          <w:color w:val="000000"/>
        </w:rPr>
        <w:t> </w:t>
      </w:r>
      <w:r w:rsidRPr="00481219">
        <w:rPr>
          <w:color w:val="000000"/>
        </w:rPr>
        <w:t>Heirbaut – X. Rousseaux – A.</w:t>
      </w:r>
      <w:r w:rsidRPr="00481219">
        <w:rPr>
          <w:rStyle w:val="apple-converted-space"/>
          <w:rFonts w:eastAsiaTheme="majorEastAsia"/>
          <w:color w:val="000000"/>
        </w:rPr>
        <w:t> </w:t>
      </w:r>
      <w:r w:rsidRPr="00481219">
        <w:rPr>
          <w:color w:val="000000"/>
        </w:rPr>
        <w:t>Wijffels</w:t>
      </w:r>
      <w:r w:rsidRPr="00481219">
        <w:rPr>
          <w:rStyle w:val="apple-converted-space"/>
          <w:rFonts w:eastAsiaTheme="majorEastAsia"/>
          <w:color w:val="000000"/>
        </w:rPr>
        <w:t> </w:t>
      </w:r>
      <w:r w:rsidRPr="00481219">
        <w:rPr>
          <w:color w:val="000000"/>
        </w:rPr>
        <w:t>(red.),</w:t>
      </w:r>
      <w:r w:rsidRPr="00481219">
        <w:rPr>
          <w:rStyle w:val="apple-converted-space"/>
          <w:rFonts w:eastAsiaTheme="majorEastAsia"/>
          <w:color w:val="000000"/>
        </w:rPr>
        <w:t> </w:t>
      </w:r>
      <w:r w:rsidRPr="00481219">
        <w:rPr>
          <w:i/>
          <w:iCs/>
          <w:color w:val="000000"/>
        </w:rPr>
        <w:t>Histoire du droit et de la justice: une nouvelle génération de recherches / Justitie-en rechtsgeschiedenis: een nieuwe onderzoeksgeneratie</w:t>
      </w:r>
      <w:r w:rsidRPr="00481219">
        <w:rPr>
          <w:color w:val="000000"/>
        </w:rPr>
        <w:t>.</w:t>
      </w:r>
      <w:r w:rsidRPr="00481219">
        <w:rPr>
          <w:rStyle w:val="apple-converted-space"/>
          <w:rFonts w:eastAsiaTheme="majorEastAsia"/>
          <w:color w:val="000000"/>
        </w:rPr>
        <w:t> </w:t>
      </w:r>
      <w:r w:rsidRPr="00481219">
        <w:rPr>
          <w:color w:val="000000"/>
        </w:rPr>
        <w:t>Louvain-la-Neuve,</w:t>
      </w:r>
      <w:r w:rsidRPr="00481219">
        <w:rPr>
          <w:rStyle w:val="apple-converted-space"/>
          <w:rFonts w:eastAsiaTheme="majorEastAsia"/>
          <w:color w:val="000000"/>
        </w:rPr>
        <w:t> </w:t>
      </w:r>
      <w:r w:rsidRPr="00481219">
        <w:rPr>
          <w:color w:val="000000"/>
        </w:rPr>
        <w:t>Presses Universitaires de Louvain,</w:t>
      </w:r>
      <w:r w:rsidRPr="00481219">
        <w:rPr>
          <w:rStyle w:val="apple-converted-space"/>
          <w:rFonts w:eastAsiaTheme="majorEastAsia"/>
          <w:color w:val="000000"/>
        </w:rPr>
        <w:t> 2009, 353).</w:t>
      </w:r>
    </w:p>
  </w:footnote>
  <w:footnote w:id="2">
    <w:p w:rsidR="00421E53" w:rsidRPr="00481219" w:rsidRDefault="00421E53" w:rsidP="0057478B">
      <w:pPr>
        <w:pStyle w:val="FootnoteText"/>
        <w:jc w:val="both"/>
        <w:rPr>
          <w:lang w:val="nl-NL"/>
        </w:rPr>
      </w:pPr>
      <w:r w:rsidRPr="00481219">
        <w:rPr>
          <w:rStyle w:val="FootnoteReference"/>
        </w:rPr>
        <w:footnoteRef/>
      </w:r>
      <w:r w:rsidRPr="00481219">
        <w:t xml:space="preserve"> </w:t>
      </w:r>
      <w:r w:rsidRPr="00481219">
        <w:rPr>
          <w:lang w:val="nl-NL"/>
        </w:rPr>
        <w:t xml:space="preserve">E. Aerts – M. Baelde – H. Coppens – H. de Schepper (red.), </w:t>
      </w:r>
      <w:r w:rsidRPr="00481219">
        <w:rPr>
          <w:i/>
          <w:lang w:val="nl-NL"/>
        </w:rPr>
        <w:t>De centrale overheidsinstellingen van de Habsburgse Nederlanden (1482-1795)</w:t>
      </w:r>
      <w:r w:rsidRPr="00481219">
        <w:rPr>
          <w:lang w:val="nl-NL"/>
        </w:rPr>
        <w:t>, (Archives générales du Royaume et Archives de l’État dans les Provinces, Studia, 55), Brussel, 1994;</w:t>
      </w:r>
      <w:r w:rsidR="00740E5F" w:rsidRPr="00481219">
        <w:rPr>
          <w:lang w:val="nl-NL"/>
        </w:rPr>
        <w:t xml:space="preserve"> W. </w:t>
      </w:r>
      <w:r w:rsidR="00740E5F" w:rsidRPr="00481219">
        <w:rPr>
          <w:color w:val="000000"/>
          <w:shd w:val="clear" w:color="auto" w:fill="FFFFFF"/>
        </w:rPr>
        <w:t>Prevenier – B. Augustyn (red.),</w:t>
      </w:r>
      <w:r w:rsidR="00740E5F" w:rsidRPr="00481219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="00740E5F" w:rsidRPr="00481219">
        <w:rPr>
          <w:i/>
          <w:iCs/>
          <w:color w:val="000000"/>
          <w:shd w:val="clear" w:color="auto" w:fill="FFFFFF"/>
        </w:rPr>
        <w:t>De gewestelijke en lokale overheidsinstellingen in Vlaanderen tot 1795</w:t>
      </w:r>
      <w:r w:rsidR="00740E5F" w:rsidRPr="00481219">
        <w:rPr>
          <w:color w:val="000000"/>
          <w:shd w:val="clear" w:color="auto" w:fill="FFFFFF"/>
        </w:rPr>
        <w:t>, (Algemeen Rijksarchief en Rijksarchief in de Provinciën, Studia 72), Brussel</w:t>
      </w:r>
      <w:r w:rsidR="00481219" w:rsidRPr="00481219">
        <w:rPr>
          <w:color w:val="000000"/>
          <w:shd w:val="clear" w:color="auto" w:fill="FFFFFF"/>
        </w:rPr>
        <w:t>,</w:t>
      </w:r>
      <w:r w:rsidR="00740E5F" w:rsidRPr="00481219">
        <w:rPr>
          <w:color w:val="000000"/>
          <w:shd w:val="clear" w:color="auto" w:fill="FFFFFF"/>
        </w:rPr>
        <w:t xml:space="preserve"> 1997</w:t>
      </w:r>
      <w:r w:rsidR="00E9410A" w:rsidRPr="00481219">
        <w:rPr>
          <w:color w:val="000000"/>
          <w:shd w:val="clear" w:color="auto" w:fill="FFFFFF"/>
        </w:rPr>
        <w:t xml:space="preserve">; </w:t>
      </w:r>
      <w:r w:rsidR="00481219" w:rsidRPr="00481219">
        <w:rPr>
          <w:color w:val="000000"/>
          <w:shd w:val="clear" w:color="auto" w:fill="FFFFFF"/>
        </w:rPr>
        <w:t>R. Van Uytven</w:t>
      </w:r>
      <w:r w:rsidR="00481219" w:rsidRPr="00481219">
        <w:rPr>
          <w:color w:val="000000"/>
        </w:rPr>
        <w:t xml:space="preserve"> – Cl. Bruneel – H. Coppens – B. Augustyn (red.),</w:t>
      </w:r>
      <w:r w:rsidR="00481219" w:rsidRPr="00481219">
        <w:rPr>
          <w:rStyle w:val="apple-converted-space"/>
          <w:rFonts w:eastAsiaTheme="majorEastAsia"/>
          <w:color w:val="000000"/>
        </w:rPr>
        <w:t> </w:t>
      </w:r>
      <w:r w:rsidR="00481219" w:rsidRPr="00481219">
        <w:rPr>
          <w:i/>
          <w:iCs/>
          <w:color w:val="000000"/>
        </w:rPr>
        <w:t>De gewestelijke en lokale overheidsinstellingen in Brabant en Mechelen tot 1795</w:t>
      </w:r>
      <w:r w:rsidR="00481219" w:rsidRPr="00481219">
        <w:rPr>
          <w:color w:val="000000"/>
        </w:rPr>
        <w:t>(Algemeen Rijksarchief</w:t>
      </w:r>
      <w:r w:rsidR="00481219">
        <w:rPr>
          <w:color w:val="000000"/>
        </w:rPr>
        <w:t xml:space="preserve"> </w:t>
      </w:r>
      <w:r w:rsidR="00481219" w:rsidRPr="00481219">
        <w:rPr>
          <w:color w:val="000000"/>
          <w:shd w:val="clear" w:color="auto" w:fill="FFFFFF"/>
        </w:rPr>
        <w:t>en Rijksarchief in de Provinciën</w:t>
      </w:r>
      <w:r w:rsidR="00481219">
        <w:rPr>
          <w:color w:val="000000"/>
          <w:shd w:val="clear" w:color="auto" w:fill="FFFFFF"/>
        </w:rPr>
        <w:t>,</w:t>
      </w:r>
      <w:r w:rsidR="00481219" w:rsidRPr="00481219">
        <w:rPr>
          <w:color w:val="000000"/>
        </w:rPr>
        <w:t xml:space="preserve"> Studia</w:t>
      </w:r>
      <w:r w:rsidR="00481219">
        <w:rPr>
          <w:color w:val="000000"/>
        </w:rPr>
        <w:t>,</w:t>
      </w:r>
      <w:r w:rsidR="00481219" w:rsidRPr="00481219">
        <w:rPr>
          <w:color w:val="000000"/>
        </w:rPr>
        <w:t xml:space="preserve"> 82), Brussel, 2000</w:t>
      </w:r>
      <w:r w:rsidR="00481219">
        <w:rPr>
          <w:color w:val="000000"/>
        </w:rPr>
        <w:t>;</w:t>
      </w:r>
      <w:r w:rsidR="00481219" w:rsidRPr="00481219">
        <w:rPr>
          <w:lang w:val="nl-NL"/>
        </w:rPr>
        <w:t xml:space="preserve"> </w:t>
      </w:r>
      <w:r w:rsidR="00481219">
        <w:rPr>
          <w:lang w:val="nl-NL"/>
        </w:rPr>
        <w:t>B. </w:t>
      </w:r>
      <w:r w:rsidR="00740E5F" w:rsidRPr="00481219">
        <w:rPr>
          <w:color w:val="000000"/>
        </w:rPr>
        <w:t xml:space="preserve">Desmaele – J.M. Cauchies – F. Mariage (red.), </w:t>
      </w:r>
      <w:r w:rsidR="00740E5F" w:rsidRPr="00481219">
        <w:rPr>
          <w:i/>
          <w:color w:val="000000"/>
        </w:rPr>
        <w:t>Les institutions publiques régionales et locales en Hainaut et Tournai-Tournaisis sous l'Ancien Régime</w:t>
      </w:r>
      <w:r w:rsidR="00740E5F" w:rsidRPr="00481219">
        <w:rPr>
          <w:color w:val="000000"/>
        </w:rPr>
        <w:t xml:space="preserve">, (Archives générales du Royaume </w:t>
      </w:r>
      <w:r w:rsidR="00740E5F" w:rsidRPr="00481219">
        <w:rPr>
          <w:lang w:val="nl-NL"/>
        </w:rPr>
        <w:t>et Archives de l’État dans les Provinces</w:t>
      </w:r>
      <w:r w:rsidR="00740E5F" w:rsidRPr="00481219">
        <w:rPr>
          <w:color w:val="000000"/>
        </w:rPr>
        <w:t>, Studia</w:t>
      </w:r>
      <w:r w:rsidR="00481219">
        <w:rPr>
          <w:color w:val="000000"/>
        </w:rPr>
        <w:t>,</w:t>
      </w:r>
      <w:r w:rsidR="00740E5F" w:rsidRPr="00481219">
        <w:rPr>
          <w:color w:val="000000"/>
        </w:rPr>
        <w:t xml:space="preserve"> 119), Bruxelles, 2009</w:t>
      </w:r>
      <w:r w:rsidR="00740E5F" w:rsidRPr="00481219">
        <w:rPr>
          <w:rStyle w:val="apple-converted-space"/>
          <w:rFonts w:eastAsiaTheme="majorEastAsia"/>
          <w:color w:val="000000"/>
        </w:rPr>
        <w:t>.</w:t>
      </w:r>
    </w:p>
  </w:footnote>
  <w:footnote w:id="3">
    <w:p w:rsidR="00191D1C" w:rsidRPr="00191D1C" w:rsidRDefault="00191D1C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nl-NL"/>
        </w:rPr>
        <w:t xml:space="preserve">S. Wunderlich, </w:t>
      </w:r>
      <w:r w:rsidRPr="00191D1C">
        <w:rPr>
          <w:i/>
          <w:lang w:val="nl-NL"/>
        </w:rPr>
        <w:t>Das</w:t>
      </w:r>
      <w:r>
        <w:rPr>
          <w:i/>
          <w:lang w:val="nl-NL"/>
        </w:rPr>
        <w:t xml:space="preserve"> Protokollbuch von Mathias Alber. Zur Praxis des Reichskammergerichts im frühen 16. Jh.</w:t>
      </w:r>
      <w:r>
        <w:rPr>
          <w:lang w:val="nl-NL"/>
        </w:rPr>
        <w:t xml:space="preserve">, (Quellen und Forschungen zur höchsten Gerichtsbarkeit im Alten Reich, 58), Köln, Böhlau, 2011, </w:t>
      </w:r>
      <w:r w:rsidR="00441BC9">
        <w:rPr>
          <w:lang w:val="nl-NL"/>
        </w:rPr>
        <w:t>2 vols., 1469 p. + 1 CD-Rom.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3D38"/>
    <w:multiLevelType w:val="multilevel"/>
    <w:tmpl w:val="2960B5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AE"/>
    <w:rsid w:val="00006D6E"/>
    <w:rsid w:val="000F6874"/>
    <w:rsid w:val="001057AE"/>
    <w:rsid w:val="001076BF"/>
    <w:rsid w:val="001245E1"/>
    <w:rsid w:val="001254E0"/>
    <w:rsid w:val="001374DB"/>
    <w:rsid w:val="00151831"/>
    <w:rsid w:val="0015781C"/>
    <w:rsid w:val="00191D1C"/>
    <w:rsid w:val="00192022"/>
    <w:rsid w:val="001A288D"/>
    <w:rsid w:val="001B1986"/>
    <w:rsid w:val="001B1E59"/>
    <w:rsid w:val="001C3B8B"/>
    <w:rsid w:val="001D2DBA"/>
    <w:rsid w:val="001D3467"/>
    <w:rsid w:val="001D6A6B"/>
    <w:rsid w:val="001F05C4"/>
    <w:rsid w:val="00220E15"/>
    <w:rsid w:val="00247369"/>
    <w:rsid w:val="00274583"/>
    <w:rsid w:val="00274D21"/>
    <w:rsid w:val="00287B5D"/>
    <w:rsid w:val="002A4DC1"/>
    <w:rsid w:val="002B4DD5"/>
    <w:rsid w:val="002E5839"/>
    <w:rsid w:val="002E6EC7"/>
    <w:rsid w:val="002F085E"/>
    <w:rsid w:val="002F452A"/>
    <w:rsid w:val="0032043A"/>
    <w:rsid w:val="00334289"/>
    <w:rsid w:val="003365D0"/>
    <w:rsid w:val="00343E96"/>
    <w:rsid w:val="00365E5B"/>
    <w:rsid w:val="00371DDD"/>
    <w:rsid w:val="003A4935"/>
    <w:rsid w:val="003B0B88"/>
    <w:rsid w:val="003B10DB"/>
    <w:rsid w:val="003B60DF"/>
    <w:rsid w:val="003C2B46"/>
    <w:rsid w:val="003C2CBC"/>
    <w:rsid w:val="003E7CAD"/>
    <w:rsid w:val="003F6443"/>
    <w:rsid w:val="00416BE5"/>
    <w:rsid w:val="00421E53"/>
    <w:rsid w:val="004248F8"/>
    <w:rsid w:val="0042532E"/>
    <w:rsid w:val="00441BC9"/>
    <w:rsid w:val="00451A61"/>
    <w:rsid w:val="00481219"/>
    <w:rsid w:val="00492FF9"/>
    <w:rsid w:val="004A1208"/>
    <w:rsid w:val="004B583C"/>
    <w:rsid w:val="004C154E"/>
    <w:rsid w:val="004D39BD"/>
    <w:rsid w:val="005015CA"/>
    <w:rsid w:val="00502049"/>
    <w:rsid w:val="00551CA7"/>
    <w:rsid w:val="0057478B"/>
    <w:rsid w:val="00577E69"/>
    <w:rsid w:val="00583581"/>
    <w:rsid w:val="005C48E3"/>
    <w:rsid w:val="005D7F90"/>
    <w:rsid w:val="00632D24"/>
    <w:rsid w:val="0063533D"/>
    <w:rsid w:val="00657809"/>
    <w:rsid w:val="00665DB5"/>
    <w:rsid w:val="006A12E7"/>
    <w:rsid w:val="006A2B16"/>
    <w:rsid w:val="006A3A04"/>
    <w:rsid w:val="006C37B7"/>
    <w:rsid w:val="006C3F3F"/>
    <w:rsid w:val="006C69F2"/>
    <w:rsid w:val="006D793D"/>
    <w:rsid w:val="006E2A12"/>
    <w:rsid w:val="0070555F"/>
    <w:rsid w:val="007063A2"/>
    <w:rsid w:val="007122D3"/>
    <w:rsid w:val="00740E5F"/>
    <w:rsid w:val="00754D83"/>
    <w:rsid w:val="00770467"/>
    <w:rsid w:val="007718C9"/>
    <w:rsid w:val="00783EB1"/>
    <w:rsid w:val="00784E66"/>
    <w:rsid w:val="007C49A6"/>
    <w:rsid w:val="007F1CD5"/>
    <w:rsid w:val="007F3AF8"/>
    <w:rsid w:val="008223C4"/>
    <w:rsid w:val="00836320"/>
    <w:rsid w:val="008A3B0A"/>
    <w:rsid w:val="008A5BF0"/>
    <w:rsid w:val="008B0F1D"/>
    <w:rsid w:val="008C5766"/>
    <w:rsid w:val="008D64F3"/>
    <w:rsid w:val="008E194D"/>
    <w:rsid w:val="00910833"/>
    <w:rsid w:val="00922EBA"/>
    <w:rsid w:val="00945919"/>
    <w:rsid w:val="00992CBD"/>
    <w:rsid w:val="009B3392"/>
    <w:rsid w:val="009D6B1B"/>
    <w:rsid w:val="009F26B4"/>
    <w:rsid w:val="00A109EC"/>
    <w:rsid w:val="00A56E53"/>
    <w:rsid w:val="00A71455"/>
    <w:rsid w:val="00A736AD"/>
    <w:rsid w:val="00A81B64"/>
    <w:rsid w:val="00A95656"/>
    <w:rsid w:val="00AC0BBE"/>
    <w:rsid w:val="00B3709F"/>
    <w:rsid w:val="00B53C1F"/>
    <w:rsid w:val="00B721BD"/>
    <w:rsid w:val="00B72BE8"/>
    <w:rsid w:val="00B8717C"/>
    <w:rsid w:val="00B90425"/>
    <w:rsid w:val="00BD36AB"/>
    <w:rsid w:val="00BD7918"/>
    <w:rsid w:val="00C050A1"/>
    <w:rsid w:val="00C41B4B"/>
    <w:rsid w:val="00C6600E"/>
    <w:rsid w:val="00CC204D"/>
    <w:rsid w:val="00CE22D0"/>
    <w:rsid w:val="00CF031B"/>
    <w:rsid w:val="00D05E39"/>
    <w:rsid w:val="00D25B28"/>
    <w:rsid w:val="00D45513"/>
    <w:rsid w:val="00D457C9"/>
    <w:rsid w:val="00D7379F"/>
    <w:rsid w:val="00D85035"/>
    <w:rsid w:val="00DC4309"/>
    <w:rsid w:val="00DE5EA9"/>
    <w:rsid w:val="00E00E0C"/>
    <w:rsid w:val="00E17972"/>
    <w:rsid w:val="00E2082B"/>
    <w:rsid w:val="00E27343"/>
    <w:rsid w:val="00E93988"/>
    <w:rsid w:val="00E9410A"/>
    <w:rsid w:val="00EA36C0"/>
    <w:rsid w:val="00EB3C1A"/>
    <w:rsid w:val="00EE78DE"/>
    <w:rsid w:val="00EF44E5"/>
    <w:rsid w:val="00F3465A"/>
    <w:rsid w:val="00F4596D"/>
    <w:rsid w:val="00F70AD6"/>
    <w:rsid w:val="00F8215E"/>
    <w:rsid w:val="00F856E3"/>
    <w:rsid w:val="00FC3ECF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9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3E96"/>
    <w:pPr>
      <w:keepNext/>
      <w:numPr>
        <w:numId w:val="18"/>
      </w:numPr>
      <w:spacing w:before="360" w:after="240"/>
      <w:outlineLvl w:val="0"/>
    </w:pPr>
    <w:rPr>
      <w:rFonts w:eastAsiaTheme="majorEastAsia"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3E96"/>
    <w:pPr>
      <w:keepNext/>
      <w:numPr>
        <w:ilvl w:val="1"/>
        <w:numId w:val="18"/>
      </w:numPr>
      <w:spacing w:before="32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43E96"/>
    <w:pPr>
      <w:keepNext/>
      <w:numPr>
        <w:ilvl w:val="2"/>
        <w:numId w:val="18"/>
      </w:numPr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343E96"/>
    <w:pPr>
      <w:keepNext/>
      <w:numPr>
        <w:ilvl w:val="3"/>
        <w:numId w:val="18"/>
      </w:numPr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343E96"/>
    <w:pPr>
      <w:numPr>
        <w:ilvl w:val="4"/>
        <w:numId w:val="18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343E96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3E96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43E96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43E96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E96"/>
    <w:rPr>
      <w:rFonts w:eastAsiaTheme="majorEastAsia" w:cs="Arial"/>
      <w:b/>
      <w:bCs/>
      <w:smallCap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43E96"/>
    <w:rPr>
      <w:rFonts w:cs="Arial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343E96"/>
    <w:rPr>
      <w:rFonts w:cs="Arial"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43E96"/>
    <w:rPr>
      <w:bCs/>
      <w:sz w:val="24"/>
      <w:szCs w:val="28"/>
      <w:lang w:val="en-US"/>
    </w:rPr>
  </w:style>
  <w:style w:type="character" w:customStyle="1" w:styleId="Heading5Char">
    <w:name w:val="Heading 5 Char"/>
    <w:link w:val="Heading5"/>
    <w:rsid w:val="00343E96"/>
    <w:rPr>
      <w:bCs/>
      <w:iCs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43E96"/>
    <w:rPr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343E96"/>
    <w:rPr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343E96"/>
    <w:rPr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343E96"/>
    <w:rPr>
      <w:rFonts w:ascii="Arial" w:hAnsi="Arial" w:cs="Arial"/>
      <w:sz w:val="22"/>
      <w:szCs w:val="22"/>
      <w:lang w:val="en-US"/>
    </w:rPr>
  </w:style>
  <w:style w:type="character" w:styleId="Strong">
    <w:name w:val="Strong"/>
    <w:qFormat/>
    <w:rsid w:val="00343E96"/>
    <w:rPr>
      <w:b/>
      <w:bCs/>
    </w:rPr>
  </w:style>
  <w:style w:type="character" w:styleId="Emphasis">
    <w:name w:val="Emphasis"/>
    <w:uiPriority w:val="20"/>
    <w:qFormat/>
    <w:rsid w:val="00343E96"/>
    <w:rPr>
      <w:i/>
      <w:iCs/>
    </w:rPr>
  </w:style>
  <w:style w:type="paragraph" w:styleId="ListParagraph">
    <w:name w:val="List Paragraph"/>
    <w:basedOn w:val="Normal"/>
    <w:uiPriority w:val="34"/>
    <w:qFormat/>
    <w:rsid w:val="00343E96"/>
    <w:pPr>
      <w:spacing w:before="240" w:after="180"/>
      <w:ind w:left="720"/>
    </w:pPr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2F452A"/>
    <w:pPr>
      <w:spacing w:before="100" w:beforeAutospacing="1" w:after="100" w:afterAutospacing="1"/>
    </w:pPr>
    <w:rPr>
      <w:lang w:val="nl-NL" w:eastAsia="nl-NL"/>
    </w:rPr>
  </w:style>
  <w:style w:type="character" w:customStyle="1" w:styleId="apple-converted-space">
    <w:name w:val="apple-converted-space"/>
    <w:basedOn w:val="DefaultParagraphFont"/>
    <w:rsid w:val="002F452A"/>
  </w:style>
  <w:style w:type="character" w:styleId="Hyperlink">
    <w:name w:val="Hyperlink"/>
    <w:basedOn w:val="DefaultParagraphFont"/>
    <w:uiPriority w:val="99"/>
    <w:semiHidden/>
    <w:unhideWhenUsed/>
    <w:rsid w:val="002F452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15E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2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9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3E96"/>
    <w:pPr>
      <w:keepNext/>
      <w:numPr>
        <w:numId w:val="18"/>
      </w:numPr>
      <w:spacing w:before="360" w:after="240"/>
      <w:outlineLvl w:val="0"/>
    </w:pPr>
    <w:rPr>
      <w:rFonts w:eastAsiaTheme="majorEastAsia"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3E96"/>
    <w:pPr>
      <w:keepNext/>
      <w:numPr>
        <w:ilvl w:val="1"/>
        <w:numId w:val="18"/>
      </w:numPr>
      <w:spacing w:before="32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43E96"/>
    <w:pPr>
      <w:keepNext/>
      <w:numPr>
        <w:ilvl w:val="2"/>
        <w:numId w:val="18"/>
      </w:numPr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343E96"/>
    <w:pPr>
      <w:keepNext/>
      <w:numPr>
        <w:ilvl w:val="3"/>
        <w:numId w:val="18"/>
      </w:numPr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343E96"/>
    <w:pPr>
      <w:numPr>
        <w:ilvl w:val="4"/>
        <w:numId w:val="18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343E96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3E96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43E96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43E96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E96"/>
    <w:rPr>
      <w:rFonts w:eastAsiaTheme="majorEastAsia" w:cs="Arial"/>
      <w:b/>
      <w:bCs/>
      <w:smallCap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43E96"/>
    <w:rPr>
      <w:rFonts w:cs="Arial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343E96"/>
    <w:rPr>
      <w:rFonts w:cs="Arial"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43E96"/>
    <w:rPr>
      <w:bCs/>
      <w:sz w:val="24"/>
      <w:szCs w:val="28"/>
      <w:lang w:val="en-US"/>
    </w:rPr>
  </w:style>
  <w:style w:type="character" w:customStyle="1" w:styleId="Heading5Char">
    <w:name w:val="Heading 5 Char"/>
    <w:link w:val="Heading5"/>
    <w:rsid w:val="00343E96"/>
    <w:rPr>
      <w:bCs/>
      <w:iCs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43E96"/>
    <w:rPr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343E96"/>
    <w:rPr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343E96"/>
    <w:rPr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343E96"/>
    <w:rPr>
      <w:rFonts w:ascii="Arial" w:hAnsi="Arial" w:cs="Arial"/>
      <w:sz w:val="22"/>
      <w:szCs w:val="22"/>
      <w:lang w:val="en-US"/>
    </w:rPr>
  </w:style>
  <w:style w:type="character" w:styleId="Strong">
    <w:name w:val="Strong"/>
    <w:qFormat/>
    <w:rsid w:val="00343E96"/>
    <w:rPr>
      <w:b/>
      <w:bCs/>
    </w:rPr>
  </w:style>
  <w:style w:type="character" w:styleId="Emphasis">
    <w:name w:val="Emphasis"/>
    <w:uiPriority w:val="20"/>
    <w:qFormat/>
    <w:rsid w:val="00343E96"/>
    <w:rPr>
      <w:i/>
      <w:iCs/>
    </w:rPr>
  </w:style>
  <w:style w:type="paragraph" w:styleId="ListParagraph">
    <w:name w:val="List Paragraph"/>
    <w:basedOn w:val="Normal"/>
    <w:uiPriority w:val="34"/>
    <w:qFormat/>
    <w:rsid w:val="00343E96"/>
    <w:pPr>
      <w:spacing w:before="240" w:after="180"/>
      <w:ind w:left="720"/>
    </w:pPr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2F452A"/>
    <w:pPr>
      <w:spacing w:before="100" w:beforeAutospacing="1" w:after="100" w:afterAutospacing="1"/>
    </w:pPr>
    <w:rPr>
      <w:lang w:val="nl-NL" w:eastAsia="nl-NL"/>
    </w:rPr>
  </w:style>
  <w:style w:type="character" w:customStyle="1" w:styleId="apple-converted-space">
    <w:name w:val="apple-converted-space"/>
    <w:basedOn w:val="DefaultParagraphFont"/>
    <w:rsid w:val="002F452A"/>
  </w:style>
  <w:style w:type="character" w:styleId="Hyperlink">
    <w:name w:val="Hyperlink"/>
    <w:basedOn w:val="DefaultParagraphFont"/>
    <w:uiPriority w:val="99"/>
    <w:semiHidden/>
    <w:unhideWhenUsed/>
    <w:rsid w:val="002F452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15E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2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D314-87F6-48E1-B5DD-5F3D51F9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K.U.Leuven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 Decock</dc:creator>
  <cp:lastModifiedBy>Wim Decock</cp:lastModifiedBy>
  <cp:revision>97</cp:revision>
  <dcterms:created xsi:type="dcterms:W3CDTF">2013-04-10T10:24:00Z</dcterms:created>
  <dcterms:modified xsi:type="dcterms:W3CDTF">2013-05-22T13:39:00Z</dcterms:modified>
</cp:coreProperties>
</file>