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111" w:rsidRPr="0050796E" w:rsidRDefault="0063355F" w:rsidP="0050796E">
      <w:pPr>
        <w:jc w:val="both"/>
        <w:rPr>
          <w:rFonts w:ascii="Times New Roman" w:hAnsi="Times New Roman" w:cs="Times New Roman"/>
        </w:rPr>
      </w:pPr>
      <w:r w:rsidRPr="0050796E">
        <w:rPr>
          <w:rFonts w:ascii="Times New Roman" w:hAnsi="Times New Roman" w:cs="Times New Roman"/>
        </w:rPr>
        <w:t>Marathon de droit pénal – Webinaire novembre 2020</w:t>
      </w:r>
      <w:r w:rsidR="001D654A">
        <w:rPr>
          <w:rFonts w:ascii="Times New Roman" w:hAnsi="Times New Roman" w:cs="Times New Roman"/>
        </w:rPr>
        <w:t xml:space="preserve"> – Olivier Michiels </w:t>
      </w:r>
    </w:p>
    <w:p w:rsidR="00FA7111" w:rsidRPr="0050796E" w:rsidRDefault="00FA7111" w:rsidP="0050796E">
      <w:pPr>
        <w:jc w:val="both"/>
        <w:rPr>
          <w:rFonts w:ascii="Times New Roman" w:hAnsi="Times New Roman" w:cs="Times New Roman"/>
        </w:rPr>
      </w:pPr>
    </w:p>
    <w:p w:rsidR="00FA7111" w:rsidRPr="0050796E" w:rsidRDefault="00FA7111" w:rsidP="0050796E">
      <w:pPr>
        <w:jc w:val="both"/>
        <w:rPr>
          <w:rFonts w:ascii="Times New Roman" w:hAnsi="Times New Roman" w:cs="Times New Roman"/>
        </w:rPr>
      </w:pPr>
      <w:r w:rsidRPr="0050796E">
        <w:rPr>
          <w:rFonts w:ascii="Times New Roman" w:hAnsi="Times New Roman" w:cs="Times New Roman"/>
        </w:rPr>
        <w:t xml:space="preserve">4 sujets : la lecture du seul dispositif de la décision – opposition non avenue – appel sur </w:t>
      </w:r>
      <w:proofErr w:type="spellStart"/>
      <w:r w:rsidRPr="0050796E">
        <w:rPr>
          <w:rFonts w:ascii="Times New Roman" w:hAnsi="Times New Roman" w:cs="Times New Roman"/>
        </w:rPr>
        <w:t>girefs</w:t>
      </w:r>
      <w:proofErr w:type="spellEnd"/>
      <w:r w:rsidRPr="0050796E">
        <w:rPr>
          <w:rFonts w:ascii="Times New Roman" w:hAnsi="Times New Roman" w:cs="Times New Roman"/>
        </w:rPr>
        <w:t xml:space="preserve"> </w:t>
      </w:r>
      <w:r w:rsidR="0019660B" w:rsidRPr="0050796E">
        <w:rPr>
          <w:rFonts w:ascii="Times New Roman" w:hAnsi="Times New Roman" w:cs="Times New Roman"/>
        </w:rPr>
        <w:t xml:space="preserve">au regard de l’article 210 du Code d’instruction </w:t>
      </w:r>
      <w:proofErr w:type="spellStart"/>
      <w:r w:rsidR="0019660B" w:rsidRPr="0050796E">
        <w:rPr>
          <w:rFonts w:ascii="Times New Roman" w:hAnsi="Times New Roman" w:cs="Times New Roman"/>
        </w:rPr>
        <w:t>crimnelle</w:t>
      </w:r>
      <w:proofErr w:type="spellEnd"/>
      <w:r w:rsidR="0019660B" w:rsidRPr="0050796E">
        <w:rPr>
          <w:rFonts w:ascii="Times New Roman" w:hAnsi="Times New Roman" w:cs="Times New Roman"/>
        </w:rPr>
        <w:t xml:space="preserve"> </w:t>
      </w:r>
      <w:r w:rsidRPr="0050796E">
        <w:rPr>
          <w:rFonts w:ascii="Times New Roman" w:hAnsi="Times New Roman" w:cs="Times New Roman"/>
        </w:rPr>
        <w:t xml:space="preserve">et l’appel subséquent du prévenu </w:t>
      </w:r>
    </w:p>
    <w:p w:rsidR="00FA7111" w:rsidRPr="0050796E" w:rsidRDefault="00FA7111" w:rsidP="0050796E">
      <w:pPr>
        <w:jc w:val="both"/>
        <w:rPr>
          <w:rFonts w:ascii="Times New Roman" w:hAnsi="Times New Roman" w:cs="Times New Roman"/>
        </w:rPr>
      </w:pPr>
    </w:p>
    <w:p w:rsidR="00FA7111" w:rsidRPr="0050796E" w:rsidRDefault="00FA7111" w:rsidP="0050796E">
      <w:pPr>
        <w:jc w:val="both"/>
        <w:rPr>
          <w:rFonts w:ascii="Times New Roman" w:hAnsi="Times New Roman" w:cs="Times New Roman"/>
        </w:rPr>
      </w:pPr>
    </w:p>
    <w:p w:rsidR="00FA7111" w:rsidRPr="0050796E" w:rsidRDefault="00FA7111" w:rsidP="0050796E">
      <w:pPr>
        <w:jc w:val="both"/>
        <w:rPr>
          <w:rFonts w:ascii="Times New Roman" w:hAnsi="Times New Roman" w:cs="Times New Roman"/>
          <w:b/>
          <w:bCs/>
        </w:rPr>
      </w:pPr>
      <w:r w:rsidRPr="0050796E">
        <w:rPr>
          <w:rFonts w:ascii="Times New Roman" w:hAnsi="Times New Roman" w:cs="Times New Roman"/>
          <w:b/>
          <w:bCs/>
        </w:rPr>
        <w:t xml:space="preserve">La lecture du seul dispositif </w:t>
      </w:r>
    </w:p>
    <w:p w:rsidR="00FA7111" w:rsidRPr="0050796E" w:rsidRDefault="00FA7111" w:rsidP="0050796E">
      <w:pPr>
        <w:jc w:val="both"/>
        <w:rPr>
          <w:rFonts w:ascii="Times New Roman" w:hAnsi="Times New Roman" w:cs="Times New Roman"/>
        </w:rPr>
      </w:pPr>
    </w:p>
    <w:p w:rsidR="00FA7111" w:rsidRPr="0050796E" w:rsidRDefault="00FA7111" w:rsidP="0050796E">
      <w:pPr>
        <w:pStyle w:val="jttexte"/>
        <w:shd w:val="clear" w:color="auto" w:fill="FFFFFF"/>
        <w:spacing w:before="0" w:beforeAutospacing="0" w:after="150" w:afterAutospacing="0"/>
        <w:jc w:val="both"/>
        <w:rPr>
          <w:color w:val="000000"/>
        </w:rPr>
      </w:pPr>
      <w:r w:rsidRPr="0050796E">
        <w:rPr>
          <w:color w:val="000000"/>
        </w:rPr>
        <w:t xml:space="preserve">L'article 149 de la Constitution prévoit depuis la révision constitutionnelle du 22 avril 2019, que </w:t>
      </w:r>
    </w:p>
    <w:p w:rsidR="00FA7111" w:rsidRPr="0050796E" w:rsidRDefault="00FA7111" w:rsidP="0050796E">
      <w:pPr>
        <w:pStyle w:val="jttexte"/>
        <w:shd w:val="clear" w:color="auto" w:fill="FFFFFF"/>
        <w:spacing w:before="0" w:beforeAutospacing="0" w:after="150" w:afterAutospacing="0"/>
        <w:jc w:val="both"/>
        <w:rPr>
          <w:color w:val="000000"/>
        </w:rPr>
      </w:pPr>
      <w:r w:rsidRPr="0050796E">
        <w:rPr>
          <w:color w:val="000000"/>
        </w:rPr>
        <w:t>« Tout jugement est motivé. Il est rendu public selon les modalités fixées par la loi. En matière pénale, son dispositif est prononcé en audience publique ».</w:t>
      </w:r>
    </w:p>
    <w:p w:rsidR="00FA7111" w:rsidRPr="0050796E" w:rsidRDefault="00FA7111" w:rsidP="0050796E">
      <w:pPr>
        <w:jc w:val="both"/>
        <w:rPr>
          <w:rFonts w:ascii="Times New Roman" w:hAnsi="Times New Roman" w:cs="Times New Roman"/>
        </w:rPr>
      </w:pPr>
    </w:p>
    <w:p w:rsidR="00FA7111" w:rsidRPr="0050796E" w:rsidRDefault="00FA7111" w:rsidP="0050796E">
      <w:pPr>
        <w:jc w:val="both"/>
        <w:rPr>
          <w:rFonts w:ascii="Times New Roman" w:eastAsia="Times New Roman" w:hAnsi="Times New Roman" w:cs="Times New Roman"/>
          <w:lang w:eastAsia="fr-FR"/>
        </w:rPr>
      </w:pPr>
      <w:r w:rsidRPr="0050796E">
        <w:rPr>
          <w:rFonts w:ascii="Times New Roman" w:hAnsi="Times New Roman" w:cs="Times New Roman"/>
        </w:rPr>
        <w:t xml:space="preserve">L’idée n’est pas nouvelle – elle a été défendue en doctrine et la Cour de cassation dans l’ </w:t>
      </w:r>
      <w:r w:rsidRPr="0050796E">
        <w:rPr>
          <w:rFonts w:ascii="Times New Roman" w:eastAsia="Times New Roman" w:hAnsi="Times New Roman" w:cs="Times New Roman"/>
          <w:color w:val="000000"/>
          <w:shd w:val="clear" w:color="auto" w:fill="FFFFFF"/>
          <w:lang w:eastAsia="fr-FR"/>
        </w:rPr>
        <w:t>arrêt [</w:t>
      </w:r>
      <w:r w:rsidRPr="0050796E">
        <w:rPr>
          <w:rFonts w:ascii="Times New Roman" w:eastAsia="Times New Roman" w:hAnsi="Times New Roman" w:cs="Times New Roman"/>
          <w:i/>
          <w:iCs/>
          <w:color w:val="000000"/>
          <w:lang w:eastAsia="fr-FR"/>
        </w:rPr>
        <w:t>Lernout &amp; Hauspie</w:t>
      </w:r>
      <w:r w:rsidRPr="0050796E">
        <w:rPr>
          <w:rFonts w:ascii="Times New Roman" w:eastAsia="Times New Roman" w:hAnsi="Times New Roman" w:cs="Times New Roman"/>
          <w:color w:val="000000"/>
          <w:shd w:val="clear" w:color="auto" w:fill="FFFFFF"/>
          <w:lang w:eastAsia="fr-FR"/>
        </w:rPr>
        <w:t>] avait</w:t>
      </w:r>
      <w:r w:rsidR="008E166C" w:rsidRPr="0050796E">
        <w:rPr>
          <w:rFonts w:ascii="Times New Roman" w:eastAsia="Times New Roman" w:hAnsi="Times New Roman" w:cs="Times New Roman"/>
          <w:color w:val="000000"/>
          <w:shd w:val="clear" w:color="auto" w:fill="FFFFFF"/>
          <w:lang w:eastAsia="fr-FR"/>
        </w:rPr>
        <w:t>, elle-même,</w:t>
      </w:r>
      <w:r w:rsidRPr="0050796E">
        <w:rPr>
          <w:rFonts w:ascii="Times New Roman" w:eastAsia="Times New Roman" w:hAnsi="Times New Roman" w:cs="Times New Roman"/>
          <w:color w:val="000000"/>
          <w:shd w:val="clear" w:color="auto" w:fill="FFFFFF"/>
          <w:lang w:eastAsia="fr-FR"/>
        </w:rPr>
        <w:t xml:space="preserve"> retenu que l’objectif de permettre au public d’avoir accès aux décision</w:t>
      </w:r>
      <w:r w:rsidR="0050796E">
        <w:rPr>
          <w:rFonts w:ascii="Times New Roman" w:eastAsia="Times New Roman" w:hAnsi="Times New Roman" w:cs="Times New Roman"/>
          <w:color w:val="000000"/>
          <w:shd w:val="clear" w:color="auto" w:fill="FFFFFF"/>
          <w:lang w:eastAsia="fr-FR"/>
        </w:rPr>
        <w:t>s</w:t>
      </w:r>
      <w:r w:rsidRPr="0050796E">
        <w:rPr>
          <w:rFonts w:ascii="Times New Roman" w:eastAsia="Times New Roman" w:hAnsi="Times New Roman" w:cs="Times New Roman"/>
          <w:color w:val="000000"/>
          <w:shd w:val="clear" w:color="auto" w:fill="FFFFFF"/>
          <w:lang w:eastAsia="fr-FR"/>
        </w:rPr>
        <w:t xml:space="preserve"> judiciaires pouvait être atteint pas une lecture partielle de la décision </w:t>
      </w:r>
      <w:r w:rsidR="00F43A33" w:rsidRPr="0050796E">
        <w:rPr>
          <w:rFonts w:ascii="Times New Roman" w:eastAsia="Times New Roman" w:hAnsi="Times New Roman" w:cs="Times New Roman"/>
          <w:color w:val="000000"/>
          <w:shd w:val="clear" w:color="auto" w:fill="FFFFFF"/>
          <w:lang w:eastAsia="fr-FR"/>
        </w:rPr>
        <w:t>qui était accompagnée par la publication de cette décision ou par la diffusion de celle-ci au moyen d’autres formes de publication via internet.</w:t>
      </w:r>
    </w:p>
    <w:p w:rsidR="00FA7111" w:rsidRPr="0050796E" w:rsidRDefault="00FA7111" w:rsidP="0050796E">
      <w:pPr>
        <w:jc w:val="both"/>
        <w:rPr>
          <w:rFonts w:ascii="Times New Roman" w:hAnsi="Times New Roman" w:cs="Times New Roman"/>
        </w:rPr>
      </w:pPr>
    </w:p>
    <w:p w:rsidR="00F43A33" w:rsidRPr="0050796E" w:rsidRDefault="0063355F"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b/>
          <w:bCs/>
          <w:color w:val="000000"/>
          <w:shd w:val="clear" w:color="auto" w:fill="FFFFFF"/>
          <w:lang w:eastAsia="fr-FR"/>
        </w:rPr>
        <w:t>L</w:t>
      </w:r>
      <w:r w:rsidR="00F43A33" w:rsidRPr="0050796E">
        <w:rPr>
          <w:rFonts w:ascii="Times New Roman" w:eastAsia="Times New Roman" w:hAnsi="Times New Roman" w:cs="Times New Roman"/>
          <w:b/>
          <w:bCs/>
          <w:color w:val="000000"/>
          <w:shd w:val="clear" w:color="auto" w:fill="FFFFFF"/>
          <w:lang w:eastAsia="fr-FR"/>
        </w:rPr>
        <w:t>a loi du 5 mai 2019</w:t>
      </w:r>
      <w:r w:rsidR="00F43A33" w:rsidRPr="0050796E">
        <w:rPr>
          <w:rFonts w:ascii="Times New Roman" w:eastAsia="Times New Roman" w:hAnsi="Times New Roman" w:cs="Times New Roman"/>
          <w:color w:val="000000"/>
          <w:shd w:val="clear" w:color="auto" w:fill="FFFFFF"/>
          <w:lang w:eastAsia="fr-FR"/>
        </w:rPr>
        <w:t>  a fixé les modalités relative à la publication des décisions judiciaires</w:t>
      </w:r>
    </w:p>
    <w:p w:rsidR="00F43A33" w:rsidRPr="0050796E" w:rsidRDefault="00F43A33" w:rsidP="0050796E">
      <w:pPr>
        <w:jc w:val="both"/>
        <w:rPr>
          <w:rFonts w:ascii="Times New Roman" w:eastAsia="Times New Roman" w:hAnsi="Times New Roman" w:cs="Times New Roman"/>
          <w:color w:val="000000"/>
          <w:shd w:val="clear" w:color="auto" w:fill="FFFFFF"/>
          <w:lang w:eastAsia="fr-FR"/>
        </w:rPr>
      </w:pPr>
    </w:p>
    <w:p w:rsidR="00F43A33" w:rsidRPr="0050796E" w:rsidRDefault="00F43A33"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color w:val="000000"/>
          <w:shd w:val="clear" w:color="auto" w:fill="FFFFFF"/>
          <w:lang w:eastAsia="fr-FR"/>
        </w:rPr>
        <w:t>et elle prévoit, après le prononcé en audience publique du dispositif de la décision que celle-ci est publiée dans une banque de données électronique.</w:t>
      </w:r>
    </w:p>
    <w:p w:rsidR="00FA7111" w:rsidRPr="0050796E" w:rsidRDefault="00FA7111" w:rsidP="0050796E">
      <w:pPr>
        <w:jc w:val="both"/>
        <w:rPr>
          <w:rFonts w:ascii="Times New Roman" w:hAnsi="Times New Roman" w:cs="Times New Roman"/>
        </w:rPr>
      </w:pPr>
    </w:p>
    <w:p w:rsidR="00F43A33" w:rsidRPr="0050796E" w:rsidRDefault="008E166C"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color w:val="000000"/>
          <w:shd w:val="clear" w:color="auto" w:fill="FFFFFF"/>
          <w:lang w:eastAsia="fr-FR"/>
        </w:rPr>
        <w:t>L’article 782bis du Code judiciaire énonce encore que la l</w:t>
      </w:r>
      <w:r w:rsidR="00F43A33" w:rsidRPr="0050796E">
        <w:rPr>
          <w:rFonts w:ascii="Times New Roman" w:eastAsia="Times New Roman" w:hAnsi="Times New Roman" w:cs="Times New Roman"/>
          <w:color w:val="000000"/>
          <w:shd w:val="clear" w:color="auto" w:fill="FFFFFF"/>
          <w:lang w:eastAsia="fr-FR"/>
        </w:rPr>
        <w:t xml:space="preserve">ecture intégrale de la décision en audience publique ne reste possible que de façon exceptionnelle, dans </w:t>
      </w:r>
      <w:r w:rsidR="00F43A33" w:rsidRPr="0050796E">
        <w:rPr>
          <w:rFonts w:ascii="Times New Roman" w:eastAsia="Times New Roman" w:hAnsi="Times New Roman" w:cs="Times New Roman"/>
          <w:b/>
          <w:bCs/>
          <w:color w:val="000000"/>
          <w:shd w:val="clear" w:color="auto" w:fill="FFFFFF"/>
          <w:lang w:eastAsia="fr-FR"/>
        </w:rPr>
        <w:t>deux hypothèses</w:t>
      </w:r>
      <w:r w:rsidR="00F43A33" w:rsidRPr="0050796E">
        <w:rPr>
          <w:rFonts w:ascii="Times New Roman" w:eastAsia="Times New Roman" w:hAnsi="Times New Roman" w:cs="Times New Roman"/>
          <w:color w:val="000000"/>
          <w:shd w:val="clear" w:color="auto" w:fill="FFFFFF"/>
          <w:lang w:eastAsia="fr-FR"/>
        </w:rPr>
        <w:t>. La première est celle dans laquelle le président de la chambre qui a rendu la décision décide d'office ou à la demande motivée de l'une des parties de prononcer le jugement dans son intégralité. La seconde est celle dans laquelle il est impossible d'enregistrer la décision judiciaire dans la banque de données électronique par laquelle les décisions sont désormais censées être rendues accessibles au public.</w:t>
      </w:r>
    </w:p>
    <w:p w:rsidR="00F43A33" w:rsidRPr="0050796E" w:rsidRDefault="00F43A33" w:rsidP="0050796E">
      <w:pPr>
        <w:jc w:val="both"/>
        <w:rPr>
          <w:rFonts w:ascii="Times New Roman" w:hAnsi="Times New Roman" w:cs="Times New Roman"/>
        </w:rPr>
      </w:pPr>
    </w:p>
    <w:p w:rsidR="00F43A33" w:rsidRPr="0050796E" w:rsidRDefault="00114F4E" w:rsidP="0050796E">
      <w:pPr>
        <w:jc w:val="both"/>
        <w:rPr>
          <w:rFonts w:ascii="Times New Roman" w:hAnsi="Times New Roman" w:cs="Times New Roman"/>
        </w:rPr>
      </w:pPr>
      <w:r w:rsidRPr="0050796E">
        <w:rPr>
          <w:rFonts w:ascii="Times New Roman" w:hAnsi="Times New Roman" w:cs="Times New Roman"/>
        </w:rPr>
        <w:t>Après le prononcé</w:t>
      </w:r>
      <w:r w:rsidR="0050796E">
        <w:rPr>
          <w:rFonts w:ascii="Times New Roman" w:hAnsi="Times New Roman" w:cs="Times New Roman"/>
        </w:rPr>
        <w:t xml:space="preserve">, il </w:t>
      </w:r>
      <w:r w:rsidRPr="0050796E">
        <w:rPr>
          <w:rFonts w:ascii="Times New Roman" w:hAnsi="Times New Roman" w:cs="Times New Roman"/>
        </w:rPr>
        <w:t>est également possible de consulter immédiatement la décision au greffe ( 782bis du Code judiciaire )</w:t>
      </w: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F43A33" w:rsidRPr="0050796E" w:rsidRDefault="00114F4E"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color w:val="000000"/>
          <w:shd w:val="clear" w:color="auto" w:fill="FFFFFF"/>
          <w:lang w:eastAsia="fr-FR"/>
        </w:rPr>
        <w:t>D</w:t>
      </w:r>
      <w:r w:rsidR="00F43A33" w:rsidRPr="0050796E">
        <w:rPr>
          <w:rFonts w:ascii="Times New Roman" w:eastAsia="Times New Roman" w:hAnsi="Times New Roman" w:cs="Times New Roman"/>
          <w:color w:val="000000"/>
          <w:shd w:val="clear" w:color="auto" w:fill="FFFFFF"/>
          <w:lang w:eastAsia="fr-FR"/>
        </w:rPr>
        <w:t>ans l'attente de l'entrée en vigueur de la loi du 5 mai 2019</w:t>
      </w:r>
      <w:r w:rsidRPr="0050796E">
        <w:rPr>
          <w:rFonts w:ascii="Times New Roman" w:eastAsia="Times New Roman" w:hAnsi="Times New Roman" w:cs="Times New Roman"/>
          <w:color w:val="000000"/>
          <w:shd w:val="clear" w:color="auto" w:fill="FFFFFF"/>
          <w:lang w:eastAsia="fr-FR"/>
        </w:rPr>
        <w:t xml:space="preserve"> – au plus tard le 1</w:t>
      </w:r>
      <w:r w:rsidRPr="0050796E">
        <w:rPr>
          <w:rFonts w:ascii="Times New Roman" w:eastAsia="Times New Roman" w:hAnsi="Times New Roman" w:cs="Times New Roman"/>
          <w:color w:val="000000"/>
          <w:shd w:val="clear" w:color="auto" w:fill="FFFFFF"/>
          <w:vertAlign w:val="superscript"/>
          <w:lang w:eastAsia="fr-FR"/>
        </w:rPr>
        <w:t>er</w:t>
      </w:r>
      <w:r w:rsidRPr="0050796E">
        <w:rPr>
          <w:rFonts w:ascii="Times New Roman" w:eastAsia="Times New Roman" w:hAnsi="Times New Roman" w:cs="Times New Roman"/>
          <w:color w:val="000000"/>
          <w:shd w:val="clear" w:color="auto" w:fill="FFFFFF"/>
          <w:lang w:eastAsia="fr-FR"/>
        </w:rPr>
        <w:t xml:space="preserve"> septembre 2021 - </w:t>
      </w:r>
      <w:r w:rsidR="00F43A33" w:rsidRPr="0050796E">
        <w:rPr>
          <w:rFonts w:ascii="Times New Roman" w:eastAsia="Times New Roman" w:hAnsi="Times New Roman" w:cs="Times New Roman"/>
          <w:color w:val="000000"/>
          <w:shd w:val="clear" w:color="auto" w:fill="FFFFFF"/>
          <w:lang w:eastAsia="fr-FR"/>
        </w:rPr>
        <w:t xml:space="preserve">les juges procèderont encore à des lectures à haute voix de leurs jugements et arrêts, que </w:t>
      </w:r>
      <w:r w:rsidRPr="0050796E">
        <w:rPr>
          <w:rFonts w:ascii="Times New Roman" w:eastAsia="Times New Roman" w:hAnsi="Times New Roman" w:cs="Times New Roman"/>
          <w:color w:val="000000"/>
          <w:shd w:val="clear" w:color="auto" w:fill="FFFFFF"/>
          <w:lang w:eastAsia="fr-FR"/>
        </w:rPr>
        <w:t>les parties et les avocats soient présents ou non et en présence du ministère public.</w:t>
      </w:r>
    </w:p>
    <w:p w:rsidR="00F43A33" w:rsidRPr="0050796E" w:rsidRDefault="00F43A33"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b/>
          <w:bCs/>
        </w:rPr>
      </w:pPr>
      <w:r w:rsidRPr="0050796E">
        <w:rPr>
          <w:rFonts w:ascii="Times New Roman" w:hAnsi="Times New Roman" w:cs="Times New Roman"/>
          <w:b/>
          <w:bCs/>
        </w:rPr>
        <w:t xml:space="preserve">Opposition non avenue </w:t>
      </w:r>
    </w:p>
    <w:p w:rsidR="00114F4E" w:rsidRPr="0050796E" w:rsidRDefault="00114F4E" w:rsidP="0050796E">
      <w:pPr>
        <w:jc w:val="both"/>
        <w:rPr>
          <w:rFonts w:ascii="Times New Roman" w:hAnsi="Times New Roman" w:cs="Times New Roman"/>
        </w:rPr>
      </w:pPr>
    </w:p>
    <w:p w:rsidR="00114F4E" w:rsidRPr="0050796E" w:rsidRDefault="00114F4E" w:rsidP="0050796E">
      <w:pPr>
        <w:jc w:val="both"/>
        <w:rPr>
          <w:rFonts w:ascii="Times New Roman" w:hAnsi="Times New Roman" w:cs="Times New Roman"/>
        </w:rPr>
      </w:pPr>
      <w:r w:rsidRPr="0050796E">
        <w:rPr>
          <w:rFonts w:ascii="Times New Roman" w:hAnsi="Times New Roman" w:cs="Times New Roman"/>
        </w:rPr>
        <w:t xml:space="preserve">Bref rappel </w:t>
      </w:r>
    </w:p>
    <w:p w:rsidR="00114F4E" w:rsidRPr="0050796E" w:rsidRDefault="00114F4E" w:rsidP="0050796E">
      <w:pPr>
        <w:jc w:val="both"/>
        <w:rPr>
          <w:rFonts w:ascii="Times New Roman" w:hAnsi="Times New Roman" w:cs="Times New Roman"/>
        </w:rPr>
      </w:pPr>
    </w:p>
    <w:p w:rsidR="00B96FC3" w:rsidRPr="0050796E" w:rsidRDefault="00B96FC3" w:rsidP="0050796E">
      <w:pPr>
        <w:jc w:val="both"/>
        <w:rPr>
          <w:rFonts w:ascii="Times New Roman" w:hAnsi="Times New Roman" w:cs="Times New Roman"/>
          <w:bCs/>
        </w:rPr>
      </w:pPr>
      <w:r w:rsidRPr="0050796E">
        <w:rPr>
          <w:rFonts w:ascii="Times New Roman" w:hAnsi="Times New Roman" w:cs="Times New Roman"/>
          <w:bCs/>
        </w:rPr>
        <w:t>L’article 187 § 6 du Code d’instruction criminelle dispose, dès lors, que l’opposition sera déclarée non avenue :</w:t>
      </w:r>
    </w:p>
    <w:p w:rsidR="00B96FC3" w:rsidRPr="0050796E" w:rsidRDefault="00B96FC3" w:rsidP="0050796E">
      <w:pPr>
        <w:jc w:val="both"/>
        <w:rPr>
          <w:rFonts w:ascii="Times New Roman" w:hAnsi="Times New Roman" w:cs="Times New Roman"/>
          <w:bCs/>
        </w:rPr>
      </w:pPr>
    </w:p>
    <w:p w:rsidR="00B96FC3" w:rsidRPr="0050796E" w:rsidRDefault="00B96FC3" w:rsidP="0050796E">
      <w:pPr>
        <w:pStyle w:val="NormalWeb"/>
        <w:spacing w:before="0" w:beforeAutospacing="0" w:after="0" w:afterAutospacing="0"/>
        <w:jc w:val="both"/>
        <w:rPr>
          <w:rFonts w:ascii="Times New Roman" w:hAnsi="Times New Roman"/>
          <w:color w:val="0A0C0F"/>
          <w:sz w:val="24"/>
          <w:szCs w:val="24"/>
          <w:lang w:val="fr-FR"/>
        </w:rPr>
      </w:pPr>
      <w:r w:rsidRPr="0050796E">
        <w:rPr>
          <w:rFonts w:ascii="Times New Roman" w:hAnsi="Times New Roman"/>
          <w:color w:val="0A0C0F"/>
          <w:sz w:val="24"/>
          <w:szCs w:val="24"/>
          <w:lang w:val="fr-FR"/>
        </w:rPr>
        <w:t xml:space="preserve">1° si l’opposant, lorsqu’il comparaît en personne ou par avocat et qu’il est établi qu’il a eu connaissance de la citation dans la procédure dans laquelle il a fait défaut, ne fait pas état d’un cas de force majeure ou d’une excuse légitime justifiant son défaut lors de la procédure attaquée. La reconnaissance de la force majeure ou de l’excuse invoquée reste soumise </w:t>
      </w:r>
      <w:proofErr w:type="spellStart"/>
      <w:r w:rsidRPr="0050796E">
        <w:rPr>
          <w:rFonts w:ascii="Times New Roman" w:hAnsi="Times New Roman"/>
          <w:color w:val="0A0C0F"/>
          <w:sz w:val="24"/>
          <w:szCs w:val="24"/>
          <w:lang w:val="fr-FR"/>
        </w:rPr>
        <w:t>a</w:t>
      </w:r>
      <w:proofErr w:type="spellEnd"/>
      <w:r w:rsidRPr="0050796E">
        <w:rPr>
          <w:rFonts w:ascii="Times New Roman" w:hAnsi="Times New Roman"/>
          <w:color w:val="0A0C0F"/>
          <w:sz w:val="24"/>
          <w:szCs w:val="24"/>
          <w:lang w:val="fr-FR"/>
        </w:rPr>
        <w:t>̀ l’appréciation souveraine du juge ;</w:t>
      </w:r>
    </w:p>
    <w:p w:rsidR="00B96FC3" w:rsidRPr="0050796E" w:rsidRDefault="00B96FC3" w:rsidP="0050796E">
      <w:pPr>
        <w:pStyle w:val="NormalWeb"/>
        <w:spacing w:before="0" w:beforeAutospacing="0" w:after="0" w:afterAutospacing="0"/>
        <w:jc w:val="both"/>
        <w:rPr>
          <w:rFonts w:ascii="Times New Roman" w:hAnsi="Times New Roman"/>
          <w:color w:val="0A0C0F"/>
          <w:sz w:val="24"/>
          <w:szCs w:val="24"/>
          <w:lang w:val="fr-FR"/>
        </w:rPr>
      </w:pPr>
    </w:p>
    <w:p w:rsidR="00B96FC3" w:rsidRPr="0050796E" w:rsidRDefault="00B96FC3" w:rsidP="0050796E">
      <w:pPr>
        <w:pStyle w:val="NormalWeb"/>
        <w:spacing w:before="0" w:beforeAutospacing="0" w:after="0" w:afterAutospacing="0"/>
        <w:jc w:val="both"/>
        <w:rPr>
          <w:rFonts w:ascii="Times New Roman" w:hAnsi="Times New Roman"/>
          <w:bCs/>
          <w:sz w:val="24"/>
          <w:szCs w:val="24"/>
          <w:lang w:val="fr-FR"/>
        </w:rPr>
      </w:pPr>
      <w:r w:rsidRPr="0050796E">
        <w:rPr>
          <w:rFonts w:ascii="Times New Roman" w:hAnsi="Times New Roman"/>
          <w:color w:val="0A0C0F"/>
          <w:sz w:val="24"/>
          <w:szCs w:val="24"/>
          <w:lang w:val="fr-FR"/>
        </w:rPr>
        <w:t xml:space="preserve">2° si l’opposant fait </w:t>
      </w:r>
      <w:proofErr w:type="spellStart"/>
      <w:r w:rsidRPr="0050796E">
        <w:rPr>
          <w:rFonts w:ascii="Times New Roman" w:hAnsi="Times New Roman"/>
          <w:color w:val="0A0C0F"/>
          <w:sz w:val="24"/>
          <w:szCs w:val="24"/>
          <w:lang w:val="fr-FR"/>
        </w:rPr>
        <w:t>a</w:t>
      </w:r>
      <w:proofErr w:type="spellEnd"/>
      <w:r w:rsidRPr="0050796E">
        <w:rPr>
          <w:rFonts w:ascii="Times New Roman" w:hAnsi="Times New Roman"/>
          <w:color w:val="0A0C0F"/>
          <w:sz w:val="24"/>
          <w:szCs w:val="24"/>
          <w:lang w:val="fr-FR"/>
        </w:rPr>
        <w:t>̀ nouveau défaut sur son opposition, et ce dans tous les cas, quels que soient les motifs des défauts successifs et même si l’opposition a déjà été reçue.</w:t>
      </w:r>
    </w:p>
    <w:p w:rsidR="00B96FC3" w:rsidRPr="0050796E" w:rsidRDefault="00B96FC3" w:rsidP="0050796E">
      <w:pPr>
        <w:pStyle w:val="NormalWeb"/>
        <w:jc w:val="both"/>
        <w:rPr>
          <w:rFonts w:ascii="Times New Roman" w:hAnsi="Times New Roman"/>
          <w:sz w:val="24"/>
          <w:szCs w:val="24"/>
          <w:lang w:val="fr-FR"/>
        </w:rPr>
      </w:pPr>
      <w:r w:rsidRPr="0050796E">
        <w:rPr>
          <w:rFonts w:ascii="Times New Roman" w:hAnsi="Times New Roman"/>
          <w:sz w:val="24"/>
          <w:szCs w:val="24"/>
          <w:lang w:val="fr-FR"/>
        </w:rPr>
        <w:t>« </w:t>
      </w:r>
      <w:proofErr w:type="gramStart"/>
      <w:r w:rsidRPr="0050796E">
        <w:rPr>
          <w:rFonts w:ascii="Times New Roman" w:hAnsi="Times New Roman"/>
          <w:sz w:val="24"/>
          <w:szCs w:val="24"/>
          <w:lang w:val="fr-FR"/>
        </w:rPr>
        <w:t>l’excuse</w:t>
      </w:r>
      <w:proofErr w:type="gramEnd"/>
      <w:r w:rsidRPr="0050796E">
        <w:rPr>
          <w:rFonts w:ascii="Times New Roman" w:hAnsi="Times New Roman"/>
          <w:sz w:val="24"/>
          <w:szCs w:val="24"/>
          <w:lang w:val="fr-FR"/>
        </w:rPr>
        <w:t xml:space="preserve"> légitime » et la reconnaissance d’un « cas de force majeure » qui restent soumises à l’appréciation souveraine du juge du fond, la Cour constitutionnelle énonce qu’il appartient à la Cour de cassation de veiller à ce que ces notions ne soient pas interprétées de manière arbitraire et de vérifier si le juge a pu légitimement déduire des faits qu’il est ou non question de force majeure ou d’excuse légitime</w:t>
      </w:r>
      <w:r w:rsidRPr="0050796E">
        <w:rPr>
          <w:rStyle w:val="Appelnotedebasdep"/>
          <w:rFonts w:ascii="Times New Roman" w:hAnsi="Times New Roman"/>
          <w:sz w:val="24"/>
          <w:szCs w:val="24"/>
          <w:lang w:val="fr-FR"/>
        </w:rPr>
        <w:footnoteReference w:id="1"/>
      </w:r>
      <w:r w:rsidRPr="0050796E">
        <w:rPr>
          <w:rFonts w:ascii="Times New Roman" w:hAnsi="Times New Roman"/>
          <w:sz w:val="24"/>
          <w:szCs w:val="24"/>
          <w:lang w:val="fr-FR"/>
        </w:rPr>
        <w:t xml:space="preserve">. </w:t>
      </w:r>
    </w:p>
    <w:p w:rsidR="007C1BF3" w:rsidRPr="0050796E" w:rsidRDefault="007C1BF3" w:rsidP="0050796E">
      <w:pPr>
        <w:pStyle w:val="NormalWeb"/>
        <w:jc w:val="both"/>
        <w:rPr>
          <w:rFonts w:ascii="Times New Roman" w:hAnsi="Times New Roman"/>
          <w:sz w:val="24"/>
          <w:szCs w:val="24"/>
          <w:lang w:val="fr-FR"/>
        </w:rPr>
      </w:pPr>
    </w:p>
    <w:p w:rsidR="007C1BF3" w:rsidRPr="0050796E" w:rsidRDefault="007C1BF3" w:rsidP="0050796E">
      <w:pPr>
        <w:pStyle w:val="NormalWeb"/>
        <w:jc w:val="both"/>
        <w:rPr>
          <w:rFonts w:ascii="Times New Roman" w:hAnsi="Times New Roman"/>
          <w:sz w:val="24"/>
          <w:szCs w:val="24"/>
          <w:lang w:val="fr-FR"/>
        </w:rPr>
      </w:pPr>
      <w:r w:rsidRPr="0050796E">
        <w:rPr>
          <w:rFonts w:ascii="Times New Roman" w:hAnsi="Times New Roman"/>
          <w:b/>
          <w:bCs/>
          <w:sz w:val="24"/>
          <w:szCs w:val="24"/>
          <w:lang w:val="fr-FR"/>
        </w:rPr>
        <w:t>Abordons rapidement deux points plus spécifiques</w:t>
      </w:r>
      <w:r w:rsidRPr="0050796E">
        <w:rPr>
          <w:rFonts w:ascii="Times New Roman" w:hAnsi="Times New Roman"/>
          <w:sz w:val="24"/>
          <w:szCs w:val="24"/>
          <w:lang w:val="fr-FR"/>
        </w:rPr>
        <w:t xml:space="preserve"> : la notion d’excuse légitime et l’appel contre une décision déclarant l’opposition non avenue </w:t>
      </w:r>
    </w:p>
    <w:p w:rsidR="007C1BF3" w:rsidRPr="0050796E" w:rsidRDefault="007C1BF3" w:rsidP="0050796E">
      <w:pPr>
        <w:pStyle w:val="NormalWeb"/>
        <w:jc w:val="both"/>
        <w:rPr>
          <w:rFonts w:ascii="Times New Roman" w:hAnsi="Times New Roman"/>
          <w:sz w:val="24"/>
          <w:szCs w:val="24"/>
          <w:lang w:val="fr-FR"/>
        </w:rPr>
      </w:pPr>
    </w:p>
    <w:p w:rsidR="00B96FC3" w:rsidRPr="0050796E" w:rsidRDefault="00AF3138" w:rsidP="0050796E">
      <w:pPr>
        <w:jc w:val="both"/>
        <w:rPr>
          <w:rFonts w:ascii="Times New Roman" w:hAnsi="Times New Roman" w:cs="Times New Roman"/>
          <w:lang w:val="fr-FR"/>
        </w:rPr>
      </w:pPr>
      <w:r w:rsidRPr="0050796E">
        <w:rPr>
          <w:rFonts w:ascii="Times New Roman" w:hAnsi="Times New Roman" w:cs="Times New Roman"/>
          <w:lang w:val="fr-FR"/>
        </w:rPr>
        <w:t>1° La notion d’excuse légitime</w:t>
      </w:r>
    </w:p>
    <w:p w:rsidR="00B96FC3" w:rsidRPr="0050796E" w:rsidRDefault="00B96FC3" w:rsidP="0050796E">
      <w:pPr>
        <w:jc w:val="both"/>
        <w:rPr>
          <w:rFonts w:ascii="Times New Roman" w:hAnsi="Times New Roman" w:cs="Times New Roman"/>
        </w:rPr>
      </w:pPr>
    </w:p>
    <w:p w:rsidR="00B96FC3" w:rsidRPr="0050796E" w:rsidRDefault="00B96FC3" w:rsidP="0050796E">
      <w:pPr>
        <w:jc w:val="both"/>
        <w:rPr>
          <w:rFonts w:ascii="Times New Roman" w:hAnsi="Times New Roman" w:cs="Times New Roman"/>
        </w:rPr>
      </w:pPr>
      <w:r w:rsidRPr="0050796E">
        <w:rPr>
          <w:rFonts w:ascii="Times New Roman" w:hAnsi="Times New Roman" w:cs="Times New Roman"/>
        </w:rPr>
        <w:t xml:space="preserve">Au fil du temps l’on a pu constater une évolution de la jurisprudence de la Cour de cassation sur la notion d’excuse légitime dès lors </w:t>
      </w:r>
      <w:r w:rsidR="00AF3138" w:rsidRPr="0050796E">
        <w:rPr>
          <w:rFonts w:ascii="Times New Roman" w:hAnsi="Times New Roman" w:cs="Times New Roman"/>
        </w:rPr>
        <w:t>que pour la Cour</w:t>
      </w:r>
      <w:r w:rsidRPr="0050796E">
        <w:rPr>
          <w:rFonts w:ascii="Times New Roman" w:hAnsi="Times New Roman" w:cs="Times New Roman"/>
        </w:rPr>
        <w:t xml:space="preserve">  </w:t>
      </w:r>
      <w:r w:rsidR="00AF3138" w:rsidRPr="0050796E">
        <w:rPr>
          <w:rFonts w:ascii="Times New Roman" w:hAnsi="Times New Roman" w:cs="Times New Roman"/>
        </w:rPr>
        <w:t>une</w:t>
      </w:r>
      <w:r w:rsidRPr="0050796E">
        <w:rPr>
          <w:rFonts w:ascii="Times New Roman" w:hAnsi="Times New Roman" w:cs="Times New Roman"/>
        </w:rPr>
        <w:t xml:space="preserve"> négligence (non coupable) du prévenu ne fait pas obstacle à la reconnaissance d’une cause d’excuse légitim</w:t>
      </w:r>
      <w:r w:rsidR="00AF3138" w:rsidRPr="0050796E">
        <w:rPr>
          <w:rFonts w:ascii="Times New Roman" w:hAnsi="Times New Roman" w:cs="Times New Roman"/>
        </w:rPr>
        <w:t>e</w:t>
      </w: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r w:rsidRPr="0050796E">
        <w:rPr>
          <w:rFonts w:ascii="Times New Roman" w:hAnsi="Times New Roman" w:cs="Times New Roman"/>
        </w:rPr>
        <w:t xml:space="preserve">Dans un arrêt du 3 avril 2019, la Cour de cassation a jugé que lorsque les motifs de la décision </w:t>
      </w:r>
      <w:r w:rsidR="007C1BF3" w:rsidRPr="0050796E">
        <w:rPr>
          <w:rFonts w:ascii="Times New Roman" w:hAnsi="Times New Roman" w:cs="Times New Roman"/>
        </w:rPr>
        <w:t>attaqué</w:t>
      </w:r>
      <w:r w:rsidR="0050796E">
        <w:rPr>
          <w:rFonts w:ascii="Times New Roman" w:hAnsi="Times New Roman" w:cs="Times New Roman"/>
        </w:rPr>
        <w:t>e</w:t>
      </w:r>
      <w:r w:rsidR="007C1BF3" w:rsidRPr="0050796E">
        <w:rPr>
          <w:rFonts w:ascii="Times New Roman" w:hAnsi="Times New Roman" w:cs="Times New Roman"/>
        </w:rPr>
        <w:t xml:space="preserve"> </w:t>
      </w:r>
      <w:r w:rsidRPr="0050796E">
        <w:rPr>
          <w:rFonts w:ascii="Times New Roman" w:hAnsi="Times New Roman" w:cs="Times New Roman"/>
        </w:rPr>
        <w:t>ne rencontrent pas la situation concrète du prévenu et se bornent à relever le fait que celui-ci a quitté l’audience et a ensuite formé opposition, sans prendre en considération la circonstance qu’il avait manifesté de manière non équivoque son intention de se défendre devant la cour d’appel et demandé à cette fin de disposer d’un délai supplémentaire pour répondre aux réquisitions du ministère public.</w:t>
      </w:r>
    </w:p>
    <w:p w:rsidR="00AF3138" w:rsidRPr="0050796E" w:rsidRDefault="00AF3138" w:rsidP="0050796E">
      <w:pPr>
        <w:jc w:val="both"/>
        <w:rPr>
          <w:rFonts w:ascii="Times New Roman" w:hAnsi="Times New Roman" w:cs="Times New Roman"/>
        </w:rPr>
      </w:pPr>
    </w:p>
    <w:p w:rsidR="00AF3138" w:rsidRPr="0050796E" w:rsidRDefault="007C1BF3" w:rsidP="0050796E">
      <w:pPr>
        <w:jc w:val="both"/>
        <w:rPr>
          <w:rFonts w:ascii="Times New Roman" w:hAnsi="Times New Roman" w:cs="Times New Roman"/>
        </w:rPr>
      </w:pPr>
      <w:r w:rsidRPr="0050796E">
        <w:rPr>
          <w:rFonts w:ascii="Times New Roman" w:hAnsi="Times New Roman" w:cs="Times New Roman"/>
        </w:rPr>
        <w:t>Par conséquent, l</w:t>
      </w:r>
      <w:r w:rsidR="00AF3138" w:rsidRPr="0050796E">
        <w:rPr>
          <w:rFonts w:ascii="Times New Roman" w:hAnsi="Times New Roman" w:cs="Times New Roman"/>
        </w:rPr>
        <w:t xml:space="preserve">e juge sur opposition </w:t>
      </w:r>
      <w:r w:rsidRPr="0050796E">
        <w:rPr>
          <w:rFonts w:ascii="Times New Roman" w:hAnsi="Times New Roman" w:cs="Times New Roman"/>
        </w:rPr>
        <w:t>doit</w:t>
      </w:r>
      <w:r w:rsidR="00AF3138" w:rsidRPr="0050796E">
        <w:rPr>
          <w:rFonts w:ascii="Times New Roman" w:hAnsi="Times New Roman" w:cs="Times New Roman"/>
        </w:rPr>
        <w:t xml:space="preserve"> établir</w:t>
      </w:r>
      <w:r w:rsidRPr="0050796E">
        <w:rPr>
          <w:rFonts w:ascii="Times New Roman" w:hAnsi="Times New Roman" w:cs="Times New Roman"/>
        </w:rPr>
        <w:t>, pour rejeter l’excuse légitime,</w:t>
      </w:r>
      <w:r w:rsidR="00AF3138" w:rsidRPr="0050796E">
        <w:rPr>
          <w:rFonts w:ascii="Times New Roman" w:hAnsi="Times New Roman" w:cs="Times New Roman"/>
        </w:rPr>
        <w:t xml:space="preserve"> si l’absence l’opposant a été  dictée  par  l’objectif  de  renoncer  au  droit de comparution personnelle et de défense ou par celui de se soustraire à la justice.</w:t>
      </w: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r w:rsidRPr="0050796E">
        <w:rPr>
          <w:rFonts w:ascii="Times New Roman" w:hAnsi="Times New Roman" w:cs="Times New Roman"/>
        </w:rPr>
        <w:t xml:space="preserve">2° L’appel contre une décision qui retient que l’opposition est  </w:t>
      </w:r>
      <w:r w:rsidR="007C1BF3" w:rsidRPr="0050796E">
        <w:rPr>
          <w:rFonts w:ascii="Times New Roman" w:hAnsi="Times New Roman" w:cs="Times New Roman"/>
        </w:rPr>
        <w:t xml:space="preserve">non </w:t>
      </w:r>
      <w:r w:rsidRPr="0050796E">
        <w:rPr>
          <w:rFonts w:ascii="Times New Roman" w:hAnsi="Times New Roman" w:cs="Times New Roman"/>
        </w:rPr>
        <w:t xml:space="preserve">avenue </w:t>
      </w: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hAnsi="Times New Roman" w:cs="Times New Roman"/>
        </w:rPr>
      </w:pPr>
      <w:r w:rsidRPr="0050796E">
        <w:rPr>
          <w:rFonts w:ascii="Times New Roman" w:hAnsi="Times New Roman" w:cs="Times New Roman"/>
        </w:rPr>
        <w:t xml:space="preserve">L’article 187 § 9 du Code d’instruction criminelle dispose que l’appel diligenté contre l’opposition non avenue saisit le juge d’appel du fond de l’affaire même si aucun appel n’a été formé contre le jugement rendu par défaut. </w:t>
      </w:r>
    </w:p>
    <w:p w:rsidR="00AF3138" w:rsidRPr="0050796E" w:rsidRDefault="00AF3138" w:rsidP="0050796E">
      <w:pPr>
        <w:jc w:val="both"/>
        <w:rPr>
          <w:rFonts w:ascii="Times New Roman" w:hAnsi="Times New Roman" w:cs="Times New Roman"/>
        </w:rPr>
      </w:pPr>
    </w:p>
    <w:p w:rsidR="00AF3138" w:rsidRPr="0050796E" w:rsidRDefault="00AF3138"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lang w:eastAsia="fr-FR"/>
        </w:rPr>
        <w:t>Concrètement</w:t>
      </w:r>
      <w:r w:rsidR="0050796E">
        <w:rPr>
          <w:rFonts w:ascii="Times New Roman" w:eastAsia="Times New Roman" w:hAnsi="Times New Roman" w:cs="Times New Roman"/>
          <w:lang w:eastAsia="fr-FR"/>
        </w:rPr>
        <w:t>,</w:t>
      </w:r>
      <w:r w:rsidRPr="0050796E">
        <w:rPr>
          <w:rFonts w:ascii="Times New Roman" w:eastAsia="Times New Roman" w:hAnsi="Times New Roman" w:cs="Times New Roman"/>
          <w:lang w:eastAsia="fr-FR"/>
        </w:rPr>
        <w:t xml:space="preserve"> l’appel </w:t>
      </w:r>
      <w:r w:rsidR="00D17E1E" w:rsidRPr="0050796E">
        <w:rPr>
          <w:rFonts w:ascii="Times New Roman" w:eastAsia="Times New Roman" w:hAnsi="Times New Roman" w:cs="Times New Roman"/>
          <w:lang w:eastAsia="fr-FR"/>
        </w:rPr>
        <w:t>contre une décision déclarant l’opposition non avenue s</w:t>
      </w:r>
      <w:r w:rsidRPr="0050796E">
        <w:rPr>
          <w:rFonts w:ascii="Times New Roman" w:eastAsia="Times New Roman" w:hAnsi="Times New Roman" w:cs="Times New Roman"/>
          <w:lang w:eastAsia="fr-FR"/>
        </w:rPr>
        <w:t xml:space="preserve">oumet de plein droit le litige dans son intégralité à l’appréciation du juge d’appel, avec pour seule restriction l’effet relatif de l’opposition. Il en résulte que l’article 204 du Code d’instruction criminelle n’est pas applicable dans la mesure où </w:t>
      </w:r>
      <w:r w:rsidRPr="0050796E">
        <w:rPr>
          <w:rFonts w:ascii="Times New Roman" w:eastAsia="Times New Roman" w:hAnsi="Times New Roman" w:cs="Times New Roman"/>
          <w:b/>
          <w:bCs/>
          <w:lang w:eastAsia="fr-FR"/>
        </w:rPr>
        <w:t>l’appel vise le litige faisant l’objet du jugement rendu par défaut</w:t>
      </w:r>
      <w:r w:rsidRPr="0050796E">
        <w:rPr>
          <w:rFonts w:ascii="Times New Roman" w:eastAsia="Times New Roman" w:hAnsi="Times New Roman" w:cs="Times New Roman"/>
          <w:lang w:eastAsia="fr-FR"/>
        </w:rPr>
        <w:t>, de sorte que l’appelant n’est pas tenu d’indiquer précisément les griefs qu’il élève contre ce jugement, comme le prévoit ledit article »</w:t>
      </w:r>
    </w:p>
    <w:p w:rsidR="00AF3138" w:rsidRPr="0050796E" w:rsidRDefault="00AF3138" w:rsidP="0050796E">
      <w:pPr>
        <w:jc w:val="both"/>
        <w:rPr>
          <w:rFonts w:ascii="Times New Roman" w:hAnsi="Times New Roman" w:cs="Times New Roman"/>
        </w:rPr>
      </w:pPr>
    </w:p>
    <w:p w:rsidR="00AF3138" w:rsidRPr="0050796E" w:rsidRDefault="00D17E1E" w:rsidP="0050796E">
      <w:pPr>
        <w:jc w:val="both"/>
        <w:rPr>
          <w:rFonts w:ascii="Times New Roman" w:hAnsi="Times New Roman" w:cs="Times New Roman"/>
        </w:rPr>
      </w:pPr>
      <w:r w:rsidRPr="0050796E">
        <w:rPr>
          <w:rFonts w:ascii="Times New Roman" w:hAnsi="Times New Roman" w:cs="Times New Roman"/>
        </w:rPr>
        <w:t xml:space="preserve">L’article 187 § 9 ne rencontre pas l’hypothèse de l’appel dirigé par le MP contre un jugement déclarant l’opposition avenue </w:t>
      </w:r>
    </w:p>
    <w:p w:rsidR="00D17E1E" w:rsidRPr="0050796E" w:rsidRDefault="00D17E1E" w:rsidP="0050796E">
      <w:pPr>
        <w:jc w:val="both"/>
        <w:rPr>
          <w:rFonts w:ascii="Times New Roman" w:hAnsi="Times New Roman" w:cs="Times New Roman"/>
        </w:rPr>
      </w:pPr>
    </w:p>
    <w:p w:rsidR="00D17E1E" w:rsidRPr="0050796E" w:rsidRDefault="00D17E1E" w:rsidP="0050796E">
      <w:pPr>
        <w:jc w:val="both"/>
        <w:rPr>
          <w:rFonts w:ascii="Times New Roman" w:hAnsi="Times New Roman" w:cs="Times New Roman"/>
        </w:rPr>
      </w:pPr>
      <w:r w:rsidRPr="0050796E">
        <w:rPr>
          <w:rFonts w:ascii="Times New Roman" w:hAnsi="Times New Roman" w:cs="Times New Roman"/>
        </w:rPr>
        <w:t xml:space="preserve">Il ne prévoit pas que le juge d’appel est saisi du fond de l’affaire </w:t>
      </w:r>
    </w:p>
    <w:p w:rsidR="00AF3138" w:rsidRPr="0050796E" w:rsidRDefault="00AF3138" w:rsidP="0050796E">
      <w:pPr>
        <w:jc w:val="both"/>
        <w:rPr>
          <w:rFonts w:ascii="Times New Roman" w:hAnsi="Times New Roman" w:cs="Times New Roman"/>
        </w:rPr>
      </w:pPr>
    </w:p>
    <w:p w:rsidR="00D17E1E" w:rsidRPr="0050796E" w:rsidRDefault="00D17E1E"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lang w:eastAsia="fr-FR"/>
        </w:rPr>
        <w:t xml:space="preserve">Ce faisant, le prévenu peut, en raison de l’appel du ministère public limité au caractère avenu de l’opposition, voir </w:t>
      </w:r>
      <w:r w:rsidRPr="0050796E">
        <w:rPr>
          <w:rFonts w:ascii="Times New Roman" w:eastAsia="Times New Roman" w:hAnsi="Times New Roman" w:cs="Times New Roman"/>
          <w:b/>
          <w:bCs/>
          <w:lang w:eastAsia="fr-FR"/>
        </w:rPr>
        <w:t>sa situation radicalement modifiée si la juridiction d’appel</w:t>
      </w:r>
      <w:r w:rsidRPr="0050796E">
        <w:rPr>
          <w:rFonts w:ascii="Times New Roman" w:eastAsia="Times New Roman" w:hAnsi="Times New Roman" w:cs="Times New Roman"/>
          <w:lang w:eastAsia="fr-FR"/>
        </w:rPr>
        <w:t xml:space="preserve"> constate qu’il n’était, en réalité, pas en mesure de se prévaloir d’un cas de force majeure ou d’une cause d’excuse légitime. En effet, dans ce cas de figure, le jugement prononcé par défaut sortira ses pleins et entiers effets en raison du caractère in fine non avenu de l’opposition</w:t>
      </w:r>
      <w:r w:rsidR="0050796E">
        <w:rPr>
          <w:rFonts w:ascii="Times New Roman" w:eastAsia="Times New Roman" w:hAnsi="Times New Roman" w:cs="Times New Roman"/>
          <w:lang w:eastAsia="fr-FR"/>
        </w:rPr>
        <w:t>.</w:t>
      </w:r>
    </w:p>
    <w:p w:rsidR="00AF3138" w:rsidRPr="0050796E" w:rsidRDefault="00AF3138" w:rsidP="0050796E">
      <w:pPr>
        <w:jc w:val="both"/>
        <w:rPr>
          <w:rFonts w:ascii="Times New Roman" w:hAnsi="Times New Roman" w:cs="Times New Roman"/>
        </w:rPr>
      </w:pPr>
    </w:p>
    <w:p w:rsidR="00D17E1E" w:rsidRPr="0050796E" w:rsidRDefault="00D17E1E" w:rsidP="0050796E">
      <w:pPr>
        <w:jc w:val="both"/>
        <w:rPr>
          <w:rFonts w:ascii="Times New Roman" w:eastAsia="Times New Roman" w:hAnsi="Times New Roman" w:cs="Times New Roman"/>
          <w:lang w:eastAsia="fr-FR"/>
        </w:rPr>
      </w:pPr>
      <w:r w:rsidRPr="0050796E">
        <w:rPr>
          <w:rFonts w:ascii="Times New Roman" w:eastAsia="Times New Roman" w:hAnsi="Times New Roman" w:cs="Times New Roman"/>
          <w:lang w:eastAsia="fr-FR"/>
        </w:rPr>
        <w:t xml:space="preserve">Une telle conséquence n’est pas compatible avec le droit d’accès à un juge et le droit au double degré de juridiction en matière pénale. </w:t>
      </w:r>
    </w:p>
    <w:p w:rsidR="00D17E1E" w:rsidRPr="0050796E" w:rsidRDefault="00D17E1E" w:rsidP="0050796E">
      <w:pPr>
        <w:jc w:val="both"/>
        <w:rPr>
          <w:rFonts w:ascii="Times New Roman" w:hAnsi="Times New Roman" w:cs="Times New Roman"/>
        </w:rPr>
      </w:pPr>
    </w:p>
    <w:p w:rsidR="00D17E1E" w:rsidRPr="0050796E" w:rsidRDefault="00D17E1E" w:rsidP="0050796E">
      <w:pPr>
        <w:jc w:val="both"/>
        <w:rPr>
          <w:rFonts w:ascii="Times New Roman" w:hAnsi="Times New Roman" w:cs="Times New Roman"/>
        </w:rPr>
      </w:pPr>
      <w:r w:rsidRPr="0050796E">
        <w:rPr>
          <w:rFonts w:ascii="Times New Roman" w:hAnsi="Times New Roman" w:cs="Times New Roman"/>
        </w:rPr>
        <w:t xml:space="preserve">Par voie de conséquence, dans la limite </w:t>
      </w:r>
      <w:r w:rsidR="0020639B" w:rsidRPr="0050796E">
        <w:rPr>
          <w:rFonts w:ascii="Times New Roman" w:hAnsi="Times New Roman" w:cs="Times New Roman"/>
        </w:rPr>
        <w:t>de la requête d’appel, le juge est en droit d’aborder le fond du litige comme il le ferait pour un appel dirigé contre une opposition déclarée non avenue.</w:t>
      </w: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50796E" w:rsidRPr="0050796E" w:rsidRDefault="0050796E" w:rsidP="0050796E">
      <w:pPr>
        <w:jc w:val="both"/>
        <w:rPr>
          <w:rFonts w:ascii="Times New Roman" w:hAnsi="Times New Roman" w:cs="Times New Roman"/>
        </w:rPr>
      </w:pPr>
    </w:p>
    <w:p w:rsidR="0050796E" w:rsidRPr="0050796E" w:rsidRDefault="0050796E" w:rsidP="0050796E">
      <w:pPr>
        <w:jc w:val="both"/>
        <w:rPr>
          <w:rFonts w:ascii="Times New Roman" w:hAnsi="Times New Roman" w:cs="Times New Roman"/>
        </w:rPr>
      </w:pPr>
    </w:p>
    <w:p w:rsidR="0050796E" w:rsidRPr="0050796E" w:rsidRDefault="0050796E" w:rsidP="0050796E">
      <w:pPr>
        <w:jc w:val="both"/>
        <w:rPr>
          <w:rFonts w:ascii="Times New Roman" w:hAnsi="Times New Roman" w:cs="Times New Roman"/>
        </w:rPr>
      </w:pPr>
    </w:p>
    <w:p w:rsidR="0050796E" w:rsidRPr="0050796E" w:rsidRDefault="0050796E" w:rsidP="0050796E">
      <w:pPr>
        <w:jc w:val="both"/>
        <w:rPr>
          <w:rFonts w:ascii="Times New Roman" w:hAnsi="Times New Roman" w:cs="Times New Roman"/>
        </w:rPr>
      </w:pPr>
    </w:p>
    <w:p w:rsidR="0050796E" w:rsidRPr="0050796E" w:rsidRDefault="0050796E" w:rsidP="0050796E">
      <w:pPr>
        <w:jc w:val="both"/>
        <w:rPr>
          <w:rFonts w:ascii="Times New Roman" w:hAnsi="Times New Roman" w:cs="Times New Roman"/>
        </w:rPr>
      </w:pPr>
    </w:p>
    <w:p w:rsidR="0050796E" w:rsidRPr="0050796E" w:rsidRDefault="0050796E"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b/>
          <w:bCs/>
        </w:rPr>
      </w:pPr>
      <w:r w:rsidRPr="0050796E">
        <w:rPr>
          <w:rFonts w:ascii="Times New Roman" w:hAnsi="Times New Roman" w:cs="Times New Roman"/>
          <w:b/>
          <w:bCs/>
        </w:rPr>
        <w:lastRenderedPageBreak/>
        <w:t xml:space="preserve">L’appel sur grief </w:t>
      </w:r>
      <w:r w:rsidR="0019660B" w:rsidRPr="0050796E">
        <w:rPr>
          <w:rFonts w:ascii="Times New Roman" w:hAnsi="Times New Roman" w:cs="Times New Roman"/>
          <w:b/>
          <w:bCs/>
        </w:rPr>
        <w:t>au regard de l’article 210 du CIC</w:t>
      </w: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r w:rsidRPr="0050796E">
        <w:rPr>
          <w:rFonts w:ascii="Times New Roman" w:hAnsi="Times New Roman" w:cs="Times New Roman"/>
        </w:rPr>
        <w:t xml:space="preserve">Bref rappel </w:t>
      </w: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p>
    <w:p w:rsidR="0020639B" w:rsidRPr="0050796E" w:rsidRDefault="0020639B" w:rsidP="0050796E">
      <w:pPr>
        <w:jc w:val="both"/>
        <w:rPr>
          <w:rFonts w:ascii="Times New Roman" w:hAnsi="Times New Roman" w:cs="Times New Roman"/>
        </w:rPr>
      </w:pPr>
      <w:r w:rsidRPr="0050796E">
        <w:rPr>
          <w:rFonts w:ascii="Times New Roman" w:hAnsi="Times New Roman" w:cs="Times New Roman"/>
        </w:rPr>
        <w:t>L’appel requiert, à peine de déchéance ou d’irrecevabilit</w:t>
      </w:r>
      <w:r w:rsidR="00374FB2" w:rsidRPr="0050796E">
        <w:rPr>
          <w:rFonts w:ascii="Times New Roman" w:hAnsi="Times New Roman" w:cs="Times New Roman"/>
        </w:rPr>
        <w:t>é</w:t>
      </w:r>
      <w:r w:rsidRPr="0050796E">
        <w:rPr>
          <w:rFonts w:ascii="Times New Roman" w:hAnsi="Times New Roman" w:cs="Times New Roman"/>
        </w:rPr>
        <w:t>, et sous réserve du cas de force majeure</w:t>
      </w:r>
      <w:r w:rsidRPr="0050796E">
        <w:rPr>
          <w:rFonts w:ascii="Times New Roman" w:hAnsi="Times New Roman" w:cs="Times New Roman"/>
          <w:vertAlign w:val="superscript"/>
        </w:rPr>
        <w:footnoteReference w:id="2"/>
      </w:r>
      <w:r w:rsidRPr="0050796E">
        <w:rPr>
          <w:rFonts w:ascii="Times New Roman" w:hAnsi="Times New Roman" w:cs="Times New Roman"/>
        </w:rPr>
        <w:t>, la production de deux actes : une déclaration d’appel</w:t>
      </w:r>
      <w:r w:rsidRPr="0050796E">
        <w:rPr>
          <w:rFonts w:ascii="Times New Roman" w:hAnsi="Times New Roman" w:cs="Times New Roman"/>
          <w:vertAlign w:val="superscript"/>
        </w:rPr>
        <w:footnoteReference w:id="3"/>
      </w:r>
      <w:r w:rsidRPr="0050796E">
        <w:rPr>
          <w:rFonts w:ascii="Times New Roman" w:hAnsi="Times New Roman" w:cs="Times New Roman"/>
        </w:rPr>
        <w:t xml:space="preserve"> , une requête d’appel motivée</w:t>
      </w:r>
      <w:r w:rsidRPr="0050796E">
        <w:rPr>
          <w:rStyle w:val="Appelnotedebasdep"/>
          <w:rFonts w:ascii="Times New Roman" w:hAnsi="Times New Roman" w:cs="Times New Roman"/>
        </w:rPr>
        <w:footnoteReference w:id="4"/>
      </w:r>
      <w:r w:rsidRPr="0050796E">
        <w:rPr>
          <w:rFonts w:ascii="Times New Roman" w:hAnsi="Times New Roman" w:cs="Times New Roman"/>
        </w:rPr>
        <w:t>.</w:t>
      </w:r>
    </w:p>
    <w:p w:rsidR="00D17E1E" w:rsidRPr="0050796E" w:rsidRDefault="00D17E1E" w:rsidP="0050796E">
      <w:pPr>
        <w:jc w:val="both"/>
        <w:rPr>
          <w:rFonts w:ascii="Times New Roman" w:hAnsi="Times New Roman" w:cs="Times New Roman"/>
        </w:rPr>
      </w:pPr>
    </w:p>
    <w:p w:rsidR="00374FB2" w:rsidRPr="0050796E" w:rsidRDefault="00374FB2" w:rsidP="0050796E">
      <w:pPr>
        <w:jc w:val="both"/>
        <w:rPr>
          <w:rFonts w:ascii="Times New Roman" w:hAnsi="Times New Roman" w:cs="Times New Roman"/>
        </w:rPr>
      </w:pPr>
      <w:r w:rsidRPr="0050796E">
        <w:rPr>
          <w:rFonts w:ascii="Times New Roman" w:hAnsi="Times New Roman" w:cs="Times New Roman"/>
        </w:rPr>
        <w:t>Afin d’aider les justiciables non assistés d’un conseil à formaliser leur appel, un formulaire</w:t>
      </w:r>
      <w:r w:rsidR="0050796E">
        <w:rPr>
          <w:rFonts w:ascii="Times New Roman" w:hAnsi="Times New Roman" w:cs="Times New Roman"/>
        </w:rPr>
        <w:t xml:space="preserve"> </w:t>
      </w:r>
      <w:r w:rsidRPr="0050796E">
        <w:rPr>
          <w:rFonts w:ascii="Times New Roman" w:hAnsi="Times New Roman" w:cs="Times New Roman"/>
        </w:rPr>
        <w:t>type lequel peut toutefois également être (et est) utilisé, par facilité, par les avocats. Par arrêté royal du 23 novembre 2017, ce formulaire</w:t>
      </w:r>
      <w:r w:rsidR="0050796E">
        <w:rPr>
          <w:rFonts w:ascii="Times New Roman" w:hAnsi="Times New Roman" w:cs="Times New Roman"/>
        </w:rPr>
        <w:t xml:space="preserve"> </w:t>
      </w:r>
      <w:r w:rsidRPr="0050796E">
        <w:rPr>
          <w:rFonts w:ascii="Times New Roman" w:hAnsi="Times New Roman" w:cs="Times New Roman"/>
        </w:rPr>
        <w:t xml:space="preserve">type de griefs a été remplacé par un formulaire plus exigeant en termes de motivation dans la mesure où il impose, à peine de déchéance, de préciser certaines </w:t>
      </w:r>
      <w:r w:rsidRPr="0050796E">
        <w:rPr>
          <w:rFonts w:ascii="Times New Roman" w:hAnsi="Times New Roman" w:cs="Times New Roman"/>
          <w:b/>
          <w:bCs/>
        </w:rPr>
        <w:t>mentions ainsi que les raisons de l’appel</w:t>
      </w:r>
    </w:p>
    <w:p w:rsidR="00374FB2" w:rsidRPr="0050796E" w:rsidRDefault="00374FB2" w:rsidP="0050796E">
      <w:pPr>
        <w:jc w:val="both"/>
        <w:rPr>
          <w:rFonts w:ascii="Times New Roman" w:hAnsi="Times New Roman" w:cs="Times New Roman"/>
        </w:rPr>
      </w:pPr>
    </w:p>
    <w:p w:rsidR="00374FB2" w:rsidRPr="0050796E" w:rsidRDefault="00374FB2" w:rsidP="0050796E">
      <w:pPr>
        <w:jc w:val="both"/>
        <w:rPr>
          <w:rFonts w:ascii="Times New Roman" w:hAnsi="Times New Roman" w:cs="Times New Roman"/>
        </w:rPr>
      </w:pPr>
      <w:r w:rsidRPr="0050796E">
        <w:rPr>
          <w:rFonts w:ascii="Times New Roman" w:hAnsi="Times New Roman" w:cs="Times New Roman"/>
        </w:rPr>
        <w:t>Pas invalid</w:t>
      </w:r>
      <w:r w:rsidR="0050796E">
        <w:rPr>
          <w:rFonts w:ascii="Times New Roman" w:hAnsi="Times New Roman" w:cs="Times New Roman"/>
        </w:rPr>
        <w:t>é</w:t>
      </w:r>
      <w:r w:rsidRPr="0050796E">
        <w:rPr>
          <w:rFonts w:ascii="Times New Roman" w:hAnsi="Times New Roman" w:cs="Times New Roman"/>
        </w:rPr>
        <w:t xml:space="preserve"> par le Conseil d’</w:t>
      </w:r>
      <w:r w:rsidR="0050796E">
        <w:rPr>
          <w:rFonts w:ascii="Times New Roman" w:hAnsi="Times New Roman" w:cs="Times New Roman"/>
        </w:rPr>
        <w:t>É</w:t>
      </w:r>
      <w:r w:rsidRPr="0050796E">
        <w:rPr>
          <w:rFonts w:ascii="Times New Roman" w:hAnsi="Times New Roman" w:cs="Times New Roman"/>
        </w:rPr>
        <w:t xml:space="preserve">tat qui a considéré que préciser les raisons de l’appel rencontrait les exigences de la motivation de l’appel énoncée par l’article 204 du Code d’instruction criminelle </w:t>
      </w:r>
    </w:p>
    <w:p w:rsidR="00374FB2" w:rsidRPr="0050796E" w:rsidRDefault="00374FB2" w:rsidP="0050796E">
      <w:pPr>
        <w:spacing w:before="100" w:beforeAutospacing="1" w:after="100" w:afterAutospacing="1"/>
        <w:jc w:val="both"/>
        <w:rPr>
          <w:rFonts w:ascii="Times New Roman" w:eastAsia="Times New Roman" w:hAnsi="Times New Roman" w:cs="Times New Roman"/>
          <w:lang w:eastAsia="fr-FR"/>
        </w:rPr>
      </w:pPr>
      <w:r w:rsidRPr="0050796E">
        <w:rPr>
          <w:rFonts w:ascii="Times New Roman" w:hAnsi="Times New Roman" w:cs="Times New Roman"/>
        </w:rPr>
        <w:t>Le Conseil d’</w:t>
      </w:r>
      <w:r w:rsidR="0050796E">
        <w:rPr>
          <w:rFonts w:ascii="Times New Roman" w:hAnsi="Times New Roman" w:cs="Times New Roman"/>
        </w:rPr>
        <w:t>É</w:t>
      </w:r>
      <w:r w:rsidRPr="0050796E">
        <w:rPr>
          <w:rFonts w:ascii="Times New Roman" w:hAnsi="Times New Roman" w:cs="Times New Roman"/>
        </w:rPr>
        <w:t>tat ajoute que « </w:t>
      </w:r>
      <w:r w:rsidRPr="0050796E">
        <w:rPr>
          <w:rFonts w:ascii="Times New Roman" w:eastAsia="Times New Roman" w:hAnsi="Times New Roman" w:cs="Times New Roman"/>
          <w:lang w:eastAsia="fr-FR"/>
        </w:rPr>
        <w:t xml:space="preserve">L’insertion de cette rubrique "raison" n’emporte pas, en </w:t>
      </w:r>
      <w:proofErr w:type="spellStart"/>
      <w:r w:rsidRPr="0050796E">
        <w:rPr>
          <w:rFonts w:ascii="Times New Roman" w:eastAsia="Times New Roman" w:hAnsi="Times New Roman" w:cs="Times New Roman"/>
          <w:lang w:eastAsia="fr-FR"/>
        </w:rPr>
        <w:t>elle-même</w:t>
      </w:r>
      <w:proofErr w:type="spellEnd"/>
      <w:r w:rsidRPr="0050796E">
        <w:rPr>
          <w:rFonts w:ascii="Times New Roman" w:eastAsia="Times New Roman" w:hAnsi="Times New Roman" w:cs="Times New Roman"/>
          <w:lang w:eastAsia="fr-FR"/>
        </w:rPr>
        <w:t>, l’obligation d’</w:t>
      </w:r>
      <w:proofErr w:type="spellStart"/>
      <w:r w:rsidRPr="0050796E">
        <w:rPr>
          <w:rFonts w:ascii="Times New Roman" w:eastAsia="Times New Roman" w:hAnsi="Times New Roman" w:cs="Times New Roman"/>
          <w:lang w:eastAsia="fr-FR"/>
        </w:rPr>
        <w:t>énoncer</w:t>
      </w:r>
      <w:proofErr w:type="spellEnd"/>
      <w:r w:rsidRPr="0050796E">
        <w:rPr>
          <w:rFonts w:ascii="Times New Roman" w:eastAsia="Times New Roman" w:hAnsi="Times New Roman" w:cs="Times New Roman"/>
          <w:lang w:eastAsia="fr-FR"/>
        </w:rPr>
        <w:t xml:space="preserve"> des moyens de droit et ne prive pas davantage l’appelant du droit qui lui est reconnu, </w:t>
      </w:r>
      <w:proofErr w:type="spellStart"/>
      <w:r w:rsidRPr="0050796E">
        <w:rPr>
          <w:rFonts w:ascii="Times New Roman" w:eastAsia="Times New Roman" w:hAnsi="Times New Roman" w:cs="Times New Roman"/>
          <w:lang w:eastAsia="fr-FR"/>
        </w:rPr>
        <w:t>conformément</w:t>
      </w:r>
      <w:proofErr w:type="spellEnd"/>
      <w:r w:rsidRPr="0050796E">
        <w:rPr>
          <w:rFonts w:ascii="Times New Roman" w:eastAsia="Times New Roman" w:hAnsi="Times New Roman" w:cs="Times New Roman"/>
          <w:lang w:eastAsia="fr-FR"/>
        </w:rPr>
        <w:t xml:space="preserve"> aux jurisprudences de la Cour de cassation et de la Cour constitutionnelle, de pouvoir </w:t>
      </w:r>
      <w:proofErr w:type="spellStart"/>
      <w:r w:rsidRPr="0050796E">
        <w:rPr>
          <w:rFonts w:ascii="Times New Roman" w:eastAsia="Times New Roman" w:hAnsi="Times New Roman" w:cs="Times New Roman"/>
          <w:lang w:eastAsia="fr-FR"/>
        </w:rPr>
        <w:t>développer</w:t>
      </w:r>
      <w:proofErr w:type="spellEnd"/>
      <w:r w:rsidRPr="0050796E">
        <w:rPr>
          <w:rFonts w:ascii="Times New Roman" w:eastAsia="Times New Roman" w:hAnsi="Times New Roman" w:cs="Times New Roman"/>
          <w:lang w:eastAsia="fr-FR"/>
        </w:rPr>
        <w:t xml:space="preserve"> de nouveaux arguments ou moyens à l’appui de ses griefs »</w:t>
      </w:r>
    </w:p>
    <w:p w:rsidR="00374FB2" w:rsidRPr="0050796E" w:rsidRDefault="00374FB2" w:rsidP="0050796E">
      <w:pPr>
        <w:spacing w:before="100" w:beforeAutospacing="1" w:after="100" w:afterAutospacing="1"/>
        <w:jc w:val="both"/>
        <w:rPr>
          <w:rFonts w:ascii="Times New Roman" w:hAnsi="Times New Roman" w:cs="Times New Roman"/>
        </w:rPr>
      </w:pPr>
      <w:r w:rsidRPr="0050796E">
        <w:rPr>
          <w:rFonts w:ascii="Times New Roman" w:hAnsi="Times New Roman" w:cs="Times New Roman"/>
        </w:rPr>
        <w:t xml:space="preserve">Selon la Cour de cassation l’indication des griefs est précise au sens de cette disposition lorsqu’elle permet aux </w:t>
      </w:r>
      <w:r w:rsidRPr="0050796E">
        <w:rPr>
          <w:rFonts w:ascii="Times New Roman" w:hAnsi="Times New Roman" w:cs="Times New Roman"/>
          <w:b/>
          <w:bCs/>
        </w:rPr>
        <w:t>juges d’appel et aux parties de déterminer avec certitude la décision ou les décisions du jugement entrepris, dont la partie appelante demande la réformation</w:t>
      </w:r>
      <w:r w:rsidRPr="0050796E">
        <w:rPr>
          <w:rFonts w:ascii="Times New Roman" w:hAnsi="Times New Roman" w:cs="Times New Roman"/>
        </w:rPr>
        <w:t>, en d’autres mots quand elle permet de déterminer la saisine des juges d’appel</w:t>
      </w:r>
      <w:r w:rsidR="0019660B" w:rsidRPr="0050796E">
        <w:rPr>
          <w:rFonts w:ascii="Times New Roman" w:hAnsi="Times New Roman" w:cs="Times New Roman"/>
        </w:rPr>
        <w:t xml:space="preserve"> et les griefs – qui ne sont pas les moyens – portés contre cette décision.</w:t>
      </w:r>
      <w:r w:rsidR="00CF7C94" w:rsidRPr="0050796E">
        <w:rPr>
          <w:rFonts w:ascii="Times New Roman" w:hAnsi="Times New Roman" w:cs="Times New Roman"/>
        </w:rPr>
        <w:t xml:space="preserve"> ( </w:t>
      </w:r>
      <w:r w:rsidR="0050796E">
        <w:rPr>
          <w:rFonts w:ascii="Times New Roman" w:hAnsi="Times New Roman" w:cs="Times New Roman"/>
        </w:rPr>
        <w:t xml:space="preserve">cela </w:t>
      </w:r>
      <w:r w:rsidR="00CF7C94" w:rsidRPr="0050796E">
        <w:rPr>
          <w:rFonts w:ascii="Times New Roman" w:hAnsi="Times New Roman" w:cs="Times New Roman"/>
        </w:rPr>
        <w:t>ne doit pas être interprétée de manière restrictive pour permettre à un acte de procédure de sortir ses effets ).</w:t>
      </w:r>
    </w:p>
    <w:p w:rsidR="0019660B" w:rsidRPr="0050796E" w:rsidRDefault="0019660B" w:rsidP="0050796E">
      <w:pPr>
        <w:spacing w:before="100" w:beforeAutospacing="1" w:after="100" w:afterAutospacing="1"/>
        <w:jc w:val="both"/>
        <w:rPr>
          <w:rFonts w:ascii="Times New Roman" w:hAnsi="Times New Roman" w:cs="Times New Roman"/>
        </w:rPr>
      </w:pPr>
      <w:r w:rsidRPr="0050796E">
        <w:rPr>
          <w:rFonts w:ascii="Times New Roman" w:hAnsi="Times New Roman" w:cs="Times New Roman"/>
        </w:rPr>
        <w:t>C’est pour les principes.</w:t>
      </w:r>
    </w:p>
    <w:p w:rsidR="0019660B" w:rsidRPr="0050796E" w:rsidRDefault="0019660B" w:rsidP="0050796E">
      <w:pPr>
        <w:jc w:val="both"/>
        <w:rPr>
          <w:rFonts w:ascii="Times New Roman" w:hAnsi="Times New Roman" w:cs="Times New Roman"/>
        </w:rPr>
      </w:pPr>
      <w:r w:rsidRPr="0050796E">
        <w:rPr>
          <w:rFonts w:ascii="Times New Roman" w:hAnsi="Times New Roman" w:cs="Times New Roman"/>
          <w:b/>
          <w:bCs/>
        </w:rPr>
        <w:t>Venons-en à l’article 210 du Code d’instruction criminelle</w:t>
      </w:r>
      <w:r w:rsidRPr="0050796E">
        <w:rPr>
          <w:rFonts w:ascii="Times New Roman" w:hAnsi="Times New Roman" w:cs="Times New Roman"/>
        </w:rPr>
        <w:t xml:space="preserve"> concerne la possibilité pour le même juge</w:t>
      </w:r>
      <w:r w:rsidR="00CF7C94" w:rsidRPr="0050796E">
        <w:rPr>
          <w:rFonts w:ascii="Times New Roman" w:hAnsi="Times New Roman" w:cs="Times New Roman"/>
        </w:rPr>
        <w:t xml:space="preserve"> d’appel</w:t>
      </w:r>
      <w:r w:rsidRPr="0050796E">
        <w:rPr>
          <w:rFonts w:ascii="Times New Roman" w:hAnsi="Times New Roman" w:cs="Times New Roman"/>
        </w:rPr>
        <w:t xml:space="preserve"> de soulever d’office des moyens d’ordre public qui portent sur les formalités substantielles ou prescrites à peine de nullité ou sur la compétence, la prescription des faits, l’absence d’infraction, la requalification des faits ou une nullité irréparable.</w:t>
      </w:r>
    </w:p>
    <w:p w:rsidR="00CF7C94" w:rsidRPr="0050796E" w:rsidRDefault="00CF7C94" w:rsidP="0050796E">
      <w:pPr>
        <w:jc w:val="both"/>
        <w:rPr>
          <w:rFonts w:ascii="Times New Roman" w:hAnsi="Times New Roman" w:cs="Times New Roman"/>
        </w:rPr>
      </w:pPr>
    </w:p>
    <w:p w:rsidR="0019660B" w:rsidRPr="0050796E" w:rsidRDefault="00CF7C94" w:rsidP="0050796E">
      <w:pPr>
        <w:jc w:val="both"/>
        <w:rPr>
          <w:rFonts w:ascii="Times New Roman" w:hAnsi="Times New Roman" w:cs="Times New Roman"/>
        </w:rPr>
      </w:pPr>
      <w:r w:rsidRPr="0050796E">
        <w:rPr>
          <w:rFonts w:ascii="Times New Roman" w:hAnsi="Times New Roman" w:cs="Times New Roman"/>
        </w:rPr>
        <w:lastRenderedPageBreak/>
        <w:t>1</w:t>
      </w:r>
      <w:r w:rsidRPr="0050796E">
        <w:rPr>
          <w:rFonts w:ascii="Times New Roman" w:hAnsi="Times New Roman" w:cs="Times New Roman"/>
          <w:vertAlign w:val="superscript"/>
        </w:rPr>
        <w:t>er</w:t>
      </w:r>
      <w:r w:rsidRPr="0050796E">
        <w:rPr>
          <w:rFonts w:ascii="Times New Roman" w:hAnsi="Times New Roman" w:cs="Times New Roman"/>
        </w:rPr>
        <w:t xml:space="preserve"> saisine de la Cour constitutionnelle sur l</w:t>
      </w:r>
      <w:r w:rsidR="0019660B" w:rsidRPr="0050796E">
        <w:rPr>
          <w:rFonts w:ascii="Times New Roman" w:hAnsi="Times New Roman" w:cs="Times New Roman"/>
        </w:rPr>
        <w:t>a survenance d’un élément nouveau :</w:t>
      </w:r>
    </w:p>
    <w:p w:rsidR="0019660B" w:rsidRPr="0050796E" w:rsidRDefault="0019660B" w:rsidP="0050796E">
      <w:pPr>
        <w:jc w:val="both"/>
        <w:rPr>
          <w:rFonts w:ascii="Times New Roman" w:hAnsi="Times New Roman" w:cs="Times New Roman"/>
        </w:rPr>
      </w:pPr>
    </w:p>
    <w:p w:rsidR="0019660B" w:rsidRPr="0050796E" w:rsidRDefault="0019660B" w:rsidP="0050796E">
      <w:pPr>
        <w:jc w:val="both"/>
        <w:rPr>
          <w:rFonts w:ascii="Times New Roman" w:hAnsi="Times New Roman" w:cs="Times New Roman"/>
        </w:rPr>
      </w:pPr>
      <w:r w:rsidRPr="0050796E">
        <w:rPr>
          <w:rFonts w:ascii="Times New Roman" w:hAnsi="Times New Roman" w:cs="Times New Roman"/>
        </w:rPr>
        <w:t>L’hypothèse de l’émergence, après le dépôt de la requête d’appel, d’un élément nouveau qui est susceptible d’établir l’absence d’infraction alors même que la question de la culpabilité du prévenu ne fut pas visée dans la requête d’appel ou le formulaire de griefs</w:t>
      </w:r>
      <w:r w:rsidR="00CF7C94" w:rsidRPr="0050796E">
        <w:rPr>
          <w:rFonts w:ascii="Times New Roman" w:hAnsi="Times New Roman" w:cs="Times New Roman"/>
        </w:rPr>
        <w:t>, sur un fait dont il est saisi,</w:t>
      </w:r>
      <w:r w:rsidRPr="0050796E">
        <w:rPr>
          <w:rFonts w:ascii="Times New Roman" w:hAnsi="Times New Roman" w:cs="Times New Roman"/>
        </w:rPr>
        <w:t xml:space="preserve"> a été tranchée par la Cour constitutionnelle par un arrêt du 16 mai 2019. </w:t>
      </w:r>
    </w:p>
    <w:p w:rsidR="0019660B" w:rsidRPr="0050796E" w:rsidRDefault="0019660B" w:rsidP="0050796E">
      <w:pPr>
        <w:spacing w:before="100" w:beforeAutospacing="1" w:after="100" w:afterAutospacing="1"/>
        <w:jc w:val="both"/>
        <w:rPr>
          <w:rFonts w:ascii="Times New Roman" w:eastAsia="Times New Roman" w:hAnsi="Times New Roman" w:cs="Times New Roman"/>
          <w:lang w:eastAsia="fr-FR"/>
        </w:rPr>
      </w:pPr>
      <w:r w:rsidRPr="0050796E">
        <w:rPr>
          <w:rFonts w:ascii="Times New Roman" w:hAnsi="Times New Roman" w:cs="Times New Roman"/>
        </w:rPr>
        <w:t>La Cour constitutionnelle retenait que l’élément qui survient après le dépôt de la requête d’appel, dont seul le juge d’appel pourrait avoir connaissance, et qui est susceptible d’avoir une incidence sur la culpabilité, peut fonder un moyen nouveau qui justifie l’application de l’article 210 du Code d’instruction criminelle quand bien même la question de la culpabilité n’a pas été contestée</w:t>
      </w:r>
    </w:p>
    <w:p w:rsidR="00374FB2" w:rsidRPr="0050796E" w:rsidRDefault="00CF7C94" w:rsidP="0050796E">
      <w:pPr>
        <w:spacing w:before="100" w:beforeAutospacing="1" w:after="100" w:afterAutospacing="1"/>
        <w:jc w:val="both"/>
        <w:rPr>
          <w:rFonts w:ascii="Times New Roman" w:eastAsia="Times New Roman" w:hAnsi="Times New Roman" w:cs="Times New Roman"/>
          <w:lang w:eastAsia="fr-FR"/>
        </w:rPr>
      </w:pPr>
      <w:r w:rsidRPr="0050796E">
        <w:rPr>
          <w:rFonts w:ascii="Times New Roman" w:eastAsia="Times New Roman" w:hAnsi="Times New Roman" w:cs="Times New Roman"/>
          <w:lang w:eastAsia="fr-FR"/>
        </w:rPr>
        <w:t xml:space="preserve">2 saisine de la Cour constitutionnelle </w:t>
      </w:r>
      <w:r w:rsidR="00E45A17" w:rsidRPr="0050796E">
        <w:rPr>
          <w:rFonts w:ascii="Times New Roman" w:eastAsia="Times New Roman" w:hAnsi="Times New Roman" w:cs="Times New Roman"/>
          <w:lang w:eastAsia="fr-FR"/>
        </w:rPr>
        <w:t>sur la possibilité de contester la culpabilité en dehors de l’existence d’un élément nouveau</w:t>
      </w:r>
    </w:p>
    <w:p w:rsidR="00F47FC9" w:rsidRPr="0050796E" w:rsidRDefault="00F47FC9" w:rsidP="0050796E">
      <w:pPr>
        <w:spacing w:before="100" w:beforeAutospacing="1" w:after="100" w:afterAutospacing="1"/>
        <w:jc w:val="both"/>
        <w:rPr>
          <w:rFonts w:ascii="Times New Roman" w:eastAsia="Times New Roman" w:hAnsi="Times New Roman" w:cs="Times New Roman"/>
          <w:lang w:eastAsia="fr-FR"/>
        </w:rPr>
      </w:pPr>
      <w:r w:rsidRPr="0050796E">
        <w:rPr>
          <w:rFonts w:ascii="Times New Roman" w:eastAsia="Times New Roman" w:hAnsi="Times New Roman" w:cs="Times New Roman"/>
          <w:lang w:eastAsia="fr-FR"/>
        </w:rPr>
        <w:t>La Cour constitutionnelle, en se fondant sur l’habeas corpus, va aller un pas plus loin en admettant que le</w:t>
      </w:r>
      <w:r w:rsidRPr="0050796E">
        <w:rPr>
          <w:rFonts w:ascii="Times New Roman" w:hAnsi="Times New Roman" w:cs="Times New Roman"/>
        </w:rPr>
        <w:t xml:space="preserve"> juge d’appel peut soulever d’office des moyens d’ordre public portant sur l’absence d’infraction même s’il n’est pas  saisi du grief tiré de la culpabilité de ce fait.</w:t>
      </w:r>
    </w:p>
    <w:p w:rsidR="00F47FC9" w:rsidRPr="0050796E" w:rsidRDefault="00F47FC9" w:rsidP="0050796E">
      <w:pPr>
        <w:jc w:val="both"/>
        <w:rPr>
          <w:rFonts w:ascii="Times New Roman" w:hAnsi="Times New Roman" w:cs="Times New Roman"/>
        </w:rPr>
      </w:pPr>
      <w:r w:rsidRPr="0050796E">
        <w:rPr>
          <w:rFonts w:ascii="Times New Roman" w:hAnsi="Times New Roman" w:cs="Times New Roman"/>
        </w:rPr>
        <w:t xml:space="preserve">Il s’ensuit que le juge d’appel, au regard des faits dont il est saisi, est en droit de soulever d’office les moyens d’ordre public mentionnés par l’article 210 du Code d’instruction criminelle quand bien même les parties appelantes n’ont pas visé, pour ces faits, la déclaration de culpabilité dans la requête d’appel ou le formulaire de griefs. </w:t>
      </w:r>
    </w:p>
    <w:p w:rsidR="00F47FC9" w:rsidRPr="0050796E" w:rsidRDefault="00F47FC9" w:rsidP="0050796E">
      <w:pPr>
        <w:jc w:val="both"/>
        <w:rPr>
          <w:rFonts w:ascii="Times New Roman" w:hAnsi="Times New Roman" w:cs="Times New Roman"/>
        </w:rPr>
      </w:pPr>
    </w:p>
    <w:p w:rsidR="00F47FC9" w:rsidRPr="0050796E" w:rsidRDefault="00F47FC9" w:rsidP="0050796E">
      <w:pPr>
        <w:jc w:val="both"/>
        <w:rPr>
          <w:rFonts w:ascii="Times New Roman" w:hAnsi="Times New Roman" w:cs="Times New Roman"/>
        </w:rPr>
      </w:pPr>
      <w:r w:rsidRPr="0050796E">
        <w:rPr>
          <w:rFonts w:ascii="Times New Roman" w:hAnsi="Times New Roman" w:cs="Times New Roman"/>
          <w:b/>
          <w:bCs/>
        </w:rPr>
        <w:t>L’initiative appartiendra à la juridiction d’appel</w:t>
      </w:r>
      <w:r w:rsidRPr="0050796E">
        <w:rPr>
          <w:rFonts w:ascii="Times New Roman" w:hAnsi="Times New Roman" w:cs="Times New Roman"/>
        </w:rPr>
        <w:t>, mais rien ne devrait empêcher les parties de suggérer à celle-ci l’application de cette disposition légale.</w:t>
      </w:r>
    </w:p>
    <w:p w:rsidR="00F47FC9" w:rsidRPr="0050796E" w:rsidRDefault="00F47FC9" w:rsidP="0050796E">
      <w:pPr>
        <w:spacing w:before="100" w:beforeAutospacing="1" w:after="100" w:afterAutospacing="1"/>
        <w:jc w:val="both"/>
        <w:rPr>
          <w:rFonts w:ascii="Times New Roman" w:hAnsi="Times New Roman" w:cs="Times New Roman"/>
        </w:rPr>
      </w:pPr>
      <w:r w:rsidRPr="0050796E">
        <w:rPr>
          <w:rFonts w:ascii="Times New Roman" w:hAnsi="Times New Roman" w:cs="Times New Roman"/>
        </w:rPr>
        <w:t>Ainsi, sur le seul appel du prévenu sur l’action publique, quand bien même ce dernier n’a pas visé la question de culpabilité dans la requête d’appel ou dans le formulaire de griefs, le juge d’appel est en droit de dire les faits qui limitent sa saisine non établis</w:t>
      </w:r>
      <w:r w:rsidR="0050796E">
        <w:rPr>
          <w:rFonts w:ascii="Times New Roman" w:hAnsi="Times New Roman" w:cs="Times New Roman"/>
        </w:rPr>
        <w:t>.</w:t>
      </w: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hAnsi="Times New Roman" w:cs="Times New Roman"/>
        </w:rPr>
      </w:pPr>
    </w:p>
    <w:p w:rsidR="00F47FC9" w:rsidRPr="0050796E" w:rsidRDefault="00F47FC9" w:rsidP="0050796E">
      <w:pPr>
        <w:spacing w:before="100" w:beforeAutospacing="1" w:after="100" w:afterAutospacing="1"/>
        <w:jc w:val="both"/>
        <w:rPr>
          <w:rFonts w:ascii="Times New Roman" w:eastAsia="Times New Roman" w:hAnsi="Times New Roman" w:cs="Times New Roman"/>
          <w:b/>
          <w:bCs/>
          <w:lang w:eastAsia="fr-FR"/>
        </w:rPr>
      </w:pPr>
      <w:r w:rsidRPr="0050796E">
        <w:rPr>
          <w:rFonts w:ascii="Times New Roman" w:eastAsia="Times New Roman" w:hAnsi="Times New Roman" w:cs="Times New Roman"/>
          <w:b/>
          <w:bCs/>
          <w:lang w:eastAsia="fr-FR"/>
        </w:rPr>
        <w:t>L’appel subséquent du prévenu</w:t>
      </w:r>
    </w:p>
    <w:p w:rsidR="00F47FC9" w:rsidRPr="0050796E" w:rsidRDefault="00F47FC9" w:rsidP="0050796E">
      <w:pPr>
        <w:spacing w:before="100" w:beforeAutospacing="1" w:after="100" w:afterAutospacing="1"/>
        <w:jc w:val="both"/>
        <w:rPr>
          <w:rFonts w:ascii="Times New Roman" w:eastAsia="Times New Roman" w:hAnsi="Times New Roman" w:cs="Times New Roman"/>
          <w:lang w:eastAsia="fr-FR"/>
        </w:rPr>
      </w:pPr>
      <w:r w:rsidRPr="0050796E">
        <w:rPr>
          <w:rFonts w:ascii="Times New Roman" w:hAnsi="Times New Roman" w:cs="Times New Roman"/>
        </w:rPr>
        <w:t>le ministère public dispose d’un délai supplémentaire de dix jours pour former appel, l’article 203, § 1</w:t>
      </w:r>
      <w:r w:rsidRPr="0050796E">
        <w:rPr>
          <w:rFonts w:ascii="Times New Roman" w:hAnsi="Times New Roman" w:cs="Times New Roman"/>
          <w:vertAlign w:val="superscript"/>
        </w:rPr>
        <w:t>er</w:t>
      </w:r>
      <w:r w:rsidRPr="0050796E">
        <w:rPr>
          <w:rFonts w:ascii="Times New Roman" w:hAnsi="Times New Roman" w:cs="Times New Roman"/>
        </w:rPr>
        <w:t>, du Code d’instruction criminelle n’a pas fixé un délai qui s’ajoute de plein droit au délai ordinaire de trente jours, ce délai supplémentaire ayant pour but, lorsque le prévenu a fait appel d’un jugement</w:t>
      </w:r>
    </w:p>
    <w:p w:rsidR="00F47FC9" w:rsidRPr="0050796E" w:rsidRDefault="00E45A17" w:rsidP="0050796E">
      <w:pPr>
        <w:spacing w:before="100" w:beforeAutospacing="1" w:after="100" w:afterAutospacing="1"/>
        <w:jc w:val="both"/>
        <w:rPr>
          <w:rFonts w:ascii="Times New Roman" w:eastAsia="Times New Roman" w:hAnsi="Times New Roman" w:cs="Times New Roman"/>
          <w:lang w:eastAsia="fr-FR"/>
        </w:rPr>
      </w:pPr>
      <w:r w:rsidRPr="0050796E">
        <w:rPr>
          <w:rFonts w:ascii="Times New Roman" w:hAnsi="Times New Roman" w:cs="Times New Roman"/>
        </w:rPr>
        <w:t xml:space="preserve">En revanche, </w:t>
      </w:r>
      <w:r w:rsidR="00F47FC9" w:rsidRPr="0050796E">
        <w:rPr>
          <w:rFonts w:ascii="Times New Roman" w:hAnsi="Times New Roman" w:cs="Times New Roman"/>
        </w:rPr>
        <w:t xml:space="preserve">le </w:t>
      </w:r>
      <w:proofErr w:type="spellStart"/>
      <w:r w:rsidR="00F47FC9" w:rsidRPr="0050796E">
        <w:rPr>
          <w:rFonts w:ascii="Times New Roman" w:hAnsi="Times New Roman" w:cs="Times New Roman"/>
        </w:rPr>
        <w:t>prévenu</w:t>
      </w:r>
      <w:proofErr w:type="spellEnd"/>
      <w:r w:rsidR="00F47FC9" w:rsidRPr="0050796E">
        <w:rPr>
          <w:rFonts w:ascii="Times New Roman" w:hAnsi="Times New Roman" w:cs="Times New Roman"/>
        </w:rPr>
        <w:t xml:space="preserve"> ne dispose pas d’un </w:t>
      </w:r>
      <w:proofErr w:type="spellStart"/>
      <w:r w:rsidR="00F47FC9" w:rsidRPr="0050796E">
        <w:rPr>
          <w:rFonts w:ascii="Times New Roman" w:hAnsi="Times New Roman" w:cs="Times New Roman"/>
        </w:rPr>
        <w:t>délai</w:t>
      </w:r>
      <w:proofErr w:type="spellEnd"/>
      <w:r w:rsidR="00F47FC9" w:rsidRPr="0050796E">
        <w:rPr>
          <w:rFonts w:ascii="Times New Roman" w:hAnsi="Times New Roman" w:cs="Times New Roman"/>
        </w:rPr>
        <w:t xml:space="preserve"> </w:t>
      </w:r>
      <w:proofErr w:type="spellStart"/>
      <w:r w:rsidR="00F47FC9" w:rsidRPr="0050796E">
        <w:rPr>
          <w:rFonts w:ascii="Times New Roman" w:hAnsi="Times New Roman" w:cs="Times New Roman"/>
        </w:rPr>
        <w:t>supplémentaire</w:t>
      </w:r>
      <w:proofErr w:type="spellEnd"/>
      <w:r w:rsidR="00F47FC9" w:rsidRPr="0050796E">
        <w:rPr>
          <w:rFonts w:ascii="Times New Roman" w:hAnsi="Times New Roman" w:cs="Times New Roman"/>
        </w:rPr>
        <w:t xml:space="preserve"> d’appel</w:t>
      </w:r>
      <w:r w:rsidRPr="0050796E">
        <w:rPr>
          <w:rFonts w:ascii="Times New Roman" w:hAnsi="Times New Roman" w:cs="Times New Roman"/>
        </w:rPr>
        <w:t xml:space="preserve"> pour suivre l’appe</w:t>
      </w:r>
      <w:r w:rsidR="0050796E" w:rsidRPr="0050796E">
        <w:rPr>
          <w:rFonts w:ascii="Times New Roman" w:hAnsi="Times New Roman" w:cs="Times New Roman"/>
        </w:rPr>
        <w:t>l</w:t>
      </w:r>
      <w:r w:rsidRPr="0050796E">
        <w:rPr>
          <w:rFonts w:ascii="Times New Roman" w:hAnsi="Times New Roman" w:cs="Times New Roman"/>
        </w:rPr>
        <w:t xml:space="preserve"> de la partie</w:t>
      </w:r>
      <w:r w:rsidR="00F47FC9" w:rsidRPr="0050796E">
        <w:rPr>
          <w:rFonts w:ascii="Times New Roman" w:hAnsi="Times New Roman" w:cs="Times New Roman"/>
        </w:rPr>
        <w:t xml:space="preserve"> publi</w:t>
      </w:r>
      <w:r w:rsidRPr="0050796E">
        <w:rPr>
          <w:rFonts w:ascii="Times New Roman" w:hAnsi="Times New Roman" w:cs="Times New Roman"/>
        </w:rPr>
        <w:t xml:space="preserve">que </w:t>
      </w:r>
    </w:p>
    <w:p w:rsidR="0063355F" w:rsidRPr="0050796E" w:rsidRDefault="0063355F" w:rsidP="0050796E">
      <w:pPr>
        <w:jc w:val="both"/>
        <w:rPr>
          <w:rFonts w:ascii="Times New Roman" w:hAnsi="Times New Roman" w:cs="Times New Roman"/>
        </w:rPr>
      </w:pPr>
      <w:r w:rsidRPr="0050796E">
        <w:rPr>
          <w:rFonts w:ascii="Times New Roman" w:hAnsi="Times New Roman" w:cs="Times New Roman"/>
        </w:rPr>
        <w:t xml:space="preserve">Cette </w:t>
      </w:r>
      <w:r w:rsidR="00E45A17" w:rsidRPr="0050796E">
        <w:rPr>
          <w:rFonts w:ascii="Times New Roman" w:hAnsi="Times New Roman" w:cs="Times New Roman"/>
        </w:rPr>
        <w:t xml:space="preserve">impossibilité de suivre l’appel de </w:t>
      </w:r>
      <w:r w:rsidRPr="0050796E">
        <w:rPr>
          <w:rFonts w:ascii="Times New Roman" w:hAnsi="Times New Roman" w:cs="Times New Roman"/>
        </w:rPr>
        <w:t>la partie publique, tout particulièrement lorsque le recours est formé le dernier jour, n’est pas sans conséquence sur la situation du prévenu.</w:t>
      </w:r>
    </w:p>
    <w:p w:rsidR="0063355F" w:rsidRPr="0050796E" w:rsidRDefault="0063355F" w:rsidP="0050796E">
      <w:pPr>
        <w:jc w:val="both"/>
        <w:rPr>
          <w:rFonts w:ascii="Times New Roman" w:hAnsi="Times New Roman" w:cs="Times New Roman"/>
        </w:rPr>
      </w:pPr>
    </w:p>
    <w:p w:rsidR="0063355F" w:rsidRPr="0050796E" w:rsidRDefault="0063355F" w:rsidP="0050796E">
      <w:pPr>
        <w:jc w:val="both"/>
        <w:rPr>
          <w:rFonts w:ascii="Times New Roman" w:hAnsi="Times New Roman" w:cs="Times New Roman"/>
        </w:rPr>
      </w:pPr>
      <w:r w:rsidRPr="0050796E">
        <w:rPr>
          <w:rFonts w:ascii="Times New Roman" w:hAnsi="Times New Roman" w:cs="Times New Roman"/>
        </w:rPr>
        <w:t xml:space="preserve">Dans ce cas, comme l’observe la Cour constitutionnelle, le </w:t>
      </w:r>
      <w:proofErr w:type="spellStart"/>
      <w:r w:rsidRPr="0050796E">
        <w:rPr>
          <w:rFonts w:ascii="Times New Roman" w:hAnsi="Times New Roman" w:cs="Times New Roman"/>
        </w:rPr>
        <w:t>prévenu</w:t>
      </w:r>
      <w:proofErr w:type="spellEnd"/>
      <w:r w:rsidRPr="0050796E">
        <w:rPr>
          <w:rFonts w:ascii="Times New Roman" w:hAnsi="Times New Roman" w:cs="Times New Roman"/>
        </w:rPr>
        <w:t xml:space="preserve"> ne pourra pas, ou ne pourra que </w:t>
      </w:r>
      <w:proofErr w:type="spellStart"/>
      <w:r w:rsidRPr="0050796E">
        <w:rPr>
          <w:rFonts w:ascii="Times New Roman" w:hAnsi="Times New Roman" w:cs="Times New Roman"/>
        </w:rPr>
        <w:t>très</w:t>
      </w:r>
      <w:proofErr w:type="spellEnd"/>
      <w:r w:rsidRPr="0050796E">
        <w:rPr>
          <w:rFonts w:ascii="Times New Roman" w:hAnsi="Times New Roman" w:cs="Times New Roman"/>
        </w:rPr>
        <w:t xml:space="preserve"> difficilement, introduire un recours contre les parties du jugement attaqué non </w:t>
      </w:r>
      <w:proofErr w:type="spellStart"/>
      <w:r w:rsidRPr="0050796E">
        <w:rPr>
          <w:rFonts w:ascii="Times New Roman" w:hAnsi="Times New Roman" w:cs="Times New Roman"/>
        </w:rPr>
        <w:t>visées</w:t>
      </w:r>
      <w:proofErr w:type="spellEnd"/>
      <w:r w:rsidRPr="0050796E">
        <w:rPr>
          <w:rFonts w:ascii="Times New Roman" w:hAnsi="Times New Roman" w:cs="Times New Roman"/>
        </w:rPr>
        <w:t xml:space="preserve"> par l’appel du </w:t>
      </w:r>
      <w:proofErr w:type="spellStart"/>
      <w:r w:rsidRPr="0050796E">
        <w:rPr>
          <w:rFonts w:ascii="Times New Roman" w:hAnsi="Times New Roman" w:cs="Times New Roman"/>
        </w:rPr>
        <w:t>ministère</w:t>
      </w:r>
      <w:proofErr w:type="spellEnd"/>
      <w:r w:rsidRPr="0050796E">
        <w:rPr>
          <w:rFonts w:ascii="Times New Roman" w:hAnsi="Times New Roman" w:cs="Times New Roman"/>
        </w:rPr>
        <w:t xml:space="preserve"> public, alors que ce dernier a toujours le temps de </w:t>
      </w:r>
      <w:proofErr w:type="spellStart"/>
      <w:r w:rsidRPr="0050796E">
        <w:rPr>
          <w:rFonts w:ascii="Times New Roman" w:hAnsi="Times New Roman" w:cs="Times New Roman"/>
        </w:rPr>
        <w:t>réagir</w:t>
      </w:r>
      <w:proofErr w:type="spellEnd"/>
      <w:r w:rsidRPr="0050796E">
        <w:rPr>
          <w:rFonts w:ascii="Times New Roman" w:hAnsi="Times New Roman" w:cs="Times New Roman"/>
        </w:rPr>
        <w:t xml:space="preserve"> à un appel, total ou partiel, </w:t>
      </w:r>
      <w:proofErr w:type="spellStart"/>
      <w:r w:rsidRPr="0050796E">
        <w:rPr>
          <w:rFonts w:ascii="Times New Roman" w:hAnsi="Times New Roman" w:cs="Times New Roman"/>
        </w:rPr>
        <w:t>interjete</w:t>
      </w:r>
      <w:proofErr w:type="spellEnd"/>
      <w:r w:rsidRPr="0050796E">
        <w:rPr>
          <w:rFonts w:ascii="Times New Roman" w:hAnsi="Times New Roman" w:cs="Times New Roman"/>
        </w:rPr>
        <w:t xml:space="preserve">́ </w:t>
      </w:r>
      <w:r w:rsidRPr="0050796E">
        <w:rPr>
          <w:rFonts w:ascii="Times New Roman" w:hAnsi="Times New Roman" w:cs="Times New Roman"/>
          <w:i/>
          <w:iCs/>
        </w:rPr>
        <w:t>in extremis</w:t>
      </w:r>
      <w:r w:rsidRPr="0050796E">
        <w:rPr>
          <w:rFonts w:ascii="Times New Roman" w:hAnsi="Times New Roman" w:cs="Times New Roman"/>
        </w:rPr>
        <w:t xml:space="preserve"> par le </w:t>
      </w:r>
      <w:proofErr w:type="spellStart"/>
      <w:r w:rsidRPr="0050796E">
        <w:rPr>
          <w:rFonts w:ascii="Times New Roman" w:hAnsi="Times New Roman" w:cs="Times New Roman"/>
        </w:rPr>
        <w:t>prévenu</w:t>
      </w:r>
      <w:proofErr w:type="spellEnd"/>
      <w:r w:rsidRPr="0050796E">
        <w:rPr>
          <w:rFonts w:ascii="Times New Roman" w:hAnsi="Times New Roman" w:cs="Times New Roman"/>
        </w:rPr>
        <w:t xml:space="preserve">. </w:t>
      </w:r>
    </w:p>
    <w:p w:rsidR="0063355F" w:rsidRPr="0050796E" w:rsidRDefault="0063355F" w:rsidP="0050796E">
      <w:pPr>
        <w:pStyle w:val="NormalWeb"/>
        <w:jc w:val="both"/>
        <w:rPr>
          <w:rFonts w:ascii="Times New Roman" w:hAnsi="Times New Roman"/>
          <w:sz w:val="24"/>
          <w:szCs w:val="24"/>
        </w:rPr>
      </w:pPr>
      <w:r w:rsidRPr="0050796E">
        <w:rPr>
          <w:rFonts w:ascii="Times New Roman" w:hAnsi="Times New Roman"/>
          <w:sz w:val="24"/>
          <w:szCs w:val="24"/>
        </w:rPr>
        <w:t xml:space="preserve">La Cour ajoute que cette limitation est encore </w:t>
      </w:r>
      <w:proofErr w:type="spellStart"/>
      <w:r w:rsidRPr="0050796E">
        <w:rPr>
          <w:rFonts w:ascii="Times New Roman" w:hAnsi="Times New Roman"/>
          <w:sz w:val="24"/>
          <w:szCs w:val="24"/>
        </w:rPr>
        <w:t>aggravée</w:t>
      </w:r>
      <w:proofErr w:type="spellEnd"/>
      <w:r w:rsidRPr="0050796E">
        <w:rPr>
          <w:rFonts w:ascii="Times New Roman" w:hAnsi="Times New Roman"/>
          <w:sz w:val="24"/>
          <w:szCs w:val="24"/>
        </w:rPr>
        <w:t xml:space="preserve"> par le fait qu’aucune disposition </w:t>
      </w:r>
      <w:proofErr w:type="spellStart"/>
      <w:r w:rsidRPr="0050796E">
        <w:rPr>
          <w:rFonts w:ascii="Times New Roman" w:hAnsi="Times New Roman"/>
          <w:sz w:val="24"/>
          <w:szCs w:val="24"/>
        </w:rPr>
        <w:t>législative</w:t>
      </w:r>
      <w:proofErr w:type="spellEnd"/>
      <w:r w:rsidRPr="0050796E">
        <w:rPr>
          <w:rFonts w:ascii="Times New Roman" w:hAnsi="Times New Roman"/>
          <w:sz w:val="24"/>
          <w:szCs w:val="24"/>
        </w:rPr>
        <w:t xml:space="preserve"> n’exige que le </w:t>
      </w:r>
      <w:proofErr w:type="spellStart"/>
      <w:r w:rsidRPr="0050796E">
        <w:rPr>
          <w:rFonts w:ascii="Times New Roman" w:hAnsi="Times New Roman"/>
          <w:sz w:val="24"/>
          <w:szCs w:val="24"/>
        </w:rPr>
        <w:t>prévenu</w:t>
      </w:r>
      <w:proofErr w:type="spellEnd"/>
      <w:r w:rsidRPr="0050796E">
        <w:rPr>
          <w:rFonts w:ascii="Times New Roman" w:hAnsi="Times New Roman"/>
          <w:sz w:val="24"/>
          <w:szCs w:val="24"/>
        </w:rPr>
        <w:t xml:space="preserve"> soit informé de la </w:t>
      </w:r>
      <w:proofErr w:type="spellStart"/>
      <w:r w:rsidRPr="0050796E">
        <w:rPr>
          <w:rFonts w:ascii="Times New Roman" w:hAnsi="Times New Roman"/>
          <w:sz w:val="24"/>
          <w:szCs w:val="24"/>
        </w:rPr>
        <w:t>déclaration</w:t>
      </w:r>
      <w:proofErr w:type="spellEnd"/>
      <w:r w:rsidRPr="0050796E">
        <w:rPr>
          <w:rFonts w:ascii="Times New Roman" w:hAnsi="Times New Roman"/>
          <w:sz w:val="24"/>
          <w:szCs w:val="24"/>
        </w:rPr>
        <w:t xml:space="preserve"> d’appel du </w:t>
      </w:r>
      <w:proofErr w:type="spellStart"/>
      <w:r w:rsidRPr="0050796E">
        <w:rPr>
          <w:rFonts w:ascii="Times New Roman" w:hAnsi="Times New Roman"/>
          <w:sz w:val="24"/>
          <w:szCs w:val="24"/>
        </w:rPr>
        <w:t>ministère</w:t>
      </w:r>
      <w:proofErr w:type="spellEnd"/>
      <w:r w:rsidRPr="0050796E">
        <w:rPr>
          <w:rFonts w:ascii="Times New Roman" w:hAnsi="Times New Roman"/>
          <w:sz w:val="24"/>
          <w:szCs w:val="24"/>
        </w:rPr>
        <w:t xml:space="preserve"> public autrement que par la citation à </w:t>
      </w:r>
      <w:proofErr w:type="spellStart"/>
      <w:r w:rsidRPr="0050796E">
        <w:rPr>
          <w:rFonts w:ascii="Times New Roman" w:hAnsi="Times New Roman"/>
          <w:sz w:val="24"/>
          <w:szCs w:val="24"/>
        </w:rPr>
        <w:t>comparaître</w:t>
      </w:r>
      <w:proofErr w:type="spellEnd"/>
      <w:r w:rsidRPr="0050796E">
        <w:rPr>
          <w:rFonts w:ascii="Times New Roman" w:hAnsi="Times New Roman"/>
          <w:sz w:val="24"/>
          <w:szCs w:val="24"/>
        </w:rPr>
        <w:t xml:space="preserve"> devant la juridiction d’appel, qui peut n’</w:t>
      </w:r>
      <w:proofErr w:type="spellStart"/>
      <w:r w:rsidRPr="0050796E">
        <w:rPr>
          <w:rFonts w:ascii="Times New Roman" w:hAnsi="Times New Roman"/>
          <w:sz w:val="24"/>
          <w:szCs w:val="24"/>
        </w:rPr>
        <w:t>être</w:t>
      </w:r>
      <w:proofErr w:type="spellEnd"/>
      <w:r w:rsidRPr="0050796E">
        <w:rPr>
          <w:rFonts w:ascii="Times New Roman" w:hAnsi="Times New Roman"/>
          <w:sz w:val="24"/>
          <w:szCs w:val="24"/>
        </w:rPr>
        <w:t xml:space="preserve"> </w:t>
      </w:r>
      <w:proofErr w:type="spellStart"/>
      <w:r w:rsidRPr="0050796E">
        <w:rPr>
          <w:rFonts w:ascii="Times New Roman" w:hAnsi="Times New Roman"/>
          <w:sz w:val="24"/>
          <w:szCs w:val="24"/>
        </w:rPr>
        <w:t>signifiée</w:t>
      </w:r>
      <w:proofErr w:type="spellEnd"/>
      <w:r w:rsidRPr="0050796E">
        <w:rPr>
          <w:rFonts w:ascii="Times New Roman" w:hAnsi="Times New Roman"/>
          <w:sz w:val="24"/>
          <w:szCs w:val="24"/>
        </w:rPr>
        <w:t xml:space="preserve"> au </w:t>
      </w:r>
      <w:proofErr w:type="spellStart"/>
      <w:r w:rsidRPr="0050796E">
        <w:rPr>
          <w:rFonts w:ascii="Times New Roman" w:hAnsi="Times New Roman"/>
          <w:sz w:val="24"/>
          <w:szCs w:val="24"/>
        </w:rPr>
        <w:t>prévenu</w:t>
      </w:r>
      <w:proofErr w:type="spellEnd"/>
      <w:r w:rsidRPr="0050796E">
        <w:rPr>
          <w:rFonts w:ascii="Times New Roman" w:hAnsi="Times New Roman"/>
          <w:sz w:val="24"/>
          <w:szCs w:val="24"/>
        </w:rPr>
        <w:t xml:space="preserve"> que bien plus tard. À l’inverse, le </w:t>
      </w:r>
      <w:proofErr w:type="spellStart"/>
      <w:r w:rsidRPr="0050796E">
        <w:rPr>
          <w:rFonts w:ascii="Times New Roman" w:hAnsi="Times New Roman"/>
          <w:sz w:val="24"/>
          <w:szCs w:val="24"/>
        </w:rPr>
        <w:t>ministère</w:t>
      </w:r>
      <w:proofErr w:type="spellEnd"/>
      <w:r w:rsidRPr="0050796E">
        <w:rPr>
          <w:rFonts w:ascii="Times New Roman" w:hAnsi="Times New Roman"/>
          <w:sz w:val="24"/>
          <w:szCs w:val="24"/>
        </w:rPr>
        <w:t xml:space="preserve"> public est informé par le greffe le jour du </w:t>
      </w:r>
      <w:proofErr w:type="spellStart"/>
      <w:r w:rsidRPr="0050796E">
        <w:rPr>
          <w:rFonts w:ascii="Times New Roman" w:hAnsi="Times New Roman"/>
          <w:sz w:val="24"/>
          <w:szCs w:val="24"/>
        </w:rPr>
        <w:t>dépôt</w:t>
      </w:r>
      <w:proofErr w:type="spellEnd"/>
      <w:r w:rsidRPr="0050796E">
        <w:rPr>
          <w:rFonts w:ascii="Times New Roman" w:hAnsi="Times New Roman"/>
          <w:sz w:val="24"/>
          <w:szCs w:val="24"/>
        </w:rPr>
        <w:t xml:space="preserve"> par le </w:t>
      </w:r>
      <w:proofErr w:type="spellStart"/>
      <w:r w:rsidRPr="0050796E">
        <w:rPr>
          <w:rFonts w:ascii="Times New Roman" w:hAnsi="Times New Roman"/>
          <w:sz w:val="24"/>
          <w:szCs w:val="24"/>
        </w:rPr>
        <w:t>prévenu</w:t>
      </w:r>
      <w:proofErr w:type="spellEnd"/>
      <w:r w:rsidRPr="0050796E">
        <w:rPr>
          <w:rFonts w:ascii="Times New Roman" w:hAnsi="Times New Roman"/>
          <w:sz w:val="24"/>
          <w:szCs w:val="24"/>
        </w:rPr>
        <w:t xml:space="preserve"> de la </w:t>
      </w:r>
      <w:proofErr w:type="spellStart"/>
      <w:r w:rsidRPr="0050796E">
        <w:rPr>
          <w:rFonts w:ascii="Times New Roman" w:hAnsi="Times New Roman"/>
          <w:sz w:val="24"/>
          <w:szCs w:val="24"/>
        </w:rPr>
        <w:t>requête</w:t>
      </w:r>
      <w:proofErr w:type="spellEnd"/>
      <w:r w:rsidRPr="0050796E">
        <w:rPr>
          <w:rFonts w:ascii="Times New Roman" w:hAnsi="Times New Roman"/>
          <w:sz w:val="24"/>
          <w:szCs w:val="24"/>
        </w:rPr>
        <w:t xml:space="preserve"> d’appel. </w:t>
      </w:r>
    </w:p>
    <w:p w:rsidR="0063355F" w:rsidRPr="0050796E" w:rsidRDefault="0063355F" w:rsidP="0050796E">
      <w:pPr>
        <w:pStyle w:val="NormalWeb"/>
        <w:jc w:val="both"/>
        <w:rPr>
          <w:rFonts w:ascii="Times New Roman" w:hAnsi="Times New Roman"/>
          <w:sz w:val="24"/>
          <w:szCs w:val="24"/>
        </w:rPr>
      </w:pPr>
      <w:r w:rsidRPr="0050796E">
        <w:rPr>
          <w:rFonts w:ascii="Times New Roman" w:hAnsi="Times New Roman"/>
          <w:sz w:val="24"/>
          <w:szCs w:val="24"/>
        </w:rPr>
        <w:t xml:space="preserve">La Cour constitutionnelle conclut que priver le prévenu de la possibilité d’introduire un recours contre les dispositions non contestées par la partie publique dans sa requête d’appel limite de manière disproportionnée ses droits de la défense, et ce à plus forte raison que le ministère public dispose toujours d’un délai supplémentaire d’appel pour réagir à un appel interjeté </w:t>
      </w:r>
      <w:r w:rsidRPr="0050796E">
        <w:rPr>
          <w:rFonts w:ascii="Times New Roman" w:hAnsi="Times New Roman"/>
          <w:i/>
          <w:iCs/>
          <w:sz w:val="24"/>
          <w:szCs w:val="24"/>
        </w:rPr>
        <w:t>in extremis</w:t>
      </w:r>
      <w:r w:rsidRPr="0050796E">
        <w:rPr>
          <w:rFonts w:ascii="Times New Roman" w:hAnsi="Times New Roman"/>
          <w:sz w:val="24"/>
          <w:szCs w:val="24"/>
        </w:rPr>
        <w:t xml:space="preserve"> par le prévenu. </w:t>
      </w:r>
    </w:p>
    <w:p w:rsidR="0063355F" w:rsidRPr="0050796E" w:rsidRDefault="0063355F" w:rsidP="0050796E">
      <w:pPr>
        <w:pStyle w:val="NormalWeb"/>
        <w:jc w:val="both"/>
        <w:rPr>
          <w:rFonts w:ascii="Times New Roman" w:hAnsi="Times New Roman"/>
          <w:sz w:val="24"/>
          <w:szCs w:val="24"/>
        </w:rPr>
      </w:pPr>
      <w:r w:rsidRPr="0050796E">
        <w:rPr>
          <w:rFonts w:ascii="Times New Roman" w:hAnsi="Times New Roman"/>
          <w:sz w:val="24"/>
          <w:szCs w:val="24"/>
        </w:rPr>
        <w:t>Pour la Cour constitutionnelle, dans l’attente d’une intervention du législateur</w:t>
      </w:r>
      <w:r w:rsidRPr="0050796E">
        <w:rPr>
          <w:rStyle w:val="Appelnotedebasdep"/>
          <w:rFonts w:ascii="Times New Roman" w:hAnsi="Times New Roman"/>
          <w:sz w:val="24"/>
          <w:szCs w:val="24"/>
        </w:rPr>
        <w:footnoteReference w:id="5"/>
      </w:r>
      <w:r w:rsidRPr="0050796E">
        <w:rPr>
          <w:rFonts w:ascii="Times New Roman" w:hAnsi="Times New Roman"/>
          <w:sz w:val="24"/>
          <w:szCs w:val="24"/>
        </w:rPr>
        <w:t xml:space="preserve">, le juge comblera la lacune en retenant que l’appel formé par un </w:t>
      </w:r>
      <w:proofErr w:type="spellStart"/>
      <w:r w:rsidRPr="0050796E">
        <w:rPr>
          <w:rFonts w:ascii="Times New Roman" w:hAnsi="Times New Roman"/>
          <w:sz w:val="24"/>
          <w:szCs w:val="24"/>
        </w:rPr>
        <w:t>prévenu</w:t>
      </w:r>
      <w:proofErr w:type="spellEnd"/>
      <w:r w:rsidRPr="0050796E">
        <w:rPr>
          <w:rFonts w:ascii="Times New Roman" w:hAnsi="Times New Roman"/>
          <w:sz w:val="24"/>
          <w:szCs w:val="24"/>
        </w:rPr>
        <w:t xml:space="preserve"> contre un jugement contradictoire contre lequel le procureur du Roi a fait appel, limité ou pas</w:t>
      </w:r>
      <w:r w:rsidRPr="0050796E">
        <w:rPr>
          <w:rStyle w:val="Appelnotedebasdep"/>
          <w:rFonts w:ascii="Times New Roman" w:hAnsi="Times New Roman"/>
          <w:sz w:val="24"/>
          <w:szCs w:val="24"/>
        </w:rPr>
        <w:footnoteReference w:id="6"/>
      </w:r>
      <w:r w:rsidRPr="0050796E">
        <w:rPr>
          <w:rFonts w:ascii="Times New Roman" w:hAnsi="Times New Roman"/>
          <w:sz w:val="24"/>
          <w:szCs w:val="24"/>
        </w:rPr>
        <w:t xml:space="preserve">, </w:t>
      </w:r>
      <w:r w:rsidRPr="0050796E">
        <w:rPr>
          <w:rFonts w:ascii="Times New Roman" w:hAnsi="Times New Roman"/>
          <w:b/>
          <w:bCs/>
          <w:sz w:val="24"/>
          <w:szCs w:val="24"/>
        </w:rPr>
        <w:t xml:space="preserve">entre le </w:t>
      </w:r>
      <w:proofErr w:type="spellStart"/>
      <w:r w:rsidRPr="0050796E">
        <w:rPr>
          <w:rFonts w:ascii="Times New Roman" w:hAnsi="Times New Roman"/>
          <w:b/>
          <w:bCs/>
          <w:sz w:val="24"/>
          <w:szCs w:val="24"/>
        </w:rPr>
        <w:t>vingtième</w:t>
      </w:r>
      <w:proofErr w:type="spellEnd"/>
      <w:r w:rsidRPr="0050796E">
        <w:rPr>
          <w:rFonts w:ascii="Times New Roman" w:hAnsi="Times New Roman"/>
          <w:b/>
          <w:bCs/>
          <w:sz w:val="24"/>
          <w:szCs w:val="24"/>
        </w:rPr>
        <w:t xml:space="preserve"> et le </w:t>
      </w:r>
      <w:proofErr w:type="spellStart"/>
      <w:r w:rsidRPr="0050796E">
        <w:rPr>
          <w:rFonts w:ascii="Times New Roman" w:hAnsi="Times New Roman"/>
          <w:b/>
          <w:bCs/>
          <w:sz w:val="24"/>
          <w:szCs w:val="24"/>
        </w:rPr>
        <w:t>trentième</w:t>
      </w:r>
      <w:proofErr w:type="spellEnd"/>
      <w:r w:rsidRPr="0050796E">
        <w:rPr>
          <w:rFonts w:ascii="Times New Roman" w:hAnsi="Times New Roman"/>
          <w:b/>
          <w:bCs/>
          <w:sz w:val="24"/>
          <w:szCs w:val="24"/>
        </w:rPr>
        <w:t xml:space="preserve"> jour du </w:t>
      </w:r>
      <w:proofErr w:type="spellStart"/>
      <w:r w:rsidRPr="0050796E">
        <w:rPr>
          <w:rFonts w:ascii="Times New Roman" w:hAnsi="Times New Roman"/>
          <w:b/>
          <w:bCs/>
          <w:sz w:val="24"/>
          <w:szCs w:val="24"/>
        </w:rPr>
        <w:t>délai</w:t>
      </w:r>
      <w:proofErr w:type="spellEnd"/>
      <w:r w:rsidRPr="0050796E">
        <w:rPr>
          <w:rFonts w:ascii="Times New Roman" w:hAnsi="Times New Roman"/>
          <w:b/>
          <w:bCs/>
          <w:sz w:val="24"/>
          <w:szCs w:val="24"/>
        </w:rPr>
        <w:t xml:space="preserve">, peut </w:t>
      </w:r>
      <w:proofErr w:type="spellStart"/>
      <w:r w:rsidRPr="0050796E">
        <w:rPr>
          <w:rFonts w:ascii="Times New Roman" w:hAnsi="Times New Roman"/>
          <w:b/>
          <w:bCs/>
          <w:sz w:val="24"/>
          <w:szCs w:val="24"/>
        </w:rPr>
        <w:t>être</w:t>
      </w:r>
      <w:proofErr w:type="spellEnd"/>
      <w:r w:rsidRPr="0050796E">
        <w:rPr>
          <w:rFonts w:ascii="Times New Roman" w:hAnsi="Times New Roman"/>
          <w:b/>
          <w:bCs/>
          <w:sz w:val="24"/>
          <w:szCs w:val="24"/>
        </w:rPr>
        <w:t xml:space="preserve"> </w:t>
      </w:r>
      <w:proofErr w:type="spellStart"/>
      <w:r w:rsidRPr="0050796E">
        <w:rPr>
          <w:rFonts w:ascii="Times New Roman" w:hAnsi="Times New Roman"/>
          <w:b/>
          <w:bCs/>
          <w:sz w:val="24"/>
          <w:szCs w:val="24"/>
        </w:rPr>
        <w:t>déclare</w:t>
      </w:r>
      <w:proofErr w:type="spellEnd"/>
      <w:r w:rsidRPr="0050796E">
        <w:rPr>
          <w:rFonts w:ascii="Times New Roman" w:hAnsi="Times New Roman"/>
          <w:b/>
          <w:bCs/>
          <w:sz w:val="24"/>
          <w:szCs w:val="24"/>
        </w:rPr>
        <w:t>́ recevable quand il est formé dans les dix jours qui suivent cet appel</w:t>
      </w:r>
      <w:r w:rsidRPr="0050796E">
        <w:rPr>
          <w:rStyle w:val="Appelnotedebasdep"/>
          <w:rFonts w:ascii="Times New Roman" w:hAnsi="Times New Roman"/>
          <w:sz w:val="24"/>
          <w:szCs w:val="24"/>
        </w:rPr>
        <w:footnoteReference w:id="7"/>
      </w:r>
      <w:r w:rsidRPr="0050796E">
        <w:rPr>
          <w:rFonts w:ascii="Times New Roman" w:hAnsi="Times New Roman"/>
          <w:sz w:val="24"/>
          <w:szCs w:val="24"/>
        </w:rPr>
        <w:t xml:space="preserve">. </w:t>
      </w:r>
    </w:p>
    <w:p w:rsidR="00F47FC9" w:rsidRPr="0050796E" w:rsidRDefault="001D654A" w:rsidP="0050796E">
      <w:pPr>
        <w:spacing w:before="100" w:beforeAutospacing="1" w:after="100" w:afterAutospacing="1"/>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Olivier Michiels </w:t>
      </w:r>
    </w:p>
    <w:p w:rsidR="00374FB2" w:rsidRPr="0050796E" w:rsidRDefault="00374FB2" w:rsidP="0050796E">
      <w:pPr>
        <w:jc w:val="both"/>
        <w:rPr>
          <w:rFonts w:ascii="Times New Roman" w:hAnsi="Times New Roman" w:cs="Times New Roman"/>
        </w:rPr>
      </w:pPr>
    </w:p>
    <w:sectPr w:rsidR="00374FB2" w:rsidRPr="005079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2E34" w:rsidRDefault="00812E34" w:rsidP="00B96FC3">
      <w:r>
        <w:separator/>
      </w:r>
    </w:p>
  </w:endnote>
  <w:endnote w:type="continuationSeparator" w:id="0">
    <w:p w:rsidR="00812E34" w:rsidRDefault="00812E34" w:rsidP="00B9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2E34" w:rsidRDefault="00812E34" w:rsidP="00B96FC3">
      <w:r>
        <w:separator/>
      </w:r>
    </w:p>
  </w:footnote>
  <w:footnote w:type="continuationSeparator" w:id="0">
    <w:p w:rsidR="00812E34" w:rsidRDefault="00812E34" w:rsidP="00B96FC3">
      <w:r>
        <w:continuationSeparator/>
      </w:r>
    </w:p>
  </w:footnote>
  <w:footnote w:id="1">
    <w:p w:rsidR="00B96FC3" w:rsidRPr="009C7FEE" w:rsidRDefault="00B96FC3" w:rsidP="00B96FC3">
      <w:pPr>
        <w:pStyle w:val="Notedebasdepage"/>
        <w:jc w:val="both"/>
        <w:rPr>
          <w:rFonts w:ascii="Times New Roman" w:hAnsi="Times New Roman" w:cs="Times New Roman"/>
          <w:sz w:val="20"/>
          <w:szCs w:val="20"/>
        </w:rPr>
      </w:pPr>
      <w:r w:rsidRPr="009C7FEE">
        <w:rPr>
          <w:rStyle w:val="Appelnotedebasdep"/>
          <w:rFonts w:ascii="Times New Roman" w:hAnsi="Times New Roman" w:cs="Times New Roman"/>
          <w:sz w:val="20"/>
          <w:szCs w:val="20"/>
        </w:rPr>
        <w:footnoteRef/>
      </w:r>
      <w:r w:rsidRPr="009C7FEE">
        <w:rPr>
          <w:rFonts w:ascii="Times New Roman" w:hAnsi="Times New Roman" w:cs="Times New Roman"/>
          <w:sz w:val="20"/>
          <w:szCs w:val="20"/>
        </w:rPr>
        <w:t xml:space="preserve"> C. </w:t>
      </w:r>
      <w:proofErr w:type="spellStart"/>
      <w:r w:rsidRPr="009C7FEE">
        <w:rPr>
          <w:rFonts w:ascii="Times New Roman" w:hAnsi="Times New Roman" w:cs="Times New Roman"/>
          <w:sz w:val="20"/>
          <w:szCs w:val="20"/>
        </w:rPr>
        <w:t>Const</w:t>
      </w:r>
      <w:proofErr w:type="spellEnd"/>
      <w:r w:rsidRPr="009C7FEE">
        <w:rPr>
          <w:rFonts w:ascii="Times New Roman" w:hAnsi="Times New Roman" w:cs="Times New Roman"/>
          <w:sz w:val="20"/>
          <w:szCs w:val="20"/>
        </w:rPr>
        <w:t>., 21 décembre 2017, n° 148/2017, point B.35.3.</w:t>
      </w:r>
    </w:p>
  </w:footnote>
  <w:footnote w:id="2">
    <w:p w:rsidR="0020639B" w:rsidRPr="003B666A" w:rsidRDefault="0020639B" w:rsidP="0020639B">
      <w:pPr>
        <w:pStyle w:val="Notedebasdepage"/>
        <w:jc w:val="both"/>
        <w:rPr>
          <w:rFonts w:ascii="Times New Roman" w:hAnsi="Times New Roman" w:cs="Times New Roman"/>
        </w:rPr>
      </w:pPr>
      <w:r w:rsidRPr="003B666A">
        <w:rPr>
          <w:rStyle w:val="Appelnotedebasdep"/>
          <w:rFonts w:ascii="Times New Roman" w:hAnsi="Times New Roman" w:cs="Times New Roman"/>
        </w:rPr>
        <w:footnoteRef/>
      </w:r>
      <w:r w:rsidRPr="003B666A">
        <w:rPr>
          <w:rFonts w:ascii="Times New Roman" w:hAnsi="Times New Roman" w:cs="Times New Roman"/>
        </w:rPr>
        <w:t xml:space="preserve"> Le juge du fond apprécie en fait les circonstances constitutives de la force majeure qui dispensent une partie de l’accomplissement d’une formalité prescrite par la loi ou qui justifient son accomplissement tardif (</w:t>
      </w:r>
      <w:proofErr w:type="spellStart"/>
      <w:r w:rsidRPr="003B666A">
        <w:rPr>
          <w:rFonts w:ascii="Times New Roman" w:hAnsi="Times New Roman" w:cs="Times New Roman"/>
        </w:rPr>
        <w:t>Cass</w:t>
      </w:r>
      <w:proofErr w:type="spellEnd"/>
      <w:r w:rsidRPr="003B666A">
        <w:rPr>
          <w:rFonts w:ascii="Times New Roman" w:hAnsi="Times New Roman" w:cs="Times New Roman"/>
        </w:rPr>
        <w:t xml:space="preserve">., 31 janvier 2017, P.16.1004.N). Relativement à l’absence de dépôt de requête d’appel, </w:t>
      </w:r>
      <w:proofErr w:type="spellStart"/>
      <w:r w:rsidRPr="003B666A">
        <w:rPr>
          <w:rFonts w:ascii="Times New Roman" w:hAnsi="Times New Roman" w:cs="Times New Roman"/>
        </w:rPr>
        <w:t>voy</w:t>
      </w:r>
      <w:proofErr w:type="spellEnd"/>
      <w:r w:rsidRPr="003B666A">
        <w:rPr>
          <w:rFonts w:ascii="Times New Roman" w:hAnsi="Times New Roman" w:cs="Times New Roman"/>
        </w:rPr>
        <w:t xml:space="preserve">. Mons, 25 novembre 2016, </w:t>
      </w:r>
      <w:proofErr w:type="spellStart"/>
      <w:r w:rsidRPr="003B666A">
        <w:rPr>
          <w:rFonts w:ascii="Times New Roman" w:hAnsi="Times New Roman" w:cs="Times New Roman"/>
        </w:rPr>
        <w:t>rép</w:t>
      </w:r>
      <w:proofErr w:type="spellEnd"/>
      <w:r w:rsidRPr="003B666A">
        <w:rPr>
          <w:rFonts w:ascii="Times New Roman" w:hAnsi="Times New Roman" w:cs="Times New Roman"/>
        </w:rPr>
        <w:t xml:space="preserve">. 2016/550 et Liège, 7 décembre 2016, not. 2016/CO/536 (cités par </w:t>
      </w:r>
      <w:r w:rsidRPr="003B666A">
        <w:rPr>
          <w:rFonts w:ascii="Times New Roman" w:hAnsi="Times New Roman" w:cs="Times New Roman"/>
          <w:sz w:val="18"/>
        </w:rPr>
        <w:t>M.-A. BEERNAERT</w:t>
      </w:r>
      <w:r w:rsidRPr="003B666A">
        <w:rPr>
          <w:rFonts w:ascii="Times New Roman" w:hAnsi="Times New Roman" w:cs="Times New Roman"/>
        </w:rPr>
        <w:t xml:space="preserve">, </w:t>
      </w:r>
      <w:r w:rsidRPr="003B666A">
        <w:rPr>
          <w:rFonts w:ascii="Times New Roman" w:hAnsi="Times New Roman" w:cs="Times New Roman"/>
          <w:sz w:val="18"/>
        </w:rPr>
        <w:t xml:space="preserve">H.-D. BOSLY </w:t>
      </w:r>
      <w:r w:rsidRPr="003B666A">
        <w:rPr>
          <w:rFonts w:ascii="Times New Roman" w:hAnsi="Times New Roman" w:cs="Times New Roman"/>
        </w:rPr>
        <w:t xml:space="preserve">et </w:t>
      </w:r>
      <w:r w:rsidRPr="003B666A">
        <w:rPr>
          <w:rFonts w:ascii="Times New Roman" w:hAnsi="Times New Roman" w:cs="Times New Roman"/>
          <w:sz w:val="18"/>
        </w:rPr>
        <w:t>D. VANDERMEERSCH</w:t>
      </w:r>
      <w:r w:rsidRPr="003B666A">
        <w:rPr>
          <w:rFonts w:ascii="Times New Roman" w:hAnsi="Times New Roman" w:cs="Times New Roman"/>
        </w:rPr>
        <w:t xml:space="preserve">, </w:t>
      </w:r>
      <w:r w:rsidRPr="003B666A">
        <w:rPr>
          <w:rFonts w:ascii="Times New Roman" w:hAnsi="Times New Roman" w:cs="Times New Roman"/>
          <w:i/>
        </w:rPr>
        <w:t xml:space="preserve">op. </w:t>
      </w:r>
      <w:proofErr w:type="spellStart"/>
      <w:proofErr w:type="gramStart"/>
      <w:r w:rsidRPr="003B666A">
        <w:rPr>
          <w:rFonts w:ascii="Times New Roman" w:hAnsi="Times New Roman" w:cs="Times New Roman"/>
          <w:i/>
        </w:rPr>
        <w:t>cit</w:t>
      </w:r>
      <w:proofErr w:type="spellEnd"/>
      <w:proofErr w:type="gramEnd"/>
      <w:r w:rsidRPr="003B666A">
        <w:rPr>
          <w:rFonts w:ascii="Times New Roman" w:hAnsi="Times New Roman" w:cs="Times New Roman"/>
          <w:i/>
        </w:rPr>
        <w:t>.</w:t>
      </w:r>
      <w:r w:rsidRPr="003B666A">
        <w:rPr>
          <w:rFonts w:ascii="Times New Roman" w:hAnsi="Times New Roman" w:cs="Times New Roman"/>
        </w:rPr>
        <w:t>, 8</w:t>
      </w:r>
      <w:r w:rsidRPr="003B666A">
        <w:rPr>
          <w:rFonts w:ascii="Times New Roman" w:hAnsi="Times New Roman" w:cs="Times New Roman"/>
          <w:vertAlign w:val="superscript"/>
        </w:rPr>
        <w:t>ème</w:t>
      </w:r>
      <w:r w:rsidRPr="003B666A">
        <w:rPr>
          <w:rFonts w:ascii="Times New Roman" w:hAnsi="Times New Roman" w:cs="Times New Roman"/>
        </w:rPr>
        <w:t xml:space="preserve"> éd., pp. 1494-1495).  </w:t>
      </w:r>
    </w:p>
  </w:footnote>
  <w:footnote w:id="3">
    <w:p w:rsidR="0020639B" w:rsidRPr="003B666A" w:rsidRDefault="0020639B" w:rsidP="0020639B">
      <w:pPr>
        <w:pStyle w:val="Notedebasdepage"/>
        <w:jc w:val="both"/>
        <w:rPr>
          <w:rFonts w:ascii="Times New Roman" w:hAnsi="Times New Roman" w:cs="Times New Roman"/>
        </w:rPr>
      </w:pPr>
      <w:r w:rsidRPr="003B666A">
        <w:rPr>
          <w:rStyle w:val="Appelnotedebasdep"/>
          <w:rFonts w:ascii="Times New Roman" w:hAnsi="Times New Roman" w:cs="Times New Roman"/>
        </w:rPr>
        <w:footnoteRef/>
      </w:r>
      <w:r w:rsidRPr="003B666A">
        <w:rPr>
          <w:rFonts w:ascii="Times New Roman" w:hAnsi="Times New Roman" w:cs="Times New Roman"/>
        </w:rPr>
        <w:t xml:space="preserve"> Sous réserve de l’appel interjeté par le ministère public d’appel, la déclaration d’appeler ne doit pas être signifiée aux parties contre lesquelles le recours est formé.</w:t>
      </w:r>
    </w:p>
  </w:footnote>
  <w:footnote w:id="4">
    <w:p w:rsidR="0020639B" w:rsidRPr="00D53641" w:rsidRDefault="0020639B" w:rsidP="0020639B">
      <w:pPr>
        <w:pStyle w:val="Notedebasdepage"/>
        <w:jc w:val="both"/>
        <w:rPr>
          <w:rFonts w:ascii="Times New Roman" w:hAnsi="Times New Roman" w:cs="Times New Roman"/>
        </w:rPr>
      </w:pPr>
      <w:r w:rsidRPr="003B666A">
        <w:rPr>
          <w:rStyle w:val="Appelnotedebasdep"/>
          <w:rFonts w:ascii="Times New Roman" w:hAnsi="Times New Roman" w:cs="Times New Roman"/>
        </w:rPr>
        <w:footnoteRef/>
      </w:r>
      <w:r w:rsidRPr="003B666A">
        <w:rPr>
          <w:rFonts w:ascii="Times New Roman" w:hAnsi="Times New Roman" w:cs="Times New Roman"/>
        </w:rPr>
        <w:t xml:space="preserve"> </w:t>
      </w:r>
      <w:r w:rsidRPr="00D53641">
        <w:rPr>
          <w:rFonts w:ascii="Times New Roman" w:hAnsi="Times New Roman" w:cs="Times New Roman"/>
        </w:rPr>
        <w:t>À peine de déchéance de l’appel, la requête doit être signée par l’appelant, son conseil ou un fondé de pouvoir (</w:t>
      </w:r>
      <w:proofErr w:type="spellStart"/>
      <w:r w:rsidRPr="00D53641">
        <w:rPr>
          <w:rFonts w:ascii="Times New Roman" w:hAnsi="Times New Roman" w:cs="Times New Roman"/>
        </w:rPr>
        <w:t>Cass</w:t>
      </w:r>
      <w:proofErr w:type="spellEnd"/>
      <w:r w:rsidRPr="00D53641">
        <w:rPr>
          <w:rFonts w:ascii="Times New Roman" w:hAnsi="Times New Roman" w:cs="Times New Roman"/>
        </w:rPr>
        <w:t>., 30 mai 2017, P.17.0123.N, Pas., 2017, à sa date).</w:t>
      </w:r>
    </w:p>
  </w:footnote>
  <w:footnote w:id="5">
    <w:p w:rsidR="0063355F" w:rsidRPr="00432B35" w:rsidRDefault="0063355F" w:rsidP="0063355F">
      <w:pPr>
        <w:jc w:val="both"/>
        <w:rPr>
          <w:rFonts w:ascii="Times New Roman" w:hAnsi="Times New Roman" w:cs="Times New Roman"/>
          <w:sz w:val="20"/>
          <w:szCs w:val="20"/>
        </w:rPr>
      </w:pPr>
      <w:r w:rsidRPr="00432B35">
        <w:rPr>
          <w:rStyle w:val="Appelnotedebasdep"/>
          <w:rFonts w:ascii="Times New Roman" w:hAnsi="Times New Roman" w:cs="Times New Roman"/>
          <w:sz w:val="20"/>
          <w:szCs w:val="20"/>
        </w:rPr>
        <w:footnoteRef/>
      </w:r>
      <w:r w:rsidRPr="00432B35">
        <w:rPr>
          <w:rFonts w:ascii="Times New Roman" w:hAnsi="Times New Roman" w:cs="Times New Roman"/>
          <w:sz w:val="20"/>
          <w:szCs w:val="20"/>
        </w:rPr>
        <w:t xml:space="preserve"> La Cour constitutionnelle prévoit encore un maintien des effets de l’article 203 § 1</w:t>
      </w:r>
      <w:r w:rsidRPr="00432B35">
        <w:rPr>
          <w:rFonts w:ascii="Times New Roman" w:hAnsi="Times New Roman" w:cs="Times New Roman"/>
          <w:sz w:val="20"/>
          <w:szCs w:val="20"/>
          <w:vertAlign w:val="superscript"/>
        </w:rPr>
        <w:t>er</w:t>
      </w:r>
      <w:r w:rsidRPr="00432B35">
        <w:rPr>
          <w:rFonts w:ascii="Times New Roman" w:hAnsi="Times New Roman" w:cs="Times New Roman"/>
          <w:sz w:val="20"/>
          <w:szCs w:val="20"/>
        </w:rPr>
        <w:t xml:space="preserve"> pour les décisions judiciaires contradictoires définitives rendues avant la publication de l’arrêt commenté au Moniteur belge.</w:t>
      </w:r>
    </w:p>
  </w:footnote>
  <w:footnote w:id="6">
    <w:p w:rsidR="0063355F" w:rsidRPr="00432B35" w:rsidRDefault="0063355F" w:rsidP="0063355F">
      <w:pPr>
        <w:jc w:val="both"/>
        <w:rPr>
          <w:rFonts w:ascii="Times New Roman" w:hAnsi="Times New Roman" w:cs="Times New Roman"/>
          <w:sz w:val="20"/>
          <w:szCs w:val="20"/>
        </w:rPr>
      </w:pPr>
      <w:r w:rsidRPr="00432B35">
        <w:rPr>
          <w:rStyle w:val="Appelnotedebasdep"/>
          <w:rFonts w:ascii="Times New Roman" w:hAnsi="Times New Roman" w:cs="Times New Roman"/>
          <w:sz w:val="20"/>
          <w:szCs w:val="20"/>
        </w:rPr>
        <w:footnoteRef/>
      </w:r>
      <w:r w:rsidRPr="00432B35">
        <w:rPr>
          <w:rFonts w:ascii="Times New Roman" w:hAnsi="Times New Roman" w:cs="Times New Roman"/>
          <w:sz w:val="20"/>
          <w:szCs w:val="20"/>
        </w:rPr>
        <w:t xml:space="preserve"> La Cour constitutionnelle dans l’arrêt annoté indique que les articles 203 et 204 du Code d’instruction criminelle limitent les droits de la défense « </w:t>
      </w:r>
      <w:r w:rsidRPr="00432B35">
        <w:rPr>
          <w:rFonts w:ascii="Times New Roman" w:hAnsi="Times New Roman" w:cs="Times New Roman"/>
          <w:b/>
          <w:bCs/>
          <w:sz w:val="20"/>
          <w:szCs w:val="20"/>
        </w:rPr>
        <w:t>notamment</w:t>
      </w:r>
      <w:r w:rsidRPr="00432B35">
        <w:rPr>
          <w:rFonts w:ascii="Times New Roman" w:hAnsi="Times New Roman" w:cs="Times New Roman"/>
          <w:sz w:val="20"/>
          <w:szCs w:val="20"/>
        </w:rPr>
        <w:t xml:space="preserve"> lorsque le ministère public limite son appel à certaines préventions ou à la détermination de la peine à infliger ».</w:t>
      </w:r>
    </w:p>
  </w:footnote>
  <w:footnote w:id="7">
    <w:p w:rsidR="0063355F" w:rsidRPr="00432B35" w:rsidRDefault="0063355F" w:rsidP="0063355F">
      <w:pPr>
        <w:pStyle w:val="Notedebasdepage"/>
        <w:jc w:val="both"/>
        <w:rPr>
          <w:rFonts w:ascii="Times New Roman" w:hAnsi="Times New Roman" w:cs="Times New Roman"/>
        </w:rPr>
      </w:pPr>
      <w:r w:rsidRPr="00432B35">
        <w:rPr>
          <w:rStyle w:val="Appelnotedebasdep"/>
          <w:rFonts w:ascii="Times New Roman" w:hAnsi="Times New Roman" w:cs="Times New Roman"/>
        </w:rPr>
        <w:footnoteRef/>
      </w:r>
      <w:r w:rsidRPr="00432B35">
        <w:rPr>
          <w:rFonts w:ascii="Times New Roman" w:hAnsi="Times New Roman" w:cs="Times New Roman"/>
        </w:rPr>
        <w:t xml:space="preserve"> Ceci vaut également pour la partie civilement responsable qui doit être assimilée au prévenu.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11"/>
    <w:rsid w:val="00114F4E"/>
    <w:rsid w:val="0019660B"/>
    <w:rsid w:val="001D654A"/>
    <w:rsid w:val="0020639B"/>
    <w:rsid w:val="00272977"/>
    <w:rsid w:val="00374FB2"/>
    <w:rsid w:val="0050796E"/>
    <w:rsid w:val="0063355F"/>
    <w:rsid w:val="007C1BF3"/>
    <w:rsid w:val="00812E34"/>
    <w:rsid w:val="008E166C"/>
    <w:rsid w:val="00AF3138"/>
    <w:rsid w:val="00B96FC3"/>
    <w:rsid w:val="00CF7C94"/>
    <w:rsid w:val="00D17E1E"/>
    <w:rsid w:val="00E45A17"/>
    <w:rsid w:val="00ED7C7D"/>
    <w:rsid w:val="00F43A33"/>
    <w:rsid w:val="00F47FC9"/>
    <w:rsid w:val="00FA71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52D5"/>
  <w15:chartTrackingRefBased/>
  <w15:docId w15:val="{3F7880F0-2397-FF4D-9E97-FF58E7A9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ttexte">
    <w:name w:val="jt_texte"/>
    <w:basedOn w:val="Normal"/>
    <w:rsid w:val="00FA7111"/>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unhideWhenUsed/>
    <w:rsid w:val="00B96FC3"/>
    <w:pPr>
      <w:spacing w:before="100" w:beforeAutospacing="1" w:after="100" w:afterAutospacing="1"/>
    </w:pPr>
    <w:rPr>
      <w:rFonts w:ascii="Times" w:eastAsiaTheme="minorEastAsia" w:hAnsi="Times" w:cs="Times New Roman"/>
      <w:sz w:val="20"/>
      <w:szCs w:val="20"/>
      <w:lang w:eastAsia="fr-FR"/>
    </w:rPr>
  </w:style>
  <w:style w:type="paragraph" w:styleId="Notedebasdepage">
    <w:name w:val="footnote text"/>
    <w:aliases w:val="Ftnote-texte,Ftnote,fn,footnote text,Footnotes,Footnote ak Car"/>
    <w:basedOn w:val="Normal"/>
    <w:link w:val="NotedebasdepageCar"/>
    <w:unhideWhenUsed/>
    <w:rsid w:val="00B96FC3"/>
    <w:rPr>
      <w:rFonts w:eastAsiaTheme="minorEastAsia"/>
      <w:lang w:val="fr-FR" w:eastAsia="fr-FR"/>
    </w:rPr>
  </w:style>
  <w:style w:type="character" w:customStyle="1" w:styleId="NotedebasdepageCar">
    <w:name w:val="Note de bas de page Car"/>
    <w:aliases w:val="Ftnote-texte Car,Ftnote Car,fn Car,footnote text Car,Footnotes Car,Footnote ak Car Car"/>
    <w:basedOn w:val="Policepardfaut"/>
    <w:link w:val="Notedebasdepage"/>
    <w:rsid w:val="00B96FC3"/>
    <w:rPr>
      <w:rFonts w:eastAsiaTheme="minorEastAsia"/>
      <w:lang w:val="fr-FR" w:eastAsia="fr-FR"/>
    </w:rPr>
  </w:style>
  <w:style w:type="character" w:styleId="Appelnotedebasdep">
    <w:name w:val="footnote reference"/>
    <w:aliases w:val="appel de note bas de page,Appel note de bas de page,callout,Footnote Refernece,Footnotes refss,Footnote Reference Superscript,BVI fnr,Footnote Reference Number, BVI fnr,Footnote R,Footnote Reference N,Footnote Refere,FZ,Footnote"/>
    <w:basedOn w:val="Policepardfaut"/>
    <w:unhideWhenUsed/>
    <w:rsid w:val="00B96FC3"/>
    <w:rPr>
      <w:vertAlign w:val="superscript"/>
    </w:rPr>
  </w:style>
  <w:style w:type="paragraph" w:styleId="Textedebulles">
    <w:name w:val="Balloon Text"/>
    <w:basedOn w:val="Normal"/>
    <w:link w:val="TextedebullesCar"/>
    <w:uiPriority w:val="99"/>
    <w:semiHidden/>
    <w:unhideWhenUsed/>
    <w:rsid w:val="0050796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079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85551">
      <w:bodyDiv w:val="1"/>
      <w:marLeft w:val="0"/>
      <w:marRight w:val="0"/>
      <w:marTop w:val="0"/>
      <w:marBottom w:val="0"/>
      <w:divBdr>
        <w:top w:val="none" w:sz="0" w:space="0" w:color="auto"/>
        <w:left w:val="none" w:sz="0" w:space="0" w:color="auto"/>
        <w:bottom w:val="none" w:sz="0" w:space="0" w:color="auto"/>
        <w:right w:val="none" w:sz="0" w:space="0" w:color="auto"/>
      </w:divBdr>
    </w:div>
    <w:div w:id="780422324">
      <w:bodyDiv w:val="1"/>
      <w:marLeft w:val="0"/>
      <w:marRight w:val="0"/>
      <w:marTop w:val="0"/>
      <w:marBottom w:val="0"/>
      <w:divBdr>
        <w:top w:val="none" w:sz="0" w:space="0" w:color="auto"/>
        <w:left w:val="none" w:sz="0" w:space="0" w:color="auto"/>
        <w:bottom w:val="none" w:sz="0" w:space="0" w:color="auto"/>
        <w:right w:val="none" w:sz="0" w:space="0" w:color="auto"/>
      </w:divBdr>
    </w:div>
    <w:div w:id="835733073">
      <w:bodyDiv w:val="1"/>
      <w:marLeft w:val="0"/>
      <w:marRight w:val="0"/>
      <w:marTop w:val="0"/>
      <w:marBottom w:val="0"/>
      <w:divBdr>
        <w:top w:val="none" w:sz="0" w:space="0" w:color="auto"/>
        <w:left w:val="none" w:sz="0" w:space="0" w:color="auto"/>
        <w:bottom w:val="none" w:sz="0" w:space="0" w:color="auto"/>
        <w:right w:val="none" w:sz="0" w:space="0" w:color="auto"/>
      </w:divBdr>
      <w:divsChild>
        <w:div w:id="1090081993">
          <w:marLeft w:val="0"/>
          <w:marRight w:val="0"/>
          <w:marTop w:val="0"/>
          <w:marBottom w:val="0"/>
          <w:divBdr>
            <w:top w:val="none" w:sz="0" w:space="0" w:color="auto"/>
            <w:left w:val="none" w:sz="0" w:space="0" w:color="auto"/>
            <w:bottom w:val="none" w:sz="0" w:space="0" w:color="auto"/>
            <w:right w:val="none" w:sz="0" w:space="0" w:color="auto"/>
          </w:divBdr>
          <w:divsChild>
            <w:div w:id="1245452381">
              <w:marLeft w:val="0"/>
              <w:marRight w:val="0"/>
              <w:marTop w:val="0"/>
              <w:marBottom w:val="0"/>
              <w:divBdr>
                <w:top w:val="none" w:sz="0" w:space="0" w:color="auto"/>
                <w:left w:val="none" w:sz="0" w:space="0" w:color="auto"/>
                <w:bottom w:val="none" w:sz="0" w:space="0" w:color="auto"/>
                <w:right w:val="none" w:sz="0" w:space="0" w:color="auto"/>
              </w:divBdr>
              <w:divsChild>
                <w:div w:id="18484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6638">
      <w:bodyDiv w:val="1"/>
      <w:marLeft w:val="0"/>
      <w:marRight w:val="0"/>
      <w:marTop w:val="0"/>
      <w:marBottom w:val="0"/>
      <w:divBdr>
        <w:top w:val="none" w:sz="0" w:space="0" w:color="auto"/>
        <w:left w:val="none" w:sz="0" w:space="0" w:color="auto"/>
        <w:bottom w:val="none" w:sz="0" w:space="0" w:color="auto"/>
        <w:right w:val="none" w:sz="0" w:space="0" w:color="auto"/>
      </w:divBdr>
    </w:div>
    <w:div w:id="1546064919">
      <w:bodyDiv w:val="1"/>
      <w:marLeft w:val="0"/>
      <w:marRight w:val="0"/>
      <w:marTop w:val="0"/>
      <w:marBottom w:val="0"/>
      <w:divBdr>
        <w:top w:val="none" w:sz="0" w:space="0" w:color="auto"/>
        <w:left w:val="none" w:sz="0" w:space="0" w:color="auto"/>
        <w:bottom w:val="none" w:sz="0" w:space="0" w:color="auto"/>
        <w:right w:val="none" w:sz="0" w:space="0" w:color="auto"/>
      </w:divBdr>
    </w:div>
    <w:div w:id="1629899498">
      <w:bodyDiv w:val="1"/>
      <w:marLeft w:val="0"/>
      <w:marRight w:val="0"/>
      <w:marTop w:val="0"/>
      <w:marBottom w:val="0"/>
      <w:divBdr>
        <w:top w:val="none" w:sz="0" w:space="0" w:color="auto"/>
        <w:left w:val="none" w:sz="0" w:space="0" w:color="auto"/>
        <w:bottom w:val="none" w:sz="0" w:space="0" w:color="auto"/>
        <w:right w:val="none" w:sz="0" w:space="0" w:color="auto"/>
      </w:divBdr>
    </w:div>
    <w:div w:id="1679188923">
      <w:bodyDiv w:val="1"/>
      <w:marLeft w:val="0"/>
      <w:marRight w:val="0"/>
      <w:marTop w:val="0"/>
      <w:marBottom w:val="0"/>
      <w:divBdr>
        <w:top w:val="none" w:sz="0" w:space="0" w:color="auto"/>
        <w:left w:val="none" w:sz="0" w:space="0" w:color="auto"/>
        <w:bottom w:val="none" w:sz="0" w:space="0" w:color="auto"/>
        <w:right w:val="none" w:sz="0" w:space="0" w:color="auto"/>
      </w:divBdr>
    </w:div>
    <w:div w:id="1724717214">
      <w:bodyDiv w:val="1"/>
      <w:marLeft w:val="0"/>
      <w:marRight w:val="0"/>
      <w:marTop w:val="0"/>
      <w:marBottom w:val="0"/>
      <w:divBdr>
        <w:top w:val="none" w:sz="0" w:space="0" w:color="auto"/>
        <w:left w:val="none" w:sz="0" w:space="0" w:color="auto"/>
        <w:bottom w:val="none" w:sz="0" w:space="0" w:color="auto"/>
        <w:right w:val="none" w:sz="0" w:space="0" w:color="auto"/>
      </w:divBdr>
    </w:div>
    <w:div w:id="1986617698">
      <w:bodyDiv w:val="1"/>
      <w:marLeft w:val="0"/>
      <w:marRight w:val="0"/>
      <w:marTop w:val="0"/>
      <w:marBottom w:val="0"/>
      <w:divBdr>
        <w:top w:val="none" w:sz="0" w:space="0" w:color="auto"/>
        <w:left w:val="none" w:sz="0" w:space="0" w:color="auto"/>
        <w:bottom w:val="none" w:sz="0" w:space="0" w:color="auto"/>
        <w:right w:val="none" w:sz="0" w:space="0" w:color="auto"/>
      </w:divBdr>
    </w:div>
    <w:div w:id="21453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2002</Words>
  <Characters>11017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Michiels</dc:creator>
  <cp:keywords/>
  <dc:description/>
  <cp:lastModifiedBy>Olivier Michiels</cp:lastModifiedBy>
  <cp:revision>3</cp:revision>
  <cp:lastPrinted>2020-11-06T10:30:00Z</cp:lastPrinted>
  <dcterms:created xsi:type="dcterms:W3CDTF">2020-11-06T07:51:00Z</dcterms:created>
  <dcterms:modified xsi:type="dcterms:W3CDTF">2020-11-12T16:04:00Z</dcterms:modified>
</cp:coreProperties>
</file>