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1417"/>
        <w:gridCol w:w="5104"/>
      </w:tblGrid>
      <w:tr w:rsidR="003A3D62" w:rsidRPr="00715899" w14:paraId="5A6C9010" w14:textId="77777777" w:rsidTr="003A3D62">
        <w:trPr>
          <w:trHeight w:val="1975"/>
        </w:trPr>
        <w:tc>
          <w:tcPr>
            <w:tcW w:w="5103" w:type="dxa"/>
            <w:gridSpan w:val="2"/>
          </w:tcPr>
          <w:p w14:paraId="0DEE9F6A" w14:textId="507138D5" w:rsidR="003A3D62" w:rsidRDefault="003A3D62" w:rsidP="003A3D62">
            <w:pPr>
              <w:jc w:val="left"/>
              <w:rPr>
                <w:rFonts w:cs="Arial"/>
                <w:b/>
                <w:bCs/>
                <w:sz w:val="28"/>
                <w:szCs w:val="28"/>
                <w:lang w:val="fr-FR"/>
              </w:rPr>
            </w:pPr>
            <w:r>
              <w:rPr>
                <w:noProof/>
                <w:lang w:val="fr-BE" w:eastAsia="fr-BE"/>
              </w:rPr>
              <w:drawing>
                <wp:inline distT="0" distB="0" distL="0" distR="0" wp14:anchorId="229E2D7B" wp14:editId="664ECEF1">
                  <wp:extent cx="3086100" cy="2057400"/>
                  <wp:effectExtent l="0" t="0" r="0" b="0"/>
                  <wp:docPr id="1" name="Image 1" descr="https://www.alass.org/wp-content/uploads/calass2019_pag-fr-O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alass.org/wp-content/uploads/calass2019_pag-fr-OK.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86100" cy="2057400"/>
                          </a:xfrm>
                          <a:prstGeom prst="rect">
                            <a:avLst/>
                          </a:prstGeom>
                          <a:noFill/>
                          <a:ln>
                            <a:noFill/>
                          </a:ln>
                        </pic:spPr>
                      </pic:pic>
                    </a:graphicData>
                  </a:graphic>
                </wp:inline>
              </w:drawing>
            </w:r>
          </w:p>
        </w:tc>
        <w:tc>
          <w:tcPr>
            <w:tcW w:w="5104" w:type="dxa"/>
          </w:tcPr>
          <w:p w14:paraId="78ACD725" w14:textId="77777777" w:rsidR="003A3D62" w:rsidRDefault="003A3D62" w:rsidP="003A3D62">
            <w:pPr>
              <w:pStyle w:val="Default"/>
              <w:rPr>
                <w:rFonts w:ascii="Calibri" w:hAnsi="Calibri" w:cs="Arial"/>
                <w:b/>
                <w:bCs/>
                <w:color w:val="auto"/>
                <w:sz w:val="28"/>
                <w:szCs w:val="28"/>
                <w:lang w:val="fr-FR"/>
              </w:rPr>
            </w:pPr>
          </w:p>
          <w:p w14:paraId="428F02B3" w14:textId="19C6AFF0" w:rsidR="003A3D62" w:rsidRPr="0091582E" w:rsidRDefault="003A3D62" w:rsidP="003A3D62">
            <w:pPr>
              <w:pStyle w:val="Default"/>
              <w:rPr>
                <w:rFonts w:ascii="Calibri" w:hAnsi="Calibri" w:cs="Arial"/>
                <w:b/>
                <w:bCs/>
                <w:color w:val="auto"/>
                <w:sz w:val="28"/>
                <w:szCs w:val="28"/>
                <w:lang w:val="fr-FR"/>
              </w:rPr>
            </w:pPr>
            <w:r w:rsidRPr="0091582E">
              <w:rPr>
                <w:rFonts w:ascii="Calibri" w:hAnsi="Calibri" w:cs="Arial"/>
                <w:b/>
                <w:bCs/>
                <w:color w:val="auto"/>
                <w:sz w:val="28"/>
                <w:szCs w:val="28"/>
                <w:lang w:val="fr-FR"/>
              </w:rPr>
              <w:t>CALASS 201</w:t>
            </w:r>
            <w:r>
              <w:rPr>
                <w:rFonts w:ascii="Calibri" w:hAnsi="Calibri" w:cs="Arial"/>
                <w:b/>
                <w:bCs/>
                <w:color w:val="auto"/>
                <w:sz w:val="28"/>
                <w:szCs w:val="28"/>
                <w:lang w:val="fr-FR"/>
              </w:rPr>
              <w:t>9</w:t>
            </w:r>
          </w:p>
          <w:p w14:paraId="03676E23" w14:textId="77777777" w:rsidR="003A3D62" w:rsidRDefault="003A3D62" w:rsidP="003A3D62">
            <w:pPr>
              <w:jc w:val="left"/>
              <w:rPr>
                <w:rFonts w:cs="Arial"/>
                <w:b/>
                <w:bCs/>
                <w:sz w:val="28"/>
                <w:szCs w:val="28"/>
                <w:lang w:val="fr-FR"/>
              </w:rPr>
            </w:pPr>
            <w:r>
              <w:rPr>
                <w:rFonts w:cs="Arial"/>
                <w:b/>
                <w:bCs/>
                <w:sz w:val="28"/>
                <w:szCs w:val="28"/>
                <w:lang w:val="fr-FR"/>
              </w:rPr>
              <w:t>Montréal, 22 au 24 aout 2019</w:t>
            </w:r>
          </w:p>
          <w:p w14:paraId="35F2E6DA" w14:textId="31F8F7C7" w:rsidR="003A3D62" w:rsidRDefault="003A3D62" w:rsidP="003A3D62">
            <w:pPr>
              <w:jc w:val="left"/>
              <w:rPr>
                <w:rFonts w:cs="Arial"/>
                <w:b/>
                <w:bCs/>
                <w:sz w:val="28"/>
                <w:szCs w:val="28"/>
                <w:lang w:val="fr-FR"/>
              </w:rPr>
            </w:pPr>
            <w:r>
              <w:rPr>
                <w:rFonts w:cs="Arial"/>
                <w:b/>
                <w:bCs/>
                <w:sz w:val="28"/>
                <w:szCs w:val="28"/>
                <w:lang w:val="fr-FR"/>
              </w:rPr>
              <w:t>Formulaire de soumission de communication libre</w:t>
            </w:r>
          </w:p>
          <w:p w14:paraId="69FCCB95" w14:textId="120CA37B" w:rsidR="003A3D62" w:rsidRDefault="003A3D62" w:rsidP="003A3D62">
            <w:pPr>
              <w:jc w:val="left"/>
              <w:rPr>
                <w:rFonts w:cs="Arial"/>
                <w:b/>
                <w:bCs/>
                <w:sz w:val="28"/>
                <w:szCs w:val="28"/>
                <w:lang w:val="fr-FR"/>
              </w:rPr>
            </w:pPr>
            <w:r>
              <w:rPr>
                <w:rFonts w:cs="Arial"/>
                <w:b/>
                <w:bCs/>
                <w:sz w:val="28"/>
                <w:szCs w:val="28"/>
                <w:lang w:val="fr-FR"/>
              </w:rPr>
              <w:t xml:space="preserve">Date limite : </w:t>
            </w:r>
            <w:r w:rsidR="006B3500">
              <w:rPr>
                <w:rFonts w:cs="Arial"/>
                <w:b/>
                <w:bCs/>
                <w:sz w:val="28"/>
                <w:szCs w:val="28"/>
                <w:lang w:val="fr-FR"/>
              </w:rPr>
              <w:t>2</w:t>
            </w:r>
            <w:r w:rsidR="00715899">
              <w:rPr>
                <w:rFonts w:cs="Arial"/>
                <w:b/>
                <w:bCs/>
                <w:sz w:val="28"/>
                <w:szCs w:val="28"/>
                <w:lang w:val="fr-FR"/>
              </w:rPr>
              <w:t>9</w:t>
            </w:r>
            <w:r>
              <w:rPr>
                <w:rFonts w:cs="Arial"/>
                <w:b/>
                <w:bCs/>
                <w:sz w:val="28"/>
                <w:szCs w:val="28"/>
                <w:lang w:val="fr-FR"/>
              </w:rPr>
              <w:t xml:space="preserve"> avril 2019</w:t>
            </w:r>
          </w:p>
          <w:p w14:paraId="2C1843A8" w14:textId="03685424" w:rsidR="003A3D62" w:rsidRPr="00051128" w:rsidRDefault="003A3D62" w:rsidP="003A3D62">
            <w:pPr>
              <w:jc w:val="left"/>
              <w:rPr>
                <w:rFonts w:cs="Arial"/>
                <w:bCs/>
                <w:sz w:val="28"/>
                <w:szCs w:val="28"/>
                <w:lang w:val="fr-FR"/>
              </w:rPr>
            </w:pPr>
            <w:r w:rsidRPr="00051128">
              <w:rPr>
                <w:rFonts w:cs="Arial"/>
                <w:bCs/>
                <w:szCs w:val="28"/>
                <w:lang w:val="fr-FR"/>
              </w:rPr>
              <w:t xml:space="preserve">Le formulaire rempli doit être envoyé par courriel à : </w:t>
            </w:r>
            <w:hyperlink r:id="rId9" w:history="1">
              <w:r w:rsidRPr="00051128">
                <w:rPr>
                  <w:rStyle w:val="Lienhypertexte"/>
                  <w:rFonts w:cs="Arial"/>
                  <w:bCs/>
                  <w:szCs w:val="28"/>
                  <w:lang w:val="fr-FR"/>
                </w:rPr>
                <w:t>alass@alass.org</w:t>
              </w:r>
            </w:hyperlink>
            <w:r w:rsidRPr="00051128">
              <w:rPr>
                <w:rFonts w:cs="Arial"/>
                <w:bCs/>
                <w:sz w:val="28"/>
                <w:szCs w:val="28"/>
                <w:lang w:val="fr-FR"/>
              </w:rPr>
              <w:t xml:space="preserve"> </w:t>
            </w:r>
          </w:p>
          <w:p w14:paraId="0FE189B5" w14:textId="77777777" w:rsidR="003A3D62" w:rsidRPr="0091582E" w:rsidRDefault="003A3D62" w:rsidP="006B0AEF">
            <w:pPr>
              <w:rPr>
                <w:rFonts w:cs="Arial"/>
                <w:sz w:val="28"/>
                <w:szCs w:val="28"/>
                <w:lang w:val="fr-FR"/>
              </w:rPr>
            </w:pPr>
          </w:p>
        </w:tc>
      </w:tr>
      <w:tr w:rsidR="003A3D62" w:rsidRPr="00F01FAD" w14:paraId="67C924C4" w14:textId="77777777" w:rsidTr="00F01FAD">
        <w:tc>
          <w:tcPr>
            <w:tcW w:w="3686" w:type="dxa"/>
          </w:tcPr>
          <w:p w14:paraId="79F80FC5" w14:textId="3A24D530" w:rsidR="00DC57D6" w:rsidRPr="0091582E" w:rsidRDefault="00DC57D6" w:rsidP="006B0AEF">
            <w:pPr>
              <w:jc w:val="left"/>
              <w:rPr>
                <w:rFonts w:cs="Arial"/>
                <w:b/>
                <w:sz w:val="28"/>
                <w:szCs w:val="28"/>
                <w:lang w:val="fr-FR"/>
              </w:rPr>
            </w:pPr>
            <w:r w:rsidRPr="0091582E">
              <w:rPr>
                <w:rFonts w:cs="Arial"/>
                <w:b/>
                <w:sz w:val="28"/>
                <w:szCs w:val="28"/>
                <w:lang w:val="fr-FR"/>
              </w:rPr>
              <w:t xml:space="preserve">Titre </w:t>
            </w:r>
            <w:r w:rsidR="00FC430B">
              <w:rPr>
                <w:rFonts w:cs="Arial"/>
                <w:b/>
                <w:sz w:val="28"/>
                <w:szCs w:val="28"/>
                <w:lang w:val="fr-FR"/>
              </w:rPr>
              <w:t>de la communication</w:t>
            </w:r>
          </w:p>
          <w:p w14:paraId="3C81FE04" w14:textId="77777777" w:rsidR="00DC57D6" w:rsidRPr="0091582E" w:rsidRDefault="00DC57D6" w:rsidP="006B0AEF">
            <w:pPr>
              <w:rPr>
                <w:rFonts w:cs="Arial"/>
                <w:sz w:val="28"/>
                <w:szCs w:val="28"/>
                <w:lang w:val="fr-FR"/>
              </w:rPr>
            </w:pPr>
          </w:p>
        </w:tc>
        <w:tc>
          <w:tcPr>
            <w:tcW w:w="6521" w:type="dxa"/>
            <w:gridSpan w:val="2"/>
            <w:shd w:val="clear" w:color="auto" w:fill="auto"/>
          </w:tcPr>
          <w:p w14:paraId="61FAA642" w14:textId="2AABF954" w:rsidR="00DC57D6" w:rsidRPr="00F01FAD" w:rsidRDefault="00745C74" w:rsidP="00745C74">
            <w:pPr>
              <w:rPr>
                <w:rFonts w:cs="Arial"/>
                <w:sz w:val="28"/>
                <w:szCs w:val="28"/>
                <w:lang w:val="fr-FR"/>
              </w:rPr>
            </w:pPr>
            <w:r>
              <w:rPr>
                <w:rFonts w:cs="Arial"/>
                <w:sz w:val="28"/>
                <w:szCs w:val="28"/>
                <w:lang w:val="fr-FR"/>
              </w:rPr>
              <w:t>Introduction du financement forfaitaire à la pathologie en Belgique : impact au CHU de Liège</w:t>
            </w:r>
          </w:p>
        </w:tc>
      </w:tr>
      <w:tr w:rsidR="003A3D62" w:rsidRPr="00F01FAD" w14:paraId="203956AC" w14:textId="77777777" w:rsidTr="00F01FAD">
        <w:tc>
          <w:tcPr>
            <w:tcW w:w="3686" w:type="dxa"/>
          </w:tcPr>
          <w:p w14:paraId="5071E4DB" w14:textId="4D00444F" w:rsidR="002351D6" w:rsidRPr="0091582E" w:rsidRDefault="00FC430B" w:rsidP="006B0AEF">
            <w:pPr>
              <w:jc w:val="left"/>
              <w:rPr>
                <w:rFonts w:cs="Arial"/>
                <w:b/>
                <w:sz w:val="28"/>
                <w:szCs w:val="28"/>
                <w:lang w:val="fr-FR"/>
              </w:rPr>
            </w:pPr>
            <w:r>
              <w:rPr>
                <w:rFonts w:cs="Arial"/>
                <w:b/>
                <w:sz w:val="28"/>
                <w:szCs w:val="28"/>
                <w:lang w:val="fr-FR"/>
              </w:rPr>
              <w:t>Auteur principal</w:t>
            </w:r>
          </w:p>
        </w:tc>
        <w:tc>
          <w:tcPr>
            <w:tcW w:w="6521" w:type="dxa"/>
            <w:gridSpan w:val="2"/>
            <w:shd w:val="clear" w:color="auto" w:fill="auto"/>
          </w:tcPr>
          <w:p w14:paraId="3C659607" w14:textId="48E57A12" w:rsidR="002351D6" w:rsidRPr="00F01FAD" w:rsidRDefault="004A063B" w:rsidP="006B0AEF">
            <w:pPr>
              <w:rPr>
                <w:rFonts w:cs="Arial"/>
                <w:sz w:val="28"/>
                <w:szCs w:val="28"/>
                <w:lang w:val="fr-FR"/>
              </w:rPr>
            </w:pPr>
            <w:r w:rsidRPr="00DA75A1">
              <w:rPr>
                <w:rFonts w:cs="Arial"/>
                <w:sz w:val="28"/>
                <w:szCs w:val="28"/>
                <w:lang w:val="fr-FR"/>
              </w:rPr>
              <w:t xml:space="preserve">Marie-Pierre </w:t>
            </w:r>
            <w:proofErr w:type="spellStart"/>
            <w:r w:rsidRPr="00DA75A1">
              <w:rPr>
                <w:rFonts w:cs="Arial"/>
                <w:sz w:val="28"/>
                <w:szCs w:val="28"/>
                <w:lang w:val="fr-FR"/>
              </w:rPr>
              <w:t>Cunin</w:t>
            </w:r>
            <w:proofErr w:type="spellEnd"/>
          </w:p>
        </w:tc>
      </w:tr>
      <w:tr w:rsidR="003A3D62" w:rsidRPr="0091582E" w14:paraId="5A251F7F" w14:textId="77777777" w:rsidTr="004A063B">
        <w:tc>
          <w:tcPr>
            <w:tcW w:w="3686" w:type="dxa"/>
          </w:tcPr>
          <w:p w14:paraId="4448A829" w14:textId="24E39BAA" w:rsidR="002351D6" w:rsidRDefault="002351D6" w:rsidP="004A063B">
            <w:pPr>
              <w:rPr>
                <w:rFonts w:cs="Arial"/>
                <w:b/>
                <w:sz w:val="28"/>
                <w:szCs w:val="28"/>
                <w:lang w:val="fr-FR"/>
              </w:rPr>
            </w:pPr>
            <w:r>
              <w:rPr>
                <w:rFonts w:cs="Arial"/>
                <w:b/>
                <w:sz w:val="28"/>
                <w:szCs w:val="28"/>
                <w:lang w:val="fr-FR"/>
              </w:rPr>
              <w:t>Fonction, profession</w:t>
            </w:r>
          </w:p>
        </w:tc>
        <w:tc>
          <w:tcPr>
            <w:tcW w:w="6521" w:type="dxa"/>
            <w:gridSpan w:val="2"/>
          </w:tcPr>
          <w:p w14:paraId="3267FB6C" w14:textId="7AB9D9B0" w:rsidR="002351D6" w:rsidRPr="0091582E" w:rsidRDefault="00670B1E">
            <w:pPr>
              <w:ind w:left="34"/>
              <w:rPr>
                <w:rFonts w:cs="Arial"/>
                <w:sz w:val="28"/>
                <w:szCs w:val="28"/>
                <w:lang w:val="fr-FR"/>
              </w:rPr>
            </w:pPr>
            <w:r>
              <w:rPr>
                <w:rFonts w:cs="Arial"/>
                <w:sz w:val="28"/>
                <w:szCs w:val="28"/>
                <w:lang w:val="fr-FR"/>
              </w:rPr>
              <w:t>Analyste</w:t>
            </w:r>
          </w:p>
        </w:tc>
      </w:tr>
      <w:tr w:rsidR="003A3D62" w:rsidRPr="00715899" w14:paraId="7A5CBD0A" w14:textId="77777777" w:rsidTr="004A063B">
        <w:tc>
          <w:tcPr>
            <w:tcW w:w="3686" w:type="dxa"/>
          </w:tcPr>
          <w:p w14:paraId="5A79303A" w14:textId="77777777" w:rsidR="002351D6" w:rsidRPr="002351D6" w:rsidRDefault="002351D6" w:rsidP="004A063B">
            <w:pPr>
              <w:rPr>
                <w:rFonts w:cs="Arial"/>
                <w:b/>
                <w:sz w:val="28"/>
                <w:szCs w:val="28"/>
                <w:lang w:val="fr-FR"/>
              </w:rPr>
            </w:pPr>
            <w:r>
              <w:rPr>
                <w:rFonts w:cs="Arial"/>
                <w:b/>
                <w:sz w:val="28"/>
                <w:szCs w:val="28"/>
                <w:lang w:val="fr-FR"/>
              </w:rPr>
              <w:t>Affiliation professionnelle du responsable de la session</w:t>
            </w:r>
          </w:p>
        </w:tc>
        <w:tc>
          <w:tcPr>
            <w:tcW w:w="6521" w:type="dxa"/>
            <w:gridSpan w:val="2"/>
          </w:tcPr>
          <w:p w14:paraId="763C1774" w14:textId="0E3F3992" w:rsidR="002351D6" w:rsidRPr="0091582E" w:rsidRDefault="00745C74" w:rsidP="004A063B">
            <w:pPr>
              <w:ind w:left="34"/>
              <w:rPr>
                <w:rFonts w:cs="Arial"/>
                <w:sz w:val="28"/>
                <w:szCs w:val="28"/>
                <w:lang w:val="fr-FR"/>
              </w:rPr>
            </w:pPr>
            <w:r>
              <w:rPr>
                <w:rFonts w:cs="Arial"/>
                <w:sz w:val="28"/>
                <w:szCs w:val="28"/>
                <w:lang w:val="fr-FR"/>
              </w:rPr>
              <w:t xml:space="preserve">Service des Informations Médico-économiques </w:t>
            </w:r>
          </w:p>
        </w:tc>
      </w:tr>
      <w:tr w:rsidR="00A318B0" w:rsidRPr="0091582E" w14:paraId="59738B97" w14:textId="77777777" w:rsidTr="004A063B">
        <w:tc>
          <w:tcPr>
            <w:tcW w:w="3686" w:type="dxa"/>
          </w:tcPr>
          <w:p w14:paraId="480B926E" w14:textId="77777777" w:rsidR="00A318B0" w:rsidRPr="00B44143" w:rsidRDefault="00A318B0" w:rsidP="00A318B0">
            <w:pPr>
              <w:rPr>
                <w:rFonts w:cs="Arial"/>
                <w:b/>
                <w:sz w:val="28"/>
                <w:szCs w:val="28"/>
                <w:lang w:val="fr-FR"/>
              </w:rPr>
            </w:pPr>
            <w:r w:rsidRPr="0091582E">
              <w:rPr>
                <w:rFonts w:cs="Arial"/>
                <w:b/>
                <w:sz w:val="28"/>
                <w:szCs w:val="28"/>
                <w:lang w:val="fr-FR"/>
              </w:rPr>
              <w:t xml:space="preserve">Adresse professionnelle </w:t>
            </w:r>
          </w:p>
        </w:tc>
        <w:tc>
          <w:tcPr>
            <w:tcW w:w="6521" w:type="dxa"/>
            <w:gridSpan w:val="2"/>
          </w:tcPr>
          <w:p w14:paraId="1FD68083" w14:textId="1133E0AE" w:rsidR="00A318B0" w:rsidRDefault="00A318B0" w:rsidP="00A318B0">
            <w:pPr>
              <w:rPr>
                <w:rFonts w:cs="Arial"/>
                <w:sz w:val="28"/>
                <w:szCs w:val="28"/>
                <w:lang w:val="fr-FR"/>
              </w:rPr>
            </w:pPr>
            <w:r>
              <w:rPr>
                <w:rFonts w:cs="Arial"/>
                <w:sz w:val="28"/>
                <w:szCs w:val="28"/>
                <w:lang w:val="fr-FR"/>
              </w:rPr>
              <w:t xml:space="preserve">CHU </w:t>
            </w:r>
            <w:r w:rsidR="00745C74">
              <w:rPr>
                <w:rFonts w:cs="Arial"/>
                <w:sz w:val="28"/>
                <w:szCs w:val="28"/>
                <w:lang w:val="fr-FR"/>
              </w:rPr>
              <w:t xml:space="preserve">de </w:t>
            </w:r>
            <w:r>
              <w:rPr>
                <w:rFonts w:cs="Arial"/>
                <w:sz w:val="28"/>
                <w:szCs w:val="28"/>
                <w:lang w:val="fr-FR"/>
              </w:rPr>
              <w:t xml:space="preserve">Liège </w:t>
            </w:r>
          </w:p>
          <w:p w14:paraId="7EFD60B2" w14:textId="030CE57B" w:rsidR="00A318B0" w:rsidRPr="0091582E" w:rsidRDefault="00A318B0" w:rsidP="00DA75A1">
            <w:pPr>
              <w:rPr>
                <w:rFonts w:cs="Arial"/>
                <w:sz w:val="28"/>
                <w:szCs w:val="28"/>
                <w:lang w:val="fr-FR"/>
              </w:rPr>
            </w:pPr>
            <w:r>
              <w:rPr>
                <w:rFonts w:cs="Arial"/>
                <w:sz w:val="28"/>
                <w:szCs w:val="28"/>
                <w:lang w:val="fr-FR"/>
              </w:rPr>
              <w:t xml:space="preserve">B35 Sart </w:t>
            </w:r>
            <w:proofErr w:type="spellStart"/>
            <w:r>
              <w:rPr>
                <w:rFonts w:cs="Arial"/>
                <w:sz w:val="28"/>
                <w:szCs w:val="28"/>
                <w:lang w:val="fr-FR"/>
              </w:rPr>
              <w:t>Tilman</w:t>
            </w:r>
            <w:proofErr w:type="spellEnd"/>
            <w:r>
              <w:rPr>
                <w:rFonts w:cs="Arial"/>
                <w:sz w:val="28"/>
                <w:szCs w:val="28"/>
                <w:lang w:val="fr-FR"/>
              </w:rPr>
              <w:t xml:space="preserve"> </w:t>
            </w:r>
          </w:p>
        </w:tc>
      </w:tr>
      <w:tr w:rsidR="00A318B0" w:rsidRPr="0091582E" w14:paraId="02F1EC46" w14:textId="77777777" w:rsidTr="004A063B">
        <w:tc>
          <w:tcPr>
            <w:tcW w:w="3686" w:type="dxa"/>
          </w:tcPr>
          <w:p w14:paraId="40BF14AB" w14:textId="77777777" w:rsidR="00A318B0" w:rsidRPr="0091582E" w:rsidRDefault="00A318B0" w:rsidP="00A318B0">
            <w:pPr>
              <w:rPr>
                <w:rFonts w:cs="Arial"/>
                <w:b/>
                <w:sz w:val="28"/>
                <w:szCs w:val="28"/>
                <w:lang w:val="fr-FR"/>
              </w:rPr>
            </w:pPr>
            <w:r w:rsidRPr="0091582E">
              <w:rPr>
                <w:rFonts w:cs="Arial"/>
                <w:b/>
                <w:sz w:val="28"/>
                <w:szCs w:val="28"/>
                <w:lang w:val="fr-FR"/>
              </w:rPr>
              <w:t>Ville et code postal</w:t>
            </w:r>
          </w:p>
        </w:tc>
        <w:tc>
          <w:tcPr>
            <w:tcW w:w="6521" w:type="dxa"/>
            <w:gridSpan w:val="2"/>
          </w:tcPr>
          <w:p w14:paraId="7D88C4C6" w14:textId="20CC4287" w:rsidR="00A318B0" w:rsidRPr="0091582E" w:rsidRDefault="00A318B0" w:rsidP="00A318B0">
            <w:pPr>
              <w:rPr>
                <w:rFonts w:cs="Arial"/>
                <w:sz w:val="28"/>
                <w:szCs w:val="28"/>
                <w:lang w:val="fr-FR"/>
              </w:rPr>
            </w:pPr>
            <w:r>
              <w:rPr>
                <w:rFonts w:cs="Arial"/>
                <w:sz w:val="28"/>
                <w:szCs w:val="28"/>
                <w:lang w:val="fr-FR"/>
              </w:rPr>
              <w:t>4000 Liège</w:t>
            </w:r>
          </w:p>
        </w:tc>
      </w:tr>
      <w:tr w:rsidR="00A318B0" w:rsidRPr="0091582E" w14:paraId="34986E02" w14:textId="77777777" w:rsidTr="004A063B">
        <w:tc>
          <w:tcPr>
            <w:tcW w:w="3686" w:type="dxa"/>
          </w:tcPr>
          <w:p w14:paraId="1601F527" w14:textId="77777777" w:rsidR="00A318B0" w:rsidRPr="0091582E" w:rsidRDefault="00A318B0" w:rsidP="00A318B0">
            <w:pPr>
              <w:rPr>
                <w:rFonts w:cs="Arial"/>
                <w:b/>
                <w:sz w:val="28"/>
                <w:szCs w:val="28"/>
                <w:lang w:val="fr-FR"/>
              </w:rPr>
            </w:pPr>
            <w:r w:rsidRPr="0091582E">
              <w:rPr>
                <w:rFonts w:cs="Arial"/>
                <w:b/>
                <w:sz w:val="28"/>
                <w:szCs w:val="28"/>
                <w:lang w:val="fr-FR"/>
              </w:rPr>
              <w:t>Pays</w:t>
            </w:r>
          </w:p>
        </w:tc>
        <w:tc>
          <w:tcPr>
            <w:tcW w:w="6521" w:type="dxa"/>
            <w:gridSpan w:val="2"/>
          </w:tcPr>
          <w:p w14:paraId="642683BA" w14:textId="46E11F69" w:rsidR="00A318B0" w:rsidRPr="0091582E" w:rsidRDefault="00745C74" w:rsidP="00A318B0">
            <w:pPr>
              <w:rPr>
                <w:rFonts w:cs="Arial"/>
                <w:sz w:val="28"/>
                <w:szCs w:val="28"/>
                <w:lang w:val="fr-FR"/>
              </w:rPr>
            </w:pPr>
            <w:r>
              <w:rPr>
                <w:rFonts w:cs="Arial"/>
                <w:sz w:val="28"/>
                <w:szCs w:val="28"/>
                <w:lang w:val="fr-FR"/>
              </w:rPr>
              <w:t>Belgique</w:t>
            </w:r>
          </w:p>
        </w:tc>
      </w:tr>
      <w:tr w:rsidR="00A318B0" w:rsidRPr="0091582E" w14:paraId="254395BF" w14:textId="77777777" w:rsidTr="004A063B">
        <w:tc>
          <w:tcPr>
            <w:tcW w:w="3686" w:type="dxa"/>
          </w:tcPr>
          <w:p w14:paraId="56C10ABB" w14:textId="77777777" w:rsidR="00A318B0" w:rsidRPr="0091582E" w:rsidRDefault="00A318B0" w:rsidP="00A318B0">
            <w:pPr>
              <w:rPr>
                <w:rFonts w:cs="Arial"/>
                <w:b/>
                <w:sz w:val="28"/>
                <w:szCs w:val="28"/>
                <w:lang w:val="fr-FR"/>
              </w:rPr>
            </w:pPr>
            <w:r w:rsidRPr="0091582E">
              <w:rPr>
                <w:rFonts w:cs="Arial"/>
                <w:b/>
                <w:sz w:val="28"/>
                <w:szCs w:val="28"/>
                <w:lang w:val="fr-FR"/>
              </w:rPr>
              <w:t>Téléphone</w:t>
            </w:r>
          </w:p>
        </w:tc>
        <w:tc>
          <w:tcPr>
            <w:tcW w:w="6521" w:type="dxa"/>
            <w:gridSpan w:val="2"/>
          </w:tcPr>
          <w:p w14:paraId="46C59721" w14:textId="50F9BF51" w:rsidR="00A318B0" w:rsidRPr="0091582E" w:rsidRDefault="001A0B8D" w:rsidP="00670B1E">
            <w:pPr>
              <w:rPr>
                <w:rFonts w:cs="Arial"/>
                <w:sz w:val="28"/>
                <w:szCs w:val="28"/>
                <w:lang w:val="fr-FR"/>
              </w:rPr>
            </w:pPr>
            <w:r>
              <w:rPr>
                <w:rFonts w:cs="Arial"/>
                <w:sz w:val="28"/>
                <w:szCs w:val="28"/>
                <w:lang w:val="fr-FR"/>
              </w:rPr>
              <w:t>0032(</w:t>
            </w:r>
            <w:r w:rsidR="00A318B0">
              <w:rPr>
                <w:rFonts w:cs="Arial"/>
                <w:sz w:val="28"/>
                <w:szCs w:val="28"/>
                <w:lang w:val="fr-FR"/>
              </w:rPr>
              <w:t>0</w:t>
            </w:r>
            <w:r>
              <w:rPr>
                <w:rFonts w:cs="Arial"/>
                <w:sz w:val="28"/>
                <w:szCs w:val="28"/>
                <w:lang w:val="fr-FR"/>
              </w:rPr>
              <w:t>)</w:t>
            </w:r>
            <w:r w:rsidR="00A318B0">
              <w:rPr>
                <w:rFonts w:cs="Arial"/>
                <w:sz w:val="28"/>
                <w:szCs w:val="28"/>
                <w:lang w:val="fr-FR"/>
              </w:rPr>
              <w:t>4/</w:t>
            </w:r>
            <w:r w:rsidR="00670B1E">
              <w:rPr>
                <w:rFonts w:cs="Arial"/>
                <w:sz w:val="28"/>
                <w:szCs w:val="28"/>
                <w:lang w:val="fr-FR"/>
              </w:rPr>
              <w:t>2425582</w:t>
            </w:r>
          </w:p>
        </w:tc>
      </w:tr>
      <w:tr w:rsidR="00A318B0" w:rsidRPr="0091582E" w14:paraId="6B99AF82" w14:textId="77777777" w:rsidTr="004A063B">
        <w:trPr>
          <w:trHeight w:val="90"/>
        </w:trPr>
        <w:tc>
          <w:tcPr>
            <w:tcW w:w="3686" w:type="dxa"/>
          </w:tcPr>
          <w:p w14:paraId="2CD4822D" w14:textId="77777777" w:rsidR="00A318B0" w:rsidRPr="0091582E" w:rsidRDefault="00A318B0" w:rsidP="00A318B0">
            <w:pPr>
              <w:rPr>
                <w:rFonts w:cs="Arial"/>
                <w:b/>
                <w:sz w:val="28"/>
                <w:szCs w:val="28"/>
                <w:lang w:val="fr-FR"/>
              </w:rPr>
            </w:pPr>
            <w:r w:rsidRPr="0091582E">
              <w:rPr>
                <w:rFonts w:cs="Arial"/>
                <w:b/>
                <w:sz w:val="28"/>
                <w:szCs w:val="28"/>
                <w:lang w:val="fr-FR"/>
              </w:rPr>
              <w:t>Email</w:t>
            </w:r>
          </w:p>
        </w:tc>
        <w:tc>
          <w:tcPr>
            <w:tcW w:w="6521" w:type="dxa"/>
            <w:gridSpan w:val="2"/>
          </w:tcPr>
          <w:p w14:paraId="6F92BE41" w14:textId="244D344F" w:rsidR="00A318B0" w:rsidRPr="0091582E" w:rsidRDefault="007A034D" w:rsidP="00A318B0">
            <w:pPr>
              <w:rPr>
                <w:rFonts w:cs="Arial"/>
                <w:sz w:val="28"/>
                <w:szCs w:val="28"/>
                <w:lang w:val="fr-FR"/>
              </w:rPr>
            </w:pPr>
            <w:r>
              <w:rPr>
                <w:rFonts w:cs="Arial"/>
                <w:sz w:val="28"/>
                <w:szCs w:val="28"/>
                <w:lang w:val="fr-FR"/>
              </w:rPr>
              <w:t>m</w:t>
            </w:r>
            <w:r w:rsidR="00E377B5">
              <w:rPr>
                <w:rFonts w:cs="Arial"/>
                <w:sz w:val="28"/>
                <w:szCs w:val="28"/>
                <w:lang w:val="fr-FR"/>
              </w:rPr>
              <w:t>p</w:t>
            </w:r>
            <w:r w:rsidR="00670B1E">
              <w:rPr>
                <w:rFonts w:cs="Arial"/>
                <w:sz w:val="28"/>
                <w:szCs w:val="28"/>
                <w:lang w:val="fr-FR"/>
              </w:rPr>
              <w:t>cunin</w:t>
            </w:r>
            <w:r w:rsidR="00A318B0">
              <w:rPr>
                <w:rFonts w:cs="Arial"/>
                <w:sz w:val="28"/>
                <w:szCs w:val="28"/>
                <w:lang w:val="fr-FR"/>
              </w:rPr>
              <w:t>@chuliege.be</w:t>
            </w:r>
          </w:p>
        </w:tc>
      </w:tr>
      <w:tr w:rsidR="00A318B0" w:rsidRPr="0091582E" w14:paraId="59103133" w14:textId="77777777" w:rsidTr="002351D6">
        <w:trPr>
          <w:trHeight w:val="890"/>
        </w:trPr>
        <w:tc>
          <w:tcPr>
            <w:tcW w:w="3686" w:type="dxa"/>
          </w:tcPr>
          <w:p w14:paraId="2A945789" w14:textId="5D32EE6A" w:rsidR="00A318B0" w:rsidRPr="0091582E" w:rsidRDefault="00A318B0" w:rsidP="00A318B0">
            <w:pPr>
              <w:rPr>
                <w:rFonts w:cs="Arial"/>
                <w:b/>
                <w:sz w:val="28"/>
                <w:szCs w:val="28"/>
                <w:lang w:val="fr-FR"/>
              </w:rPr>
            </w:pPr>
            <w:r>
              <w:rPr>
                <w:rFonts w:cs="Arial"/>
                <w:b/>
                <w:sz w:val="28"/>
                <w:szCs w:val="28"/>
                <w:lang w:val="fr-FR"/>
              </w:rPr>
              <w:t>Coauteurs</w:t>
            </w:r>
          </w:p>
          <w:p w14:paraId="17EEDE91" w14:textId="77777777" w:rsidR="00A318B0" w:rsidRPr="0091582E" w:rsidRDefault="00A318B0" w:rsidP="00A318B0">
            <w:pPr>
              <w:rPr>
                <w:rFonts w:cs="Arial"/>
                <w:sz w:val="28"/>
                <w:szCs w:val="28"/>
                <w:lang w:val="fr-FR"/>
              </w:rPr>
            </w:pPr>
          </w:p>
        </w:tc>
        <w:tc>
          <w:tcPr>
            <w:tcW w:w="6521" w:type="dxa"/>
            <w:gridSpan w:val="2"/>
          </w:tcPr>
          <w:p w14:paraId="41DD1234" w14:textId="32BE4B7D" w:rsidR="00A318B0" w:rsidRPr="00F97C79" w:rsidRDefault="00A55F8F" w:rsidP="00A318B0">
            <w:pPr>
              <w:ind w:left="34"/>
              <w:rPr>
                <w:rFonts w:cs="Arial"/>
                <w:sz w:val="28"/>
                <w:szCs w:val="28"/>
                <w:lang w:val="fr-FR"/>
              </w:rPr>
            </w:pPr>
            <w:r>
              <w:rPr>
                <w:rFonts w:cs="Arial"/>
                <w:sz w:val="28"/>
                <w:szCs w:val="28"/>
                <w:lang w:val="fr-FR"/>
              </w:rPr>
              <w:t xml:space="preserve">Nancy </w:t>
            </w:r>
            <w:proofErr w:type="spellStart"/>
            <w:r>
              <w:rPr>
                <w:rFonts w:cs="Arial"/>
                <w:sz w:val="28"/>
                <w:szCs w:val="28"/>
                <w:lang w:val="fr-FR"/>
              </w:rPr>
              <w:t>Laport</w:t>
            </w:r>
            <w:proofErr w:type="spellEnd"/>
            <w:r>
              <w:rPr>
                <w:rFonts w:cs="Arial"/>
                <w:sz w:val="28"/>
                <w:szCs w:val="28"/>
                <w:lang w:val="fr-FR"/>
              </w:rPr>
              <w:t xml:space="preserve">,  Francine </w:t>
            </w:r>
            <w:proofErr w:type="spellStart"/>
            <w:r>
              <w:rPr>
                <w:rFonts w:cs="Arial"/>
                <w:sz w:val="28"/>
                <w:szCs w:val="28"/>
                <w:lang w:val="fr-FR"/>
              </w:rPr>
              <w:t>Kersten</w:t>
            </w:r>
            <w:proofErr w:type="spellEnd"/>
            <w:r>
              <w:rPr>
                <w:rFonts w:cs="Arial"/>
                <w:sz w:val="28"/>
                <w:szCs w:val="28"/>
                <w:lang w:val="fr-FR"/>
              </w:rPr>
              <w:t xml:space="preserve">, </w:t>
            </w:r>
            <w:r w:rsidR="00745C74" w:rsidRPr="00DA75A1">
              <w:rPr>
                <w:rFonts w:cs="Arial"/>
                <w:sz w:val="28"/>
                <w:szCs w:val="28"/>
                <w:lang w:val="fr-FR"/>
              </w:rPr>
              <w:t xml:space="preserve">Philippe </w:t>
            </w:r>
            <w:proofErr w:type="spellStart"/>
            <w:r w:rsidR="00745C74" w:rsidRPr="00DA75A1">
              <w:rPr>
                <w:rFonts w:cs="Arial"/>
                <w:sz w:val="28"/>
                <w:szCs w:val="28"/>
                <w:lang w:val="fr-FR"/>
              </w:rPr>
              <w:t>Kolh</w:t>
            </w:r>
            <w:proofErr w:type="spellEnd"/>
            <w:r w:rsidR="00745C74" w:rsidRPr="00DA75A1">
              <w:rPr>
                <w:rFonts w:cs="Arial"/>
                <w:sz w:val="28"/>
                <w:szCs w:val="28"/>
                <w:lang w:val="fr-FR"/>
              </w:rPr>
              <w:t xml:space="preserve">, </w:t>
            </w:r>
            <w:r w:rsidR="00A318B0" w:rsidRPr="00DA75A1">
              <w:rPr>
                <w:rFonts w:cs="Arial"/>
                <w:sz w:val="28"/>
                <w:szCs w:val="28"/>
                <w:lang w:val="fr-FR"/>
              </w:rPr>
              <w:t>Jessica Jacques</w:t>
            </w:r>
          </w:p>
        </w:tc>
      </w:tr>
      <w:tr w:rsidR="00A318B0" w:rsidRPr="0091582E" w14:paraId="15CA9C2D" w14:textId="77777777" w:rsidTr="00243454">
        <w:tc>
          <w:tcPr>
            <w:tcW w:w="3686" w:type="dxa"/>
          </w:tcPr>
          <w:p w14:paraId="46F40BFC" w14:textId="23DA02F7" w:rsidR="00A318B0" w:rsidRPr="002351D6" w:rsidRDefault="00A318B0" w:rsidP="00A318B0">
            <w:pPr>
              <w:rPr>
                <w:rFonts w:cs="Arial"/>
                <w:b/>
                <w:sz w:val="28"/>
                <w:szCs w:val="28"/>
                <w:lang w:val="fr-FR"/>
              </w:rPr>
            </w:pPr>
            <w:r w:rsidRPr="002351D6">
              <w:rPr>
                <w:rFonts w:cs="Arial"/>
                <w:b/>
                <w:sz w:val="28"/>
                <w:szCs w:val="28"/>
                <w:lang w:val="fr-FR"/>
              </w:rPr>
              <w:t>Mots clefs (5 maximum)</w:t>
            </w:r>
          </w:p>
        </w:tc>
        <w:tc>
          <w:tcPr>
            <w:tcW w:w="6521" w:type="dxa"/>
            <w:gridSpan w:val="2"/>
          </w:tcPr>
          <w:p w14:paraId="1B7C9771" w14:textId="5896F464" w:rsidR="00A318B0" w:rsidRPr="0091582E" w:rsidRDefault="003A652F">
            <w:pPr>
              <w:ind w:left="34"/>
              <w:rPr>
                <w:rFonts w:cs="Arial"/>
                <w:sz w:val="28"/>
                <w:szCs w:val="28"/>
                <w:lang w:val="fr-FR"/>
              </w:rPr>
            </w:pPr>
            <w:r>
              <w:rPr>
                <w:rFonts w:cs="Arial"/>
                <w:sz w:val="28"/>
                <w:szCs w:val="28"/>
                <w:lang w:val="fr-FR"/>
              </w:rPr>
              <w:t xml:space="preserve">Financement, </w:t>
            </w:r>
            <w:r w:rsidR="00745C74">
              <w:rPr>
                <w:rFonts w:cs="Arial"/>
                <w:sz w:val="28"/>
                <w:szCs w:val="28"/>
                <w:lang w:val="fr-FR"/>
              </w:rPr>
              <w:t xml:space="preserve">Forfait à la pathologie, </w:t>
            </w:r>
            <w:r>
              <w:rPr>
                <w:rFonts w:cs="Arial"/>
                <w:sz w:val="28"/>
                <w:szCs w:val="28"/>
                <w:lang w:val="fr-FR"/>
              </w:rPr>
              <w:t>Soins à basse variabilité</w:t>
            </w:r>
          </w:p>
        </w:tc>
      </w:tr>
      <w:tr w:rsidR="00A318B0" w:rsidRPr="00715899" w14:paraId="48A11F17" w14:textId="77777777" w:rsidTr="00243454">
        <w:tc>
          <w:tcPr>
            <w:tcW w:w="3686" w:type="dxa"/>
          </w:tcPr>
          <w:p w14:paraId="18D620D3" w14:textId="1AF2A395" w:rsidR="00A318B0" w:rsidRPr="0091582E" w:rsidRDefault="00A318B0" w:rsidP="00A318B0">
            <w:pPr>
              <w:rPr>
                <w:rFonts w:cs="Arial"/>
                <w:sz w:val="28"/>
                <w:szCs w:val="28"/>
                <w:lang w:val="fr-FR"/>
              </w:rPr>
            </w:pPr>
            <w:r>
              <w:rPr>
                <w:rFonts w:cs="Arial"/>
                <w:b/>
                <w:sz w:val="28"/>
                <w:szCs w:val="28"/>
                <w:lang w:val="fr-FR"/>
              </w:rPr>
              <w:t>Résumé de la communication</w:t>
            </w:r>
            <w:r w:rsidRPr="0091582E">
              <w:rPr>
                <w:rFonts w:cs="Arial"/>
                <w:sz w:val="28"/>
                <w:szCs w:val="28"/>
                <w:lang w:val="fr-FR"/>
              </w:rPr>
              <w:t xml:space="preserve"> (400-800 mots)</w:t>
            </w:r>
          </w:p>
          <w:p w14:paraId="093C4EE4" w14:textId="77777777" w:rsidR="00A318B0" w:rsidRDefault="00A318B0" w:rsidP="00A318B0">
            <w:pPr>
              <w:rPr>
                <w:rFonts w:cs="Arial"/>
                <w:sz w:val="28"/>
                <w:szCs w:val="28"/>
                <w:lang w:val="fr-FR"/>
              </w:rPr>
            </w:pPr>
            <w:r w:rsidRPr="0091582E">
              <w:rPr>
                <w:rFonts w:cs="Arial"/>
                <w:sz w:val="28"/>
                <w:szCs w:val="28"/>
                <w:lang w:val="fr-FR"/>
              </w:rPr>
              <w:t>- contexte et problématique</w:t>
            </w:r>
          </w:p>
          <w:p w14:paraId="04644A2C" w14:textId="56797552" w:rsidR="00A318B0" w:rsidRPr="0091582E" w:rsidRDefault="00A318B0" w:rsidP="00A318B0">
            <w:pPr>
              <w:rPr>
                <w:rFonts w:cs="Arial"/>
                <w:sz w:val="28"/>
                <w:szCs w:val="28"/>
                <w:lang w:val="fr-FR"/>
              </w:rPr>
            </w:pPr>
            <w:r>
              <w:rPr>
                <w:rFonts w:cs="Arial"/>
                <w:sz w:val="28"/>
                <w:szCs w:val="28"/>
                <w:lang w:val="fr-FR"/>
              </w:rPr>
              <w:t xml:space="preserve">- </w:t>
            </w:r>
            <w:r w:rsidRPr="0091582E">
              <w:rPr>
                <w:rFonts w:cs="Arial"/>
                <w:sz w:val="28"/>
                <w:szCs w:val="28"/>
                <w:lang w:val="fr-FR"/>
              </w:rPr>
              <w:t>objectif de la recherche</w:t>
            </w:r>
            <w:r>
              <w:rPr>
                <w:rFonts w:cs="Arial"/>
                <w:sz w:val="28"/>
                <w:szCs w:val="28"/>
                <w:lang w:val="fr-FR"/>
              </w:rPr>
              <w:t xml:space="preserve"> </w:t>
            </w:r>
            <w:r w:rsidRPr="0091582E">
              <w:rPr>
                <w:rFonts w:cs="Arial"/>
                <w:sz w:val="28"/>
                <w:szCs w:val="28"/>
                <w:lang w:val="fr-FR"/>
              </w:rPr>
              <w:t xml:space="preserve"> </w:t>
            </w:r>
          </w:p>
          <w:p w14:paraId="167E30D6" w14:textId="14242954" w:rsidR="00A318B0" w:rsidRPr="0091582E" w:rsidRDefault="00A318B0" w:rsidP="00A318B0">
            <w:pPr>
              <w:rPr>
                <w:rFonts w:cs="Arial"/>
                <w:sz w:val="28"/>
                <w:szCs w:val="28"/>
                <w:lang w:val="fr-FR"/>
              </w:rPr>
            </w:pPr>
            <w:r w:rsidRPr="0091582E">
              <w:rPr>
                <w:rFonts w:cs="Arial"/>
                <w:sz w:val="28"/>
                <w:szCs w:val="28"/>
                <w:lang w:val="fr-FR"/>
              </w:rPr>
              <w:t>- théorie, méthodes, modèles, matériels utilisés</w:t>
            </w:r>
            <w:r>
              <w:rPr>
                <w:rFonts w:cs="Arial"/>
                <w:sz w:val="28"/>
                <w:szCs w:val="28"/>
                <w:lang w:val="fr-FR"/>
              </w:rPr>
              <w:t xml:space="preserve"> </w:t>
            </w:r>
            <w:r w:rsidRPr="0091582E">
              <w:rPr>
                <w:rFonts w:cs="Arial"/>
                <w:sz w:val="28"/>
                <w:szCs w:val="28"/>
                <w:lang w:val="fr-FR"/>
              </w:rPr>
              <w:t xml:space="preserve">; </w:t>
            </w:r>
          </w:p>
          <w:p w14:paraId="022433B9" w14:textId="4A523EE0" w:rsidR="00A318B0" w:rsidRPr="0091582E" w:rsidRDefault="00A318B0" w:rsidP="00A318B0">
            <w:pPr>
              <w:rPr>
                <w:rFonts w:cs="Arial"/>
                <w:sz w:val="28"/>
                <w:szCs w:val="28"/>
                <w:lang w:val="fr-FR"/>
              </w:rPr>
            </w:pPr>
            <w:r w:rsidRPr="0091582E">
              <w:rPr>
                <w:rFonts w:cs="Arial"/>
                <w:sz w:val="28"/>
                <w:szCs w:val="28"/>
                <w:lang w:val="fr-FR"/>
              </w:rPr>
              <w:t>- résultats et discussion</w:t>
            </w:r>
            <w:r>
              <w:rPr>
                <w:rFonts w:cs="Arial"/>
                <w:sz w:val="28"/>
                <w:szCs w:val="28"/>
                <w:lang w:val="fr-FR"/>
              </w:rPr>
              <w:t xml:space="preserve"> </w:t>
            </w:r>
            <w:r w:rsidRPr="0091582E">
              <w:rPr>
                <w:rFonts w:cs="Arial"/>
                <w:sz w:val="28"/>
                <w:szCs w:val="28"/>
                <w:lang w:val="fr-FR"/>
              </w:rPr>
              <w:t xml:space="preserve">; </w:t>
            </w:r>
          </w:p>
          <w:p w14:paraId="41E0F99A" w14:textId="4FE2F788" w:rsidR="00A318B0" w:rsidRPr="0091582E" w:rsidRDefault="00A318B0" w:rsidP="00A318B0">
            <w:pPr>
              <w:jc w:val="left"/>
              <w:rPr>
                <w:rFonts w:cs="Arial"/>
                <w:sz w:val="28"/>
                <w:szCs w:val="28"/>
                <w:lang w:val="fr-FR"/>
              </w:rPr>
            </w:pPr>
            <w:r w:rsidRPr="0091582E">
              <w:rPr>
                <w:rFonts w:cs="Arial"/>
                <w:sz w:val="28"/>
                <w:szCs w:val="28"/>
                <w:lang w:val="fr-FR"/>
              </w:rPr>
              <w:t xml:space="preserve">- contribution/intérêt de la </w:t>
            </w:r>
            <w:r>
              <w:rPr>
                <w:rFonts w:cs="Arial"/>
                <w:sz w:val="28"/>
                <w:szCs w:val="28"/>
                <w:lang w:val="fr-FR"/>
              </w:rPr>
              <w:t>session</w:t>
            </w:r>
            <w:r w:rsidRPr="0091582E">
              <w:rPr>
                <w:rFonts w:cs="Arial"/>
                <w:sz w:val="28"/>
                <w:szCs w:val="28"/>
                <w:lang w:val="fr-FR"/>
              </w:rPr>
              <w:t xml:space="preserve"> par rapport à l’état de l’art et/ou de la pratique</w:t>
            </w:r>
          </w:p>
        </w:tc>
        <w:tc>
          <w:tcPr>
            <w:tcW w:w="6521" w:type="dxa"/>
            <w:gridSpan w:val="2"/>
          </w:tcPr>
          <w:p w14:paraId="16D6C512" w14:textId="1B62D25F" w:rsidR="00A318B0" w:rsidRDefault="00A318B0" w:rsidP="00A318B0">
            <w:pPr>
              <w:rPr>
                <w:b/>
                <w:sz w:val="28"/>
                <w:szCs w:val="28"/>
                <w:lang w:val="fr-CA"/>
              </w:rPr>
            </w:pPr>
            <w:r>
              <w:rPr>
                <w:b/>
                <w:sz w:val="28"/>
                <w:szCs w:val="28"/>
                <w:lang w:val="fr-CA"/>
              </w:rPr>
              <w:t>Contexte et problématique</w:t>
            </w:r>
            <w:r w:rsidRPr="00695891">
              <w:rPr>
                <w:b/>
                <w:sz w:val="28"/>
                <w:szCs w:val="28"/>
                <w:lang w:val="fr-CA"/>
              </w:rPr>
              <w:t> :</w:t>
            </w:r>
          </w:p>
          <w:p w14:paraId="297E3DDF" w14:textId="77777777" w:rsidR="00A318B0" w:rsidRPr="00695891" w:rsidRDefault="00A318B0" w:rsidP="00A318B0">
            <w:pPr>
              <w:rPr>
                <w:b/>
                <w:sz w:val="28"/>
                <w:szCs w:val="28"/>
                <w:lang w:val="fr-CA"/>
              </w:rPr>
            </w:pPr>
          </w:p>
          <w:p w14:paraId="7F99A8BF" w14:textId="39970EE0" w:rsidR="00A318B0" w:rsidRDefault="00A318B0" w:rsidP="00A318B0">
            <w:pPr>
              <w:rPr>
                <w:sz w:val="28"/>
                <w:szCs w:val="28"/>
                <w:lang w:val="fr-CA"/>
              </w:rPr>
            </w:pPr>
            <w:r>
              <w:rPr>
                <w:sz w:val="28"/>
                <w:szCs w:val="28"/>
                <w:lang w:val="fr-CA"/>
              </w:rPr>
              <w:t xml:space="preserve">Pour améliorer l’efficience et la qualité du système de soins de santé en </w:t>
            </w:r>
            <w:r w:rsidR="004954F2">
              <w:rPr>
                <w:sz w:val="28"/>
                <w:szCs w:val="28"/>
                <w:lang w:val="fr-CA"/>
              </w:rPr>
              <w:t>Belgique,</w:t>
            </w:r>
            <w:r>
              <w:rPr>
                <w:sz w:val="28"/>
                <w:szCs w:val="28"/>
                <w:lang w:val="fr-CA"/>
              </w:rPr>
              <w:t xml:space="preserve"> tout en répondant de manière plus optimale à l’évolution des besoins des patients (de plus en plus âgés</w:t>
            </w:r>
            <w:r w:rsidR="003A652F">
              <w:rPr>
                <w:sz w:val="28"/>
                <w:szCs w:val="28"/>
                <w:lang w:val="fr-CA"/>
              </w:rPr>
              <w:t xml:space="preserve"> et augmentation des maladies chroniques</w:t>
            </w:r>
            <w:r>
              <w:rPr>
                <w:sz w:val="28"/>
                <w:szCs w:val="28"/>
                <w:lang w:val="fr-CA"/>
              </w:rPr>
              <w:t>), le ministère des Affaires Sociales et de la Santé Publique a entamé une révision du financement des hôpitaux.</w:t>
            </w:r>
          </w:p>
          <w:p w14:paraId="49629A6B" w14:textId="77777777" w:rsidR="003A652F" w:rsidRDefault="003A652F" w:rsidP="00A318B0">
            <w:pPr>
              <w:rPr>
                <w:sz w:val="28"/>
                <w:szCs w:val="28"/>
                <w:lang w:val="fr-CA"/>
              </w:rPr>
            </w:pPr>
          </w:p>
          <w:p w14:paraId="65C51147" w14:textId="6EA0B67D" w:rsidR="004954F2" w:rsidRDefault="004954F2" w:rsidP="004954F2">
            <w:pPr>
              <w:rPr>
                <w:sz w:val="28"/>
                <w:szCs w:val="28"/>
                <w:lang w:val="fr-CA"/>
              </w:rPr>
            </w:pPr>
            <w:r>
              <w:rPr>
                <w:sz w:val="28"/>
                <w:szCs w:val="28"/>
                <w:lang w:val="fr-CA"/>
              </w:rPr>
              <w:t>En amont de cette réforme</w:t>
            </w:r>
            <w:r w:rsidR="00A318B0">
              <w:rPr>
                <w:sz w:val="28"/>
                <w:szCs w:val="28"/>
                <w:lang w:val="fr-CA"/>
              </w:rPr>
              <w:t xml:space="preserve">, un cadre conceptuel a été posé sur base d’une analyse du système actuel, d’une comparaison avec les systèmes étrangers et de la mise </w:t>
            </w:r>
            <w:r w:rsidR="00A318B0">
              <w:rPr>
                <w:sz w:val="28"/>
                <w:szCs w:val="28"/>
                <w:lang w:val="fr-CA"/>
              </w:rPr>
              <w:lastRenderedPageBreak/>
              <w:t>en place de projets pilotes</w:t>
            </w:r>
            <w:r w:rsidR="00A55F8F">
              <w:rPr>
                <w:rStyle w:val="Appelnotedebasdep"/>
                <w:sz w:val="28"/>
                <w:szCs w:val="28"/>
                <w:lang w:val="fr-CA"/>
              </w:rPr>
              <w:footnoteReference w:id="1"/>
            </w:r>
            <w:r w:rsidR="00A318B0">
              <w:rPr>
                <w:sz w:val="28"/>
                <w:szCs w:val="28"/>
                <w:lang w:val="fr-CA"/>
              </w:rPr>
              <w:t>.</w:t>
            </w:r>
            <w:r>
              <w:rPr>
                <w:sz w:val="28"/>
                <w:szCs w:val="28"/>
                <w:lang w:val="fr-CA"/>
              </w:rPr>
              <w:t xml:space="preserve"> En effet, pourquoi vouloir changer un système qui fonctionne bien en apparence? Force est de constater que l’offre de soins est vaste en Belgique et bénéficie d’un fort dynamisme technologique. Les soins sont en outre accessibles au plus grand nombre et de proximité. Cette réforme est pourtant jugée indispensable face au constat d’un système  coûteux et d’un nombre croissant d’hôpitaux en déficit. </w:t>
            </w:r>
          </w:p>
          <w:p w14:paraId="448E58CF" w14:textId="77777777" w:rsidR="00A318B0" w:rsidRDefault="00A318B0" w:rsidP="00A318B0">
            <w:pPr>
              <w:rPr>
                <w:sz w:val="28"/>
                <w:szCs w:val="28"/>
                <w:lang w:val="fr-CA"/>
              </w:rPr>
            </w:pPr>
          </w:p>
          <w:p w14:paraId="67DF8EDF" w14:textId="53F5AFA9" w:rsidR="00A318B0" w:rsidRDefault="00A318B0" w:rsidP="00A318B0">
            <w:pPr>
              <w:rPr>
                <w:sz w:val="28"/>
                <w:szCs w:val="28"/>
                <w:lang w:val="fr-CA"/>
              </w:rPr>
            </w:pPr>
            <w:r>
              <w:rPr>
                <w:sz w:val="28"/>
                <w:szCs w:val="28"/>
                <w:lang w:val="fr-CA"/>
              </w:rPr>
              <w:t>Un des pans de la réforme vise donc à faire évoluer le financement des hôpitaux</w:t>
            </w:r>
            <w:r w:rsidR="00A662D6">
              <w:rPr>
                <w:sz w:val="28"/>
                <w:szCs w:val="28"/>
                <w:lang w:val="fr-CA"/>
              </w:rPr>
              <w:t xml:space="preserve"> </w:t>
            </w:r>
            <w:r>
              <w:rPr>
                <w:sz w:val="28"/>
                <w:szCs w:val="28"/>
                <w:lang w:val="fr-CA"/>
              </w:rPr>
              <w:t xml:space="preserve">vers un financement prospectif et par pathologie APR-DRG (hors santé mentale et revalidation), organisé en clusters de financement pour les pathologies à basse, moyenne et haute variabilité. </w:t>
            </w:r>
          </w:p>
          <w:p w14:paraId="67A6F563" w14:textId="77777777" w:rsidR="00A318B0" w:rsidRDefault="00A318B0" w:rsidP="00A318B0">
            <w:pPr>
              <w:rPr>
                <w:sz w:val="28"/>
                <w:szCs w:val="28"/>
                <w:lang w:val="fr-CA"/>
              </w:rPr>
            </w:pPr>
            <w:bookmarkStart w:id="0" w:name="_GoBack"/>
            <w:bookmarkEnd w:id="0"/>
          </w:p>
          <w:p w14:paraId="5FD83D2A" w14:textId="4C573E77" w:rsidR="00A318B0" w:rsidRDefault="00BB737D" w:rsidP="00A318B0">
            <w:pPr>
              <w:rPr>
                <w:sz w:val="28"/>
                <w:szCs w:val="28"/>
                <w:lang w:val="fr-CA"/>
              </w:rPr>
            </w:pPr>
            <w:r>
              <w:rPr>
                <w:sz w:val="28"/>
                <w:szCs w:val="28"/>
                <w:lang w:val="fr-CA"/>
              </w:rPr>
              <w:t>L</w:t>
            </w:r>
            <w:r w:rsidR="00A318B0">
              <w:rPr>
                <w:sz w:val="28"/>
                <w:szCs w:val="28"/>
                <w:lang w:val="fr-CA"/>
              </w:rPr>
              <w:t xml:space="preserve">es clusters </w:t>
            </w:r>
            <w:proofErr w:type="gramStart"/>
            <w:r w:rsidR="00A318B0">
              <w:rPr>
                <w:sz w:val="28"/>
                <w:szCs w:val="28"/>
                <w:lang w:val="fr-CA"/>
              </w:rPr>
              <w:t>basse</w:t>
            </w:r>
            <w:proofErr w:type="gramEnd"/>
            <w:r w:rsidR="00A318B0">
              <w:rPr>
                <w:sz w:val="28"/>
                <w:szCs w:val="28"/>
                <w:lang w:val="fr-CA"/>
              </w:rPr>
              <w:t xml:space="preserve"> variabilité </w:t>
            </w:r>
            <w:r w:rsidR="007A034D">
              <w:rPr>
                <w:sz w:val="28"/>
                <w:szCs w:val="28"/>
                <w:lang w:val="fr-CA"/>
              </w:rPr>
              <w:t>sont d’application</w:t>
            </w:r>
            <w:r w:rsidR="00A318B0">
              <w:rPr>
                <w:sz w:val="28"/>
                <w:szCs w:val="28"/>
                <w:lang w:val="fr-CA"/>
              </w:rPr>
              <w:t xml:space="preserve"> depuis le 1</w:t>
            </w:r>
            <w:r w:rsidR="00A318B0" w:rsidRPr="00452735">
              <w:rPr>
                <w:sz w:val="28"/>
                <w:szCs w:val="28"/>
                <w:vertAlign w:val="superscript"/>
                <w:lang w:val="fr-CA"/>
              </w:rPr>
              <w:t>er</w:t>
            </w:r>
            <w:r w:rsidR="00A318B0">
              <w:rPr>
                <w:sz w:val="28"/>
                <w:szCs w:val="28"/>
                <w:lang w:val="fr-CA"/>
              </w:rPr>
              <w:t xml:space="preserve"> janvier 2019. Ils concernent l’activité en hospitalisation classique et de jour. Le montant englobe tous </w:t>
            </w:r>
            <w:r w:rsidR="00A318B0" w:rsidRPr="007B30CE">
              <w:rPr>
                <w:sz w:val="28"/>
                <w:szCs w:val="28"/>
                <w:u w:val="single"/>
                <w:lang w:val="fr-CA"/>
              </w:rPr>
              <w:t>les honoraires</w:t>
            </w:r>
            <w:r w:rsidR="00A662D6">
              <w:rPr>
                <w:sz w:val="28"/>
                <w:szCs w:val="28"/>
                <w:u w:val="single"/>
                <w:lang w:val="fr-CA"/>
              </w:rPr>
              <w:t xml:space="preserve"> (médicaux et non médicaux)</w:t>
            </w:r>
            <w:r w:rsidR="00A318B0">
              <w:rPr>
                <w:sz w:val="28"/>
                <w:szCs w:val="28"/>
                <w:lang w:val="fr-CA"/>
              </w:rPr>
              <w:t xml:space="preserve"> liés </w:t>
            </w:r>
            <w:r w:rsidR="00A662D6">
              <w:rPr>
                <w:sz w:val="28"/>
                <w:szCs w:val="28"/>
                <w:lang w:val="fr-CA"/>
              </w:rPr>
              <w:t>à un</w:t>
            </w:r>
            <w:r w:rsidR="00A318B0">
              <w:rPr>
                <w:sz w:val="28"/>
                <w:szCs w:val="28"/>
                <w:lang w:val="fr-CA"/>
              </w:rPr>
              <w:t xml:space="preserve"> séjour, indépendamment des prestations effectivement réalisé</w:t>
            </w:r>
            <w:r>
              <w:rPr>
                <w:sz w:val="28"/>
                <w:szCs w:val="28"/>
                <w:lang w:val="fr-CA"/>
              </w:rPr>
              <w:t>e</w:t>
            </w:r>
            <w:r w:rsidR="00A318B0">
              <w:rPr>
                <w:sz w:val="28"/>
                <w:szCs w:val="28"/>
                <w:lang w:val="fr-CA"/>
              </w:rPr>
              <w:t>s, permettant ainsi de répondre aux objectifs suivants :</w:t>
            </w:r>
          </w:p>
          <w:p w14:paraId="04AE4D91" w14:textId="573B7A6F" w:rsidR="00A318B0" w:rsidRPr="00452735" w:rsidRDefault="00A318B0" w:rsidP="00A318B0">
            <w:pPr>
              <w:numPr>
                <w:ilvl w:val="0"/>
                <w:numId w:val="1"/>
              </w:numPr>
              <w:rPr>
                <w:sz w:val="28"/>
                <w:szCs w:val="28"/>
                <w:lang w:val="fr-BE"/>
              </w:rPr>
            </w:pPr>
            <w:r w:rsidRPr="00452735">
              <w:rPr>
                <w:sz w:val="28"/>
                <w:szCs w:val="28"/>
                <w:lang w:val="fr-BE"/>
              </w:rPr>
              <w:t xml:space="preserve">Limiter les </w:t>
            </w:r>
            <w:r w:rsidRPr="00452735">
              <w:rPr>
                <w:b/>
                <w:bCs/>
                <w:sz w:val="28"/>
                <w:szCs w:val="28"/>
                <w:lang w:val="fr-BE"/>
              </w:rPr>
              <w:t xml:space="preserve">différences de pratiques </w:t>
            </w:r>
            <w:r w:rsidRPr="00452735">
              <w:rPr>
                <w:sz w:val="28"/>
                <w:szCs w:val="28"/>
                <w:lang w:val="fr-BE"/>
              </w:rPr>
              <w:t xml:space="preserve">pour des soins </w:t>
            </w:r>
            <w:proofErr w:type="spellStart"/>
            <w:r w:rsidRPr="00452735">
              <w:rPr>
                <w:sz w:val="28"/>
                <w:szCs w:val="28"/>
                <w:lang w:val="fr-BE"/>
              </w:rPr>
              <w:t>standardisables</w:t>
            </w:r>
            <w:proofErr w:type="spellEnd"/>
            <w:r w:rsidRPr="00452735">
              <w:rPr>
                <w:sz w:val="28"/>
                <w:szCs w:val="28"/>
                <w:lang w:val="fr-BE"/>
              </w:rPr>
              <w:t xml:space="preserve"> (faible sévérité)</w:t>
            </w:r>
            <w:r>
              <w:rPr>
                <w:sz w:val="28"/>
                <w:szCs w:val="28"/>
                <w:lang w:val="fr-BE"/>
              </w:rPr>
              <w:t xml:space="preserve"> et </w:t>
            </w:r>
            <w:r w:rsidR="004954F2">
              <w:rPr>
                <w:sz w:val="28"/>
                <w:szCs w:val="28"/>
                <w:lang w:val="fr-BE"/>
              </w:rPr>
              <w:t xml:space="preserve">endiguer </w:t>
            </w:r>
            <w:r>
              <w:rPr>
                <w:sz w:val="28"/>
                <w:szCs w:val="28"/>
                <w:lang w:val="fr-BE"/>
              </w:rPr>
              <w:t xml:space="preserve">une éventuelle </w:t>
            </w:r>
            <w:proofErr w:type="spellStart"/>
            <w:r w:rsidRPr="007B30CE">
              <w:rPr>
                <w:b/>
                <w:sz w:val="28"/>
                <w:szCs w:val="28"/>
                <w:lang w:val="fr-BE"/>
              </w:rPr>
              <w:t>sur-consommation</w:t>
            </w:r>
            <w:proofErr w:type="spellEnd"/>
          </w:p>
          <w:p w14:paraId="2DE27637" w14:textId="63169CF9" w:rsidR="00A318B0" w:rsidRPr="00452735" w:rsidRDefault="00A318B0" w:rsidP="00A318B0">
            <w:pPr>
              <w:numPr>
                <w:ilvl w:val="0"/>
                <w:numId w:val="1"/>
              </w:numPr>
              <w:rPr>
                <w:sz w:val="28"/>
                <w:szCs w:val="28"/>
                <w:lang w:val="fr-BE"/>
              </w:rPr>
            </w:pPr>
            <w:r w:rsidRPr="00452735">
              <w:rPr>
                <w:b/>
                <w:bCs/>
                <w:sz w:val="28"/>
                <w:szCs w:val="28"/>
                <w:lang w:val="fr-BE"/>
              </w:rPr>
              <w:t xml:space="preserve">Prévisibilité </w:t>
            </w:r>
            <w:r w:rsidRPr="00452735">
              <w:rPr>
                <w:sz w:val="28"/>
                <w:szCs w:val="28"/>
                <w:lang w:val="fr-BE"/>
              </w:rPr>
              <w:t xml:space="preserve">au travers un montant prospectif plutôt qu’un remboursement a postériori </w:t>
            </w:r>
          </w:p>
          <w:p w14:paraId="63DDDAD8" w14:textId="7207D321" w:rsidR="00A318B0" w:rsidRPr="00452735" w:rsidRDefault="00A318B0" w:rsidP="00A318B0">
            <w:pPr>
              <w:numPr>
                <w:ilvl w:val="0"/>
                <w:numId w:val="1"/>
              </w:numPr>
              <w:rPr>
                <w:sz w:val="28"/>
                <w:szCs w:val="28"/>
                <w:lang w:val="fr-BE"/>
              </w:rPr>
            </w:pPr>
            <w:r w:rsidRPr="00452735">
              <w:rPr>
                <w:sz w:val="28"/>
                <w:szCs w:val="28"/>
                <w:lang w:val="fr-BE"/>
              </w:rPr>
              <w:t xml:space="preserve">Un </w:t>
            </w:r>
            <w:r w:rsidRPr="00452735">
              <w:rPr>
                <w:b/>
                <w:bCs/>
                <w:sz w:val="28"/>
                <w:szCs w:val="28"/>
                <w:lang w:val="fr-BE"/>
              </w:rPr>
              <w:t xml:space="preserve">montant identique pour le patient </w:t>
            </w:r>
            <w:r w:rsidRPr="00452735">
              <w:rPr>
                <w:sz w:val="28"/>
                <w:szCs w:val="28"/>
                <w:lang w:val="fr-BE"/>
              </w:rPr>
              <w:t>pour un même soin</w:t>
            </w:r>
            <w:r w:rsidR="006C58ED">
              <w:rPr>
                <w:sz w:val="28"/>
                <w:szCs w:val="28"/>
                <w:lang w:val="fr-BE"/>
              </w:rPr>
              <w:t xml:space="preserve"> presté</w:t>
            </w:r>
            <w:r w:rsidRPr="00452735">
              <w:rPr>
                <w:sz w:val="28"/>
                <w:szCs w:val="28"/>
                <w:lang w:val="fr-BE"/>
              </w:rPr>
              <w:t xml:space="preserve"> quel</w:t>
            </w:r>
            <w:r>
              <w:rPr>
                <w:sz w:val="28"/>
                <w:szCs w:val="28"/>
                <w:lang w:val="fr-BE"/>
              </w:rPr>
              <w:t xml:space="preserve"> </w:t>
            </w:r>
            <w:r w:rsidRPr="00452735">
              <w:rPr>
                <w:sz w:val="28"/>
                <w:szCs w:val="28"/>
                <w:lang w:val="fr-BE"/>
              </w:rPr>
              <w:t>que soit l’hôpital</w:t>
            </w:r>
          </w:p>
          <w:p w14:paraId="51217984" w14:textId="60EC540F" w:rsidR="00A318B0" w:rsidRPr="00452735" w:rsidRDefault="00A318B0" w:rsidP="00A318B0">
            <w:pPr>
              <w:numPr>
                <w:ilvl w:val="0"/>
                <w:numId w:val="1"/>
              </w:numPr>
              <w:rPr>
                <w:sz w:val="28"/>
                <w:szCs w:val="28"/>
                <w:lang w:val="fr-BE"/>
              </w:rPr>
            </w:pPr>
            <w:r w:rsidRPr="00452735">
              <w:rPr>
                <w:sz w:val="28"/>
                <w:szCs w:val="28"/>
                <w:lang w:val="fr-BE"/>
              </w:rPr>
              <w:t xml:space="preserve">Plus de </w:t>
            </w:r>
            <w:r w:rsidRPr="00452735">
              <w:rPr>
                <w:b/>
                <w:bCs/>
                <w:sz w:val="28"/>
                <w:szCs w:val="28"/>
                <w:lang w:val="fr-BE"/>
              </w:rPr>
              <w:t>transparence</w:t>
            </w:r>
            <w:r w:rsidRPr="00452735">
              <w:rPr>
                <w:sz w:val="28"/>
                <w:szCs w:val="28"/>
                <w:lang w:val="fr-BE"/>
              </w:rPr>
              <w:t xml:space="preserve"> pour les patients </w:t>
            </w:r>
            <w:r>
              <w:rPr>
                <w:sz w:val="28"/>
                <w:szCs w:val="28"/>
                <w:lang w:val="fr-BE"/>
              </w:rPr>
              <w:t>et</w:t>
            </w:r>
            <w:r w:rsidRPr="00452735">
              <w:rPr>
                <w:sz w:val="28"/>
                <w:szCs w:val="28"/>
                <w:lang w:val="fr-BE"/>
              </w:rPr>
              <w:t xml:space="preserve"> pour les soignants</w:t>
            </w:r>
          </w:p>
          <w:p w14:paraId="0C3FB01F" w14:textId="54495985" w:rsidR="00A318B0" w:rsidRPr="00452735" w:rsidRDefault="00A318B0" w:rsidP="00A318B0">
            <w:pPr>
              <w:numPr>
                <w:ilvl w:val="0"/>
                <w:numId w:val="1"/>
              </w:numPr>
              <w:rPr>
                <w:sz w:val="28"/>
                <w:szCs w:val="28"/>
                <w:lang w:val="fr-BE"/>
              </w:rPr>
            </w:pPr>
            <w:r w:rsidRPr="00452735">
              <w:rPr>
                <w:sz w:val="28"/>
                <w:szCs w:val="28"/>
                <w:lang w:val="fr-BE"/>
              </w:rPr>
              <w:t>Plus d’</w:t>
            </w:r>
            <w:r w:rsidRPr="00452735">
              <w:rPr>
                <w:b/>
                <w:bCs/>
                <w:sz w:val="28"/>
                <w:szCs w:val="28"/>
                <w:lang w:val="fr-BE"/>
              </w:rPr>
              <w:t xml:space="preserve">équité de financement </w:t>
            </w:r>
            <w:r w:rsidRPr="00452735">
              <w:rPr>
                <w:sz w:val="28"/>
                <w:szCs w:val="28"/>
                <w:lang w:val="fr-BE"/>
              </w:rPr>
              <w:t>(</w:t>
            </w:r>
            <w:r>
              <w:rPr>
                <w:sz w:val="28"/>
                <w:szCs w:val="28"/>
                <w:lang w:val="fr-BE"/>
              </w:rPr>
              <w:t xml:space="preserve">calcul du montant du forfait sur la </w:t>
            </w:r>
            <w:r w:rsidRPr="00452735">
              <w:rPr>
                <w:sz w:val="28"/>
                <w:szCs w:val="28"/>
                <w:lang w:val="fr-BE"/>
              </w:rPr>
              <w:t xml:space="preserve">médiane </w:t>
            </w:r>
            <w:r>
              <w:rPr>
                <w:sz w:val="28"/>
                <w:szCs w:val="28"/>
                <w:lang w:val="fr-BE"/>
              </w:rPr>
              <w:t xml:space="preserve">nationale </w:t>
            </w:r>
            <w:r w:rsidRPr="00452735">
              <w:rPr>
                <w:sz w:val="28"/>
                <w:szCs w:val="28"/>
                <w:lang w:val="fr-BE"/>
              </w:rPr>
              <w:t>plutôt que moyenne)</w:t>
            </w:r>
          </w:p>
          <w:p w14:paraId="0FD83131" w14:textId="77777777" w:rsidR="00A318B0" w:rsidRDefault="00A318B0" w:rsidP="00A318B0">
            <w:pPr>
              <w:ind w:left="720"/>
              <w:rPr>
                <w:sz w:val="28"/>
                <w:szCs w:val="28"/>
                <w:lang w:val="fr-BE"/>
              </w:rPr>
            </w:pPr>
          </w:p>
          <w:p w14:paraId="4BA5C7F4" w14:textId="7A86EC8F" w:rsidR="00A318B0" w:rsidRPr="0076085A" w:rsidRDefault="00A318B0" w:rsidP="0076085A">
            <w:pPr>
              <w:rPr>
                <w:sz w:val="28"/>
                <w:szCs w:val="28"/>
                <w:lang w:val="fr-BE"/>
              </w:rPr>
            </w:pPr>
            <w:r w:rsidRPr="0076085A">
              <w:rPr>
                <w:sz w:val="28"/>
                <w:szCs w:val="28"/>
                <w:lang w:val="fr-BE"/>
              </w:rPr>
              <w:t>27 DRG ont été identifiés comme faisant partie des clusters basse variabilité</w:t>
            </w:r>
            <w:r w:rsidR="006C58ED">
              <w:rPr>
                <w:sz w:val="28"/>
                <w:szCs w:val="28"/>
                <w:lang w:val="fr-BE"/>
              </w:rPr>
              <w:t>.  I</w:t>
            </w:r>
            <w:r w:rsidR="006C58ED" w:rsidRPr="0076085A">
              <w:rPr>
                <w:sz w:val="28"/>
                <w:szCs w:val="28"/>
                <w:lang w:val="fr-BE"/>
              </w:rPr>
              <w:t xml:space="preserve">ls </w:t>
            </w:r>
            <w:r w:rsidRPr="0076085A">
              <w:rPr>
                <w:sz w:val="28"/>
                <w:szCs w:val="28"/>
                <w:lang w:val="fr-BE"/>
              </w:rPr>
              <w:t>concernent principalement les disciplines de cardiologie interventionnelle</w:t>
            </w:r>
            <w:r w:rsidR="009C3F63">
              <w:rPr>
                <w:sz w:val="28"/>
                <w:szCs w:val="28"/>
                <w:lang w:val="fr-BE"/>
              </w:rPr>
              <w:t xml:space="preserve"> </w:t>
            </w:r>
            <w:r w:rsidR="009C3F63">
              <w:rPr>
                <w:sz w:val="28"/>
                <w:szCs w:val="28"/>
                <w:lang w:val="fr-BE"/>
              </w:rPr>
              <w:lastRenderedPageBreak/>
              <w:t>(</w:t>
            </w:r>
            <w:proofErr w:type="spellStart"/>
            <w:r w:rsidR="009C3F63">
              <w:rPr>
                <w:sz w:val="28"/>
                <w:szCs w:val="28"/>
                <w:lang w:val="fr-BE"/>
              </w:rPr>
              <w:t>c</w:t>
            </w:r>
            <w:r w:rsidR="0076085A" w:rsidRPr="0076085A">
              <w:rPr>
                <w:sz w:val="28"/>
                <w:szCs w:val="28"/>
                <w:lang w:val="fr-BE"/>
              </w:rPr>
              <w:t>oronaroplastie</w:t>
            </w:r>
            <w:proofErr w:type="spellEnd"/>
            <w:r w:rsidR="0076085A" w:rsidRPr="0076085A">
              <w:rPr>
                <w:sz w:val="28"/>
                <w:szCs w:val="28"/>
                <w:lang w:val="fr-BE"/>
              </w:rPr>
              <w:t>, …)</w:t>
            </w:r>
            <w:r w:rsidRPr="0076085A">
              <w:rPr>
                <w:sz w:val="28"/>
                <w:szCs w:val="28"/>
                <w:lang w:val="fr-BE"/>
              </w:rPr>
              <w:t>, chirurgie cardio-vasculaire</w:t>
            </w:r>
            <w:r w:rsidR="0076085A" w:rsidRPr="0076085A">
              <w:rPr>
                <w:sz w:val="28"/>
                <w:szCs w:val="28"/>
                <w:lang w:val="fr-BE"/>
              </w:rPr>
              <w:t xml:space="preserve"> (pontage, valve, …)</w:t>
            </w:r>
            <w:r w:rsidRPr="0076085A">
              <w:rPr>
                <w:sz w:val="28"/>
                <w:szCs w:val="28"/>
                <w:lang w:val="fr-BE"/>
              </w:rPr>
              <w:t>, chirurgie abdominale</w:t>
            </w:r>
            <w:r w:rsidR="0076085A" w:rsidRPr="0076085A">
              <w:rPr>
                <w:sz w:val="28"/>
                <w:szCs w:val="28"/>
                <w:lang w:val="fr-BE"/>
              </w:rPr>
              <w:t xml:space="preserve"> (</w:t>
            </w:r>
            <w:r w:rsidR="009C3F63">
              <w:rPr>
                <w:iCs/>
                <w:sz w:val="28"/>
                <w:szCs w:val="28"/>
              </w:rPr>
              <w:t>t</w:t>
            </w:r>
            <w:r w:rsidR="0076085A" w:rsidRPr="0076085A">
              <w:rPr>
                <w:iCs/>
                <w:sz w:val="28"/>
                <w:szCs w:val="28"/>
              </w:rPr>
              <w:t>hyroïdectomie,</w:t>
            </w:r>
            <w:r w:rsidR="009C3F63">
              <w:rPr>
                <w:iCs/>
                <w:sz w:val="28"/>
                <w:szCs w:val="28"/>
              </w:rPr>
              <w:t xml:space="preserve"> g</w:t>
            </w:r>
            <w:r w:rsidR="0076085A" w:rsidRPr="0076085A">
              <w:rPr>
                <w:iCs/>
                <w:sz w:val="28"/>
                <w:szCs w:val="28"/>
              </w:rPr>
              <w:t>astroplastie,</w:t>
            </w:r>
            <w:r w:rsidR="0076085A" w:rsidRPr="0076085A">
              <w:rPr>
                <w:i/>
                <w:iCs/>
                <w:sz w:val="28"/>
                <w:szCs w:val="28"/>
              </w:rPr>
              <w:t xml:space="preserve"> ...)</w:t>
            </w:r>
            <w:r w:rsidRPr="0076085A">
              <w:rPr>
                <w:sz w:val="28"/>
                <w:szCs w:val="28"/>
                <w:lang w:val="fr-BE"/>
              </w:rPr>
              <w:t>, gynécologie et obstétrique</w:t>
            </w:r>
            <w:r w:rsidR="0076085A" w:rsidRPr="0076085A">
              <w:rPr>
                <w:sz w:val="28"/>
                <w:szCs w:val="28"/>
                <w:lang w:val="fr-BE"/>
              </w:rPr>
              <w:t xml:space="preserve"> (</w:t>
            </w:r>
            <w:r w:rsidR="009C3F63">
              <w:rPr>
                <w:iCs/>
                <w:sz w:val="28"/>
                <w:szCs w:val="28"/>
                <w:lang w:val="fr-BE"/>
              </w:rPr>
              <w:t>a</w:t>
            </w:r>
            <w:r w:rsidR="003E0BA4" w:rsidRPr="0076085A">
              <w:rPr>
                <w:iCs/>
                <w:sz w:val="28"/>
                <w:szCs w:val="28"/>
                <w:lang w:val="fr-BE"/>
              </w:rPr>
              <w:t>ccouchement vaginal</w:t>
            </w:r>
            <w:r w:rsidR="0076085A" w:rsidRPr="0076085A">
              <w:rPr>
                <w:iCs/>
                <w:sz w:val="28"/>
                <w:szCs w:val="28"/>
                <w:lang w:val="fr-BE"/>
              </w:rPr>
              <w:t xml:space="preserve">, </w:t>
            </w:r>
            <w:r w:rsidR="003E0BA4" w:rsidRPr="0076085A">
              <w:rPr>
                <w:iCs/>
                <w:sz w:val="28"/>
                <w:szCs w:val="28"/>
                <w:lang w:val="fr-BE"/>
              </w:rPr>
              <w:t xml:space="preserve"> césarienne</w:t>
            </w:r>
            <w:r w:rsidR="0076085A" w:rsidRPr="0076085A">
              <w:rPr>
                <w:iCs/>
                <w:sz w:val="28"/>
                <w:szCs w:val="28"/>
                <w:lang w:val="fr-BE"/>
              </w:rPr>
              <w:t>,…)</w:t>
            </w:r>
            <w:r w:rsidRPr="0076085A">
              <w:rPr>
                <w:sz w:val="28"/>
                <w:szCs w:val="28"/>
                <w:lang w:val="fr-BE"/>
              </w:rPr>
              <w:t>, chirurgie orthopédique et de la main</w:t>
            </w:r>
            <w:r w:rsidR="009C3F63">
              <w:rPr>
                <w:sz w:val="28"/>
                <w:szCs w:val="28"/>
                <w:lang w:val="fr-BE"/>
              </w:rPr>
              <w:t xml:space="preserve"> (PTH, PTG, c</w:t>
            </w:r>
            <w:r w:rsidR="0076085A">
              <w:rPr>
                <w:sz w:val="28"/>
                <w:szCs w:val="28"/>
                <w:lang w:val="fr-BE"/>
              </w:rPr>
              <w:t xml:space="preserve">anal </w:t>
            </w:r>
            <w:r w:rsidR="009C3F63">
              <w:rPr>
                <w:sz w:val="28"/>
                <w:szCs w:val="28"/>
                <w:lang w:val="fr-BE"/>
              </w:rPr>
              <w:t>c</w:t>
            </w:r>
            <w:r w:rsidR="0076085A">
              <w:rPr>
                <w:sz w:val="28"/>
                <w:szCs w:val="28"/>
                <w:lang w:val="fr-BE"/>
              </w:rPr>
              <w:t>arpien,…)</w:t>
            </w:r>
            <w:r w:rsidRPr="0076085A">
              <w:rPr>
                <w:sz w:val="28"/>
                <w:szCs w:val="28"/>
                <w:lang w:val="fr-BE"/>
              </w:rPr>
              <w:t>, urologie</w:t>
            </w:r>
            <w:r w:rsidR="009C3F63">
              <w:rPr>
                <w:sz w:val="28"/>
                <w:szCs w:val="28"/>
                <w:lang w:val="fr-BE"/>
              </w:rPr>
              <w:t xml:space="preserve"> (c</w:t>
            </w:r>
            <w:r w:rsidR="0076085A">
              <w:rPr>
                <w:sz w:val="28"/>
                <w:szCs w:val="28"/>
                <w:lang w:val="fr-BE"/>
              </w:rPr>
              <w:t>irconcision, vasectomie, …)</w:t>
            </w:r>
            <w:r w:rsidRPr="0076085A">
              <w:rPr>
                <w:sz w:val="28"/>
                <w:szCs w:val="28"/>
                <w:lang w:val="fr-BE"/>
              </w:rPr>
              <w:t xml:space="preserve"> et ORL</w:t>
            </w:r>
            <w:r w:rsidR="0076085A" w:rsidRPr="0076085A">
              <w:rPr>
                <w:sz w:val="28"/>
                <w:szCs w:val="28"/>
                <w:lang w:val="fr-BE"/>
              </w:rPr>
              <w:t xml:space="preserve"> (</w:t>
            </w:r>
            <w:r w:rsidR="009C3F63">
              <w:rPr>
                <w:iCs/>
                <w:sz w:val="28"/>
                <w:szCs w:val="28"/>
              </w:rPr>
              <w:t>a</w:t>
            </w:r>
            <w:r w:rsidR="0076085A" w:rsidRPr="0076085A">
              <w:rPr>
                <w:iCs/>
                <w:sz w:val="28"/>
                <w:szCs w:val="28"/>
              </w:rPr>
              <w:t>mygdales et végétations, ...)</w:t>
            </w:r>
            <w:r w:rsidRPr="0076085A">
              <w:rPr>
                <w:sz w:val="28"/>
                <w:szCs w:val="28"/>
                <w:lang w:val="fr-BE"/>
              </w:rPr>
              <w:t>. Ces 27 DRG ont été subdivisés en 57 groupes de patients, définis à partir du degré de sévérité (1 et/ou 2), de la présence ou l’absence de certains codes de nomenclature et/ou de codes ICD10 et du type d’hospitalisation (classique ou de jour). C</w:t>
            </w:r>
            <w:r w:rsidR="007A034D">
              <w:rPr>
                <w:sz w:val="28"/>
                <w:szCs w:val="28"/>
                <w:lang w:val="fr-BE"/>
              </w:rPr>
              <w:t>haque groupe de patient se voit ainsi</w:t>
            </w:r>
            <w:r w:rsidRPr="0076085A">
              <w:rPr>
                <w:sz w:val="28"/>
                <w:szCs w:val="28"/>
                <w:lang w:val="fr-BE"/>
              </w:rPr>
              <w:t xml:space="preserve"> attribuer un montant </w:t>
            </w:r>
            <w:r w:rsidR="007A034D">
              <w:rPr>
                <w:sz w:val="28"/>
                <w:szCs w:val="28"/>
                <w:lang w:val="fr-BE"/>
              </w:rPr>
              <w:t>forfaitaire</w:t>
            </w:r>
            <w:r w:rsidRPr="0076085A">
              <w:rPr>
                <w:sz w:val="28"/>
                <w:szCs w:val="28"/>
                <w:lang w:val="fr-BE"/>
              </w:rPr>
              <w:t xml:space="preserve"> </w:t>
            </w:r>
            <w:r w:rsidR="009C3F63">
              <w:rPr>
                <w:sz w:val="28"/>
                <w:szCs w:val="28"/>
                <w:lang w:val="fr-BE"/>
              </w:rPr>
              <w:t>par séjour</w:t>
            </w:r>
            <w:r w:rsidRPr="0076085A">
              <w:rPr>
                <w:sz w:val="28"/>
                <w:szCs w:val="28"/>
                <w:lang w:val="fr-BE"/>
              </w:rPr>
              <w:t>.</w:t>
            </w:r>
          </w:p>
          <w:p w14:paraId="20D7583F" w14:textId="77777777" w:rsidR="00A318B0" w:rsidRPr="00452735" w:rsidRDefault="00A318B0" w:rsidP="00A318B0">
            <w:pPr>
              <w:rPr>
                <w:sz w:val="28"/>
                <w:szCs w:val="28"/>
                <w:lang w:val="fr-BE"/>
              </w:rPr>
            </w:pPr>
          </w:p>
          <w:p w14:paraId="6BCBF2BE" w14:textId="7D5CC3CC" w:rsidR="00A318B0" w:rsidRDefault="00A55F8F" w:rsidP="00A318B0">
            <w:pPr>
              <w:rPr>
                <w:b/>
                <w:sz w:val="28"/>
                <w:szCs w:val="28"/>
                <w:lang w:val="fr-CA"/>
              </w:rPr>
            </w:pPr>
            <w:r>
              <w:rPr>
                <w:b/>
                <w:sz w:val="28"/>
                <w:szCs w:val="28"/>
                <w:lang w:val="fr-CA"/>
              </w:rPr>
              <w:t>Objectif</w:t>
            </w:r>
            <w:r w:rsidR="00A318B0" w:rsidRPr="00695891">
              <w:rPr>
                <w:b/>
                <w:sz w:val="28"/>
                <w:szCs w:val="28"/>
                <w:lang w:val="fr-CA"/>
              </w:rPr>
              <w:t> :</w:t>
            </w:r>
          </w:p>
          <w:p w14:paraId="7ED77C35" w14:textId="77777777" w:rsidR="00A318B0" w:rsidRPr="00695891" w:rsidRDefault="00A318B0" w:rsidP="00A318B0">
            <w:pPr>
              <w:rPr>
                <w:b/>
                <w:sz w:val="28"/>
                <w:szCs w:val="28"/>
                <w:lang w:val="fr-CA"/>
              </w:rPr>
            </w:pPr>
          </w:p>
          <w:p w14:paraId="1E731B4C" w14:textId="559BEB93" w:rsidR="00A318B0" w:rsidRPr="004459EE" w:rsidRDefault="00A318B0" w:rsidP="00A318B0">
            <w:pPr>
              <w:tabs>
                <w:tab w:val="num" w:pos="720"/>
              </w:tabs>
              <w:rPr>
                <w:sz w:val="28"/>
                <w:szCs w:val="28"/>
                <w:lang w:val="fr-BE"/>
              </w:rPr>
            </w:pPr>
            <w:r w:rsidRPr="004459EE">
              <w:rPr>
                <w:sz w:val="28"/>
                <w:szCs w:val="28"/>
                <w:lang w:val="fr-BE"/>
              </w:rPr>
              <w:t>Le CHU de Liège</w:t>
            </w:r>
            <w:r>
              <w:rPr>
                <w:sz w:val="28"/>
                <w:szCs w:val="28"/>
                <w:lang w:val="fr-BE"/>
              </w:rPr>
              <w:t xml:space="preserve">, </w:t>
            </w:r>
            <w:r w:rsidRPr="004459EE">
              <w:rPr>
                <w:sz w:val="28"/>
                <w:szCs w:val="28"/>
                <w:lang w:val="fr-BE"/>
              </w:rPr>
              <w:t>hôpital universitaire, compte 888 lits agréés. En 201</w:t>
            </w:r>
            <w:r>
              <w:rPr>
                <w:sz w:val="28"/>
                <w:szCs w:val="28"/>
                <w:lang w:val="fr-BE"/>
              </w:rPr>
              <w:t>8</w:t>
            </w:r>
            <w:r w:rsidRPr="004459EE">
              <w:rPr>
                <w:sz w:val="28"/>
                <w:szCs w:val="28"/>
                <w:lang w:val="fr-BE"/>
              </w:rPr>
              <w:t>, il a accueilli 840.000 personnes en consultation, </w:t>
            </w:r>
            <w:r>
              <w:rPr>
                <w:sz w:val="28"/>
                <w:szCs w:val="28"/>
                <w:lang w:val="fr-BE"/>
              </w:rPr>
              <w:t>100</w:t>
            </w:r>
            <w:r w:rsidRPr="004459EE">
              <w:rPr>
                <w:sz w:val="28"/>
                <w:szCs w:val="28"/>
                <w:lang w:val="fr-BE"/>
              </w:rPr>
              <w:t>.000 patients aux urgences, 4</w:t>
            </w:r>
            <w:r>
              <w:rPr>
                <w:sz w:val="28"/>
                <w:szCs w:val="28"/>
                <w:lang w:val="fr-BE"/>
              </w:rPr>
              <w:t>5</w:t>
            </w:r>
            <w:r w:rsidRPr="004459EE">
              <w:rPr>
                <w:sz w:val="28"/>
                <w:szCs w:val="28"/>
                <w:lang w:val="fr-BE"/>
              </w:rPr>
              <w:t>.000 en hôpital de jour et 4</w:t>
            </w:r>
            <w:r>
              <w:rPr>
                <w:sz w:val="28"/>
                <w:szCs w:val="28"/>
                <w:lang w:val="fr-BE"/>
              </w:rPr>
              <w:t>2</w:t>
            </w:r>
            <w:r w:rsidRPr="004459EE">
              <w:rPr>
                <w:sz w:val="28"/>
                <w:szCs w:val="28"/>
                <w:lang w:val="fr-BE"/>
              </w:rPr>
              <w:t>.000 en hospitalisation classique. Plus de 900 médecins, répartis entre une cinquantaine de services, y dispensent des soins spécialisés dans toutes les disciplines médicales.</w:t>
            </w:r>
          </w:p>
          <w:p w14:paraId="40EAE3B0" w14:textId="77777777" w:rsidR="00A318B0" w:rsidRDefault="00A318B0" w:rsidP="00A318B0">
            <w:pPr>
              <w:rPr>
                <w:sz w:val="28"/>
                <w:szCs w:val="28"/>
              </w:rPr>
            </w:pPr>
          </w:p>
          <w:p w14:paraId="05AF5239" w14:textId="22A0C89E" w:rsidR="00A318B0" w:rsidRDefault="00A318B0" w:rsidP="00A318B0">
            <w:pPr>
              <w:rPr>
                <w:sz w:val="28"/>
                <w:szCs w:val="28"/>
                <w:lang w:val="fr-BE"/>
              </w:rPr>
            </w:pPr>
            <w:r>
              <w:rPr>
                <w:sz w:val="28"/>
                <w:szCs w:val="28"/>
                <w:lang w:val="fr-BE"/>
              </w:rPr>
              <w:t xml:space="preserve">Avant la mise en place effective de cette réforme, le CHU de Liège a souhaité analyser les différents impacts des clusters basse-variabilité </w:t>
            </w:r>
            <w:r w:rsidR="00A662D6">
              <w:rPr>
                <w:sz w:val="28"/>
                <w:szCs w:val="28"/>
                <w:lang w:val="fr-BE"/>
              </w:rPr>
              <w:t xml:space="preserve">sur </w:t>
            </w:r>
            <w:r>
              <w:rPr>
                <w:sz w:val="28"/>
                <w:szCs w:val="28"/>
                <w:lang w:val="fr-BE"/>
              </w:rPr>
              <w:t>l’institution</w:t>
            </w:r>
            <w:r w:rsidR="00A662D6">
              <w:rPr>
                <w:sz w:val="28"/>
                <w:szCs w:val="28"/>
                <w:lang w:val="fr-BE"/>
              </w:rPr>
              <w:t xml:space="preserve"> et</w:t>
            </w:r>
            <w:r>
              <w:rPr>
                <w:sz w:val="28"/>
                <w:szCs w:val="28"/>
                <w:lang w:val="fr-BE"/>
              </w:rPr>
              <w:t xml:space="preserve"> </w:t>
            </w:r>
            <w:r w:rsidR="00CC0CCC">
              <w:rPr>
                <w:sz w:val="28"/>
                <w:szCs w:val="28"/>
                <w:lang w:val="fr-BE"/>
              </w:rPr>
              <w:t xml:space="preserve">par </w:t>
            </w:r>
            <w:r>
              <w:rPr>
                <w:sz w:val="28"/>
                <w:szCs w:val="28"/>
                <w:lang w:val="fr-BE"/>
              </w:rPr>
              <w:t>service médical</w:t>
            </w:r>
            <w:r w:rsidR="006C58ED">
              <w:rPr>
                <w:sz w:val="28"/>
                <w:szCs w:val="28"/>
                <w:lang w:val="fr-BE"/>
              </w:rPr>
              <w:t xml:space="preserve">.  </w:t>
            </w:r>
            <w:r w:rsidR="00CC0CCC">
              <w:rPr>
                <w:sz w:val="28"/>
                <w:szCs w:val="28"/>
                <w:lang w:val="fr-BE"/>
              </w:rPr>
              <w:t xml:space="preserve">En effet, au CHU de Liège, une forte responsabilisation budgétaire </w:t>
            </w:r>
            <w:r w:rsidR="00914612">
              <w:rPr>
                <w:sz w:val="28"/>
                <w:szCs w:val="28"/>
                <w:lang w:val="fr-BE"/>
              </w:rPr>
              <w:t>a été confiée aux chefs de service médicaux en ce qui concerne les honoraires.  Dès lors, c</w:t>
            </w:r>
            <w:r w:rsidR="006C58ED">
              <w:rPr>
                <w:sz w:val="28"/>
                <w:szCs w:val="28"/>
                <w:lang w:val="fr-BE"/>
              </w:rPr>
              <w:t xml:space="preserve">haque service médical </w:t>
            </w:r>
            <w:r>
              <w:rPr>
                <w:sz w:val="28"/>
                <w:szCs w:val="28"/>
                <w:lang w:val="fr-BE"/>
              </w:rPr>
              <w:t xml:space="preserve">correspond à </w:t>
            </w:r>
            <w:r w:rsidR="006C58ED">
              <w:rPr>
                <w:sz w:val="28"/>
                <w:szCs w:val="28"/>
                <w:lang w:val="fr-BE"/>
              </w:rPr>
              <w:t xml:space="preserve">une </w:t>
            </w:r>
            <w:r>
              <w:rPr>
                <w:sz w:val="28"/>
                <w:szCs w:val="28"/>
                <w:lang w:val="fr-BE"/>
              </w:rPr>
              <w:t xml:space="preserve">unité budgétaire gérée par </w:t>
            </w:r>
            <w:r w:rsidR="006C58ED">
              <w:rPr>
                <w:sz w:val="28"/>
                <w:szCs w:val="28"/>
                <w:lang w:val="fr-BE"/>
              </w:rPr>
              <w:t xml:space="preserve">un </w:t>
            </w:r>
            <w:r>
              <w:rPr>
                <w:sz w:val="28"/>
                <w:szCs w:val="28"/>
                <w:lang w:val="fr-BE"/>
              </w:rPr>
              <w:t>chef de service médica</w:t>
            </w:r>
            <w:r w:rsidR="006C58ED">
              <w:rPr>
                <w:sz w:val="28"/>
                <w:szCs w:val="28"/>
                <w:lang w:val="fr-BE"/>
              </w:rPr>
              <w:t>l</w:t>
            </w:r>
            <w:r>
              <w:rPr>
                <w:sz w:val="28"/>
                <w:szCs w:val="28"/>
                <w:lang w:val="fr-BE"/>
              </w:rPr>
              <w:t>.</w:t>
            </w:r>
          </w:p>
          <w:p w14:paraId="61FAA07E" w14:textId="77777777" w:rsidR="00A318B0" w:rsidRDefault="00A318B0" w:rsidP="00A318B0">
            <w:pPr>
              <w:rPr>
                <w:sz w:val="28"/>
                <w:szCs w:val="28"/>
                <w:lang w:val="fr-BE"/>
              </w:rPr>
            </w:pPr>
          </w:p>
          <w:p w14:paraId="6D03D431" w14:textId="0CEF90BC" w:rsidR="00A55F8F" w:rsidRDefault="00A55F8F" w:rsidP="00A55F8F">
            <w:pPr>
              <w:rPr>
                <w:b/>
                <w:sz w:val="28"/>
                <w:szCs w:val="28"/>
                <w:lang w:val="fr-CA"/>
              </w:rPr>
            </w:pPr>
            <w:r>
              <w:rPr>
                <w:b/>
                <w:sz w:val="28"/>
                <w:szCs w:val="28"/>
                <w:lang w:val="fr-CA"/>
              </w:rPr>
              <w:t>Méthode</w:t>
            </w:r>
            <w:r w:rsidRPr="00695891">
              <w:rPr>
                <w:b/>
                <w:sz w:val="28"/>
                <w:szCs w:val="28"/>
                <w:lang w:val="fr-CA"/>
              </w:rPr>
              <w:t> :</w:t>
            </w:r>
          </w:p>
          <w:p w14:paraId="5870734A" w14:textId="77777777" w:rsidR="00A55F8F" w:rsidRDefault="00A55F8F" w:rsidP="00A318B0">
            <w:pPr>
              <w:rPr>
                <w:sz w:val="28"/>
                <w:szCs w:val="28"/>
                <w:lang w:val="fr-BE"/>
              </w:rPr>
            </w:pPr>
          </w:p>
          <w:p w14:paraId="40527679" w14:textId="6906A5E8" w:rsidR="00A82E92" w:rsidRDefault="00A318B0" w:rsidP="00A318B0">
            <w:pPr>
              <w:tabs>
                <w:tab w:val="num" w:pos="720"/>
              </w:tabs>
              <w:rPr>
                <w:sz w:val="28"/>
                <w:szCs w:val="28"/>
                <w:lang w:val="fr-BE"/>
              </w:rPr>
            </w:pPr>
            <w:r>
              <w:rPr>
                <w:sz w:val="28"/>
                <w:szCs w:val="28"/>
                <w:lang w:val="fr-BE"/>
              </w:rPr>
              <w:t xml:space="preserve">En collaboration avec le service de facturation, le </w:t>
            </w:r>
            <w:r w:rsidR="009C3F63">
              <w:rPr>
                <w:sz w:val="28"/>
                <w:szCs w:val="28"/>
                <w:lang w:val="fr-BE"/>
              </w:rPr>
              <w:t>Service des I</w:t>
            </w:r>
            <w:r w:rsidRPr="003B107B">
              <w:rPr>
                <w:sz w:val="28"/>
                <w:szCs w:val="28"/>
                <w:lang w:val="fr-BE"/>
              </w:rPr>
              <w:t xml:space="preserve">nformations </w:t>
            </w:r>
            <w:r w:rsidR="009C3F63">
              <w:rPr>
                <w:sz w:val="28"/>
                <w:szCs w:val="28"/>
                <w:lang w:val="fr-BE"/>
              </w:rPr>
              <w:t>Médico-E</w:t>
            </w:r>
            <w:r w:rsidRPr="003B107B">
              <w:rPr>
                <w:sz w:val="28"/>
                <w:szCs w:val="28"/>
                <w:lang w:val="fr-BE"/>
              </w:rPr>
              <w:t>conomiques</w:t>
            </w:r>
            <w:r>
              <w:rPr>
                <w:sz w:val="28"/>
                <w:szCs w:val="28"/>
                <w:lang w:val="fr-BE"/>
              </w:rPr>
              <w:t xml:space="preserve"> a réalisé des simulations sur base</w:t>
            </w:r>
            <w:r w:rsidR="00ED60EB">
              <w:rPr>
                <w:sz w:val="28"/>
                <w:szCs w:val="28"/>
                <w:lang w:val="fr-BE"/>
              </w:rPr>
              <w:t xml:space="preserve"> d’un feedback reçu de l’INAMI qui identifiait les </w:t>
            </w:r>
            <w:r>
              <w:rPr>
                <w:sz w:val="28"/>
                <w:szCs w:val="28"/>
                <w:lang w:val="fr-BE"/>
              </w:rPr>
              <w:t xml:space="preserve">séjours RHM de 2016 </w:t>
            </w:r>
            <w:r w:rsidR="00ED60EB">
              <w:rPr>
                <w:sz w:val="28"/>
                <w:szCs w:val="28"/>
                <w:lang w:val="fr-BE"/>
              </w:rPr>
              <w:t>(</w:t>
            </w:r>
            <w:r>
              <w:rPr>
                <w:sz w:val="28"/>
                <w:szCs w:val="28"/>
                <w:lang w:val="fr-BE"/>
              </w:rPr>
              <w:t>codés en ICD 10/version 34</w:t>
            </w:r>
            <w:r w:rsidR="00ED60EB">
              <w:rPr>
                <w:sz w:val="28"/>
                <w:szCs w:val="28"/>
                <w:lang w:val="fr-BE"/>
              </w:rPr>
              <w:t>)</w:t>
            </w:r>
            <w:r>
              <w:rPr>
                <w:sz w:val="28"/>
                <w:szCs w:val="28"/>
                <w:lang w:val="fr-BE"/>
              </w:rPr>
              <w:t xml:space="preserve"> </w:t>
            </w:r>
            <w:r w:rsidR="00A82E92">
              <w:rPr>
                <w:sz w:val="28"/>
                <w:szCs w:val="28"/>
                <w:lang w:val="fr-BE"/>
              </w:rPr>
              <w:t xml:space="preserve">appartenant aux </w:t>
            </w:r>
            <w:r w:rsidR="00ED60EB">
              <w:rPr>
                <w:sz w:val="28"/>
                <w:szCs w:val="28"/>
                <w:lang w:val="fr-BE"/>
              </w:rPr>
              <w:t>cluster</w:t>
            </w:r>
            <w:r w:rsidR="00A82E92">
              <w:rPr>
                <w:sz w:val="28"/>
                <w:szCs w:val="28"/>
                <w:lang w:val="fr-BE"/>
              </w:rPr>
              <w:t>s</w:t>
            </w:r>
            <w:r w:rsidR="00ED60EB">
              <w:rPr>
                <w:sz w:val="28"/>
                <w:szCs w:val="28"/>
                <w:lang w:val="fr-BE"/>
              </w:rPr>
              <w:t xml:space="preserve"> basse variabilité</w:t>
            </w:r>
            <w:r w:rsidR="00A82E92">
              <w:rPr>
                <w:sz w:val="28"/>
                <w:szCs w:val="28"/>
                <w:lang w:val="fr-BE"/>
              </w:rPr>
              <w:t xml:space="preserve">, et indiquait pour chaque séjour le montant  </w:t>
            </w:r>
            <w:r w:rsidR="00A82E92">
              <w:rPr>
                <w:sz w:val="28"/>
                <w:szCs w:val="28"/>
                <w:lang w:val="fr-BE"/>
              </w:rPr>
              <w:lastRenderedPageBreak/>
              <w:t xml:space="preserve">réellement facturé (par code de nomenclature)  ainsi que le montant forfaitaire </w:t>
            </w:r>
            <w:r w:rsidR="005A529E">
              <w:rPr>
                <w:sz w:val="28"/>
                <w:szCs w:val="28"/>
                <w:lang w:val="fr-BE"/>
              </w:rPr>
              <w:t>alloué au</w:t>
            </w:r>
            <w:r w:rsidR="00A82E92">
              <w:rPr>
                <w:sz w:val="28"/>
                <w:szCs w:val="28"/>
                <w:lang w:val="fr-BE"/>
              </w:rPr>
              <w:t xml:space="preserve"> séjour et la valeur correspondante par code de nomenclature.</w:t>
            </w:r>
          </w:p>
          <w:p w14:paraId="7A7439D0" w14:textId="77777777" w:rsidR="00A82E92" w:rsidRDefault="00A82E92" w:rsidP="00A318B0">
            <w:pPr>
              <w:tabs>
                <w:tab w:val="num" w:pos="720"/>
              </w:tabs>
              <w:rPr>
                <w:sz w:val="28"/>
                <w:szCs w:val="28"/>
                <w:lang w:val="fr-BE"/>
              </w:rPr>
            </w:pPr>
          </w:p>
          <w:p w14:paraId="2732C55C" w14:textId="7D99CD7B" w:rsidR="00A318B0" w:rsidRDefault="00A82E92" w:rsidP="00A318B0">
            <w:pPr>
              <w:tabs>
                <w:tab w:val="num" w:pos="720"/>
              </w:tabs>
              <w:rPr>
                <w:sz w:val="28"/>
                <w:szCs w:val="28"/>
                <w:lang w:val="fr-BE"/>
              </w:rPr>
            </w:pPr>
            <w:r>
              <w:rPr>
                <w:sz w:val="28"/>
                <w:szCs w:val="28"/>
                <w:lang w:val="fr-BE"/>
              </w:rPr>
              <w:t xml:space="preserve"> Les analyses réalisées </w:t>
            </w:r>
            <w:r w:rsidR="00A318B0">
              <w:rPr>
                <w:sz w:val="28"/>
                <w:szCs w:val="28"/>
                <w:lang w:val="fr-BE"/>
              </w:rPr>
              <w:t>vis</w:t>
            </w:r>
            <w:r>
              <w:rPr>
                <w:sz w:val="28"/>
                <w:szCs w:val="28"/>
                <w:lang w:val="fr-BE"/>
              </w:rPr>
              <w:t>aient dès lors</w:t>
            </w:r>
            <w:r w:rsidR="00A318B0">
              <w:rPr>
                <w:sz w:val="28"/>
                <w:szCs w:val="28"/>
                <w:lang w:val="fr-BE"/>
              </w:rPr>
              <w:t> à :</w:t>
            </w:r>
          </w:p>
          <w:p w14:paraId="0EE19D68" w14:textId="7C3C2C01" w:rsidR="00A318B0" w:rsidRPr="006A3211" w:rsidRDefault="00A318B0" w:rsidP="00A318B0">
            <w:pPr>
              <w:pStyle w:val="Paragraphedeliste"/>
              <w:numPr>
                <w:ilvl w:val="0"/>
                <w:numId w:val="3"/>
              </w:numPr>
              <w:tabs>
                <w:tab w:val="num" w:pos="720"/>
              </w:tabs>
              <w:rPr>
                <w:rFonts w:cs="Arial"/>
              </w:rPr>
            </w:pPr>
            <w:r w:rsidRPr="006A3211">
              <w:rPr>
                <w:sz w:val="28"/>
                <w:szCs w:val="28"/>
                <w:lang w:val="fr-BE"/>
              </w:rPr>
              <w:t xml:space="preserve">quantifier la proportion de séjours impactés, </w:t>
            </w:r>
          </w:p>
          <w:p w14:paraId="0C4BA81D" w14:textId="2648C50D" w:rsidR="00A318B0" w:rsidRPr="006A3211" w:rsidRDefault="00A318B0" w:rsidP="00A318B0">
            <w:pPr>
              <w:pStyle w:val="Paragraphedeliste"/>
              <w:numPr>
                <w:ilvl w:val="0"/>
                <w:numId w:val="3"/>
              </w:numPr>
              <w:tabs>
                <w:tab w:val="num" w:pos="720"/>
              </w:tabs>
              <w:rPr>
                <w:rFonts w:cs="Arial"/>
              </w:rPr>
            </w:pPr>
            <w:r>
              <w:rPr>
                <w:sz w:val="28"/>
                <w:szCs w:val="28"/>
                <w:lang w:val="fr-BE"/>
              </w:rPr>
              <w:t xml:space="preserve">évaluer </w:t>
            </w:r>
            <w:r w:rsidRPr="006A3211">
              <w:rPr>
                <w:sz w:val="28"/>
                <w:szCs w:val="28"/>
                <w:lang w:val="fr-BE"/>
              </w:rPr>
              <w:t xml:space="preserve">les gains et pertes financiers attendus par pathologie </w:t>
            </w:r>
          </w:p>
          <w:p w14:paraId="042C269E" w14:textId="7B01FCB1" w:rsidR="00A318B0" w:rsidRPr="00914612" w:rsidRDefault="00A318B0" w:rsidP="00DA75A1">
            <w:pPr>
              <w:pStyle w:val="Paragraphedeliste"/>
              <w:numPr>
                <w:ilvl w:val="0"/>
                <w:numId w:val="3"/>
              </w:numPr>
              <w:tabs>
                <w:tab w:val="num" w:pos="720"/>
              </w:tabs>
              <w:rPr>
                <w:rFonts w:cs="Arial"/>
              </w:rPr>
            </w:pPr>
            <w:r w:rsidRPr="00914612">
              <w:rPr>
                <w:sz w:val="28"/>
                <w:szCs w:val="28"/>
                <w:lang w:val="fr-BE"/>
              </w:rPr>
              <w:t xml:space="preserve">identifier une méthode de </w:t>
            </w:r>
            <w:r w:rsidR="00A662D6" w:rsidRPr="00914612">
              <w:rPr>
                <w:sz w:val="28"/>
                <w:szCs w:val="28"/>
                <w:lang w:val="fr-BE"/>
              </w:rPr>
              <w:t>re</w:t>
            </w:r>
            <w:r w:rsidRPr="00914612">
              <w:rPr>
                <w:sz w:val="28"/>
                <w:szCs w:val="28"/>
                <w:lang w:val="fr-BE"/>
              </w:rPr>
              <w:t>distribution du montant des forfaits entre les services médicaux / prestataires</w:t>
            </w:r>
            <w:r w:rsidR="00914612" w:rsidRPr="00914612">
              <w:rPr>
                <w:sz w:val="28"/>
                <w:szCs w:val="28"/>
                <w:lang w:val="fr-BE"/>
              </w:rPr>
              <w:t xml:space="preserve">.  Cette répartition est particulièrement attendue dans la mesure où elle doit être équitable entre les services médicaux et rester cohérente face aux enjeux de la réforme.  </w:t>
            </w:r>
          </w:p>
          <w:p w14:paraId="36B83228" w14:textId="77777777" w:rsidR="00A318B0" w:rsidRPr="009925A3" w:rsidRDefault="00A318B0" w:rsidP="00A318B0">
            <w:pPr>
              <w:tabs>
                <w:tab w:val="num" w:pos="720"/>
              </w:tabs>
              <w:rPr>
                <w:rFonts w:cs="Arial"/>
              </w:rPr>
            </w:pPr>
          </w:p>
          <w:p w14:paraId="04C3B493" w14:textId="2BFC2BE1" w:rsidR="00A318B0" w:rsidRDefault="00A318B0" w:rsidP="00A318B0">
            <w:pPr>
              <w:rPr>
                <w:b/>
                <w:sz w:val="28"/>
                <w:szCs w:val="28"/>
                <w:lang w:val="fr-CA"/>
              </w:rPr>
            </w:pPr>
            <w:r w:rsidRPr="009925A3">
              <w:rPr>
                <w:b/>
                <w:sz w:val="28"/>
                <w:szCs w:val="28"/>
                <w:lang w:val="fr-CA"/>
              </w:rPr>
              <w:t>Résultats</w:t>
            </w:r>
            <w:r>
              <w:rPr>
                <w:b/>
                <w:sz w:val="28"/>
                <w:szCs w:val="28"/>
                <w:lang w:val="fr-CA"/>
              </w:rPr>
              <w:t> :</w:t>
            </w:r>
          </w:p>
          <w:p w14:paraId="44D13EB3" w14:textId="77777777" w:rsidR="00CD453B" w:rsidRPr="009925A3" w:rsidRDefault="00CD453B" w:rsidP="00A318B0">
            <w:pPr>
              <w:rPr>
                <w:b/>
                <w:sz w:val="28"/>
                <w:szCs w:val="28"/>
                <w:lang w:val="fr-CA"/>
              </w:rPr>
            </w:pPr>
          </w:p>
          <w:p w14:paraId="0D776C6D" w14:textId="24CE92E6" w:rsidR="00A318B0" w:rsidRPr="00575481" w:rsidRDefault="00A318B0" w:rsidP="00DA75A1">
            <w:pPr>
              <w:rPr>
                <w:sz w:val="28"/>
                <w:szCs w:val="28"/>
              </w:rPr>
            </w:pPr>
            <w:r>
              <w:rPr>
                <w:sz w:val="28"/>
                <w:szCs w:val="28"/>
              </w:rPr>
              <w:t>Les simulations réalisées ont permis d’identifier que</w:t>
            </w:r>
            <w:r w:rsidR="00A662D6">
              <w:rPr>
                <w:sz w:val="28"/>
                <w:szCs w:val="28"/>
              </w:rPr>
              <w:t xml:space="preserve">, sur base des séjours 2016, </w:t>
            </w:r>
            <w:r>
              <w:rPr>
                <w:sz w:val="28"/>
                <w:szCs w:val="28"/>
              </w:rPr>
              <w:t>l’impact institutionnel était modéré</w:t>
            </w:r>
            <w:r w:rsidR="00571297">
              <w:rPr>
                <w:sz w:val="28"/>
                <w:szCs w:val="28"/>
              </w:rPr>
              <w:t xml:space="preserve">.  </w:t>
            </w:r>
            <w:r w:rsidR="00DA75A1">
              <w:rPr>
                <w:sz w:val="28"/>
                <w:szCs w:val="28"/>
              </w:rPr>
              <w:t>6 916</w:t>
            </w:r>
            <w:r w:rsidR="00571297">
              <w:rPr>
                <w:sz w:val="28"/>
                <w:szCs w:val="28"/>
              </w:rPr>
              <w:t xml:space="preserve"> séjours (</w:t>
            </w:r>
            <w:r w:rsidRPr="00575481">
              <w:rPr>
                <w:sz w:val="28"/>
                <w:szCs w:val="28"/>
              </w:rPr>
              <w:t>8%</w:t>
            </w:r>
            <w:r w:rsidR="00571297">
              <w:rPr>
                <w:sz w:val="28"/>
                <w:szCs w:val="28"/>
              </w:rPr>
              <w:t>)</w:t>
            </w:r>
            <w:r w:rsidRPr="00575481">
              <w:rPr>
                <w:sz w:val="28"/>
                <w:szCs w:val="28"/>
              </w:rPr>
              <w:t xml:space="preserve"> </w:t>
            </w:r>
            <w:r w:rsidR="00571297">
              <w:rPr>
                <w:sz w:val="28"/>
                <w:szCs w:val="28"/>
              </w:rPr>
              <w:t xml:space="preserve">étaient </w:t>
            </w:r>
            <w:r w:rsidRPr="00575481">
              <w:rPr>
                <w:sz w:val="28"/>
                <w:szCs w:val="28"/>
              </w:rPr>
              <w:t>potentiellement concernés par les clusters basse variabilité</w:t>
            </w:r>
            <w:r w:rsidR="00571297">
              <w:rPr>
                <w:sz w:val="28"/>
                <w:szCs w:val="28"/>
              </w:rPr>
              <w:t xml:space="preserve">.  Parmi ceux-ci, </w:t>
            </w:r>
            <w:r w:rsidR="00DA75A1">
              <w:rPr>
                <w:sz w:val="28"/>
                <w:szCs w:val="28"/>
              </w:rPr>
              <w:t>4 902</w:t>
            </w:r>
            <w:r w:rsidR="00571297">
              <w:rPr>
                <w:sz w:val="28"/>
                <w:szCs w:val="28"/>
              </w:rPr>
              <w:t xml:space="preserve"> (12%) relèvent de l’</w:t>
            </w:r>
            <w:r w:rsidRPr="00575481">
              <w:rPr>
                <w:sz w:val="28"/>
                <w:szCs w:val="28"/>
              </w:rPr>
              <w:t xml:space="preserve">hospitalisation classique et </w:t>
            </w:r>
            <w:r w:rsidR="00DA75A1">
              <w:rPr>
                <w:sz w:val="28"/>
                <w:szCs w:val="28"/>
              </w:rPr>
              <w:t>2014</w:t>
            </w:r>
            <w:r w:rsidR="00571297">
              <w:rPr>
                <w:sz w:val="28"/>
                <w:szCs w:val="28"/>
              </w:rPr>
              <w:t xml:space="preserve"> (</w:t>
            </w:r>
            <w:r w:rsidRPr="00575481">
              <w:rPr>
                <w:sz w:val="28"/>
                <w:szCs w:val="28"/>
              </w:rPr>
              <w:t>4%</w:t>
            </w:r>
            <w:r w:rsidR="00571297">
              <w:rPr>
                <w:sz w:val="28"/>
                <w:szCs w:val="28"/>
              </w:rPr>
              <w:t>) de l’</w:t>
            </w:r>
            <w:r w:rsidRPr="00575481">
              <w:rPr>
                <w:sz w:val="28"/>
                <w:szCs w:val="28"/>
              </w:rPr>
              <w:t>hospitalisation de jour</w:t>
            </w:r>
            <w:r w:rsidR="00571297">
              <w:rPr>
                <w:sz w:val="28"/>
                <w:szCs w:val="28"/>
              </w:rPr>
              <w:t xml:space="preserve">.  La réforme impactait </w:t>
            </w:r>
            <w:r w:rsidR="00DA75A1">
              <w:rPr>
                <w:sz w:val="28"/>
                <w:szCs w:val="28"/>
              </w:rPr>
              <w:t>7 172 649€</w:t>
            </w:r>
            <w:r w:rsidR="00571297">
              <w:rPr>
                <w:sz w:val="28"/>
                <w:szCs w:val="28"/>
              </w:rPr>
              <w:t>, soit</w:t>
            </w:r>
            <w:r w:rsidR="00571297" w:rsidRPr="00575481">
              <w:rPr>
                <w:sz w:val="28"/>
                <w:szCs w:val="28"/>
              </w:rPr>
              <w:t xml:space="preserve"> </w:t>
            </w:r>
            <w:r>
              <w:rPr>
                <w:sz w:val="28"/>
                <w:szCs w:val="28"/>
              </w:rPr>
              <w:t>0.42% des honoraires totaux</w:t>
            </w:r>
            <w:r w:rsidR="00571297">
              <w:rPr>
                <w:sz w:val="28"/>
                <w:szCs w:val="28"/>
              </w:rPr>
              <w:t xml:space="preserve">.  En outre, globalement, la réforme des honoraires présentaient une balance légèrement positive, avec </w:t>
            </w:r>
            <w:r w:rsidR="00DA75A1">
              <w:rPr>
                <w:sz w:val="28"/>
                <w:szCs w:val="28"/>
              </w:rPr>
              <w:t>369 621€</w:t>
            </w:r>
            <w:r w:rsidR="00571297">
              <w:rPr>
                <w:sz w:val="28"/>
                <w:szCs w:val="28"/>
              </w:rPr>
              <w:t xml:space="preserve">, soit </w:t>
            </w:r>
            <w:r w:rsidR="00ED60EB">
              <w:rPr>
                <w:sz w:val="28"/>
                <w:szCs w:val="28"/>
              </w:rPr>
              <w:t>un bénéfice de 5</w:t>
            </w:r>
            <w:r w:rsidR="00571297">
              <w:rPr>
                <w:sz w:val="28"/>
                <w:szCs w:val="28"/>
              </w:rPr>
              <w:t>%</w:t>
            </w:r>
            <w:r w:rsidR="00ED60EB">
              <w:rPr>
                <w:sz w:val="28"/>
                <w:szCs w:val="28"/>
              </w:rPr>
              <w:t xml:space="preserve"> du montant facturé sur les pathologies concenées</w:t>
            </w:r>
            <w:r>
              <w:rPr>
                <w:sz w:val="28"/>
                <w:szCs w:val="28"/>
              </w:rPr>
              <w:t>.</w:t>
            </w:r>
          </w:p>
          <w:p w14:paraId="6FA68CB5" w14:textId="77777777" w:rsidR="00A318B0" w:rsidRDefault="00A318B0" w:rsidP="00A318B0">
            <w:pPr>
              <w:rPr>
                <w:sz w:val="28"/>
                <w:szCs w:val="28"/>
                <w:lang w:val="fr-CA"/>
              </w:rPr>
            </w:pPr>
          </w:p>
          <w:p w14:paraId="2ADEA4A6" w14:textId="6210B40D" w:rsidR="00A662D6" w:rsidRDefault="001B7737" w:rsidP="00A318B0">
            <w:pPr>
              <w:rPr>
                <w:sz w:val="28"/>
                <w:szCs w:val="28"/>
                <w:lang w:val="fr-CA"/>
              </w:rPr>
            </w:pPr>
            <w:r>
              <w:rPr>
                <w:sz w:val="28"/>
                <w:szCs w:val="28"/>
                <w:lang w:val="fr-CA"/>
              </w:rPr>
              <w:t>Par contre</w:t>
            </w:r>
            <w:r w:rsidR="00A318B0">
              <w:rPr>
                <w:sz w:val="28"/>
                <w:szCs w:val="28"/>
                <w:lang w:val="fr-CA"/>
              </w:rPr>
              <w:t>, l’impact par service est différent d’une discipline à l’autre.</w:t>
            </w:r>
            <w:r w:rsidR="0076085A">
              <w:rPr>
                <w:sz w:val="28"/>
                <w:szCs w:val="28"/>
                <w:lang w:val="fr-CA"/>
              </w:rPr>
              <w:t xml:space="preserve"> Par exemple, la facturation des </w:t>
            </w:r>
            <w:r w:rsidR="003E0BA4">
              <w:rPr>
                <w:sz w:val="28"/>
                <w:szCs w:val="28"/>
                <w:lang w:val="fr-CA"/>
              </w:rPr>
              <w:t xml:space="preserve">séjours </w:t>
            </w:r>
            <w:r w:rsidR="0076085A">
              <w:rPr>
                <w:sz w:val="28"/>
                <w:szCs w:val="28"/>
                <w:lang w:val="fr-CA"/>
              </w:rPr>
              <w:t>clusters basse variabilité en cardiologie interventionnelle représente près de la moitié des honorair</w:t>
            </w:r>
            <w:r w:rsidR="009C3F63">
              <w:rPr>
                <w:sz w:val="28"/>
                <w:szCs w:val="28"/>
                <w:lang w:val="fr-CA"/>
              </w:rPr>
              <w:t xml:space="preserve">es totaux dans cette discipline </w:t>
            </w:r>
            <w:r w:rsidR="007A034D">
              <w:rPr>
                <w:sz w:val="28"/>
                <w:szCs w:val="28"/>
                <w:lang w:val="fr-CA"/>
              </w:rPr>
              <w:t>mais</w:t>
            </w:r>
            <w:r w:rsidR="009C3F63">
              <w:rPr>
                <w:sz w:val="28"/>
                <w:szCs w:val="28"/>
                <w:lang w:val="fr-CA"/>
              </w:rPr>
              <w:t xml:space="preserve"> cette discipline génère un bénéfice avec l’</w:t>
            </w:r>
            <w:r w:rsidR="00C474BB">
              <w:rPr>
                <w:sz w:val="28"/>
                <w:szCs w:val="28"/>
                <w:lang w:val="fr-CA"/>
              </w:rPr>
              <w:t>arrivée des forfaits, alors que 13% des séjours en gynécologie</w:t>
            </w:r>
            <w:r w:rsidR="003E0BA4">
              <w:rPr>
                <w:sz w:val="28"/>
                <w:szCs w:val="28"/>
                <w:lang w:val="fr-CA"/>
              </w:rPr>
              <w:t>-obstétrique</w:t>
            </w:r>
            <w:r w:rsidR="00C474BB">
              <w:rPr>
                <w:sz w:val="28"/>
                <w:szCs w:val="28"/>
                <w:lang w:val="fr-CA"/>
              </w:rPr>
              <w:t xml:space="preserve"> sont concernés mais avec un déficit.</w:t>
            </w:r>
          </w:p>
          <w:p w14:paraId="724A8572" w14:textId="77777777" w:rsidR="00A662D6" w:rsidRDefault="00A662D6" w:rsidP="00A318B0">
            <w:pPr>
              <w:rPr>
                <w:sz w:val="28"/>
                <w:szCs w:val="28"/>
                <w:lang w:val="fr-CA"/>
              </w:rPr>
            </w:pPr>
          </w:p>
          <w:p w14:paraId="3815071D" w14:textId="4FDA1841" w:rsidR="00F87386" w:rsidRDefault="00CD453B" w:rsidP="00A318B0">
            <w:pPr>
              <w:rPr>
                <w:sz w:val="28"/>
                <w:szCs w:val="28"/>
                <w:lang w:val="fr-CA"/>
              </w:rPr>
            </w:pPr>
            <w:r>
              <w:rPr>
                <w:sz w:val="28"/>
                <w:szCs w:val="28"/>
                <w:lang w:val="fr-CA"/>
              </w:rPr>
              <w:t xml:space="preserve">Pour répondre à l’enjeu de la </w:t>
            </w:r>
            <w:r w:rsidR="001B7737">
              <w:rPr>
                <w:sz w:val="28"/>
                <w:szCs w:val="28"/>
                <w:lang w:val="fr-CA"/>
              </w:rPr>
              <w:t>redistribution</w:t>
            </w:r>
            <w:r>
              <w:rPr>
                <w:sz w:val="28"/>
                <w:szCs w:val="28"/>
                <w:lang w:val="fr-CA"/>
              </w:rPr>
              <w:t xml:space="preserve"> des forfaits, différentes méthodologie</w:t>
            </w:r>
            <w:r w:rsidR="007A034D">
              <w:rPr>
                <w:sz w:val="28"/>
                <w:szCs w:val="28"/>
                <w:lang w:val="fr-CA"/>
              </w:rPr>
              <w:t>s</w:t>
            </w:r>
            <w:r>
              <w:rPr>
                <w:sz w:val="28"/>
                <w:szCs w:val="28"/>
                <w:lang w:val="fr-CA"/>
              </w:rPr>
              <w:t xml:space="preserve"> ont été testées, allant de </w:t>
            </w:r>
            <w:r>
              <w:rPr>
                <w:sz w:val="28"/>
                <w:szCs w:val="28"/>
                <w:lang w:val="fr-CA"/>
              </w:rPr>
              <w:lastRenderedPageBreak/>
              <w:t xml:space="preserve">l’application stricte </w:t>
            </w:r>
            <w:r w:rsidR="007A034D">
              <w:rPr>
                <w:sz w:val="28"/>
                <w:szCs w:val="28"/>
                <w:lang w:val="fr-CA"/>
              </w:rPr>
              <w:t xml:space="preserve">par séjour </w:t>
            </w:r>
            <w:r>
              <w:rPr>
                <w:sz w:val="28"/>
                <w:szCs w:val="28"/>
                <w:lang w:val="fr-CA"/>
              </w:rPr>
              <w:t>du pourcentage national par code de nomenclature (fourni par l’INAMI)</w:t>
            </w:r>
            <w:r w:rsidR="007A034D">
              <w:rPr>
                <w:sz w:val="28"/>
                <w:szCs w:val="28"/>
                <w:lang w:val="fr-CA"/>
              </w:rPr>
              <w:t>,</w:t>
            </w:r>
            <w:r w:rsidR="00C76E9B">
              <w:rPr>
                <w:sz w:val="28"/>
                <w:szCs w:val="28"/>
                <w:lang w:val="fr-CA"/>
              </w:rPr>
              <w:t xml:space="preserve"> à une répartition sur base des actes prestés. Les points forts et points faibles de chacune des méthodes ont été analysés</w:t>
            </w:r>
            <w:r w:rsidR="00ED60EB">
              <w:rPr>
                <w:sz w:val="28"/>
                <w:szCs w:val="28"/>
                <w:lang w:val="fr-CA"/>
              </w:rPr>
              <w:t> </w:t>
            </w:r>
            <w:r w:rsidR="00ED60EB" w:rsidRPr="00ED60EB">
              <w:rPr>
                <w:sz w:val="28"/>
                <w:szCs w:val="28"/>
                <w:lang w:val="fr-CA"/>
              </w:rPr>
              <w:t xml:space="preserve">: </w:t>
            </w:r>
            <w:r w:rsidR="00C76E9B" w:rsidRPr="00ED60EB">
              <w:rPr>
                <w:sz w:val="28"/>
                <w:szCs w:val="28"/>
                <w:lang w:val="fr-CA"/>
              </w:rPr>
              <w:t>montant distribué trop faible, particulièrement dans certaines disciplines pour la première méthode</w:t>
            </w:r>
            <w:r w:rsidR="005A529E">
              <w:rPr>
                <w:sz w:val="28"/>
                <w:szCs w:val="28"/>
                <w:lang w:val="fr-CA"/>
              </w:rPr>
              <w:t xml:space="preserve"> (en effet, il n’était pas possible d’attribuer au CHU l’entièreté des codes utilisés au national)</w:t>
            </w:r>
            <w:r w:rsidR="00C76E9B" w:rsidRPr="00ED60EB">
              <w:rPr>
                <w:sz w:val="28"/>
                <w:szCs w:val="28"/>
                <w:lang w:val="fr-CA"/>
              </w:rPr>
              <w:t xml:space="preserve">, montant totalement distribué mais qui n’endigue pas la surconsommation </w:t>
            </w:r>
            <w:r w:rsidR="00A4060E">
              <w:rPr>
                <w:sz w:val="28"/>
                <w:szCs w:val="28"/>
                <w:lang w:val="fr-CA"/>
              </w:rPr>
              <w:t>pour la</w:t>
            </w:r>
            <w:r w:rsidR="00C76E9B" w:rsidRPr="00ED60EB">
              <w:rPr>
                <w:sz w:val="28"/>
                <w:szCs w:val="28"/>
                <w:lang w:val="fr-CA"/>
              </w:rPr>
              <w:t xml:space="preserve"> dernière méthode</w:t>
            </w:r>
            <w:r w:rsidR="00ED60EB">
              <w:rPr>
                <w:sz w:val="28"/>
                <w:szCs w:val="28"/>
                <w:lang w:val="fr-CA"/>
              </w:rPr>
              <w:t>.</w:t>
            </w:r>
            <w:r w:rsidR="00A4060E">
              <w:rPr>
                <w:sz w:val="28"/>
                <w:szCs w:val="28"/>
                <w:lang w:val="fr-CA"/>
              </w:rPr>
              <w:t xml:space="preserve"> Un cheminement par étape visant à conserver les avantages des méthodes testées tout en supprimant les inconvénients a finalement permis d’</w:t>
            </w:r>
            <w:r w:rsidR="00C76E9B">
              <w:rPr>
                <w:sz w:val="28"/>
                <w:szCs w:val="28"/>
                <w:lang w:val="fr-CA"/>
              </w:rPr>
              <w:t xml:space="preserve">aboutir à une méthode mixte </w:t>
            </w:r>
            <w:r w:rsidR="007A034D">
              <w:rPr>
                <w:sz w:val="28"/>
                <w:szCs w:val="28"/>
                <w:lang w:val="fr-CA"/>
              </w:rPr>
              <w:t>et consensuelle</w:t>
            </w:r>
            <w:r w:rsidR="00A4060E">
              <w:rPr>
                <w:sz w:val="28"/>
                <w:szCs w:val="28"/>
                <w:lang w:val="fr-CA"/>
              </w:rPr>
              <w:t xml:space="preserve">, qui se compose d’une </w:t>
            </w:r>
            <w:r w:rsidR="00C76E9B" w:rsidRPr="00A4060E">
              <w:rPr>
                <w:sz w:val="28"/>
                <w:szCs w:val="28"/>
                <w:lang w:val="fr-CA"/>
              </w:rPr>
              <w:t>première répartition du forfait par article de nomenclature, conforme à la pratique nationale, suivie d’une répartition par service sur base des actes prestés</w:t>
            </w:r>
            <w:r w:rsidR="00A4060E">
              <w:rPr>
                <w:sz w:val="28"/>
                <w:szCs w:val="28"/>
                <w:lang w:val="fr-CA"/>
              </w:rPr>
              <w:t>. Cette méthode</w:t>
            </w:r>
            <w:r w:rsidR="00C76E9B" w:rsidRPr="00A4060E">
              <w:rPr>
                <w:sz w:val="28"/>
                <w:szCs w:val="28"/>
                <w:lang w:val="fr-CA"/>
              </w:rPr>
              <w:t xml:space="preserve"> </w:t>
            </w:r>
            <w:r w:rsidR="00A4060E">
              <w:rPr>
                <w:sz w:val="28"/>
                <w:szCs w:val="28"/>
                <w:lang w:val="fr-CA"/>
              </w:rPr>
              <w:t>présente l’avantage d’</w:t>
            </w:r>
            <w:r w:rsidR="00C76E9B">
              <w:rPr>
                <w:sz w:val="28"/>
                <w:szCs w:val="28"/>
                <w:lang w:val="fr-CA"/>
              </w:rPr>
              <w:t xml:space="preserve">une redistribution </w:t>
            </w:r>
            <w:r w:rsidR="0080032A">
              <w:rPr>
                <w:sz w:val="28"/>
                <w:szCs w:val="28"/>
                <w:lang w:val="fr-CA"/>
              </w:rPr>
              <w:t>équitable du forfait entre services tout en r</w:t>
            </w:r>
            <w:r w:rsidR="00BB737D">
              <w:rPr>
                <w:sz w:val="28"/>
                <w:szCs w:val="28"/>
                <w:lang w:val="fr-CA"/>
              </w:rPr>
              <w:t>égularisa</w:t>
            </w:r>
            <w:r w:rsidR="0080032A">
              <w:rPr>
                <w:sz w:val="28"/>
                <w:szCs w:val="28"/>
                <w:lang w:val="fr-CA"/>
              </w:rPr>
              <w:t>nt</w:t>
            </w:r>
            <w:r w:rsidR="00BB737D">
              <w:rPr>
                <w:sz w:val="28"/>
                <w:szCs w:val="28"/>
                <w:lang w:val="fr-CA"/>
              </w:rPr>
              <w:t xml:space="preserve"> </w:t>
            </w:r>
            <w:r w:rsidR="0080032A">
              <w:rPr>
                <w:sz w:val="28"/>
                <w:szCs w:val="28"/>
                <w:lang w:val="fr-CA"/>
              </w:rPr>
              <w:t>une éventuelle surconsommation</w:t>
            </w:r>
            <w:r w:rsidR="00BB737D">
              <w:rPr>
                <w:sz w:val="28"/>
                <w:szCs w:val="28"/>
                <w:lang w:val="fr-CA"/>
              </w:rPr>
              <w:t>.</w:t>
            </w:r>
          </w:p>
          <w:p w14:paraId="59DE9772" w14:textId="18793D54" w:rsidR="00A318B0" w:rsidRDefault="00A318B0" w:rsidP="00A318B0">
            <w:pPr>
              <w:rPr>
                <w:sz w:val="28"/>
                <w:szCs w:val="28"/>
                <w:lang w:val="fr-CA"/>
              </w:rPr>
            </w:pPr>
          </w:p>
          <w:p w14:paraId="2A5F37F7" w14:textId="777783BE" w:rsidR="00CD453B" w:rsidRPr="009925A3" w:rsidRDefault="00CD453B" w:rsidP="00CD453B">
            <w:pPr>
              <w:rPr>
                <w:b/>
                <w:sz w:val="28"/>
                <w:szCs w:val="28"/>
                <w:lang w:val="fr-CA"/>
              </w:rPr>
            </w:pPr>
            <w:r>
              <w:rPr>
                <w:b/>
                <w:sz w:val="28"/>
                <w:szCs w:val="28"/>
                <w:lang w:val="fr-CA"/>
              </w:rPr>
              <w:t>Conclusion :</w:t>
            </w:r>
          </w:p>
          <w:p w14:paraId="7E327263" w14:textId="39B98F81" w:rsidR="00A318B0" w:rsidRDefault="00BB737D" w:rsidP="00A318B0">
            <w:pPr>
              <w:rPr>
                <w:sz w:val="28"/>
                <w:szCs w:val="28"/>
                <w:lang w:val="fr-CA"/>
              </w:rPr>
            </w:pPr>
            <w:r>
              <w:rPr>
                <w:sz w:val="28"/>
                <w:szCs w:val="28"/>
                <w:lang w:val="fr-CA"/>
              </w:rPr>
              <w:t xml:space="preserve">Les clusters </w:t>
            </w:r>
            <w:proofErr w:type="gramStart"/>
            <w:r>
              <w:rPr>
                <w:sz w:val="28"/>
                <w:szCs w:val="28"/>
                <w:lang w:val="fr-CA"/>
              </w:rPr>
              <w:t>basse</w:t>
            </w:r>
            <w:proofErr w:type="gramEnd"/>
            <w:r>
              <w:rPr>
                <w:sz w:val="28"/>
                <w:szCs w:val="28"/>
                <w:lang w:val="fr-CA"/>
              </w:rPr>
              <w:t xml:space="preserve"> variabilité</w:t>
            </w:r>
            <w:r w:rsidR="00C474BB">
              <w:rPr>
                <w:sz w:val="28"/>
                <w:szCs w:val="28"/>
                <w:lang w:val="fr-CA"/>
              </w:rPr>
              <w:t xml:space="preserve"> constituent une porte d’entrée dans la réforme du financement des hôpitaux, qui se veut plus globale</w:t>
            </w:r>
            <w:r w:rsidR="001B7737">
              <w:rPr>
                <w:sz w:val="28"/>
                <w:szCs w:val="28"/>
                <w:lang w:val="fr-CA"/>
              </w:rPr>
              <w:t xml:space="preserve"> en Belgique</w:t>
            </w:r>
            <w:r w:rsidR="00C474BB">
              <w:rPr>
                <w:sz w:val="28"/>
                <w:szCs w:val="28"/>
                <w:lang w:val="fr-CA"/>
              </w:rPr>
              <w:t xml:space="preserve">. </w:t>
            </w:r>
            <w:r>
              <w:rPr>
                <w:sz w:val="28"/>
                <w:szCs w:val="28"/>
                <w:lang w:val="fr-CA"/>
              </w:rPr>
              <w:t xml:space="preserve"> </w:t>
            </w:r>
            <w:r w:rsidR="00C474BB">
              <w:rPr>
                <w:sz w:val="28"/>
                <w:szCs w:val="28"/>
                <w:lang w:val="fr-CA"/>
              </w:rPr>
              <w:t>A</w:t>
            </w:r>
            <w:r>
              <w:rPr>
                <w:sz w:val="28"/>
                <w:szCs w:val="28"/>
                <w:lang w:val="fr-CA"/>
              </w:rPr>
              <w:t xml:space="preserve"> terme,  </w:t>
            </w:r>
            <w:r w:rsidR="00C474BB">
              <w:rPr>
                <w:sz w:val="28"/>
                <w:szCs w:val="28"/>
                <w:lang w:val="fr-CA"/>
              </w:rPr>
              <w:t>le</w:t>
            </w:r>
            <w:r>
              <w:rPr>
                <w:sz w:val="28"/>
                <w:szCs w:val="28"/>
                <w:lang w:val="fr-CA"/>
              </w:rPr>
              <w:t xml:space="preserve"> montant </w:t>
            </w:r>
            <w:r w:rsidRPr="00C474BB">
              <w:rPr>
                <w:sz w:val="28"/>
                <w:szCs w:val="28"/>
                <w:lang w:val="fr-CA"/>
              </w:rPr>
              <w:t>global</w:t>
            </w:r>
            <w:r>
              <w:rPr>
                <w:sz w:val="28"/>
                <w:szCs w:val="28"/>
                <w:lang w:val="fr-CA"/>
              </w:rPr>
              <w:t xml:space="preserve"> prospectif par admission</w:t>
            </w:r>
            <w:r w:rsidR="00C474BB">
              <w:rPr>
                <w:sz w:val="28"/>
                <w:szCs w:val="28"/>
                <w:lang w:val="fr-CA"/>
              </w:rPr>
              <w:t xml:space="preserve"> devrait </w:t>
            </w:r>
            <w:r w:rsidR="001B7737">
              <w:rPr>
                <w:sz w:val="28"/>
                <w:szCs w:val="28"/>
                <w:lang w:val="fr-CA"/>
              </w:rPr>
              <w:t>intégrer</w:t>
            </w:r>
            <w:r w:rsidR="00C474BB">
              <w:rPr>
                <w:sz w:val="28"/>
                <w:szCs w:val="28"/>
                <w:lang w:val="fr-CA"/>
              </w:rPr>
              <w:t>,</w:t>
            </w:r>
            <w:r>
              <w:rPr>
                <w:sz w:val="28"/>
                <w:szCs w:val="28"/>
                <w:lang w:val="fr-CA"/>
              </w:rPr>
              <w:t xml:space="preserve"> en plus des honoraires</w:t>
            </w:r>
            <w:r w:rsidR="00C474BB">
              <w:rPr>
                <w:sz w:val="28"/>
                <w:szCs w:val="28"/>
                <w:lang w:val="fr-CA"/>
              </w:rPr>
              <w:t>,</w:t>
            </w:r>
            <w:r>
              <w:rPr>
                <w:sz w:val="28"/>
                <w:szCs w:val="28"/>
                <w:lang w:val="fr-CA"/>
              </w:rPr>
              <w:t xml:space="preserve"> </w:t>
            </w:r>
            <w:r w:rsidR="001B7737">
              <w:rPr>
                <w:sz w:val="28"/>
                <w:szCs w:val="28"/>
                <w:lang w:val="fr-CA"/>
              </w:rPr>
              <w:t xml:space="preserve">le budget des moyens financiers ainsi que </w:t>
            </w:r>
            <w:r>
              <w:rPr>
                <w:sz w:val="28"/>
                <w:szCs w:val="28"/>
                <w:lang w:val="fr-CA"/>
              </w:rPr>
              <w:t>les médicaments et</w:t>
            </w:r>
            <w:r w:rsidR="001B7737">
              <w:rPr>
                <w:sz w:val="28"/>
                <w:szCs w:val="28"/>
                <w:lang w:val="fr-CA"/>
              </w:rPr>
              <w:t xml:space="preserve"> les</w:t>
            </w:r>
            <w:r>
              <w:rPr>
                <w:sz w:val="28"/>
                <w:szCs w:val="28"/>
                <w:lang w:val="fr-CA"/>
              </w:rPr>
              <w:t xml:space="preserve"> implants</w:t>
            </w:r>
            <w:r w:rsidR="00C474BB">
              <w:rPr>
                <w:sz w:val="28"/>
                <w:szCs w:val="28"/>
                <w:lang w:val="fr-CA"/>
              </w:rPr>
              <w:t xml:space="preserve">. Il devrait en outre s’étendre à d’autres pathologies et éventuellement d’autres niveaux de variabilité. </w:t>
            </w:r>
          </w:p>
          <w:p w14:paraId="306EC3A2" w14:textId="77777777" w:rsidR="00C474BB" w:rsidRDefault="00C474BB" w:rsidP="00A318B0">
            <w:pPr>
              <w:rPr>
                <w:sz w:val="28"/>
                <w:szCs w:val="28"/>
                <w:lang w:val="fr-CA"/>
              </w:rPr>
            </w:pPr>
          </w:p>
          <w:p w14:paraId="4B1D931A" w14:textId="0130879E" w:rsidR="00A318B0" w:rsidRPr="00F01FAD" w:rsidRDefault="00C474BB">
            <w:pPr>
              <w:rPr>
                <w:sz w:val="28"/>
                <w:szCs w:val="28"/>
                <w:lang w:val="fr-CA"/>
              </w:rPr>
            </w:pPr>
            <w:r>
              <w:rPr>
                <w:sz w:val="28"/>
                <w:szCs w:val="28"/>
                <w:lang w:val="fr-CA"/>
              </w:rPr>
              <w:t>L’analyse des impacts de cette première réforme, au-delà de l’aspect financier, a en outre permis de s’interroger sur les pratiques médicales</w:t>
            </w:r>
            <w:r w:rsidR="0046270C">
              <w:rPr>
                <w:sz w:val="28"/>
                <w:szCs w:val="28"/>
                <w:lang w:val="fr-CA"/>
              </w:rPr>
              <w:t xml:space="preserve"> </w:t>
            </w:r>
            <w:r w:rsidR="001B7737">
              <w:rPr>
                <w:sz w:val="28"/>
                <w:szCs w:val="28"/>
                <w:lang w:val="fr-CA"/>
              </w:rPr>
              <w:t xml:space="preserve">et de s’interroger sur les différences observées par rapport à la pratique nationale. </w:t>
            </w:r>
          </w:p>
        </w:tc>
      </w:tr>
    </w:tbl>
    <w:p w14:paraId="2B4CD57B" w14:textId="7FC70ED3" w:rsidR="006B0AEF" w:rsidRPr="00DA75A1" w:rsidRDefault="006B0AEF"/>
    <w:sectPr w:rsidR="006B0AEF" w:rsidRPr="00DA75A1" w:rsidSect="006B0AEF">
      <w:footerReference w:type="even" r:id="rId10"/>
      <w:footerReference w:type="default" r:id="rId11"/>
      <w:footnotePr>
        <w:numFmt w:val="chicago"/>
      </w:footnotePr>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02CE85" w14:textId="77777777" w:rsidR="00776D8E" w:rsidRDefault="00776D8E">
      <w:r>
        <w:separator/>
      </w:r>
    </w:p>
  </w:endnote>
  <w:endnote w:type="continuationSeparator" w:id="0">
    <w:p w14:paraId="135411F0" w14:textId="77777777" w:rsidR="00776D8E" w:rsidRDefault="00776D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DengXian">
    <w:altName w:val="等线"/>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64C9C0" w14:textId="77777777" w:rsidR="00776D8E" w:rsidRDefault="00776D8E" w:rsidP="006B0AEF">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109C7862" w14:textId="77777777" w:rsidR="00776D8E" w:rsidRDefault="00776D8E" w:rsidP="006B0AEF">
    <w:pPr>
      <w:pStyle w:val="Pieddepag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B636F2" w14:textId="2E0F624F" w:rsidR="00776D8E" w:rsidRDefault="00776D8E" w:rsidP="006B0AEF">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D03E76">
      <w:rPr>
        <w:rStyle w:val="Numrodepage"/>
        <w:noProof/>
      </w:rPr>
      <w:t>4</w:t>
    </w:r>
    <w:r>
      <w:rPr>
        <w:rStyle w:val="Numrodepage"/>
      </w:rPr>
      <w:fldChar w:fldCharType="end"/>
    </w:r>
  </w:p>
  <w:p w14:paraId="2C6692EB" w14:textId="77777777" w:rsidR="00776D8E" w:rsidRDefault="00776D8E" w:rsidP="006B0AEF">
    <w:pPr>
      <w:pStyle w:val="Pieddepag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6AA46C" w14:textId="77777777" w:rsidR="00776D8E" w:rsidRDefault="00776D8E">
      <w:r>
        <w:separator/>
      </w:r>
    </w:p>
  </w:footnote>
  <w:footnote w:type="continuationSeparator" w:id="0">
    <w:p w14:paraId="711514E2" w14:textId="77777777" w:rsidR="00776D8E" w:rsidRDefault="00776D8E">
      <w:r>
        <w:continuationSeparator/>
      </w:r>
    </w:p>
  </w:footnote>
  <w:footnote w:id="1">
    <w:p w14:paraId="2685D737" w14:textId="14E2D278" w:rsidR="00A55F8F" w:rsidRPr="00A55F8F" w:rsidRDefault="00A55F8F">
      <w:pPr>
        <w:pStyle w:val="Notedebasdepage"/>
        <w:rPr>
          <w:lang w:val="fr-BE"/>
        </w:rPr>
      </w:pPr>
      <w:r>
        <w:rPr>
          <w:rStyle w:val="Appelnotedebasdep"/>
        </w:rPr>
        <w:footnoteRef/>
      </w:r>
      <w:r>
        <w:t xml:space="preserve"> </w:t>
      </w:r>
      <w:r>
        <w:rPr>
          <w:lang w:val="fr-BE"/>
        </w:rPr>
        <w:t xml:space="preserve">Etude KCE </w:t>
      </w:r>
      <w:r w:rsidR="00DA75A1">
        <w:rPr>
          <w:lang w:val="fr-BE"/>
        </w:rPr>
        <w:t>(</w:t>
      </w:r>
      <w:r>
        <w:rPr>
          <w:lang w:val="fr-BE"/>
        </w:rPr>
        <w:t>2014</w:t>
      </w:r>
      <w:r w:rsidR="00DA75A1">
        <w:rPr>
          <w:lang w:val="fr-BE"/>
        </w:rPr>
        <w:t>)</w:t>
      </w:r>
      <w:r>
        <w:rPr>
          <w:lang w:val="fr-BE"/>
        </w:rPr>
        <w:t xml:space="preserve"> “Cadre conceptuel pour l</w:t>
      </w:r>
      <w:r w:rsidR="009F0036">
        <w:rPr>
          <w:lang w:val="fr-BE"/>
        </w:rPr>
        <w:t>a</w:t>
      </w:r>
      <w:r>
        <w:rPr>
          <w:lang w:val="fr-BE"/>
        </w:rPr>
        <w:t xml:space="preserve"> réforme du financement des hôpitaux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D630A3"/>
    <w:multiLevelType w:val="hybridMultilevel"/>
    <w:tmpl w:val="40F8B818"/>
    <w:lvl w:ilvl="0" w:tplc="080C0001">
      <w:start w:val="1"/>
      <w:numFmt w:val="bullet"/>
      <w:lvlText w:val=""/>
      <w:lvlJc w:val="left"/>
      <w:pPr>
        <w:ind w:left="780" w:hanging="360"/>
      </w:pPr>
      <w:rPr>
        <w:rFonts w:ascii="Symbol" w:hAnsi="Symbol" w:hint="default"/>
      </w:rPr>
    </w:lvl>
    <w:lvl w:ilvl="1" w:tplc="080C0003" w:tentative="1">
      <w:start w:val="1"/>
      <w:numFmt w:val="bullet"/>
      <w:lvlText w:val="o"/>
      <w:lvlJc w:val="left"/>
      <w:pPr>
        <w:ind w:left="1500" w:hanging="360"/>
      </w:pPr>
      <w:rPr>
        <w:rFonts w:ascii="Courier New" w:hAnsi="Courier New" w:cs="Courier New" w:hint="default"/>
      </w:rPr>
    </w:lvl>
    <w:lvl w:ilvl="2" w:tplc="080C0005" w:tentative="1">
      <w:start w:val="1"/>
      <w:numFmt w:val="bullet"/>
      <w:lvlText w:val=""/>
      <w:lvlJc w:val="left"/>
      <w:pPr>
        <w:ind w:left="2220" w:hanging="360"/>
      </w:pPr>
      <w:rPr>
        <w:rFonts w:ascii="Wingdings" w:hAnsi="Wingdings" w:hint="default"/>
      </w:rPr>
    </w:lvl>
    <w:lvl w:ilvl="3" w:tplc="080C0001" w:tentative="1">
      <w:start w:val="1"/>
      <w:numFmt w:val="bullet"/>
      <w:lvlText w:val=""/>
      <w:lvlJc w:val="left"/>
      <w:pPr>
        <w:ind w:left="2940" w:hanging="360"/>
      </w:pPr>
      <w:rPr>
        <w:rFonts w:ascii="Symbol" w:hAnsi="Symbol" w:hint="default"/>
      </w:rPr>
    </w:lvl>
    <w:lvl w:ilvl="4" w:tplc="080C0003" w:tentative="1">
      <w:start w:val="1"/>
      <w:numFmt w:val="bullet"/>
      <w:lvlText w:val="o"/>
      <w:lvlJc w:val="left"/>
      <w:pPr>
        <w:ind w:left="3660" w:hanging="360"/>
      </w:pPr>
      <w:rPr>
        <w:rFonts w:ascii="Courier New" w:hAnsi="Courier New" w:cs="Courier New" w:hint="default"/>
      </w:rPr>
    </w:lvl>
    <w:lvl w:ilvl="5" w:tplc="080C0005" w:tentative="1">
      <w:start w:val="1"/>
      <w:numFmt w:val="bullet"/>
      <w:lvlText w:val=""/>
      <w:lvlJc w:val="left"/>
      <w:pPr>
        <w:ind w:left="4380" w:hanging="360"/>
      </w:pPr>
      <w:rPr>
        <w:rFonts w:ascii="Wingdings" w:hAnsi="Wingdings" w:hint="default"/>
      </w:rPr>
    </w:lvl>
    <w:lvl w:ilvl="6" w:tplc="080C0001" w:tentative="1">
      <w:start w:val="1"/>
      <w:numFmt w:val="bullet"/>
      <w:lvlText w:val=""/>
      <w:lvlJc w:val="left"/>
      <w:pPr>
        <w:ind w:left="5100" w:hanging="360"/>
      </w:pPr>
      <w:rPr>
        <w:rFonts w:ascii="Symbol" w:hAnsi="Symbol" w:hint="default"/>
      </w:rPr>
    </w:lvl>
    <w:lvl w:ilvl="7" w:tplc="080C0003" w:tentative="1">
      <w:start w:val="1"/>
      <w:numFmt w:val="bullet"/>
      <w:lvlText w:val="o"/>
      <w:lvlJc w:val="left"/>
      <w:pPr>
        <w:ind w:left="5820" w:hanging="360"/>
      </w:pPr>
      <w:rPr>
        <w:rFonts w:ascii="Courier New" w:hAnsi="Courier New" w:cs="Courier New" w:hint="default"/>
      </w:rPr>
    </w:lvl>
    <w:lvl w:ilvl="8" w:tplc="080C0005" w:tentative="1">
      <w:start w:val="1"/>
      <w:numFmt w:val="bullet"/>
      <w:lvlText w:val=""/>
      <w:lvlJc w:val="left"/>
      <w:pPr>
        <w:ind w:left="6540" w:hanging="360"/>
      </w:pPr>
      <w:rPr>
        <w:rFonts w:ascii="Wingdings" w:hAnsi="Wingdings" w:hint="default"/>
      </w:rPr>
    </w:lvl>
  </w:abstractNum>
  <w:abstractNum w:abstractNumId="1">
    <w:nsid w:val="318D3D2B"/>
    <w:multiLevelType w:val="hybridMultilevel"/>
    <w:tmpl w:val="979A6012"/>
    <w:lvl w:ilvl="0" w:tplc="209A0F9A">
      <w:start w:val="1"/>
      <w:numFmt w:val="bullet"/>
      <w:lvlText w:val="•"/>
      <w:lvlJc w:val="left"/>
      <w:pPr>
        <w:tabs>
          <w:tab w:val="num" w:pos="720"/>
        </w:tabs>
        <w:ind w:left="720" w:hanging="360"/>
      </w:pPr>
      <w:rPr>
        <w:rFonts w:ascii="Times New Roman" w:hAnsi="Times New Roman" w:hint="default"/>
      </w:rPr>
    </w:lvl>
    <w:lvl w:ilvl="1" w:tplc="C974E7FA">
      <w:start w:val="1"/>
      <w:numFmt w:val="bullet"/>
      <w:lvlText w:val="•"/>
      <w:lvlJc w:val="left"/>
      <w:pPr>
        <w:tabs>
          <w:tab w:val="num" w:pos="1440"/>
        </w:tabs>
        <w:ind w:left="1440" w:hanging="360"/>
      </w:pPr>
      <w:rPr>
        <w:rFonts w:ascii="Times New Roman" w:hAnsi="Times New Roman" w:hint="default"/>
      </w:rPr>
    </w:lvl>
    <w:lvl w:ilvl="2" w:tplc="F224CEFC" w:tentative="1">
      <w:start w:val="1"/>
      <w:numFmt w:val="bullet"/>
      <w:lvlText w:val="•"/>
      <w:lvlJc w:val="left"/>
      <w:pPr>
        <w:tabs>
          <w:tab w:val="num" w:pos="2160"/>
        </w:tabs>
        <w:ind w:left="2160" w:hanging="360"/>
      </w:pPr>
      <w:rPr>
        <w:rFonts w:ascii="Times New Roman" w:hAnsi="Times New Roman" w:hint="default"/>
      </w:rPr>
    </w:lvl>
    <w:lvl w:ilvl="3" w:tplc="1EF27AFC" w:tentative="1">
      <w:start w:val="1"/>
      <w:numFmt w:val="bullet"/>
      <w:lvlText w:val="•"/>
      <w:lvlJc w:val="left"/>
      <w:pPr>
        <w:tabs>
          <w:tab w:val="num" w:pos="2880"/>
        </w:tabs>
        <w:ind w:left="2880" w:hanging="360"/>
      </w:pPr>
      <w:rPr>
        <w:rFonts w:ascii="Times New Roman" w:hAnsi="Times New Roman" w:hint="default"/>
      </w:rPr>
    </w:lvl>
    <w:lvl w:ilvl="4" w:tplc="7DCA5590" w:tentative="1">
      <w:start w:val="1"/>
      <w:numFmt w:val="bullet"/>
      <w:lvlText w:val="•"/>
      <w:lvlJc w:val="left"/>
      <w:pPr>
        <w:tabs>
          <w:tab w:val="num" w:pos="3600"/>
        </w:tabs>
        <w:ind w:left="3600" w:hanging="360"/>
      </w:pPr>
      <w:rPr>
        <w:rFonts w:ascii="Times New Roman" w:hAnsi="Times New Roman" w:hint="default"/>
      </w:rPr>
    </w:lvl>
    <w:lvl w:ilvl="5" w:tplc="EF009BB8" w:tentative="1">
      <w:start w:val="1"/>
      <w:numFmt w:val="bullet"/>
      <w:lvlText w:val="•"/>
      <w:lvlJc w:val="left"/>
      <w:pPr>
        <w:tabs>
          <w:tab w:val="num" w:pos="4320"/>
        </w:tabs>
        <w:ind w:left="4320" w:hanging="360"/>
      </w:pPr>
      <w:rPr>
        <w:rFonts w:ascii="Times New Roman" w:hAnsi="Times New Roman" w:hint="default"/>
      </w:rPr>
    </w:lvl>
    <w:lvl w:ilvl="6" w:tplc="4FE0D888" w:tentative="1">
      <w:start w:val="1"/>
      <w:numFmt w:val="bullet"/>
      <w:lvlText w:val="•"/>
      <w:lvlJc w:val="left"/>
      <w:pPr>
        <w:tabs>
          <w:tab w:val="num" w:pos="5040"/>
        </w:tabs>
        <w:ind w:left="5040" w:hanging="360"/>
      </w:pPr>
      <w:rPr>
        <w:rFonts w:ascii="Times New Roman" w:hAnsi="Times New Roman" w:hint="default"/>
      </w:rPr>
    </w:lvl>
    <w:lvl w:ilvl="7" w:tplc="89FCF644" w:tentative="1">
      <w:start w:val="1"/>
      <w:numFmt w:val="bullet"/>
      <w:lvlText w:val="•"/>
      <w:lvlJc w:val="left"/>
      <w:pPr>
        <w:tabs>
          <w:tab w:val="num" w:pos="5760"/>
        </w:tabs>
        <w:ind w:left="5760" w:hanging="360"/>
      </w:pPr>
      <w:rPr>
        <w:rFonts w:ascii="Times New Roman" w:hAnsi="Times New Roman" w:hint="default"/>
      </w:rPr>
    </w:lvl>
    <w:lvl w:ilvl="8" w:tplc="1F963D3E" w:tentative="1">
      <w:start w:val="1"/>
      <w:numFmt w:val="bullet"/>
      <w:lvlText w:val="•"/>
      <w:lvlJc w:val="left"/>
      <w:pPr>
        <w:tabs>
          <w:tab w:val="num" w:pos="6480"/>
        </w:tabs>
        <w:ind w:left="6480" w:hanging="360"/>
      </w:pPr>
      <w:rPr>
        <w:rFonts w:ascii="Times New Roman" w:hAnsi="Times New Roman" w:hint="default"/>
      </w:rPr>
    </w:lvl>
  </w:abstractNum>
  <w:abstractNum w:abstractNumId="2">
    <w:nsid w:val="59F719D8"/>
    <w:multiLevelType w:val="hybridMultilevel"/>
    <w:tmpl w:val="3092A9AA"/>
    <w:lvl w:ilvl="0" w:tplc="7C428516">
      <w:start w:val="1"/>
      <w:numFmt w:val="bullet"/>
      <w:lvlText w:val="•"/>
      <w:lvlJc w:val="left"/>
      <w:pPr>
        <w:tabs>
          <w:tab w:val="num" w:pos="720"/>
        </w:tabs>
        <w:ind w:left="720" w:hanging="360"/>
      </w:pPr>
      <w:rPr>
        <w:rFonts w:ascii="Times New Roman" w:hAnsi="Times New Roman" w:hint="default"/>
      </w:rPr>
    </w:lvl>
    <w:lvl w:ilvl="1" w:tplc="2D6E3B22" w:tentative="1">
      <w:start w:val="1"/>
      <w:numFmt w:val="bullet"/>
      <w:lvlText w:val="•"/>
      <w:lvlJc w:val="left"/>
      <w:pPr>
        <w:tabs>
          <w:tab w:val="num" w:pos="1440"/>
        </w:tabs>
        <w:ind w:left="1440" w:hanging="360"/>
      </w:pPr>
      <w:rPr>
        <w:rFonts w:ascii="Times New Roman" w:hAnsi="Times New Roman" w:hint="default"/>
      </w:rPr>
    </w:lvl>
    <w:lvl w:ilvl="2" w:tplc="FE78FC1A" w:tentative="1">
      <w:start w:val="1"/>
      <w:numFmt w:val="bullet"/>
      <w:lvlText w:val="•"/>
      <w:lvlJc w:val="left"/>
      <w:pPr>
        <w:tabs>
          <w:tab w:val="num" w:pos="2160"/>
        </w:tabs>
        <w:ind w:left="2160" w:hanging="360"/>
      </w:pPr>
      <w:rPr>
        <w:rFonts w:ascii="Times New Roman" w:hAnsi="Times New Roman" w:hint="default"/>
      </w:rPr>
    </w:lvl>
    <w:lvl w:ilvl="3" w:tplc="2638B2D4" w:tentative="1">
      <w:start w:val="1"/>
      <w:numFmt w:val="bullet"/>
      <w:lvlText w:val="•"/>
      <w:lvlJc w:val="left"/>
      <w:pPr>
        <w:tabs>
          <w:tab w:val="num" w:pos="2880"/>
        </w:tabs>
        <w:ind w:left="2880" w:hanging="360"/>
      </w:pPr>
      <w:rPr>
        <w:rFonts w:ascii="Times New Roman" w:hAnsi="Times New Roman" w:hint="default"/>
      </w:rPr>
    </w:lvl>
    <w:lvl w:ilvl="4" w:tplc="FD7887EC" w:tentative="1">
      <w:start w:val="1"/>
      <w:numFmt w:val="bullet"/>
      <w:lvlText w:val="•"/>
      <w:lvlJc w:val="left"/>
      <w:pPr>
        <w:tabs>
          <w:tab w:val="num" w:pos="3600"/>
        </w:tabs>
        <w:ind w:left="3600" w:hanging="360"/>
      </w:pPr>
      <w:rPr>
        <w:rFonts w:ascii="Times New Roman" w:hAnsi="Times New Roman" w:hint="default"/>
      </w:rPr>
    </w:lvl>
    <w:lvl w:ilvl="5" w:tplc="11E271E2" w:tentative="1">
      <w:start w:val="1"/>
      <w:numFmt w:val="bullet"/>
      <w:lvlText w:val="•"/>
      <w:lvlJc w:val="left"/>
      <w:pPr>
        <w:tabs>
          <w:tab w:val="num" w:pos="4320"/>
        </w:tabs>
        <w:ind w:left="4320" w:hanging="360"/>
      </w:pPr>
      <w:rPr>
        <w:rFonts w:ascii="Times New Roman" w:hAnsi="Times New Roman" w:hint="default"/>
      </w:rPr>
    </w:lvl>
    <w:lvl w:ilvl="6" w:tplc="5B90FFA0" w:tentative="1">
      <w:start w:val="1"/>
      <w:numFmt w:val="bullet"/>
      <w:lvlText w:val="•"/>
      <w:lvlJc w:val="left"/>
      <w:pPr>
        <w:tabs>
          <w:tab w:val="num" w:pos="5040"/>
        </w:tabs>
        <w:ind w:left="5040" w:hanging="360"/>
      </w:pPr>
      <w:rPr>
        <w:rFonts w:ascii="Times New Roman" w:hAnsi="Times New Roman" w:hint="default"/>
      </w:rPr>
    </w:lvl>
    <w:lvl w:ilvl="7" w:tplc="4B880B52" w:tentative="1">
      <w:start w:val="1"/>
      <w:numFmt w:val="bullet"/>
      <w:lvlText w:val="•"/>
      <w:lvlJc w:val="left"/>
      <w:pPr>
        <w:tabs>
          <w:tab w:val="num" w:pos="5760"/>
        </w:tabs>
        <w:ind w:left="5760" w:hanging="360"/>
      </w:pPr>
      <w:rPr>
        <w:rFonts w:ascii="Times New Roman" w:hAnsi="Times New Roman" w:hint="default"/>
      </w:rPr>
    </w:lvl>
    <w:lvl w:ilvl="8" w:tplc="AADC47E4" w:tentative="1">
      <w:start w:val="1"/>
      <w:numFmt w:val="bullet"/>
      <w:lvlText w:val="•"/>
      <w:lvlJc w:val="left"/>
      <w:pPr>
        <w:tabs>
          <w:tab w:val="num" w:pos="6480"/>
        </w:tabs>
        <w:ind w:left="6480" w:hanging="360"/>
      </w:pPr>
      <w:rPr>
        <w:rFonts w:ascii="Times New Roman" w:hAnsi="Times New Roman" w:hint="default"/>
      </w:rPr>
    </w:lvl>
  </w:abstractNum>
  <w:abstractNum w:abstractNumId="3">
    <w:nsid w:val="5C7A7999"/>
    <w:multiLevelType w:val="hybridMultilevel"/>
    <w:tmpl w:val="525E5AD6"/>
    <w:lvl w:ilvl="0" w:tplc="38FED27E">
      <w:start w:val="1"/>
      <w:numFmt w:val="bullet"/>
      <w:lvlText w:val="•"/>
      <w:lvlJc w:val="left"/>
      <w:pPr>
        <w:tabs>
          <w:tab w:val="num" w:pos="720"/>
        </w:tabs>
        <w:ind w:left="720" w:hanging="360"/>
      </w:pPr>
      <w:rPr>
        <w:rFonts w:ascii="Arial" w:hAnsi="Arial" w:hint="default"/>
      </w:rPr>
    </w:lvl>
    <w:lvl w:ilvl="1" w:tplc="A2B8DF7E">
      <w:start w:val="1340"/>
      <w:numFmt w:val="bullet"/>
      <w:lvlText w:val="–"/>
      <w:lvlJc w:val="left"/>
      <w:pPr>
        <w:tabs>
          <w:tab w:val="num" w:pos="1440"/>
        </w:tabs>
        <w:ind w:left="1440" w:hanging="360"/>
      </w:pPr>
      <w:rPr>
        <w:rFonts w:ascii="Arial" w:hAnsi="Arial" w:hint="default"/>
      </w:rPr>
    </w:lvl>
    <w:lvl w:ilvl="2" w:tplc="A9EA19EA" w:tentative="1">
      <w:start w:val="1"/>
      <w:numFmt w:val="bullet"/>
      <w:lvlText w:val="•"/>
      <w:lvlJc w:val="left"/>
      <w:pPr>
        <w:tabs>
          <w:tab w:val="num" w:pos="2160"/>
        </w:tabs>
        <w:ind w:left="2160" w:hanging="360"/>
      </w:pPr>
      <w:rPr>
        <w:rFonts w:ascii="Arial" w:hAnsi="Arial" w:hint="default"/>
      </w:rPr>
    </w:lvl>
    <w:lvl w:ilvl="3" w:tplc="AA5C0D58" w:tentative="1">
      <w:start w:val="1"/>
      <w:numFmt w:val="bullet"/>
      <w:lvlText w:val="•"/>
      <w:lvlJc w:val="left"/>
      <w:pPr>
        <w:tabs>
          <w:tab w:val="num" w:pos="2880"/>
        </w:tabs>
        <w:ind w:left="2880" w:hanging="360"/>
      </w:pPr>
      <w:rPr>
        <w:rFonts w:ascii="Arial" w:hAnsi="Arial" w:hint="default"/>
      </w:rPr>
    </w:lvl>
    <w:lvl w:ilvl="4" w:tplc="68F4D506" w:tentative="1">
      <w:start w:val="1"/>
      <w:numFmt w:val="bullet"/>
      <w:lvlText w:val="•"/>
      <w:lvlJc w:val="left"/>
      <w:pPr>
        <w:tabs>
          <w:tab w:val="num" w:pos="3600"/>
        </w:tabs>
        <w:ind w:left="3600" w:hanging="360"/>
      </w:pPr>
      <w:rPr>
        <w:rFonts w:ascii="Arial" w:hAnsi="Arial" w:hint="default"/>
      </w:rPr>
    </w:lvl>
    <w:lvl w:ilvl="5" w:tplc="FD52C34E" w:tentative="1">
      <w:start w:val="1"/>
      <w:numFmt w:val="bullet"/>
      <w:lvlText w:val="•"/>
      <w:lvlJc w:val="left"/>
      <w:pPr>
        <w:tabs>
          <w:tab w:val="num" w:pos="4320"/>
        </w:tabs>
        <w:ind w:left="4320" w:hanging="360"/>
      </w:pPr>
      <w:rPr>
        <w:rFonts w:ascii="Arial" w:hAnsi="Arial" w:hint="default"/>
      </w:rPr>
    </w:lvl>
    <w:lvl w:ilvl="6" w:tplc="2648F946" w:tentative="1">
      <w:start w:val="1"/>
      <w:numFmt w:val="bullet"/>
      <w:lvlText w:val="•"/>
      <w:lvlJc w:val="left"/>
      <w:pPr>
        <w:tabs>
          <w:tab w:val="num" w:pos="5040"/>
        </w:tabs>
        <w:ind w:left="5040" w:hanging="360"/>
      </w:pPr>
      <w:rPr>
        <w:rFonts w:ascii="Arial" w:hAnsi="Arial" w:hint="default"/>
      </w:rPr>
    </w:lvl>
    <w:lvl w:ilvl="7" w:tplc="9E84B108" w:tentative="1">
      <w:start w:val="1"/>
      <w:numFmt w:val="bullet"/>
      <w:lvlText w:val="•"/>
      <w:lvlJc w:val="left"/>
      <w:pPr>
        <w:tabs>
          <w:tab w:val="num" w:pos="5760"/>
        </w:tabs>
        <w:ind w:left="5760" w:hanging="360"/>
      </w:pPr>
      <w:rPr>
        <w:rFonts w:ascii="Arial" w:hAnsi="Arial" w:hint="default"/>
      </w:rPr>
    </w:lvl>
    <w:lvl w:ilvl="8" w:tplc="216CAC56" w:tentative="1">
      <w:start w:val="1"/>
      <w:numFmt w:val="bullet"/>
      <w:lvlText w:val="•"/>
      <w:lvlJc w:val="left"/>
      <w:pPr>
        <w:tabs>
          <w:tab w:val="num" w:pos="6480"/>
        </w:tabs>
        <w:ind w:left="6480" w:hanging="360"/>
      </w:pPr>
      <w:rPr>
        <w:rFonts w:ascii="Arial" w:hAnsi="Arial" w:hint="default"/>
      </w:rPr>
    </w:lvl>
  </w:abstractNum>
  <w:abstractNum w:abstractNumId="4">
    <w:nsid w:val="68B36226"/>
    <w:multiLevelType w:val="hybridMultilevel"/>
    <w:tmpl w:val="45D2DAC0"/>
    <w:lvl w:ilvl="0" w:tplc="080C0001">
      <w:start w:val="1"/>
      <w:numFmt w:val="bullet"/>
      <w:lvlText w:val=""/>
      <w:lvlJc w:val="left"/>
      <w:pPr>
        <w:ind w:left="780" w:hanging="360"/>
      </w:pPr>
      <w:rPr>
        <w:rFonts w:ascii="Symbol" w:hAnsi="Symbol" w:hint="default"/>
      </w:rPr>
    </w:lvl>
    <w:lvl w:ilvl="1" w:tplc="080C0003" w:tentative="1">
      <w:start w:val="1"/>
      <w:numFmt w:val="bullet"/>
      <w:lvlText w:val="o"/>
      <w:lvlJc w:val="left"/>
      <w:pPr>
        <w:ind w:left="1500" w:hanging="360"/>
      </w:pPr>
      <w:rPr>
        <w:rFonts w:ascii="Courier New" w:hAnsi="Courier New" w:cs="Courier New" w:hint="default"/>
      </w:rPr>
    </w:lvl>
    <w:lvl w:ilvl="2" w:tplc="080C0005" w:tentative="1">
      <w:start w:val="1"/>
      <w:numFmt w:val="bullet"/>
      <w:lvlText w:val=""/>
      <w:lvlJc w:val="left"/>
      <w:pPr>
        <w:ind w:left="2220" w:hanging="360"/>
      </w:pPr>
      <w:rPr>
        <w:rFonts w:ascii="Wingdings" w:hAnsi="Wingdings" w:hint="default"/>
      </w:rPr>
    </w:lvl>
    <w:lvl w:ilvl="3" w:tplc="080C0001" w:tentative="1">
      <w:start w:val="1"/>
      <w:numFmt w:val="bullet"/>
      <w:lvlText w:val=""/>
      <w:lvlJc w:val="left"/>
      <w:pPr>
        <w:ind w:left="2940" w:hanging="360"/>
      </w:pPr>
      <w:rPr>
        <w:rFonts w:ascii="Symbol" w:hAnsi="Symbol" w:hint="default"/>
      </w:rPr>
    </w:lvl>
    <w:lvl w:ilvl="4" w:tplc="080C0003" w:tentative="1">
      <w:start w:val="1"/>
      <w:numFmt w:val="bullet"/>
      <w:lvlText w:val="o"/>
      <w:lvlJc w:val="left"/>
      <w:pPr>
        <w:ind w:left="3660" w:hanging="360"/>
      </w:pPr>
      <w:rPr>
        <w:rFonts w:ascii="Courier New" w:hAnsi="Courier New" w:cs="Courier New" w:hint="default"/>
      </w:rPr>
    </w:lvl>
    <w:lvl w:ilvl="5" w:tplc="080C0005" w:tentative="1">
      <w:start w:val="1"/>
      <w:numFmt w:val="bullet"/>
      <w:lvlText w:val=""/>
      <w:lvlJc w:val="left"/>
      <w:pPr>
        <w:ind w:left="4380" w:hanging="360"/>
      </w:pPr>
      <w:rPr>
        <w:rFonts w:ascii="Wingdings" w:hAnsi="Wingdings" w:hint="default"/>
      </w:rPr>
    </w:lvl>
    <w:lvl w:ilvl="6" w:tplc="080C0001" w:tentative="1">
      <w:start w:val="1"/>
      <w:numFmt w:val="bullet"/>
      <w:lvlText w:val=""/>
      <w:lvlJc w:val="left"/>
      <w:pPr>
        <w:ind w:left="5100" w:hanging="360"/>
      </w:pPr>
      <w:rPr>
        <w:rFonts w:ascii="Symbol" w:hAnsi="Symbol" w:hint="default"/>
      </w:rPr>
    </w:lvl>
    <w:lvl w:ilvl="7" w:tplc="080C0003" w:tentative="1">
      <w:start w:val="1"/>
      <w:numFmt w:val="bullet"/>
      <w:lvlText w:val="o"/>
      <w:lvlJc w:val="left"/>
      <w:pPr>
        <w:ind w:left="5820" w:hanging="360"/>
      </w:pPr>
      <w:rPr>
        <w:rFonts w:ascii="Courier New" w:hAnsi="Courier New" w:cs="Courier New" w:hint="default"/>
      </w:rPr>
    </w:lvl>
    <w:lvl w:ilvl="8" w:tplc="080C0005" w:tentative="1">
      <w:start w:val="1"/>
      <w:numFmt w:val="bullet"/>
      <w:lvlText w:val=""/>
      <w:lvlJc w:val="left"/>
      <w:pPr>
        <w:ind w:left="6540" w:hanging="360"/>
      </w:pPr>
      <w:rPr>
        <w:rFonts w:ascii="Wingdings" w:hAnsi="Wingdings" w:hint="default"/>
      </w:r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12289"/>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7D6"/>
    <w:rsid w:val="00004778"/>
    <w:rsid w:val="00027FD9"/>
    <w:rsid w:val="000364F1"/>
    <w:rsid w:val="00051128"/>
    <w:rsid w:val="00097F60"/>
    <w:rsid w:val="000B2244"/>
    <w:rsid w:val="000B39AC"/>
    <w:rsid w:val="000E628C"/>
    <w:rsid w:val="00114664"/>
    <w:rsid w:val="00144669"/>
    <w:rsid w:val="001461BD"/>
    <w:rsid w:val="001A0B8D"/>
    <w:rsid w:val="001B1133"/>
    <w:rsid w:val="001B7737"/>
    <w:rsid w:val="001D1CC8"/>
    <w:rsid w:val="001D48C9"/>
    <w:rsid w:val="001E0855"/>
    <w:rsid w:val="00215D9E"/>
    <w:rsid w:val="002255F0"/>
    <w:rsid w:val="002351D6"/>
    <w:rsid w:val="00243454"/>
    <w:rsid w:val="002A4529"/>
    <w:rsid w:val="002C381A"/>
    <w:rsid w:val="002F269C"/>
    <w:rsid w:val="0034621A"/>
    <w:rsid w:val="00346EA1"/>
    <w:rsid w:val="00347622"/>
    <w:rsid w:val="00352096"/>
    <w:rsid w:val="00392126"/>
    <w:rsid w:val="003A3D62"/>
    <w:rsid w:val="003A526B"/>
    <w:rsid w:val="003A652F"/>
    <w:rsid w:val="003B107B"/>
    <w:rsid w:val="003C6318"/>
    <w:rsid w:val="003D660A"/>
    <w:rsid w:val="003E0BA4"/>
    <w:rsid w:val="003F2B54"/>
    <w:rsid w:val="00407A77"/>
    <w:rsid w:val="004368B0"/>
    <w:rsid w:val="00442261"/>
    <w:rsid w:val="004459EE"/>
    <w:rsid w:val="00452735"/>
    <w:rsid w:val="0046270C"/>
    <w:rsid w:val="00493671"/>
    <w:rsid w:val="004954F2"/>
    <w:rsid w:val="004A063B"/>
    <w:rsid w:val="004F21AC"/>
    <w:rsid w:val="004F5814"/>
    <w:rsid w:val="00537609"/>
    <w:rsid w:val="005510F2"/>
    <w:rsid w:val="005550C7"/>
    <w:rsid w:val="00571297"/>
    <w:rsid w:val="00575481"/>
    <w:rsid w:val="005A2EF9"/>
    <w:rsid w:val="005A529E"/>
    <w:rsid w:val="005D4B9C"/>
    <w:rsid w:val="005E56C5"/>
    <w:rsid w:val="00605E40"/>
    <w:rsid w:val="00610EC4"/>
    <w:rsid w:val="00645FDE"/>
    <w:rsid w:val="00646819"/>
    <w:rsid w:val="006611E9"/>
    <w:rsid w:val="00670B1E"/>
    <w:rsid w:val="00695891"/>
    <w:rsid w:val="006A3211"/>
    <w:rsid w:val="006B0AEF"/>
    <w:rsid w:val="006B3500"/>
    <w:rsid w:val="006C58ED"/>
    <w:rsid w:val="00715899"/>
    <w:rsid w:val="007238B7"/>
    <w:rsid w:val="00745C74"/>
    <w:rsid w:val="0076085A"/>
    <w:rsid w:val="007710FA"/>
    <w:rsid w:val="00776D8E"/>
    <w:rsid w:val="00787F40"/>
    <w:rsid w:val="007A034D"/>
    <w:rsid w:val="007B30CE"/>
    <w:rsid w:val="0080032A"/>
    <w:rsid w:val="008A5402"/>
    <w:rsid w:val="008A5C9C"/>
    <w:rsid w:val="008C25DA"/>
    <w:rsid w:val="00914612"/>
    <w:rsid w:val="00951B40"/>
    <w:rsid w:val="009925A3"/>
    <w:rsid w:val="009C3F63"/>
    <w:rsid w:val="009E2568"/>
    <w:rsid w:val="009F0036"/>
    <w:rsid w:val="009F1564"/>
    <w:rsid w:val="00A0057B"/>
    <w:rsid w:val="00A17EC2"/>
    <w:rsid w:val="00A25D78"/>
    <w:rsid w:val="00A318B0"/>
    <w:rsid w:val="00A4060E"/>
    <w:rsid w:val="00A55F8F"/>
    <w:rsid w:val="00A6118A"/>
    <w:rsid w:val="00A629DA"/>
    <w:rsid w:val="00A662D6"/>
    <w:rsid w:val="00A82E92"/>
    <w:rsid w:val="00AA7AF5"/>
    <w:rsid w:val="00AD7CF4"/>
    <w:rsid w:val="00B32DED"/>
    <w:rsid w:val="00B34EFA"/>
    <w:rsid w:val="00B74351"/>
    <w:rsid w:val="00B86C24"/>
    <w:rsid w:val="00BB737D"/>
    <w:rsid w:val="00BC2567"/>
    <w:rsid w:val="00BE58C6"/>
    <w:rsid w:val="00C03509"/>
    <w:rsid w:val="00C1278A"/>
    <w:rsid w:val="00C219B9"/>
    <w:rsid w:val="00C26B64"/>
    <w:rsid w:val="00C457E8"/>
    <w:rsid w:val="00C474BB"/>
    <w:rsid w:val="00C64B70"/>
    <w:rsid w:val="00C76E9B"/>
    <w:rsid w:val="00C82490"/>
    <w:rsid w:val="00C90098"/>
    <w:rsid w:val="00C95BAA"/>
    <w:rsid w:val="00CA2BA7"/>
    <w:rsid w:val="00CA6F2A"/>
    <w:rsid w:val="00CC0CCC"/>
    <w:rsid w:val="00CD453B"/>
    <w:rsid w:val="00CE11AE"/>
    <w:rsid w:val="00CE7707"/>
    <w:rsid w:val="00CF2C33"/>
    <w:rsid w:val="00D03E76"/>
    <w:rsid w:val="00D26AD0"/>
    <w:rsid w:val="00D353C0"/>
    <w:rsid w:val="00D42CE9"/>
    <w:rsid w:val="00D632F0"/>
    <w:rsid w:val="00D7077F"/>
    <w:rsid w:val="00DA75A1"/>
    <w:rsid w:val="00DB2D77"/>
    <w:rsid w:val="00DB3EFF"/>
    <w:rsid w:val="00DB74DE"/>
    <w:rsid w:val="00DC57D6"/>
    <w:rsid w:val="00E125D6"/>
    <w:rsid w:val="00E377B5"/>
    <w:rsid w:val="00E438BC"/>
    <w:rsid w:val="00EA0C0A"/>
    <w:rsid w:val="00EA68D1"/>
    <w:rsid w:val="00ED03AD"/>
    <w:rsid w:val="00ED60EB"/>
    <w:rsid w:val="00EF782D"/>
    <w:rsid w:val="00F01FAD"/>
    <w:rsid w:val="00F210CF"/>
    <w:rsid w:val="00F30D92"/>
    <w:rsid w:val="00F53C50"/>
    <w:rsid w:val="00F849F0"/>
    <w:rsid w:val="00F87386"/>
    <w:rsid w:val="00F948FE"/>
    <w:rsid w:val="00F97C79"/>
    <w:rsid w:val="00FA5F99"/>
    <w:rsid w:val="00FC430B"/>
    <w:rsid w:val="00FD648F"/>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9F3BE2A"/>
  <w15:docId w15:val="{A552D7DC-F6D6-A749-A1D2-694483764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57D6"/>
    <w:pPr>
      <w:jc w:val="both"/>
    </w:pPr>
    <w:rPr>
      <w:rFonts w:ascii="Calibri" w:eastAsia="MS Mincho" w:hAnsi="Calibri" w:cs="Times New Roman"/>
      <w:lang w:val="it-IT" w:eastAsia="ja-JP"/>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rsid w:val="00DC57D6"/>
    <w:pPr>
      <w:tabs>
        <w:tab w:val="center" w:pos="4819"/>
        <w:tab w:val="right" w:pos="9638"/>
      </w:tabs>
    </w:pPr>
  </w:style>
  <w:style w:type="character" w:customStyle="1" w:styleId="PieddepageCar">
    <w:name w:val="Pied de page Car"/>
    <w:basedOn w:val="Policepardfaut"/>
    <w:link w:val="Pieddepage"/>
    <w:rsid w:val="00DC57D6"/>
    <w:rPr>
      <w:rFonts w:ascii="Calibri" w:eastAsia="MS Mincho" w:hAnsi="Calibri" w:cs="Times New Roman"/>
      <w:lang w:val="it-IT" w:eastAsia="ja-JP"/>
    </w:rPr>
  </w:style>
  <w:style w:type="character" w:styleId="Numrodepage">
    <w:name w:val="page number"/>
    <w:basedOn w:val="Policepardfaut"/>
    <w:rsid w:val="00DC57D6"/>
  </w:style>
  <w:style w:type="paragraph" w:customStyle="1" w:styleId="Default">
    <w:name w:val="Default"/>
    <w:rsid w:val="00DC57D6"/>
    <w:pPr>
      <w:autoSpaceDE w:val="0"/>
      <w:autoSpaceDN w:val="0"/>
      <w:adjustRightInd w:val="0"/>
    </w:pPr>
    <w:rPr>
      <w:rFonts w:ascii="Tahoma" w:eastAsia="Times New Roman" w:hAnsi="Tahoma" w:cs="Tahoma"/>
      <w:color w:val="000000"/>
      <w:lang w:val="it-IT" w:eastAsia="it-IT"/>
    </w:rPr>
  </w:style>
  <w:style w:type="character" w:styleId="Marquedecommentaire">
    <w:name w:val="annotation reference"/>
    <w:basedOn w:val="Policepardfaut"/>
    <w:uiPriority w:val="99"/>
    <w:semiHidden/>
    <w:unhideWhenUsed/>
    <w:rsid w:val="002C381A"/>
    <w:rPr>
      <w:sz w:val="16"/>
      <w:szCs w:val="16"/>
    </w:rPr>
  </w:style>
  <w:style w:type="paragraph" w:styleId="Commentaire">
    <w:name w:val="annotation text"/>
    <w:basedOn w:val="Normal"/>
    <w:link w:val="CommentaireCar"/>
    <w:uiPriority w:val="99"/>
    <w:semiHidden/>
    <w:unhideWhenUsed/>
    <w:rsid w:val="002C381A"/>
    <w:rPr>
      <w:sz w:val="20"/>
      <w:szCs w:val="20"/>
    </w:rPr>
  </w:style>
  <w:style w:type="character" w:customStyle="1" w:styleId="CommentaireCar">
    <w:name w:val="Commentaire Car"/>
    <w:basedOn w:val="Policepardfaut"/>
    <w:link w:val="Commentaire"/>
    <w:uiPriority w:val="99"/>
    <w:semiHidden/>
    <w:rsid w:val="002C381A"/>
    <w:rPr>
      <w:rFonts w:ascii="Calibri" w:eastAsia="MS Mincho" w:hAnsi="Calibri" w:cs="Times New Roman"/>
      <w:sz w:val="20"/>
      <w:szCs w:val="20"/>
      <w:lang w:val="it-IT" w:eastAsia="ja-JP"/>
    </w:rPr>
  </w:style>
  <w:style w:type="paragraph" w:styleId="Objetducommentaire">
    <w:name w:val="annotation subject"/>
    <w:basedOn w:val="Commentaire"/>
    <w:next w:val="Commentaire"/>
    <w:link w:val="ObjetducommentaireCar"/>
    <w:uiPriority w:val="99"/>
    <w:semiHidden/>
    <w:unhideWhenUsed/>
    <w:rsid w:val="002C381A"/>
    <w:rPr>
      <w:b/>
      <w:bCs/>
    </w:rPr>
  </w:style>
  <w:style w:type="character" w:customStyle="1" w:styleId="ObjetducommentaireCar">
    <w:name w:val="Objet du commentaire Car"/>
    <w:basedOn w:val="CommentaireCar"/>
    <w:link w:val="Objetducommentaire"/>
    <w:uiPriority w:val="99"/>
    <w:semiHidden/>
    <w:rsid w:val="002C381A"/>
    <w:rPr>
      <w:rFonts w:ascii="Calibri" w:eastAsia="MS Mincho" w:hAnsi="Calibri" w:cs="Times New Roman"/>
      <w:b/>
      <w:bCs/>
      <w:sz w:val="20"/>
      <w:szCs w:val="20"/>
      <w:lang w:val="it-IT" w:eastAsia="ja-JP"/>
    </w:rPr>
  </w:style>
  <w:style w:type="paragraph" w:styleId="Textedebulles">
    <w:name w:val="Balloon Text"/>
    <w:basedOn w:val="Normal"/>
    <w:link w:val="TextedebullesCar"/>
    <w:uiPriority w:val="99"/>
    <w:semiHidden/>
    <w:unhideWhenUsed/>
    <w:rsid w:val="002C381A"/>
    <w:rPr>
      <w:rFonts w:ascii="Segoe UI" w:hAnsi="Segoe UI" w:cs="Segoe UI"/>
      <w:sz w:val="18"/>
      <w:szCs w:val="18"/>
    </w:rPr>
  </w:style>
  <w:style w:type="character" w:customStyle="1" w:styleId="TextedebullesCar">
    <w:name w:val="Texte de bulles Car"/>
    <w:basedOn w:val="Policepardfaut"/>
    <w:link w:val="Textedebulles"/>
    <w:uiPriority w:val="99"/>
    <w:semiHidden/>
    <w:rsid w:val="002C381A"/>
    <w:rPr>
      <w:rFonts w:ascii="Segoe UI" w:eastAsia="MS Mincho" w:hAnsi="Segoe UI" w:cs="Segoe UI"/>
      <w:sz w:val="18"/>
      <w:szCs w:val="18"/>
      <w:lang w:val="it-IT" w:eastAsia="ja-JP"/>
    </w:rPr>
  </w:style>
  <w:style w:type="paragraph" w:styleId="En-tte">
    <w:name w:val="header"/>
    <w:basedOn w:val="Normal"/>
    <w:link w:val="En-tteCar"/>
    <w:uiPriority w:val="99"/>
    <w:unhideWhenUsed/>
    <w:rsid w:val="00FC430B"/>
    <w:pPr>
      <w:tabs>
        <w:tab w:val="center" w:pos="4320"/>
        <w:tab w:val="right" w:pos="8640"/>
      </w:tabs>
    </w:pPr>
  </w:style>
  <w:style w:type="character" w:customStyle="1" w:styleId="En-tteCar">
    <w:name w:val="En-tête Car"/>
    <w:basedOn w:val="Policepardfaut"/>
    <w:link w:val="En-tte"/>
    <w:uiPriority w:val="99"/>
    <w:rsid w:val="00FC430B"/>
    <w:rPr>
      <w:rFonts w:ascii="Calibri" w:eastAsia="MS Mincho" w:hAnsi="Calibri" w:cs="Times New Roman"/>
      <w:lang w:val="it-IT" w:eastAsia="ja-JP"/>
    </w:rPr>
  </w:style>
  <w:style w:type="character" w:styleId="Lienhypertexte">
    <w:name w:val="Hyperlink"/>
    <w:basedOn w:val="Policepardfaut"/>
    <w:uiPriority w:val="99"/>
    <w:unhideWhenUsed/>
    <w:rsid w:val="00051128"/>
    <w:rPr>
      <w:color w:val="0563C1" w:themeColor="hyperlink"/>
      <w:u w:val="single"/>
    </w:rPr>
  </w:style>
  <w:style w:type="character" w:customStyle="1" w:styleId="Mencinsinresolver1">
    <w:name w:val="Mención sin resolver1"/>
    <w:basedOn w:val="Policepardfaut"/>
    <w:uiPriority w:val="99"/>
    <w:semiHidden/>
    <w:unhideWhenUsed/>
    <w:rsid w:val="00051128"/>
    <w:rPr>
      <w:color w:val="605E5C"/>
      <w:shd w:val="clear" w:color="auto" w:fill="E1DFDD"/>
    </w:rPr>
  </w:style>
  <w:style w:type="paragraph" w:styleId="Paragraphedeliste">
    <w:name w:val="List Paragraph"/>
    <w:basedOn w:val="Normal"/>
    <w:uiPriority w:val="34"/>
    <w:qFormat/>
    <w:rsid w:val="006A3211"/>
    <w:pPr>
      <w:ind w:left="720"/>
      <w:contextualSpacing/>
    </w:pPr>
  </w:style>
  <w:style w:type="paragraph" w:styleId="Notedebasdepage">
    <w:name w:val="footnote text"/>
    <w:basedOn w:val="Normal"/>
    <w:link w:val="NotedebasdepageCar"/>
    <w:uiPriority w:val="99"/>
    <w:semiHidden/>
    <w:unhideWhenUsed/>
    <w:rsid w:val="00A55F8F"/>
    <w:rPr>
      <w:sz w:val="20"/>
      <w:szCs w:val="20"/>
    </w:rPr>
  </w:style>
  <w:style w:type="character" w:customStyle="1" w:styleId="NotedebasdepageCar">
    <w:name w:val="Note de bas de page Car"/>
    <w:basedOn w:val="Policepardfaut"/>
    <w:link w:val="Notedebasdepage"/>
    <w:uiPriority w:val="99"/>
    <w:semiHidden/>
    <w:rsid w:val="00A55F8F"/>
    <w:rPr>
      <w:rFonts w:ascii="Calibri" w:eastAsia="MS Mincho" w:hAnsi="Calibri" w:cs="Times New Roman"/>
      <w:sz w:val="20"/>
      <w:szCs w:val="20"/>
      <w:lang w:val="it-IT" w:eastAsia="ja-JP"/>
    </w:rPr>
  </w:style>
  <w:style w:type="character" w:styleId="Appelnotedebasdep">
    <w:name w:val="footnote reference"/>
    <w:basedOn w:val="Policepardfaut"/>
    <w:uiPriority w:val="99"/>
    <w:semiHidden/>
    <w:unhideWhenUsed/>
    <w:rsid w:val="00A55F8F"/>
    <w:rPr>
      <w:vertAlign w:val="superscript"/>
    </w:rPr>
  </w:style>
  <w:style w:type="character" w:styleId="Lienhypertextesuivivisit">
    <w:name w:val="FollowedHyperlink"/>
    <w:basedOn w:val="Policepardfaut"/>
    <w:uiPriority w:val="99"/>
    <w:semiHidden/>
    <w:unhideWhenUsed/>
    <w:rsid w:val="001A0B8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1460245">
      <w:bodyDiv w:val="1"/>
      <w:marLeft w:val="0"/>
      <w:marRight w:val="0"/>
      <w:marTop w:val="0"/>
      <w:marBottom w:val="0"/>
      <w:divBdr>
        <w:top w:val="none" w:sz="0" w:space="0" w:color="auto"/>
        <w:left w:val="none" w:sz="0" w:space="0" w:color="auto"/>
        <w:bottom w:val="none" w:sz="0" w:space="0" w:color="auto"/>
        <w:right w:val="none" w:sz="0" w:space="0" w:color="auto"/>
      </w:divBdr>
    </w:div>
    <w:div w:id="1160997548">
      <w:bodyDiv w:val="1"/>
      <w:marLeft w:val="0"/>
      <w:marRight w:val="0"/>
      <w:marTop w:val="0"/>
      <w:marBottom w:val="0"/>
      <w:divBdr>
        <w:top w:val="none" w:sz="0" w:space="0" w:color="auto"/>
        <w:left w:val="none" w:sz="0" w:space="0" w:color="auto"/>
        <w:bottom w:val="none" w:sz="0" w:space="0" w:color="auto"/>
        <w:right w:val="none" w:sz="0" w:space="0" w:color="auto"/>
      </w:divBdr>
      <w:divsChild>
        <w:div w:id="1028798823">
          <w:marLeft w:val="720"/>
          <w:marRight w:val="0"/>
          <w:marTop w:val="0"/>
          <w:marBottom w:val="0"/>
          <w:divBdr>
            <w:top w:val="none" w:sz="0" w:space="0" w:color="auto"/>
            <w:left w:val="none" w:sz="0" w:space="0" w:color="auto"/>
            <w:bottom w:val="none" w:sz="0" w:space="0" w:color="auto"/>
            <w:right w:val="none" w:sz="0" w:space="0" w:color="auto"/>
          </w:divBdr>
        </w:div>
      </w:divsChild>
    </w:div>
    <w:div w:id="1414282955">
      <w:bodyDiv w:val="1"/>
      <w:marLeft w:val="0"/>
      <w:marRight w:val="0"/>
      <w:marTop w:val="0"/>
      <w:marBottom w:val="0"/>
      <w:divBdr>
        <w:top w:val="none" w:sz="0" w:space="0" w:color="auto"/>
        <w:left w:val="none" w:sz="0" w:space="0" w:color="auto"/>
        <w:bottom w:val="none" w:sz="0" w:space="0" w:color="auto"/>
        <w:right w:val="none" w:sz="0" w:space="0" w:color="auto"/>
      </w:divBdr>
    </w:div>
    <w:div w:id="1579561576">
      <w:bodyDiv w:val="1"/>
      <w:marLeft w:val="0"/>
      <w:marRight w:val="0"/>
      <w:marTop w:val="0"/>
      <w:marBottom w:val="0"/>
      <w:divBdr>
        <w:top w:val="none" w:sz="0" w:space="0" w:color="auto"/>
        <w:left w:val="none" w:sz="0" w:space="0" w:color="auto"/>
        <w:bottom w:val="none" w:sz="0" w:space="0" w:color="auto"/>
        <w:right w:val="none" w:sz="0" w:space="0" w:color="auto"/>
      </w:divBdr>
      <w:divsChild>
        <w:div w:id="1611817209">
          <w:marLeft w:val="720"/>
          <w:marRight w:val="0"/>
          <w:marTop w:val="0"/>
          <w:marBottom w:val="0"/>
          <w:divBdr>
            <w:top w:val="none" w:sz="0" w:space="0" w:color="auto"/>
            <w:left w:val="none" w:sz="0" w:space="0" w:color="auto"/>
            <w:bottom w:val="none" w:sz="0" w:space="0" w:color="auto"/>
            <w:right w:val="none" w:sz="0" w:space="0" w:color="auto"/>
          </w:divBdr>
        </w:div>
      </w:divsChild>
    </w:div>
    <w:div w:id="1671637597">
      <w:bodyDiv w:val="1"/>
      <w:marLeft w:val="0"/>
      <w:marRight w:val="0"/>
      <w:marTop w:val="0"/>
      <w:marBottom w:val="0"/>
      <w:divBdr>
        <w:top w:val="none" w:sz="0" w:space="0" w:color="auto"/>
        <w:left w:val="none" w:sz="0" w:space="0" w:color="auto"/>
        <w:bottom w:val="none" w:sz="0" w:space="0" w:color="auto"/>
        <w:right w:val="none" w:sz="0" w:space="0" w:color="auto"/>
      </w:divBdr>
      <w:divsChild>
        <w:div w:id="1477451966">
          <w:marLeft w:val="547"/>
          <w:marRight w:val="0"/>
          <w:marTop w:val="115"/>
          <w:marBottom w:val="0"/>
          <w:divBdr>
            <w:top w:val="none" w:sz="0" w:space="0" w:color="auto"/>
            <w:left w:val="none" w:sz="0" w:space="0" w:color="auto"/>
            <w:bottom w:val="none" w:sz="0" w:space="0" w:color="auto"/>
            <w:right w:val="none" w:sz="0" w:space="0" w:color="auto"/>
          </w:divBdr>
        </w:div>
        <w:div w:id="1956986694">
          <w:marLeft w:val="547"/>
          <w:marRight w:val="0"/>
          <w:marTop w:val="115"/>
          <w:marBottom w:val="0"/>
          <w:divBdr>
            <w:top w:val="none" w:sz="0" w:space="0" w:color="auto"/>
            <w:left w:val="none" w:sz="0" w:space="0" w:color="auto"/>
            <w:bottom w:val="none" w:sz="0" w:space="0" w:color="auto"/>
            <w:right w:val="none" w:sz="0" w:space="0" w:color="auto"/>
          </w:divBdr>
        </w:div>
        <w:div w:id="1385332442">
          <w:marLeft w:val="547"/>
          <w:marRight w:val="0"/>
          <w:marTop w:val="115"/>
          <w:marBottom w:val="0"/>
          <w:divBdr>
            <w:top w:val="none" w:sz="0" w:space="0" w:color="auto"/>
            <w:left w:val="none" w:sz="0" w:space="0" w:color="auto"/>
            <w:bottom w:val="none" w:sz="0" w:space="0" w:color="auto"/>
            <w:right w:val="none" w:sz="0" w:space="0" w:color="auto"/>
          </w:divBdr>
        </w:div>
        <w:div w:id="774441222">
          <w:marLeft w:val="547"/>
          <w:marRight w:val="0"/>
          <w:marTop w:val="115"/>
          <w:marBottom w:val="0"/>
          <w:divBdr>
            <w:top w:val="none" w:sz="0" w:space="0" w:color="auto"/>
            <w:left w:val="none" w:sz="0" w:space="0" w:color="auto"/>
            <w:bottom w:val="none" w:sz="0" w:space="0" w:color="auto"/>
            <w:right w:val="none" w:sz="0" w:space="0" w:color="auto"/>
          </w:divBdr>
        </w:div>
        <w:div w:id="1806893183">
          <w:marLeft w:val="547"/>
          <w:marRight w:val="0"/>
          <w:marTop w:val="115"/>
          <w:marBottom w:val="0"/>
          <w:divBdr>
            <w:top w:val="none" w:sz="0" w:space="0" w:color="auto"/>
            <w:left w:val="none" w:sz="0" w:space="0" w:color="auto"/>
            <w:bottom w:val="none" w:sz="0" w:space="0" w:color="auto"/>
            <w:right w:val="none" w:sz="0" w:space="0" w:color="auto"/>
          </w:divBdr>
        </w:div>
        <w:div w:id="1464812671">
          <w:marLeft w:val="547"/>
          <w:marRight w:val="0"/>
          <w:marTop w:val="115"/>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lass@alass.org"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A216F6-A7C8-4237-829D-BF2D537CCC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7325</TotalTime>
  <Pages>5</Pages>
  <Words>1312</Words>
  <Characters>7218</Characters>
  <Application>Microsoft Office Word</Application>
  <DocSecurity>0</DocSecurity>
  <Lines>60</Lines>
  <Paragraphs>17</Paragraphs>
  <ScaleCrop>false</ScaleCrop>
  <HeadingPairs>
    <vt:vector size="4" baseType="variant">
      <vt:variant>
        <vt:lpstr>Titre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8513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 de Microsoft Office</dc:creator>
  <cp:lastModifiedBy>CUNIN Marie-Pierre</cp:lastModifiedBy>
  <cp:revision>10</cp:revision>
  <cp:lastPrinted>2019-02-19T08:29:00Z</cp:lastPrinted>
  <dcterms:created xsi:type="dcterms:W3CDTF">2019-06-03T13:21:00Z</dcterms:created>
  <dcterms:modified xsi:type="dcterms:W3CDTF">2019-07-17T13:13:00Z</dcterms:modified>
</cp:coreProperties>
</file>