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F8B7" w14:textId="77777777" w:rsidR="003B4F50" w:rsidRPr="001D29F8" w:rsidRDefault="001D46AC" w:rsidP="001D29F8">
      <w:pPr>
        <w:spacing w:line="480" w:lineRule="auto"/>
        <w:jc w:val="both"/>
        <w:rPr>
          <w:rFonts w:ascii="Arial" w:eastAsiaTheme="majorEastAsia" w:hAnsi="Arial" w:cs="Arial"/>
          <w:b/>
          <w:sz w:val="24"/>
          <w:szCs w:val="24"/>
          <w:u w:color="A8D08D" w:themeColor="accent6" w:themeTint="99"/>
          <w:lang w:val="en-US"/>
        </w:rPr>
      </w:pPr>
      <w:bookmarkStart w:id="0" w:name="OLE_LINK3"/>
      <w:r w:rsidRPr="001D29F8">
        <w:rPr>
          <w:rFonts w:ascii="Arial" w:eastAsiaTheme="majorEastAsia" w:hAnsi="Arial" w:cs="Arial"/>
          <w:b/>
          <w:sz w:val="24"/>
          <w:szCs w:val="24"/>
          <w:u w:color="A8D08D" w:themeColor="accent6" w:themeTint="99"/>
          <w:lang w:val="en-US"/>
        </w:rPr>
        <w:t xml:space="preserve">Title: </w:t>
      </w:r>
      <w:r w:rsidR="00B02448" w:rsidRPr="001D29F8">
        <w:rPr>
          <w:rFonts w:ascii="Arial" w:eastAsiaTheme="majorEastAsia" w:hAnsi="Arial" w:cs="Arial"/>
          <w:b/>
          <w:sz w:val="24"/>
          <w:szCs w:val="24"/>
          <w:u w:color="A8D08D" w:themeColor="accent6" w:themeTint="99"/>
          <w:lang w:val="en-US"/>
        </w:rPr>
        <w:t xml:space="preserve">Sustained impact of </w:t>
      </w:r>
      <w:r w:rsidR="003B4F50" w:rsidRPr="001D29F8">
        <w:rPr>
          <w:rFonts w:ascii="Arial" w:eastAsiaTheme="majorEastAsia" w:hAnsi="Arial" w:cs="Arial"/>
          <w:b/>
          <w:sz w:val="24"/>
          <w:szCs w:val="24"/>
          <w:u w:color="A8D08D" w:themeColor="accent6" w:themeTint="99"/>
          <w:lang w:val="en-US"/>
        </w:rPr>
        <w:t xml:space="preserve">real-time continuous glucose monitoring </w:t>
      </w:r>
      <w:r w:rsidR="00B02448" w:rsidRPr="001D29F8">
        <w:rPr>
          <w:rFonts w:ascii="Arial" w:eastAsiaTheme="majorEastAsia" w:hAnsi="Arial" w:cs="Arial"/>
          <w:b/>
          <w:sz w:val="24"/>
          <w:szCs w:val="24"/>
          <w:u w:color="A8D08D" w:themeColor="accent6" w:themeTint="99"/>
          <w:lang w:val="en-US"/>
        </w:rPr>
        <w:t>in</w:t>
      </w:r>
      <w:r w:rsidR="003B4F50" w:rsidRPr="001D29F8">
        <w:rPr>
          <w:rFonts w:ascii="Arial" w:eastAsiaTheme="majorEastAsia" w:hAnsi="Arial" w:cs="Arial"/>
          <w:b/>
          <w:sz w:val="24"/>
          <w:szCs w:val="24"/>
          <w:u w:color="A8D08D" w:themeColor="accent6" w:themeTint="99"/>
          <w:lang w:val="en-US"/>
        </w:rPr>
        <w:t xml:space="preserve"> </w:t>
      </w:r>
      <w:r w:rsidR="00C83CE2" w:rsidRPr="00B731CC">
        <w:rPr>
          <w:rFonts w:ascii="Arial" w:eastAsiaTheme="majorEastAsia" w:hAnsi="Arial" w:cs="Arial"/>
          <w:b/>
          <w:sz w:val="24"/>
          <w:szCs w:val="24"/>
          <w:u w:color="A8D08D" w:themeColor="accent6" w:themeTint="99"/>
          <w:lang w:val="en-US"/>
        </w:rPr>
        <w:t>hypoglycemia-prone</w:t>
      </w:r>
      <w:r w:rsidR="00A56EE0" w:rsidRPr="001D29F8">
        <w:rPr>
          <w:rFonts w:ascii="Arial" w:eastAsiaTheme="majorEastAsia" w:hAnsi="Arial" w:cs="Arial"/>
          <w:b/>
          <w:sz w:val="24"/>
          <w:szCs w:val="24"/>
          <w:u w:color="A8D08D" w:themeColor="accent6" w:themeTint="99"/>
          <w:lang w:val="en-US"/>
        </w:rPr>
        <w:t xml:space="preserve"> </w:t>
      </w:r>
      <w:r w:rsidR="003B4F50" w:rsidRPr="001D29F8">
        <w:rPr>
          <w:rFonts w:ascii="Arial" w:eastAsiaTheme="majorEastAsia" w:hAnsi="Arial" w:cs="Arial"/>
          <w:b/>
          <w:sz w:val="24"/>
          <w:szCs w:val="24"/>
          <w:u w:color="A8D08D" w:themeColor="accent6" w:themeTint="99"/>
          <w:lang w:val="en-US"/>
        </w:rPr>
        <w:t xml:space="preserve">adults with type 1 diabetes on insulin pump therapy: </w:t>
      </w:r>
      <w:r w:rsidR="00E53E07" w:rsidRPr="001D29F8">
        <w:rPr>
          <w:rFonts w:ascii="Arial" w:eastAsiaTheme="majorEastAsia" w:hAnsi="Arial" w:cs="Arial"/>
          <w:b/>
          <w:sz w:val="24"/>
          <w:szCs w:val="24"/>
          <w:u w:color="A8D08D" w:themeColor="accent6" w:themeTint="99"/>
          <w:lang w:val="en-US"/>
        </w:rPr>
        <w:t>R</w:t>
      </w:r>
      <w:r w:rsidR="003B4F50" w:rsidRPr="001D29F8">
        <w:rPr>
          <w:rFonts w:ascii="Arial" w:eastAsiaTheme="majorEastAsia" w:hAnsi="Arial" w:cs="Arial"/>
          <w:b/>
          <w:sz w:val="24"/>
          <w:szCs w:val="24"/>
          <w:u w:color="A8D08D" w:themeColor="accent6" w:themeTint="99"/>
          <w:lang w:val="en-US"/>
        </w:rPr>
        <w:t>esults after 24 months RESCUE study</w:t>
      </w:r>
    </w:p>
    <w:bookmarkEnd w:id="0"/>
    <w:p w14:paraId="72828E0C" w14:textId="77777777" w:rsidR="00DB586F" w:rsidRPr="001D29F8" w:rsidRDefault="00EC4C81" w:rsidP="001D29F8">
      <w:pPr>
        <w:spacing w:line="480" w:lineRule="auto"/>
        <w:jc w:val="both"/>
        <w:rPr>
          <w:rFonts w:ascii="Arial" w:hAnsi="Arial" w:cs="Arial"/>
          <w:sz w:val="24"/>
          <w:szCs w:val="24"/>
          <w:lang w:val="en-US"/>
        </w:rPr>
      </w:pPr>
      <w:r w:rsidRPr="001D29F8">
        <w:rPr>
          <w:rFonts w:ascii="Arial" w:hAnsi="Arial" w:cs="Arial"/>
          <w:b/>
          <w:sz w:val="24"/>
          <w:szCs w:val="24"/>
          <w:lang w:val="en-US"/>
        </w:rPr>
        <w:t>Running</w:t>
      </w:r>
      <w:r w:rsidR="00C91AF6" w:rsidRPr="001D29F8">
        <w:rPr>
          <w:rFonts w:ascii="Arial" w:hAnsi="Arial" w:cs="Arial"/>
          <w:b/>
          <w:sz w:val="24"/>
          <w:szCs w:val="24"/>
          <w:lang w:val="en-US"/>
        </w:rPr>
        <w:t xml:space="preserve"> Title:</w:t>
      </w:r>
      <w:r w:rsidR="00C91AF6" w:rsidRPr="001D29F8">
        <w:rPr>
          <w:rFonts w:ascii="Arial" w:hAnsi="Arial" w:cs="Arial"/>
          <w:sz w:val="24"/>
          <w:szCs w:val="24"/>
          <w:lang w:val="en-US"/>
        </w:rPr>
        <w:t xml:space="preserve"> </w:t>
      </w:r>
      <w:r w:rsidR="00CF06A1" w:rsidRPr="001D29F8">
        <w:rPr>
          <w:rFonts w:ascii="Arial" w:hAnsi="Arial" w:cs="Arial"/>
          <w:sz w:val="24"/>
          <w:szCs w:val="24"/>
          <w:lang w:val="en-US"/>
        </w:rPr>
        <w:t>Long-term</w:t>
      </w:r>
      <w:r w:rsidR="00DB586F" w:rsidRPr="001D29F8">
        <w:rPr>
          <w:rFonts w:ascii="Arial" w:hAnsi="Arial" w:cs="Arial"/>
          <w:sz w:val="24"/>
          <w:szCs w:val="24"/>
          <w:lang w:val="en-US"/>
        </w:rPr>
        <w:t xml:space="preserve"> impact of </w:t>
      </w:r>
      <w:proofErr w:type="spellStart"/>
      <w:r w:rsidR="00E53E07" w:rsidRPr="001D29F8">
        <w:rPr>
          <w:rFonts w:ascii="Arial" w:hAnsi="Arial" w:cs="Arial"/>
          <w:sz w:val="24"/>
          <w:szCs w:val="24"/>
          <w:lang w:val="en-US"/>
        </w:rPr>
        <w:t>rt</w:t>
      </w:r>
      <w:r w:rsidR="00B02448" w:rsidRPr="001D29F8">
        <w:rPr>
          <w:rFonts w:ascii="Arial" w:hAnsi="Arial" w:cs="Arial"/>
          <w:sz w:val="24"/>
          <w:szCs w:val="24"/>
          <w:lang w:val="en-US"/>
        </w:rPr>
        <w:t>CGM</w:t>
      </w:r>
      <w:proofErr w:type="spellEnd"/>
    </w:p>
    <w:p w14:paraId="15904F15" w14:textId="77777777" w:rsidR="00FA7111" w:rsidRPr="001D29F8" w:rsidRDefault="00E72385" w:rsidP="001D29F8">
      <w:pPr>
        <w:spacing w:line="480" w:lineRule="auto"/>
        <w:jc w:val="both"/>
        <w:rPr>
          <w:rFonts w:ascii="Arial" w:hAnsi="Arial" w:cs="Arial"/>
          <w:sz w:val="24"/>
          <w:szCs w:val="24"/>
          <w:lang w:val="en-US"/>
        </w:rPr>
      </w:pPr>
      <w:r w:rsidRPr="001D29F8">
        <w:rPr>
          <w:rFonts w:ascii="Arial" w:hAnsi="Arial" w:cs="Arial"/>
          <w:sz w:val="24"/>
          <w:szCs w:val="24"/>
          <w:lang w:val="en-US"/>
        </w:rPr>
        <w:t>Sara Charleer</w:t>
      </w:r>
      <w:r w:rsidR="009F3FCE" w:rsidRPr="001D29F8">
        <w:rPr>
          <w:rFonts w:ascii="Arial" w:hAnsi="Arial" w:cs="Arial"/>
          <w:sz w:val="24"/>
          <w:szCs w:val="24"/>
          <w:lang w:val="en-US"/>
        </w:rPr>
        <w:t>, MSc,</w:t>
      </w:r>
      <w:r w:rsidR="004D40B4" w:rsidRPr="001D29F8">
        <w:rPr>
          <w:rFonts w:ascii="Arial" w:hAnsi="Arial" w:cs="Arial"/>
          <w:sz w:val="24"/>
          <w:szCs w:val="24"/>
          <w:vertAlign w:val="superscript"/>
          <w:lang w:val="en-US"/>
        </w:rPr>
        <w:t>1</w:t>
      </w:r>
      <w:r w:rsidRPr="001D29F8">
        <w:rPr>
          <w:rFonts w:ascii="Arial" w:hAnsi="Arial" w:cs="Arial"/>
          <w:sz w:val="24"/>
          <w:szCs w:val="24"/>
          <w:lang w:val="en-US"/>
        </w:rPr>
        <w:t xml:space="preserve"> </w:t>
      </w:r>
      <w:r w:rsidR="00A02DF0" w:rsidRPr="001D29F8">
        <w:rPr>
          <w:rFonts w:ascii="Arial" w:hAnsi="Arial" w:cs="Arial"/>
          <w:sz w:val="24"/>
          <w:szCs w:val="24"/>
          <w:lang w:val="en-US"/>
        </w:rPr>
        <w:t>Christophe De Block, MD,</w:t>
      </w:r>
      <w:r w:rsidR="001D2441">
        <w:rPr>
          <w:rFonts w:ascii="Arial" w:hAnsi="Arial" w:cs="Arial"/>
          <w:sz w:val="24"/>
          <w:szCs w:val="24"/>
          <w:shd w:val="clear" w:color="auto" w:fill="FFFFFF"/>
          <w:vertAlign w:val="superscript"/>
          <w:lang w:val="en-US"/>
        </w:rPr>
        <w:t>2</w:t>
      </w:r>
      <w:r w:rsidR="001D2441" w:rsidRPr="001D2441">
        <w:rPr>
          <w:rFonts w:ascii="Arial" w:hAnsi="Arial" w:cs="Arial"/>
          <w:sz w:val="24"/>
          <w:szCs w:val="24"/>
          <w:shd w:val="clear" w:color="auto" w:fill="FFFFFF"/>
          <w:lang w:val="en-US"/>
        </w:rPr>
        <w:t xml:space="preserve"> </w:t>
      </w:r>
      <w:r w:rsidR="001A7689" w:rsidRPr="001D29F8">
        <w:rPr>
          <w:rFonts w:ascii="Arial" w:hAnsi="Arial" w:cs="Arial"/>
          <w:sz w:val="24"/>
          <w:szCs w:val="24"/>
          <w:lang w:val="en-US"/>
        </w:rPr>
        <w:t xml:space="preserve">Frank </w:t>
      </w:r>
      <w:proofErr w:type="spellStart"/>
      <w:r w:rsidR="001A7689" w:rsidRPr="001D29F8">
        <w:rPr>
          <w:rFonts w:ascii="Arial" w:hAnsi="Arial" w:cs="Arial"/>
          <w:sz w:val="24"/>
          <w:szCs w:val="24"/>
          <w:lang w:val="en-US"/>
        </w:rPr>
        <w:t>Nobels</w:t>
      </w:r>
      <w:proofErr w:type="spellEnd"/>
      <w:r w:rsidR="009F3FCE" w:rsidRPr="001D29F8">
        <w:rPr>
          <w:rFonts w:ascii="Arial" w:hAnsi="Arial" w:cs="Arial"/>
          <w:sz w:val="24"/>
          <w:szCs w:val="24"/>
          <w:lang w:val="en-US"/>
        </w:rPr>
        <w:t>, MD,</w:t>
      </w:r>
      <w:r w:rsidR="001D2441">
        <w:rPr>
          <w:rFonts w:ascii="Arial" w:hAnsi="Arial" w:cs="Arial"/>
          <w:sz w:val="24"/>
          <w:szCs w:val="24"/>
          <w:shd w:val="clear" w:color="auto" w:fill="FFFFFF"/>
          <w:vertAlign w:val="superscript"/>
          <w:lang w:val="en-US"/>
        </w:rPr>
        <w:t>3</w:t>
      </w:r>
      <w:r w:rsidR="001A7689" w:rsidRPr="001D29F8">
        <w:rPr>
          <w:rFonts w:ascii="Arial" w:hAnsi="Arial" w:cs="Arial"/>
          <w:sz w:val="24"/>
          <w:szCs w:val="24"/>
          <w:lang w:val="en-US"/>
        </w:rPr>
        <w:t xml:space="preserve"> </w:t>
      </w:r>
      <w:proofErr w:type="spellStart"/>
      <w:r w:rsidR="001A7689" w:rsidRPr="001D29F8">
        <w:rPr>
          <w:rFonts w:ascii="Arial" w:hAnsi="Arial" w:cs="Arial"/>
          <w:sz w:val="24"/>
          <w:szCs w:val="24"/>
          <w:lang w:val="en-US"/>
        </w:rPr>
        <w:t>R</w:t>
      </w:r>
      <w:r w:rsidR="006943B8" w:rsidRPr="001D29F8">
        <w:rPr>
          <w:rFonts w:ascii="Arial" w:hAnsi="Arial" w:cs="Arial"/>
          <w:sz w:val="24"/>
          <w:szCs w:val="24"/>
          <w:lang w:val="en-US"/>
        </w:rPr>
        <w:t>é</w:t>
      </w:r>
      <w:r w:rsidR="001A7689" w:rsidRPr="001D29F8">
        <w:rPr>
          <w:rFonts w:ascii="Arial" w:hAnsi="Arial" w:cs="Arial"/>
          <w:sz w:val="24"/>
          <w:szCs w:val="24"/>
          <w:lang w:val="en-US"/>
        </w:rPr>
        <w:t>gis</w:t>
      </w:r>
      <w:proofErr w:type="spellEnd"/>
      <w:r w:rsidR="001A7689" w:rsidRPr="001D29F8">
        <w:rPr>
          <w:rFonts w:ascii="Arial" w:hAnsi="Arial" w:cs="Arial"/>
          <w:sz w:val="24"/>
          <w:szCs w:val="24"/>
          <w:lang w:val="en-US"/>
        </w:rPr>
        <w:t xml:space="preserve"> </w:t>
      </w:r>
      <w:r w:rsidR="00221B23" w:rsidRPr="001D29F8">
        <w:rPr>
          <w:rFonts w:ascii="Arial" w:hAnsi="Arial" w:cs="Arial"/>
          <w:sz w:val="24"/>
          <w:szCs w:val="24"/>
          <w:lang w:val="en-US"/>
        </w:rPr>
        <w:t xml:space="preserve">P. </w:t>
      </w:r>
      <w:r w:rsidR="001A7689" w:rsidRPr="001D29F8">
        <w:rPr>
          <w:rFonts w:ascii="Arial" w:hAnsi="Arial" w:cs="Arial"/>
          <w:sz w:val="24"/>
          <w:szCs w:val="24"/>
          <w:lang w:val="en-US"/>
        </w:rPr>
        <w:t>Radermecker</w:t>
      </w:r>
      <w:r w:rsidR="009F3FCE" w:rsidRPr="001D29F8">
        <w:rPr>
          <w:rFonts w:ascii="Arial" w:hAnsi="Arial" w:cs="Arial"/>
          <w:sz w:val="24"/>
          <w:szCs w:val="24"/>
          <w:lang w:val="en-US"/>
        </w:rPr>
        <w:t>, MD,</w:t>
      </w:r>
      <w:r w:rsidR="00455DA0" w:rsidRPr="001D29F8">
        <w:rPr>
          <w:rFonts w:ascii="Arial" w:hAnsi="Arial" w:cs="Arial"/>
          <w:sz w:val="24"/>
          <w:szCs w:val="24"/>
          <w:shd w:val="clear" w:color="auto" w:fill="FFFFFF"/>
          <w:vertAlign w:val="superscript"/>
          <w:lang w:val="en-US"/>
        </w:rPr>
        <w:t>4</w:t>
      </w:r>
      <w:r w:rsidR="001A7689" w:rsidRPr="001D29F8">
        <w:rPr>
          <w:rFonts w:ascii="Arial" w:hAnsi="Arial" w:cs="Arial"/>
          <w:sz w:val="24"/>
          <w:szCs w:val="24"/>
          <w:lang w:val="en-US"/>
        </w:rPr>
        <w:t xml:space="preserve"> </w:t>
      </w:r>
      <w:r w:rsidR="00B168A5" w:rsidRPr="001D29F8">
        <w:rPr>
          <w:rFonts w:ascii="Arial" w:hAnsi="Arial" w:cs="Arial"/>
          <w:sz w:val="24"/>
          <w:szCs w:val="24"/>
          <w:lang w:val="en-US"/>
        </w:rPr>
        <w:t xml:space="preserve">Ine </w:t>
      </w:r>
      <w:proofErr w:type="spellStart"/>
      <w:r w:rsidR="00B168A5" w:rsidRPr="001D29F8">
        <w:rPr>
          <w:rFonts w:ascii="Arial" w:hAnsi="Arial" w:cs="Arial"/>
          <w:sz w:val="24"/>
          <w:szCs w:val="24"/>
          <w:lang w:val="en-US"/>
        </w:rPr>
        <w:t>Lowyck</w:t>
      </w:r>
      <w:proofErr w:type="spellEnd"/>
      <w:r w:rsidR="009F3FCE" w:rsidRPr="001D29F8">
        <w:rPr>
          <w:rFonts w:ascii="Arial" w:hAnsi="Arial" w:cs="Arial"/>
          <w:sz w:val="24"/>
          <w:szCs w:val="24"/>
          <w:lang w:val="en-US"/>
        </w:rPr>
        <w:t>, MD,</w:t>
      </w:r>
      <w:r w:rsidR="00B168A5" w:rsidRPr="001D29F8">
        <w:rPr>
          <w:rFonts w:ascii="Arial" w:hAnsi="Arial" w:cs="Arial"/>
          <w:sz w:val="24"/>
          <w:szCs w:val="24"/>
          <w:vertAlign w:val="superscript"/>
          <w:lang w:val="en-US"/>
        </w:rPr>
        <w:t>5</w:t>
      </w:r>
      <w:r w:rsidR="00B168A5" w:rsidRPr="001D29F8">
        <w:rPr>
          <w:rFonts w:ascii="Arial" w:hAnsi="Arial" w:cs="Arial"/>
          <w:sz w:val="24"/>
          <w:szCs w:val="24"/>
          <w:lang w:val="en-US"/>
        </w:rPr>
        <w:t xml:space="preserve"> Annelies </w:t>
      </w:r>
      <w:proofErr w:type="spellStart"/>
      <w:r w:rsidR="00B168A5" w:rsidRPr="001D29F8">
        <w:rPr>
          <w:rFonts w:ascii="Arial" w:hAnsi="Arial" w:cs="Arial"/>
          <w:sz w:val="24"/>
          <w:szCs w:val="24"/>
          <w:lang w:val="en-US"/>
        </w:rPr>
        <w:t>Mullens</w:t>
      </w:r>
      <w:proofErr w:type="spellEnd"/>
      <w:r w:rsidR="009F3FCE" w:rsidRPr="001D29F8">
        <w:rPr>
          <w:rFonts w:ascii="Arial" w:hAnsi="Arial" w:cs="Arial"/>
          <w:sz w:val="24"/>
          <w:szCs w:val="24"/>
          <w:lang w:val="en-US"/>
        </w:rPr>
        <w:t>, MD,</w:t>
      </w:r>
      <w:r w:rsidR="00B168A5" w:rsidRPr="001D29F8">
        <w:rPr>
          <w:rFonts w:ascii="Arial" w:hAnsi="Arial" w:cs="Arial"/>
          <w:sz w:val="24"/>
          <w:szCs w:val="24"/>
          <w:vertAlign w:val="superscript"/>
          <w:lang w:val="en-US"/>
        </w:rPr>
        <w:t>6</w:t>
      </w:r>
      <w:r w:rsidR="00B168A5" w:rsidRPr="001D29F8">
        <w:rPr>
          <w:rFonts w:ascii="Arial" w:hAnsi="Arial" w:cs="Arial"/>
          <w:sz w:val="24"/>
          <w:szCs w:val="24"/>
          <w:lang w:val="en-US"/>
        </w:rPr>
        <w:t xml:space="preserve"> Denis </w:t>
      </w:r>
      <w:proofErr w:type="spellStart"/>
      <w:r w:rsidR="00B168A5" w:rsidRPr="001D29F8">
        <w:rPr>
          <w:rFonts w:ascii="Arial" w:hAnsi="Arial" w:cs="Arial"/>
          <w:sz w:val="24"/>
          <w:szCs w:val="24"/>
          <w:lang w:val="en-US"/>
        </w:rPr>
        <w:t>Scarnière</w:t>
      </w:r>
      <w:proofErr w:type="spellEnd"/>
      <w:r w:rsidR="009F3FCE" w:rsidRPr="001D29F8">
        <w:rPr>
          <w:rFonts w:ascii="Arial" w:hAnsi="Arial" w:cs="Arial"/>
          <w:sz w:val="24"/>
          <w:szCs w:val="24"/>
          <w:lang w:val="en-US"/>
        </w:rPr>
        <w:t>, MD,</w:t>
      </w:r>
      <w:r w:rsidR="00B168A5" w:rsidRPr="001D29F8">
        <w:rPr>
          <w:rFonts w:ascii="Arial" w:hAnsi="Arial" w:cs="Arial"/>
          <w:sz w:val="24"/>
          <w:szCs w:val="24"/>
          <w:vertAlign w:val="superscript"/>
          <w:lang w:val="en-US"/>
        </w:rPr>
        <w:t>7</w:t>
      </w:r>
      <w:r w:rsidR="00B168A5" w:rsidRPr="001D29F8">
        <w:rPr>
          <w:rFonts w:ascii="Arial" w:hAnsi="Arial" w:cs="Arial"/>
          <w:sz w:val="24"/>
          <w:szCs w:val="24"/>
          <w:lang w:val="en-US"/>
        </w:rPr>
        <w:t xml:space="preserve"> Katrien </w:t>
      </w:r>
      <w:proofErr w:type="spellStart"/>
      <w:r w:rsidR="00B168A5" w:rsidRPr="001D29F8">
        <w:rPr>
          <w:rFonts w:ascii="Arial" w:hAnsi="Arial" w:cs="Arial"/>
          <w:sz w:val="24"/>
          <w:szCs w:val="24"/>
          <w:lang w:val="en-US"/>
        </w:rPr>
        <w:t>Spincemaille</w:t>
      </w:r>
      <w:proofErr w:type="spellEnd"/>
      <w:r w:rsidR="009F3FCE" w:rsidRPr="001D29F8">
        <w:rPr>
          <w:rFonts w:ascii="Arial" w:hAnsi="Arial" w:cs="Arial"/>
          <w:sz w:val="24"/>
          <w:szCs w:val="24"/>
          <w:lang w:val="en-US"/>
        </w:rPr>
        <w:t>, MD,</w:t>
      </w:r>
      <w:r w:rsidR="00B168A5" w:rsidRPr="001D29F8">
        <w:rPr>
          <w:rFonts w:ascii="Arial" w:hAnsi="Arial" w:cs="Arial"/>
          <w:sz w:val="24"/>
          <w:szCs w:val="24"/>
          <w:vertAlign w:val="superscript"/>
          <w:lang w:val="en-US"/>
        </w:rPr>
        <w:t>8</w:t>
      </w:r>
      <w:r w:rsidR="00B168A5" w:rsidRPr="001D29F8">
        <w:rPr>
          <w:rFonts w:ascii="Arial" w:hAnsi="Arial" w:cs="Arial"/>
          <w:sz w:val="24"/>
          <w:szCs w:val="24"/>
          <w:lang w:val="en-US"/>
        </w:rPr>
        <w:t xml:space="preserve"> Marie </w:t>
      </w:r>
      <w:proofErr w:type="spellStart"/>
      <w:r w:rsidR="00B168A5" w:rsidRPr="001D29F8">
        <w:rPr>
          <w:rFonts w:ascii="Arial" w:hAnsi="Arial" w:cs="Arial"/>
          <w:sz w:val="24"/>
          <w:szCs w:val="24"/>
          <w:lang w:val="en-US"/>
        </w:rPr>
        <w:t>Strivay</w:t>
      </w:r>
      <w:proofErr w:type="spellEnd"/>
      <w:r w:rsidR="009F3FCE" w:rsidRPr="001D29F8">
        <w:rPr>
          <w:rFonts w:ascii="Arial" w:hAnsi="Arial" w:cs="Arial"/>
          <w:sz w:val="24"/>
          <w:szCs w:val="24"/>
          <w:lang w:val="en-US"/>
        </w:rPr>
        <w:t>, MD,</w:t>
      </w:r>
      <w:r w:rsidR="00B168A5" w:rsidRPr="001D29F8">
        <w:rPr>
          <w:rFonts w:ascii="Arial" w:hAnsi="Arial" w:cs="Arial"/>
          <w:sz w:val="24"/>
          <w:szCs w:val="24"/>
          <w:vertAlign w:val="superscript"/>
          <w:lang w:val="en-US"/>
        </w:rPr>
        <w:t>9</w:t>
      </w:r>
      <w:r w:rsidR="00B168A5" w:rsidRPr="001D29F8">
        <w:rPr>
          <w:rFonts w:ascii="Arial" w:hAnsi="Arial" w:cs="Arial"/>
          <w:sz w:val="24"/>
          <w:szCs w:val="24"/>
          <w:lang w:val="en-US"/>
        </w:rPr>
        <w:t xml:space="preserve"> Eric Weber</w:t>
      </w:r>
      <w:r w:rsidR="009F3FCE" w:rsidRPr="001D29F8">
        <w:rPr>
          <w:rFonts w:ascii="Arial" w:hAnsi="Arial" w:cs="Arial"/>
          <w:sz w:val="24"/>
          <w:szCs w:val="24"/>
          <w:lang w:val="en-US"/>
        </w:rPr>
        <w:t>, MD,</w:t>
      </w:r>
      <w:r w:rsidR="00B168A5" w:rsidRPr="001D29F8">
        <w:rPr>
          <w:rFonts w:ascii="Arial" w:hAnsi="Arial" w:cs="Arial"/>
          <w:sz w:val="24"/>
          <w:szCs w:val="24"/>
          <w:vertAlign w:val="superscript"/>
          <w:lang w:val="en-US"/>
        </w:rPr>
        <w:t>10</w:t>
      </w:r>
      <w:r w:rsidR="00B168A5" w:rsidRPr="001D29F8">
        <w:rPr>
          <w:rFonts w:ascii="Arial" w:hAnsi="Arial" w:cs="Arial"/>
          <w:sz w:val="24"/>
          <w:szCs w:val="24"/>
          <w:lang w:val="en-US"/>
        </w:rPr>
        <w:t xml:space="preserve"> </w:t>
      </w:r>
      <w:r w:rsidR="00FC20BD" w:rsidRPr="001D29F8">
        <w:rPr>
          <w:rFonts w:ascii="Arial" w:hAnsi="Arial" w:cs="Arial"/>
          <w:sz w:val="24"/>
          <w:szCs w:val="24"/>
          <w:lang w:val="en-US"/>
        </w:rPr>
        <w:t>Youri Taes</w:t>
      </w:r>
      <w:r w:rsidR="009F3FCE" w:rsidRPr="001D29F8">
        <w:rPr>
          <w:rFonts w:ascii="Arial" w:hAnsi="Arial" w:cs="Arial"/>
          <w:sz w:val="24"/>
          <w:szCs w:val="24"/>
          <w:lang w:val="en-US"/>
        </w:rPr>
        <w:t>, MD,</w:t>
      </w:r>
      <w:r w:rsidR="00B168A5" w:rsidRPr="001D29F8">
        <w:rPr>
          <w:rFonts w:ascii="Arial" w:hAnsi="Arial" w:cs="Arial"/>
          <w:sz w:val="24"/>
          <w:szCs w:val="24"/>
          <w:shd w:val="clear" w:color="auto" w:fill="FFFFFF"/>
          <w:vertAlign w:val="superscript"/>
          <w:lang w:val="en-US"/>
        </w:rPr>
        <w:t>11</w:t>
      </w:r>
      <w:r w:rsidR="00F431F9" w:rsidRPr="001D29F8">
        <w:rPr>
          <w:rFonts w:ascii="Arial" w:hAnsi="Arial" w:cs="Arial"/>
          <w:sz w:val="24"/>
          <w:szCs w:val="24"/>
          <w:lang w:val="en-US"/>
        </w:rPr>
        <w:t xml:space="preserve"> </w:t>
      </w:r>
      <w:r w:rsidR="00762710" w:rsidRPr="001D29F8">
        <w:rPr>
          <w:rFonts w:ascii="Arial" w:hAnsi="Arial" w:cs="Arial"/>
          <w:sz w:val="24"/>
          <w:szCs w:val="24"/>
          <w:lang w:val="en-US"/>
        </w:rPr>
        <w:t>Chris Vercammen</w:t>
      </w:r>
      <w:r w:rsidR="009F3FCE" w:rsidRPr="001D29F8">
        <w:rPr>
          <w:rFonts w:ascii="Arial" w:hAnsi="Arial" w:cs="Arial"/>
          <w:sz w:val="24"/>
          <w:szCs w:val="24"/>
          <w:lang w:val="en-US"/>
        </w:rPr>
        <w:t>, MD,</w:t>
      </w:r>
      <w:r w:rsidR="00B168A5" w:rsidRPr="001D29F8">
        <w:rPr>
          <w:rFonts w:ascii="Arial" w:hAnsi="Arial" w:cs="Arial"/>
          <w:sz w:val="24"/>
          <w:szCs w:val="24"/>
          <w:vertAlign w:val="superscript"/>
          <w:lang w:val="en-US"/>
        </w:rPr>
        <w:t>12</w:t>
      </w:r>
      <w:r w:rsidR="00762710" w:rsidRPr="001D29F8">
        <w:rPr>
          <w:rFonts w:ascii="Arial" w:hAnsi="Arial" w:cs="Arial"/>
          <w:sz w:val="24"/>
          <w:szCs w:val="24"/>
          <w:lang w:val="en-US"/>
        </w:rPr>
        <w:t xml:space="preserve"> </w:t>
      </w:r>
      <w:r w:rsidR="001A7689" w:rsidRPr="001D29F8">
        <w:rPr>
          <w:rFonts w:ascii="Arial" w:hAnsi="Arial" w:cs="Arial"/>
          <w:sz w:val="24"/>
          <w:szCs w:val="24"/>
          <w:lang w:val="en-US"/>
        </w:rPr>
        <w:t>Bart Keymeulen</w:t>
      </w:r>
      <w:r w:rsidR="009F3FCE" w:rsidRPr="001D29F8">
        <w:rPr>
          <w:rFonts w:ascii="Arial" w:hAnsi="Arial" w:cs="Arial"/>
          <w:sz w:val="24"/>
          <w:szCs w:val="24"/>
          <w:lang w:val="en-US"/>
        </w:rPr>
        <w:t>, MD,</w:t>
      </w:r>
      <w:r w:rsidR="00B168A5" w:rsidRPr="001D29F8">
        <w:rPr>
          <w:rFonts w:ascii="Arial" w:hAnsi="Arial" w:cs="Arial"/>
          <w:sz w:val="24"/>
          <w:szCs w:val="24"/>
          <w:shd w:val="clear" w:color="auto" w:fill="FFFFFF"/>
          <w:vertAlign w:val="superscript"/>
          <w:lang w:val="en-US"/>
        </w:rPr>
        <w:t>13</w:t>
      </w:r>
      <w:r w:rsidR="001A7689" w:rsidRPr="001D29F8">
        <w:rPr>
          <w:rFonts w:ascii="Arial" w:hAnsi="Arial" w:cs="Arial"/>
          <w:sz w:val="24"/>
          <w:szCs w:val="24"/>
          <w:lang w:val="en-US"/>
        </w:rPr>
        <w:t xml:space="preserve"> </w:t>
      </w:r>
      <w:r w:rsidR="00A02DF0" w:rsidRPr="001D29F8">
        <w:rPr>
          <w:rFonts w:ascii="Arial" w:hAnsi="Arial" w:cs="Arial"/>
          <w:sz w:val="24"/>
          <w:szCs w:val="24"/>
          <w:lang w:val="en-US"/>
        </w:rPr>
        <w:t>Chantal Mathieu, MD,</w:t>
      </w:r>
      <w:r w:rsidR="00A02DF0" w:rsidRPr="001D29F8">
        <w:rPr>
          <w:rFonts w:ascii="Arial" w:hAnsi="Arial" w:cs="Arial"/>
          <w:sz w:val="24"/>
          <w:szCs w:val="24"/>
          <w:vertAlign w:val="superscript"/>
          <w:lang w:val="en-US"/>
        </w:rPr>
        <w:t>1</w:t>
      </w:r>
      <w:r w:rsidR="00A02DF0" w:rsidRPr="001D29F8">
        <w:rPr>
          <w:rFonts w:ascii="Arial" w:hAnsi="Arial" w:cs="Arial"/>
          <w:sz w:val="24"/>
          <w:szCs w:val="24"/>
          <w:lang w:val="en-US"/>
        </w:rPr>
        <w:t xml:space="preserve"> </w:t>
      </w:r>
      <w:r w:rsidRPr="001D29F8">
        <w:rPr>
          <w:rFonts w:ascii="Arial" w:hAnsi="Arial" w:cs="Arial"/>
          <w:sz w:val="24"/>
          <w:szCs w:val="24"/>
          <w:lang w:val="en-US"/>
        </w:rPr>
        <w:t>Pieter Gillard</w:t>
      </w:r>
      <w:r w:rsidR="009F3FCE" w:rsidRPr="001D29F8">
        <w:rPr>
          <w:rFonts w:ascii="Arial" w:hAnsi="Arial" w:cs="Arial"/>
          <w:sz w:val="24"/>
          <w:szCs w:val="24"/>
          <w:lang w:val="en-US"/>
        </w:rPr>
        <w:t>, MD,</w:t>
      </w:r>
      <w:r w:rsidR="004D40B4" w:rsidRPr="001D29F8">
        <w:rPr>
          <w:rFonts w:ascii="Arial" w:hAnsi="Arial" w:cs="Arial"/>
          <w:sz w:val="24"/>
          <w:szCs w:val="24"/>
          <w:vertAlign w:val="superscript"/>
          <w:lang w:val="en-US"/>
        </w:rPr>
        <w:t>1</w:t>
      </w:r>
      <w:r w:rsidR="00660933" w:rsidRPr="001D29F8">
        <w:rPr>
          <w:rFonts w:ascii="Arial" w:hAnsi="Arial" w:cs="Arial"/>
          <w:sz w:val="24"/>
          <w:szCs w:val="24"/>
          <w:lang w:val="en-US"/>
        </w:rPr>
        <w:t xml:space="preserve"> for the RESCUE trial investigators*</w:t>
      </w:r>
    </w:p>
    <w:p w14:paraId="5C36A1AF" w14:textId="77777777" w:rsidR="001120D8" w:rsidRPr="001D29F8" w:rsidRDefault="001120D8" w:rsidP="001D29F8">
      <w:pPr>
        <w:spacing w:after="0" w:line="480" w:lineRule="auto"/>
        <w:jc w:val="both"/>
        <w:rPr>
          <w:rFonts w:ascii="Arial" w:hAnsi="Arial" w:cs="Arial"/>
          <w:sz w:val="24"/>
          <w:szCs w:val="24"/>
          <w:shd w:val="clear" w:color="auto" w:fill="FFFFFF"/>
          <w:lang w:val="en-US"/>
        </w:rPr>
      </w:pPr>
      <w:r w:rsidRPr="001D29F8">
        <w:rPr>
          <w:rFonts w:ascii="Arial" w:hAnsi="Arial" w:cs="Arial"/>
          <w:sz w:val="24"/>
          <w:szCs w:val="24"/>
          <w:vertAlign w:val="superscript"/>
          <w:lang w:val="en-US"/>
        </w:rPr>
        <w:t>1</w:t>
      </w:r>
      <w:r w:rsidR="00B43104" w:rsidRPr="001D29F8">
        <w:rPr>
          <w:rFonts w:ascii="Arial" w:hAnsi="Arial" w:cs="Arial"/>
          <w:sz w:val="24"/>
          <w:szCs w:val="24"/>
          <w:lang w:val="en-US"/>
        </w:rPr>
        <w:t xml:space="preserve">Department of Endocrinology, </w:t>
      </w:r>
      <w:r w:rsidRPr="001D29F8">
        <w:rPr>
          <w:rFonts w:ascii="Arial" w:hAnsi="Arial" w:cs="Arial"/>
          <w:sz w:val="24"/>
          <w:szCs w:val="24"/>
          <w:lang w:val="en-US"/>
        </w:rPr>
        <w:t>University Hospitals Leuven</w:t>
      </w:r>
      <w:r w:rsidR="00B43104" w:rsidRPr="001D29F8">
        <w:rPr>
          <w:rFonts w:ascii="Arial" w:hAnsi="Arial" w:cs="Arial"/>
          <w:sz w:val="24"/>
          <w:szCs w:val="24"/>
          <w:lang w:val="en-US"/>
        </w:rPr>
        <w:t xml:space="preserve"> –</w:t>
      </w:r>
      <w:r w:rsidRPr="001D29F8">
        <w:rPr>
          <w:rFonts w:ascii="Arial" w:hAnsi="Arial" w:cs="Arial"/>
          <w:sz w:val="24"/>
          <w:szCs w:val="24"/>
          <w:shd w:val="clear" w:color="auto" w:fill="FFFFFF"/>
          <w:lang w:val="en-US"/>
        </w:rPr>
        <w:t xml:space="preserve"> </w:t>
      </w:r>
      <w:r w:rsidR="001A7689" w:rsidRPr="001D29F8">
        <w:rPr>
          <w:rFonts w:ascii="Arial" w:hAnsi="Arial" w:cs="Arial"/>
          <w:sz w:val="24"/>
          <w:szCs w:val="24"/>
          <w:lang w:val="en-US"/>
        </w:rPr>
        <w:t>KU</w:t>
      </w:r>
      <w:r w:rsidR="00B43104" w:rsidRPr="001D29F8">
        <w:rPr>
          <w:rFonts w:ascii="Arial" w:hAnsi="Arial" w:cs="Arial"/>
          <w:sz w:val="24"/>
          <w:szCs w:val="24"/>
          <w:lang w:val="en-US"/>
        </w:rPr>
        <w:t xml:space="preserve"> </w:t>
      </w:r>
      <w:r w:rsidRPr="001D29F8">
        <w:rPr>
          <w:rFonts w:ascii="Arial" w:hAnsi="Arial" w:cs="Arial"/>
          <w:sz w:val="24"/>
          <w:szCs w:val="24"/>
          <w:shd w:val="clear" w:color="auto" w:fill="FFFFFF"/>
          <w:lang w:val="en-US"/>
        </w:rPr>
        <w:t xml:space="preserve">Leuven, </w:t>
      </w:r>
      <w:r w:rsidR="001A7689" w:rsidRPr="001D29F8">
        <w:rPr>
          <w:rFonts w:ascii="Arial" w:hAnsi="Arial" w:cs="Arial"/>
          <w:sz w:val="24"/>
          <w:szCs w:val="24"/>
          <w:shd w:val="clear" w:color="auto" w:fill="FFFFFF"/>
          <w:lang w:val="en-US"/>
        </w:rPr>
        <w:t xml:space="preserve">Leuven, </w:t>
      </w:r>
      <w:r w:rsidRPr="001D29F8">
        <w:rPr>
          <w:rFonts w:ascii="Arial" w:hAnsi="Arial" w:cs="Arial"/>
          <w:sz w:val="24"/>
          <w:szCs w:val="24"/>
          <w:shd w:val="clear" w:color="auto" w:fill="FFFFFF"/>
          <w:lang w:val="en-US"/>
        </w:rPr>
        <w:t>Belgium.</w:t>
      </w:r>
    </w:p>
    <w:p w14:paraId="36E5943C" w14:textId="77777777" w:rsidR="00E81FA7" w:rsidRPr="001D29F8" w:rsidRDefault="00455DA0" w:rsidP="001D29F8">
      <w:pPr>
        <w:spacing w:after="0" w:line="480" w:lineRule="auto"/>
        <w:jc w:val="both"/>
        <w:rPr>
          <w:rFonts w:ascii="Arial" w:hAnsi="Arial" w:cs="Arial"/>
          <w:color w:val="000000" w:themeColor="text1"/>
          <w:sz w:val="24"/>
          <w:szCs w:val="24"/>
          <w:lang w:val="en-US"/>
        </w:rPr>
      </w:pPr>
      <w:r w:rsidRPr="001D29F8">
        <w:rPr>
          <w:rFonts w:ascii="Arial" w:hAnsi="Arial" w:cs="Arial"/>
          <w:color w:val="000000" w:themeColor="text1"/>
          <w:sz w:val="24"/>
          <w:szCs w:val="24"/>
          <w:vertAlign w:val="superscript"/>
          <w:lang w:val="en-US"/>
        </w:rPr>
        <w:t>2</w:t>
      </w:r>
      <w:r w:rsidR="001D2441" w:rsidRPr="001D29F8">
        <w:rPr>
          <w:rFonts w:ascii="Arial" w:hAnsi="Arial" w:cs="Arial"/>
          <w:color w:val="000000" w:themeColor="text1"/>
          <w:sz w:val="24"/>
          <w:szCs w:val="24"/>
          <w:lang w:val="en-US"/>
        </w:rPr>
        <w:t xml:space="preserve">Department of Endocrinology, </w:t>
      </w:r>
      <w:proofErr w:type="spellStart"/>
      <w:r w:rsidR="001D2441" w:rsidRPr="001D29F8">
        <w:rPr>
          <w:rFonts w:ascii="Arial" w:hAnsi="Arial" w:cs="Arial"/>
          <w:color w:val="000000" w:themeColor="text1"/>
          <w:sz w:val="24"/>
          <w:szCs w:val="24"/>
          <w:lang w:val="en-US"/>
        </w:rPr>
        <w:t>Diabetology</w:t>
      </w:r>
      <w:proofErr w:type="spellEnd"/>
      <w:r w:rsidR="001D2441" w:rsidRPr="001D29F8">
        <w:rPr>
          <w:rFonts w:ascii="Arial" w:hAnsi="Arial" w:cs="Arial"/>
          <w:color w:val="000000" w:themeColor="text1"/>
          <w:sz w:val="24"/>
          <w:szCs w:val="24"/>
          <w:lang w:val="en-US"/>
        </w:rPr>
        <w:t xml:space="preserve"> &amp; Metabolism, University of Antwerp – Antwerp Univers</w:t>
      </w:r>
      <w:r w:rsidR="001D2441">
        <w:rPr>
          <w:rFonts w:ascii="Arial" w:hAnsi="Arial" w:cs="Arial"/>
          <w:color w:val="000000" w:themeColor="text1"/>
          <w:sz w:val="24"/>
          <w:szCs w:val="24"/>
          <w:lang w:val="en-US"/>
        </w:rPr>
        <w:t>ity Hospital, Antwerp, Belgium.</w:t>
      </w:r>
    </w:p>
    <w:p w14:paraId="20749D96" w14:textId="77777777" w:rsidR="001D2441" w:rsidRDefault="00455DA0" w:rsidP="001D29F8">
      <w:pPr>
        <w:spacing w:after="0" w:line="480" w:lineRule="auto"/>
        <w:jc w:val="both"/>
        <w:rPr>
          <w:rFonts w:ascii="Arial" w:hAnsi="Arial" w:cs="Arial"/>
          <w:color w:val="000000" w:themeColor="text1"/>
          <w:sz w:val="24"/>
          <w:szCs w:val="24"/>
          <w:vertAlign w:val="superscript"/>
          <w:lang w:val="en-US"/>
        </w:rPr>
      </w:pPr>
      <w:r w:rsidRPr="001D29F8">
        <w:rPr>
          <w:rFonts w:ascii="Arial" w:hAnsi="Arial" w:cs="Arial"/>
          <w:color w:val="000000" w:themeColor="text1"/>
          <w:sz w:val="24"/>
          <w:szCs w:val="24"/>
          <w:vertAlign w:val="superscript"/>
          <w:lang w:val="en-US"/>
        </w:rPr>
        <w:t>3</w:t>
      </w:r>
      <w:r w:rsidR="001D2441" w:rsidRPr="001D29F8">
        <w:rPr>
          <w:rFonts w:ascii="Arial" w:hAnsi="Arial" w:cs="Arial"/>
          <w:color w:val="000000" w:themeColor="text1"/>
          <w:sz w:val="24"/>
          <w:szCs w:val="24"/>
          <w:lang w:val="en-US"/>
        </w:rPr>
        <w:t>Department of Endocrinology, OLV Hospital Aalst, Aalst, Belgium.</w:t>
      </w:r>
    </w:p>
    <w:p w14:paraId="34CE4A86" w14:textId="77777777" w:rsidR="00722694" w:rsidRPr="001D29F8" w:rsidRDefault="00455DA0" w:rsidP="001D29F8">
      <w:pPr>
        <w:spacing w:after="0" w:line="480" w:lineRule="auto"/>
        <w:jc w:val="both"/>
        <w:rPr>
          <w:rFonts w:ascii="Arial" w:hAnsi="Arial" w:cs="Arial"/>
          <w:color w:val="000000" w:themeColor="text1"/>
          <w:sz w:val="24"/>
          <w:szCs w:val="24"/>
          <w:lang w:val="en-US"/>
        </w:rPr>
      </w:pPr>
      <w:r w:rsidRPr="001D29F8">
        <w:rPr>
          <w:rFonts w:ascii="Arial" w:hAnsi="Arial" w:cs="Arial"/>
          <w:color w:val="000000" w:themeColor="text1"/>
          <w:sz w:val="24"/>
          <w:szCs w:val="24"/>
          <w:vertAlign w:val="superscript"/>
          <w:lang w:val="en-US"/>
        </w:rPr>
        <w:t>4</w:t>
      </w:r>
      <w:r w:rsidR="00722694" w:rsidRPr="001D29F8">
        <w:rPr>
          <w:rFonts w:ascii="Arial" w:hAnsi="Arial" w:cs="Arial"/>
          <w:color w:val="000000" w:themeColor="text1"/>
          <w:sz w:val="24"/>
          <w:szCs w:val="24"/>
          <w:lang w:val="en-US"/>
        </w:rPr>
        <w:t xml:space="preserve">Department of </w:t>
      </w:r>
      <w:r w:rsidR="00221B23" w:rsidRPr="001D29F8">
        <w:rPr>
          <w:rFonts w:ascii="Arial" w:hAnsi="Arial" w:cs="Arial"/>
          <w:color w:val="000000" w:themeColor="text1"/>
          <w:sz w:val="24"/>
          <w:szCs w:val="24"/>
          <w:lang w:val="en-US"/>
        </w:rPr>
        <w:t>Diabetes, Nutrition &amp; Metabolic disorders, CHU Liege – Liege University, Liege, Belgium.</w:t>
      </w:r>
    </w:p>
    <w:p w14:paraId="690DD802" w14:textId="77777777" w:rsidR="00B168A5" w:rsidRPr="001D29F8" w:rsidRDefault="00455DA0" w:rsidP="001D29F8">
      <w:pPr>
        <w:spacing w:after="0" w:line="480" w:lineRule="auto"/>
        <w:jc w:val="both"/>
        <w:rPr>
          <w:rFonts w:ascii="Arial" w:hAnsi="Arial" w:cs="Arial"/>
          <w:color w:val="000000" w:themeColor="text1"/>
          <w:sz w:val="24"/>
          <w:szCs w:val="24"/>
          <w:shd w:val="clear" w:color="auto" w:fill="FFFFFF"/>
        </w:rPr>
      </w:pPr>
      <w:r w:rsidRPr="001D29F8">
        <w:rPr>
          <w:rFonts w:ascii="Arial" w:hAnsi="Arial" w:cs="Arial"/>
          <w:color w:val="000000" w:themeColor="text1"/>
          <w:sz w:val="24"/>
          <w:szCs w:val="24"/>
          <w:shd w:val="clear" w:color="auto" w:fill="FFFFFF"/>
          <w:vertAlign w:val="superscript"/>
        </w:rPr>
        <w:t>5</w:t>
      </w:r>
      <w:r w:rsidR="00B168A5" w:rsidRPr="001D29F8">
        <w:rPr>
          <w:rFonts w:ascii="Arial" w:hAnsi="Arial" w:cs="Arial"/>
          <w:color w:val="000000" w:themeColor="text1"/>
          <w:sz w:val="24"/>
          <w:szCs w:val="24"/>
          <w:shd w:val="clear" w:color="auto" w:fill="FFFFFF"/>
        </w:rPr>
        <w:t xml:space="preserve">Department of </w:t>
      </w:r>
      <w:proofErr w:type="spellStart"/>
      <w:r w:rsidR="00B168A5" w:rsidRPr="001D29F8">
        <w:rPr>
          <w:rFonts w:ascii="Arial" w:hAnsi="Arial" w:cs="Arial"/>
          <w:color w:val="000000" w:themeColor="text1"/>
          <w:sz w:val="24"/>
          <w:szCs w:val="24"/>
          <w:shd w:val="clear" w:color="auto" w:fill="FFFFFF"/>
        </w:rPr>
        <w:t>Endocrinology</w:t>
      </w:r>
      <w:proofErr w:type="spellEnd"/>
      <w:r w:rsidR="00B168A5" w:rsidRPr="001D29F8">
        <w:rPr>
          <w:rFonts w:ascii="Arial" w:hAnsi="Arial" w:cs="Arial"/>
          <w:color w:val="000000" w:themeColor="text1"/>
          <w:sz w:val="24"/>
          <w:szCs w:val="24"/>
          <w:shd w:val="clear" w:color="auto" w:fill="FFFFFF"/>
        </w:rPr>
        <w:t>, Ziekenhuis Oost-Limburg, Genk, Belgium.</w:t>
      </w:r>
    </w:p>
    <w:p w14:paraId="5324C30E" w14:textId="77777777" w:rsidR="00B168A5" w:rsidRPr="001D29F8" w:rsidRDefault="00B168A5" w:rsidP="001D29F8">
      <w:pPr>
        <w:spacing w:after="0" w:line="480" w:lineRule="auto"/>
        <w:jc w:val="both"/>
        <w:rPr>
          <w:rFonts w:ascii="Arial" w:hAnsi="Arial" w:cs="Arial"/>
          <w:color w:val="000000" w:themeColor="text1"/>
          <w:sz w:val="24"/>
          <w:szCs w:val="24"/>
          <w:shd w:val="clear" w:color="auto" w:fill="FFFFFF"/>
          <w:lang w:val="en-GB"/>
        </w:rPr>
      </w:pPr>
      <w:r w:rsidRPr="001D29F8">
        <w:rPr>
          <w:rFonts w:ascii="Arial" w:hAnsi="Arial" w:cs="Arial"/>
          <w:color w:val="000000" w:themeColor="text1"/>
          <w:sz w:val="24"/>
          <w:szCs w:val="24"/>
          <w:shd w:val="clear" w:color="auto" w:fill="FFFFFF"/>
          <w:vertAlign w:val="superscript"/>
          <w:lang w:val="en-GB"/>
        </w:rPr>
        <w:t>6</w:t>
      </w:r>
      <w:r w:rsidRPr="001D29F8">
        <w:rPr>
          <w:rFonts w:ascii="Arial" w:hAnsi="Arial" w:cs="Arial"/>
          <w:color w:val="000000" w:themeColor="text1"/>
          <w:sz w:val="24"/>
          <w:szCs w:val="24"/>
          <w:shd w:val="clear" w:color="auto" w:fill="FFFFFF"/>
          <w:lang w:val="en-GB"/>
        </w:rPr>
        <w:t xml:space="preserve">Department of Endocrinology, Jessa </w:t>
      </w:r>
      <w:proofErr w:type="spellStart"/>
      <w:r w:rsidRPr="001D29F8">
        <w:rPr>
          <w:rFonts w:ascii="Arial" w:hAnsi="Arial" w:cs="Arial"/>
          <w:color w:val="000000" w:themeColor="text1"/>
          <w:sz w:val="24"/>
          <w:szCs w:val="24"/>
          <w:shd w:val="clear" w:color="auto" w:fill="FFFFFF"/>
          <w:lang w:val="en-GB"/>
        </w:rPr>
        <w:t>Ziekenhuis</w:t>
      </w:r>
      <w:proofErr w:type="spellEnd"/>
      <w:r w:rsidRPr="001D29F8">
        <w:rPr>
          <w:rFonts w:ascii="Arial" w:hAnsi="Arial" w:cs="Arial"/>
          <w:color w:val="000000" w:themeColor="text1"/>
          <w:sz w:val="24"/>
          <w:szCs w:val="24"/>
          <w:shd w:val="clear" w:color="auto" w:fill="FFFFFF"/>
          <w:lang w:val="en-GB"/>
        </w:rPr>
        <w:t>, Hasselt, Belgium.</w:t>
      </w:r>
    </w:p>
    <w:p w14:paraId="445BD35E" w14:textId="77777777" w:rsidR="00B168A5" w:rsidRPr="001D29F8" w:rsidRDefault="00B168A5" w:rsidP="001D29F8">
      <w:pPr>
        <w:spacing w:after="0" w:line="480" w:lineRule="auto"/>
        <w:jc w:val="both"/>
        <w:rPr>
          <w:rFonts w:ascii="Arial" w:hAnsi="Arial" w:cs="Arial"/>
          <w:color w:val="000000" w:themeColor="text1"/>
          <w:sz w:val="24"/>
          <w:szCs w:val="24"/>
          <w:shd w:val="clear" w:color="auto" w:fill="FFFFFF"/>
          <w:lang w:val="en-GB"/>
        </w:rPr>
      </w:pPr>
      <w:r w:rsidRPr="001D29F8">
        <w:rPr>
          <w:rFonts w:ascii="Arial" w:hAnsi="Arial" w:cs="Arial"/>
          <w:color w:val="000000" w:themeColor="text1"/>
          <w:sz w:val="24"/>
          <w:szCs w:val="24"/>
          <w:shd w:val="clear" w:color="auto" w:fill="FFFFFF"/>
          <w:vertAlign w:val="superscript"/>
          <w:lang w:val="en-GB"/>
        </w:rPr>
        <w:t>7</w:t>
      </w:r>
      <w:r w:rsidRPr="001D29F8">
        <w:rPr>
          <w:rFonts w:ascii="Arial" w:hAnsi="Arial" w:cs="Arial"/>
          <w:color w:val="000000" w:themeColor="text1"/>
          <w:sz w:val="24"/>
          <w:szCs w:val="24"/>
          <w:shd w:val="clear" w:color="auto" w:fill="FFFFFF"/>
          <w:lang w:val="en-GB"/>
        </w:rPr>
        <w:t>Department of Endocrinology-</w:t>
      </w:r>
      <w:proofErr w:type="spellStart"/>
      <w:r w:rsidRPr="001D29F8">
        <w:rPr>
          <w:rFonts w:ascii="Arial" w:hAnsi="Arial" w:cs="Arial"/>
          <w:color w:val="000000" w:themeColor="text1"/>
          <w:sz w:val="24"/>
          <w:szCs w:val="24"/>
          <w:shd w:val="clear" w:color="auto" w:fill="FFFFFF"/>
          <w:lang w:val="en-GB"/>
        </w:rPr>
        <w:t>Diabetology</w:t>
      </w:r>
      <w:proofErr w:type="spellEnd"/>
      <w:r w:rsidRPr="001D29F8">
        <w:rPr>
          <w:rFonts w:ascii="Arial" w:hAnsi="Arial" w:cs="Arial"/>
          <w:color w:val="000000" w:themeColor="text1"/>
          <w:sz w:val="24"/>
          <w:szCs w:val="24"/>
          <w:shd w:val="clear" w:color="auto" w:fill="FFFFFF"/>
          <w:lang w:val="en-GB"/>
        </w:rPr>
        <w:t xml:space="preserve">, Grand </w:t>
      </w:r>
      <w:proofErr w:type="spellStart"/>
      <w:r w:rsidRPr="001D29F8">
        <w:rPr>
          <w:rFonts w:ascii="Arial" w:hAnsi="Arial" w:cs="Arial"/>
          <w:color w:val="000000" w:themeColor="text1"/>
          <w:sz w:val="24"/>
          <w:szCs w:val="24"/>
          <w:shd w:val="clear" w:color="auto" w:fill="FFFFFF"/>
          <w:lang w:val="en-GB"/>
        </w:rPr>
        <w:t>Hôpital</w:t>
      </w:r>
      <w:proofErr w:type="spellEnd"/>
      <w:r w:rsidRPr="001D29F8">
        <w:rPr>
          <w:rFonts w:ascii="Arial" w:hAnsi="Arial" w:cs="Arial"/>
          <w:color w:val="000000" w:themeColor="text1"/>
          <w:sz w:val="24"/>
          <w:szCs w:val="24"/>
          <w:shd w:val="clear" w:color="auto" w:fill="FFFFFF"/>
          <w:lang w:val="en-GB"/>
        </w:rPr>
        <w:t xml:space="preserve"> de Charleroi, Gilly, Belgium.</w:t>
      </w:r>
    </w:p>
    <w:p w14:paraId="11C88A7A" w14:textId="77777777" w:rsidR="00B168A5" w:rsidRPr="001D29F8" w:rsidRDefault="00B168A5" w:rsidP="001D29F8">
      <w:pPr>
        <w:spacing w:after="0" w:line="480" w:lineRule="auto"/>
        <w:jc w:val="both"/>
        <w:rPr>
          <w:rFonts w:ascii="Arial" w:hAnsi="Arial" w:cs="Arial"/>
          <w:color w:val="000000" w:themeColor="text1"/>
          <w:sz w:val="24"/>
          <w:szCs w:val="24"/>
          <w:shd w:val="clear" w:color="auto" w:fill="FFFFFF"/>
          <w:lang w:val="en-GB"/>
        </w:rPr>
      </w:pPr>
      <w:r w:rsidRPr="001D29F8">
        <w:rPr>
          <w:rFonts w:ascii="Arial" w:hAnsi="Arial" w:cs="Arial"/>
          <w:color w:val="000000" w:themeColor="text1"/>
          <w:sz w:val="24"/>
          <w:szCs w:val="24"/>
          <w:shd w:val="clear" w:color="auto" w:fill="FFFFFF"/>
          <w:vertAlign w:val="superscript"/>
          <w:lang w:val="en-GB"/>
        </w:rPr>
        <w:t>8</w:t>
      </w:r>
      <w:r w:rsidRPr="001D29F8">
        <w:rPr>
          <w:rFonts w:ascii="Arial" w:hAnsi="Arial" w:cs="Arial"/>
          <w:color w:val="000000" w:themeColor="text1"/>
          <w:sz w:val="24"/>
          <w:szCs w:val="24"/>
          <w:shd w:val="clear" w:color="auto" w:fill="FFFFFF"/>
          <w:lang w:val="en-GB"/>
        </w:rPr>
        <w:t>Department of Endocrinology, AZ Delta, Roeselare, Belgium.</w:t>
      </w:r>
    </w:p>
    <w:p w14:paraId="55752F2E" w14:textId="77777777" w:rsidR="00B168A5" w:rsidRPr="001D29F8" w:rsidRDefault="00B168A5" w:rsidP="001D29F8">
      <w:pPr>
        <w:spacing w:after="0" w:line="480" w:lineRule="auto"/>
        <w:jc w:val="both"/>
        <w:rPr>
          <w:rFonts w:ascii="Arial" w:hAnsi="Arial" w:cs="Arial"/>
          <w:color w:val="000000" w:themeColor="text1"/>
          <w:sz w:val="24"/>
          <w:szCs w:val="24"/>
          <w:shd w:val="clear" w:color="auto" w:fill="FFFFFF"/>
          <w:lang w:val="en-GB"/>
        </w:rPr>
      </w:pPr>
      <w:r w:rsidRPr="001D29F8">
        <w:rPr>
          <w:rFonts w:ascii="Arial" w:hAnsi="Arial" w:cs="Arial"/>
          <w:color w:val="000000" w:themeColor="text1"/>
          <w:sz w:val="24"/>
          <w:szCs w:val="24"/>
          <w:shd w:val="clear" w:color="auto" w:fill="FFFFFF"/>
          <w:vertAlign w:val="superscript"/>
          <w:lang w:val="en-GB"/>
        </w:rPr>
        <w:t>9</w:t>
      </w:r>
      <w:r w:rsidRPr="001D29F8">
        <w:rPr>
          <w:rFonts w:ascii="Arial" w:hAnsi="Arial" w:cs="Arial"/>
          <w:color w:val="000000" w:themeColor="text1"/>
          <w:sz w:val="24"/>
          <w:szCs w:val="24"/>
          <w:shd w:val="clear" w:color="auto" w:fill="FFFFFF"/>
          <w:lang w:val="en-GB"/>
        </w:rPr>
        <w:t xml:space="preserve">Department of Endocrinology, CHR La </w:t>
      </w:r>
      <w:proofErr w:type="spellStart"/>
      <w:r w:rsidRPr="001D29F8">
        <w:rPr>
          <w:rFonts w:ascii="Arial" w:hAnsi="Arial" w:cs="Arial"/>
          <w:color w:val="000000" w:themeColor="text1"/>
          <w:sz w:val="24"/>
          <w:szCs w:val="24"/>
          <w:shd w:val="clear" w:color="auto" w:fill="FFFFFF"/>
          <w:lang w:val="en-GB"/>
        </w:rPr>
        <w:t>Citadelle</w:t>
      </w:r>
      <w:proofErr w:type="spellEnd"/>
      <w:r w:rsidRPr="001D29F8">
        <w:rPr>
          <w:rFonts w:ascii="Arial" w:hAnsi="Arial" w:cs="Arial"/>
          <w:color w:val="000000" w:themeColor="text1"/>
          <w:sz w:val="24"/>
          <w:szCs w:val="24"/>
          <w:shd w:val="clear" w:color="auto" w:fill="FFFFFF"/>
          <w:lang w:val="en-GB"/>
        </w:rPr>
        <w:t xml:space="preserve"> Liège, Liege, Belgium.</w:t>
      </w:r>
    </w:p>
    <w:p w14:paraId="0B9FCEC8" w14:textId="77777777" w:rsidR="00B168A5" w:rsidRPr="001D29F8" w:rsidRDefault="00B168A5" w:rsidP="001D29F8">
      <w:pPr>
        <w:spacing w:after="0" w:line="480" w:lineRule="auto"/>
        <w:jc w:val="both"/>
        <w:rPr>
          <w:rFonts w:ascii="Arial" w:hAnsi="Arial" w:cs="Arial"/>
          <w:color w:val="000000" w:themeColor="text1"/>
          <w:sz w:val="24"/>
          <w:szCs w:val="24"/>
          <w:shd w:val="clear" w:color="auto" w:fill="FFFFFF"/>
          <w:lang w:val="en-GB"/>
        </w:rPr>
      </w:pPr>
      <w:r w:rsidRPr="001D29F8">
        <w:rPr>
          <w:rFonts w:ascii="Arial" w:hAnsi="Arial" w:cs="Arial"/>
          <w:color w:val="000000" w:themeColor="text1"/>
          <w:sz w:val="24"/>
          <w:szCs w:val="24"/>
          <w:shd w:val="clear" w:color="auto" w:fill="FFFFFF"/>
          <w:vertAlign w:val="superscript"/>
          <w:lang w:val="en-GB"/>
        </w:rPr>
        <w:t>10</w:t>
      </w:r>
      <w:r w:rsidRPr="001D29F8">
        <w:rPr>
          <w:rFonts w:ascii="Arial" w:hAnsi="Arial" w:cs="Arial"/>
          <w:color w:val="000000" w:themeColor="text1"/>
          <w:sz w:val="24"/>
          <w:szCs w:val="24"/>
          <w:shd w:val="clear" w:color="auto" w:fill="FFFFFF"/>
          <w:lang w:val="en-GB"/>
        </w:rPr>
        <w:t xml:space="preserve">Department of Endocrinology, Clinique du </w:t>
      </w:r>
      <w:proofErr w:type="spellStart"/>
      <w:r w:rsidRPr="001D29F8">
        <w:rPr>
          <w:rFonts w:ascii="Arial" w:hAnsi="Arial" w:cs="Arial"/>
          <w:color w:val="000000" w:themeColor="text1"/>
          <w:sz w:val="24"/>
          <w:szCs w:val="24"/>
          <w:shd w:val="clear" w:color="auto" w:fill="FFFFFF"/>
          <w:lang w:val="en-GB"/>
        </w:rPr>
        <w:t>Sud</w:t>
      </w:r>
      <w:proofErr w:type="spellEnd"/>
      <w:r w:rsidRPr="001D29F8">
        <w:rPr>
          <w:rFonts w:ascii="Arial" w:hAnsi="Arial" w:cs="Arial"/>
          <w:color w:val="000000" w:themeColor="text1"/>
          <w:sz w:val="24"/>
          <w:szCs w:val="24"/>
          <w:shd w:val="clear" w:color="auto" w:fill="FFFFFF"/>
          <w:lang w:val="en-GB"/>
        </w:rPr>
        <w:t xml:space="preserve"> Luxembourg, Arlon, Belgium.</w:t>
      </w:r>
    </w:p>
    <w:p w14:paraId="0CCC84AF" w14:textId="77777777" w:rsidR="0001653A" w:rsidRPr="001D29F8" w:rsidRDefault="00B168A5" w:rsidP="001D29F8">
      <w:pPr>
        <w:spacing w:after="0" w:line="480" w:lineRule="auto"/>
        <w:jc w:val="both"/>
        <w:rPr>
          <w:rFonts w:ascii="Arial" w:hAnsi="Arial" w:cs="Arial"/>
          <w:color w:val="000000" w:themeColor="text1"/>
          <w:sz w:val="24"/>
          <w:szCs w:val="24"/>
          <w:lang w:val="en-US"/>
        </w:rPr>
      </w:pPr>
      <w:r w:rsidRPr="001D29F8">
        <w:rPr>
          <w:rFonts w:ascii="Arial" w:hAnsi="Arial" w:cs="Arial"/>
          <w:color w:val="000000" w:themeColor="text1"/>
          <w:sz w:val="24"/>
          <w:szCs w:val="24"/>
          <w:vertAlign w:val="superscript"/>
          <w:lang w:val="en-US"/>
        </w:rPr>
        <w:t>11</w:t>
      </w:r>
      <w:r w:rsidR="0001653A" w:rsidRPr="001D29F8">
        <w:rPr>
          <w:rFonts w:ascii="Arial" w:hAnsi="Arial" w:cs="Arial"/>
          <w:color w:val="000000" w:themeColor="text1"/>
          <w:sz w:val="24"/>
          <w:szCs w:val="24"/>
          <w:lang w:val="en-US"/>
        </w:rPr>
        <w:t xml:space="preserve">Department of Endocrinology, AZ </w:t>
      </w:r>
      <w:proofErr w:type="spellStart"/>
      <w:r w:rsidR="0001653A" w:rsidRPr="001D29F8">
        <w:rPr>
          <w:rFonts w:ascii="Arial" w:hAnsi="Arial" w:cs="Arial"/>
          <w:color w:val="000000" w:themeColor="text1"/>
          <w:sz w:val="24"/>
          <w:szCs w:val="24"/>
          <w:lang w:val="en-US"/>
        </w:rPr>
        <w:t>Sint</w:t>
      </w:r>
      <w:proofErr w:type="spellEnd"/>
      <w:r w:rsidR="0001653A" w:rsidRPr="001D29F8">
        <w:rPr>
          <w:rFonts w:ascii="Arial" w:hAnsi="Arial" w:cs="Arial"/>
          <w:color w:val="000000" w:themeColor="text1"/>
          <w:sz w:val="24"/>
          <w:szCs w:val="24"/>
          <w:lang w:val="en-US"/>
        </w:rPr>
        <w:t xml:space="preserve">-Jan </w:t>
      </w:r>
      <w:proofErr w:type="spellStart"/>
      <w:r w:rsidR="0001653A" w:rsidRPr="001D29F8">
        <w:rPr>
          <w:rFonts w:ascii="Arial" w:hAnsi="Arial" w:cs="Arial"/>
          <w:color w:val="000000" w:themeColor="text1"/>
          <w:sz w:val="24"/>
          <w:szCs w:val="24"/>
          <w:lang w:val="en-US"/>
        </w:rPr>
        <w:t>Brugge</w:t>
      </w:r>
      <w:proofErr w:type="spellEnd"/>
      <w:r w:rsidR="0001653A" w:rsidRPr="001D29F8">
        <w:rPr>
          <w:rFonts w:ascii="Arial" w:hAnsi="Arial" w:cs="Arial"/>
          <w:color w:val="000000" w:themeColor="text1"/>
          <w:sz w:val="24"/>
          <w:szCs w:val="24"/>
          <w:lang w:val="en-US"/>
        </w:rPr>
        <w:t xml:space="preserve"> AV, Bruges, Belgium.</w:t>
      </w:r>
    </w:p>
    <w:p w14:paraId="1D0ADFA1" w14:textId="77777777" w:rsidR="00762710" w:rsidRPr="001D29F8" w:rsidRDefault="00B168A5" w:rsidP="001D29F8">
      <w:pPr>
        <w:spacing w:after="0" w:line="480" w:lineRule="auto"/>
        <w:jc w:val="both"/>
        <w:rPr>
          <w:rFonts w:ascii="Arial" w:hAnsi="Arial" w:cs="Arial"/>
          <w:color w:val="000000" w:themeColor="text1"/>
          <w:sz w:val="24"/>
          <w:szCs w:val="24"/>
          <w:shd w:val="clear" w:color="auto" w:fill="FFFFFF"/>
          <w:lang w:val="en-US"/>
        </w:rPr>
      </w:pPr>
      <w:r w:rsidRPr="001D29F8">
        <w:rPr>
          <w:rFonts w:ascii="Arial" w:hAnsi="Arial" w:cs="Arial"/>
          <w:color w:val="000000" w:themeColor="text1"/>
          <w:sz w:val="24"/>
          <w:szCs w:val="24"/>
          <w:shd w:val="clear" w:color="auto" w:fill="FFFFFF"/>
          <w:vertAlign w:val="superscript"/>
          <w:lang w:val="en-US"/>
        </w:rPr>
        <w:t>12</w:t>
      </w:r>
      <w:r w:rsidR="00762710" w:rsidRPr="001D29F8">
        <w:rPr>
          <w:rFonts w:ascii="Arial" w:hAnsi="Arial" w:cs="Arial"/>
          <w:color w:val="000000" w:themeColor="text1"/>
          <w:sz w:val="24"/>
          <w:szCs w:val="24"/>
          <w:shd w:val="clear" w:color="auto" w:fill="FFFFFF"/>
          <w:lang w:val="en-US"/>
        </w:rPr>
        <w:t>Department of Endocrinology, Imelda</w:t>
      </w:r>
      <w:r w:rsidR="00F302A2" w:rsidRPr="001D29F8">
        <w:rPr>
          <w:rFonts w:ascii="Arial" w:hAnsi="Arial" w:cs="Arial"/>
          <w:color w:val="000000" w:themeColor="text1"/>
          <w:sz w:val="24"/>
          <w:szCs w:val="24"/>
          <w:shd w:val="clear" w:color="auto" w:fill="FFFFFF"/>
          <w:lang w:val="en-US"/>
        </w:rPr>
        <w:t xml:space="preserve"> Hospital</w:t>
      </w:r>
      <w:r w:rsidR="00762710" w:rsidRPr="001D29F8">
        <w:rPr>
          <w:rFonts w:ascii="Arial" w:hAnsi="Arial" w:cs="Arial"/>
          <w:color w:val="000000" w:themeColor="text1"/>
          <w:sz w:val="24"/>
          <w:szCs w:val="24"/>
          <w:shd w:val="clear" w:color="auto" w:fill="FFFFFF"/>
          <w:lang w:val="en-US"/>
        </w:rPr>
        <w:t xml:space="preserve"> </w:t>
      </w:r>
      <w:proofErr w:type="spellStart"/>
      <w:r w:rsidR="00762710" w:rsidRPr="001D29F8">
        <w:rPr>
          <w:rFonts w:ascii="Arial" w:hAnsi="Arial" w:cs="Arial"/>
          <w:color w:val="000000" w:themeColor="text1"/>
          <w:sz w:val="24"/>
          <w:szCs w:val="24"/>
          <w:shd w:val="clear" w:color="auto" w:fill="FFFFFF"/>
          <w:lang w:val="en-US"/>
        </w:rPr>
        <w:t>Bonheiden</w:t>
      </w:r>
      <w:proofErr w:type="spellEnd"/>
      <w:r w:rsidR="00762710" w:rsidRPr="001D29F8">
        <w:rPr>
          <w:rFonts w:ascii="Arial" w:hAnsi="Arial" w:cs="Arial"/>
          <w:color w:val="000000" w:themeColor="text1"/>
          <w:sz w:val="24"/>
          <w:szCs w:val="24"/>
          <w:shd w:val="clear" w:color="auto" w:fill="FFFFFF"/>
          <w:lang w:val="en-US"/>
        </w:rPr>
        <w:t xml:space="preserve">, </w:t>
      </w:r>
      <w:proofErr w:type="spellStart"/>
      <w:r w:rsidR="00762710" w:rsidRPr="001D29F8">
        <w:rPr>
          <w:rFonts w:ascii="Arial" w:hAnsi="Arial" w:cs="Arial"/>
          <w:color w:val="000000" w:themeColor="text1"/>
          <w:sz w:val="24"/>
          <w:szCs w:val="24"/>
          <w:shd w:val="clear" w:color="auto" w:fill="FFFFFF"/>
          <w:lang w:val="en-US"/>
        </w:rPr>
        <w:t>Bonheiden</w:t>
      </w:r>
      <w:proofErr w:type="spellEnd"/>
      <w:r w:rsidR="00762710" w:rsidRPr="001D29F8">
        <w:rPr>
          <w:rFonts w:ascii="Arial" w:hAnsi="Arial" w:cs="Arial"/>
          <w:color w:val="000000" w:themeColor="text1"/>
          <w:sz w:val="24"/>
          <w:szCs w:val="24"/>
          <w:shd w:val="clear" w:color="auto" w:fill="FFFFFF"/>
          <w:lang w:val="en-US"/>
        </w:rPr>
        <w:t>, Belgium.</w:t>
      </w:r>
    </w:p>
    <w:p w14:paraId="4531E3DA" w14:textId="77777777" w:rsidR="008049C3" w:rsidRPr="001D29F8" w:rsidRDefault="00934C36" w:rsidP="001D29F8">
      <w:pPr>
        <w:spacing w:after="0" w:line="480" w:lineRule="auto"/>
        <w:jc w:val="both"/>
        <w:rPr>
          <w:rFonts w:ascii="Arial" w:hAnsi="Arial" w:cs="Arial"/>
          <w:color w:val="000000" w:themeColor="text1"/>
          <w:sz w:val="24"/>
          <w:szCs w:val="24"/>
          <w:lang w:val="en-US"/>
        </w:rPr>
      </w:pPr>
      <w:r w:rsidRPr="001D29F8">
        <w:rPr>
          <w:rFonts w:ascii="Arial" w:hAnsi="Arial" w:cs="Arial"/>
          <w:color w:val="000000" w:themeColor="text1"/>
          <w:sz w:val="24"/>
          <w:szCs w:val="24"/>
          <w:shd w:val="clear" w:color="auto" w:fill="FFFFFF"/>
          <w:vertAlign w:val="superscript"/>
          <w:lang w:val="en-US"/>
        </w:rPr>
        <w:lastRenderedPageBreak/>
        <w:t>13</w:t>
      </w:r>
      <w:r w:rsidR="000017C6" w:rsidRPr="001D29F8">
        <w:rPr>
          <w:rFonts w:ascii="Arial" w:hAnsi="Arial" w:cs="Arial"/>
          <w:color w:val="000000" w:themeColor="text1"/>
          <w:sz w:val="24"/>
          <w:szCs w:val="24"/>
          <w:lang w:val="en-US"/>
        </w:rPr>
        <w:t>Diabeteskliniek, University Hospital Brussels</w:t>
      </w:r>
      <w:r w:rsidR="006A745E" w:rsidRPr="001D29F8">
        <w:rPr>
          <w:rFonts w:ascii="Arial" w:hAnsi="Arial" w:cs="Arial"/>
          <w:color w:val="000000" w:themeColor="text1"/>
          <w:sz w:val="24"/>
          <w:szCs w:val="24"/>
          <w:lang w:val="en-US"/>
        </w:rPr>
        <w:t xml:space="preserve"> – VUB</w:t>
      </w:r>
      <w:r w:rsidR="00E47019" w:rsidRPr="001D29F8">
        <w:rPr>
          <w:rFonts w:ascii="Arial" w:hAnsi="Arial" w:cs="Arial"/>
          <w:color w:val="000000" w:themeColor="text1"/>
          <w:sz w:val="24"/>
          <w:szCs w:val="24"/>
          <w:lang w:val="en-US"/>
        </w:rPr>
        <w:t>, Brussels, Belgium.</w:t>
      </w:r>
    </w:p>
    <w:p w14:paraId="25FEFD29" w14:textId="77777777" w:rsidR="00455DA0" w:rsidRPr="001D29F8" w:rsidRDefault="00F020BF" w:rsidP="001D29F8">
      <w:pPr>
        <w:autoSpaceDE w:val="0"/>
        <w:autoSpaceDN w:val="0"/>
        <w:adjustRightInd w:val="0"/>
        <w:spacing w:after="0" w:line="480" w:lineRule="auto"/>
        <w:jc w:val="both"/>
        <w:rPr>
          <w:rFonts w:ascii="Arial" w:hAnsi="Arial" w:cs="Arial"/>
          <w:color w:val="000000" w:themeColor="text1"/>
          <w:sz w:val="24"/>
          <w:szCs w:val="24"/>
          <w:lang w:val="en-US"/>
        </w:rPr>
      </w:pPr>
      <w:r w:rsidRPr="001D29F8">
        <w:rPr>
          <w:rFonts w:ascii="Arial" w:hAnsi="Arial" w:cs="Arial"/>
          <w:color w:val="000000" w:themeColor="text1"/>
          <w:sz w:val="24"/>
          <w:szCs w:val="24"/>
          <w:shd w:val="clear" w:color="auto" w:fill="FFFFFF"/>
          <w:lang w:val="en-US"/>
        </w:rPr>
        <w:t>*</w:t>
      </w:r>
      <w:r w:rsidR="00660933" w:rsidRPr="001D29F8">
        <w:rPr>
          <w:rFonts w:ascii="Arial" w:hAnsi="Arial" w:cs="Arial"/>
          <w:color w:val="000000" w:themeColor="text1"/>
          <w:sz w:val="24"/>
          <w:szCs w:val="24"/>
          <w:shd w:val="clear" w:color="auto" w:fill="FFFFFF"/>
          <w:lang w:val="en-US"/>
        </w:rPr>
        <w:t xml:space="preserve">a complete list of </w:t>
      </w:r>
      <w:r w:rsidR="00660933" w:rsidRPr="001D29F8">
        <w:rPr>
          <w:rFonts w:ascii="Arial" w:hAnsi="Arial" w:cs="Arial"/>
          <w:color w:val="000000" w:themeColor="text1"/>
          <w:sz w:val="24"/>
          <w:szCs w:val="24"/>
          <w:lang w:val="en-US"/>
        </w:rPr>
        <w:t>investigators in the Reimbursement Study of Continuous Glucose Monitoring in Belgium (RESCUE) trial is availabl</w:t>
      </w:r>
      <w:r w:rsidR="00D236E2" w:rsidRPr="001D29F8">
        <w:rPr>
          <w:rFonts w:ascii="Arial" w:hAnsi="Arial" w:cs="Arial"/>
          <w:color w:val="000000" w:themeColor="text1"/>
          <w:sz w:val="24"/>
          <w:szCs w:val="24"/>
          <w:lang w:val="en-US"/>
        </w:rPr>
        <w:t xml:space="preserve">e in </w:t>
      </w:r>
      <w:r w:rsidR="00235119" w:rsidRPr="00235119">
        <w:rPr>
          <w:rFonts w:ascii="Arial" w:hAnsi="Arial" w:cs="Arial"/>
          <w:color w:val="000000" w:themeColor="text1"/>
          <w:sz w:val="24"/>
          <w:szCs w:val="24"/>
          <w:lang w:val="en-US"/>
        </w:rPr>
        <w:t>Online-Only Supplemental Material</w:t>
      </w:r>
    </w:p>
    <w:p w14:paraId="4242D500" w14:textId="77777777" w:rsidR="008D2695" w:rsidRPr="001D29F8" w:rsidRDefault="00475D29" w:rsidP="001D29F8">
      <w:pPr>
        <w:spacing w:after="0" w:line="480" w:lineRule="auto"/>
        <w:jc w:val="both"/>
        <w:rPr>
          <w:rFonts w:ascii="Arial" w:hAnsi="Arial" w:cs="Arial"/>
          <w:sz w:val="24"/>
          <w:szCs w:val="24"/>
          <w:lang w:val="en-US"/>
        </w:rPr>
      </w:pPr>
      <w:r w:rsidRPr="001D29F8">
        <w:rPr>
          <w:rFonts w:ascii="Arial" w:hAnsi="Arial" w:cs="Arial"/>
          <w:b/>
          <w:sz w:val="24"/>
          <w:szCs w:val="24"/>
          <w:lang w:val="en-US"/>
        </w:rPr>
        <w:t>Correspondence</w:t>
      </w:r>
      <w:r w:rsidR="00C91AF6" w:rsidRPr="001D29F8">
        <w:rPr>
          <w:rFonts w:ascii="Arial" w:hAnsi="Arial" w:cs="Arial"/>
          <w:b/>
          <w:sz w:val="24"/>
          <w:szCs w:val="24"/>
          <w:lang w:val="en-US"/>
        </w:rPr>
        <w:t xml:space="preserve"> </w:t>
      </w:r>
      <w:r w:rsidR="008D2695" w:rsidRPr="001D29F8">
        <w:rPr>
          <w:rFonts w:ascii="Arial" w:hAnsi="Arial" w:cs="Arial"/>
          <w:b/>
          <w:sz w:val="24"/>
          <w:szCs w:val="24"/>
          <w:lang w:val="en-US"/>
        </w:rPr>
        <w:t>to</w:t>
      </w:r>
      <w:r w:rsidR="00BB40E5" w:rsidRPr="001D29F8">
        <w:rPr>
          <w:rFonts w:ascii="Arial" w:hAnsi="Arial" w:cs="Arial"/>
          <w:b/>
          <w:sz w:val="24"/>
          <w:szCs w:val="24"/>
          <w:lang w:val="en-US"/>
        </w:rPr>
        <w:t>:</w:t>
      </w:r>
      <w:r w:rsidR="00BB40E5" w:rsidRPr="001D29F8">
        <w:rPr>
          <w:rFonts w:ascii="Arial" w:hAnsi="Arial" w:cs="Arial"/>
          <w:sz w:val="24"/>
          <w:szCs w:val="24"/>
          <w:lang w:val="en-US"/>
        </w:rPr>
        <w:t xml:space="preserve"> </w:t>
      </w:r>
      <w:r w:rsidR="008D2695" w:rsidRPr="001D29F8">
        <w:rPr>
          <w:rFonts w:ascii="Arial" w:hAnsi="Arial" w:cs="Arial"/>
          <w:sz w:val="24"/>
          <w:szCs w:val="24"/>
          <w:lang w:val="en-US"/>
        </w:rPr>
        <w:t xml:space="preserve">Pieter Gillard, UZ Leuven, </w:t>
      </w:r>
      <w:proofErr w:type="spellStart"/>
      <w:r w:rsidR="008D2695" w:rsidRPr="001D29F8">
        <w:rPr>
          <w:rFonts w:ascii="Arial" w:hAnsi="Arial" w:cs="Arial"/>
          <w:sz w:val="24"/>
          <w:szCs w:val="24"/>
          <w:lang w:val="en-US"/>
        </w:rPr>
        <w:t>Herestraat</w:t>
      </w:r>
      <w:proofErr w:type="spellEnd"/>
      <w:r w:rsidR="008D2695" w:rsidRPr="001D29F8">
        <w:rPr>
          <w:rFonts w:ascii="Arial" w:hAnsi="Arial" w:cs="Arial"/>
          <w:sz w:val="24"/>
          <w:szCs w:val="24"/>
          <w:lang w:val="en-US"/>
        </w:rPr>
        <w:t xml:space="preserve"> 49, 3000 Leuven, Belgium. </w:t>
      </w:r>
    </w:p>
    <w:p w14:paraId="18F2494E" w14:textId="77777777" w:rsidR="00B02448" w:rsidRPr="001D29F8" w:rsidRDefault="008D2695" w:rsidP="001D29F8">
      <w:pPr>
        <w:spacing w:after="0" w:line="480" w:lineRule="auto"/>
        <w:jc w:val="both"/>
        <w:rPr>
          <w:rFonts w:ascii="Arial" w:hAnsi="Arial" w:cs="Arial"/>
          <w:sz w:val="24"/>
          <w:szCs w:val="24"/>
          <w:lang w:val="en-GB"/>
        </w:rPr>
      </w:pPr>
      <w:r w:rsidRPr="001D29F8">
        <w:rPr>
          <w:rFonts w:ascii="Arial" w:hAnsi="Arial" w:cs="Arial"/>
          <w:sz w:val="24"/>
          <w:szCs w:val="24"/>
          <w:lang w:val="en-GB"/>
        </w:rPr>
        <w:t>Tel: +32 16 34 06 15, email: pieter.gillard@uzleuven.be</w:t>
      </w:r>
    </w:p>
    <w:p w14:paraId="21F2E2D2" w14:textId="77777777" w:rsidR="00C91AF6" w:rsidRPr="001D29F8" w:rsidRDefault="00B91ACA" w:rsidP="001D29F8">
      <w:pPr>
        <w:spacing w:line="480" w:lineRule="auto"/>
        <w:jc w:val="both"/>
        <w:rPr>
          <w:rFonts w:ascii="Arial" w:hAnsi="Arial" w:cs="Arial"/>
          <w:b/>
          <w:sz w:val="24"/>
          <w:szCs w:val="24"/>
          <w:lang w:val="en-US"/>
        </w:rPr>
      </w:pPr>
      <w:r w:rsidRPr="001D29F8">
        <w:rPr>
          <w:rFonts w:ascii="Arial" w:hAnsi="Arial" w:cs="Arial"/>
          <w:b/>
          <w:sz w:val="24"/>
          <w:szCs w:val="24"/>
          <w:lang w:val="en-US"/>
        </w:rPr>
        <w:t>Clinical Trial Registration:</w:t>
      </w:r>
      <w:r w:rsidRPr="001D29F8">
        <w:rPr>
          <w:rFonts w:ascii="Arial" w:hAnsi="Arial" w:cs="Arial"/>
          <w:sz w:val="24"/>
          <w:szCs w:val="24"/>
          <w:lang w:val="en-US"/>
        </w:rPr>
        <w:t xml:space="preserve"> ClinicalTrials.gov (NCT02601729).</w:t>
      </w:r>
    </w:p>
    <w:p w14:paraId="7DF44F94" w14:textId="505405D1" w:rsidR="00012BE8" w:rsidRDefault="00E45B5E" w:rsidP="001D29F8">
      <w:pPr>
        <w:spacing w:line="480" w:lineRule="auto"/>
        <w:jc w:val="both"/>
        <w:rPr>
          <w:rFonts w:ascii="Arial" w:hAnsi="Arial" w:cs="Arial"/>
          <w:sz w:val="24"/>
          <w:szCs w:val="24"/>
          <w:lang w:val="en-US"/>
        </w:rPr>
      </w:pPr>
      <w:r w:rsidRPr="001D29F8">
        <w:rPr>
          <w:rFonts w:ascii="Arial" w:hAnsi="Arial" w:cs="Arial"/>
          <w:b/>
          <w:sz w:val="24"/>
          <w:szCs w:val="24"/>
          <w:lang w:val="en-US"/>
        </w:rPr>
        <w:t xml:space="preserve">Word Count: </w:t>
      </w:r>
      <w:r w:rsidR="00524420" w:rsidRPr="001D29F8">
        <w:rPr>
          <w:rFonts w:ascii="Arial" w:hAnsi="Arial" w:cs="Arial"/>
          <w:sz w:val="24"/>
          <w:szCs w:val="24"/>
          <w:lang w:val="en-US"/>
        </w:rPr>
        <w:t>3</w:t>
      </w:r>
      <w:r w:rsidR="002148FD">
        <w:rPr>
          <w:rFonts w:ascii="Arial" w:hAnsi="Arial" w:cs="Arial"/>
          <w:sz w:val="24"/>
          <w:szCs w:val="24"/>
          <w:lang w:val="en-US"/>
        </w:rPr>
        <w:t>8</w:t>
      </w:r>
      <w:r w:rsidR="00551F92">
        <w:rPr>
          <w:rFonts w:ascii="Arial" w:hAnsi="Arial" w:cs="Arial"/>
          <w:sz w:val="24"/>
          <w:szCs w:val="24"/>
          <w:lang w:val="en-US"/>
        </w:rPr>
        <w:t>87</w:t>
      </w:r>
      <w:r w:rsidR="008D2695" w:rsidRPr="001D29F8">
        <w:rPr>
          <w:rFonts w:ascii="Arial" w:hAnsi="Arial" w:cs="Arial"/>
          <w:sz w:val="24"/>
          <w:szCs w:val="24"/>
          <w:lang w:val="en-US"/>
        </w:rPr>
        <w:t xml:space="preserve"> words, </w:t>
      </w:r>
      <w:r w:rsidR="00012BE8" w:rsidRPr="001D29F8">
        <w:rPr>
          <w:rFonts w:ascii="Arial" w:hAnsi="Arial" w:cs="Arial"/>
          <w:b/>
          <w:sz w:val="24"/>
          <w:szCs w:val="24"/>
          <w:lang w:val="en-US"/>
        </w:rPr>
        <w:t>Tables:</w:t>
      </w:r>
      <w:r w:rsidR="00012BE8" w:rsidRPr="001D29F8">
        <w:rPr>
          <w:rFonts w:ascii="Arial" w:hAnsi="Arial" w:cs="Arial"/>
          <w:sz w:val="24"/>
          <w:szCs w:val="24"/>
          <w:lang w:val="en-US"/>
        </w:rPr>
        <w:t xml:space="preserve"> </w:t>
      </w:r>
      <w:r w:rsidR="002148FD">
        <w:rPr>
          <w:rFonts w:ascii="Arial" w:hAnsi="Arial" w:cs="Arial"/>
          <w:sz w:val="24"/>
          <w:szCs w:val="24"/>
          <w:lang w:val="en-US"/>
        </w:rPr>
        <w:t>2</w:t>
      </w:r>
      <w:r w:rsidR="004C3EC8">
        <w:rPr>
          <w:rFonts w:ascii="Arial" w:hAnsi="Arial" w:cs="Arial"/>
          <w:sz w:val="24"/>
          <w:szCs w:val="24"/>
          <w:lang w:val="en-US"/>
        </w:rPr>
        <w:t>,</w:t>
      </w:r>
      <w:r w:rsidR="00012BE8" w:rsidRPr="001D29F8">
        <w:rPr>
          <w:rFonts w:ascii="Arial" w:hAnsi="Arial" w:cs="Arial"/>
          <w:sz w:val="24"/>
          <w:szCs w:val="24"/>
          <w:lang w:val="en-US"/>
        </w:rPr>
        <w:t xml:space="preserve"> </w:t>
      </w:r>
      <w:r w:rsidR="00012BE8" w:rsidRPr="001D29F8">
        <w:rPr>
          <w:rFonts w:ascii="Arial" w:hAnsi="Arial" w:cs="Arial"/>
          <w:b/>
          <w:sz w:val="24"/>
          <w:szCs w:val="24"/>
          <w:lang w:val="en-US"/>
        </w:rPr>
        <w:t>Figures:</w:t>
      </w:r>
      <w:r w:rsidR="00012BE8" w:rsidRPr="001D29F8">
        <w:rPr>
          <w:rFonts w:ascii="Arial" w:hAnsi="Arial" w:cs="Arial"/>
          <w:sz w:val="24"/>
          <w:szCs w:val="24"/>
          <w:lang w:val="en-US"/>
        </w:rPr>
        <w:t xml:space="preserve"> 2</w:t>
      </w:r>
    </w:p>
    <w:p w14:paraId="209DD0EF" w14:textId="77777777" w:rsidR="001D29F8" w:rsidRDefault="001D29F8" w:rsidP="001D29F8">
      <w:pPr>
        <w:spacing w:line="480" w:lineRule="auto"/>
        <w:jc w:val="both"/>
        <w:rPr>
          <w:rFonts w:ascii="Arial" w:hAnsi="Arial" w:cs="Arial"/>
          <w:sz w:val="24"/>
          <w:szCs w:val="24"/>
          <w:lang w:val="en-US"/>
        </w:rPr>
      </w:pPr>
    </w:p>
    <w:p w14:paraId="61653784" w14:textId="77777777" w:rsidR="001D29F8" w:rsidRDefault="001D29F8" w:rsidP="001D29F8">
      <w:pPr>
        <w:spacing w:line="480" w:lineRule="auto"/>
        <w:jc w:val="both"/>
        <w:rPr>
          <w:rFonts w:ascii="Arial" w:hAnsi="Arial" w:cs="Arial"/>
          <w:sz w:val="24"/>
          <w:szCs w:val="24"/>
          <w:lang w:val="en-US"/>
        </w:rPr>
      </w:pPr>
    </w:p>
    <w:p w14:paraId="030FA2DE" w14:textId="77777777" w:rsidR="001D29F8" w:rsidRDefault="001D29F8" w:rsidP="001D29F8">
      <w:pPr>
        <w:spacing w:line="480" w:lineRule="auto"/>
        <w:jc w:val="both"/>
        <w:rPr>
          <w:rFonts w:ascii="Arial" w:hAnsi="Arial" w:cs="Arial"/>
          <w:sz w:val="24"/>
          <w:szCs w:val="24"/>
          <w:lang w:val="en-US"/>
        </w:rPr>
      </w:pPr>
    </w:p>
    <w:p w14:paraId="09E7BEF2" w14:textId="77777777" w:rsidR="001D29F8" w:rsidRDefault="001D29F8" w:rsidP="001D29F8">
      <w:pPr>
        <w:spacing w:line="480" w:lineRule="auto"/>
        <w:jc w:val="both"/>
        <w:rPr>
          <w:rFonts w:ascii="Arial" w:hAnsi="Arial" w:cs="Arial"/>
          <w:sz w:val="24"/>
          <w:szCs w:val="24"/>
          <w:lang w:val="en-US"/>
        </w:rPr>
      </w:pPr>
    </w:p>
    <w:p w14:paraId="1A950869" w14:textId="77777777" w:rsidR="001D29F8" w:rsidRDefault="001D29F8" w:rsidP="001D29F8">
      <w:pPr>
        <w:spacing w:line="480" w:lineRule="auto"/>
        <w:jc w:val="both"/>
        <w:rPr>
          <w:rFonts w:ascii="Arial" w:hAnsi="Arial" w:cs="Arial"/>
          <w:sz w:val="24"/>
          <w:szCs w:val="24"/>
          <w:lang w:val="en-US"/>
        </w:rPr>
      </w:pPr>
    </w:p>
    <w:p w14:paraId="62705AFB" w14:textId="77777777" w:rsidR="001D29F8" w:rsidRDefault="001D29F8" w:rsidP="001D29F8">
      <w:pPr>
        <w:spacing w:line="480" w:lineRule="auto"/>
        <w:jc w:val="both"/>
        <w:rPr>
          <w:rFonts w:ascii="Arial" w:hAnsi="Arial" w:cs="Arial"/>
          <w:sz w:val="24"/>
          <w:szCs w:val="24"/>
          <w:lang w:val="en-US"/>
        </w:rPr>
      </w:pPr>
    </w:p>
    <w:p w14:paraId="0B5F3EA5" w14:textId="77777777" w:rsidR="001D29F8" w:rsidRDefault="001D29F8" w:rsidP="001D29F8">
      <w:pPr>
        <w:spacing w:line="480" w:lineRule="auto"/>
        <w:jc w:val="both"/>
        <w:rPr>
          <w:rFonts w:ascii="Arial" w:hAnsi="Arial" w:cs="Arial"/>
          <w:sz w:val="24"/>
          <w:szCs w:val="24"/>
          <w:lang w:val="en-US"/>
        </w:rPr>
      </w:pPr>
    </w:p>
    <w:p w14:paraId="5FF2E780" w14:textId="77777777" w:rsidR="001D29F8" w:rsidRDefault="001D29F8" w:rsidP="001D29F8">
      <w:pPr>
        <w:spacing w:line="480" w:lineRule="auto"/>
        <w:jc w:val="both"/>
        <w:rPr>
          <w:rFonts w:ascii="Arial" w:hAnsi="Arial" w:cs="Arial"/>
          <w:sz w:val="24"/>
          <w:szCs w:val="24"/>
          <w:lang w:val="en-US"/>
        </w:rPr>
      </w:pPr>
    </w:p>
    <w:p w14:paraId="04A8161C" w14:textId="77777777" w:rsidR="001D29F8" w:rsidRDefault="001D29F8" w:rsidP="001D29F8">
      <w:pPr>
        <w:spacing w:line="480" w:lineRule="auto"/>
        <w:jc w:val="both"/>
        <w:rPr>
          <w:rFonts w:ascii="Arial" w:hAnsi="Arial" w:cs="Arial"/>
          <w:sz w:val="24"/>
          <w:szCs w:val="24"/>
          <w:lang w:val="en-US"/>
        </w:rPr>
      </w:pPr>
    </w:p>
    <w:p w14:paraId="3F64E645" w14:textId="77777777" w:rsidR="001D29F8" w:rsidRDefault="001D29F8" w:rsidP="001D29F8">
      <w:pPr>
        <w:spacing w:line="480" w:lineRule="auto"/>
        <w:jc w:val="both"/>
        <w:rPr>
          <w:rFonts w:ascii="Arial" w:hAnsi="Arial" w:cs="Arial"/>
          <w:sz w:val="24"/>
          <w:szCs w:val="24"/>
          <w:lang w:val="en-US"/>
        </w:rPr>
      </w:pPr>
    </w:p>
    <w:p w14:paraId="1CE2C474" w14:textId="77777777" w:rsidR="001D29F8" w:rsidRDefault="001D29F8" w:rsidP="001D29F8">
      <w:pPr>
        <w:spacing w:line="480" w:lineRule="auto"/>
        <w:jc w:val="both"/>
        <w:rPr>
          <w:rFonts w:ascii="Arial" w:hAnsi="Arial" w:cs="Arial"/>
          <w:sz w:val="24"/>
          <w:szCs w:val="24"/>
          <w:lang w:val="en-US"/>
        </w:rPr>
      </w:pPr>
    </w:p>
    <w:p w14:paraId="42975262" w14:textId="77777777" w:rsidR="001D29F8" w:rsidRDefault="001D29F8" w:rsidP="001D29F8">
      <w:pPr>
        <w:spacing w:line="480" w:lineRule="auto"/>
        <w:jc w:val="both"/>
        <w:rPr>
          <w:rFonts w:ascii="Arial" w:hAnsi="Arial" w:cs="Arial"/>
          <w:sz w:val="24"/>
          <w:szCs w:val="24"/>
          <w:lang w:val="en-US"/>
        </w:rPr>
      </w:pPr>
    </w:p>
    <w:p w14:paraId="424054F0" w14:textId="77777777" w:rsidR="001D29F8" w:rsidRDefault="001D29F8" w:rsidP="001D29F8">
      <w:pPr>
        <w:spacing w:line="480" w:lineRule="auto"/>
        <w:jc w:val="both"/>
        <w:rPr>
          <w:rFonts w:ascii="Arial" w:hAnsi="Arial" w:cs="Arial"/>
          <w:sz w:val="24"/>
          <w:szCs w:val="24"/>
          <w:lang w:val="en-US"/>
        </w:rPr>
      </w:pPr>
    </w:p>
    <w:p w14:paraId="39076523" w14:textId="77777777" w:rsidR="001D29F8" w:rsidRDefault="001D29F8" w:rsidP="001D29F8">
      <w:pPr>
        <w:spacing w:line="480" w:lineRule="auto"/>
        <w:jc w:val="both"/>
        <w:rPr>
          <w:rFonts w:ascii="Arial" w:hAnsi="Arial" w:cs="Arial"/>
          <w:sz w:val="24"/>
          <w:szCs w:val="24"/>
          <w:lang w:val="en-US"/>
        </w:rPr>
      </w:pPr>
    </w:p>
    <w:p w14:paraId="6BBFC368" w14:textId="77777777" w:rsidR="00475D29" w:rsidRPr="001D29F8" w:rsidRDefault="001D29F8" w:rsidP="001D29F8">
      <w:pPr>
        <w:spacing w:line="480" w:lineRule="auto"/>
        <w:jc w:val="both"/>
        <w:rPr>
          <w:rFonts w:ascii="Arial" w:hAnsi="Arial" w:cs="Arial"/>
          <w:sz w:val="24"/>
          <w:szCs w:val="24"/>
          <w:lang w:val="en-US"/>
        </w:rPr>
      </w:pPr>
      <w:r w:rsidRPr="001D29F8">
        <w:rPr>
          <w:rFonts w:ascii="Arial" w:hAnsi="Arial" w:cs="Arial"/>
          <w:b/>
          <w:sz w:val="24"/>
          <w:szCs w:val="24"/>
          <w:lang w:val="en-US"/>
        </w:rPr>
        <w:t xml:space="preserve">ABSTRACT </w:t>
      </w:r>
    </w:p>
    <w:p w14:paraId="36B868DD" w14:textId="77777777" w:rsidR="00106F04" w:rsidRPr="008422FC" w:rsidRDefault="00012BE8" w:rsidP="001D29F8">
      <w:pPr>
        <w:spacing w:line="480" w:lineRule="auto"/>
        <w:jc w:val="both"/>
        <w:rPr>
          <w:rFonts w:ascii="Arial" w:hAnsi="Arial" w:cs="Arial"/>
          <w:sz w:val="24"/>
          <w:szCs w:val="24"/>
          <w:lang w:val="en-US"/>
        </w:rPr>
      </w:pPr>
      <w:r w:rsidRPr="008422FC">
        <w:rPr>
          <w:rFonts w:ascii="Arial" w:hAnsi="Arial" w:cs="Arial"/>
          <w:b/>
          <w:sz w:val="24"/>
          <w:szCs w:val="24"/>
          <w:lang w:val="en-US"/>
        </w:rPr>
        <w:t>Objective</w:t>
      </w:r>
      <w:r w:rsidR="005855A3" w:rsidRPr="008422FC">
        <w:rPr>
          <w:rFonts w:ascii="Arial" w:hAnsi="Arial" w:cs="Arial"/>
          <w:b/>
          <w:sz w:val="24"/>
          <w:szCs w:val="24"/>
          <w:lang w:val="en-US"/>
        </w:rPr>
        <w:t>:</w:t>
      </w:r>
      <w:r w:rsidR="005855A3" w:rsidRPr="008422FC">
        <w:rPr>
          <w:rFonts w:ascii="Arial" w:hAnsi="Arial" w:cs="Arial"/>
          <w:sz w:val="24"/>
          <w:szCs w:val="24"/>
          <w:lang w:val="en-US"/>
        </w:rPr>
        <w:t xml:space="preserve"> </w:t>
      </w:r>
      <w:r w:rsidR="008422FC" w:rsidRPr="008422FC">
        <w:rPr>
          <w:rFonts w:ascii="Arial" w:hAnsi="Arial" w:cs="Arial"/>
          <w:sz w:val="24"/>
          <w:szCs w:val="24"/>
          <w:lang w:val="en-US"/>
        </w:rPr>
        <w:t xml:space="preserve">Recurrent hypoglycemia is a risk factor </w:t>
      </w:r>
      <w:r w:rsidR="000154C6">
        <w:rPr>
          <w:rFonts w:ascii="Arial" w:hAnsi="Arial" w:cs="Arial"/>
          <w:sz w:val="24"/>
          <w:szCs w:val="24"/>
          <w:lang w:val="en-US"/>
        </w:rPr>
        <w:t>for</w:t>
      </w:r>
      <w:r w:rsidR="008422FC" w:rsidRPr="008422FC">
        <w:rPr>
          <w:rFonts w:ascii="Arial" w:hAnsi="Arial" w:cs="Arial"/>
          <w:sz w:val="24"/>
          <w:szCs w:val="24"/>
          <w:lang w:val="en-US"/>
        </w:rPr>
        <w:t xml:space="preserve"> severe hypoglycemi</w:t>
      </w:r>
      <w:r w:rsidR="000154C6">
        <w:rPr>
          <w:rFonts w:ascii="Arial" w:hAnsi="Arial" w:cs="Arial"/>
          <w:sz w:val="24"/>
          <w:szCs w:val="24"/>
          <w:lang w:val="en-US"/>
        </w:rPr>
        <w:t xml:space="preserve">a </w:t>
      </w:r>
      <w:r w:rsidR="008422FC" w:rsidRPr="008422FC">
        <w:rPr>
          <w:rFonts w:ascii="Arial" w:hAnsi="Arial" w:cs="Arial"/>
          <w:sz w:val="24"/>
          <w:szCs w:val="24"/>
          <w:lang w:val="en-US"/>
        </w:rPr>
        <w:t>and hypoglycemia unawareness. Additionally, fear of hypoglycemia complicates optimal diabetes control. We aimed to</w:t>
      </w:r>
      <w:r w:rsidR="00106F04" w:rsidRPr="008422FC">
        <w:rPr>
          <w:rFonts w:ascii="Arial" w:hAnsi="Arial" w:cs="Arial"/>
          <w:sz w:val="24"/>
          <w:szCs w:val="24"/>
          <w:lang w:val="en-US"/>
        </w:rPr>
        <w:t xml:space="preserve"> </w:t>
      </w:r>
      <w:r w:rsidR="002A5FDE" w:rsidRPr="008422FC">
        <w:rPr>
          <w:rFonts w:ascii="Arial" w:hAnsi="Arial" w:cs="Arial"/>
          <w:sz w:val="24"/>
          <w:szCs w:val="24"/>
          <w:lang w:val="en-US"/>
        </w:rPr>
        <w:t>evaluate the sustainable long-term</w:t>
      </w:r>
      <w:r w:rsidR="00106F04" w:rsidRPr="008422FC">
        <w:rPr>
          <w:rFonts w:ascii="Arial" w:hAnsi="Arial" w:cs="Arial"/>
          <w:sz w:val="24"/>
          <w:szCs w:val="24"/>
          <w:lang w:val="en-US"/>
        </w:rPr>
        <w:t xml:space="preserve"> </w:t>
      </w:r>
      <w:r w:rsidR="00024B7A" w:rsidRPr="008422FC">
        <w:rPr>
          <w:rFonts w:ascii="Arial" w:hAnsi="Arial" w:cs="Arial"/>
          <w:sz w:val="24"/>
          <w:szCs w:val="24"/>
          <w:lang w:val="en-US"/>
        </w:rPr>
        <w:t>i</w:t>
      </w:r>
      <w:bookmarkStart w:id="1" w:name="_GoBack"/>
      <w:bookmarkEnd w:id="1"/>
      <w:r w:rsidR="00024B7A" w:rsidRPr="008422FC">
        <w:rPr>
          <w:rFonts w:ascii="Arial" w:hAnsi="Arial" w:cs="Arial"/>
          <w:sz w:val="24"/>
          <w:szCs w:val="24"/>
          <w:lang w:val="en-US"/>
        </w:rPr>
        <w:t>mpact</w:t>
      </w:r>
      <w:r w:rsidR="00106F04" w:rsidRPr="008422FC">
        <w:rPr>
          <w:rFonts w:ascii="Arial" w:hAnsi="Arial" w:cs="Arial"/>
          <w:sz w:val="24"/>
          <w:szCs w:val="24"/>
          <w:lang w:val="en-US"/>
        </w:rPr>
        <w:t xml:space="preserve"> of </w:t>
      </w:r>
      <w:r w:rsidR="002E3611" w:rsidRPr="008422FC">
        <w:rPr>
          <w:rFonts w:ascii="Arial" w:hAnsi="Arial" w:cs="Arial"/>
          <w:sz w:val="24"/>
          <w:szCs w:val="24"/>
          <w:lang w:val="en-US"/>
        </w:rPr>
        <w:t>real-time continuous glucose monitoring (</w:t>
      </w:r>
      <w:proofErr w:type="spellStart"/>
      <w:r w:rsidR="002E3611" w:rsidRPr="008422FC">
        <w:rPr>
          <w:rFonts w:ascii="Arial" w:hAnsi="Arial" w:cs="Arial"/>
          <w:sz w:val="24"/>
          <w:szCs w:val="24"/>
          <w:lang w:val="en-US"/>
        </w:rPr>
        <w:t>rtCGM</w:t>
      </w:r>
      <w:proofErr w:type="spellEnd"/>
      <w:r w:rsidR="002E3611" w:rsidRPr="008422FC">
        <w:rPr>
          <w:rFonts w:ascii="Arial" w:hAnsi="Arial" w:cs="Arial"/>
          <w:sz w:val="24"/>
          <w:szCs w:val="24"/>
          <w:lang w:val="en-US"/>
        </w:rPr>
        <w:t xml:space="preserve">) </w:t>
      </w:r>
      <w:r w:rsidR="00024B7A" w:rsidRPr="008422FC">
        <w:rPr>
          <w:rFonts w:ascii="Arial" w:hAnsi="Arial" w:cs="Arial"/>
          <w:sz w:val="24"/>
          <w:szCs w:val="24"/>
          <w:lang w:val="en-US"/>
        </w:rPr>
        <w:t>on</w:t>
      </w:r>
      <w:r w:rsidR="00106F04" w:rsidRPr="008422FC">
        <w:rPr>
          <w:rFonts w:ascii="Arial" w:hAnsi="Arial" w:cs="Arial"/>
          <w:sz w:val="24"/>
          <w:szCs w:val="24"/>
          <w:lang w:val="en-US"/>
        </w:rPr>
        <w:t xml:space="preserve"> </w:t>
      </w:r>
      <w:r w:rsidR="008422FC" w:rsidRPr="008422FC">
        <w:rPr>
          <w:rFonts w:ascii="Arial" w:hAnsi="Arial" w:cs="Arial"/>
          <w:sz w:val="24"/>
          <w:szCs w:val="24"/>
          <w:lang w:val="en-US"/>
        </w:rPr>
        <w:t>everyday lives of people with type 1 diabetes prone to hypoglycemia</w:t>
      </w:r>
      <w:r w:rsidR="00106F04" w:rsidRPr="008422FC">
        <w:rPr>
          <w:rFonts w:ascii="Arial" w:hAnsi="Arial" w:cs="Arial"/>
          <w:sz w:val="24"/>
          <w:szCs w:val="24"/>
          <w:lang w:val="en-US"/>
        </w:rPr>
        <w:t>.</w:t>
      </w:r>
    </w:p>
    <w:p w14:paraId="5B9BB855" w14:textId="77777777" w:rsidR="00106F04" w:rsidRPr="001D29F8" w:rsidRDefault="00012BE8" w:rsidP="001D29F8">
      <w:pPr>
        <w:spacing w:line="480" w:lineRule="auto"/>
        <w:jc w:val="both"/>
        <w:rPr>
          <w:rFonts w:ascii="Arial" w:hAnsi="Arial" w:cs="Arial"/>
          <w:b/>
          <w:sz w:val="24"/>
          <w:szCs w:val="24"/>
          <w:lang w:val="en-US"/>
        </w:rPr>
      </w:pPr>
      <w:r w:rsidRPr="001D29F8">
        <w:rPr>
          <w:rFonts w:ascii="Arial" w:hAnsi="Arial" w:cs="Arial"/>
          <w:b/>
          <w:sz w:val="24"/>
          <w:szCs w:val="24"/>
          <w:lang w:val="en-US"/>
        </w:rPr>
        <w:t xml:space="preserve">Research </w:t>
      </w:r>
      <w:r w:rsidR="00106F04" w:rsidRPr="001D29F8">
        <w:rPr>
          <w:rFonts w:ascii="Arial" w:hAnsi="Arial" w:cs="Arial"/>
          <w:b/>
          <w:sz w:val="24"/>
          <w:szCs w:val="24"/>
          <w:lang w:val="en-US"/>
        </w:rPr>
        <w:t>Design</w:t>
      </w:r>
      <w:r w:rsidRPr="001D29F8">
        <w:rPr>
          <w:rFonts w:ascii="Arial" w:hAnsi="Arial" w:cs="Arial"/>
          <w:b/>
          <w:sz w:val="24"/>
          <w:szCs w:val="24"/>
          <w:lang w:val="en-US"/>
        </w:rPr>
        <w:t xml:space="preserve"> and Methods</w:t>
      </w:r>
      <w:r w:rsidR="005855A3" w:rsidRPr="001D29F8">
        <w:rPr>
          <w:rFonts w:ascii="Arial" w:hAnsi="Arial" w:cs="Arial"/>
          <w:b/>
          <w:sz w:val="24"/>
          <w:szCs w:val="24"/>
          <w:lang w:val="en-US"/>
        </w:rPr>
        <w:t>:</w:t>
      </w:r>
      <w:r w:rsidR="00106F04" w:rsidRPr="008C10F2">
        <w:rPr>
          <w:rFonts w:ascii="Arial" w:hAnsi="Arial" w:cs="Arial"/>
          <w:sz w:val="24"/>
          <w:szCs w:val="24"/>
          <w:lang w:val="en-US"/>
        </w:rPr>
        <w:t xml:space="preserve"> </w:t>
      </w:r>
      <w:r w:rsidR="008C10F2" w:rsidRPr="008C10F2">
        <w:rPr>
          <w:rFonts w:ascii="Arial" w:hAnsi="Arial" w:cs="Arial"/>
          <w:sz w:val="24"/>
          <w:szCs w:val="24"/>
          <w:lang w:val="en-US"/>
        </w:rPr>
        <w:t>This 24-month, prospective, observational, cohort study followed 51</w:t>
      </w:r>
      <w:r w:rsidR="008C10F2">
        <w:rPr>
          <w:rFonts w:ascii="Arial" w:hAnsi="Arial" w:cs="Arial"/>
          <w:sz w:val="24"/>
          <w:szCs w:val="24"/>
          <w:lang w:val="en-US"/>
        </w:rPr>
        <w:t>5</w:t>
      </w:r>
      <w:r w:rsidR="008422FC">
        <w:rPr>
          <w:rFonts w:ascii="Arial" w:hAnsi="Arial" w:cs="Arial"/>
          <w:b/>
          <w:sz w:val="24"/>
          <w:szCs w:val="24"/>
          <w:lang w:val="en-US"/>
        </w:rPr>
        <w:t xml:space="preserve"> </w:t>
      </w:r>
      <w:r w:rsidR="008422FC">
        <w:rPr>
          <w:rFonts w:ascii="Arial" w:hAnsi="Arial" w:cs="Arial"/>
          <w:sz w:val="24"/>
          <w:szCs w:val="24"/>
          <w:lang w:val="en-US"/>
        </w:rPr>
        <w:t xml:space="preserve">adults </w:t>
      </w:r>
      <w:r w:rsidR="001A6447">
        <w:rPr>
          <w:rFonts w:ascii="Arial" w:hAnsi="Arial" w:cs="Arial"/>
          <w:sz w:val="24"/>
          <w:szCs w:val="24"/>
          <w:lang w:val="en-US"/>
        </w:rPr>
        <w:t>with an insulin pump</w:t>
      </w:r>
      <w:r w:rsidR="00C93055">
        <w:rPr>
          <w:rFonts w:ascii="Arial" w:hAnsi="Arial" w:cs="Arial"/>
          <w:sz w:val="24"/>
          <w:szCs w:val="24"/>
          <w:lang w:val="en-US"/>
        </w:rPr>
        <w:t xml:space="preserve"> </w:t>
      </w:r>
      <w:r w:rsidR="008422FC">
        <w:rPr>
          <w:rFonts w:ascii="Arial" w:hAnsi="Arial" w:cs="Arial"/>
          <w:sz w:val="24"/>
          <w:szCs w:val="24"/>
          <w:lang w:val="en-US"/>
        </w:rPr>
        <w:t xml:space="preserve">who received full reimbursement for </w:t>
      </w:r>
      <w:proofErr w:type="spellStart"/>
      <w:r w:rsidR="008422FC">
        <w:rPr>
          <w:rFonts w:ascii="Arial" w:hAnsi="Arial" w:cs="Arial"/>
          <w:sz w:val="24"/>
          <w:szCs w:val="24"/>
          <w:lang w:val="en-US"/>
        </w:rPr>
        <w:t>rtCGM</w:t>
      </w:r>
      <w:proofErr w:type="spellEnd"/>
      <w:r w:rsidR="00106F04" w:rsidRPr="001D29F8">
        <w:rPr>
          <w:rFonts w:ascii="Arial" w:hAnsi="Arial" w:cs="Arial"/>
          <w:sz w:val="24"/>
          <w:szCs w:val="24"/>
          <w:lang w:val="en-US"/>
        </w:rPr>
        <w:t>.</w:t>
      </w:r>
      <w:r w:rsidR="00C93055">
        <w:rPr>
          <w:rFonts w:ascii="Arial" w:hAnsi="Arial" w:cs="Arial"/>
          <w:sz w:val="24"/>
          <w:szCs w:val="24"/>
          <w:lang w:val="en-US"/>
        </w:rPr>
        <w:t xml:space="preserve"> </w:t>
      </w:r>
      <w:r w:rsidR="0038329D">
        <w:rPr>
          <w:rFonts w:ascii="Arial" w:hAnsi="Arial" w:cs="Arial"/>
          <w:sz w:val="24"/>
          <w:szCs w:val="24"/>
          <w:lang w:val="en-US"/>
        </w:rPr>
        <w:t>Forty-six percent</w:t>
      </w:r>
      <w:r w:rsidR="0038329D" w:rsidRPr="008C10F2">
        <w:rPr>
          <w:rFonts w:ascii="Arial" w:hAnsi="Arial" w:cs="Arial"/>
          <w:sz w:val="24"/>
          <w:szCs w:val="24"/>
          <w:lang w:val="en-US"/>
        </w:rPr>
        <w:t xml:space="preserve"> had impaired awareness of hypoglycemia</w:t>
      </w:r>
      <w:r w:rsidR="0038329D">
        <w:rPr>
          <w:rFonts w:ascii="Arial" w:hAnsi="Arial" w:cs="Arial"/>
          <w:sz w:val="24"/>
          <w:szCs w:val="24"/>
          <w:lang w:val="en-US"/>
        </w:rPr>
        <w:t xml:space="preserve"> (IAH)</w:t>
      </w:r>
      <w:r w:rsidR="0038329D" w:rsidRPr="008C10F2">
        <w:rPr>
          <w:rFonts w:ascii="Arial" w:hAnsi="Arial" w:cs="Arial"/>
          <w:sz w:val="24"/>
          <w:szCs w:val="24"/>
          <w:lang w:val="en-US"/>
        </w:rPr>
        <w:t>.</w:t>
      </w:r>
      <w:r w:rsidR="0038329D">
        <w:rPr>
          <w:rFonts w:ascii="Arial" w:hAnsi="Arial" w:cs="Arial"/>
          <w:sz w:val="24"/>
          <w:szCs w:val="24"/>
          <w:lang w:val="en-US"/>
        </w:rPr>
        <w:t xml:space="preserve"> </w:t>
      </w:r>
      <w:r w:rsidR="00C93055" w:rsidRPr="006818C6">
        <w:rPr>
          <w:rFonts w:ascii="Arial" w:hAnsi="Arial" w:cs="Arial"/>
          <w:sz w:val="24"/>
          <w:szCs w:val="24"/>
          <w:lang w:val="en-US"/>
        </w:rPr>
        <w:t xml:space="preserve">Primary endpoint was evolution of </w:t>
      </w:r>
      <w:r w:rsidR="00C93055">
        <w:rPr>
          <w:rFonts w:ascii="Arial" w:hAnsi="Arial" w:cs="Arial"/>
          <w:sz w:val="24"/>
          <w:szCs w:val="24"/>
          <w:lang w:val="en-US"/>
        </w:rPr>
        <w:t>HbA</w:t>
      </w:r>
      <w:r w:rsidR="00C93055" w:rsidRPr="00C93055">
        <w:rPr>
          <w:rFonts w:ascii="Arial" w:hAnsi="Arial" w:cs="Arial"/>
          <w:sz w:val="24"/>
          <w:szCs w:val="24"/>
          <w:vertAlign w:val="subscript"/>
          <w:lang w:val="en-US"/>
        </w:rPr>
        <w:t>1c</w:t>
      </w:r>
      <w:r w:rsidR="001A6447">
        <w:rPr>
          <w:rFonts w:ascii="Arial" w:hAnsi="Arial" w:cs="Arial"/>
          <w:sz w:val="24"/>
          <w:szCs w:val="24"/>
          <w:lang w:val="en-US"/>
        </w:rPr>
        <w:t>,</w:t>
      </w:r>
      <w:r w:rsidR="00C93055" w:rsidRPr="006818C6">
        <w:rPr>
          <w:rFonts w:ascii="Arial" w:hAnsi="Arial" w:cs="Arial"/>
          <w:sz w:val="24"/>
          <w:szCs w:val="24"/>
          <w:lang w:val="en-US"/>
        </w:rPr>
        <w:t xml:space="preserve"> </w:t>
      </w:r>
      <w:r w:rsidR="001A6447">
        <w:rPr>
          <w:rFonts w:ascii="Arial" w:hAnsi="Arial" w:cs="Arial"/>
          <w:sz w:val="24"/>
          <w:szCs w:val="24"/>
          <w:lang w:val="en-US"/>
        </w:rPr>
        <w:t>with s</w:t>
      </w:r>
      <w:r w:rsidR="00C93055" w:rsidRPr="006818C6">
        <w:rPr>
          <w:rFonts w:ascii="Arial" w:hAnsi="Arial" w:cs="Arial"/>
          <w:sz w:val="24"/>
          <w:szCs w:val="24"/>
          <w:lang w:val="en-US"/>
        </w:rPr>
        <w:t xml:space="preserve">econdary </w:t>
      </w:r>
      <w:r w:rsidR="00D27690">
        <w:rPr>
          <w:rFonts w:ascii="Arial" w:hAnsi="Arial" w:cs="Arial"/>
          <w:sz w:val="24"/>
          <w:szCs w:val="24"/>
          <w:lang w:val="en-US"/>
        </w:rPr>
        <w:t>endpoints</w:t>
      </w:r>
      <w:r w:rsidR="00C93055" w:rsidRPr="006818C6">
        <w:rPr>
          <w:rFonts w:ascii="Arial" w:hAnsi="Arial" w:cs="Arial"/>
          <w:sz w:val="24"/>
          <w:szCs w:val="24"/>
          <w:lang w:val="en-US"/>
        </w:rPr>
        <w:t xml:space="preserve"> change in acute diabetes complications, work absenteeism</w:t>
      </w:r>
      <w:r w:rsidR="00C93055">
        <w:rPr>
          <w:rFonts w:ascii="Arial" w:hAnsi="Arial" w:cs="Arial"/>
          <w:sz w:val="24"/>
          <w:szCs w:val="24"/>
          <w:lang w:val="en-US"/>
        </w:rPr>
        <w:t>, and quality of life</w:t>
      </w:r>
      <w:r w:rsidR="00C93055" w:rsidRPr="006818C6">
        <w:rPr>
          <w:rFonts w:ascii="Arial" w:hAnsi="Arial" w:cs="Arial"/>
          <w:sz w:val="24"/>
          <w:szCs w:val="24"/>
          <w:lang w:val="en-US"/>
        </w:rPr>
        <w:t>.</w:t>
      </w:r>
      <w:r w:rsidR="00C93055">
        <w:rPr>
          <w:rFonts w:ascii="Arial" w:hAnsi="Arial" w:cs="Arial"/>
          <w:sz w:val="24"/>
          <w:szCs w:val="24"/>
          <w:lang w:val="en-US"/>
        </w:rPr>
        <w:t xml:space="preserve"> Additionally, we evaluated if people could achieve glycemic consensus targets during follow-up.</w:t>
      </w:r>
    </w:p>
    <w:p w14:paraId="7FFB6ABE" w14:textId="77777777" w:rsidR="005855A3" w:rsidRPr="001D29F8" w:rsidRDefault="00106F04" w:rsidP="001D29F8">
      <w:pPr>
        <w:spacing w:line="480" w:lineRule="auto"/>
        <w:jc w:val="both"/>
        <w:rPr>
          <w:rFonts w:ascii="Arial" w:hAnsi="Arial" w:cs="Arial"/>
          <w:color w:val="FF0000"/>
          <w:sz w:val="24"/>
          <w:szCs w:val="24"/>
          <w:lang w:val="en-US"/>
        </w:rPr>
      </w:pPr>
      <w:r w:rsidRPr="0038329D">
        <w:rPr>
          <w:rFonts w:ascii="Arial" w:hAnsi="Arial" w:cs="Arial"/>
          <w:b/>
          <w:sz w:val="24"/>
          <w:szCs w:val="24"/>
          <w:lang w:val="en-US"/>
        </w:rPr>
        <w:t>Results</w:t>
      </w:r>
      <w:r w:rsidR="005855A3" w:rsidRPr="0038329D">
        <w:rPr>
          <w:rFonts w:ascii="Arial" w:hAnsi="Arial" w:cs="Arial"/>
          <w:b/>
          <w:sz w:val="24"/>
          <w:szCs w:val="24"/>
          <w:lang w:val="en-US"/>
        </w:rPr>
        <w:t>:</w:t>
      </w:r>
      <w:r w:rsidR="005855A3" w:rsidRPr="0038329D">
        <w:rPr>
          <w:rFonts w:ascii="Arial" w:hAnsi="Arial" w:cs="Arial"/>
          <w:sz w:val="24"/>
          <w:szCs w:val="24"/>
          <w:lang w:val="en-US"/>
        </w:rPr>
        <w:t xml:space="preserve"> </w:t>
      </w:r>
      <w:r w:rsidR="008C10F2">
        <w:rPr>
          <w:rFonts w:ascii="Arial" w:hAnsi="Arial" w:cs="Arial"/>
          <w:sz w:val="24"/>
          <w:szCs w:val="24"/>
          <w:lang w:val="en-US"/>
        </w:rPr>
        <w:t>After 24 months, HbA</w:t>
      </w:r>
      <w:r w:rsidR="008C10F2" w:rsidRPr="008C10F2">
        <w:rPr>
          <w:rFonts w:ascii="Arial" w:hAnsi="Arial" w:cs="Arial"/>
          <w:sz w:val="24"/>
          <w:szCs w:val="24"/>
          <w:vertAlign w:val="subscript"/>
          <w:lang w:val="en-US"/>
        </w:rPr>
        <w:t>1c</w:t>
      </w:r>
      <w:r w:rsidR="008C10F2">
        <w:rPr>
          <w:rFonts w:ascii="Arial" w:hAnsi="Arial" w:cs="Arial"/>
          <w:sz w:val="24"/>
          <w:szCs w:val="24"/>
          <w:lang w:val="en-US"/>
        </w:rPr>
        <w:t xml:space="preserve"> significantly </w:t>
      </w:r>
      <w:r w:rsidR="000154C6">
        <w:rPr>
          <w:rFonts w:ascii="Arial" w:hAnsi="Arial" w:cs="Arial"/>
          <w:sz w:val="24"/>
          <w:szCs w:val="24"/>
          <w:lang w:val="en-US"/>
        </w:rPr>
        <w:t>declined</w:t>
      </w:r>
      <w:r w:rsidR="008C10F2">
        <w:rPr>
          <w:rFonts w:ascii="Arial" w:hAnsi="Arial" w:cs="Arial"/>
          <w:sz w:val="24"/>
          <w:szCs w:val="24"/>
          <w:lang w:val="en-US"/>
        </w:rPr>
        <w:t xml:space="preserve"> compared to baseline </w:t>
      </w:r>
      <w:r w:rsidR="008C10F2" w:rsidRPr="001D29F8">
        <w:rPr>
          <w:rFonts w:ascii="Arial" w:hAnsi="Arial" w:cs="Arial"/>
          <w:sz w:val="24"/>
          <w:szCs w:val="24"/>
          <w:lang w:val="en-US"/>
        </w:rPr>
        <w:t>(7.4%</w:t>
      </w:r>
      <w:r w:rsidR="00E93C6F">
        <w:rPr>
          <w:rFonts w:ascii="Arial" w:hAnsi="Arial" w:cs="Arial"/>
          <w:sz w:val="24"/>
          <w:szCs w:val="24"/>
          <w:lang w:val="en-US"/>
        </w:rPr>
        <w:t xml:space="preserve"> [</w:t>
      </w:r>
      <w:r w:rsidR="008C10F2" w:rsidRPr="001D29F8">
        <w:rPr>
          <w:rFonts w:ascii="Arial" w:hAnsi="Arial" w:cs="Arial"/>
          <w:sz w:val="24"/>
          <w:szCs w:val="24"/>
          <w:lang w:val="en-US"/>
        </w:rPr>
        <w:t xml:space="preserve">57 </w:t>
      </w:r>
      <w:proofErr w:type="spellStart"/>
      <w:r w:rsidR="008C10F2" w:rsidRPr="001D29F8">
        <w:rPr>
          <w:rFonts w:ascii="Arial" w:hAnsi="Arial" w:cs="Arial"/>
          <w:sz w:val="24"/>
          <w:szCs w:val="24"/>
          <w:lang w:val="en-US"/>
        </w:rPr>
        <w:t>mmol</w:t>
      </w:r>
      <w:proofErr w:type="spellEnd"/>
      <w:r w:rsidR="008C10F2" w:rsidRPr="001D29F8">
        <w:rPr>
          <w:rFonts w:ascii="Arial" w:hAnsi="Arial" w:cs="Arial"/>
          <w:sz w:val="24"/>
          <w:szCs w:val="24"/>
          <w:lang w:val="en-US"/>
        </w:rPr>
        <w:t>/</w:t>
      </w:r>
      <w:proofErr w:type="spellStart"/>
      <w:r w:rsidR="008C10F2" w:rsidRPr="001D29F8">
        <w:rPr>
          <w:rFonts w:ascii="Arial" w:hAnsi="Arial" w:cs="Arial"/>
          <w:sz w:val="24"/>
          <w:szCs w:val="24"/>
          <w:lang w:val="en-US"/>
        </w:rPr>
        <w:t>mol</w:t>
      </w:r>
      <w:proofErr w:type="spellEnd"/>
      <w:r w:rsidR="008C10F2" w:rsidRPr="001D29F8">
        <w:rPr>
          <w:rFonts w:ascii="Arial" w:hAnsi="Arial" w:cs="Arial"/>
          <w:sz w:val="24"/>
          <w:szCs w:val="24"/>
          <w:lang w:val="en-US"/>
        </w:rPr>
        <w:t xml:space="preserve">] </w:t>
      </w:r>
      <w:r w:rsidR="008C10F2">
        <w:rPr>
          <w:rFonts w:ascii="Arial" w:hAnsi="Arial" w:cs="Arial"/>
          <w:sz w:val="24"/>
          <w:szCs w:val="24"/>
          <w:lang w:val="en-US"/>
        </w:rPr>
        <w:t>vs</w:t>
      </w:r>
      <w:r w:rsidR="008C10F2" w:rsidRPr="001D29F8">
        <w:rPr>
          <w:rFonts w:ascii="Arial" w:hAnsi="Arial" w:cs="Arial"/>
          <w:sz w:val="24"/>
          <w:szCs w:val="24"/>
          <w:lang w:val="en-US"/>
        </w:rPr>
        <w:t xml:space="preserve"> </w:t>
      </w:r>
      <w:r w:rsidR="00E93C6F" w:rsidRPr="001D29F8">
        <w:rPr>
          <w:rFonts w:ascii="Arial" w:hAnsi="Arial" w:cs="Arial"/>
          <w:sz w:val="24"/>
          <w:szCs w:val="24"/>
          <w:lang w:val="en-US"/>
        </w:rPr>
        <w:t xml:space="preserve">7.7% </w:t>
      </w:r>
      <w:r w:rsidR="00E93C6F">
        <w:rPr>
          <w:rFonts w:ascii="Arial" w:hAnsi="Arial" w:cs="Arial"/>
          <w:sz w:val="24"/>
          <w:szCs w:val="24"/>
          <w:lang w:val="en-US"/>
        </w:rPr>
        <w:t>[</w:t>
      </w:r>
      <w:r w:rsidR="00E93C6F" w:rsidRPr="001D29F8">
        <w:rPr>
          <w:rFonts w:ascii="Arial" w:hAnsi="Arial" w:cs="Arial"/>
          <w:sz w:val="24"/>
          <w:szCs w:val="24"/>
          <w:lang w:val="en-US"/>
        </w:rPr>
        <w:t xml:space="preserve">61 </w:t>
      </w:r>
      <w:proofErr w:type="spellStart"/>
      <w:r w:rsidR="00E93C6F" w:rsidRPr="001D29F8">
        <w:rPr>
          <w:rFonts w:ascii="Arial" w:hAnsi="Arial" w:cs="Arial"/>
          <w:sz w:val="24"/>
          <w:szCs w:val="24"/>
          <w:lang w:val="en-US"/>
        </w:rPr>
        <w:t>mmol</w:t>
      </w:r>
      <w:proofErr w:type="spellEnd"/>
      <w:r w:rsidR="00E93C6F" w:rsidRPr="001D29F8">
        <w:rPr>
          <w:rFonts w:ascii="Arial" w:hAnsi="Arial" w:cs="Arial"/>
          <w:sz w:val="24"/>
          <w:szCs w:val="24"/>
          <w:lang w:val="en-US"/>
        </w:rPr>
        <w:t>/</w:t>
      </w:r>
      <w:proofErr w:type="spellStart"/>
      <w:r w:rsidR="00E93C6F" w:rsidRPr="001D29F8">
        <w:rPr>
          <w:rFonts w:ascii="Arial" w:hAnsi="Arial" w:cs="Arial"/>
          <w:sz w:val="24"/>
          <w:szCs w:val="24"/>
          <w:lang w:val="en-US"/>
        </w:rPr>
        <w:t>mol</w:t>
      </w:r>
      <w:proofErr w:type="spellEnd"/>
      <w:r w:rsidR="00E93C6F" w:rsidRPr="001D29F8">
        <w:rPr>
          <w:rFonts w:ascii="Arial" w:hAnsi="Arial" w:cs="Arial"/>
          <w:sz w:val="24"/>
          <w:szCs w:val="24"/>
          <w:lang w:val="en-US"/>
        </w:rPr>
        <w:t>]</w:t>
      </w:r>
      <w:r w:rsidR="008C10F2" w:rsidRPr="001D29F8">
        <w:rPr>
          <w:rFonts w:ascii="Arial" w:hAnsi="Arial" w:cs="Arial"/>
          <w:sz w:val="24"/>
          <w:szCs w:val="24"/>
          <w:lang w:val="en-US"/>
        </w:rPr>
        <w:t>, p&lt;0.0001)</w:t>
      </w:r>
      <w:r w:rsidR="00E93C6F">
        <w:rPr>
          <w:rFonts w:ascii="Arial" w:hAnsi="Arial" w:cs="Arial"/>
          <w:sz w:val="24"/>
          <w:szCs w:val="24"/>
          <w:lang w:val="en-US"/>
        </w:rPr>
        <w:t xml:space="preserve">. Sustainable benefit was also observed for </w:t>
      </w:r>
      <w:r w:rsidR="0038329D">
        <w:rPr>
          <w:rFonts w:ascii="Arial" w:hAnsi="Arial" w:cs="Arial"/>
          <w:sz w:val="24"/>
          <w:szCs w:val="24"/>
          <w:lang w:val="en-US"/>
        </w:rPr>
        <w:t xml:space="preserve">fear of hypoglycemia and </w:t>
      </w:r>
      <w:r w:rsidR="00E93C6F">
        <w:rPr>
          <w:rFonts w:ascii="Arial" w:hAnsi="Arial" w:cs="Arial"/>
          <w:sz w:val="24"/>
          <w:szCs w:val="24"/>
          <w:lang w:val="en-US"/>
        </w:rPr>
        <w:t>hypoglycemia-related complications irrespective of hypoglycemia awareness</w:t>
      </w:r>
      <w:r w:rsidR="000154C6">
        <w:rPr>
          <w:rFonts w:ascii="Arial" w:hAnsi="Arial" w:cs="Arial"/>
          <w:sz w:val="24"/>
          <w:szCs w:val="24"/>
          <w:lang w:val="en-US"/>
        </w:rPr>
        <w:t xml:space="preserve"> level</w:t>
      </w:r>
      <w:r w:rsidR="00E93C6F">
        <w:rPr>
          <w:rFonts w:ascii="Arial" w:hAnsi="Arial" w:cs="Arial"/>
          <w:sz w:val="24"/>
          <w:szCs w:val="24"/>
          <w:lang w:val="en-US"/>
        </w:rPr>
        <w:t xml:space="preserve">. However, people with </w:t>
      </w:r>
      <w:r w:rsidR="0038329D">
        <w:rPr>
          <w:rFonts w:ascii="Arial" w:hAnsi="Arial" w:cs="Arial"/>
          <w:sz w:val="24"/>
          <w:szCs w:val="24"/>
          <w:lang w:val="en-US"/>
        </w:rPr>
        <w:t>IAH</w:t>
      </w:r>
      <w:r w:rsidR="000154C6">
        <w:rPr>
          <w:rFonts w:ascii="Arial" w:hAnsi="Arial" w:cs="Arial"/>
          <w:sz w:val="24"/>
          <w:szCs w:val="24"/>
          <w:lang w:val="en-US"/>
        </w:rPr>
        <w:t xml:space="preserve"> had the strongest improvement</w:t>
      </w:r>
      <w:r w:rsidR="001A6447">
        <w:rPr>
          <w:rFonts w:ascii="Arial" w:hAnsi="Arial" w:cs="Arial"/>
          <w:sz w:val="24"/>
          <w:szCs w:val="24"/>
          <w:lang w:val="en-US"/>
        </w:rPr>
        <w:t>,</w:t>
      </w:r>
      <w:r w:rsidR="00E93C6F">
        <w:rPr>
          <w:rFonts w:ascii="Arial" w:hAnsi="Arial" w:cs="Arial"/>
          <w:sz w:val="24"/>
          <w:szCs w:val="24"/>
          <w:lang w:val="en-US"/>
        </w:rPr>
        <w:t xml:space="preserve"> </w:t>
      </w:r>
      <w:r w:rsidR="008158AA">
        <w:rPr>
          <w:rFonts w:ascii="Arial" w:hAnsi="Arial" w:cs="Arial"/>
          <w:sz w:val="24"/>
          <w:szCs w:val="24"/>
          <w:lang w:val="en-US"/>
        </w:rPr>
        <w:t>especially for hypoglycemi</w:t>
      </w:r>
      <w:r w:rsidR="0038329D">
        <w:rPr>
          <w:rFonts w:ascii="Arial" w:hAnsi="Arial" w:cs="Arial"/>
          <w:sz w:val="24"/>
          <w:szCs w:val="24"/>
          <w:lang w:val="en-US"/>
        </w:rPr>
        <w:t>c events</w:t>
      </w:r>
      <w:r w:rsidR="008158AA">
        <w:rPr>
          <w:rFonts w:ascii="Arial" w:hAnsi="Arial" w:cs="Arial"/>
          <w:sz w:val="24"/>
          <w:szCs w:val="24"/>
          <w:lang w:val="en-US"/>
        </w:rPr>
        <w:t xml:space="preserve"> needing help from others to recover </w:t>
      </w:r>
      <w:r w:rsidR="00E93C6F">
        <w:rPr>
          <w:rFonts w:ascii="Arial" w:hAnsi="Arial" w:cs="Arial"/>
          <w:sz w:val="24"/>
          <w:szCs w:val="24"/>
          <w:lang w:val="en-US"/>
        </w:rPr>
        <w:t xml:space="preserve">(813 events in year before vs 141 events per 100 patient-years in </w:t>
      </w:r>
      <w:r w:rsidR="00310E87">
        <w:rPr>
          <w:rFonts w:ascii="Arial" w:hAnsi="Arial" w:cs="Arial"/>
          <w:sz w:val="24"/>
          <w:szCs w:val="24"/>
          <w:lang w:val="en-US"/>
        </w:rPr>
        <w:t>second</w:t>
      </w:r>
      <w:r w:rsidR="00E93C6F">
        <w:rPr>
          <w:rFonts w:ascii="Arial" w:hAnsi="Arial" w:cs="Arial"/>
          <w:sz w:val="24"/>
          <w:szCs w:val="24"/>
          <w:lang w:val="en-US"/>
        </w:rPr>
        <w:t xml:space="preserve"> year, p&lt;0.0001).</w:t>
      </w:r>
      <w:r w:rsidR="008158AA">
        <w:rPr>
          <w:rFonts w:ascii="Arial" w:hAnsi="Arial" w:cs="Arial"/>
          <w:sz w:val="24"/>
          <w:szCs w:val="24"/>
          <w:lang w:val="en-US"/>
        </w:rPr>
        <w:t xml:space="preserve"> Over </w:t>
      </w:r>
      <w:r w:rsidR="00310E87">
        <w:rPr>
          <w:rFonts w:ascii="Arial" w:hAnsi="Arial" w:cs="Arial"/>
          <w:sz w:val="24"/>
          <w:szCs w:val="24"/>
          <w:lang w:val="en-US"/>
        </w:rPr>
        <w:t>24 months</w:t>
      </w:r>
      <w:r w:rsidR="008158AA">
        <w:rPr>
          <w:rFonts w:ascii="Arial" w:hAnsi="Arial" w:cs="Arial"/>
          <w:sz w:val="24"/>
          <w:szCs w:val="24"/>
          <w:lang w:val="en-US"/>
        </w:rPr>
        <w:t xml:space="preserve">, more people were able to meet hypoglycemia targets at the expense of slightly less people achieving hyperglycemia targets. Furthermore, number of people </w:t>
      </w:r>
      <w:r w:rsidR="0038329D">
        <w:rPr>
          <w:rFonts w:ascii="Arial" w:hAnsi="Arial" w:cs="Arial"/>
          <w:sz w:val="24"/>
          <w:szCs w:val="24"/>
          <w:lang w:val="en-US"/>
        </w:rPr>
        <w:t>with</w:t>
      </w:r>
      <w:r w:rsidR="008158AA">
        <w:rPr>
          <w:rFonts w:ascii="Arial" w:hAnsi="Arial" w:cs="Arial"/>
          <w:sz w:val="24"/>
          <w:szCs w:val="24"/>
          <w:lang w:val="en-US"/>
        </w:rPr>
        <w:t xml:space="preserve"> HbA</w:t>
      </w:r>
      <w:r w:rsidR="008158AA" w:rsidRPr="0038329D">
        <w:rPr>
          <w:rFonts w:ascii="Arial" w:hAnsi="Arial" w:cs="Arial"/>
          <w:sz w:val="24"/>
          <w:szCs w:val="24"/>
          <w:vertAlign w:val="subscript"/>
          <w:lang w:val="en-US"/>
        </w:rPr>
        <w:t>1c</w:t>
      </w:r>
      <w:r w:rsidR="008158AA">
        <w:rPr>
          <w:rFonts w:ascii="Arial" w:hAnsi="Arial" w:cs="Arial"/>
          <w:sz w:val="24"/>
          <w:szCs w:val="24"/>
          <w:lang w:val="en-US"/>
        </w:rPr>
        <w:t xml:space="preserve"> &lt;7% (&lt;53 </w:t>
      </w:r>
      <w:proofErr w:type="spellStart"/>
      <w:r w:rsidR="008158AA">
        <w:rPr>
          <w:rFonts w:ascii="Arial" w:hAnsi="Arial" w:cs="Arial"/>
          <w:sz w:val="24"/>
          <w:szCs w:val="24"/>
          <w:lang w:val="en-US"/>
        </w:rPr>
        <w:t>mmol</w:t>
      </w:r>
      <w:proofErr w:type="spellEnd"/>
      <w:r w:rsidR="008158AA">
        <w:rPr>
          <w:rFonts w:ascii="Arial" w:hAnsi="Arial" w:cs="Arial"/>
          <w:sz w:val="24"/>
          <w:szCs w:val="24"/>
          <w:lang w:val="en-US"/>
        </w:rPr>
        <w:t>/</w:t>
      </w:r>
      <w:proofErr w:type="spellStart"/>
      <w:r w:rsidR="008158AA">
        <w:rPr>
          <w:rFonts w:ascii="Arial" w:hAnsi="Arial" w:cs="Arial"/>
          <w:sz w:val="24"/>
          <w:szCs w:val="24"/>
          <w:lang w:val="en-US"/>
        </w:rPr>
        <w:t>mol</w:t>
      </w:r>
      <w:proofErr w:type="spellEnd"/>
      <w:r w:rsidR="008158AA">
        <w:rPr>
          <w:rFonts w:ascii="Arial" w:hAnsi="Arial" w:cs="Arial"/>
          <w:sz w:val="24"/>
          <w:szCs w:val="24"/>
          <w:lang w:val="en-US"/>
        </w:rPr>
        <w:t xml:space="preserve">) without severe hypoglycemia more than doubled </w:t>
      </w:r>
      <w:r w:rsidR="0038329D">
        <w:rPr>
          <w:rFonts w:ascii="Arial" w:hAnsi="Arial" w:cs="Arial"/>
          <w:sz w:val="24"/>
          <w:szCs w:val="24"/>
          <w:lang w:val="en-US"/>
        </w:rPr>
        <w:t>(8.6% vs 19.5%, p&lt;0.0001).</w:t>
      </w:r>
    </w:p>
    <w:p w14:paraId="6B3B015E" w14:textId="271616C1" w:rsidR="00C93055" w:rsidRPr="001D29F8" w:rsidRDefault="00106F04" w:rsidP="00C93055">
      <w:pPr>
        <w:spacing w:after="0" w:line="480" w:lineRule="auto"/>
        <w:jc w:val="both"/>
        <w:rPr>
          <w:rFonts w:ascii="Arial" w:hAnsi="Arial" w:cs="Arial"/>
          <w:sz w:val="24"/>
          <w:szCs w:val="24"/>
          <w:lang w:val="en-US"/>
        </w:rPr>
      </w:pPr>
      <w:r w:rsidRPr="00C93055">
        <w:rPr>
          <w:rFonts w:ascii="Arial" w:hAnsi="Arial" w:cs="Arial"/>
          <w:b/>
          <w:sz w:val="24"/>
          <w:szCs w:val="24"/>
          <w:lang w:val="en-US"/>
        </w:rPr>
        <w:t>Conclusion</w:t>
      </w:r>
      <w:r w:rsidR="005855A3" w:rsidRPr="00C93055">
        <w:rPr>
          <w:rFonts w:ascii="Arial" w:hAnsi="Arial" w:cs="Arial"/>
          <w:b/>
          <w:sz w:val="24"/>
          <w:szCs w:val="24"/>
          <w:lang w:val="en-US"/>
        </w:rPr>
        <w:t>:</w:t>
      </w:r>
      <w:r w:rsidR="00B71AC3" w:rsidRPr="00C93055">
        <w:rPr>
          <w:rFonts w:ascii="Arial" w:hAnsi="Arial" w:cs="Arial"/>
          <w:sz w:val="24"/>
          <w:szCs w:val="24"/>
          <w:lang w:val="en-US"/>
        </w:rPr>
        <w:t xml:space="preserve"> </w:t>
      </w:r>
      <w:r w:rsidR="000154C6">
        <w:rPr>
          <w:rFonts w:ascii="Arial" w:hAnsi="Arial" w:cs="Arial"/>
          <w:sz w:val="24"/>
          <w:szCs w:val="24"/>
          <w:lang w:val="en-US"/>
        </w:rPr>
        <w:t>U</w:t>
      </w:r>
      <w:r w:rsidR="00C93055" w:rsidRPr="001D29F8">
        <w:rPr>
          <w:rFonts w:ascii="Arial" w:hAnsi="Arial" w:cs="Arial"/>
          <w:sz w:val="24"/>
          <w:szCs w:val="24"/>
          <w:lang w:val="en-US"/>
        </w:rPr>
        <w:t xml:space="preserve">se of </w:t>
      </w:r>
      <w:proofErr w:type="spellStart"/>
      <w:r w:rsidR="00C93055" w:rsidRPr="001D29F8">
        <w:rPr>
          <w:rFonts w:ascii="Arial" w:hAnsi="Arial" w:cs="Arial"/>
          <w:sz w:val="24"/>
          <w:szCs w:val="24"/>
          <w:lang w:val="en-US"/>
        </w:rPr>
        <w:t>rtCGM</w:t>
      </w:r>
      <w:proofErr w:type="spellEnd"/>
      <w:r w:rsidR="00C93055" w:rsidRPr="001D29F8">
        <w:rPr>
          <w:rFonts w:ascii="Arial" w:hAnsi="Arial" w:cs="Arial"/>
          <w:sz w:val="24"/>
          <w:szCs w:val="24"/>
          <w:lang w:val="en-US"/>
        </w:rPr>
        <w:t xml:space="preserve"> in this </w:t>
      </w:r>
      <w:r w:rsidR="00C93055">
        <w:rPr>
          <w:rFonts w:ascii="Arial" w:hAnsi="Arial" w:cs="Arial"/>
          <w:sz w:val="24"/>
          <w:szCs w:val="24"/>
          <w:lang w:val="en-US"/>
        </w:rPr>
        <w:t>hypoglycemia-prone</w:t>
      </w:r>
      <w:r w:rsidR="00C93055" w:rsidRPr="001D29F8">
        <w:rPr>
          <w:rFonts w:ascii="Arial" w:hAnsi="Arial" w:cs="Arial"/>
          <w:sz w:val="24"/>
          <w:szCs w:val="24"/>
          <w:lang w:val="en-US"/>
        </w:rPr>
        <w:t xml:space="preserve"> population led to severe hypoglycemia reduction </w:t>
      </w:r>
      <w:r w:rsidR="002E2325">
        <w:rPr>
          <w:rFonts w:ascii="Arial" w:hAnsi="Arial" w:cs="Arial"/>
          <w:sz w:val="24"/>
          <w:szCs w:val="24"/>
          <w:lang w:val="en-US"/>
        </w:rPr>
        <w:t>with less fear</w:t>
      </w:r>
      <w:r w:rsidR="002E2325" w:rsidRPr="001D29F8">
        <w:rPr>
          <w:rFonts w:ascii="Arial" w:hAnsi="Arial" w:cs="Arial"/>
          <w:sz w:val="24"/>
          <w:szCs w:val="24"/>
          <w:lang w:val="en-US"/>
        </w:rPr>
        <w:t xml:space="preserve"> of hypoglycemia</w:t>
      </w:r>
      <w:r w:rsidR="002E2325">
        <w:rPr>
          <w:rFonts w:ascii="Arial" w:hAnsi="Arial" w:cs="Arial"/>
          <w:sz w:val="24"/>
          <w:szCs w:val="24"/>
          <w:lang w:val="en-US"/>
        </w:rPr>
        <w:t xml:space="preserve">, </w:t>
      </w:r>
      <w:r w:rsidR="002E2325">
        <w:rPr>
          <w:rFonts w:ascii="Arial" w:hAnsi="Arial" w:cs="Arial"/>
          <w:sz w:val="24"/>
          <w:szCs w:val="24"/>
          <w:lang w:val="en-US"/>
        </w:rPr>
        <w:t xml:space="preserve">which </w:t>
      </w:r>
      <w:r w:rsidR="00925579">
        <w:rPr>
          <w:rFonts w:ascii="Arial" w:hAnsi="Arial" w:cs="Arial"/>
          <w:sz w:val="24"/>
          <w:szCs w:val="24"/>
          <w:lang w:val="en-US"/>
        </w:rPr>
        <w:t>has</w:t>
      </w:r>
      <w:r w:rsidR="00C93055" w:rsidRPr="001D29F8">
        <w:rPr>
          <w:rFonts w:ascii="Arial" w:hAnsi="Arial" w:cs="Arial"/>
          <w:sz w:val="24"/>
          <w:szCs w:val="24"/>
          <w:lang w:val="en-US"/>
        </w:rPr>
        <w:t xml:space="preserve"> </w:t>
      </w:r>
      <w:r w:rsidR="00C93055" w:rsidRPr="001D29F8">
        <w:rPr>
          <w:rFonts w:ascii="Arial" w:hAnsi="Arial" w:cs="Arial"/>
          <w:sz w:val="24"/>
          <w:szCs w:val="24"/>
          <w:lang w:val="en-US"/>
        </w:rPr>
        <w:t>important implication</w:t>
      </w:r>
      <w:r w:rsidR="00925579">
        <w:rPr>
          <w:rFonts w:ascii="Arial" w:hAnsi="Arial" w:cs="Arial"/>
          <w:sz w:val="24"/>
          <w:szCs w:val="24"/>
          <w:lang w:val="en-US"/>
        </w:rPr>
        <w:t>s</w:t>
      </w:r>
      <w:r w:rsidR="00C93055" w:rsidRPr="001D29F8">
        <w:rPr>
          <w:rFonts w:ascii="Arial" w:hAnsi="Arial" w:cs="Arial"/>
          <w:sz w:val="24"/>
          <w:szCs w:val="24"/>
          <w:lang w:val="en-US"/>
        </w:rPr>
        <w:t xml:space="preserve"> for </w:t>
      </w:r>
      <w:r w:rsidR="002E2325">
        <w:rPr>
          <w:rFonts w:ascii="Arial" w:hAnsi="Arial" w:cs="Arial"/>
          <w:sz w:val="24"/>
          <w:szCs w:val="24"/>
          <w:lang w:val="en-US"/>
        </w:rPr>
        <w:t>the daily lives of our patients</w:t>
      </w:r>
      <w:r w:rsidR="00C93055" w:rsidRPr="001D29F8">
        <w:rPr>
          <w:rFonts w:ascii="Arial" w:hAnsi="Arial" w:cs="Arial"/>
          <w:sz w:val="24"/>
          <w:szCs w:val="24"/>
          <w:lang w:val="en-US"/>
        </w:rPr>
        <w:t>.</w:t>
      </w:r>
    </w:p>
    <w:p w14:paraId="51B06736" w14:textId="77777777" w:rsidR="00455DA0" w:rsidRPr="001D29F8" w:rsidRDefault="00455DA0" w:rsidP="001D29F8">
      <w:pPr>
        <w:spacing w:line="480" w:lineRule="auto"/>
        <w:jc w:val="both"/>
        <w:rPr>
          <w:rFonts w:ascii="Arial" w:hAnsi="Arial" w:cs="Arial"/>
          <w:color w:val="FF0000"/>
          <w:sz w:val="24"/>
          <w:szCs w:val="24"/>
          <w:lang w:val="en-US"/>
        </w:rPr>
      </w:pPr>
    </w:p>
    <w:p w14:paraId="77746A64" w14:textId="77777777" w:rsidR="00455DA0" w:rsidRPr="001D29F8" w:rsidRDefault="00455DA0" w:rsidP="001D29F8">
      <w:pPr>
        <w:autoSpaceDE w:val="0"/>
        <w:autoSpaceDN w:val="0"/>
        <w:adjustRightInd w:val="0"/>
        <w:spacing w:after="0" w:line="480" w:lineRule="auto"/>
        <w:jc w:val="both"/>
        <w:rPr>
          <w:rFonts w:ascii="Arial" w:hAnsi="Arial" w:cs="Arial"/>
          <w:color w:val="FF0000"/>
          <w:sz w:val="24"/>
          <w:szCs w:val="24"/>
          <w:lang w:val="en-US"/>
        </w:rPr>
      </w:pPr>
    </w:p>
    <w:p w14:paraId="48226E1F" w14:textId="77777777" w:rsidR="00455DA0" w:rsidRPr="001D29F8" w:rsidRDefault="00455DA0" w:rsidP="001D29F8">
      <w:pPr>
        <w:autoSpaceDE w:val="0"/>
        <w:autoSpaceDN w:val="0"/>
        <w:adjustRightInd w:val="0"/>
        <w:spacing w:after="0" w:line="480" w:lineRule="auto"/>
        <w:jc w:val="both"/>
        <w:rPr>
          <w:rFonts w:ascii="Arial" w:hAnsi="Arial" w:cs="Arial"/>
          <w:color w:val="FF0000"/>
          <w:sz w:val="24"/>
          <w:szCs w:val="24"/>
          <w:lang w:val="en-US"/>
        </w:rPr>
      </w:pPr>
    </w:p>
    <w:p w14:paraId="6BE77566" w14:textId="77777777" w:rsidR="00455DA0" w:rsidRPr="001D29F8" w:rsidRDefault="00455DA0" w:rsidP="001D29F8">
      <w:pPr>
        <w:autoSpaceDE w:val="0"/>
        <w:autoSpaceDN w:val="0"/>
        <w:adjustRightInd w:val="0"/>
        <w:spacing w:after="0" w:line="480" w:lineRule="auto"/>
        <w:jc w:val="both"/>
        <w:rPr>
          <w:rFonts w:ascii="Arial" w:hAnsi="Arial" w:cs="Arial"/>
          <w:color w:val="FF0000"/>
          <w:sz w:val="24"/>
          <w:szCs w:val="24"/>
          <w:lang w:val="en-US"/>
        </w:rPr>
      </w:pPr>
    </w:p>
    <w:p w14:paraId="298FB79A" w14:textId="77777777" w:rsidR="00455DA0" w:rsidRDefault="00455DA0" w:rsidP="001D29F8">
      <w:pPr>
        <w:autoSpaceDE w:val="0"/>
        <w:autoSpaceDN w:val="0"/>
        <w:adjustRightInd w:val="0"/>
        <w:spacing w:after="0" w:line="480" w:lineRule="auto"/>
        <w:jc w:val="both"/>
        <w:rPr>
          <w:rFonts w:ascii="Arial" w:hAnsi="Arial" w:cs="Arial"/>
          <w:color w:val="FF0000"/>
          <w:sz w:val="24"/>
          <w:szCs w:val="24"/>
          <w:lang w:val="en-US"/>
        </w:rPr>
      </w:pPr>
    </w:p>
    <w:p w14:paraId="09835801"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0ED3D5AA"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6FB8902E"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1680221C"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4CA94724"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151B080C"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49107147"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16D67E1F"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3DB1301F"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518FEC54"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196A2EE8"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19962C56"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312F9F9B"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0B0AD846"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3A17BC8A" w14:textId="77777777" w:rsidR="0009148D"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3BA8BC12" w14:textId="77777777" w:rsidR="0009148D" w:rsidRPr="001D29F8" w:rsidRDefault="0009148D" w:rsidP="001D29F8">
      <w:pPr>
        <w:autoSpaceDE w:val="0"/>
        <w:autoSpaceDN w:val="0"/>
        <w:adjustRightInd w:val="0"/>
        <w:spacing w:after="0" w:line="480" w:lineRule="auto"/>
        <w:jc w:val="both"/>
        <w:rPr>
          <w:rFonts w:ascii="Arial" w:hAnsi="Arial" w:cs="Arial"/>
          <w:color w:val="FF0000"/>
          <w:sz w:val="24"/>
          <w:szCs w:val="24"/>
          <w:lang w:val="en-US"/>
        </w:rPr>
      </w:pPr>
    </w:p>
    <w:p w14:paraId="5343D262" w14:textId="77777777" w:rsidR="00455DA0" w:rsidRPr="001D29F8" w:rsidRDefault="00455DA0" w:rsidP="001D29F8">
      <w:pPr>
        <w:autoSpaceDE w:val="0"/>
        <w:autoSpaceDN w:val="0"/>
        <w:adjustRightInd w:val="0"/>
        <w:spacing w:after="0" w:line="480" w:lineRule="auto"/>
        <w:jc w:val="both"/>
        <w:rPr>
          <w:rFonts w:ascii="Arial" w:hAnsi="Arial" w:cs="Arial"/>
          <w:color w:val="FF0000"/>
          <w:sz w:val="24"/>
          <w:szCs w:val="24"/>
          <w:lang w:val="en-US"/>
        </w:rPr>
      </w:pPr>
    </w:p>
    <w:p w14:paraId="6BEADD41" w14:textId="77777777" w:rsidR="00024B7A" w:rsidRPr="001D29F8" w:rsidRDefault="001D29F8" w:rsidP="001D29F8">
      <w:pPr>
        <w:rPr>
          <w:rFonts w:ascii="Arial" w:hAnsi="Arial" w:cs="Arial"/>
          <w:b/>
          <w:sz w:val="24"/>
          <w:lang w:val="en-US"/>
        </w:rPr>
      </w:pPr>
      <w:r w:rsidRPr="001D29F8">
        <w:rPr>
          <w:rFonts w:ascii="Arial" w:hAnsi="Arial" w:cs="Arial"/>
          <w:b/>
          <w:sz w:val="24"/>
          <w:lang w:val="en-US"/>
        </w:rPr>
        <w:t>INTRODUCTION</w:t>
      </w:r>
    </w:p>
    <w:p w14:paraId="2C36F6C8" w14:textId="77777777" w:rsidR="000010ED" w:rsidRPr="001D29F8" w:rsidRDefault="006C714A" w:rsidP="001D29F8">
      <w:pPr>
        <w:spacing w:line="480" w:lineRule="auto"/>
        <w:jc w:val="both"/>
        <w:rPr>
          <w:rFonts w:ascii="Arial" w:hAnsi="Arial" w:cs="Arial"/>
          <w:sz w:val="24"/>
          <w:szCs w:val="24"/>
          <w:lang w:val="en-US"/>
        </w:rPr>
      </w:pPr>
      <w:r w:rsidRPr="001D29F8">
        <w:rPr>
          <w:rFonts w:ascii="Arial" w:hAnsi="Arial" w:cs="Arial"/>
          <w:sz w:val="24"/>
          <w:szCs w:val="24"/>
          <w:lang w:val="en-US"/>
        </w:rPr>
        <w:t xml:space="preserve">Achieving optimal glycemic control while avoiding hypoglycemia </w:t>
      </w:r>
      <w:r w:rsidRPr="001D29F8">
        <w:rPr>
          <w:rFonts w:ascii="Arial" w:hAnsi="Arial" w:cs="Arial"/>
          <w:sz w:val="24"/>
          <w:szCs w:val="24"/>
          <w:lang w:val="en-US"/>
        </w:rPr>
        <w:fldChar w:fldCharType="begin" w:fldLock="1"/>
      </w:r>
      <w:r w:rsidR="00F51A00" w:rsidRPr="001D29F8">
        <w:rPr>
          <w:rFonts w:ascii="Arial" w:hAnsi="Arial" w:cs="Arial"/>
          <w:sz w:val="24"/>
          <w:szCs w:val="24"/>
          <w:lang w:val="en-US"/>
        </w:rPr>
        <w:instrText>ADDIN CSL_CITATION {"citationItems":[{"id":"ITEM-1","itemData":{"ISSN":"1939-327X (Electronic)","PMID":"21193736","author":[{"dropping-particle":"","family":"Cryer","given":"Philip E","non-dropping-particle":"","parse-names":false,"suffix":""}],"container-title":"Diabetes","id":"ITEM-1","issue":"1","issued":{"date-parts":[["2011"]]},"language":"eng","page":"24-27","publisher-place":"United States","title":"Elimination of hypoglycemia from the lives of people affected by diabetes.","type":"article-journal","volume":"60"},"uris":["http://www.mendeley.com/documents/?uuid=5476979b-55fe-4f07-8826-cd0a5363bd2d"]}],"mendeley":{"formattedCitation":"(1)","plainTextFormattedCitation":"(1)","previouslyFormattedCitation":"(1)"},"properties":{"noteIndex":0},"schema":"https://github.com/citation-style-language/schema/raw/master/csl-citation.json"}</w:instrText>
      </w:r>
      <w:r w:rsidRPr="001D29F8">
        <w:rPr>
          <w:rFonts w:ascii="Arial" w:hAnsi="Arial" w:cs="Arial"/>
          <w:sz w:val="24"/>
          <w:szCs w:val="24"/>
          <w:lang w:val="en-US"/>
        </w:rPr>
        <w:fldChar w:fldCharType="separate"/>
      </w:r>
      <w:r w:rsidR="00AF63F5" w:rsidRPr="001D29F8">
        <w:rPr>
          <w:rFonts w:ascii="Arial" w:hAnsi="Arial" w:cs="Arial"/>
          <w:noProof/>
          <w:sz w:val="24"/>
          <w:szCs w:val="24"/>
          <w:lang w:val="en-US"/>
        </w:rPr>
        <w:t>(1)</w:t>
      </w:r>
      <w:r w:rsidRPr="001D29F8">
        <w:rPr>
          <w:rFonts w:ascii="Arial" w:hAnsi="Arial" w:cs="Arial"/>
          <w:sz w:val="24"/>
          <w:szCs w:val="24"/>
          <w:lang w:val="en-US"/>
        </w:rPr>
        <w:fldChar w:fldCharType="end"/>
      </w:r>
      <w:r w:rsidRPr="001D29F8">
        <w:rPr>
          <w:rFonts w:ascii="Arial" w:hAnsi="Arial" w:cs="Arial"/>
          <w:sz w:val="24"/>
          <w:szCs w:val="24"/>
          <w:lang w:val="en-US"/>
        </w:rPr>
        <w:t xml:space="preserve"> remains a challenge for people living with type 1 diabetes </w:t>
      </w:r>
      <w:r w:rsidRPr="001D29F8">
        <w:rPr>
          <w:rFonts w:ascii="Arial" w:hAnsi="Arial" w:cs="Arial"/>
          <w:sz w:val="24"/>
          <w:szCs w:val="24"/>
          <w:lang w:val="en-US"/>
        </w:rPr>
        <w:fldChar w:fldCharType="begin" w:fldLock="1"/>
      </w:r>
      <w:r w:rsidR="00F51A00" w:rsidRPr="001D29F8">
        <w:rPr>
          <w:rFonts w:ascii="Arial" w:hAnsi="Arial" w:cs="Arial"/>
          <w:sz w:val="24"/>
          <w:szCs w:val="24"/>
          <w:lang w:val="en-US"/>
        </w:rPr>
        <w:instrText>ADDIN CSL_CITATION {"citationItems":[{"id":"ITEM-1","itemData":{"ISSN":"1935-5548 (Electronic)","PMID":"17934153","abstract":"OBJECTIVE: The purpose of this study was to examine whether glycemic control has improved in recent years among individuals with diagnosed diabetes. RESEARCH DESIGN AND METHODS: We examined trends in A1C levels for adults with diagnosed diabetes using three consecutive waves of the National Health and Nutrition Examination Survey (NHANES): 1999-2000, 2001-2002, and 2003-2004. We estimated mean A1C levels and the proportion with A1C &lt;7.0, &lt;8.0, and &lt;9.0%. We used multivariate regression to test whether A1C levels differed by NHANES wave after controlling for other factors. Multivariate dichotomous logistic regression and predictive margins were used to test whether the percentages of individuals with diabetes in selected A1C intervals differed by NHANES wave. RESULTS: Mean A1C levels among individuals with diagnosed diabetes declined from 7.82% in 1999-2000 to 7.47 and 7.18% in 2001-2002 and 2003-2004, respectively. After controlling for demographics and diabetes duration, A1C levels were 0.308 (P = 0.20) and 0.511 (P = 0.03) percentage points lower in 2001-2002 and 2003-2004, respectively, than in 1999-2000. The logistic results indicated corresponding improvements over time: the predictive margin for having A1C &lt;7.0% increased from 37.0% in 1999-2000 to 49.7% in 2001-2002 and to 55.7% in 2003-2004. CONCLUSIONS: Glycemic control improved between 1999 and 2004. This trend may represent an important improvement in diabetes care and is encouraging for future reduction of diabetes-related complications.","author":[{"dropping-particle":"","family":"Hoerger","given":"Thomas J","non-dropping-particle":"","parse-names":false,"suffix":""},{"dropping-particle":"","family":"Segel","given":"Joel E","non-dropping-particle":"","parse-names":false,"suffix":""},{"dropping-particle":"","family":"Gregg","given":"Edward W","non-dropping-particle":"","parse-names":false,"suffix":""},{"dropping-particle":"","family":"Saaddine","given":"Jinan B","non-dropping-particle":"","parse-names":false,"suffix":""}],"container-title":"Diabetes Care","id":"ITEM-1","issue":"1","issued":{"date-parts":[["2008"]]},"language":"eng","page":"81-86","publisher-place":"United States","title":"Is glycemic control improving in U.S. adults?","type":"article-journal","volume":"31"},"uris":["http://www.mendeley.com/documents/?uuid=ab268bc1-9421-4108-acce-9bcff1481833"]}],"mendeley":{"formattedCitation":"(2)","plainTextFormattedCitation":"(2)","previouslyFormattedCitation":"(2)"},"properties":{"noteIndex":0},"schema":"https://github.com/citation-style-language/schema/raw/master/csl-citation.json"}</w:instrText>
      </w:r>
      <w:r w:rsidRPr="001D29F8">
        <w:rPr>
          <w:rFonts w:ascii="Arial" w:hAnsi="Arial" w:cs="Arial"/>
          <w:sz w:val="24"/>
          <w:szCs w:val="24"/>
          <w:lang w:val="en-US"/>
        </w:rPr>
        <w:fldChar w:fldCharType="separate"/>
      </w:r>
      <w:r w:rsidR="00AF63F5" w:rsidRPr="001D29F8">
        <w:rPr>
          <w:rFonts w:ascii="Arial" w:hAnsi="Arial" w:cs="Arial"/>
          <w:noProof/>
          <w:sz w:val="24"/>
          <w:szCs w:val="24"/>
          <w:lang w:val="en-US"/>
        </w:rPr>
        <w:t>(2)</w:t>
      </w:r>
      <w:r w:rsidRPr="001D29F8">
        <w:rPr>
          <w:rFonts w:ascii="Arial" w:hAnsi="Arial" w:cs="Arial"/>
          <w:sz w:val="24"/>
          <w:szCs w:val="24"/>
          <w:lang w:val="en-US"/>
        </w:rPr>
        <w:fldChar w:fldCharType="end"/>
      </w:r>
      <w:r w:rsidRPr="001D29F8">
        <w:rPr>
          <w:rFonts w:ascii="Arial" w:hAnsi="Arial" w:cs="Arial"/>
          <w:sz w:val="24"/>
          <w:szCs w:val="24"/>
          <w:lang w:val="en-US"/>
        </w:rPr>
        <w:t xml:space="preserve"> despite rapid advancements in insulin administration technology and better insulin preparations. </w:t>
      </w:r>
      <w:r w:rsidR="00607690" w:rsidRPr="001D29F8">
        <w:rPr>
          <w:rFonts w:ascii="Arial" w:hAnsi="Arial" w:cs="Arial"/>
          <w:sz w:val="24"/>
          <w:szCs w:val="24"/>
          <w:lang w:val="en-US"/>
        </w:rPr>
        <w:t>Symptoms of hypoglyc</w:t>
      </w:r>
      <w:r w:rsidR="000010ED" w:rsidRPr="001D29F8">
        <w:rPr>
          <w:rFonts w:ascii="Arial" w:hAnsi="Arial" w:cs="Arial"/>
          <w:sz w:val="24"/>
          <w:szCs w:val="24"/>
          <w:lang w:val="en-US"/>
        </w:rPr>
        <w:t>emia include, but are not limited to, sweating, con</w:t>
      </w:r>
      <w:r w:rsidR="00607690" w:rsidRPr="001D29F8">
        <w:rPr>
          <w:rFonts w:ascii="Arial" w:hAnsi="Arial" w:cs="Arial"/>
          <w:sz w:val="24"/>
          <w:szCs w:val="24"/>
          <w:lang w:val="en-US"/>
        </w:rPr>
        <w:t xml:space="preserve">fusion, tachycardia, and hunger </w:t>
      </w:r>
      <w:r w:rsidR="000010ED" w:rsidRPr="001D29F8">
        <w:rPr>
          <w:rFonts w:ascii="Arial" w:hAnsi="Arial" w:cs="Arial"/>
          <w:sz w:val="24"/>
          <w:szCs w:val="24"/>
          <w:lang w:val="en-US"/>
        </w:rPr>
        <w:fldChar w:fldCharType="begin" w:fldLock="1"/>
      </w:r>
      <w:r w:rsidR="00A47FAD" w:rsidRPr="001D29F8">
        <w:rPr>
          <w:rFonts w:ascii="Arial" w:hAnsi="Arial" w:cs="Arial"/>
          <w:sz w:val="24"/>
          <w:szCs w:val="24"/>
          <w:lang w:val="en-US"/>
        </w:rPr>
        <w:instrText>ADDIN CSL_CITATION {"citationItems":[{"id":"ITEM-1","itemData":{"ISSN":"1935-5548 (Electronic)","PMID":"31862749","abstract":"The American Diabetes Association (ADA) \"Standards of Medical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(https://doi.org/10.2337/dc20-SPPC),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(https://doi.org/10.2337/dc20-SINT). Readers who wish to comment on the Standards of Care are invited to do so at professional.diabetes.org/SOC.","author":[{"dropping-particle":"","family":"American Diabetes Association","given":"","non-dropping-particle":"","parse-names":false,"suffix":""}],"container-title":"Diabetes care","id":"ITEM-1","issue":"Suppl 1","issued":{"date-parts":[["2020"]]},"language":"eng","page":"S66-S76","publisher-place":"United States","title":"6. Glycemic Targets: Standards of Medical Care in Diabetes-2020.","type":"article-journal","volume":"43"},"uris":["http://www.mendeley.com/documents/?uuid=8e1e3756-312e-47a6-9beb-27581da7e5d4"]}],"mendeley":{"formattedCitation":"(3)","plainTextFormattedCitation":"(3)","previouslyFormattedCitation":"(3)"},"properties":{"noteIndex":0},"schema":"https://github.com/citation-style-language/schema/raw/master/csl-citation.json"}</w:instrText>
      </w:r>
      <w:r w:rsidR="000010ED" w:rsidRPr="001D29F8">
        <w:rPr>
          <w:rFonts w:ascii="Arial" w:hAnsi="Arial" w:cs="Arial"/>
          <w:sz w:val="24"/>
          <w:szCs w:val="24"/>
          <w:lang w:val="en-US"/>
        </w:rPr>
        <w:fldChar w:fldCharType="separate"/>
      </w:r>
      <w:r w:rsidR="00607690" w:rsidRPr="001D29F8">
        <w:rPr>
          <w:rFonts w:ascii="Arial" w:hAnsi="Arial" w:cs="Arial"/>
          <w:noProof/>
          <w:sz w:val="24"/>
          <w:szCs w:val="24"/>
          <w:lang w:val="en-US"/>
        </w:rPr>
        <w:t>(3)</w:t>
      </w:r>
      <w:r w:rsidR="000010ED" w:rsidRPr="001D29F8">
        <w:rPr>
          <w:rFonts w:ascii="Arial" w:hAnsi="Arial" w:cs="Arial"/>
          <w:sz w:val="24"/>
          <w:szCs w:val="24"/>
          <w:lang w:val="en-US"/>
        </w:rPr>
        <w:fldChar w:fldCharType="end"/>
      </w:r>
      <w:r w:rsidR="00607690" w:rsidRPr="001D29F8">
        <w:rPr>
          <w:rFonts w:ascii="Arial" w:hAnsi="Arial" w:cs="Arial"/>
          <w:sz w:val="24"/>
          <w:szCs w:val="24"/>
          <w:lang w:val="en-US"/>
        </w:rPr>
        <w:t>,</w:t>
      </w:r>
      <w:r w:rsidR="000010ED" w:rsidRPr="001D29F8">
        <w:rPr>
          <w:rFonts w:ascii="Arial" w:hAnsi="Arial" w:cs="Arial"/>
          <w:sz w:val="24"/>
          <w:szCs w:val="24"/>
          <w:lang w:val="en-US"/>
        </w:rPr>
        <w:t xml:space="preserve"> </w:t>
      </w:r>
      <w:r w:rsidR="00607690" w:rsidRPr="001D29F8">
        <w:rPr>
          <w:rFonts w:ascii="Arial" w:hAnsi="Arial" w:cs="Arial"/>
          <w:sz w:val="24"/>
          <w:szCs w:val="24"/>
          <w:lang w:val="en-US"/>
        </w:rPr>
        <w:t>which can eventually result in loss of consciousness, seizure, coma, or even death</w:t>
      </w:r>
      <w:r w:rsidR="00201FD7" w:rsidRPr="001D29F8">
        <w:rPr>
          <w:rFonts w:ascii="Arial" w:hAnsi="Arial" w:cs="Arial"/>
          <w:sz w:val="24"/>
          <w:szCs w:val="24"/>
          <w:lang w:val="en-US"/>
        </w:rPr>
        <w:t xml:space="preserve"> when prolonged</w:t>
      </w:r>
      <w:r w:rsidR="00607690" w:rsidRPr="001D29F8">
        <w:rPr>
          <w:rFonts w:ascii="Arial" w:hAnsi="Arial" w:cs="Arial"/>
          <w:sz w:val="24"/>
          <w:szCs w:val="24"/>
          <w:lang w:val="en-US"/>
        </w:rPr>
        <w:t xml:space="preserve">. </w:t>
      </w:r>
      <w:r w:rsidR="000010ED" w:rsidRPr="001D29F8">
        <w:rPr>
          <w:rFonts w:ascii="Arial" w:hAnsi="Arial" w:cs="Arial"/>
          <w:sz w:val="24"/>
          <w:szCs w:val="24"/>
          <w:lang w:val="en-US"/>
        </w:rPr>
        <w:t>It is</w:t>
      </w:r>
      <w:r w:rsidR="00607690" w:rsidRPr="001D29F8">
        <w:rPr>
          <w:rFonts w:ascii="Arial" w:hAnsi="Arial" w:cs="Arial"/>
          <w:sz w:val="24"/>
          <w:szCs w:val="24"/>
          <w:lang w:val="en-US"/>
        </w:rPr>
        <w:t>, therefore,</w:t>
      </w:r>
      <w:r w:rsidR="000010ED" w:rsidRPr="001D29F8">
        <w:rPr>
          <w:rFonts w:ascii="Arial" w:hAnsi="Arial" w:cs="Arial"/>
          <w:sz w:val="24"/>
          <w:szCs w:val="24"/>
          <w:lang w:val="en-US"/>
        </w:rPr>
        <w:t xml:space="preserve"> not surprising that many people experienc</w:t>
      </w:r>
      <w:r w:rsidR="00607690" w:rsidRPr="001D29F8">
        <w:rPr>
          <w:rFonts w:ascii="Arial" w:hAnsi="Arial" w:cs="Arial"/>
          <w:sz w:val="24"/>
          <w:szCs w:val="24"/>
          <w:lang w:val="en-US"/>
        </w:rPr>
        <w:t xml:space="preserve">e some sort of fear of </w:t>
      </w:r>
      <w:r w:rsidR="000C6166" w:rsidRPr="001D29F8">
        <w:rPr>
          <w:rFonts w:ascii="Arial" w:hAnsi="Arial" w:cs="Arial"/>
          <w:sz w:val="24"/>
          <w:szCs w:val="24"/>
          <w:lang w:val="en-US"/>
        </w:rPr>
        <w:t>hypoglyc</w:t>
      </w:r>
      <w:r w:rsidR="00607690" w:rsidRPr="001D29F8">
        <w:rPr>
          <w:rFonts w:ascii="Arial" w:hAnsi="Arial" w:cs="Arial"/>
          <w:sz w:val="24"/>
          <w:szCs w:val="24"/>
          <w:lang w:val="en-US"/>
        </w:rPr>
        <w:t>emia that</w:t>
      </w:r>
      <w:r w:rsidR="000010ED" w:rsidRPr="001D29F8">
        <w:rPr>
          <w:rFonts w:ascii="Arial" w:hAnsi="Arial" w:cs="Arial"/>
          <w:sz w:val="24"/>
          <w:szCs w:val="24"/>
          <w:lang w:val="en-US"/>
        </w:rPr>
        <w:t xml:space="preserve"> can have debilitating effects on diabetes self-managem</w:t>
      </w:r>
      <w:r w:rsidR="00607690" w:rsidRPr="001D29F8">
        <w:rPr>
          <w:rFonts w:ascii="Arial" w:hAnsi="Arial" w:cs="Arial"/>
          <w:sz w:val="24"/>
          <w:szCs w:val="24"/>
          <w:lang w:val="en-US"/>
        </w:rPr>
        <w:t>ent</w:t>
      </w:r>
      <w:r w:rsidR="00F14B97" w:rsidRPr="001D29F8">
        <w:rPr>
          <w:rFonts w:ascii="Arial" w:hAnsi="Arial" w:cs="Arial"/>
          <w:sz w:val="24"/>
          <w:szCs w:val="24"/>
          <w:lang w:val="en-US"/>
        </w:rPr>
        <w:t>,</w:t>
      </w:r>
      <w:r w:rsidR="00607690" w:rsidRPr="001D29F8">
        <w:rPr>
          <w:rFonts w:ascii="Arial" w:hAnsi="Arial" w:cs="Arial"/>
          <w:sz w:val="24"/>
          <w:szCs w:val="24"/>
          <w:lang w:val="en-US"/>
        </w:rPr>
        <w:t xml:space="preserve"> which prevents optimal glyc</w:t>
      </w:r>
      <w:r w:rsidR="000010ED" w:rsidRPr="001D29F8">
        <w:rPr>
          <w:rFonts w:ascii="Arial" w:hAnsi="Arial" w:cs="Arial"/>
          <w:sz w:val="24"/>
          <w:szCs w:val="24"/>
          <w:lang w:val="en-US"/>
        </w:rPr>
        <w:t>emic control, on every-day life, and on relati</w:t>
      </w:r>
      <w:r w:rsidR="00607690" w:rsidRPr="001D29F8">
        <w:rPr>
          <w:rFonts w:ascii="Arial" w:hAnsi="Arial" w:cs="Arial"/>
          <w:sz w:val="24"/>
          <w:szCs w:val="24"/>
          <w:lang w:val="en-US"/>
        </w:rPr>
        <w:t xml:space="preserve">onships </w:t>
      </w:r>
      <w:r w:rsidR="000010ED" w:rsidRPr="001D29F8">
        <w:rPr>
          <w:rFonts w:ascii="Arial" w:hAnsi="Arial" w:cs="Arial"/>
          <w:sz w:val="24"/>
          <w:szCs w:val="24"/>
          <w:lang w:val="en-US"/>
        </w:rPr>
        <w:fldChar w:fldCharType="begin" w:fldLock="1"/>
      </w:r>
      <w:r w:rsidR="00201FD7" w:rsidRPr="001D29F8">
        <w:rPr>
          <w:rFonts w:ascii="Arial" w:hAnsi="Arial" w:cs="Arial"/>
          <w:sz w:val="24"/>
          <w:szCs w:val="24"/>
          <w:lang w:val="en-US"/>
        </w:rPr>
        <w:instrText>ADDIN CSL_CITATION {"citationItems":[{"id":"ITEM-1","itemData":{"ISSN":"1520-7552 (Print)","PMID":"18088077","abstract":"Hypoglycaemia is the commonest side-effect of insulin treatment for diabetes, and is the single greatest barrier to achieving and maintaining good glycaemic control. Severe hypoglycaemia (requiring assistance for recovery) is associated with significant morbidity and is feared by most people with type 1 diabetes and their families. It causes stress and anxiety and may influence self-management and glycaemic control. The annual prevalence of severe hypoglycaemia is around 30% in people with type 1 diabetes, and is higher in those with risk factors such as strict glycaemic control, impaired awareness of hypoglycaemia and increasing duration of diabetes. It is also common during sleep (nocturnal hypoglycaemia). Neurological manifestations include coma, convulsions, transient hemiparesis and stroke, while reduced consciousness and cognitive dysfunction may cause accidents and injuries. Cardiac events may be precipitated such as arrhythmias, myocardial ischaemia and cardiac failure. Hypoglycaemia can affect all aspects of life, including employment, driving, recreational activities involving exercise, and travel, and measures should be taken in all of these situations to avoid this potentially dangerous side-effect of insulin therapy.","author":[{"dropping-particle":"","family":"Frier","given":"Brian M","non-dropping-particle":"","parse-names":false,"suffix":""}],"container-title":"Diabetes/metabolism research and reviews","id":"ITEM-1","issue":"2","issued":{"date-parts":[["2008","2"]]},"language":"eng","page":"87-92","publisher-place":"England","title":"How hypoglycaemia can affect the life of a person with diabetes.","type":"article-journal","volume":"24"},"uris":["http://www.mendeley.com/documents/?uuid=7717340d-9926-4089-9d11-9b0dfc84b8c7"]}],"mendeley":{"formattedCitation":"(4)","plainTextFormattedCitation":"(4)","previouslyFormattedCitation":"(4)"},"properties":{"noteIndex":0},"schema":"https://github.com/citation-style-language/schema/raw/master/csl-citation.json"}</w:instrText>
      </w:r>
      <w:r w:rsidR="000010ED" w:rsidRPr="001D29F8">
        <w:rPr>
          <w:rFonts w:ascii="Arial" w:hAnsi="Arial" w:cs="Arial"/>
          <w:sz w:val="24"/>
          <w:szCs w:val="24"/>
          <w:lang w:val="en-US"/>
        </w:rPr>
        <w:fldChar w:fldCharType="separate"/>
      </w:r>
      <w:r w:rsidR="00607690" w:rsidRPr="001D29F8">
        <w:rPr>
          <w:rFonts w:ascii="Arial" w:hAnsi="Arial" w:cs="Arial"/>
          <w:noProof/>
          <w:sz w:val="24"/>
          <w:szCs w:val="24"/>
          <w:lang w:val="en-US"/>
        </w:rPr>
        <w:t>(4)</w:t>
      </w:r>
      <w:r w:rsidR="000010ED" w:rsidRPr="001D29F8">
        <w:rPr>
          <w:rFonts w:ascii="Arial" w:hAnsi="Arial" w:cs="Arial"/>
          <w:sz w:val="24"/>
          <w:szCs w:val="24"/>
          <w:lang w:val="en-US"/>
        </w:rPr>
        <w:fldChar w:fldCharType="end"/>
      </w:r>
      <w:r w:rsidR="00607690" w:rsidRPr="001D29F8">
        <w:rPr>
          <w:rFonts w:ascii="Arial" w:hAnsi="Arial" w:cs="Arial"/>
          <w:sz w:val="24"/>
          <w:szCs w:val="24"/>
          <w:lang w:val="en-US"/>
        </w:rPr>
        <w:t>.</w:t>
      </w:r>
      <w:r w:rsidR="00201FD7" w:rsidRPr="001D29F8">
        <w:rPr>
          <w:rFonts w:ascii="Arial" w:hAnsi="Arial" w:cs="Arial"/>
          <w:sz w:val="24"/>
          <w:szCs w:val="24"/>
          <w:lang w:val="en-US"/>
        </w:rPr>
        <w:t xml:space="preserve"> Furthermore, recurrent hypoglycemia facilitates severe hypoglycemia </w:t>
      </w:r>
      <w:r w:rsidR="00201FD7" w:rsidRPr="001D29F8">
        <w:rPr>
          <w:rFonts w:ascii="Arial" w:hAnsi="Arial" w:cs="Arial"/>
          <w:sz w:val="24"/>
          <w:szCs w:val="24"/>
          <w:lang w:val="en-US"/>
        </w:rPr>
        <w:fldChar w:fldCharType="begin" w:fldLock="1"/>
      </w:r>
      <w:r w:rsidR="00E25607" w:rsidRPr="001D29F8">
        <w:rPr>
          <w:rFonts w:ascii="Arial" w:hAnsi="Arial" w:cs="Arial"/>
          <w:sz w:val="24"/>
          <w:szCs w:val="24"/>
          <w:lang w:val="en-US"/>
        </w:rPr>
        <w:instrText xml:space="preserve">ADDIN CSL_CITATION {"citationItems":[{"id":"ITEM-1","itemData":{"ISSN":"1935-5548 (Electronic)","PMID":"28550194","abstract":"OBJECTIVE: During the Diabetes Control and Complications Trial (DCCT), intensive diabetes therapy achieving a mean HbA(1c) of </w:instrText>
      </w:r>
      <w:r w:rsidR="00E25607" w:rsidRPr="001D29F8">
        <w:rPr>
          <w:rFonts w:ascii="Cambria Math" w:hAnsi="Cambria Math" w:cs="Cambria Math"/>
          <w:sz w:val="24"/>
          <w:szCs w:val="24"/>
          <w:lang w:val="en-US"/>
        </w:rPr>
        <w:instrText>∼</w:instrText>
      </w:r>
      <w:r w:rsidR="00E25607" w:rsidRPr="001D29F8">
        <w:rPr>
          <w:rFonts w:ascii="Arial" w:hAnsi="Arial" w:cs="Arial"/>
          <w:sz w:val="24"/>
          <w:szCs w:val="24"/>
          <w:lang w:val="en-US"/>
        </w:rPr>
        <w:instrText xml:space="preserve">7% was associated with a threefold increase in the rate of severe hypoglycemia (defined as requiring assistance) compared with conventional diabetes therapy with a mean HbA(1c) of 9% (61.2 vs. 18.7 per 100 patient-years). After </w:instrText>
      </w:r>
      <w:r w:rsidR="00E25607" w:rsidRPr="001D29F8">
        <w:rPr>
          <w:rFonts w:ascii="Cambria Math" w:hAnsi="Cambria Math" w:cs="Cambria Math"/>
          <w:sz w:val="24"/>
          <w:szCs w:val="24"/>
          <w:lang w:val="en-US"/>
        </w:rPr>
        <w:instrText>∼</w:instrText>
      </w:r>
      <w:r w:rsidR="00E25607" w:rsidRPr="001D29F8">
        <w:rPr>
          <w:rFonts w:ascii="Arial" w:hAnsi="Arial" w:cs="Arial"/>
          <w:sz w:val="24"/>
          <w:szCs w:val="24"/>
          <w:lang w:val="en-US"/>
        </w:rPr>
        <w:instrText>30 years of follow-up, we investigated the rates of severe hypoglycemia in the DCCT/Epidemiology of Diabetes Inverventions and Complications (EDIC) cohort. RESEARCH DESIGN AND METHODS: Rates of severe hypoglycemia were reported quarterly during DCCT and annually during EDIC (i.e., patient recall of episodes in the preceding 3 months). Risk factors influencing the rate of severe hypoglycemia over time were investigated. RESULTS: One-half of the DCCT/EDIC cohort reported episodes of severe hypoglycemia. During EDIC, rates of severe hypoglycemia fell in the former DCCT intensive treatment group but rose in the former conventional treatment group, resulting in similar rates (36.6 vs. 40.8 episodes per 100 patient-years, respectively) with a relative risk of 1.12 (95% CI 0.91-1.37). A preceding episode of severe hypoglycemia was the most powerful predictor of subsequent episodes. Entry into the DCCT study as an adolescent was associated with an increased risk of severe hypoglycemia, whereas insulin pump use was associated with a lower risk. Severe hypoglycemia rates increased with lower HbA(1c) similarly among participants in both treatment groups. CONCLUSIONS: Rates of severe hypoglycemia have equilibrated over time between the two DCCT/EDIC treatment groups in association with advancing duration of diabetes and similar HbA(1c) levels. Severe hypoglycemia persists and remains a challenge for patients with type 1 diabetes across their life span.","author":[{"dropping-particle":"","family":"Gubitosi-Klug","given":"Rose A","non-dropping-particle":"","parse-names":false,"suffix":""},{"dropping-particle":"","family":"Braffett","given":"Barbara H","non-dropping-particle":"","parse-names":false,"suffix":""},{"dropping-particle":"","family":"White","given":"Neil H","non-dropping-particle":"","parse-names":false,"suffix":""},{"dropping-particle":"","family":"Sherwin","given":"Robert S","non-dropping-particle":"","parse-names":false,"suffix":""},{"dropping-particle":"","family":"Service","given":"F John","non-dropping-particle":"","parse-names":false,"suffix":""},{"dropping-particle":"","family":"Lachin","given":"John M","non-dropping-particle":"","parse-names":false,"suffix":""},{"dropping-particle":"V","family":"Tamborlane","given":"William","non-dropping-particle":"","parse-names":false,"suffix":""}],"container-title":"Diabetes care","id":"ITEM-1","issue":"8","issued":{"date-parts":[["2017"]]},"language":"eng","page":"1010-1016","title":"Risk of Severe Hypoglycemia in Type 1 Diabetes Over 30 Years of Follow-up in the DCCT/EDIC Study.","type":"article-journal","volume":"40"},"uris":["http://www.mendeley.com/documents/?uuid=6eaccc11-9ccf-4260-a9a2-fa0aba1069bb"]}],"mendeley":{"formattedCitation":"(5)","plainTextFormattedCitation":"(5)","previouslyFormattedCitation":"(5)"},"properties":{"noteIndex":0},"schema":"https://github.com/citation-style-language/schema/raw/master/csl-citation.json"}</w:instrText>
      </w:r>
      <w:r w:rsidR="00201FD7" w:rsidRPr="001D29F8">
        <w:rPr>
          <w:rFonts w:ascii="Arial" w:hAnsi="Arial" w:cs="Arial"/>
          <w:sz w:val="24"/>
          <w:szCs w:val="24"/>
          <w:lang w:val="en-US"/>
        </w:rPr>
        <w:fldChar w:fldCharType="separate"/>
      </w:r>
      <w:r w:rsidR="00201FD7" w:rsidRPr="001D29F8">
        <w:rPr>
          <w:rFonts w:ascii="Arial" w:hAnsi="Arial" w:cs="Arial"/>
          <w:noProof/>
          <w:sz w:val="24"/>
          <w:szCs w:val="24"/>
          <w:lang w:val="en-US"/>
        </w:rPr>
        <w:t>(5)</w:t>
      </w:r>
      <w:r w:rsidR="00201FD7" w:rsidRPr="001D29F8">
        <w:rPr>
          <w:rFonts w:ascii="Arial" w:hAnsi="Arial" w:cs="Arial"/>
          <w:sz w:val="24"/>
          <w:szCs w:val="24"/>
          <w:lang w:val="en-US"/>
        </w:rPr>
        <w:fldChar w:fldCharType="end"/>
      </w:r>
      <w:r w:rsidR="00201FD7" w:rsidRPr="001D29F8">
        <w:rPr>
          <w:rFonts w:ascii="Arial" w:hAnsi="Arial" w:cs="Arial"/>
          <w:sz w:val="24"/>
          <w:szCs w:val="24"/>
          <w:lang w:val="en-US"/>
        </w:rPr>
        <w:t xml:space="preserve">, which over time contributes to impaired awareness of </w:t>
      </w:r>
      <w:r w:rsidR="00F658E9" w:rsidRPr="001D29F8">
        <w:rPr>
          <w:rFonts w:ascii="Arial" w:hAnsi="Arial" w:cs="Arial"/>
          <w:sz w:val="24"/>
          <w:szCs w:val="24"/>
          <w:lang w:val="en-US"/>
        </w:rPr>
        <w:t>hypoglycemia</w:t>
      </w:r>
      <w:r w:rsidR="00476A2D" w:rsidRPr="001D29F8">
        <w:rPr>
          <w:rFonts w:ascii="Arial" w:hAnsi="Arial" w:cs="Arial"/>
          <w:sz w:val="24"/>
          <w:szCs w:val="24"/>
          <w:lang w:val="en-US"/>
        </w:rPr>
        <w:t xml:space="preserve"> (IAH)</w:t>
      </w:r>
      <w:r w:rsidR="00201FD7" w:rsidRPr="001D29F8">
        <w:rPr>
          <w:rFonts w:ascii="Arial" w:hAnsi="Arial" w:cs="Arial"/>
          <w:sz w:val="24"/>
          <w:szCs w:val="24"/>
          <w:lang w:val="en-US"/>
        </w:rPr>
        <w:t xml:space="preserve"> </w:t>
      </w:r>
      <w:r w:rsidR="00F14B97" w:rsidRPr="001D29F8">
        <w:rPr>
          <w:rFonts w:ascii="Arial" w:hAnsi="Arial" w:cs="Arial"/>
          <w:sz w:val="24"/>
          <w:szCs w:val="24"/>
          <w:lang w:val="en-US"/>
        </w:rPr>
        <w:t xml:space="preserve">affecting </w:t>
      </w:r>
      <w:r w:rsidR="007D3E7C" w:rsidRPr="001D29F8">
        <w:rPr>
          <w:rFonts w:ascii="Arial" w:hAnsi="Arial" w:cs="Arial"/>
          <w:sz w:val="24"/>
          <w:szCs w:val="24"/>
          <w:lang w:val="en-US"/>
        </w:rPr>
        <w:t xml:space="preserve">about </w:t>
      </w:r>
      <w:r w:rsidR="00F14B97" w:rsidRPr="001D29F8">
        <w:rPr>
          <w:rFonts w:ascii="Arial" w:hAnsi="Arial" w:cs="Arial"/>
          <w:sz w:val="24"/>
          <w:szCs w:val="24"/>
          <w:lang w:val="en-US"/>
        </w:rPr>
        <w:t xml:space="preserve">25% of adults with type 1 diabetes </w:t>
      </w:r>
      <w:r w:rsidR="00201FD7" w:rsidRPr="001D29F8">
        <w:rPr>
          <w:rFonts w:ascii="Arial" w:hAnsi="Arial" w:cs="Arial"/>
          <w:sz w:val="24"/>
          <w:szCs w:val="24"/>
          <w:lang w:val="en-US"/>
        </w:rPr>
        <w:fldChar w:fldCharType="begin" w:fldLock="1"/>
      </w:r>
      <w:r w:rsidR="00E25607" w:rsidRPr="001D29F8">
        <w:rPr>
          <w:rFonts w:ascii="Arial" w:hAnsi="Arial" w:cs="Arial"/>
          <w:sz w:val="24"/>
          <w:szCs w:val="24"/>
          <w:lang w:val="en-US"/>
        </w:rPr>
        <w:instrText>ADDIN CSL_CITATION {"citationItems":[{"id":"ITEM-1","itemData":{"ISSN":"1464-5491 (Electronic)","PMID":"18387080","abstract":"AIMS: Impaired awareness of hypoglycaemia (IAH) is thought to affect approximately 25% of people with Type 1 diabetes. While this estimate was based on retrospective information from patients in several small studies performed several years ago, validated methods of assessment have not been used in a large hospital clinic-based population to ascertain the prevalence in the present era. METHODS: Five hundred and eighteen people with Type 1 diabetes were recruited by random selection over a 2-year period. Participants completed a questionnaire documenting baseline characteristics and assessment of their awareness status using the method described by Gold et al. The number of episodes of severe hypoglycaemia they had experienced in the preceding year was recorded retrospectively. RESULTS: IAH was present in 19.5% of the cohort. Compared to those with normal awareness of hypoglycaemia, those with IAH were significantly older [mean +/- standard deviation (sd); 39.3 +/- 12.9 vs. 45.9 +/- 13.5 years, P &lt; 0.001], had a longer duration of diabetes [median (interquartile range) 14 (8-22) vs. 23 (14-32) years, P &lt; 0.001], and had a six-fold higher frequency of severe hypoglycaemia in the previous year [0.38 +/- 1.04 (25th-75th centile 0-0) vs. 2.36 +/- 4.81 (25th-75th centile 0-2) episodes per person, P &lt; 0.001]. CONCLUSIONS: The present survey of a large hospital-based clinic population has confirmed that a significant proportion of people with Type 1 diabetes (19.5%) continue to have IAH. Despite improvements in insulin therapies, intensification of insulin regimens and innovative patient education, the prevalence of IAH remains high in Type 1 diabetes.","author":[{"dropping-particle":"","family":"Geddes","given":"J","non-dropping-particle":"","parse-names":false,"suffix":""},{"dropping-particle":"","family":"Schopman","given":"J E","non-dropping-particle":"","parse-names":false,"suffix":""},{"dropping-particle":"","family":"Zammitt","given":"N N","non-dropping-particle":"","parse-names":false,"suffix":""},{"dropping-particle":"","family":"Frier","given":"B M","non-dropping-particle":"","parse-names":false,"suffix":""}],"container-title":"Diabetic medicine : a journal of the British Diabetic Association","id":"ITEM-1","issue":"4","issued":{"date-parts":[["2008"]]},"language":"eng","page":"501-504","publisher-place":"England","title":"Prevalence of impaired awareness of hypoglycaemia in adults with Type 1 diabetes.","type":"article-journal","volume":"25"},"uris":["http://www.mendeley.com/documents/?uuid=98ebce30-4674-44a9-aaf1-41449689d2e3"]}],"mendeley":{"formattedCitation":"(6)","plainTextFormattedCitation":"(6)","previouslyFormattedCitation":"(6)"},"properties":{"noteIndex":0},"schema":"https://github.com/citation-style-language/schema/raw/master/csl-citation.json"}</w:instrText>
      </w:r>
      <w:r w:rsidR="00201FD7" w:rsidRPr="001D29F8">
        <w:rPr>
          <w:rFonts w:ascii="Arial" w:hAnsi="Arial" w:cs="Arial"/>
          <w:sz w:val="24"/>
          <w:szCs w:val="24"/>
          <w:lang w:val="en-US"/>
        </w:rPr>
        <w:fldChar w:fldCharType="separate"/>
      </w:r>
      <w:r w:rsidR="00201FD7" w:rsidRPr="001D29F8">
        <w:rPr>
          <w:rFonts w:ascii="Arial" w:hAnsi="Arial" w:cs="Arial"/>
          <w:noProof/>
          <w:sz w:val="24"/>
          <w:szCs w:val="24"/>
          <w:lang w:val="en-US"/>
        </w:rPr>
        <w:t>(6)</w:t>
      </w:r>
      <w:r w:rsidR="00201FD7" w:rsidRPr="001D29F8">
        <w:rPr>
          <w:rFonts w:ascii="Arial" w:hAnsi="Arial" w:cs="Arial"/>
          <w:sz w:val="24"/>
          <w:szCs w:val="24"/>
          <w:lang w:val="en-US"/>
        </w:rPr>
        <w:fldChar w:fldCharType="end"/>
      </w:r>
      <w:r w:rsidR="00201FD7" w:rsidRPr="001D29F8">
        <w:rPr>
          <w:rFonts w:ascii="Arial" w:hAnsi="Arial" w:cs="Arial"/>
          <w:sz w:val="24"/>
          <w:szCs w:val="24"/>
          <w:lang w:val="en-US"/>
        </w:rPr>
        <w:t xml:space="preserve">. Additionally, those with hypoglycemia unawareness have a </w:t>
      </w:r>
      <w:proofErr w:type="spellStart"/>
      <w:r w:rsidR="00F14B97" w:rsidRPr="001D29F8">
        <w:rPr>
          <w:rFonts w:ascii="Arial" w:hAnsi="Arial" w:cs="Arial"/>
          <w:sz w:val="24"/>
          <w:szCs w:val="24"/>
          <w:lang w:val="en-US"/>
        </w:rPr>
        <w:t>sixfold</w:t>
      </w:r>
      <w:proofErr w:type="spellEnd"/>
      <w:r w:rsidR="00F14B97" w:rsidRPr="001D29F8">
        <w:rPr>
          <w:rFonts w:ascii="Arial" w:hAnsi="Arial" w:cs="Arial"/>
          <w:sz w:val="24"/>
          <w:szCs w:val="24"/>
          <w:lang w:val="en-US"/>
        </w:rPr>
        <w:t xml:space="preserve"> </w:t>
      </w:r>
      <w:r w:rsidR="00201FD7" w:rsidRPr="001D29F8">
        <w:rPr>
          <w:rFonts w:ascii="Arial" w:hAnsi="Arial" w:cs="Arial"/>
          <w:sz w:val="24"/>
          <w:szCs w:val="24"/>
          <w:lang w:val="en-US"/>
        </w:rPr>
        <w:t xml:space="preserve">higher </w:t>
      </w:r>
      <w:r w:rsidR="00E25607" w:rsidRPr="001D29F8">
        <w:rPr>
          <w:rFonts w:ascii="Arial" w:hAnsi="Arial" w:cs="Arial"/>
          <w:sz w:val="24"/>
          <w:szCs w:val="24"/>
          <w:lang w:val="en-US"/>
        </w:rPr>
        <w:t xml:space="preserve">risk of severe hypoglycemia </w:t>
      </w:r>
      <w:r w:rsidR="00E25607" w:rsidRPr="001D29F8">
        <w:rPr>
          <w:rFonts w:ascii="Arial" w:hAnsi="Arial" w:cs="Arial"/>
          <w:sz w:val="24"/>
          <w:szCs w:val="24"/>
          <w:lang w:val="en-US"/>
        </w:rPr>
        <w:fldChar w:fldCharType="begin" w:fldLock="1"/>
      </w:r>
      <w:r w:rsidR="003D34A3" w:rsidRPr="001D29F8">
        <w:rPr>
          <w:rFonts w:ascii="Arial" w:hAnsi="Arial" w:cs="Arial"/>
          <w:sz w:val="24"/>
          <w:szCs w:val="24"/>
          <w:lang w:val="en-US"/>
        </w:rPr>
        <w:instrText>ADDIN CSL_CITATION {"citationItems":[{"id":"ITEM-1","itemData":{"ISSN":"1464-5491 (Electronic)","PMID":"20546285","abstract":"OBJECTIVE: Impaired awareness of hypoglycaemia (IAH) is a major risk factor for severe hypoglycaemia in Type 1 diabetes. Although biochemical hypoglycaemia is asserted to be more frequent in IAH, this has not been estimated accurately. The aim of this study was to use Continuous Glucose Monitoring (CGM) to quantify hypoglycaemia in IAH and evaluate its use in identifying impaired awareness of hypoglycaemia. METHODS: Ninety-five patients with Type 1 diabetes were classified as having normal (n = 74) or impaired awareness (n = 21) using an established method of assessing hypoglycaemia awareness. Hypoglycaemia exposure was assessed prospectively over 9-12 months using weekly 4-point capillary home blood glucose monitoring (HBGM), 5 days of CGM and prospective reporting of severe hypoglycaemia. The frequencies of biochemical and severe hypoglycaemia were compared in patients with normal and impaired awareness of hypoglycaemia. RESULTS: Patients with impaired awareness had a 3-fold higher incidence of severe hypoglycaemia than those with normal awareness [incidence rate ratio (IRR) 3.37 (95% CI 1.30-8.7); P = 0.01] and 1.6-fold higher incidence of hypoglycaemia on weekly HBGM [IRR 1.63 (95% CI 1.09-2.44); P = 0.02]. No significant differences were observed with CGM [IRR for sensor glucose &lt; or = 3.0 mmol/l 1.47 (95% CI 0.91-2.39); P = 0.12; IRR for sensor glucose &lt; or = 2.2 mmol/l 1.23 (95% CI 0.76-1.98); P = 0.40]. CONCLUSIONS: Patients with Type 1 diabetes with impaired awareness had a 3-fold higher risk of severe hypoglycaemia and 1.6-fold higher incidence of biochemical hypoglycaemia measured with weekly glucose monitoring compared with normal awareness, but 5 days of CGM did not differentiate those with impaired from those with normal awareness.","author":[{"dropping-particle":"","family":"Choudhary","given":"P","non-dropping-particle":"","parse-names":false,"suffix":""},{"dropping-particle":"","family":"Geddes","given":"J","non-dropping-particle":"","parse-names":false,"suffix":""},{"dropping-particle":"V","family":"Freeman","given":"J","non-dropping-particle":"","parse-names":false,"suffix":""},{"dropping-particle":"","family":"Emery","given":"C J","non-dropping-particle":"","parse-names":false,"suffix":""},{"dropping-particle":"","family":"Heller","given":"S R","non-dropping-particle":"","parse-names":false,"suffix":""},{"dropping-particle":"","family":"Frier","given":"B M","non-dropping-particle":"","parse-names":false,"suffix":""}],"container-title":"Diabetic medicine : a journal of the British Diabetic Association","id":"ITEM-1","issue":"6","issued":{"date-parts":[["2010"]]},"language":"eng","page":"666-672","publisher-place":"England","title":"Frequency of biochemical hypoglycaemia in adults with Type 1 diabetes with and without impaired awareness of hypoglycaemia: no identifiable differences using continuous glucose monitoring.","type":"article-journal","volume":"27"},"uris":["http://www.mendeley.com/documents/?uuid=5deaebde-e60b-41ae-8e61-6af77933d79e"]},{"id":"ITEM-2","itemData":{"ISSN":"1464-5491 (Electronic)","PMID":"18387080","abstract":"AIMS: Impaired awareness of hypoglycaemia (IAH) is thought to affect approximately 25% of people with Type 1 diabetes. While this estimate was based on retrospective information from patients in several small studies performed several years ago, validated methods of assessment have not been used in a large hospital clinic-based population to ascertain the prevalence in the present era. METHODS: Five hundred and eighteen people with Type 1 diabetes were recruited by random selection over a 2-year period. Participants completed a questionnaire documenting baseline characteristics and assessment of their awareness status using the method described by Gold et al. The number of episodes of severe hypoglycaemia they had experienced in the preceding year was recorded retrospectively. RESULTS: IAH was present in 19.5% of the cohort. Compared to those with normal awareness of hypoglycaemia, those with IAH were significantly older [mean +/- standard deviation (sd); 39.3 +/- 12.9 vs. 45.9 +/- 13.5 years, P &lt; 0.001], had a longer duration of diabetes [median (interquartile range) 14 (8-22) vs. 23 (14-32) years, P &lt; 0.001], and had a six-fold higher frequency of severe hypoglycaemia in the previous year [0.38 +/- 1.04 (25th-75th centile 0-0) vs. 2.36 +/- 4.81 (25th-75th centile 0-2) episodes per person, P &lt; 0.001]. CONCLUSIONS: The present survey of a large hospital-based clinic population has confirmed that a significant proportion of people with Type 1 diabetes (19.5%) continue to have IAH. Despite improvements in insulin therapies, intensification of insulin regimens and innovative patient education, the prevalence of IAH remains high in Type 1 diabetes.","author":[{"dropping-particle":"","family":"Geddes","given":"J","non-dropping-particle":"","parse-names":false,"suffix":""},{"dropping-particle":"","family":"Schopman","given":"J E","non-dropping-particle":"","parse-names":false,"suffix":""},{"dropping-particle":"","family":"Zammitt","given":"N N","non-dropping-particle":"","parse-names":false,"suffix":""},{"dropping-particle":"","family":"Frier","given":"B M","non-dropping-particle":"","parse-names":false,"suffix":""}],"container-title":"Diabetic medicine : a journal of the British Diabetic Association","id":"ITEM-2","issue":"4","issued":{"date-parts":[["2008"]]},"language":"eng","page":"501-504","publisher-place":"England","title":"Prevalence of impaired awareness of hypoglycaemia in adults with Type 1 diabetes.","type":"article-journal","volume":"25"},"uris":["http://www.mendeley.com/documents/?uuid=98ebce30-4674-44a9-aaf1-41449689d2e3"]}],"mendeley":{"formattedCitation":"(6,7)","plainTextFormattedCitation":"(6,7)","previouslyFormattedCitation":"(6,7)"},"properties":{"noteIndex":0},"schema":"https://github.com/citation-style-language/schema/raw/master/csl-citation.json"}</w:instrText>
      </w:r>
      <w:r w:rsidR="00E25607" w:rsidRPr="001D29F8">
        <w:rPr>
          <w:rFonts w:ascii="Arial" w:hAnsi="Arial" w:cs="Arial"/>
          <w:sz w:val="24"/>
          <w:szCs w:val="24"/>
          <w:lang w:val="en-US"/>
        </w:rPr>
        <w:fldChar w:fldCharType="separate"/>
      </w:r>
      <w:r w:rsidR="00E25607" w:rsidRPr="001D29F8">
        <w:rPr>
          <w:rFonts w:ascii="Arial" w:hAnsi="Arial" w:cs="Arial"/>
          <w:noProof/>
          <w:sz w:val="24"/>
          <w:szCs w:val="24"/>
          <w:lang w:val="en-US"/>
        </w:rPr>
        <w:t>(6,7)</w:t>
      </w:r>
      <w:r w:rsidR="00E25607" w:rsidRPr="001D29F8">
        <w:rPr>
          <w:rFonts w:ascii="Arial" w:hAnsi="Arial" w:cs="Arial"/>
          <w:sz w:val="24"/>
          <w:szCs w:val="24"/>
          <w:lang w:val="en-US"/>
        </w:rPr>
        <w:fldChar w:fldCharType="end"/>
      </w:r>
      <w:r w:rsidR="00E25607" w:rsidRPr="001D29F8">
        <w:rPr>
          <w:rFonts w:ascii="Arial" w:hAnsi="Arial" w:cs="Arial"/>
          <w:sz w:val="24"/>
          <w:szCs w:val="24"/>
          <w:lang w:val="en-US"/>
        </w:rPr>
        <w:t>.</w:t>
      </w:r>
      <w:r w:rsidR="006732F3" w:rsidRPr="001D29F8">
        <w:rPr>
          <w:rFonts w:ascii="Arial" w:hAnsi="Arial" w:cs="Arial"/>
          <w:sz w:val="24"/>
          <w:szCs w:val="24"/>
          <w:lang w:val="en-US"/>
        </w:rPr>
        <w:t xml:space="preserve"> The interplay between the physiological and psychological burden of </w:t>
      </w:r>
      <w:r w:rsidR="00F658E9" w:rsidRPr="001D29F8">
        <w:rPr>
          <w:rFonts w:ascii="Arial" w:hAnsi="Arial" w:cs="Arial"/>
          <w:sz w:val="24"/>
          <w:szCs w:val="24"/>
          <w:lang w:val="en-US"/>
        </w:rPr>
        <w:t>hypoglycemia</w:t>
      </w:r>
      <w:r w:rsidR="006732F3" w:rsidRPr="001D29F8">
        <w:rPr>
          <w:rFonts w:ascii="Arial" w:hAnsi="Arial" w:cs="Arial"/>
          <w:sz w:val="24"/>
          <w:szCs w:val="24"/>
          <w:lang w:val="en-US"/>
        </w:rPr>
        <w:t xml:space="preserve"> is the main driver for the continued development of strategies and technological tools to avoid it.</w:t>
      </w:r>
    </w:p>
    <w:p w14:paraId="53A62D59" w14:textId="77777777" w:rsidR="00F43947" w:rsidRPr="001D29F8" w:rsidRDefault="00CD5387" w:rsidP="001D29F8">
      <w:pPr>
        <w:spacing w:line="480" w:lineRule="auto"/>
        <w:jc w:val="both"/>
        <w:rPr>
          <w:rFonts w:ascii="Arial" w:hAnsi="Arial" w:cs="Arial"/>
          <w:color w:val="FF0000"/>
          <w:sz w:val="24"/>
          <w:szCs w:val="24"/>
          <w:lang w:val="en-US"/>
        </w:rPr>
      </w:pPr>
      <w:r w:rsidRPr="001D29F8">
        <w:rPr>
          <w:rFonts w:ascii="Arial" w:hAnsi="Arial" w:cs="Arial"/>
          <w:sz w:val="24"/>
          <w:szCs w:val="24"/>
          <w:lang w:val="en-US"/>
        </w:rPr>
        <w:t>One technological advancement is r</w:t>
      </w:r>
      <w:r w:rsidR="006C714A" w:rsidRPr="001D29F8">
        <w:rPr>
          <w:rFonts w:ascii="Arial" w:hAnsi="Arial" w:cs="Arial"/>
          <w:sz w:val="24"/>
          <w:szCs w:val="24"/>
          <w:lang w:val="en-US"/>
        </w:rPr>
        <w:t>eal-time continuous glucose monitoring (</w:t>
      </w:r>
      <w:proofErr w:type="spellStart"/>
      <w:r w:rsidR="002E3611" w:rsidRPr="001D29F8">
        <w:rPr>
          <w:rFonts w:ascii="Arial" w:hAnsi="Arial" w:cs="Arial"/>
          <w:sz w:val="24"/>
          <w:szCs w:val="24"/>
          <w:lang w:val="en-US"/>
        </w:rPr>
        <w:t>rt</w:t>
      </w:r>
      <w:r w:rsidR="006C714A" w:rsidRPr="001D29F8">
        <w:rPr>
          <w:rFonts w:ascii="Arial" w:hAnsi="Arial" w:cs="Arial"/>
          <w:sz w:val="24"/>
          <w:szCs w:val="24"/>
          <w:lang w:val="en-US"/>
        </w:rPr>
        <w:t>CGM</w:t>
      </w:r>
      <w:proofErr w:type="spellEnd"/>
      <w:r w:rsidR="006C714A" w:rsidRPr="001D29F8">
        <w:rPr>
          <w:rFonts w:ascii="Arial" w:hAnsi="Arial" w:cs="Arial"/>
          <w:sz w:val="24"/>
          <w:szCs w:val="24"/>
          <w:lang w:val="en-US"/>
        </w:rPr>
        <w:t>)</w:t>
      </w:r>
      <w:r w:rsidRPr="001D29F8">
        <w:rPr>
          <w:rFonts w:ascii="Arial" w:hAnsi="Arial" w:cs="Arial"/>
          <w:sz w:val="24"/>
          <w:szCs w:val="24"/>
          <w:lang w:val="en-US"/>
        </w:rPr>
        <w:t xml:space="preserve"> which</w:t>
      </w:r>
      <w:r w:rsidR="007D3E7C" w:rsidRPr="001D29F8">
        <w:rPr>
          <w:rFonts w:ascii="Arial" w:hAnsi="Arial" w:cs="Arial"/>
          <w:sz w:val="24"/>
          <w:szCs w:val="24"/>
          <w:lang w:val="en-US"/>
        </w:rPr>
        <w:t xml:space="preserve"> has show</w:t>
      </w:r>
      <w:r w:rsidR="008E2E93" w:rsidRPr="001D29F8">
        <w:rPr>
          <w:rFonts w:ascii="Arial" w:hAnsi="Arial" w:cs="Arial"/>
          <w:sz w:val="24"/>
          <w:szCs w:val="24"/>
          <w:lang w:val="en-US"/>
        </w:rPr>
        <w:t>n</w:t>
      </w:r>
      <w:r w:rsidR="007D3E7C" w:rsidRPr="001D29F8">
        <w:rPr>
          <w:rFonts w:ascii="Arial" w:hAnsi="Arial" w:cs="Arial"/>
          <w:sz w:val="24"/>
          <w:szCs w:val="24"/>
          <w:lang w:val="en-US"/>
        </w:rPr>
        <w:t xml:space="preserve"> </w:t>
      </w:r>
      <w:r w:rsidR="000C6166" w:rsidRPr="001D29F8">
        <w:rPr>
          <w:rFonts w:ascii="Arial" w:hAnsi="Arial" w:cs="Arial"/>
          <w:sz w:val="24"/>
          <w:szCs w:val="24"/>
          <w:lang w:val="en-US"/>
        </w:rPr>
        <w:t xml:space="preserve">that it can help prevent hypoglycemia with also </w:t>
      </w:r>
      <w:r w:rsidR="006C714A" w:rsidRPr="001D29F8">
        <w:rPr>
          <w:rFonts w:ascii="Arial" w:hAnsi="Arial" w:cs="Arial"/>
          <w:sz w:val="24"/>
          <w:szCs w:val="24"/>
          <w:lang w:val="en-US"/>
        </w:rPr>
        <w:t xml:space="preserve">favorable results on </w:t>
      </w:r>
      <w:r w:rsidR="005464C2" w:rsidRPr="001D29F8">
        <w:rPr>
          <w:rFonts w:ascii="Arial" w:hAnsi="Arial" w:cs="Arial"/>
          <w:sz w:val="24"/>
          <w:szCs w:val="24"/>
          <w:lang w:val="en-US"/>
        </w:rPr>
        <w:t>HbA</w:t>
      </w:r>
      <w:r w:rsidR="005464C2" w:rsidRPr="001D29F8">
        <w:rPr>
          <w:rFonts w:ascii="Arial" w:hAnsi="Arial" w:cs="Arial"/>
          <w:sz w:val="24"/>
          <w:szCs w:val="24"/>
          <w:vertAlign w:val="subscript"/>
          <w:lang w:val="en-US"/>
        </w:rPr>
        <w:t>1c</w:t>
      </w:r>
      <w:r w:rsidR="005464C2" w:rsidRPr="001D29F8">
        <w:rPr>
          <w:rFonts w:ascii="Arial" w:hAnsi="Arial" w:cs="Arial"/>
          <w:sz w:val="24"/>
          <w:szCs w:val="24"/>
          <w:lang w:val="en-US"/>
        </w:rPr>
        <w:t xml:space="preserve"> and </w:t>
      </w:r>
      <w:r w:rsidR="006C714A" w:rsidRPr="001D29F8">
        <w:rPr>
          <w:rFonts w:ascii="Arial" w:hAnsi="Arial" w:cs="Arial"/>
          <w:sz w:val="24"/>
          <w:szCs w:val="24"/>
          <w:lang w:val="en-US"/>
        </w:rPr>
        <w:t xml:space="preserve">quality of life </w:t>
      </w:r>
      <w:r w:rsidR="00335B99" w:rsidRPr="001D29F8">
        <w:rPr>
          <w:rFonts w:ascii="Arial" w:hAnsi="Arial" w:cs="Arial"/>
          <w:sz w:val="24"/>
          <w:szCs w:val="24"/>
          <w:lang w:val="en-US"/>
        </w:rPr>
        <w:t>in randomized controlled trials</w:t>
      </w:r>
      <w:r w:rsidR="00472CB9" w:rsidRPr="001D29F8">
        <w:rPr>
          <w:rFonts w:ascii="Arial" w:hAnsi="Arial" w:cs="Arial"/>
          <w:sz w:val="24"/>
          <w:szCs w:val="24"/>
          <w:lang w:val="en-US"/>
        </w:rPr>
        <w:t xml:space="preserve"> </w:t>
      </w:r>
      <w:r w:rsidR="008E2E93" w:rsidRPr="001D29F8">
        <w:rPr>
          <w:rFonts w:ascii="Arial" w:hAnsi="Arial" w:cs="Arial"/>
          <w:sz w:val="24"/>
          <w:szCs w:val="24"/>
          <w:lang w:val="en-US"/>
        </w:rPr>
        <w:t>with</w:t>
      </w:r>
      <w:r w:rsidR="00472CB9" w:rsidRPr="001D29F8">
        <w:rPr>
          <w:rFonts w:ascii="Arial" w:hAnsi="Arial" w:cs="Arial"/>
          <w:sz w:val="24"/>
          <w:szCs w:val="24"/>
          <w:lang w:val="en-US"/>
        </w:rPr>
        <w:t xml:space="preserve"> participants treated with multiple daily insulin injections</w:t>
      </w:r>
      <w:r w:rsidR="000359CC" w:rsidRPr="001D29F8">
        <w:rPr>
          <w:rFonts w:ascii="Arial" w:hAnsi="Arial" w:cs="Arial"/>
          <w:sz w:val="24"/>
          <w:szCs w:val="24"/>
          <w:lang w:val="en-US"/>
        </w:rPr>
        <w:t xml:space="preserve"> (MDI)</w:t>
      </w:r>
      <w:r w:rsidR="00472CB9" w:rsidRPr="001D29F8">
        <w:rPr>
          <w:rFonts w:ascii="Arial" w:hAnsi="Arial" w:cs="Arial"/>
          <w:sz w:val="24"/>
          <w:szCs w:val="24"/>
          <w:lang w:val="en-US"/>
        </w:rPr>
        <w:t xml:space="preserve"> </w:t>
      </w:r>
      <w:r w:rsidR="002949E0" w:rsidRPr="001D29F8">
        <w:rPr>
          <w:rFonts w:ascii="Arial" w:hAnsi="Arial" w:cs="Arial"/>
          <w:sz w:val="24"/>
          <w:szCs w:val="24"/>
          <w:lang w:val="en-US"/>
        </w:rPr>
        <w:fldChar w:fldCharType="begin" w:fldLock="1"/>
      </w:r>
      <w:r w:rsidR="003D34A3" w:rsidRPr="001D29F8">
        <w:rPr>
          <w:rFonts w:ascii="Arial" w:hAnsi="Arial" w:cs="Arial"/>
          <w:sz w:val="24"/>
          <w:szCs w:val="24"/>
          <w:lang w:val="en-US"/>
        </w:rPr>
        <w:instrText>ADDIN CSL_CITATION {"citationItems":[{"id":"ITEM-1","itemData":{"DOI":"10.1001/jama.2016.19976","ISSN":"1538-3598 (Electronic)","PMID":"28118454","abstract":"Importance: The majority of individuals with type 1 diabetes do not meet recommended glycemic targets. Objective: To evaluate the effects of continuous glucose monitoring in adults with type 1 diabetes treated with multiple daily insulin injections. Design, Setting, and Participants: Open-label crossover randomized clinical trial conducted in 15 diabetes outpatient clinics in Sweden between February 24, 2014, and June 1, 2016 that included 161 individuals with type 1 diabetes and hemoglobin A1c (HbA1c) of at least 7.5% (58 mmol/mol) treated with multiple daily insulin injections. Interventions: Participants were randomized to receive treatment using a continuous glucose monitoring system or conventional treatment for 26 weeks, separated by a washout period of 17 weeks. Main Outcomes and Measures: Difference in HbA1c between weeks 26 and 69 for the 2 treatments. Adverse events including severe hypoglycemia were also studied. Results: Among 161 randomized participants, mean age was 43.7 years, 45.3% were women, and mean HbA1c was 8.6% (70 mmol/mol). A total of 142 participants had follow-up data in both treatment periods. Mean HbA1c was 7.92% (63 mmol/mol) during continuous glucose monitoring use and 8.35% (68 mmol/mol) during conventional treatment (mean difference, -0.43% [95% CI, -0.57% to -0.29%] or -4.7 [-6.3 to -3.1 mmol/mol]; P &lt; .001). Of 19 secondary end points comprising psychosocial and various glycemic measures, 6 met the hierarchical testing criteria of statistical significance, favoring continuous glucose monitoring compared with conventional treatment. Five patients in the conventional treatment group and 1 patient in the continuous glucose monitoring group had severe hypoglycemia. During washout when patients used conventional therapy, 7 patients had severe hypoglycemia. Conclusions and Relevance: Among patients with inadequately controlled type 1 diabetes treated with multiple daily insulin injections, the use of continuous glucose monitoring compared with conventional treatment for 26 weeks resulted in lower HbA1c. Further research is needed to assess clinical outcomes and longer-term adverse effects. Trial Registration: clinicaltrials.gov Identifier: NCT02092051.","author":[{"dropping-particle":"","family":"Lind","given":"Marcus","non-dropping-particle":"","parse-names":false,"suffix":""},{"dropping-particle":"","family":"Polonsky","given":"William","non-dropping-particle":"","parse-names":false,"suffix":""},{"dropping-particle":"","family":"Hirsch","given":"Irl B","non-dropping-particle":"","parse-names":false,"suffix":""},{"dropping-particle":"","family":"Heise","given":"Tim","non-dropping-particle":"","parse-names":false,"suffix":""},{"dropping-particle":"","family":"Bolinder","given":"Jan","non-dropping-particle":"","parse-names":false,"suffix":""},{"dropping-particle":"","family":"Dahlqvist","given":"Sofia","non-dropping-particle":"","parse-names":false,"suffix":""},{"dropping-particle":"","family":"Schwarz","given":"Erik","non-dropping-particle":"","parse-names":false,"suffix":""},{"dropping-particle":"","family":"Olafsdottir","given":"Arndis Finna","non-dropping-particle":"","parse-names":false,"suffix":""},{"dropping-particle":"","family":"Frid","given":"Anders","non-dropping-particle":"","parse-names":false,"suffix":""},{"dropping-particle":"","family":"Wedel","given":"Hans","non-dropping-particle":"","parse-names":false,"suffix":""},{"dropping-particle":"","family":"Ahlen","given":"Elsa","non-dropping-particle":"","parse-names":false,"suffix":""},{"dropping-particle":"","family":"Nystrom","given":"Thomas","non-dropping-particle":"","parse-names":false,"suffix":""},{"dropping-particle":"","family":"Hellman","given":"Jarl","non-dropping-particle":"","parse-names":false,"suffix":""}],"container-title":"JAMA","id":"ITEM-1","issue":"4","issued":{"date-parts":[["2017","1"]]},"language":"eng","page":"379-387","publisher-place":"United States","title":"Continuous Glucose Monitoring vs Conventional Therapy for Glycemic Control in Adults With Type 1 Diabetes Treated With Multiple Daily Insulin Injections: The GOLD Randomized Clinical Trial.","type":"article-journal","volume":"317"},"uris":["http://www.mendeley.com/documents/?uuid=53c21762-23dd-433f-8d5c-d3e20de0e369"]},{"id":"ITEM-2","itemData":{"DOI":"10.1001/jama.2016.19975","ISSN":"1538-3598 (Electronic)","PMID":"28118453","abstract":"Importance: Previous clinical trials showing the benefit of continuous glucose monitoring (CGM) in the management of type 1 diabetes predominantly have included adults using insulin pumps, even though the majority of adults with type 1 diabetes administer insulin by injection. Objective: To determine the effectiveness of CGM in adults with type 1 diabetes treated with insulin injections. Design, Setting, and Participants: Randomized clinical trial conducted between October 2014 and May 2016 at 24 endocrinology practices in the United States that included 158 adults with type 1 diabetes who were using multiple daily insulin injections and had hemoglobin A1c (HbA1c) levels of 7.5% to 9.9%. Interventions: Random assignment 2:1 to CGM (n = 105) or usual care (control group; n = 53). Main Outcomes and Measures: Primary outcome measure was the difference in change in central-laboratory-measured HbA1c level from baseline to 24 weeks. There were 18 secondary or exploratory end points, of which 15 are reported in this article, including duration of hypoglycemia at less than 70 mg/dL, measured with CGM for 7 days at 12 and 24 weeks. Results: Among the 158 randomized participants (mean age, 48 years [SD, 13]; 44% women; mean baseline HbA1c level, 8.6% [SD, 0.6%]; and median diabetes duration, 19 years [interquartile range, 10-31 years]), 155 (98%) completed the study. In the CGM group, 93% used CGM 6 d/wk or more in month 6. Mean HbA1c reduction from baseline was 1.1% at 12 weeks and 1.0% at 24 weeks in the CGM group and 0.5% and 0.4%, respectively, in the control group (repeated-measures model P &lt; .001). At 24 weeks, the adjusted treatment-group difference in mean change in HbA1c level from baseline was -0.6% (95% CI, -0.8% to -0.3%; P &lt; .001). Median duration of hypoglycemia at less than &lt;70 mg/dL was 43 min/d (IQR, 27-69) in the CGM group vs 80 min/d (IQR, 36-111) in the control group (P = .002). Severe hypoglycemia events occurred in 2 participants in each group. Conclusions and Relevance: Among adults with type 1 diabetes who used multiple daily insulin injections, the use of CGM compared with usual care resulted in a greater decrease in HbA1c level during 24 weeks. Further research is needed to assess longer-term effectiveness, as well as clinical outcomes and adverse effects. Trial Registration: clinicaltrials.gov Identifier: NCT02282397.","author":[{"dropping-particle":"","family":"Beck","given":"Roy W","non-dropping-particle":"","parse-names":false,"suffix":""},{"dropping-particle":"","family":"Riddlesworth","given":"Tonya","non-dropping-particle":"","parse-names":false,"suffix":""},{"dropping-particle":"","family":"Ruedy","given":"Katrina","non-dropping-particle":"","parse-names":false,"suffix":""},{"dropping-particle":"","family":"Ahmann","given":"Andrew","non-dropping-particle":"","parse-names":false,"suffix":""},{"dropping-particle":"","family":"Bergenstal","given":"Richard","non-dropping-particle":"","parse-names":false,"suffix":""},{"dropping-particle":"","family":"Haller","given":"Stacie","non-dropping-particle":"","parse-names":false,"suffix":""},{"dropping-particle":"","family":"Kollman","given":"Craig","non-dropping-particle":"","parse-names":false,"suffix":""},{"dropping-particle":"","family":"Kruger","given":"Davida","non-dropping-particle":"","parse-names":false,"suffix":""},{"dropping-particle":"","family":"McGill","given":"Janet B","non-dropping-particle":"","parse-names":false,"suffix":""},{"dropping-particle":"","family":"Polonsky","given":"William","non-dropping-particle":"","parse-names":false,"suffix":""},{"dropping-particle":"","family":"Toschi","given":"Elena","non-dropping-particle":"","parse-names":false,"suffix":""},{"dropping-particle":"","family":"Wolpert","given":"Howard","non-dropping-particle":"","parse-names":false,"suffix":""},{"dropping-particle":"","family":"Price","given":"David","non-dropping-particle":"","parse-names":false,"suffix":""}],"container-title":"JAMA","id":"ITEM-2","issue":"4","issued":{"date-parts":[["2017","1"]]},"language":"eng","page":"371-378","publisher-place":"United States","title":"Effect of Continuous Glucose Monitoring on Glycemic Control in Adults With Type 1 Diabetes Using Insulin Injections: The DIAMOND Randomized Clinical Trial.","type":"article-journal","volume":"317"},"uris":["http://www.mendeley.com/documents/?uuid=ba855fd6-2387-445d-bb07-edfd5a0aa31d"]},{"id":"ITEM-3","itemData":{"ISSN":"01406736","PMID":"29459019","abstract":"BACKGROUND: The effectiveness of real-time continuous glucose monitoring (rtCGM) in avoidance of hypoglycaemia among high-risk individuals with type 1 diabetes treated with multiple daily insulin injections (MDI) is unknown. We aimed to ascertain whether the incidence and severity of hypoglycaemia can be reduced through use of rtCGM in these individuals. METHODS: The HypoDE study was a 6-month, multicentre, open-label, parallel, randomised controlled trial done at 12 diabetes practices in Germany. Eligible participants had type 1 diabetes and a history of impaired hypoglycaemia awareness or severe hypoglycaemia during the previous year. All participants wore a masked rtCGM system for 28 days and were then randomly assigned to 26 weeks of unmasked rtCGM (Dexcom G5 Mobile system) or to the control group (continuing with self-monitoring of blood glucose). Block randomisation with 1:1 allocation was done centrally, with the study site as the stratifying variable. Masking of participants and study sites was not possible. Control participants wore a masked rtCGM system during the follow-up phase (weeks 22-26). The primary outcome was the baseline-adjusted number of hypoglycaemic events (defined as glucose &lt;/=3.0 mmol/L for &gt;/=20 min) during the follow-up phase. The full dataset analysis comprised participants who wore the rtCGM system during the baseline and follow-up phases. The intention-to-treat analysis comprised all randomised participants. This trial is registered with ClinicalTrials.gov, number NCT02671968. FINDINGS: Between March 4, 2016, and Jan 12, 2017, 149 participants were randomly assigned (n=74 to the control group; n=75 to the rtCGM group) and 141 completed the follow-up phase (n=66 in the control group, n=75 in the rtCGM group). The mean number of hypoglycaemic events per 28 days among participants in the rtCGM group was reduced from 10.8 (SD 10.0) to 3.5 (4.7); reductions among control participants were negligible (from 14.4 [12.4] to 13.7 [11.6]). Incidence of hypoglycaemic events decreased by 72% for participants in the rtCGM group (incidence rate ratio 0.28 [95% CI 0.20-0.39], p&lt;0.0001). 18 serious adverse events were reported: seven in the control group, ten in the rtCGM group, and one before randomisation. No event was considered to be related to the investigational device. INTERPRETATION: Usage of rtCGM reduced the number of hypoglycaemic events in individuals with type 1 diabetes treated by MDI and with impaired hypoglycaemia awarenes…","author":[{"dropping-particle":"","family":"Heinemann","given":"Lutz","non-dropping-particle":"","parse-names":false,"suffix":""},{"dropping-particle":"","family":"Freckmann","given":"Guido","non-dropping-particle":"","parse-names":false,"suffix":""},{"dropping-particle":"","family":"Ehrmann","given":"Dominic","non-dropping-particle":"","parse-names":false,"suffix":""},{"dropping-particle":"","family":"Faber-Heinemann","given":"Gabriele","non-dropping-particle":"","parse-names":false,"suffix":""},{"dropping-particle":"","family":"Guerra","given":"Stefania","non-dropping-particle":"","parse-names":false,"suffix":""},{"dropping-particle":"","family":"Waldenmaier","given":"Delia","non-dropping-particle":"","parse-names":false,"suffix":""},{"dropping-particle":"","family":"Hermanns","given":"Norbert","non-dropping-particle":"","parse-names":false,"suffix":""}],"container-title":"The Lancet","id":"ITEM-3","issue":"10128","issued":{"date-parts":[["2018"]]},"language":"eng","page":"1367-1377","publisher-place":"England","title":"Real-time continuous glucose monitoring in adults with type 1 diabetes and impaired hypoglycaemia awareness or severe hypoglycaemia treated with multiple daily insulin injections (HypoDE): a multicentre, randomised controlled trial","type":"article-journal","volume":"391"},"uris":["http://www.mendeley.com/documents/?uuid=5d56050b-a7e3-48e1-8116-2083968a4bd9"]},{"id":"ITEM-4","itemData":{"ISSN":"1935-5548 (Electronic)","PMID":"28389582","abstract":"OBJECTIVE: Continuous glucose monitoring (CGM) improves glycemic control, but data are inconclusive about its influence on quality of life (QOL). We investigated the impact of 24 weeks of CGM use on QOL in adults with type 1 diabetes (T1D) who use multiple daily insulin injections. RESEARCH DESIGN AND METHODS: DIAMOND (Multiple Daily Injections and Continuous Glucose Monitoring in Diabetes) was a prospective randomized trial that assessed CGM versus self-monitoring of blood glucose (SMBG) only in 158 adults with poorly controlled T1D. At baseline and study end, participants completed QOL measures that assessed overall well-being (WHO-5), health status (EQ-5D-5L), diabetes distress (DDS), hypoglycemic fear (worry subscale of the HFS-II), and hypoglycemic confidence (HCS). At study end, CGM participants completed the CGM Satisfaction Survey. Linear regression analyses compared treatment group changes in QOL outcomes over time. Associations between CGM satisfaction and change in QOL outcomes and in glycemic control indices were assessed. RESULTS: The CGM group demonstrated a greater increase in hypoglycemic confidence (P = 0.01) and a greater decrease in diabetes distress (P = 0.01) than the SMBG group. No significant group differences in well-being, health status, or hypoglycemic fear were observed. CGM satisfaction was not significantly associated with glycemic changes but was associated with reductions in diabetes distress (P &lt; 0.001) and hypoglycemic fear (P = 0.02) and increases in hypoglycemic confidence (P &lt; 0.001) and well-being (P = 0.01). CONCLUSIONS: CGM contributes to significant improvement in diabetes-specific QOL (i.e., diabetes distress, hypoglycemic confidence) in adults with T1D, but not with QOL measures not specific to diabetes (i.e., well-being, health status). CGM satisfaction was associated with most of the QOL outcomes but not with glycemic outcomes.","author":[{"dropping-particle":"","family":"Polonsky","given":"William H","non-dropping-particle":"","parse-names":false,"suffix":""},{"dropping-particle":"","family":"Hessler","given":"Danielle","non-dropping-particle":"","parse-names":false,"suffix":""},{"dropping-particle":"","family":"Ruedy","given":"Katrina J","non-dropping-particle":"","parse-names":false,"suffix":""},{"dropping-particle":"","family":"Beck","given":"Roy W","non-dropping-particle":"","parse-names":false,"suffix":""}],"container-title":"Diabetes care","id":"ITEM-4","issue":"6","issued":{"date-parts":[["2017"]]},"language":"eng","page":"736-741","publisher-place":"United States","title":"The Impact of Continuous Glucose Monitoring on Markers of Quality of Life in Adults With Type 1 Diabetes: Further Findings From the DIAMOND Randomized Clinical Trial.","type":"article-journal","volume":"40"},"uris":["http://www.mendeley.com/documents/?uuid=328c0e35-3685-4c4b-a809-b70ffd44de1d"]}],"mendeley":{"formattedCitation":"(8–11)","plainTextFormattedCitation":"(8–11)","previouslyFormattedCitation":"(8–11)"},"properties":{"noteIndex":0},"schema":"https://github.com/citation-style-language/schema/raw/master/csl-citation.json"}</w:instrText>
      </w:r>
      <w:r w:rsidR="002949E0" w:rsidRPr="001D29F8">
        <w:rPr>
          <w:rFonts w:ascii="Arial" w:hAnsi="Arial" w:cs="Arial"/>
          <w:sz w:val="24"/>
          <w:szCs w:val="24"/>
          <w:lang w:val="en-US"/>
        </w:rPr>
        <w:fldChar w:fldCharType="separate"/>
      </w:r>
      <w:r w:rsidR="003D34A3" w:rsidRPr="001D29F8">
        <w:rPr>
          <w:rFonts w:ascii="Arial" w:hAnsi="Arial" w:cs="Arial"/>
          <w:noProof/>
          <w:sz w:val="24"/>
          <w:szCs w:val="24"/>
          <w:lang w:val="en-US"/>
        </w:rPr>
        <w:t>(8–11)</w:t>
      </w:r>
      <w:r w:rsidR="002949E0" w:rsidRPr="001D29F8">
        <w:rPr>
          <w:rFonts w:ascii="Arial" w:hAnsi="Arial" w:cs="Arial"/>
          <w:sz w:val="24"/>
          <w:szCs w:val="24"/>
          <w:lang w:val="en-US"/>
        </w:rPr>
        <w:fldChar w:fldCharType="end"/>
      </w:r>
      <w:r w:rsidR="002949E0" w:rsidRPr="001D29F8">
        <w:rPr>
          <w:rFonts w:ascii="Arial" w:hAnsi="Arial" w:cs="Arial"/>
          <w:sz w:val="24"/>
          <w:szCs w:val="24"/>
          <w:lang w:val="en-US"/>
        </w:rPr>
        <w:t xml:space="preserve"> </w:t>
      </w:r>
      <w:r w:rsidR="00472CB9" w:rsidRPr="001D29F8">
        <w:rPr>
          <w:rFonts w:ascii="Arial" w:hAnsi="Arial" w:cs="Arial"/>
          <w:sz w:val="24"/>
          <w:szCs w:val="24"/>
          <w:lang w:val="en-US"/>
        </w:rPr>
        <w:t>and continuous subcutaneous insulin infusion (CSII)</w:t>
      </w:r>
      <w:r w:rsidR="00335B99" w:rsidRPr="001D29F8">
        <w:rPr>
          <w:rFonts w:ascii="Arial" w:hAnsi="Arial" w:cs="Arial"/>
          <w:sz w:val="24"/>
          <w:szCs w:val="24"/>
          <w:lang w:val="en-US"/>
        </w:rPr>
        <w:t xml:space="preserve"> </w:t>
      </w:r>
      <w:r w:rsidR="006C714A" w:rsidRPr="001D29F8">
        <w:rPr>
          <w:rFonts w:ascii="Arial" w:hAnsi="Arial" w:cs="Arial"/>
          <w:sz w:val="24"/>
          <w:szCs w:val="24"/>
          <w:lang w:val="en-US"/>
        </w:rPr>
        <w:fldChar w:fldCharType="begin" w:fldLock="1"/>
      </w:r>
      <w:r w:rsidR="003D34A3" w:rsidRPr="001D29F8">
        <w:rPr>
          <w:rFonts w:ascii="Arial" w:hAnsi="Arial" w:cs="Arial"/>
          <w:sz w:val="24"/>
          <w:szCs w:val="24"/>
          <w:lang w:val="en-US"/>
        </w:rPr>
        <w:instrText>ADDIN CSL_CITATION {"citationItems":[{"id":"ITEM-1","itemData":{"ISSN":"2213-8595 (Electronic)","PMID":"27641781","abstract":"BACKGROUND: Patients with type 1 diabetes who have impaired awareness of hypoglycaemia have a three to six times increased risk of severe hypoglycaemia. We aimed to assess whether continuous glucose monitoring (CGM) improves glycaemia and prevents severe hypoglycaemia compared with self-monitoring of blood glucose (SMBG) in this high-risk population. METHODS: We did a randomised, open-label, crossover trial (IN CONTROL) at two medical centres in the Netherlands. Eligible participants were patients diagnosed with type 1 diabetes according to American Diabetes Association criteria, aged 18-75 years, with impaired awareness of hypoglycaemia as confirmed by a Gold score of at least 4, and treated with either continuous subcutaneous insulin infusion or multiple daily insulin injections and doing at least three SMBG measurements per day. After screening, re-education about diabetes management, and a 6-week run-in phase (to obtain baseline CGM data), we randomly assigned patients (1:1) with a computer-generated allocation sequence (block size of four) to either 16 weeks of CGM followed by 12 weeks of washout and 16 weeks of SMBG, or 16 weeks of SMBG followed by 12 weeks of washout and 16 weeks of CGM (where the SMBG phase was the control). During the CGM phase, patients used a real-time CGM system consisting of a Paradigm Veo system with a MiniLink transmitter and an Enlite glucose sensor (Medtronic, CA, USA). During the SMBG phase, patients were equipped with a masked CGM device, consisting of an iPro 2 continuous glucose monitor and an Enlite glucose sensor, which does not display real-time glucose values. The number of SMBG measurements per day and SMBG systems were not standardised between patients, to mimic real-life conditions. During both intervention periods, patients attended follow-up visits at the centres each month and had telephone consultations 2 weeks after each visit inquiring about adverse events, episodes of hypoglycaemia, etc. The primary endpoint was the mean difference in percentage of time spent in normoglycaemia (4-10 mmol/L) over the total intervention periods, analysed on an intention-to-treat basis. Severe hypoglycaemia (requiring third party assistance) was a secondary endpoint. This trial is registered with ClinicalTrials.gov, number NCT01787903. FINDINGS: Between March 4, 2013, and Feb 9, 2015, we recruited and randomly assigned 52 patients to either the CGM-SMBG sequence (n=26) or the SMBG-CGM sequence (n=26). The last patient vis…","author":[{"dropping-particle":"","family":"Beers","given":"Cornelis A J","non-dropping-particle":"van","parse-names":false,"suffix":""},{"dropping-particle":"","family":"DeVries","given":"J Hans","non-dropping-particle":"","parse-names":false,"suffix":""},{"dropping-particle":"","family":"Kleijer","given":"Susanne J","non-dropping-particle":"","parse-names":false,"suffix":""},{"dropping-particle":"","family":"Smits","given":"Mark M","non-dropping-particle":"","parse-names":false,"suffix":""},{"dropping-particle":"","family":"Geelhoed-Duijvestijn","given":"Petronella H","non-dropping-particle":"","parse-names":false,"suffix":""},{"dropping-particle":"","family":"Kramer","given":"Mark H H","non-dropping-particle":"","parse-names":false,"suffix":""},{"dropping-particle":"","family":"Diamant","given":"Michaela","non-dropping-particle":"","parse-names":false,"suffix":""},{"dropping-particle":"","family":"Snoek","given":"Frank J","non-dropping-particle":"","parse-names":false,"suffix":""},{"dropping-particle":"","family":"Serne","given":"Erik H","non-dropping-particle":"","parse-names":false,"suffix":""}],"container-title":"The Lancet Diabetes &amp; Endocrinology","id":"ITEM-1","issue":"11","issued":{"date-parts":[["2016"]]},"language":"eng","page":"893-902","publisher-place":"England","title":"Continuous glucose monitoring for patients with type 1 diabetes and impaired awareness of hypoglycaemia (IN CONTROL): a randomised, open-label, crossover trial.","type":"article-journal","volume":"4"},"uris":["http://www.mendeley.com/documents/?uuid=0dbf5c1a-daab-4eb6-95a1-0953b5b04c4b"]},{"id":"ITEM-2","itemData":{"ISSN":"1432-0428 (Electronic)","PMID":"22965294","abstract":"AIMS/HYPOTHESIS: The aim of this multicentre, randomised, controlled crossover study was to determine the efficacy of adding continuous glucose monitoring (CGM) to insulin pump therapy (CSII) in type 1 diabetes. METHODS: Children and adults (n = 153) on CSII with HbA(1c) 7.5-9.5% (58.5-80.3 mmol/mol) were randomised to (CGM) a Sensor On or Sensor Off arm for 6 months. After 4 months' washout, participants crossed over to the other arm for 6 months. Paediatric and adult participants were separately electronically randomised through the case report form according to a predefined randomisation sequence in eight secondary and tertiary centres. The primary outcome was the difference in HbA(1c) levels between arms after 6 months. RESULTS: Seventy-seven participants were randomised to the On/Off sequence and 76 to the Off/On sequence; all were included in the primary analysis. The mean difference in HbA(1c) was -0.43% (-4.74 mmol/mol) in favour of the Sensor On arm (8.04% [64.34 mmol/mol] vs 8.47% [69.08 mmol/mol]; 95% CI -0.32%, -0.55% [-3.50, -6.01 mmol/mol]; p &lt; 0.001). Following cessation of glucose sensing, HbA(1c) reverted to baseline levels. Less time was spent with sensor glucose &lt;3.9 mmol/l during the Sensor On arm than in the Sensor Off arm (19 vs 31 min/day; p = 0.009). The mean number of daily boluses increased in the Sensor On arm (6.8 +/- 2.5 vs 5.8 +/- 1.9, p &lt; 0.0001), together with the frequency of use of the temporary basal rate (0.75 +/- 1.11 vs 0.26 +/- 0.47, p &lt; 0.0001) and manual insulin suspend (0.91 +/- 1.25 vs 0.70 +/- 0.75, p &lt; 0.018) functions. Four vs two events of severe hypoglycaemia occurred in the Sensor On and Sensor Off arm, respectively (p = 0.40). CONCLUSIONS/INTERPRETATION: Continuous glucose monitoring was associated with decreased HbA(1c) levels and time spent in hypoglycaemia in individuals with type 1 diabetes using CSII. More frequent self-adjustments of insulin therapy may have contributed to these effects.","author":[{"dropping-particle":"","family":"Battelino","given":"T","non-dropping-particle":"","parse-names":false,"suffix":""},{"dropping-particle":"","family":"Conget","given":"I","non-dropping-particle":"","parse-names":false,"suffix":""},{"dropping-particle":"","family":"Olsen","given":"B","non-dropping-particle":"","parse-names":false,"suffix":""},{"dropping-particle":"","family":"Schutz-Fuhrmann","given":"I","non-dropping-particle":"","parse-names":false,"suffix":""},{"dropping-particle":"","family":"Hommel","given":"E","non-dropping-particle":"","parse-names":false,"suffix":""},{"dropping-particle":"","family":"Hoogma","given":"R","non-dropping-particle":"","parse-names":false,"suffix":""},{"dropping-particle":"","family":"Schierloh","given":"U","non-dropping-particle":"","parse-names":false,"suffix":""},{"dropping-particle":"","family":"Sulli","given":"N","non-dropping-particle":"","parse-names":false,"suffix":""},{"dropping-particle":"","family":"Bolinder","given":"J","non-dropping-particle":"","parse-names":false,"suffix":""}],"container-title":"Diabetologia","id":"ITEM-2","issue":"12","issued":{"date-parts":[["2012"]]},"language":"eng","page":"3155-3162","publisher-place":"Germany","title":"The use and efficacy of continuous glucose monitoring in type 1 diabetes treated with insulin pump therapy: a randomised controlled trial.","type":"article-journal","volume":"55"},"uris":["http://www.mendeley.com/documents/?uuid=6096595b-536e-4409-b762-ab1d4ec285b4"]},{"id":"ITEM-3","itemData":{"ISSN":"22138587","PMID":"31047902","abstract":"BACKGROUND: Hypoglycaemia unawareness and severe hypoglycaemia can increase fear of hypoglycaemia and the risk of subsequent hypoglycaemic events. We aimed to assess the safety and efficacy of insulin pump therapy with integrated continuous glucose monitoring (CGM) and a suspend-before-low feature (Medtronic MiniMed 640G with SmartGuard) in hypoglycaemia-prone adults with type 1 diabetes. METHODS: SMILE was an open-label randomised controlled trial done in people aged 24-75 years with type 1 diabetes for 10 years or longer, HbA1c values of 5.8-10.0% (40-86 mmol/mol), and at high risk of hypoglycaemia (recent severe hypoglycaemia or hypoglycaemia unawareness defined by a Clarke or Gold score &gt;/=4). Participants were enrolled from 16 centres (eg, clinics, hospitals, or university medical centres) in Canada, France, Italy, the Netherlands, and the UK. After baseline run-in phase (2 weeks), participants were randomly assigned to the MiniMed 640G pump (continuous subcutaneous insulin infusion) with self-monitoring of blood glucose (control group) or to the MiniMed 640G system with the suspend-before-low feature enabled (intervention group), for 6 months. The study statistician analysing the data was masked to group assignment until final database lock; because of the nature of the intervention, participants and treating clinicians could not be masked to group assignment. The primary outcome was the mean number of sensor hypoglycaemic events, defined as 55 mg/dL (3.1 mmol/L) or lower, and was analysed on an intention-to-treat basis in all randomly assigned participants. This trial is registered with ClinicalTrials.gov, number NCT02733991, and is completed. FINDINGS: Between Dec 7, 2016, and March 27, 2018, 153 participants with a mean age 48.2 [12.4] years were randomly assigned: 77 to the control group (mean age 47.4 [12.5] years) and 76 to the intervention group (mean age 49.0 [12.2] years). After 6 months, the intervention group had significantly fewer hypoglycaemic events per participant per week (1.1 [SD 1.2] vs 4.1 [3.4] mean events, model-based treatment effect -2.9 [95% CI -3.5 to -2.3]; p&lt;0.0001) and fewer severe hypoglycaemic events (instances requiring third-party assistance with carbohydrate or glucagon administration, or other resuscitative actions) overall (three vs 18; p=0.0036). The most common adverse events were hypoglycaemia (observed in ten [13%] of 77 participants in the control group vs four [5%] of 76 in the intervention group) and hype…","author":[{"dropping-particle":"","family":"Bosi","given":"Emanuele","non-dropping-particle":"","parse-names":false,"suffix":""},{"dropping-particle":"","family":"Choudhary","given":"Pratik","non-dropping-particle":"","parse-names":false,"suffix":""},{"dropping-particle":"","family":"Valk","given":"Harold W","non-dropping-particle":"de","parse-names":false,"suffix":""},{"dropping-particle":"","family":"Lablanche","given":"Sandrine","non-dropping-particle":"","parse-names":false,"suffix":""},{"dropping-particle":"","family":"Castañeda","given":"Javier","non-dropping-particle":"","parse-names":false,"suffix":""},{"dropping-particle":"","family":"Portu","given":"Simona","non-dropping-particle":"de","parse-names":false,"suffix":""},{"dropping-particle":"","family":"Silva","given":"Julien","non-dropping-particle":"Da","parse-names":false,"suffix":""},{"dropping-particle":"","family":"Ré","given":"Roseline","non-dropping-particle":"","parse-names":false,"suffix":""},{"dropping-particle":"","family":"Vorrink-de Groot","given":"Linda","non-dropping-particle":"","parse-names":false,"suffix":""},{"dropping-particle":"","family":"Shin","given":"John","non-dropping-particle":"","parse-names":false,"suffix":""},{"dropping-particle":"","family":"Kaufman","given":"Francine R","non-dropping-particle":"","parse-names":false,"suffix":""},{"dropping-particle":"","family":"Cohen","given":"Ohad","non-dropping-particle":"","parse-names":false,"suffix":""},{"dropping-particle":"","family":"Laurenzi","given":"Andrea","non-dropping-particle":"","parse-names":false,"suffix":""},{"dropping-particle":"","family":"Caretto","given":"Amelia","non-dropping-particle":"","parse-names":false,"suffix":""},{"dropping-particle":"","family":"Slatterly","given":"David","non-dropping-particle":"","parse-names":false,"suffix":""},{"dropping-particle":"","family":"Henderson-Wilson","given":"Marcia","non-dropping-particle":"","parse-names":false,"suffix":""},{"dropping-particle":"","family":"Weisnagel","given":"S. John","non-dropping-particle":"","parse-names":false,"suffix":""},{"dropping-particle":"","family":"Dubé","given":"Marie-Christine","non-dropping-particle":"","parse-names":false,"suffix":""},{"dropping-particle":"","family":"Julien","given":"Valérie-Ève","non-dropping-particle":"","parse-names":false,"suffix":""},{"dropping-particle":"","family":"Trevisan","given":"Roberto","non-dropping-particle":"","parse-names":false,"suffix":""},{"dropping-particle":"","family":"Lepore","given":"Giuseppe","non-dropping-particle":"","parse-names":false,"suffix":""},{"dropping-particle":"","family":"Bellante","given":"Rosalia","non-dropping-particle":"","parse-names":false,"suffix":""},{"dropping-particle":"","family":"Hramiak","given":"Irene","non-dropping-particle":"","parse-names":false,"suffix":""},{"dropping-particle":"","family":"Spaic","given":"Tamara","non-dropping-particle":"","parse-names":false,"suffix":""},{"dropping-particle":"","family":"Driscoll","given":"Marsha","non-dropping-particle":"","parse-names":false,"suffix":""},{"dropping-particle":"","family":"Borot","given":"Sophie","non-dropping-particle":"","parse-names":false,"suffix":""},{"dropping-particle":"","family":"Clergeot","given":"Annie","non-dropping-particle":"","parse-names":false,"suffix":""},{"dropping-particle":"","family":"Khiat","given":"Lamia","non-dropping-particle":"","parse-names":false,"suffix":""},{"dropping-particle":"","family":"Hammond","given":"Peter","non-dropping-particle":"","parse-names":false,"suffix":""},{"dropping-particle":"","family":"Ray","given":"Sutapa","non-dropping-particle":"","parse-names":false,"suffix":""},{"dropping-particle":"","family":"Dinning","given":"Laura","non-dropping-particle":"","parse-names":false,"suffix":""},{"dropping-particle":"","family":"Tonolo","given":"Giancarlo","non-dropping-particle":"","parse-names":false,"suffix":""},{"dropping-particle":"","family":"Manconi","given":"Alberto","non-dropping-particle":"","parse-names":false,"suffix":""},{"dropping-particle":"","family":"Ledda","given":"Maura Serena","non-dropping-particle":"","parse-names":false,"suffix":""},{"dropping-particle":"","family":"Ranitz","given":"Wendela","non-dropping-particle":"de","parse-names":false,"suffix":""},{"dropping-particle":"","family":"Silvius","given":"Bianca","non-dropping-particle":"","parse-names":false,"suffix":""},{"dropping-particle":"","family":"Wojtusciszyn","given":"Anne","non-dropping-particle":"","parse-names":false,"suffix":""},{"dropping-particle":"","family":"Farret","given":"Anne","non-dropping-particle":"","parse-names":false,"suffix":""},{"dropping-particle":"","family":"Vriesendorp","given":"Titia","non-dropping-particle":"","parse-names":false,"suffix":""},{"dropping-particle":"","family":"Immeker-de Jong","given":"Folkje","non-dropping-particle":"","parse-names":false,"suffix":""},{"dropping-particle":"","family":"Linden","given":"Joke","non-dropping-particle":"van der","parse-names":false,"suffix":""},{"dropping-particle":"","family":"Brink","given":"Huguette S.","non-dropping-particle":"","parse-names":false,"suffix":""},{"dropping-particle":"","family":"Alkemade","given":"Marije","non-dropping-particle":"","parse-names":false,"suffix":""},{"dropping-particle":"","family":"Schaepelynck-Belicar","given":"Pauline","non-dropping-particle":"","parse-names":false,"suffix":""},{"dropping-particle":"","family":"Galie","given":"Sébastien","non-dropping-particle":"","parse-names":false,"suffix":""},{"dropping-particle":"","family":"Tréglia","given":"Clémence","non-dropping-particle":"","parse-names":false,"suffix":""},{"dropping-particle":"","family":"Benhamou","given":"Pierre-Yves","non-dropping-particle":"","parse-names":false,"suffix":""},{"dropping-particle":"","family":"Haddouche","given":"Myriam","non-dropping-particle":"","parse-names":false,"suffix":""},{"dropping-particle":"","family":"Hoogma","given":"Roel","non-dropping-particle":"","parse-names":false,"suffix":""},{"dropping-particle":"","family":"Leelarathna","given":"Lalantha","non-dropping-particle":"","parse-names":false,"suffix":""},{"dropping-particle":"","family":"Shaju","given":"Angel","non-dropping-particle":"","parse-names":false,"suffix":""},{"dropping-particle":"","family":"James","given":"Linda","non-dropping-particle":"","parse-names":false,"suffix":""}],"container-title":"The Lancet Diabetes &amp; Endocrinology","id":"ITEM-3","issue":"6","issued":{"date-parts":[["2019"]]},"language":"eng","page":"462-472","publisher-place":"England","title":"Efficacy and safety of suspend-before-low insulin pump technology in hypoglycaemia-prone adults with type 1 diabetes (SMILE): an open-label randomised controlled trial","type":"article-journal","volume":"7"},"uris":["http://www.mendeley.com/documents/?uuid=df034238-5779-4080-b5c4-29614b1b49c9"]}],"mendeley":{"formattedCitation":"(12–14)","plainTextFormattedCitation":"(12–14)","previouslyFormattedCitation":"(12–14)"},"properties":{"noteIndex":0},"schema":"https://github.com/citation-style-language/schema/raw/master/csl-citation.json"}</w:instrText>
      </w:r>
      <w:r w:rsidR="006C714A" w:rsidRPr="001D29F8">
        <w:rPr>
          <w:rFonts w:ascii="Arial" w:hAnsi="Arial" w:cs="Arial"/>
          <w:sz w:val="24"/>
          <w:szCs w:val="24"/>
          <w:lang w:val="en-US"/>
        </w:rPr>
        <w:fldChar w:fldCharType="separate"/>
      </w:r>
      <w:r w:rsidR="003D34A3" w:rsidRPr="001D29F8">
        <w:rPr>
          <w:rFonts w:ascii="Arial" w:hAnsi="Arial" w:cs="Arial"/>
          <w:noProof/>
          <w:sz w:val="24"/>
          <w:szCs w:val="24"/>
          <w:lang w:val="en-US"/>
        </w:rPr>
        <w:t>(12–14)</w:t>
      </w:r>
      <w:r w:rsidR="006C714A" w:rsidRPr="001D29F8">
        <w:rPr>
          <w:rFonts w:ascii="Arial" w:hAnsi="Arial" w:cs="Arial"/>
          <w:sz w:val="24"/>
          <w:szCs w:val="24"/>
          <w:lang w:val="en-US"/>
        </w:rPr>
        <w:fldChar w:fldCharType="end"/>
      </w:r>
      <w:r w:rsidR="006C714A" w:rsidRPr="001D29F8">
        <w:rPr>
          <w:rFonts w:ascii="Arial" w:hAnsi="Arial" w:cs="Arial"/>
          <w:sz w:val="24"/>
          <w:szCs w:val="24"/>
          <w:lang w:val="en-US"/>
        </w:rPr>
        <w:t xml:space="preserve">. </w:t>
      </w:r>
      <w:r w:rsidR="000C6166" w:rsidRPr="001D29F8">
        <w:rPr>
          <w:rFonts w:ascii="Arial" w:hAnsi="Arial" w:cs="Arial"/>
          <w:sz w:val="24"/>
          <w:szCs w:val="24"/>
          <w:lang w:val="en-US"/>
        </w:rPr>
        <w:t xml:space="preserve">However, these studies are often short-term (typically 6 months) and it is unclear how much of the observed effect is due to the heightened motivation often seen in randomized controlled trials. </w:t>
      </w:r>
      <w:r w:rsidR="003D34A3" w:rsidRPr="001D29F8">
        <w:rPr>
          <w:rFonts w:ascii="Arial" w:hAnsi="Arial" w:cs="Arial"/>
          <w:sz w:val="24"/>
          <w:szCs w:val="24"/>
          <w:lang w:val="en-US"/>
        </w:rPr>
        <w:t xml:space="preserve">In addition, longer-term observational studies often lack the patient numbers to generalize the outcomes to the broad community of people with type 1 diabetes </w:t>
      </w:r>
      <w:r w:rsidR="003D34A3"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{"citationItems":[{"id":"ITEM-1","itemData":{"DOI":"10.2337/dc19-0888","ISSN":"1935-5548 (Electronic)","PMID":"31530663","abstract":"OBJECTIVE: This study assessed the clinical impact of four treatment strategies in adults with type 1 diabetes (T1D): real-time continuous glucose monitoring (rtCGM) with multiple daily insulin injections (rtCGM+MDI), rtCGM with continuous subcutaneous insulin infusion (rtCGM+CSII), self-monitoring of blood glucose with MDI (SMBG+MDI), and SMBG with CSII (SMBG+CSII). RESEARCH DESIGN AND METHODS: This 3-year, nonrandomized, prospective, real-world, clinical trial followed 94 participants with T1D (rtCGM+MDI, n = 22; rtCGM+CSII, n = 26; SMBG+MDI, n = 21; SMBG+CSII, n = 25). The main end points were changes in A1C, time in range (70-180 mg/dL [3.9-10 mmol/L]), time below range (&lt;70 mg/dL [&lt;3.9 mmol/L]), glycemic variability, and incidence of hypoglycemia. RESULTS: At 3 years, the rtCGM groups (rtCGM+MDI and rtCGM+CSII) had significantly lower A1C (7.0% [53 mmol/mol], P = 0.0002, and 6.9% [52 mmol/mol], P &lt; 0.0001, respectively), compared with the SMBG+CSII and SMBG+MDI groups (7.7% [61 mmol/mol], P = 0.3574, and 8.0% [64 mmol/mol], P = 1.000, respectively), with no significant difference between the rtCGM groups. Significant improvements in percentage of time in range were observed in the rtCGM subgroups (rtCGM+MDI, 48.7-69.0%, P &lt; 0.0001; and rtCGM+CSII, 50.9-72.3%, P &lt; 0.0001) and in the SMBG+CSII group (50.6-57.8%, P = 0.0114). Significant reductions in time below range were found only in the rtCGM subgroups (rtCGM+MDI, 9.4-5.5%, P = 0.0387; and rtCGM+CSII, 9.0-5.3%, P = 0.0235). Seven severe hypoglycemia episodes occurred: SMBG groups, n = 5; sensor-augmented insulin regimen groups, n = 2. CONCLUSIONS: rtCGM was superior to SMBG in reducing A1C, hypoglycemia, and other end points in individuals with T1D regardless of their insulin delivery method. rtCGM+MDI can be considered an equivalent but lower-cost alternative to sensor-augmented insulin pump therapy and superior to treatment with SMBG+MDI or SMBG+CSII therapy.","author":[{"dropping-particle":"","family":"Soupal","given":"Jan","non-dropping-particle":"","parse-names":false,"suffix":""},{"dropping-particle":"","family":"Petruzelkova","given":"Lenka","non-dropping-particle":"","parse-names":false,"suffix":""},{"dropping-particle":"","family":"Grunberger","given":"George","non-dropping-particle":"","parse-names":false,"suffix":""},{"dropping-particle":"","family":"Haskova","given":"Aneta","non-dropping-particle":"","parse-names":false,"suffix":""},{"dropping-particle":"","family":"Flekac","given":"Milan","non-dropping-particle":"","parse-names":false,"suffix":""},{"dropping-particle":"","family":"Matoulek","given":"Martin","non-dropping-particle":"","parse-names":false,"suffix":""},{"dropping-particle":"","family":"Mikes","given":"Ondrej","non-dropping-particle":"","parse-names":false,"suffix":""},{"dropping-particle":"","family":"Pelcl","given":"Tomas","non-dropping-particle":"","parse-names":false,"suffix":""},{"dropping-particle":"","family":"Skrha","given":"Jan Jr","non-dropping-particle":"","parse-names":false,"suffix":""},{"dropping-particle":"","family":"Horova","given":"Eva","non-dropping-particle":"","parse-names":false,"suffix":""},{"dropping-particle":"","family":"Skrha","given":"Jan","non-dropping-particle":"","parse-names":false,"suffix":""},{"dropping-particle":"","family":"Parkin","given":"Christopher G","non-dropping-particle":"","parse-names":false,"suffix":""},{"dropping-particle":"","family":"Svacina","given":"Stepan","non-dropping-particle":"","parse-names":false,"suffix":""},{"dropping-particle":"","family":"Prazny","given":"Martin","non-dropping-particle":"","parse-names":false,"suffix":""}],"container-title":"Diabetes care","id":"ITEM-1","issue":"1","issued":{"date-parts":[["2020"]]},"language":"eng","page":"37-43","publisher-place":"United States","title":"Glycemic Outcomes in Adults With T1D Are Impacted More by Continuous Glucose Monitoring Than by Insulin Delivery Method: 3 Years of Follow-Up From the COMISAIR Study.","type":"article-journal","volume":"43"},"uris":["http://www.mendeley.com/documents/?uuid=28fe643e-8a03-420b-8cc7-dc9bd41d3689"]},{"id":"ITEM-2","itemData":{"ISSN":"1557-8593 (Electronic)","PMID":"28001445","abstract":"BACKGROUND: Literature supports short-term efficacy and safety of Sensor Augmented Insulin Pump (SAP) therapy in patients with type 1 diabetes (T1D). However, no data are available showing long-term outcomes. Our study describes the long-term outcomes of SAP therapy with low-glucose suspend feature (SAP+LGS) in hypoglycemia in a Colombian population with T1D and hypoglycemia. METHODS: A cohort study was conducted with T1D patients receiving SAP+LGS therapy who initiated this therapy because of hypoglycemia at San Ignacio University Hospital diabetes center in Bogota, Colombia. Glycated hemoglobin (A1c) was assessed at least every 6 months, severe hypoglycemia (SH) and hypoglycemia unawareness (HU) incidence yearly. Adherence to therapy was also evaluated. RESULTS: One hundred eleven patients were included in the analysis. Total daily insulin dose was reduced during follow-up (mean difference -0.22 U/kg; 95% confidence interval [CI] -0.18 to -0.26; P &lt; 0.001). A1c levels were reduced from a baseline value of 8.8% +/- 1.9% to 7.5% +/- 1.0% at 5 months (mean difference -1.3%; 95% CI -1.09 to -1.50; P &lt; 0.001) and 7.1% +/- 0.8% (mean difference -1.7%; 95% CI -1.59 to -1.90; P &lt; 0.001) at the end of follow-up (47 months on average). The incidence of SH and HU episodes decreased significantly since the first year, and this effect was maintained over time (P &lt; 0.001). CONCLUSIONS: SAP+LGS therapy in T1D patients with hypoglycemia led to a significant and sustained decrease in A1c during long periods of follow-up, as well as a significant reduction in SH and HU. Future randomized clinical trials are desired.","author":[{"dropping-particle":"","family":"Gomez","given":"Ana Maria","non-dropping-particle":"","parse-names":false,"suffix":""},{"dropping-particle":"","family":"Marin Carrillo","given":"Lisseth Fernanda","non-dropping-particle":"","parse-names":false,"suffix":""},{"dropping-particle":"","family":"Munoz Velandia","given":"Oscar Mauricio","non-dropping-particle":"","parse-names":false,"suffix":""},{"dropping-particle":"","family":"Rondon Sepulveda","given":"Martin Alonso","non-dropping-particle":"","parse-names":false,"suffix":""},{"dropping-particle":"","family":"Arevalo Correa","given":"Carol M","non-dropping-particle":"","parse-names":false,"suffix":""},{"dropping-particle":"","family":"Mora Garzon","given":"Edwin","non-dropping-particle":"","parse-names":false,"suffix":""},{"dropping-particle":"","family":"Cuervo Diaz","given":"Maria Camila","non-dropping-particle":"","parse-names":false,"suffix":""},{"dropping-particle":"","family":"Henao Carrillo","given":"Diana Cristina","non-dropping-particle":"","parse-names":false,"suffix":""}],"container-title":"Diabetes technology &amp; therapeutics","id":"ITEM-2","issue":"2","issued":{"date-parts":[["2017"]]},"language":"eng","page":"109-114","publisher-place":"United States","title":"Long-Term Efficacy and Safety of Sensor Augmented Insulin Pump Therapy with Low-Glucose Suspend Feature in Patients with Type 1 Diabetes.","type":"article-journal","volume":"19"},"uris":["http://www.mendeley.com/documents/?uuid=9e874673-3601-4242-92b1-bb0c202ca1a8"]}],"mendeley":{"formattedCitation":"(15,16)","plainTextFormattedCitation":"(15,16)","previouslyFormattedCitation":"(15,16)"},"properties":{"noteIndex":0},"schema":"https://github.com/citation-style-language/schema/raw/master/csl-citation.json"}</w:instrText>
      </w:r>
      <w:r w:rsidR="003D34A3" w:rsidRPr="001D29F8">
        <w:rPr>
          <w:rFonts w:ascii="Arial" w:hAnsi="Arial" w:cs="Arial"/>
          <w:sz w:val="24"/>
          <w:szCs w:val="24"/>
          <w:lang w:val="en-US"/>
        </w:rPr>
        <w:fldChar w:fldCharType="separate"/>
      </w:r>
      <w:r w:rsidR="00A13E6A" w:rsidRPr="001D29F8">
        <w:rPr>
          <w:rFonts w:ascii="Arial" w:hAnsi="Arial" w:cs="Arial"/>
          <w:noProof/>
          <w:sz w:val="24"/>
          <w:szCs w:val="24"/>
          <w:lang w:val="en-US"/>
        </w:rPr>
        <w:t>(15,16)</w:t>
      </w:r>
      <w:r w:rsidR="003D34A3" w:rsidRPr="001D29F8">
        <w:rPr>
          <w:rFonts w:ascii="Arial" w:hAnsi="Arial" w:cs="Arial"/>
          <w:sz w:val="24"/>
          <w:szCs w:val="24"/>
          <w:lang w:val="en-US"/>
        </w:rPr>
        <w:fldChar w:fldCharType="end"/>
      </w:r>
      <w:r w:rsidR="003D34A3" w:rsidRPr="001D29F8">
        <w:rPr>
          <w:rFonts w:ascii="Arial" w:hAnsi="Arial" w:cs="Arial"/>
          <w:sz w:val="24"/>
          <w:szCs w:val="24"/>
          <w:lang w:val="en-US"/>
        </w:rPr>
        <w:t>.</w:t>
      </w:r>
    </w:p>
    <w:p w14:paraId="29268F3E" w14:textId="77777777" w:rsidR="00182ABE" w:rsidRPr="001D29F8" w:rsidRDefault="00D066B4"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Since September 2014, </w:t>
      </w:r>
      <w:proofErr w:type="spellStart"/>
      <w:r w:rsidR="002E3611" w:rsidRPr="001D29F8">
        <w:rPr>
          <w:rFonts w:ascii="Arial" w:hAnsi="Arial" w:cs="Arial"/>
          <w:sz w:val="24"/>
          <w:szCs w:val="24"/>
          <w:lang w:val="en-US"/>
        </w:rPr>
        <w:t>rtCGM</w:t>
      </w:r>
      <w:proofErr w:type="spellEnd"/>
      <w:r w:rsidR="00691F29" w:rsidRPr="001D29F8">
        <w:rPr>
          <w:rFonts w:ascii="Arial" w:hAnsi="Arial" w:cs="Arial"/>
          <w:sz w:val="24"/>
          <w:szCs w:val="24"/>
          <w:lang w:val="en-US"/>
        </w:rPr>
        <w:t xml:space="preserve"> </w:t>
      </w:r>
      <w:r w:rsidR="00D30FB0" w:rsidRPr="001D29F8">
        <w:rPr>
          <w:rFonts w:ascii="Arial" w:hAnsi="Arial" w:cs="Arial"/>
          <w:sz w:val="24"/>
          <w:szCs w:val="24"/>
          <w:lang w:val="en-US"/>
        </w:rPr>
        <w:t xml:space="preserve">is reimbursed in Belgium </w:t>
      </w:r>
      <w:r w:rsidR="00F12643" w:rsidRPr="001D29F8">
        <w:rPr>
          <w:rFonts w:ascii="Arial" w:hAnsi="Arial" w:cs="Arial"/>
          <w:sz w:val="24"/>
          <w:szCs w:val="24"/>
          <w:lang w:val="en-US"/>
        </w:rPr>
        <w:t>for</w:t>
      </w:r>
      <w:r w:rsidRPr="001D29F8">
        <w:rPr>
          <w:rFonts w:ascii="Arial" w:hAnsi="Arial" w:cs="Arial"/>
          <w:sz w:val="24"/>
          <w:szCs w:val="24"/>
          <w:lang w:val="en-US"/>
        </w:rPr>
        <w:t xml:space="preserve"> </w:t>
      </w:r>
      <w:r w:rsidR="00F51A00" w:rsidRPr="001D29F8">
        <w:rPr>
          <w:rFonts w:ascii="Arial" w:hAnsi="Arial" w:cs="Arial"/>
          <w:sz w:val="24"/>
          <w:szCs w:val="24"/>
          <w:lang w:val="en-US"/>
        </w:rPr>
        <w:t xml:space="preserve">people with </w:t>
      </w:r>
      <w:r w:rsidR="00D34F80" w:rsidRPr="001D29F8">
        <w:rPr>
          <w:rFonts w:ascii="Arial" w:hAnsi="Arial" w:cs="Arial"/>
          <w:sz w:val="24"/>
          <w:szCs w:val="24"/>
          <w:lang w:val="en-US"/>
        </w:rPr>
        <w:t xml:space="preserve">type 1 diabetes </w:t>
      </w:r>
      <w:r w:rsidR="00F51A00" w:rsidRPr="001D29F8">
        <w:rPr>
          <w:rFonts w:ascii="Arial" w:hAnsi="Arial" w:cs="Arial"/>
          <w:sz w:val="24"/>
          <w:szCs w:val="24"/>
          <w:lang w:val="en-US"/>
        </w:rPr>
        <w:t>who use</w:t>
      </w:r>
      <w:r w:rsidR="003B13D7" w:rsidRPr="001D29F8">
        <w:rPr>
          <w:rFonts w:ascii="Arial" w:hAnsi="Arial" w:cs="Arial"/>
          <w:sz w:val="24"/>
          <w:szCs w:val="24"/>
          <w:lang w:val="en-US"/>
        </w:rPr>
        <w:t xml:space="preserve"> CSII</w:t>
      </w:r>
      <w:r w:rsidR="00F12643" w:rsidRPr="001D29F8">
        <w:rPr>
          <w:rFonts w:ascii="Arial" w:hAnsi="Arial" w:cs="Arial"/>
          <w:sz w:val="24"/>
          <w:szCs w:val="24"/>
          <w:lang w:val="en-US"/>
        </w:rPr>
        <w:t xml:space="preserve"> and</w:t>
      </w:r>
      <w:r w:rsidR="003B7FD4" w:rsidRPr="001D29F8">
        <w:rPr>
          <w:rFonts w:ascii="Arial" w:hAnsi="Arial" w:cs="Arial"/>
          <w:sz w:val="24"/>
          <w:szCs w:val="24"/>
          <w:lang w:val="en-US"/>
        </w:rPr>
        <w:t xml:space="preserve"> </w:t>
      </w:r>
      <w:r w:rsidR="00F51A00" w:rsidRPr="001D29F8">
        <w:rPr>
          <w:rFonts w:ascii="Arial" w:hAnsi="Arial" w:cs="Arial"/>
          <w:sz w:val="24"/>
          <w:szCs w:val="24"/>
          <w:lang w:val="en-US"/>
        </w:rPr>
        <w:t xml:space="preserve">are </w:t>
      </w:r>
      <w:r w:rsidR="003B7FD4" w:rsidRPr="001D29F8">
        <w:rPr>
          <w:rFonts w:ascii="Arial" w:hAnsi="Arial" w:cs="Arial"/>
          <w:sz w:val="24"/>
          <w:szCs w:val="24"/>
          <w:lang w:val="en-US"/>
        </w:rPr>
        <w:t xml:space="preserve">treated in selected </w:t>
      </w:r>
      <w:r w:rsidR="00B407BE" w:rsidRPr="001D29F8">
        <w:rPr>
          <w:rFonts w:ascii="Arial" w:hAnsi="Arial" w:cs="Arial"/>
          <w:sz w:val="24"/>
          <w:szCs w:val="24"/>
          <w:lang w:val="en-US"/>
        </w:rPr>
        <w:t>specialize</w:t>
      </w:r>
      <w:r w:rsidR="003B7FD4" w:rsidRPr="001D29F8">
        <w:rPr>
          <w:rFonts w:ascii="Arial" w:hAnsi="Arial" w:cs="Arial"/>
          <w:sz w:val="24"/>
          <w:szCs w:val="24"/>
          <w:lang w:val="en-US"/>
        </w:rPr>
        <w:t xml:space="preserve">d diabetes </w:t>
      </w:r>
      <w:r w:rsidR="00463DB7" w:rsidRPr="001D29F8">
        <w:rPr>
          <w:rFonts w:ascii="Arial" w:hAnsi="Arial" w:cs="Arial"/>
          <w:sz w:val="24"/>
          <w:szCs w:val="24"/>
          <w:lang w:val="en-US"/>
        </w:rPr>
        <w:t>centers</w:t>
      </w:r>
      <w:r w:rsidR="003B7FD4" w:rsidRPr="001D29F8">
        <w:rPr>
          <w:rFonts w:ascii="Arial" w:hAnsi="Arial" w:cs="Arial"/>
          <w:sz w:val="24"/>
          <w:szCs w:val="24"/>
          <w:lang w:val="en-US"/>
        </w:rPr>
        <w:t>.</w:t>
      </w:r>
      <w:r w:rsidR="00437D0E" w:rsidRPr="001D29F8">
        <w:rPr>
          <w:rFonts w:ascii="Arial" w:hAnsi="Arial" w:cs="Arial"/>
          <w:sz w:val="24"/>
          <w:szCs w:val="24"/>
          <w:lang w:val="en-US"/>
        </w:rPr>
        <w:t xml:space="preserve"> We previously reported </w:t>
      </w:r>
      <w:r w:rsidR="0021003C" w:rsidRPr="001D29F8">
        <w:rPr>
          <w:rFonts w:ascii="Arial" w:hAnsi="Arial" w:cs="Arial"/>
          <w:sz w:val="24"/>
          <w:szCs w:val="24"/>
          <w:lang w:val="en-US"/>
        </w:rPr>
        <w:t xml:space="preserve">findings from the Reimbursement Study of Continuous Glucose Monitoring in Belgium (RESCUE), a 1-year, observational, real-world study that assessed the possible impact of this Belgian reimbursement program </w:t>
      </w:r>
      <w:r w:rsidR="004C4E28"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{"citationItems":[{"id":"ITEM-1","itemData":{"ISSN":"1945-7197 (Electronic)","PMID":"29342264","abstract":"Context: Randomized controlled trials evaluating real-time continuous glucose monitoring (RT-CGM) patients with type 1 diabetes (T1D) show improved glycemic control, but limited data are available on real-world use. Objective: To assess impact of RT-CGM in real-world settings on glycemic control, hospital admissions, work absenteeism, and quality of life (QOL). Design: Prospective, observational, multicenter, cohort study. Participants: A total of 515 adults with T1D on continuous subcutaneous insulin infusion (CSII) therapy starting in the Belgian RT-CGM reimbursement program. Intervention: Initiation of RT-CGM reimbursement. Main Outcome Measure: Hemoglobin A1c (HbA1c) evolution from baseline to 12 months. Results: Between September 1, 2014, and December 31, 2016, 515 adults entered the reimbursement system. Over this period, 417 (81%) patients used RT-CGM for at least 12 months. Baseline HbA1c was 7.7 +/- 0.9% (61 +/- 9.8 mmol/mol) and decreased to 7.4 +/- 0.8% (57 +/- 8.7 mmol/mol) at 12 months (P &lt; 0.0001). Subjects who started RT-CGM because of insufficient glycemic control showed stronger decrease in HbA1c at 4, 8, and 12 months compared with patients who started because of hypoglycemia or pregnancy. In the year preceding reimbursement, 16% of patients were hospitalized for severe hypoglycemia or ketoacidosis in contrast to 4% (P &lt; 0.0005) the following year, with decrease in admission days from 54 to 18 per 100 patient years (P &lt; 0.0005). In the same period, work absenteeism decreased and QOL improved significantly, with strong decline in fear of hypoglycemia. Conclusion: Sensor-augmented pump therapy in patients with T1D followed in specialized centers improves HbA1c, fear of hypoglycemia, and QOL, whereas work absenteeism and admissions for acute diabetes complications decreased.","author":[{"dropping-particle":"","family":"Charleer","given":"Sara","non-dropping-particle":"","parse-names":false,"suffix":""},{"dropping-particle":"","family":"Mathieu","given":"Chantal","non-dropping-particle":"","parse-names":false,"suffix":""},{"dropping-particle":"","family":"Nobels","given":"Frank","non-dropping-particle":"","parse-names":false,"suffix":""},{"dropping-particle":"","family":"Block","given":"Christophe","non-dropping-particle":"De","parse-names":false,"suffix":""},{"dropping-particle":"","family":"Radermecker","given":"Regis P","non-dropping-particle":"","parse-names":false,"suffix":""},{"dropping-particle":"","family":"Hermans","given":"Michel P","non-dropping-particle":"","parse-names":false,"suffix":""},{"dropping-particle":"","family":"Taes","given":"Youri","non-dropping-particle":"","parse-names":false,"suffix":""},{"dropping-particle":"","family":"Vercammen","given":"Chris","non-dropping-particle":"","parse-names":false,"suffix":""},{"dropping-particle":"","family":"T'Sjoen","given":"Guy","non-dropping-particle":"","parse-names":false,"suffix":""},{"dropping-particle":"","family":"Crenier","given":"Laurent","non-dropping-particle":"","parse-names":false,"suffix":""},{"dropping-particle":"","family":"Fieuws","given":"Steffen","non-dropping-particle":"","parse-names":false,"suffix":""},{"dropping-particle":"","family":"Keymeulen","given":"Bart","non-dropping-particle":"","parse-names":false,"suffix":""},{"dropping-particle":"","family":"Gillard","given":"Pieter","non-dropping-particle":"","parse-names":false,"suffix":""}],"container-title":"The Journal of clinical endocrinology and metabolism","id":"ITEM-1","issue":"3","issued":{"date-parts":[["2018"]]},"language":"eng","page":"1224-1232","publisher-place":"United States","title":"Effect of Continuous Glucose Monitoring on Glycemic Control, Acute Admissions, and Quality of Life: A Real-World Study.","type":"article-journal","volume":"103"},"uris":["http://www.mendeley.com/documents/?uuid=dc52f52d-d4b3-49c8-a652-7dcc0d1b5b2d"]}],"mendeley":{"formattedCitation":"(17)","plainTextFormattedCitation":"(17)","previouslyFormattedCitation":"(17)"},"properties":{"noteIndex":0},"schema":"https://github.com/citation-style-language/schema/raw/master/csl-citation.json"}</w:instrText>
      </w:r>
      <w:r w:rsidR="004C4E28" w:rsidRPr="001D29F8">
        <w:rPr>
          <w:rFonts w:ascii="Arial" w:hAnsi="Arial" w:cs="Arial"/>
          <w:sz w:val="24"/>
          <w:szCs w:val="24"/>
          <w:lang w:val="en-US"/>
        </w:rPr>
        <w:fldChar w:fldCharType="separate"/>
      </w:r>
      <w:r w:rsidR="00A13E6A" w:rsidRPr="001D29F8">
        <w:rPr>
          <w:rFonts w:ascii="Arial" w:hAnsi="Arial" w:cs="Arial"/>
          <w:noProof/>
          <w:sz w:val="24"/>
          <w:szCs w:val="24"/>
          <w:lang w:val="en-US"/>
        </w:rPr>
        <w:t>(17)</w:t>
      </w:r>
      <w:r w:rsidR="004C4E28" w:rsidRPr="001D29F8">
        <w:rPr>
          <w:rFonts w:ascii="Arial" w:hAnsi="Arial" w:cs="Arial"/>
          <w:sz w:val="24"/>
          <w:szCs w:val="24"/>
          <w:lang w:val="en-US"/>
        </w:rPr>
        <w:fldChar w:fldCharType="end"/>
      </w:r>
      <w:r w:rsidR="0021003C" w:rsidRPr="001D29F8">
        <w:rPr>
          <w:rFonts w:ascii="Arial" w:hAnsi="Arial" w:cs="Arial"/>
          <w:sz w:val="24"/>
          <w:szCs w:val="24"/>
          <w:lang w:val="en-US"/>
        </w:rPr>
        <w:t>.</w:t>
      </w:r>
      <w:r w:rsidR="004C4E28" w:rsidRPr="001D29F8">
        <w:rPr>
          <w:rFonts w:ascii="Arial" w:hAnsi="Arial" w:cs="Arial"/>
          <w:sz w:val="24"/>
          <w:szCs w:val="24"/>
          <w:lang w:val="en-US"/>
        </w:rPr>
        <w:t xml:space="preserve"> T</w:t>
      </w:r>
      <w:r w:rsidR="00437D0E" w:rsidRPr="001D29F8">
        <w:rPr>
          <w:rFonts w:ascii="Arial" w:hAnsi="Arial" w:cs="Arial"/>
          <w:sz w:val="24"/>
          <w:szCs w:val="24"/>
          <w:lang w:val="en-US"/>
        </w:rPr>
        <w:t xml:space="preserve">he </w:t>
      </w:r>
      <w:r w:rsidR="00832223" w:rsidRPr="001D29F8">
        <w:rPr>
          <w:rFonts w:ascii="Arial" w:hAnsi="Arial" w:cs="Arial"/>
          <w:sz w:val="24"/>
          <w:szCs w:val="24"/>
          <w:lang w:val="en-US"/>
        </w:rPr>
        <w:t xml:space="preserve">12-month </w:t>
      </w:r>
      <w:r w:rsidR="00437D0E" w:rsidRPr="001D29F8">
        <w:rPr>
          <w:rFonts w:ascii="Arial" w:hAnsi="Arial" w:cs="Arial"/>
          <w:sz w:val="24"/>
          <w:szCs w:val="24"/>
          <w:lang w:val="en-US"/>
        </w:rPr>
        <w:t xml:space="preserve">data </w:t>
      </w:r>
      <w:r w:rsidR="00832223" w:rsidRPr="001D29F8">
        <w:rPr>
          <w:rFonts w:ascii="Arial" w:hAnsi="Arial" w:cs="Arial"/>
          <w:sz w:val="24"/>
          <w:szCs w:val="24"/>
          <w:lang w:val="en-US"/>
        </w:rPr>
        <w:t>showed impro</w:t>
      </w:r>
      <w:r w:rsidR="004C4E28" w:rsidRPr="001D29F8">
        <w:rPr>
          <w:rFonts w:ascii="Arial" w:hAnsi="Arial" w:cs="Arial"/>
          <w:sz w:val="24"/>
          <w:szCs w:val="24"/>
          <w:lang w:val="en-US"/>
        </w:rPr>
        <w:t>ved glycemic control and lower</w:t>
      </w:r>
      <w:r w:rsidR="00832223" w:rsidRPr="001D29F8">
        <w:rPr>
          <w:rFonts w:ascii="Arial" w:hAnsi="Arial" w:cs="Arial"/>
          <w:sz w:val="24"/>
          <w:szCs w:val="24"/>
          <w:lang w:val="en-US"/>
        </w:rPr>
        <w:t xml:space="preserve"> risk of </w:t>
      </w:r>
      <w:r w:rsidR="00182ABE" w:rsidRPr="001D29F8">
        <w:rPr>
          <w:rFonts w:ascii="Arial" w:hAnsi="Arial" w:cs="Arial"/>
          <w:sz w:val="24"/>
          <w:szCs w:val="24"/>
          <w:lang w:val="en-US"/>
        </w:rPr>
        <w:t>hypoglycemia</w:t>
      </w:r>
      <w:r w:rsidR="00832223" w:rsidRPr="001D29F8">
        <w:rPr>
          <w:rFonts w:ascii="Arial" w:hAnsi="Arial" w:cs="Arial"/>
          <w:sz w:val="24"/>
          <w:szCs w:val="24"/>
          <w:lang w:val="en-US"/>
        </w:rPr>
        <w:t>-related hospitalizations</w:t>
      </w:r>
      <w:r w:rsidR="004C4E28" w:rsidRPr="001D29F8">
        <w:rPr>
          <w:rFonts w:ascii="Arial" w:hAnsi="Arial" w:cs="Arial"/>
          <w:sz w:val="24"/>
          <w:szCs w:val="24"/>
          <w:lang w:val="en-US"/>
        </w:rPr>
        <w:t>, which resulted in a significant cost-reduction</w:t>
      </w:r>
      <w:r w:rsidR="00832223" w:rsidRPr="001D29F8">
        <w:rPr>
          <w:rFonts w:ascii="Arial" w:hAnsi="Arial" w:cs="Arial"/>
          <w:sz w:val="24"/>
          <w:szCs w:val="24"/>
          <w:lang w:val="en-US"/>
        </w:rPr>
        <w:t xml:space="preserve">. Additionally, </w:t>
      </w:r>
      <w:r w:rsidR="00437D0E" w:rsidRPr="001D29F8">
        <w:rPr>
          <w:rFonts w:ascii="Arial" w:hAnsi="Arial" w:cs="Arial"/>
          <w:sz w:val="24"/>
          <w:szCs w:val="24"/>
          <w:lang w:val="en-US"/>
        </w:rPr>
        <w:t>the fear of hypoglycemia</w:t>
      </w:r>
      <w:r w:rsidR="00832223" w:rsidRPr="001D29F8">
        <w:rPr>
          <w:rFonts w:ascii="Arial" w:hAnsi="Arial" w:cs="Arial"/>
          <w:sz w:val="24"/>
          <w:szCs w:val="24"/>
          <w:lang w:val="en-US"/>
        </w:rPr>
        <w:t xml:space="preserve"> decreased and lead to </w:t>
      </w:r>
      <w:r w:rsidR="00D30FB0" w:rsidRPr="001D29F8">
        <w:rPr>
          <w:rFonts w:ascii="Arial" w:hAnsi="Arial" w:cs="Arial"/>
          <w:sz w:val="24"/>
          <w:szCs w:val="24"/>
          <w:lang w:val="en-US"/>
        </w:rPr>
        <w:t>better</w:t>
      </w:r>
      <w:r w:rsidR="00832223" w:rsidRPr="001D29F8">
        <w:rPr>
          <w:rFonts w:ascii="Arial" w:hAnsi="Arial" w:cs="Arial"/>
          <w:sz w:val="24"/>
          <w:szCs w:val="24"/>
          <w:lang w:val="en-US"/>
        </w:rPr>
        <w:t xml:space="preserve"> </w:t>
      </w:r>
      <w:r w:rsidR="00437D0E" w:rsidRPr="001D29F8">
        <w:rPr>
          <w:rFonts w:ascii="Arial" w:hAnsi="Arial" w:cs="Arial"/>
          <w:sz w:val="24"/>
          <w:szCs w:val="24"/>
          <w:lang w:val="en-US"/>
        </w:rPr>
        <w:t>quality of life</w:t>
      </w:r>
      <w:r w:rsidR="00832223" w:rsidRPr="001D29F8">
        <w:rPr>
          <w:rFonts w:ascii="Arial" w:hAnsi="Arial" w:cs="Arial"/>
          <w:sz w:val="24"/>
          <w:szCs w:val="24"/>
          <w:lang w:val="en-US"/>
        </w:rPr>
        <w:t>.</w:t>
      </w:r>
      <w:r w:rsidR="00182ABE" w:rsidRPr="001D29F8">
        <w:rPr>
          <w:rFonts w:ascii="Arial" w:hAnsi="Arial" w:cs="Arial"/>
          <w:sz w:val="24"/>
          <w:szCs w:val="24"/>
          <w:lang w:val="en-US"/>
        </w:rPr>
        <w:t xml:space="preserve"> Our aim in the current study was to determine whether the improved glycemic outcomes and prevention of severe hypoglycemia </w:t>
      </w:r>
      <w:r w:rsidR="00A13E6A" w:rsidRPr="001D29F8">
        <w:rPr>
          <w:rFonts w:ascii="Arial" w:hAnsi="Arial" w:cs="Arial"/>
          <w:sz w:val="24"/>
          <w:szCs w:val="24"/>
          <w:lang w:val="en-US"/>
        </w:rPr>
        <w:t xml:space="preserve">could be </w:t>
      </w:r>
      <w:r w:rsidR="00182ABE" w:rsidRPr="001D29F8">
        <w:rPr>
          <w:rFonts w:ascii="Arial" w:hAnsi="Arial" w:cs="Arial"/>
          <w:sz w:val="24"/>
          <w:szCs w:val="24"/>
          <w:lang w:val="en-US"/>
        </w:rPr>
        <w:t>sustained</w:t>
      </w:r>
      <w:r w:rsidR="007D3E7C" w:rsidRPr="001D29F8">
        <w:rPr>
          <w:rFonts w:ascii="Arial" w:hAnsi="Arial" w:cs="Arial"/>
          <w:sz w:val="24"/>
          <w:szCs w:val="24"/>
          <w:lang w:val="en-US"/>
        </w:rPr>
        <w:t xml:space="preserve"> </w:t>
      </w:r>
      <w:r w:rsidR="00A13E6A" w:rsidRPr="001D29F8">
        <w:rPr>
          <w:rFonts w:ascii="Arial" w:hAnsi="Arial" w:cs="Arial"/>
          <w:sz w:val="24"/>
          <w:szCs w:val="24"/>
          <w:lang w:val="en-US"/>
        </w:rPr>
        <w:t xml:space="preserve">up </w:t>
      </w:r>
      <w:r w:rsidR="007D3E7C" w:rsidRPr="001D29F8">
        <w:rPr>
          <w:rFonts w:ascii="Arial" w:hAnsi="Arial" w:cs="Arial"/>
          <w:sz w:val="24"/>
          <w:szCs w:val="24"/>
          <w:lang w:val="en-US"/>
        </w:rPr>
        <w:t>to 24 months, with a focus on participants prone to hypoglycemia.</w:t>
      </w:r>
    </w:p>
    <w:p w14:paraId="4752042E" w14:textId="77777777" w:rsidR="00B02448" w:rsidRPr="001D29F8" w:rsidRDefault="00B02448" w:rsidP="001D29F8">
      <w:pPr>
        <w:spacing w:after="0" w:line="480" w:lineRule="auto"/>
        <w:jc w:val="both"/>
        <w:rPr>
          <w:rFonts w:ascii="Arial" w:hAnsi="Arial" w:cs="Arial"/>
          <w:sz w:val="24"/>
          <w:szCs w:val="24"/>
          <w:lang w:val="en-US"/>
        </w:rPr>
      </w:pPr>
    </w:p>
    <w:p w14:paraId="30773D91" w14:textId="77777777" w:rsidR="006F73DE" w:rsidRPr="001D29F8" w:rsidRDefault="001D29F8" w:rsidP="001D29F8">
      <w:pPr>
        <w:rPr>
          <w:rFonts w:ascii="Arial" w:hAnsi="Arial" w:cs="Arial"/>
          <w:b/>
          <w:sz w:val="24"/>
          <w:lang w:val="en-US"/>
        </w:rPr>
      </w:pPr>
      <w:bookmarkStart w:id="2" w:name="_Toc451074888"/>
      <w:bookmarkStart w:id="3" w:name="_Toc451074887"/>
      <w:r w:rsidRPr="001D29F8">
        <w:rPr>
          <w:rFonts w:ascii="Arial" w:hAnsi="Arial" w:cs="Arial"/>
          <w:b/>
          <w:sz w:val="24"/>
          <w:lang w:val="en-US"/>
        </w:rPr>
        <w:t>MATERIALS AND METHODS</w:t>
      </w:r>
    </w:p>
    <w:p w14:paraId="6981A9E2" w14:textId="77777777" w:rsidR="009B3BB8" w:rsidRPr="001D29F8" w:rsidRDefault="009B3BB8" w:rsidP="001D29F8">
      <w:pPr>
        <w:rPr>
          <w:rFonts w:ascii="Arial" w:hAnsi="Arial" w:cs="Arial"/>
          <w:b/>
          <w:sz w:val="24"/>
          <w:lang w:val="en-US"/>
        </w:rPr>
      </w:pPr>
      <w:r w:rsidRPr="001D29F8">
        <w:rPr>
          <w:rFonts w:ascii="Arial" w:hAnsi="Arial" w:cs="Arial"/>
          <w:b/>
          <w:sz w:val="24"/>
          <w:lang w:val="en-US"/>
        </w:rPr>
        <w:t xml:space="preserve">Study </w:t>
      </w:r>
      <w:r w:rsidR="00E53E07" w:rsidRPr="001D29F8">
        <w:rPr>
          <w:rFonts w:ascii="Arial" w:hAnsi="Arial" w:cs="Arial"/>
          <w:b/>
          <w:sz w:val="24"/>
          <w:lang w:val="en-US"/>
        </w:rPr>
        <w:t>d</w:t>
      </w:r>
      <w:r w:rsidRPr="001D29F8">
        <w:rPr>
          <w:rFonts w:ascii="Arial" w:hAnsi="Arial" w:cs="Arial"/>
          <w:b/>
          <w:sz w:val="24"/>
          <w:lang w:val="en-US"/>
        </w:rPr>
        <w:t>esign</w:t>
      </w:r>
      <w:bookmarkEnd w:id="2"/>
    </w:p>
    <w:p w14:paraId="2E5F2482" w14:textId="77777777" w:rsidR="00A57969" w:rsidRPr="001D29F8" w:rsidRDefault="00A57969"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This was a </w:t>
      </w:r>
      <w:r w:rsidR="00E4765A" w:rsidRPr="001D29F8">
        <w:rPr>
          <w:rFonts w:ascii="Arial" w:hAnsi="Arial" w:cs="Arial"/>
          <w:sz w:val="24"/>
          <w:szCs w:val="24"/>
          <w:lang w:val="en-US"/>
        </w:rPr>
        <w:t>multi</w:t>
      </w:r>
      <w:r w:rsidR="00463DB7" w:rsidRPr="001D29F8">
        <w:rPr>
          <w:rFonts w:ascii="Arial" w:hAnsi="Arial" w:cs="Arial"/>
          <w:sz w:val="24"/>
          <w:szCs w:val="24"/>
          <w:lang w:val="en-US"/>
        </w:rPr>
        <w:t>center</w:t>
      </w:r>
      <w:r w:rsidR="009B3BB8" w:rsidRPr="001D29F8">
        <w:rPr>
          <w:rFonts w:ascii="Arial" w:hAnsi="Arial" w:cs="Arial"/>
          <w:sz w:val="24"/>
          <w:szCs w:val="24"/>
          <w:lang w:val="en-US"/>
        </w:rPr>
        <w:t xml:space="preserve"> prospective observational cohort study</w:t>
      </w:r>
      <w:r w:rsidRPr="001D29F8">
        <w:rPr>
          <w:rFonts w:ascii="Arial" w:hAnsi="Arial" w:cs="Arial"/>
          <w:sz w:val="24"/>
          <w:szCs w:val="24"/>
          <w:lang w:val="en-US"/>
        </w:rPr>
        <w:t xml:space="preserve"> to evaluate the impact of nationwide reimbursement of </w:t>
      </w:r>
      <w:proofErr w:type="spellStart"/>
      <w:r w:rsidR="002E3611" w:rsidRPr="001D29F8">
        <w:rPr>
          <w:rFonts w:ascii="Arial" w:hAnsi="Arial" w:cs="Arial"/>
          <w:sz w:val="24"/>
          <w:szCs w:val="24"/>
          <w:lang w:val="en-US"/>
        </w:rPr>
        <w:t>rtCGM</w:t>
      </w:r>
      <w:proofErr w:type="spellEnd"/>
      <w:r w:rsidRPr="001D29F8">
        <w:rPr>
          <w:rFonts w:ascii="Arial" w:hAnsi="Arial" w:cs="Arial"/>
          <w:sz w:val="24"/>
          <w:szCs w:val="24"/>
          <w:lang w:val="en-US"/>
        </w:rPr>
        <w:t xml:space="preserve"> systems for adults with type 1 diabetes on CSII therapy. The results from the full 24 months of the study are reported here, consisting of the first 12-month period</w:t>
      </w:r>
      <w:r w:rsidR="005033F0" w:rsidRPr="001D29F8">
        <w:rPr>
          <w:rFonts w:ascii="Arial" w:hAnsi="Arial" w:cs="Arial"/>
          <w:sz w:val="24"/>
          <w:szCs w:val="24"/>
          <w:lang w:val="en-US"/>
        </w:rPr>
        <w:t xml:space="preserve"> from which</w:t>
      </w:r>
      <w:r w:rsidRPr="001D29F8">
        <w:rPr>
          <w:rFonts w:ascii="Arial" w:hAnsi="Arial" w:cs="Arial"/>
          <w:sz w:val="24"/>
          <w:szCs w:val="24"/>
          <w:lang w:val="en-US"/>
        </w:rPr>
        <w:t xml:space="preserve"> the results have been published </w:t>
      </w:r>
      <w:r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{"citationItems":[{"id":"ITEM-1","itemData":{"ISSN":"1945-7197 (Electronic)","PMID":"29342264","abstract":"Context: Randomized controlled trials evaluating real-time continuous glucose monitoring (RT-CGM) patients with type 1 diabetes (T1D) show improved glycemic control, but limited data are available on real-world use. Objective: To assess impact of RT-CGM in real-world settings on glycemic control, hospital admissions, work absenteeism, and quality of life (QOL). Design: Prospective, observational, multicenter, cohort study. Participants: A total of 515 adults with T1D on continuous subcutaneous insulin infusion (CSII) therapy starting in the Belgian RT-CGM reimbursement program. Intervention: Initiation of RT-CGM reimbursement. Main Outcome Measure: Hemoglobin A1c (HbA1c) evolution from baseline to 12 months. Results: Between September 1, 2014, and December 31, 2016, 515 adults entered the reimbursement system. Over this period, 417 (81%) patients used RT-CGM for at least 12 months. Baseline HbA1c was 7.7 +/- 0.9% (61 +/- 9.8 mmol/mol) and decreased to 7.4 +/- 0.8% (57 +/- 8.7 mmol/mol) at 12 months (P &lt; 0.0001). Subjects who started RT-CGM because of insufficient glycemic control showed stronger decrease in HbA1c at 4, 8, and 12 months compared with patients who started because of hypoglycemia or pregnancy. In the year preceding reimbursement, 16% of patients were hospitalized for severe hypoglycemia or ketoacidosis in contrast to 4% (P &lt; 0.0005) the following year, with decrease in admission days from 54 to 18 per 100 patient years (P &lt; 0.0005). In the same period, work absenteeism decreased and QOL improved significantly, with strong decline in fear of hypoglycemia. Conclusion: Sensor-augmented pump therapy in patients with T1D followed in specialized centers improves HbA1c, fear of hypoglycemia, and QOL, whereas work absenteeism and admissions for acute diabetes complications decreased.","author":[{"dropping-particle":"","family":"Charleer","given":"Sara","non-dropping-particle":"","parse-names":false,"suffix":""},{"dropping-particle":"","family":"Mathieu","given":"Chantal","non-dropping-particle":"","parse-names":false,"suffix":""},{"dropping-particle":"","family":"Nobels","given":"Frank","non-dropping-particle":"","parse-names":false,"suffix":""},{"dropping-particle":"","family":"Block","given":"Christophe","non-dropping-particle":"De","parse-names":false,"suffix":""},{"dropping-particle":"","family":"Radermecker","given":"Regis P","non-dropping-particle":"","parse-names":false,"suffix":""},{"dropping-particle":"","family":"Hermans","given":"Michel P","non-dropping-particle":"","parse-names":false,"suffix":""},{"dropping-particle":"","family":"Taes","given":"Youri","non-dropping-particle":"","parse-names":false,"suffix":""},{"dropping-particle":"","family":"Vercammen","given":"Chris","non-dropping-particle":"","parse-names":false,"suffix":""},{"dropping-particle":"","family":"T'Sjoen","given":"Guy","non-dropping-particle":"","parse-names":false,"suffix":""},{"dropping-particle":"","family":"Crenier","given":"Laurent","non-dropping-particle":"","parse-names":false,"suffix":""},{"dropping-particle":"","family":"Fieuws","given":"Steffen","non-dropping-particle":"","parse-names":false,"suffix":""},{"dropping-particle":"","family":"Keymeulen","given":"Bart","non-dropping-particle":"","parse-names":false,"suffix":""},{"dropping-particle":"","family":"Gillard","given":"Pieter","non-dropping-particle":"","parse-names":false,"suffix":""}],"container-title":"The Journal of clinical endocrinology and metabolism","id":"ITEM-1","issue":"3","issued":{"date-parts":[["2018"]]},"language":"eng","page":"1224-1232","publisher-place":"United States","title":"Effect of Continuous Glucose Monitoring on Glycemic Control, Acute Admissions, and Quality of Life: A Real-World Study.","type":"article-journal","volume":"103"},"uris":["http://www.mendeley.com/documents/?uuid=dc52f52d-d4b3-49c8-a652-7dcc0d1b5b2d"]}],"mendeley":{"formattedCitation":"(17)","plainTextFormattedCitation":"(17)","previouslyFormattedCitation":"(17)"},"properties":{"noteIndex":0},"schema":"https://github.com/citation-style-language/schema/raw/master/csl-citation.json"}</w:instrText>
      </w:r>
      <w:r w:rsidRPr="001D29F8">
        <w:rPr>
          <w:rFonts w:ascii="Arial" w:hAnsi="Arial" w:cs="Arial"/>
          <w:sz w:val="24"/>
          <w:szCs w:val="24"/>
          <w:lang w:val="en-US"/>
        </w:rPr>
        <w:fldChar w:fldCharType="separate"/>
      </w:r>
      <w:r w:rsidR="00A13E6A" w:rsidRPr="001D29F8">
        <w:rPr>
          <w:rFonts w:ascii="Arial" w:hAnsi="Arial" w:cs="Arial"/>
          <w:noProof/>
          <w:sz w:val="24"/>
          <w:szCs w:val="24"/>
          <w:lang w:val="en-US"/>
        </w:rPr>
        <w:t>(17)</w:t>
      </w:r>
      <w:r w:rsidRPr="001D29F8">
        <w:rPr>
          <w:rFonts w:ascii="Arial" w:hAnsi="Arial" w:cs="Arial"/>
          <w:sz w:val="24"/>
          <w:szCs w:val="24"/>
          <w:lang w:val="en-US"/>
        </w:rPr>
        <w:fldChar w:fldCharType="end"/>
      </w:r>
      <w:r w:rsidRPr="001D29F8">
        <w:rPr>
          <w:rFonts w:ascii="Arial" w:hAnsi="Arial" w:cs="Arial"/>
          <w:sz w:val="24"/>
          <w:szCs w:val="24"/>
          <w:lang w:val="en-US"/>
        </w:rPr>
        <w:t>, followed by an additional 12-month extension phase.</w:t>
      </w:r>
      <w:r w:rsidR="00237E79" w:rsidRPr="001D29F8">
        <w:rPr>
          <w:rFonts w:ascii="Arial" w:hAnsi="Arial" w:cs="Arial"/>
          <w:sz w:val="24"/>
          <w:szCs w:val="24"/>
          <w:lang w:val="en-US"/>
        </w:rPr>
        <w:t xml:space="preserve"> The study was conducted from September 2014 to March 2019.</w:t>
      </w:r>
    </w:p>
    <w:p w14:paraId="13086E2A" w14:textId="77777777" w:rsidR="00A57969" w:rsidRPr="001D29F8" w:rsidRDefault="00A57969"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The study complied with the Declaration of Helsinki and the International Conference on Harmonization/Good Clinical Practice Guidelines and was approved by </w:t>
      </w:r>
      <w:r w:rsidR="002E3611" w:rsidRPr="001D29F8">
        <w:rPr>
          <w:rFonts w:ascii="Arial" w:hAnsi="Arial" w:cs="Arial"/>
          <w:sz w:val="24"/>
          <w:szCs w:val="24"/>
          <w:lang w:val="en-US"/>
        </w:rPr>
        <w:t xml:space="preserve">the </w:t>
      </w:r>
      <w:r w:rsidRPr="001D29F8">
        <w:rPr>
          <w:rFonts w:ascii="Arial" w:hAnsi="Arial" w:cs="Arial"/>
          <w:sz w:val="24"/>
          <w:szCs w:val="24"/>
          <w:lang w:val="en-US"/>
        </w:rPr>
        <w:t xml:space="preserve">institutional review boards and independent ethics committees </w:t>
      </w:r>
      <w:r w:rsidR="002E3611" w:rsidRPr="001D29F8">
        <w:rPr>
          <w:rFonts w:ascii="Arial" w:hAnsi="Arial" w:cs="Arial"/>
          <w:sz w:val="24"/>
          <w:szCs w:val="24"/>
          <w:lang w:val="en-US"/>
        </w:rPr>
        <w:t>of</w:t>
      </w:r>
      <w:r w:rsidRPr="001D29F8">
        <w:rPr>
          <w:rFonts w:ascii="Arial" w:hAnsi="Arial" w:cs="Arial"/>
          <w:sz w:val="24"/>
          <w:szCs w:val="24"/>
          <w:lang w:val="en-US"/>
        </w:rPr>
        <w:t xml:space="preserve"> the participating centers. All participants provided informed consent before entering the study. The study is registered with ClinicalTrials.gov (NCT02601729).</w:t>
      </w:r>
    </w:p>
    <w:p w14:paraId="4576FA0E" w14:textId="77777777" w:rsidR="003C40CF" w:rsidRPr="001D29F8" w:rsidRDefault="003C40CF" w:rsidP="001D29F8">
      <w:pPr>
        <w:spacing w:after="0" w:line="480" w:lineRule="auto"/>
        <w:jc w:val="both"/>
        <w:rPr>
          <w:rFonts w:ascii="Arial" w:hAnsi="Arial" w:cs="Arial"/>
          <w:sz w:val="24"/>
          <w:szCs w:val="24"/>
          <w:lang w:val="en-US"/>
        </w:rPr>
      </w:pPr>
    </w:p>
    <w:p w14:paraId="0063B8CA" w14:textId="77777777" w:rsidR="009B3BB8" w:rsidRPr="001D29F8" w:rsidRDefault="00CE6985" w:rsidP="001D29F8">
      <w:pPr>
        <w:rPr>
          <w:rFonts w:ascii="Arial" w:hAnsi="Arial" w:cs="Arial"/>
          <w:b/>
          <w:sz w:val="24"/>
          <w:lang w:val="en-US"/>
        </w:rPr>
      </w:pPr>
      <w:r w:rsidRPr="001D29F8">
        <w:rPr>
          <w:rFonts w:ascii="Arial" w:hAnsi="Arial" w:cs="Arial"/>
          <w:b/>
          <w:sz w:val="24"/>
          <w:lang w:val="en-US"/>
        </w:rPr>
        <w:t>Study participants</w:t>
      </w:r>
    </w:p>
    <w:p w14:paraId="0CB4DEB9" w14:textId="79F984D6" w:rsidR="00D268CE" w:rsidRPr="001D29F8" w:rsidRDefault="00CE6985" w:rsidP="001D29F8">
      <w:pPr>
        <w:spacing w:after="0" w:line="480" w:lineRule="auto"/>
        <w:jc w:val="both"/>
        <w:rPr>
          <w:rFonts w:ascii="Arial" w:hAnsi="Arial" w:cs="Arial"/>
          <w:color w:val="FF0000"/>
          <w:sz w:val="24"/>
          <w:szCs w:val="24"/>
          <w:lang w:val="en-US"/>
        </w:rPr>
      </w:pPr>
      <w:bookmarkStart w:id="4" w:name="_Toc451074889"/>
      <w:bookmarkEnd w:id="3"/>
      <w:r w:rsidRPr="001D29F8">
        <w:rPr>
          <w:rFonts w:ascii="Arial" w:hAnsi="Arial" w:cs="Arial"/>
          <w:sz w:val="24"/>
          <w:szCs w:val="24"/>
          <w:lang w:val="en-US"/>
        </w:rPr>
        <w:t xml:space="preserve">As previously reported </w:t>
      </w:r>
      <w:r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{"citationItems":[{"id":"ITEM-1","itemData":{"ISSN":"1945-7197 (Electronic)","PMID":"29342264","abstract":"Context: Randomized controlled trials evaluating real-time continuous glucose monitoring (RT-CGM) patients with type 1 diabetes (T1D) show improved glycemic control, but limited data are available on real-world use. Objective: To assess impact of RT-CGM in real-world settings on glycemic control, hospital admissions, work absenteeism, and quality of life (QOL). Design: Prospective, observational, multicenter, cohort study. Participants: A total of 515 adults with T1D on continuous subcutaneous insulin infusion (CSII) therapy starting in the Belgian RT-CGM reimbursement program. Intervention: Initiation of RT-CGM reimbursement. Main Outcome Measure: Hemoglobin A1c (HbA1c) evolution from baseline to 12 months. Results: Between September 1, 2014, and December 31, 2016, 515 adults entered the reimbursement system. Over this period, 417 (81%) patients used RT-CGM for at least 12 months. Baseline HbA1c was 7.7 +/- 0.9% (61 +/- 9.8 mmol/mol) and decreased to 7.4 +/- 0.8% (57 +/- 8.7 mmol/mol) at 12 months (P &lt; 0.0001). Subjects who started RT-CGM because of insufficient glycemic control showed stronger decrease in HbA1c at 4, 8, and 12 months compared with patients who started because of hypoglycemia or pregnancy. In the year preceding reimbursement, 16% of patients were hospitalized for severe hypoglycemia or ketoacidosis in contrast to 4% (P &lt; 0.0005) the following year, with decrease in admission days from 54 to 18 per 100 patient years (P &lt; 0.0005). In the same period, work absenteeism decreased and QOL improved significantly, with strong decline in fear of hypoglycemia. Conclusion: Sensor-augmented pump therapy in patients with T1D followed in specialized centers improves HbA1c, fear of hypoglycemia, and QOL, whereas work absenteeism and admissions for acute diabetes complications decreased.","author":[{"dropping-particle":"","family":"Charleer","given":"Sara","non-dropping-particle":"","parse-names":false,"suffix":""},{"dropping-particle":"","family":"Mathieu","given":"Chantal","non-dropping-particle":"","parse-names":false,"suffix":""},{"dropping-particle":"","family":"Nobels","given":"Frank","non-dropping-particle":"","parse-names":false,"suffix":""},{"dropping-particle":"","family":"Block","given":"Christophe","non-dropping-particle":"De","parse-names":false,"suffix":""},{"dropping-particle":"","family":"Radermecker","given":"Regis P","non-dropping-particle":"","parse-names":false,"suffix":""},{"dropping-particle":"","family":"Hermans","given":"Michel P","non-dropping-particle":"","parse-names":false,"suffix":""},{"dropping-particle":"","family":"Taes","given":"Youri","non-dropping-particle":"","parse-names":false,"suffix":""},{"dropping-particle":"","family":"Vercammen","given":"Chris","non-dropping-particle":"","parse-names":false,"suffix":""},{"dropping-particle":"","family":"T'Sjoen","given":"Guy","non-dropping-particle":"","parse-names":false,"suffix":""},{"dropping-particle":"","family":"Crenier","given":"Laurent","non-dropping-particle":"","parse-names":false,"suffix":""},{"dropping-particle":"","family":"Fieuws","given":"Steffen","non-dropping-particle":"","parse-names":false,"suffix":""},{"dropping-particle":"","family":"Keymeulen","given":"Bart","non-dropping-particle":"","parse-names":false,"suffix":""},{"dropping-particle":"","family":"Gillard","given":"Pieter","non-dropping-particle":"","parse-names":false,"suffix":""}],"container-title":"The Journal of clinical endocrinology and metabolism","id":"ITEM-1","issue":"3","issued":{"date-parts":[["2018"]]},"language":"eng","page":"1224-1232","publisher-place":"United States","title":"Effect of Continuous Glucose Monitoring on Glycemic Control, Acute Admissions, and Quality of Life: A Real-World Study.","type":"article-journal","volume":"103"},"uris":["http://www.mendeley.com/documents/?uuid=dc52f52d-d4b3-49c8-a652-7dcc0d1b5b2d"]}],"mendeley":{"formattedCitation":"(17)","plainTextFormattedCitation":"(17)","previouslyFormattedCitation":"(17)"},"properties":{"noteIndex":0},"schema":"https://github.com/citation-style-language/schema/raw/master/csl-citation.json"}</w:instrText>
      </w:r>
      <w:r w:rsidRPr="001D29F8">
        <w:rPr>
          <w:rFonts w:ascii="Arial" w:hAnsi="Arial" w:cs="Arial"/>
          <w:sz w:val="24"/>
          <w:szCs w:val="24"/>
          <w:lang w:val="en-US"/>
        </w:rPr>
        <w:fldChar w:fldCharType="separate"/>
      </w:r>
      <w:r w:rsidR="00A13E6A" w:rsidRPr="001D29F8">
        <w:rPr>
          <w:rFonts w:ascii="Arial" w:hAnsi="Arial" w:cs="Arial"/>
          <w:noProof/>
          <w:sz w:val="24"/>
          <w:szCs w:val="24"/>
          <w:lang w:val="en-US"/>
        </w:rPr>
        <w:t>(17)</w:t>
      </w:r>
      <w:r w:rsidRPr="001D29F8">
        <w:rPr>
          <w:rFonts w:ascii="Arial" w:hAnsi="Arial" w:cs="Arial"/>
          <w:sz w:val="24"/>
          <w:szCs w:val="24"/>
          <w:lang w:val="en-US"/>
        </w:rPr>
        <w:fldChar w:fldCharType="end"/>
      </w:r>
      <w:r w:rsidRPr="001D29F8">
        <w:rPr>
          <w:rFonts w:ascii="Arial" w:hAnsi="Arial" w:cs="Arial"/>
          <w:sz w:val="24"/>
          <w:szCs w:val="24"/>
          <w:lang w:val="en-US"/>
        </w:rPr>
        <w:t xml:space="preserve">, 17 </w:t>
      </w:r>
      <w:r w:rsidR="00B407BE" w:rsidRPr="001D29F8">
        <w:rPr>
          <w:rFonts w:ascii="Arial" w:hAnsi="Arial" w:cs="Arial"/>
          <w:sz w:val="24"/>
          <w:szCs w:val="24"/>
          <w:lang w:val="en-US"/>
        </w:rPr>
        <w:t>specialize</w:t>
      </w:r>
      <w:r w:rsidR="00D268CE" w:rsidRPr="001D29F8">
        <w:rPr>
          <w:rFonts w:ascii="Arial" w:hAnsi="Arial" w:cs="Arial"/>
          <w:sz w:val="24"/>
          <w:szCs w:val="24"/>
          <w:lang w:val="en-US"/>
        </w:rPr>
        <w:t xml:space="preserve">d diabetes </w:t>
      </w:r>
      <w:r w:rsidR="00463DB7" w:rsidRPr="001D29F8">
        <w:rPr>
          <w:rFonts w:ascii="Arial" w:hAnsi="Arial" w:cs="Arial"/>
          <w:sz w:val="24"/>
          <w:szCs w:val="24"/>
          <w:lang w:val="en-US"/>
        </w:rPr>
        <w:t>center</w:t>
      </w:r>
      <w:r w:rsidR="00D268CE" w:rsidRPr="001D29F8">
        <w:rPr>
          <w:rFonts w:ascii="Arial" w:hAnsi="Arial" w:cs="Arial"/>
          <w:sz w:val="24"/>
          <w:szCs w:val="24"/>
          <w:lang w:val="en-US"/>
        </w:rPr>
        <w:t xml:space="preserve">s were free to decide </w:t>
      </w:r>
      <w:r w:rsidRPr="001D29F8">
        <w:rPr>
          <w:rFonts w:ascii="Arial" w:hAnsi="Arial" w:cs="Arial"/>
          <w:sz w:val="24"/>
          <w:szCs w:val="24"/>
          <w:lang w:val="en-US"/>
        </w:rPr>
        <w:t xml:space="preserve">to </w:t>
      </w:r>
      <w:r w:rsidR="00D268CE" w:rsidRPr="001D29F8">
        <w:rPr>
          <w:rFonts w:ascii="Arial" w:hAnsi="Arial" w:cs="Arial"/>
          <w:sz w:val="24"/>
          <w:szCs w:val="24"/>
          <w:lang w:val="en-US"/>
        </w:rPr>
        <w:t xml:space="preserve">which </w:t>
      </w:r>
      <w:r w:rsidRPr="001D29F8">
        <w:rPr>
          <w:rFonts w:ascii="Arial" w:hAnsi="Arial" w:cs="Arial"/>
          <w:sz w:val="24"/>
          <w:szCs w:val="24"/>
          <w:lang w:val="en-US"/>
        </w:rPr>
        <w:t xml:space="preserve">adults with </w:t>
      </w:r>
      <w:r w:rsidR="00D60768" w:rsidRPr="001D29F8">
        <w:rPr>
          <w:rFonts w:ascii="Arial" w:hAnsi="Arial" w:cs="Arial"/>
          <w:sz w:val="24"/>
          <w:szCs w:val="24"/>
          <w:lang w:val="en-US"/>
        </w:rPr>
        <w:t>type 1 diabetes</w:t>
      </w:r>
      <w:r w:rsidR="00D268CE" w:rsidRPr="001D29F8">
        <w:rPr>
          <w:rFonts w:ascii="Arial" w:hAnsi="Arial" w:cs="Arial"/>
          <w:sz w:val="24"/>
          <w:szCs w:val="24"/>
          <w:lang w:val="en-US"/>
        </w:rPr>
        <w:t xml:space="preserve"> on CSII </w:t>
      </w:r>
      <w:r w:rsidR="00BD2269" w:rsidRPr="001D29F8">
        <w:rPr>
          <w:rFonts w:ascii="Arial" w:hAnsi="Arial" w:cs="Arial"/>
          <w:sz w:val="24"/>
          <w:szCs w:val="24"/>
          <w:lang w:val="en-US"/>
        </w:rPr>
        <w:t>they would offer</w:t>
      </w:r>
      <w:r w:rsidR="00D268CE" w:rsidRPr="001D29F8">
        <w:rPr>
          <w:rFonts w:ascii="Arial" w:hAnsi="Arial" w:cs="Arial"/>
          <w:sz w:val="24"/>
          <w:szCs w:val="24"/>
          <w:lang w:val="en-US"/>
        </w:rPr>
        <w:t xml:space="preserve"> </w:t>
      </w:r>
      <w:proofErr w:type="spellStart"/>
      <w:r w:rsidR="00D60768"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D268CE" w:rsidRPr="001D29F8">
        <w:rPr>
          <w:rFonts w:ascii="Arial" w:hAnsi="Arial" w:cs="Arial"/>
          <w:sz w:val="24"/>
          <w:szCs w:val="24"/>
          <w:lang w:val="en-US"/>
        </w:rPr>
        <w:t xml:space="preserve"> reimbursement. </w:t>
      </w:r>
      <w:r w:rsidRPr="001D29F8">
        <w:rPr>
          <w:rFonts w:ascii="Arial" w:hAnsi="Arial" w:cs="Arial"/>
          <w:sz w:val="24"/>
          <w:szCs w:val="24"/>
          <w:lang w:val="en-US"/>
        </w:rPr>
        <w:t>M</w:t>
      </w:r>
      <w:r w:rsidR="00EA494B" w:rsidRPr="001D29F8">
        <w:rPr>
          <w:rFonts w:ascii="Arial" w:hAnsi="Arial" w:cs="Arial"/>
          <w:sz w:val="24"/>
          <w:szCs w:val="24"/>
          <w:lang w:val="en-US"/>
        </w:rPr>
        <w:t xml:space="preserve">inimum </w:t>
      </w:r>
      <w:r w:rsidR="00D268CE" w:rsidRPr="001D29F8">
        <w:rPr>
          <w:rFonts w:ascii="Arial" w:hAnsi="Arial" w:cs="Arial"/>
          <w:sz w:val="24"/>
          <w:szCs w:val="24"/>
          <w:lang w:val="en-US"/>
        </w:rPr>
        <w:t>criteria for selection were suggested in a non-restrictive way by the Belgian healthcare authority</w:t>
      </w:r>
      <w:r w:rsidR="00EA494B" w:rsidRPr="001D29F8">
        <w:rPr>
          <w:rFonts w:ascii="Arial" w:hAnsi="Arial" w:cs="Arial"/>
          <w:sz w:val="24"/>
          <w:szCs w:val="24"/>
          <w:lang w:val="en-US"/>
        </w:rPr>
        <w:t xml:space="preserve"> </w:t>
      </w:r>
      <w:r w:rsidR="00C10887" w:rsidRPr="001D29F8">
        <w:rPr>
          <w:rFonts w:ascii="Arial" w:hAnsi="Arial" w:cs="Arial"/>
          <w:sz w:val="24"/>
          <w:szCs w:val="24"/>
          <w:lang w:val="en-US"/>
        </w:rPr>
        <w:t xml:space="preserve">and </w:t>
      </w:r>
      <w:r w:rsidR="00EA494B" w:rsidRPr="001D29F8">
        <w:rPr>
          <w:rFonts w:ascii="Arial" w:hAnsi="Arial" w:cs="Arial"/>
          <w:sz w:val="24"/>
          <w:szCs w:val="24"/>
          <w:lang w:val="en-US"/>
        </w:rPr>
        <w:t>included</w:t>
      </w:r>
      <w:r w:rsidR="00D268CE" w:rsidRPr="001D29F8">
        <w:rPr>
          <w:rFonts w:ascii="Arial" w:hAnsi="Arial" w:cs="Arial"/>
          <w:sz w:val="24"/>
          <w:szCs w:val="24"/>
          <w:lang w:val="en-US"/>
        </w:rPr>
        <w:t xml:space="preserve"> diagnosed with </w:t>
      </w:r>
      <w:r w:rsidR="00D60768" w:rsidRPr="001D29F8">
        <w:rPr>
          <w:rFonts w:ascii="Arial" w:hAnsi="Arial" w:cs="Arial"/>
          <w:sz w:val="24"/>
          <w:szCs w:val="24"/>
          <w:lang w:val="en-US"/>
        </w:rPr>
        <w:t xml:space="preserve">type 1 diabetes </w:t>
      </w:r>
      <w:r w:rsidR="00182505" w:rsidRPr="001D29F8">
        <w:rPr>
          <w:rFonts w:ascii="Arial" w:hAnsi="Arial" w:cs="Arial"/>
          <w:sz w:val="24"/>
          <w:szCs w:val="24"/>
          <w:lang w:val="en-US"/>
        </w:rPr>
        <w:t>&gt;1</w:t>
      </w:r>
      <w:r w:rsidR="00D268CE" w:rsidRPr="001D29F8">
        <w:rPr>
          <w:rFonts w:ascii="Arial" w:hAnsi="Arial" w:cs="Arial"/>
          <w:sz w:val="24"/>
          <w:szCs w:val="24"/>
          <w:lang w:val="en-US"/>
        </w:rPr>
        <w:t xml:space="preserve"> year ago, using CSII therapy </w:t>
      </w:r>
      <w:r w:rsidR="00182505" w:rsidRPr="001D29F8">
        <w:rPr>
          <w:rFonts w:ascii="Arial" w:hAnsi="Arial" w:cs="Arial"/>
          <w:sz w:val="24"/>
          <w:szCs w:val="24"/>
          <w:lang w:val="en-US"/>
        </w:rPr>
        <w:t>&gt;6</w:t>
      </w:r>
      <w:r w:rsidR="00D268CE" w:rsidRPr="001D29F8">
        <w:rPr>
          <w:rFonts w:ascii="Arial" w:hAnsi="Arial" w:cs="Arial"/>
          <w:sz w:val="24"/>
          <w:szCs w:val="24"/>
          <w:lang w:val="en-US"/>
        </w:rPr>
        <w:t xml:space="preserve"> months, difficult </w:t>
      </w:r>
      <w:r w:rsidR="00463DB7" w:rsidRPr="001D29F8">
        <w:rPr>
          <w:rFonts w:ascii="Arial" w:hAnsi="Arial" w:cs="Arial"/>
          <w:sz w:val="24"/>
          <w:szCs w:val="24"/>
          <w:lang w:val="en-US"/>
        </w:rPr>
        <w:t>glycem</w:t>
      </w:r>
      <w:r w:rsidR="00D268CE" w:rsidRPr="001D29F8">
        <w:rPr>
          <w:rFonts w:ascii="Arial" w:hAnsi="Arial" w:cs="Arial"/>
          <w:sz w:val="24"/>
          <w:szCs w:val="24"/>
          <w:lang w:val="en-US"/>
        </w:rPr>
        <w:t>ic control (undefined)</w:t>
      </w:r>
      <w:r w:rsidR="00CD2D9D" w:rsidRPr="001D29F8">
        <w:rPr>
          <w:rFonts w:ascii="Arial" w:hAnsi="Arial" w:cs="Arial"/>
          <w:sz w:val="24"/>
          <w:szCs w:val="24"/>
          <w:lang w:val="en-US"/>
        </w:rPr>
        <w:t>,</w:t>
      </w:r>
      <w:r w:rsidR="00D268CE" w:rsidRPr="001D29F8">
        <w:rPr>
          <w:rFonts w:ascii="Arial" w:hAnsi="Arial" w:cs="Arial"/>
          <w:sz w:val="24"/>
          <w:szCs w:val="24"/>
          <w:lang w:val="en-US"/>
        </w:rPr>
        <w:t xml:space="preserve"> and motivated to use </w:t>
      </w:r>
      <w:proofErr w:type="spellStart"/>
      <w:r w:rsidR="00D60768"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D268CE" w:rsidRPr="001D29F8">
        <w:rPr>
          <w:rFonts w:ascii="Arial" w:hAnsi="Arial" w:cs="Arial"/>
          <w:sz w:val="24"/>
          <w:szCs w:val="24"/>
          <w:lang w:val="en-US"/>
        </w:rPr>
        <w:t xml:space="preserve">. </w:t>
      </w:r>
      <w:r w:rsidRPr="001D29F8">
        <w:rPr>
          <w:rFonts w:ascii="Arial" w:hAnsi="Arial" w:cs="Arial"/>
          <w:sz w:val="24"/>
          <w:szCs w:val="24"/>
          <w:lang w:val="en-US"/>
        </w:rPr>
        <w:t>People in the reimbursement program</w:t>
      </w:r>
      <w:r w:rsidR="00D268CE" w:rsidRPr="001D29F8">
        <w:rPr>
          <w:rFonts w:ascii="Arial" w:hAnsi="Arial" w:cs="Arial"/>
          <w:sz w:val="24"/>
          <w:szCs w:val="24"/>
          <w:lang w:val="en-US"/>
        </w:rPr>
        <w:t xml:space="preserve"> were expected to use </w:t>
      </w:r>
      <w:proofErr w:type="spellStart"/>
      <w:r w:rsidR="00D60768"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D268CE" w:rsidRPr="001D29F8">
        <w:rPr>
          <w:rFonts w:ascii="Arial" w:hAnsi="Arial" w:cs="Arial"/>
          <w:sz w:val="24"/>
          <w:szCs w:val="24"/>
          <w:lang w:val="en-US"/>
        </w:rPr>
        <w:t xml:space="preserve"> </w:t>
      </w:r>
      <w:r w:rsidR="00182505" w:rsidRPr="001D29F8">
        <w:rPr>
          <w:rFonts w:ascii="Arial" w:hAnsi="Arial" w:cs="Arial"/>
          <w:sz w:val="24"/>
          <w:szCs w:val="24"/>
          <w:lang w:val="en-US"/>
        </w:rPr>
        <w:t>&gt;</w:t>
      </w:r>
      <w:r w:rsidR="00D268CE" w:rsidRPr="001D29F8">
        <w:rPr>
          <w:rFonts w:ascii="Arial" w:hAnsi="Arial" w:cs="Arial"/>
          <w:sz w:val="24"/>
          <w:szCs w:val="24"/>
          <w:lang w:val="en-US"/>
        </w:rPr>
        <w:t xml:space="preserve">70% of </w:t>
      </w:r>
      <w:r w:rsidR="00D60768" w:rsidRPr="001D29F8">
        <w:rPr>
          <w:rFonts w:ascii="Arial" w:hAnsi="Arial" w:cs="Arial"/>
          <w:sz w:val="24"/>
          <w:szCs w:val="24"/>
          <w:lang w:val="en-US"/>
        </w:rPr>
        <w:t xml:space="preserve">the </w:t>
      </w:r>
      <w:r w:rsidR="00D268CE" w:rsidRPr="001D29F8">
        <w:rPr>
          <w:rFonts w:ascii="Arial" w:hAnsi="Arial" w:cs="Arial"/>
          <w:sz w:val="24"/>
          <w:szCs w:val="24"/>
          <w:lang w:val="en-US"/>
        </w:rPr>
        <w:t xml:space="preserve">time. Every </w:t>
      </w:r>
      <w:r w:rsidRPr="001D29F8">
        <w:rPr>
          <w:rFonts w:ascii="Arial" w:hAnsi="Arial" w:cs="Arial"/>
          <w:sz w:val="24"/>
          <w:szCs w:val="24"/>
          <w:lang w:val="en-US"/>
        </w:rPr>
        <w:t>person</w:t>
      </w:r>
      <w:r w:rsidR="00D268CE" w:rsidRPr="001D29F8">
        <w:rPr>
          <w:rFonts w:ascii="Arial" w:hAnsi="Arial" w:cs="Arial"/>
          <w:sz w:val="24"/>
          <w:szCs w:val="24"/>
          <w:lang w:val="en-US"/>
        </w:rPr>
        <w:t xml:space="preserve"> who entered the reimbursement program </w:t>
      </w:r>
      <w:r w:rsidRPr="001D29F8">
        <w:rPr>
          <w:rFonts w:ascii="Arial" w:hAnsi="Arial" w:cs="Arial"/>
          <w:sz w:val="24"/>
          <w:szCs w:val="24"/>
          <w:lang w:val="en-US"/>
        </w:rPr>
        <w:t xml:space="preserve">between September 2014 and January 2017 </w:t>
      </w:r>
      <w:r w:rsidR="00D268CE" w:rsidRPr="001D29F8">
        <w:rPr>
          <w:rFonts w:ascii="Arial" w:hAnsi="Arial" w:cs="Arial"/>
          <w:sz w:val="24"/>
          <w:szCs w:val="24"/>
          <w:lang w:val="en-US"/>
        </w:rPr>
        <w:t xml:space="preserve">was </w:t>
      </w:r>
      <w:r w:rsidR="00EA494B" w:rsidRPr="001D29F8">
        <w:rPr>
          <w:rFonts w:ascii="Arial" w:hAnsi="Arial" w:cs="Arial"/>
          <w:sz w:val="24"/>
          <w:szCs w:val="24"/>
          <w:lang w:val="en-US"/>
        </w:rPr>
        <w:t>included</w:t>
      </w:r>
      <w:r w:rsidR="00D224EC" w:rsidRPr="001D29F8">
        <w:rPr>
          <w:rFonts w:ascii="Arial" w:hAnsi="Arial" w:cs="Arial"/>
          <w:sz w:val="24"/>
          <w:szCs w:val="24"/>
          <w:lang w:val="en-US"/>
        </w:rPr>
        <w:t>, without exception,</w:t>
      </w:r>
      <w:r w:rsidR="00D268CE" w:rsidRPr="001D29F8">
        <w:rPr>
          <w:rFonts w:ascii="Arial" w:hAnsi="Arial" w:cs="Arial"/>
          <w:sz w:val="24"/>
          <w:szCs w:val="24"/>
          <w:lang w:val="en-US"/>
        </w:rPr>
        <w:t xml:space="preserve"> </w:t>
      </w:r>
      <w:r w:rsidR="00182505" w:rsidRPr="001D29F8">
        <w:rPr>
          <w:rFonts w:ascii="Arial" w:hAnsi="Arial" w:cs="Arial"/>
          <w:sz w:val="24"/>
          <w:szCs w:val="24"/>
          <w:lang w:val="en-US"/>
        </w:rPr>
        <w:t>in</w:t>
      </w:r>
      <w:r w:rsidR="00D268CE" w:rsidRPr="001D29F8">
        <w:rPr>
          <w:rFonts w:ascii="Arial" w:hAnsi="Arial" w:cs="Arial"/>
          <w:sz w:val="24"/>
          <w:szCs w:val="24"/>
          <w:lang w:val="en-US"/>
        </w:rPr>
        <w:t xml:space="preserve"> the </w:t>
      </w:r>
      <w:r w:rsidRPr="001D29F8">
        <w:rPr>
          <w:rFonts w:ascii="Arial" w:hAnsi="Arial" w:cs="Arial"/>
          <w:sz w:val="24"/>
          <w:szCs w:val="24"/>
          <w:lang w:val="en-US"/>
        </w:rPr>
        <w:t>study</w:t>
      </w:r>
      <w:r w:rsidR="00EA494B" w:rsidRPr="001D29F8">
        <w:rPr>
          <w:rFonts w:ascii="Arial" w:hAnsi="Arial" w:cs="Arial"/>
          <w:sz w:val="24"/>
          <w:szCs w:val="24"/>
          <w:lang w:val="en-US"/>
        </w:rPr>
        <w:t xml:space="preserve"> after informed consent</w:t>
      </w:r>
      <w:r w:rsidR="00D268CE" w:rsidRPr="001D29F8">
        <w:rPr>
          <w:rFonts w:ascii="Arial" w:hAnsi="Arial" w:cs="Arial"/>
          <w:sz w:val="24"/>
          <w:szCs w:val="24"/>
          <w:lang w:val="en-US"/>
        </w:rPr>
        <w:t xml:space="preserve">. </w:t>
      </w:r>
      <w:r w:rsidR="00E67F1F" w:rsidRPr="001D29F8">
        <w:rPr>
          <w:rFonts w:ascii="Arial" w:hAnsi="Arial" w:cs="Arial"/>
          <w:sz w:val="24"/>
          <w:szCs w:val="24"/>
          <w:lang w:val="en-US"/>
        </w:rPr>
        <w:t>A total of 515 adults started in the reimbursement program and</w:t>
      </w:r>
      <w:r w:rsidR="00DB5BF6" w:rsidRPr="001D29F8">
        <w:rPr>
          <w:rFonts w:ascii="Arial" w:hAnsi="Arial" w:cs="Arial"/>
          <w:sz w:val="24"/>
          <w:szCs w:val="24"/>
          <w:lang w:val="en-US"/>
        </w:rPr>
        <w:t xml:space="preserve"> were included in the analysis.</w:t>
      </w:r>
    </w:p>
    <w:p w14:paraId="11D121AC" w14:textId="77777777" w:rsidR="00C41248" w:rsidRPr="001D29F8" w:rsidRDefault="00C41248" w:rsidP="001D29F8">
      <w:pPr>
        <w:spacing w:after="0" w:line="480" w:lineRule="auto"/>
        <w:jc w:val="both"/>
        <w:rPr>
          <w:rFonts w:ascii="Arial" w:hAnsi="Arial" w:cs="Arial"/>
          <w:color w:val="FF0000"/>
          <w:sz w:val="24"/>
          <w:szCs w:val="24"/>
          <w:lang w:val="en-US"/>
        </w:rPr>
      </w:pPr>
    </w:p>
    <w:p w14:paraId="1F0589C3" w14:textId="77777777" w:rsidR="009B3BB8" w:rsidRPr="001D29F8" w:rsidRDefault="009B3BB8" w:rsidP="001D29F8">
      <w:pPr>
        <w:rPr>
          <w:rFonts w:ascii="Arial" w:hAnsi="Arial" w:cs="Arial"/>
          <w:b/>
          <w:sz w:val="24"/>
          <w:lang w:val="en-US"/>
        </w:rPr>
      </w:pPr>
      <w:r w:rsidRPr="001D29F8">
        <w:rPr>
          <w:rFonts w:ascii="Arial" w:hAnsi="Arial" w:cs="Arial"/>
          <w:b/>
          <w:sz w:val="24"/>
          <w:lang w:val="en-US"/>
        </w:rPr>
        <w:t>Outcome</w:t>
      </w:r>
      <w:bookmarkEnd w:id="4"/>
      <w:r w:rsidRPr="001D29F8">
        <w:rPr>
          <w:rFonts w:ascii="Arial" w:hAnsi="Arial" w:cs="Arial"/>
          <w:b/>
          <w:sz w:val="24"/>
          <w:lang w:val="en-US"/>
        </w:rPr>
        <w:t>s</w:t>
      </w:r>
    </w:p>
    <w:p w14:paraId="3282B09B" w14:textId="77777777" w:rsidR="009B3BB8" w:rsidRPr="001D29F8" w:rsidRDefault="00A36A10"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P</w:t>
      </w:r>
      <w:r w:rsidR="009B3BB8" w:rsidRPr="001D29F8">
        <w:rPr>
          <w:rFonts w:ascii="Arial" w:hAnsi="Arial" w:cs="Arial"/>
          <w:sz w:val="24"/>
          <w:szCs w:val="24"/>
          <w:lang w:val="en-US"/>
        </w:rPr>
        <w:t xml:space="preserve">rimary </w:t>
      </w:r>
      <w:r w:rsidR="0072096C" w:rsidRPr="001D29F8">
        <w:rPr>
          <w:rFonts w:ascii="Arial" w:hAnsi="Arial" w:cs="Arial"/>
          <w:sz w:val="24"/>
          <w:szCs w:val="24"/>
          <w:lang w:val="en-US"/>
        </w:rPr>
        <w:t>endpoint</w:t>
      </w:r>
      <w:r w:rsidR="009B3BB8" w:rsidRPr="001D29F8">
        <w:rPr>
          <w:rFonts w:ascii="Arial" w:hAnsi="Arial" w:cs="Arial"/>
          <w:sz w:val="24"/>
          <w:szCs w:val="24"/>
          <w:lang w:val="en-US"/>
        </w:rPr>
        <w:t xml:space="preserve"> was evolution over time of HbA</w:t>
      </w:r>
      <w:r w:rsidR="009B3BB8" w:rsidRPr="001D29F8">
        <w:rPr>
          <w:rFonts w:ascii="Arial" w:hAnsi="Arial" w:cs="Arial"/>
          <w:sz w:val="24"/>
          <w:szCs w:val="24"/>
          <w:vertAlign w:val="subscript"/>
          <w:lang w:val="en-US"/>
        </w:rPr>
        <w:t>1c</w:t>
      </w:r>
      <w:r w:rsidR="009B3BB8" w:rsidRPr="001D29F8">
        <w:rPr>
          <w:rFonts w:ascii="Arial" w:hAnsi="Arial" w:cs="Arial"/>
          <w:sz w:val="24"/>
          <w:szCs w:val="24"/>
          <w:lang w:val="en-US"/>
        </w:rPr>
        <w:t xml:space="preserve"> </w:t>
      </w:r>
      <w:r w:rsidR="00D268CE" w:rsidRPr="001D29F8">
        <w:rPr>
          <w:rFonts w:ascii="Arial" w:hAnsi="Arial" w:cs="Arial"/>
          <w:sz w:val="24"/>
          <w:szCs w:val="24"/>
          <w:lang w:val="en-US"/>
        </w:rPr>
        <w:t xml:space="preserve">between baseline and </w:t>
      </w:r>
      <w:r w:rsidR="00BD0333" w:rsidRPr="001D29F8">
        <w:rPr>
          <w:rFonts w:ascii="Arial" w:hAnsi="Arial" w:cs="Arial"/>
          <w:sz w:val="24"/>
          <w:szCs w:val="24"/>
          <w:lang w:val="en-US"/>
        </w:rPr>
        <w:t>24</w:t>
      </w:r>
      <w:r w:rsidR="009B3BB8" w:rsidRPr="001D29F8">
        <w:rPr>
          <w:rFonts w:ascii="Arial" w:hAnsi="Arial" w:cs="Arial"/>
          <w:sz w:val="24"/>
          <w:szCs w:val="24"/>
          <w:lang w:val="en-US"/>
        </w:rPr>
        <w:t xml:space="preserve"> months after </w:t>
      </w:r>
      <w:r w:rsidR="009B3BB8" w:rsidRPr="001D29F8">
        <w:rPr>
          <w:rFonts w:ascii="Arial" w:hAnsi="Arial" w:cs="Arial"/>
          <w:noProof/>
          <w:sz w:val="24"/>
          <w:szCs w:val="24"/>
          <w:lang w:val="en-US"/>
        </w:rPr>
        <w:t>start</w:t>
      </w:r>
      <w:r w:rsidR="009B3BB8" w:rsidRPr="001D29F8">
        <w:rPr>
          <w:rFonts w:ascii="Arial" w:hAnsi="Arial" w:cs="Arial"/>
          <w:sz w:val="24"/>
          <w:szCs w:val="24"/>
          <w:lang w:val="en-US"/>
        </w:rPr>
        <w:t xml:space="preserve"> of </w:t>
      </w:r>
      <w:proofErr w:type="spellStart"/>
      <w:r w:rsidR="00D60768"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9B3BB8" w:rsidRPr="001D29F8">
        <w:rPr>
          <w:rFonts w:ascii="Arial" w:hAnsi="Arial" w:cs="Arial"/>
          <w:sz w:val="24"/>
          <w:szCs w:val="24"/>
          <w:lang w:val="en-US"/>
        </w:rPr>
        <w:t xml:space="preserve"> reimbursement. Secondary endpoints were effect of </w:t>
      </w:r>
      <w:proofErr w:type="spellStart"/>
      <w:r w:rsidR="00D60768"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9B3BB8" w:rsidRPr="001D29F8">
        <w:rPr>
          <w:rFonts w:ascii="Arial" w:hAnsi="Arial" w:cs="Arial"/>
          <w:sz w:val="24"/>
          <w:szCs w:val="24"/>
          <w:lang w:val="en-US"/>
        </w:rPr>
        <w:t xml:space="preserve"> on </w:t>
      </w:r>
      <w:r w:rsidR="00D268CE" w:rsidRPr="001D29F8">
        <w:rPr>
          <w:rFonts w:ascii="Arial" w:hAnsi="Arial" w:cs="Arial"/>
          <w:sz w:val="24"/>
          <w:szCs w:val="24"/>
          <w:lang w:val="en-US"/>
        </w:rPr>
        <w:t>acute diabetes complications (</w:t>
      </w:r>
      <w:r w:rsidR="009B3BB8" w:rsidRPr="001D29F8">
        <w:rPr>
          <w:rFonts w:ascii="Arial" w:hAnsi="Arial" w:cs="Arial"/>
          <w:sz w:val="24"/>
          <w:szCs w:val="24"/>
          <w:lang w:val="en-US"/>
        </w:rPr>
        <w:t>hypo</w:t>
      </w:r>
      <w:r w:rsidR="00463DB7" w:rsidRPr="001D29F8">
        <w:rPr>
          <w:rFonts w:ascii="Arial" w:hAnsi="Arial" w:cs="Arial"/>
          <w:sz w:val="24"/>
          <w:szCs w:val="24"/>
          <w:lang w:val="en-US"/>
        </w:rPr>
        <w:t>glycem</w:t>
      </w:r>
      <w:r w:rsidR="009B3BB8" w:rsidRPr="001D29F8">
        <w:rPr>
          <w:rFonts w:ascii="Arial" w:hAnsi="Arial" w:cs="Arial"/>
          <w:sz w:val="24"/>
          <w:szCs w:val="24"/>
          <w:lang w:val="en-US"/>
        </w:rPr>
        <w:t>ia and/or ketoacidosis</w:t>
      </w:r>
      <w:r w:rsidR="00D268CE" w:rsidRPr="001D29F8">
        <w:rPr>
          <w:rFonts w:ascii="Arial" w:hAnsi="Arial" w:cs="Arial"/>
          <w:sz w:val="24"/>
          <w:szCs w:val="24"/>
          <w:lang w:val="en-US"/>
        </w:rPr>
        <w:t>)</w:t>
      </w:r>
      <w:r w:rsidR="009B3BB8" w:rsidRPr="001D29F8">
        <w:rPr>
          <w:rFonts w:ascii="Arial" w:hAnsi="Arial" w:cs="Arial"/>
          <w:sz w:val="24"/>
          <w:szCs w:val="24"/>
          <w:lang w:val="en-US"/>
        </w:rPr>
        <w:t xml:space="preserve">, work absenteeism, </w:t>
      </w:r>
      <w:r w:rsidR="00D60768" w:rsidRPr="001D29F8">
        <w:rPr>
          <w:rFonts w:ascii="Arial" w:hAnsi="Arial" w:cs="Arial"/>
          <w:noProof/>
          <w:sz w:val="24"/>
          <w:szCs w:val="24"/>
          <w:lang w:val="en-US"/>
        </w:rPr>
        <w:t>quality of life</w:t>
      </w:r>
      <w:r w:rsidR="005033F0" w:rsidRPr="001D29F8">
        <w:rPr>
          <w:rFonts w:ascii="Arial" w:hAnsi="Arial" w:cs="Arial"/>
          <w:sz w:val="24"/>
          <w:szCs w:val="24"/>
          <w:lang w:val="en-US"/>
        </w:rPr>
        <w:t>,</w:t>
      </w:r>
      <w:r w:rsidR="00BD0333" w:rsidRPr="001D29F8">
        <w:rPr>
          <w:rFonts w:ascii="Arial" w:hAnsi="Arial" w:cs="Arial"/>
          <w:sz w:val="24"/>
          <w:szCs w:val="24"/>
          <w:lang w:val="en-US"/>
        </w:rPr>
        <w:t xml:space="preserve"> proportion of participants with HbA</w:t>
      </w:r>
      <w:r w:rsidR="00BD0333" w:rsidRPr="001D29F8">
        <w:rPr>
          <w:rFonts w:ascii="Arial" w:hAnsi="Arial" w:cs="Arial"/>
          <w:sz w:val="24"/>
          <w:szCs w:val="24"/>
          <w:vertAlign w:val="subscript"/>
          <w:lang w:val="en-US"/>
        </w:rPr>
        <w:t>1c</w:t>
      </w:r>
      <w:r w:rsidR="00BB7DC6" w:rsidRPr="001D29F8">
        <w:rPr>
          <w:rFonts w:ascii="Arial" w:hAnsi="Arial" w:cs="Arial"/>
          <w:sz w:val="24"/>
          <w:szCs w:val="24"/>
          <w:lang w:val="en-US"/>
        </w:rPr>
        <w:t xml:space="preserve"> &lt;7% (&lt;53 </w:t>
      </w:r>
      <w:proofErr w:type="spellStart"/>
      <w:r w:rsidR="00BB7DC6" w:rsidRPr="001D29F8">
        <w:rPr>
          <w:rFonts w:ascii="Arial" w:hAnsi="Arial" w:cs="Arial"/>
          <w:sz w:val="24"/>
          <w:szCs w:val="24"/>
          <w:lang w:val="en-US"/>
        </w:rPr>
        <w:t>mmol</w:t>
      </w:r>
      <w:proofErr w:type="spellEnd"/>
      <w:r w:rsidR="00BB7DC6" w:rsidRPr="001D29F8">
        <w:rPr>
          <w:rFonts w:ascii="Arial" w:hAnsi="Arial" w:cs="Arial"/>
          <w:sz w:val="24"/>
          <w:szCs w:val="24"/>
          <w:lang w:val="en-US"/>
        </w:rPr>
        <w:t>/</w:t>
      </w:r>
      <w:proofErr w:type="spellStart"/>
      <w:r w:rsidR="00BB7DC6" w:rsidRPr="001D29F8">
        <w:rPr>
          <w:rFonts w:ascii="Arial" w:hAnsi="Arial" w:cs="Arial"/>
          <w:sz w:val="24"/>
          <w:szCs w:val="24"/>
          <w:lang w:val="en-US"/>
        </w:rPr>
        <w:t>mol</w:t>
      </w:r>
      <w:proofErr w:type="spellEnd"/>
      <w:r w:rsidR="00BB7DC6" w:rsidRPr="001D29F8">
        <w:rPr>
          <w:rFonts w:ascii="Arial" w:hAnsi="Arial" w:cs="Arial"/>
          <w:sz w:val="24"/>
          <w:szCs w:val="24"/>
          <w:lang w:val="en-US"/>
        </w:rPr>
        <w:t>),</w:t>
      </w:r>
      <w:r w:rsidR="00BD0333" w:rsidRPr="001D29F8">
        <w:rPr>
          <w:rFonts w:ascii="Arial" w:hAnsi="Arial" w:cs="Arial"/>
          <w:sz w:val="24"/>
          <w:szCs w:val="24"/>
          <w:lang w:val="en-US"/>
        </w:rPr>
        <w:t xml:space="preserve"> and reasons to discontinue </w:t>
      </w:r>
      <w:proofErr w:type="spellStart"/>
      <w:r w:rsidR="00D60768"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BD0333" w:rsidRPr="001D29F8">
        <w:rPr>
          <w:rFonts w:ascii="Arial" w:hAnsi="Arial" w:cs="Arial"/>
          <w:sz w:val="24"/>
          <w:szCs w:val="24"/>
          <w:lang w:val="en-US"/>
        </w:rPr>
        <w:t>.</w:t>
      </w:r>
      <w:r w:rsidR="00BD28D9" w:rsidRPr="001D29F8">
        <w:rPr>
          <w:rFonts w:ascii="Arial" w:hAnsi="Arial" w:cs="Arial"/>
          <w:sz w:val="24"/>
          <w:szCs w:val="24"/>
          <w:lang w:val="en-US"/>
        </w:rPr>
        <w:t xml:space="preserve"> Additional post-hoc analyses examined</w:t>
      </w:r>
      <w:r w:rsidR="005033F0" w:rsidRPr="001D29F8">
        <w:rPr>
          <w:rFonts w:ascii="Arial" w:hAnsi="Arial" w:cs="Arial"/>
          <w:sz w:val="24"/>
          <w:szCs w:val="24"/>
          <w:lang w:val="en-US"/>
        </w:rPr>
        <w:t xml:space="preserve"> how many people</w:t>
      </w:r>
      <w:r w:rsidR="003656FD" w:rsidRPr="001D29F8">
        <w:rPr>
          <w:rFonts w:ascii="Arial" w:hAnsi="Arial" w:cs="Arial"/>
          <w:sz w:val="24"/>
          <w:szCs w:val="24"/>
          <w:lang w:val="en-US"/>
        </w:rPr>
        <w:t xml:space="preserve"> reach</w:t>
      </w:r>
      <w:r w:rsidR="005033F0" w:rsidRPr="001D29F8">
        <w:rPr>
          <w:rFonts w:ascii="Arial" w:hAnsi="Arial" w:cs="Arial"/>
          <w:sz w:val="24"/>
          <w:szCs w:val="24"/>
          <w:lang w:val="en-US"/>
        </w:rPr>
        <w:t>ed</w:t>
      </w:r>
      <w:r w:rsidR="003656FD" w:rsidRPr="001D29F8">
        <w:rPr>
          <w:rFonts w:ascii="Arial" w:hAnsi="Arial" w:cs="Arial"/>
          <w:sz w:val="24"/>
          <w:szCs w:val="24"/>
          <w:lang w:val="en-US"/>
        </w:rPr>
        <w:t xml:space="preserve"> clinical consensus targets</w:t>
      </w:r>
      <w:r w:rsidR="005033F0" w:rsidRPr="001D29F8">
        <w:rPr>
          <w:rFonts w:ascii="Arial" w:hAnsi="Arial" w:cs="Arial"/>
          <w:sz w:val="24"/>
          <w:szCs w:val="24"/>
          <w:lang w:val="en-US"/>
        </w:rPr>
        <w:t xml:space="preserve"> </w:t>
      </w:r>
      <w:r w:rsidR="005033F0"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{"citationItems":[{"id":"ITEM-1","itemData":{"ISSN":"1935-5548 (Electronic)","PMID":"31177185","abstract":"Improvements in sensor accuracy, greater convenience and ease of use, and expanding reimbursement have led to growing adoption of continuous glucose monitoring (CGM). However, successful utilization of CGM technology in routine clinical practice remains relatively low. This may be due in part to the lack of clear and agreed-upon glycemic targets that both diabetes teams and people with diabetes can work toward. Although unified recommendations for use of key CGM metrics have been established in three separate peer-reviewed articles, formal adoption by diabetes professional organizations and guidance in the practical application of these metrics in clinical practice have been lacking. In February 2019, the Advanced Technologies &amp; Treatments for Diabetes (ATTD) Congress convened an international panel of physicians, researchers, and individuals with diabetes who are expert in CGM technologies to address this issue. This article summarizes the ATTD consensus recommendations for relevant aspects of CGM data utilization and reporting among the various diabetes populations.","author":[{"dropping-particle":"","family":"Battelino","given":"Tadej","non-dropping-particle":"","parse-names":false,"suffix":""},{"dropping-particle":"","family":"Danne","given":"Thomas","non-dropping-particle":"","parse-names":false,"suffix":""},{"dropping-particle":"","family":"Bergenstal","given":"Richard M","non-dropping-particle":"","parse-names":false,"suffix":""},{"dropping-particle":"","family":"Amiel","given":"Stephanie A","non-dropping-particle":"","parse-names":false,"suffix":""},{"dropping-particle":"","family":"Beck","given":"Roy","non-dropping-particle":"","parse-names":false,"suffix":""},{"dropping-particle":"","family":"Biester","given":"Torben","non-dropping-particle":"","parse-names":false,"suffix":""},{"dropping-particle":"","family":"Bosi","given":"Emanuele","non-dropping-particle":"","parse-names":false,"suffix":""},{"dropping-particle":"","family":"Buckingham","given":"Bruce A","non-dropping-particle":"","parse-names":false,"suffix":""},{"dropping-particle":"","family":"Cefalu","given":"William T","non-dropping-particle":"","parse-names":false,"suffix":""},{"dropping-particle":"","family":"Close","given":"Kelly L","non-dropping-particle":"","parse-names":false,"suffix":""},{"dropping-particle":"","family":"Cobelli","given":"Claudio","non-dropping-particle":"","parse-names":false,"suffix":""},{"dropping-particle":"","family":"Dassau","given":"Eyal","non-dropping-particle":"","parse-names":false,"suffix":""},{"dropping-particle":"","family":"DeVries","given":"J Hans","non-dropping-particle":"","parse-names":false,"suffix":""},{"dropping-particle":"","family":"Donaghue","given":"Kim C","non-dropping-particle":"","parse-names":false,"suffix":""},{"dropping-particle":"","family":"Dovc","given":"Klemen","non-dropping-particle":"","parse-names":false,"suffix":""},{"dropping-particle":"","family":"Doyle","given":"Francis J 3rd","non-dropping-particle":"","parse-names":false,"suffix":""},{"dropping-particle":"","family":"Garg","given":"Satish","non-dropping-particle":"","parse-names":false,"suffix":""},{"dropping-particle":"","family":"Grunberger","given":"George","non-dropping-particle":"","parse-names":false,"suffix":""},{"dropping-particle":"","family":"Heller","given":"Simon","non-dropping-particle":"","parse-names":false,"suffix":""},{"dropping-particle":"","family":"Heinemann","given":"Lutz","non-dropping-particle":"","parse-names":false,"suffix":""},{"dropping-particle":"","family":"Hirsch","given":"Irl B","non-dropping-particle":"","parse-names":false,"suffix":""},{"dropping-particle":"","family":"Hovorka","given":"Roman","non-dropping-particle":"","parse-names":false,"suffix":""},{"dropping-particle":"","family":"Jia","given":"Weiping","non-dropping-particle":"","parse-names":false,"suffix":""},{"dropping-particle":"","family":"Kordonouri","given":"Olga","non-dropping-particle":"","parse-names":false,"suffix":""},{"dropping-particle":"","family":"Kovatchev","given":"Boris","non-dropping-particle":"","parse-names":false,"suffix":""},{"dropping-particle":"","family":"Kowalski","given":"Aaron","non-dropping-particle":"","parse-names":false,"suffix":""},{"dropping-particle":"","family":"Laffel","given":"Lori","non-dropping-particle":"","parse-names":false,"suffix":""},{"dropping-particle":"","family":"Levine","given":"Brian","non-dropping-particle":"","parse-names":false,"suffix":""},{"dropping-particle":"","family":"Mayorov","given":"Alexander","non-dropping-particle":"","parse-names":false,"suffix":""},{"dropping-particle":"","family":"Mathieu","given":"Chantal","non-dropping-particle":"","parse-names":false,"suffix":""},{"dropping-particle":"","family":"Murphy","given":"Helen R","non-dropping-particle":"","parse-names":false,"suffix":""},{"dropping-particle":"","family":"Nimri","given":"Revital","non-dropping-particle":"","parse-names":false,"suffix":""},{"dropping-particle":"","family":"Norgaard","given":"Kirsten","non-dropping-particle":"","parse-names":false,"suffix":""},{"dropping-particle":"","family":"Parkin","given":"Christopher G","non-dropping-particle":"","parse-names":false,"suffix":""},{"dropping-particle":"","family":"Renard","given":"Eric","non-dropping-particle":"","parse-names":false,"suffix":""},{"dropping-particle":"","family":"Rodbard","given":"David","non-dropping-particle":"","parse-names":false,"suffix":""},{"dropping-particle":"","family":"Saboo","given":"Banshi","non-dropping-particle":"","parse-names":false,"suffix":""},{"dropping-particle":"","family":"Schatz","given":"Desmond","non-dropping-particle":"","parse-names":false,"suffix":""},{"dropping-particle":"","family":"Stoner","given":"Keaton","non-dropping-particle":"","parse-names":false,"suffix":""},{"dropping-particle":"","family":"Urakami","given":"Tatsuiko","non-dropping-particle":"","parse-names":false,"suffix":""},{"dropping-particle":"","family":"Weinzimer","given":"Stuart A","non-dropping-particle":"","parse-names":false,"suffix":""},{"dropping-particle":"","family":"Phillip","given":"Moshe","non-dropping-particle":"","parse-names":false,"suffix":""}],"container-title":"Diabetes care","id":"ITEM-1","issue":"8","issued":{"date-parts":[["2019"]]},"language":"eng","page":"1593-1603","publisher-place":"United States","title":"Clinical Targets for Continuous Glucose Monitoring Data Interpretation: Recommendations From the International Consensus on Time in Range.","type":"article-journal","volume":"42"},"uris":["http://www.mendeley.com/documents/?uuid=2773c03c-f4ed-42ea-883f-d4e62a56dd5b"]}],"mendeley":{"formattedCitation":"(18)","plainTextFormattedCitation":"(18)","previouslyFormattedCitation":"(18)"},"properties":{"noteIndex":0},"schema":"https://github.com/citation-style-language/schema/raw/master/csl-citation.json"}</w:instrText>
      </w:r>
      <w:r w:rsidR="005033F0" w:rsidRPr="001D29F8">
        <w:rPr>
          <w:rFonts w:ascii="Arial" w:hAnsi="Arial" w:cs="Arial"/>
          <w:sz w:val="24"/>
          <w:szCs w:val="24"/>
          <w:lang w:val="en-US"/>
        </w:rPr>
        <w:fldChar w:fldCharType="separate"/>
      </w:r>
      <w:r w:rsidR="00A13E6A" w:rsidRPr="001D29F8">
        <w:rPr>
          <w:rFonts w:ascii="Arial" w:hAnsi="Arial" w:cs="Arial"/>
          <w:noProof/>
          <w:sz w:val="24"/>
          <w:szCs w:val="24"/>
          <w:lang w:val="en-US"/>
        </w:rPr>
        <w:t>(18)</w:t>
      </w:r>
      <w:r w:rsidR="005033F0" w:rsidRPr="001D29F8">
        <w:rPr>
          <w:rFonts w:ascii="Arial" w:hAnsi="Arial" w:cs="Arial"/>
          <w:sz w:val="24"/>
          <w:szCs w:val="24"/>
          <w:lang w:val="en-US"/>
        </w:rPr>
        <w:fldChar w:fldCharType="end"/>
      </w:r>
      <w:r w:rsidR="003656FD" w:rsidRPr="001D29F8">
        <w:rPr>
          <w:rFonts w:ascii="Arial" w:hAnsi="Arial" w:cs="Arial"/>
          <w:sz w:val="24"/>
          <w:szCs w:val="24"/>
          <w:lang w:val="en-US"/>
        </w:rPr>
        <w:t>:</w:t>
      </w:r>
      <w:r w:rsidR="005033F0" w:rsidRPr="001D29F8">
        <w:rPr>
          <w:rFonts w:ascii="Arial" w:hAnsi="Arial" w:cs="Arial"/>
          <w:sz w:val="24"/>
          <w:szCs w:val="24"/>
          <w:lang w:val="en-US"/>
        </w:rPr>
        <w:t xml:space="preserve"> </w:t>
      </w:r>
      <w:r w:rsidR="003656FD" w:rsidRPr="001D29F8">
        <w:rPr>
          <w:rFonts w:ascii="Arial" w:hAnsi="Arial" w:cs="Arial"/>
          <w:sz w:val="24"/>
          <w:szCs w:val="24"/>
          <w:lang w:val="en-US"/>
        </w:rPr>
        <w:t>&lt;1% of time spent &lt;54 mg/</w:t>
      </w:r>
      <w:proofErr w:type="spellStart"/>
      <w:r w:rsidR="003656FD" w:rsidRPr="001D29F8">
        <w:rPr>
          <w:rFonts w:ascii="Arial" w:hAnsi="Arial" w:cs="Arial"/>
          <w:sz w:val="24"/>
          <w:szCs w:val="24"/>
          <w:lang w:val="en-US"/>
        </w:rPr>
        <w:t>dL</w:t>
      </w:r>
      <w:proofErr w:type="spellEnd"/>
      <w:r w:rsidR="003656FD" w:rsidRPr="001D29F8">
        <w:rPr>
          <w:rFonts w:ascii="Arial" w:hAnsi="Arial" w:cs="Arial"/>
          <w:sz w:val="24"/>
          <w:szCs w:val="24"/>
          <w:lang w:val="en-US"/>
        </w:rPr>
        <w:t xml:space="preserve"> </w:t>
      </w:r>
      <w:r w:rsidR="005033F0" w:rsidRPr="001D29F8">
        <w:rPr>
          <w:rFonts w:ascii="Arial" w:hAnsi="Arial" w:cs="Arial"/>
          <w:sz w:val="24"/>
          <w:szCs w:val="24"/>
          <w:lang w:val="en-US"/>
        </w:rPr>
        <w:t>(</w:t>
      </w:r>
      <w:r w:rsidR="003656FD" w:rsidRPr="001D29F8">
        <w:rPr>
          <w:rFonts w:ascii="Arial" w:hAnsi="Arial" w:cs="Arial"/>
          <w:sz w:val="24"/>
          <w:szCs w:val="24"/>
          <w:lang w:val="en-US"/>
        </w:rPr>
        <w:t xml:space="preserve">&lt;3.0 </w:t>
      </w:r>
      <w:proofErr w:type="spellStart"/>
      <w:r w:rsidR="003656FD" w:rsidRPr="001D29F8">
        <w:rPr>
          <w:rFonts w:ascii="Arial" w:hAnsi="Arial" w:cs="Arial"/>
          <w:sz w:val="24"/>
          <w:szCs w:val="24"/>
          <w:lang w:val="en-US"/>
        </w:rPr>
        <w:t>mmol</w:t>
      </w:r>
      <w:proofErr w:type="spellEnd"/>
      <w:r w:rsidR="003656FD" w:rsidRPr="001D29F8">
        <w:rPr>
          <w:rFonts w:ascii="Arial" w:hAnsi="Arial" w:cs="Arial"/>
          <w:sz w:val="24"/>
          <w:szCs w:val="24"/>
          <w:lang w:val="en-US"/>
        </w:rPr>
        <w:t>/L</w:t>
      </w:r>
      <w:r w:rsidR="005033F0" w:rsidRPr="001D29F8">
        <w:rPr>
          <w:rFonts w:ascii="Arial" w:hAnsi="Arial" w:cs="Arial"/>
          <w:sz w:val="24"/>
          <w:szCs w:val="24"/>
          <w:lang w:val="en-US"/>
        </w:rPr>
        <w:t>), &lt;4% of time spent &lt;70 mg/</w:t>
      </w:r>
      <w:proofErr w:type="spellStart"/>
      <w:r w:rsidR="005033F0" w:rsidRPr="001D29F8">
        <w:rPr>
          <w:rFonts w:ascii="Arial" w:hAnsi="Arial" w:cs="Arial"/>
          <w:sz w:val="24"/>
          <w:szCs w:val="24"/>
          <w:lang w:val="en-US"/>
        </w:rPr>
        <w:t>dL</w:t>
      </w:r>
      <w:proofErr w:type="spellEnd"/>
      <w:r w:rsidR="005033F0" w:rsidRPr="001D29F8">
        <w:rPr>
          <w:rFonts w:ascii="Arial" w:hAnsi="Arial" w:cs="Arial"/>
          <w:sz w:val="24"/>
          <w:szCs w:val="24"/>
          <w:lang w:val="en-US"/>
        </w:rPr>
        <w:t xml:space="preserve"> (</w:t>
      </w:r>
      <w:r w:rsidR="003656FD" w:rsidRPr="001D29F8">
        <w:rPr>
          <w:rFonts w:ascii="Arial" w:hAnsi="Arial" w:cs="Arial"/>
          <w:sz w:val="24"/>
          <w:szCs w:val="24"/>
          <w:lang w:val="en-US"/>
        </w:rPr>
        <w:t xml:space="preserve">&lt;3.9 </w:t>
      </w:r>
      <w:proofErr w:type="spellStart"/>
      <w:r w:rsidR="003656FD" w:rsidRPr="001D29F8">
        <w:rPr>
          <w:rFonts w:ascii="Arial" w:hAnsi="Arial" w:cs="Arial"/>
          <w:sz w:val="24"/>
          <w:szCs w:val="24"/>
          <w:lang w:val="en-US"/>
        </w:rPr>
        <w:t>mmol</w:t>
      </w:r>
      <w:proofErr w:type="spellEnd"/>
      <w:r w:rsidR="003656FD" w:rsidRPr="001D29F8">
        <w:rPr>
          <w:rFonts w:ascii="Arial" w:hAnsi="Arial" w:cs="Arial"/>
          <w:sz w:val="24"/>
          <w:szCs w:val="24"/>
          <w:lang w:val="en-US"/>
        </w:rPr>
        <w:t>/L</w:t>
      </w:r>
      <w:r w:rsidR="005033F0" w:rsidRPr="001D29F8">
        <w:rPr>
          <w:rFonts w:ascii="Arial" w:hAnsi="Arial" w:cs="Arial"/>
          <w:sz w:val="24"/>
          <w:szCs w:val="24"/>
          <w:lang w:val="en-US"/>
        </w:rPr>
        <w:t>)</w:t>
      </w:r>
      <w:r w:rsidR="003656FD" w:rsidRPr="001D29F8">
        <w:rPr>
          <w:rFonts w:ascii="Arial" w:hAnsi="Arial" w:cs="Arial"/>
          <w:sz w:val="24"/>
          <w:szCs w:val="24"/>
          <w:lang w:val="en-US"/>
        </w:rPr>
        <w:t>, &gt;70% of t</w:t>
      </w:r>
      <w:r w:rsidR="005033F0" w:rsidRPr="001D29F8">
        <w:rPr>
          <w:rFonts w:ascii="Arial" w:hAnsi="Arial" w:cs="Arial"/>
          <w:sz w:val="24"/>
          <w:szCs w:val="24"/>
          <w:lang w:val="en-US"/>
        </w:rPr>
        <w:t>ime spent between 70-180 mg/</w:t>
      </w:r>
      <w:proofErr w:type="spellStart"/>
      <w:r w:rsidR="005033F0" w:rsidRPr="001D29F8">
        <w:rPr>
          <w:rFonts w:ascii="Arial" w:hAnsi="Arial" w:cs="Arial"/>
          <w:sz w:val="24"/>
          <w:szCs w:val="24"/>
          <w:lang w:val="en-US"/>
        </w:rPr>
        <w:t>dL</w:t>
      </w:r>
      <w:proofErr w:type="spellEnd"/>
      <w:r w:rsidR="005033F0" w:rsidRPr="001D29F8">
        <w:rPr>
          <w:rFonts w:ascii="Arial" w:hAnsi="Arial" w:cs="Arial"/>
          <w:sz w:val="24"/>
          <w:szCs w:val="24"/>
          <w:lang w:val="en-US"/>
        </w:rPr>
        <w:t xml:space="preserve"> (</w:t>
      </w:r>
      <w:r w:rsidR="003656FD" w:rsidRPr="001D29F8">
        <w:rPr>
          <w:rFonts w:ascii="Arial" w:hAnsi="Arial" w:cs="Arial"/>
          <w:sz w:val="24"/>
          <w:szCs w:val="24"/>
          <w:lang w:val="en-US"/>
        </w:rPr>
        <w:t xml:space="preserve">time in range, TIR; 3.9-10.0 </w:t>
      </w:r>
      <w:proofErr w:type="spellStart"/>
      <w:r w:rsidR="003656FD" w:rsidRPr="001D29F8">
        <w:rPr>
          <w:rFonts w:ascii="Arial" w:hAnsi="Arial" w:cs="Arial"/>
          <w:sz w:val="24"/>
          <w:szCs w:val="24"/>
          <w:lang w:val="en-US"/>
        </w:rPr>
        <w:t>mmol</w:t>
      </w:r>
      <w:proofErr w:type="spellEnd"/>
      <w:r w:rsidR="003656FD" w:rsidRPr="001D29F8">
        <w:rPr>
          <w:rFonts w:ascii="Arial" w:hAnsi="Arial" w:cs="Arial"/>
          <w:sz w:val="24"/>
          <w:szCs w:val="24"/>
          <w:lang w:val="en-US"/>
        </w:rPr>
        <w:t>/L</w:t>
      </w:r>
      <w:r w:rsidR="005033F0" w:rsidRPr="001D29F8">
        <w:rPr>
          <w:rFonts w:ascii="Arial" w:hAnsi="Arial" w:cs="Arial"/>
          <w:sz w:val="24"/>
          <w:szCs w:val="24"/>
          <w:lang w:val="en-US"/>
        </w:rPr>
        <w:t>)</w:t>
      </w:r>
      <w:r w:rsidR="003656FD" w:rsidRPr="001D29F8">
        <w:rPr>
          <w:rFonts w:ascii="Arial" w:hAnsi="Arial" w:cs="Arial"/>
          <w:sz w:val="24"/>
          <w:szCs w:val="24"/>
          <w:lang w:val="en-US"/>
        </w:rPr>
        <w:t>, &lt;25% of time spent &gt;180 mg/</w:t>
      </w:r>
      <w:proofErr w:type="spellStart"/>
      <w:r w:rsidR="003656FD" w:rsidRPr="001D29F8">
        <w:rPr>
          <w:rFonts w:ascii="Arial" w:hAnsi="Arial" w:cs="Arial"/>
          <w:sz w:val="24"/>
          <w:szCs w:val="24"/>
          <w:lang w:val="en-US"/>
        </w:rPr>
        <w:t>dL</w:t>
      </w:r>
      <w:proofErr w:type="spellEnd"/>
      <w:r w:rsidR="003656FD" w:rsidRPr="001D29F8">
        <w:rPr>
          <w:rFonts w:ascii="Arial" w:hAnsi="Arial" w:cs="Arial"/>
          <w:sz w:val="24"/>
          <w:szCs w:val="24"/>
          <w:lang w:val="en-US"/>
        </w:rPr>
        <w:t xml:space="preserve"> </w:t>
      </w:r>
      <w:r w:rsidR="005033F0" w:rsidRPr="001D29F8">
        <w:rPr>
          <w:rFonts w:ascii="Arial" w:hAnsi="Arial" w:cs="Arial"/>
          <w:sz w:val="24"/>
          <w:szCs w:val="24"/>
          <w:lang w:val="en-US"/>
        </w:rPr>
        <w:t>(</w:t>
      </w:r>
      <w:r w:rsidR="003656FD" w:rsidRPr="001D29F8">
        <w:rPr>
          <w:rFonts w:ascii="Arial" w:hAnsi="Arial" w:cs="Arial"/>
          <w:sz w:val="24"/>
          <w:szCs w:val="24"/>
          <w:lang w:val="en-US"/>
        </w:rPr>
        <w:t xml:space="preserve">&gt;10.0 </w:t>
      </w:r>
      <w:proofErr w:type="spellStart"/>
      <w:r w:rsidR="003656FD" w:rsidRPr="001D29F8">
        <w:rPr>
          <w:rFonts w:ascii="Arial" w:hAnsi="Arial" w:cs="Arial"/>
          <w:sz w:val="24"/>
          <w:szCs w:val="24"/>
          <w:lang w:val="en-US"/>
        </w:rPr>
        <w:t>mmol</w:t>
      </w:r>
      <w:proofErr w:type="spellEnd"/>
      <w:r w:rsidR="003656FD" w:rsidRPr="001D29F8">
        <w:rPr>
          <w:rFonts w:ascii="Arial" w:hAnsi="Arial" w:cs="Arial"/>
          <w:sz w:val="24"/>
          <w:szCs w:val="24"/>
          <w:lang w:val="en-US"/>
        </w:rPr>
        <w:t>/L</w:t>
      </w:r>
      <w:r w:rsidR="005033F0" w:rsidRPr="001D29F8">
        <w:rPr>
          <w:rFonts w:ascii="Arial" w:hAnsi="Arial" w:cs="Arial"/>
          <w:sz w:val="24"/>
          <w:szCs w:val="24"/>
          <w:lang w:val="en-US"/>
        </w:rPr>
        <w:t>)</w:t>
      </w:r>
      <w:r w:rsidR="003656FD" w:rsidRPr="001D29F8">
        <w:rPr>
          <w:rFonts w:ascii="Arial" w:hAnsi="Arial" w:cs="Arial"/>
          <w:sz w:val="24"/>
          <w:szCs w:val="24"/>
          <w:lang w:val="en-US"/>
        </w:rPr>
        <w:t>, an</w:t>
      </w:r>
      <w:r w:rsidR="005033F0" w:rsidRPr="001D29F8">
        <w:rPr>
          <w:rFonts w:ascii="Arial" w:hAnsi="Arial" w:cs="Arial"/>
          <w:sz w:val="24"/>
          <w:szCs w:val="24"/>
          <w:lang w:val="en-US"/>
        </w:rPr>
        <w:t>d &lt;5% of time spent &gt;250 mg/</w:t>
      </w:r>
      <w:proofErr w:type="spellStart"/>
      <w:r w:rsidR="005033F0" w:rsidRPr="001D29F8">
        <w:rPr>
          <w:rFonts w:ascii="Arial" w:hAnsi="Arial" w:cs="Arial"/>
          <w:sz w:val="24"/>
          <w:szCs w:val="24"/>
          <w:lang w:val="en-US"/>
        </w:rPr>
        <w:t>dL</w:t>
      </w:r>
      <w:proofErr w:type="spellEnd"/>
      <w:r w:rsidR="005033F0" w:rsidRPr="001D29F8">
        <w:rPr>
          <w:rFonts w:ascii="Arial" w:hAnsi="Arial" w:cs="Arial"/>
          <w:sz w:val="24"/>
          <w:szCs w:val="24"/>
          <w:lang w:val="en-US"/>
        </w:rPr>
        <w:t xml:space="preserve"> (</w:t>
      </w:r>
      <w:r w:rsidR="003656FD" w:rsidRPr="001D29F8">
        <w:rPr>
          <w:rFonts w:ascii="Arial" w:hAnsi="Arial" w:cs="Arial"/>
          <w:sz w:val="24"/>
          <w:szCs w:val="24"/>
          <w:lang w:val="en-US"/>
        </w:rPr>
        <w:t xml:space="preserve">&gt;13.9 </w:t>
      </w:r>
      <w:proofErr w:type="spellStart"/>
      <w:r w:rsidR="003656FD" w:rsidRPr="001D29F8">
        <w:rPr>
          <w:rFonts w:ascii="Arial" w:hAnsi="Arial" w:cs="Arial"/>
          <w:sz w:val="24"/>
          <w:szCs w:val="24"/>
          <w:lang w:val="en-US"/>
        </w:rPr>
        <w:t>mmol</w:t>
      </w:r>
      <w:proofErr w:type="spellEnd"/>
      <w:r w:rsidR="003656FD" w:rsidRPr="001D29F8">
        <w:rPr>
          <w:rFonts w:ascii="Arial" w:hAnsi="Arial" w:cs="Arial"/>
          <w:sz w:val="24"/>
          <w:szCs w:val="24"/>
          <w:lang w:val="en-US"/>
        </w:rPr>
        <w:t>/L</w:t>
      </w:r>
      <w:r w:rsidR="005033F0" w:rsidRPr="001D29F8">
        <w:rPr>
          <w:rFonts w:ascii="Arial" w:hAnsi="Arial" w:cs="Arial"/>
          <w:sz w:val="24"/>
          <w:szCs w:val="24"/>
          <w:lang w:val="en-US"/>
        </w:rPr>
        <w:t xml:space="preserve">). Further we also investigated how many people reached clinical composite endpoints </w:t>
      </w:r>
      <w:r w:rsidR="005033F0"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{"citationItems":[{"id":"ITEM-1","itemData":{"ISSN":"1935-5548 (Electronic)","PMID":"29162583","abstract":"Measurement of glycated hemoglobin (HbA1c) has been the traditional method for assessing glycemic control. However, it does not reflect intra- and interday glycemic excursions that may lead to acute events (such as hypoglycemia) or postprandial hyperglycemia, which have been linked to both microvascular and macrovascular complications. Continuous glucose monitoring (CGM), either from real-time use (rtCGM) or intermittently viewed (iCGM), addresses many of the limitations inherent in HbA1c testing and self-monitoring of blood glucose. Although both provide the means to move beyond the HbA1c measurement as the sole marker of glycemic control, standardized metrics for analyzing CGM data are lacking. Moreover, clear criteria for matching people with diabetes to the most appropriate glucose monitoring methodologies, as well as standardized advice about how best to use the new information they provide, have yet to be established. In February 2017, the Advanced Technologies &amp; Treatments for Diabetes (ATTD) Congress convened an international panel of physicians, researchers, and individuals with diabetes who are expert in CGM technologies to address these issues. This article summarizes the ATTD consensus recommendations and represents the current understanding of how CGM results can affect outcomes.","author":[{"dropping-particle":"","family":"Danne","given":"Thomas","non-dropping-particle":"","parse-names":false,"suffix":""},{"dropping-particle":"","family":"Nimri","given":"Revital","non-dropping-particle":"","parse-names":false,"suffix":""},{"dropping-particle":"","family":"Battelino","given":"Tadej","non-dropping-particle":"","parse-names":false,"suffix":""},{"dropping-particle":"","family":"Bergenstal","given":"Richard M","non-dropping-particle":"","parse-names":false,"suffix":""},{"dropping-particle":"","family":"Close","given":"Kelly L","non-dropping-particle":"","parse-names":false,"suffix":""},{"dropping-particle":"","family":"DeVries","given":"J Hans","non-dropping-particle":"","parse-names":false,"suffix":""},{"dropping-particle":"","family":"Garg","given":"Satish","non-dropping-particle":"","parse-names":false,"suffix":""},{"dropping-particle":"","family":"Heinemann","given":"Lutz","non-dropping-particle":"","parse-names":false,"suffix":""},{"dropping-particle":"","family":"Hirsch","given":"Irl","non-dropping-particle":"","parse-names":false,"suffix":""},{"dropping-particle":"","family":"Amiel","given":"Stephanie A","non-dropping-particle":"","parse-names":false,"suffix":""},{"dropping-particle":"","family":"Beck","given":"Roy","non-dropping-particle":"","parse-names":false,"suffix":""},{"dropping-particle":"","family":"Bosi","given":"Emanuele","non-dropping-particle":"","parse-names":false,"suffix":""},{"dropping-particle":"","family":"Buckingham","given":"Bruce","non-dropping-particle":"","parse-names":false,"suffix":""},{"dropping-particle":"","family":"Cobelli","given":"Claudio","non-dropping-particle":"","parse-names":false,"suffix":""},{"dropping-particle":"","family":"Dassau","given":"Eyal","non-dropping-particle":"","parse-names":false,"suffix":""},{"dropping-particle":"","family":"Doyle","given":"Francis J 3rd","non-dropping-particle":"","parse-names":false,"suffix":""},{"dropping-particle":"","family":"Heller","given":"Simon","non-dropping-particle":"","parse-names":false,"suffix":""},{"dropping-particle":"","family":"Hovorka","given":"Roman","non-dropping-particle":"","parse-names":false,"suffix":""},{"dropping-particle":"","family":"Jia","given":"Weiping","non-dropping-particle":"","parse-names":false,"suffix":""},{"dropping-particle":"","family":"Jones","given":"Tim","non-dropping-particle":"","parse-names":false,"suffix":""},{"dropping-particle":"","family":"Kordonouri","given":"Olga","non-dropping-particle":"","parse-names":false,"suffix":""},{"dropping-particle":"","family":"Kovatchev","given":"Boris","non-dropping-particle":"","parse-names":false,"suffix":""},{"dropping-particle":"","family":"Kowalski","given":"Aaron","non-dropping-particle":"","parse-names":false,"suffix":""},{"dropping-particle":"","family":"Laffel","given":"Lori","non-dropping-particle":"","parse-names":false,"suffix":""},{"dropping-particle":"","family":"Maahs","given":"David","non-dropping-particle":"","parse-names":false,"suffix":""},{"dropping-particle":"","family":"Murphy","given":"Helen R","non-dropping-particle":"","parse-names":false,"suffix":""},{"dropping-particle":"","family":"Norgaard","given":"Kirsten","non-dropping-particle":"","parse-names":false,"suffix":""},{"dropping-particle":"","family":"Parkin","given":"Christopher G","non-dropping-particle":"","parse-names":false,"suffix":""},{"dropping-particle":"","family":"Renard","given":"Eric","non-dropping-particle":"","parse-names":false,"suffix":""},{"dropping-particle":"","family":"Saboo","given":"Banshi","non-dropping-particle":"","parse-names":false,"suffix":""},{"dropping-particle":"","family":"Scharf","given":"Mauro","non-dropping-particle":"","parse-names":false,"suffix":""},{"dropping-particle":"V","family":"Tamborlane","given":"William","non-dropping-particle":"","parse-names":false,"suffix":""},{"dropping-particle":"","family":"Weinzimer","given":"Stuart A","non-dropping-particle":"","parse-names":false,"suffix":""},{"dropping-particle":"","family":"Phillip","given":"Moshe","non-dropping-particle":"","parse-names":false,"suffix":""}],"container-title":"Diabetes care","id":"ITEM-1","issue":"12","issued":{"date-parts":[["2017"]]},"language":"eng","page":"1631-1640","publisher-place":"United States","title":"International Consensus on Use of Continuous Glucose Monitoring.","type":"article-journal","volume":"40"},"uris":["http://www.mendeley.com/documents/?uuid=0492d019-ef2f-40d4-95f4-9f4b06f1144a"]}],"mendeley":{"formattedCitation":"(19)","plainTextFormattedCitation":"(19)","previouslyFormattedCitation":"(19)"},"properties":{"noteIndex":0},"schema":"https://github.com/citation-style-language/schema/raw/master/csl-citation.json"}</w:instrText>
      </w:r>
      <w:r w:rsidR="005033F0" w:rsidRPr="001D29F8">
        <w:rPr>
          <w:rFonts w:ascii="Arial" w:hAnsi="Arial" w:cs="Arial"/>
          <w:sz w:val="24"/>
          <w:szCs w:val="24"/>
          <w:lang w:val="en-US"/>
        </w:rPr>
        <w:fldChar w:fldCharType="separate"/>
      </w:r>
      <w:r w:rsidR="00A13E6A" w:rsidRPr="001D29F8">
        <w:rPr>
          <w:rFonts w:ascii="Arial" w:hAnsi="Arial" w:cs="Arial"/>
          <w:noProof/>
          <w:sz w:val="24"/>
          <w:szCs w:val="24"/>
          <w:lang w:val="en-US"/>
        </w:rPr>
        <w:t>(19)</w:t>
      </w:r>
      <w:r w:rsidR="005033F0" w:rsidRPr="001D29F8">
        <w:rPr>
          <w:rFonts w:ascii="Arial" w:hAnsi="Arial" w:cs="Arial"/>
          <w:sz w:val="24"/>
          <w:szCs w:val="24"/>
          <w:lang w:val="en-US"/>
        </w:rPr>
        <w:fldChar w:fldCharType="end"/>
      </w:r>
      <w:r w:rsidR="005033F0" w:rsidRPr="001D29F8">
        <w:rPr>
          <w:rFonts w:ascii="Arial" w:hAnsi="Arial" w:cs="Arial"/>
          <w:sz w:val="24"/>
          <w:szCs w:val="24"/>
          <w:lang w:val="en-US"/>
        </w:rPr>
        <w:t xml:space="preserve">: </w:t>
      </w:r>
      <w:r w:rsidR="003656FD" w:rsidRPr="001D29F8">
        <w:rPr>
          <w:rFonts w:ascii="Arial" w:hAnsi="Arial" w:cs="Arial"/>
          <w:sz w:val="24"/>
          <w:szCs w:val="24"/>
          <w:lang w:val="en-US"/>
        </w:rPr>
        <w:t>HbA</w:t>
      </w:r>
      <w:r w:rsidR="003656FD" w:rsidRPr="001D29F8">
        <w:rPr>
          <w:rFonts w:ascii="Arial" w:hAnsi="Arial" w:cs="Arial"/>
          <w:sz w:val="24"/>
          <w:szCs w:val="24"/>
          <w:vertAlign w:val="subscript"/>
          <w:lang w:val="en-US"/>
        </w:rPr>
        <w:t>1c</w:t>
      </w:r>
      <w:r w:rsidR="003656FD" w:rsidRPr="001D29F8">
        <w:rPr>
          <w:rFonts w:ascii="Arial" w:hAnsi="Arial" w:cs="Arial"/>
          <w:sz w:val="24"/>
          <w:szCs w:val="24"/>
          <w:lang w:val="en-US"/>
        </w:rPr>
        <w:t xml:space="preserve"> &lt;7% </w:t>
      </w:r>
      <w:r w:rsidR="005033F0" w:rsidRPr="001D29F8">
        <w:rPr>
          <w:rFonts w:ascii="Arial" w:hAnsi="Arial" w:cs="Arial"/>
          <w:sz w:val="24"/>
          <w:szCs w:val="24"/>
          <w:lang w:val="en-US"/>
        </w:rPr>
        <w:t>(</w:t>
      </w:r>
      <w:r w:rsidR="003656FD" w:rsidRPr="001D29F8">
        <w:rPr>
          <w:rFonts w:ascii="Arial" w:hAnsi="Arial" w:cs="Arial"/>
          <w:sz w:val="24"/>
          <w:szCs w:val="24"/>
          <w:lang w:val="en-US"/>
        </w:rPr>
        <w:t xml:space="preserve">&lt;53 </w:t>
      </w:r>
      <w:proofErr w:type="spellStart"/>
      <w:r w:rsidR="003656FD" w:rsidRPr="001D29F8">
        <w:rPr>
          <w:rFonts w:ascii="Arial" w:hAnsi="Arial" w:cs="Arial"/>
          <w:sz w:val="24"/>
          <w:szCs w:val="24"/>
          <w:lang w:val="en-US"/>
        </w:rPr>
        <w:t>mmol</w:t>
      </w:r>
      <w:proofErr w:type="spellEnd"/>
      <w:r w:rsidR="003656FD" w:rsidRPr="001D29F8">
        <w:rPr>
          <w:rFonts w:ascii="Arial" w:hAnsi="Arial" w:cs="Arial"/>
          <w:sz w:val="24"/>
          <w:szCs w:val="24"/>
          <w:lang w:val="en-US"/>
        </w:rPr>
        <w:t>/</w:t>
      </w:r>
      <w:proofErr w:type="spellStart"/>
      <w:r w:rsidR="003656FD" w:rsidRPr="001D29F8">
        <w:rPr>
          <w:rFonts w:ascii="Arial" w:hAnsi="Arial" w:cs="Arial"/>
          <w:sz w:val="24"/>
          <w:szCs w:val="24"/>
          <w:lang w:val="en-US"/>
        </w:rPr>
        <w:t>mol</w:t>
      </w:r>
      <w:proofErr w:type="spellEnd"/>
      <w:r w:rsidR="005033F0" w:rsidRPr="001D29F8">
        <w:rPr>
          <w:rFonts w:ascii="Arial" w:hAnsi="Arial" w:cs="Arial"/>
          <w:sz w:val="24"/>
          <w:szCs w:val="24"/>
          <w:lang w:val="en-US"/>
        </w:rPr>
        <w:t>)</w:t>
      </w:r>
      <w:r w:rsidR="003656FD" w:rsidRPr="001D29F8">
        <w:rPr>
          <w:rFonts w:ascii="Arial" w:hAnsi="Arial" w:cs="Arial"/>
          <w:sz w:val="24"/>
          <w:szCs w:val="24"/>
          <w:lang w:val="en-US"/>
        </w:rPr>
        <w:t xml:space="preserve"> </w:t>
      </w:r>
      <w:r w:rsidR="005033F0" w:rsidRPr="001D29F8">
        <w:rPr>
          <w:rFonts w:ascii="Arial" w:hAnsi="Arial" w:cs="Arial"/>
          <w:sz w:val="24"/>
          <w:szCs w:val="24"/>
          <w:lang w:val="en-US"/>
        </w:rPr>
        <w:t>with</w:t>
      </w:r>
      <w:r w:rsidR="003656FD" w:rsidRPr="001D29F8">
        <w:rPr>
          <w:rFonts w:ascii="Arial" w:hAnsi="Arial" w:cs="Arial"/>
          <w:sz w:val="24"/>
          <w:szCs w:val="24"/>
          <w:lang w:val="en-US"/>
        </w:rPr>
        <w:t xml:space="preserve"> &lt;1% of time spent &lt;54 mg/</w:t>
      </w:r>
      <w:proofErr w:type="spellStart"/>
      <w:r w:rsidR="003656FD" w:rsidRPr="001D29F8">
        <w:rPr>
          <w:rFonts w:ascii="Arial" w:hAnsi="Arial" w:cs="Arial"/>
          <w:sz w:val="24"/>
          <w:szCs w:val="24"/>
          <w:lang w:val="en-US"/>
        </w:rPr>
        <w:t>dL</w:t>
      </w:r>
      <w:proofErr w:type="spellEnd"/>
      <w:r w:rsidR="003656FD" w:rsidRPr="001D29F8">
        <w:rPr>
          <w:rFonts w:ascii="Arial" w:hAnsi="Arial" w:cs="Arial"/>
          <w:sz w:val="24"/>
          <w:szCs w:val="24"/>
          <w:lang w:val="en-US"/>
        </w:rPr>
        <w:t xml:space="preserve"> </w:t>
      </w:r>
      <w:r w:rsidR="005033F0" w:rsidRPr="001D29F8">
        <w:rPr>
          <w:rFonts w:ascii="Arial" w:hAnsi="Arial" w:cs="Arial"/>
          <w:sz w:val="24"/>
          <w:szCs w:val="24"/>
          <w:lang w:val="en-US"/>
        </w:rPr>
        <w:t>(</w:t>
      </w:r>
      <w:r w:rsidR="003656FD" w:rsidRPr="001D29F8">
        <w:rPr>
          <w:rFonts w:ascii="Arial" w:hAnsi="Arial" w:cs="Arial"/>
          <w:sz w:val="24"/>
          <w:szCs w:val="24"/>
          <w:lang w:val="en-US"/>
        </w:rPr>
        <w:t xml:space="preserve">&lt;3.0 </w:t>
      </w:r>
      <w:proofErr w:type="spellStart"/>
      <w:r w:rsidR="003656FD" w:rsidRPr="001D29F8">
        <w:rPr>
          <w:rFonts w:ascii="Arial" w:hAnsi="Arial" w:cs="Arial"/>
          <w:sz w:val="24"/>
          <w:szCs w:val="24"/>
          <w:lang w:val="en-US"/>
        </w:rPr>
        <w:t>mmol</w:t>
      </w:r>
      <w:proofErr w:type="spellEnd"/>
      <w:r w:rsidR="003656FD" w:rsidRPr="001D29F8">
        <w:rPr>
          <w:rFonts w:ascii="Arial" w:hAnsi="Arial" w:cs="Arial"/>
          <w:sz w:val="24"/>
          <w:szCs w:val="24"/>
          <w:lang w:val="en-US"/>
        </w:rPr>
        <w:t>/L</w:t>
      </w:r>
      <w:r w:rsidR="005033F0" w:rsidRPr="001D29F8">
        <w:rPr>
          <w:rFonts w:ascii="Arial" w:hAnsi="Arial" w:cs="Arial"/>
          <w:sz w:val="24"/>
          <w:szCs w:val="24"/>
          <w:lang w:val="en-US"/>
        </w:rPr>
        <w:t>)</w:t>
      </w:r>
      <w:r w:rsidR="003656FD" w:rsidRPr="001D29F8">
        <w:rPr>
          <w:rFonts w:ascii="Arial" w:hAnsi="Arial" w:cs="Arial"/>
          <w:sz w:val="24"/>
          <w:szCs w:val="24"/>
          <w:lang w:val="en-US"/>
        </w:rPr>
        <w:t>, HbA</w:t>
      </w:r>
      <w:r w:rsidR="003656FD" w:rsidRPr="001D29F8">
        <w:rPr>
          <w:rFonts w:ascii="Arial" w:hAnsi="Arial" w:cs="Arial"/>
          <w:sz w:val="24"/>
          <w:szCs w:val="24"/>
          <w:vertAlign w:val="subscript"/>
          <w:lang w:val="en-US"/>
        </w:rPr>
        <w:t>1c</w:t>
      </w:r>
      <w:r w:rsidR="005033F0" w:rsidRPr="001D29F8">
        <w:rPr>
          <w:rFonts w:ascii="Arial" w:hAnsi="Arial" w:cs="Arial"/>
          <w:sz w:val="24"/>
          <w:szCs w:val="24"/>
          <w:lang w:val="en-US"/>
        </w:rPr>
        <w:t xml:space="preserve"> &lt;7% (&lt;53 </w:t>
      </w:r>
      <w:proofErr w:type="spellStart"/>
      <w:r w:rsidR="005033F0" w:rsidRPr="001D29F8">
        <w:rPr>
          <w:rFonts w:ascii="Arial" w:hAnsi="Arial" w:cs="Arial"/>
          <w:sz w:val="24"/>
          <w:szCs w:val="24"/>
          <w:lang w:val="en-US"/>
        </w:rPr>
        <w:t>mmol</w:t>
      </w:r>
      <w:proofErr w:type="spellEnd"/>
      <w:r w:rsidR="005033F0" w:rsidRPr="001D29F8">
        <w:rPr>
          <w:rFonts w:ascii="Arial" w:hAnsi="Arial" w:cs="Arial"/>
          <w:sz w:val="24"/>
          <w:szCs w:val="24"/>
          <w:lang w:val="en-US"/>
        </w:rPr>
        <w:t>/</w:t>
      </w:r>
      <w:proofErr w:type="spellStart"/>
      <w:r w:rsidR="005033F0" w:rsidRPr="001D29F8">
        <w:rPr>
          <w:rFonts w:ascii="Arial" w:hAnsi="Arial" w:cs="Arial"/>
          <w:sz w:val="24"/>
          <w:szCs w:val="24"/>
          <w:lang w:val="en-US"/>
        </w:rPr>
        <w:t>mol</w:t>
      </w:r>
      <w:proofErr w:type="spellEnd"/>
      <w:r w:rsidR="005033F0" w:rsidRPr="001D29F8">
        <w:rPr>
          <w:rFonts w:ascii="Arial" w:hAnsi="Arial" w:cs="Arial"/>
          <w:sz w:val="24"/>
          <w:szCs w:val="24"/>
          <w:lang w:val="en-US"/>
        </w:rPr>
        <w:t>)</w:t>
      </w:r>
      <w:r w:rsidR="003656FD" w:rsidRPr="001D29F8">
        <w:rPr>
          <w:rFonts w:ascii="Arial" w:hAnsi="Arial" w:cs="Arial"/>
          <w:sz w:val="24"/>
          <w:szCs w:val="24"/>
          <w:lang w:val="en-US"/>
        </w:rPr>
        <w:t xml:space="preserve"> </w:t>
      </w:r>
      <w:r w:rsidR="005033F0" w:rsidRPr="001D29F8">
        <w:rPr>
          <w:rFonts w:ascii="Arial" w:hAnsi="Arial" w:cs="Arial"/>
          <w:sz w:val="24"/>
          <w:szCs w:val="24"/>
          <w:lang w:val="en-US"/>
        </w:rPr>
        <w:t>without severe hypoglycemia (</w:t>
      </w:r>
      <w:r w:rsidR="003656FD" w:rsidRPr="001D29F8">
        <w:rPr>
          <w:rFonts w:ascii="Arial" w:hAnsi="Arial" w:cs="Arial"/>
          <w:sz w:val="24"/>
          <w:szCs w:val="24"/>
          <w:lang w:val="en-US"/>
        </w:rPr>
        <w:t xml:space="preserve">hospitalization for hypoglycemia, hypoglycemic coma, help from third parties, hypoglycemia with seizure, needing glucagon, </w:t>
      </w:r>
      <w:r w:rsidR="005033F0" w:rsidRPr="001D29F8">
        <w:rPr>
          <w:rFonts w:ascii="Arial" w:hAnsi="Arial" w:cs="Arial"/>
          <w:sz w:val="24"/>
          <w:szCs w:val="24"/>
          <w:lang w:val="en-US"/>
        </w:rPr>
        <w:t>or needing ambulance assistance)</w:t>
      </w:r>
      <w:r w:rsidR="003656FD" w:rsidRPr="001D29F8">
        <w:rPr>
          <w:rFonts w:ascii="Arial" w:hAnsi="Arial" w:cs="Arial"/>
          <w:sz w:val="24"/>
          <w:szCs w:val="24"/>
          <w:lang w:val="en-US"/>
        </w:rPr>
        <w:t xml:space="preserve">, &gt;70% TIR </w:t>
      </w:r>
      <w:r w:rsidR="005033F0" w:rsidRPr="001D29F8">
        <w:rPr>
          <w:rFonts w:ascii="Arial" w:hAnsi="Arial" w:cs="Arial"/>
          <w:sz w:val="24"/>
          <w:szCs w:val="24"/>
          <w:lang w:val="en-US"/>
        </w:rPr>
        <w:t>with &lt;1% of time spent &lt;54 mg/</w:t>
      </w:r>
      <w:proofErr w:type="spellStart"/>
      <w:r w:rsidR="005033F0" w:rsidRPr="001D29F8">
        <w:rPr>
          <w:rFonts w:ascii="Arial" w:hAnsi="Arial" w:cs="Arial"/>
          <w:sz w:val="24"/>
          <w:szCs w:val="24"/>
          <w:lang w:val="en-US"/>
        </w:rPr>
        <w:t>dL</w:t>
      </w:r>
      <w:proofErr w:type="spellEnd"/>
      <w:r w:rsidR="005033F0" w:rsidRPr="001D29F8">
        <w:rPr>
          <w:rFonts w:ascii="Arial" w:hAnsi="Arial" w:cs="Arial"/>
          <w:sz w:val="24"/>
          <w:szCs w:val="24"/>
          <w:lang w:val="en-US"/>
        </w:rPr>
        <w:t xml:space="preserve"> (</w:t>
      </w:r>
      <w:r w:rsidR="003656FD" w:rsidRPr="001D29F8">
        <w:rPr>
          <w:rFonts w:ascii="Arial" w:hAnsi="Arial" w:cs="Arial"/>
          <w:sz w:val="24"/>
          <w:szCs w:val="24"/>
          <w:lang w:val="en-US"/>
        </w:rPr>
        <w:t xml:space="preserve">&lt;3.0 </w:t>
      </w:r>
      <w:proofErr w:type="spellStart"/>
      <w:r w:rsidR="003656FD" w:rsidRPr="001D29F8">
        <w:rPr>
          <w:rFonts w:ascii="Arial" w:hAnsi="Arial" w:cs="Arial"/>
          <w:sz w:val="24"/>
          <w:szCs w:val="24"/>
          <w:lang w:val="en-US"/>
        </w:rPr>
        <w:t>mmol</w:t>
      </w:r>
      <w:proofErr w:type="spellEnd"/>
      <w:r w:rsidR="003656FD" w:rsidRPr="001D29F8">
        <w:rPr>
          <w:rFonts w:ascii="Arial" w:hAnsi="Arial" w:cs="Arial"/>
          <w:sz w:val="24"/>
          <w:szCs w:val="24"/>
          <w:lang w:val="en-US"/>
        </w:rPr>
        <w:t>/L</w:t>
      </w:r>
      <w:r w:rsidR="005033F0" w:rsidRPr="001D29F8">
        <w:rPr>
          <w:rFonts w:ascii="Arial" w:hAnsi="Arial" w:cs="Arial"/>
          <w:sz w:val="24"/>
          <w:szCs w:val="24"/>
          <w:lang w:val="en-US"/>
        </w:rPr>
        <w:t>)</w:t>
      </w:r>
      <w:r w:rsidR="003656FD" w:rsidRPr="001D29F8">
        <w:rPr>
          <w:rFonts w:ascii="Arial" w:hAnsi="Arial" w:cs="Arial"/>
          <w:sz w:val="24"/>
          <w:szCs w:val="24"/>
          <w:lang w:val="en-US"/>
        </w:rPr>
        <w:t xml:space="preserve">, </w:t>
      </w:r>
      <w:r w:rsidR="005033F0" w:rsidRPr="001D29F8">
        <w:rPr>
          <w:rFonts w:ascii="Arial" w:hAnsi="Arial" w:cs="Arial"/>
          <w:sz w:val="24"/>
          <w:szCs w:val="24"/>
          <w:lang w:val="en-US"/>
        </w:rPr>
        <w:t xml:space="preserve">and </w:t>
      </w:r>
      <w:r w:rsidR="003656FD" w:rsidRPr="001D29F8">
        <w:rPr>
          <w:rFonts w:ascii="Arial" w:hAnsi="Arial" w:cs="Arial"/>
          <w:sz w:val="24"/>
          <w:szCs w:val="24"/>
          <w:lang w:val="en-US"/>
        </w:rPr>
        <w:t xml:space="preserve">&gt;70% of TIR </w:t>
      </w:r>
      <w:r w:rsidR="005033F0" w:rsidRPr="001D29F8">
        <w:rPr>
          <w:rFonts w:ascii="Arial" w:hAnsi="Arial" w:cs="Arial"/>
          <w:sz w:val="24"/>
          <w:szCs w:val="24"/>
          <w:lang w:val="en-US"/>
        </w:rPr>
        <w:t>without severe hypoglycemia.</w:t>
      </w:r>
    </w:p>
    <w:p w14:paraId="5ABDF353" w14:textId="77777777" w:rsidR="00C41248" w:rsidRPr="001D29F8" w:rsidRDefault="00C41248" w:rsidP="001D29F8">
      <w:pPr>
        <w:spacing w:after="0" w:line="480" w:lineRule="auto"/>
        <w:jc w:val="both"/>
        <w:rPr>
          <w:rFonts w:ascii="Arial" w:hAnsi="Arial" w:cs="Arial"/>
          <w:color w:val="FF0000"/>
          <w:sz w:val="24"/>
          <w:szCs w:val="24"/>
          <w:lang w:val="en-US"/>
        </w:rPr>
      </w:pPr>
    </w:p>
    <w:p w14:paraId="442CA483" w14:textId="77777777" w:rsidR="009B3BB8" w:rsidRPr="001D29F8" w:rsidRDefault="009B3BB8" w:rsidP="001D29F8">
      <w:pPr>
        <w:rPr>
          <w:rFonts w:ascii="Arial" w:hAnsi="Arial" w:cs="Arial"/>
          <w:b/>
          <w:sz w:val="24"/>
          <w:lang w:val="en-US"/>
        </w:rPr>
      </w:pPr>
      <w:r w:rsidRPr="001D29F8">
        <w:rPr>
          <w:rFonts w:ascii="Arial" w:hAnsi="Arial" w:cs="Arial"/>
          <w:b/>
          <w:sz w:val="24"/>
          <w:lang w:val="en-US"/>
        </w:rPr>
        <w:t>Devices</w:t>
      </w:r>
    </w:p>
    <w:p w14:paraId="7FB00037" w14:textId="51167DA5" w:rsidR="009B3BB8" w:rsidRPr="001D29F8" w:rsidRDefault="007859AE"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There was no restriction in the devices people could use in the reimbursement program. The only criteria that applied for insulin pumps and glucose sensors was that they should receive the auth</w:t>
      </w:r>
      <w:r w:rsidR="00325583">
        <w:rPr>
          <w:rFonts w:ascii="Arial" w:hAnsi="Arial" w:cs="Arial"/>
          <w:sz w:val="24"/>
          <w:szCs w:val="24"/>
          <w:lang w:val="en-US"/>
        </w:rPr>
        <w:t>orization of the Belgian health</w:t>
      </w:r>
      <w:r w:rsidRPr="001D29F8">
        <w:rPr>
          <w:rFonts w:ascii="Arial" w:hAnsi="Arial" w:cs="Arial"/>
          <w:sz w:val="24"/>
          <w:szCs w:val="24"/>
          <w:lang w:val="en-US"/>
        </w:rPr>
        <w:t xml:space="preserve">care provider to be used in the reimbursement program. This made that there was a wide combination of insulin pumps and glucose sensors </w:t>
      </w:r>
      <w:r w:rsidR="00516E4A" w:rsidRPr="001D29F8">
        <w:rPr>
          <w:rFonts w:ascii="Arial" w:hAnsi="Arial" w:cs="Arial"/>
          <w:sz w:val="24"/>
          <w:szCs w:val="24"/>
          <w:lang w:val="en-US"/>
        </w:rPr>
        <w:t>available</w:t>
      </w:r>
      <w:r w:rsidRPr="001D29F8">
        <w:rPr>
          <w:rFonts w:ascii="Arial" w:hAnsi="Arial" w:cs="Arial"/>
          <w:sz w:val="24"/>
          <w:szCs w:val="24"/>
          <w:lang w:val="en-US"/>
        </w:rPr>
        <w:t xml:space="preserve">. </w:t>
      </w:r>
      <w:r w:rsidR="00061453" w:rsidRPr="001D29F8">
        <w:rPr>
          <w:rFonts w:ascii="Arial" w:hAnsi="Arial" w:cs="Arial"/>
          <w:sz w:val="24"/>
          <w:szCs w:val="24"/>
          <w:lang w:val="en-US"/>
        </w:rPr>
        <w:t xml:space="preserve">As this was an observational study evaluating reimbursement of </w:t>
      </w:r>
      <w:proofErr w:type="spellStart"/>
      <w:r w:rsidR="00061453" w:rsidRPr="001D29F8">
        <w:rPr>
          <w:rFonts w:ascii="Arial" w:hAnsi="Arial" w:cs="Arial"/>
          <w:sz w:val="24"/>
          <w:szCs w:val="24"/>
          <w:lang w:val="en-US"/>
        </w:rPr>
        <w:t>rtCGM</w:t>
      </w:r>
      <w:proofErr w:type="spellEnd"/>
      <w:r w:rsidR="00061453" w:rsidRPr="001D29F8">
        <w:rPr>
          <w:rFonts w:ascii="Arial" w:hAnsi="Arial" w:cs="Arial"/>
          <w:sz w:val="24"/>
          <w:szCs w:val="24"/>
          <w:lang w:val="en-US"/>
        </w:rPr>
        <w:t xml:space="preserve"> and not the efficacy of one type of sensor-pump combination, people were also able to switch between insulin pump and glucose sensor brands or switch to newer versions. This lead to a shift from low-glucose threshold suspend systems that were used at the start of the study towards low-glucose predictive suspend systems </w:t>
      </w:r>
      <w:r w:rsidR="00516E4A" w:rsidRPr="001D29F8">
        <w:rPr>
          <w:rFonts w:ascii="Arial" w:hAnsi="Arial" w:cs="Arial"/>
          <w:sz w:val="24"/>
          <w:szCs w:val="24"/>
          <w:lang w:val="en-US"/>
        </w:rPr>
        <w:t xml:space="preserve">at the end </w:t>
      </w:r>
      <w:r w:rsidR="00061453" w:rsidRPr="001D29F8">
        <w:rPr>
          <w:rFonts w:ascii="Arial" w:hAnsi="Arial" w:cs="Arial"/>
          <w:sz w:val="24"/>
          <w:szCs w:val="24"/>
          <w:lang w:val="en-US"/>
        </w:rPr>
        <w:t xml:space="preserve">(Supplemental Table </w:t>
      </w:r>
      <w:r w:rsidR="00B37716" w:rsidRPr="001D29F8">
        <w:rPr>
          <w:rFonts w:ascii="Arial" w:hAnsi="Arial" w:cs="Arial"/>
          <w:sz w:val="24"/>
          <w:szCs w:val="24"/>
          <w:lang w:val="en-US"/>
        </w:rPr>
        <w:t>1</w:t>
      </w:r>
      <w:r w:rsidR="00061453" w:rsidRPr="001D29F8">
        <w:rPr>
          <w:rFonts w:ascii="Arial" w:hAnsi="Arial" w:cs="Arial"/>
          <w:sz w:val="24"/>
          <w:szCs w:val="24"/>
          <w:lang w:val="en-US"/>
        </w:rPr>
        <w:t>).</w:t>
      </w:r>
    </w:p>
    <w:p w14:paraId="1E053AE3" w14:textId="77777777" w:rsidR="00BD5D1B" w:rsidRPr="001D29F8" w:rsidRDefault="00BD5D1B" w:rsidP="001D29F8">
      <w:pPr>
        <w:spacing w:after="0" w:line="480" w:lineRule="auto"/>
        <w:jc w:val="both"/>
        <w:rPr>
          <w:rFonts w:ascii="Arial" w:hAnsi="Arial" w:cs="Arial"/>
          <w:color w:val="FF0000"/>
          <w:sz w:val="24"/>
          <w:szCs w:val="24"/>
          <w:lang w:val="en-US"/>
        </w:rPr>
      </w:pPr>
    </w:p>
    <w:p w14:paraId="49B0E883" w14:textId="77777777" w:rsidR="009B3BB8" w:rsidRPr="001D29F8" w:rsidRDefault="009B3BB8" w:rsidP="001D29F8">
      <w:pPr>
        <w:rPr>
          <w:rFonts w:ascii="Arial" w:hAnsi="Arial" w:cs="Arial"/>
          <w:b/>
          <w:sz w:val="24"/>
          <w:lang w:val="en-US"/>
        </w:rPr>
      </w:pPr>
      <w:r w:rsidRPr="001D29F8">
        <w:rPr>
          <w:rFonts w:ascii="Arial" w:hAnsi="Arial" w:cs="Arial"/>
          <w:b/>
          <w:sz w:val="24"/>
          <w:lang w:val="en-US"/>
        </w:rPr>
        <w:t xml:space="preserve">Data </w:t>
      </w:r>
      <w:r w:rsidR="00E53E07" w:rsidRPr="001D29F8">
        <w:rPr>
          <w:rFonts w:ascii="Arial" w:hAnsi="Arial" w:cs="Arial"/>
          <w:b/>
          <w:sz w:val="24"/>
          <w:lang w:val="en-US"/>
        </w:rPr>
        <w:t>c</w:t>
      </w:r>
      <w:r w:rsidRPr="001D29F8">
        <w:rPr>
          <w:rFonts w:ascii="Arial" w:hAnsi="Arial" w:cs="Arial"/>
          <w:b/>
          <w:sz w:val="24"/>
          <w:lang w:val="en-US"/>
        </w:rPr>
        <w:t>ollection</w:t>
      </w:r>
    </w:p>
    <w:p w14:paraId="22D4BF76" w14:textId="77777777" w:rsidR="000664A0" w:rsidRPr="001D29F8" w:rsidRDefault="000664A0"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Pre-specified clinical data were collected from a period of 12 months before until </w:t>
      </w:r>
      <w:r w:rsidR="00B97CD1" w:rsidRPr="001D29F8">
        <w:rPr>
          <w:rFonts w:ascii="Arial" w:hAnsi="Arial" w:cs="Arial"/>
          <w:sz w:val="24"/>
          <w:szCs w:val="24"/>
          <w:lang w:val="en-US"/>
        </w:rPr>
        <w:t>2</w:t>
      </w:r>
      <w:r w:rsidR="007D2106" w:rsidRPr="001D29F8">
        <w:rPr>
          <w:rFonts w:ascii="Arial" w:hAnsi="Arial" w:cs="Arial"/>
          <w:sz w:val="24"/>
          <w:szCs w:val="24"/>
          <w:lang w:val="en-US"/>
        </w:rPr>
        <w:t xml:space="preserve">4 </w:t>
      </w:r>
      <w:r w:rsidRPr="001D29F8">
        <w:rPr>
          <w:rFonts w:ascii="Arial" w:hAnsi="Arial" w:cs="Arial"/>
          <w:sz w:val="24"/>
          <w:szCs w:val="24"/>
          <w:lang w:val="en-US"/>
        </w:rPr>
        <w:t xml:space="preserve">months after start of the reimbursement program. Information about clinical parameters was collected from clinical files at baseline, 4, </w:t>
      </w:r>
      <w:r w:rsidR="00F658E9" w:rsidRPr="001D29F8">
        <w:rPr>
          <w:rFonts w:ascii="Arial" w:hAnsi="Arial" w:cs="Arial"/>
          <w:sz w:val="24"/>
          <w:szCs w:val="24"/>
          <w:lang w:val="en-US"/>
        </w:rPr>
        <w:t xml:space="preserve">8, </w:t>
      </w:r>
      <w:r w:rsidRPr="001D29F8">
        <w:rPr>
          <w:rFonts w:ascii="Arial" w:hAnsi="Arial" w:cs="Arial"/>
          <w:sz w:val="24"/>
          <w:szCs w:val="24"/>
          <w:lang w:val="en-US"/>
        </w:rPr>
        <w:t>12</w:t>
      </w:r>
      <w:r w:rsidR="00B97CD1" w:rsidRPr="001D29F8">
        <w:rPr>
          <w:rFonts w:ascii="Arial" w:hAnsi="Arial" w:cs="Arial"/>
          <w:sz w:val="24"/>
          <w:szCs w:val="24"/>
          <w:lang w:val="en-US"/>
        </w:rPr>
        <w:t>, and 24</w:t>
      </w:r>
      <w:r w:rsidRPr="001D29F8">
        <w:rPr>
          <w:rFonts w:ascii="Arial" w:hAnsi="Arial" w:cs="Arial"/>
          <w:sz w:val="24"/>
          <w:szCs w:val="24"/>
          <w:lang w:val="en-US"/>
        </w:rPr>
        <w:t xml:space="preserve"> months after start. HbA</w:t>
      </w:r>
      <w:r w:rsidRPr="001D29F8">
        <w:rPr>
          <w:rFonts w:ascii="Arial" w:hAnsi="Arial" w:cs="Arial"/>
          <w:sz w:val="24"/>
          <w:szCs w:val="24"/>
          <w:vertAlign w:val="subscript"/>
          <w:lang w:val="en-US"/>
        </w:rPr>
        <w:t>1c</w:t>
      </w:r>
      <w:r w:rsidRPr="001D29F8">
        <w:rPr>
          <w:rFonts w:ascii="Arial" w:hAnsi="Arial" w:cs="Arial"/>
          <w:sz w:val="24"/>
          <w:szCs w:val="24"/>
          <w:lang w:val="en-US"/>
        </w:rPr>
        <w:t xml:space="preserve"> levels were averaged for pre-specified time points: pre-reimbursement/baseline (</w:t>
      </w:r>
      <w:r w:rsidR="00D60768" w:rsidRPr="001D29F8">
        <w:rPr>
          <w:rFonts w:ascii="Arial" w:hAnsi="Arial" w:cs="Arial"/>
          <w:sz w:val="24"/>
          <w:szCs w:val="24"/>
          <w:lang w:val="en-US"/>
        </w:rPr>
        <w:t>before</w:t>
      </w:r>
      <w:r w:rsidRPr="001D29F8">
        <w:rPr>
          <w:rFonts w:ascii="Arial" w:hAnsi="Arial" w:cs="Arial"/>
          <w:sz w:val="24"/>
          <w:szCs w:val="24"/>
          <w:lang w:val="en-US"/>
        </w:rPr>
        <w:t xml:space="preserve"> = -12 mon</w:t>
      </w:r>
      <w:r w:rsidR="00E424E7" w:rsidRPr="001D29F8">
        <w:rPr>
          <w:rFonts w:ascii="Arial" w:hAnsi="Arial" w:cs="Arial"/>
          <w:sz w:val="24"/>
          <w:szCs w:val="24"/>
          <w:lang w:val="en-US"/>
        </w:rPr>
        <w:t>ths until -1 day), 4 months (±2</w:t>
      </w:r>
      <w:r w:rsidRPr="001D29F8">
        <w:rPr>
          <w:rFonts w:ascii="Arial" w:hAnsi="Arial" w:cs="Arial"/>
          <w:sz w:val="24"/>
          <w:szCs w:val="24"/>
          <w:lang w:val="en-US"/>
        </w:rPr>
        <w:t xml:space="preserve"> months), 8 mo</w:t>
      </w:r>
      <w:r w:rsidR="00E424E7" w:rsidRPr="001D29F8">
        <w:rPr>
          <w:rFonts w:ascii="Arial" w:hAnsi="Arial" w:cs="Arial"/>
          <w:sz w:val="24"/>
          <w:szCs w:val="24"/>
          <w:lang w:val="en-US"/>
        </w:rPr>
        <w:t>nths (±2 months), 12 months (±</w:t>
      </w:r>
      <w:r w:rsidRPr="001D29F8">
        <w:rPr>
          <w:rFonts w:ascii="Arial" w:hAnsi="Arial" w:cs="Arial"/>
          <w:sz w:val="24"/>
          <w:szCs w:val="24"/>
          <w:lang w:val="en-US"/>
        </w:rPr>
        <w:t>2 months)</w:t>
      </w:r>
      <w:r w:rsidR="00E424E7" w:rsidRPr="001D29F8">
        <w:rPr>
          <w:rFonts w:ascii="Arial" w:hAnsi="Arial" w:cs="Arial"/>
          <w:sz w:val="24"/>
          <w:szCs w:val="24"/>
          <w:lang w:val="en-US"/>
        </w:rPr>
        <w:t>, and 24 months (±</w:t>
      </w:r>
      <w:r w:rsidR="00B97CD1" w:rsidRPr="001D29F8">
        <w:rPr>
          <w:rFonts w:ascii="Arial" w:hAnsi="Arial" w:cs="Arial"/>
          <w:sz w:val="24"/>
          <w:szCs w:val="24"/>
          <w:lang w:val="en-US"/>
        </w:rPr>
        <w:t>2 months)</w:t>
      </w:r>
      <w:r w:rsidRPr="001D29F8">
        <w:rPr>
          <w:rFonts w:ascii="Arial" w:hAnsi="Arial" w:cs="Arial"/>
          <w:sz w:val="24"/>
          <w:szCs w:val="24"/>
          <w:lang w:val="en-US"/>
        </w:rPr>
        <w:t xml:space="preserve"> after start of reimbursement.</w:t>
      </w:r>
    </w:p>
    <w:p w14:paraId="56C1CB7C" w14:textId="77777777" w:rsidR="000174B3" w:rsidRPr="001D29F8" w:rsidRDefault="00B97CD1"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Q</w:t>
      </w:r>
      <w:r w:rsidR="009B3BB8" w:rsidRPr="001D29F8">
        <w:rPr>
          <w:rFonts w:ascii="Arial" w:hAnsi="Arial" w:cs="Arial"/>
          <w:sz w:val="24"/>
          <w:szCs w:val="24"/>
          <w:lang w:val="en-US"/>
        </w:rPr>
        <w:t>uestionnaires</w:t>
      </w:r>
      <w:r w:rsidR="00E035CB" w:rsidRPr="001D29F8">
        <w:rPr>
          <w:rFonts w:ascii="Arial" w:hAnsi="Arial" w:cs="Arial"/>
          <w:sz w:val="24"/>
          <w:szCs w:val="24"/>
          <w:lang w:val="en-US"/>
        </w:rPr>
        <w:t xml:space="preserve"> </w:t>
      </w:r>
      <w:r w:rsidRPr="001D29F8">
        <w:rPr>
          <w:rFonts w:ascii="Arial" w:hAnsi="Arial" w:cs="Arial"/>
          <w:sz w:val="24"/>
          <w:szCs w:val="24"/>
          <w:lang w:val="en-US"/>
        </w:rPr>
        <w:t xml:space="preserve">(SF-36 </w:t>
      </w:r>
      <w:r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{"citationItems":[{"id":"ITEM-1","itemData":{"author":[{"dropping-particle":"","family":"Ware","given":"John E","non-dropping-particle":"","parse-names":false,"suffix":""}],"container-title":"The Health Institute","editor":[{"dropping-particle":"","family":"New England Medical Center","given":"","non-dropping-particle":"","parse-names":false,"suffix":""}],"id":"ITEM-1","issued":{"date-parts":[["1993"]]},"publisher-place":"Boston, Massachusetts (US)","title":"SF-36 Health Survey: Manual and Interpretation Guide","type":"chapter"},"uris":["http://www.mendeley.com/documents/?uuid=fe10612e-17c9-470e-8a1e-36079400a121"]}],"mendeley":{"formattedCitation":"(20)","plainTextFormattedCitation":"(20)","previouslyFormattedCitation":"(20)"},"properties":{"noteIndex":0},"schema":"https://github.com/citation-style-language/schema/raw/master/csl-citation.json"}</w:instrText>
      </w:r>
      <w:r w:rsidRPr="001D29F8">
        <w:rPr>
          <w:rFonts w:ascii="Arial" w:hAnsi="Arial" w:cs="Arial"/>
          <w:sz w:val="24"/>
          <w:szCs w:val="24"/>
          <w:lang w:val="en-US"/>
        </w:rPr>
        <w:fldChar w:fldCharType="separate"/>
      </w:r>
      <w:r w:rsidR="00A13E6A" w:rsidRPr="001D29F8">
        <w:rPr>
          <w:rFonts w:ascii="Arial" w:hAnsi="Arial" w:cs="Arial"/>
          <w:noProof/>
          <w:sz w:val="24"/>
          <w:szCs w:val="24"/>
          <w:lang w:val="en-US"/>
        </w:rPr>
        <w:t>(20)</w:t>
      </w:r>
      <w:r w:rsidRPr="001D29F8">
        <w:rPr>
          <w:rFonts w:ascii="Arial" w:hAnsi="Arial" w:cs="Arial"/>
          <w:sz w:val="24"/>
          <w:szCs w:val="24"/>
          <w:lang w:val="en-US"/>
        </w:rPr>
        <w:fldChar w:fldCharType="end"/>
      </w:r>
      <w:r w:rsidRPr="001D29F8">
        <w:rPr>
          <w:rFonts w:ascii="Arial" w:hAnsi="Arial" w:cs="Arial"/>
          <w:sz w:val="24"/>
          <w:szCs w:val="24"/>
          <w:lang w:val="en-US"/>
        </w:rPr>
        <w:t xml:space="preserve">, Problem Areas in Diabetes-short form [PAID-SF] </w:t>
      </w:r>
      <w:r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{"citationItems":[{"id":"ITEM-1","itemData":{"ISSN":"1432-0428 (Electronic)","PMID":"19841892","abstract":"AIMS/HYPOTHESIS: We wanted to identify a five-item short form of the Problem Areas in Diabetes Scale and a single-item measure for rapid screening of diabetes-related emotional distress. METHODS: Using an existing database of 1,153 patients with diabetes, we conducted a principal-components analysis to identify a set of five items and then conducted a reliability analysis and validity checks. From those five items, we identified the item with the strongest psychometric properties as a one-item screening tool. RESULTS: We identified a reliable and valid short version of the Problem Areas in Diabetes Scale (PAID) comprising five of the emotional-distress questions of the full PAID items (PAID-5, with items 3, 6, 12, 16, 19). The PAID-5 has satisfactory sensitivity (94%) and specificity (89%) for recognition of diabetes-related emotional distress. We also identified a one-item screening tool, the PAID-1 (Question 12: Worrying about the future and the possibility of serious complications), which has concurrent sensitivity and specificity of about 80% for the recognition of diabetes-related emotional distress. CONCLUSIONS/INTERPRETATION: The PAID-5 and PAID-1 appear to be psychometrically robust short-form measures of diabetes-related emotional distress.","author":[{"dropping-particle":"","family":"McGuire","given":"B E","non-dropping-particle":"","parse-names":false,"suffix":""},{"dropping-particle":"","family":"Morrison","given":"T G","non-dropping-particle":"","parse-names":false,"suffix":""},{"dropping-particle":"","family":"Hermanns","given":"N","non-dropping-particle":"","parse-names":false,"suffix":""},{"dropping-particle":"","family":"Skovlund","given":"S","non-dropping-particle":"","parse-names":false,"suffix":""},{"dropping-particle":"","family":"Eldrup","given":"E","non-dropping-particle":"","parse-names":false,"suffix":""},{"dropping-particle":"","family":"Gagliardino","given":"J","non-dropping-particle":"","parse-names":false,"suffix":""},{"dropping-particle":"","family":"Kokoszka","given":"A","non-dropping-particle":"","parse-names":false,"suffix":""},{"dropping-particle":"","family":"Matthews","given":"D","non-dropping-particle":"","parse-names":false,"suffix":""},{"dropping-particle":"","family":"Pibernik-Okanovic","given":"M","non-dropping-particle":"","parse-names":false,"suffix":""},{"dropping-particle":"","family":"Rodriguez-Saldana","given":"J","non-dropping-particle":"","parse-names":false,"suffix":""},{"dropping-particle":"","family":"Wit","given":"M","non-dropping-particle":"de","parse-names":false,"suffix":""},{"dropping-particle":"","family":"Snoek","given":"F J","non-dropping-particle":"","parse-names":false,"suffix":""}],"container-title":"Diabetologia","id":"ITEM-1","issue":"1","issued":{"date-parts":[["2010"]]},"language":"eng","page":"66-69","publisher-place":"Germany","title":"Short-form measures of diabetes-related emotional distress: the Problem Areas in Diabetes Scale (PAID)-5 and PAID-1.","type":"article-journal","volume":"53"},"uris":["http://www.mendeley.com/documents/?uuid=93d184e5-d504-4477-ad35-a0359ad1e21d"]}],"mendeley":{"formattedCitation":"(21)","plainTextFormattedCitation":"(21)","previouslyFormattedCitation":"(21)"},"properties":{"noteIndex":0},"schema":"https://github.com/citation-style-language/schema/raw/master/csl-citation.json"}</w:instrText>
      </w:r>
      <w:r w:rsidRPr="001D29F8">
        <w:rPr>
          <w:rFonts w:ascii="Arial" w:hAnsi="Arial" w:cs="Arial"/>
          <w:sz w:val="24"/>
          <w:szCs w:val="24"/>
          <w:lang w:val="en-US"/>
        </w:rPr>
        <w:fldChar w:fldCharType="separate"/>
      </w:r>
      <w:r w:rsidR="00A13E6A" w:rsidRPr="001D29F8">
        <w:rPr>
          <w:rFonts w:ascii="Arial" w:hAnsi="Arial" w:cs="Arial"/>
          <w:noProof/>
          <w:sz w:val="24"/>
          <w:szCs w:val="24"/>
          <w:lang w:val="en-US"/>
        </w:rPr>
        <w:t>(21)</w:t>
      </w:r>
      <w:r w:rsidRPr="001D29F8">
        <w:rPr>
          <w:rFonts w:ascii="Arial" w:hAnsi="Arial" w:cs="Arial"/>
          <w:sz w:val="24"/>
          <w:szCs w:val="24"/>
          <w:lang w:val="en-US"/>
        </w:rPr>
        <w:fldChar w:fldCharType="end"/>
      </w:r>
      <w:r w:rsidRPr="001D29F8">
        <w:rPr>
          <w:rFonts w:ascii="Arial" w:hAnsi="Arial" w:cs="Arial"/>
          <w:sz w:val="24"/>
          <w:szCs w:val="24"/>
          <w:lang w:val="en-US"/>
        </w:rPr>
        <w:t>, and Hypoglycemia Fear Survey [HFS]-</w:t>
      </w:r>
      <w:r w:rsidR="00DE5415" w:rsidRPr="001D29F8">
        <w:rPr>
          <w:rFonts w:ascii="Arial" w:hAnsi="Arial" w:cs="Arial"/>
          <w:sz w:val="24"/>
          <w:szCs w:val="24"/>
          <w:lang w:val="en-US"/>
        </w:rPr>
        <w:t>w</w:t>
      </w:r>
      <w:r w:rsidRPr="001D29F8">
        <w:rPr>
          <w:rFonts w:ascii="Arial" w:hAnsi="Arial" w:cs="Arial"/>
          <w:sz w:val="24"/>
          <w:szCs w:val="24"/>
          <w:lang w:val="en-US"/>
        </w:rPr>
        <w:t xml:space="preserve">orry </w:t>
      </w:r>
      <w:r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{"citationItems":[{"id":"ITEM-1","itemData":{"ISSN":"1935-5548 (Electronic)","PMID":"21346182","abstract":"OBJECTIVE: To perform the first comprehensive psychometric evaluation of the Hypoglycemia Fear Survey-II (HFS-II), a measure of the behavioral and affective dimensions of fear of hypoglycemia, using modern test-theory methods, including item-response theory (IRT). RESEARCH DESIGN AND METHODS: Surveys completed in four previous studies by 777 adults with type 1 diabetes were aggregated for analysis, with 289 subjects completing both subscales of the HFS-II and 488 subjects completing only the Worry subscale. The aggregated sample (53.3% female, 44.4% using insulin pumps) had a mean age of 41.9 years, diabetes duration of 23.8 years, HbA(1c) value of 7.7%, and 1.4 severe hypoglycemic episodes in the past year. Data analysis included exploratory factor analysis using polychoric correlations and IRT. Factors were analyzed for fit, trait-level locations, point-measure correlations, and separation values. RESULTS: Internal and test-retest reliability was good, as well as convergent validity, as demonstrated by significant correlations with other measures of psychological distress. Scores were significantly higher in subjects who had experienced severe hypoglycemia in the past year. Factor analyses validated the two subscales of the HFS-II. Item analyses showed that 12 of 15 items on the Behavior subscale, and all of the items on the Worry subscale had good-fit statistics. CONCLUSIONS: The HFS-II is a reliable and valid measure of the fear of hypoglycemia in adults with type 1 diabetes, and factor analyses and IRT support the two separate subscales of the survey.","author":[{"dropping-particle":"","family":"Gonder-Frederick","given":"Linda A","non-dropping-particle":"","parse-names":false,"suffix":""},{"dropping-particle":"","family":"Schmidt","given":"Karen M","non-dropping-particle":"","parse-names":false,"suffix":""},{"dropping-particle":"","family":"Vajda","given":"Karen A","non-dropping-particle":"","parse-names":false,"suffix":""},{"dropping-particle":"","family":"Greear","given":"Megan L","non-dropping-particle":"","parse-names":false,"suffix":""},{"dropping-particle":"","family":"Singh","given":"Harsimran","non-dropping-particle":"","parse-names":false,"suffix":""},{"dropping-particle":"","family":"Shepard","given":"Jaclyn A","non-dropping-particle":"","parse-names":false,"suffix":""},{"dropping-particle":"","family":"Cox","given":"Daniel J","non-dropping-particle":"","parse-names":false,"suffix":""}],"container-title":"Diabetes care","id":"ITEM-1","issue":"4","issued":{"date-parts":[["2011"]]},"language":"eng","page":"801-806","publisher-place":"United States","title":"Psychometric properties of the hypoglycemia fear survey-ii for adults with type 1 diabetes.","type":"article-journal","volume":"34"},"uris":["http://www.mendeley.com/documents/?uuid=3771f94b-182a-4bcf-93e3-d66bef3a80d6"]}],"mendeley":{"formattedCitation":"(22)","plainTextFormattedCitation":"(22)","previouslyFormattedCitation":"(22)"},"properties":{"noteIndex":0},"schema":"https://github.com/citation-style-language/schema/raw/master/csl-citation.json"}</w:instrText>
      </w:r>
      <w:r w:rsidRPr="001D29F8">
        <w:rPr>
          <w:rFonts w:ascii="Arial" w:hAnsi="Arial" w:cs="Arial"/>
          <w:sz w:val="24"/>
          <w:szCs w:val="24"/>
          <w:lang w:val="en-US"/>
        </w:rPr>
        <w:fldChar w:fldCharType="separate"/>
      </w:r>
      <w:r w:rsidR="00A13E6A" w:rsidRPr="001D29F8">
        <w:rPr>
          <w:rFonts w:ascii="Arial" w:hAnsi="Arial" w:cs="Arial"/>
          <w:noProof/>
          <w:sz w:val="24"/>
          <w:szCs w:val="24"/>
          <w:lang w:val="en-US"/>
        </w:rPr>
        <w:t>(22)</w:t>
      </w:r>
      <w:r w:rsidRPr="001D29F8">
        <w:rPr>
          <w:rFonts w:ascii="Arial" w:hAnsi="Arial" w:cs="Arial"/>
          <w:sz w:val="24"/>
          <w:szCs w:val="24"/>
          <w:lang w:val="en-US"/>
        </w:rPr>
        <w:fldChar w:fldCharType="end"/>
      </w:r>
      <w:r w:rsidRPr="001D29F8">
        <w:rPr>
          <w:rFonts w:ascii="Arial" w:hAnsi="Arial" w:cs="Arial"/>
          <w:sz w:val="24"/>
          <w:szCs w:val="24"/>
          <w:lang w:val="en-US"/>
        </w:rPr>
        <w:t xml:space="preserve">) and standardized diaries </w:t>
      </w:r>
      <w:r w:rsidR="00DB5BF6"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{"citationItems":[{"id":"ITEM-1","itemData":{"ISSN":"1945-7197 (Electronic)","PMID":"29342264","abstract":"Context: Randomized controlled trials evaluating real-time continuous glucose monitoring (RT-CGM) patients with type 1 diabetes (T1D) show improved glycemic control, but limited data are available on real-world use. Objective: To assess impact of RT-CGM in real-world settings on glycemic control, hospital admissions, work absenteeism, and quality of life (QOL). Design: Prospective, observational, multicenter, cohort study. Participants: A total of 515 adults with T1D on continuous subcutaneous insulin infusion (CSII) therapy starting in the Belgian RT-CGM reimbursement program. Intervention: Initiation of RT-CGM reimbursement. Main Outcome Measure: Hemoglobin A1c (HbA1c) evolution from baseline to 12 months. Results: Between September 1, 2014, and December 31, 2016, 515 adults entered the reimbursement system. Over this period, 417 (81%) patients used RT-CGM for at least 12 months. Baseline HbA1c was 7.7 +/- 0.9% (61 +/- 9.8 mmol/mol) and decreased to 7.4 +/- 0.8% (57 +/- 8.7 mmol/mol) at 12 months (P &lt; 0.0001). Subjects who started RT-CGM because of insufficient glycemic control showed stronger decrease in HbA1c at 4, 8, and 12 months compared with patients who started because of hypoglycemia or pregnancy. In the year preceding reimbursement, 16% of patients were hospitalized for severe hypoglycemia or ketoacidosis in contrast to 4% (P &lt; 0.0005) the following year, with decrease in admission days from 54 to 18 per 100 patient years (P &lt; 0.0005). In the same period, work absenteeism decreased and QOL improved significantly, with strong decline in fear of hypoglycemia. Conclusion: Sensor-augmented pump therapy in patients with T1D followed in specialized centers improves HbA1c, fear of hypoglycemia, and QOL, whereas work absenteeism and admissions for acute diabetes complications decreased.","author":[{"dropping-particle":"","family":"Charleer","given":"Sara","non-dropping-particle":"","parse-names":false,"suffix":""},{"dropping-particle":"","family":"Mathieu","given":"Chantal","non-dropping-particle":"","parse-names":false,"suffix":""},{"dropping-particle":"","family":"Nobels","given":"Frank","non-dropping-particle":"","parse-names":false,"suffix":""},{"dropping-particle":"","family":"Block","given":"Christophe","non-dropping-particle":"De","parse-names":false,"suffix":""},{"dropping-particle":"","family":"Radermecker","given":"Regis P","non-dropping-particle":"","parse-names":false,"suffix":""},{"dropping-particle":"","family":"Hermans","given":"Michel P","non-dropping-particle":"","parse-names":false,"suffix":""},{"dropping-particle":"","family":"Taes","given":"Youri","non-dropping-particle":"","parse-names":false,"suffix":""},{"dropping-particle":"","family":"Vercammen","given":"Chris","non-dropping-particle":"","parse-names":false,"suffix":""},{"dropping-particle":"","family":"T'Sjoen","given":"Guy","non-dropping-particle":"","parse-names":false,"suffix":""},{"dropping-particle":"","family":"Crenier","given":"Laurent","non-dropping-particle":"","parse-names":false,"suffix":""},{"dropping-particle":"","family":"Fieuws","given":"Steffen","non-dropping-particle":"","parse-names":false,"suffix":""},{"dropping-particle":"","family":"Keymeulen","given":"Bart","non-dropping-particle":"","parse-names":false,"suffix":""},{"dropping-particle":"","family":"Gillard","given":"Pieter","non-dropping-particle":"","parse-names":false,"suffix":""}],"container-title":"The Journal of clinical endocrinology and metabolism","id":"ITEM-1","issue":"3","issued":{"date-parts":[["2018"]]},"language":"eng","page":"1224-1232","publisher-place":"United States","title":"Effect of Continuous Glucose Monitoring on Glycemic Control, Acute Admissions, and Quality of Life: A Real-World Study.","type":"article-journal","volume":"103"},"uris":["http://www.mendeley.com/documents/?uuid=dc52f52d-d4b3-49c8-a652-7dcc0d1b5b2d"]}],"mendeley":{"formattedCitation":"(17)","plainTextFormattedCitation":"(17)","previouslyFormattedCitation":"(17)"},"properties":{"noteIndex":0},"schema":"https://github.com/citation-style-language/schema/raw/master/csl-citation.json"}</w:instrText>
      </w:r>
      <w:r w:rsidR="00DB5BF6" w:rsidRPr="001D29F8">
        <w:rPr>
          <w:rFonts w:ascii="Arial" w:hAnsi="Arial" w:cs="Arial"/>
          <w:sz w:val="24"/>
          <w:szCs w:val="24"/>
          <w:lang w:val="en-US"/>
        </w:rPr>
        <w:fldChar w:fldCharType="separate"/>
      </w:r>
      <w:r w:rsidR="00A13E6A" w:rsidRPr="001D29F8">
        <w:rPr>
          <w:rFonts w:ascii="Arial" w:hAnsi="Arial" w:cs="Arial"/>
          <w:noProof/>
          <w:sz w:val="24"/>
          <w:szCs w:val="24"/>
          <w:lang w:val="en-US"/>
        </w:rPr>
        <w:t>(17)</w:t>
      </w:r>
      <w:r w:rsidR="00DB5BF6" w:rsidRPr="001D29F8">
        <w:rPr>
          <w:rFonts w:ascii="Arial" w:hAnsi="Arial" w:cs="Arial"/>
          <w:sz w:val="24"/>
          <w:szCs w:val="24"/>
          <w:lang w:val="en-US"/>
        </w:rPr>
        <w:fldChar w:fldCharType="end"/>
      </w:r>
      <w:r w:rsidR="00920E5A" w:rsidRPr="001D29F8">
        <w:rPr>
          <w:rFonts w:ascii="Arial" w:hAnsi="Arial" w:cs="Arial"/>
          <w:sz w:val="24"/>
          <w:szCs w:val="24"/>
          <w:lang w:val="en-US"/>
        </w:rPr>
        <w:t xml:space="preserve"> </w:t>
      </w:r>
      <w:r w:rsidR="009B3BB8" w:rsidRPr="001D29F8">
        <w:rPr>
          <w:rFonts w:ascii="Arial" w:hAnsi="Arial" w:cs="Arial"/>
          <w:sz w:val="24"/>
          <w:szCs w:val="24"/>
          <w:lang w:val="en-US"/>
        </w:rPr>
        <w:t xml:space="preserve">were </w:t>
      </w:r>
      <w:r w:rsidRPr="001D29F8">
        <w:rPr>
          <w:rFonts w:ascii="Arial" w:hAnsi="Arial" w:cs="Arial"/>
          <w:sz w:val="24"/>
          <w:szCs w:val="24"/>
          <w:lang w:val="en-US"/>
        </w:rPr>
        <w:t>completed</w:t>
      </w:r>
      <w:r w:rsidR="009B3BB8" w:rsidRPr="001D29F8">
        <w:rPr>
          <w:rFonts w:ascii="Arial" w:hAnsi="Arial" w:cs="Arial"/>
          <w:sz w:val="24"/>
          <w:szCs w:val="24"/>
          <w:lang w:val="en-US"/>
        </w:rPr>
        <w:t xml:space="preserve"> at </w:t>
      </w:r>
      <w:r w:rsidR="00D268CE" w:rsidRPr="001D29F8">
        <w:rPr>
          <w:rFonts w:ascii="Arial" w:hAnsi="Arial" w:cs="Arial"/>
          <w:noProof/>
          <w:sz w:val="24"/>
          <w:szCs w:val="24"/>
          <w:lang w:val="en-US"/>
        </w:rPr>
        <w:t>baseline</w:t>
      </w:r>
      <w:r w:rsidRPr="001D29F8">
        <w:rPr>
          <w:rFonts w:ascii="Arial" w:hAnsi="Arial" w:cs="Arial"/>
          <w:noProof/>
          <w:sz w:val="24"/>
          <w:szCs w:val="24"/>
          <w:lang w:val="en-US"/>
        </w:rPr>
        <w:t xml:space="preserve">, </w:t>
      </w:r>
      <w:r w:rsidR="009B3BB8" w:rsidRPr="001D29F8">
        <w:rPr>
          <w:rFonts w:ascii="Arial" w:hAnsi="Arial" w:cs="Arial"/>
          <w:sz w:val="24"/>
          <w:szCs w:val="24"/>
          <w:lang w:val="en-US"/>
        </w:rPr>
        <w:t>after 12</w:t>
      </w:r>
      <w:r w:rsidRPr="001D29F8">
        <w:rPr>
          <w:rFonts w:ascii="Arial" w:hAnsi="Arial" w:cs="Arial"/>
          <w:sz w:val="24"/>
          <w:szCs w:val="24"/>
          <w:lang w:val="en-US"/>
        </w:rPr>
        <w:t>, and 24</w:t>
      </w:r>
      <w:r w:rsidR="009B3BB8" w:rsidRPr="001D29F8">
        <w:rPr>
          <w:rFonts w:ascii="Arial" w:hAnsi="Arial" w:cs="Arial"/>
          <w:sz w:val="24"/>
          <w:szCs w:val="24"/>
          <w:lang w:val="en-US"/>
        </w:rPr>
        <w:t xml:space="preserve"> months</w:t>
      </w:r>
      <w:r w:rsidR="00E035CB" w:rsidRPr="001D29F8">
        <w:rPr>
          <w:rFonts w:ascii="Arial" w:hAnsi="Arial" w:cs="Arial"/>
          <w:sz w:val="24"/>
          <w:szCs w:val="24"/>
          <w:lang w:val="en-US"/>
        </w:rPr>
        <w:t>,</w:t>
      </w:r>
      <w:r w:rsidR="009B3BB8" w:rsidRPr="001D29F8">
        <w:rPr>
          <w:rFonts w:ascii="Arial" w:hAnsi="Arial" w:cs="Arial"/>
          <w:sz w:val="24"/>
          <w:szCs w:val="24"/>
          <w:lang w:val="en-US"/>
        </w:rPr>
        <w:t xml:space="preserve"> and</w:t>
      </w:r>
      <w:r w:rsidR="009B3BB8" w:rsidRPr="001D29F8">
        <w:rPr>
          <w:rFonts w:ascii="Arial" w:hAnsi="Arial" w:cs="Arial"/>
          <w:noProof/>
          <w:sz w:val="24"/>
          <w:szCs w:val="24"/>
          <w:lang w:val="en-US"/>
        </w:rPr>
        <w:t xml:space="preserve"> scored</w:t>
      </w:r>
      <w:r w:rsidR="009B3BB8" w:rsidRPr="001D29F8">
        <w:rPr>
          <w:rFonts w:ascii="Arial" w:hAnsi="Arial" w:cs="Arial"/>
          <w:sz w:val="24"/>
          <w:szCs w:val="24"/>
          <w:lang w:val="en-US"/>
        </w:rPr>
        <w:t xml:space="preserve"> manually</w:t>
      </w:r>
      <w:r w:rsidRPr="001D29F8">
        <w:rPr>
          <w:rFonts w:ascii="Arial" w:hAnsi="Arial" w:cs="Arial"/>
          <w:sz w:val="24"/>
          <w:szCs w:val="24"/>
          <w:lang w:val="en-US"/>
        </w:rPr>
        <w:t xml:space="preserve">. </w:t>
      </w:r>
      <w:r w:rsidR="000174B3" w:rsidRPr="001D29F8">
        <w:rPr>
          <w:rFonts w:ascii="Arial" w:hAnsi="Arial" w:cs="Arial"/>
          <w:sz w:val="24"/>
          <w:szCs w:val="24"/>
          <w:lang w:val="en-US"/>
        </w:rPr>
        <w:t xml:space="preserve">Patient-reported </w:t>
      </w:r>
      <w:r w:rsidR="00E035CB" w:rsidRPr="001D29F8">
        <w:rPr>
          <w:rFonts w:ascii="Arial" w:hAnsi="Arial" w:cs="Arial"/>
          <w:sz w:val="24"/>
          <w:szCs w:val="24"/>
          <w:lang w:val="en-US"/>
        </w:rPr>
        <w:t xml:space="preserve">emergency room </w:t>
      </w:r>
      <w:r w:rsidR="000174B3" w:rsidRPr="001D29F8">
        <w:rPr>
          <w:rFonts w:ascii="Arial" w:hAnsi="Arial" w:cs="Arial"/>
          <w:sz w:val="24"/>
          <w:szCs w:val="24"/>
          <w:lang w:val="en-US"/>
        </w:rPr>
        <w:t xml:space="preserve">admissions </w:t>
      </w:r>
      <w:r w:rsidR="00111038" w:rsidRPr="001D29F8">
        <w:rPr>
          <w:rFonts w:ascii="Arial" w:hAnsi="Arial" w:cs="Arial"/>
          <w:sz w:val="24"/>
          <w:szCs w:val="24"/>
          <w:lang w:val="en-US"/>
        </w:rPr>
        <w:t xml:space="preserve">and </w:t>
      </w:r>
      <w:r w:rsidR="00B407BE" w:rsidRPr="001D29F8">
        <w:rPr>
          <w:rFonts w:ascii="Arial" w:hAnsi="Arial" w:cs="Arial"/>
          <w:sz w:val="24"/>
          <w:szCs w:val="24"/>
          <w:lang w:val="en-US"/>
        </w:rPr>
        <w:t>hospitaliz</w:t>
      </w:r>
      <w:r w:rsidR="00111038" w:rsidRPr="001D29F8">
        <w:rPr>
          <w:rFonts w:ascii="Arial" w:hAnsi="Arial" w:cs="Arial"/>
          <w:sz w:val="24"/>
          <w:szCs w:val="24"/>
          <w:lang w:val="en-US"/>
        </w:rPr>
        <w:t xml:space="preserve">ations </w:t>
      </w:r>
      <w:r w:rsidR="000174B3" w:rsidRPr="001D29F8">
        <w:rPr>
          <w:rFonts w:ascii="Arial" w:hAnsi="Arial" w:cs="Arial"/>
          <w:sz w:val="24"/>
          <w:szCs w:val="24"/>
          <w:lang w:val="en-US"/>
        </w:rPr>
        <w:t>for hypo</w:t>
      </w:r>
      <w:r w:rsidR="00463DB7" w:rsidRPr="001D29F8">
        <w:rPr>
          <w:rFonts w:ascii="Arial" w:hAnsi="Arial" w:cs="Arial"/>
          <w:sz w:val="24"/>
          <w:szCs w:val="24"/>
          <w:lang w:val="en-US"/>
        </w:rPr>
        <w:t>glycem</w:t>
      </w:r>
      <w:r w:rsidR="000174B3" w:rsidRPr="001D29F8">
        <w:rPr>
          <w:rFonts w:ascii="Arial" w:hAnsi="Arial" w:cs="Arial"/>
          <w:sz w:val="24"/>
          <w:szCs w:val="24"/>
          <w:lang w:val="en-US"/>
        </w:rPr>
        <w:t>ia</w:t>
      </w:r>
      <w:r w:rsidRPr="001D29F8">
        <w:rPr>
          <w:rFonts w:ascii="Arial" w:hAnsi="Arial" w:cs="Arial"/>
          <w:sz w:val="24"/>
          <w:szCs w:val="24"/>
          <w:lang w:val="en-US"/>
        </w:rPr>
        <w:t xml:space="preserve"> and/or </w:t>
      </w:r>
      <w:r w:rsidR="000174B3" w:rsidRPr="001D29F8">
        <w:rPr>
          <w:rFonts w:ascii="Arial" w:hAnsi="Arial" w:cs="Arial"/>
          <w:sz w:val="24"/>
          <w:szCs w:val="24"/>
          <w:lang w:val="en-US"/>
        </w:rPr>
        <w:t>ketoacidosis were validated using hospital records</w:t>
      </w:r>
      <w:r w:rsidR="00D224EC" w:rsidRPr="001D29F8">
        <w:rPr>
          <w:rFonts w:ascii="Arial" w:hAnsi="Arial" w:cs="Arial"/>
          <w:sz w:val="24"/>
          <w:szCs w:val="24"/>
          <w:lang w:val="en-US"/>
        </w:rPr>
        <w:t xml:space="preserve"> in the individual </w:t>
      </w:r>
      <w:r w:rsidR="00463DB7" w:rsidRPr="001D29F8">
        <w:rPr>
          <w:rFonts w:ascii="Arial" w:hAnsi="Arial" w:cs="Arial"/>
          <w:sz w:val="24"/>
          <w:szCs w:val="24"/>
          <w:lang w:val="en-US"/>
        </w:rPr>
        <w:t>center</w:t>
      </w:r>
      <w:r w:rsidR="00D224EC" w:rsidRPr="001D29F8">
        <w:rPr>
          <w:rFonts w:ascii="Arial" w:hAnsi="Arial" w:cs="Arial"/>
          <w:sz w:val="24"/>
          <w:szCs w:val="24"/>
          <w:lang w:val="en-US"/>
        </w:rPr>
        <w:t>s</w:t>
      </w:r>
      <w:r w:rsidR="000174B3" w:rsidRPr="001D29F8">
        <w:rPr>
          <w:rFonts w:ascii="Arial" w:hAnsi="Arial" w:cs="Arial"/>
          <w:sz w:val="24"/>
          <w:szCs w:val="24"/>
          <w:lang w:val="en-US"/>
        </w:rPr>
        <w:t xml:space="preserve">. </w:t>
      </w:r>
    </w:p>
    <w:p w14:paraId="63A84809" w14:textId="77777777" w:rsidR="009B3BB8" w:rsidRPr="001D29F8" w:rsidRDefault="00D60768" w:rsidP="001D29F8">
      <w:pPr>
        <w:spacing w:after="0" w:line="480" w:lineRule="auto"/>
        <w:jc w:val="both"/>
        <w:rPr>
          <w:rFonts w:ascii="Arial" w:hAnsi="Arial" w:cs="Arial"/>
          <w:sz w:val="24"/>
          <w:szCs w:val="24"/>
          <w:lang w:val="en-US"/>
        </w:rPr>
      </w:pPr>
      <w:proofErr w:type="spellStart"/>
      <w:r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9B3BB8" w:rsidRPr="001D29F8">
        <w:rPr>
          <w:rFonts w:ascii="Arial" w:hAnsi="Arial" w:cs="Arial"/>
          <w:sz w:val="24"/>
          <w:szCs w:val="24"/>
          <w:lang w:val="en-US"/>
        </w:rPr>
        <w:t xml:space="preserve"> data were collected using </w:t>
      </w:r>
      <w:r w:rsidR="00AE5C3C" w:rsidRPr="001D29F8">
        <w:rPr>
          <w:rFonts w:ascii="Arial" w:hAnsi="Arial" w:cs="Arial"/>
          <w:sz w:val="24"/>
          <w:szCs w:val="24"/>
          <w:lang w:val="en-US"/>
        </w:rPr>
        <w:t xml:space="preserve">the designated </w:t>
      </w:r>
      <w:r w:rsidR="009B3BB8" w:rsidRPr="001D29F8">
        <w:rPr>
          <w:rFonts w:ascii="Arial" w:hAnsi="Arial" w:cs="Arial"/>
          <w:sz w:val="24"/>
          <w:szCs w:val="24"/>
          <w:lang w:val="en-US"/>
        </w:rPr>
        <w:t xml:space="preserve">diabetes management software from the different manufacturers. Data for the following </w:t>
      </w:r>
      <w:r w:rsidR="00C345C3" w:rsidRPr="001D29F8">
        <w:rPr>
          <w:rFonts w:ascii="Arial" w:hAnsi="Arial" w:cs="Arial"/>
          <w:sz w:val="24"/>
          <w:szCs w:val="24"/>
          <w:lang w:val="en-US"/>
        </w:rPr>
        <w:t>time point</w:t>
      </w:r>
      <w:r w:rsidR="009B3BB8" w:rsidRPr="001D29F8">
        <w:rPr>
          <w:rFonts w:ascii="Arial" w:hAnsi="Arial" w:cs="Arial"/>
          <w:sz w:val="24"/>
          <w:szCs w:val="24"/>
          <w:lang w:val="en-US"/>
        </w:rPr>
        <w:t xml:space="preserve">s were extracted and averaged: data from entry in the reimbursement </w:t>
      </w:r>
      <w:r w:rsidR="00AE5C3C" w:rsidRPr="001D29F8">
        <w:rPr>
          <w:rFonts w:ascii="Arial" w:hAnsi="Arial" w:cs="Arial"/>
          <w:sz w:val="24"/>
          <w:szCs w:val="24"/>
          <w:lang w:val="en-US"/>
        </w:rPr>
        <w:t>program (</w:t>
      </w:r>
      <w:r w:rsidRPr="001D29F8">
        <w:rPr>
          <w:rFonts w:ascii="Arial" w:hAnsi="Arial" w:cs="Arial"/>
          <w:sz w:val="24"/>
          <w:szCs w:val="24"/>
          <w:lang w:val="en-US"/>
        </w:rPr>
        <w:t xml:space="preserve">2 weeks = </w:t>
      </w:r>
      <w:r w:rsidR="00AE5C3C" w:rsidRPr="001D29F8">
        <w:rPr>
          <w:rFonts w:ascii="Arial" w:hAnsi="Arial" w:cs="Arial"/>
          <w:sz w:val="24"/>
          <w:szCs w:val="24"/>
          <w:lang w:val="en-US"/>
        </w:rPr>
        <w:t>week 0 until week 2</w:t>
      </w:r>
      <w:r w:rsidR="009B3BB8" w:rsidRPr="001D29F8">
        <w:rPr>
          <w:rFonts w:ascii="Arial" w:hAnsi="Arial" w:cs="Arial"/>
          <w:sz w:val="24"/>
          <w:szCs w:val="24"/>
          <w:lang w:val="en-US"/>
        </w:rPr>
        <w:t xml:space="preserve">), </w:t>
      </w:r>
      <w:r w:rsidR="000664A0" w:rsidRPr="001D29F8">
        <w:rPr>
          <w:rFonts w:ascii="Arial" w:hAnsi="Arial" w:cs="Arial"/>
          <w:sz w:val="24"/>
          <w:szCs w:val="24"/>
          <w:lang w:val="en-US"/>
        </w:rPr>
        <w:t>4 months (±2 months)</w:t>
      </w:r>
      <w:r w:rsidR="00AE5C3C" w:rsidRPr="001D29F8">
        <w:rPr>
          <w:rFonts w:ascii="Arial" w:hAnsi="Arial" w:cs="Arial"/>
          <w:sz w:val="24"/>
          <w:szCs w:val="24"/>
          <w:lang w:val="en-US"/>
        </w:rPr>
        <w:t xml:space="preserve">, 8 months (±2 months), </w:t>
      </w:r>
      <w:r w:rsidR="000664A0" w:rsidRPr="001D29F8">
        <w:rPr>
          <w:rFonts w:ascii="Arial" w:hAnsi="Arial" w:cs="Arial"/>
          <w:sz w:val="24"/>
          <w:szCs w:val="24"/>
          <w:lang w:val="en-US"/>
        </w:rPr>
        <w:t>12 months (±2 months)</w:t>
      </w:r>
      <w:r w:rsidR="00AE5C3C" w:rsidRPr="001D29F8">
        <w:rPr>
          <w:rFonts w:ascii="Arial" w:hAnsi="Arial" w:cs="Arial"/>
          <w:sz w:val="24"/>
          <w:szCs w:val="24"/>
          <w:lang w:val="en-US"/>
        </w:rPr>
        <w:t>, and 24 months (±2 months)</w:t>
      </w:r>
      <w:r w:rsidR="000664A0" w:rsidRPr="001D29F8">
        <w:rPr>
          <w:rFonts w:ascii="Arial" w:hAnsi="Arial" w:cs="Arial"/>
          <w:sz w:val="24"/>
          <w:szCs w:val="24"/>
          <w:lang w:val="en-US"/>
        </w:rPr>
        <w:t xml:space="preserve"> after start </w:t>
      </w:r>
      <w:r w:rsidR="00AE5C3C" w:rsidRPr="001D29F8">
        <w:rPr>
          <w:rFonts w:ascii="Arial" w:hAnsi="Arial" w:cs="Arial"/>
          <w:sz w:val="24"/>
          <w:szCs w:val="24"/>
          <w:lang w:val="en-US"/>
        </w:rPr>
        <w:t>of</w:t>
      </w:r>
      <w:r w:rsidR="000664A0" w:rsidRPr="001D29F8">
        <w:rPr>
          <w:rFonts w:ascii="Arial" w:hAnsi="Arial" w:cs="Arial"/>
          <w:sz w:val="24"/>
          <w:szCs w:val="24"/>
          <w:lang w:val="en-US"/>
        </w:rPr>
        <w:t xml:space="preserve"> </w:t>
      </w:r>
      <w:r w:rsidR="00AE5C3C" w:rsidRPr="001D29F8">
        <w:rPr>
          <w:rFonts w:ascii="Arial" w:hAnsi="Arial" w:cs="Arial"/>
          <w:sz w:val="24"/>
          <w:szCs w:val="24"/>
          <w:lang w:val="en-US"/>
        </w:rPr>
        <w:t>reimbursement</w:t>
      </w:r>
      <w:r w:rsidR="000664A0" w:rsidRPr="001D29F8">
        <w:rPr>
          <w:rFonts w:ascii="Arial" w:hAnsi="Arial" w:cs="Arial"/>
          <w:sz w:val="24"/>
          <w:szCs w:val="24"/>
          <w:lang w:val="en-US"/>
        </w:rPr>
        <w:t>.</w:t>
      </w:r>
    </w:p>
    <w:p w14:paraId="49E06200" w14:textId="77777777" w:rsidR="008F7D61" w:rsidRPr="001D29F8" w:rsidRDefault="008F7D61"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An overview of data completeness is available in Supplemental table </w:t>
      </w:r>
      <w:r w:rsidR="00B37716" w:rsidRPr="001D29F8">
        <w:rPr>
          <w:rFonts w:ascii="Arial" w:hAnsi="Arial" w:cs="Arial"/>
          <w:sz w:val="24"/>
          <w:szCs w:val="24"/>
          <w:lang w:val="en-US"/>
        </w:rPr>
        <w:t>2</w:t>
      </w:r>
      <w:r w:rsidRPr="001D29F8">
        <w:rPr>
          <w:rFonts w:ascii="Arial" w:hAnsi="Arial" w:cs="Arial"/>
          <w:sz w:val="24"/>
          <w:szCs w:val="24"/>
          <w:lang w:val="en-US"/>
        </w:rPr>
        <w:t>.</w:t>
      </w:r>
    </w:p>
    <w:p w14:paraId="401C86F2" w14:textId="77777777" w:rsidR="00FB6966" w:rsidRPr="001D29F8" w:rsidRDefault="00FB6966" w:rsidP="001D29F8">
      <w:pPr>
        <w:spacing w:after="0" w:line="480" w:lineRule="auto"/>
        <w:jc w:val="both"/>
        <w:rPr>
          <w:rFonts w:ascii="Arial" w:hAnsi="Arial" w:cs="Arial"/>
          <w:sz w:val="24"/>
          <w:szCs w:val="24"/>
          <w:lang w:val="en-US"/>
        </w:rPr>
      </w:pPr>
    </w:p>
    <w:p w14:paraId="2171CFCD" w14:textId="77777777" w:rsidR="00FB6966" w:rsidRPr="001D29F8" w:rsidRDefault="00FB6966" w:rsidP="001D29F8">
      <w:pPr>
        <w:rPr>
          <w:rFonts w:ascii="Arial" w:hAnsi="Arial" w:cs="Arial"/>
          <w:b/>
          <w:sz w:val="24"/>
          <w:lang w:val="en-US"/>
        </w:rPr>
      </w:pPr>
      <w:r w:rsidRPr="001D29F8">
        <w:rPr>
          <w:rFonts w:ascii="Arial" w:hAnsi="Arial" w:cs="Arial"/>
          <w:b/>
          <w:sz w:val="24"/>
          <w:lang w:val="en-US"/>
        </w:rPr>
        <w:t>Study size</w:t>
      </w:r>
    </w:p>
    <w:p w14:paraId="263DB5CE" w14:textId="77777777" w:rsidR="00C41248" w:rsidRPr="001D29F8" w:rsidRDefault="00FB6966"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Beforehand, we estimated that about 400 adults with type 1 diabetes could be part of the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reimbursement program in the period that we would analyze. As mentioned before, every person in the reimbursement program was included, which totaled 515 adults. This gave the study enough power (&gt;80%) with a two-sided 5% significance level to detect a mean difference in HbA</w:t>
      </w:r>
      <w:r w:rsidRPr="001D29F8">
        <w:rPr>
          <w:rFonts w:ascii="Arial" w:hAnsi="Arial" w:cs="Arial"/>
          <w:sz w:val="24"/>
          <w:szCs w:val="24"/>
          <w:vertAlign w:val="subscript"/>
          <w:lang w:val="en-US"/>
        </w:rPr>
        <w:t>1c</w:t>
      </w:r>
      <w:r w:rsidRPr="001D29F8">
        <w:rPr>
          <w:rFonts w:ascii="Arial" w:hAnsi="Arial" w:cs="Arial"/>
          <w:sz w:val="24"/>
          <w:szCs w:val="24"/>
          <w:lang w:val="en-US"/>
        </w:rPr>
        <w:t xml:space="preserve"> of 0.3%.</w:t>
      </w:r>
    </w:p>
    <w:p w14:paraId="28745A82" w14:textId="77777777" w:rsidR="00FB6966" w:rsidRPr="001D29F8" w:rsidRDefault="00FB6966" w:rsidP="001D29F8">
      <w:pPr>
        <w:spacing w:after="0" w:line="480" w:lineRule="auto"/>
        <w:jc w:val="both"/>
        <w:rPr>
          <w:rFonts w:ascii="Arial" w:hAnsi="Arial" w:cs="Arial"/>
          <w:sz w:val="24"/>
          <w:szCs w:val="24"/>
          <w:lang w:val="en-US"/>
        </w:rPr>
      </w:pPr>
    </w:p>
    <w:p w14:paraId="12C0E952" w14:textId="77777777" w:rsidR="009B3BB8" w:rsidRPr="001D29F8" w:rsidRDefault="009B3BB8" w:rsidP="001D29F8">
      <w:pPr>
        <w:rPr>
          <w:rFonts w:ascii="Arial" w:hAnsi="Arial" w:cs="Arial"/>
          <w:b/>
          <w:sz w:val="24"/>
          <w:lang w:val="en-US"/>
        </w:rPr>
      </w:pPr>
      <w:bookmarkStart w:id="5" w:name="_Toc451074904"/>
      <w:bookmarkStart w:id="6" w:name="_Hlk489431880"/>
      <w:r w:rsidRPr="001D29F8">
        <w:rPr>
          <w:rFonts w:ascii="Arial" w:hAnsi="Arial" w:cs="Arial"/>
          <w:b/>
          <w:sz w:val="24"/>
          <w:lang w:val="en-US"/>
        </w:rPr>
        <w:t xml:space="preserve">Statistical </w:t>
      </w:r>
      <w:bookmarkEnd w:id="5"/>
      <w:r w:rsidR="00E53E07" w:rsidRPr="001D29F8">
        <w:rPr>
          <w:rFonts w:ascii="Arial" w:hAnsi="Arial" w:cs="Arial"/>
          <w:b/>
          <w:sz w:val="24"/>
          <w:lang w:val="en-US"/>
        </w:rPr>
        <w:t>a</w:t>
      </w:r>
      <w:r w:rsidR="00E742E6" w:rsidRPr="001D29F8">
        <w:rPr>
          <w:rFonts w:ascii="Arial" w:hAnsi="Arial" w:cs="Arial"/>
          <w:b/>
          <w:sz w:val="24"/>
          <w:lang w:val="en-US"/>
        </w:rPr>
        <w:t>nalysis</w:t>
      </w:r>
    </w:p>
    <w:p w14:paraId="0DC3BC32" w14:textId="616B1EFA" w:rsidR="00DE30F9" w:rsidRPr="001D29F8" w:rsidRDefault="004211BF" w:rsidP="001D29F8">
      <w:pPr>
        <w:spacing w:after="0" w:line="480" w:lineRule="auto"/>
        <w:jc w:val="both"/>
        <w:rPr>
          <w:rFonts w:ascii="Arial" w:hAnsi="Arial" w:cs="Arial"/>
          <w:color w:val="FF0000"/>
          <w:sz w:val="24"/>
          <w:szCs w:val="24"/>
          <w:lang w:val="en-US"/>
        </w:rPr>
      </w:pPr>
      <w:bookmarkStart w:id="7" w:name="_Hlk489428642"/>
      <w:bookmarkEnd w:id="6"/>
      <w:r w:rsidRPr="001D29F8">
        <w:rPr>
          <w:rFonts w:ascii="Arial" w:hAnsi="Arial" w:cs="Arial"/>
          <w:sz w:val="24"/>
          <w:szCs w:val="24"/>
          <w:lang w:val="en-US"/>
        </w:rPr>
        <w:t xml:space="preserve">For data analysis, the full analysis set was used, which comprised all patients who were registered as receiving reimbursement for </w:t>
      </w:r>
      <w:proofErr w:type="spellStart"/>
      <w:r w:rsidR="00D60768"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Pr="001D29F8">
        <w:rPr>
          <w:rFonts w:ascii="Arial" w:hAnsi="Arial" w:cs="Arial"/>
          <w:sz w:val="24"/>
          <w:szCs w:val="24"/>
          <w:lang w:val="en-US"/>
        </w:rPr>
        <w:t xml:space="preserve">. </w:t>
      </w:r>
      <w:r w:rsidR="00DE30F9" w:rsidRPr="001D29F8">
        <w:rPr>
          <w:rFonts w:ascii="Arial" w:hAnsi="Arial" w:cs="Arial"/>
          <w:sz w:val="24"/>
          <w:szCs w:val="24"/>
          <w:lang w:val="en-US"/>
        </w:rPr>
        <w:t>With a linear mixed model, we evaluated HbA</w:t>
      </w:r>
      <w:r w:rsidR="00DE30F9" w:rsidRPr="001D29F8">
        <w:rPr>
          <w:rFonts w:ascii="Arial" w:hAnsi="Arial" w:cs="Arial"/>
          <w:sz w:val="24"/>
          <w:szCs w:val="24"/>
          <w:vertAlign w:val="subscript"/>
          <w:lang w:val="en-US"/>
        </w:rPr>
        <w:t>1c</w:t>
      </w:r>
      <w:r w:rsidR="00E8602F" w:rsidRPr="001D29F8">
        <w:rPr>
          <w:rFonts w:ascii="Arial" w:hAnsi="Arial" w:cs="Arial"/>
          <w:sz w:val="24"/>
          <w:szCs w:val="24"/>
          <w:lang w:val="en-US"/>
        </w:rPr>
        <w:t xml:space="preserve"> and</w:t>
      </w:r>
      <w:r w:rsidR="00DE30F9" w:rsidRPr="001D29F8">
        <w:rPr>
          <w:rFonts w:ascii="Arial" w:hAnsi="Arial" w:cs="Arial"/>
          <w:sz w:val="24"/>
          <w:szCs w:val="24"/>
          <w:lang w:val="en-US"/>
        </w:rPr>
        <w:t xml:space="preserve"> </w:t>
      </w:r>
      <w:r w:rsidR="00D60768" w:rsidRPr="001D29F8">
        <w:rPr>
          <w:rFonts w:ascii="Arial" w:hAnsi="Arial" w:cs="Arial"/>
          <w:sz w:val="24"/>
          <w:szCs w:val="24"/>
          <w:lang w:val="en-US"/>
        </w:rPr>
        <w:t>quality of life</w:t>
      </w:r>
      <w:r w:rsidR="005D0999" w:rsidRPr="001D29F8">
        <w:rPr>
          <w:rFonts w:ascii="Arial" w:hAnsi="Arial" w:cs="Arial"/>
          <w:sz w:val="24"/>
          <w:szCs w:val="24"/>
          <w:lang w:val="en-US"/>
        </w:rPr>
        <w:t xml:space="preserve">, </w:t>
      </w:r>
      <w:r w:rsidR="00DE30F9" w:rsidRPr="001D29F8">
        <w:rPr>
          <w:rFonts w:ascii="Arial" w:hAnsi="Arial" w:cs="Arial"/>
          <w:sz w:val="24"/>
          <w:szCs w:val="24"/>
          <w:lang w:val="en-US"/>
        </w:rPr>
        <w:t xml:space="preserve">as a function of time, with a random effect of </w:t>
      </w:r>
      <w:r w:rsidR="00463DB7" w:rsidRPr="001D29F8">
        <w:rPr>
          <w:rFonts w:ascii="Arial" w:hAnsi="Arial" w:cs="Arial"/>
          <w:sz w:val="24"/>
          <w:szCs w:val="24"/>
          <w:lang w:val="en-US"/>
        </w:rPr>
        <w:t>center</w:t>
      </w:r>
      <w:r w:rsidR="00DE30F9" w:rsidRPr="001D29F8">
        <w:rPr>
          <w:rFonts w:ascii="Arial" w:hAnsi="Arial" w:cs="Arial"/>
          <w:sz w:val="24"/>
          <w:szCs w:val="24"/>
          <w:lang w:val="en-US"/>
        </w:rPr>
        <w:t xml:space="preserve"> to handle the correlation between patients of the same </w:t>
      </w:r>
      <w:r w:rsidR="00463DB7" w:rsidRPr="001D29F8">
        <w:rPr>
          <w:rFonts w:ascii="Arial" w:hAnsi="Arial" w:cs="Arial"/>
          <w:sz w:val="24"/>
          <w:szCs w:val="24"/>
          <w:lang w:val="en-US"/>
        </w:rPr>
        <w:t>center</w:t>
      </w:r>
      <w:r w:rsidR="00DE30F9" w:rsidRPr="001D29F8">
        <w:rPr>
          <w:rFonts w:ascii="Arial" w:hAnsi="Arial" w:cs="Arial"/>
          <w:sz w:val="24"/>
          <w:szCs w:val="24"/>
          <w:lang w:val="en-US"/>
        </w:rPr>
        <w:t xml:space="preserve"> and an unstructured covariance matrix for the </w:t>
      </w:r>
      <w:r w:rsidR="00D60768" w:rsidRPr="001D29F8">
        <w:rPr>
          <w:rFonts w:ascii="Arial" w:hAnsi="Arial" w:cs="Arial"/>
          <w:sz w:val="24"/>
          <w:szCs w:val="24"/>
          <w:lang w:val="en-US"/>
        </w:rPr>
        <w:t>five</w:t>
      </w:r>
      <w:r w:rsidR="00325583">
        <w:rPr>
          <w:rFonts w:ascii="Arial" w:hAnsi="Arial" w:cs="Arial"/>
          <w:sz w:val="24"/>
          <w:szCs w:val="24"/>
          <w:lang w:val="en-US"/>
        </w:rPr>
        <w:t xml:space="preserve"> or three</w:t>
      </w:r>
      <w:r w:rsidR="00DE30F9" w:rsidRPr="001D29F8">
        <w:rPr>
          <w:rFonts w:ascii="Arial" w:hAnsi="Arial" w:cs="Arial"/>
          <w:sz w:val="24"/>
          <w:szCs w:val="24"/>
          <w:lang w:val="en-US"/>
        </w:rPr>
        <w:t xml:space="preserve"> repeated measurements within the same patient. </w:t>
      </w:r>
      <w:r w:rsidR="008F7D61" w:rsidRPr="001D29F8">
        <w:rPr>
          <w:rFonts w:ascii="Arial" w:hAnsi="Arial" w:cs="Arial"/>
          <w:sz w:val="24"/>
          <w:szCs w:val="24"/>
          <w:lang w:val="en-US"/>
        </w:rPr>
        <w:t xml:space="preserve">By using a linear mixed model, cases with missing data still contributed to the analyses. </w:t>
      </w:r>
      <w:r w:rsidR="00DE30F9" w:rsidRPr="001D29F8">
        <w:rPr>
          <w:rFonts w:ascii="Arial" w:hAnsi="Arial" w:cs="Arial"/>
          <w:sz w:val="24"/>
          <w:szCs w:val="24"/>
          <w:lang w:val="en-US"/>
        </w:rPr>
        <w:t>For evolution of HbA</w:t>
      </w:r>
      <w:r w:rsidR="00DE30F9" w:rsidRPr="001D29F8">
        <w:rPr>
          <w:rFonts w:ascii="Arial" w:hAnsi="Arial" w:cs="Arial"/>
          <w:sz w:val="24"/>
          <w:szCs w:val="24"/>
          <w:vertAlign w:val="subscript"/>
          <w:lang w:val="en-US"/>
        </w:rPr>
        <w:t>1c</w:t>
      </w:r>
      <w:r w:rsidR="00DE30F9" w:rsidRPr="001D29F8">
        <w:rPr>
          <w:rFonts w:ascii="Arial" w:hAnsi="Arial" w:cs="Arial"/>
          <w:sz w:val="24"/>
          <w:szCs w:val="24"/>
          <w:lang w:val="en-US"/>
        </w:rPr>
        <w:t>, values at 4, 8</w:t>
      </w:r>
      <w:r w:rsidR="00E035CB" w:rsidRPr="001D29F8">
        <w:rPr>
          <w:rFonts w:ascii="Arial" w:hAnsi="Arial" w:cs="Arial"/>
          <w:sz w:val="24"/>
          <w:szCs w:val="24"/>
          <w:lang w:val="en-US"/>
        </w:rPr>
        <w:t>,</w:t>
      </w:r>
      <w:r w:rsidR="00DE30F9" w:rsidRPr="001D29F8">
        <w:rPr>
          <w:rFonts w:ascii="Arial" w:hAnsi="Arial" w:cs="Arial"/>
          <w:sz w:val="24"/>
          <w:szCs w:val="24"/>
          <w:lang w:val="en-US"/>
        </w:rPr>
        <w:t xml:space="preserve"> 12</w:t>
      </w:r>
      <w:r w:rsidR="005D0999" w:rsidRPr="001D29F8">
        <w:rPr>
          <w:rFonts w:ascii="Arial" w:hAnsi="Arial" w:cs="Arial"/>
          <w:sz w:val="24"/>
          <w:szCs w:val="24"/>
          <w:lang w:val="en-US"/>
        </w:rPr>
        <w:t>, and 24</w:t>
      </w:r>
      <w:r w:rsidR="00DE30F9" w:rsidRPr="001D29F8">
        <w:rPr>
          <w:rFonts w:ascii="Arial" w:hAnsi="Arial" w:cs="Arial"/>
          <w:sz w:val="24"/>
          <w:szCs w:val="24"/>
          <w:lang w:val="en-US"/>
        </w:rPr>
        <w:t xml:space="preserve"> months were compared with the average value from -12 months until -1 day (</w:t>
      </w:r>
      <w:r w:rsidR="00D60768" w:rsidRPr="001D29F8">
        <w:rPr>
          <w:rFonts w:ascii="Arial" w:hAnsi="Arial" w:cs="Arial"/>
          <w:sz w:val="24"/>
          <w:szCs w:val="24"/>
          <w:lang w:val="en-US"/>
        </w:rPr>
        <w:t>before</w:t>
      </w:r>
      <w:r w:rsidR="00DE30F9" w:rsidRPr="001D29F8">
        <w:rPr>
          <w:rFonts w:ascii="Arial" w:hAnsi="Arial" w:cs="Arial"/>
          <w:sz w:val="24"/>
          <w:szCs w:val="24"/>
          <w:lang w:val="en-US"/>
        </w:rPr>
        <w:t xml:space="preserve">=baseline). </w:t>
      </w:r>
      <w:r w:rsidR="005D0999" w:rsidRPr="001D29F8">
        <w:rPr>
          <w:rFonts w:ascii="Arial" w:hAnsi="Arial" w:cs="Arial"/>
          <w:sz w:val="24"/>
          <w:szCs w:val="24"/>
          <w:lang w:val="en-US"/>
        </w:rPr>
        <w:t xml:space="preserve">For evolution of </w:t>
      </w:r>
      <w:r w:rsidR="00D60768" w:rsidRPr="001D29F8">
        <w:rPr>
          <w:rFonts w:ascii="Arial" w:hAnsi="Arial" w:cs="Arial"/>
          <w:sz w:val="24"/>
          <w:szCs w:val="24"/>
          <w:lang w:val="en-US"/>
        </w:rPr>
        <w:t>quality of life</w:t>
      </w:r>
      <w:r w:rsidR="005D0999" w:rsidRPr="001D29F8">
        <w:rPr>
          <w:rFonts w:ascii="Arial" w:hAnsi="Arial" w:cs="Arial"/>
          <w:sz w:val="24"/>
          <w:szCs w:val="24"/>
          <w:lang w:val="en-US"/>
        </w:rPr>
        <w:t>, scores on the different questionnaires at 12 and 24 months were compared to the scores at start of reimbursement.</w:t>
      </w:r>
      <w:r w:rsidR="00197E02" w:rsidRPr="001D29F8">
        <w:rPr>
          <w:rFonts w:ascii="Arial" w:hAnsi="Arial" w:cs="Arial"/>
          <w:color w:val="FF0000"/>
          <w:sz w:val="24"/>
          <w:szCs w:val="24"/>
          <w:lang w:val="en-US"/>
        </w:rPr>
        <w:t xml:space="preserve"> </w:t>
      </w:r>
      <w:r w:rsidR="00BA1DB2" w:rsidRPr="001D29F8">
        <w:rPr>
          <w:rFonts w:ascii="Arial" w:hAnsi="Arial" w:cs="Arial"/>
          <w:sz w:val="24"/>
          <w:szCs w:val="24"/>
          <w:lang w:val="en-US"/>
        </w:rPr>
        <w:t>From the multivariable normal distribution implied by the linear mixed model, we derived the relation between baseline HbA</w:t>
      </w:r>
      <w:r w:rsidR="00BA1DB2" w:rsidRPr="001D29F8">
        <w:rPr>
          <w:rFonts w:ascii="Arial" w:hAnsi="Arial" w:cs="Arial"/>
          <w:sz w:val="24"/>
          <w:szCs w:val="24"/>
          <w:vertAlign w:val="subscript"/>
          <w:lang w:val="en-US"/>
        </w:rPr>
        <w:t>1c</w:t>
      </w:r>
      <w:r w:rsidR="00BA1DB2" w:rsidRPr="001D29F8">
        <w:rPr>
          <w:rFonts w:ascii="Arial" w:hAnsi="Arial" w:cs="Arial"/>
          <w:sz w:val="24"/>
          <w:szCs w:val="24"/>
          <w:lang w:val="en-US"/>
        </w:rPr>
        <w:t xml:space="preserve"> and changes in HbA</w:t>
      </w:r>
      <w:r w:rsidR="00BA1DB2" w:rsidRPr="001D29F8">
        <w:rPr>
          <w:rFonts w:ascii="Arial" w:hAnsi="Arial" w:cs="Arial"/>
          <w:sz w:val="24"/>
          <w:szCs w:val="24"/>
          <w:vertAlign w:val="subscript"/>
          <w:lang w:val="en-US"/>
        </w:rPr>
        <w:t xml:space="preserve">1c </w:t>
      </w:r>
      <w:r w:rsidR="00BA1DB2" w:rsidRPr="001D29F8">
        <w:rPr>
          <w:rFonts w:ascii="Arial" w:hAnsi="Arial" w:cs="Arial"/>
          <w:sz w:val="24"/>
          <w:szCs w:val="24"/>
          <w:lang w:val="en-US"/>
        </w:rPr>
        <w:t xml:space="preserve">versus baseline. Taking regression to the mean into account, the obtained correlation is not tested versus zero but versus the correlation which is already expected purely based on regression to the mean </w:t>
      </w:r>
      <w:r w:rsidR="00BA1DB2" w:rsidRPr="001D29F8">
        <w:rPr>
          <w:rFonts w:ascii="Arial" w:hAnsi="Arial" w:cs="Arial"/>
          <w:sz w:val="24"/>
          <w:szCs w:val="24"/>
          <w:lang w:val="en-US"/>
        </w:rPr>
        <w:fldChar w:fldCharType="begin" w:fldLock="1"/>
      </w:r>
      <w:r w:rsidR="00BA1DB2" w:rsidRPr="001D29F8">
        <w:rPr>
          <w:rFonts w:ascii="Arial" w:hAnsi="Arial" w:cs="Arial"/>
          <w:sz w:val="24"/>
          <w:szCs w:val="24"/>
          <w:lang w:val="en-US"/>
        </w:rPr>
        <w:instrText>ADDIN CSL_CITATION {"citationItems":[{"id":"ITEM-1","itemData":{"ISSN":"0909-8836 (Print)","PMID":"16048519","abstract":"Oral health researchers have shown great interest in the relationship between the initial status of diseases and subsequent changes following treatment. Two main approaches have been adopted to provide evidence of a positive association between baseline values and their changes following treatment. One approach is to use correlation or regression to test the relationship between baseline measurements and subsequent change (correlation/regression approach). The second approach is to categorize the lesions into subgroups, according to threshold values, and subsequently compare the treatment effects across the two (or more) subgroups (categorization approach). However, the correlation/regression approach suffers a methodological weakness known as mathematical coupling. Consequently, the statistical procedure of testing the null hypothesis becomes inappropriate. Categorization seems to avoid the problem of mathematical coupling, although it still suffers regression to the mean. We show, first, how the appropriate null hypothesis may be established to analyze the relationship between baseline values and change in the correlation approach and, second, we use computer simulations to investigate the impact of regression to the mean on the significance testing of the differences in the average treatment effects (or average baseline values) in the categorization approach. Data available from previous literature are reanalyzed by testing the appropriate null hypotheses and the results are compared to those from testing the usual (incorrect) null hypothesis. The results indicate that both the correlation and categorization approaches can give rise to misleading conclusions and that more appropriate methods, such as Oldham's method and our new approach of deriving the correct null hypothesis, should be adopted.","author":[{"dropping-particle":"","family":"Tu","given":"Yu-Kang","non-dropping-particle":"","parse-names":false,"suffix":""},{"dropping-particle":"","family":"Baelum","given":"Vibeke","non-dropping-particle":"","parse-names":false,"suffix":""},{"dropping-particle":"","family":"Gilthorpe","given":"Mark S","non-dropping-particle":"","parse-names":false,"suffix":""}],"container-title":"European journal of oral sciences","id":"ITEM-1","issue":"4","issued":{"date-parts":[["2005"]]},"language":"eng","page":"279-288","publisher-place":"England","title":"The relationship between baseline value and its change: problems in categorization and the proposal of a new method.","type":"article-journal","volume":"113"},"uris":["http://www.mendeley.com/documents/?uuid=6cbf94f1-3215-4e3d-b243-37f01127f70c"]}],"mendeley":{"formattedCitation":"(23)","plainTextFormattedCitation":"(23)","previouslyFormattedCitation":"(23)"},"properties":{"noteIndex":0},"schema":"https://github.com/citation-style-language/schema/raw/master/csl-citation.json"}</w:instrText>
      </w:r>
      <w:r w:rsidR="00BA1DB2" w:rsidRPr="001D29F8">
        <w:rPr>
          <w:rFonts w:ascii="Arial" w:hAnsi="Arial" w:cs="Arial"/>
          <w:sz w:val="24"/>
          <w:szCs w:val="24"/>
          <w:lang w:val="en-US"/>
        </w:rPr>
        <w:fldChar w:fldCharType="separate"/>
      </w:r>
      <w:r w:rsidR="00BA1DB2" w:rsidRPr="001D29F8">
        <w:rPr>
          <w:rFonts w:ascii="Arial" w:hAnsi="Arial" w:cs="Arial"/>
          <w:noProof/>
          <w:sz w:val="24"/>
          <w:szCs w:val="24"/>
          <w:lang w:val="en-US"/>
        </w:rPr>
        <w:t>(23)</w:t>
      </w:r>
      <w:r w:rsidR="00BA1DB2" w:rsidRPr="001D29F8">
        <w:rPr>
          <w:rFonts w:ascii="Arial" w:hAnsi="Arial" w:cs="Arial"/>
          <w:sz w:val="24"/>
          <w:szCs w:val="24"/>
          <w:lang w:val="en-US"/>
        </w:rPr>
        <w:fldChar w:fldCharType="end"/>
      </w:r>
      <w:r w:rsidR="00BA1DB2" w:rsidRPr="001D29F8">
        <w:rPr>
          <w:rFonts w:ascii="Arial" w:hAnsi="Arial" w:cs="Arial"/>
          <w:sz w:val="24"/>
          <w:szCs w:val="24"/>
          <w:lang w:val="en-US"/>
        </w:rPr>
        <w:t xml:space="preserve">. </w:t>
      </w:r>
      <w:r w:rsidR="00197E02" w:rsidRPr="001D29F8">
        <w:rPr>
          <w:rFonts w:ascii="Arial" w:hAnsi="Arial" w:cs="Arial"/>
          <w:sz w:val="24"/>
          <w:szCs w:val="24"/>
          <w:lang w:val="en-US"/>
        </w:rPr>
        <w:t>A</w:t>
      </w:r>
      <w:r w:rsidR="00197E02" w:rsidRPr="001D29F8">
        <w:rPr>
          <w:rFonts w:ascii="Arial" w:hAnsi="Arial" w:cs="Arial"/>
          <w:color w:val="FF0000"/>
          <w:sz w:val="24"/>
          <w:szCs w:val="24"/>
          <w:lang w:val="en-US"/>
        </w:rPr>
        <w:t xml:space="preserve"> </w:t>
      </w:r>
      <w:r w:rsidR="0060233F" w:rsidRPr="001D29F8">
        <w:rPr>
          <w:rFonts w:ascii="Arial" w:hAnsi="Arial" w:cs="Arial"/>
          <w:sz w:val="24"/>
          <w:szCs w:val="24"/>
          <w:lang w:val="en-US"/>
        </w:rPr>
        <w:t xml:space="preserve">logistic regression model with generalized estimating equations (GEE) was used to evaluate the evolution of proportion of participants </w:t>
      </w:r>
      <w:r w:rsidR="00A12400" w:rsidRPr="001D29F8">
        <w:rPr>
          <w:rFonts w:ascii="Arial" w:hAnsi="Arial" w:cs="Arial"/>
          <w:sz w:val="24"/>
          <w:szCs w:val="24"/>
          <w:lang w:val="en-US"/>
        </w:rPr>
        <w:t>who reached target HbA</w:t>
      </w:r>
      <w:r w:rsidR="00A12400" w:rsidRPr="001D29F8">
        <w:rPr>
          <w:rFonts w:ascii="Arial" w:hAnsi="Arial" w:cs="Arial"/>
          <w:sz w:val="24"/>
          <w:szCs w:val="24"/>
          <w:vertAlign w:val="subscript"/>
          <w:lang w:val="en-US"/>
        </w:rPr>
        <w:t>1c</w:t>
      </w:r>
      <w:r w:rsidR="00A12400" w:rsidRPr="001D29F8">
        <w:rPr>
          <w:rFonts w:ascii="Arial" w:hAnsi="Arial" w:cs="Arial"/>
          <w:sz w:val="24"/>
          <w:szCs w:val="24"/>
          <w:lang w:val="en-US"/>
        </w:rPr>
        <w:t xml:space="preserve"> (&lt;7%; &lt;53 </w:t>
      </w:r>
      <w:proofErr w:type="spellStart"/>
      <w:r w:rsidR="00A12400" w:rsidRPr="001D29F8">
        <w:rPr>
          <w:rFonts w:ascii="Arial" w:hAnsi="Arial" w:cs="Arial"/>
          <w:sz w:val="24"/>
          <w:szCs w:val="24"/>
          <w:lang w:val="en-US"/>
        </w:rPr>
        <w:t>mmol</w:t>
      </w:r>
      <w:proofErr w:type="spellEnd"/>
      <w:r w:rsidR="00A12400" w:rsidRPr="001D29F8">
        <w:rPr>
          <w:rFonts w:ascii="Arial" w:hAnsi="Arial" w:cs="Arial"/>
          <w:sz w:val="24"/>
          <w:szCs w:val="24"/>
          <w:lang w:val="en-US"/>
        </w:rPr>
        <w:t>/</w:t>
      </w:r>
      <w:proofErr w:type="spellStart"/>
      <w:r w:rsidR="00A12400" w:rsidRPr="001D29F8">
        <w:rPr>
          <w:rFonts w:ascii="Arial" w:hAnsi="Arial" w:cs="Arial"/>
          <w:sz w:val="24"/>
          <w:szCs w:val="24"/>
          <w:lang w:val="en-US"/>
        </w:rPr>
        <w:t>mol</w:t>
      </w:r>
      <w:proofErr w:type="spellEnd"/>
      <w:r w:rsidR="00A12400" w:rsidRPr="001D29F8">
        <w:rPr>
          <w:rFonts w:ascii="Arial" w:hAnsi="Arial" w:cs="Arial"/>
          <w:sz w:val="24"/>
          <w:szCs w:val="24"/>
          <w:lang w:val="en-US"/>
        </w:rPr>
        <w:t>), who reached clinical consensus target</w:t>
      </w:r>
      <w:r w:rsidR="00476A2D" w:rsidRPr="001D29F8">
        <w:rPr>
          <w:rFonts w:ascii="Arial" w:hAnsi="Arial" w:cs="Arial"/>
          <w:sz w:val="24"/>
          <w:szCs w:val="24"/>
          <w:lang w:val="en-US"/>
        </w:rPr>
        <w:t>s</w:t>
      </w:r>
      <w:r w:rsidR="00A12400" w:rsidRPr="001D29F8">
        <w:rPr>
          <w:rFonts w:ascii="Arial" w:hAnsi="Arial" w:cs="Arial"/>
          <w:sz w:val="24"/>
          <w:szCs w:val="24"/>
          <w:lang w:val="en-US"/>
        </w:rPr>
        <w:t xml:space="preserve">, who reached composite endpoints </w:t>
      </w:r>
      <w:r w:rsidR="00A12400"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{"citationItems":[{"id":"ITEM-1","itemData":{"ISSN":"1935-5548 (Electronic)","PMID":"31177185","abstract":"Improvements in sensor accuracy, greater convenience and ease of use, and expanding reimbursement have led to growing adoption of continuous glucose monitoring (CGM). However, successful utilization of CGM technology in routine clinical practice remains relatively low. This may be due in part to the lack of clear and agreed-upon glycemic targets that both diabetes teams and people with diabetes can work toward. Although unified recommendations for use of key CGM metrics have been established in three separate peer-reviewed articles, formal adoption by diabetes professional organizations and guidance in the practical application of these metrics in clinical practice have been lacking. In February 2019, the Advanced Technologies &amp; Treatments for Diabetes (ATTD) Congress convened an international panel of physicians, researchers, and individuals with diabetes who are expert in CGM technologies to address this issue. This article summarizes the ATTD consensus recommendations for relevant aspects of CGM data utilization and reporting among the various diabetes populations.","author":[{"dropping-particle":"","family":"Battelino","given":"Tadej","non-dropping-particle":"","parse-names":false,"suffix":""},{"dropping-particle":"","family":"Danne","given":"Thomas","non-dropping-particle":"","parse-names":false,"suffix":""},{"dropping-particle":"","family":"Bergenstal","given":"Richard M","non-dropping-particle":"","parse-names":false,"suffix":""},{"dropping-particle":"","family":"Amiel","given":"Stephanie A","non-dropping-particle":"","parse-names":false,"suffix":""},{"dropping-particle":"","family":"Beck","given":"Roy","non-dropping-particle":"","parse-names":false,"suffix":""},{"dropping-particle":"","family":"Biester","given":"Torben","non-dropping-particle":"","parse-names":false,"suffix":""},{"dropping-particle":"","family":"Bosi","given":"Emanuele","non-dropping-particle":"","parse-names":false,"suffix":""},{"dropping-particle":"","family":"Buckingham","given":"Bruce A","non-dropping-particle":"","parse-names":false,"suffix":""},{"dropping-particle":"","family":"Cefalu","given":"William T","non-dropping-particle":"","parse-names":false,"suffix":""},{"dropping-particle":"","family":"Close","given":"Kelly L","non-dropping-particle":"","parse-names":false,"suffix":""},{"dropping-particle":"","family":"Cobelli","given":"Claudio","non-dropping-particle":"","parse-names":false,"suffix":""},{"dropping-particle":"","family":"Dassau","given":"Eyal","non-dropping-particle":"","parse-names":false,"suffix":""},{"dropping-particle":"","family":"DeVries","given":"J Hans","non-dropping-particle":"","parse-names":false,"suffix":""},{"dropping-particle":"","family":"Donaghue","given":"Kim C","non-dropping-particle":"","parse-names":false,"suffix":""},{"dropping-particle":"","family":"Dovc","given":"Klemen","non-dropping-particle":"","parse-names":false,"suffix":""},{"dropping-particle":"","family":"Doyle","given":"Francis J 3rd","non-dropping-particle":"","parse-names":false,"suffix":""},{"dropping-particle":"","family":"Garg","given":"Satish","non-dropping-particle":"","parse-names":false,"suffix":""},{"dropping-particle":"","family":"Grunberger","given":"George","non-dropping-particle":"","parse-names":false,"suffix":""},{"dropping-particle":"","family":"Heller","given":"Simon","non-dropping-particle":"","parse-names":false,"suffix":""},{"dropping-particle":"","family":"Heinemann","given":"Lutz","non-dropping-particle":"","parse-names":false,"suffix":""},{"dropping-particle":"","family":"Hirsch","given":"Irl B","non-dropping-particle":"","parse-names":false,"suffix":""},{"dropping-particle":"","family":"Hovorka","given":"Roman","non-dropping-particle":"","parse-names":false,"suffix":""},{"dropping-particle":"","family":"Jia","given":"Weiping","non-dropping-particle":"","parse-names":false,"suffix":""},{"dropping-particle":"","family":"Kordonouri","given":"Olga","non-dropping-particle":"","parse-names":false,"suffix":""},{"dropping-particle":"","family":"Kovatchev","given":"Boris","non-dropping-particle":"","parse-names":false,"suffix":""},{"dropping-particle":"","family":"Kowalski","given":"Aaron","non-dropping-particle":"","parse-names":false,"suffix":""},{"dropping-particle":"","family":"Laffel","given":"Lori","non-dropping-particle":"","parse-names":false,"suffix":""},{"dropping-particle":"","family":"Levine","given":"Brian","non-dropping-particle":"","parse-names":false,"suffix":""},{"dropping-particle":"","family":"Mayorov","given":"Alexander","non-dropping-particle":"","parse-names":false,"suffix":""},{"dropping-particle":"","family":"Mathieu","given":"Chantal","non-dropping-particle":"","parse-names":false,"suffix":""},{"dropping-particle":"","family":"Murphy","given":"Helen R","non-dropping-particle":"","parse-names":false,"suffix":""},{"dropping-particle":"","family":"Nimri","given":"Revital","non-dropping-particle":"","parse-names":false,"suffix":""},{"dropping-particle":"","family":"Norgaard","given":"Kirsten","non-dropping-particle":"","parse-names":false,"suffix":""},{"dropping-particle":"","family":"Parkin","given":"Christopher G","non-dropping-particle":"","parse-names":false,"suffix":""},{"dropping-particle":"","family":"Renard","given":"Eric","non-dropping-particle":"","parse-names":false,"suffix":""},{"dropping-particle":"","family":"Rodbard","given":"David","non-dropping-particle":"","parse-names":false,"suffix":""},{"dropping-particle":"","family":"Saboo","given":"Banshi","non-dropping-particle":"","parse-names":false,"suffix":""},{"dropping-particle":"","family":"Schatz","given":"Desmond","non-dropping-particle":"","parse-names":false,"suffix":""},{"dropping-particle":"","family":"Stoner","given":"Keaton","non-dropping-particle":"","parse-names":false,"suffix":""},{"dropping-particle":"","family":"Urakami","given":"Tatsuiko","non-dropping-particle":"","parse-names":false,"suffix":""},{"dropping-particle":"","family":"Weinzimer","given":"Stuart A","non-dropping-particle":"","parse-names":false,"suffix":""},{"dropping-particle":"","family":"Phillip","given":"Moshe","non-dropping-particle":"","parse-names":false,"suffix":""}],"container-title":"Diabetes care","id":"ITEM-1","issue":"8","issued":{"date-parts":[["2019"]]},"language":"eng","page":"1593-1603","publisher-place":"United States","title":"Clinical Targets for Continuous Glucose Monitoring Data Interpretation: Recommendations From the International Consensus on Time in Range.","type":"article-journal","volume":"42"},"uris":["http://www.mendeley.com/documents/?uuid=2773c03c-f4ed-42ea-883f-d4e62a56dd5b"]},{"id":"ITEM-2","itemData":{"ISSN":"1935-5548 (Electronic)","PMID":"29162583","abstract":"Measurement of glycated hemoglobin (HbA1c) has been the traditional method for assessing glycemic control. However, it does not reflect intra- and interday glycemic excursions that may lead to acute events (such as hypoglycemia) or postprandial hyperglycemia, which have been linked to both microvascular and macrovascular complications. Continuous glucose monitoring (CGM), either from real-time use (rtCGM) or intermittently viewed (iCGM), addresses many of the limitations inherent in HbA1c testing and self-monitoring of blood glucose. Although both provide the means to move beyond the HbA1c measurement as the sole marker of glycemic control, standardized metrics for analyzing CGM data are lacking. Moreover, clear criteria for matching people with diabetes to the most appropriate glucose monitoring methodologies, as well as standardized advice about how best to use the new information they provide, have yet to be established. In February 2017, the Advanced Technologies &amp; Treatments for Diabetes (ATTD) Congress convened an international panel of physicians, researchers, and individuals with diabetes who are expert in CGM technologies to address these issues. This article summarizes the ATTD consensus recommendations and represents the current understanding of how CGM results can affect outcomes.","author":[{"dropping-particle":"","family":"Danne","given":"Thomas","non-dropping-particle":"","parse-names":false,"suffix":""},{"dropping-particle":"","family":"Nimri","given":"Revital","non-dropping-particle":"","parse-names":false,"suffix":""},{"dropping-particle":"","family":"Battelino","given":"Tadej","non-dropping-particle":"","parse-names":false,"suffix":""},{"dropping-particle":"","family":"Bergenstal","given":"Richard M","non-dropping-particle":"","parse-names":false,"suffix":""},{"dropping-particle":"","family":"Close","given":"Kelly L","non-dropping-particle":"","parse-names":false,"suffix":""},{"dropping-particle":"","family":"DeVries","given":"J Hans","non-dropping-particle":"","parse-names":false,"suffix":""},{"dropping-particle":"","family":"Garg","given":"Satish","non-dropping-particle":"","parse-names":false,"suffix":""},{"dropping-particle":"","family":"Heinemann","given":"Lutz","non-dropping-particle":"","parse-names":false,"suffix":""},{"dropping-particle":"","family":"Hirsch","given":"Irl","non-dropping-particle":"","parse-names":false,"suffix":""},{"dropping-particle":"","family":"Amiel","given":"Stephanie A","non-dropping-particle":"","parse-names":false,"suffix":""},{"dropping-particle":"","family":"Beck","given":"Roy","non-dropping-particle":"","parse-names":false,"suffix":""},{"dropping-particle":"","family":"Bosi","given":"Emanuele","non-dropping-particle":"","parse-names":false,"suffix":""},{"dropping-particle":"","family":"Buckingham","given":"Bruce","non-dropping-particle":"","parse-names":false,"suffix":""},{"dropping-particle":"","family":"Cobelli","given":"Claudio","non-dropping-particle":"","parse-names":false,"suffix":""},{"dropping-particle":"","family":"Dassau","given":"Eyal","non-dropping-particle":"","parse-names":false,"suffix":""},{"dropping-particle":"","family":"Doyle","given":"Francis J 3rd","non-dropping-particle":"","parse-names":false,"suffix":""},{"dropping-particle":"","family":"Heller","given":"Simon","non-dropping-particle":"","parse-names":false,"suffix":""},{"dropping-particle":"","family":"Hovorka","given":"Roman","non-dropping-particle":"","parse-names":false,"suffix":""},{"dropping-particle":"","family":"Jia","given":"Weiping","non-dropping-particle":"","parse-names":false,"suffix":""},{"dropping-particle":"","family":"Jones","given":"Tim","non-dropping-particle":"","parse-names":false,"suffix":""},{"dropping-particle":"","family":"Kordonouri","given":"Olga","non-dropping-particle":"","parse-names":false,"suffix":""},{"dropping-particle":"","family":"Kovatchev","given":"Boris","non-dropping-particle":"","parse-names":false,"suffix":""},{"dropping-particle":"","family":"Kowalski","given":"Aaron","non-dropping-particle":"","parse-names":false,"suffix":""},{"dropping-particle":"","family":"Laffel","given":"Lori","non-dropping-particle":"","parse-names":false,"suffix":""},{"dropping-particle":"","family":"Maahs","given":"David","non-dropping-particle":"","parse-names":false,"suffix":""},{"dropping-particle":"","family":"Murphy","given":"Helen R","non-dropping-particle":"","parse-names":false,"suffix":""},{"dropping-particle":"","family":"Norgaard","given":"Kirsten","non-dropping-particle":"","parse-names":false,"suffix":""},{"dropping-particle":"","family":"Parkin","given":"Christopher G","non-dropping-particle":"","parse-names":false,"suffix":""},{"dropping-particle":"","family":"Renard","given":"Eric","non-dropping-particle":"","parse-names":false,"suffix":""},{"dropping-particle":"","family":"Saboo","given":"Banshi","non-dropping-particle":"","parse-names":false,"suffix":""},{"dropping-particle":"","family":"Scharf","given":"Mauro","non-dropping-particle":"","parse-names":false,"suffix":""},{"dropping-particle":"V","family":"Tamborlane","given":"William","non-dropping-particle":"","parse-names":false,"suffix":""},{"dropping-particle":"","family":"Weinzimer","given":"Stuart A","non-dropping-particle":"","parse-names":false,"suffix":""},{"dropping-particle":"","family":"Phillip","given":"Moshe","non-dropping-particle":"","parse-names":false,"suffix":""}],"container-title":"Diabetes care","id":"ITEM-2","issue":"12","issued":{"date-parts":[["2017"]]},"language":"eng","page":"1631-1640","publisher-place":"United States","title":"International Consensus on Use of Continuous Glucose Monitoring.","type":"article-journal","volume":"40"},"uris":["http://www.mendeley.com/documents/?uuid=0492d019-ef2f-40d4-95f4-9f4b06f1144a"]}],"mendeley":{"formattedCitation":"(18,19)","plainTextFormattedCitation":"(18,19)","previouslyFormattedCitation":"(18,19)"},"properties":{"noteIndex":0},"schema":"https://github.com/citation-style-language/schema/raw/master/csl-citation.json"}</w:instrText>
      </w:r>
      <w:r w:rsidR="00A12400" w:rsidRPr="001D29F8">
        <w:rPr>
          <w:rFonts w:ascii="Arial" w:hAnsi="Arial" w:cs="Arial"/>
          <w:sz w:val="24"/>
          <w:szCs w:val="24"/>
          <w:lang w:val="en-US"/>
        </w:rPr>
        <w:fldChar w:fldCharType="separate"/>
      </w:r>
      <w:r w:rsidR="00A13E6A" w:rsidRPr="001D29F8">
        <w:rPr>
          <w:rFonts w:ascii="Arial" w:hAnsi="Arial" w:cs="Arial"/>
          <w:noProof/>
          <w:sz w:val="24"/>
          <w:szCs w:val="24"/>
          <w:lang w:val="en-US"/>
        </w:rPr>
        <w:t>(18,19)</w:t>
      </w:r>
      <w:r w:rsidR="00A12400" w:rsidRPr="001D29F8">
        <w:rPr>
          <w:rFonts w:ascii="Arial" w:hAnsi="Arial" w:cs="Arial"/>
          <w:sz w:val="24"/>
          <w:szCs w:val="24"/>
          <w:lang w:val="en-US"/>
        </w:rPr>
        <w:fldChar w:fldCharType="end"/>
      </w:r>
      <w:r w:rsidR="00A12400" w:rsidRPr="001D29F8">
        <w:rPr>
          <w:rFonts w:ascii="Arial" w:hAnsi="Arial" w:cs="Arial"/>
          <w:sz w:val="24"/>
          <w:szCs w:val="24"/>
          <w:lang w:val="en-US"/>
        </w:rPr>
        <w:t xml:space="preserve">, </w:t>
      </w:r>
      <w:r w:rsidR="0060233F" w:rsidRPr="001D29F8">
        <w:rPr>
          <w:rFonts w:ascii="Arial" w:hAnsi="Arial" w:cs="Arial"/>
          <w:sz w:val="24"/>
          <w:szCs w:val="24"/>
          <w:lang w:val="en-US"/>
        </w:rPr>
        <w:t xml:space="preserve">with </w:t>
      </w:r>
      <w:r w:rsidR="00502108" w:rsidRPr="001D29F8">
        <w:rPr>
          <w:rFonts w:ascii="Arial" w:hAnsi="Arial" w:cs="Arial"/>
          <w:sz w:val="24"/>
          <w:szCs w:val="24"/>
          <w:lang w:val="en-US"/>
        </w:rPr>
        <w:t xml:space="preserve">hospitalizations, </w:t>
      </w:r>
      <w:r w:rsidR="00A12400" w:rsidRPr="001D29F8">
        <w:rPr>
          <w:rFonts w:ascii="Arial" w:hAnsi="Arial" w:cs="Arial"/>
          <w:sz w:val="24"/>
          <w:szCs w:val="24"/>
          <w:lang w:val="en-US"/>
        </w:rPr>
        <w:t xml:space="preserve">with </w:t>
      </w:r>
      <w:r w:rsidR="00DE30F9" w:rsidRPr="001D29F8">
        <w:rPr>
          <w:rFonts w:ascii="Arial" w:hAnsi="Arial" w:cs="Arial"/>
          <w:sz w:val="24"/>
          <w:szCs w:val="24"/>
          <w:lang w:val="en-US"/>
        </w:rPr>
        <w:t>work absenteeism</w:t>
      </w:r>
      <w:r w:rsidR="00822EB1" w:rsidRPr="001D29F8">
        <w:rPr>
          <w:rFonts w:ascii="Arial" w:hAnsi="Arial" w:cs="Arial"/>
          <w:sz w:val="24"/>
          <w:szCs w:val="24"/>
          <w:lang w:val="en-US"/>
        </w:rPr>
        <w:t>,</w:t>
      </w:r>
      <w:r w:rsidR="00DE30F9" w:rsidRPr="001D29F8">
        <w:rPr>
          <w:rFonts w:ascii="Arial" w:hAnsi="Arial" w:cs="Arial"/>
          <w:sz w:val="24"/>
          <w:szCs w:val="24"/>
          <w:lang w:val="en-US"/>
        </w:rPr>
        <w:t xml:space="preserve"> and </w:t>
      </w:r>
      <w:r w:rsidR="00A12400" w:rsidRPr="001D29F8">
        <w:rPr>
          <w:rFonts w:ascii="Arial" w:hAnsi="Arial" w:cs="Arial"/>
          <w:sz w:val="24"/>
          <w:szCs w:val="24"/>
          <w:lang w:val="en-US"/>
        </w:rPr>
        <w:t xml:space="preserve">with </w:t>
      </w:r>
      <w:r w:rsidR="00D60768" w:rsidRPr="001D29F8">
        <w:rPr>
          <w:rFonts w:ascii="Arial" w:hAnsi="Arial" w:cs="Arial"/>
          <w:sz w:val="24"/>
          <w:szCs w:val="24"/>
          <w:lang w:val="en-US"/>
        </w:rPr>
        <w:t xml:space="preserve">acute </w:t>
      </w:r>
      <w:r w:rsidR="00476A2D" w:rsidRPr="001D29F8">
        <w:rPr>
          <w:rFonts w:ascii="Arial" w:hAnsi="Arial" w:cs="Arial"/>
          <w:sz w:val="24"/>
          <w:szCs w:val="24"/>
          <w:lang w:val="en-US"/>
        </w:rPr>
        <w:t>hypoglycemic</w:t>
      </w:r>
      <w:r w:rsidR="00D60768" w:rsidRPr="001D29F8">
        <w:rPr>
          <w:rFonts w:ascii="Arial" w:hAnsi="Arial" w:cs="Arial"/>
          <w:sz w:val="24"/>
          <w:szCs w:val="24"/>
          <w:lang w:val="en-US"/>
        </w:rPr>
        <w:t xml:space="preserve"> complications</w:t>
      </w:r>
      <w:r w:rsidR="00DE30F9" w:rsidRPr="001D29F8">
        <w:rPr>
          <w:rFonts w:ascii="Arial" w:hAnsi="Arial" w:cs="Arial"/>
          <w:sz w:val="24"/>
          <w:szCs w:val="24"/>
          <w:lang w:val="en-US"/>
        </w:rPr>
        <w:t xml:space="preserve">. Differences in </w:t>
      </w:r>
      <w:r w:rsidR="00E8602F" w:rsidRPr="001D29F8">
        <w:rPr>
          <w:rFonts w:ascii="Arial" w:hAnsi="Arial" w:cs="Arial"/>
          <w:sz w:val="24"/>
          <w:szCs w:val="24"/>
          <w:lang w:val="en-US"/>
        </w:rPr>
        <w:t xml:space="preserve">days </w:t>
      </w:r>
      <w:r w:rsidR="00502108" w:rsidRPr="001D29F8">
        <w:rPr>
          <w:rFonts w:ascii="Arial" w:hAnsi="Arial" w:cs="Arial"/>
          <w:sz w:val="24"/>
          <w:szCs w:val="24"/>
          <w:lang w:val="en-US"/>
        </w:rPr>
        <w:t>of</w:t>
      </w:r>
      <w:r w:rsidR="00E8602F" w:rsidRPr="001D29F8">
        <w:rPr>
          <w:rFonts w:ascii="Arial" w:hAnsi="Arial" w:cs="Arial"/>
          <w:sz w:val="24"/>
          <w:szCs w:val="24"/>
          <w:lang w:val="en-US"/>
        </w:rPr>
        <w:t xml:space="preserve"> </w:t>
      </w:r>
      <w:r w:rsidR="00DE30F9" w:rsidRPr="001D29F8">
        <w:rPr>
          <w:rFonts w:ascii="Arial" w:hAnsi="Arial" w:cs="Arial"/>
          <w:sz w:val="24"/>
          <w:szCs w:val="24"/>
          <w:lang w:val="en-US"/>
        </w:rPr>
        <w:t>work absenteeism</w:t>
      </w:r>
      <w:r w:rsidR="00502108" w:rsidRPr="001D29F8">
        <w:rPr>
          <w:rFonts w:ascii="Arial" w:hAnsi="Arial" w:cs="Arial"/>
          <w:sz w:val="24"/>
          <w:szCs w:val="24"/>
          <w:lang w:val="en-US"/>
        </w:rPr>
        <w:t>,</w:t>
      </w:r>
      <w:r w:rsidR="00E8602F" w:rsidRPr="001D29F8">
        <w:rPr>
          <w:rFonts w:ascii="Arial" w:hAnsi="Arial" w:cs="Arial"/>
          <w:sz w:val="24"/>
          <w:szCs w:val="24"/>
          <w:lang w:val="en-US"/>
        </w:rPr>
        <w:t xml:space="preserve"> and</w:t>
      </w:r>
      <w:r w:rsidR="00DE30F9" w:rsidRPr="001D29F8">
        <w:rPr>
          <w:rFonts w:ascii="Arial" w:hAnsi="Arial" w:cs="Arial"/>
          <w:sz w:val="24"/>
          <w:szCs w:val="24"/>
          <w:lang w:val="en-US"/>
        </w:rPr>
        <w:t xml:space="preserve"> </w:t>
      </w:r>
      <w:r w:rsidR="00E8602F" w:rsidRPr="001D29F8">
        <w:rPr>
          <w:rFonts w:ascii="Arial" w:hAnsi="Arial" w:cs="Arial"/>
          <w:sz w:val="24"/>
          <w:szCs w:val="24"/>
          <w:lang w:val="en-US"/>
        </w:rPr>
        <w:t>number</w:t>
      </w:r>
      <w:r w:rsidR="00BA1DB2" w:rsidRPr="001D29F8">
        <w:rPr>
          <w:rFonts w:ascii="Arial" w:hAnsi="Arial" w:cs="Arial"/>
          <w:sz w:val="24"/>
          <w:szCs w:val="24"/>
          <w:lang w:val="en-US"/>
        </w:rPr>
        <w:t xml:space="preserve"> of</w:t>
      </w:r>
      <w:r w:rsidR="00304842" w:rsidRPr="001D29F8">
        <w:rPr>
          <w:rFonts w:ascii="Arial" w:hAnsi="Arial" w:cs="Arial"/>
          <w:sz w:val="24"/>
          <w:szCs w:val="24"/>
          <w:lang w:val="en-US"/>
        </w:rPr>
        <w:t xml:space="preserve"> hospitalizations and</w:t>
      </w:r>
      <w:r w:rsidR="00E8602F" w:rsidRPr="001D29F8">
        <w:rPr>
          <w:rFonts w:ascii="Arial" w:hAnsi="Arial" w:cs="Arial"/>
          <w:sz w:val="24"/>
          <w:szCs w:val="24"/>
          <w:lang w:val="en-US"/>
        </w:rPr>
        <w:t xml:space="preserve"> acute hypoglycemic events </w:t>
      </w:r>
      <w:r w:rsidR="00DE30F9" w:rsidRPr="001D29F8">
        <w:rPr>
          <w:rFonts w:ascii="Arial" w:hAnsi="Arial" w:cs="Arial"/>
          <w:sz w:val="24"/>
          <w:szCs w:val="24"/>
          <w:lang w:val="en-US"/>
        </w:rPr>
        <w:t xml:space="preserve">per 100 patient-years were assessed with </w:t>
      </w:r>
      <w:r w:rsidR="007F1F09" w:rsidRPr="001D29F8">
        <w:rPr>
          <w:rFonts w:ascii="Arial" w:hAnsi="Arial" w:cs="Arial"/>
          <w:sz w:val="24"/>
          <w:szCs w:val="24"/>
          <w:lang w:val="en-US"/>
        </w:rPr>
        <w:t>a negative binomial GEE model</w:t>
      </w:r>
      <w:r w:rsidR="00DE30F9" w:rsidRPr="001D29F8">
        <w:rPr>
          <w:rFonts w:ascii="Arial" w:hAnsi="Arial" w:cs="Arial"/>
          <w:sz w:val="24"/>
          <w:szCs w:val="24"/>
          <w:lang w:val="en-US"/>
        </w:rPr>
        <w:t xml:space="preserve">. </w:t>
      </w:r>
      <w:r w:rsidR="00A84D4F" w:rsidRPr="001D29F8">
        <w:rPr>
          <w:rFonts w:ascii="Arial" w:hAnsi="Arial" w:cs="Arial"/>
          <w:sz w:val="24"/>
          <w:szCs w:val="24"/>
          <w:lang w:val="en-US"/>
        </w:rPr>
        <w:t>People who were incapable of working because of disability were excluded.</w:t>
      </w:r>
    </w:p>
    <w:p w14:paraId="29176FA1" w14:textId="77777777" w:rsidR="00822EB1" w:rsidRPr="001D29F8" w:rsidRDefault="00822EB1"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A Bonferroni-Holm correction was considered for results at 24 months referring to the primary outcome, evolution of HbA</w:t>
      </w:r>
      <w:r w:rsidRPr="001D29F8">
        <w:rPr>
          <w:rFonts w:ascii="Arial" w:hAnsi="Arial" w:cs="Arial"/>
          <w:sz w:val="24"/>
          <w:szCs w:val="24"/>
          <w:vertAlign w:val="subscript"/>
          <w:lang w:val="en-US"/>
        </w:rPr>
        <w:t>1c</w:t>
      </w:r>
      <w:r w:rsidR="003D7EBE" w:rsidRPr="001D29F8">
        <w:rPr>
          <w:rFonts w:ascii="Arial" w:hAnsi="Arial" w:cs="Arial"/>
          <w:sz w:val="24"/>
          <w:szCs w:val="24"/>
          <w:lang w:val="en-US"/>
        </w:rPr>
        <w:t xml:space="preserve"> for the total population</w:t>
      </w:r>
      <w:r w:rsidRPr="001D29F8">
        <w:rPr>
          <w:rFonts w:ascii="Arial" w:hAnsi="Arial" w:cs="Arial"/>
          <w:sz w:val="24"/>
          <w:szCs w:val="24"/>
          <w:lang w:val="en-US"/>
        </w:rPr>
        <w:t>. No adjustment was made for multiple testing of secondary endpoints.</w:t>
      </w:r>
    </w:p>
    <w:p w14:paraId="03224670" w14:textId="77777777" w:rsidR="00E8602F" w:rsidRPr="001D29F8" w:rsidRDefault="00E8602F"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Post-hoc, </w:t>
      </w:r>
      <w:r w:rsidR="000842A4" w:rsidRPr="001D29F8">
        <w:rPr>
          <w:rFonts w:ascii="Arial" w:hAnsi="Arial" w:cs="Arial"/>
          <w:sz w:val="24"/>
          <w:szCs w:val="24"/>
          <w:lang w:val="en-US"/>
        </w:rPr>
        <w:t xml:space="preserve">all analyses were repeated </w:t>
      </w:r>
      <w:r w:rsidR="000C1DA3" w:rsidRPr="001D29F8">
        <w:rPr>
          <w:rFonts w:ascii="Arial" w:hAnsi="Arial" w:cs="Arial"/>
          <w:sz w:val="24"/>
          <w:szCs w:val="24"/>
          <w:lang w:val="en-US"/>
        </w:rPr>
        <w:t xml:space="preserve">for people with and without </w:t>
      </w:r>
      <w:r w:rsidR="00476A2D" w:rsidRPr="001D29F8">
        <w:rPr>
          <w:rFonts w:ascii="Arial" w:hAnsi="Arial" w:cs="Arial"/>
          <w:sz w:val="24"/>
          <w:szCs w:val="24"/>
          <w:lang w:val="en-US"/>
        </w:rPr>
        <w:t>IAH</w:t>
      </w:r>
      <w:r w:rsidRPr="001D29F8">
        <w:rPr>
          <w:rFonts w:ascii="Arial" w:hAnsi="Arial" w:cs="Arial"/>
          <w:sz w:val="24"/>
          <w:szCs w:val="24"/>
          <w:lang w:val="en-US"/>
        </w:rPr>
        <w:t xml:space="preserve">. </w:t>
      </w:r>
      <w:r w:rsidR="00C83CE2" w:rsidRPr="001D29F8">
        <w:rPr>
          <w:rFonts w:ascii="Arial" w:hAnsi="Arial" w:cs="Arial"/>
          <w:sz w:val="24"/>
          <w:szCs w:val="24"/>
          <w:lang w:val="en-US"/>
        </w:rPr>
        <w:t>HbA</w:t>
      </w:r>
      <w:r w:rsidR="00C83CE2" w:rsidRPr="001D29F8">
        <w:rPr>
          <w:rFonts w:ascii="Arial" w:hAnsi="Arial" w:cs="Arial"/>
          <w:sz w:val="24"/>
          <w:szCs w:val="24"/>
          <w:vertAlign w:val="subscript"/>
          <w:lang w:val="en-US"/>
        </w:rPr>
        <w:t>1c</w:t>
      </w:r>
      <w:r w:rsidR="00C83CE2" w:rsidRPr="001D29F8">
        <w:rPr>
          <w:rFonts w:ascii="Arial" w:hAnsi="Arial" w:cs="Arial"/>
          <w:sz w:val="24"/>
          <w:szCs w:val="24"/>
          <w:lang w:val="en-US"/>
        </w:rPr>
        <w:t xml:space="preserve"> evolution was also assessed for groups of baseline HbA</w:t>
      </w:r>
      <w:r w:rsidR="00C83CE2" w:rsidRPr="001D29F8">
        <w:rPr>
          <w:rFonts w:ascii="Arial" w:hAnsi="Arial" w:cs="Arial"/>
          <w:sz w:val="24"/>
          <w:szCs w:val="24"/>
          <w:vertAlign w:val="subscript"/>
          <w:lang w:val="en-US"/>
        </w:rPr>
        <w:t>1c</w:t>
      </w:r>
      <w:r w:rsidR="00C83CE2" w:rsidRPr="001D29F8">
        <w:rPr>
          <w:rFonts w:ascii="Arial" w:hAnsi="Arial" w:cs="Arial"/>
          <w:sz w:val="24"/>
          <w:szCs w:val="24"/>
          <w:lang w:val="en-US"/>
        </w:rPr>
        <w:t xml:space="preserve">. </w:t>
      </w:r>
      <w:r w:rsidRPr="001D29F8">
        <w:rPr>
          <w:rFonts w:ascii="Arial" w:hAnsi="Arial" w:cs="Arial"/>
          <w:sz w:val="24"/>
          <w:szCs w:val="24"/>
          <w:lang w:val="en-US"/>
        </w:rPr>
        <w:t>The number of people in t</w:t>
      </w:r>
      <w:r w:rsidR="000842A4" w:rsidRPr="001D29F8">
        <w:rPr>
          <w:rFonts w:ascii="Arial" w:hAnsi="Arial" w:cs="Arial"/>
          <w:sz w:val="24"/>
          <w:szCs w:val="24"/>
          <w:lang w:val="en-US"/>
        </w:rPr>
        <w:t>hese</w:t>
      </w:r>
      <w:r w:rsidRPr="001D29F8">
        <w:rPr>
          <w:rFonts w:ascii="Arial" w:hAnsi="Arial" w:cs="Arial"/>
          <w:sz w:val="24"/>
          <w:szCs w:val="24"/>
          <w:lang w:val="en-US"/>
        </w:rPr>
        <w:t xml:space="preserve"> subgroups at baseline, 4, 8, 12, and 24 months is shown in Supplementary Table </w:t>
      </w:r>
      <w:r w:rsidR="00B37716" w:rsidRPr="001D29F8">
        <w:rPr>
          <w:rFonts w:ascii="Arial" w:hAnsi="Arial" w:cs="Arial"/>
          <w:sz w:val="24"/>
          <w:szCs w:val="24"/>
          <w:lang w:val="en-US"/>
        </w:rPr>
        <w:t>3</w:t>
      </w:r>
      <w:r w:rsidRPr="001D29F8">
        <w:rPr>
          <w:rFonts w:ascii="Arial" w:hAnsi="Arial" w:cs="Arial"/>
          <w:sz w:val="24"/>
          <w:szCs w:val="24"/>
          <w:lang w:val="en-US"/>
        </w:rPr>
        <w:t>.</w:t>
      </w:r>
      <w:r w:rsidR="000842A4" w:rsidRPr="001D29F8">
        <w:rPr>
          <w:rFonts w:ascii="Arial" w:hAnsi="Arial" w:cs="Arial"/>
          <w:sz w:val="24"/>
          <w:szCs w:val="24"/>
          <w:lang w:val="en-US"/>
        </w:rPr>
        <w:t xml:space="preserve"> Differences between the subgroups at </w:t>
      </w:r>
      <w:r w:rsidR="00516E4A" w:rsidRPr="001D29F8">
        <w:rPr>
          <w:rFonts w:ascii="Arial" w:hAnsi="Arial" w:cs="Arial"/>
          <w:sz w:val="24"/>
          <w:szCs w:val="24"/>
          <w:lang w:val="en-US"/>
        </w:rPr>
        <w:t>different time points</w:t>
      </w:r>
      <w:r w:rsidR="000842A4" w:rsidRPr="001D29F8">
        <w:rPr>
          <w:rFonts w:ascii="Arial" w:hAnsi="Arial" w:cs="Arial"/>
          <w:sz w:val="24"/>
          <w:szCs w:val="24"/>
          <w:lang w:val="en-US"/>
        </w:rPr>
        <w:t xml:space="preserve"> were compared with the Mann-Whitney U Test</w:t>
      </w:r>
      <w:r w:rsidR="00E92544" w:rsidRPr="001D29F8">
        <w:rPr>
          <w:rFonts w:ascii="Arial" w:hAnsi="Arial" w:cs="Arial"/>
          <w:sz w:val="24"/>
          <w:szCs w:val="24"/>
          <w:lang w:val="en-US"/>
        </w:rPr>
        <w:t xml:space="preserve"> for continuous data and </w:t>
      </w:r>
      <w:r w:rsidR="00516E4A" w:rsidRPr="001D29F8">
        <w:rPr>
          <w:rFonts w:ascii="Arial" w:hAnsi="Arial" w:cs="Arial"/>
          <w:sz w:val="24"/>
          <w:szCs w:val="24"/>
          <w:lang w:val="en-US"/>
        </w:rPr>
        <w:t xml:space="preserve">with </w:t>
      </w:r>
      <w:r w:rsidR="00E92544" w:rsidRPr="001D29F8">
        <w:rPr>
          <w:rFonts w:ascii="Arial" w:hAnsi="Arial" w:cs="Arial"/>
          <w:sz w:val="24"/>
          <w:szCs w:val="24"/>
          <w:lang w:val="en-US"/>
        </w:rPr>
        <w:t>the Chi-Square Test for dichotomous data</w:t>
      </w:r>
      <w:r w:rsidR="000842A4" w:rsidRPr="001D29F8">
        <w:rPr>
          <w:rFonts w:ascii="Arial" w:hAnsi="Arial" w:cs="Arial"/>
          <w:sz w:val="24"/>
          <w:szCs w:val="24"/>
          <w:lang w:val="en-US"/>
        </w:rPr>
        <w:t>.</w:t>
      </w:r>
    </w:p>
    <w:p w14:paraId="54F4ED16" w14:textId="77777777" w:rsidR="00DE30F9" w:rsidRPr="001D29F8" w:rsidRDefault="00DE30F9"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Statistical </w:t>
      </w:r>
      <w:r w:rsidR="00463DB7" w:rsidRPr="001D29F8">
        <w:rPr>
          <w:rFonts w:ascii="Arial" w:hAnsi="Arial" w:cs="Arial"/>
          <w:sz w:val="24"/>
          <w:szCs w:val="24"/>
          <w:lang w:val="en-US"/>
        </w:rPr>
        <w:t>analy</w:t>
      </w:r>
      <w:r w:rsidR="00F93A96" w:rsidRPr="001D29F8">
        <w:rPr>
          <w:rFonts w:ascii="Arial" w:hAnsi="Arial" w:cs="Arial"/>
          <w:sz w:val="24"/>
          <w:szCs w:val="24"/>
          <w:lang w:val="en-US"/>
        </w:rPr>
        <w:t>s</w:t>
      </w:r>
      <w:r w:rsidR="00463DB7" w:rsidRPr="001D29F8">
        <w:rPr>
          <w:rFonts w:ascii="Arial" w:hAnsi="Arial" w:cs="Arial"/>
          <w:sz w:val="24"/>
          <w:szCs w:val="24"/>
          <w:lang w:val="en-US"/>
        </w:rPr>
        <w:t>e</w:t>
      </w:r>
      <w:r w:rsidRPr="001D29F8">
        <w:rPr>
          <w:rFonts w:ascii="Arial" w:hAnsi="Arial" w:cs="Arial"/>
          <w:sz w:val="24"/>
          <w:szCs w:val="24"/>
          <w:lang w:val="en-US"/>
        </w:rPr>
        <w:t>s were performed with SPSS software for Windows (IBM SPSS Statistics version 2</w:t>
      </w:r>
      <w:r w:rsidR="00A84D4F" w:rsidRPr="001D29F8">
        <w:rPr>
          <w:rFonts w:ascii="Arial" w:hAnsi="Arial" w:cs="Arial"/>
          <w:sz w:val="24"/>
          <w:szCs w:val="24"/>
          <w:lang w:val="en-US"/>
        </w:rPr>
        <w:t>6</w:t>
      </w:r>
      <w:r w:rsidR="004850DB" w:rsidRPr="001D29F8">
        <w:rPr>
          <w:rFonts w:ascii="Arial" w:hAnsi="Arial" w:cs="Arial"/>
          <w:sz w:val="24"/>
          <w:szCs w:val="24"/>
          <w:lang w:val="en-US"/>
        </w:rPr>
        <w:t>, Armonk, USA).</w:t>
      </w:r>
    </w:p>
    <w:p w14:paraId="533839E3" w14:textId="77777777" w:rsidR="00E8602F" w:rsidRPr="001D29F8" w:rsidRDefault="00E8602F" w:rsidP="001D29F8">
      <w:pPr>
        <w:spacing w:after="0" w:line="480" w:lineRule="auto"/>
        <w:jc w:val="both"/>
        <w:rPr>
          <w:rFonts w:ascii="Arial" w:hAnsi="Arial" w:cs="Arial"/>
          <w:color w:val="FF0000"/>
          <w:sz w:val="24"/>
          <w:szCs w:val="24"/>
          <w:lang w:val="en-US"/>
        </w:rPr>
      </w:pPr>
    </w:p>
    <w:bookmarkEnd w:id="7"/>
    <w:p w14:paraId="2F11A297" w14:textId="77777777" w:rsidR="009B3BB8" w:rsidRPr="001D29F8" w:rsidRDefault="001D29F8" w:rsidP="001D29F8">
      <w:pPr>
        <w:rPr>
          <w:rFonts w:ascii="Arial" w:hAnsi="Arial" w:cs="Arial"/>
          <w:b/>
          <w:sz w:val="24"/>
          <w:szCs w:val="24"/>
          <w:lang w:val="en-US"/>
        </w:rPr>
      </w:pPr>
      <w:r w:rsidRPr="001D29F8">
        <w:rPr>
          <w:rFonts w:ascii="Arial" w:hAnsi="Arial" w:cs="Arial"/>
          <w:b/>
          <w:sz w:val="24"/>
          <w:szCs w:val="24"/>
          <w:lang w:val="en-US"/>
        </w:rPr>
        <w:t>RESULTS</w:t>
      </w:r>
    </w:p>
    <w:p w14:paraId="52974EA0" w14:textId="77777777" w:rsidR="009B3BB8" w:rsidRPr="001D29F8" w:rsidRDefault="009B3BB8" w:rsidP="001D29F8">
      <w:pPr>
        <w:rPr>
          <w:rFonts w:ascii="Arial" w:hAnsi="Arial" w:cs="Arial"/>
          <w:b/>
          <w:sz w:val="24"/>
          <w:lang w:val="en-US"/>
        </w:rPr>
      </w:pPr>
      <w:bookmarkStart w:id="8" w:name="_Toc451074908"/>
      <w:r w:rsidRPr="001D29F8">
        <w:rPr>
          <w:rFonts w:ascii="Arial" w:hAnsi="Arial" w:cs="Arial"/>
          <w:b/>
          <w:sz w:val="24"/>
          <w:lang w:val="en-US"/>
        </w:rPr>
        <w:t>Patient</w:t>
      </w:r>
      <w:bookmarkEnd w:id="8"/>
      <w:r w:rsidRPr="001D29F8">
        <w:rPr>
          <w:rFonts w:ascii="Arial" w:hAnsi="Arial" w:cs="Arial"/>
          <w:b/>
          <w:sz w:val="24"/>
          <w:lang w:val="en-US"/>
        </w:rPr>
        <w:t xml:space="preserve"> </w:t>
      </w:r>
      <w:r w:rsidR="00E53E07" w:rsidRPr="001D29F8">
        <w:rPr>
          <w:rFonts w:ascii="Arial" w:hAnsi="Arial" w:cs="Arial"/>
          <w:b/>
          <w:sz w:val="24"/>
          <w:lang w:val="en-US"/>
        </w:rPr>
        <w:t>c</w:t>
      </w:r>
      <w:r w:rsidRPr="001D29F8">
        <w:rPr>
          <w:rFonts w:ascii="Arial" w:hAnsi="Arial" w:cs="Arial"/>
          <w:b/>
          <w:sz w:val="24"/>
          <w:lang w:val="en-US"/>
        </w:rPr>
        <w:t>haracteristics</w:t>
      </w:r>
      <w:r w:rsidR="00850928" w:rsidRPr="001D29F8">
        <w:rPr>
          <w:rFonts w:ascii="Arial" w:hAnsi="Arial" w:cs="Arial"/>
          <w:b/>
          <w:sz w:val="24"/>
          <w:lang w:val="en-US"/>
        </w:rPr>
        <w:t xml:space="preserve"> </w:t>
      </w:r>
      <w:r w:rsidR="0017597D" w:rsidRPr="001D29F8">
        <w:rPr>
          <w:rFonts w:ascii="Arial" w:hAnsi="Arial" w:cs="Arial"/>
          <w:b/>
          <w:sz w:val="24"/>
          <w:lang w:val="en-US"/>
        </w:rPr>
        <w:t xml:space="preserve">and </w:t>
      </w:r>
      <w:proofErr w:type="spellStart"/>
      <w:r w:rsidR="0017597D" w:rsidRPr="001D29F8">
        <w:rPr>
          <w:rFonts w:ascii="Arial" w:hAnsi="Arial" w:cs="Arial"/>
          <w:b/>
          <w:sz w:val="24"/>
          <w:lang w:val="en-US"/>
        </w:rPr>
        <w:t>rtCGM</w:t>
      </w:r>
      <w:proofErr w:type="spellEnd"/>
      <w:r w:rsidR="0017597D" w:rsidRPr="001D29F8">
        <w:rPr>
          <w:rFonts w:ascii="Arial" w:hAnsi="Arial" w:cs="Arial"/>
          <w:b/>
          <w:sz w:val="24"/>
          <w:lang w:val="en-US"/>
        </w:rPr>
        <w:t xml:space="preserve"> use</w:t>
      </w:r>
    </w:p>
    <w:p w14:paraId="11B02CD0" w14:textId="77777777" w:rsidR="008327EE" w:rsidRPr="001D29F8" w:rsidRDefault="008327EE" w:rsidP="001D29F8">
      <w:pPr>
        <w:spacing w:after="0" w:line="480" w:lineRule="auto"/>
        <w:jc w:val="both"/>
        <w:rPr>
          <w:rFonts w:ascii="Arial" w:hAnsi="Arial" w:cs="Arial"/>
          <w:color w:val="FF0000"/>
          <w:sz w:val="24"/>
          <w:szCs w:val="24"/>
          <w:lang w:val="en-US"/>
        </w:rPr>
      </w:pPr>
      <w:r w:rsidRPr="001D29F8">
        <w:rPr>
          <w:rFonts w:ascii="Arial" w:hAnsi="Arial" w:cs="Arial"/>
          <w:sz w:val="24"/>
          <w:szCs w:val="24"/>
          <w:lang w:val="en-US"/>
        </w:rPr>
        <w:t xml:space="preserve">The demographics and </w:t>
      </w:r>
      <w:r w:rsidR="00BA1DB2" w:rsidRPr="001D29F8">
        <w:rPr>
          <w:rFonts w:ascii="Arial" w:hAnsi="Arial" w:cs="Arial"/>
          <w:sz w:val="24"/>
          <w:szCs w:val="24"/>
          <w:lang w:val="en-US"/>
        </w:rPr>
        <w:t xml:space="preserve">clinical </w:t>
      </w:r>
      <w:r w:rsidRPr="001D29F8">
        <w:rPr>
          <w:rFonts w:ascii="Arial" w:hAnsi="Arial" w:cs="Arial"/>
          <w:sz w:val="24"/>
          <w:szCs w:val="24"/>
          <w:lang w:val="en-US"/>
        </w:rPr>
        <w:t xml:space="preserve">characteristics of patients were previously presented in full </w:t>
      </w:r>
      <w:r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{"citationItems":[{"id":"ITEM-1","itemData":{"ISSN":"1945-7197 (Electronic)","PMID":"29342264","abstract":"Context: Randomized controlled trials evaluating real-time continuous glucose monitoring (RT-CGM) patients with type 1 diabetes (T1D) show improved glycemic control, but limited data are available on real-world use. Objective: To assess impact of RT-CGM in real-world settings on glycemic control, hospital admissions, work absenteeism, and quality of life (QOL). Design: Prospective, observational, multicenter, cohort study. Participants: A total of 515 adults with T1D on continuous subcutaneous insulin infusion (CSII) therapy starting in the Belgian RT-CGM reimbursement program. Intervention: Initiation of RT-CGM reimbursement. Main Outcome Measure: Hemoglobin A1c (HbA1c) evolution from baseline to 12 months. Results: Between September 1, 2014, and December 31, 2016, 515 adults entered the reimbursement system. Over this period, 417 (81%) patients used RT-CGM for at least 12 months. Baseline HbA1c was 7.7 +/- 0.9% (61 +/- 9.8 mmol/mol) and decreased to 7.4 +/- 0.8% (57 +/- 8.7 mmol/mol) at 12 months (P &lt; 0.0001). Subjects who started RT-CGM because of insufficient glycemic control showed stronger decrease in HbA1c at 4, 8, and 12 months compared with patients who started because of hypoglycemia or pregnancy. In the year preceding reimbursement, 16% of patients were hospitalized for severe hypoglycemia or ketoacidosis in contrast to 4% (P &lt; 0.0005) the following year, with decrease in admission days from 54 to 18 per 100 patient years (P &lt; 0.0005). In the same period, work absenteeism decreased and QOL improved significantly, with strong decline in fear of hypoglycemia. Conclusion: Sensor-augmented pump therapy in patients with T1D followed in specialized centers improves HbA1c, fear of hypoglycemia, and QOL, whereas work absenteeism and admissions for acute diabetes complications decreased.","author":[{"dropping-particle":"","family":"Charleer","given":"Sara","non-dropping-particle":"","parse-names":false,"suffix":""},{"dropping-particle":"","family":"Mathieu","given":"Chantal","non-dropping-particle":"","parse-names":false,"suffix":""},{"dropping-particle":"","family":"Nobels","given":"Frank","non-dropping-particle":"","parse-names":false,"suffix":""},{"dropping-particle":"","family":"Block","given":"Christophe","non-dropping-particle":"De","parse-names":false,"suffix":""},{"dropping-particle":"","family":"Radermecker","given":"Regis P","non-dropping-particle":"","parse-names":false,"suffix":""},{"dropping-particle":"","family":"Hermans","given":"Michel P","non-dropping-particle":"","parse-names":false,"suffix":""},{"dropping-particle":"","family":"Taes","given":"Youri","non-dropping-particle":"","parse-names":false,"suffix":""},{"dropping-particle":"","family":"Vercammen","given":"Chris","non-dropping-particle":"","parse-names":false,"suffix":""},{"dropping-particle":"","family":"T'Sjoen","given":"Guy","non-dropping-particle":"","parse-names":false,"suffix":""},{"dropping-particle":"","family":"Crenier","given":"Laurent","non-dropping-particle":"","parse-names":false,"suffix":""},{"dropping-particle":"","family":"Fieuws","given":"Steffen","non-dropping-particle":"","parse-names":false,"suffix":""},{"dropping-particle":"","family":"Keymeulen","given":"Bart","non-dropping-particle":"","parse-names":false,"suffix":""},{"dropping-particle":"","family":"Gillard","given":"Pieter","non-dropping-particle":"","parse-names":false,"suffix":""}],"container-title":"The Journal of clinical endocrinology and metabolism","id":"ITEM-1","issue":"3","issued":{"date-parts":[["2018"]]},"language":"eng","page":"1224-1232","publisher-place":"United States","title":"Effect of Continuous Glucose Monitoring on Glycemic Control, Acute Admissions, and Quality of Life: A Real-World Study.","type":"article-journal","volume":"103"},"uris":["http://www.mendeley.com/documents/?uuid=dc52f52d-d4b3-49c8-a652-7dcc0d1b5b2d"]}],"mendeley":{"formattedCitation":"(17)","plainTextFormattedCitation":"(17)","previouslyFormattedCitation":"(17)"},"properties":{"noteIndex":0},"schema":"https://github.com/citation-style-language/schema/raw/master/csl-citation.json"}</w:instrText>
      </w:r>
      <w:r w:rsidRPr="001D29F8">
        <w:rPr>
          <w:rFonts w:ascii="Arial" w:hAnsi="Arial" w:cs="Arial"/>
          <w:sz w:val="24"/>
          <w:szCs w:val="24"/>
          <w:lang w:val="en-US"/>
        </w:rPr>
        <w:fldChar w:fldCharType="separate"/>
      </w:r>
      <w:r w:rsidR="00A13E6A" w:rsidRPr="001D29F8">
        <w:rPr>
          <w:rFonts w:ascii="Arial" w:hAnsi="Arial" w:cs="Arial"/>
          <w:noProof/>
          <w:sz w:val="24"/>
          <w:szCs w:val="24"/>
          <w:lang w:val="en-US"/>
        </w:rPr>
        <w:t>(17)</w:t>
      </w:r>
      <w:r w:rsidRPr="001D29F8">
        <w:rPr>
          <w:rFonts w:ascii="Arial" w:hAnsi="Arial" w:cs="Arial"/>
          <w:sz w:val="24"/>
          <w:szCs w:val="24"/>
          <w:lang w:val="en-US"/>
        </w:rPr>
        <w:fldChar w:fldCharType="end"/>
      </w:r>
      <w:r w:rsidRPr="001D29F8">
        <w:rPr>
          <w:rFonts w:ascii="Arial" w:hAnsi="Arial" w:cs="Arial"/>
          <w:sz w:val="24"/>
          <w:szCs w:val="24"/>
          <w:lang w:val="en-US"/>
        </w:rPr>
        <w:t xml:space="preserve">. In short, the majority was highly educated, with a long history of type 1 diabetes, on average 6 years of CSII experience at baseline, </w:t>
      </w:r>
      <w:r w:rsidR="00B35D12" w:rsidRPr="001D29F8">
        <w:rPr>
          <w:rFonts w:ascii="Arial" w:hAnsi="Arial" w:cs="Arial"/>
          <w:sz w:val="24"/>
          <w:szCs w:val="24"/>
          <w:lang w:val="en-US"/>
        </w:rPr>
        <w:t xml:space="preserve">56% had hypoglycemia as indication to start </w:t>
      </w:r>
      <w:proofErr w:type="spellStart"/>
      <w:r w:rsidR="00B35D12" w:rsidRPr="001D29F8">
        <w:rPr>
          <w:rFonts w:ascii="Arial" w:hAnsi="Arial" w:cs="Arial"/>
          <w:sz w:val="24"/>
          <w:szCs w:val="24"/>
          <w:lang w:val="en-US"/>
        </w:rPr>
        <w:t>rtCGM</w:t>
      </w:r>
      <w:proofErr w:type="spellEnd"/>
      <w:r w:rsidR="00B35D12" w:rsidRPr="001D29F8">
        <w:rPr>
          <w:rFonts w:ascii="Arial" w:hAnsi="Arial" w:cs="Arial"/>
          <w:sz w:val="24"/>
          <w:szCs w:val="24"/>
          <w:lang w:val="en-US"/>
        </w:rPr>
        <w:t xml:space="preserve">, and </w:t>
      </w:r>
      <w:r w:rsidRPr="001D29F8">
        <w:rPr>
          <w:rFonts w:ascii="Arial" w:hAnsi="Arial" w:cs="Arial"/>
          <w:sz w:val="24"/>
          <w:szCs w:val="24"/>
          <w:lang w:val="en-US"/>
        </w:rPr>
        <w:t xml:space="preserve">almost half of people had </w:t>
      </w:r>
      <w:r w:rsidR="003E4D97" w:rsidRPr="001D29F8">
        <w:rPr>
          <w:rFonts w:ascii="Arial" w:hAnsi="Arial" w:cs="Arial"/>
          <w:sz w:val="24"/>
          <w:szCs w:val="24"/>
          <w:lang w:val="en-US"/>
        </w:rPr>
        <w:t>IAH</w:t>
      </w:r>
      <w:r w:rsidR="00C83CE2" w:rsidRPr="001D29F8">
        <w:rPr>
          <w:rFonts w:ascii="Arial" w:hAnsi="Arial" w:cs="Arial"/>
          <w:sz w:val="24"/>
          <w:szCs w:val="24"/>
          <w:lang w:val="en-US"/>
        </w:rPr>
        <w:t>.</w:t>
      </w:r>
    </w:p>
    <w:p w14:paraId="2EB3F57D" w14:textId="77777777" w:rsidR="00145063" w:rsidRPr="001D29F8" w:rsidRDefault="00927BEE" w:rsidP="001D29F8">
      <w:pPr>
        <w:autoSpaceDE w:val="0"/>
        <w:autoSpaceDN w:val="0"/>
        <w:adjustRightInd w:val="0"/>
        <w:spacing w:after="0" w:line="480" w:lineRule="auto"/>
        <w:jc w:val="both"/>
        <w:rPr>
          <w:rFonts w:ascii="Arial" w:hAnsi="Arial" w:cs="Arial"/>
          <w:sz w:val="24"/>
          <w:szCs w:val="24"/>
          <w:highlight w:val="yellow"/>
          <w:lang w:val="en-US"/>
        </w:rPr>
      </w:pPr>
      <w:r w:rsidRPr="001D29F8">
        <w:rPr>
          <w:rFonts w:ascii="Arial" w:hAnsi="Arial" w:cs="Arial"/>
          <w:sz w:val="24"/>
          <w:szCs w:val="24"/>
          <w:lang w:val="en-US"/>
        </w:rPr>
        <w:t xml:space="preserve">Of 515 adults </w:t>
      </w:r>
      <w:r w:rsidR="000E1D0D" w:rsidRPr="001D29F8">
        <w:rPr>
          <w:rFonts w:ascii="Arial" w:hAnsi="Arial" w:cs="Arial"/>
          <w:sz w:val="24"/>
          <w:szCs w:val="24"/>
          <w:lang w:val="en-US"/>
        </w:rPr>
        <w:t>who</w:t>
      </w:r>
      <w:r w:rsidRPr="001D29F8">
        <w:rPr>
          <w:rFonts w:ascii="Arial" w:hAnsi="Arial" w:cs="Arial"/>
          <w:sz w:val="24"/>
          <w:szCs w:val="24"/>
          <w:lang w:val="en-US"/>
        </w:rPr>
        <w:t xml:space="preserve"> were initially included in the </w:t>
      </w:r>
      <w:r w:rsidR="00F210C1" w:rsidRPr="001D29F8">
        <w:rPr>
          <w:rFonts w:ascii="Arial" w:hAnsi="Arial" w:cs="Arial"/>
          <w:sz w:val="24"/>
          <w:szCs w:val="24"/>
          <w:lang w:val="en-US"/>
        </w:rPr>
        <w:t>study</w:t>
      </w:r>
      <w:r w:rsidRPr="001D29F8">
        <w:rPr>
          <w:rFonts w:ascii="Arial" w:hAnsi="Arial" w:cs="Arial"/>
          <w:sz w:val="24"/>
          <w:szCs w:val="24"/>
          <w:lang w:val="en-US"/>
        </w:rPr>
        <w:t xml:space="preserve">, </w:t>
      </w:r>
      <w:r w:rsidR="003D7EBE" w:rsidRPr="001D29F8">
        <w:rPr>
          <w:rFonts w:ascii="Arial" w:hAnsi="Arial" w:cs="Arial"/>
          <w:sz w:val="24"/>
          <w:szCs w:val="24"/>
          <w:lang w:val="en-US"/>
        </w:rPr>
        <w:t>87%</w:t>
      </w:r>
      <w:r w:rsidRPr="001D29F8">
        <w:rPr>
          <w:rFonts w:ascii="Arial" w:hAnsi="Arial" w:cs="Arial"/>
          <w:sz w:val="24"/>
          <w:szCs w:val="24"/>
          <w:lang w:val="en-US"/>
        </w:rPr>
        <w:t xml:space="preserve"> (n=449/515</w:t>
      </w:r>
      <w:r w:rsidR="003D7EBE" w:rsidRPr="001D29F8">
        <w:rPr>
          <w:rFonts w:ascii="Arial" w:hAnsi="Arial" w:cs="Arial"/>
          <w:sz w:val="24"/>
          <w:szCs w:val="24"/>
          <w:lang w:val="en-US"/>
        </w:rPr>
        <w:t xml:space="preserve">) </w:t>
      </w:r>
      <w:r w:rsidRPr="001D29F8">
        <w:rPr>
          <w:rFonts w:ascii="Arial" w:hAnsi="Arial" w:cs="Arial"/>
          <w:sz w:val="24"/>
          <w:szCs w:val="24"/>
          <w:lang w:val="en-US"/>
        </w:rPr>
        <w:t xml:space="preserve">and 69% (n=355/515) </w:t>
      </w:r>
      <w:r w:rsidR="003D7EBE" w:rsidRPr="001D29F8">
        <w:rPr>
          <w:rFonts w:ascii="Arial" w:hAnsi="Arial" w:cs="Arial"/>
          <w:sz w:val="24"/>
          <w:szCs w:val="24"/>
          <w:lang w:val="en-US"/>
        </w:rPr>
        <w:t xml:space="preserve">had </w:t>
      </w:r>
      <w:r w:rsidRPr="001D29F8">
        <w:rPr>
          <w:rFonts w:ascii="Arial" w:hAnsi="Arial" w:cs="Arial"/>
          <w:sz w:val="24"/>
          <w:szCs w:val="24"/>
          <w:lang w:val="en-US"/>
        </w:rPr>
        <w:t xml:space="preserve">more than </w:t>
      </w:r>
      <w:r w:rsidR="003D7EBE" w:rsidRPr="001D29F8">
        <w:rPr>
          <w:rFonts w:ascii="Arial" w:hAnsi="Arial" w:cs="Arial"/>
          <w:sz w:val="24"/>
          <w:szCs w:val="24"/>
          <w:lang w:val="en-US"/>
        </w:rPr>
        <w:t xml:space="preserve">12 </w:t>
      </w:r>
      <w:r w:rsidRPr="001D29F8">
        <w:rPr>
          <w:rFonts w:ascii="Arial" w:hAnsi="Arial" w:cs="Arial"/>
          <w:sz w:val="24"/>
          <w:szCs w:val="24"/>
          <w:lang w:val="en-US"/>
        </w:rPr>
        <w:t xml:space="preserve">and 24 months of </w:t>
      </w:r>
      <w:r w:rsidR="003D7EBE" w:rsidRPr="001D29F8">
        <w:rPr>
          <w:rFonts w:ascii="Arial" w:hAnsi="Arial" w:cs="Arial"/>
          <w:sz w:val="24"/>
          <w:szCs w:val="24"/>
          <w:lang w:val="en-US"/>
        </w:rPr>
        <w:t>follow-up,</w:t>
      </w:r>
      <w:r w:rsidRPr="001D29F8">
        <w:rPr>
          <w:rFonts w:ascii="Arial" w:hAnsi="Arial" w:cs="Arial"/>
          <w:sz w:val="24"/>
          <w:szCs w:val="24"/>
          <w:lang w:val="en-US"/>
        </w:rPr>
        <w:t xml:space="preserve"> respectively. In total, 77 people (15%) were lost to follow-up to the central investigators and 83 people (16%) </w:t>
      </w:r>
      <w:r w:rsidR="003D7EBE" w:rsidRPr="001D29F8">
        <w:rPr>
          <w:rFonts w:ascii="Arial" w:hAnsi="Arial" w:cs="Arial"/>
          <w:sz w:val="24"/>
          <w:szCs w:val="24"/>
          <w:lang w:val="en-US"/>
        </w:rPr>
        <w:t xml:space="preserve">stopped using </w:t>
      </w:r>
      <w:proofErr w:type="spellStart"/>
      <w:r w:rsidR="00E53E07"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0E1D0D" w:rsidRPr="001D29F8">
        <w:rPr>
          <w:rFonts w:ascii="Arial" w:hAnsi="Arial" w:cs="Arial"/>
          <w:sz w:val="24"/>
          <w:szCs w:val="24"/>
          <w:lang w:val="en-US"/>
        </w:rPr>
        <w:t xml:space="preserve"> (Supplemental Fig. 1)</w:t>
      </w:r>
      <w:r w:rsidR="009B3BB8" w:rsidRPr="001D29F8">
        <w:rPr>
          <w:rFonts w:ascii="Arial" w:hAnsi="Arial" w:cs="Arial"/>
          <w:sz w:val="24"/>
          <w:szCs w:val="24"/>
          <w:lang w:val="en-US"/>
        </w:rPr>
        <w:t xml:space="preserve">. </w:t>
      </w:r>
      <w:r w:rsidR="00237E79" w:rsidRPr="001D29F8">
        <w:rPr>
          <w:rFonts w:ascii="Arial" w:hAnsi="Arial" w:cs="Arial"/>
          <w:sz w:val="24"/>
          <w:szCs w:val="24"/>
          <w:lang w:val="en-US"/>
        </w:rPr>
        <w:t xml:space="preserve">People could have multiple reasons for deciding to stop </w:t>
      </w:r>
      <w:proofErr w:type="spellStart"/>
      <w:r w:rsidR="00237E79" w:rsidRPr="001D29F8">
        <w:rPr>
          <w:rFonts w:ascii="Arial" w:hAnsi="Arial" w:cs="Arial"/>
          <w:sz w:val="24"/>
          <w:szCs w:val="24"/>
          <w:lang w:val="en-US"/>
        </w:rPr>
        <w:t>rtCGM</w:t>
      </w:r>
      <w:proofErr w:type="spellEnd"/>
      <w:r w:rsidR="00237E79" w:rsidRPr="001D29F8">
        <w:rPr>
          <w:rFonts w:ascii="Arial" w:hAnsi="Arial" w:cs="Arial"/>
          <w:sz w:val="24"/>
          <w:szCs w:val="24"/>
          <w:lang w:val="en-US"/>
        </w:rPr>
        <w:t>. The m</w:t>
      </w:r>
      <w:r w:rsidR="009B3BB8" w:rsidRPr="001D29F8">
        <w:rPr>
          <w:rFonts w:ascii="Arial" w:hAnsi="Arial" w:cs="Arial"/>
          <w:sz w:val="24"/>
          <w:szCs w:val="24"/>
          <w:lang w:val="en-US"/>
        </w:rPr>
        <w:t xml:space="preserve">ost frequent reason for discontinuation </w:t>
      </w:r>
      <w:r w:rsidR="00237E79" w:rsidRPr="001D29F8">
        <w:rPr>
          <w:rFonts w:ascii="Arial" w:hAnsi="Arial" w:cs="Arial"/>
          <w:sz w:val="24"/>
          <w:szCs w:val="24"/>
          <w:lang w:val="en-US"/>
        </w:rPr>
        <w:t xml:space="preserve">was </w:t>
      </w:r>
      <w:r w:rsidR="009B3BB8" w:rsidRPr="001D29F8">
        <w:rPr>
          <w:rFonts w:ascii="Arial" w:hAnsi="Arial" w:cs="Arial"/>
          <w:sz w:val="24"/>
          <w:szCs w:val="24"/>
          <w:lang w:val="en-US"/>
        </w:rPr>
        <w:t>related to the system itself, such as alarm fatigue (n=</w:t>
      </w:r>
      <w:r w:rsidR="00E67F1F" w:rsidRPr="001D29F8">
        <w:rPr>
          <w:rFonts w:ascii="Arial" w:hAnsi="Arial" w:cs="Arial"/>
          <w:sz w:val="24"/>
          <w:szCs w:val="24"/>
          <w:lang w:val="en-US"/>
        </w:rPr>
        <w:t>27</w:t>
      </w:r>
      <w:r w:rsidR="0017597D" w:rsidRPr="001D29F8">
        <w:rPr>
          <w:rFonts w:ascii="Arial" w:hAnsi="Arial" w:cs="Arial"/>
          <w:sz w:val="24"/>
          <w:szCs w:val="24"/>
          <w:lang w:val="en-US"/>
        </w:rPr>
        <w:t>/83</w:t>
      </w:r>
      <w:r w:rsidR="009B3BB8" w:rsidRPr="001D29F8">
        <w:rPr>
          <w:rFonts w:ascii="Arial" w:hAnsi="Arial" w:cs="Arial"/>
          <w:sz w:val="24"/>
          <w:szCs w:val="24"/>
          <w:lang w:val="en-US"/>
        </w:rPr>
        <w:t>, 3</w:t>
      </w:r>
      <w:r w:rsidR="00E67F1F" w:rsidRPr="001D29F8">
        <w:rPr>
          <w:rFonts w:ascii="Arial" w:hAnsi="Arial" w:cs="Arial"/>
          <w:sz w:val="24"/>
          <w:szCs w:val="24"/>
          <w:lang w:val="en-US"/>
        </w:rPr>
        <w:t>3</w:t>
      </w:r>
      <w:r w:rsidR="009B3BB8" w:rsidRPr="001D29F8">
        <w:rPr>
          <w:rFonts w:ascii="Arial" w:hAnsi="Arial" w:cs="Arial"/>
          <w:sz w:val="24"/>
          <w:szCs w:val="24"/>
          <w:lang w:val="en-US"/>
        </w:rPr>
        <w:t xml:space="preserve">%). Other reasons were </w:t>
      </w:r>
      <w:r w:rsidR="00615E19" w:rsidRPr="001D29F8">
        <w:rPr>
          <w:rFonts w:ascii="Arial" w:hAnsi="Arial" w:cs="Arial"/>
          <w:sz w:val="24"/>
          <w:szCs w:val="24"/>
          <w:lang w:val="en-US"/>
        </w:rPr>
        <w:t>local and/or technical problems (n=21</w:t>
      </w:r>
      <w:r w:rsidR="0017597D" w:rsidRPr="001D29F8">
        <w:rPr>
          <w:rFonts w:ascii="Arial" w:hAnsi="Arial" w:cs="Arial"/>
          <w:sz w:val="24"/>
          <w:szCs w:val="24"/>
          <w:lang w:val="en-US"/>
        </w:rPr>
        <w:t>/83</w:t>
      </w:r>
      <w:r w:rsidR="00615E19" w:rsidRPr="001D29F8">
        <w:rPr>
          <w:rFonts w:ascii="Arial" w:hAnsi="Arial" w:cs="Arial"/>
          <w:sz w:val="24"/>
          <w:szCs w:val="24"/>
          <w:lang w:val="en-US"/>
        </w:rPr>
        <w:t>, 26%), no apparent benefit for patient and/or physician (n=20</w:t>
      </w:r>
      <w:r w:rsidR="0017597D" w:rsidRPr="001D29F8">
        <w:rPr>
          <w:rFonts w:ascii="Arial" w:hAnsi="Arial" w:cs="Arial"/>
          <w:sz w:val="24"/>
          <w:szCs w:val="24"/>
          <w:lang w:val="en-US"/>
        </w:rPr>
        <w:t>/83</w:t>
      </w:r>
      <w:r w:rsidR="00615E19" w:rsidRPr="001D29F8">
        <w:rPr>
          <w:rFonts w:ascii="Arial" w:hAnsi="Arial" w:cs="Arial"/>
          <w:sz w:val="24"/>
          <w:szCs w:val="24"/>
          <w:lang w:val="en-US"/>
        </w:rPr>
        <w:t xml:space="preserve">, 24%), and </w:t>
      </w:r>
      <w:r w:rsidR="000B1638" w:rsidRPr="001D29F8">
        <w:rPr>
          <w:rFonts w:ascii="Arial" w:hAnsi="Arial" w:cs="Arial"/>
          <w:sz w:val="24"/>
          <w:szCs w:val="24"/>
          <w:lang w:val="en-US"/>
        </w:rPr>
        <w:t>&lt;</w:t>
      </w:r>
      <w:r w:rsidR="009B3BB8" w:rsidRPr="001D29F8">
        <w:rPr>
          <w:rFonts w:ascii="Arial" w:hAnsi="Arial" w:cs="Arial"/>
          <w:sz w:val="24"/>
          <w:szCs w:val="24"/>
          <w:lang w:val="en-US"/>
        </w:rPr>
        <w:t xml:space="preserve">70% usage of </w:t>
      </w:r>
      <w:proofErr w:type="spellStart"/>
      <w:r w:rsidR="00237E79"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009B3BB8" w:rsidRPr="001D29F8">
        <w:rPr>
          <w:rFonts w:ascii="Arial" w:hAnsi="Arial" w:cs="Arial"/>
          <w:sz w:val="24"/>
          <w:szCs w:val="24"/>
          <w:lang w:val="en-US"/>
        </w:rPr>
        <w:t xml:space="preserve"> (n=17</w:t>
      </w:r>
      <w:r w:rsidR="0017597D" w:rsidRPr="001D29F8">
        <w:rPr>
          <w:rFonts w:ascii="Arial" w:hAnsi="Arial" w:cs="Arial"/>
          <w:sz w:val="24"/>
          <w:szCs w:val="24"/>
          <w:lang w:val="en-US"/>
        </w:rPr>
        <w:t>/83</w:t>
      </w:r>
      <w:r w:rsidR="009B3BB8" w:rsidRPr="001D29F8">
        <w:rPr>
          <w:rFonts w:ascii="Arial" w:hAnsi="Arial" w:cs="Arial"/>
          <w:sz w:val="24"/>
          <w:szCs w:val="24"/>
          <w:lang w:val="en-US"/>
        </w:rPr>
        <w:t xml:space="preserve">, </w:t>
      </w:r>
      <w:r w:rsidR="00615E19" w:rsidRPr="001D29F8">
        <w:rPr>
          <w:rFonts w:ascii="Arial" w:hAnsi="Arial" w:cs="Arial"/>
          <w:sz w:val="24"/>
          <w:szCs w:val="24"/>
          <w:lang w:val="en-US"/>
        </w:rPr>
        <w:t>20%)</w:t>
      </w:r>
      <w:r w:rsidR="00237E79" w:rsidRPr="001D29F8">
        <w:rPr>
          <w:rFonts w:ascii="Arial" w:hAnsi="Arial" w:cs="Arial"/>
          <w:sz w:val="24"/>
          <w:szCs w:val="24"/>
          <w:lang w:val="en-US"/>
        </w:rPr>
        <w:t>.</w:t>
      </w:r>
    </w:p>
    <w:p w14:paraId="48DD92A7" w14:textId="77777777" w:rsidR="00145063" w:rsidRDefault="00145063"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Mean percentage of </w:t>
      </w:r>
      <w:proofErr w:type="spellStart"/>
      <w:r w:rsidR="00E53E07" w:rsidRPr="001D29F8">
        <w:rPr>
          <w:rFonts w:ascii="Arial" w:hAnsi="Arial" w:cs="Arial"/>
          <w:sz w:val="24"/>
          <w:szCs w:val="24"/>
          <w:lang w:val="en-US"/>
        </w:rPr>
        <w:t>rt</w:t>
      </w:r>
      <w:r w:rsidR="002E3611" w:rsidRPr="001D29F8">
        <w:rPr>
          <w:rFonts w:ascii="Arial" w:hAnsi="Arial" w:cs="Arial"/>
          <w:sz w:val="24"/>
          <w:szCs w:val="24"/>
          <w:lang w:val="en-US"/>
        </w:rPr>
        <w:t>CGM</w:t>
      </w:r>
      <w:proofErr w:type="spellEnd"/>
      <w:r w:rsidRPr="001D29F8">
        <w:rPr>
          <w:rFonts w:ascii="Arial" w:hAnsi="Arial" w:cs="Arial"/>
          <w:sz w:val="24"/>
          <w:szCs w:val="24"/>
          <w:lang w:val="en-US"/>
        </w:rPr>
        <w:t xml:space="preserve"> </w:t>
      </w:r>
      <w:r w:rsidR="00237E79" w:rsidRPr="001D29F8">
        <w:rPr>
          <w:rFonts w:ascii="Arial" w:hAnsi="Arial" w:cs="Arial"/>
          <w:sz w:val="24"/>
          <w:szCs w:val="24"/>
          <w:lang w:val="en-US"/>
        </w:rPr>
        <w:t xml:space="preserve">wear time </w:t>
      </w:r>
      <w:r w:rsidR="00EF2D38" w:rsidRPr="001D29F8">
        <w:rPr>
          <w:rFonts w:ascii="Arial" w:hAnsi="Arial" w:cs="Arial"/>
          <w:sz w:val="24"/>
          <w:szCs w:val="24"/>
          <w:lang w:val="en-US"/>
        </w:rPr>
        <w:t>by</w:t>
      </w:r>
      <w:r w:rsidRPr="001D29F8">
        <w:rPr>
          <w:rFonts w:ascii="Arial" w:hAnsi="Arial" w:cs="Arial"/>
          <w:sz w:val="24"/>
          <w:szCs w:val="24"/>
          <w:lang w:val="en-US"/>
        </w:rPr>
        <w:t xml:space="preserve"> people in the </w:t>
      </w:r>
      <w:r w:rsidR="00F210C1" w:rsidRPr="001D29F8">
        <w:rPr>
          <w:rFonts w:ascii="Arial" w:hAnsi="Arial" w:cs="Arial"/>
          <w:sz w:val="24"/>
          <w:szCs w:val="24"/>
          <w:lang w:val="en-US"/>
        </w:rPr>
        <w:t>study</w:t>
      </w:r>
      <w:r w:rsidRPr="001D29F8">
        <w:rPr>
          <w:rFonts w:ascii="Arial" w:hAnsi="Arial" w:cs="Arial"/>
          <w:sz w:val="24"/>
          <w:szCs w:val="24"/>
          <w:lang w:val="en-US"/>
        </w:rPr>
        <w:t xml:space="preserve"> was high throughout </w:t>
      </w:r>
      <w:r w:rsidR="000E1D0D" w:rsidRPr="001D29F8">
        <w:rPr>
          <w:rFonts w:ascii="Arial" w:hAnsi="Arial" w:cs="Arial"/>
          <w:sz w:val="24"/>
          <w:szCs w:val="24"/>
          <w:lang w:val="en-US"/>
        </w:rPr>
        <w:t>24 months</w:t>
      </w:r>
      <w:r w:rsidRPr="001D29F8">
        <w:rPr>
          <w:rFonts w:ascii="Arial" w:hAnsi="Arial" w:cs="Arial"/>
          <w:sz w:val="24"/>
          <w:szCs w:val="24"/>
          <w:lang w:val="en-US"/>
        </w:rPr>
        <w:t xml:space="preserve"> and remained stable, with 87.6±9.7%, 86.9±8.3%, 87.2±9.4%, and 87.1±10.4% at 4, 8, 12, and 24 months, respectively.</w:t>
      </w:r>
    </w:p>
    <w:p w14:paraId="774FED20" w14:textId="77777777" w:rsidR="001D29F8" w:rsidRPr="001D29F8" w:rsidRDefault="001D29F8" w:rsidP="001D29F8">
      <w:pPr>
        <w:spacing w:after="0" w:line="480" w:lineRule="auto"/>
        <w:jc w:val="both"/>
        <w:rPr>
          <w:rFonts w:ascii="Arial" w:hAnsi="Arial" w:cs="Arial"/>
          <w:sz w:val="24"/>
          <w:szCs w:val="24"/>
          <w:lang w:val="en-US"/>
        </w:rPr>
      </w:pPr>
    </w:p>
    <w:p w14:paraId="5048EA5F" w14:textId="77777777" w:rsidR="007B6BE9" w:rsidRPr="001D29F8" w:rsidRDefault="007B6BE9" w:rsidP="001D29F8">
      <w:pPr>
        <w:rPr>
          <w:rFonts w:ascii="Arial" w:hAnsi="Arial" w:cs="Arial"/>
          <w:b/>
          <w:sz w:val="24"/>
          <w:lang w:val="en-US"/>
        </w:rPr>
      </w:pPr>
      <w:r w:rsidRPr="001D29F8">
        <w:rPr>
          <w:rFonts w:ascii="Arial" w:hAnsi="Arial" w:cs="Arial"/>
          <w:b/>
          <w:sz w:val="24"/>
          <w:lang w:val="en-US"/>
        </w:rPr>
        <w:t>Evolution of HbA</w:t>
      </w:r>
      <w:r w:rsidRPr="001D29F8">
        <w:rPr>
          <w:rFonts w:ascii="Arial" w:hAnsi="Arial" w:cs="Arial"/>
          <w:b/>
          <w:sz w:val="24"/>
          <w:vertAlign w:val="subscript"/>
          <w:lang w:val="en-US"/>
        </w:rPr>
        <w:t>1c</w:t>
      </w:r>
    </w:p>
    <w:p w14:paraId="18542132" w14:textId="77777777" w:rsidR="00952AF5" w:rsidRPr="001D29F8" w:rsidRDefault="00B30192"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For the total population</w:t>
      </w:r>
      <w:r w:rsidR="007B6BE9" w:rsidRPr="001D29F8">
        <w:rPr>
          <w:rFonts w:ascii="Arial" w:hAnsi="Arial" w:cs="Arial"/>
          <w:sz w:val="24"/>
          <w:szCs w:val="24"/>
          <w:lang w:val="en-US"/>
        </w:rPr>
        <w:t>, HbA</w:t>
      </w:r>
      <w:r w:rsidR="007B6BE9" w:rsidRPr="001D29F8">
        <w:rPr>
          <w:rFonts w:ascii="Arial" w:hAnsi="Arial" w:cs="Arial"/>
          <w:sz w:val="24"/>
          <w:szCs w:val="24"/>
          <w:vertAlign w:val="subscript"/>
          <w:lang w:val="en-US"/>
        </w:rPr>
        <w:t>1c</w:t>
      </w:r>
      <w:r w:rsidR="007B6BE9" w:rsidRPr="001D29F8">
        <w:rPr>
          <w:rFonts w:ascii="Arial" w:hAnsi="Arial" w:cs="Arial"/>
          <w:sz w:val="24"/>
          <w:szCs w:val="24"/>
          <w:lang w:val="en-US"/>
        </w:rPr>
        <w:t xml:space="preserve"> was significantly lower at </w:t>
      </w:r>
      <w:r w:rsidR="00957670" w:rsidRPr="001D29F8">
        <w:rPr>
          <w:rFonts w:ascii="Arial" w:hAnsi="Arial" w:cs="Arial"/>
          <w:sz w:val="24"/>
          <w:szCs w:val="24"/>
          <w:lang w:val="en-US"/>
        </w:rPr>
        <w:t>24</w:t>
      </w:r>
      <w:r w:rsidR="007B6BE9" w:rsidRPr="001D29F8">
        <w:rPr>
          <w:rFonts w:ascii="Arial" w:hAnsi="Arial" w:cs="Arial"/>
          <w:sz w:val="24"/>
          <w:szCs w:val="24"/>
          <w:lang w:val="en-US"/>
        </w:rPr>
        <w:t xml:space="preserve"> months (7</w:t>
      </w:r>
      <w:r w:rsidR="006F73DE" w:rsidRPr="001D29F8">
        <w:rPr>
          <w:rFonts w:ascii="Arial" w:hAnsi="Arial" w:cs="Arial"/>
          <w:sz w:val="24"/>
          <w:szCs w:val="24"/>
          <w:lang w:val="en-US"/>
        </w:rPr>
        <w:t>.</w:t>
      </w:r>
      <w:r w:rsidR="007B6BE9" w:rsidRPr="001D29F8">
        <w:rPr>
          <w:rFonts w:ascii="Arial" w:hAnsi="Arial" w:cs="Arial"/>
          <w:sz w:val="24"/>
          <w:szCs w:val="24"/>
          <w:lang w:val="en-US"/>
        </w:rPr>
        <w:t>4</w:t>
      </w:r>
      <w:r w:rsidR="00957670" w:rsidRPr="001D29F8">
        <w:rPr>
          <w:rFonts w:ascii="Arial" w:hAnsi="Arial" w:cs="Arial"/>
          <w:sz w:val="24"/>
          <w:szCs w:val="24"/>
          <w:lang w:val="en-US"/>
        </w:rPr>
        <w:t>% [</w:t>
      </w:r>
      <w:r w:rsidR="00B716F8" w:rsidRPr="001D29F8">
        <w:rPr>
          <w:rFonts w:ascii="Arial" w:hAnsi="Arial" w:cs="Arial"/>
          <w:sz w:val="24"/>
          <w:szCs w:val="24"/>
          <w:lang w:val="en-US"/>
        </w:rPr>
        <w:t>7.2</w:t>
      </w:r>
      <w:r w:rsidR="00AB1B08" w:rsidRPr="001D29F8">
        <w:rPr>
          <w:rFonts w:ascii="Arial" w:hAnsi="Arial" w:cs="Arial"/>
          <w:sz w:val="24"/>
          <w:szCs w:val="24"/>
          <w:lang w:val="en-US"/>
        </w:rPr>
        <w:t>–</w:t>
      </w:r>
      <w:r w:rsidR="00B716F8" w:rsidRPr="001D29F8">
        <w:rPr>
          <w:rFonts w:ascii="Arial" w:hAnsi="Arial" w:cs="Arial"/>
          <w:sz w:val="24"/>
          <w:szCs w:val="24"/>
          <w:lang w:val="en-US"/>
        </w:rPr>
        <w:t>7.6</w:t>
      </w:r>
      <w:r w:rsidR="00957670" w:rsidRPr="001D29F8">
        <w:rPr>
          <w:rFonts w:ascii="Arial" w:hAnsi="Arial" w:cs="Arial"/>
          <w:sz w:val="24"/>
          <w:szCs w:val="24"/>
          <w:lang w:val="en-US"/>
        </w:rPr>
        <w:t xml:space="preserve">]; 57 </w:t>
      </w:r>
      <w:proofErr w:type="spellStart"/>
      <w:r w:rsidR="00957670" w:rsidRPr="001D29F8">
        <w:rPr>
          <w:rFonts w:ascii="Arial" w:hAnsi="Arial" w:cs="Arial"/>
          <w:sz w:val="24"/>
          <w:szCs w:val="24"/>
          <w:lang w:val="en-US"/>
        </w:rPr>
        <w:t>mmol</w:t>
      </w:r>
      <w:proofErr w:type="spellEnd"/>
      <w:r w:rsidR="00957670" w:rsidRPr="001D29F8">
        <w:rPr>
          <w:rFonts w:ascii="Arial" w:hAnsi="Arial" w:cs="Arial"/>
          <w:sz w:val="24"/>
          <w:szCs w:val="24"/>
          <w:lang w:val="en-US"/>
        </w:rPr>
        <w:t>/</w:t>
      </w:r>
      <w:proofErr w:type="spellStart"/>
      <w:r w:rsidR="00957670" w:rsidRPr="001D29F8">
        <w:rPr>
          <w:rFonts w:ascii="Arial" w:hAnsi="Arial" w:cs="Arial"/>
          <w:sz w:val="24"/>
          <w:szCs w:val="24"/>
          <w:lang w:val="en-US"/>
        </w:rPr>
        <w:t>mol</w:t>
      </w:r>
      <w:proofErr w:type="spellEnd"/>
      <w:r w:rsidR="00957670" w:rsidRPr="001D29F8">
        <w:rPr>
          <w:rFonts w:ascii="Arial" w:hAnsi="Arial" w:cs="Arial"/>
          <w:sz w:val="24"/>
          <w:szCs w:val="24"/>
          <w:lang w:val="en-US"/>
        </w:rPr>
        <w:t xml:space="preserve"> [</w:t>
      </w:r>
      <w:r w:rsidR="00B716F8" w:rsidRPr="001D29F8">
        <w:rPr>
          <w:rFonts w:ascii="Arial" w:hAnsi="Arial" w:cs="Arial"/>
          <w:sz w:val="24"/>
          <w:szCs w:val="24"/>
          <w:lang w:val="en-US"/>
        </w:rPr>
        <w:t>55</w:t>
      </w:r>
      <w:r w:rsidR="00AB1B08" w:rsidRPr="001D29F8">
        <w:rPr>
          <w:rFonts w:ascii="Arial" w:hAnsi="Arial" w:cs="Arial"/>
          <w:sz w:val="24"/>
          <w:szCs w:val="24"/>
          <w:lang w:val="en-US"/>
        </w:rPr>
        <w:t>–</w:t>
      </w:r>
      <w:r w:rsidR="00B716F8" w:rsidRPr="001D29F8">
        <w:rPr>
          <w:rFonts w:ascii="Arial" w:hAnsi="Arial" w:cs="Arial"/>
          <w:sz w:val="24"/>
          <w:szCs w:val="24"/>
          <w:lang w:val="en-US"/>
        </w:rPr>
        <w:t>60</w:t>
      </w:r>
      <w:r w:rsidR="00957670" w:rsidRPr="001D29F8">
        <w:rPr>
          <w:rFonts w:ascii="Arial" w:hAnsi="Arial" w:cs="Arial"/>
          <w:sz w:val="24"/>
          <w:szCs w:val="24"/>
          <w:lang w:val="en-US"/>
        </w:rPr>
        <w:t>]</w:t>
      </w:r>
      <w:r w:rsidR="007B6BE9" w:rsidRPr="001D29F8">
        <w:rPr>
          <w:rFonts w:ascii="Arial" w:hAnsi="Arial" w:cs="Arial"/>
          <w:sz w:val="24"/>
          <w:szCs w:val="24"/>
          <w:lang w:val="en-US"/>
        </w:rPr>
        <w:t>) compared to baseline (7</w:t>
      </w:r>
      <w:r w:rsidR="006F73DE" w:rsidRPr="001D29F8">
        <w:rPr>
          <w:rFonts w:ascii="Arial" w:hAnsi="Arial" w:cs="Arial"/>
          <w:sz w:val="24"/>
          <w:szCs w:val="24"/>
          <w:lang w:val="en-US"/>
        </w:rPr>
        <w:t>.</w:t>
      </w:r>
      <w:r w:rsidR="007B6BE9" w:rsidRPr="001D29F8">
        <w:rPr>
          <w:rFonts w:ascii="Arial" w:hAnsi="Arial" w:cs="Arial"/>
          <w:sz w:val="24"/>
          <w:szCs w:val="24"/>
          <w:lang w:val="en-US"/>
        </w:rPr>
        <w:t>7</w:t>
      </w:r>
      <w:r w:rsidR="00957670" w:rsidRPr="001D29F8">
        <w:rPr>
          <w:rFonts w:ascii="Arial" w:hAnsi="Arial" w:cs="Arial"/>
          <w:sz w:val="24"/>
          <w:szCs w:val="24"/>
          <w:lang w:val="en-US"/>
        </w:rPr>
        <w:t>% [</w:t>
      </w:r>
      <w:r w:rsidR="00B716F8" w:rsidRPr="001D29F8">
        <w:rPr>
          <w:rFonts w:ascii="Arial" w:hAnsi="Arial" w:cs="Arial"/>
          <w:sz w:val="24"/>
          <w:szCs w:val="24"/>
          <w:lang w:val="en-US"/>
        </w:rPr>
        <w:t>7.5</w:t>
      </w:r>
      <w:r w:rsidR="00AB1B08" w:rsidRPr="001D29F8">
        <w:rPr>
          <w:rFonts w:ascii="Arial" w:hAnsi="Arial" w:cs="Arial"/>
          <w:sz w:val="24"/>
          <w:szCs w:val="24"/>
          <w:lang w:val="en-US"/>
        </w:rPr>
        <w:t>–</w:t>
      </w:r>
      <w:r w:rsidR="00B716F8" w:rsidRPr="001D29F8">
        <w:rPr>
          <w:rFonts w:ascii="Arial" w:hAnsi="Arial" w:cs="Arial"/>
          <w:sz w:val="24"/>
          <w:szCs w:val="24"/>
          <w:lang w:val="en-US"/>
        </w:rPr>
        <w:t>7.8</w:t>
      </w:r>
      <w:r w:rsidR="00957670" w:rsidRPr="001D29F8">
        <w:rPr>
          <w:rFonts w:ascii="Arial" w:hAnsi="Arial" w:cs="Arial"/>
          <w:sz w:val="24"/>
          <w:szCs w:val="24"/>
          <w:lang w:val="en-US"/>
        </w:rPr>
        <w:t xml:space="preserve">]; 61 </w:t>
      </w:r>
      <w:proofErr w:type="spellStart"/>
      <w:r w:rsidR="00957670" w:rsidRPr="001D29F8">
        <w:rPr>
          <w:rFonts w:ascii="Arial" w:hAnsi="Arial" w:cs="Arial"/>
          <w:sz w:val="24"/>
          <w:szCs w:val="24"/>
          <w:lang w:val="en-US"/>
        </w:rPr>
        <w:t>mmol</w:t>
      </w:r>
      <w:proofErr w:type="spellEnd"/>
      <w:r w:rsidR="00957670" w:rsidRPr="001D29F8">
        <w:rPr>
          <w:rFonts w:ascii="Arial" w:hAnsi="Arial" w:cs="Arial"/>
          <w:sz w:val="24"/>
          <w:szCs w:val="24"/>
          <w:lang w:val="en-US"/>
        </w:rPr>
        <w:t>/</w:t>
      </w:r>
      <w:proofErr w:type="spellStart"/>
      <w:r w:rsidR="00957670" w:rsidRPr="001D29F8">
        <w:rPr>
          <w:rFonts w:ascii="Arial" w:hAnsi="Arial" w:cs="Arial"/>
          <w:sz w:val="24"/>
          <w:szCs w:val="24"/>
          <w:lang w:val="en-US"/>
        </w:rPr>
        <w:t>mol</w:t>
      </w:r>
      <w:proofErr w:type="spellEnd"/>
      <w:r w:rsidR="00957670" w:rsidRPr="001D29F8">
        <w:rPr>
          <w:rFonts w:ascii="Arial" w:hAnsi="Arial" w:cs="Arial"/>
          <w:sz w:val="24"/>
          <w:szCs w:val="24"/>
          <w:lang w:val="en-US"/>
        </w:rPr>
        <w:t xml:space="preserve"> [</w:t>
      </w:r>
      <w:r w:rsidR="00B716F8" w:rsidRPr="001D29F8">
        <w:rPr>
          <w:rFonts w:ascii="Arial" w:hAnsi="Arial" w:cs="Arial"/>
          <w:sz w:val="24"/>
          <w:szCs w:val="24"/>
          <w:lang w:val="en-US"/>
        </w:rPr>
        <w:t>58</w:t>
      </w:r>
      <w:r w:rsidR="00AB1B08" w:rsidRPr="001D29F8">
        <w:rPr>
          <w:rFonts w:ascii="Arial" w:hAnsi="Arial" w:cs="Arial"/>
          <w:sz w:val="24"/>
          <w:szCs w:val="24"/>
          <w:lang w:val="en-US"/>
        </w:rPr>
        <w:t>–</w:t>
      </w:r>
      <w:r w:rsidR="00B716F8" w:rsidRPr="001D29F8">
        <w:rPr>
          <w:rFonts w:ascii="Arial" w:hAnsi="Arial" w:cs="Arial"/>
          <w:sz w:val="24"/>
          <w:szCs w:val="24"/>
          <w:lang w:val="en-US"/>
        </w:rPr>
        <w:t>62</w:t>
      </w:r>
      <w:r w:rsidR="00957670" w:rsidRPr="001D29F8">
        <w:rPr>
          <w:rFonts w:ascii="Arial" w:hAnsi="Arial" w:cs="Arial"/>
          <w:sz w:val="24"/>
          <w:szCs w:val="24"/>
          <w:lang w:val="en-US"/>
        </w:rPr>
        <w:t>]</w:t>
      </w:r>
      <w:r w:rsidR="007B6BE9" w:rsidRPr="001D29F8">
        <w:rPr>
          <w:rFonts w:ascii="Arial" w:hAnsi="Arial" w:cs="Arial"/>
          <w:sz w:val="24"/>
          <w:szCs w:val="24"/>
          <w:lang w:val="en-US"/>
        </w:rPr>
        <w:t xml:space="preserve">, </w:t>
      </w:r>
      <w:r w:rsidR="00957670" w:rsidRPr="001D29F8">
        <w:rPr>
          <w:rFonts w:ascii="Arial" w:hAnsi="Arial" w:cs="Arial"/>
          <w:sz w:val="24"/>
          <w:szCs w:val="24"/>
          <w:lang w:val="en-US"/>
        </w:rPr>
        <w:t>p</w:t>
      </w:r>
      <w:r w:rsidR="007B6BE9" w:rsidRPr="001D29F8">
        <w:rPr>
          <w:rFonts w:ascii="Arial" w:hAnsi="Arial" w:cs="Arial"/>
          <w:sz w:val="24"/>
          <w:szCs w:val="24"/>
          <w:lang w:val="en-US"/>
        </w:rPr>
        <w:t>&lt;0</w:t>
      </w:r>
      <w:r w:rsidR="006F73DE" w:rsidRPr="001D29F8">
        <w:rPr>
          <w:rFonts w:ascii="Arial" w:hAnsi="Arial" w:cs="Arial"/>
          <w:sz w:val="24"/>
          <w:szCs w:val="24"/>
          <w:lang w:val="en-US"/>
        </w:rPr>
        <w:t>.</w:t>
      </w:r>
      <w:r w:rsidR="00957670" w:rsidRPr="001D29F8">
        <w:rPr>
          <w:rFonts w:ascii="Arial" w:hAnsi="Arial" w:cs="Arial"/>
          <w:sz w:val="24"/>
          <w:szCs w:val="24"/>
          <w:lang w:val="en-US"/>
        </w:rPr>
        <w:t>0001), and was stable compared to 12 months (7.4% [</w:t>
      </w:r>
      <w:r w:rsidR="00B716F8" w:rsidRPr="001D29F8">
        <w:rPr>
          <w:rFonts w:ascii="Arial" w:hAnsi="Arial" w:cs="Arial"/>
          <w:sz w:val="24"/>
          <w:szCs w:val="24"/>
          <w:lang w:val="en-US"/>
        </w:rPr>
        <w:t>7.2</w:t>
      </w:r>
      <w:r w:rsidR="00AB1B08" w:rsidRPr="001D29F8">
        <w:rPr>
          <w:rFonts w:ascii="Arial" w:hAnsi="Arial" w:cs="Arial"/>
          <w:sz w:val="24"/>
          <w:szCs w:val="24"/>
          <w:lang w:val="en-US"/>
        </w:rPr>
        <w:t>–</w:t>
      </w:r>
      <w:r w:rsidR="00B716F8" w:rsidRPr="001D29F8">
        <w:rPr>
          <w:rFonts w:ascii="Arial" w:hAnsi="Arial" w:cs="Arial"/>
          <w:sz w:val="24"/>
          <w:szCs w:val="24"/>
          <w:lang w:val="en-US"/>
        </w:rPr>
        <w:t>7.6</w:t>
      </w:r>
      <w:r w:rsidR="00957670" w:rsidRPr="001D29F8">
        <w:rPr>
          <w:rFonts w:ascii="Arial" w:hAnsi="Arial" w:cs="Arial"/>
          <w:sz w:val="24"/>
          <w:szCs w:val="24"/>
          <w:lang w:val="en-US"/>
        </w:rPr>
        <w:t xml:space="preserve">]; 57 </w:t>
      </w:r>
      <w:proofErr w:type="spellStart"/>
      <w:r w:rsidR="00957670" w:rsidRPr="001D29F8">
        <w:rPr>
          <w:rFonts w:ascii="Arial" w:hAnsi="Arial" w:cs="Arial"/>
          <w:sz w:val="24"/>
          <w:szCs w:val="24"/>
          <w:lang w:val="en-US"/>
        </w:rPr>
        <w:t>mmol</w:t>
      </w:r>
      <w:proofErr w:type="spellEnd"/>
      <w:r w:rsidR="00957670" w:rsidRPr="001D29F8">
        <w:rPr>
          <w:rFonts w:ascii="Arial" w:hAnsi="Arial" w:cs="Arial"/>
          <w:sz w:val="24"/>
          <w:szCs w:val="24"/>
          <w:lang w:val="en-US"/>
        </w:rPr>
        <w:t>/</w:t>
      </w:r>
      <w:proofErr w:type="spellStart"/>
      <w:r w:rsidR="00957670" w:rsidRPr="001D29F8">
        <w:rPr>
          <w:rFonts w:ascii="Arial" w:hAnsi="Arial" w:cs="Arial"/>
          <w:sz w:val="24"/>
          <w:szCs w:val="24"/>
          <w:lang w:val="en-US"/>
        </w:rPr>
        <w:t>mol</w:t>
      </w:r>
      <w:proofErr w:type="spellEnd"/>
      <w:r w:rsidR="00957670" w:rsidRPr="001D29F8">
        <w:rPr>
          <w:rFonts w:ascii="Arial" w:hAnsi="Arial" w:cs="Arial"/>
          <w:sz w:val="24"/>
          <w:szCs w:val="24"/>
          <w:lang w:val="en-US"/>
        </w:rPr>
        <w:t xml:space="preserve"> [</w:t>
      </w:r>
      <w:r w:rsidR="00B716F8" w:rsidRPr="001D29F8">
        <w:rPr>
          <w:rFonts w:ascii="Arial" w:hAnsi="Arial" w:cs="Arial"/>
          <w:sz w:val="24"/>
          <w:szCs w:val="24"/>
          <w:lang w:val="en-US"/>
        </w:rPr>
        <w:t>55</w:t>
      </w:r>
      <w:r w:rsidR="00AB1B08" w:rsidRPr="001D29F8">
        <w:rPr>
          <w:rFonts w:ascii="Arial" w:hAnsi="Arial" w:cs="Arial"/>
          <w:sz w:val="24"/>
          <w:szCs w:val="24"/>
          <w:lang w:val="en-US"/>
        </w:rPr>
        <w:t>–</w:t>
      </w:r>
      <w:r w:rsidR="00B716F8" w:rsidRPr="001D29F8">
        <w:rPr>
          <w:rFonts w:ascii="Arial" w:hAnsi="Arial" w:cs="Arial"/>
          <w:sz w:val="24"/>
          <w:szCs w:val="24"/>
          <w:lang w:val="en-US"/>
        </w:rPr>
        <w:t>60</w:t>
      </w:r>
      <w:r w:rsidR="00957670" w:rsidRPr="001D29F8">
        <w:rPr>
          <w:rFonts w:ascii="Arial" w:hAnsi="Arial" w:cs="Arial"/>
          <w:sz w:val="24"/>
          <w:szCs w:val="24"/>
          <w:lang w:val="en-US"/>
        </w:rPr>
        <w:t>]; p=</w:t>
      </w:r>
      <w:r w:rsidR="00B716F8" w:rsidRPr="001D29F8">
        <w:rPr>
          <w:rFonts w:ascii="Arial" w:hAnsi="Arial" w:cs="Arial"/>
          <w:sz w:val="24"/>
          <w:szCs w:val="24"/>
          <w:lang w:val="en-US"/>
        </w:rPr>
        <w:t>NS</w:t>
      </w:r>
      <w:r w:rsidR="00957670" w:rsidRPr="001D29F8">
        <w:rPr>
          <w:rFonts w:ascii="Arial" w:hAnsi="Arial" w:cs="Arial"/>
          <w:sz w:val="24"/>
          <w:szCs w:val="24"/>
          <w:lang w:val="en-US"/>
        </w:rPr>
        <w:t xml:space="preserve">) </w:t>
      </w:r>
      <w:r w:rsidR="007B6BE9" w:rsidRPr="001D29F8">
        <w:rPr>
          <w:rFonts w:ascii="Arial" w:hAnsi="Arial" w:cs="Arial"/>
          <w:sz w:val="24"/>
          <w:szCs w:val="24"/>
          <w:lang w:val="en-US"/>
        </w:rPr>
        <w:t>(</w:t>
      </w:r>
      <w:r w:rsidR="006123FB" w:rsidRPr="001D29F8">
        <w:rPr>
          <w:rFonts w:ascii="Arial" w:hAnsi="Arial" w:cs="Arial"/>
          <w:sz w:val="24"/>
          <w:szCs w:val="24"/>
          <w:lang w:val="en-US"/>
        </w:rPr>
        <w:t>Fig. 1a</w:t>
      </w:r>
      <w:r w:rsidR="007B6BE9" w:rsidRPr="001D29F8">
        <w:rPr>
          <w:rFonts w:ascii="Arial" w:hAnsi="Arial" w:cs="Arial"/>
          <w:sz w:val="24"/>
          <w:szCs w:val="24"/>
          <w:lang w:val="en-US"/>
        </w:rPr>
        <w:t xml:space="preserve">). </w:t>
      </w:r>
    </w:p>
    <w:p w14:paraId="6E8A371B" w14:textId="77777777" w:rsidR="007B6BE9" w:rsidRDefault="006B0F78"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A stronger decrease in HbA</w:t>
      </w:r>
      <w:r w:rsidRPr="001D29F8">
        <w:rPr>
          <w:rFonts w:ascii="Arial" w:hAnsi="Arial" w:cs="Arial"/>
          <w:sz w:val="24"/>
          <w:szCs w:val="24"/>
          <w:vertAlign w:val="subscript"/>
          <w:lang w:val="en-US"/>
        </w:rPr>
        <w:t>1c</w:t>
      </w:r>
      <w:r w:rsidRPr="001D29F8">
        <w:rPr>
          <w:rFonts w:ascii="Arial" w:hAnsi="Arial" w:cs="Arial"/>
          <w:sz w:val="24"/>
          <w:szCs w:val="24"/>
          <w:lang w:val="en-US"/>
        </w:rPr>
        <w:t xml:space="preserve"> was observed in people with higher baseline HbA</w:t>
      </w:r>
      <w:r w:rsidRPr="001D29F8">
        <w:rPr>
          <w:rFonts w:ascii="Arial" w:hAnsi="Arial" w:cs="Arial"/>
          <w:sz w:val="24"/>
          <w:szCs w:val="24"/>
          <w:vertAlign w:val="subscript"/>
          <w:lang w:val="en-US"/>
        </w:rPr>
        <w:t>1c</w:t>
      </w:r>
      <w:r w:rsidRPr="001D29F8">
        <w:rPr>
          <w:rFonts w:ascii="Arial" w:hAnsi="Arial" w:cs="Arial"/>
          <w:sz w:val="24"/>
          <w:szCs w:val="24"/>
          <w:lang w:val="en-US"/>
        </w:rPr>
        <w:t xml:space="preserve">, although this correlation never exceeded the regression-to-the-mean effect (Fig. 1b). </w:t>
      </w:r>
      <w:r w:rsidR="000C1DA3" w:rsidRPr="001D29F8">
        <w:rPr>
          <w:rFonts w:ascii="Arial" w:hAnsi="Arial" w:cs="Arial"/>
          <w:sz w:val="24"/>
          <w:szCs w:val="24"/>
          <w:lang w:val="en-US"/>
        </w:rPr>
        <w:t xml:space="preserve">There was no difference in </w:t>
      </w:r>
      <w:r w:rsidR="00E100A7" w:rsidRPr="001D29F8">
        <w:rPr>
          <w:rFonts w:ascii="Arial" w:hAnsi="Arial" w:cs="Arial"/>
          <w:sz w:val="24"/>
          <w:szCs w:val="24"/>
          <w:lang w:val="en-US"/>
        </w:rPr>
        <w:t xml:space="preserve">evolution of </w:t>
      </w:r>
      <w:r w:rsidR="000C1DA3" w:rsidRPr="001D29F8">
        <w:rPr>
          <w:rFonts w:ascii="Arial" w:hAnsi="Arial" w:cs="Arial"/>
          <w:sz w:val="24"/>
          <w:szCs w:val="24"/>
          <w:lang w:val="en-US"/>
        </w:rPr>
        <w:t>HbA</w:t>
      </w:r>
      <w:r w:rsidR="000C1DA3" w:rsidRPr="001D29F8">
        <w:rPr>
          <w:rFonts w:ascii="Arial" w:hAnsi="Arial" w:cs="Arial"/>
          <w:sz w:val="24"/>
          <w:szCs w:val="24"/>
          <w:vertAlign w:val="subscript"/>
          <w:lang w:val="en-US"/>
        </w:rPr>
        <w:t>1c</w:t>
      </w:r>
      <w:r w:rsidR="000C1DA3" w:rsidRPr="001D29F8">
        <w:rPr>
          <w:rFonts w:ascii="Arial" w:hAnsi="Arial" w:cs="Arial"/>
          <w:sz w:val="24"/>
          <w:szCs w:val="24"/>
          <w:lang w:val="en-US"/>
        </w:rPr>
        <w:t xml:space="preserve"> for people with and without </w:t>
      </w:r>
      <w:r w:rsidR="00E100A7" w:rsidRPr="001D29F8">
        <w:rPr>
          <w:rFonts w:ascii="Arial" w:hAnsi="Arial" w:cs="Arial"/>
          <w:sz w:val="24"/>
          <w:szCs w:val="24"/>
          <w:lang w:val="en-US"/>
        </w:rPr>
        <w:t>IAH</w:t>
      </w:r>
      <w:r w:rsidR="003E4D97" w:rsidRPr="001D29F8">
        <w:rPr>
          <w:rFonts w:ascii="Arial" w:hAnsi="Arial" w:cs="Arial"/>
          <w:sz w:val="24"/>
          <w:szCs w:val="24"/>
          <w:lang w:val="en-US"/>
        </w:rPr>
        <w:t xml:space="preserve"> (</w:t>
      </w:r>
      <w:r w:rsidR="00576A90" w:rsidRPr="001D29F8">
        <w:rPr>
          <w:rFonts w:ascii="Arial" w:hAnsi="Arial" w:cs="Arial"/>
          <w:sz w:val="24"/>
          <w:szCs w:val="24"/>
          <w:lang w:val="en-US"/>
        </w:rPr>
        <w:t>Fig. 1c</w:t>
      </w:r>
      <w:r w:rsidR="003E4D97" w:rsidRPr="001D29F8">
        <w:rPr>
          <w:rFonts w:ascii="Arial" w:hAnsi="Arial" w:cs="Arial"/>
          <w:sz w:val="24"/>
          <w:szCs w:val="24"/>
          <w:lang w:val="en-US"/>
        </w:rPr>
        <w:t>)</w:t>
      </w:r>
      <w:r w:rsidR="000C1DA3" w:rsidRPr="001D29F8">
        <w:rPr>
          <w:rFonts w:ascii="Arial" w:hAnsi="Arial" w:cs="Arial"/>
          <w:sz w:val="24"/>
          <w:szCs w:val="24"/>
          <w:lang w:val="en-US"/>
        </w:rPr>
        <w:t>.</w:t>
      </w:r>
      <w:r w:rsidRPr="001D29F8">
        <w:rPr>
          <w:rFonts w:ascii="Arial" w:hAnsi="Arial" w:cs="Arial"/>
          <w:sz w:val="24"/>
          <w:szCs w:val="24"/>
          <w:lang w:val="en-US"/>
        </w:rPr>
        <w:t xml:space="preserve"> </w:t>
      </w:r>
    </w:p>
    <w:p w14:paraId="4770ECA3" w14:textId="77777777" w:rsidR="008F5596" w:rsidRPr="001D29F8" w:rsidRDefault="00E53E07" w:rsidP="001D29F8">
      <w:pPr>
        <w:rPr>
          <w:rFonts w:ascii="Arial" w:hAnsi="Arial" w:cs="Arial"/>
          <w:b/>
          <w:sz w:val="24"/>
          <w:lang w:val="en-US"/>
        </w:rPr>
      </w:pPr>
      <w:r w:rsidRPr="001D29F8">
        <w:rPr>
          <w:rFonts w:ascii="Arial" w:hAnsi="Arial" w:cs="Arial"/>
          <w:b/>
          <w:sz w:val="24"/>
          <w:lang w:val="en-US"/>
        </w:rPr>
        <w:t>Change in acute diabetes complications</w:t>
      </w:r>
      <w:r w:rsidR="00B911E2" w:rsidRPr="001D29F8">
        <w:rPr>
          <w:rFonts w:ascii="Arial" w:hAnsi="Arial" w:cs="Arial"/>
          <w:b/>
          <w:sz w:val="24"/>
          <w:lang w:val="en-US"/>
        </w:rPr>
        <w:t xml:space="preserve"> and</w:t>
      </w:r>
      <w:r w:rsidRPr="001D29F8">
        <w:rPr>
          <w:rFonts w:ascii="Arial" w:hAnsi="Arial" w:cs="Arial"/>
          <w:b/>
          <w:sz w:val="24"/>
          <w:lang w:val="en-US"/>
        </w:rPr>
        <w:t xml:space="preserve"> work absenteeism</w:t>
      </w:r>
    </w:p>
    <w:p w14:paraId="5232FD5C" w14:textId="77777777" w:rsidR="0000541C" w:rsidRPr="001D29F8" w:rsidRDefault="001C219F"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The prevalence of acute diabetes complications was lower throughout the study than in the year before. This was already apparent in the first year, but was confirmed in the second year. The largest benefit was seen for hypoglycemia-related events, for which we </w:t>
      </w:r>
      <w:r w:rsidR="00F76327" w:rsidRPr="001D29F8">
        <w:rPr>
          <w:rFonts w:ascii="Arial" w:hAnsi="Arial" w:cs="Arial"/>
          <w:sz w:val="24"/>
          <w:szCs w:val="24"/>
          <w:lang w:val="en-US"/>
        </w:rPr>
        <w:t>gathered data on</w:t>
      </w:r>
      <w:r w:rsidRPr="001D29F8">
        <w:rPr>
          <w:rFonts w:ascii="Arial" w:hAnsi="Arial" w:cs="Arial"/>
          <w:sz w:val="24"/>
          <w:szCs w:val="24"/>
          <w:lang w:val="en-US"/>
        </w:rPr>
        <w:t xml:space="preserve"> different </w:t>
      </w:r>
      <w:r w:rsidR="00F76327" w:rsidRPr="001D29F8">
        <w:rPr>
          <w:rFonts w:ascii="Arial" w:hAnsi="Arial" w:cs="Arial"/>
          <w:sz w:val="24"/>
          <w:szCs w:val="24"/>
          <w:lang w:val="en-US"/>
        </w:rPr>
        <w:t xml:space="preserve">levels going from hospitalizations to receiving glucagon. Probably related, </w:t>
      </w:r>
      <w:r w:rsidR="00963E98" w:rsidRPr="001D29F8">
        <w:rPr>
          <w:rFonts w:ascii="Arial" w:hAnsi="Arial" w:cs="Arial"/>
          <w:sz w:val="24"/>
          <w:szCs w:val="24"/>
          <w:lang w:val="en-US"/>
        </w:rPr>
        <w:t>diabetes-related work absenteeism also significantly decreased</w:t>
      </w:r>
      <w:r w:rsidR="00F76327" w:rsidRPr="001D29F8">
        <w:rPr>
          <w:rFonts w:ascii="Arial" w:hAnsi="Arial" w:cs="Arial"/>
          <w:sz w:val="24"/>
          <w:szCs w:val="24"/>
          <w:lang w:val="en-US"/>
        </w:rPr>
        <w:t xml:space="preserve"> (Table 1)</w:t>
      </w:r>
      <w:r w:rsidR="00963E98" w:rsidRPr="001D29F8">
        <w:rPr>
          <w:rFonts w:ascii="Arial" w:hAnsi="Arial" w:cs="Arial"/>
          <w:sz w:val="24"/>
          <w:szCs w:val="24"/>
          <w:lang w:val="en-US"/>
        </w:rPr>
        <w:t xml:space="preserve">. </w:t>
      </w:r>
    </w:p>
    <w:p w14:paraId="092E8B97" w14:textId="77777777" w:rsidR="00C83CE2" w:rsidRPr="001D29F8" w:rsidRDefault="00C83CE2"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The decline in hypoglycemia-related events was seen in both people with and without IAH, but people with IAH had higher baseline prevalence and larger proportion of reduction at follow-up than people with normal hypoglycemia awareness (Fig. 2).</w:t>
      </w:r>
    </w:p>
    <w:p w14:paraId="59ADD92D" w14:textId="0A89C792" w:rsidR="00485F53" w:rsidRPr="001D29F8" w:rsidRDefault="00485F53"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People with IAH missed on average 750 days of work </w:t>
      </w:r>
      <w:bookmarkStart w:id="9" w:name="OLE_LINK1"/>
      <w:r w:rsidRPr="001D29F8">
        <w:rPr>
          <w:rFonts w:ascii="Arial" w:hAnsi="Arial" w:cs="Arial"/>
          <w:sz w:val="24"/>
          <w:szCs w:val="24"/>
          <w:lang w:val="en-US"/>
        </w:rPr>
        <w:t xml:space="preserve">per 100 patient-years </w:t>
      </w:r>
      <w:bookmarkEnd w:id="9"/>
      <w:r w:rsidRPr="001D29F8">
        <w:rPr>
          <w:rFonts w:ascii="Arial" w:hAnsi="Arial" w:cs="Arial"/>
          <w:sz w:val="24"/>
          <w:szCs w:val="24"/>
          <w:lang w:val="en-US"/>
        </w:rPr>
        <w:t xml:space="preserve">in the year before the study, which dropped significantly to 109 days after 24 months (p&lt;0.0001). </w:t>
      </w:r>
      <w:r w:rsidR="00D74D70">
        <w:rPr>
          <w:rFonts w:ascii="Arial" w:hAnsi="Arial" w:cs="Arial"/>
          <w:sz w:val="24"/>
          <w:szCs w:val="24"/>
          <w:lang w:val="en-US"/>
        </w:rPr>
        <w:t>F</w:t>
      </w:r>
      <w:r w:rsidRPr="001D29F8">
        <w:rPr>
          <w:rFonts w:ascii="Arial" w:hAnsi="Arial" w:cs="Arial"/>
          <w:sz w:val="24"/>
          <w:szCs w:val="24"/>
          <w:lang w:val="en-US"/>
        </w:rPr>
        <w:t xml:space="preserve">or people with normal awareness </w:t>
      </w:r>
      <w:r w:rsidR="00D74D70">
        <w:rPr>
          <w:rFonts w:ascii="Arial" w:hAnsi="Arial" w:cs="Arial"/>
          <w:sz w:val="24"/>
          <w:szCs w:val="24"/>
          <w:lang w:val="en-US"/>
        </w:rPr>
        <w:t xml:space="preserve">this reduced from </w:t>
      </w:r>
      <w:r w:rsidRPr="001D29F8">
        <w:rPr>
          <w:rFonts w:ascii="Arial" w:hAnsi="Arial" w:cs="Arial"/>
          <w:sz w:val="24"/>
          <w:szCs w:val="24"/>
          <w:lang w:val="en-US"/>
        </w:rPr>
        <w:t xml:space="preserve">246 days </w:t>
      </w:r>
      <w:r w:rsidR="001644B2" w:rsidRPr="001D29F8">
        <w:rPr>
          <w:rFonts w:ascii="Arial" w:hAnsi="Arial" w:cs="Arial"/>
          <w:sz w:val="24"/>
          <w:szCs w:val="24"/>
          <w:lang w:val="en-US"/>
        </w:rPr>
        <w:t xml:space="preserve">in the year before </w:t>
      </w:r>
      <w:r w:rsidR="009D47BA">
        <w:rPr>
          <w:rFonts w:ascii="Arial" w:hAnsi="Arial" w:cs="Arial"/>
          <w:sz w:val="24"/>
          <w:szCs w:val="24"/>
          <w:lang w:val="en-US"/>
        </w:rPr>
        <w:t>to</w:t>
      </w:r>
      <w:r w:rsidRPr="001D29F8">
        <w:rPr>
          <w:rFonts w:ascii="Arial" w:hAnsi="Arial" w:cs="Arial"/>
          <w:sz w:val="24"/>
          <w:szCs w:val="24"/>
          <w:lang w:val="en-US"/>
        </w:rPr>
        <w:t xml:space="preserve"> 66 days per 100 patient-years</w:t>
      </w:r>
      <w:r w:rsidR="001644B2" w:rsidRPr="001D29F8">
        <w:rPr>
          <w:rFonts w:ascii="Arial" w:hAnsi="Arial" w:cs="Arial"/>
          <w:sz w:val="24"/>
          <w:szCs w:val="24"/>
          <w:lang w:val="en-US"/>
        </w:rPr>
        <w:t xml:space="preserve"> at 24 months</w:t>
      </w:r>
      <w:r w:rsidR="00D74D70">
        <w:rPr>
          <w:rFonts w:ascii="Arial" w:hAnsi="Arial" w:cs="Arial"/>
          <w:sz w:val="24"/>
          <w:szCs w:val="24"/>
          <w:lang w:val="en-US"/>
        </w:rPr>
        <w:t xml:space="preserve"> (</w:t>
      </w:r>
      <w:r w:rsidRPr="001D29F8">
        <w:rPr>
          <w:rFonts w:ascii="Arial" w:hAnsi="Arial" w:cs="Arial"/>
          <w:sz w:val="24"/>
          <w:szCs w:val="24"/>
          <w:lang w:val="en-US"/>
        </w:rPr>
        <w:t>p=0.048)</w:t>
      </w:r>
      <w:r w:rsidR="00D74D70">
        <w:rPr>
          <w:rFonts w:ascii="Arial" w:hAnsi="Arial" w:cs="Arial"/>
          <w:sz w:val="24"/>
          <w:szCs w:val="24"/>
          <w:lang w:val="en-US"/>
        </w:rPr>
        <w:t>.</w:t>
      </w:r>
    </w:p>
    <w:p w14:paraId="7D716B76" w14:textId="77777777" w:rsidR="00B911E2" w:rsidRPr="001D29F8" w:rsidRDefault="00B911E2" w:rsidP="001D29F8">
      <w:pPr>
        <w:spacing w:after="0" w:line="480" w:lineRule="auto"/>
        <w:jc w:val="both"/>
        <w:rPr>
          <w:rFonts w:ascii="Arial" w:hAnsi="Arial" w:cs="Arial"/>
          <w:color w:val="FF0000"/>
          <w:sz w:val="24"/>
          <w:szCs w:val="24"/>
          <w:lang w:val="en-US"/>
        </w:rPr>
      </w:pPr>
    </w:p>
    <w:p w14:paraId="03347F16" w14:textId="77777777" w:rsidR="009B3BB8" w:rsidRPr="001D29F8" w:rsidRDefault="009B3BB8" w:rsidP="001D29F8">
      <w:pPr>
        <w:rPr>
          <w:rFonts w:ascii="Arial" w:hAnsi="Arial" w:cs="Arial"/>
          <w:b/>
          <w:sz w:val="24"/>
          <w:lang w:val="en-US"/>
        </w:rPr>
      </w:pPr>
      <w:bookmarkStart w:id="10" w:name="_Toc451074916"/>
      <w:r w:rsidRPr="001D29F8">
        <w:rPr>
          <w:rFonts w:ascii="Arial" w:hAnsi="Arial" w:cs="Arial"/>
          <w:b/>
          <w:sz w:val="24"/>
          <w:lang w:val="en-US"/>
        </w:rPr>
        <w:t xml:space="preserve">Change </w:t>
      </w:r>
      <w:r w:rsidR="00192DAA" w:rsidRPr="001D29F8">
        <w:rPr>
          <w:rFonts w:ascii="Arial" w:hAnsi="Arial" w:cs="Arial"/>
          <w:b/>
          <w:sz w:val="24"/>
          <w:lang w:val="en-US"/>
        </w:rPr>
        <w:t xml:space="preserve">in </w:t>
      </w:r>
      <w:r w:rsidR="00D632A9" w:rsidRPr="001D29F8">
        <w:rPr>
          <w:rFonts w:ascii="Arial" w:hAnsi="Arial" w:cs="Arial"/>
          <w:b/>
          <w:sz w:val="24"/>
          <w:lang w:val="en-US"/>
        </w:rPr>
        <w:t>q</w:t>
      </w:r>
      <w:r w:rsidR="00192DAA" w:rsidRPr="001D29F8">
        <w:rPr>
          <w:rFonts w:ascii="Arial" w:hAnsi="Arial" w:cs="Arial"/>
          <w:b/>
          <w:sz w:val="24"/>
          <w:lang w:val="en-US"/>
        </w:rPr>
        <w:t xml:space="preserve">uality of </w:t>
      </w:r>
      <w:r w:rsidR="00D632A9" w:rsidRPr="001D29F8">
        <w:rPr>
          <w:rFonts w:ascii="Arial" w:hAnsi="Arial" w:cs="Arial"/>
          <w:b/>
          <w:sz w:val="24"/>
          <w:lang w:val="en-US"/>
        </w:rPr>
        <w:t>l</w:t>
      </w:r>
      <w:r w:rsidR="00192DAA" w:rsidRPr="001D29F8">
        <w:rPr>
          <w:rFonts w:ascii="Arial" w:hAnsi="Arial" w:cs="Arial"/>
          <w:b/>
          <w:sz w:val="24"/>
          <w:lang w:val="en-US"/>
        </w:rPr>
        <w:t>ife</w:t>
      </w:r>
      <w:bookmarkEnd w:id="10"/>
    </w:p>
    <w:p w14:paraId="0FFC3427" w14:textId="61ED4420" w:rsidR="007842DC" w:rsidRPr="001D29F8" w:rsidRDefault="007842DC"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For the total population, </w:t>
      </w:r>
      <w:r w:rsidR="007E4B1E" w:rsidRPr="001D29F8">
        <w:rPr>
          <w:rFonts w:ascii="Arial" w:hAnsi="Arial" w:cs="Arial"/>
          <w:sz w:val="24"/>
          <w:szCs w:val="24"/>
          <w:lang w:val="en-US"/>
        </w:rPr>
        <w:t>previously observed improvements in general quality of life,</w:t>
      </w:r>
      <w:r w:rsidR="002148FD">
        <w:rPr>
          <w:rFonts w:ascii="Arial" w:hAnsi="Arial" w:cs="Arial"/>
          <w:sz w:val="24"/>
          <w:szCs w:val="24"/>
          <w:lang w:val="en-US"/>
        </w:rPr>
        <w:t xml:space="preserve"> as measured by SF-36</w:t>
      </w:r>
      <w:r w:rsidR="009D47BA">
        <w:rPr>
          <w:rFonts w:ascii="Arial" w:hAnsi="Arial" w:cs="Arial"/>
          <w:sz w:val="24"/>
          <w:szCs w:val="24"/>
          <w:lang w:val="en-US"/>
        </w:rPr>
        <w:t>,</w:t>
      </w:r>
      <w:r w:rsidR="007E4B1E" w:rsidRPr="001D29F8">
        <w:rPr>
          <w:rFonts w:ascii="Arial" w:hAnsi="Arial" w:cs="Arial"/>
          <w:sz w:val="24"/>
          <w:szCs w:val="24"/>
          <w:lang w:val="en-US"/>
        </w:rPr>
        <w:t xml:space="preserve"> were sustained throughout the 24-month study</w:t>
      </w:r>
      <w:r w:rsidR="002148FD">
        <w:rPr>
          <w:rFonts w:ascii="Arial" w:hAnsi="Arial" w:cs="Arial"/>
          <w:sz w:val="24"/>
          <w:szCs w:val="24"/>
          <w:lang w:val="en-US"/>
        </w:rPr>
        <w:t>. PAID-SF scores overall decreased by -1.3 points (-1.7 to -0.9) (p&lt;0.0001) and the worry subscale of HFS was also lower through 24 months of follow-up (18.2 [16.8-19.5] at baseline vs 14.0 [12.6-15.3] after 24 months; p&lt;0.0001)</w:t>
      </w:r>
      <w:r w:rsidRPr="001D29F8">
        <w:rPr>
          <w:rFonts w:ascii="Arial" w:hAnsi="Arial" w:cs="Arial"/>
          <w:sz w:val="24"/>
          <w:szCs w:val="24"/>
          <w:lang w:val="en-US"/>
        </w:rPr>
        <w:t xml:space="preserve"> (</w:t>
      </w:r>
      <w:r w:rsidR="002148FD">
        <w:rPr>
          <w:rFonts w:ascii="Arial" w:hAnsi="Arial" w:cs="Arial"/>
          <w:sz w:val="24"/>
          <w:szCs w:val="24"/>
          <w:lang w:val="en-US"/>
        </w:rPr>
        <w:t xml:space="preserve">Supplemental </w:t>
      </w:r>
      <w:r w:rsidR="001C729D" w:rsidRPr="001D29F8">
        <w:rPr>
          <w:rFonts w:ascii="Arial" w:hAnsi="Arial" w:cs="Arial"/>
          <w:sz w:val="24"/>
          <w:szCs w:val="24"/>
          <w:lang w:val="en-US"/>
        </w:rPr>
        <w:t xml:space="preserve">Table </w:t>
      </w:r>
      <w:r w:rsidR="002148FD">
        <w:rPr>
          <w:rFonts w:ascii="Arial" w:hAnsi="Arial" w:cs="Arial"/>
          <w:sz w:val="24"/>
          <w:szCs w:val="24"/>
          <w:lang w:val="en-US"/>
        </w:rPr>
        <w:t>4)</w:t>
      </w:r>
      <w:r w:rsidRPr="001D29F8">
        <w:rPr>
          <w:rFonts w:ascii="Arial" w:hAnsi="Arial" w:cs="Arial"/>
          <w:sz w:val="24"/>
          <w:szCs w:val="24"/>
          <w:lang w:val="en-US"/>
        </w:rPr>
        <w:t>.</w:t>
      </w:r>
    </w:p>
    <w:p w14:paraId="596988BF" w14:textId="77777777" w:rsidR="007842DC" w:rsidRDefault="0032399A"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When evaluating quality of life based on level of awareness of hypoglycemia, both those with and without IAH show</w:t>
      </w:r>
      <w:r w:rsidR="001644B2" w:rsidRPr="001D29F8">
        <w:rPr>
          <w:rFonts w:ascii="Arial" w:hAnsi="Arial" w:cs="Arial"/>
          <w:sz w:val="24"/>
          <w:szCs w:val="24"/>
          <w:lang w:val="en-US"/>
        </w:rPr>
        <w:t>ed</w:t>
      </w:r>
      <w:r w:rsidRPr="001D29F8">
        <w:rPr>
          <w:rFonts w:ascii="Arial" w:hAnsi="Arial" w:cs="Arial"/>
          <w:sz w:val="24"/>
          <w:szCs w:val="24"/>
          <w:lang w:val="en-US"/>
        </w:rPr>
        <w:t xml:space="preserve"> improvement. However, imp</w:t>
      </w:r>
      <w:r w:rsidR="001644B2" w:rsidRPr="001D29F8">
        <w:rPr>
          <w:rFonts w:ascii="Arial" w:hAnsi="Arial" w:cs="Arial"/>
          <w:sz w:val="24"/>
          <w:szCs w:val="24"/>
          <w:lang w:val="en-US"/>
        </w:rPr>
        <w:t>rovement in those with IAH tended</w:t>
      </w:r>
      <w:r w:rsidRPr="001D29F8">
        <w:rPr>
          <w:rFonts w:ascii="Arial" w:hAnsi="Arial" w:cs="Arial"/>
          <w:sz w:val="24"/>
          <w:szCs w:val="24"/>
          <w:lang w:val="en-US"/>
        </w:rPr>
        <w:t xml:space="preserve"> to be higher, partly due to the lower perceived quality of life at baseline.</w:t>
      </w:r>
      <w:r w:rsidR="00B37716" w:rsidRPr="001D29F8">
        <w:rPr>
          <w:rFonts w:ascii="Arial" w:hAnsi="Arial" w:cs="Arial"/>
          <w:sz w:val="24"/>
          <w:szCs w:val="24"/>
          <w:lang w:val="en-US"/>
        </w:rPr>
        <w:t xml:space="preserve"> This</w:t>
      </w:r>
      <w:r w:rsidR="001644B2" w:rsidRPr="001D29F8">
        <w:rPr>
          <w:rFonts w:ascii="Arial" w:hAnsi="Arial" w:cs="Arial"/>
          <w:sz w:val="24"/>
          <w:szCs w:val="24"/>
          <w:lang w:val="en-US"/>
        </w:rPr>
        <w:t xml:space="preserve"> is</w:t>
      </w:r>
      <w:r w:rsidR="00B37716" w:rsidRPr="001D29F8">
        <w:rPr>
          <w:rFonts w:ascii="Arial" w:hAnsi="Arial" w:cs="Arial"/>
          <w:sz w:val="24"/>
          <w:szCs w:val="24"/>
          <w:lang w:val="en-US"/>
        </w:rPr>
        <w:t xml:space="preserve"> in particular evident for </w:t>
      </w:r>
      <w:r w:rsidR="007842DC" w:rsidRPr="001D29F8">
        <w:rPr>
          <w:rFonts w:ascii="Arial" w:hAnsi="Arial" w:cs="Arial"/>
          <w:sz w:val="24"/>
          <w:szCs w:val="24"/>
          <w:lang w:val="en-US"/>
        </w:rPr>
        <w:t xml:space="preserve">HFS-worry </w:t>
      </w:r>
      <w:r w:rsidR="000842A4" w:rsidRPr="001D29F8">
        <w:rPr>
          <w:rFonts w:ascii="Arial" w:hAnsi="Arial" w:cs="Arial"/>
          <w:sz w:val="24"/>
          <w:szCs w:val="24"/>
          <w:lang w:val="en-US"/>
        </w:rPr>
        <w:t xml:space="preserve">for which they had </w:t>
      </w:r>
      <w:r w:rsidR="00C83CE2" w:rsidRPr="001D29F8">
        <w:rPr>
          <w:rFonts w:ascii="Arial" w:hAnsi="Arial" w:cs="Arial"/>
          <w:sz w:val="24"/>
          <w:szCs w:val="24"/>
          <w:lang w:val="en-US"/>
        </w:rPr>
        <w:t>worse</w:t>
      </w:r>
      <w:r w:rsidR="000842A4" w:rsidRPr="001D29F8">
        <w:rPr>
          <w:rFonts w:ascii="Arial" w:hAnsi="Arial" w:cs="Arial"/>
          <w:sz w:val="24"/>
          <w:szCs w:val="24"/>
          <w:lang w:val="en-US"/>
        </w:rPr>
        <w:t xml:space="preserve"> baseline scores</w:t>
      </w:r>
      <w:r w:rsidR="00B37716" w:rsidRPr="001D29F8">
        <w:rPr>
          <w:rFonts w:ascii="Arial" w:hAnsi="Arial" w:cs="Arial"/>
          <w:sz w:val="24"/>
          <w:szCs w:val="24"/>
          <w:lang w:val="en-US"/>
        </w:rPr>
        <w:t xml:space="preserve">, </w:t>
      </w:r>
      <w:r w:rsidR="008F5B1B" w:rsidRPr="001D29F8">
        <w:rPr>
          <w:rFonts w:ascii="Arial" w:hAnsi="Arial" w:cs="Arial"/>
          <w:sz w:val="24"/>
          <w:szCs w:val="24"/>
          <w:lang w:val="en-US"/>
        </w:rPr>
        <w:t>(</w:t>
      </w:r>
      <w:r w:rsidR="0016657B" w:rsidRPr="001D29F8">
        <w:rPr>
          <w:rFonts w:ascii="Arial" w:hAnsi="Arial" w:cs="Arial"/>
          <w:sz w:val="24"/>
          <w:szCs w:val="24"/>
          <w:lang w:val="en-US"/>
        </w:rPr>
        <w:t>20.2±10.8 vs 16.4±9.6, p&lt;0.0001 for IAH vs non-IAH</w:t>
      </w:r>
      <w:r w:rsidR="000842A4" w:rsidRPr="001D29F8">
        <w:rPr>
          <w:rFonts w:ascii="Arial" w:hAnsi="Arial" w:cs="Arial"/>
          <w:sz w:val="24"/>
          <w:szCs w:val="24"/>
          <w:lang w:val="en-US"/>
        </w:rPr>
        <w:t xml:space="preserve">) and were able to bring it to the same level as the </w:t>
      </w:r>
      <w:r w:rsidR="00B37716" w:rsidRPr="001D29F8">
        <w:rPr>
          <w:rFonts w:ascii="Arial" w:hAnsi="Arial" w:cs="Arial"/>
          <w:sz w:val="24"/>
          <w:szCs w:val="24"/>
          <w:lang w:val="en-US"/>
        </w:rPr>
        <w:t>others</w:t>
      </w:r>
      <w:r w:rsidR="000842A4" w:rsidRPr="001D29F8">
        <w:rPr>
          <w:rFonts w:ascii="Arial" w:hAnsi="Arial" w:cs="Arial"/>
          <w:sz w:val="24"/>
          <w:szCs w:val="24"/>
          <w:lang w:val="en-US"/>
        </w:rPr>
        <w:t xml:space="preserve"> during follow-up (</w:t>
      </w:r>
      <w:r w:rsidR="001C729D" w:rsidRPr="001D29F8">
        <w:rPr>
          <w:rFonts w:ascii="Arial" w:hAnsi="Arial" w:cs="Arial"/>
          <w:sz w:val="24"/>
          <w:szCs w:val="24"/>
          <w:lang w:val="en-US"/>
        </w:rPr>
        <w:t xml:space="preserve">Supplemental Table </w:t>
      </w:r>
      <w:r w:rsidR="00B37716" w:rsidRPr="001D29F8">
        <w:rPr>
          <w:rFonts w:ascii="Arial" w:hAnsi="Arial" w:cs="Arial"/>
          <w:sz w:val="24"/>
          <w:szCs w:val="24"/>
          <w:lang w:val="en-US"/>
        </w:rPr>
        <w:t>4</w:t>
      </w:r>
      <w:r w:rsidR="0016657B" w:rsidRPr="001D29F8">
        <w:rPr>
          <w:rFonts w:ascii="Arial" w:hAnsi="Arial" w:cs="Arial"/>
          <w:sz w:val="24"/>
          <w:szCs w:val="24"/>
          <w:lang w:val="en-US"/>
        </w:rPr>
        <w:t>).</w:t>
      </w:r>
    </w:p>
    <w:p w14:paraId="40AFEA4B" w14:textId="77777777" w:rsidR="001D29F8" w:rsidRPr="001D29F8" w:rsidRDefault="001D29F8" w:rsidP="001D29F8">
      <w:pPr>
        <w:spacing w:after="0" w:line="480" w:lineRule="auto"/>
        <w:jc w:val="both"/>
        <w:rPr>
          <w:rFonts w:ascii="Arial" w:hAnsi="Arial" w:cs="Arial"/>
          <w:sz w:val="24"/>
          <w:szCs w:val="24"/>
          <w:lang w:val="en-US"/>
        </w:rPr>
      </w:pPr>
    </w:p>
    <w:p w14:paraId="37BC1018" w14:textId="77777777" w:rsidR="00EE6A38" w:rsidRPr="001D29F8" w:rsidRDefault="00EE6A38" w:rsidP="001D29F8">
      <w:pPr>
        <w:rPr>
          <w:rFonts w:ascii="Arial" w:hAnsi="Arial" w:cs="Arial"/>
          <w:b/>
          <w:sz w:val="24"/>
          <w:lang w:val="en-US"/>
        </w:rPr>
      </w:pPr>
      <w:r w:rsidRPr="001D29F8">
        <w:rPr>
          <w:rFonts w:ascii="Arial" w:hAnsi="Arial" w:cs="Arial"/>
          <w:b/>
          <w:sz w:val="24"/>
          <w:lang w:val="en-US"/>
        </w:rPr>
        <w:t xml:space="preserve">Meeting </w:t>
      </w:r>
      <w:r w:rsidR="00891B05" w:rsidRPr="001D29F8">
        <w:rPr>
          <w:rFonts w:ascii="Arial" w:hAnsi="Arial" w:cs="Arial"/>
          <w:b/>
          <w:sz w:val="24"/>
          <w:lang w:val="en-US"/>
        </w:rPr>
        <w:t>glycemic</w:t>
      </w:r>
      <w:r w:rsidRPr="001D29F8">
        <w:rPr>
          <w:rFonts w:ascii="Arial" w:hAnsi="Arial" w:cs="Arial"/>
          <w:b/>
          <w:sz w:val="24"/>
          <w:lang w:val="en-US"/>
        </w:rPr>
        <w:t xml:space="preserve"> targets </w:t>
      </w:r>
    </w:p>
    <w:p w14:paraId="44C2422F" w14:textId="77777777" w:rsidR="008965FB" w:rsidRPr="001D29F8" w:rsidRDefault="00EE6A38"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Due to the observational </w:t>
      </w:r>
      <w:r w:rsidR="00592D82" w:rsidRPr="001D29F8">
        <w:rPr>
          <w:rFonts w:ascii="Arial" w:hAnsi="Arial" w:cs="Arial"/>
          <w:sz w:val="24"/>
          <w:szCs w:val="24"/>
          <w:lang w:val="en-US"/>
        </w:rPr>
        <w:t xml:space="preserve">real-world </w:t>
      </w:r>
      <w:r w:rsidRPr="001D29F8">
        <w:rPr>
          <w:rFonts w:ascii="Arial" w:hAnsi="Arial" w:cs="Arial"/>
          <w:sz w:val="24"/>
          <w:szCs w:val="24"/>
          <w:lang w:val="en-US"/>
        </w:rPr>
        <w:t xml:space="preserve">study design, no blinded glucose measuring period was </w:t>
      </w:r>
      <w:r w:rsidR="00592D82" w:rsidRPr="001D29F8">
        <w:rPr>
          <w:rFonts w:ascii="Arial" w:hAnsi="Arial" w:cs="Arial"/>
          <w:sz w:val="24"/>
          <w:szCs w:val="24"/>
          <w:lang w:val="en-US"/>
        </w:rPr>
        <w:t>available</w:t>
      </w:r>
      <w:r w:rsidRPr="001D29F8">
        <w:rPr>
          <w:rFonts w:ascii="Arial" w:hAnsi="Arial" w:cs="Arial"/>
          <w:sz w:val="24"/>
          <w:szCs w:val="24"/>
          <w:lang w:val="en-US"/>
        </w:rPr>
        <w:t xml:space="preserve">. </w:t>
      </w:r>
      <w:r w:rsidR="00821330" w:rsidRPr="001D29F8">
        <w:rPr>
          <w:rFonts w:ascii="Arial" w:hAnsi="Arial" w:cs="Arial"/>
          <w:sz w:val="24"/>
          <w:szCs w:val="24"/>
          <w:lang w:val="en-US"/>
        </w:rPr>
        <w:t>Therefore,</w:t>
      </w:r>
      <w:r w:rsidRPr="001D29F8">
        <w:rPr>
          <w:rFonts w:ascii="Arial" w:hAnsi="Arial" w:cs="Arial"/>
          <w:sz w:val="24"/>
          <w:szCs w:val="24"/>
          <w:lang w:val="en-US"/>
        </w:rPr>
        <w:t xml:space="preserve"> we report on the percentage of people who reached the clinical </w:t>
      </w:r>
      <w:r w:rsidR="003822F7" w:rsidRPr="001D29F8">
        <w:rPr>
          <w:rFonts w:ascii="Arial" w:hAnsi="Arial" w:cs="Arial"/>
          <w:sz w:val="24"/>
          <w:szCs w:val="24"/>
          <w:lang w:val="en-US"/>
        </w:rPr>
        <w:t xml:space="preserve">consensus </w:t>
      </w:r>
      <w:r w:rsidRPr="001D29F8">
        <w:rPr>
          <w:rFonts w:ascii="Arial" w:hAnsi="Arial" w:cs="Arial"/>
          <w:sz w:val="24"/>
          <w:szCs w:val="24"/>
          <w:lang w:val="en-US"/>
        </w:rPr>
        <w:t>targets</w:t>
      </w:r>
      <w:r w:rsidR="00821330" w:rsidRPr="001D29F8">
        <w:rPr>
          <w:rFonts w:ascii="Arial" w:hAnsi="Arial" w:cs="Arial"/>
          <w:sz w:val="24"/>
          <w:szCs w:val="24"/>
          <w:lang w:val="en-US"/>
        </w:rPr>
        <w:t xml:space="preserve"> as measured by </w:t>
      </w:r>
      <w:proofErr w:type="spellStart"/>
      <w:r w:rsidR="00821330" w:rsidRPr="001D29F8">
        <w:rPr>
          <w:rFonts w:ascii="Arial" w:hAnsi="Arial" w:cs="Arial"/>
          <w:sz w:val="24"/>
          <w:szCs w:val="24"/>
          <w:lang w:val="en-US"/>
        </w:rPr>
        <w:t>rtCGM</w:t>
      </w:r>
      <w:proofErr w:type="spellEnd"/>
      <w:r w:rsidRPr="001D29F8">
        <w:rPr>
          <w:rFonts w:ascii="Arial" w:hAnsi="Arial" w:cs="Arial"/>
          <w:sz w:val="24"/>
          <w:szCs w:val="24"/>
          <w:lang w:val="en-US"/>
        </w:rPr>
        <w:t xml:space="preserve"> </w:t>
      </w:r>
      <w:r w:rsidR="00592D82" w:rsidRPr="001D29F8">
        <w:rPr>
          <w:rFonts w:ascii="Arial" w:hAnsi="Arial" w:cs="Arial"/>
          <w:sz w:val="24"/>
          <w:szCs w:val="24"/>
          <w:lang w:val="en-US"/>
        </w:rPr>
        <w:t>from the first two weeks until</w:t>
      </w:r>
      <w:r w:rsidRPr="001D29F8">
        <w:rPr>
          <w:rFonts w:ascii="Arial" w:hAnsi="Arial" w:cs="Arial"/>
          <w:sz w:val="24"/>
          <w:szCs w:val="24"/>
          <w:lang w:val="en-US"/>
        </w:rPr>
        <w:t xml:space="preserve"> </w:t>
      </w:r>
      <w:r w:rsidR="00592D82" w:rsidRPr="001D29F8">
        <w:rPr>
          <w:rFonts w:ascii="Arial" w:hAnsi="Arial" w:cs="Arial"/>
          <w:sz w:val="24"/>
          <w:szCs w:val="24"/>
          <w:lang w:val="en-US"/>
        </w:rPr>
        <w:t>24 months onwards</w:t>
      </w:r>
      <w:r w:rsidRPr="001D29F8">
        <w:rPr>
          <w:rFonts w:ascii="Arial" w:hAnsi="Arial" w:cs="Arial"/>
          <w:sz w:val="24"/>
          <w:szCs w:val="24"/>
          <w:lang w:val="en-US"/>
        </w:rPr>
        <w:t>.</w:t>
      </w:r>
      <w:r w:rsidR="001644B2" w:rsidRPr="001D29F8">
        <w:rPr>
          <w:rFonts w:ascii="Arial" w:hAnsi="Arial" w:cs="Arial"/>
          <w:sz w:val="24"/>
          <w:szCs w:val="24"/>
          <w:lang w:val="en-US"/>
        </w:rPr>
        <w:t xml:space="preserve"> For HbA</w:t>
      </w:r>
      <w:r w:rsidR="001644B2" w:rsidRPr="001D29F8">
        <w:rPr>
          <w:rFonts w:ascii="Arial" w:hAnsi="Arial" w:cs="Arial"/>
          <w:sz w:val="24"/>
          <w:szCs w:val="24"/>
          <w:vertAlign w:val="subscript"/>
          <w:lang w:val="en-US"/>
        </w:rPr>
        <w:t>1c</w:t>
      </w:r>
      <w:r w:rsidR="001644B2" w:rsidRPr="001D29F8">
        <w:rPr>
          <w:rFonts w:ascii="Arial" w:hAnsi="Arial" w:cs="Arial"/>
          <w:sz w:val="24"/>
          <w:szCs w:val="24"/>
          <w:lang w:val="en-US"/>
        </w:rPr>
        <w:t xml:space="preserve"> targets, data were available up to one year before.</w:t>
      </w:r>
    </w:p>
    <w:p w14:paraId="6B71DA44" w14:textId="2F87A182" w:rsidR="000F3777" w:rsidRPr="001D29F8" w:rsidRDefault="00821330"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When compared to the year before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reimbursement, more people were able to obtain HbA</w:t>
      </w:r>
      <w:r w:rsidRPr="001D29F8">
        <w:rPr>
          <w:rFonts w:ascii="Arial" w:hAnsi="Arial" w:cs="Arial"/>
          <w:sz w:val="24"/>
          <w:szCs w:val="24"/>
          <w:vertAlign w:val="subscript"/>
          <w:lang w:val="en-US"/>
        </w:rPr>
        <w:t>1c</w:t>
      </w:r>
      <w:r w:rsidRPr="001D29F8">
        <w:rPr>
          <w:rFonts w:ascii="Arial" w:hAnsi="Arial" w:cs="Arial"/>
          <w:sz w:val="24"/>
          <w:szCs w:val="24"/>
          <w:lang w:val="en-US"/>
        </w:rPr>
        <w:t xml:space="preserve"> below the target level of 7% (53 </w:t>
      </w:r>
      <w:proofErr w:type="spellStart"/>
      <w:r w:rsidRPr="001D29F8">
        <w:rPr>
          <w:rFonts w:ascii="Arial" w:hAnsi="Arial" w:cs="Arial"/>
          <w:sz w:val="24"/>
          <w:szCs w:val="24"/>
          <w:lang w:val="en-US"/>
        </w:rPr>
        <w:t>mmol</w:t>
      </w:r>
      <w:proofErr w:type="spellEnd"/>
      <w:r w:rsidRPr="001D29F8">
        <w:rPr>
          <w:rFonts w:ascii="Arial" w:hAnsi="Arial" w:cs="Arial"/>
          <w:sz w:val="24"/>
          <w:szCs w:val="24"/>
          <w:lang w:val="en-US"/>
        </w:rPr>
        <w:t>/</w:t>
      </w:r>
      <w:proofErr w:type="spellStart"/>
      <w:r w:rsidRPr="001D29F8">
        <w:rPr>
          <w:rFonts w:ascii="Arial" w:hAnsi="Arial" w:cs="Arial"/>
          <w:sz w:val="24"/>
          <w:szCs w:val="24"/>
          <w:lang w:val="en-US"/>
        </w:rPr>
        <w:t>mol</w:t>
      </w:r>
      <w:proofErr w:type="spellEnd"/>
      <w:r w:rsidRPr="001D29F8">
        <w:rPr>
          <w:rFonts w:ascii="Arial" w:hAnsi="Arial" w:cs="Arial"/>
          <w:sz w:val="24"/>
          <w:szCs w:val="24"/>
          <w:lang w:val="en-US"/>
        </w:rPr>
        <w:t>)</w:t>
      </w:r>
      <w:r w:rsidR="00087722" w:rsidRPr="001D29F8">
        <w:rPr>
          <w:rFonts w:ascii="Arial" w:hAnsi="Arial" w:cs="Arial"/>
          <w:sz w:val="24"/>
          <w:szCs w:val="24"/>
          <w:lang w:val="en-US"/>
        </w:rPr>
        <w:t xml:space="preserve"> (Table </w:t>
      </w:r>
      <w:r w:rsidR="002148FD">
        <w:rPr>
          <w:rFonts w:ascii="Arial" w:hAnsi="Arial" w:cs="Arial"/>
          <w:sz w:val="24"/>
          <w:szCs w:val="24"/>
          <w:lang w:val="en-US"/>
        </w:rPr>
        <w:t>2</w:t>
      </w:r>
      <w:r w:rsidR="00087722" w:rsidRPr="001D29F8">
        <w:rPr>
          <w:rFonts w:ascii="Arial" w:hAnsi="Arial" w:cs="Arial"/>
          <w:sz w:val="24"/>
          <w:szCs w:val="24"/>
          <w:lang w:val="en-US"/>
        </w:rPr>
        <w:t>)</w:t>
      </w:r>
      <w:r w:rsidRPr="001D29F8">
        <w:rPr>
          <w:rFonts w:ascii="Arial" w:hAnsi="Arial" w:cs="Arial"/>
          <w:sz w:val="24"/>
          <w:szCs w:val="24"/>
          <w:lang w:val="en-US"/>
        </w:rPr>
        <w:t>.</w:t>
      </w:r>
    </w:p>
    <w:p w14:paraId="09CF50B4" w14:textId="7B7BF5A5" w:rsidR="00DC2507" w:rsidRPr="001D29F8" w:rsidRDefault="007656D2"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More than half of the people </w:t>
      </w:r>
      <w:r w:rsidR="00C629E7" w:rsidRPr="001D29F8">
        <w:rPr>
          <w:rFonts w:ascii="Arial" w:hAnsi="Arial" w:cs="Arial"/>
          <w:sz w:val="24"/>
          <w:szCs w:val="24"/>
          <w:lang w:val="en-US"/>
        </w:rPr>
        <w:t>could</w:t>
      </w:r>
      <w:r w:rsidR="009D47BA">
        <w:rPr>
          <w:rFonts w:ascii="Arial" w:hAnsi="Arial" w:cs="Arial"/>
          <w:sz w:val="24"/>
          <w:szCs w:val="24"/>
          <w:lang w:val="en-US"/>
        </w:rPr>
        <w:t xml:space="preserve"> </w:t>
      </w:r>
      <w:r w:rsidR="009D47BA" w:rsidRPr="001D29F8">
        <w:rPr>
          <w:rFonts w:ascii="Arial" w:hAnsi="Arial" w:cs="Arial"/>
          <w:sz w:val="24"/>
          <w:szCs w:val="24"/>
          <w:lang w:val="en-US"/>
        </w:rPr>
        <w:t>already</w:t>
      </w:r>
      <w:r w:rsidR="00C629E7" w:rsidRPr="001D29F8">
        <w:rPr>
          <w:rFonts w:ascii="Arial" w:hAnsi="Arial" w:cs="Arial"/>
          <w:sz w:val="24"/>
          <w:szCs w:val="24"/>
          <w:lang w:val="en-US"/>
        </w:rPr>
        <w:t xml:space="preserve"> attain</w:t>
      </w:r>
      <w:r w:rsidRPr="001D29F8">
        <w:rPr>
          <w:rFonts w:ascii="Arial" w:hAnsi="Arial" w:cs="Arial"/>
          <w:sz w:val="24"/>
          <w:szCs w:val="24"/>
          <w:lang w:val="en-US"/>
        </w:rPr>
        <w:t xml:space="preserve"> the target of time spent </w:t>
      </w:r>
      <w:r w:rsidR="00D6232A" w:rsidRPr="001D29F8">
        <w:rPr>
          <w:rFonts w:ascii="Arial" w:hAnsi="Arial" w:cs="Arial"/>
          <w:sz w:val="24"/>
          <w:szCs w:val="24"/>
          <w:lang w:val="en-US"/>
        </w:rPr>
        <w:t>&lt;</w:t>
      </w:r>
      <w:r w:rsidRPr="001D29F8">
        <w:rPr>
          <w:rFonts w:ascii="Arial" w:hAnsi="Arial" w:cs="Arial"/>
          <w:sz w:val="24"/>
          <w:szCs w:val="24"/>
          <w:lang w:val="en-US"/>
        </w:rPr>
        <w:t>70 mg/</w:t>
      </w:r>
      <w:proofErr w:type="spellStart"/>
      <w:r w:rsidRPr="001D29F8">
        <w:rPr>
          <w:rFonts w:ascii="Arial" w:hAnsi="Arial" w:cs="Arial"/>
          <w:sz w:val="24"/>
          <w:szCs w:val="24"/>
          <w:lang w:val="en-US"/>
        </w:rPr>
        <w:t>dL</w:t>
      </w:r>
      <w:proofErr w:type="spellEnd"/>
      <w:r w:rsidRPr="001D29F8">
        <w:rPr>
          <w:rFonts w:ascii="Arial" w:hAnsi="Arial" w:cs="Arial"/>
          <w:sz w:val="24"/>
          <w:szCs w:val="24"/>
          <w:lang w:val="en-US"/>
        </w:rPr>
        <w:t xml:space="preserve"> (</w:t>
      </w:r>
      <w:r w:rsidR="00D6232A" w:rsidRPr="001D29F8">
        <w:rPr>
          <w:rFonts w:ascii="Arial" w:hAnsi="Arial" w:cs="Arial"/>
          <w:sz w:val="24"/>
          <w:szCs w:val="24"/>
          <w:lang w:val="en-US"/>
        </w:rPr>
        <w:t>&lt;</w:t>
      </w:r>
      <w:r w:rsidRPr="001D29F8">
        <w:rPr>
          <w:rFonts w:ascii="Arial" w:hAnsi="Arial" w:cs="Arial"/>
          <w:sz w:val="24"/>
          <w:szCs w:val="24"/>
          <w:lang w:val="en-US"/>
        </w:rPr>
        <w:t xml:space="preserve">3.9 </w:t>
      </w:r>
      <w:proofErr w:type="spellStart"/>
      <w:r w:rsidRPr="001D29F8">
        <w:rPr>
          <w:rFonts w:ascii="Arial" w:hAnsi="Arial" w:cs="Arial"/>
          <w:sz w:val="24"/>
          <w:szCs w:val="24"/>
          <w:lang w:val="en-US"/>
        </w:rPr>
        <w:t>mmol</w:t>
      </w:r>
      <w:proofErr w:type="spellEnd"/>
      <w:r w:rsidRPr="001D29F8">
        <w:rPr>
          <w:rFonts w:ascii="Arial" w:hAnsi="Arial" w:cs="Arial"/>
          <w:sz w:val="24"/>
          <w:szCs w:val="24"/>
          <w:lang w:val="en-US"/>
        </w:rPr>
        <w:t>/L) in the first two weeks and this even increased to more than 2/3</w:t>
      </w:r>
      <w:r w:rsidRPr="001D29F8">
        <w:rPr>
          <w:rFonts w:ascii="Arial" w:hAnsi="Arial" w:cs="Arial"/>
          <w:sz w:val="24"/>
          <w:szCs w:val="24"/>
          <w:vertAlign w:val="superscript"/>
          <w:lang w:val="en-US"/>
        </w:rPr>
        <w:t>rd</w:t>
      </w:r>
      <w:r w:rsidRPr="001D29F8">
        <w:rPr>
          <w:rFonts w:ascii="Arial" w:hAnsi="Arial" w:cs="Arial"/>
          <w:sz w:val="24"/>
          <w:szCs w:val="24"/>
          <w:lang w:val="en-US"/>
        </w:rPr>
        <w:t xml:space="preserve"> after 24 months. This was even more so for time spent </w:t>
      </w:r>
      <w:r w:rsidR="00D6232A" w:rsidRPr="001D29F8">
        <w:rPr>
          <w:rFonts w:ascii="Arial" w:hAnsi="Arial" w:cs="Arial"/>
          <w:sz w:val="24"/>
          <w:szCs w:val="24"/>
          <w:lang w:val="en-US"/>
        </w:rPr>
        <w:t>&lt;</w:t>
      </w:r>
      <w:r w:rsidRPr="001D29F8">
        <w:rPr>
          <w:rFonts w:ascii="Arial" w:hAnsi="Arial" w:cs="Arial"/>
          <w:sz w:val="24"/>
          <w:szCs w:val="24"/>
          <w:lang w:val="en-US"/>
        </w:rPr>
        <w:t>54 mg/</w:t>
      </w:r>
      <w:proofErr w:type="spellStart"/>
      <w:r w:rsidRPr="001D29F8">
        <w:rPr>
          <w:rFonts w:ascii="Arial" w:hAnsi="Arial" w:cs="Arial"/>
          <w:sz w:val="24"/>
          <w:szCs w:val="24"/>
          <w:lang w:val="en-US"/>
        </w:rPr>
        <w:t>dL</w:t>
      </w:r>
      <w:proofErr w:type="spellEnd"/>
      <w:r w:rsidRPr="001D29F8">
        <w:rPr>
          <w:rFonts w:ascii="Arial" w:hAnsi="Arial" w:cs="Arial"/>
          <w:sz w:val="24"/>
          <w:szCs w:val="24"/>
          <w:lang w:val="en-US"/>
        </w:rPr>
        <w:t xml:space="preserve"> (</w:t>
      </w:r>
      <w:r w:rsidR="00D6232A" w:rsidRPr="001D29F8">
        <w:rPr>
          <w:rFonts w:ascii="Arial" w:hAnsi="Arial" w:cs="Arial"/>
          <w:sz w:val="24"/>
          <w:szCs w:val="24"/>
          <w:lang w:val="en-US"/>
        </w:rPr>
        <w:t>&lt;</w:t>
      </w:r>
      <w:r w:rsidRPr="001D29F8">
        <w:rPr>
          <w:rFonts w:ascii="Arial" w:hAnsi="Arial" w:cs="Arial"/>
          <w:sz w:val="24"/>
          <w:szCs w:val="24"/>
          <w:lang w:val="en-US"/>
        </w:rPr>
        <w:t xml:space="preserve">3.0 </w:t>
      </w:r>
      <w:proofErr w:type="spellStart"/>
      <w:r w:rsidRPr="001D29F8">
        <w:rPr>
          <w:rFonts w:ascii="Arial" w:hAnsi="Arial" w:cs="Arial"/>
          <w:sz w:val="24"/>
          <w:szCs w:val="24"/>
          <w:lang w:val="en-US"/>
        </w:rPr>
        <w:t>mmol</w:t>
      </w:r>
      <w:proofErr w:type="spellEnd"/>
      <w:r w:rsidRPr="001D29F8">
        <w:rPr>
          <w:rFonts w:ascii="Arial" w:hAnsi="Arial" w:cs="Arial"/>
          <w:sz w:val="24"/>
          <w:szCs w:val="24"/>
          <w:lang w:val="en-US"/>
        </w:rPr>
        <w:t>/L)</w:t>
      </w:r>
      <w:r w:rsidR="009D47BA">
        <w:rPr>
          <w:rFonts w:ascii="Arial" w:hAnsi="Arial" w:cs="Arial"/>
          <w:sz w:val="24"/>
          <w:szCs w:val="24"/>
          <w:lang w:val="en-US"/>
        </w:rPr>
        <w:t xml:space="preserve"> </w:t>
      </w:r>
      <w:r w:rsidR="009D47BA" w:rsidRPr="001D29F8">
        <w:rPr>
          <w:rFonts w:ascii="Arial" w:hAnsi="Arial" w:cs="Arial"/>
          <w:sz w:val="24"/>
          <w:szCs w:val="24"/>
          <w:lang w:val="en-US"/>
        </w:rPr>
        <w:t xml:space="preserve">(Table </w:t>
      </w:r>
      <w:r w:rsidR="009D47BA">
        <w:rPr>
          <w:rFonts w:ascii="Arial" w:hAnsi="Arial" w:cs="Arial"/>
          <w:sz w:val="24"/>
          <w:szCs w:val="24"/>
          <w:lang w:val="en-US"/>
        </w:rPr>
        <w:t>2</w:t>
      </w:r>
      <w:r w:rsidR="009D47BA" w:rsidRPr="001D29F8">
        <w:rPr>
          <w:rFonts w:ascii="Arial" w:hAnsi="Arial" w:cs="Arial"/>
          <w:sz w:val="24"/>
          <w:szCs w:val="24"/>
          <w:lang w:val="en-US"/>
        </w:rPr>
        <w:t>)</w:t>
      </w:r>
      <w:r w:rsidR="005C0F92" w:rsidRPr="001D29F8">
        <w:rPr>
          <w:rFonts w:ascii="Arial" w:hAnsi="Arial" w:cs="Arial"/>
          <w:sz w:val="24"/>
          <w:szCs w:val="24"/>
          <w:lang w:val="en-US"/>
        </w:rPr>
        <w:t>.</w:t>
      </w:r>
      <w:r w:rsidR="00393F9A" w:rsidRPr="001D29F8">
        <w:rPr>
          <w:rFonts w:ascii="Arial" w:hAnsi="Arial" w:cs="Arial"/>
          <w:sz w:val="24"/>
          <w:szCs w:val="24"/>
          <w:lang w:val="en-US"/>
        </w:rPr>
        <w:t xml:space="preserve"> </w:t>
      </w:r>
      <w:r w:rsidR="00DC2507" w:rsidRPr="001D29F8">
        <w:rPr>
          <w:rFonts w:ascii="Arial" w:hAnsi="Arial" w:cs="Arial"/>
          <w:sz w:val="24"/>
          <w:szCs w:val="24"/>
          <w:lang w:val="en-US"/>
        </w:rPr>
        <w:t>Of people who did not reach these hypoglycemia consensus targets in the first two weeks, 53.8% and 48.4% did reach the targets for time &lt;54 mg/</w:t>
      </w:r>
      <w:proofErr w:type="spellStart"/>
      <w:r w:rsidR="00DC2507" w:rsidRPr="001D29F8">
        <w:rPr>
          <w:rFonts w:ascii="Arial" w:hAnsi="Arial" w:cs="Arial"/>
          <w:sz w:val="24"/>
          <w:szCs w:val="24"/>
          <w:lang w:val="en-US"/>
        </w:rPr>
        <w:t>dL</w:t>
      </w:r>
      <w:proofErr w:type="spellEnd"/>
      <w:r w:rsidR="00DC2507" w:rsidRPr="001D29F8">
        <w:rPr>
          <w:rFonts w:ascii="Arial" w:hAnsi="Arial" w:cs="Arial"/>
          <w:sz w:val="24"/>
          <w:szCs w:val="24"/>
          <w:lang w:val="en-US"/>
        </w:rPr>
        <w:t xml:space="preserve"> (&lt;3.0 </w:t>
      </w:r>
      <w:proofErr w:type="spellStart"/>
      <w:r w:rsidR="00DC2507" w:rsidRPr="001D29F8">
        <w:rPr>
          <w:rFonts w:ascii="Arial" w:hAnsi="Arial" w:cs="Arial"/>
          <w:sz w:val="24"/>
          <w:szCs w:val="24"/>
          <w:lang w:val="en-US"/>
        </w:rPr>
        <w:t>mmol</w:t>
      </w:r>
      <w:proofErr w:type="spellEnd"/>
      <w:r w:rsidR="00DC2507" w:rsidRPr="001D29F8">
        <w:rPr>
          <w:rFonts w:ascii="Arial" w:hAnsi="Arial" w:cs="Arial"/>
          <w:sz w:val="24"/>
          <w:szCs w:val="24"/>
          <w:lang w:val="en-US"/>
        </w:rPr>
        <w:t>/L) and &lt;70 mg/</w:t>
      </w:r>
      <w:proofErr w:type="spellStart"/>
      <w:r w:rsidR="00DC2507" w:rsidRPr="001D29F8">
        <w:rPr>
          <w:rFonts w:ascii="Arial" w:hAnsi="Arial" w:cs="Arial"/>
          <w:sz w:val="24"/>
          <w:szCs w:val="24"/>
          <w:lang w:val="en-US"/>
        </w:rPr>
        <w:t>dL</w:t>
      </w:r>
      <w:proofErr w:type="spellEnd"/>
      <w:r w:rsidR="00DC2507" w:rsidRPr="001D29F8">
        <w:rPr>
          <w:rFonts w:ascii="Arial" w:hAnsi="Arial" w:cs="Arial"/>
          <w:sz w:val="24"/>
          <w:szCs w:val="24"/>
          <w:lang w:val="en-US"/>
        </w:rPr>
        <w:t xml:space="preserve"> (&lt;3.9 </w:t>
      </w:r>
      <w:proofErr w:type="spellStart"/>
      <w:r w:rsidR="00DC2507" w:rsidRPr="001D29F8">
        <w:rPr>
          <w:rFonts w:ascii="Arial" w:hAnsi="Arial" w:cs="Arial"/>
          <w:sz w:val="24"/>
          <w:szCs w:val="24"/>
          <w:lang w:val="en-US"/>
        </w:rPr>
        <w:t>mmol</w:t>
      </w:r>
      <w:proofErr w:type="spellEnd"/>
      <w:r w:rsidR="00DC2507" w:rsidRPr="001D29F8">
        <w:rPr>
          <w:rFonts w:ascii="Arial" w:hAnsi="Arial" w:cs="Arial"/>
          <w:sz w:val="24"/>
          <w:szCs w:val="24"/>
          <w:lang w:val="en-US"/>
        </w:rPr>
        <w:t>/L) after 24 months, respectively.</w:t>
      </w:r>
    </w:p>
    <w:p w14:paraId="7157AF60" w14:textId="098763B5" w:rsidR="005C0F92" w:rsidRPr="001D29F8" w:rsidRDefault="005C0F92"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P</w:t>
      </w:r>
      <w:r w:rsidR="00D6232A" w:rsidRPr="001D29F8">
        <w:rPr>
          <w:rFonts w:ascii="Arial" w:hAnsi="Arial" w:cs="Arial"/>
          <w:sz w:val="24"/>
          <w:szCs w:val="24"/>
          <w:lang w:val="en-US"/>
        </w:rPr>
        <w:t>roportion of p</w:t>
      </w:r>
      <w:r w:rsidRPr="001D29F8">
        <w:rPr>
          <w:rFonts w:ascii="Arial" w:hAnsi="Arial" w:cs="Arial"/>
          <w:sz w:val="24"/>
          <w:szCs w:val="24"/>
          <w:lang w:val="en-US"/>
        </w:rPr>
        <w:t xml:space="preserve">eople who reached consensus targets of </w:t>
      </w:r>
      <w:r w:rsidR="005E6B7D" w:rsidRPr="001D29F8">
        <w:rPr>
          <w:rFonts w:ascii="Arial" w:hAnsi="Arial" w:cs="Arial"/>
          <w:sz w:val="24"/>
          <w:szCs w:val="24"/>
          <w:lang w:val="en-US"/>
        </w:rPr>
        <w:t>TIR</w:t>
      </w:r>
      <w:r w:rsidRPr="001D29F8">
        <w:rPr>
          <w:rFonts w:ascii="Arial" w:hAnsi="Arial" w:cs="Arial"/>
          <w:sz w:val="24"/>
          <w:szCs w:val="24"/>
          <w:lang w:val="en-US"/>
        </w:rPr>
        <w:t xml:space="preserve"> and time in hyperglycemia was between 1/3</w:t>
      </w:r>
      <w:r w:rsidRPr="001D29F8">
        <w:rPr>
          <w:rFonts w:ascii="Arial" w:hAnsi="Arial" w:cs="Arial"/>
          <w:sz w:val="24"/>
          <w:szCs w:val="24"/>
          <w:vertAlign w:val="superscript"/>
          <w:lang w:val="en-US"/>
        </w:rPr>
        <w:t>rd</w:t>
      </w:r>
      <w:r w:rsidRPr="001D29F8">
        <w:rPr>
          <w:rFonts w:ascii="Arial" w:hAnsi="Arial" w:cs="Arial"/>
          <w:sz w:val="24"/>
          <w:szCs w:val="24"/>
          <w:lang w:val="en-US"/>
        </w:rPr>
        <w:t xml:space="preserve"> and 1/4</w:t>
      </w:r>
      <w:r w:rsidRPr="001D29F8">
        <w:rPr>
          <w:rFonts w:ascii="Arial" w:hAnsi="Arial" w:cs="Arial"/>
          <w:sz w:val="24"/>
          <w:szCs w:val="24"/>
          <w:vertAlign w:val="superscript"/>
          <w:lang w:val="en-US"/>
        </w:rPr>
        <w:t>th</w:t>
      </w:r>
      <w:r w:rsidRPr="001D29F8">
        <w:rPr>
          <w:rFonts w:ascii="Arial" w:hAnsi="Arial" w:cs="Arial"/>
          <w:sz w:val="24"/>
          <w:szCs w:val="24"/>
          <w:lang w:val="en-US"/>
        </w:rPr>
        <w:t xml:space="preserve"> in the first two weeks, but did not significantly change with </w:t>
      </w:r>
      <w:r w:rsidR="00393F9A" w:rsidRPr="001D29F8">
        <w:rPr>
          <w:rFonts w:ascii="Arial" w:hAnsi="Arial" w:cs="Arial"/>
          <w:sz w:val="24"/>
          <w:szCs w:val="24"/>
          <w:lang w:val="en-US"/>
        </w:rPr>
        <w:t xml:space="preserve">even </w:t>
      </w:r>
      <w:r w:rsidRPr="001D29F8">
        <w:rPr>
          <w:rFonts w:ascii="Arial" w:hAnsi="Arial" w:cs="Arial"/>
          <w:sz w:val="24"/>
          <w:szCs w:val="24"/>
          <w:lang w:val="en-US"/>
        </w:rPr>
        <w:t>a trend towards a small reduction during follow-up</w:t>
      </w:r>
      <w:r w:rsidR="00087722" w:rsidRPr="001D29F8">
        <w:rPr>
          <w:rFonts w:ascii="Arial" w:hAnsi="Arial" w:cs="Arial"/>
          <w:sz w:val="24"/>
          <w:szCs w:val="24"/>
          <w:lang w:val="en-US"/>
        </w:rPr>
        <w:t xml:space="preserve"> (Table </w:t>
      </w:r>
      <w:r w:rsidR="002148FD">
        <w:rPr>
          <w:rFonts w:ascii="Arial" w:hAnsi="Arial" w:cs="Arial"/>
          <w:sz w:val="24"/>
          <w:szCs w:val="24"/>
          <w:lang w:val="en-US"/>
        </w:rPr>
        <w:t>2</w:t>
      </w:r>
      <w:r w:rsidR="00087722" w:rsidRPr="001D29F8">
        <w:rPr>
          <w:rFonts w:ascii="Arial" w:hAnsi="Arial" w:cs="Arial"/>
          <w:sz w:val="24"/>
          <w:szCs w:val="24"/>
          <w:lang w:val="en-US"/>
        </w:rPr>
        <w:t>)</w:t>
      </w:r>
      <w:r w:rsidRPr="001D29F8">
        <w:rPr>
          <w:rFonts w:ascii="Arial" w:hAnsi="Arial" w:cs="Arial"/>
          <w:sz w:val="24"/>
          <w:szCs w:val="24"/>
          <w:lang w:val="en-US"/>
        </w:rPr>
        <w:t>.</w:t>
      </w:r>
    </w:p>
    <w:p w14:paraId="4BEFF999" w14:textId="4114A261" w:rsidR="00B23D22" w:rsidRPr="001D29F8" w:rsidRDefault="00393F9A"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Number of people </w:t>
      </w:r>
      <w:r w:rsidR="00AC2171" w:rsidRPr="001D29F8">
        <w:rPr>
          <w:rFonts w:ascii="Arial" w:hAnsi="Arial" w:cs="Arial"/>
          <w:sz w:val="24"/>
          <w:szCs w:val="24"/>
          <w:lang w:val="en-US"/>
        </w:rPr>
        <w:t>to reach t</w:t>
      </w:r>
      <w:r w:rsidR="007E5AB3" w:rsidRPr="001D29F8">
        <w:rPr>
          <w:rFonts w:ascii="Arial" w:hAnsi="Arial" w:cs="Arial"/>
          <w:sz w:val="24"/>
          <w:szCs w:val="24"/>
          <w:lang w:val="en-US"/>
        </w:rPr>
        <w:t>he combined endpoint</w:t>
      </w:r>
      <w:r w:rsidR="00AC2171" w:rsidRPr="001D29F8">
        <w:rPr>
          <w:rFonts w:ascii="Arial" w:hAnsi="Arial" w:cs="Arial"/>
          <w:sz w:val="24"/>
          <w:szCs w:val="24"/>
          <w:lang w:val="en-US"/>
        </w:rPr>
        <w:t>s</w:t>
      </w:r>
      <w:r w:rsidR="007E5AB3" w:rsidRPr="001D29F8">
        <w:rPr>
          <w:rFonts w:ascii="Arial" w:hAnsi="Arial" w:cs="Arial"/>
          <w:sz w:val="24"/>
          <w:szCs w:val="24"/>
          <w:lang w:val="en-US"/>
        </w:rPr>
        <w:t xml:space="preserve"> of HbA</w:t>
      </w:r>
      <w:r w:rsidR="007E5AB3" w:rsidRPr="001D29F8">
        <w:rPr>
          <w:rFonts w:ascii="Arial" w:hAnsi="Arial" w:cs="Arial"/>
          <w:sz w:val="24"/>
          <w:szCs w:val="24"/>
          <w:vertAlign w:val="subscript"/>
          <w:lang w:val="en-US"/>
        </w:rPr>
        <w:t>1c</w:t>
      </w:r>
      <w:r w:rsidR="007E5AB3" w:rsidRPr="001D29F8">
        <w:rPr>
          <w:rFonts w:ascii="Arial" w:hAnsi="Arial" w:cs="Arial"/>
          <w:sz w:val="24"/>
          <w:szCs w:val="24"/>
          <w:lang w:val="en-US"/>
        </w:rPr>
        <w:t xml:space="preserve"> &lt;7% (&lt;53 </w:t>
      </w:r>
      <w:proofErr w:type="spellStart"/>
      <w:r w:rsidR="007E5AB3" w:rsidRPr="001D29F8">
        <w:rPr>
          <w:rFonts w:ascii="Arial" w:hAnsi="Arial" w:cs="Arial"/>
          <w:sz w:val="24"/>
          <w:szCs w:val="24"/>
          <w:lang w:val="en-US"/>
        </w:rPr>
        <w:t>mmol</w:t>
      </w:r>
      <w:proofErr w:type="spellEnd"/>
      <w:r w:rsidR="007E5AB3" w:rsidRPr="001D29F8">
        <w:rPr>
          <w:rFonts w:ascii="Arial" w:hAnsi="Arial" w:cs="Arial"/>
          <w:sz w:val="24"/>
          <w:szCs w:val="24"/>
          <w:lang w:val="en-US"/>
        </w:rPr>
        <w:t>/</w:t>
      </w:r>
      <w:proofErr w:type="spellStart"/>
      <w:r w:rsidR="007E5AB3" w:rsidRPr="001D29F8">
        <w:rPr>
          <w:rFonts w:ascii="Arial" w:hAnsi="Arial" w:cs="Arial"/>
          <w:sz w:val="24"/>
          <w:szCs w:val="24"/>
          <w:lang w:val="en-US"/>
        </w:rPr>
        <w:t>mol</w:t>
      </w:r>
      <w:proofErr w:type="spellEnd"/>
      <w:r w:rsidR="007E5AB3" w:rsidRPr="001D29F8">
        <w:rPr>
          <w:rFonts w:ascii="Arial" w:hAnsi="Arial" w:cs="Arial"/>
          <w:sz w:val="24"/>
          <w:szCs w:val="24"/>
          <w:lang w:val="en-US"/>
        </w:rPr>
        <w:t>) with &lt;1% of time spent below 54 mg/</w:t>
      </w:r>
      <w:proofErr w:type="spellStart"/>
      <w:r w:rsidR="007E5AB3" w:rsidRPr="001D29F8">
        <w:rPr>
          <w:rFonts w:ascii="Arial" w:hAnsi="Arial" w:cs="Arial"/>
          <w:sz w:val="24"/>
          <w:szCs w:val="24"/>
          <w:lang w:val="en-US"/>
        </w:rPr>
        <w:t>dL</w:t>
      </w:r>
      <w:proofErr w:type="spellEnd"/>
      <w:r w:rsidR="007E5AB3" w:rsidRPr="001D29F8">
        <w:rPr>
          <w:rFonts w:ascii="Arial" w:hAnsi="Arial" w:cs="Arial"/>
          <w:sz w:val="24"/>
          <w:szCs w:val="24"/>
          <w:lang w:val="en-US"/>
        </w:rPr>
        <w:t xml:space="preserve"> (3.0 </w:t>
      </w:r>
      <w:proofErr w:type="spellStart"/>
      <w:r w:rsidR="007E5AB3" w:rsidRPr="001D29F8">
        <w:rPr>
          <w:rFonts w:ascii="Arial" w:hAnsi="Arial" w:cs="Arial"/>
          <w:sz w:val="24"/>
          <w:szCs w:val="24"/>
          <w:lang w:val="en-US"/>
        </w:rPr>
        <w:t>mmol</w:t>
      </w:r>
      <w:proofErr w:type="spellEnd"/>
      <w:r w:rsidR="007E5AB3" w:rsidRPr="001D29F8">
        <w:rPr>
          <w:rFonts w:ascii="Arial" w:hAnsi="Arial" w:cs="Arial"/>
          <w:sz w:val="24"/>
          <w:szCs w:val="24"/>
          <w:lang w:val="en-US"/>
        </w:rPr>
        <w:t>/L)</w:t>
      </w:r>
      <w:r w:rsidR="00AC2171" w:rsidRPr="001D29F8">
        <w:rPr>
          <w:rFonts w:ascii="Arial" w:hAnsi="Arial" w:cs="Arial"/>
          <w:sz w:val="24"/>
          <w:szCs w:val="24"/>
          <w:lang w:val="en-US"/>
        </w:rPr>
        <w:t xml:space="preserve"> and </w:t>
      </w:r>
      <w:r w:rsidR="00504F15" w:rsidRPr="001D29F8">
        <w:rPr>
          <w:rFonts w:ascii="Arial" w:hAnsi="Arial" w:cs="Arial"/>
          <w:sz w:val="24"/>
          <w:szCs w:val="24"/>
          <w:lang w:val="en-US"/>
        </w:rPr>
        <w:t>HbA</w:t>
      </w:r>
      <w:r w:rsidR="00504F15" w:rsidRPr="001D29F8">
        <w:rPr>
          <w:rFonts w:ascii="Arial" w:hAnsi="Arial" w:cs="Arial"/>
          <w:sz w:val="24"/>
          <w:szCs w:val="24"/>
          <w:vertAlign w:val="subscript"/>
          <w:lang w:val="en-US"/>
        </w:rPr>
        <w:t>1c</w:t>
      </w:r>
      <w:r w:rsidR="00504F15" w:rsidRPr="001D29F8">
        <w:rPr>
          <w:rFonts w:ascii="Arial" w:hAnsi="Arial" w:cs="Arial"/>
          <w:sz w:val="24"/>
          <w:szCs w:val="24"/>
          <w:lang w:val="en-US"/>
        </w:rPr>
        <w:t xml:space="preserve"> &lt;7% (&lt;53 </w:t>
      </w:r>
      <w:proofErr w:type="spellStart"/>
      <w:r w:rsidR="00504F15" w:rsidRPr="001D29F8">
        <w:rPr>
          <w:rFonts w:ascii="Arial" w:hAnsi="Arial" w:cs="Arial"/>
          <w:sz w:val="24"/>
          <w:szCs w:val="24"/>
          <w:lang w:val="en-US"/>
        </w:rPr>
        <w:t>mmol</w:t>
      </w:r>
      <w:proofErr w:type="spellEnd"/>
      <w:r w:rsidR="00504F15" w:rsidRPr="001D29F8">
        <w:rPr>
          <w:rFonts w:ascii="Arial" w:hAnsi="Arial" w:cs="Arial"/>
          <w:sz w:val="24"/>
          <w:szCs w:val="24"/>
          <w:lang w:val="en-US"/>
        </w:rPr>
        <w:t>/</w:t>
      </w:r>
      <w:proofErr w:type="spellStart"/>
      <w:r w:rsidR="00504F15" w:rsidRPr="001D29F8">
        <w:rPr>
          <w:rFonts w:ascii="Arial" w:hAnsi="Arial" w:cs="Arial"/>
          <w:sz w:val="24"/>
          <w:szCs w:val="24"/>
          <w:lang w:val="en-US"/>
        </w:rPr>
        <w:t>mol</w:t>
      </w:r>
      <w:proofErr w:type="spellEnd"/>
      <w:r w:rsidR="00504F15" w:rsidRPr="001D29F8">
        <w:rPr>
          <w:rFonts w:ascii="Arial" w:hAnsi="Arial" w:cs="Arial"/>
          <w:sz w:val="24"/>
          <w:szCs w:val="24"/>
          <w:lang w:val="en-US"/>
        </w:rPr>
        <w:t xml:space="preserve">) without severe hypoglycemic episodes </w:t>
      </w:r>
      <w:r w:rsidRPr="001D29F8">
        <w:rPr>
          <w:rFonts w:ascii="Arial" w:hAnsi="Arial" w:cs="Arial"/>
          <w:sz w:val="24"/>
          <w:szCs w:val="24"/>
          <w:lang w:val="en-US"/>
        </w:rPr>
        <w:t>more than doubled during the study</w:t>
      </w:r>
      <w:r w:rsidR="00AC2171" w:rsidRPr="001D29F8">
        <w:rPr>
          <w:rFonts w:ascii="Arial" w:hAnsi="Arial" w:cs="Arial"/>
          <w:sz w:val="24"/>
          <w:szCs w:val="24"/>
          <w:lang w:val="en-US"/>
        </w:rPr>
        <w:t xml:space="preserve">. </w:t>
      </w:r>
      <w:r w:rsidRPr="001D29F8">
        <w:rPr>
          <w:rFonts w:ascii="Arial" w:hAnsi="Arial" w:cs="Arial"/>
          <w:sz w:val="24"/>
          <w:szCs w:val="24"/>
          <w:lang w:val="en-US"/>
        </w:rPr>
        <w:t xml:space="preserve">This was not observed for the combined </w:t>
      </w:r>
      <w:r w:rsidR="00AC2171" w:rsidRPr="001D29F8">
        <w:rPr>
          <w:rFonts w:ascii="Arial" w:hAnsi="Arial" w:cs="Arial"/>
          <w:sz w:val="24"/>
          <w:szCs w:val="24"/>
          <w:lang w:val="en-US"/>
        </w:rPr>
        <w:t xml:space="preserve">endpoints of </w:t>
      </w:r>
      <w:r w:rsidR="00FF70EF" w:rsidRPr="001D29F8">
        <w:rPr>
          <w:rFonts w:ascii="Arial" w:hAnsi="Arial" w:cs="Arial"/>
          <w:sz w:val="24"/>
          <w:szCs w:val="24"/>
          <w:lang w:val="en-US"/>
        </w:rPr>
        <w:t>&gt;70% TIR with &lt;1% spent below 54 mg/</w:t>
      </w:r>
      <w:proofErr w:type="spellStart"/>
      <w:r w:rsidR="00FF70EF" w:rsidRPr="001D29F8">
        <w:rPr>
          <w:rFonts w:ascii="Arial" w:hAnsi="Arial" w:cs="Arial"/>
          <w:sz w:val="24"/>
          <w:szCs w:val="24"/>
          <w:lang w:val="en-US"/>
        </w:rPr>
        <w:t>dL</w:t>
      </w:r>
      <w:proofErr w:type="spellEnd"/>
      <w:r w:rsidR="00FF70EF" w:rsidRPr="001D29F8">
        <w:rPr>
          <w:rFonts w:ascii="Arial" w:hAnsi="Arial" w:cs="Arial"/>
          <w:sz w:val="24"/>
          <w:szCs w:val="24"/>
          <w:lang w:val="en-US"/>
        </w:rPr>
        <w:t xml:space="preserve"> (3.0 </w:t>
      </w:r>
      <w:proofErr w:type="spellStart"/>
      <w:r w:rsidR="00FF70EF" w:rsidRPr="001D29F8">
        <w:rPr>
          <w:rFonts w:ascii="Arial" w:hAnsi="Arial" w:cs="Arial"/>
          <w:sz w:val="24"/>
          <w:szCs w:val="24"/>
          <w:lang w:val="en-US"/>
        </w:rPr>
        <w:t>mmol</w:t>
      </w:r>
      <w:proofErr w:type="spellEnd"/>
      <w:r w:rsidR="00FF70EF" w:rsidRPr="001D29F8">
        <w:rPr>
          <w:rFonts w:ascii="Arial" w:hAnsi="Arial" w:cs="Arial"/>
          <w:sz w:val="24"/>
          <w:szCs w:val="24"/>
          <w:lang w:val="en-US"/>
        </w:rPr>
        <w:t>/</w:t>
      </w:r>
      <w:r w:rsidR="00F84FA1" w:rsidRPr="001D29F8">
        <w:rPr>
          <w:rFonts w:ascii="Arial" w:hAnsi="Arial" w:cs="Arial"/>
          <w:sz w:val="24"/>
          <w:szCs w:val="24"/>
          <w:lang w:val="en-US"/>
        </w:rPr>
        <w:t>L</w:t>
      </w:r>
      <w:r w:rsidR="00FF70EF" w:rsidRPr="001D29F8">
        <w:rPr>
          <w:rFonts w:ascii="Arial" w:hAnsi="Arial" w:cs="Arial"/>
          <w:sz w:val="24"/>
          <w:szCs w:val="24"/>
          <w:lang w:val="en-US"/>
        </w:rPr>
        <w:t xml:space="preserve">) </w:t>
      </w:r>
      <w:r w:rsidR="00AC2171" w:rsidRPr="001D29F8">
        <w:rPr>
          <w:rFonts w:ascii="Arial" w:hAnsi="Arial" w:cs="Arial"/>
          <w:sz w:val="24"/>
          <w:szCs w:val="24"/>
          <w:lang w:val="en-US"/>
        </w:rPr>
        <w:t>a</w:t>
      </w:r>
      <w:r w:rsidR="00FF70EF" w:rsidRPr="001D29F8">
        <w:rPr>
          <w:rFonts w:ascii="Arial" w:hAnsi="Arial" w:cs="Arial"/>
          <w:sz w:val="24"/>
          <w:szCs w:val="24"/>
          <w:lang w:val="en-US"/>
        </w:rPr>
        <w:t>nd &gt;70% TIR without occurrence of severe hypoglycemic events</w:t>
      </w:r>
      <w:r w:rsidR="00AC2171" w:rsidRPr="001D29F8">
        <w:rPr>
          <w:rFonts w:ascii="Arial" w:hAnsi="Arial" w:cs="Arial"/>
          <w:sz w:val="24"/>
          <w:szCs w:val="24"/>
          <w:lang w:val="en-US"/>
        </w:rPr>
        <w:t xml:space="preserve"> </w:t>
      </w:r>
      <w:bookmarkStart w:id="11" w:name="OLE_LINK2"/>
      <w:r w:rsidR="00AC2171" w:rsidRPr="001D29F8">
        <w:rPr>
          <w:rFonts w:ascii="Arial" w:hAnsi="Arial" w:cs="Arial"/>
          <w:sz w:val="24"/>
          <w:szCs w:val="24"/>
          <w:lang w:val="en-US"/>
        </w:rPr>
        <w:t>(</w:t>
      </w:r>
      <w:r w:rsidR="006C568F" w:rsidRPr="001D29F8">
        <w:rPr>
          <w:rFonts w:ascii="Arial" w:hAnsi="Arial" w:cs="Arial"/>
          <w:sz w:val="24"/>
          <w:szCs w:val="24"/>
          <w:lang w:val="en-US"/>
        </w:rPr>
        <w:t>T</w:t>
      </w:r>
      <w:r w:rsidR="00AC2171" w:rsidRPr="001D29F8">
        <w:rPr>
          <w:rFonts w:ascii="Arial" w:hAnsi="Arial" w:cs="Arial"/>
          <w:sz w:val="24"/>
          <w:szCs w:val="24"/>
          <w:lang w:val="en-US"/>
        </w:rPr>
        <w:t xml:space="preserve">able </w:t>
      </w:r>
      <w:r w:rsidR="002148FD">
        <w:rPr>
          <w:rFonts w:ascii="Arial" w:hAnsi="Arial" w:cs="Arial"/>
          <w:sz w:val="24"/>
          <w:szCs w:val="24"/>
          <w:lang w:val="en-US"/>
        </w:rPr>
        <w:t>2</w:t>
      </w:r>
      <w:r w:rsidR="00AC2171" w:rsidRPr="001D29F8">
        <w:rPr>
          <w:rFonts w:ascii="Arial" w:hAnsi="Arial" w:cs="Arial"/>
          <w:sz w:val="24"/>
          <w:szCs w:val="24"/>
          <w:lang w:val="en-US"/>
        </w:rPr>
        <w:t>)</w:t>
      </w:r>
      <w:bookmarkEnd w:id="11"/>
      <w:r w:rsidR="00E92544" w:rsidRPr="001D29F8">
        <w:rPr>
          <w:rFonts w:ascii="Arial" w:hAnsi="Arial" w:cs="Arial"/>
          <w:sz w:val="24"/>
          <w:szCs w:val="24"/>
          <w:lang w:val="en-US"/>
        </w:rPr>
        <w:t>.</w:t>
      </w:r>
    </w:p>
    <w:p w14:paraId="50474902" w14:textId="77777777" w:rsidR="007B7F3B" w:rsidRPr="001D29F8" w:rsidRDefault="007B7F3B"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 xml:space="preserve">Throughout 24 months of follow-up, less people with IAH reached consensus targets for hypoglycemia (p&lt;0.05 </w:t>
      </w:r>
      <w:r w:rsidR="00BC490F" w:rsidRPr="001D29F8">
        <w:rPr>
          <w:rFonts w:ascii="Arial" w:hAnsi="Arial" w:cs="Arial"/>
          <w:sz w:val="24"/>
          <w:szCs w:val="24"/>
          <w:lang w:val="en-US"/>
        </w:rPr>
        <w:t>in the first 2 weeks</w:t>
      </w:r>
      <w:r w:rsidRPr="001D29F8">
        <w:rPr>
          <w:rFonts w:ascii="Arial" w:hAnsi="Arial" w:cs="Arial"/>
          <w:sz w:val="24"/>
          <w:szCs w:val="24"/>
          <w:lang w:val="en-US"/>
        </w:rPr>
        <w:t xml:space="preserve"> and p&lt;0.0001 after 24 months) and the composite endpoint of HbA</w:t>
      </w:r>
      <w:r w:rsidRPr="001D29F8">
        <w:rPr>
          <w:rFonts w:ascii="Arial" w:hAnsi="Arial" w:cs="Arial"/>
          <w:sz w:val="24"/>
          <w:szCs w:val="24"/>
          <w:vertAlign w:val="subscript"/>
          <w:lang w:val="en-US"/>
        </w:rPr>
        <w:t>1c</w:t>
      </w:r>
      <w:r w:rsidRPr="001D29F8">
        <w:rPr>
          <w:rFonts w:ascii="Arial" w:hAnsi="Arial" w:cs="Arial"/>
          <w:sz w:val="24"/>
          <w:szCs w:val="24"/>
          <w:lang w:val="en-US"/>
        </w:rPr>
        <w:t xml:space="preserve"> below 7% (53 </w:t>
      </w:r>
      <w:proofErr w:type="spellStart"/>
      <w:r w:rsidRPr="001D29F8">
        <w:rPr>
          <w:rFonts w:ascii="Arial" w:hAnsi="Arial" w:cs="Arial"/>
          <w:sz w:val="24"/>
          <w:szCs w:val="24"/>
          <w:lang w:val="en-US"/>
        </w:rPr>
        <w:t>mmol</w:t>
      </w:r>
      <w:proofErr w:type="spellEnd"/>
      <w:r w:rsidRPr="001D29F8">
        <w:rPr>
          <w:rFonts w:ascii="Arial" w:hAnsi="Arial" w:cs="Arial"/>
          <w:sz w:val="24"/>
          <w:szCs w:val="24"/>
          <w:lang w:val="en-US"/>
        </w:rPr>
        <w:t>/</w:t>
      </w:r>
      <w:proofErr w:type="spellStart"/>
      <w:r w:rsidRPr="001D29F8">
        <w:rPr>
          <w:rFonts w:ascii="Arial" w:hAnsi="Arial" w:cs="Arial"/>
          <w:sz w:val="24"/>
          <w:szCs w:val="24"/>
          <w:lang w:val="en-US"/>
        </w:rPr>
        <w:t>mol</w:t>
      </w:r>
      <w:proofErr w:type="spellEnd"/>
      <w:r w:rsidRPr="001D29F8">
        <w:rPr>
          <w:rFonts w:ascii="Arial" w:hAnsi="Arial" w:cs="Arial"/>
          <w:sz w:val="24"/>
          <w:szCs w:val="24"/>
          <w:lang w:val="en-US"/>
        </w:rPr>
        <w:t xml:space="preserve">) without severe </w:t>
      </w:r>
      <w:r w:rsidR="00BC490F" w:rsidRPr="001D29F8">
        <w:rPr>
          <w:rFonts w:ascii="Arial" w:hAnsi="Arial" w:cs="Arial"/>
          <w:sz w:val="24"/>
          <w:szCs w:val="24"/>
          <w:lang w:val="en-US"/>
        </w:rPr>
        <w:t>hypoglycemia</w:t>
      </w:r>
      <w:r w:rsidRPr="001D29F8">
        <w:rPr>
          <w:rFonts w:ascii="Arial" w:hAnsi="Arial" w:cs="Arial"/>
          <w:sz w:val="24"/>
          <w:szCs w:val="24"/>
          <w:lang w:val="en-US"/>
        </w:rPr>
        <w:t xml:space="preserve"> (p&lt;0.0001 at </w:t>
      </w:r>
      <w:r w:rsidR="00BC490F" w:rsidRPr="001D29F8">
        <w:rPr>
          <w:rFonts w:ascii="Arial" w:hAnsi="Arial" w:cs="Arial"/>
          <w:sz w:val="24"/>
          <w:szCs w:val="24"/>
          <w:lang w:val="en-US"/>
        </w:rPr>
        <w:t>2 weeks</w:t>
      </w:r>
      <w:r w:rsidRPr="001D29F8">
        <w:rPr>
          <w:rFonts w:ascii="Arial" w:hAnsi="Arial" w:cs="Arial"/>
          <w:sz w:val="24"/>
          <w:szCs w:val="24"/>
          <w:lang w:val="en-US"/>
        </w:rPr>
        <w:t xml:space="preserve"> and 24 months) then those with normal awareness.</w:t>
      </w:r>
      <w:r w:rsidR="00BC490F" w:rsidRPr="001D29F8">
        <w:rPr>
          <w:rFonts w:ascii="Arial" w:hAnsi="Arial" w:cs="Arial"/>
          <w:sz w:val="24"/>
          <w:szCs w:val="24"/>
          <w:lang w:val="en-US"/>
        </w:rPr>
        <w:t xml:space="preserve"> Despite their differences, they both benefitted from </w:t>
      </w:r>
      <w:proofErr w:type="spellStart"/>
      <w:r w:rsidR="00BC490F" w:rsidRPr="001D29F8">
        <w:rPr>
          <w:rFonts w:ascii="Arial" w:hAnsi="Arial" w:cs="Arial"/>
          <w:sz w:val="24"/>
          <w:szCs w:val="24"/>
          <w:lang w:val="en-US"/>
        </w:rPr>
        <w:t>rtCGM</w:t>
      </w:r>
      <w:proofErr w:type="spellEnd"/>
      <w:r w:rsidR="00BC490F" w:rsidRPr="001D29F8">
        <w:rPr>
          <w:rFonts w:ascii="Arial" w:hAnsi="Arial" w:cs="Arial"/>
          <w:sz w:val="24"/>
          <w:szCs w:val="24"/>
          <w:lang w:val="en-US"/>
        </w:rPr>
        <w:t xml:space="preserve"> with increased proportion of people achieving the predefined targets for hypoglycemia. There were no changes within nor differences between groups for targets of TIR and hyperglycemia (Supplemental Table </w:t>
      </w:r>
      <w:r w:rsidR="00B37716" w:rsidRPr="001D29F8">
        <w:rPr>
          <w:rFonts w:ascii="Arial" w:hAnsi="Arial" w:cs="Arial"/>
          <w:sz w:val="24"/>
          <w:szCs w:val="24"/>
          <w:lang w:val="en-US"/>
        </w:rPr>
        <w:t>5</w:t>
      </w:r>
      <w:r w:rsidR="00BC490F" w:rsidRPr="001D29F8">
        <w:rPr>
          <w:rFonts w:ascii="Arial" w:hAnsi="Arial" w:cs="Arial"/>
          <w:sz w:val="24"/>
          <w:szCs w:val="24"/>
          <w:lang w:val="en-US"/>
        </w:rPr>
        <w:t xml:space="preserve">). </w:t>
      </w:r>
    </w:p>
    <w:p w14:paraId="59C8B72E" w14:textId="77777777" w:rsidR="001644B2" w:rsidRPr="001D29F8" w:rsidRDefault="001644B2" w:rsidP="001D29F8">
      <w:pPr>
        <w:spacing w:after="0" w:line="480" w:lineRule="auto"/>
        <w:jc w:val="both"/>
        <w:rPr>
          <w:rFonts w:ascii="Arial" w:hAnsi="Arial" w:cs="Arial"/>
          <w:sz w:val="24"/>
          <w:szCs w:val="24"/>
          <w:lang w:val="en-US"/>
        </w:rPr>
      </w:pPr>
    </w:p>
    <w:p w14:paraId="0428374E" w14:textId="77777777" w:rsidR="006123FB" w:rsidRPr="001D29F8" w:rsidRDefault="001D29F8" w:rsidP="001D29F8">
      <w:pPr>
        <w:spacing w:line="480" w:lineRule="auto"/>
        <w:jc w:val="both"/>
        <w:rPr>
          <w:rFonts w:ascii="Arial" w:hAnsi="Arial" w:cs="Arial"/>
          <w:b/>
          <w:sz w:val="24"/>
          <w:szCs w:val="24"/>
          <w:lang w:val="en-US"/>
        </w:rPr>
      </w:pPr>
      <w:r w:rsidRPr="001D29F8">
        <w:rPr>
          <w:rFonts w:ascii="Arial" w:hAnsi="Arial" w:cs="Arial"/>
          <w:b/>
          <w:sz w:val="24"/>
          <w:szCs w:val="24"/>
          <w:lang w:val="en-US"/>
        </w:rPr>
        <w:t>DISCUSSION</w:t>
      </w:r>
    </w:p>
    <w:p w14:paraId="15DE6BC7" w14:textId="77777777" w:rsidR="00C93912" w:rsidRPr="001D29F8" w:rsidRDefault="00E86CC6" w:rsidP="001D29F8">
      <w:pPr>
        <w:spacing w:line="480" w:lineRule="auto"/>
        <w:jc w:val="both"/>
        <w:rPr>
          <w:rFonts w:ascii="Arial" w:hAnsi="Arial" w:cs="Arial"/>
          <w:sz w:val="24"/>
          <w:szCs w:val="24"/>
          <w:lang w:val="en-US"/>
        </w:rPr>
      </w:pPr>
      <w:r w:rsidRPr="001D29F8">
        <w:rPr>
          <w:rFonts w:ascii="Arial" w:hAnsi="Arial" w:cs="Arial"/>
          <w:sz w:val="24"/>
          <w:szCs w:val="24"/>
          <w:lang w:val="en-US"/>
        </w:rPr>
        <w:t xml:space="preserve">This study tried to provide more insight into how people with type 1 diabetes use advanced technology to manage their diabetes and how this </w:t>
      </w:r>
      <w:r w:rsidR="00A40398" w:rsidRPr="001D29F8">
        <w:rPr>
          <w:rFonts w:ascii="Arial" w:hAnsi="Arial" w:cs="Arial"/>
          <w:sz w:val="24"/>
          <w:szCs w:val="24"/>
          <w:lang w:val="en-US"/>
        </w:rPr>
        <w:t>influences</w:t>
      </w:r>
      <w:r w:rsidRPr="001D29F8">
        <w:rPr>
          <w:rFonts w:ascii="Arial" w:hAnsi="Arial" w:cs="Arial"/>
          <w:sz w:val="24"/>
          <w:szCs w:val="24"/>
          <w:lang w:val="en-US"/>
        </w:rPr>
        <w:t xml:space="preserve"> daily life on the long run. </w:t>
      </w:r>
      <w:r w:rsidR="0064733F" w:rsidRPr="001D29F8">
        <w:rPr>
          <w:rFonts w:ascii="Arial" w:hAnsi="Arial" w:cs="Arial"/>
          <w:sz w:val="24"/>
          <w:szCs w:val="24"/>
          <w:lang w:val="en-US"/>
        </w:rPr>
        <w:t xml:space="preserve">To our </w:t>
      </w:r>
      <w:r w:rsidR="00A40398" w:rsidRPr="001D29F8">
        <w:rPr>
          <w:rFonts w:ascii="Arial" w:hAnsi="Arial" w:cs="Arial"/>
          <w:sz w:val="24"/>
          <w:szCs w:val="24"/>
          <w:lang w:val="en-US"/>
        </w:rPr>
        <w:t>knowledge,</w:t>
      </w:r>
      <w:r w:rsidR="0064733F" w:rsidRPr="001D29F8">
        <w:rPr>
          <w:rFonts w:ascii="Arial" w:hAnsi="Arial" w:cs="Arial"/>
          <w:sz w:val="24"/>
          <w:szCs w:val="24"/>
          <w:lang w:val="en-US"/>
        </w:rPr>
        <w:t xml:space="preserve"> </w:t>
      </w:r>
      <w:r w:rsidR="005B400E" w:rsidRPr="001D29F8">
        <w:rPr>
          <w:rFonts w:ascii="Arial" w:hAnsi="Arial" w:cs="Arial"/>
          <w:sz w:val="24"/>
          <w:szCs w:val="24"/>
          <w:lang w:val="en-US"/>
        </w:rPr>
        <w:t>the RESCUE study</w:t>
      </w:r>
      <w:r w:rsidR="0064733F" w:rsidRPr="001D29F8">
        <w:rPr>
          <w:rFonts w:ascii="Arial" w:hAnsi="Arial" w:cs="Arial"/>
          <w:sz w:val="24"/>
          <w:szCs w:val="24"/>
          <w:lang w:val="en-US"/>
        </w:rPr>
        <w:t xml:space="preserve"> is </w:t>
      </w:r>
      <w:r w:rsidR="00FB6966" w:rsidRPr="001D29F8">
        <w:rPr>
          <w:rFonts w:ascii="Arial" w:hAnsi="Arial" w:cs="Arial"/>
          <w:sz w:val="24"/>
          <w:szCs w:val="24"/>
          <w:lang w:val="en-US"/>
        </w:rPr>
        <w:t xml:space="preserve">the </w:t>
      </w:r>
      <w:r w:rsidR="005B400E" w:rsidRPr="001D29F8">
        <w:rPr>
          <w:rFonts w:ascii="Arial" w:hAnsi="Arial" w:cs="Arial"/>
          <w:sz w:val="24"/>
          <w:szCs w:val="24"/>
          <w:lang w:val="en-US"/>
        </w:rPr>
        <w:t>largest and one of the longest</w:t>
      </w:r>
      <w:r w:rsidR="0064733F" w:rsidRPr="001D29F8">
        <w:rPr>
          <w:rFonts w:ascii="Arial" w:hAnsi="Arial" w:cs="Arial"/>
          <w:sz w:val="24"/>
          <w:szCs w:val="24"/>
          <w:lang w:val="en-US"/>
        </w:rPr>
        <w:t xml:space="preserve"> </w:t>
      </w:r>
      <w:r w:rsidR="005B400E" w:rsidRPr="001D29F8">
        <w:rPr>
          <w:rFonts w:ascii="Arial" w:hAnsi="Arial" w:cs="Arial"/>
          <w:sz w:val="24"/>
          <w:szCs w:val="24"/>
          <w:lang w:val="en-US"/>
        </w:rPr>
        <w:t>pro</w:t>
      </w:r>
      <w:r w:rsidR="00443F88" w:rsidRPr="001D29F8">
        <w:rPr>
          <w:rFonts w:ascii="Arial" w:hAnsi="Arial" w:cs="Arial"/>
          <w:sz w:val="24"/>
          <w:szCs w:val="24"/>
          <w:lang w:val="en-US"/>
        </w:rPr>
        <w:t>spective real-world cohort studies</w:t>
      </w:r>
      <w:r w:rsidR="005B400E" w:rsidRPr="001D29F8">
        <w:rPr>
          <w:rFonts w:ascii="Arial" w:hAnsi="Arial" w:cs="Arial"/>
          <w:sz w:val="24"/>
          <w:szCs w:val="24"/>
          <w:lang w:val="en-US"/>
        </w:rPr>
        <w:t xml:space="preserve"> which assessed clinical and patient-reported outcome measures after initiation of </w:t>
      </w:r>
      <w:proofErr w:type="spellStart"/>
      <w:r w:rsidR="005B400E" w:rsidRPr="001D29F8">
        <w:rPr>
          <w:rFonts w:ascii="Arial" w:hAnsi="Arial" w:cs="Arial"/>
          <w:sz w:val="24"/>
          <w:szCs w:val="24"/>
          <w:lang w:val="en-US"/>
        </w:rPr>
        <w:t>rtCGM</w:t>
      </w:r>
      <w:proofErr w:type="spellEnd"/>
      <w:r w:rsidR="005B400E" w:rsidRPr="001D29F8">
        <w:rPr>
          <w:rFonts w:ascii="Arial" w:hAnsi="Arial" w:cs="Arial"/>
          <w:sz w:val="24"/>
          <w:szCs w:val="24"/>
          <w:lang w:val="en-US"/>
        </w:rPr>
        <w:t xml:space="preserve"> reimbursement </w:t>
      </w:r>
      <w:r w:rsidR="0064733F" w:rsidRPr="001D29F8">
        <w:rPr>
          <w:rFonts w:ascii="Arial" w:hAnsi="Arial" w:cs="Arial"/>
          <w:sz w:val="24"/>
          <w:szCs w:val="24"/>
          <w:lang w:val="en-US"/>
        </w:rPr>
        <w:t xml:space="preserve">on </w:t>
      </w:r>
      <w:r w:rsidR="00FB6966" w:rsidRPr="001D29F8">
        <w:rPr>
          <w:rFonts w:ascii="Arial" w:hAnsi="Arial" w:cs="Arial"/>
          <w:sz w:val="24"/>
          <w:szCs w:val="24"/>
          <w:lang w:val="en-US"/>
        </w:rPr>
        <w:t xml:space="preserve">the long </w:t>
      </w:r>
      <w:r w:rsidR="0064733F" w:rsidRPr="001D29F8">
        <w:rPr>
          <w:rFonts w:ascii="Arial" w:hAnsi="Arial" w:cs="Arial"/>
          <w:sz w:val="24"/>
          <w:szCs w:val="24"/>
          <w:lang w:val="en-US"/>
        </w:rPr>
        <w:t xml:space="preserve">term. As reported here, </w:t>
      </w:r>
      <w:proofErr w:type="spellStart"/>
      <w:r w:rsidR="0064733F" w:rsidRPr="001D29F8">
        <w:rPr>
          <w:rFonts w:ascii="Arial" w:hAnsi="Arial" w:cs="Arial"/>
          <w:sz w:val="24"/>
          <w:szCs w:val="24"/>
          <w:lang w:val="en-US"/>
        </w:rPr>
        <w:t>rtCGM</w:t>
      </w:r>
      <w:proofErr w:type="spellEnd"/>
      <w:r w:rsidR="0064733F" w:rsidRPr="001D29F8">
        <w:rPr>
          <w:rFonts w:ascii="Arial" w:hAnsi="Arial" w:cs="Arial"/>
          <w:sz w:val="24"/>
          <w:szCs w:val="24"/>
          <w:lang w:val="en-US"/>
        </w:rPr>
        <w:t xml:space="preserve"> </w:t>
      </w:r>
      <w:r w:rsidR="005B400E" w:rsidRPr="001D29F8">
        <w:rPr>
          <w:rFonts w:ascii="Arial" w:hAnsi="Arial" w:cs="Arial"/>
          <w:sz w:val="24"/>
          <w:szCs w:val="24"/>
          <w:lang w:val="en-US"/>
        </w:rPr>
        <w:t>use</w:t>
      </w:r>
      <w:r w:rsidR="0064733F" w:rsidRPr="001D29F8">
        <w:rPr>
          <w:rFonts w:ascii="Arial" w:hAnsi="Arial" w:cs="Arial"/>
          <w:sz w:val="24"/>
          <w:szCs w:val="24"/>
          <w:lang w:val="en-US"/>
        </w:rPr>
        <w:t xml:space="preserve"> </w:t>
      </w:r>
      <w:r w:rsidR="005B400E" w:rsidRPr="001D29F8">
        <w:rPr>
          <w:rFonts w:ascii="Arial" w:hAnsi="Arial" w:cs="Arial"/>
          <w:sz w:val="24"/>
          <w:szCs w:val="24"/>
          <w:lang w:val="en-US"/>
        </w:rPr>
        <w:t>by</w:t>
      </w:r>
      <w:r w:rsidR="0064733F" w:rsidRPr="001D29F8">
        <w:rPr>
          <w:rFonts w:ascii="Arial" w:hAnsi="Arial" w:cs="Arial"/>
          <w:sz w:val="24"/>
          <w:szCs w:val="24"/>
          <w:lang w:val="en-US"/>
        </w:rPr>
        <w:t xml:space="preserve"> adults with type 1 diabetes on CSII-therapy followed in specialized centers was associated with 24 months of sustained improvements in HbA</w:t>
      </w:r>
      <w:r w:rsidR="0064733F" w:rsidRPr="001D29F8">
        <w:rPr>
          <w:rFonts w:ascii="Arial" w:hAnsi="Arial" w:cs="Arial"/>
          <w:sz w:val="24"/>
          <w:szCs w:val="24"/>
          <w:vertAlign w:val="subscript"/>
          <w:lang w:val="en-US"/>
        </w:rPr>
        <w:t>1c</w:t>
      </w:r>
      <w:r w:rsidR="0064733F" w:rsidRPr="001D29F8">
        <w:rPr>
          <w:rFonts w:ascii="Arial" w:hAnsi="Arial" w:cs="Arial"/>
          <w:sz w:val="24"/>
          <w:szCs w:val="24"/>
          <w:lang w:val="en-US"/>
        </w:rPr>
        <w:t xml:space="preserve">, quality of life, with especially fear </w:t>
      </w:r>
      <w:r w:rsidR="00D276B3" w:rsidRPr="001D29F8">
        <w:rPr>
          <w:rFonts w:ascii="Arial" w:hAnsi="Arial" w:cs="Arial"/>
          <w:sz w:val="24"/>
          <w:szCs w:val="24"/>
          <w:lang w:val="en-US"/>
        </w:rPr>
        <w:t>of</w:t>
      </w:r>
      <w:r w:rsidR="0064733F" w:rsidRPr="001D29F8">
        <w:rPr>
          <w:rFonts w:ascii="Arial" w:hAnsi="Arial" w:cs="Arial"/>
          <w:sz w:val="24"/>
          <w:szCs w:val="24"/>
          <w:lang w:val="en-US"/>
        </w:rPr>
        <w:t xml:space="preserve"> hypoglycemia, </w:t>
      </w:r>
      <w:r w:rsidR="005B400E" w:rsidRPr="001D29F8">
        <w:rPr>
          <w:rFonts w:ascii="Arial" w:hAnsi="Arial" w:cs="Arial"/>
          <w:sz w:val="24"/>
          <w:szCs w:val="24"/>
          <w:lang w:val="en-US"/>
        </w:rPr>
        <w:t xml:space="preserve">and </w:t>
      </w:r>
      <w:r w:rsidR="0064733F" w:rsidRPr="001D29F8">
        <w:rPr>
          <w:rFonts w:ascii="Arial" w:hAnsi="Arial" w:cs="Arial"/>
          <w:sz w:val="24"/>
          <w:szCs w:val="24"/>
          <w:lang w:val="en-US"/>
        </w:rPr>
        <w:t xml:space="preserve">acute </w:t>
      </w:r>
      <w:r w:rsidR="005B400E" w:rsidRPr="001D29F8">
        <w:rPr>
          <w:rFonts w:ascii="Arial" w:hAnsi="Arial" w:cs="Arial"/>
          <w:sz w:val="24"/>
          <w:szCs w:val="24"/>
          <w:lang w:val="en-US"/>
        </w:rPr>
        <w:t>hypoglycemic</w:t>
      </w:r>
      <w:r w:rsidR="0064733F" w:rsidRPr="001D29F8">
        <w:rPr>
          <w:rFonts w:ascii="Arial" w:hAnsi="Arial" w:cs="Arial"/>
          <w:sz w:val="24"/>
          <w:szCs w:val="24"/>
          <w:lang w:val="en-US"/>
        </w:rPr>
        <w:t xml:space="preserve"> </w:t>
      </w:r>
      <w:r w:rsidR="005B400E" w:rsidRPr="001D29F8">
        <w:rPr>
          <w:rFonts w:ascii="Arial" w:hAnsi="Arial" w:cs="Arial"/>
          <w:sz w:val="24"/>
          <w:szCs w:val="24"/>
          <w:lang w:val="en-US"/>
        </w:rPr>
        <w:t>events.</w:t>
      </w:r>
    </w:p>
    <w:p w14:paraId="10D96CDD" w14:textId="6BEE8B79" w:rsidR="00E071DC" w:rsidRDefault="00F94BED" w:rsidP="001D29F8">
      <w:pPr>
        <w:spacing w:line="480" w:lineRule="auto"/>
        <w:jc w:val="both"/>
        <w:rPr>
          <w:rFonts w:ascii="Arial" w:hAnsi="Arial" w:cs="Arial"/>
          <w:sz w:val="24"/>
          <w:szCs w:val="24"/>
          <w:lang w:val="en-US"/>
        </w:rPr>
      </w:pPr>
      <w:r w:rsidRPr="001D29F8">
        <w:rPr>
          <w:rFonts w:ascii="Arial" w:hAnsi="Arial" w:cs="Arial"/>
          <w:sz w:val="24"/>
          <w:szCs w:val="24"/>
          <w:lang w:val="en-US"/>
        </w:rPr>
        <w:t xml:space="preserve">Although the clinical benefits of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have been demonstrated in numerous randomized controlled trials </w:t>
      </w:r>
      <w:r w:rsidRPr="001D29F8">
        <w:rPr>
          <w:rFonts w:ascii="Arial" w:hAnsi="Arial" w:cs="Arial"/>
          <w:sz w:val="24"/>
          <w:szCs w:val="24"/>
          <w:lang w:val="en-US"/>
        </w:rPr>
        <w:fldChar w:fldCharType="begin" w:fldLock="1"/>
      </w:r>
      <w:r w:rsidRPr="001D29F8">
        <w:rPr>
          <w:rFonts w:ascii="Arial" w:hAnsi="Arial" w:cs="Arial"/>
          <w:sz w:val="24"/>
          <w:szCs w:val="24"/>
          <w:lang w:val="en-US"/>
        </w:rPr>
        <w:instrText>ADDIN CSL_CITATION {"citationItems":[{"id":"ITEM-1","itemData":{"DOI":"10.1001/jama.2016.19976","ISSN":"1538-3598 (Electronic)","PMID":"28118454","abstract":"Importance: The majority of individuals with type 1 diabetes do not meet recommended glycemic targets. Objective: To evaluate the effects of continuous glucose monitoring in adults with type 1 diabetes treated with multiple daily insulin injections. Design, Setting, and Participants: Open-label crossover randomized clinical trial conducted in 15 diabetes outpatient clinics in Sweden between February 24, 2014, and June 1, 2016 that included 161 individuals with type 1 diabetes and hemoglobin A1c (HbA1c) of at least 7.5% (58 mmol/mol) treated with multiple daily insulin injections. Interventions: Participants were randomized to receive treatment using a continuous glucose monitoring system or conventional treatment for 26 weeks, separated by a washout period of 17 weeks. Main Outcomes and Measures: Difference in HbA1c between weeks 26 and 69 for the 2 treatments. Adverse events including severe hypoglycemia were also studied. Results: Among 161 randomized participants, mean age was 43.7 years, 45.3% were women, and mean HbA1c was 8.6% (70 mmol/mol). A total of 142 participants had follow-up data in both treatment periods. Mean HbA1c was 7.92% (63 mmol/mol) during continuous glucose monitoring use and 8.35% (68 mmol/mol) during conventional treatment (mean difference, -0.43% [95% CI, -0.57% to -0.29%] or -4.7 [-6.3 to -3.1 mmol/mol]; P &lt; .001). Of 19 secondary end points comprising psychosocial and various glycemic measures, 6 met the hierarchical testing criteria of statistical significance, favoring continuous glucose monitoring compared with conventional treatment. Five patients in the conventional treatment group and 1 patient in the continuous glucose monitoring group had severe hypoglycemia. During washout when patients used conventional therapy, 7 patients had severe hypoglycemia. Conclusions and Relevance: Among patients with inadequately controlled type 1 diabetes treated with multiple daily insulin injections, the use of continuous glucose monitoring compared with conventional treatment for 26 weeks resulted in lower HbA1c. Further research is needed to assess clinical outcomes and longer-term adverse effects. Trial Registration: clinicaltrials.gov Identifier: NCT02092051.","author":[{"dropping-particle":"","family":"Lind","given":"Marcus","non-dropping-particle":"","parse-names":false,"suffix":""},{"dropping-particle":"","family":"Polonsky","given":"William","non-dropping-particle":"","parse-names":false,"suffix":""},{"dropping-particle":"","family":"Hirsch","given":"Irl B","non-dropping-particle":"","parse-names":false,"suffix":""},{"dropping-particle":"","family":"Heise","given":"Tim","non-dropping-particle":"","parse-names":false,"suffix":""},{"dropping-particle":"","family":"Bolinder","given":"Jan","non-dropping-particle":"","parse-names":false,"suffix":""},{"dropping-particle":"","family":"Dahlqvist","given":"Sofia","non-dropping-particle":"","parse-names":false,"suffix":""},{"dropping-particle":"","family":"Schwarz","given":"Erik","non-dropping-particle":"","parse-names":false,"suffix":""},{"dropping-particle":"","family":"Olafsdottir","given":"Arndis Finna","non-dropping-particle":"","parse-names":false,"suffix":""},{"dropping-particle":"","family":"Frid","given":"Anders","non-dropping-particle":"","parse-names":false,"suffix":""},{"dropping-particle":"","family":"Wedel","given":"Hans","non-dropping-particle":"","parse-names":false,"suffix":""},{"dropping-particle":"","family":"Ahlen","given":"Elsa","non-dropping-particle":"","parse-names":false,"suffix":""},{"dropping-particle":"","family":"Nystrom","given":"Thomas","non-dropping-particle":"","parse-names":false,"suffix":""},{"dropping-particle":"","family":"Hellman","given":"Jarl","non-dropping-particle":"","parse-names":false,"suffix":""}],"container-title":"JAMA","id":"ITEM-1","issue":"4","issued":{"date-parts":[["2017","1"]]},"language":"eng","page":"379-387","publisher-place":"United States","title":"Continuous Glucose Monitoring vs Conventional Therapy for Glycemic Control in Adults With Type 1 Diabetes Treated With Multiple Daily Insulin Injections: The GOLD Randomized Clinical Trial.","type":"article-journal","volume":"317"},"uris":["http://www.mendeley.com/documents/?uuid=53c21762-23dd-433f-8d5c-d3e20de0e369"]},{"id":"ITEM-2","itemData":{"DOI":"10.1001/jama.2016.19975","ISSN":"1538-3598 (Electronic)","PMID":"28118453","abstract":"Importance: Previous clinical trials showing the benefit of continuous glucose monitoring (CGM) in the management of type 1 diabetes predominantly have included adults using insulin pumps, even though the majority of adults with type 1 diabetes administer insulin by injection. Objective: To determine the effectiveness of CGM in adults with type 1 diabetes treated with insulin injections. Design, Setting, and Participants: Randomized clinical trial conducted between October 2014 and May 2016 at 24 endocrinology practices in the United States that included 158 adults with type 1 diabetes who were using multiple daily insulin injections and had hemoglobin A1c (HbA1c) levels of 7.5% to 9.9%. Interventions: Random assignment 2:1 to CGM (n = 105) or usual care (control group; n = 53). Main Outcomes and Measures: Primary outcome measure was the difference in change in central-laboratory-measured HbA1c level from baseline to 24 weeks. There were 18 secondary or exploratory end points, of which 15 are reported in this article, including duration of hypoglycemia at less than 70 mg/dL, measured with CGM for 7 days at 12 and 24 weeks. Results: Among the 158 randomized participants (mean age, 48 years [SD, 13]; 44% women; mean baseline HbA1c level, 8.6% [SD, 0.6%]; and median diabetes duration, 19 years [interquartile range, 10-31 years]), 155 (98%) completed the study. In the CGM group, 93% used CGM 6 d/wk or more in month 6. Mean HbA1c reduction from baseline was 1.1% at 12 weeks and 1.0% at 24 weeks in the CGM group and 0.5% and 0.4%, respectively, in the control group (repeated-measures model P &lt; .001). At 24 weeks, the adjusted treatment-group difference in mean change in HbA1c level from baseline was -0.6% (95% CI, -0.8% to -0.3%; P &lt; .001). Median duration of hypoglycemia at less than &lt;70 mg/dL was 43 min/d (IQR, 27-69) in the CGM group vs 80 min/d (IQR, 36-111) in the control group (P = .002). Severe hypoglycemia events occurred in 2 participants in each group. Conclusions and Relevance: Among adults with type 1 diabetes who used multiple daily insulin injections, the use of CGM compared with usual care resulted in a greater decrease in HbA1c level during 24 weeks. Further research is needed to assess longer-term effectiveness, as well as clinical outcomes and adverse effects. Trial Registration: clinicaltrials.gov Identifier: NCT02282397.","author":[{"dropping-particle":"","family":"Beck","given":"Roy W","non-dropping-particle":"","parse-names":false,"suffix":""},{"dropping-particle":"","family":"Riddlesworth","given":"Tonya","non-dropping-particle":"","parse-names":false,"suffix":""},{"dropping-particle":"","family":"Ruedy","given":"Katrina","non-dropping-particle":"","parse-names":false,"suffix":""},{"dropping-particle":"","family":"Ahmann","given":"Andrew","non-dropping-particle":"","parse-names":false,"suffix":""},{"dropping-particle":"","family":"Bergenstal","given":"Richard","non-dropping-particle":"","parse-names":false,"suffix":""},{"dropping-particle":"","family":"Haller","given":"Stacie","non-dropping-particle":"","parse-names":false,"suffix":""},{"dropping-particle":"","family":"Kollman","given":"Craig","non-dropping-particle":"","parse-names":false,"suffix":""},{"dropping-particle":"","family":"Kruger","given":"Davida","non-dropping-particle":"","parse-names":false,"suffix":""},{"dropping-particle":"","family":"McGill","given":"Janet B","non-dropping-particle":"","parse-names":false,"suffix":""},{"dropping-particle":"","family":"Polonsky","given":"William","non-dropping-particle":"","parse-names":false,"suffix":""},{"dropping-particle":"","family":"Toschi","given":"Elena","non-dropping-particle":"","parse-names":false,"suffix":""},{"dropping-particle":"","family":"Wolpert","given":"Howard","non-dropping-particle":"","parse-names":false,"suffix":""},{"dropping-particle":"","family":"Price","given":"David","non-dropping-particle":"","parse-names":false,"suffix":""}],"container-title":"JAMA","id":"ITEM-2","issue":"4","issued":{"date-parts":[["2017","1"]]},"language":"eng","page":"371-378","publisher-place":"United States","title":"Effect of Continuous Glucose Monitoring on Glycemic Control in Adults With Type 1 Diabetes Using Insulin Injections: The DIAMOND Randomized Clinical Trial.","type":"article-journal","volume":"317"},"uris":["http://www.mendeley.com/documents/?uuid=ba855fd6-2387-445d-bb07-edfd5a0aa31d"]},{"id":"ITEM-3","itemData":{"ISSN":"01406736","PMID":"29459019","abstract":"BACKGROUND: The effectiveness of real-time continuous glucose monitoring (rtCGM) in avoidance of hypoglycaemia among high-risk individuals with type 1 diabetes treated with multiple daily insulin injections (MDI) is unknown. We aimed to ascertain whether the incidence and severity of hypoglycaemia can be reduced through use of rtCGM in these individuals. METHODS: The HypoDE study was a 6-month, multicentre, open-label, parallel, randomised controlled trial done at 12 diabetes practices in Germany. Eligible participants had type 1 diabetes and a history of impaired hypoglycaemia awareness or severe hypoglycaemia during the previous year. All participants wore a masked rtCGM system for 28 days and were then randomly assigned to 26 weeks of unmasked rtCGM (Dexcom G5 Mobile system) or to the control group (continuing with self-monitoring of blood glucose). Block randomisation with 1:1 allocation was done centrally, with the study site as the stratifying variable. Masking of participants and study sites was not possible. Control participants wore a masked rtCGM system during the follow-up phase (weeks 22-26). The primary outcome was the baseline-adjusted number of hypoglycaemic events (defined as glucose &lt;/=3.0 mmol/L for &gt;/=20 min) during the follow-up phase. The full dataset analysis comprised participants who wore the rtCGM system during the baseline and follow-up phases. The intention-to-treat analysis comprised all randomised participants. This trial is registered with ClinicalTrials.gov, number NCT02671968. FINDINGS: Between March 4, 2016, and Jan 12, 2017, 149 participants were randomly assigned (n=74 to the control group; n=75 to the rtCGM group) and 141 completed the follow-up phase (n=66 in the control group, n=75 in the rtCGM group). The mean number of hypoglycaemic events per 28 days among participants in the rtCGM group was reduced from 10.8 (SD 10.0) to 3.5 (4.7); reductions among control participants were negligible (from 14.4 [12.4] to 13.7 [11.6]). Incidence of hypoglycaemic events decreased by 72% for participants in the rtCGM group (incidence rate ratio 0.28 [95% CI 0.20-0.39], p&lt;0.0001). 18 serious adverse events were reported: seven in the control group, ten in the rtCGM group, and one before randomisation. No event was considered to be related to the investigational device. INTERPRETATION: Usage of rtCGM reduced the number of hypoglycaemic events in individuals with type 1 diabetes treated by MDI and with impaired hypoglycaemia awarenes…","author":[{"dropping-particle":"","family":"Heinemann","given":"Lutz","non-dropping-particle":"","parse-names":false,"suffix":""},{"dropping-particle":"","family":"Freckmann","given":"Guido","non-dropping-particle":"","parse-names":false,"suffix":""},{"dropping-particle":"","family":"Ehrmann","given":"Dominic","non-dropping-particle":"","parse-names":false,"suffix":""},{"dropping-particle":"","family":"Faber-Heinemann","given":"Gabriele","non-dropping-particle":"","parse-names":false,"suffix":""},{"dropping-particle":"","family":"Guerra","given":"Stefania","non-dropping-particle":"","parse-names":false,"suffix":""},{"dropping-particle":"","family":"Waldenmaier","given":"Delia","non-dropping-particle":"","parse-names":false,"suffix":""},{"dropping-particle":"","family":"Hermanns","given":"Norbert","non-dropping-particle":"","parse-names":false,"suffix":""}],"container-title":"The Lancet","id":"ITEM-3","issue":"10128","issued":{"date-parts":[["2018"]]},"language":"eng","page":"1367-1377","publisher-place":"England","title":"Real-time continuous glucose monitoring in adults with type 1 diabetes and impaired hypoglycaemia awareness or severe hypoglycaemia treated with multiple daily insulin injections (HypoDE): a multicentre, randomised controlled trial","type":"article-journal","volume":"391"},"uris":["http://www.mendeley.com/documents/?uuid=5d56050b-a7e3-48e1-8116-2083968a4bd9"]},{"id":"ITEM-4","itemData":{"ISSN":"1935-5548 (Electronic)","PMID":"28389582","abstract":"OBJECTIVE: Continuous glucose monitoring (CGM) improves glycemic control, but data are inconclusive about its influence on quality of life (QOL). We investigated the impact of 24 weeks of CGM use on QOL in adults with type 1 diabetes (T1D) who use multiple daily insulin injections. RESEARCH DESIGN AND METHODS: DIAMOND (Multiple Daily Injections and Continuous Glucose Monitoring in Diabetes) was a prospective randomized trial that assessed CGM versus self-monitoring of blood glucose (SMBG) only in 158 adults with poorly controlled T1D. At baseline and study end, participants completed QOL measures that assessed overall well-being (WHO-5), health status (EQ-5D-5L), diabetes distress (DDS), hypoglycemic fear (worry subscale of the HFS-II), and hypoglycemic confidence (HCS). At study end, CGM participants completed the CGM Satisfaction Survey. Linear regression analyses compared treatment group changes in QOL outcomes over time. Associations between CGM satisfaction and change in QOL outcomes and in glycemic control indices were assessed. RESULTS: The CGM group demonstrated a greater increase in hypoglycemic confidence (P = 0.01) and a greater decrease in diabetes distress (P = 0.01) than the SMBG group. No significant group differences in well-being, health status, or hypoglycemic fear were observed. CGM satisfaction was not significantly associated with glycemic changes but was associated with reductions in diabetes distress (P &lt; 0.001) and hypoglycemic fear (P = 0.02) and increases in hypoglycemic confidence (P &lt; 0.001) and well-being (P = 0.01). CONCLUSIONS: CGM contributes to significant improvement in diabetes-specific QOL (i.e., diabetes distress, hypoglycemic confidence) in adults with T1D, but not with QOL measures not specific to diabetes (i.e., well-being, health status). CGM satisfaction was associated with most of the QOL outcomes but not with glycemic outcomes.","author":[{"dropping-particle":"","family":"Polonsky","given":"William H","non-dropping-particle":"","parse-names":false,"suffix":""},{"dropping-particle":"","family":"Hessler","given":"Danielle","non-dropping-particle":"","parse-names":false,"suffix":""},{"dropping-particle":"","family":"Ruedy","given":"Katrina J","non-dropping-particle":"","parse-names":false,"suffix":""},{"dropping-particle":"","family":"Beck","given":"Roy W","non-dropping-particle":"","parse-names":false,"suffix":""}],"container-title":"Diabetes care","id":"ITEM-4","issue":"6","issued":{"date-parts":[["2017"]]},"language":"eng","page":"736-741","publisher-place":"United States","title":"The Impact of Continuous Glucose Monitoring on Markers of Quality of Life in Adults With Type 1 Diabetes: Further Findings From the DIAMOND Randomized Clinical Trial.","type":"article-journal","volume":"40"},"uris":["http://www.mendeley.com/documents/?uuid=328c0e35-3685-4c4b-a809-b70ffd44de1d"]},{"id":"ITEM-5","itemData":{"ISSN":"2213-8595 (Electronic)","PMID":"27641781","abstract":"BACKGROUND: Patients with type 1 diabetes who have impaired awareness of hypoglycaemia have a three to six times increased risk of severe hypoglycaemia. We aimed to assess whether continuous glucose monitoring (CGM) improves glycaemia and prevents severe hypoglycaemia compared with self-monitoring of blood glucose (SMBG) in this high-risk population. METHODS: We did a randomised, open-label, crossover trial (IN CONTROL) at two medical centres in the Netherlands. Eligible participants were patients diagnosed with type 1 diabetes according to American Diabetes Association criteria, aged 18-75 years, with impaired awareness of hypoglycaemia as confirmed by a Gold score of at least 4, and treated with either continuous subcutaneous insulin infusion or multiple daily insulin injections and doing at least three SMBG measurements per day. After screening, re-education about diabetes management, and a 6-week run-in phase (to obtain baseline CGM data), we randomly assigned patients (1:1) with a computer-generated allocation sequence (block size of four) to either 16 weeks of CGM followed by 12 weeks of washout and 16 weeks of SMBG, or 16 weeks of SMBG followed by 12 weeks of washout and 16 weeks of CGM (where the SMBG phase was the control). During the CGM phase, patients used a real-time CGM system consisting of a Paradigm Veo system with a MiniLink transmitter and an Enlite glucose sensor (Medtronic, CA, USA). During the SMBG phase, patients were equipped with a masked CGM device, consisting of an iPro 2 continuous glucose monitor and an Enlite glucose sensor, which does not display real-time glucose values. The number of SMBG measurements per day and SMBG systems were not standardised between patients, to mimic real-life conditions. During both intervention periods, patients attended follow-up visits at the centres each month and had telephone consultations 2 weeks after each visit inquiring about adverse events, episodes of hypoglycaemia, etc. The primary endpoint was the mean difference in percentage of time spent in normoglycaemia (4-10 mmol/L) over the total intervention periods, analysed on an intention-to-treat basis. Severe hypoglycaemia (requiring third party assistance) was a secondary endpoint. This trial is registered with ClinicalTrials.gov, number NCT01787903. FINDINGS: Between March 4, 2013, and Feb 9, 2015, we recruited and randomly assigned 52 patients to either the CGM-SMBG sequence (n=26) or the SMBG-CGM sequence (n=26). The last patient vis…","author":[{"dropping-particle":"","family":"Beers","given":"Cornelis A J","non-dropping-particle":"van","parse-names":false,"suffix":""},{"dropping-particle":"","family":"DeVries","given":"J Hans","non-dropping-particle":"","parse-names":false,"suffix":""},{"dropping-particle":"","family":"Kleijer","given":"Susanne J","non-dropping-particle":"","parse-names":false,"suffix":""},{"dropping-particle":"","family":"Smits","given":"Mark M","non-dropping-particle":"","parse-names":false,"suffix":""},{"dropping-particle":"","family":"Geelhoed-Duijvestijn","given":"Petronella H","non-dropping-particle":"","parse-names":false,"suffix":""},{"dropping-particle":"","family":"Kramer","given":"Mark H H","non-dropping-particle":"","parse-names":false,"suffix":""},{"dropping-particle":"","family":"Diamant","given":"Michaela","non-dropping-particle":"","parse-names":false,"suffix":""},{"dropping-particle":"","family":"Snoek","given":"Frank J","non-dropping-particle":"","parse-names":false,"suffix":""},{"dropping-particle":"","family":"Serne","given":"Erik H","non-dropping-particle":"","parse-names":false,"suffix":""}],"container-title":"The Lancet Diabetes &amp; Endocrinology","id":"ITEM-5","issue":"11","issued":{"date-parts":[["2016"]]},"language":"eng","page":"893-902","publisher-place":"England","title":"Continuous glucose monitoring for patients with type 1 diabetes and impaired awareness of hypoglycaemia (IN CONTROL): a randomised, open-label, crossover trial.","type":"article-journal","volume":"4"},"uris":["http://www.mendeley.com/documents/?uuid=0dbf5c1a-daab-4eb6-95a1-0953b5b04c4b"]},{"id":"ITEM-6","itemData":{"ISSN":"1432-0428 (Electronic)","PMID":"22965294","abstract":"AIMS/HYPOTHESIS: The aim of this multicentre, randomised, controlled crossover study was to determine the efficacy of adding continuous glucose monitoring (CGM) to insulin pump therapy (CSII) in type 1 diabetes. METHODS: Children and adults (n = 153) on CSII with HbA(1c) 7.5-9.5% (58.5-80.3 mmol/mol) were randomised to (CGM) a Sensor On or Sensor Off arm for 6 months. After 4 months' washout, participants crossed over to the other arm for 6 months. Paediatric and adult participants were separately electronically randomised through the case report form according to a predefined randomisation sequence in eight secondary and tertiary centres. The primary outcome was the difference in HbA(1c) levels between arms after 6 months. RESULTS: Seventy-seven participants were randomised to the On/Off sequence and 76 to the Off/On sequence; all were included in the primary analysis. The mean difference in HbA(1c) was -0.43% (-4.74 mmol/mol) in favour of the Sensor On arm (8.04% [64.34 mmol/mol] vs 8.47% [69.08 mmol/mol]; 95% CI -0.32%, -0.55% [-3.50, -6.01 mmol/mol]; p &lt; 0.001). Following cessation of glucose sensing, HbA(1c) reverted to baseline levels. Less time was spent with sensor glucose &lt;3.9 mmol/l during the Sensor On arm than in the Sensor Off arm (19 vs 31 min/day; p = 0.009). The mean number of daily boluses increased in the Sensor On arm (6.8 +/- 2.5 vs 5.8 +/- 1.9, p &lt; 0.0001), together with the frequency of use of the temporary basal rate (0.75 +/- 1.11 vs 0.26 +/- 0.47, p &lt; 0.0001) and manual insulin suspend (0.91 +/- 1.25 vs 0.70 +/- 0.75, p &lt; 0.018) functions. Four vs two events of severe hypoglycaemia occurred in the Sensor On and Sensor Off arm, respectively (p = 0.40). CONCLUSIONS/INTERPRETATION: Continuous glucose monitoring was associated with decreased HbA(1c) levels and time spent in hypoglycaemia in individuals with type 1 diabetes using CSII. More frequent self-adjustments of insulin therapy may have contributed to these effects.","author":[{"dropping-particle":"","family":"Battelino","given":"T","non-dropping-particle":"","parse-names":false,"suffix":""},{"dropping-particle":"","family":"Conget","given":"I","non-dropping-particle":"","parse-names":false,"suffix":""},{"dropping-particle":"","family":"Olsen","given":"B","non-dropping-particle":"","parse-names":false,"suffix":""},{"dropping-particle":"","family":"Schutz-Fuhrmann","given":"I","non-dropping-particle":"","parse-names":false,"suffix":""},{"dropping-particle":"","family":"Hommel","given":"E","non-dropping-particle":"","parse-names":false,"suffix":""},{"dropping-particle":"","family":"Hoogma","given":"R","non-dropping-particle":"","parse-names":false,"suffix":""},{"dropping-particle":"","family":"Schierloh","given":"U","non-dropping-particle":"","parse-names":false,"suffix":""},{"dropping-particle":"","family":"Sulli","given":"N","non-dropping-particle":"","parse-names":false,"suffix":""},{"dropping-particle":"","family":"Bolinder","given":"J","non-dropping-particle":"","parse-names":false,"suffix":""}],"container-title":"Diabetologia","id":"ITEM-6","issue":"12","issued":{"date-parts":[["2012"]]},"language":"eng","page":"3155-3162","publisher-place":"Germany","title":"The use and efficacy of continuous glucose monitoring in type 1 diabetes treated with insulin pump therapy: a randomised controlled trial.","type":"article-journal","volume":"55"},"uris":["http://www.mendeley.com/documents/?uuid=6096595b-536e-4409-b762-ab1d4ec285b4"]},{"id":"ITEM-7","itemData":{"ISSN":"22138587","PMID":"31047902","abstract":"BACKGROUND: Hypoglycaemia unawareness and severe hypoglycaemia can increase fear of hypoglycaemia and the risk of subsequent hypoglycaemic events. We aimed to assess the safety and efficacy of insulin pump therapy with integrated continuous glucose monitoring (CGM) and a suspend-before-low feature (Medtronic MiniMed 640G with SmartGuard) in hypoglycaemia-prone adults with type 1 diabetes. METHODS: SMILE was an open-label randomised controlled trial done in people aged 24-75 years with type 1 diabetes for 10 years or longer, HbA1c values of 5.8-10.0% (40-86 mmol/mol), and at high risk of hypoglycaemia (recent severe hypoglycaemia or hypoglycaemia unawareness defined by a Clarke or Gold score &gt;/=4). Participants were enrolled from 16 centres (eg, clinics, hospitals, or university medical centres) in Canada, France, Italy, the Netherlands, and the UK. After baseline run-in phase (2 weeks), participants were randomly assigned to the MiniMed 640G pump (continuous subcutaneous insulin infusion) with self-monitoring of blood glucose (control group) or to the MiniMed 640G system with the suspend-before-low feature enabled (intervention group), for 6 months. The study statistician analysing the data was masked to group assignment until final database lock; because of the nature of the intervention, participants and treating clinicians could not be masked to group assignment. The primary outcome was the mean number of sensor hypoglycaemic events, defined as 55 mg/dL (3.1 mmol/L) or lower, and was analysed on an intention-to-treat basis in all randomly assigned participants. This trial is registered with ClinicalTrials.gov, number NCT02733991, and is completed. FINDINGS: Between Dec 7, 2016, and March 27, 2018, 153 participants with a mean age 48.2 [12.4] years were randomly assigned: 77 to the control group (mean age 47.4 [12.5] years) and 76 to the intervention group (mean age 49.0 [12.2] years). After 6 months, the intervention group had significantly fewer hypoglycaemic events per participant per week (1.1 [SD 1.2] vs 4.1 [3.4] mean events, model-based treatment effect -2.9 [95% CI -3.5 to -2.3]; p&lt;0.0001) and fewer severe hypoglycaemic events (instances requiring third-party assistance with carbohydrate or glucagon administration, or other resuscitative actions) overall (three vs 18; p=0.0036). The most common adverse events were hypoglycaemia (observed in ten [13%] of 77 participants in the control group vs four [5%] of 76 in the intervention group) and hype…","author":[{"dropping-particle":"","family":"Bosi","given":"Emanuele","non-dropping-particle":"","parse-names":false,"suffix":""},{"dropping-particle":"","family":"Choudhary","given":"Pratik","non-dropping-particle":"","parse-names":false,"suffix":""},{"dropping-particle":"","family":"Valk","given":"Harold W","non-dropping-particle":"de","parse-names":false,"suffix":""},{"dropping-particle":"","family":"Lablanche","given":"Sandrine","non-dropping-particle":"","parse-names":false,"suffix":""},{"dropping-particle":"","family":"Castañeda","given":"Javier","non-dropping-particle":"","parse-names":false,"suffix":""},{"dropping-particle":"","family":"Portu","given":"Simona","non-dropping-particle":"de","parse-names":false,"suffix":""},{"dropping-particle":"","family":"Silva","given":"Julien","non-dropping-particle":"Da","parse-names":false,"suffix":""},{"dropping-particle":"","family":"Ré","given":"Roseline","non-dropping-particle":"","parse-names":false,"suffix":""},{"dropping-particle":"","family":"Vorrink-de Groot","given":"Linda","non-dropping-particle":"","parse-names":false,"suffix":""},{"dropping-particle":"","family":"Shin","given":"John","non-dropping-particle":"","parse-names":false,"suffix":""},{"dropping-particle":"","family":"Kaufman","given":"Francine R","non-dropping-particle":"","parse-names":false,"suffix":""},{"dropping-particle":"","family":"Cohen","given":"Ohad","non-dropping-particle":"","parse-names":false,"suffix":""},{"dropping-particle":"","family":"Laurenzi","given":"Andrea","non-dropping-particle":"","parse-names":false,"suffix":""},{"dropping-particle":"","family":"Caretto","given":"Amelia","non-dropping-particle":"","parse-names":false,"suffix":""},{"dropping-particle":"","family":"Slatterly","given":"David","non-dropping-particle":"","parse-names":false,"suffix":""},{"dropping-particle":"","family":"Henderson-Wilson","given":"Marcia","non-dropping-particle":"","parse-names":false,"suffix":""},{"dropping-particle":"","family":"Weisnagel","given":"S. John","non-dropping-particle":"","parse-names":false,"suffix":""},{"dropping-particle":"","family":"Dubé","given":"Marie-Christine","non-dropping-particle":"","parse-names":false,"suffix":""},{"dropping-particle":"","family":"Julien","given":"Valérie-Ève","non-dropping-particle":"","parse-names":false,"suffix":""},{"dropping-particle":"","family":"Trevisan","given":"Roberto","non-dropping-particle":"","parse-names":false,"suffix":""},{"dropping-particle":"","family":"Lepore","given":"Giuseppe","non-dropping-particle":"","parse-names":false,"suffix":""},{"dropping-particle":"","family":"Bellante","given":"Rosalia","non-dropping-particle":"","parse-names":false,"suffix":""},{"dropping-particle":"","family":"Hramiak","given":"Irene","non-dropping-particle":"","parse-names":false,"suffix":""},{"dropping-particle":"","family":"Spaic","given":"Tamara","non-dropping-particle":"","parse-names":false,"suffix":""},{"dropping-particle":"","family":"Driscoll","given":"Marsha","non-dropping-particle":"","parse-names":false,"suffix":""},{"dropping-particle":"","family":"Borot","given":"Sophie","non-dropping-particle":"","parse-names":false,"suffix":""},{"dropping-particle":"","family":"Clergeot","given":"Annie","non-dropping-particle":"","parse-names":false,"suffix":""},{"dropping-particle":"","family":"Khiat","given":"Lamia","non-dropping-particle":"","parse-names":false,"suffix":""},{"dropping-particle":"","family":"Hammond","given":"Peter","non-dropping-particle":"","parse-names":false,"suffix":""},{"dropping-particle":"","family":"Ray","given":"Sutapa","non-dropping-particle":"","parse-names":false,"suffix":""},{"dropping-particle":"","family":"Dinning","given":"Laura","non-dropping-particle":"","parse-names":false,"suffix":""},{"dropping-particle":"","family":"Tonolo","given":"Giancarlo","non-dropping-particle":"","parse-names":false,"suffix":""},{"dropping-particle":"","family":"Manconi","given":"Alberto","non-dropping-particle":"","parse-names":false,"suffix":""},{"dropping-particle":"","family":"Ledda","given":"Maura Serena","non-dropping-particle":"","parse-names":false,"suffix":""},{"dropping-particle":"","family":"Ranitz","given":"Wendela","non-dropping-particle":"de","parse-names":false,"suffix":""},{"dropping-particle":"","family":"Silvius","given":"Bianca","non-dropping-particle":"","parse-names":false,"suffix":""},{"dropping-particle":"","family":"Wojtusciszyn","given":"Anne","non-dropping-particle":"","parse-names":false,"suffix":""},{"dropping-particle":"","family":"Farret","given":"Anne","non-dropping-particle":"","parse-names":false,"suffix":""},{"dropping-particle":"","family":"Vriesendorp","given":"Titia","non-dropping-particle":"","parse-names":false,"suffix":""},{"dropping-particle":"","family":"Immeker-de Jong","given":"Folkje","non-dropping-particle":"","parse-names":false,"suffix":""},{"dropping-particle":"","family":"Linden","given":"Joke","non-dropping-particle":"van der","parse-names":false,"suffix":""},{"dropping-particle":"","family":"Brink","given":"Huguette S.","non-dropping-particle":"","parse-names":false,"suffix":""},{"dropping-particle":"","family":"Alkemade","given":"Marije","non-dropping-particle":"","parse-names":false,"suffix":""},{"dropping-particle":"","family":"Schaepelynck-Belicar","given":"Pauline","non-dropping-particle":"","parse-names":false,"suffix":""},{"dropping-particle":"","family":"Galie","given":"Sébastien","non-dropping-particle":"","parse-names":false,"suffix":""},{"dropping-particle":"","family":"Tréglia","given":"Clémence","non-dropping-particle":"","parse-names":false,"suffix":""},{"dropping-particle":"","family":"Benhamou","given":"Pierre-Yves","non-dropping-particle":"","parse-names":false,"suffix":""},{"dropping-particle":"","family":"Haddouche","given":"Myriam","non-dropping-particle":"","parse-names":false,"suffix":""},{"dropping-particle":"","family":"Hoogma","given":"Roel","non-dropping-particle":"","parse-names":false,"suffix":""},{"dropping-particle":"","family":"Leelarathna","given":"Lalantha","non-dropping-particle":"","parse-names":false,"suffix":""},{"dropping-particle":"","family":"Shaju","given":"Angel","non-dropping-particle":"","parse-names":false,"suffix":""},{"dropping-particle":"","family":"James","given":"Linda","non-dropping-particle":"","parse-names":false,"suffix":""}],"container-title":"The Lancet Diabetes &amp; Endocrinology","id":"ITEM-7","issue":"6","issued":{"date-parts":[["2019"]]},"language":"eng","page":"462-472","publisher-place":"England","title":"Efficacy and safety of suspend-before-low insulin pump technology in hypoglycaemia-prone adults with type 1 diabetes (SMILE): an open-label randomised controlled trial","type":"article-journal","volume":"7"},"uris":["http://www.mendeley.com/documents/?uuid=df034238-5779-4080-b5c4-29614b1b49c9"]}],"mendeley":{"formattedCitation":"(8–14)","plainTextFormattedCitation":"(8–14)","previouslyFormattedCitation":"(8–14)"},"properties":{"noteIndex":0},"schema":"https://github.com/citation-style-language/schema/raw/master/csl-citation.json"}</w:instrText>
      </w:r>
      <w:r w:rsidRPr="001D29F8">
        <w:rPr>
          <w:rFonts w:ascii="Arial" w:hAnsi="Arial" w:cs="Arial"/>
          <w:sz w:val="24"/>
          <w:szCs w:val="24"/>
          <w:lang w:val="en-US"/>
        </w:rPr>
        <w:fldChar w:fldCharType="separate"/>
      </w:r>
      <w:r w:rsidRPr="001D29F8">
        <w:rPr>
          <w:rFonts w:ascii="Arial" w:hAnsi="Arial" w:cs="Arial"/>
          <w:noProof/>
          <w:sz w:val="24"/>
          <w:szCs w:val="24"/>
          <w:lang w:val="en-US"/>
        </w:rPr>
        <w:t>(8–14)</w:t>
      </w:r>
      <w:r w:rsidRPr="001D29F8">
        <w:rPr>
          <w:rFonts w:ascii="Arial" w:hAnsi="Arial" w:cs="Arial"/>
          <w:sz w:val="24"/>
          <w:szCs w:val="24"/>
          <w:lang w:val="en-US"/>
        </w:rPr>
        <w:fldChar w:fldCharType="end"/>
      </w:r>
      <w:r w:rsidRPr="001D29F8">
        <w:rPr>
          <w:rFonts w:ascii="Arial" w:hAnsi="Arial" w:cs="Arial"/>
          <w:sz w:val="24"/>
          <w:szCs w:val="24"/>
          <w:lang w:val="en-US"/>
        </w:rPr>
        <w:t xml:space="preserve">, they often lack sufficient length to be able to inform us about the long-term sustainability and clinical impact of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use. To our knowledge, RESCUE is the largest prospective real-world study where we followed our patients for two years while using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which allowed us to distinguish study effects from sustained benefits. Only two other prospective observational studies were of longer duration. First, the prospective COMISAIR study lasted 3 years, however the patient population was much smaller (n=94, around 24 people in each group) and the study design aimed to compare four treatment strategies with or without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w:t>
      </w:r>
      <w:r w:rsidRPr="001D29F8">
        <w:rPr>
          <w:rFonts w:ascii="Arial" w:hAnsi="Arial" w:cs="Arial"/>
          <w:sz w:val="24"/>
          <w:szCs w:val="24"/>
          <w:lang w:val="en-US"/>
        </w:rPr>
        <w:fldChar w:fldCharType="begin" w:fldLock="1"/>
      </w:r>
      <w:r w:rsidRPr="001D29F8">
        <w:rPr>
          <w:rFonts w:ascii="Arial" w:hAnsi="Arial" w:cs="Arial"/>
          <w:sz w:val="24"/>
          <w:szCs w:val="24"/>
          <w:lang w:val="en-US"/>
        </w:rPr>
        <w:instrText>ADDIN CSL_CITATION {"citationItems":[{"id":"ITEM-1","itemData":{"DOI":"10.2337/dc19-0888","ISSN":"1935-5548 (Electronic)","PMID":"31530663","abstract":"OBJECTIVE: This study assessed the clinical impact of four treatment strategies in adults with type 1 diabetes (T1D): real-time continuous glucose monitoring (rtCGM) with multiple daily insulin injections (rtCGM+MDI), rtCGM with continuous subcutaneous insulin infusion (rtCGM+CSII), self-monitoring of blood glucose with MDI (SMBG+MDI), and SMBG with CSII (SMBG+CSII). RESEARCH DESIGN AND METHODS: This 3-year, nonrandomized, prospective, real-world, clinical trial followed 94 participants with T1D (rtCGM+MDI, n = 22; rtCGM+CSII, n = 26; SMBG+MDI, n = 21; SMBG+CSII, n = 25). The main end points were changes in A1C, time in range (70-180 mg/dL [3.9-10 mmol/L]), time below range (&lt;70 mg/dL [&lt;3.9 mmol/L]), glycemic variability, and incidence of hypoglycemia. RESULTS: At 3 years, the rtCGM groups (rtCGM+MDI and rtCGM+CSII) had significantly lower A1C (7.0% [53 mmol/mol], P = 0.0002, and 6.9% [52 mmol/mol], P &lt; 0.0001, respectively), compared with the SMBG+CSII and SMBG+MDI groups (7.7% [61 mmol/mol], P = 0.3574, and 8.0% [64 mmol/mol], P = 1.000, respectively), with no significant difference between the rtCGM groups. Significant improvements in percentage of time in range were observed in the rtCGM subgroups (rtCGM+MDI, 48.7-69.0%, P &lt; 0.0001; and rtCGM+CSII, 50.9-72.3%, P &lt; 0.0001) and in the SMBG+CSII group (50.6-57.8%, P = 0.0114). Significant reductions in time below range were found only in the rtCGM subgroups (rtCGM+MDI, 9.4-5.5%, P = 0.0387; and rtCGM+CSII, 9.0-5.3%, P = 0.0235). Seven severe hypoglycemia episodes occurred: SMBG groups, n = 5; sensor-augmented insulin regimen groups, n = 2. CONCLUSIONS: rtCGM was superior to SMBG in reducing A1C, hypoglycemia, and other end points in individuals with T1D regardless of their insulin delivery method. rtCGM+MDI can be considered an equivalent but lower-cost alternative to sensor-augmented insulin pump therapy and superior to treatment with SMBG+MDI or SMBG+CSII therapy.","author":[{"dropping-particle":"","family":"Soupal","given":"Jan","non-dropping-particle":"","parse-names":false,"suffix":""},{"dropping-particle":"","family":"Petruzelkova","given":"Lenka","non-dropping-particle":"","parse-names":false,"suffix":""},{"dropping-particle":"","family":"Grunberger","given":"George","non-dropping-particle":"","parse-names":false,"suffix":""},{"dropping-particle":"","family":"Haskova","given":"Aneta","non-dropping-particle":"","parse-names":false,"suffix":""},{"dropping-particle":"","family":"Flekac","given":"Milan","non-dropping-particle":"","parse-names":false,"suffix":""},{"dropping-particle":"","family":"Matoulek","given":"Martin","non-dropping-particle":"","parse-names":false,"suffix":""},{"dropping-particle":"","family":"Mikes","given":"Ondrej","non-dropping-particle":"","parse-names":false,"suffix":""},{"dropping-particle":"","family":"Pelcl","given":"Tomas","non-dropping-particle":"","parse-names":false,"suffix":""},{"dropping-particle":"","family":"Skrha","given":"Jan Jr","non-dropping-particle":"","parse-names":false,"suffix":""},{"dropping-particle":"","family":"Horova","given":"Eva","non-dropping-particle":"","parse-names":false,"suffix":""},{"dropping-particle":"","family":"Skrha","given":"Jan","non-dropping-particle":"","parse-names":false,"suffix":""},{"dropping-particle":"","family":"Parkin","given":"Christopher G","non-dropping-particle":"","parse-names":false,"suffix":""},{"dropping-particle":"","family":"Svacina","given":"Stepan","non-dropping-particle":"","parse-names":false,"suffix":""},{"dropping-particle":"","family":"Prazny","given":"Martin","non-dropping-particle":"","parse-names":false,"suffix":""}],"container-title":"Diabetes care","id":"ITEM-1","issue":"1","issued":{"date-parts":[["2020"]]},"language":"eng","page":"37-43","publisher-place":"United States","title":"Glycemic Outcomes in Adults With T1D Are Impacted More by Continuous Glucose Monitoring Than by Insulin Delivery Method: 3 Years of Follow-Up From the COMISAIR Study.","type":"article-journal","volume":"43"},"uris":["http://www.mendeley.com/documents/?uuid=28fe643e-8a03-420b-8cc7-dc9bd41d3689"]}],"mendeley":{"formattedCitation":"(15)","plainTextFormattedCitation":"(15)","previouslyFormattedCitation":"(15)"},"properties":{"noteIndex":0},"schema":"https://github.com/citation-style-language/schema/raw/master/csl-citation.json"}</w:instrText>
      </w:r>
      <w:r w:rsidRPr="001D29F8">
        <w:rPr>
          <w:rFonts w:ascii="Arial" w:hAnsi="Arial" w:cs="Arial"/>
          <w:sz w:val="24"/>
          <w:szCs w:val="24"/>
          <w:lang w:val="en-US"/>
        </w:rPr>
        <w:fldChar w:fldCharType="separate"/>
      </w:r>
      <w:r w:rsidRPr="001D29F8">
        <w:rPr>
          <w:rFonts w:ascii="Arial" w:hAnsi="Arial" w:cs="Arial"/>
          <w:noProof/>
          <w:sz w:val="24"/>
          <w:szCs w:val="24"/>
          <w:lang w:val="en-US"/>
        </w:rPr>
        <w:t>(15)</w:t>
      </w:r>
      <w:r w:rsidRPr="001D29F8">
        <w:rPr>
          <w:rFonts w:ascii="Arial" w:hAnsi="Arial" w:cs="Arial"/>
          <w:sz w:val="24"/>
          <w:szCs w:val="24"/>
          <w:lang w:val="en-US"/>
        </w:rPr>
        <w:fldChar w:fldCharType="end"/>
      </w:r>
      <w:r w:rsidRPr="001D29F8">
        <w:rPr>
          <w:rFonts w:ascii="Arial" w:hAnsi="Arial" w:cs="Arial"/>
          <w:sz w:val="24"/>
          <w:szCs w:val="24"/>
          <w:lang w:val="en-US"/>
        </w:rPr>
        <w:t xml:space="preserve">. Here, they showed that the use of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in combination with CSII or MDI was superior to </w:t>
      </w:r>
      <w:r w:rsidR="001D29F8">
        <w:rPr>
          <w:rFonts w:ascii="Arial" w:hAnsi="Arial" w:cs="Arial"/>
          <w:sz w:val="24"/>
          <w:szCs w:val="24"/>
          <w:lang w:val="en-US"/>
        </w:rPr>
        <w:t>capillary finger-stick tests</w:t>
      </w:r>
      <w:r w:rsidRPr="001D29F8">
        <w:rPr>
          <w:rFonts w:ascii="Arial" w:hAnsi="Arial" w:cs="Arial"/>
          <w:sz w:val="24"/>
          <w:szCs w:val="24"/>
          <w:lang w:val="en-US"/>
        </w:rPr>
        <w:t xml:space="preserve"> with CSII or MDI with regards to HbA</w:t>
      </w:r>
      <w:r w:rsidRPr="001D29F8">
        <w:rPr>
          <w:rFonts w:ascii="Arial" w:hAnsi="Arial" w:cs="Arial"/>
          <w:sz w:val="24"/>
          <w:szCs w:val="24"/>
          <w:vertAlign w:val="subscript"/>
          <w:lang w:val="en-US"/>
        </w:rPr>
        <w:t>1c</w:t>
      </w:r>
      <w:r w:rsidRPr="001D29F8">
        <w:rPr>
          <w:rFonts w:ascii="Arial" w:hAnsi="Arial" w:cs="Arial"/>
          <w:sz w:val="24"/>
          <w:szCs w:val="24"/>
          <w:lang w:val="en-US"/>
        </w:rPr>
        <w:t xml:space="preserve"> and time spent in hypoglycemia, without a difference between the CSII and MDI groups. Second, the study by Gómez </w:t>
      </w:r>
      <w:r w:rsidRPr="001D29F8">
        <w:rPr>
          <w:rFonts w:ascii="Arial" w:hAnsi="Arial" w:cs="Arial"/>
          <w:i/>
          <w:sz w:val="24"/>
          <w:szCs w:val="24"/>
          <w:lang w:val="en-US"/>
        </w:rPr>
        <w:t>et al</w:t>
      </w:r>
      <w:r w:rsidRPr="001D29F8">
        <w:rPr>
          <w:rFonts w:ascii="Arial" w:hAnsi="Arial" w:cs="Arial"/>
          <w:sz w:val="24"/>
          <w:szCs w:val="24"/>
          <w:lang w:val="en-US"/>
        </w:rPr>
        <w:t xml:space="preserve"> prospectively followed 111 adults with type 1 diabetes starting sensor-augmented pump therapy because of hypoglycemia between 2009 and 2014. Mean follow-up time was 47 months, with less than half of the initial population followed for more than 40 months (n=50) </w:t>
      </w:r>
      <w:r w:rsidRPr="001D29F8">
        <w:rPr>
          <w:rFonts w:ascii="Arial" w:hAnsi="Arial" w:cs="Arial"/>
          <w:sz w:val="24"/>
          <w:szCs w:val="24"/>
          <w:lang w:val="en-US"/>
        </w:rPr>
        <w:fldChar w:fldCharType="begin" w:fldLock="1"/>
      </w:r>
      <w:r w:rsidRPr="001D29F8">
        <w:rPr>
          <w:rFonts w:ascii="Arial" w:hAnsi="Arial" w:cs="Arial"/>
          <w:sz w:val="24"/>
          <w:szCs w:val="24"/>
          <w:lang w:val="en-US"/>
        </w:rPr>
        <w:instrText>ADDIN CSL_CITATION {"citationItems":[{"id":"ITEM-1","itemData":{"ISSN":"1557-8593 (Electronic)","PMID":"28001445","abstract":"BACKGROUND: Literature supports short-term efficacy and safety of Sensor Augmented Insulin Pump (SAP) therapy in patients with type 1 diabetes (T1D). However, no data are available showing long-term outcomes. Our study describes the long-term outcomes of SAP therapy with low-glucose suspend feature (SAP+LGS) in hypoglycemia in a Colombian population with T1D and hypoglycemia. METHODS: A cohort study was conducted with T1D patients receiving SAP+LGS therapy who initiated this therapy because of hypoglycemia at San Ignacio University Hospital diabetes center in Bogota, Colombia. Glycated hemoglobin (A1c) was assessed at least every 6 months, severe hypoglycemia (SH) and hypoglycemia unawareness (HU) incidence yearly. Adherence to therapy was also evaluated. RESULTS: One hundred eleven patients were included in the analysis. Total daily insulin dose was reduced during follow-up (mean difference -0.22 U/kg; 95% confidence interval [CI] -0.18 to -0.26; P &lt; 0.001). A1c levels were reduced from a baseline value of 8.8% +/- 1.9% to 7.5% +/- 1.0% at 5 months (mean difference -1.3%; 95% CI -1.09 to -1.50; P &lt; 0.001) and 7.1% +/- 0.8% (mean difference -1.7%; 95% CI -1.59 to -1.90; P &lt; 0.001) at the end of follow-up (47 months on average). The incidence of SH and HU episodes decreased significantly since the first year, and this effect was maintained over time (P &lt; 0.001). CONCLUSIONS: SAP+LGS therapy in T1D patients with hypoglycemia led to a significant and sustained decrease in A1c during long periods of follow-up, as well as a significant reduction in SH and HU. Future randomized clinical trials are desired.","author":[{"dropping-particle":"","family":"Gomez","given":"Ana Maria","non-dropping-particle":"","parse-names":false,"suffix":""},{"dropping-particle":"","family":"Marin Carrillo","given":"Lisseth Fernanda","non-dropping-particle":"","parse-names":false,"suffix":""},{"dropping-particle":"","family":"Munoz Velandia","given":"Oscar Mauricio","non-dropping-particle":"","parse-names":false,"suffix":""},{"dropping-particle":"","family":"Rondon Sepulveda","given":"Martin Alonso","non-dropping-particle":"","parse-names":false,"suffix":""},{"dropping-particle":"","family":"Arevalo Correa","given":"Carol M","non-dropping-particle":"","parse-names":false,"suffix":""},{"dropping-particle":"","family":"Mora Garzon","given":"Edwin","non-dropping-particle":"","parse-names":false,"suffix":""},{"dropping-particle":"","family":"Cuervo Diaz","given":"Maria Camila","non-dropping-particle":"","parse-names":false,"suffix":""},{"dropping-particle":"","family":"Henao Carrillo","given":"Diana Cristina","non-dropping-particle":"","parse-names":false,"suffix":""}],"container-title":"Diabetes technology &amp; therapeutics","id":"ITEM-1","issue":"2","issued":{"date-parts":[["2017"]]},"language":"eng","page":"109-114","publisher-place":"United States","title":"Long-Term Efficacy and Safety of Sensor Augmented Insulin Pump Therapy with Low-Glucose Suspend Feature in Patients with Type 1 Diabetes.","type":"article-journal","volume":"19"},"uris":["http://www.mendeley.com/documents/?uuid=9e874673-3601-4242-92b1-bb0c202ca1a8"]}],"mendeley":{"formattedCitation":"(16)","plainTextFormattedCitation":"(16)","previouslyFormattedCitation":"(16)"},"properties":{"noteIndex":0},"schema":"https://github.com/citation-style-language/schema/raw/master/csl-citation.json"}</w:instrText>
      </w:r>
      <w:r w:rsidRPr="001D29F8">
        <w:rPr>
          <w:rFonts w:ascii="Arial" w:hAnsi="Arial" w:cs="Arial"/>
          <w:sz w:val="24"/>
          <w:szCs w:val="24"/>
          <w:lang w:val="en-US"/>
        </w:rPr>
        <w:fldChar w:fldCharType="separate"/>
      </w:r>
      <w:r w:rsidRPr="001D29F8">
        <w:rPr>
          <w:rFonts w:ascii="Arial" w:hAnsi="Arial" w:cs="Arial"/>
          <w:noProof/>
          <w:sz w:val="24"/>
          <w:szCs w:val="24"/>
          <w:lang w:val="en-US"/>
        </w:rPr>
        <w:t>(16)</w:t>
      </w:r>
      <w:r w:rsidRPr="001D29F8">
        <w:rPr>
          <w:rFonts w:ascii="Arial" w:hAnsi="Arial" w:cs="Arial"/>
          <w:sz w:val="24"/>
          <w:szCs w:val="24"/>
          <w:lang w:val="en-US"/>
        </w:rPr>
        <w:fldChar w:fldCharType="end"/>
      </w:r>
      <w:r w:rsidRPr="001D29F8">
        <w:rPr>
          <w:rFonts w:ascii="Arial" w:hAnsi="Arial" w:cs="Arial"/>
          <w:sz w:val="24"/>
          <w:szCs w:val="24"/>
          <w:lang w:val="en-US"/>
        </w:rPr>
        <w:t>. This population could achieve an HbA</w:t>
      </w:r>
      <w:r w:rsidRPr="001D29F8">
        <w:rPr>
          <w:rFonts w:ascii="Arial" w:hAnsi="Arial" w:cs="Arial"/>
          <w:sz w:val="24"/>
          <w:szCs w:val="24"/>
          <w:vertAlign w:val="subscript"/>
          <w:lang w:val="en-US"/>
        </w:rPr>
        <w:t>1c</w:t>
      </w:r>
      <w:r w:rsidRPr="001D29F8">
        <w:rPr>
          <w:rFonts w:ascii="Arial" w:hAnsi="Arial" w:cs="Arial"/>
          <w:sz w:val="24"/>
          <w:szCs w:val="24"/>
          <w:lang w:val="en-US"/>
        </w:rPr>
        <w:t xml:space="preserve"> reduction of -1.7% (-1</w:t>
      </w:r>
      <w:r w:rsidR="009D47BA">
        <w:rPr>
          <w:rFonts w:ascii="Arial" w:hAnsi="Arial" w:cs="Arial"/>
          <w:sz w:val="24"/>
          <w:szCs w:val="24"/>
          <w:lang w:val="en-US"/>
        </w:rPr>
        <w:t>9</w:t>
      </w:r>
      <w:r w:rsidRPr="001D29F8">
        <w:rPr>
          <w:rFonts w:ascii="Arial" w:hAnsi="Arial" w:cs="Arial"/>
          <w:sz w:val="24"/>
          <w:szCs w:val="24"/>
          <w:lang w:val="en-US"/>
        </w:rPr>
        <w:t xml:space="preserve"> </w:t>
      </w:r>
      <w:proofErr w:type="spellStart"/>
      <w:r w:rsidRPr="001D29F8">
        <w:rPr>
          <w:rFonts w:ascii="Arial" w:hAnsi="Arial" w:cs="Arial"/>
          <w:sz w:val="24"/>
          <w:szCs w:val="24"/>
          <w:lang w:val="en-US"/>
        </w:rPr>
        <w:t>mmol</w:t>
      </w:r>
      <w:proofErr w:type="spellEnd"/>
      <w:r w:rsidRPr="001D29F8">
        <w:rPr>
          <w:rFonts w:ascii="Arial" w:hAnsi="Arial" w:cs="Arial"/>
          <w:sz w:val="24"/>
          <w:szCs w:val="24"/>
          <w:lang w:val="en-US"/>
        </w:rPr>
        <w:t>/</w:t>
      </w:r>
      <w:proofErr w:type="spellStart"/>
      <w:r w:rsidRPr="001D29F8">
        <w:rPr>
          <w:rFonts w:ascii="Arial" w:hAnsi="Arial" w:cs="Arial"/>
          <w:sz w:val="24"/>
          <w:szCs w:val="24"/>
          <w:lang w:val="en-US"/>
        </w:rPr>
        <w:t>mol</w:t>
      </w:r>
      <w:proofErr w:type="spellEnd"/>
      <w:r w:rsidRPr="001D29F8">
        <w:rPr>
          <w:rFonts w:ascii="Arial" w:hAnsi="Arial" w:cs="Arial"/>
          <w:sz w:val="24"/>
          <w:szCs w:val="24"/>
          <w:lang w:val="en-US"/>
        </w:rPr>
        <w:t xml:space="preserve">) from a baseline value of 8.8% (73 </w:t>
      </w:r>
      <w:proofErr w:type="spellStart"/>
      <w:r w:rsidRPr="001D29F8">
        <w:rPr>
          <w:rFonts w:ascii="Arial" w:hAnsi="Arial" w:cs="Arial"/>
          <w:sz w:val="24"/>
          <w:szCs w:val="24"/>
          <w:lang w:val="en-US"/>
        </w:rPr>
        <w:t>mmol</w:t>
      </w:r>
      <w:proofErr w:type="spellEnd"/>
      <w:r w:rsidRPr="001D29F8">
        <w:rPr>
          <w:rFonts w:ascii="Arial" w:hAnsi="Arial" w:cs="Arial"/>
          <w:sz w:val="24"/>
          <w:szCs w:val="24"/>
          <w:lang w:val="en-US"/>
        </w:rPr>
        <w:t>/</w:t>
      </w:r>
      <w:proofErr w:type="spellStart"/>
      <w:r w:rsidRPr="001D29F8">
        <w:rPr>
          <w:rFonts w:ascii="Arial" w:hAnsi="Arial" w:cs="Arial"/>
          <w:sz w:val="24"/>
          <w:szCs w:val="24"/>
          <w:lang w:val="en-US"/>
        </w:rPr>
        <w:t>mol</w:t>
      </w:r>
      <w:proofErr w:type="spellEnd"/>
      <w:r w:rsidRPr="001D29F8">
        <w:rPr>
          <w:rFonts w:ascii="Arial" w:hAnsi="Arial" w:cs="Arial"/>
          <w:sz w:val="24"/>
          <w:szCs w:val="24"/>
          <w:lang w:val="en-US"/>
        </w:rPr>
        <w:t xml:space="preserve">), together with a reduction in severe hypoglycemic events. We provided an association between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-use in a large population and the long-term sustainability of its benefits regarding clinical- and patient-reported outcome measures</w:t>
      </w:r>
      <w:r w:rsidRPr="003E2C02">
        <w:rPr>
          <w:rFonts w:ascii="Arial" w:hAnsi="Arial" w:cs="Arial"/>
          <w:sz w:val="24"/>
          <w:szCs w:val="24"/>
          <w:lang w:val="en-US"/>
        </w:rPr>
        <w:t>,</w:t>
      </w:r>
      <w:r w:rsidRPr="001D29F8">
        <w:rPr>
          <w:rFonts w:ascii="Arial" w:hAnsi="Arial" w:cs="Arial"/>
          <w:sz w:val="24"/>
          <w:szCs w:val="24"/>
          <w:lang w:val="en-US"/>
        </w:rPr>
        <w:t xml:space="preserve"> within the context of real-world diabetes self-management and</w:t>
      </w:r>
      <w:r w:rsidR="003E2C02">
        <w:rPr>
          <w:rFonts w:ascii="Arial" w:hAnsi="Arial" w:cs="Arial"/>
          <w:sz w:val="24"/>
          <w:szCs w:val="24"/>
          <w:lang w:val="en-US"/>
        </w:rPr>
        <w:t xml:space="preserve"> sufficient diabetes education.</w:t>
      </w:r>
    </w:p>
    <w:p w14:paraId="1D99C8BE" w14:textId="641A8F23" w:rsidR="00DC0F2C" w:rsidRPr="001D29F8" w:rsidRDefault="00F94BED" w:rsidP="00E071DC">
      <w:pPr>
        <w:spacing w:line="480" w:lineRule="auto"/>
        <w:jc w:val="both"/>
        <w:rPr>
          <w:rFonts w:ascii="Arial" w:hAnsi="Arial" w:cs="Arial"/>
          <w:sz w:val="24"/>
          <w:szCs w:val="24"/>
          <w:lang w:val="en-US"/>
        </w:rPr>
      </w:pPr>
      <w:r w:rsidRPr="001D29F8">
        <w:rPr>
          <w:rFonts w:ascii="Arial" w:hAnsi="Arial" w:cs="Arial"/>
          <w:sz w:val="24"/>
          <w:szCs w:val="24"/>
          <w:lang w:val="en-US"/>
        </w:rPr>
        <w:t xml:space="preserve">As </w:t>
      </w:r>
      <w:r w:rsidR="00B75C3B" w:rsidRPr="001D29F8">
        <w:rPr>
          <w:rFonts w:ascii="Arial" w:hAnsi="Arial" w:cs="Arial"/>
          <w:sz w:val="24"/>
          <w:szCs w:val="24"/>
          <w:lang w:val="en-US"/>
        </w:rPr>
        <w:t xml:space="preserve">the diverse risks of recurrent and severe hypoglycemia are well known </w:t>
      </w:r>
      <w:r w:rsidR="000E348D"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{"citationItems":[{"id":"ITEM-1","itemData":{"ISSN":"2213-8595 (Electronic)","PMID":"30926258","abstract":"Hypoglycaemia has long been recognised as a dangerous side-effect of treatment of diabetes with insulin or insulin secretagogues. With its potential to disrupt cerebral function, hypoglycaemia can have a major effect on peoples' lives. Study findings have suggested that hypoglycaemia is associated with an increased risk of cardiovascular events and mortality. Different mechanisms by which hypoglycaemia might provoke cardiovascular events have been identified in experimental studies, and in clinical studies cardiac arrhythmias have been reported to be induced by hypoglycaemia, with one report describing sudden death during a severe episode. Emerging evidence suggests that the association between hypoglycaemia and cardiovascular events and mortality is likely to be multifactorial. The association is probably partly caused by confounding, with hypoglycaemia occurring more frequently in people with comorbidities who are also more likely to die than those without. However, people with type 1 or type 2 diabetes also seem at risk of hypoglycaemia-induced cardiovascular effects. This risk should be recognised by clinicians when agreeing glycaemic goals with patients and choosing appropriate glucose-lowering therapies.","author":[{"dropping-particle":"","family":"International Hypoglycaemia Study Group","given":"","non-dropping-particle":"","parse-names":false,"suffix":""}],"container-title":"The Lancet Diabetes &amp; Endocrinology","id":"ITEM-1","issue":"5","issued":{"date-parts":[["2019"]]},"language":"eng","page":"385-396","publisher-place":"England","title":"Hypoglycaemia, cardiovascular disease, and mortality in diabetes: epidemiology, pathogenesis, and management.","type":"article-journal","volume":"7"},"uris":["http://www.mendeley.com/documents/?uuid=723b3461-5952-4800-9864-82c811328827"]}],"mendeley":{"formattedCitation":"(24)","plainTextFormattedCitation":"(24)","previouslyFormattedCitation":"(24)"},"properties":{"noteIndex":0},"schema":"https://github.com/citation-style-language/schema/raw/master/csl-citation.json"}</w:instrText>
      </w:r>
      <w:r w:rsidR="000E348D" w:rsidRPr="001D29F8">
        <w:rPr>
          <w:rFonts w:ascii="Arial" w:hAnsi="Arial" w:cs="Arial"/>
          <w:sz w:val="24"/>
          <w:szCs w:val="24"/>
          <w:lang w:val="en-US"/>
        </w:rPr>
        <w:fldChar w:fldCharType="separate"/>
      </w:r>
      <w:r w:rsidR="000E348D" w:rsidRPr="001D29F8">
        <w:rPr>
          <w:rFonts w:ascii="Arial" w:hAnsi="Arial" w:cs="Arial"/>
          <w:noProof/>
          <w:sz w:val="24"/>
          <w:szCs w:val="24"/>
          <w:lang w:val="en-US"/>
        </w:rPr>
        <w:t>(24)</w:t>
      </w:r>
      <w:r w:rsidR="000E348D" w:rsidRPr="001D29F8">
        <w:rPr>
          <w:rFonts w:ascii="Arial" w:hAnsi="Arial" w:cs="Arial"/>
          <w:sz w:val="24"/>
          <w:szCs w:val="24"/>
          <w:lang w:val="en-US"/>
        </w:rPr>
        <w:fldChar w:fldCharType="end"/>
      </w:r>
      <w:r w:rsidR="00B75C3B" w:rsidRPr="001D29F8">
        <w:rPr>
          <w:rFonts w:ascii="Arial" w:hAnsi="Arial" w:cs="Arial"/>
          <w:sz w:val="24"/>
          <w:szCs w:val="24"/>
          <w:lang w:val="en-US"/>
        </w:rPr>
        <w:t>,</w:t>
      </w:r>
      <w:r w:rsidRPr="001D29F8">
        <w:rPr>
          <w:rFonts w:ascii="Arial" w:hAnsi="Arial" w:cs="Arial"/>
          <w:sz w:val="24"/>
          <w:szCs w:val="24"/>
          <w:lang w:val="en-US"/>
        </w:rPr>
        <w:t xml:space="preserve"> it is </w:t>
      </w:r>
      <w:r w:rsidR="00C33478" w:rsidRPr="001D29F8">
        <w:rPr>
          <w:rFonts w:ascii="Arial" w:hAnsi="Arial" w:cs="Arial"/>
          <w:sz w:val="24"/>
          <w:szCs w:val="24"/>
          <w:lang w:val="en-US"/>
        </w:rPr>
        <w:t>importan</w:t>
      </w:r>
      <w:r w:rsidR="00C33478">
        <w:rPr>
          <w:rFonts w:ascii="Arial" w:hAnsi="Arial" w:cs="Arial"/>
          <w:sz w:val="24"/>
          <w:szCs w:val="24"/>
          <w:lang w:val="en-US"/>
        </w:rPr>
        <w:t>t</w:t>
      </w:r>
      <w:r w:rsidR="00C33478" w:rsidRPr="001D29F8">
        <w:rPr>
          <w:rFonts w:ascii="Arial" w:hAnsi="Arial" w:cs="Arial"/>
          <w:sz w:val="24"/>
          <w:szCs w:val="24"/>
          <w:lang w:val="en-US"/>
        </w:rPr>
        <w:t xml:space="preserve"> </w:t>
      </w:r>
      <w:r w:rsidRPr="001D29F8">
        <w:rPr>
          <w:rFonts w:ascii="Arial" w:hAnsi="Arial" w:cs="Arial"/>
          <w:sz w:val="24"/>
          <w:szCs w:val="24"/>
          <w:lang w:val="en-US"/>
        </w:rPr>
        <w:t xml:space="preserve">that hypoglycemia </w:t>
      </w:r>
      <w:r w:rsidR="00E071DC">
        <w:rPr>
          <w:rFonts w:ascii="Arial" w:hAnsi="Arial" w:cs="Arial"/>
          <w:sz w:val="24"/>
          <w:szCs w:val="24"/>
          <w:lang w:val="en-US"/>
        </w:rPr>
        <w:t>is</w:t>
      </w:r>
      <w:r w:rsidRPr="001D29F8">
        <w:rPr>
          <w:rFonts w:ascii="Arial" w:hAnsi="Arial" w:cs="Arial"/>
          <w:sz w:val="24"/>
          <w:szCs w:val="24"/>
          <w:lang w:val="en-US"/>
        </w:rPr>
        <w:t xml:space="preserve"> prevented through the use of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w:t>
      </w:r>
      <w:r w:rsidR="0001437D" w:rsidRPr="001D29F8">
        <w:rPr>
          <w:rFonts w:ascii="Arial" w:hAnsi="Arial" w:cs="Arial"/>
          <w:sz w:val="24"/>
          <w:szCs w:val="24"/>
          <w:lang w:val="en-US"/>
        </w:rPr>
        <w:t>Unprecedented, i</w:t>
      </w:r>
      <w:r w:rsidR="00AE39B0" w:rsidRPr="001D29F8">
        <w:rPr>
          <w:rFonts w:ascii="Arial" w:hAnsi="Arial" w:cs="Arial"/>
          <w:sz w:val="24"/>
          <w:szCs w:val="24"/>
          <w:lang w:val="en-US"/>
        </w:rPr>
        <w:t xml:space="preserve">n the Belgian </w:t>
      </w:r>
      <w:proofErr w:type="spellStart"/>
      <w:r w:rsidR="0001437D" w:rsidRPr="001D29F8">
        <w:rPr>
          <w:rFonts w:ascii="Arial" w:hAnsi="Arial" w:cs="Arial"/>
          <w:sz w:val="24"/>
          <w:szCs w:val="24"/>
          <w:lang w:val="en-US"/>
        </w:rPr>
        <w:t>rtCGM</w:t>
      </w:r>
      <w:proofErr w:type="spellEnd"/>
      <w:r w:rsidR="0001437D" w:rsidRPr="001D29F8">
        <w:rPr>
          <w:rFonts w:ascii="Arial" w:hAnsi="Arial" w:cs="Arial"/>
          <w:sz w:val="24"/>
          <w:szCs w:val="24"/>
          <w:lang w:val="en-US"/>
        </w:rPr>
        <w:t xml:space="preserve"> </w:t>
      </w:r>
      <w:r w:rsidR="00AE39B0" w:rsidRPr="001D29F8">
        <w:rPr>
          <w:rFonts w:ascii="Arial" w:hAnsi="Arial" w:cs="Arial"/>
          <w:sz w:val="24"/>
          <w:szCs w:val="24"/>
          <w:lang w:val="en-US"/>
        </w:rPr>
        <w:t xml:space="preserve">reimbursement system, diabetes teams were free in choosing </w:t>
      </w:r>
      <w:r w:rsidR="002C2F65" w:rsidRPr="001D29F8">
        <w:rPr>
          <w:rFonts w:ascii="Arial" w:hAnsi="Arial" w:cs="Arial"/>
          <w:sz w:val="24"/>
          <w:szCs w:val="24"/>
          <w:lang w:val="en-US"/>
        </w:rPr>
        <w:t>the people who would receive full reimbursement</w:t>
      </w:r>
      <w:r w:rsidR="00AE39B0" w:rsidRPr="001D29F8">
        <w:rPr>
          <w:rFonts w:ascii="Arial" w:hAnsi="Arial" w:cs="Arial"/>
          <w:sz w:val="24"/>
          <w:szCs w:val="24"/>
          <w:lang w:val="en-US"/>
        </w:rPr>
        <w:t xml:space="preserve">, but available funding was limited to a fixed number of </w:t>
      </w:r>
      <w:r w:rsidR="002C2F65" w:rsidRPr="001D29F8">
        <w:rPr>
          <w:rFonts w:ascii="Arial" w:hAnsi="Arial" w:cs="Arial"/>
          <w:sz w:val="24"/>
          <w:szCs w:val="24"/>
          <w:lang w:val="en-US"/>
        </w:rPr>
        <w:t>people already using CSII</w:t>
      </w:r>
      <w:r w:rsidR="00AE39B0" w:rsidRPr="001D29F8">
        <w:rPr>
          <w:rFonts w:ascii="Arial" w:hAnsi="Arial" w:cs="Arial"/>
          <w:sz w:val="24"/>
          <w:szCs w:val="24"/>
          <w:lang w:val="en-US"/>
        </w:rPr>
        <w:t xml:space="preserve"> (approximately 500 nation-wide). This </w:t>
      </w:r>
      <w:r w:rsidR="0001437D" w:rsidRPr="001D29F8">
        <w:rPr>
          <w:rFonts w:ascii="Arial" w:hAnsi="Arial" w:cs="Arial"/>
          <w:sz w:val="24"/>
          <w:szCs w:val="24"/>
          <w:lang w:val="en-US"/>
        </w:rPr>
        <w:t>exceptional</w:t>
      </w:r>
      <w:r w:rsidR="00AE39B0" w:rsidRPr="001D29F8">
        <w:rPr>
          <w:rFonts w:ascii="Arial" w:hAnsi="Arial" w:cs="Arial"/>
          <w:sz w:val="24"/>
          <w:szCs w:val="24"/>
          <w:lang w:val="en-US"/>
        </w:rPr>
        <w:t xml:space="preserve"> situation forced the diabetes teams to choose the </w:t>
      </w:r>
      <w:r w:rsidR="002C2F65" w:rsidRPr="001D29F8">
        <w:rPr>
          <w:rFonts w:ascii="Arial" w:hAnsi="Arial" w:cs="Arial"/>
          <w:sz w:val="24"/>
          <w:szCs w:val="24"/>
          <w:lang w:val="en-US"/>
        </w:rPr>
        <w:t>people with type 1 diabetes</w:t>
      </w:r>
      <w:r w:rsidR="00AE39B0" w:rsidRPr="001D29F8">
        <w:rPr>
          <w:rFonts w:ascii="Arial" w:hAnsi="Arial" w:cs="Arial"/>
          <w:sz w:val="24"/>
          <w:szCs w:val="24"/>
          <w:lang w:val="en-US"/>
        </w:rPr>
        <w:t xml:space="preserve"> </w:t>
      </w:r>
      <w:r w:rsidR="0001437D" w:rsidRPr="001D29F8">
        <w:rPr>
          <w:rFonts w:ascii="Arial" w:hAnsi="Arial" w:cs="Arial"/>
          <w:sz w:val="24"/>
          <w:szCs w:val="24"/>
          <w:lang w:val="en-US"/>
        </w:rPr>
        <w:t xml:space="preserve">of </w:t>
      </w:r>
      <w:r w:rsidR="00AE39B0" w:rsidRPr="001D29F8">
        <w:rPr>
          <w:rFonts w:ascii="Arial" w:hAnsi="Arial" w:cs="Arial"/>
          <w:sz w:val="24"/>
          <w:szCs w:val="24"/>
          <w:lang w:val="en-US"/>
        </w:rPr>
        <w:t xml:space="preserve">whom they thought would benefit </w:t>
      </w:r>
      <w:r w:rsidR="0001437D" w:rsidRPr="001D29F8">
        <w:rPr>
          <w:rFonts w:ascii="Arial" w:hAnsi="Arial" w:cs="Arial"/>
          <w:sz w:val="24"/>
          <w:szCs w:val="24"/>
          <w:lang w:val="en-US"/>
        </w:rPr>
        <w:t xml:space="preserve">the </w:t>
      </w:r>
      <w:r w:rsidR="00AE39B0" w:rsidRPr="001D29F8">
        <w:rPr>
          <w:rFonts w:ascii="Arial" w:hAnsi="Arial" w:cs="Arial"/>
          <w:sz w:val="24"/>
          <w:szCs w:val="24"/>
          <w:lang w:val="en-US"/>
        </w:rPr>
        <w:t xml:space="preserve">most from </w:t>
      </w:r>
      <w:r w:rsidR="00175A64" w:rsidRPr="001D29F8">
        <w:rPr>
          <w:rFonts w:ascii="Arial" w:hAnsi="Arial" w:cs="Arial"/>
          <w:sz w:val="24"/>
          <w:szCs w:val="24"/>
          <w:lang w:val="en-US"/>
        </w:rPr>
        <w:t xml:space="preserve">using </w:t>
      </w:r>
      <w:proofErr w:type="spellStart"/>
      <w:r w:rsidR="0001437D" w:rsidRPr="001D29F8">
        <w:rPr>
          <w:rFonts w:ascii="Arial" w:hAnsi="Arial" w:cs="Arial"/>
          <w:sz w:val="24"/>
          <w:szCs w:val="24"/>
          <w:lang w:val="en-US"/>
        </w:rPr>
        <w:t>rt</w:t>
      </w:r>
      <w:r w:rsidR="00AE39B0" w:rsidRPr="001D29F8">
        <w:rPr>
          <w:rFonts w:ascii="Arial" w:hAnsi="Arial" w:cs="Arial"/>
          <w:sz w:val="24"/>
          <w:szCs w:val="24"/>
          <w:lang w:val="en-US"/>
        </w:rPr>
        <w:t>CGM</w:t>
      </w:r>
      <w:proofErr w:type="spellEnd"/>
      <w:r w:rsidR="00AE39B0" w:rsidRPr="001D29F8">
        <w:rPr>
          <w:rFonts w:ascii="Arial" w:hAnsi="Arial" w:cs="Arial"/>
          <w:sz w:val="24"/>
          <w:szCs w:val="24"/>
          <w:lang w:val="en-US"/>
        </w:rPr>
        <w:t xml:space="preserve">. The teams, independently from each other or from predefined criteria, selected </w:t>
      </w:r>
      <w:r w:rsidR="00575C29" w:rsidRPr="001D29F8">
        <w:rPr>
          <w:rFonts w:ascii="Arial" w:hAnsi="Arial" w:cs="Arial"/>
          <w:sz w:val="24"/>
          <w:szCs w:val="24"/>
          <w:lang w:val="en-US"/>
        </w:rPr>
        <w:t>a population with a high prevalence of hypoglycemia-related acute complications</w:t>
      </w:r>
      <w:r w:rsidR="0001437D" w:rsidRPr="001D29F8">
        <w:rPr>
          <w:rFonts w:ascii="Arial" w:hAnsi="Arial" w:cs="Arial"/>
          <w:sz w:val="24"/>
          <w:szCs w:val="24"/>
          <w:lang w:val="en-US"/>
        </w:rPr>
        <w:t xml:space="preserve">, which is now included as a main </w:t>
      </w:r>
      <w:r w:rsidR="00260BD4" w:rsidRPr="001D29F8">
        <w:rPr>
          <w:rFonts w:ascii="Arial" w:hAnsi="Arial" w:cs="Arial"/>
          <w:sz w:val="24"/>
          <w:szCs w:val="24"/>
          <w:lang w:val="en-US"/>
        </w:rPr>
        <w:t>indication</w:t>
      </w:r>
      <w:r w:rsidR="0001437D" w:rsidRPr="001D29F8">
        <w:rPr>
          <w:rFonts w:ascii="Arial" w:hAnsi="Arial" w:cs="Arial"/>
          <w:sz w:val="24"/>
          <w:szCs w:val="24"/>
          <w:lang w:val="en-US"/>
        </w:rPr>
        <w:t xml:space="preserve"> for </w:t>
      </w:r>
      <w:proofErr w:type="spellStart"/>
      <w:r w:rsidR="0001437D" w:rsidRPr="001D29F8">
        <w:rPr>
          <w:rFonts w:ascii="Arial" w:hAnsi="Arial" w:cs="Arial"/>
          <w:sz w:val="24"/>
          <w:szCs w:val="24"/>
          <w:lang w:val="en-US"/>
        </w:rPr>
        <w:t>rtCGM</w:t>
      </w:r>
      <w:proofErr w:type="spellEnd"/>
      <w:r w:rsidR="0001437D" w:rsidRPr="001D29F8">
        <w:rPr>
          <w:rFonts w:ascii="Arial" w:hAnsi="Arial" w:cs="Arial"/>
          <w:sz w:val="24"/>
          <w:szCs w:val="24"/>
          <w:lang w:val="en-US"/>
        </w:rPr>
        <w:t xml:space="preserve"> reimbursement </w:t>
      </w:r>
      <w:r w:rsidR="00175A64" w:rsidRPr="001D29F8">
        <w:rPr>
          <w:rFonts w:ascii="Arial" w:hAnsi="Arial" w:cs="Arial"/>
          <w:sz w:val="24"/>
          <w:szCs w:val="24"/>
          <w:lang w:val="en-US"/>
        </w:rPr>
        <w:t>by</w:t>
      </w:r>
      <w:r w:rsidR="0001437D" w:rsidRPr="001D29F8">
        <w:rPr>
          <w:rFonts w:ascii="Arial" w:hAnsi="Arial" w:cs="Arial"/>
          <w:sz w:val="24"/>
          <w:szCs w:val="24"/>
          <w:lang w:val="en-US"/>
        </w:rPr>
        <w:t xml:space="preserve"> other countries</w:t>
      </w:r>
      <w:r w:rsidR="002C2F65" w:rsidRPr="001D29F8">
        <w:rPr>
          <w:rFonts w:ascii="Arial" w:hAnsi="Arial" w:cs="Arial"/>
          <w:sz w:val="24"/>
          <w:szCs w:val="24"/>
          <w:lang w:val="en-US"/>
        </w:rPr>
        <w:t xml:space="preserve"> </w:t>
      </w:r>
      <w:r w:rsidR="002C2F65"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{"citationItems":[{"id":"ITEM-1","itemData":{"ISSN":"1557-8593 (Electronic)","PMID":"28585871","abstract":"Real-time continuous glucose monitoring has been available for a decade and reimbursement for the technology has been slowly growing. Reasons for the various rates of reimbursement and adoption are explored in this article and the status of country-wide reimbursement is discussed.","author":[{"dropping-particle":"","family":"Graham","given":"Claudia","non-dropping-particle":"","parse-names":false,"suffix":""}],"container-title":"Diabetes technology &amp; therapeutics","id":"ITEM-1","issue":"S3","issued":{"date-parts":[["2017"]]},"language":"eng","page":"S60-S66","publisher-place":"United States","title":"Continuous Glucose Monitoring and Global Reimbursement: An Update.","type":"article-journal","volume":"19"},"uris":["http://www.mendeley.com/documents/?uuid=5fc52ff1-012d-41c2-a593-1ded6ce779dd"]}],"mendeley":{"formattedCitation":"(27)","plainTextFormattedCitation":"(27)","previouslyFormattedCitation":"(27)"},"properties":{"noteIndex":0},"schema":"https://github.com/citation-style-language/schema/raw/master/csl-citation.json"}</w:instrText>
      </w:r>
      <w:r w:rsidR="002C2F65" w:rsidRPr="001D29F8">
        <w:rPr>
          <w:rFonts w:ascii="Arial" w:hAnsi="Arial" w:cs="Arial"/>
          <w:sz w:val="24"/>
          <w:szCs w:val="24"/>
          <w:lang w:val="en-US"/>
        </w:rPr>
        <w:fldChar w:fldCharType="separate"/>
      </w:r>
      <w:r w:rsidR="001644B2" w:rsidRPr="001D29F8">
        <w:rPr>
          <w:rFonts w:ascii="Arial" w:hAnsi="Arial" w:cs="Arial"/>
          <w:noProof/>
          <w:sz w:val="24"/>
          <w:szCs w:val="24"/>
          <w:lang w:val="en-US"/>
        </w:rPr>
        <w:t>(27)</w:t>
      </w:r>
      <w:r w:rsidR="002C2F65" w:rsidRPr="001D29F8">
        <w:rPr>
          <w:rFonts w:ascii="Arial" w:hAnsi="Arial" w:cs="Arial"/>
          <w:sz w:val="24"/>
          <w:szCs w:val="24"/>
          <w:lang w:val="en-US"/>
        </w:rPr>
        <w:fldChar w:fldCharType="end"/>
      </w:r>
      <w:r w:rsidR="0001437D" w:rsidRPr="001D29F8">
        <w:rPr>
          <w:rFonts w:ascii="Arial" w:hAnsi="Arial" w:cs="Arial"/>
          <w:sz w:val="24"/>
          <w:szCs w:val="24"/>
          <w:lang w:val="en-US"/>
        </w:rPr>
        <w:t xml:space="preserve"> </w:t>
      </w:r>
      <w:r w:rsidR="00175A64" w:rsidRPr="001D29F8">
        <w:rPr>
          <w:rFonts w:ascii="Arial" w:hAnsi="Arial" w:cs="Arial"/>
          <w:sz w:val="24"/>
          <w:szCs w:val="24"/>
          <w:lang w:val="en-US"/>
        </w:rPr>
        <w:t>and is acknowledged by the international community as one of the most important factors why people should use continuous glucose sensors</w:t>
      </w:r>
      <w:r w:rsidR="00260BD4" w:rsidRPr="001D29F8">
        <w:rPr>
          <w:rFonts w:ascii="Arial" w:hAnsi="Arial" w:cs="Arial"/>
          <w:sz w:val="24"/>
          <w:szCs w:val="24"/>
          <w:lang w:val="en-US"/>
        </w:rPr>
        <w:t xml:space="preserve"> </w:t>
      </w:r>
      <w:r w:rsidR="00260BD4"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{"citationItems":[{"id":"ITEM-1","itemData":{"ISSN":"1935-5548 (Electronic)","PMID":"29162583","abstract":"Measurement of glycated hemoglobin (HbA1c) has been the traditional method for assessing glycemic control. However, it does not reflect intra- and interday glycemic excursions that may lead to acute events (such as hypoglycemia) or postprandial hyperglycemia, which have been linked to both microvascular and macrovascular complications. Continuous glucose monitoring (CGM), either from real-time use (rtCGM) or intermittently viewed (iCGM), addresses many of the limitations inherent in HbA1c testing and self-monitoring of blood glucose. Although both provide the means to move beyond the HbA1c measurement as the sole marker of glycemic control, standardized metrics for analyzing CGM data are lacking. Moreover, clear criteria for matching people with diabetes to the most appropriate glucose monitoring methodologies, as well as standardized advice about how best to use the new information they provide, have yet to be established. In February 2017, the Advanced Technologies &amp; Treatments for Diabetes (ATTD) Congress convened an international panel of physicians, researchers, and individuals with diabetes who are expert in CGM technologies to address these issues. This article summarizes the ATTD consensus recommendations and represents the current understanding of how CGM results can affect outcomes.","author":[{"dropping-particle":"","family":"Danne","given":"Thomas","non-dropping-particle":"","parse-names":false,"suffix":""},{"dropping-particle":"","family":"Nimri","given":"Revital","non-dropping-particle":"","parse-names":false,"suffix":""},{"dropping-particle":"","family":"Battelino","given":"Tadej","non-dropping-particle":"","parse-names":false,"suffix":""},{"dropping-particle":"","family":"Bergenstal","given":"Richard M","non-dropping-particle":"","parse-names":false,"suffix":""},{"dropping-particle":"","family":"Close","given":"Kelly L","non-dropping-particle":"","parse-names":false,"suffix":""},{"dropping-particle":"","family":"DeVries","given":"J Hans","non-dropping-particle":"","parse-names":false,"suffix":""},{"dropping-particle":"","family":"Garg","given":"Satish","non-dropping-particle":"","parse-names":false,"suffix":""},{"dropping-particle":"","family":"Heinemann","given":"Lutz","non-dropping-particle":"","parse-names":false,"suffix":""},{"dropping-particle":"","family":"Hirsch","given":"Irl","non-dropping-particle":"","parse-names":false,"suffix":""},{"dropping-particle":"","family":"Amiel","given":"Stephanie A","non-dropping-particle":"","parse-names":false,"suffix":""},{"dropping-particle":"","family":"Beck","given":"Roy","non-dropping-particle":"","parse-names":false,"suffix":""},{"dropping-particle":"","family":"Bosi","given":"Emanuele","non-dropping-particle":"","parse-names":false,"suffix":""},{"dropping-particle":"","family":"Buckingham","given":"Bruce","non-dropping-particle":"","parse-names":false,"suffix":""},{"dropping-particle":"","family":"Cobelli","given":"Claudio","non-dropping-particle":"","parse-names":false,"suffix":""},{"dropping-particle":"","family":"Dassau","given":"Eyal","non-dropping-particle":"","parse-names":false,"suffix":""},{"dropping-particle":"","family":"Doyle","given":"Francis J 3rd","non-dropping-particle":"","parse-names":false,"suffix":""},{"dropping-particle":"","family":"Heller","given":"Simon","non-dropping-particle":"","parse-names":false,"suffix":""},{"dropping-particle":"","family":"Hovorka","given":"Roman","non-dropping-particle":"","parse-names":false,"suffix":""},{"dropping-particle":"","family":"Jia","given":"Weiping","non-dropping-particle":"","parse-names":false,"suffix":""},{"dropping-particle":"","family":"Jones","given":"Tim","non-dropping-particle":"","parse-names":false,"suffix":""},{"dropping-particle":"","family":"Kordonouri","given":"Olga","non-dropping-particle":"","parse-names":false,"suffix":""},{"dropping-particle":"","family":"Kovatchev","given":"Boris","non-dropping-particle":"","parse-names":false,"suffix":""},{"dropping-particle":"","family":"Kowalski","given":"Aaron","non-dropping-particle":"","parse-names":false,"suffix":""},{"dropping-particle":"","family":"Laffel","given":"Lori","non-dropping-particle":"","parse-names":false,"suffix":""},{"dropping-particle":"","family":"Maahs","given":"David","non-dropping-particle":"","parse-names":false,"suffix":""},{"dropping-particle":"","family":"Murphy","given":"Helen R","non-dropping-particle":"","parse-names":false,"suffix":""},{"dropping-particle":"","family":"Norgaard","given":"Kirsten","non-dropping-particle":"","parse-names":false,"suffix":""},{"dropping-particle":"","family":"Parkin","given":"Christopher G","non-dropping-particle":"","parse-names":false,"suffix":""},{"dropping-particle":"","family":"Renard","given":"Eric","non-dropping-particle":"","parse-names":false,"suffix":""},{"dropping-particle":"","family":"Saboo","given":"Banshi","non-dropping-particle":"","parse-names":false,"suffix":""},{"dropping-particle":"","family":"Scharf","given":"Mauro","non-dropping-particle":"","parse-names":false,"suffix":""},{"dropping-particle":"V","family":"Tamborlane","given":"William","non-dropping-particle":"","parse-names":false,"suffix":""},{"dropping-particle":"","family":"Weinzimer","given":"Stuart A","non-dropping-particle":"","parse-names":false,"suffix":""},{"dropping-particle":"","family":"Phillip","given":"Moshe","non-dropping-particle":"","parse-names":false,"suffix":""}],"container-title":"Diabetes care","id":"ITEM-1","issue":"12","issued":{"date-parts":[["2017"]]},"language":"eng","page":"1631-1640","publisher-place":"United States","title":"International Consensus on Use of Continuous Glucose Monitoring.","type":"article-journal","volume":"40"},"uris":["http://www.mendeley.com/documents/?uuid=0492d019-ef2f-40d4-95f4-9f4b06f1144a"]}],"mendeley":{"formattedCitation":"(19)","plainTextFormattedCitation":"(19)","previouslyFormattedCitation":"(19)"},"properties":{"noteIndex":0},"schema":"https://github.com/citation-style-language/schema/raw/master/csl-citation.json"}</w:instrText>
      </w:r>
      <w:r w:rsidR="00260BD4" w:rsidRPr="001D29F8">
        <w:rPr>
          <w:rFonts w:ascii="Arial" w:hAnsi="Arial" w:cs="Arial"/>
          <w:sz w:val="24"/>
          <w:szCs w:val="24"/>
          <w:lang w:val="en-US"/>
        </w:rPr>
        <w:fldChar w:fldCharType="separate"/>
      </w:r>
      <w:r w:rsidR="00A13E6A" w:rsidRPr="001D29F8">
        <w:rPr>
          <w:rFonts w:ascii="Arial" w:hAnsi="Arial" w:cs="Arial"/>
          <w:noProof/>
          <w:sz w:val="24"/>
          <w:szCs w:val="24"/>
          <w:lang w:val="en-US"/>
        </w:rPr>
        <w:t>(19)</w:t>
      </w:r>
      <w:r w:rsidR="00260BD4" w:rsidRPr="001D29F8">
        <w:rPr>
          <w:rFonts w:ascii="Arial" w:hAnsi="Arial" w:cs="Arial"/>
          <w:sz w:val="24"/>
          <w:szCs w:val="24"/>
          <w:lang w:val="en-US"/>
        </w:rPr>
        <w:fldChar w:fldCharType="end"/>
      </w:r>
      <w:r w:rsidR="0001437D" w:rsidRPr="001D29F8">
        <w:rPr>
          <w:rFonts w:ascii="Arial" w:hAnsi="Arial" w:cs="Arial"/>
          <w:sz w:val="24"/>
          <w:szCs w:val="24"/>
          <w:lang w:val="en-US"/>
        </w:rPr>
        <w:t>.</w:t>
      </w:r>
      <w:r w:rsidR="00405AA0" w:rsidRPr="001D29F8">
        <w:rPr>
          <w:rFonts w:ascii="Arial" w:hAnsi="Arial" w:cs="Arial"/>
          <w:sz w:val="24"/>
          <w:szCs w:val="24"/>
          <w:lang w:val="en-US"/>
        </w:rPr>
        <w:t xml:space="preserve"> </w:t>
      </w:r>
      <w:r w:rsidR="00E071DC" w:rsidRPr="003E2C02">
        <w:rPr>
          <w:rFonts w:ascii="Arial" w:hAnsi="Arial" w:cs="Arial"/>
          <w:sz w:val="24"/>
          <w:szCs w:val="24"/>
          <w:lang w:val="en-US"/>
        </w:rPr>
        <w:t xml:space="preserve">Our results show that the number of clinical severe hypoglycemic events can be markedly reduced by use of </w:t>
      </w:r>
      <w:proofErr w:type="spellStart"/>
      <w:r w:rsidR="00E071DC" w:rsidRPr="003E2C02">
        <w:rPr>
          <w:rFonts w:ascii="Arial" w:hAnsi="Arial" w:cs="Arial"/>
          <w:sz w:val="24"/>
          <w:szCs w:val="24"/>
          <w:lang w:val="en-US"/>
        </w:rPr>
        <w:t>rtCGM</w:t>
      </w:r>
      <w:proofErr w:type="spellEnd"/>
      <w:r w:rsidR="00E071DC" w:rsidRPr="003E2C02">
        <w:rPr>
          <w:rFonts w:ascii="Arial" w:hAnsi="Arial" w:cs="Arial"/>
          <w:sz w:val="24"/>
          <w:szCs w:val="24"/>
          <w:lang w:val="en-US"/>
        </w:rPr>
        <w:t>.</w:t>
      </w:r>
      <w:r w:rsidR="00E071DC" w:rsidRPr="00E071DC">
        <w:rPr>
          <w:rFonts w:ascii="Arial" w:hAnsi="Arial" w:cs="Arial"/>
          <w:sz w:val="24"/>
          <w:szCs w:val="24"/>
          <w:lang w:val="en-US"/>
        </w:rPr>
        <w:t xml:space="preserve"> </w:t>
      </w:r>
      <w:r w:rsidR="00E071DC" w:rsidRPr="001D29F8">
        <w:rPr>
          <w:rFonts w:ascii="Arial" w:hAnsi="Arial" w:cs="Arial"/>
          <w:sz w:val="24"/>
          <w:szCs w:val="24"/>
          <w:lang w:val="en-US"/>
        </w:rPr>
        <w:t>Importantly, the improvement in HbA</w:t>
      </w:r>
      <w:r w:rsidR="00E071DC" w:rsidRPr="001D29F8">
        <w:rPr>
          <w:rFonts w:ascii="Arial" w:hAnsi="Arial" w:cs="Arial"/>
          <w:sz w:val="24"/>
          <w:szCs w:val="24"/>
          <w:vertAlign w:val="subscript"/>
          <w:lang w:val="en-US"/>
        </w:rPr>
        <w:t>1c</w:t>
      </w:r>
      <w:r w:rsidR="00E071DC" w:rsidRPr="001D29F8">
        <w:rPr>
          <w:rFonts w:ascii="Arial" w:hAnsi="Arial" w:cs="Arial"/>
          <w:sz w:val="24"/>
          <w:szCs w:val="24"/>
          <w:lang w:val="en-US"/>
        </w:rPr>
        <w:t xml:space="preserve"> indicate that hypoglycemia reduction was not achieved at the expense of a deterioration of overall glycemic control. Together with findings from other studies addressing use of </w:t>
      </w:r>
      <w:proofErr w:type="spellStart"/>
      <w:r w:rsidR="00E071DC" w:rsidRPr="001D29F8">
        <w:rPr>
          <w:rFonts w:ascii="Arial" w:hAnsi="Arial" w:cs="Arial"/>
          <w:sz w:val="24"/>
          <w:szCs w:val="24"/>
          <w:lang w:val="en-US"/>
        </w:rPr>
        <w:t>rtCGM</w:t>
      </w:r>
      <w:proofErr w:type="spellEnd"/>
      <w:r w:rsidR="00E071DC" w:rsidRPr="001D29F8">
        <w:rPr>
          <w:rFonts w:ascii="Arial" w:hAnsi="Arial" w:cs="Arial"/>
          <w:sz w:val="24"/>
          <w:szCs w:val="24"/>
          <w:lang w:val="en-US"/>
        </w:rPr>
        <w:t xml:space="preserve"> in hypoglycemia-prone adults, this indicates that </w:t>
      </w:r>
      <w:proofErr w:type="spellStart"/>
      <w:r w:rsidR="00E071DC" w:rsidRPr="001D29F8">
        <w:rPr>
          <w:rFonts w:ascii="Arial" w:hAnsi="Arial" w:cs="Arial"/>
          <w:sz w:val="24"/>
          <w:szCs w:val="24"/>
          <w:lang w:val="en-US"/>
        </w:rPr>
        <w:t>rtCGM</w:t>
      </w:r>
      <w:proofErr w:type="spellEnd"/>
      <w:r w:rsidR="00E071DC" w:rsidRPr="001D29F8">
        <w:rPr>
          <w:rFonts w:ascii="Arial" w:hAnsi="Arial" w:cs="Arial"/>
          <w:sz w:val="24"/>
          <w:szCs w:val="24"/>
          <w:lang w:val="en-US"/>
        </w:rPr>
        <w:t xml:space="preserve"> can effectively address problematic hypoglycemia in people treated by MDI as well as by CSII </w:t>
      </w:r>
      <w:r w:rsidR="00E071DC" w:rsidRPr="001D29F8">
        <w:rPr>
          <w:rFonts w:ascii="Arial" w:hAnsi="Arial" w:cs="Arial"/>
          <w:sz w:val="24"/>
          <w:szCs w:val="24"/>
          <w:lang w:val="en-US"/>
        </w:rPr>
        <w:fldChar w:fldCharType="begin" w:fldLock="1"/>
      </w:r>
      <w:r w:rsidR="00E071DC" w:rsidRPr="001D29F8">
        <w:rPr>
          <w:rFonts w:ascii="Arial" w:hAnsi="Arial" w:cs="Arial"/>
          <w:sz w:val="24"/>
          <w:szCs w:val="24"/>
          <w:lang w:val="en-US"/>
        </w:rPr>
        <w:instrText>ADDIN CSL_CITATION {"citationItems":[{"id":"ITEM-1","itemData":{"ISSN":"22138587","PMID":"31047902","abstract":"BACKGROUND: Hypoglycaemia unawareness and severe hypoglycaemia can increase fear of hypoglycaemia and the risk of subsequent hypoglycaemic events. We aimed to assess the safety and efficacy of insulin pump therapy with integrated continuous glucose monitoring (CGM) and a suspend-before-low feature (Medtronic MiniMed 640G with SmartGuard) in hypoglycaemia-prone adults with type 1 diabetes. METHODS: SMILE was an open-label randomised controlled trial done in people aged 24-75 years with type 1 diabetes for 10 years or longer, HbA1c values of 5.8-10.0% (40-86 mmol/mol), and at high risk of hypoglycaemia (recent severe hypoglycaemia or hypoglycaemia unawareness defined by a Clarke or Gold score &gt;/=4). Participants were enrolled from 16 centres (eg, clinics, hospitals, or university medical centres) in Canada, France, Italy, the Netherlands, and the UK. After baseline run-in phase (2 weeks), participants were randomly assigned to the MiniMed 640G pump (continuous subcutaneous insulin infusion) with self-monitoring of blood glucose (control group) or to the MiniMed 640G system with the suspend-before-low feature enabled (intervention group), for 6 months. The study statistician analysing the data was masked to group assignment until final database lock; because of the nature of the intervention, participants and treating clinicians could not be masked to group assignment. The primary outcome was the mean number of sensor hypoglycaemic events, defined as 55 mg/dL (3.1 mmol/L) or lower, and was analysed on an intention-to-treat basis in all randomly assigned participants. This trial is registered with ClinicalTrials.gov, number NCT02733991, and is completed. FINDINGS: Between Dec 7, 2016, and March 27, 2018, 153 participants with a mean age 48.2 [12.4] years were randomly assigned: 77 to the control group (mean age 47.4 [12.5] years) and 76 to the intervention group (mean age 49.0 [12.2] years). After 6 months, the intervention group had significantly fewer hypoglycaemic events per participant per week (1.1 [SD 1.2] vs 4.1 [3.4] mean events, model-based treatment effect -2.9 [95% CI -3.5 to -2.3]; p&lt;0.0001) and fewer severe hypoglycaemic events (instances requiring third-party assistance with carbohydrate or glucagon administration, or other resuscitative actions) overall (three vs 18; p=0.0036). The most common adverse events were hypoglycaemia (observed in ten [13%] of 77 participants in the control group vs four [5%] of 76 in the intervention group) and hype…","author":[{"dropping-particle":"","family":"Bosi","given":"Emanuele","non-dropping-particle":"","parse-names":false,"suffix":""},{"dropping-particle":"","family":"Choudhary","given":"Pratik","non-dropping-particle":"","parse-names":false,"suffix":""},{"dropping-particle":"","family":"Valk","given":"Harold W","non-dropping-particle":"de","parse-names":false,"suffix":""},{"dropping-particle":"","family":"Lablanche","given":"Sandrine","non-dropping-particle":"","parse-names":false,"suffix":""},{"dropping-particle":"","family":"Castañeda","given":"Javier","non-dropping-particle":"","parse-names":false,"suffix":""},{"dropping-particle":"","family":"Portu","given":"Simona","non-dropping-particle":"de","parse-names":false,"suffix":""},{"dropping-particle":"","family":"Silva","given":"Julien","non-dropping-particle":"Da","parse-names":false,"suffix":""},{"dropping-particle":"","family":"Ré","given":"Roseline","non-dropping-particle":"","parse-names":false,"suffix":""},{"dropping-particle":"","family":"Vorrink-de Groot","given":"Linda","non-dropping-particle":"","parse-names":false,"suffix":""},{"dropping-particle":"","family":"Shin","given":"John","non-dropping-particle":"","parse-names":false,"suffix":""},{"dropping-particle":"","family":"Kaufman","given":"Francine R","non-dropping-particle":"","parse-names":false,"suffix":""},{"dropping-particle":"","family":"Cohen","given":"Ohad","non-dropping-particle":"","parse-names":false,"suffix":""},{"dropping-particle":"","family":"Laurenzi","given":"Andrea","non-dropping-particle":"","parse-names":false,"suffix":""},{"dropping-particle":"","family":"Caretto","given":"Amelia","non-dropping-particle":"","parse-names":false,"suffix":""},{"dropping-particle":"","family":"Slatterly","given":"David","non-dropping-particle":"","parse-names":false,"suffix":""},{"dropping-particle":"","family":"Henderson-Wilson","given":"Marcia","non-dropping-particle":"","parse-names":false,"suffix":""},{"dropping-particle":"","family":"Weisnagel","given":"S. John","non-dropping-particle":"","parse-names":false,"suffix":""},{"dropping-particle":"","family":"Dubé","given":"Marie-Christine","non-dropping-particle":"","parse-names":false,"suffix":""},{"dropping-particle":"","family":"Julien","given":"Valérie-Ève","non-dropping-particle":"","parse-names":false,"suffix":""},{"dropping-particle":"","family":"Trevisan","given":"Roberto","non-dropping-particle":"","parse-names":false,"suffix":""},{"dropping-particle":"","family":"Lepore","given":"Giuseppe","non-dropping-particle":"","parse-names":false,"suffix":""},{"dropping-particle":"","family":"Bellante","given":"Rosalia","non-dropping-particle":"","parse-names":false,"suffix":""},{"dropping-particle":"","family":"Hramiak","given":"Irene","non-dropping-particle":"","parse-names":false,"suffix":""},{"dropping-particle":"","family":"Spaic","given":"Tamara","non-dropping-particle":"","parse-names":false,"suffix":""},{"dropping-particle":"","family":"Driscoll","given":"Marsha","non-dropping-particle":"","parse-names":false,"suffix":""},{"dropping-particle":"","family":"Borot","given":"Sophie","non-dropping-particle":"","parse-names":false,"suffix":""},{"dropping-particle":"","family":"Clergeot","given":"Annie","non-dropping-particle":"","parse-names":false,"suffix":""},{"dropping-particle":"","family":"Khiat","given":"Lamia","non-dropping-particle":"","parse-names":false,"suffix":""},{"dropping-particle":"","family":"Hammond","given":"Peter","non-dropping-particle":"","parse-names":false,"suffix":""},{"dropping-particle":"","family":"Ray","given":"Sutapa","non-dropping-particle":"","parse-names":false,"suffix":""},{"dropping-particle":"","family":"Dinning","given":"Laura","non-dropping-particle":"","parse-names":false,"suffix":""},{"dropping-particle":"","family":"Tonolo","given":"Giancarlo","non-dropping-particle":"","parse-names":false,"suffix":""},{"dropping-particle":"","family":"Manconi","given":"Alberto","non-dropping-particle":"","parse-names":false,"suffix":""},{"dropping-particle":"","family":"Ledda","given":"Maura Serena","non-dropping-particle":"","parse-names":false,"suffix":""},{"dropping-particle":"","family":"Ranitz","given":"Wendela","non-dropping-particle":"de","parse-names":false,"suffix":""},{"dropping-particle":"","family":"Silvius","given":"Bianca","non-dropping-particle":"","parse-names":false,"suffix":""},{"dropping-particle":"","family":"Wojtusciszyn","given":"Anne","non-dropping-particle":"","parse-names":false,"suffix":""},{"dropping-particle":"","family":"Farret","given":"Anne","non-dropping-particle":"","parse-names":false,"suffix":""},{"dropping-particle":"","family":"Vriesendorp","given":"Titia","non-dropping-particle":"","parse-names":false,"suffix":""},{"dropping-particle":"","family":"Immeker-de Jong","given":"Folkje","non-dropping-particle":"","parse-names":false,"suffix":""},{"dropping-particle":"","family":"Linden","given":"Joke","non-dropping-particle":"van der","parse-names":false,"suffix":""},{"dropping-particle":"","family":"Brink","given":"Huguette S.","non-dropping-particle":"","parse-names":false,"suffix":""},{"dropping-particle":"","family":"Alkemade","given":"Marije","non-dropping-particle":"","parse-names":false,"suffix":""},{"dropping-particle":"","family":"Schaepelynck-Belicar","given":"Pauline","non-dropping-particle":"","parse-names":false,"suffix":""},{"dropping-particle":"","family":"Galie","given":"Sébastien","non-dropping-particle":"","parse-names":false,"suffix":""},{"dropping-particle":"","family":"Tréglia","given":"Clémence","non-dropping-particle":"","parse-names":false,"suffix":""},{"dropping-particle":"","family":"Benhamou","given":"Pierre-Yves","non-dropping-particle":"","parse-names":false,"suffix":""},{"dropping-particle":"","family":"Haddouche","given":"Myriam","non-dropping-particle":"","parse-names":false,"suffix":""},{"dropping-particle":"","family":"Hoogma","given":"Roel","non-dropping-particle":"","parse-names":false,"suffix":""},{"dropping-particle":"","family":"Leelarathna","given":"Lalantha","non-dropping-particle":"","parse-names":false,"suffix":""},{"dropping-particle":"","family":"Shaju","given":"Angel","non-dropping-particle":"","parse-names":false,"suffix":""},{"dropping-particle":"","family":"James","given":"Linda","non-dropping-particle":"","parse-names":false,"suffix":""}],"container-title":"The Lancet Diabetes &amp; Endocrinology","id":"ITEM-1","issue":"6","issued":{"date-parts":[["2019"]]},"language":"eng","page":"462-472","publisher-place":"England","title":"Efficacy and safety of suspend-before-low insulin pump technology in hypoglycaemia-prone adults with type 1 diabetes (SMILE): an open-label randomised controlled trial","type":"article-journal","volume":"7"},"uris":["http://www.mendeley.com/documents/?uuid=df034238-5779-4080-b5c4-29614b1b49c9"]},{"id":"ITEM-2","itemData":{"ISSN":"1557-8593 (Electronic)","PMID":"28001445","abstract":"BACKGROUND: Literature supports short-term efficacy and safety of Sensor Augmented Insulin Pump (SAP) therapy in patients with type 1 diabetes (T1D). However, no data are available showing long-term outcomes. Our study describes the long-term outcomes of SAP therapy with low-glucose suspend feature (SAP+LGS) in hypoglycemia in a Colombian population with T1D and hypoglycemia. METHODS: A cohort study was conducted with T1D patients receiving SAP+LGS therapy who initiated this therapy because of hypoglycemia at San Ignacio University Hospital diabetes center in Bogota, Colombia. Glycated hemoglobin (A1c) was assessed at least every 6 months, severe hypoglycemia (SH) and hypoglycemia unawareness (HU) incidence yearly. Adherence to therapy was also evaluated. RESULTS: One hundred eleven patients were included in the analysis. Total daily insulin dose was reduced during follow-up (mean difference -0.22 U/kg; 95% confidence interval [CI] -0.18 to -0.26; P &lt; 0.001). A1c levels were reduced from a baseline value of 8.8% +/- 1.9% to 7.5% +/- 1.0% at 5 months (mean difference -1.3%; 95% CI -1.09 to -1.50; P &lt; 0.001) and 7.1% +/- 0.8% (mean difference -1.7%; 95% CI -1.59 to -1.90; P &lt; 0.001) at the end of follow-up (47 months on average). The incidence of SH and HU episodes decreased significantly since the first year, and this effect was maintained over time (P &lt; 0.001). CONCLUSIONS: SAP+LGS therapy in T1D patients with hypoglycemia led to a significant and sustained decrease in A1c during long periods of follow-up, as well as a significant reduction in SH and HU. Future randomized clinical trials are desired.","author":[{"dropping-particle":"","family":"Gomez","given":"Ana Maria","non-dropping-particle":"","parse-names":false,"suffix":""},{"dropping-particle":"","family":"Marin Carrillo","given":"Lisseth Fernanda","non-dropping-particle":"","parse-names":false,"suffix":""},{"dropping-particle":"","family":"Munoz Velandia","given":"Oscar Mauricio","non-dropping-particle":"","parse-names":false,"suffix":""},{"dropping-particle":"","family":"Rondon Sepulveda","given":"Martin Alonso","non-dropping-particle":"","parse-names":false,"suffix":""},{"dropping-particle":"","family":"Arevalo Correa","given":"Carol M","non-dropping-particle":"","parse-names":false,"suffix":""},{"dropping-particle":"","family":"Mora Garzon","given":"Edwin","non-dropping-particle":"","parse-names":false,"suffix":""},{"dropping-particle":"","family":"Cuervo Diaz","given":"Maria Camila","non-dropping-particle":"","parse-names":false,"suffix":""},{"dropping-particle":"","family":"Henao Carrillo","given":"Diana Cristina","non-dropping-particle":"","parse-names":false,"suffix":""}],"container-title":"Diabetes technology &amp; therapeutics","id":"ITEM-2","issue":"2","issued":{"date-parts":[["2017"]]},"language":"eng","page":"109-114","publisher-place":"United States","title":"Long-Term Efficacy and Safety of Sensor Augmented Insulin Pump Therapy with Low-Glucose Suspend Feature in Patients with Type 1 Diabetes.","type":"article-journal","volume":"19"},"uris":["http://www.mendeley.com/documents/?uuid=9e874673-3601-4242-92b1-bb0c202ca1a8"]},{"id":"ITEM-3","itemData":{"ISSN":"01406736","PMID":"29459019","abstract":"BACKGROUND: The effectiveness of real-time continuous glucose monitoring (rtCGM) in avoidance of hypoglycaemia among high-risk individuals with type 1 diabetes treated with multiple daily insulin injections (MDI) is unknown. We aimed to ascertain whether the incidence and severity of hypoglycaemia can be reduced through use of rtCGM in these individuals. METHODS: The HypoDE study was a 6-month, multicentre, open-label, parallel, randomised controlled trial done at 12 diabetes practices in Germany. Eligible participants had type 1 diabetes and a history of impaired hypoglycaemia awareness or severe hypoglycaemia during the previous year. All participants wore a masked rtCGM system for 28 days and were then randomly assigned to 26 weeks of unmasked rtCGM (Dexcom G5 Mobile system) or to the control group (continuing with self-monitoring of blood glucose). Block randomisation with 1:1 allocation was done centrally, with the study site as the stratifying variable. Masking of participants and study sites was not possible. Control participants wore a masked rtCGM system during the follow-up phase (weeks 22-26). The primary outcome was the baseline-adjusted number of hypoglycaemic events (defined as glucose &lt;/=3.0 mmol/L for &gt;/=20 min) during the follow-up phase. The full dataset analysis comprised participants who wore the rtCGM system during the baseline and follow-up phases. The intention-to-treat analysis comprised all randomised participants. This trial is registered with ClinicalTrials.gov, number NCT02671968. FINDINGS: Between March 4, 2016, and Jan 12, 2017, 149 participants were randomly assigned (n=74 to the control group; n=75 to the rtCGM group) and 141 completed the follow-up phase (n=66 in the control group, n=75 in the rtCGM group). The mean number of hypoglycaemic events per 28 days among participants in the rtCGM group was reduced from 10.8 (SD 10.0) to 3.5 (4.7); reductions among control participants were negligible (from 14.4 [12.4] to 13.7 [11.6]). Incidence of hypoglycaemic events decreased by 72% for participants in the rtCGM group (incidence rate ratio 0.28 [95% CI 0.20-0.39], p&lt;0.0001). 18 serious adverse events were reported: seven in the control group, ten in the rtCGM group, and one before randomisation. No event was considered to be related to the investigational device. INTERPRETATION: Usage of rtCGM reduced the number of hypoglycaemic events in individuals with type 1 diabetes treated by MDI and with impaired hypoglycaemia awarenes…","author":[{"dropping-particle":"","family":"Heinemann","given":"Lutz","non-dropping-particle":"","parse-names":false,"suffix":""},{"dropping-particle":"","family":"Freckmann","given":"Guido","non-dropping-particle":"","parse-names":false,"suffix":""},{"dropping-particle":"","family":"Ehrmann","given":"Dominic","non-dropping-particle":"","parse-names":false,"suffix":""},{"dropping-particle":"","family":"Faber-Heinemann","given":"Gabriele","non-dropping-particle":"","parse-names":false,"suffix":""},{"dropping-particle":"","family":"Guerra","given":"Stefania","non-dropping-particle":"","parse-names":false,"suffix":""},{"dropping-particle":"","family":"Waldenmaier","given":"Delia","non-dropping-particle":"","parse-names":false,"suffix":""},{"dropping-particle":"","family":"Hermanns","given":"Norbert","non-dropping-particle":"","parse-names":false,"suffix":""}],"container-title":"The Lancet","id":"ITEM-3","issue":"10128","issued":{"date-parts":[["2018"]]},"language":"eng","page":"1367-1377","publisher-place":"England","title":"Real-time continuous glucose monitoring in adults with type 1 diabetes and impaired hypoglycaemia awareness or severe hypoglycaemia treated with multiple daily insulin injections (HypoDE): a multicentre, randomised controlled trial","type":"article-journal","volume":"391"},"uris":["http://www.mendeley.com/documents/?uuid=5d56050b-a7e3-48e1-8116-2083968a4bd9"]},{"id":"ITEM-4","itemData":{"ISSN":"2213-8595 (Electronic)","PMID":"27641781","abstract":"BACKGROUND: Patients with type 1 diabetes who have impaired awareness of hypoglycaemia have a three to six times increased risk of severe hypoglycaemia. We aimed to assess whether continuous glucose monitoring (CGM) improves glycaemia and prevents severe hypoglycaemia compared with self-monitoring of blood glucose (SMBG) in this high-risk population. METHODS: We did a randomised, open-label, crossover trial (IN CONTROL) at two medical centres in the Netherlands. Eligible participants were patients diagnosed with type 1 diabetes according to American Diabetes Association criteria, aged 18-75 years, with impaired awareness of hypoglycaemia as confirmed by a Gold score of at least 4, and treated with either continuous subcutaneous insulin infusion or multiple daily insulin injections and doing at least three SMBG measurements per day. After screening, re-education about diabetes management, and a 6-week run-in phase (to obtain baseline CGM data), we randomly assigned patients (1:1) with a computer-generated allocation sequence (block size of four) to either 16 weeks of CGM followed by 12 weeks of washout and 16 weeks of SMBG, or 16 weeks of SMBG followed by 12 weeks of washout and 16 weeks of CGM (where the SMBG phase was the control). During the CGM phase, patients used a real-time CGM system consisting of a Paradigm Veo system with a MiniLink transmitter and an Enlite glucose sensor (Medtronic, CA, USA). During the SMBG phase, patients were equipped with a masked CGM device, consisting of an iPro 2 continuous glucose monitor and an Enlite glucose sensor, which does not display real-time glucose values. The number of SMBG measurements per day and SMBG systems were not standardised between patients, to mimic real-life conditions. During both intervention periods, patients attended follow-up visits at the centres each month and had telephone consultations 2 weeks after each visit inquiring about adverse events, episodes of hypoglycaemia, etc. The primary endpoint was the mean difference in percentage of time spent in normoglycaemia (4-10 mmol/L) over the total intervention periods, analysed on an intention-to-treat basis. Severe hypoglycaemia (requiring third party assistance) was a secondary endpoint. This trial is registered with ClinicalTrials.gov, number NCT01787903. FINDINGS: Between March 4, 2013, and Feb 9, 2015, we recruited and randomly assigned 52 patients to either the CGM-SMBG sequence (n=26) or the SMBG-CGM sequence (n=26). The last patient vis…","author":[{"dropping-particle":"","family":"Beers","given":"Cornelis A J","non-dropping-particle":"van","parse-names":false,"suffix":""},{"dropping-particle":"","family":"DeVries","given":"J Hans","non-dropping-particle":"","parse-names":false,"suffix":""},{"dropping-particle":"","family":"Kleijer","given":"Susanne J","non-dropping-particle":"","parse-names":false,"suffix":""},{"dropping-particle":"","family":"Smits","given":"Mark M","non-dropping-particle":"","parse-names":false,"suffix":""},{"dropping-particle":"","family":"Geelhoed-Duijvestijn","given":"Petronella H","non-dropping-particle":"","parse-names":false,"suffix":""},{"dropping-particle":"","family":"Kramer","given":"Mark H H","non-dropping-particle":"","parse-names":false,"suffix":""},{"dropping-particle":"","family":"Diamant","given":"Michaela","non-dropping-particle":"","parse-names":false,"suffix":""},{"dropping-particle":"","family":"Snoek","given":"Frank J","non-dropping-particle":"","parse-names":false,"suffix":""},{"dropping-particle":"","family":"Serne","given":"Erik H","non-dropping-particle":"","parse-names":false,"suffix":""}],"container-title":"The Lancet Diabetes &amp; Endocrinology","id":"ITEM-4","issue":"11","issued":{"date-parts":[["2016"]]},"language":"eng","page":"893-902","publisher-place":"England","title":"Continuous glucose monitoring for patients with type 1 diabetes and impaired awareness of hypoglycaemia (IN CONTROL): a randomised, open-label, crossover trial.","type":"article-journal","volume":"4"},"uris":["http://www.mendeley.com/documents/?uuid=0dbf5c1a-daab-4eb6-95a1-0953b5b04c4b"]}],"mendeley":{"formattedCitation":"(10,12,14,16)","plainTextFormattedCitation":"(10,12,14,16)","previouslyFormattedCitation":"(10,12,14,16)"},"properties":{"noteIndex":0},"schema":"https://github.com/citation-style-language/schema/raw/master/csl-citation.json"}</w:instrText>
      </w:r>
      <w:r w:rsidR="00E071DC" w:rsidRPr="001D29F8">
        <w:rPr>
          <w:rFonts w:ascii="Arial" w:hAnsi="Arial" w:cs="Arial"/>
          <w:sz w:val="24"/>
          <w:szCs w:val="24"/>
          <w:lang w:val="en-US"/>
        </w:rPr>
        <w:fldChar w:fldCharType="separate"/>
      </w:r>
      <w:r w:rsidR="00E071DC" w:rsidRPr="001D29F8">
        <w:rPr>
          <w:rFonts w:ascii="Arial" w:hAnsi="Arial" w:cs="Arial"/>
          <w:noProof/>
          <w:sz w:val="24"/>
          <w:szCs w:val="24"/>
          <w:lang w:val="en-US"/>
        </w:rPr>
        <w:t>(10,12,14,16)</w:t>
      </w:r>
      <w:r w:rsidR="00E071DC" w:rsidRPr="001D29F8">
        <w:rPr>
          <w:rFonts w:ascii="Arial" w:hAnsi="Arial" w:cs="Arial"/>
          <w:sz w:val="24"/>
          <w:szCs w:val="24"/>
          <w:lang w:val="en-US"/>
        </w:rPr>
        <w:fldChar w:fldCharType="end"/>
      </w:r>
      <w:r w:rsidR="00E071DC" w:rsidRPr="001D29F8">
        <w:rPr>
          <w:rFonts w:ascii="Arial" w:hAnsi="Arial" w:cs="Arial"/>
          <w:sz w:val="24"/>
          <w:szCs w:val="24"/>
          <w:lang w:val="en-US"/>
        </w:rPr>
        <w:t>.</w:t>
      </w:r>
    </w:p>
    <w:p w14:paraId="2FB6F159" w14:textId="399414A2" w:rsidR="007842AD" w:rsidRPr="001D29F8" w:rsidRDefault="007842AD" w:rsidP="001D29F8">
      <w:pPr>
        <w:spacing w:line="480" w:lineRule="auto"/>
        <w:jc w:val="both"/>
        <w:rPr>
          <w:rFonts w:ascii="Arial" w:hAnsi="Arial" w:cs="Arial"/>
          <w:sz w:val="24"/>
          <w:szCs w:val="24"/>
          <w:lang w:val="en-US"/>
        </w:rPr>
      </w:pPr>
      <w:r w:rsidRPr="001D29F8">
        <w:rPr>
          <w:rFonts w:ascii="Arial" w:hAnsi="Arial" w:cs="Arial"/>
          <w:sz w:val="24"/>
          <w:szCs w:val="24"/>
          <w:lang w:val="en-US"/>
        </w:rPr>
        <w:t xml:space="preserve">In the RESCUE population, almost half had </w:t>
      </w:r>
      <w:r w:rsidR="00F94BED" w:rsidRPr="001D29F8">
        <w:rPr>
          <w:rFonts w:ascii="Arial" w:hAnsi="Arial" w:cs="Arial"/>
          <w:sz w:val="24"/>
          <w:szCs w:val="24"/>
          <w:lang w:val="en-US"/>
        </w:rPr>
        <w:t>IAH</w:t>
      </w:r>
      <w:r w:rsidRPr="001D29F8">
        <w:rPr>
          <w:rFonts w:ascii="Arial" w:hAnsi="Arial" w:cs="Arial"/>
          <w:sz w:val="24"/>
          <w:szCs w:val="24"/>
          <w:lang w:val="en-US"/>
        </w:rPr>
        <w:t xml:space="preserve"> in varying degrees. This is </w:t>
      </w:r>
      <w:r w:rsidR="0067245E" w:rsidRPr="001D29F8">
        <w:rPr>
          <w:rFonts w:ascii="Arial" w:hAnsi="Arial" w:cs="Arial"/>
          <w:sz w:val="24"/>
          <w:szCs w:val="24"/>
          <w:lang w:val="en-US"/>
        </w:rPr>
        <w:t xml:space="preserve">two to three times </w:t>
      </w:r>
      <w:r w:rsidRPr="001D29F8">
        <w:rPr>
          <w:rFonts w:ascii="Arial" w:hAnsi="Arial" w:cs="Arial"/>
          <w:sz w:val="24"/>
          <w:szCs w:val="24"/>
          <w:lang w:val="en-US"/>
        </w:rPr>
        <w:t xml:space="preserve">more than </w:t>
      </w:r>
      <w:r w:rsidR="0067245E" w:rsidRPr="001D29F8">
        <w:rPr>
          <w:rFonts w:ascii="Arial" w:hAnsi="Arial" w:cs="Arial"/>
          <w:sz w:val="24"/>
          <w:szCs w:val="24"/>
          <w:lang w:val="en-US"/>
        </w:rPr>
        <w:t xml:space="preserve">what has been described for the type 1 diabetes community </w:t>
      </w:r>
      <w:r w:rsidR="0067245E"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{"citationItems":[{"id":"ITEM-1","itemData":{"ISSN":"1464-5491 (Electronic)","PMID":"18387080","abstract":"AIMS: Impaired awareness of hypoglycaemia (IAH) is thought to affect approximately 25% of people with Type 1 diabetes. While this estimate was based on retrospective information from patients in several small studies performed several years ago, validated methods of assessment have not been used in a large hospital clinic-based population to ascertain the prevalence in the present era. METHODS: Five hundred and eighteen people with Type 1 diabetes were recruited by random selection over a 2-year period. Participants completed a questionnaire documenting baseline characteristics and assessment of their awareness status using the method described by Gold et al. The number of episodes of severe hypoglycaemia they had experienced in the preceding year was recorded retrospectively. RESULTS: IAH was present in 19.5% of the cohort. Compared to those with normal awareness of hypoglycaemia, those with IAH were significantly older [mean +/- standard deviation (sd); 39.3 +/- 12.9 vs. 45.9 +/- 13.5 years, P &lt; 0.001], had a longer duration of diabetes [median (interquartile range) 14 (8-22) vs. 23 (14-32) years, P &lt; 0.001], and had a six-fold higher frequency of severe hypoglycaemia in the previous year [0.38 +/- 1.04 (25th-75th centile 0-0) vs. 2.36 +/- 4.81 (25th-75th centile 0-2) episodes per person, P &lt; 0.001]. CONCLUSIONS: The present survey of a large hospital-based clinic population has confirmed that a significant proportion of people with Type 1 diabetes (19.5%) continue to have IAH. Despite improvements in insulin therapies, intensification of insulin regimens and innovative patient education, the prevalence of IAH remains high in Type 1 diabetes.","author":[{"dropping-particle":"","family":"Geddes","given":"J","non-dropping-particle":"","parse-names":false,"suffix":""},{"dropping-particle":"","family":"Schopman","given":"J E","non-dropping-particle":"","parse-names":false,"suffix":""},{"dropping-particle":"","family":"Zammitt","given":"N N","non-dropping-particle":"","parse-names":false,"suffix":""},{"dropping-particle":"","family":"Frier","given":"B M","non-dropping-particle":"","parse-names":false,"suffix":""}],"container-title":"Diabetic medicine : a journal of the British Diabetic Association","id":"ITEM-1","issue":"4","issued":{"date-parts":[["2008"]]},"language":"eng","page":"501-504","publisher-place":"England","title":"Prevalence of impaired awareness of hypoglycaemia in adults with Type 1 diabetes.","type":"article-journal","volume":"25"},"uris":["http://www.mendeley.com/documents/?uuid=98ebce30-4674-44a9-aaf1-41449689d2e3"]},{"id":"ITEM-2","itemData":{"ISSN":"1935-5548 (Electronic)","PMID":"31843948","abstract":"OBJECTIVE: In 2016, nationwide reimbursement of intermittently scanned continuous glucose monitoring (isCGM) for people living with type 1 diabetes treated in specialist diabetes centers was introduced in Belgium. We undertook a 12-month prospective observational multicenter real-world study to investigate impact of isCGM on quality of life and glycemic control. RESEARCH DESIGN AND METHODS: Between July 2016 and July 2018, 1,913 adults with type 1 diabetes were consecutively recruited in three specialist diabetes centers. Demographic, metabolic, and quality of life data were collected at baseline, 6 months, and 12 months of standardized clinical follow-up. The primary end point was evolution of quality of life from baseline to 12 months. Secondary outcome measures were, among others, change in HbA1c, time spent in different glycemic ranges, occurrence of acute diabetes complications, and work absenteeism. RESULTS: General and diabetes-specific quality of life was high at baseline and remained stable, whereas treatment satisfaction improved (P &lt; 0.0001). Admissions for severe hypoglycemia and/or ketoacidosis were rare in the year before study (n = 63 out of 1,913; 3.3%), but decreased further to 2.2% (n = 37 out of 1,711; P = 0.031). During the study, fewer people reported severe hypoglycemic events (n = 280 out of 1,913 [14.6%] vs. n = 134 out of 1,711 [7.8%]; P &lt; 0.0001) or hypoglycemic comas (n = 52 out of 1,913 [2.7%] vs. n = 18 out of 1,711 [1.1%]; P = 0.001) while maintaining HbA1c levels. Fewer people were absent from work (n = 111 out of 1,913 [5.8%] vs. n = 49 out of 1,711 [2.9%]; P &lt; 0.0001). Time spent in hypoglycemia significantly decreased in parallel with less time in range and more time in hyperglycemia. Eleven percent (n = 210) of participants experienced skin reactions, leading to stopping of isCGM in 22 participants (1%). CONCLUSIONS: Nationwide unrestricted reimbursement of isCGM in people with type 1 diabetes treated in specialist diabetes centers results in higher treatment satisfaction, less severe hypoglycemia, and less work absenteeism, while maintaining quality of life and HbA1c.","author":[{"dropping-particle":"","family":"Charleer","given":"Sara","non-dropping-particle":"","parse-names":false,"suffix":""},{"dropping-particle":"","family":"Block","given":"Christophe","non-dropping-particle":"De","parse-names":false,"suffix":""},{"dropping-particle":"","family":"Huffel","given":"Liesbeth","non-dropping-particle":"Van","parse-names":false,"suffix":""},{"dropping-particle":"","family":"Broos","given":"Ben","non-dropping-particle":"","parse-names":false,"suffix":""},{"dropping-particle":"","family":"Fieuws","given":"Steffen","non-dropping-particle":"","parse-names":false,"suffix":""},{"dropping-particle":"","family":"Nobels","given":"Frank","non-dropping-particle":"","parse-names":false,"suffix":""},{"dropping-particle":"","family":"Mathieu","given":"Chantal","non-dropping-particle":"","parse-names":false,"suffix":""},{"dropping-particle":"","family":"Gillard","given":"Pieter","non-dropping-particle":"","parse-names":false,"suffix":""}],"container-title":"Diabetes care","id":"ITEM-2","issue":"2","issued":{"date-parts":[["2020"]]},"language":"eng","page":"389-397","publisher-place":"United States","title":"Quality of Life and Glucose Control After 1 Year of Nationwide Reimbursement of Intermittently Scanned Continuous Glucose Monitoring in Adults Living With Type 1 Diabetes (FUTURE): A Prospective Observational Real-World Cohort Study.","type":"article-journal","volume":"43"},"uris":["http://www.mendeley.com/documents/?uuid=0d0d56ee-b894-47a9-9b6b-24a67ca2896e"]}],"mendeley":{"formattedCitation":"(6,28)","plainTextFormattedCitation":"(6,28)","previouslyFormattedCitation":"(6,28)"},"properties":{"noteIndex":0},"schema":"https://github.com/citation-style-language/schema/raw/master/csl-citation.json"}</w:instrText>
      </w:r>
      <w:r w:rsidR="0067245E" w:rsidRPr="001D29F8">
        <w:rPr>
          <w:rFonts w:ascii="Arial" w:hAnsi="Arial" w:cs="Arial"/>
          <w:sz w:val="24"/>
          <w:szCs w:val="24"/>
          <w:lang w:val="en-US"/>
        </w:rPr>
        <w:fldChar w:fldCharType="separate"/>
      </w:r>
      <w:r w:rsidR="001644B2" w:rsidRPr="001D29F8">
        <w:rPr>
          <w:rFonts w:ascii="Arial" w:hAnsi="Arial" w:cs="Arial"/>
          <w:noProof/>
          <w:sz w:val="24"/>
          <w:szCs w:val="24"/>
          <w:lang w:val="en-US"/>
        </w:rPr>
        <w:t>(6,28)</w:t>
      </w:r>
      <w:r w:rsidR="0067245E" w:rsidRPr="001D29F8">
        <w:rPr>
          <w:rFonts w:ascii="Arial" w:hAnsi="Arial" w:cs="Arial"/>
          <w:sz w:val="24"/>
          <w:szCs w:val="24"/>
          <w:lang w:val="en-US"/>
        </w:rPr>
        <w:fldChar w:fldCharType="end"/>
      </w:r>
      <w:r w:rsidR="0067245E" w:rsidRPr="001D29F8">
        <w:rPr>
          <w:rFonts w:ascii="Arial" w:hAnsi="Arial" w:cs="Arial"/>
          <w:sz w:val="24"/>
          <w:szCs w:val="24"/>
          <w:lang w:val="en-US"/>
        </w:rPr>
        <w:t>.</w:t>
      </w:r>
      <w:r w:rsidR="00EF72A6" w:rsidRPr="001D29F8">
        <w:rPr>
          <w:rFonts w:ascii="Arial" w:hAnsi="Arial" w:cs="Arial"/>
          <w:sz w:val="24"/>
          <w:szCs w:val="24"/>
          <w:lang w:val="en-US"/>
        </w:rPr>
        <w:t xml:space="preserve"> It was apparent from frequencies of hypoglycemia-related hospitalizations and severe hypoglycemic events that these people have a higher risk to d</w:t>
      </w:r>
      <w:r w:rsidR="002663F5" w:rsidRPr="001D29F8">
        <w:rPr>
          <w:rFonts w:ascii="Arial" w:hAnsi="Arial" w:cs="Arial"/>
          <w:sz w:val="24"/>
          <w:szCs w:val="24"/>
          <w:lang w:val="en-US"/>
        </w:rPr>
        <w:t>evelop such acute complications, something that previously has been described by other</w:t>
      </w:r>
      <w:r w:rsidR="00E071DC">
        <w:rPr>
          <w:rFonts w:ascii="Arial" w:hAnsi="Arial" w:cs="Arial"/>
          <w:sz w:val="24"/>
          <w:szCs w:val="24"/>
          <w:lang w:val="en-US"/>
        </w:rPr>
        <w:t>s</w:t>
      </w:r>
      <w:r w:rsidR="002663F5" w:rsidRPr="001D29F8">
        <w:rPr>
          <w:rFonts w:ascii="Arial" w:hAnsi="Arial" w:cs="Arial"/>
          <w:sz w:val="24"/>
          <w:szCs w:val="24"/>
          <w:lang w:val="en-US"/>
        </w:rPr>
        <w:t xml:space="preserve"> </w:t>
      </w:r>
      <w:r w:rsidR="002663F5"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 xml:space="preserve">ADDIN CSL_CITATION {"citationItems":[{"id":"ITEM-1","itemData":{"ISSN":"1464-5491 (Electronic)","PMID":"18387080","abstract":"AIMS: Impaired awareness of hypoglycaemia (IAH) is thought to affect approximately 25% of people with Type 1 diabetes. While this estimate was based on retrospective information from patients in several small studies performed several years ago, validated methods of assessment have not been used in a large hospital clinic-based population to ascertain the prevalence in the present era. METHODS: Five hundred and eighteen people with Type 1 diabetes were recruited by random selection over a 2-year period. Participants completed a questionnaire documenting baseline characteristics and assessment of their awareness status using the method described by Gold et al. The number of episodes of severe hypoglycaemia they had experienced in the preceding year was recorded retrospectively. RESULTS: IAH was present in 19.5% of the cohort. Compared to those with normal awareness of hypoglycaemia, those with IAH were significantly older [mean +/- standard deviation (sd); 39.3 +/- 12.9 vs. 45.9 +/- 13.5 years, P &lt; 0.001], had a longer duration of diabetes [median (interquartile range) 14 (8-22) vs. 23 (14-32) years, P &lt; 0.001], and had a six-fold higher frequency of severe hypoglycaemia in the previous year [0.38 +/- 1.04 (25th-75th centile 0-0) vs. 2.36 +/- 4.81 (25th-75th centile 0-2) episodes per person, P &lt; 0.001]. CONCLUSIONS: The present survey of a large hospital-based clinic population has confirmed that a significant proportion of people with Type 1 diabetes (19.5%) continue to have IAH. Despite improvements in insulin therapies, intensification of insulin regimens and innovative patient education, the prevalence of IAH remains high in Type 1 diabetes.","author":[{"dropping-particle":"","family":"Geddes","given":"J","non-dropping-particle":"","parse-names":false,"suffix":""},{"dropping-particle":"","family":"Schopman","given":"J E","non-dropping-particle":"","parse-names":false,"suffix":""},{"dropping-particle":"","family":"Zammitt","given":"N N","non-dropping-particle":"","parse-names":false,"suffix":""},{"dropping-particle":"","family":"Frier","given":"B M","non-dropping-particle":"","parse-names":false,"suffix":""}],"container-title":"Diabetic medicine : a journal of the British Diabetic Association","id":"ITEM-1","issue":"4","issued":{"date-parts":[["2008"]]},"language":"eng","page":"501-504","publisher-place":"England","title":"Prevalence of impaired awareness of hypoglycaemia in adults with Type 1 diabetes.","type":"article-journal","volume":"25"},"uris":["http://www.mendeley.com/documents/?uuid=98ebce30-4674-44a9-aaf1-41449689d2e3"]},{"id":"ITEM-2","itemData":{"ISSN":"0028-4793 (Print)","PMID":"6337335","abstract":"During intravenous insulin infusions (40 mU per kilogram of body weight per hour for up to 100 minutes), 9 of 22 patients with insulin-requiring diabetes mellitus had neurologic signs or symptoms of hypoglycemia, plasma glucose concentrations that were below 35 mg per deciliter (1.9 mmol per liter) and continued to decline, or both. This inadequate glucose counterregulation resulted from the combined effect of deficient glucagon and epinephrine responses. In 8 of the 9 patients with inadequate counterregulation severe hypoglycemia developed during subsequent intensive therapy, whereas such episodes occurred in only 1 of 13 patients with adequate counterregulation. Thus, an intravenous insulin-infusion test can prospectively identify patients who are at increased risk for recurrent severe hypoglycemia during intensive therapy for diabetes.","author":[{"dropping-particle":"","family":"White","given":"N H","non-dropping-particle":"","parse-names":false,"suffix":""},{"dropping-particle":"","family":"Skor","given":"D A","non-dropping-particle":"","parse-names":false,"suffix":""},{"dropping-particle":"","family":"Cryer","given":"P E","non-dropping-particle":"","parse-names":false,"suffix":""},{"dropping-particle":"","family":"Levandoski","given":"L A","non-dropping-particle":"","parse-names":false,"suffix":""},{"dropping-particle":"","family":"Bier","given":"D M","non-dropping-particle":"","parse-names":false,"suffix":""},{"dropping-particle":"V","family":"Santiago","given":"J","non-dropping-particle":"","parse-names":false,"suffix":""}],"container-title":"The New England journal of medicine","id":"ITEM-2","issue":"9","issued":{"date-parts":[["1983"]]},"language":"eng","page":"485-491","publisher-place":"United States","title":"Identification of type I diabetic patients at increased risk for hypoglycemia during intensive therapy.","type":"article-journal","volume":"308"},"uris":["http://www.mendeley.com/documents/?uuid=aad5b092-916a-4c05-b7e2-a120166a1dcb"]},{"id":"ITEM-3","itemData":{"ISSN":"1935-5548 (Electronic)","PMID":"28550194","abstract":"OBJECTIVE: During the Diabetes Control and Complications Trial (DCCT), intensive diabetes therapy achieving a mean HbA(1c) of </w:instrText>
      </w:r>
      <w:r w:rsidR="000E348D" w:rsidRPr="001D29F8">
        <w:rPr>
          <w:rFonts w:ascii="Cambria Math" w:hAnsi="Cambria Math" w:cs="Cambria Math"/>
          <w:sz w:val="24"/>
          <w:szCs w:val="24"/>
          <w:lang w:val="en-US"/>
        </w:rPr>
        <w:instrText>∼</w:instrText>
      </w:r>
      <w:r w:rsidR="000E348D" w:rsidRPr="001D29F8">
        <w:rPr>
          <w:rFonts w:ascii="Arial" w:hAnsi="Arial" w:cs="Arial"/>
          <w:sz w:val="24"/>
          <w:szCs w:val="24"/>
          <w:lang w:val="en-US"/>
        </w:rPr>
        <w:instrText xml:space="preserve">7% was associated with a threefold increase in the rate of severe hypoglycemia (defined as requiring assistance) compared with conventional diabetes therapy with a mean HbA(1c) of 9% (61.2 vs. 18.7 per 100 patient-years). After </w:instrText>
      </w:r>
      <w:r w:rsidR="000E348D" w:rsidRPr="001D29F8">
        <w:rPr>
          <w:rFonts w:ascii="Cambria Math" w:hAnsi="Cambria Math" w:cs="Cambria Math"/>
          <w:sz w:val="24"/>
          <w:szCs w:val="24"/>
          <w:lang w:val="en-US"/>
        </w:rPr>
        <w:instrText>∼</w:instrText>
      </w:r>
      <w:r w:rsidR="000E348D" w:rsidRPr="001D29F8">
        <w:rPr>
          <w:rFonts w:ascii="Arial" w:hAnsi="Arial" w:cs="Arial"/>
          <w:sz w:val="24"/>
          <w:szCs w:val="24"/>
          <w:lang w:val="en-US"/>
        </w:rPr>
        <w:instrText>30 years of follow-up, we investigated the rates of severe hypoglycemia in the DCCT/Epidemiology of Diabetes Inverventions and Complications (EDIC) cohort. RESEARCH DESIGN AND METHODS: Rates of severe hypoglycemia were reported quarterly during DCCT and annually during EDIC (i.e., patient recall of episodes in the preceding 3 months). Risk factors influencing the rate of severe hypoglycemia over time were investigated. RESULTS: One-half of the DCCT/EDIC cohort reported episodes of severe hypoglycemia. During EDIC, rates of severe hypoglycemia fell in the former DCCT intensive treatment group but rose in the former conventional treatment group, resulting in similar rates (36.6 vs. 40.8 episodes per 100 patient-years, respectively) with a relative risk of 1.12 (95% CI 0.91-1.37). A preceding episode of severe hypoglycemia was the most powerful predictor of subsequent episodes. Entry into the DCCT study as an adolescent was associated with an increased risk of severe hypoglycemia, whereas insulin pump use was associated with a lower risk. Severe hypoglycemia rates increased with lower HbA(1c) similarly among participants in both treatment groups. CONCLUSIONS: Rates of severe hypoglycemia have equilibrated over time between the two DCCT/EDIC treatment groups in association with advancing duration of diabetes and similar HbA(1c) levels. Severe hypoglycemia persists and remains a challenge for patients with type 1 diabetes across their life span.","author":[{"dropping-particle":"","family":"Gubitosi-Klug","given":"Rose A","non-dropping-particle":"","parse-names":false,"suffix":""},{"dropping-particle":"","family":"Braffett","given":"Barbara H","non-dropping-particle":"","parse-names":false,"suffix":""},{"dropping-particle":"","family":"White","given":"Neil H","non-dropping-particle":"","parse-names":false,"suffix":""},{"dropping-particle":"","family":"Sherwin","given":"Robert S","non-dropping-particle":"","parse-names":false,"suffix":""},{"dropping-particle":"","family":"Service","given":"F John","non-dropping-particle":"","parse-names":false,"suffix":""},{"dropping-particle":"","family":"Lachin","given":"John M","non-dropping-particle":"","parse-names":false,"suffix":""},{"dropping-particle":"V","family":"Tamborlane","given":"William","non-dropping-particle":"","parse-names":false,"suffix":""}],"container-title":"Diabetes care","id":"ITEM-3","issue":"8","issued":{"date-parts":[["2017"]]},"language":"eng","page":"1010-1016","title":"Risk of Severe Hypoglycemia in Type 1 Diabetes Over 30 Years of Follow-up in the DCCT/EDIC Study.","type":"article-journal","volume":"40"},"uris":["http://www.mendeley.com/documents/?uuid=6eaccc11-9ccf-4260-a9a2-fa0aba1069bb"]}],"mendeley":{"formattedCitation":"(5,6,29)","plainTextFormattedCitation":"(5,6,29)","previouslyFormattedCitation":"(5,6,29)"},"properties":{"noteIndex":0},"schema":"https://github.com/citation-style-language/schema/raw/master/csl-citation.json"}</w:instrText>
      </w:r>
      <w:r w:rsidR="002663F5" w:rsidRPr="001D29F8">
        <w:rPr>
          <w:rFonts w:ascii="Arial" w:hAnsi="Arial" w:cs="Arial"/>
          <w:sz w:val="24"/>
          <w:szCs w:val="24"/>
          <w:lang w:val="en-US"/>
        </w:rPr>
        <w:fldChar w:fldCharType="separate"/>
      </w:r>
      <w:r w:rsidR="001644B2" w:rsidRPr="001D29F8">
        <w:rPr>
          <w:rFonts w:ascii="Arial" w:hAnsi="Arial" w:cs="Arial"/>
          <w:noProof/>
          <w:sz w:val="24"/>
          <w:szCs w:val="24"/>
          <w:lang w:val="en-US"/>
        </w:rPr>
        <w:t>(5,6,29)</w:t>
      </w:r>
      <w:r w:rsidR="002663F5" w:rsidRPr="001D29F8">
        <w:rPr>
          <w:rFonts w:ascii="Arial" w:hAnsi="Arial" w:cs="Arial"/>
          <w:sz w:val="24"/>
          <w:szCs w:val="24"/>
          <w:lang w:val="en-US"/>
        </w:rPr>
        <w:fldChar w:fldCharType="end"/>
      </w:r>
      <w:r w:rsidR="002663F5" w:rsidRPr="001D29F8">
        <w:rPr>
          <w:rFonts w:ascii="Arial" w:hAnsi="Arial" w:cs="Arial"/>
          <w:sz w:val="24"/>
          <w:szCs w:val="24"/>
          <w:lang w:val="en-US"/>
        </w:rPr>
        <w:t>.</w:t>
      </w:r>
      <w:r w:rsidR="003E2C02">
        <w:rPr>
          <w:rFonts w:ascii="Arial" w:hAnsi="Arial" w:cs="Arial"/>
          <w:sz w:val="24"/>
          <w:szCs w:val="24"/>
          <w:highlight w:val="yellow"/>
          <w:lang w:val="en-US"/>
        </w:rPr>
        <w:t xml:space="preserve"> </w:t>
      </w:r>
      <w:r w:rsidR="00E071DC">
        <w:rPr>
          <w:rFonts w:ascii="Arial" w:hAnsi="Arial" w:cs="Arial"/>
          <w:sz w:val="24"/>
          <w:szCs w:val="24"/>
          <w:lang w:val="en-US"/>
        </w:rPr>
        <w:t>Previous</w:t>
      </w:r>
      <w:r w:rsidR="0043435C" w:rsidRPr="001D29F8">
        <w:rPr>
          <w:rFonts w:ascii="Arial" w:hAnsi="Arial" w:cs="Arial"/>
          <w:sz w:val="24"/>
          <w:szCs w:val="24"/>
          <w:lang w:val="en-US"/>
        </w:rPr>
        <w:t xml:space="preserve"> studies could not find evidence that use of </w:t>
      </w:r>
      <w:proofErr w:type="spellStart"/>
      <w:r w:rsidR="0043435C" w:rsidRPr="001D29F8">
        <w:rPr>
          <w:rFonts w:ascii="Arial" w:hAnsi="Arial" w:cs="Arial"/>
          <w:sz w:val="24"/>
          <w:szCs w:val="24"/>
          <w:lang w:val="en-US"/>
        </w:rPr>
        <w:t>rtCGM</w:t>
      </w:r>
      <w:proofErr w:type="spellEnd"/>
      <w:r w:rsidR="0043435C" w:rsidRPr="001D29F8">
        <w:rPr>
          <w:rFonts w:ascii="Arial" w:hAnsi="Arial" w:cs="Arial"/>
          <w:sz w:val="24"/>
          <w:szCs w:val="24"/>
          <w:lang w:val="en-US"/>
        </w:rPr>
        <w:t xml:space="preserve"> could improve hypoglycemia awareness </w:t>
      </w:r>
      <w:r w:rsidR="0043435C" w:rsidRPr="001D29F8">
        <w:rPr>
          <w:rFonts w:ascii="Arial" w:hAnsi="Arial" w:cs="Arial"/>
          <w:sz w:val="24"/>
          <w:szCs w:val="24"/>
          <w:lang w:val="en-US"/>
        </w:rPr>
        <w:fldChar w:fldCharType="begin" w:fldLock="1"/>
      </w:r>
      <w:r w:rsidR="00E415AE" w:rsidRPr="001D29F8">
        <w:rPr>
          <w:rFonts w:ascii="Arial" w:hAnsi="Arial" w:cs="Arial"/>
          <w:sz w:val="24"/>
          <w:szCs w:val="24"/>
          <w:lang w:val="en-US"/>
        </w:rPr>
        <w:instrText>ADDIN CSL_CITATION {"citationItems":[{"id":"ITEM-1","itemData":{"ISSN":"01406736","PMID":"29459019","abstract":"BACKGROUND: The effectiveness of real-time continuous glucose monitoring (rtCGM) in avoidance of hypoglycaemia among high-risk individuals with type 1 diabetes treated with multiple daily insulin injections (MDI) is unknown. We aimed to ascertain whether the incidence and severity of hypoglycaemia can be reduced through use of rtCGM in these individuals. METHODS: The HypoDE study was a 6-month, multicentre, open-label, parallel, randomised controlled trial done at 12 diabetes practices in Germany. Eligible participants had type 1 diabetes and a history of impaired hypoglycaemia awareness or severe hypoglycaemia during the previous year. All participants wore a masked rtCGM system for 28 days and were then randomly assigned to 26 weeks of unmasked rtCGM (Dexcom G5 Mobile system) or to the control group (continuing with self-monitoring of blood glucose). Block randomisation with 1:1 allocation was done centrally, with the study site as the stratifying variable. Masking of participants and study sites was not possible. Control participants wore a masked rtCGM system during the follow-up phase (weeks 22-26). The primary outcome was the baseline-adjusted number of hypoglycaemic events (defined as glucose &lt;/=3.0 mmol/L for &gt;/=20 min) during the follow-up phase. The full dataset analysis comprised participants who wore the rtCGM system during the baseline and follow-up phases. The intention-to-treat analysis comprised all randomised participants. This trial is registered with ClinicalTrials.gov, number NCT02671968. FINDINGS: Between March 4, 2016, and Jan 12, 2017, 149 participants were randomly assigned (n=74 to the control group; n=75 to the rtCGM group) and 141 completed the follow-up phase (n=66 in the control group, n=75 in the rtCGM group). The mean number of hypoglycaemic events per 28 days among participants in the rtCGM group was reduced from 10.8 (SD 10.0) to 3.5 (4.7); reductions among control participants were negligible (from 14.4 [12.4] to 13.7 [11.6]). Incidence of hypoglycaemic events decreased by 72% for participants in the rtCGM group (incidence rate ratio 0.28 [95% CI 0.20-0.39], p&lt;0.0001). 18 serious adverse events were reported: seven in the control group, ten in the rtCGM group, and one before randomisation. No event was considered to be related to the investigational device. INTERPRETATION: Usage of rtCGM reduced the number of hypoglycaemic events in individuals with type 1 diabetes treated by MDI and with impaired hypoglycaemia awarenes…","author":[{"dropping-particle":"","family":"Heinemann","given":"Lutz","non-dropping-particle":"","parse-names":false,"suffix":""},{"dropping-particle":"","family":"Freckmann","given":"Guido","non-dropping-particle":"","parse-names":false,"suffix":""},{"dropping-particle":"","family":"Ehrmann","given":"Dominic","non-dropping-particle":"","parse-names":false,"suffix":""},{"dropping-particle":"","family":"Faber-Heinemann","given":"Gabriele","non-dropping-particle":"","parse-names":false,"suffix":""},{"dropping-particle":"","family":"Guerra","given":"Stefania","non-dropping-particle":"","parse-names":false,"suffix":""},{"dropping-particle":"","family":"Waldenmaier","given":"Delia","non-dropping-particle":"","parse-names":false,"suffix":""},{"dropping-particle":"","family":"Hermanns","given":"Norbert","non-dropping-particle":"","parse-names":false,"suffix":""}],"container-title":"The Lancet","id":"ITEM-1","issue":"10128","issued":{"date-parts":[["2018"]]},"language":"eng","page":"1367-1377","publisher-place":"England","title":"Real-time continuous glucose monitoring in adults with type 1 diabetes and impaired hypoglycaemia awareness or severe hypoglycaemia treated with multiple daily insulin injections (HypoDE): a multicentre, randomised controlled trial","type":"article-journal","volume":"391"},"uris":["http://www.mendeley.com/documents/?uuid=5d56050b-a7e3-48e1-8116-2083968a4bd9"]},{"id":"ITEM-2","itemData":{"ISSN":"2213-8595 (Electronic)","PMID":"27641781","abstract":"BACKGROUND: Patients with type 1 diabetes who have impaired awareness of hypoglycaemia have a three to six times increased risk of severe hypoglycaemia. We aimed to assess whether continuous glucose monitoring (CGM) improves glycaemia and prevents severe hypoglycaemia compared with self-monitoring of blood glucose (SMBG) in this high-risk population. METHODS: We did a randomised, open-label, crossover trial (IN CONTROL) at two medical centres in the Netherlands. Eligible participants were patients diagnosed with type 1 diabetes according to American Diabetes Association criteria, aged 18-75 years, with impaired awareness of hypoglycaemia as confirmed by a Gold score of at least 4, and treated with either continuous subcutaneous insulin infusion or multiple daily insulin injections and doing at least three SMBG measurements per day. After screening, re-education about diabetes management, and a 6-week run-in phase (to obtain baseline CGM data), we randomly assigned patients (1:1) with a computer-generated allocation sequence (block size of four) to either 16 weeks of CGM followed by 12 weeks of washout and 16 weeks of SMBG, or 16 weeks of SMBG followed by 12 weeks of washout and 16 weeks of CGM (where the SMBG phase was the control). During the CGM phase, patients used a real-time CGM system consisting of a Paradigm Veo system with a MiniLink transmitter and an Enlite glucose sensor (Medtronic, CA, USA). During the SMBG phase, patients were equipped with a masked CGM device, consisting of an iPro 2 continuous glucose monitor and an Enlite glucose sensor, which does not display real-time glucose values. The number of SMBG measurements per day and SMBG systems were not standardised between patients, to mimic real-life conditions. During both intervention periods, patients attended follow-up visits at the centres each month and had telephone consultations 2 weeks after each visit inquiring about adverse events, episodes of hypoglycaemia, etc. The primary endpoint was the mean difference in percentage of time spent in normoglycaemia (4-10 mmol/L) over the total intervention periods, analysed on an intention-to-treat basis. Severe hypoglycaemia (requiring third party assistance) was a secondary endpoint. This trial is registered with ClinicalTrials.gov, number NCT01787903. FINDINGS: Between March 4, 2013, and Feb 9, 2015, we recruited and randomly assigned 52 patients to either the CGM-SMBG sequence (n=26) or the SMBG-CGM sequence (n=26). The last patient vis…","author":[{"dropping-particle":"","family":"Beers","given":"Cornelis A J","non-dropping-particle":"van","parse-names":false,"suffix":""},{"dropping-particle":"","family":"DeVries","given":"J Hans","non-dropping-particle":"","parse-names":false,"suffix":""},{"dropping-particle":"","family":"Kleijer","given":"Susanne J","non-dropping-particle":"","parse-names":false,"suffix":""},{"dropping-particle":"","family":"Smits","given":"Mark M","non-dropping-particle":"","parse-names":false,"suffix":""},{"dropping-particle":"","family":"Geelhoed-Duijvestijn","given":"Petronella H","non-dropping-particle":"","parse-names":false,"suffix":""},{"dropping-particle":"","family":"Kramer","given":"Mark H H","non-dropping-particle":"","parse-names":false,"suffix":""},{"dropping-particle":"","family":"Diamant","given":"Michaela","non-dropping-particle":"","parse-names":false,"suffix":""},{"dropping-particle":"","family":"Snoek","given":"Frank J","non-dropping-particle":"","parse-names":false,"suffix":""},{"dropping-particle":"","family":"Serne","given":"Erik H","non-dropping-particle":"","parse-names":false,"suffix":""}],"container-title":"The Lancet Diabetes &amp; Endocrinology","id":"ITEM-2","issue":"11","issued":{"date-parts":[["2016"]]},"language":"eng","page":"893-902","publisher-place":"England","title":"Continuous glucose monitoring for patients with type 1 diabetes and impaired awareness of hypoglycaemia (IN CONTROL): a randomised, open-label, crossover trial.","type":"article-journal","volume":"4"},"uris":["http://www.mendeley.com/documents/?uuid=0dbf5c1a-daab-4eb6-95a1-0953b5b04c4b"]}],"mendeley":{"formattedCitation":"(10,12)","plainTextFormattedCitation":"(10,12)","previouslyFormattedCitation":"(10,12)"},"properties":{"noteIndex":0},"schema":"https://github.com/citation-style-language/schema/raw/master/csl-citation.json"}</w:instrText>
      </w:r>
      <w:r w:rsidR="0043435C" w:rsidRPr="001D29F8">
        <w:rPr>
          <w:rFonts w:ascii="Arial" w:hAnsi="Arial" w:cs="Arial"/>
          <w:sz w:val="24"/>
          <w:szCs w:val="24"/>
          <w:lang w:val="en-US"/>
        </w:rPr>
        <w:fldChar w:fldCharType="separate"/>
      </w:r>
      <w:r w:rsidR="0043435C" w:rsidRPr="001D29F8">
        <w:rPr>
          <w:rFonts w:ascii="Arial" w:hAnsi="Arial" w:cs="Arial"/>
          <w:noProof/>
          <w:sz w:val="24"/>
          <w:szCs w:val="24"/>
          <w:lang w:val="en-US"/>
        </w:rPr>
        <w:t>(10,12)</w:t>
      </w:r>
      <w:r w:rsidR="0043435C" w:rsidRPr="001D29F8">
        <w:rPr>
          <w:rFonts w:ascii="Arial" w:hAnsi="Arial" w:cs="Arial"/>
          <w:sz w:val="24"/>
          <w:szCs w:val="24"/>
          <w:lang w:val="en-US"/>
        </w:rPr>
        <w:fldChar w:fldCharType="end"/>
      </w:r>
      <w:r w:rsidR="0043435C" w:rsidRPr="001D29F8">
        <w:rPr>
          <w:rFonts w:ascii="Arial" w:hAnsi="Arial" w:cs="Arial"/>
          <w:sz w:val="24"/>
          <w:szCs w:val="24"/>
          <w:lang w:val="en-US"/>
        </w:rPr>
        <w:t>.</w:t>
      </w:r>
      <w:r w:rsidR="00E415AE" w:rsidRPr="001D29F8">
        <w:rPr>
          <w:rFonts w:ascii="Arial" w:hAnsi="Arial" w:cs="Arial"/>
          <w:sz w:val="24"/>
          <w:szCs w:val="24"/>
          <w:lang w:val="en-US"/>
        </w:rPr>
        <w:t xml:space="preserve"> Another study suggests that improvement in IAH can be achieved through structured education and frequent contact irrespective of the treatment modality or use of </w:t>
      </w:r>
      <w:proofErr w:type="spellStart"/>
      <w:r w:rsidR="00E415AE" w:rsidRPr="001D29F8">
        <w:rPr>
          <w:rFonts w:ascii="Arial" w:hAnsi="Arial" w:cs="Arial"/>
          <w:sz w:val="24"/>
          <w:szCs w:val="24"/>
          <w:lang w:val="en-US"/>
        </w:rPr>
        <w:t>rtCGM</w:t>
      </w:r>
      <w:proofErr w:type="spellEnd"/>
      <w:r w:rsidR="00E415AE" w:rsidRPr="001D29F8">
        <w:rPr>
          <w:rFonts w:ascii="Arial" w:hAnsi="Arial" w:cs="Arial"/>
          <w:sz w:val="24"/>
          <w:szCs w:val="24"/>
          <w:lang w:val="en-US"/>
        </w:rPr>
        <w:t xml:space="preserve"> </w:t>
      </w:r>
      <w:r w:rsidR="00E415AE"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{"citationItems":[{"id":"ITEM-1","itemData":{"ISSN":"1935-5548 (Electronic)","PMID":"24854041","abstract":"OBJECTIVE: To determine whether impaired awareness of hypoglycemia (IAH) can be improved and severe hypoglycemia (SH) prevented in type 1 diabetes, we compared an insulin pump (continuous subcutaneous insulin infusion [CSII]) with multiple daily injections (MDIs) and adjuvant real-time continuous glucose monitoring (RT) with conventional self-monitoring of blood glucose (SMBG). RESEARCH DESIGN AND METHODS: A 24-week 2 × 2 factorial randomized controlled trial in adults with type 1 diabetes and IAH was conducted. All received comparable education, support, and congruent therapeutic targets aimed at rigorous avoidance of biochemical hypoglycemia without relaxing overall control. Primary end point was between-intervention difference in 24-week hypoglycemia awareness (Gold score). RESULTS: A total of 96 participants (mean diabetes duration 29 years) were randomized. Overall, biochemical hypoglycemia (≤3.0 mmol/L) decreased (53 ± 63 to 24 ± 56 min/24 h; P = 0.004 [t test]) without deterioration in HbA1c. Hypoglycemia awareness improved (5.1 ± 1.1 to 4.1 ± 1.6; P = 0.0001 [t test]) with decreased SH (8.9 ± 13.4 to 0.8 ± 1.8 episodes/patient-year; P = 0.0001 [t test]). At 24 weeks, there was no significant difference in awareness comparing CSII with MDI (4.1 ± 1.6 vs. 4.2 ± 1.7; difference 0.1; 95% CI -0.6 to 0.8) and RT with SMBG (4.3 ± 1.6 vs. 4.0 ± 1.7; difference -0.3; 95% CI -1.0 to 0.4). Between-group analyses demonstrated comparable reductions in SH, fear of hypoglycemia, and insulin doses with equivalent HbA1c. Treatment satisfaction was higher with CSII than MDI (32 ± 3 vs. 29 ± 6; P = 0.0003 [t test]), but comparable with SMBG and RT (30 ± 5 vs. 30 ± 5; P = 0.79 [t test]). CONCLUSIONS: Hypoglycemia awareness can be improved and recurrent SH prevented in long-standing type 1 diabetes without relaxing HbA1c. Similar biomedical outcomes can be attained with conventional MDI and SMBG regimens compared with CSII/RT, although satisfaction was higher with CSII.","author":[{"dropping-particle":"","family":"Little","given":"Stuart A","non-dropping-particle":"","parse-names":false,"suffix":""},{"dropping-particle":"","family":"Leelarathna","given":"Lalantha","non-dropping-particle":"","parse-names":false,"suffix":""},{"dropping-particle":"","family":"Walkinshaw","given":"Emma","non-dropping-particle":"","parse-names":false,"suffix":""},{"dropping-particle":"","family":"Tan","given":"Horng Kai","non-dropping-particle":"","parse-names":false,"suffix":""},{"dropping-particle":"","family":"Chapple","given":"Olivia","non-dropping-particle":"","parse-names":false,"suffix":""},{"dropping-particle":"","family":"Lubina-Solomon","given":"Alexandra","non-dropping-particle":"","parse-names":false,"suffix":""},{"dropping-particle":"","family":"Chadwick","given":"Thomas J","non-dropping-particle":"","parse-names":false,"suffix":""},{"dropping-particle":"","family":"Barendse","given":"Shalleen","non-dropping-particle":"","parse-names":false,"suffix":""},{"dropping-particle":"","family":"Stocken","given":"Deborah D","non-dropping-particle":"","parse-names":false,"suffix":""},{"dropping-particle":"","family":"Brennand","given":"Catherine","non-dropping-particle":"","parse-names":false,"suffix":""},{"dropping-particle":"","family":"Marshall","given":"Sally M","non-dropping-particle":"","parse-names":false,"suffix":""},{"dropping-particle":"","family":"Wood","given":"Ruth","non-dropping-particle":"","parse-names":false,"suffix":""},{"dropping-particle":"","family":"Speight","given":"Jane","non-dropping-particle":"","parse-names":false,"suffix":""},{"dropping-particle":"","family":"Kerr","given":"David","non-dropping-particle":"","parse-names":false,"suffix":""},{"dropping-particle":"","family":"Flanagan","given":"Daniel","non-dropping-particle":"","parse-names":false,"suffix":""},{"dropping-particle":"","family":"Heller","given":"Simon R","non-dropping-particle":"","parse-names":false,"suffix":""},{"dropping-particle":"","family":"Evans","given":"Mark L","non-dropping-particle":"","parse-names":false,"suffix":""},{"dropping-particle":"","family":"Shaw","given":"James A M","non-dropping-particle":"","parse-names":false,"suffix":""}],"container-title":"Diabetes care","id":"ITEM-1","issue":"8","issued":{"date-parts":[["2014"]]},"language":"eng","page":"2114-2122","publisher-place":"United States","title":"Recovery of hypoglycemia awareness in long-standing type 1 diabetes: a multicenter 2 × 2 factorial randomized controlled trial comparing insulin pump with multiple daily injections and continuous with conventional glucose self-monitoring (HypoCOMPaSS).","type":"article-journal","volume":"37"},"uris":["http://www.mendeley.com/documents/?uuid=52a65095-54b2-4b96-a556-16606bd5fbb1"]}],"mendeley":{"formattedCitation":"(30)","plainTextFormattedCitation":"(30)","previouslyFormattedCitation":"(30)"},"properties":{"noteIndex":0},"schema":"https://github.com/citation-style-language/schema/raw/master/csl-citation.json"}</w:instrText>
      </w:r>
      <w:r w:rsidR="00E415AE" w:rsidRPr="001D29F8">
        <w:rPr>
          <w:rFonts w:ascii="Arial" w:hAnsi="Arial" w:cs="Arial"/>
          <w:sz w:val="24"/>
          <w:szCs w:val="24"/>
          <w:lang w:val="en-US"/>
        </w:rPr>
        <w:fldChar w:fldCharType="separate"/>
      </w:r>
      <w:r w:rsidR="001644B2" w:rsidRPr="001D29F8">
        <w:rPr>
          <w:rFonts w:ascii="Arial" w:hAnsi="Arial" w:cs="Arial"/>
          <w:noProof/>
          <w:sz w:val="24"/>
          <w:szCs w:val="24"/>
          <w:lang w:val="en-US"/>
        </w:rPr>
        <w:t>(30)</w:t>
      </w:r>
      <w:r w:rsidR="00E415AE" w:rsidRPr="001D29F8">
        <w:rPr>
          <w:rFonts w:ascii="Arial" w:hAnsi="Arial" w:cs="Arial"/>
          <w:sz w:val="24"/>
          <w:szCs w:val="24"/>
          <w:lang w:val="en-US"/>
        </w:rPr>
        <w:fldChar w:fldCharType="end"/>
      </w:r>
      <w:r w:rsidR="00E415AE" w:rsidRPr="001D29F8">
        <w:rPr>
          <w:rFonts w:ascii="Arial" w:hAnsi="Arial" w:cs="Arial"/>
          <w:sz w:val="24"/>
          <w:szCs w:val="24"/>
          <w:lang w:val="en-US"/>
        </w:rPr>
        <w:t xml:space="preserve">. The effect of this structured education </w:t>
      </w:r>
      <w:r w:rsidR="000946EB" w:rsidRPr="001D29F8">
        <w:rPr>
          <w:rFonts w:ascii="Arial" w:hAnsi="Arial" w:cs="Arial"/>
          <w:sz w:val="24"/>
          <w:szCs w:val="24"/>
          <w:lang w:val="en-US"/>
        </w:rPr>
        <w:t>could</w:t>
      </w:r>
      <w:r w:rsidR="00E415AE" w:rsidRPr="001D29F8">
        <w:rPr>
          <w:rFonts w:ascii="Arial" w:hAnsi="Arial" w:cs="Arial"/>
          <w:sz w:val="24"/>
          <w:szCs w:val="24"/>
          <w:lang w:val="en-US"/>
        </w:rPr>
        <w:t xml:space="preserve"> even be maintained </w:t>
      </w:r>
      <w:r w:rsidR="000946EB" w:rsidRPr="001D29F8">
        <w:rPr>
          <w:rFonts w:ascii="Arial" w:hAnsi="Arial" w:cs="Arial"/>
          <w:sz w:val="24"/>
          <w:szCs w:val="24"/>
          <w:lang w:val="en-US"/>
        </w:rPr>
        <w:t xml:space="preserve">when people returned to standard care, switched from CSII to MDI or vice versa, and did not wear their sensor for a sufficient amount of time </w:t>
      </w:r>
      <w:r w:rsidR="000946EB"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{"citationItems":[{"id":"ITEM-1","itemData":{"ISSN":"1935-5548 (Electronic)","PMID":"29661916","abstract":"OBJECTIVE: Severe hypoglycemia is a feared complication of type 1 diabetes; yet, few trials have targeted prevention using optimized self-management (educational, therapeutic, and technological support). We aimed to investigate whether improved awareness and reduced severe hypoglycemia, achieved during an intensive randomized clinical trial (RCT), were sustained after return to routine care. RESEARCH DESIGN AND METHODS: Ninety-six adults with type 1 diabetes (29 ± 12 years' duration) and impaired awareness of hypoglycemia at five U.K. tertiary referral diabetes centers were recruited into a 24-week 2 × 2 factorial RCT (HypoCOMPaSS). Participants were randomized to pump (continuous subcutaneous insulin infusion [CSII]) or multiple daily injections (MDIs) and real-time continuous glucose monitoring (RT-CGM) or self-monitoring of blood glucose (SMBG), with equal education/attention to all groups. At 24 weeks, participants returned to routine care with follow-up until 24 months, including free choice of MDI/CSII; RT-CGM vs. SMBG comparison continued to 24 months. Primary outcome was mean difference (baseline to 24 months [between groups]) in hypoglycemia awareness. RESULTS: Improvement in hypoglycemia awareness was sustained (Gold score at baseline 5.1 ± 1.1 vs. 24 months 3.7 ± 1.9; P &lt; 0.0001). Severe hypoglycemia rate was reduced from 8.9 ± 12.8 episodes/person-year over the 12 months prestudy to 0.4 ± 0.8 over 24 months (P &lt; 0.0001). HbA(1c) improved (baseline 8.2 ± 3.2% [66 ± 12 mmol/mol] vs. 24 months 7.7 ± 3.1% [61 ± 10 mmol/mol]; P = 0.003). Improvement in treatment satisfaction and reduced fear of hypoglycemia were sustained. There were no significant differences between interventions at 24 months. CONCLUSIONS: Optimized insulin replacement and glucose monitoring underpinned by hypoglycemia-focused structured education should be provided to all with type 1 diabetes complicated by impaired awareness of hypoglycemia.","author":[{"dropping-particle":"","family":"Little","given":"Stuart A","non-dropping-particle":"","parse-names":false,"suffix":""},{"dropping-particle":"","family":"Speight","given":"Jane","non-dropping-particle":"","parse-names":false,"suffix":""},{"dropping-particle":"","family":"Leelarathna","given":"Lalantha","non-dropping-particle":"","parse-names":false,"suffix":""},{"dropping-particle":"","family":"Walkinshaw","given":"Emma","non-dropping-particle":"","parse-names":false,"suffix":""},{"dropping-particle":"","family":"Tan","given":"Horng Kai","non-dropping-particle":"","parse-names":false,"suffix":""},{"dropping-particle":"","family":"Bowes","given":"Anita","non-dropping-particle":"","parse-names":false,"suffix":""},{"dropping-particle":"","family":"Lubina-Solomon","given":"Alexandra","non-dropping-particle":"","parse-names":false,"suffix":""},{"dropping-particle":"","family":"Chadwick","given":"Thomas J","non-dropping-particle":"","parse-names":false,"suffix":""},{"dropping-particle":"","family":"Stocken","given":"Deborah D","non-dropping-particle":"","parse-names":false,"suffix":""},{"dropping-particle":"","family":"Brennand","given":"Catherine","non-dropping-particle":"","parse-names":false,"suffix":""},{"dropping-particle":"","family":"Marshall","given":"Sally M","non-dropping-particle":"","parse-names":false,"suffix":""},{"dropping-particle":"","family":"Wood","given":"Ruth","non-dropping-particle":"","parse-names":false,"suffix":""},{"dropping-particle":"","family":"Kerr","given":"David","non-dropping-particle":"","parse-names":false,"suffix":""},{"dropping-particle":"","family":"Flanagan","given":"Daniel","non-dropping-particle":"","parse-names":false,"suffix":""},{"dropping-particle":"","family":"Heller","given":"Simon R","non-dropping-particle":"","parse-names":false,"suffix":""},{"dropping-particle":"","family":"Evans","given":"Mark L","non-dropping-particle":"","parse-names":false,"suffix":""},{"dropping-particle":"","family":"Shaw","given":"James A M","non-dropping-particle":"","parse-names":false,"suffix":""}],"container-title":"Diabetes care","id":"ITEM-1","issue":"8","issued":{"date-parts":[["2018"]]},"language":"eng","page":"1600-1607","publisher-place":"United States","title":"Sustained Reduction in Severe Hypoglycemia in Adults With Type 1 Diabetes Complicated by Impaired Awareness of Hypoglycemia: Two-Year Follow-up in the HypoCOMPaSS Randomized Clinical Trial.","type":"article-journal","volume":"41"},"uris":["http://www.mendeley.com/documents/?uuid=6f24786c-10c2-43b1-b2b3-ee5b200db988"]}],"mendeley":{"formattedCitation":"(31)","plainTextFormattedCitation":"(31)","previouslyFormattedCitation":"(31)"},"properties":{"noteIndex":0},"schema":"https://github.com/citation-style-language/schema/raw/master/csl-citation.json"}</w:instrText>
      </w:r>
      <w:r w:rsidR="000946EB" w:rsidRPr="001D29F8">
        <w:rPr>
          <w:rFonts w:ascii="Arial" w:hAnsi="Arial" w:cs="Arial"/>
          <w:sz w:val="24"/>
          <w:szCs w:val="24"/>
          <w:lang w:val="en-US"/>
        </w:rPr>
        <w:fldChar w:fldCharType="separate"/>
      </w:r>
      <w:r w:rsidR="001644B2" w:rsidRPr="001D29F8">
        <w:rPr>
          <w:rFonts w:ascii="Arial" w:hAnsi="Arial" w:cs="Arial"/>
          <w:noProof/>
          <w:sz w:val="24"/>
          <w:szCs w:val="24"/>
          <w:lang w:val="en-US"/>
        </w:rPr>
        <w:t>(31)</w:t>
      </w:r>
      <w:r w:rsidR="000946EB" w:rsidRPr="001D29F8">
        <w:rPr>
          <w:rFonts w:ascii="Arial" w:hAnsi="Arial" w:cs="Arial"/>
          <w:sz w:val="24"/>
          <w:szCs w:val="24"/>
          <w:lang w:val="en-US"/>
        </w:rPr>
        <w:fldChar w:fldCharType="end"/>
      </w:r>
      <w:r w:rsidR="00AD15CF" w:rsidRPr="001D29F8">
        <w:rPr>
          <w:rFonts w:ascii="Arial" w:hAnsi="Arial" w:cs="Arial"/>
          <w:sz w:val="24"/>
          <w:szCs w:val="24"/>
          <w:lang w:val="en-US"/>
        </w:rPr>
        <w:t>.</w:t>
      </w:r>
      <w:r w:rsidR="00BE04E4" w:rsidRPr="001D29F8">
        <w:rPr>
          <w:rFonts w:ascii="Arial" w:hAnsi="Arial" w:cs="Arial"/>
          <w:sz w:val="24"/>
          <w:szCs w:val="24"/>
          <w:lang w:val="en-US"/>
        </w:rPr>
        <w:t xml:space="preserve"> Therefore, the best option to effectively manage people with IAH is to implement a combination of </w:t>
      </w:r>
      <w:proofErr w:type="spellStart"/>
      <w:r w:rsidR="00BE04E4" w:rsidRPr="001D29F8">
        <w:rPr>
          <w:rFonts w:ascii="Arial" w:hAnsi="Arial" w:cs="Arial"/>
          <w:sz w:val="24"/>
          <w:szCs w:val="24"/>
          <w:lang w:val="en-US"/>
        </w:rPr>
        <w:t>rtCGM</w:t>
      </w:r>
      <w:proofErr w:type="spellEnd"/>
      <w:r w:rsidR="00BE04E4" w:rsidRPr="001D29F8">
        <w:rPr>
          <w:rFonts w:ascii="Arial" w:hAnsi="Arial" w:cs="Arial"/>
          <w:sz w:val="24"/>
          <w:szCs w:val="24"/>
          <w:lang w:val="en-US"/>
        </w:rPr>
        <w:t xml:space="preserve"> (with or without CSII per preference) and structured education with frequent follow-up contacts </w:t>
      </w:r>
      <w:r w:rsidR="00BE04E4"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{"citationItems":[{"id":"ITEM-1","itemData":{"ISSN":"1935-5548 (Electronic)","PMID":"26207053","abstract":"OBJECTIVE: Impaired awareness of hypoglycemia (IAH) increases the risk of severe hypoglycemia (SH) sixfold and affects 30% of adults with type 1 diabetes (T1D). This systematic review and meta-analysis looks at the educational, technological, and pharmacological interventions aimed at restoring hypoglycemia awareness (HA) in adults with T1D. RESEARCH DESIGN AND METHODS: We searched The Cochrane Library, MEDLINE, Embase, Science Citation Index Expanded, Social Sciences Citation Index, PsycINFO, and CINAHL from inception until 1 October 2014. Included studies described HA status at baseline. Outcome measures were SH rates, change in HA, counterregulatory hormone responses, and glycemic control. RESULTS: Forty-three studies (18 randomized controlled trials, 25 before-and-after studies) met the inclusion criteria, comprising 27 educational, 11 technological, and 5 pharmacological interventions. Educational interventions included structured diabetes education on flexible insulin therapy, including psychotherapeutic and behavioral techniques. These were able to reduce SH and improve glycemic control, with greater benefit from the latter two techniques in improving IAH. Technological interventions (insulin pump therapy, continuous glucose monitoring, and sensor-augmented pump) reduced SH, improved glycemic control, and restored awareness when used in combination with structured education and frequent contact. Pharmacological studies included four insulin studies and one noninsulin study, but with low background SH prevalence rates. CONCLUSIONS: This review provides evidence for the effectiveness of a stepped-care approach in the management of patients with IAH, initially with structured diabetes education in flexible insulin therapy, which may incorporate psychotherapeutic and behavioral therapies, progressing to diabetes technology, incorporating sensors and insulin pumps, in those with persisting need.","author":[{"dropping-particle":"","family":"Yeoh","given":"Ester","non-dropping-particle":"","parse-names":false,"suffix":""},{"dropping-particle":"","family":"Choudhary","given":"Pratik","non-dropping-particle":"","parse-names":false,"suffix":""},{"dropping-particle":"","family":"Nwokolo","given":"Munachiso","non-dropping-particle":"","parse-names":false,"suffix":""},{"dropping-particle":"","family":"Ayis","given":"Salma","non-dropping-particle":"","parse-names":false,"suffix":""},{"dropping-particle":"","family":"Amiel","given":"Stephanie A","non-dropping-particle":"","parse-names":false,"suffix":""}],"container-title":"Diabetes care","id":"ITEM-1","issue":"8","issued":{"date-parts":[["2015"]]},"language":"eng","page":"1592-1609","publisher-place":"United States","title":"Interventions That Restore Awareness of Hypoglycemia in Adults With Type 1 Diabetes: A Systematic Review and Meta-analysis.","type":"article-journal","volume":"38"},"uris":["http://www.mendeley.com/documents/?uuid=62fc3808-cfa0-485c-8513-2324d94ccf06"]}],"mendeley":{"formattedCitation":"(32)","plainTextFormattedCitation":"(32)","previouslyFormattedCitation":"(32)"},"properties":{"noteIndex":0},"schema":"https://github.com/citation-style-language/schema/raw/master/csl-citation.json"}</w:instrText>
      </w:r>
      <w:r w:rsidR="00BE04E4" w:rsidRPr="001D29F8">
        <w:rPr>
          <w:rFonts w:ascii="Arial" w:hAnsi="Arial" w:cs="Arial"/>
          <w:sz w:val="24"/>
          <w:szCs w:val="24"/>
          <w:lang w:val="en-US"/>
        </w:rPr>
        <w:fldChar w:fldCharType="separate"/>
      </w:r>
      <w:r w:rsidR="001644B2" w:rsidRPr="001D29F8">
        <w:rPr>
          <w:rFonts w:ascii="Arial" w:hAnsi="Arial" w:cs="Arial"/>
          <w:noProof/>
          <w:sz w:val="24"/>
          <w:szCs w:val="24"/>
          <w:lang w:val="en-US"/>
        </w:rPr>
        <w:t>(32)</w:t>
      </w:r>
      <w:r w:rsidR="00BE04E4" w:rsidRPr="001D29F8">
        <w:rPr>
          <w:rFonts w:ascii="Arial" w:hAnsi="Arial" w:cs="Arial"/>
          <w:sz w:val="24"/>
          <w:szCs w:val="24"/>
          <w:lang w:val="en-US"/>
        </w:rPr>
        <w:fldChar w:fldCharType="end"/>
      </w:r>
      <w:r w:rsidR="00BE04E4" w:rsidRPr="001D29F8">
        <w:rPr>
          <w:rFonts w:ascii="Arial" w:hAnsi="Arial" w:cs="Arial"/>
          <w:sz w:val="24"/>
          <w:szCs w:val="24"/>
          <w:lang w:val="en-US"/>
        </w:rPr>
        <w:t>.</w:t>
      </w:r>
    </w:p>
    <w:p w14:paraId="1855C0C5" w14:textId="1CF404C8" w:rsidR="001666A2" w:rsidRPr="001D29F8" w:rsidRDefault="00A37EC3" w:rsidP="001D29F8">
      <w:pPr>
        <w:spacing w:line="480" w:lineRule="auto"/>
        <w:jc w:val="both"/>
        <w:rPr>
          <w:rFonts w:ascii="Arial" w:hAnsi="Arial" w:cs="Arial"/>
          <w:sz w:val="24"/>
          <w:szCs w:val="24"/>
          <w:lang w:val="en-US"/>
        </w:rPr>
      </w:pPr>
      <w:r w:rsidRPr="001D29F8">
        <w:rPr>
          <w:rFonts w:ascii="Arial" w:hAnsi="Arial" w:cs="Arial"/>
          <w:sz w:val="24"/>
          <w:szCs w:val="24"/>
          <w:lang w:val="en-US"/>
        </w:rPr>
        <w:t xml:space="preserve">We are the first to report the proportion of people </w:t>
      </w:r>
      <w:r w:rsidR="00AE0672" w:rsidRPr="001D29F8">
        <w:rPr>
          <w:rFonts w:ascii="Arial" w:hAnsi="Arial" w:cs="Arial"/>
          <w:sz w:val="24"/>
          <w:szCs w:val="24"/>
          <w:lang w:val="en-US"/>
        </w:rPr>
        <w:t xml:space="preserve">treated by </w:t>
      </w:r>
      <w:proofErr w:type="spellStart"/>
      <w:r w:rsidR="00AE0672" w:rsidRPr="001D29F8">
        <w:rPr>
          <w:rFonts w:ascii="Arial" w:hAnsi="Arial" w:cs="Arial"/>
          <w:sz w:val="24"/>
          <w:szCs w:val="24"/>
          <w:lang w:val="en-US"/>
        </w:rPr>
        <w:t>rtCGM</w:t>
      </w:r>
      <w:proofErr w:type="spellEnd"/>
      <w:r w:rsidR="00AE0672" w:rsidRPr="001D29F8">
        <w:rPr>
          <w:rFonts w:ascii="Arial" w:hAnsi="Arial" w:cs="Arial"/>
          <w:sz w:val="24"/>
          <w:szCs w:val="24"/>
          <w:lang w:val="en-US"/>
        </w:rPr>
        <w:t xml:space="preserve"> and CSII </w:t>
      </w:r>
      <w:r w:rsidRPr="001D29F8">
        <w:rPr>
          <w:rFonts w:ascii="Arial" w:hAnsi="Arial" w:cs="Arial"/>
          <w:sz w:val="24"/>
          <w:szCs w:val="24"/>
          <w:lang w:val="en-US"/>
        </w:rPr>
        <w:t>to achieve the consensus targets for glycemic control</w:t>
      </w:r>
      <w:r w:rsidR="0033647E" w:rsidRPr="001D29F8">
        <w:rPr>
          <w:rFonts w:ascii="Arial" w:hAnsi="Arial" w:cs="Arial"/>
          <w:sz w:val="24"/>
          <w:szCs w:val="24"/>
          <w:lang w:val="en-US"/>
        </w:rPr>
        <w:t xml:space="preserve"> </w:t>
      </w:r>
      <w:r w:rsidR="0033647E" w:rsidRPr="001D29F8">
        <w:rPr>
          <w:rFonts w:ascii="Arial" w:hAnsi="Arial" w:cs="Arial"/>
          <w:sz w:val="24"/>
          <w:szCs w:val="24"/>
          <w:lang w:val="en-US"/>
        </w:rPr>
        <w:fldChar w:fldCharType="begin" w:fldLock="1"/>
      </w:r>
      <w:r w:rsidR="001644B2" w:rsidRPr="001D29F8">
        <w:rPr>
          <w:rFonts w:ascii="Arial" w:hAnsi="Arial" w:cs="Arial"/>
          <w:sz w:val="24"/>
          <w:szCs w:val="24"/>
          <w:lang w:val="en-US"/>
        </w:rPr>
        <w:instrText>ADDIN CSL_CITATION {"citationItems":[{"id":"ITEM-1","itemData":{"ISSN":"1935-5548 (Electronic)","PMID":"31177185","abstract":"Improvements in sensor accuracy, greater convenience and ease of use, and expanding reimbursement have led to growing adoption of continuous glucose monitoring (CGM). However, successful utilization of CGM technology in routine clinical practice remains relatively low. This may be due in part to the lack of clear and agreed-upon glycemic targets that both diabetes teams and people with diabetes can work toward. Although unified recommendations for use of key CGM metrics have been established in three separate peer-reviewed articles, formal adoption by diabetes professional organizations and guidance in the practical application of these metrics in clinical practice have been lacking. In February 2019, the Advanced Technologies &amp; Treatments for Diabetes (ATTD) Congress convened an international panel of physicians, researchers, and individuals with diabetes who are expert in CGM technologies to address this issue. This article summarizes the ATTD consensus recommendations for relevant aspects of CGM data utilization and reporting among the various diabetes populations.","author":[{"dropping-particle":"","family":"Battelino","given":"Tadej","non-dropping-particle":"","parse-names":false,"suffix":""},{"dropping-particle":"","family":"Danne","given":"Thomas","non-dropping-particle":"","parse-names":false,"suffix":""},{"dropping-particle":"","family":"Bergenstal","given":"Richard M","non-dropping-particle":"","parse-names":false,"suffix":""},{"dropping-particle":"","family":"Amiel","given":"Stephanie A","non-dropping-particle":"","parse-names":false,"suffix":""},{"dropping-particle":"","family":"Beck","given":"Roy","non-dropping-particle":"","parse-names":false,"suffix":""},{"dropping-particle":"","family":"Biester","given":"Torben","non-dropping-particle":"","parse-names":false,"suffix":""},{"dropping-particle":"","family":"Bosi","given":"Emanuele","non-dropping-particle":"","parse-names":false,"suffix":""},{"dropping-particle":"","family":"Buckingham","given":"Bruce A","non-dropping-particle":"","parse-names":false,"suffix":""},{"dropping-particle":"","family":"Cefalu","given":"William T","non-dropping-particle":"","parse-names":false,"suffix":""},{"dropping-particle":"","family":"Close","given":"Kelly L","non-dropping-particle":"","parse-names":false,"suffix":""},{"dropping-particle":"","family":"Cobelli","given":"Claudio","non-dropping-particle":"","parse-names":false,"suffix":""},{"dropping-particle":"","family":"Dassau","given":"Eyal","non-dropping-particle":"","parse-names":false,"suffix":""},{"dropping-particle":"","family":"DeVries","given":"J Hans","non-dropping-particle":"","parse-names":false,"suffix":""},{"dropping-particle":"","family":"Donaghue","given":"Kim C","non-dropping-particle":"","parse-names":false,"suffix":""},{"dropping-particle":"","family":"Dovc","given":"Klemen","non-dropping-particle":"","parse-names":false,"suffix":""},{"dropping-particle":"","family":"Doyle","given":"Francis J 3rd","non-dropping-particle":"","parse-names":false,"suffix":""},{"dropping-particle":"","family":"Garg","given":"Satish","non-dropping-particle":"","parse-names":false,"suffix":""},{"dropping-particle":"","family":"Grunberger","given":"George","non-dropping-particle":"","parse-names":false,"suffix":""},{"dropping-particle":"","family":"Heller","given":"Simon","non-dropping-particle":"","parse-names":false,"suffix":""},{"dropping-particle":"","family":"Heinemann","given":"Lutz","non-dropping-particle":"","parse-names":false,"suffix":""},{"dropping-particle":"","family":"Hirsch","given":"Irl B","non-dropping-particle":"","parse-names":false,"suffix":""},{"dropping-particle":"","family":"Hovorka","given":"Roman","non-dropping-particle":"","parse-names":false,"suffix":""},{"dropping-particle":"","family":"Jia","given":"Weiping","non-dropping-particle":"","parse-names":false,"suffix":""},{"dropping-particle":"","family":"Kordonouri","given":"Olga","non-dropping-particle":"","parse-names":false,"suffix":""},{"dropping-particle":"","family":"Kovatchev","given":"Boris","non-dropping-particle":"","parse-names":false,"suffix":""},{"dropping-particle":"","family":"Kowalski","given":"Aaron","non-dropping-particle":"","parse-names":false,"suffix":""},{"dropping-particle":"","family":"Laffel","given":"Lori","non-dropping-particle":"","parse-names":false,"suffix":""},{"dropping-particle":"","family":"Levine","given":"Brian","non-dropping-particle":"","parse-names":false,"suffix":""},{"dropping-particle":"","family":"Mayorov","given":"Alexander","non-dropping-particle":"","parse-names":false,"suffix":""},{"dropping-particle":"","family":"Mathieu","given":"Chantal","non-dropping-particle":"","parse-names":false,"suffix":""},{"dropping-particle":"","family":"Murphy","given":"Helen R","non-dropping-particle":"","parse-names":false,"suffix":""},{"dropping-particle":"","family":"Nimri","given":"Revital","non-dropping-particle":"","parse-names":false,"suffix":""},{"dropping-particle":"","family":"Norgaard","given":"Kirsten","non-dropping-particle":"","parse-names":false,"suffix":""},{"dropping-particle":"","family":"Parkin","given":"Christopher G","non-dropping-particle":"","parse-names":false,"suffix":""},{"dropping-particle":"","family":"Renard","given":"Eric","non-dropping-particle":"","parse-names":false,"suffix":""},{"dropping-particle":"","family":"Rodbard","given":"David","non-dropping-particle":"","parse-names":false,"suffix":""},{"dropping-particle":"","family":"Saboo","given":"Banshi","non-dropping-particle":"","parse-names":false,"suffix":""},{"dropping-particle":"","family":"Schatz","given":"Desmond","non-dropping-particle":"","parse-names":false,"suffix":""},{"dropping-particle":"","family":"Stoner","given":"Keaton","non-dropping-particle":"","parse-names":false,"suffix":""},{"dropping-particle":"","family":"Urakami","given":"Tatsuiko","non-dropping-particle":"","parse-names":false,"suffix":""},{"dropping-particle":"","family":"Weinzimer","given":"Stuart A","non-dropping-particle":"","parse-names":false,"suffix":""},{"dropping-particle":"","family":"Phillip","given":"Moshe","non-dropping-particle":"","parse-names":false,"suffix":""}],"container-title":"Diabetes care","id":"ITEM-1","issue":"8","issued":{"date-parts":[["2019"]]},"language":"eng","page":"1593-1603","publisher-place":"United States","title":"Clinical Targets for Continuous Glucose Monitoring Data Interpretation: Recommendations From the International Consensus on Time in Range.","type":"article-journal","volume":"42"},"uris":["http://www.mendeley.com/documents/?uuid=2773c03c-f4ed-42ea-883f-d4e62a56dd5b"]}],"mendeley":{"formattedCitation":"(18)","plainTextFormattedCitation":"(18)","previouslyFormattedCitation":"(18)"},"properties":{"noteIndex":0},"schema":"https://github.com/citation-style-language/schema/raw/master/csl-citation.json"}</w:instrText>
      </w:r>
      <w:r w:rsidR="0033647E" w:rsidRPr="001D29F8">
        <w:rPr>
          <w:rFonts w:ascii="Arial" w:hAnsi="Arial" w:cs="Arial"/>
          <w:sz w:val="24"/>
          <w:szCs w:val="24"/>
          <w:lang w:val="en-US"/>
        </w:rPr>
        <w:fldChar w:fldCharType="separate"/>
      </w:r>
      <w:r w:rsidR="00A13E6A" w:rsidRPr="001D29F8">
        <w:rPr>
          <w:rFonts w:ascii="Arial" w:hAnsi="Arial" w:cs="Arial"/>
          <w:noProof/>
          <w:sz w:val="24"/>
          <w:szCs w:val="24"/>
          <w:lang w:val="en-US"/>
        </w:rPr>
        <w:t>(18)</w:t>
      </w:r>
      <w:r w:rsidR="0033647E" w:rsidRPr="001D29F8">
        <w:rPr>
          <w:rFonts w:ascii="Arial" w:hAnsi="Arial" w:cs="Arial"/>
          <w:sz w:val="24"/>
          <w:szCs w:val="24"/>
          <w:lang w:val="en-US"/>
        </w:rPr>
        <w:fldChar w:fldCharType="end"/>
      </w:r>
      <w:r w:rsidRPr="001D29F8">
        <w:rPr>
          <w:rFonts w:ascii="Arial" w:hAnsi="Arial" w:cs="Arial"/>
          <w:sz w:val="24"/>
          <w:szCs w:val="24"/>
          <w:lang w:val="en-US"/>
        </w:rPr>
        <w:t xml:space="preserve"> in real-life.</w:t>
      </w:r>
      <w:r w:rsidR="00AE0672" w:rsidRPr="001D29F8">
        <w:rPr>
          <w:rFonts w:ascii="Arial" w:hAnsi="Arial" w:cs="Arial"/>
          <w:sz w:val="24"/>
          <w:szCs w:val="24"/>
          <w:lang w:val="en-US"/>
        </w:rPr>
        <w:t xml:space="preserve"> As </w:t>
      </w:r>
      <w:proofErr w:type="spellStart"/>
      <w:r w:rsidR="00AE0672" w:rsidRPr="001D29F8">
        <w:rPr>
          <w:rFonts w:ascii="Arial" w:hAnsi="Arial" w:cs="Arial"/>
          <w:sz w:val="24"/>
          <w:szCs w:val="24"/>
          <w:lang w:val="en-US"/>
        </w:rPr>
        <w:t>rtCGM</w:t>
      </w:r>
      <w:proofErr w:type="spellEnd"/>
      <w:r w:rsidR="00AE0672" w:rsidRPr="001D29F8">
        <w:rPr>
          <w:rFonts w:ascii="Arial" w:hAnsi="Arial" w:cs="Arial"/>
          <w:sz w:val="24"/>
          <w:szCs w:val="24"/>
          <w:lang w:val="en-US"/>
        </w:rPr>
        <w:t xml:space="preserve"> and sensor-augmented pumps focus primarily on hypoglycemia avoidance</w:t>
      </w:r>
      <w:r w:rsidR="006F7B60" w:rsidRPr="001D29F8">
        <w:rPr>
          <w:rFonts w:ascii="Arial" w:hAnsi="Arial" w:cs="Arial"/>
          <w:sz w:val="24"/>
          <w:szCs w:val="24"/>
          <w:lang w:val="en-US"/>
        </w:rPr>
        <w:t>, they have proved their worth as about 70% of the RESCUE population could reach the consensus targets for hypoglycemia.</w:t>
      </w:r>
      <w:r w:rsidR="006C0CDC" w:rsidRPr="001D29F8">
        <w:rPr>
          <w:rFonts w:ascii="Arial" w:hAnsi="Arial" w:cs="Arial"/>
          <w:sz w:val="24"/>
          <w:szCs w:val="24"/>
          <w:lang w:val="en-US"/>
        </w:rPr>
        <w:t xml:space="preserve"> On the other hand, reaching targets for TIR and hyperglycemia proved more difficult, with </w:t>
      </w:r>
      <w:r w:rsidR="007E3F1A" w:rsidRPr="001D29F8">
        <w:rPr>
          <w:rFonts w:ascii="Arial" w:hAnsi="Arial" w:cs="Arial"/>
          <w:sz w:val="24"/>
          <w:szCs w:val="24"/>
          <w:lang w:val="en-US"/>
        </w:rPr>
        <w:t>barely 30% achieving the recommended levels.</w:t>
      </w:r>
      <w:r w:rsidR="00905F9F" w:rsidRPr="001D29F8">
        <w:rPr>
          <w:rFonts w:ascii="Arial" w:hAnsi="Arial" w:cs="Arial"/>
          <w:sz w:val="24"/>
          <w:szCs w:val="24"/>
          <w:lang w:val="en-US"/>
        </w:rPr>
        <w:t xml:space="preserve"> Not only in real-life are these targets difficult to attain, also in controlled studies mean time spent in range is lower than the predetermined targets</w:t>
      </w:r>
      <w:r w:rsidR="005741ED" w:rsidRPr="001D29F8">
        <w:rPr>
          <w:rFonts w:ascii="Arial" w:hAnsi="Arial" w:cs="Arial"/>
          <w:sz w:val="24"/>
          <w:szCs w:val="24"/>
          <w:lang w:val="en-US"/>
        </w:rPr>
        <w:t xml:space="preserve"> with still a sufficient proportion of time spending in hyperglycemia</w:t>
      </w:r>
      <w:r w:rsidR="00734CF1" w:rsidRPr="001D29F8">
        <w:rPr>
          <w:rFonts w:ascii="Arial" w:hAnsi="Arial" w:cs="Arial"/>
          <w:sz w:val="24"/>
          <w:szCs w:val="24"/>
          <w:lang w:val="en-US"/>
        </w:rPr>
        <w:t>,</w:t>
      </w:r>
      <w:r w:rsidR="00905F9F" w:rsidRPr="001D29F8">
        <w:rPr>
          <w:rFonts w:ascii="Arial" w:hAnsi="Arial" w:cs="Arial"/>
          <w:sz w:val="24"/>
          <w:szCs w:val="24"/>
          <w:lang w:val="en-US"/>
        </w:rPr>
        <w:t xml:space="preserve"> </w:t>
      </w:r>
      <w:r w:rsidR="00EE12F7" w:rsidRPr="001D29F8">
        <w:rPr>
          <w:rFonts w:ascii="Arial" w:hAnsi="Arial" w:cs="Arial"/>
          <w:sz w:val="24"/>
          <w:szCs w:val="24"/>
          <w:lang w:val="en-US"/>
        </w:rPr>
        <w:t xml:space="preserve">irrespective of people using </w:t>
      </w:r>
      <w:proofErr w:type="spellStart"/>
      <w:r w:rsidR="00EE12F7" w:rsidRPr="001D29F8">
        <w:rPr>
          <w:rFonts w:ascii="Arial" w:hAnsi="Arial" w:cs="Arial"/>
          <w:sz w:val="24"/>
          <w:szCs w:val="24"/>
          <w:lang w:val="en-US"/>
        </w:rPr>
        <w:t>rtCGM</w:t>
      </w:r>
      <w:proofErr w:type="spellEnd"/>
      <w:r w:rsidR="00EE12F7" w:rsidRPr="001D29F8">
        <w:rPr>
          <w:rFonts w:ascii="Arial" w:hAnsi="Arial" w:cs="Arial"/>
          <w:sz w:val="24"/>
          <w:szCs w:val="24"/>
          <w:lang w:val="en-US"/>
        </w:rPr>
        <w:t xml:space="preserve"> alo</w:t>
      </w:r>
      <w:r w:rsidR="00B35D12" w:rsidRPr="001D29F8">
        <w:rPr>
          <w:rFonts w:ascii="Arial" w:hAnsi="Arial" w:cs="Arial"/>
          <w:sz w:val="24"/>
          <w:szCs w:val="24"/>
          <w:lang w:val="en-US"/>
        </w:rPr>
        <w:t>ne or in combination with a low-</w:t>
      </w:r>
      <w:r w:rsidR="00EE12F7" w:rsidRPr="001D29F8">
        <w:rPr>
          <w:rFonts w:ascii="Arial" w:hAnsi="Arial" w:cs="Arial"/>
          <w:sz w:val="24"/>
          <w:szCs w:val="24"/>
          <w:lang w:val="en-US"/>
        </w:rPr>
        <w:t xml:space="preserve">glucose (predictive) suspend algorithm </w:t>
      </w:r>
      <w:r w:rsidR="005741ED" w:rsidRPr="001D29F8">
        <w:rPr>
          <w:rFonts w:ascii="Arial" w:hAnsi="Arial" w:cs="Arial"/>
          <w:sz w:val="24"/>
          <w:szCs w:val="24"/>
          <w:lang w:val="en-US"/>
        </w:rPr>
        <w:fldChar w:fldCharType="begin" w:fldLock="1"/>
      </w:r>
      <w:r w:rsidR="002C520B" w:rsidRPr="001D29F8">
        <w:rPr>
          <w:rFonts w:ascii="Arial" w:hAnsi="Arial" w:cs="Arial"/>
          <w:sz w:val="24"/>
          <w:szCs w:val="24"/>
          <w:lang w:val="en-US"/>
        </w:rPr>
        <w:instrText>ADDIN CSL_CITATION {"citationItems":[{"id":"ITEM-1","itemData":{"ISSN":"2213-8595 (Electronic)","PMID":"27641781","abstract":"BACKGROUND: Patients with type 1 diabetes who have impaired awareness of hypoglycaemia have a three to six times increased risk of severe hypoglycaemia. We aimed to assess whether continuous glucose monitoring (CGM) improves glycaemia and prevents severe hypoglycaemia compared with self-monitoring of blood glucose (SMBG) in this high-risk population. METHODS: We did a randomised, open-label, crossover trial (IN CONTROL) at two medical centres in the Netherlands. Eligible participants were patients diagnosed with type 1 diabetes according to American Diabetes Association criteria, aged 18-75 years, with impaired awareness of hypoglycaemia as confirmed by a Gold score of at least 4, and treated with either continuous subcutaneous insulin infusion or multiple daily insulin injections and doing at least three SMBG measurements per day. After screening, re-education about diabetes management, and a 6-week run-in phase (to obtain baseline CGM data), we randomly assigned patients (1:1) with a computer-generated allocation sequence (block size of four) to either 16 weeks of CGM followed by 12 weeks of washout and 16 weeks of SMBG, or 16 weeks of SMBG followed by 12 weeks of washout and 16 weeks of CGM (where the SMBG phase was the control). During the CGM phase, patients used a real-time CGM system consisting of a Paradigm Veo system with a MiniLink transmitter and an Enlite glucose sensor (Medtronic, CA, USA). During the SMBG phase, patients were equipped with a masked CGM device, consisting of an iPro 2 continuous glucose monitor and an Enlite glucose sensor, which does not display real-time glucose values. The number of SMBG measurements per day and SMBG systems were not standardised between patients, to mimic real-life conditions. During both intervention periods, patients attended follow-up visits at the centres each month and had telephone consultations 2 weeks after each visit inquiring about adverse events, episodes of hypoglycaemia, etc. The primary endpoint was the mean difference in percentage of time spent in normoglycaemia (4-10 mmol/L) over the total intervention periods, analysed on an intention-to-treat basis. Severe hypoglycaemia (requiring third party assistance) was a secondary endpoint. This trial is registered with ClinicalTrials.gov, number NCT01787903. FINDINGS: Between March 4, 2013, and Feb 9, 2015, we recruited and randomly assigned 52 patients to either the CGM-SMBG sequence (n=26) or the SMBG-CGM sequence (n=26). The last patient vis…","author":[{"dropping-particle":"","family":"Beers","given":"Cornelis A J","non-dropping-particle":"van","parse-names":false,"suffix":""},{"dropping-particle":"","family":"DeVries","given":"J Hans","non-dropping-particle":"","parse-names":false,"suffix":""},{"dropping-particle":"","family":"Kleijer","given":"Susanne J","non-dropping-particle":"","parse-names":false,"suffix":""},{"dropping-particle":"","family":"Smits","given":"Mark M","non-dropping-particle":"","parse-names":false,"suffix":""},{"dropping-particle":"","family":"Geelhoed-Duijvestijn","given":"Petronella H","non-dropping-particle":"","parse-names":false,"suffix":""},{"dropping-particle":"","family":"Kramer","given":"Mark H H","non-dropping-particle":"","parse-names":false,"suffix":""},{"dropping-particle":"","family":"Diamant","given":"Michaela","non-dropping-particle":"","parse-names":false,"suffix":""},{"dropping-particle":"","family":"Snoek","given":"Frank J","non-dropping-particle":"","parse-names":false,"suffix":""},{"dropping-particle":"","family":"Serne","given":"Erik H","non-dropping-particle":"","parse-names":false,"suffix":""}],"container-title":"The Lancet Diabetes &amp; Endocrinology","id":"ITEM-1","issue":"11","issued":{"date-parts":[["2016"]]},"language":"eng","page":"893-902","publisher-place":"England","title":"Continuous glucose monitoring for patients with type 1 diabetes and impaired awareness of hypoglycaemia (IN CONTROL): a randomised, open-label, crossover trial.","type":"article-journal","volume":"4"},"uris":["http://www.mendeley.com/documents/?uuid=0dbf5c1a-daab-4eb6-95a1-0953b5b04c4b"]},{"id":"ITEM-2","itemData":{"DOI":"10.1001/jama.2016.19975","ISSN":"1538-3598 (Electronic)","PMID":"28118453","abstract":"Importance: Previous clinical trials showing the benefit of continuous glucose monitoring (CGM) in the management of type 1 diabetes predominantly have included adults using insulin pumps, even though the majority of adults with type 1 diabetes administer insulin by injection. Objective: To determine the effectiveness of CGM in adults with type 1 diabetes treated with insulin injections. Design, Setting, and Participants: Randomized clinical trial conducted between October 2014 and May 2016 at 24 endocrinology practices in the United States that included 158 adults with type 1 diabetes who were using multiple daily insulin injections and had hemoglobin A1c (HbA1c) levels of 7.5% to 9.9%. Interventions: Random assignment 2:1 to CGM (n = 105) or usual care (control group; n = 53). Main Outcomes and Measures: Primary outcome measure was the difference in change in central-laboratory-measured HbA1c level from baseline to 24 weeks. There were 18 secondary or exploratory end points, of which 15 are reported in this article, including duration of hypoglycemia at less than 70 mg/dL, measured with CGM for 7 days at 12 and 24 weeks. Results: Among the 158 randomized participants (mean age, 48 years [SD, 13]; 44% women; mean baseline HbA1c level, 8.6% [SD, 0.6%]; and median diabetes duration, 19 years [interquartile range, 10-31 years]), 155 (98%) completed the study. In the CGM group, 93% used CGM 6 d/wk or more in month 6. Mean HbA1c reduction from baseline was 1.1% at 12 weeks and 1.0% at 24 weeks in the CGM group and 0.5% and 0.4%, respectively, in the control group (repeated-measures model P &lt; .001). At 24 weeks, the adjusted treatment-group difference in mean change in HbA1c level from baseline was -0.6% (95% CI, -0.8% to -0.3%; P &lt; .001). Median duration of hypoglycemia at less than &lt;70 mg/dL was 43 min/d (IQR, 27-69) in the CGM group vs 80 min/d (IQR, 36-111) in the control group (P = .002). Severe hypoglycemia events occurred in 2 participants in each group. Conclusions and Relevance: Among adults with type 1 diabetes who used multiple daily insulin injections, the use of CGM compared with usual care resulted in a greater decrease in HbA1c level during 24 weeks. Further research is needed to assess longer-term effectiveness, as well as clinical outcomes and adverse effects. Trial Registration: clinicaltrials.gov Identifier: NCT02282397.","author":[{"dropping-particle":"","family":"Beck","given":"Roy W","non-dropping-particle":"","parse-names":false,"suffix":""},{"dropping-particle":"","family":"Riddlesworth","given":"Tonya","non-dropping-particle":"","parse-names":false,"suffix":""},{"dropping-particle":"","family":"Ruedy","given":"Katrina","non-dropping-particle":"","parse-names":false,"suffix":""},{"dropping-particle":"","family":"Ahmann","given":"Andrew","non-dropping-particle":"","parse-names":false,"suffix":""},{"dropping-particle":"","family":"Bergenstal","given":"Richard","non-dropping-particle":"","parse-names":false,"suffix":""},{"dropping-particle":"","family":"Haller","given":"Stacie","non-dropping-particle":"","parse-names":false,"suffix":""},{"dropping-particle":"","family":"Kollman","given":"Craig","non-dropping-particle":"","parse-names":false,"suffix":""},{"dropping-particle":"","family":"Kruger","given":"Davida","non-dropping-particle":"","parse-names":false,"suffix":""},{"dropping-particle":"","family":"McGill","given":"Janet B","non-dropping-particle":"","parse-names":false,"suffix":""},{"dropping-particle":"","family":"Polonsky","given":"William","non-dropping-particle":"","parse-names":false,"suffix":""},{"dropping-particle":"","family":"Toschi","given":"Elena","non-dropping-particle":"","parse-names":false,"suffix":""},{"dropping-particle":"","family":"Wolpert","given":"Howard","non-dropping-particle":"","parse-names":false,"suffix":""},{"dropping-particle":"","family":"Price","given":"David","non-dropping-particle":"","parse-names":false,"suffix":""}],"container-title":"JAMA","id":"ITEM-2","issue":"4","issued":{"date-parts":[["2017","1"]]},"language":"eng","page":"371-378","publisher-place":"United States","title":"Effect of Continuous Glucose Monitoring on Glycemic Control in Adults With Type 1 Diabetes Using Insulin Injections: The DIAMOND Randomized Clinical Trial.","type":"article-journal","volume":"317"},"uris":["http://www.mendeley.com/documents/?uuid=ba855fd6-2387-445d-bb07-edfd5a0aa31d"]},{"id":"ITEM-3","itemData":{"ISSN":"22138587","PMID":"31047902","abstract":"BACKGROUND: Hypoglycaemia unawareness and severe hypoglycaemia can increase fear of hypoglycaemia and the risk of subsequent hypoglycaemic events. We aimed to assess the safety and efficacy of insulin pump therapy with integrated continuous glucose monitoring (CGM) and a suspend-before-low feature (Medtronic MiniMed 640G with SmartGuard) in hypoglycaemia-prone adults with type 1 diabetes. METHODS: SMILE was an open-label randomised controlled trial done in people aged 24-75 years with type 1 diabetes for 10 years or longer, HbA1c values of 5.8-10.0% (40-86 mmol/mol), and at high risk of hypoglycaemia (recent severe hypoglycaemia or hypoglycaemia unawareness defined by a Clarke or Gold score &gt;/=4). Participants were enrolled from 16 centres (eg, clinics, hospitals, or university medical centres) in Canada, France, Italy, the Netherlands, and the UK. After baseline run-in phase (2 weeks), participants were randomly assigned to the MiniMed 640G pump (continuous subcutaneous insulin infusion) with self-monitoring of blood glucose (control group) or to the MiniMed 640G system with the suspend-before-low feature enabled (intervention group), for 6 months. The study statistician analysing the data was masked to group assignment until final database lock; because of the nature of the intervention, participants and treating clinicians could not be masked to group assignment. The primary outcome was the mean number of sensor hypoglycaemic events, defined as 55 mg/dL (3.1 mmol/L) or lower, and was analysed on an intention-to-treat basis in all randomly assigned participants. This trial is registered with ClinicalTrials.gov, number NCT02733991, and is completed. FINDINGS: Between Dec 7, 2016, and March 27, 2018, 153 participants with a mean age 48.2 [12.4] years were randomly assigned: 77 to the control group (mean age 47.4 [12.5] years) and 76 to the intervention group (mean age 49.0 [12.2] years). After 6 months, the intervention group had significantly fewer hypoglycaemic events per participant per week (1.1 [SD 1.2] vs 4.1 [3.4] mean events, model-based treatment effect -2.9 [95% CI -3.5 to -2.3]; p&lt;0.0001) and fewer severe hypoglycaemic events (instances requiring third-party assistance with carbohydrate or glucagon administration, or other resuscitative actions) overall (three vs 18; p=0.0036). The most common adverse events were hypoglycaemia (observed in ten [13%] of 77 participants in the control group vs four [5%] of 76 in the intervention group) and hype…","author":[{"dropping-particle":"","family":"Bosi","given":"Emanuele","non-dropping-particle":"","parse-names":false,"suffix":""},{"dropping-particle":"","family":"Choudhary","given":"Pratik","non-dropping-particle":"","parse-names":false,"suffix":""},{"dropping-particle":"","family":"Valk","given":"Harold W","non-dropping-particle":"de","parse-names":false,"suffix":""},{"dropping-particle":"","family":"Lablanche","given":"Sandrine","non-dropping-particle":"","parse-names":false,"suffix":""},{"dropping-particle":"","family":"Castañeda","given":"Javier","non-dropping-particle":"","parse-names":false,"suffix":""},{"dropping-particle":"","family":"Portu","given":"Simona","non-dropping-particle":"de","parse-names":false,"suffix":""},{"dropping-particle":"","family":"Silva","given":"Julien","non-dropping-particle":"Da","parse-names":false,"suffix":""},{"dropping-particle":"","family":"Ré","given":"Roseline","non-dropping-particle":"","parse-names":false,"suffix":""},{"dropping-particle":"","family":"Vorrink-de Groot","given":"Linda","non-dropping-particle":"","parse-names":false,"suffix":""},{"dropping-particle":"","family":"Shin","given":"John","non-dropping-particle":"","parse-names":false,"suffix":""},{"dropping-particle":"","family":"Kaufman","given":"Francine R","non-dropping-particle":"","parse-names":false,"suffix":""},{"dropping-particle":"","family":"Cohen","given":"Ohad","non-dropping-particle":"","parse-names":false,"suffix":""},{"dropping-particle":"","family":"Laurenzi","given":"Andrea","non-dropping-particle":"","parse-names":false,"suffix":""},{"dropping-particle":"","family":"Caretto","given":"Amelia","non-dropping-particle":"","parse-names":false,"suffix":""},{"dropping-particle":"","family":"Slatterly","given":"David","non-dropping-particle":"","parse-names":false,"suffix":""},{"dropping-particle":"","family":"Henderson-Wilson","given":"Marcia","non-dropping-particle":"","parse-names":false,"suffix":""},{"dropping-particle":"","family":"Weisnagel","given":"S. John","non-dropping-particle":"","parse-names":false,"suffix":""},{"dropping-particle":"","family":"Dubé","given":"Marie-Christine","non-dropping-particle":"","parse-names":false,"suffix":""},{"dropping-particle":"","family":"Julien","given":"Valérie-Ève","non-dropping-particle":"","parse-names":false,"suffix":""},{"dropping-particle":"","family":"Trevisan","given":"Roberto","non-dropping-particle":"","parse-names":false,"suffix":""},{"dropping-particle":"","family":"Lepore","given":"Giuseppe","non-dropping-particle":"","parse-names":false,"suffix":""},{"dropping-particle":"","family":"Bellante","given":"Rosalia","non-dropping-particle":"","parse-names":false,"suffix":""},{"dropping-particle":"","family":"Hramiak","given":"Irene","non-dropping-particle":"","parse-names":false,"suffix":""},{"dropping-particle":"","family":"Spaic","given":"Tamara","non-dropping-particle":"","parse-names":false,"suffix":""},{"dropping-particle":"","family":"Driscoll","given":"Marsha","non-dropping-particle":"","parse-names":false,"suffix":""},{"dropping-particle":"","family":"Borot","given":"Sophie","non-dropping-particle":"","parse-names":false,"suffix":""},{"dropping-particle":"","family":"Clergeot","given":"Annie","non-dropping-particle":"","parse-names":false,"suffix":""},{"dropping-particle":"","family":"Khiat","given":"Lamia","non-dropping-particle":"","parse-names":false,"suffix":""},{"dropping-particle":"","family":"Hammond","given":"Peter","non-dropping-particle":"","parse-names":false,"suffix":""},{"dropping-particle":"","family":"Ray","given":"Sutapa","non-dropping-particle":"","parse-names":false,"suffix":""},{"dropping-particle":"","family":"Dinning","given":"Laura","non-dropping-particle":"","parse-names":false,"suffix":""},{"dropping-particle":"","family":"Tonolo","given":"Giancarlo","non-dropping-particle":"","parse-names":false,"suffix":""},{"dropping-particle":"","family":"Manconi","given":"Alberto","non-dropping-particle":"","parse-names":false,"suffix":""},{"dropping-particle":"","family":"Ledda","given":"Maura Serena","non-dropping-particle":"","parse-names":false,"suffix":""},{"dropping-particle":"","family":"Ranitz","given":"Wendela","non-dropping-particle":"de","parse-names":false,"suffix":""},{"dropping-particle":"","family":"Silvius","given":"Bianca","non-dropping-particle":"","parse-names":false,"suffix":""},{"dropping-particle":"","family":"Wojtusciszyn","given":"Anne","non-dropping-particle":"","parse-names":false,"suffix":""},{"dropping-particle":"","family":"Farret","given":"Anne","non-dropping-particle":"","parse-names":false,"suffix":""},{"dropping-particle":"","family":"Vriesendorp","given":"Titia","non-dropping-particle":"","parse-names":false,"suffix":""},{"dropping-particle":"","family":"Immeker-de Jong","given":"Folkje","non-dropping-particle":"","parse-names":false,"suffix":""},{"dropping-particle":"","family":"Linden","given":"Joke","non-dropping-particle":"van der","parse-names":false,"suffix":""},{"dropping-particle":"","family":"Brink","given":"Huguette S.","non-dropping-particle":"","parse-names":false,"suffix":""},{"dropping-particle":"","family":"Alkemade","given":"Marije","non-dropping-particle":"","parse-names":false,"suffix":""},{"dropping-particle":"","family":"Schaepelynck-Belicar","given":"Pauline","non-dropping-particle":"","parse-names":false,"suffix":""},{"dropping-particle":"","family":"Galie","given":"Sébastien","non-dropping-particle":"","parse-names":false,"suffix":""},{"dropping-particle":"","family":"Tréglia","given":"Clémence","non-dropping-particle":"","parse-names":false,"suffix":""},{"dropping-particle":"","family":"Benhamou","given":"Pierre-Yves","non-dropping-particle":"","parse-names":false,"suffix":""},{"dropping-particle":"","family":"Haddouche","given":"Myriam","non-dropping-particle":"","parse-names":false,"suffix":""},{"dropping-particle":"","family":"Hoogma","given":"Roel","non-dropping-particle":"","parse-names":false,"suffix":""},{"dropping-particle":"","family":"Leelarathna","given":"Lalantha","non-dropping-particle":"","parse-names":false,"suffix":""},{"dropping-particle":"","family":"Shaju","given":"Angel","non-dropping-particle":"","parse-names":false,"suffix":""},{"dropping-particle":"","family":"James","given":"Linda","non-dropping-particle":"","parse-names":false,"suffix":""}],"container-title":"The Lancet Diabetes &amp; Endocrinology","id":"ITEM-3","issue":"6","issued":{"date-parts":[["2019"]]},"language":"eng","page":"462-472","publisher-place":"England","title":"Efficacy and safety of suspend-before-low insulin pump technology in hypoglycaemia-prone adults with type 1 diabetes (SMILE): an open-label randomised controlled trial","type":"article-journal","volume":"7"},"uris":["http://www.mendeley.com/documents/?uuid=df034238-5779-4080-b5c4-29614b1b49c9"]},{"id":"ITEM-4","itemData":{"ISSN":"01406736","PMID":"29459019","abstract":"BACKGROUND: The effectiveness of real-time continuous glucose monitoring (rtCGM) in avoidance of hypoglycaemia among high-risk individuals with type 1 diabetes treated with multiple daily insulin injections (MDI) is unknown. We aimed to ascertain whether the incidence and severity of hypoglycaemia can be reduced through use of rtCGM in these individuals. METHODS: The HypoDE study was a 6-month, multicentre, open-label, parallel, randomised controlled trial done at 12 diabetes practices in Germany. Eligible participants had type 1 diabetes and a history of impaired hypoglycaemia awareness or severe hypoglycaemia during the previous year. All participants wore a masked rtCGM system for 28 days and were then randomly assigned to 26 weeks of unmasked rtCGM (Dexcom G5 Mobile system) or to the control group (continuing with self-monitoring of blood glucose). Block randomisation with 1:1 allocation was done centrally, with the study site as the stratifying variable. Masking of participants and study sites was not possible. Control participants wore a masked rtCGM system during the follow-up phase (weeks 22-26). The primary outcome was the baseline-adjusted number of hypoglycaemic events (defined as glucose &lt;/=3.0 mmol/L for &gt;/=20 min) during the follow-up phase. The full dataset analysis comprised participants who wore the rtCGM system during the baseline and follow-up phases. The intention-to-treat analysis comprised all randomised participants. This trial is registered with ClinicalTrials.gov, number NCT02671968. FINDINGS: Between March 4, 2016, and Jan 12, 2017, 149 participants were randomly assigned (n=74 to the control group; n=75 to the rtCGM group) and 141 completed the follow-up phase (n=66 in the control group, n=75 in the rtCGM group). The mean number of hypoglycaemic events per 28 days among participants in the rtCGM group was reduced from 10.8 (SD 10.0) to 3.5 (4.7); reductions among control participants were negligible (from 14.4 [12.4] to 13.7 [11.6]). Incidence of hypoglycaemic events decreased by 72% for participants in the rtCGM group (incidence rate ratio 0.28 [95% CI 0.20-0.39], p&lt;0.0001). 18 serious adverse events were reported: seven in the control group, ten in the rtCGM group, and one before randomisation. No event was considered to be related to the investigational device. INTERPRETATION: Usage of rtCGM reduced the number of hypoglycaemic events in individuals with type 1 diabetes treated by MDI and with impaired hypoglycaemia awarenes…","author":[{"dropping-particle":"","family":"Heinemann","given":"Lutz","non-dropping-particle":"","parse-names":false,"suffix":""},{"dropping-particle":"","family":"Freckmann","given":"Guido","non-dropping-particle":"","parse-names":false,"suffix":""},{"dropping-particle":"","family":"Ehrmann","given":"Dominic","non-dropping-particle":"","parse-names":false,"suffix":""},{"dropping-particle":"","family":"Faber-Heinemann","given":"Gabriele","non-dropping-particle":"","parse-names":false,"suffix":""},{"dropping-particle":"","family":"Guerra","given":"Stefania","non-dropping-particle":"","parse-names":false,"suffix":""},{"dropping-particle":"","family":"Waldenmaier","given":"Delia","non-dropping-particle":"","parse-names":false,"suffix":""},{"dropping-particle":"","family":"Hermanns","given":"Norbert","non-dropping-particle":"","parse-names":false,"suffix":""}],"container-title":"The Lancet","id":"ITEM-4","issue":"10128","issued":{"date-parts":[["2018"]]},"language":"eng","page":"1367-1377","publisher-place":"England","title":"Real-time continuous glucose monitoring in adults with type 1 diabetes and impaired hypoglycaemia awareness or severe hypoglycaemia treated with multiple daily insulin injections (HypoDE): a multicentre, randomised controlled trial","type":"article-journal","volume":"391"},"uris":["http://www.mendeley.com/documents/?uuid=5d56050b-a7e3-48e1-8116-2083968a4bd9"]},{"id":"ITEM-5","itemData":{"ISSN":"1432-0428 (Electronic)","PMID":"22965294","abstract":"AIMS/HYPOTHESIS: The aim of this multicentre, randomised, controlled crossover study was to determine the efficacy of adding continuous glucose monitoring (CGM) to insulin pump therapy (CSII) in type 1 diabetes. METHODS: Children and adults (n = 153) on CSII with HbA(1c) 7.5-9.5% (58.5-80.3 mmol/mol) were randomised to (CGM) a Sensor On or Sensor Off arm for 6 months. After 4 months' washout, participants crossed over to the other arm for 6 months. Paediatric and adult participants were separately electronically randomised through the case report form according to a predefined randomisation sequence in eight secondary and tertiary centres. The primary outcome was the difference in HbA(1c) levels between arms after 6 months. RESULTS: Seventy-seven participants were randomised to the On/Off sequence and 76 to the Off/On sequence; all were included in the primary analysis. The mean difference in HbA(1c) was -0.43% (-4.74 mmol/mol) in favour of the Sensor On arm (8.04% [64.34 mmol/mol] vs 8.47% [69.08 mmol/mol]; 95% CI -0.32%, -0.55% [-3.50, -6.01 mmol/mol]; p &lt; 0.001). Following cessation of glucose sensing, HbA(1c) reverted to baseline levels. Less time was spent with sensor glucose &lt;3.9 mmol/l during the Sensor On arm than in the Sensor Off arm (19 vs 31 min/day; p = 0.009). The mean number of daily boluses increased in the Sensor On arm (6.8 +/- 2.5 vs 5.8 +/- 1.9, p &lt; 0.0001), together with the frequency of use of the temporary basal rate (0.75 +/- 1.11 vs 0.26 +/- 0.47, p &lt; 0.0001) and manual insulin suspend (0.91 +/- 1.25 vs 0.70 +/- 0.75, p &lt; 0.018) functions. Four vs two events of severe hypoglycaemia occurred in the Sensor On and Sensor Off arm, respectively (p = 0.40). CONCLUSIONS/INTERPRETATION: Continuous glucose monitoring was associated with decreased HbA(1c) levels and time spent in hypoglycaemia in individuals with type 1 diabetes using CSII. More frequent self-adjustments of insulin therapy may have contributed to these effects.","author":[{"dropping-particle":"","family":"Battelino","given":"T","non-dropping-particle":"","parse-names":false,"suffix":""},{"dropping-particle":"","family":"Conget","given":"I","non-dropping-particle":"","parse-names":false,"suffix":""},{"dropping-particle":"","family":"Olsen","given":"B","non-dropping-particle":"","parse-names":false,"suffix":""},{"dropping-particle":"","family":"Schutz-Fuhrmann","given":"I","non-dropping-particle":"","parse-names":false,"suffix":""},{"dropping-particle":"","family":"Hommel","given":"E","non-dropping-particle":"","parse-names":false,"suffix":""},{"dropping-particle":"","family":"Hoogma","given":"R","non-dropping-particle":"","parse-names":false,"suffix":""},{"dropping-particle":"","family":"Schierloh","given":"U","non-dropping-particle":"","parse-names":false,"suffix":""},{"dropping-particle":"","family":"Sulli","given":"N","non-dropping-particle":"","parse-names":false,"suffix":""},{"dropping-particle":"","family":"Bolinder","given":"J","non-dropping-particle":"","parse-names":false,"suffix":""}],"container-title":"Diabetologia","id":"ITEM-5","issue":"12","issued":{"date-parts":[["2012"]]},"language":"eng","page":"3155-3162","publisher-place":"Germany","title":"The use and efficacy of continuous glucose monitoring in type 1 diabetes treated with insulin pump therapy: a randomised controlled trial.","type":"article-journal","volume":"55"},"uris":["http://www.mendeley.com/documents/?uuid=6096595b-536e-4409-b762-ab1d4ec285b4"]}],"mendeley":{"formattedCitation":"(9,10,12–14)","plainTextFormattedCitation":"(9,10,12–14)","previouslyFormattedCitation":"(9,10,12–14)"},"properties":{"noteIndex":0},"schema":"https://github.com/citation-style-language/schema/raw/master/csl-citation.json"}</w:instrText>
      </w:r>
      <w:r w:rsidR="005741ED" w:rsidRPr="001D29F8">
        <w:rPr>
          <w:rFonts w:ascii="Arial" w:hAnsi="Arial" w:cs="Arial"/>
          <w:sz w:val="24"/>
          <w:szCs w:val="24"/>
          <w:lang w:val="en-US"/>
        </w:rPr>
        <w:fldChar w:fldCharType="separate"/>
      </w:r>
      <w:r w:rsidR="00EE12F7" w:rsidRPr="001D29F8">
        <w:rPr>
          <w:rFonts w:ascii="Arial" w:hAnsi="Arial" w:cs="Arial"/>
          <w:noProof/>
          <w:sz w:val="24"/>
          <w:szCs w:val="24"/>
          <w:lang w:val="en-US"/>
        </w:rPr>
        <w:t>(9,10,12–14)</w:t>
      </w:r>
      <w:r w:rsidR="005741ED" w:rsidRPr="001D29F8">
        <w:rPr>
          <w:rFonts w:ascii="Arial" w:hAnsi="Arial" w:cs="Arial"/>
          <w:sz w:val="24"/>
          <w:szCs w:val="24"/>
          <w:lang w:val="en-US"/>
        </w:rPr>
        <w:fldChar w:fldCharType="end"/>
      </w:r>
      <w:r w:rsidR="00905F9F" w:rsidRPr="001D29F8">
        <w:rPr>
          <w:rFonts w:ascii="Arial" w:hAnsi="Arial" w:cs="Arial"/>
          <w:sz w:val="24"/>
          <w:szCs w:val="24"/>
          <w:lang w:val="en-US"/>
        </w:rPr>
        <w:t>.</w:t>
      </w:r>
      <w:r w:rsidR="00734CF1" w:rsidRPr="001D29F8">
        <w:rPr>
          <w:rFonts w:ascii="Arial" w:hAnsi="Arial" w:cs="Arial"/>
          <w:sz w:val="24"/>
          <w:szCs w:val="24"/>
          <w:lang w:val="en-US"/>
        </w:rPr>
        <w:t xml:space="preserve"> Indeed, our population gradually transitioned to </w:t>
      </w:r>
      <w:r w:rsidR="0003670B" w:rsidRPr="001D29F8">
        <w:rPr>
          <w:rFonts w:ascii="Arial" w:hAnsi="Arial" w:cs="Arial"/>
          <w:sz w:val="24"/>
          <w:szCs w:val="24"/>
          <w:lang w:val="en-US"/>
        </w:rPr>
        <w:t xml:space="preserve">devices with </w:t>
      </w:r>
      <w:r w:rsidR="00734CF1" w:rsidRPr="001D29F8">
        <w:rPr>
          <w:rFonts w:ascii="Arial" w:hAnsi="Arial" w:cs="Arial"/>
          <w:sz w:val="24"/>
          <w:szCs w:val="24"/>
          <w:lang w:val="en-US"/>
        </w:rPr>
        <w:t>more advanced algorithms</w:t>
      </w:r>
      <w:r w:rsidR="0003670B" w:rsidRPr="001D29F8">
        <w:rPr>
          <w:rFonts w:ascii="Arial" w:hAnsi="Arial" w:cs="Arial"/>
          <w:sz w:val="24"/>
          <w:szCs w:val="24"/>
          <w:lang w:val="en-US"/>
        </w:rPr>
        <w:t xml:space="preserve"> as they were introduced onto the market during the duration of the study, which could have led to people being able to further prevent hypoglycemia</w:t>
      </w:r>
      <w:r w:rsidR="00551F92">
        <w:rPr>
          <w:rFonts w:ascii="Arial" w:hAnsi="Arial" w:cs="Arial"/>
          <w:sz w:val="24"/>
          <w:szCs w:val="24"/>
          <w:lang w:val="en-US"/>
        </w:rPr>
        <w:t>.</w:t>
      </w:r>
      <w:r w:rsidR="0003670B" w:rsidRPr="001D29F8">
        <w:rPr>
          <w:rFonts w:ascii="Arial" w:hAnsi="Arial" w:cs="Arial"/>
          <w:sz w:val="24"/>
          <w:szCs w:val="24"/>
          <w:lang w:val="en-US"/>
        </w:rPr>
        <w:t xml:space="preserve"> </w:t>
      </w:r>
      <w:r w:rsidR="00551F92">
        <w:rPr>
          <w:rFonts w:ascii="Arial" w:hAnsi="Arial" w:cs="Arial"/>
          <w:sz w:val="24"/>
          <w:szCs w:val="24"/>
          <w:lang w:val="en-US"/>
        </w:rPr>
        <w:t>H</w:t>
      </w:r>
      <w:r w:rsidR="0003670B" w:rsidRPr="001D29F8">
        <w:rPr>
          <w:rFonts w:ascii="Arial" w:hAnsi="Arial" w:cs="Arial"/>
          <w:sz w:val="24"/>
          <w:szCs w:val="24"/>
          <w:lang w:val="en-US"/>
        </w:rPr>
        <w:t>owever, no difference was observed in number of people who sufficiently reached targets for TIR and time in hyperglycemia.</w:t>
      </w:r>
      <w:r w:rsidR="002C520B" w:rsidRPr="001D29F8">
        <w:rPr>
          <w:rFonts w:ascii="Arial" w:hAnsi="Arial" w:cs="Arial"/>
          <w:sz w:val="24"/>
          <w:szCs w:val="24"/>
          <w:lang w:val="en-US"/>
        </w:rPr>
        <w:t xml:space="preserve"> We even observed a small trend toward</w:t>
      </w:r>
      <w:r w:rsidR="004E71F4" w:rsidRPr="001D29F8">
        <w:rPr>
          <w:rFonts w:ascii="Arial" w:hAnsi="Arial" w:cs="Arial"/>
          <w:sz w:val="24"/>
          <w:szCs w:val="24"/>
          <w:lang w:val="en-US"/>
        </w:rPr>
        <w:t>s</w:t>
      </w:r>
      <w:r w:rsidR="002C520B" w:rsidRPr="001D29F8">
        <w:rPr>
          <w:rFonts w:ascii="Arial" w:hAnsi="Arial" w:cs="Arial"/>
          <w:sz w:val="24"/>
          <w:szCs w:val="24"/>
          <w:lang w:val="en-US"/>
        </w:rPr>
        <w:t xml:space="preserve"> less people achieving targets for TIR and hyperglycemia, an observation that has been previously described in studies with sens</w:t>
      </w:r>
      <w:r w:rsidR="00B35D12" w:rsidRPr="001D29F8">
        <w:rPr>
          <w:rFonts w:ascii="Arial" w:hAnsi="Arial" w:cs="Arial"/>
          <w:sz w:val="24"/>
          <w:szCs w:val="24"/>
          <w:lang w:val="en-US"/>
        </w:rPr>
        <w:t>or-augmented pumps with the low-</w:t>
      </w:r>
      <w:r w:rsidR="002C520B" w:rsidRPr="001D29F8">
        <w:rPr>
          <w:rFonts w:ascii="Arial" w:hAnsi="Arial" w:cs="Arial"/>
          <w:sz w:val="24"/>
          <w:szCs w:val="24"/>
          <w:lang w:val="en-US"/>
        </w:rPr>
        <w:t xml:space="preserve">glucose predictive suspend feature </w:t>
      </w:r>
      <w:r w:rsidR="002C520B"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{"citationItems":[{"id":"ITEM-1","itemData":{"ISSN":"1935-5548 (Electronic)","PMID":"28351897","abstract":"OBJECTIVE: To investigate whether predictive low glucose management (PLGM) of the MiniMed 640G system significantly reduces the rate of hypoglycemia compared with the sensor-augmented insulin pump in children with type 1 diabetes. RESEARCH DESIGN AND METHODS: This randomized, two-arm, parallel, controlled, two-center open-label study included 100 children and adolescents with type 1 diabetes and glycated hemoglobin A1c &lt;/=10% (&lt;/=86 mmol/mol) and using continuous subcutaneous insulin infusion. Patients were randomly assigned to either an intervention group with PLGM features enabled (PLGM ON) or a control group (PLGM OFF), in a 1:1 ratio, all using the same type of sensor-augmented insulin pump. The primary end point was the number of hypoglycemic events below 65 mg/dL (3.6 mmol/L), based on sensor glucose readings, during a 14-day study treatment. The analysis was performed by intention to treat for all randomized patients. RESULTS: The number of hypoglycemic events below 65 mg/dL (3.6 mmol/L) was significantly smaller in the PLGM ON compared with the PLGM OFF group (mean +/- SD 4.4 +/- 4.5 and 7.4 +/- 6.3, respectively; P = 0.008). This was also true when calculated separately for night (P = 0.025) and day (P = 0.022). No severe hypoglycemic events occurred; however, there was a significant increase in time spent above 140 mg/dL (7.8 mmol/L) in the PLGM ON group (P = 0.0165). CONCLUSIONS: The PLGM insulin suspension was associated with a significantly reduced number of hypoglycemic events. Although this was achieved at the expense of increased time in moderate hyperglycemia, there were no serious adverse effects in young patients with type 1 diabetes.","author":[{"dropping-particle":"","family":"Battelino","given":"Tadej","non-dropping-particle":"","parse-names":false,"suffix":""},{"dropping-particle":"","family":"Nimri","given":"Revital","non-dropping-particle":"","parse-names":false,"suffix":""},{"dropping-particle":"","family":"Dovc","given":"Klemen","non-dropping-particle":"","parse-names":false,"suffix":""},{"dropping-particle":"","family":"Phillip","given":"Moshe","non-dropping-particle":"","parse-names":false,"suffix":""},{"dropping-particle":"","family":"Bratina","given":"Natasa","non-dropping-particle":"","parse-names":false,"suffix":""}],"container-title":"Diabetes care","id":"ITEM-1","issue":"6","issued":{"date-parts":[["2017"]]},"language":"eng","page":"764-770","publisher-place":"United States","title":"Prevention of Hypoglycemia With Predictive Low Glucose Insulin Suspension in Children With Type 1 Diabetes: A Randomized Controlled Trial.","type":"article-journal","volume":"40"},"uris":["http://www.mendeley.com/documents/?uuid=8408ef55-225e-421d-82fa-0ea1cce09468"]},{"id":"ITEM-2","itemData":{"ISSN":"1557-8593 (Electronic)","PMID":"28099035","abstract":"BACKGROUND: A sensor-augmented insulin pump (SAP) using the MiniMed(®) 640G system with SmartGuard™ technology allows an automatic stop of insulin delivery based on prediction of low glucose levels. Since pediatric patients are particularly prone to hypoglycemia, this device may offer additional protection beyond conventional sensor-augmented therapy. METHODS: This prospective, pediatric multicenter user evaluation assessed 6 weeks of SAP with SmartGuard (threshold setting for hypoglycemia: 70 mg/dL) compared to a preceding period of 2 weeks with SAP only. The primary outcome was the potential reduction in the frequency of hypoglycemic episodes and hypoglycemic intensity (area under the curve [AUC] and time &lt;70 mg/dL). RESULTS: The study included 24 patients with at least 3 months of insulin pump use (average age: 11.6 ± 5.1 years, 15 female, average type 1 diabetes duration: 7.5 ± 4.2 years, mean ± SD) who had on average 3.2 ± 1.0 predictive suspensions/patient/day. The mean sensor glucose minimum during suspension was 78 ± 6 mg/dL and the average suspension time was 155 ± 47 min/day. Use of SmartGuard in patients treated as per the protocol (n = 18) reduced the number of instances in which the glucose level was &lt;70 mg/dL (1.02 ± 0.52 to 0.72 ± 0.36; P = 0.027), as well as AUC &lt;70 mg/dL (0.76 ± 0.73 to 0.38 ± 0.24; P = 0.027) and the time/day the level fell below 70 mg/dL (73 ± 56 to 31 ± 22 min). The reduction of hypoglycemia was not associated with a significant change in mean glucose concentration (171 ± 26 to 180 ± 19 mg/dL, P = 0.111) and HbA1c (7.5% ± 0.5% to 7.6% ± 0.7%, (P = 0.329). Manual resumption of insulin delivery followed by carbohydrate intake resulted in significantly higher glucose levels 1 h after suspension compared to SmartGuard suspensions with automatic resume (190.8 ± 26.5 vs. 138.7 ± 10.3 mg/dL; P &lt; 0.001). CONCLUSIONS: SmartGuard technology significantly reduced the risk for hypoglycemia in pediatric type 1 diabetes patients without increasing HbA1c. Patients must be educated that when using combining predictive low-glucose insulin suspension technology, extra carbohydrate intake in response to an alarm combined with manual resumption is likely to cause rebound hyperglycemia. The best results were achieved when the user did not interfere with pump operation.","author":[{"dropping-particle":"","family":"Biester","given":"Torben","non-dropping-particle":"","parse-names":false,"suffix":""},{"dropping-particle":"","family":"Kordonouri","given":"Olga","non-dropping-particle":"","parse-names":false,"suffix":""},{"dropping-particle":"","family":"Holder","given":"Martin","non-dropping-particle":"","parse-names":false,"suffix":""},{"dropping-particle":"","family":"Remus","given":"Kerstin","non-dropping-particle":"","parse-names":false,"suffix":""},{"dropping-particle":"","family":"Kieninger-Baum","given":"Dorothee","non-dropping-particle":"","parse-names":false,"suffix":""},{"dropping-particle":"","family":"Wadien","given":"Tanja","non-dropping-particle":"","parse-names":false,"suffix":""},{"dropping-particle":"","family":"Danne","given":"Thomas","non-dropping-particle":"","parse-names":false,"suffix":""}],"container-title":"Diabetes technology &amp; therapeutics","id":"ITEM-2","issue":"3","issued":{"date-parts":[["2017"]]},"language":"eng","page":"173-182","title":"\"Let the Algorithm Do the Work\": Reduction of Hypoglycemia Using Sensor-Augmented Pump Therapy with Predictive Insulin Suspension (SmartGuard) in Pediatric Type 1 Diabetes Patients.","type":"article-journal","volume":"19"},"uris":["http://www.mendeley.com/documents/?uuid=2ba9b118-965c-4dd7-99fb-51e9cc61a466"]}],"mendeley":{"formattedCitation":"(33,34)","plainTextFormattedCitation":"(33,34)","previouslyFormattedCitation":"(33,34)"},"properties":{"noteIndex":0},"schema":"https://github.com/citation-style-language/schema/raw/master/csl-citation.json"}</w:instrText>
      </w:r>
      <w:r w:rsidR="002C520B" w:rsidRPr="001D29F8">
        <w:rPr>
          <w:rFonts w:ascii="Arial" w:hAnsi="Arial" w:cs="Arial"/>
          <w:sz w:val="24"/>
          <w:szCs w:val="24"/>
          <w:lang w:val="en-US"/>
        </w:rPr>
        <w:fldChar w:fldCharType="separate"/>
      </w:r>
      <w:r w:rsidR="001644B2" w:rsidRPr="001D29F8">
        <w:rPr>
          <w:rFonts w:ascii="Arial" w:hAnsi="Arial" w:cs="Arial"/>
          <w:noProof/>
          <w:sz w:val="24"/>
          <w:szCs w:val="24"/>
          <w:lang w:val="en-US"/>
        </w:rPr>
        <w:t>(33,34)</w:t>
      </w:r>
      <w:r w:rsidR="002C520B" w:rsidRPr="001D29F8">
        <w:rPr>
          <w:rFonts w:ascii="Arial" w:hAnsi="Arial" w:cs="Arial"/>
          <w:sz w:val="24"/>
          <w:szCs w:val="24"/>
          <w:lang w:val="en-US"/>
        </w:rPr>
        <w:fldChar w:fldCharType="end"/>
      </w:r>
      <w:r w:rsidR="002C520B" w:rsidRPr="001D29F8">
        <w:rPr>
          <w:rFonts w:ascii="Arial" w:hAnsi="Arial" w:cs="Arial"/>
          <w:sz w:val="24"/>
          <w:szCs w:val="24"/>
          <w:lang w:val="en-US"/>
        </w:rPr>
        <w:t>.</w:t>
      </w:r>
      <w:r w:rsidR="002F0911" w:rsidRPr="001D29F8">
        <w:rPr>
          <w:rFonts w:ascii="Arial" w:hAnsi="Arial" w:cs="Arial"/>
          <w:sz w:val="24"/>
          <w:szCs w:val="24"/>
          <w:lang w:val="en-US"/>
        </w:rPr>
        <w:t xml:space="preserve"> A possible reason for this finding may be attributed to how the patient manages a predictive insulin pump suspension, namely the consumption of carbohydrates in addition to insulin suspension to cor</w:t>
      </w:r>
      <w:r w:rsidR="007E21F1" w:rsidRPr="001D29F8">
        <w:rPr>
          <w:rFonts w:ascii="Arial" w:hAnsi="Arial" w:cs="Arial"/>
          <w:sz w:val="24"/>
          <w:szCs w:val="24"/>
          <w:lang w:val="en-US"/>
        </w:rPr>
        <w:t xml:space="preserve">rect for a future hypoglycemia </w:t>
      </w:r>
      <w:r w:rsidR="00035B7D"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{"citationItems":[{"id":"ITEM-1","itemData":{"ISSN":"1557-8593 (Electronic)","PMID":"28099035","abstract":"BACKGROUND: A sensor-augmented insulin pump (SAP) using the MiniMed(®) 640G system with SmartGuard™ technology allows an automatic stop of insulin delivery based on prediction of low glucose levels. Since pediatric patients are particularly prone to hypoglycemia, this device may offer additional protection beyond conventional sensor-augmented therapy. METHODS: This prospective, pediatric multicenter user evaluation assessed 6 weeks of SAP with SmartGuard (threshold setting for hypoglycemia: 70 mg/dL) compared to a preceding period of 2 weeks with SAP only. The primary outcome was the potential reduction in the frequency of hypoglycemic episodes and hypoglycemic intensity (area under the curve [AUC] and time &lt;70 mg/dL). RESULTS: The study included 24 patients with at least 3 months of insulin pump use (average age: 11.6 ± 5.1 years, 15 female, average type 1 diabetes duration: 7.5 ± 4.2 years, mean ± SD) who had on average 3.2 ± 1.0 predictive suspensions/patient/day. The mean sensor glucose minimum during suspension was 78 ± 6 mg/dL and the average suspension time was 155 ± 47 min/day. Use of SmartGuard in patients treated as per the protocol (n = 18) reduced the number of instances in which the glucose level was &lt;70 mg/dL (1.02 ± 0.52 to 0.72 ± 0.36; P = 0.027), as well as AUC &lt;70 mg/dL (0.76 ± 0.73 to 0.38 ± 0.24; P = 0.027) and the time/day the level fell below 70 mg/dL (73 ± 56 to 31 ± 22 min). The reduction of hypoglycemia was not associated with a significant change in mean glucose concentration (171 ± 26 to 180 ± 19 mg/dL, P = 0.111) and HbA1c (7.5% ± 0.5% to 7.6% ± 0.7%, (P = 0.329). Manual resumption of insulin delivery followed by carbohydrate intake resulted in significantly higher glucose levels 1 h after suspension compared to SmartGuard suspensions with automatic resume (190.8 ± 26.5 vs. 138.7 ± 10.3 mg/dL; P &lt; 0.001). CONCLUSIONS: SmartGuard technology significantly reduced the risk for hypoglycemia in pediatric type 1 diabetes patients without increasing HbA1c. Patients must be educated that when using combining predictive low-glucose insulin suspension technology, extra carbohydrate intake in response to an alarm combined with manual resumption is likely to cause rebound hyperglycemia. The best results were achieved when the user did not interfere with pump operation.","author":[{"dropping-particle":"","family":"Biester","given":"Torben","non-dropping-particle":"","parse-names":false,"suffix":""},{"dropping-particle":"","family":"Kordonouri","given":"Olga","non-dropping-particle":"","parse-names":false,"suffix":""},{"dropping-particle":"","family":"Holder","given":"Martin","non-dropping-particle":"","parse-names":false,"suffix":""},{"dropping-particle":"","family":"Remus","given":"Kerstin","non-dropping-particle":"","parse-names":false,"suffix":""},{"dropping-particle":"","family":"Kieninger-Baum","given":"Dorothee","non-dropping-particle":"","parse-names":false,"suffix":""},{"dropping-particle":"","family":"Wadien","given":"Tanja","non-dropping-particle":"","parse-names":false,"suffix":""},{"dropping-particle":"","family":"Danne","given":"Thomas","non-dropping-particle":"","parse-names":false,"suffix":""}],"container-title":"Diabetes technology &amp; therapeutics","id":"ITEM-1","issue":"3","issued":{"date-parts":[["2017"]]},"language":"eng","page":"173-182","title":"\"Let the Algorithm Do the Work\": Reduction of Hypoglycemia Using Sensor-Augmented Pump Therapy with Predictive Insulin Suspension (SmartGuard) in Pediatric Type 1 Diabetes Patients.","type":"article-journal","volume":"19"},"uris":["http://www.mendeley.com/documents/?uuid=2ba9b118-965c-4dd7-99fb-51e9cc61a466"]}],"mendeley":{"formattedCitation":"(34)","plainTextFormattedCitation":"(34)","previouslyFormattedCitation":"(34)"},"properties":{"noteIndex":0},"schema":"https://github.com/citation-style-language/schema/raw/master/csl-citation.json"}</w:instrText>
      </w:r>
      <w:r w:rsidR="00035B7D" w:rsidRPr="001D29F8">
        <w:rPr>
          <w:rFonts w:ascii="Arial" w:hAnsi="Arial" w:cs="Arial"/>
          <w:sz w:val="24"/>
          <w:szCs w:val="24"/>
          <w:lang w:val="en-US"/>
        </w:rPr>
        <w:fldChar w:fldCharType="separate"/>
      </w:r>
      <w:r w:rsidR="001644B2" w:rsidRPr="001D29F8">
        <w:rPr>
          <w:rFonts w:ascii="Arial" w:hAnsi="Arial" w:cs="Arial"/>
          <w:noProof/>
          <w:sz w:val="24"/>
          <w:szCs w:val="24"/>
          <w:lang w:val="en-US"/>
        </w:rPr>
        <w:t>(34)</w:t>
      </w:r>
      <w:r w:rsidR="00035B7D" w:rsidRPr="001D29F8">
        <w:rPr>
          <w:rFonts w:ascii="Arial" w:hAnsi="Arial" w:cs="Arial"/>
          <w:sz w:val="24"/>
          <w:szCs w:val="24"/>
          <w:lang w:val="en-US"/>
        </w:rPr>
        <w:fldChar w:fldCharType="end"/>
      </w:r>
      <w:r w:rsidR="007E21F1" w:rsidRPr="001D29F8">
        <w:rPr>
          <w:rFonts w:ascii="Arial" w:hAnsi="Arial" w:cs="Arial"/>
          <w:sz w:val="24"/>
          <w:szCs w:val="24"/>
          <w:lang w:val="en-US"/>
        </w:rPr>
        <w:t>.</w:t>
      </w:r>
    </w:p>
    <w:p w14:paraId="2CD10C73" w14:textId="4F2BCEA2" w:rsidR="008327EE" w:rsidRPr="001D29F8" w:rsidRDefault="008327EE" w:rsidP="001D29F8">
      <w:pPr>
        <w:spacing w:line="480" w:lineRule="auto"/>
        <w:jc w:val="both"/>
        <w:rPr>
          <w:rFonts w:ascii="Arial" w:hAnsi="Arial" w:cs="Arial"/>
          <w:sz w:val="24"/>
          <w:szCs w:val="24"/>
          <w:lang w:val="en-US"/>
        </w:rPr>
      </w:pPr>
      <w:r w:rsidRPr="001D29F8">
        <w:rPr>
          <w:rFonts w:ascii="Arial" w:hAnsi="Arial" w:cs="Arial"/>
          <w:sz w:val="24"/>
          <w:szCs w:val="24"/>
          <w:lang w:val="en-US"/>
        </w:rPr>
        <w:t xml:space="preserve">We also incorporated quality of life questionnaires, which are important patient-reported outcome measures that provide us with qualitative information regarding the impact on daily life, and are powerful tools to inform other patients, clinicians, and policy-makers </w:t>
      </w:r>
      <w:r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{"citationItems":[{"id":"ITEM-1","itemData":{"ISSN":"2229-5488 (Electronic)","PMID":"22145124","abstract":"Now-a-days there is significant discussion about patient-reported outcomes (PRO) in medical world. The following article covers almost all the areas of PRO including-their importance, important concepts for understanding of PRO, significance, ideal properties, types, development and evaluation of PRO instruments. It is useful for physicians, pharmacists and patients for the assessment and improvement of the therapy.","author":[{"dropping-particle":"","family":"Deshpande","given":"Prasanna R","non-dropping-particle":"","parse-names":false,"suffix":""},{"dropping-particle":"","family":"Rajan","given":"Surulivel","non-dropping-particle":"","parse-names":false,"suffix":""},{"dropping-particle":"","family":"Sudeepthi","given":"B Lakshmi","non-dropping-particle":"","parse-names":false,"suffix":""},{"dropping-particle":"","family":"Abdul Nazir","given":"C P","non-dropping-particle":"","parse-names":false,"suffix":""}],"container-title":"Perspectives in clinical research","id":"ITEM-1","issue":"4","issued":{"date-parts":[["2011"]]},"language":"eng","page":"137-144","title":"Patient-reported outcomes: A new era in clinical research.","type":"article-journal","volume":"2"},"uris":["http://www.mendeley.com/documents/?uuid=2d80945e-9a40-4193-aaaa-200d51ce0cdf"]}],"mendeley":{"formattedCitation":"(35)","plainTextFormattedCitation":"(35)","previouslyFormattedCitation":"(35)"},"properties":{"noteIndex":0},"schema":"https://github.com/citation-style-language/schema/raw/master/csl-citation.json"}</w:instrText>
      </w:r>
      <w:r w:rsidRPr="001D29F8">
        <w:rPr>
          <w:rFonts w:ascii="Arial" w:hAnsi="Arial" w:cs="Arial"/>
          <w:sz w:val="24"/>
          <w:szCs w:val="24"/>
          <w:lang w:val="en-US"/>
        </w:rPr>
        <w:fldChar w:fldCharType="separate"/>
      </w:r>
      <w:r w:rsidR="001644B2" w:rsidRPr="001D29F8">
        <w:rPr>
          <w:rFonts w:ascii="Arial" w:hAnsi="Arial" w:cs="Arial"/>
          <w:noProof/>
          <w:sz w:val="24"/>
          <w:szCs w:val="24"/>
          <w:lang w:val="en-US"/>
        </w:rPr>
        <w:t>(35)</w:t>
      </w:r>
      <w:r w:rsidRPr="001D29F8">
        <w:rPr>
          <w:rFonts w:ascii="Arial" w:hAnsi="Arial" w:cs="Arial"/>
          <w:sz w:val="24"/>
          <w:szCs w:val="24"/>
          <w:lang w:val="en-US"/>
        </w:rPr>
        <w:fldChar w:fldCharType="end"/>
      </w:r>
      <w:r w:rsidRPr="001D29F8">
        <w:rPr>
          <w:rFonts w:ascii="Arial" w:hAnsi="Arial" w:cs="Arial"/>
          <w:sz w:val="24"/>
          <w:szCs w:val="24"/>
          <w:lang w:val="en-US"/>
        </w:rPr>
        <w:t xml:space="preserve">. Management of type 1 diabetes is a daily task with a considerable burden on quality of daily living. The main driver of this burden is hypoglycemia, as it can have a negative impact on relationships, sleep quality, employment, and body image due to heightened levels of stress and anxiety </w:t>
      </w:r>
      <w:r w:rsidRPr="001D29F8">
        <w:rPr>
          <w:rFonts w:ascii="Arial" w:hAnsi="Arial" w:cs="Arial"/>
          <w:sz w:val="24"/>
          <w:szCs w:val="24"/>
          <w:lang w:val="en-US"/>
        </w:rPr>
        <w:fldChar w:fldCharType="begin" w:fldLock="1"/>
      </w:r>
      <w:r w:rsidRPr="001D29F8">
        <w:rPr>
          <w:rFonts w:ascii="Arial" w:hAnsi="Arial" w:cs="Arial"/>
          <w:sz w:val="24"/>
          <w:szCs w:val="24"/>
          <w:lang w:val="en-US"/>
        </w:rPr>
        <w:instrText>ADDIN CSL_CITATION {"citationItems":[{"id":"ITEM-1","itemData":{"ISSN":"1520-7552 (Print)","PMID":"18088077","abstract":"Hypoglycaemia is the commonest side-effect of insulin treatment for diabetes, and is the single greatest barrier to achieving and maintaining good glycaemic control. Severe hypoglycaemia (requiring assistance for recovery) is associated with significant morbidity and is feared by most people with type 1 diabetes and their families. It causes stress and anxiety and may influence self-management and glycaemic control. The annual prevalence of severe hypoglycaemia is around 30% in people with type 1 diabetes, and is higher in those with risk factors such as strict glycaemic control, impaired awareness of hypoglycaemia and increasing duration of diabetes. It is also common during sleep (nocturnal hypoglycaemia). Neurological manifestations include coma, convulsions, transient hemiparesis and stroke, while reduced consciousness and cognitive dysfunction may cause accidents and injuries. Cardiac events may be precipitated such as arrhythmias, myocardial ischaemia and cardiac failure. Hypoglycaemia can affect all aspects of life, including employment, driving, recreational activities involving exercise, and travel, and measures should be taken in all of these situations to avoid this potentially dangerous side-effect of insulin therapy.","author":[{"dropping-particle":"","family":"Frier","given":"Brian M","non-dropping-particle":"","parse-names":false,"suffix":""}],"container-title":"Diabetes/metabolism research and reviews","id":"ITEM-1","issue":"2","issued":{"date-parts":[["2008","2"]]},"language":"eng","page":"87-92","publisher-place":"England","title":"How hypoglycaemia can affect the life of a person with diabetes.","type":"article-journal","volume":"24"},"uris":["http://www.mendeley.com/documents/?uuid=7717340d-9926-4089-9d11-9b0dfc84b8c7"]}],"mendeley":{"formattedCitation":"(4)","plainTextFormattedCitation":"(4)","previouslyFormattedCitation":"(4)"},"properties":{"noteIndex":0},"schema":"https://github.com/citation-style-language/schema/raw/master/csl-citation.json"}</w:instrText>
      </w:r>
      <w:r w:rsidRPr="001D29F8">
        <w:rPr>
          <w:rFonts w:ascii="Arial" w:hAnsi="Arial" w:cs="Arial"/>
          <w:sz w:val="24"/>
          <w:szCs w:val="24"/>
          <w:lang w:val="en-US"/>
        </w:rPr>
        <w:fldChar w:fldCharType="separate"/>
      </w:r>
      <w:r w:rsidRPr="001D29F8">
        <w:rPr>
          <w:rFonts w:ascii="Arial" w:hAnsi="Arial" w:cs="Arial"/>
          <w:noProof/>
          <w:sz w:val="24"/>
          <w:szCs w:val="24"/>
          <w:lang w:val="en-US"/>
        </w:rPr>
        <w:t>(4)</w:t>
      </w:r>
      <w:r w:rsidRPr="001D29F8">
        <w:rPr>
          <w:rFonts w:ascii="Arial" w:hAnsi="Arial" w:cs="Arial"/>
          <w:sz w:val="24"/>
          <w:szCs w:val="24"/>
          <w:lang w:val="en-US"/>
        </w:rPr>
        <w:fldChar w:fldCharType="end"/>
      </w:r>
      <w:r w:rsidRPr="001D29F8">
        <w:rPr>
          <w:rFonts w:ascii="Arial" w:hAnsi="Arial" w:cs="Arial"/>
          <w:sz w:val="24"/>
          <w:szCs w:val="24"/>
          <w:lang w:val="en-US"/>
        </w:rPr>
        <w:t xml:space="preserve">. We provide further evidence that hypoglycemia has debilitating effects on quality of life, as is shown by the overall lower perceived health-status at baseline of people with </w:t>
      </w:r>
      <w:r w:rsidR="00115411" w:rsidRPr="001D29F8">
        <w:rPr>
          <w:rFonts w:ascii="Arial" w:hAnsi="Arial" w:cs="Arial"/>
          <w:sz w:val="24"/>
          <w:szCs w:val="24"/>
          <w:lang w:val="en-US"/>
        </w:rPr>
        <w:t>IAH</w:t>
      </w:r>
      <w:r w:rsidRPr="001D29F8">
        <w:rPr>
          <w:rFonts w:ascii="Arial" w:hAnsi="Arial" w:cs="Arial"/>
          <w:sz w:val="24"/>
          <w:szCs w:val="24"/>
          <w:lang w:val="en-US"/>
        </w:rPr>
        <w:t xml:space="preserve">. Nevertheless, the use of technology which helps in identifying and preventing hypoglycemia, in this case </w:t>
      </w:r>
      <w:proofErr w:type="spellStart"/>
      <w:r w:rsidRPr="001D29F8">
        <w:rPr>
          <w:rFonts w:ascii="Arial" w:hAnsi="Arial" w:cs="Arial"/>
          <w:sz w:val="24"/>
          <w:szCs w:val="24"/>
          <w:lang w:val="en-US"/>
        </w:rPr>
        <w:t>rtCGM</w:t>
      </w:r>
      <w:proofErr w:type="spellEnd"/>
      <w:r w:rsidRPr="001D29F8">
        <w:rPr>
          <w:rFonts w:ascii="Arial" w:hAnsi="Arial" w:cs="Arial"/>
          <w:sz w:val="24"/>
          <w:szCs w:val="24"/>
          <w:lang w:val="en-US"/>
        </w:rPr>
        <w:t xml:space="preserve">, has proven to be a vital component to normalize daily life for these people, which has also been found in previous studies </w:t>
      </w:r>
      <w:r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{"citationItems":[{"id":"ITEM-1","itemData":{"ISSN":"2213-8595 (Electronic)","PMID":"27641781","abstract":"BACKGROUND: Patients with type 1 diabetes who have impaired awareness of hypoglycaemia have a three to six times increased risk of severe hypoglycaemia. We aimed to assess whether continuous glucose monitoring (CGM) improves glycaemia and prevents severe hypoglycaemia compared with self-monitoring of blood glucose (SMBG) in this high-risk population. METHODS: We did a randomised, open-label, crossover trial (IN CONTROL) at two medical centres in the Netherlands. Eligible participants were patients diagnosed with type 1 diabetes according to American Diabetes Association criteria, aged 18-75 years, with impaired awareness of hypoglycaemia as confirmed by a Gold score of at least 4, and treated with either continuous subcutaneous insulin infusion or multiple daily insulin injections and doing at least three SMBG measurements per day. After screening, re-education about diabetes management, and a 6-week run-in phase (to obtain baseline CGM data), we randomly assigned patients (1:1) with a computer-generated allocation sequence (block size of four) to either 16 weeks of CGM followed by 12 weeks of washout and 16 weeks of SMBG, or 16 weeks of SMBG followed by 12 weeks of washout and 16 weeks of CGM (where the SMBG phase was the control). During the CGM phase, patients used a real-time CGM system consisting of a Paradigm Veo system with a MiniLink transmitter and an Enlite glucose sensor (Medtronic, CA, USA). During the SMBG phase, patients were equipped with a masked CGM device, consisting of an iPro 2 continuous glucose monitor and an Enlite glucose sensor, which does not display real-time glucose values. The number of SMBG measurements per day and SMBG systems were not standardised between patients, to mimic real-life conditions. During both intervention periods, patients attended follow-up visits at the centres each month and had telephone consultations 2 weeks after each visit inquiring about adverse events, episodes of hypoglycaemia, etc. The primary endpoint was the mean difference in percentage of time spent in normoglycaemia (4-10 mmol/L) over the total intervention periods, analysed on an intention-to-treat basis. Severe hypoglycaemia (requiring third party assistance) was a secondary endpoint. This trial is registered with ClinicalTrials.gov, number NCT01787903. FINDINGS: Between March 4, 2013, and Feb 9, 2015, we recruited and randomly assigned 52 patients to either the CGM-SMBG sequence (n=26) or the SMBG-CGM sequence (n=26). The last patient vis…","author":[{"dropping-particle":"","family":"Beers","given":"Cornelis A J","non-dropping-particle":"van","parse-names":false,"suffix":""},{"dropping-particle":"","family":"DeVries","given":"J Hans","non-dropping-particle":"","parse-names":false,"suffix":""},{"dropping-particle":"","family":"Kleijer","given":"Susanne J","non-dropping-particle":"","parse-names":false,"suffix":""},{"dropping-particle":"","family":"Smits","given":"Mark M","non-dropping-particle":"","parse-names":false,"suffix":""},{"dropping-particle":"","family":"Geelhoed-Duijvestijn","given":"Petronella H","non-dropping-particle":"","parse-names":false,"suffix":""},{"dropping-particle":"","family":"Kramer","given":"Mark H H","non-dropping-particle":"","parse-names":false,"suffix":""},{"dropping-particle":"","family":"Diamant","given":"Michaela","non-dropping-particle":"","parse-names":false,"suffix":""},{"dropping-particle":"","family":"Snoek","given":"Frank J","non-dropping-particle":"","parse-names":false,"suffix":""},{"dropping-particle":"","family":"Serne","given":"Erik H","non-dropping-particle":"","parse-names":false,"suffix":""}],"container-title":"The Lancet Diabetes &amp; Endocrinology","id":"ITEM-1","issue":"11","issued":{"date-parts":[["2016"]]},"language":"eng","page":"893-902","publisher-place":"England","title":"Continuous glucose monitoring for patients with type 1 diabetes and impaired awareness of hypoglycaemia (IN CONTROL): a randomised, open-label, crossover trial.","type":"article-journal","volume":"4"},"uris":["http://www.mendeley.com/documents/?uuid=0dbf5c1a-daab-4eb6-95a1-0953b5b04c4b"]},{"id":"ITEM-2","itemData":{"DOI":"10.1001/jama.2016.19976","ISSN":"1538-3598 (Electronic)","PMID":"28118454","abstract":"Importance: The majority of individuals with type 1 diabetes do not meet recommended glycemic targets. Objective: To evaluate the effects of continuous glucose monitoring in adults with type 1 diabetes treated with multiple daily insulin injections. Design, Setting, and Participants: Open-label crossover randomized clinical trial conducted in 15 diabetes outpatient clinics in Sweden between February 24, 2014, and June 1, 2016 that included 161 individuals with type 1 diabetes and hemoglobin A1c (HbA1c) of at least 7.5% (58 mmol/mol) treated with multiple daily insulin injections. Interventions: Participants were randomized to receive treatment using a continuous glucose monitoring system or conventional treatment for 26 weeks, separated by a washout period of 17 weeks. Main Outcomes and Measures: Difference in HbA1c between weeks 26 and 69 for the 2 treatments. Adverse events including severe hypoglycemia were also studied. Results: Among 161 randomized participants, mean age was 43.7 years, 45.3% were women, and mean HbA1c was 8.6% (70 mmol/mol). A total of 142 participants had follow-up data in both treatment periods. Mean HbA1c was 7.92% (63 mmol/mol) during continuous glucose monitoring use and 8.35% (68 mmol/mol) during conventional treatment (mean difference, -0.43% [95% CI, -0.57% to -0.29%] or -4.7 [-6.3 to -3.1 mmol/mol]; P &lt; .001). Of 19 secondary end points comprising psychosocial and various glycemic measures, 6 met the hierarchical testing criteria of statistical significance, favoring continuous glucose monitoring compared with conventional treatment. Five patients in the conventional treatment group and 1 patient in the continuous glucose monitoring group had severe hypoglycemia. During washout when patients used conventional therapy, 7 patients had severe hypoglycemia. Conclusions and Relevance: Among patients with inadequately controlled type 1 diabetes treated with multiple daily insulin injections, the use of continuous glucose monitoring compared with conventional treatment for 26 weeks resulted in lower HbA1c. Further research is needed to assess clinical outcomes and longer-term adverse effects. Trial Registration: clinicaltrials.gov Identifier: NCT02092051.","author":[{"dropping-particle":"","family":"Lind","given":"Marcus","non-dropping-particle":"","parse-names":false,"suffix":""},{"dropping-particle":"","family":"Polonsky","given":"William","non-dropping-particle":"","parse-names":false,"suffix":""},{"dropping-particle":"","family":"Hirsch","given":"Irl B","non-dropping-particle":"","parse-names":false,"suffix":""},{"dropping-particle":"","family":"Heise","given":"Tim","non-dropping-particle":"","parse-names":false,"suffix":""},{"dropping-particle":"","family":"Bolinder","given":"Jan","non-dropping-particle":"","parse-names":false,"suffix":""},{"dropping-particle":"","family":"Dahlqvist","given":"Sofia","non-dropping-particle":"","parse-names":false,"suffix":""},{"dropping-particle":"","family":"Schwarz","given":"Erik","non-dropping-particle":"","parse-names":false,"suffix":""},{"dropping-particle":"","family":"Olafsdottir","given":"Arndis Finna","non-dropping-particle":"","parse-names":false,"suffix":""},{"dropping-particle":"","family":"Frid","given":"Anders","non-dropping-particle":"","parse-names":false,"suffix":""},{"dropping-particle":"","family":"Wedel","given":"Hans","non-dropping-particle":"","parse-names":false,"suffix":""},{"dropping-particle":"","family":"Ahlen","given":"Elsa","non-dropping-particle":"","parse-names":false,"suffix":""},{"dropping-particle":"","family":"Nystrom","given":"Thomas","non-dropping-particle":"","parse-names":false,"suffix":""},{"dropping-particle":"","family":"Hellman","given":"Jarl","non-dropping-particle":"","parse-names":false,"suffix":""}],"container-title":"JAMA","id":"ITEM-2","issue":"4","issued":{"date-parts":[["2017","1"]]},"language":"eng","page":"379-387","publisher-place":"United States","title":"Continuous Glucose Monitoring vs Conventional Therapy for Glycemic Control in Adults With Type 1 Diabetes Treated With Multiple Daily Insulin Injections: The GOLD Randomized Clinical Trial.","type":"article-journal","volume":"317"},"uris":["http://www.mendeley.com/documents/?uuid=53c21762-23dd-433f-8d5c-d3e20de0e369"]},{"id":"ITEM-3","itemData":{"ISSN":"22138587","PMID":"31047902","abstract":"BACKGROUND: Hypoglycaemia unawareness and severe hypoglycaemia can increase fear of hypoglycaemia and the risk of subsequent hypoglycaemic events. We aimed to assess the safety and efficacy of insulin pump therapy with integrated continuous glucose monitoring (CGM) and a suspend-before-low feature (Medtronic MiniMed 640G with SmartGuard) in hypoglycaemia-prone adults with type 1 diabetes. METHODS: SMILE was an open-label randomised controlled trial done in people aged 24-75 years with type 1 diabetes for 10 years or longer, HbA1c values of 5.8-10.0% (40-86 mmol/mol), and at high risk of hypoglycaemia (recent severe hypoglycaemia or hypoglycaemia unawareness defined by a Clarke or Gold score &gt;/=4). Participants were enrolled from 16 centres (eg, clinics, hospitals, or university medical centres) in Canada, France, Italy, the Netherlands, and the UK. After baseline run-in phase (2 weeks), participants were randomly assigned to the MiniMed 640G pump (continuous subcutaneous insulin infusion) with self-monitoring of blood glucose (control group) or to the MiniMed 640G system with the suspend-before-low feature enabled (intervention group), for 6 months. The study statistician analysing the data was masked to group assignment until final database lock; because of the nature of the intervention, participants and treating clinicians could not be masked to group assignment. The primary outcome was the mean number of sensor hypoglycaemic events, defined as 55 mg/dL (3.1 mmol/L) or lower, and was analysed on an intention-to-treat basis in all randomly assigned participants. This trial is registered with ClinicalTrials.gov, number NCT02733991, and is completed. FINDINGS: Between Dec 7, 2016, and March 27, 2018, 153 participants with a mean age 48.2 [12.4] years were randomly assigned: 77 to the control group (mean age 47.4 [12.5] years) and 76 to the intervention group (mean age 49.0 [12.2] years). After 6 months, the intervention group had significantly fewer hypoglycaemic events per participant per week (1.1 [SD 1.2] vs 4.1 [3.4] mean events, model-based treatment effect -2.9 [95% CI -3.5 to -2.3]; p&lt;0.0001) and fewer severe hypoglycaemic events (instances requiring third-party assistance with carbohydrate or glucagon administration, or other resuscitative actions) overall (three vs 18; p=0.0036). The most common adverse events were hypoglycaemia (observed in ten [13%] of 77 participants in the control group vs four [5%] of 76 in the intervention group) and hype…","author":[{"dropping-particle":"","family":"Bosi","given":"Emanuele","non-dropping-particle":"","parse-names":false,"suffix":""},{"dropping-particle":"","family":"Choudhary","given":"Pratik","non-dropping-particle":"","parse-names":false,"suffix":""},{"dropping-particle":"","family":"Valk","given":"Harold W","non-dropping-particle":"de","parse-names":false,"suffix":""},{"dropping-particle":"","family":"Lablanche","given":"Sandrine","non-dropping-particle":"","parse-names":false,"suffix":""},{"dropping-particle":"","family":"Castañeda","given":"Javier","non-dropping-particle":"","parse-names":false,"suffix":""},{"dropping-particle":"","family":"Portu","given":"Simona","non-dropping-particle":"de","parse-names":false,"suffix":""},{"dropping-particle":"","family":"Silva","given":"Julien","non-dropping-particle":"Da","parse-names":false,"suffix":""},{"dropping-particle":"","family":"Ré","given":"Roseline","non-dropping-particle":"","parse-names":false,"suffix":""},{"dropping-particle":"","family":"Vorrink-de Groot","given":"Linda","non-dropping-particle":"","parse-names":false,"suffix":""},{"dropping-particle":"","family":"Shin","given":"John","non-dropping-particle":"","parse-names":false,"suffix":""},{"dropping-particle":"","family":"Kaufman","given":"Francine R","non-dropping-particle":"","parse-names":false,"suffix":""},{"dropping-particle":"","family":"Cohen","given":"Ohad","non-dropping-particle":"","parse-names":false,"suffix":""},{"dropping-particle":"","family":"Laurenzi","given":"Andrea","non-dropping-particle":"","parse-names":false,"suffix":""},{"dropping-particle":"","family":"Caretto","given":"Amelia","non-dropping-particle":"","parse-names":false,"suffix":""},{"dropping-particle":"","family":"Slatterly","given":"David","non-dropping-particle":"","parse-names":false,"suffix":""},{"dropping-particle":"","family":"Henderson-Wilson","given":"Marcia","non-dropping-particle":"","parse-names":false,"suffix":""},{"dropping-particle":"","family":"Weisnagel","given":"S. John","non-dropping-particle":"","parse-names":false,"suffix":""},{"dropping-particle":"","family":"Dubé","given":"Marie-Christine","non-dropping-particle":"","parse-names":false,"suffix":""},{"dropping-particle":"","family":"Julien","given":"Valérie-Ève","non-dropping-particle":"","parse-names":false,"suffix":""},{"dropping-particle":"","family":"Trevisan","given":"Roberto","non-dropping-particle":"","parse-names":false,"suffix":""},{"dropping-particle":"","family":"Lepore","given":"Giuseppe","non-dropping-particle":"","parse-names":false,"suffix":""},{"dropping-particle":"","family":"Bellante","given":"Rosalia","non-dropping-particle":"","parse-names":false,"suffix":""},{"dropping-particle":"","family":"Hramiak","given":"Irene","non-dropping-particle":"","parse-names":false,"suffix":""},{"dropping-particle":"","family":"Spaic","given":"Tamara","non-dropping-particle":"","parse-names":false,"suffix":""},{"dropping-particle":"","family":"Driscoll","given":"Marsha","non-dropping-particle":"","parse-names":false,"suffix":""},{"dropping-particle":"","family":"Borot","given":"Sophie","non-dropping-particle":"","parse-names":false,"suffix":""},{"dropping-particle":"","family":"Clergeot","given":"Annie","non-dropping-particle":"","parse-names":false,"suffix":""},{"dropping-particle":"","family":"Khiat","given":"Lamia","non-dropping-particle":"","parse-names":false,"suffix":""},{"dropping-particle":"","family":"Hammond","given":"Peter","non-dropping-particle":"","parse-names":false,"suffix":""},{"dropping-particle":"","family":"Ray","given":"Sutapa","non-dropping-particle":"","parse-names":false,"suffix":""},{"dropping-particle":"","family":"Dinning","given":"Laura","non-dropping-particle":"","parse-names":false,"suffix":""},{"dropping-particle":"","family":"Tonolo","given":"Giancarlo","non-dropping-particle":"","parse-names":false,"suffix":""},{"dropping-particle":"","family":"Manconi","given":"Alberto","non-dropping-particle":"","parse-names":false,"suffix":""},{"dropping-particle":"","family":"Ledda","given":"Maura Serena","non-dropping-particle":"","parse-names":false,"suffix":""},{"dropping-particle":"","family":"Ranitz","given":"Wendela","non-dropping-particle":"de","parse-names":false,"suffix":""},{"dropping-particle":"","family":"Silvius","given":"Bianca","non-dropping-particle":"","parse-names":false,"suffix":""},{"dropping-particle":"","family":"Wojtusciszyn","given":"Anne","non-dropping-particle":"","parse-names":false,"suffix":""},{"dropping-particle":"","family":"Farret","given":"Anne","non-dropping-particle":"","parse-names":false,"suffix":""},{"dropping-particle":"","family":"Vriesendorp","given":"Titia","non-dropping-particle":"","parse-names":false,"suffix":""},{"dropping-particle":"","family":"Immeker-de Jong","given":"Folkje","non-dropping-particle":"","parse-names":false,"suffix":""},{"dropping-particle":"","family":"Linden","given":"Joke","non-dropping-particle":"van der","parse-names":false,"suffix":""},{"dropping-particle":"","family":"Brink","given":"Huguette S.","non-dropping-particle":"","parse-names":false,"suffix":""},{"dropping-particle":"","family":"Alkemade","given":"Marije","non-dropping-particle":"","parse-names":false,"suffix":""},{"dropping-particle":"","family":"Schaepelynck-Belicar","given":"Pauline","non-dropping-particle":"","parse-names":false,"suffix":""},{"dropping-particle":"","family":"Galie","given":"Sébastien","non-dropping-particle":"","parse-names":false,"suffix":""},{"dropping-particle":"","family":"Tréglia","given":"Clémence","non-dropping-particle":"","parse-names":false,"suffix":""},{"dropping-particle":"","family":"Benhamou","given":"Pierre-Yves","non-dropping-particle":"","parse-names":false,"suffix":""},{"dropping-particle":"","family":"Haddouche","given":"Myriam","non-dropping-particle":"","parse-names":false,"suffix":""},{"dropping-particle":"","family":"Hoogma","given":"Roel","non-dropping-particle":"","parse-names":false,"suffix":""},{"dropping-particle":"","family":"Leelarathna","given":"Lalantha","non-dropping-particle":"","parse-names":false,"suffix":""},{"dropping-particle":"","family":"Shaju","given":"Angel","non-dropping-particle":"","parse-names":false,"suffix":""},{"dropping-particle":"","family":"James","given":"Linda","non-dropping-particle":"","parse-names":false,"suffix":""}],"container-title":"The Lancet Diabetes &amp; Endocrinology","id":"ITEM-3","issue":"6","issued":{"date-parts":[["2019"]]},"language":"eng","page":"462-472","publisher-place":"England","title":"Efficacy and safety of suspend-before-low insulin pump technology in hypoglycaemia-prone adults with type 1 diabetes (SMILE): an open-label randomised controlled trial","type":"article-journal","volume":"7"},"uris":["http://www.mendeley.com/documents/?uuid=df034238-5779-4080-b5c4-29614b1b49c9"]},{"id":"ITEM-4","itemData":{"ISSN":"01406736","PMID":"29459019","abstract":"BACKGROUND: The effectiveness of real-time continuous glucose monitoring (rtCGM) in avoidance of hypoglycaemia among high-risk individuals with type 1 diabetes treated with multiple daily insulin injections (MDI) is unknown. We aimed to ascertain whether the incidence and severity of hypoglycaemia can be reduced through use of rtCGM in these individuals. METHODS: The HypoDE study was a 6-month, multicentre, open-label, parallel, randomised controlled trial done at 12 diabetes practices in Germany. Eligible participants had type 1 diabetes and a history of impaired hypoglycaemia awareness or severe hypoglycaemia during the previous year. All participants wore a masked rtCGM system for 28 days and were then randomly assigned to 26 weeks of unmasked rtCGM (Dexcom G5 Mobile system) or to the control group (continuing with self-monitoring of blood glucose). Block randomisation with 1:1 allocation was done centrally, with the study site as the stratifying variable. Masking of participants and study sites was not possible. Control participants wore a masked rtCGM system during the follow-up phase (weeks 22-26). The primary outcome was the baseline-adjusted number of hypoglycaemic events (defined as glucose &lt;/=3.0 mmol/L for &gt;/=20 min) during the follow-up phase. The full dataset analysis comprised participants who wore the rtCGM system during the baseline and follow-up phases. The intention-to-treat analysis comprised all randomised participants. This trial is registered with ClinicalTrials.gov, number NCT02671968. FINDINGS: Between March 4, 2016, and Jan 12, 2017, 149 participants were randomly assigned (n=74 to the control group; n=75 to the rtCGM group) and 141 completed the follow-up phase (n=66 in the control group, n=75 in the rtCGM group). The mean number of hypoglycaemic events per 28 days among participants in the rtCGM group was reduced from 10.8 (SD 10.0) to 3.5 (4.7); reductions among control participants were negligible (from 14.4 [12.4] to 13.7 [11.6]). Incidence of hypoglycaemic events decreased by 72% for participants in the rtCGM group (incidence rate ratio 0.28 [95% CI 0.20-0.39], p&lt;0.0001). 18 serious adverse events were reported: seven in the control group, ten in the rtCGM group, and one before randomisation. No event was considered to be related to the investigational device. INTERPRETATION: Usage of rtCGM reduced the number of hypoglycaemic events in individuals with type 1 diabetes treated by MDI and with impaired hypoglycaemia awarenes…","author":[{"dropping-particle":"","family":"Heinemann","given":"Lutz","non-dropping-particle":"","parse-names":false,"suffix":""},{"dropping-particle":"","family":"Freckmann","given":"Guido","non-dropping-particle":"","parse-names":false,"suffix":""},{"dropping-particle":"","family":"Ehrmann","given":"Dominic","non-dropping-particle":"","parse-names":false,"suffix":""},{"dropping-particle":"","family":"Faber-Heinemann","given":"Gabriele","non-dropping-particle":"","parse-names":false,"suffix":""},{"dropping-particle":"","family":"Guerra","given":"Stefania","non-dropping-particle":"","parse-names":false,"suffix":""},{"dropping-particle":"","family":"Waldenmaier","given":"Delia","non-dropping-particle":"","parse-names":false,"suffix":""},{"dropping-particle":"","family":"Hermanns","given":"Norbert","non-dropping-particle":"","parse-names":false,"suffix":""}],"container-title":"The Lancet","id":"ITEM-4","issue":"10128","issued":{"date-parts":[["2018"]]},"language":"eng","page":"1367-1377","publisher-place":"England","title":"Real-time continuous glucose monitoring in adults with type 1 diabetes and impaired hypoglycaemia awareness or severe hypoglycaemia treated with multiple daily insulin injections (HypoDE): a multicentre, randomised controlled trial","type":"article-journal","volume":"391"},"uris":["http://www.mendeley.com/documents/?uuid=5d56050b-a7e3-48e1-8116-2083968a4bd9"]},{"id":"ITEM-5","itemData":{"ISSN":"1557-8593 (Electronic)","PMID":"23438304","abstract":"BACKGROUND: Sensor-augmented pump (SAP) therapy can improve glycemic control, compared with multiple daily insulin injections or with insulin pump therapy alone, without increasing the risk of hypoglycemia. SUBJECTS AND METHODS: A 12-month observational study in patients with type 1 diabetes treated with continuous subcutaneous insulin infusion (CSII), upon the introduction of continuous glucose monitoring (CGM), was conducted in 15 countries (in Europe and in Israel) to document the real-life use of SAP and assess which variables are associated with improvement in type 1 diabetes management. RESULTS: Data from 263 patients (38% male; mean age, 28.0 +/- 15.7 years [range, 1-69 years]; body mass index, 23.3 +/- 4.9 kg/m(2); diabetes duration, 13.9 +/- 10.7 years; CSII duration, 2.6 +/- 3 years) were collected. Baseline mean glycated hemoglobin A1c (HbA1c) was 8.1 +/- 1.4%; 82% had suboptimal HbA1c (&gt;/= 7%). The average sensor use for 12 months was 30% (range, 0-94%), and sensor use decreased with time (first 3 months, 37%; last 3 months, 27%). Factors associated with improvement in HbA1c after 12 months in patients with baseline HbA1c &gt;/= 7% were high baseline HbA1c (P&lt;0.001), older age group (P&lt;0.001), and more frequent sensor use (P = 0.047). Significantly less hospitalization, increased treatment satisfaction, and reduced fear of hypoglycemia were reported after 12 months of SAP. CONCLUSIONS: This is the largest and longest multicenter prospective observational study providing real-life data on SAP. These results are consistent with those of controlled trials showing the effectiveness of CGM in pump users.","author":[{"dropping-particle":"","family":"Norgaard","given":"Kirsten","non-dropping-particle":"","parse-names":false,"suffix":""},{"dropping-particle":"","family":"Scaramuzza","given":"Andrea","non-dropping-particle":"","parse-names":false,"suffix":""},{"dropping-particle":"","family":"Bratina","given":"Natasa","non-dropping-particle":"","parse-names":false,"suffix":""},{"dropping-particle":"","family":"Lalic","given":"Nebojsa M","non-dropping-particle":"","parse-names":false,"suffix":""},{"dropping-particle":"","family":"Jarosz-Chobot","given":"Przemyslaw","non-dropping-particle":"","parse-names":false,"suffix":""},{"dropping-particle":"","family":"Kocsis","given":"Gyozo","non-dropping-particle":"","parse-names":false,"suffix":""},{"dropping-particle":"","family":"Jasinskiene","given":"Edita","non-dropping-particle":"","parse-names":false,"suffix":""},{"dropping-particle":"","family":"Block","given":"Christophe","non-dropping-particle":"De","parse-names":false,"suffix":""},{"dropping-particle":"","family":"Carrette","given":"Odile","non-dropping-particle":"","parse-names":false,"suffix":""},{"dropping-particle":"","family":"Castaneda","given":"Javier","non-dropping-particle":"","parse-names":false,"suffix":""},{"dropping-particle":"","family":"Cohen","given":"Ohad","non-dropping-particle":"","parse-names":false,"suffix":""}],"container-title":"Diabetes technology &amp; therapeutics","id":"ITEM-5","issue":"4","issued":{"date-parts":[["2013","4"]]},"language":"eng","page":"273-280","publisher-place":"United States","title":"Routine sensor-augmented pump therapy in type 1 diabetes: the INTERPRET study.","type":"article-journal","volume":"15"},"uris":["http://www.mendeley.com/documents/?uuid=c038afe9-5a96-4bb8-9a27-088da57bb785"]},{"id":"ITEM-6","itemData":{"ISSN":"1935-5548 (Electronic)","PMID":"29661916","abstract":"OBJECTIVE: Severe hypoglycemia is a feared complication of type 1 diabetes; yet, few trials have targeted prevention using optimized self-management (educational, therapeutic, and technological support). We aimed to investigate whether improved awareness and reduced severe hypoglycemia, achieved during an intensive randomized clinical trial (RCT), were sustained after return to routine care. RESEARCH DESIGN AND METHODS: Ninety-six adults with type 1 diabetes (29 ± 12 years' duration) and impaired awareness of hypoglycemia at five U.K. tertiary referral diabetes centers were recruited into a 24-week 2 × 2 factorial RCT (HypoCOMPaSS). Participants were randomized to pump (continuous subcutaneous insulin infusion [CSII]) or multiple daily injections (MDIs) and real-time continuous glucose monitoring (RT-CGM) or self-monitoring of blood glucose (SMBG), with equal education/attention to all groups. At 24 weeks, participants returned to routine care with follow-up until 24 months, including free choice of MDI/CSII; RT-CGM vs. SMBG comparison continued to 24 months. Primary outcome was mean difference (baseline to 24 months [between groups]) in hypoglycemia awareness. RESULTS: Improvement in hypoglycemia awareness was sustained (Gold score at baseline 5.1 ± 1.1 vs. 24 months 3.7 ± 1.9; P &lt; 0.0001). Severe hypoglycemia rate was reduced from 8.9 ± 12.8 episodes/person-year over the 12 months prestudy to 0.4 ± 0.8 over 24 months (P &lt; 0.0001). HbA(1c) improved (baseline 8.2 ± 3.2% [66 ± 12 mmol/mol] vs. 24 months 7.7 ± 3.1% [61 ± 10 mmol/mol]; P = 0.003). Improvement in treatment satisfaction and reduced fear of hypoglycemia were sustained. There were no significant differences between interventions at 24 months. CONCLUSIONS: Optimized insulin replacement and glucose monitoring underpinned by hypoglycemia-focused structured education should be provided to all with type 1 diabetes complicated by impaired awareness of hypoglycemia.","author":[{"dropping-particle":"","family":"Little","given":"Stuart A","non-dropping-particle":"","parse-names":false,"suffix":""},{"dropping-particle":"","family":"Speight","given":"Jane","non-dropping-particle":"","parse-names":false,"suffix":""},{"dropping-particle":"","family":"Leelarathna","given":"Lalantha","non-dropping-particle":"","parse-names":false,"suffix":""},{"dropping-particle":"","family":"Walkinshaw","given":"Emma","non-dropping-particle":"","parse-names":false,"suffix":""},{"dropping-particle":"","family":"Tan","given":"Horng Kai","non-dropping-particle":"","parse-names":false,"suffix":""},{"dropping-particle":"","family":"Bowes","given":"Anita","non-dropping-particle":"","parse-names":false,"suffix":""},{"dropping-particle":"","family":"Lubina-Solomon","given":"Alexandra","non-dropping-particle":"","parse-names":false,"suffix":""},{"dropping-particle":"","family":"Chadwick","given":"Thomas J","non-dropping-particle":"","parse-names":false,"suffix":""},{"dropping-particle":"","family":"Stocken","given":"Deborah D","non-dropping-particle":"","parse-names":false,"suffix":""},{"dropping-particle":"","family":"Brennand","given":"Catherine","non-dropping-particle":"","parse-names":false,"suffix":""},{"dropping-particle":"","family":"Marshall","given":"Sally M","non-dropping-particle":"","parse-names":false,"suffix":""},{"dropping-particle":"","family":"Wood","given":"Ruth","non-dropping-particle":"","parse-names":false,"suffix":""},{"dropping-particle":"","family":"Kerr","given":"David","non-dropping-particle":"","parse-names":false,"suffix":""},{"dropping-particle":"","family":"Flanagan","given":"Daniel","non-dropping-particle":"","parse-names":false,"suffix":""},{"dropping-particle":"","family":"Heller","given":"Simon R","non-dropping-particle":"","parse-names":false,"suffix":""},{"dropping-particle":"","family":"Evans","given":"Mark L","non-dropping-particle":"","parse-names":false,"suffix":""},{"dropping-particle":"","family":"Shaw","given":"James A M","non-dropping-particle":"","parse-names":false,"suffix":""}],"container-title":"Diabetes care","id":"ITEM-6","issue":"8","issued":{"date-parts":[["2018"]]},"language":"eng","page":"1600-1607","publisher-place":"United States","title":"Sustained Reduction in Severe Hypoglycemia in Adults With Type 1 Diabetes Complicated by Impaired Awareness of Hypoglycemia: Two-Year Follow-up in the HypoCOMPaSS Randomized Clinical Trial.","type":"article-journal","volume":"41"},"uris":["http://www.mendeley.com/documents/?uuid=6f24786c-10c2-43b1-b2b3-ee5b200db988"]}],"mendeley":{"formattedCitation":"(8,10,12,14,31,37)","plainTextFormattedCitation":"(8,10,12,14,31,37)","previouslyFormattedCitation":"(8,10,12,14,31,37)"},"properties":{"noteIndex":0},"schema":"https://github.com/citation-style-language/schema/raw/master/csl-citation.json"}</w:instrText>
      </w:r>
      <w:r w:rsidRPr="001D29F8">
        <w:rPr>
          <w:rFonts w:ascii="Arial" w:hAnsi="Arial" w:cs="Arial"/>
          <w:sz w:val="24"/>
          <w:szCs w:val="24"/>
          <w:lang w:val="en-US"/>
        </w:rPr>
        <w:fldChar w:fldCharType="separate"/>
      </w:r>
      <w:r w:rsidR="001644B2" w:rsidRPr="001D29F8">
        <w:rPr>
          <w:rFonts w:ascii="Arial" w:hAnsi="Arial" w:cs="Arial"/>
          <w:noProof/>
          <w:sz w:val="24"/>
          <w:szCs w:val="24"/>
          <w:lang w:val="en-US"/>
        </w:rPr>
        <w:t>(8,10,12,14,31,37)</w:t>
      </w:r>
      <w:r w:rsidRPr="001D29F8">
        <w:rPr>
          <w:rFonts w:ascii="Arial" w:hAnsi="Arial" w:cs="Arial"/>
          <w:sz w:val="24"/>
          <w:szCs w:val="24"/>
          <w:lang w:val="en-US"/>
        </w:rPr>
        <w:fldChar w:fldCharType="end"/>
      </w:r>
      <w:r w:rsidRPr="001D29F8">
        <w:rPr>
          <w:rFonts w:ascii="Arial" w:hAnsi="Arial" w:cs="Arial"/>
          <w:sz w:val="24"/>
          <w:szCs w:val="24"/>
          <w:lang w:val="en-US"/>
        </w:rPr>
        <w:t>.</w:t>
      </w:r>
    </w:p>
    <w:p w14:paraId="6AD76B2C" w14:textId="77777777" w:rsidR="009927BF" w:rsidRPr="001D29F8" w:rsidRDefault="00245187" w:rsidP="001D29F8">
      <w:pPr>
        <w:spacing w:line="480" w:lineRule="auto"/>
        <w:jc w:val="both"/>
        <w:rPr>
          <w:rFonts w:ascii="Arial" w:hAnsi="Arial" w:cs="Arial"/>
          <w:sz w:val="24"/>
          <w:szCs w:val="24"/>
          <w:lang w:val="en-US"/>
        </w:rPr>
      </w:pPr>
      <w:r w:rsidRPr="001D29F8">
        <w:rPr>
          <w:rFonts w:ascii="Arial" w:hAnsi="Arial" w:cs="Arial"/>
          <w:sz w:val="24"/>
          <w:szCs w:val="24"/>
          <w:lang w:val="en-US"/>
        </w:rPr>
        <w:t xml:space="preserve">This study has limitations. </w:t>
      </w:r>
      <w:r w:rsidR="000E70D9" w:rsidRPr="001D29F8">
        <w:rPr>
          <w:rFonts w:ascii="Arial" w:hAnsi="Arial" w:cs="Arial"/>
          <w:sz w:val="24"/>
          <w:szCs w:val="24"/>
          <w:lang w:val="en-US"/>
        </w:rPr>
        <w:t xml:space="preserve">Combining people who discontinued </w:t>
      </w:r>
      <w:proofErr w:type="spellStart"/>
      <w:r w:rsidR="000E70D9" w:rsidRPr="001D29F8">
        <w:rPr>
          <w:rFonts w:ascii="Arial" w:hAnsi="Arial" w:cs="Arial"/>
          <w:sz w:val="24"/>
          <w:szCs w:val="24"/>
          <w:lang w:val="en-US"/>
        </w:rPr>
        <w:t>rtCGM</w:t>
      </w:r>
      <w:proofErr w:type="spellEnd"/>
      <w:r w:rsidR="000E70D9" w:rsidRPr="001D29F8">
        <w:rPr>
          <w:rFonts w:ascii="Arial" w:hAnsi="Arial" w:cs="Arial"/>
          <w:sz w:val="24"/>
          <w:szCs w:val="24"/>
          <w:lang w:val="en-US"/>
        </w:rPr>
        <w:t xml:space="preserve"> and who were lost to follow-up, we have a drop-out rate of 30%. It is possible that we</w:t>
      </w:r>
      <w:r w:rsidR="00342973" w:rsidRPr="001D29F8">
        <w:rPr>
          <w:rFonts w:ascii="Arial" w:hAnsi="Arial" w:cs="Arial"/>
          <w:sz w:val="24"/>
          <w:szCs w:val="24"/>
          <w:lang w:val="en-US"/>
        </w:rPr>
        <w:t>, in</w:t>
      </w:r>
      <w:r w:rsidR="000E70D9" w:rsidRPr="001D29F8">
        <w:rPr>
          <w:rFonts w:ascii="Arial" w:hAnsi="Arial" w:cs="Arial"/>
          <w:sz w:val="24"/>
          <w:szCs w:val="24"/>
          <w:lang w:val="en-US"/>
        </w:rPr>
        <w:t xml:space="preserve"> part, only retained the most compliant people. Nevertheless, our drop-out rate is less than what has been observed in real-world registries </w:t>
      </w:r>
      <w:r w:rsidR="000E70D9"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{"citationItems":[{"id":"ITEM-1","itemData":{"ISSN":"1935-5548 (Electronic)","PMID":"25011947","abstract":"OBJECTIVE: To assess the frequency of continuous glucose monitoring (CGM) device use, factors associated with its use, and the relationship of CGM with diabetes outcomes (HbA1c, severe hypoglycemia [SH], and diabetic ketoacidosis [DKA]). RESEARCH DESIGN AND METHODS: Survey questions related to CGM device use 1 year after enrollment in the T1D Exchange clinic registry were completed by 17,317 participants. Participants were defined as CGM users if they indicated using real-time CGM during the prior 30 days. RESULTS: Nine percent of participants used CGM (6% of children &lt;13 years old, 4% of adolescents 13 to &lt;18 years, 6% of young adults 18 to &lt;26 years, and 21% of adults &gt;/=26 years). CGM use was more likely with higher education, higher household income, private health insurance, longer duration of diabetes, and use of insulin pump (P &lt; 0.01 all factors). CGM use was associated with lower HbA1c in children (8.3% vs. 8.6%, P &lt; 0.001) and adults (7.7% vs. 7.9%, P &lt; 0.001). In adults, more frequent use of CGM (&gt;/=6 days/week) was associated with lower mean HbA1c. Only 27% of users downloaded data from their device at least once per month, and &lt;/=15% of users reported downloading their device at least weekly. Among participants who used CGM at baseline, 41% had discontinued within 1 year. CONCLUSIONS: CGM use is uncommon but associated with lower HbA1c in some age-groups, especially when used more frequently. Factors associated with discontinuation and infrequent use of retrospective analysis of CGM data should be considered in developing next-generation devices and education on CGM use.","author":[{"dropping-particle":"","family":"Wong","given":"Jenise C","non-dropping-particle":"","parse-names":false,"suffix":""},{"dropping-particle":"","family":"Foster","given":"Nicole C","non-dropping-particle":"","parse-names":false,"suffix":""},{"dropping-particle":"","family":"Maahs","given":"David M","non-dropping-particle":"","parse-names":false,"suffix":""},{"dropping-particle":"","family":"Raghinaru","given":"Dan","non-dropping-particle":"","parse-names":false,"suffix":""},{"dropping-particle":"","family":"Bergenstal","given":"Richard M","non-dropping-particle":"","parse-names":false,"suffix":""},{"dropping-particle":"","family":"Ahmann","given":"Andrew J","non-dropping-particle":"","parse-names":false,"suffix":""},{"dropping-particle":"","family":"Peters","given":"Anne L","non-dropping-particle":"","parse-names":false,"suffix":""},{"dropping-particle":"","family":"Bode","given":"Bruce W","non-dropping-particle":"","parse-names":false,"suffix":""},{"dropping-particle":"","family":"Aleppo","given":"Grazia","non-dropping-particle":"","parse-names":false,"suffix":""},{"dropping-particle":"","family":"Hirsch","given":"Irl B","non-dropping-particle":"","parse-names":false,"suffix":""},{"dropping-particle":"","family":"Kleis","given":"Lora","non-dropping-particle":"","parse-names":false,"suffix":""},{"dropping-particle":"","family":"Chase","given":"H Peter","non-dropping-particle":"","parse-names":false,"suffix":""},{"dropping-particle":"","family":"DuBose","given":"Stephanie N","non-dropping-particle":"","parse-names":false,"suffix":""},{"dropping-particle":"","family":"Miller","given":"Kellee M","non-dropping-particle":"","parse-names":false,"suffix":""},{"dropping-particle":"","family":"Beck","given":"Roy W","non-dropping-particle":"","parse-names":false,"suffix":""},{"dropping-particle":"","family":"Adi","given":"Saleh","non-dropping-particle":"","parse-names":false,"suffix":""}],"container-title":"Diabetes care","id":"ITEM-1","issue":"10","issued":{"date-parts":[["2014","10"]]},"language":"eng","page":"2702-2709","publisher-place":"United States","title":"Real-time continuous glucose monitoring among participants in the T1D Exchange clinic registry.","type":"article-journal","volume":"37"},"uris":["http://www.mendeley.com/documents/?uuid=27c0dbf8-bb19-48fa-bf41-d91f163cfb01"]}],"mendeley":{"formattedCitation":"(38)","plainTextFormattedCitation":"(38)","previouslyFormattedCitation":"(38)"},"properties":{"noteIndex":0},"schema":"https://github.com/citation-style-language/schema/raw/master/csl-citation.json"}</w:instrText>
      </w:r>
      <w:r w:rsidR="000E70D9" w:rsidRPr="001D29F8">
        <w:rPr>
          <w:rFonts w:ascii="Arial" w:hAnsi="Arial" w:cs="Arial"/>
          <w:sz w:val="24"/>
          <w:szCs w:val="24"/>
          <w:lang w:val="en-US"/>
        </w:rPr>
        <w:fldChar w:fldCharType="separate"/>
      </w:r>
      <w:r w:rsidR="001644B2" w:rsidRPr="001D29F8">
        <w:rPr>
          <w:rFonts w:ascii="Arial" w:hAnsi="Arial" w:cs="Arial"/>
          <w:noProof/>
          <w:sz w:val="24"/>
          <w:szCs w:val="24"/>
          <w:lang w:val="en-US"/>
        </w:rPr>
        <w:t>(38)</w:t>
      </w:r>
      <w:r w:rsidR="000E70D9" w:rsidRPr="001D29F8">
        <w:rPr>
          <w:rFonts w:ascii="Arial" w:hAnsi="Arial" w:cs="Arial"/>
          <w:sz w:val="24"/>
          <w:szCs w:val="24"/>
          <w:lang w:val="en-US"/>
        </w:rPr>
        <w:fldChar w:fldCharType="end"/>
      </w:r>
      <w:r w:rsidR="000E70D9" w:rsidRPr="001D29F8">
        <w:rPr>
          <w:rFonts w:ascii="Arial" w:hAnsi="Arial" w:cs="Arial"/>
          <w:sz w:val="24"/>
          <w:szCs w:val="24"/>
          <w:lang w:val="en-US"/>
        </w:rPr>
        <w:t xml:space="preserve">. </w:t>
      </w:r>
      <w:r w:rsidR="00A24203" w:rsidRPr="001D29F8">
        <w:rPr>
          <w:rFonts w:ascii="Arial" w:hAnsi="Arial" w:cs="Arial"/>
          <w:sz w:val="24"/>
          <w:szCs w:val="24"/>
          <w:lang w:val="en-US"/>
        </w:rPr>
        <w:t>S</w:t>
      </w:r>
      <w:r w:rsidRPr="001D29F8">
        <w:rPr>
          <w:rFonts w:ascii="Arial" w:hAnsi="Arial" w:cs="Arial"/>
          <w:sz w:val="24"/>
          <w:szCs w:val="24"/>
          <w:lang w:val="en-US"/>
        </w:rPr>
        <w:t xml:space="preserve">ince </w:t>
      </w:r>
      <w:r w:rsidR="000675C6" w:rsidRPr="001D29F8">
        <w:rPr>
          <w:rFonts w:ascii="Arial" w:hAnsi="Arial" w:cs="Arial"/>
          <w:sz w:val="24"/>
          <w:szCs w:val="24"/>
          <w:lang w:val="en-US"/>
        </w:rPr>
        <w:t>RESCUE was</w:t>
      </w:r>
      <w:r w:rsidRPr="001D29F8">
        <w:rPr>
          <w:rFonts w:ascii="Arial" w:hAnsi="Arial" w:cs="Arial"/>
          <w:sz w:val="24"/>
          <w:szCs w:val="24"/>
          <w:lang w:val="en-US"/>
        </w:rPr>
        <w:t xml:space="preserve"> a non-randomized observational trial, it is possible that factors other than </w:t>
      </w:r>
      <w:proofErr w:type="spellStart"/>
      <w:r w:rsidR="000675C6" w:rsidRPr="001D29F8">
        <w:rPr>
          <w:rFonts w:ascii="Arial" w:hAnsi="Arial" w:cs="Arial"/>
          <w:sz w:val="24"/>
          <w:szCs w:val="24"/>
          <w:lang w:val="en-US"/>
        </w:rPr>
        <w:t>rt</w:t>
      </w:r>
      <w:r w:rsidRPr="001D29F8">
        <w:rPr>
          <w:rFonts w:ascii="Arial" w:hAnsi="Arial" w:cs="Arial"/>
          <w:sz w:val="24"/>
          <w:szCs w:val="24"/>
          <w:lang w:val="en-US"/>
        </w:rPr>
        <w:t>CGM</w:t>
      </w:r>
      <w:proofErr w:type="spellEnd"/>
      <w:r w:rsidRPr="001D29F8">
        <w:rPr>
          <w:rFonts w:ascii="Arial" w:hAnsi="Arial" w:cs="Arial"/>
          <w:sz w:val="24"/>
          <w:szCs w:val="24"/>
          <w:lang w:val="en-US"/>
        </w:rPr>
        <w:t>-</w:t>
      </w:r>
      <w:r w:rsidR="000675C6" w:rsidRPr="001D29F8">
        <w:rPr>
          <w:rFonts w:ascii="Arial" w:hAnsi="Arial" w:cs="Arial"/>
          <w:sz w:val="24"/>
          <w:szCs w:val="24"/>
          <w:lang w:val="en-US"/>
        </w:rPr>
        <w:t>use</w:t>
      </w:r>
      <w:r w:rsidRPr="001D29F8">
        <w:rPr>
          <w:rFonts w:ascii="Arial" w:hAnsi="Arial" w:cs="Arial"/>
          <w:color w:val="FF0000"/>
          <w:sz w:val="24"/>
          <w:szCs w:val="24"/>
          <w:lang w:val="en-US"/>
        </w:rPr>
        <w:t xml:space="preserve"> </w:t>
      </w:r>
      <w:r w:rsidR="000675C6" w:rsidRPr="001D29F8">
        <w:rPr>
          <w:rFonts w:ascii="Arial" w:hAnsi="Arial" w:cs="Arial"/>
          <w:sz w:val="24"/>
          <w:szCs w:val="24"/>
          <w:lang w:val="en-US"/>
        </w:rPr>
        <w:t>could affect the studied outcome measures</w:t>
      </w:r>
      <w:r w:rsidRPr="001D29F8">
        <w:rPr>
          <w:rFonts w:ascii="Arial" w:hAnsi="Arial" w:cs="Arial"/>
          <w:sz w:val="24"/>
          <w:szCs w:val="24"/>
          <w:lang w:val="en-US"/>
        </w:rPr>
        <w:t xml:space="preserve">. </w:t>
      </w:r>
      <w:r w:rsidR="000675C6" w:rsidRPr="001D29F8">
        <w:rPr>
          <w:rFonts w:ascii="Arial" w:hAnsi="Arial" w:cs="Arial"/>
          <w:sz w:val="24"/>
          <w:szCs w:val="24"/>
          <w:lang w:val="en-US"/>
        </w:rPr>
        <w:t xml:space="preserve">For example, it is possible that diabetes education that was provided when starting </w:t>
      </w:r>
      <w:proofErr w:type="spellStart"/>
      <w:r w:rsidR="000675C6" w:rsidRPr="001D29F8">
        <w:rPr>
          <w:rFonts w:ascii="Arial" w:hAnsi="Arial" w:cs="Arial"/>
          <w:sz w:val="24"/>
          <w:szCs w:val="24"/>
          <w:lang w:val="en-US"/>
        </w:rPr>
        <w:t>rtCGM</w:t>
      </w:r>
      <w:proofErr w:type="spellEnd"/>
      <w:r w:rsidR="000675C6" w:rsidRPr="001D29F8">
        <w:rPr>
          <w:rFonts w:ascii="Arial" w:hAnsi="Arial" w:cs="Arial"/>
          <w:sz w:val="24"/>
          <w:szCs w:val="24"/>
          <w:lang w:val="en-US"/>
        </w:rPr>
        <w:t xml:space="preserve"> sparked the motivation of people to get their diabetes on track again, apart from </w:t>
      </w:r>
      <w:proofErr w:type="spellStart"/>
      <w:r w:rsidR="000675C6" w:rsidRPr="001D29F8">
        <w:rPr>
          <w:rFonts w:ascii="Arial" w:hAnsi="Arial" w:cs="Arial"/>
          <w:sz w:val="24"/>
          <w:szCs w:val="24"/>
          <w:lang w:val="en-US"/>
        </w:rPr>
        <w:t>rtCGM</w:t>
      </w:r>
      <w:proofErr w:type="spellEnd"/>
      <w:r w:rsidR="000675C6" w:rsidRPr="001D29F8">
        <w:rPr>
          <w:rFonts w:ascii="Arial" w:hAnsi="Arial" w:cs="Arial"/>
          <w:sz w:val="24"/>
          <w:szCs w:val="24"/>
          <w:lang w:val="en-US"/>
        </w:rPr>
        <w:t xml:space="preserve"> use. However, this peak in motivation is known to fade after some time</w:t>
      </w:r>
      <w:r w:rsidR="00A47FAD" w:rsidRPr="001D29F8">
        <w:rPr>
          <w:rFonts w:ascii="Arial" w:hAnsi="Arial" w:cs="Arial"/>
          <w:sz w:val="24"/>
          <w:szCs w:val="24"/>
          <w:lang w:val="en-US"/>
        </w:rPr>
        <w:t xml:space="preserve"> </w:t>
      </w:r>
      <w:r w:rsidR="00A47FAD" w:rsidRPr="001D29F8">
        <w:rPr>
          <w:rFonts w:ascii="Arial" w:hAnsi="Arial" w:cs="Arial"/>
          <w:sz w:val="24"/>
          <w:szCs w:val="24"/>
          <w:lang w:val="en-US"/>
        </w:rPr>
        <w:fldChar w:fldCharType="begin" w:fldLock="1"/>
      </w:r>
      <w:r w:rsidR="000E348D" w:rsidRPr="001D29F8">
        <w:rPr>
          <w:rFonts w:ascii="Arial" w:hAnsi="Arial" w:cs="Arial"/>
          <w:sz w:val="24"/>
          <w:szCs w:val="24"/>
          <w:lang w:val="en-US"/>
        </w:rPr>
        <w:instrText>ADDIN CSL_CITATION {"citationItems":[{"id":"ITEM-1","itemData":{"ISSN":"1464-5491 (Electronic)","PMID":"32034796","abstract":"The last 20 years have witnessed a marked change in approaches to the management of type 1 diabetes in the UK. This is exemplified by National Institute of Health and Care Excellence (NICE) guidance which acknowledges that reaching and maintaining target glucose depends on people with type 1 diabetes effectively implementing flexible intensive insulin therapy. The guidance emphasizes that successful self-management requires the acquisition of complex skills and is best achieved by participation in high-quality structured education. Controlled trials and other research have shown that programmes teaching self-management can lower glucose levels while reducing hypoglycaemia, improve psychological outcomes and are highly cost-effective. An important principle of successful programmes is therapeutic education in which learning becomes a partnership between the professional and the person with diabetes who learns to fit diabetes into his/her everyday life. Other recommended elements of programmes include a written curriculum, group teaching by a professional multidisciplinary team and quality assurance. Yet many participants struggle post-course to implement and maintain skills, and overall HbA(1c) levels, particularly in the UK, remain far from target. Recent studies have identified the barriers to sustained effective self-management and concluded that even high-quality programmes generally lack critical components. These include incorporating evidence from behaviour change research, exploiting the promise of new technologies in reducing the burden of self-management, and providing structured professional support once people have completed the training. Studies are currently underway to evaluate structured training courses which have added these elements and examine whether they can lower glucose to levels closer to target without impairing quality of life.","author":[{"dropping-particle":"","family":"Heller","given":"S R","non-dropping-particle":"","parse-names":false,"suffix":""},{"dropping-particle":"","family":"Gianfrancesco","given":"C","non-dropping-particle":"","parse-names":false,"suffix":""},{"dropping-particle":"","family":"Taylor","given":"C","non-dropping-particle":"","parse-names":false,"suffix":""},{"dropping-particle":"","family":"Elliott","given":"J","non-dropping-particle":"","parse-names":false,"suffix":""}],"container-title":"Diabetic medicine : a journal of the British Diabetic Association","id":"ITEM-1","issue":"4","issued":{"date-parts":[["2020"]]},"language":"eng","page":"545-554","publisher-place":"England","title":"What are the characteristics of the best type 1 diabetes patient education programmes (from diagnosis to long-term care), do they improve outcomes and what is required to make them more effective?","type":"article-journal","volume":"37"},"uris":["http://www.mendeley.com/documents/?uuid=2df5d0b7-55ab-412c-bc42-99a7a1d57783"]}],"mendeley":{"formattedCitation":"(39)","plainTextFormattedCitation":"(39)","previouslyFormattedCitation":"(39)"},"properties":{"noteIndex":0},"schema":"https://github.com/citation-style-language/schema/raw/master/csl-citation.json"}</w:instrText>
      </w:r>
      <w:r w:rsidR="00A47FAD" w:rsidRPr="001D29F8">
        <w:rPr>
          <w:rFonts w:ascii="Arial" w:hAnsi="Arial" w:cs="Arial"/>
          <w:sz w:val="24"/>
          <w:szCs w:val="24"/>
          <w:lang w:val="en-US"/>
        </w:rPr>
        <w:fldChar w:fldCharType="separate"/>
      </w:r>
      <w:r w:rsidR="001644B2" w:rsidRPr="001D29F8">
        <w:rPr>
          <w:rFonts w:ascii="Arial" w:hAnsi="Arial" w:cs="Arial"/>
          <w:noProof/>
          <w:sz w:val="24"/>
          <w:szCs w:val="24"/>
          <w:lang w:val="en-US"/>
        </w:rPr>
        <w:t>(39)</w:t>
      </w:r>
      <w:r w:rsidR="00A47FAD" w:rsidRPr="001D29F8">
        <w:rPr>
          <w:rFonts w:ascii="Arial" w:hAnsi="Arial" w:cs="Arial"/>
          <w:sz w:val="24"/>
          <w:szCs w:val="24"/>
          <w:lang w:val="en-US"/>
        </w:rPr>
        <w:fldChar w:fldCharType="end"/>
      </w:r>
      <w:r w:rsidR="000675C6" w:rsidRPr="001D29F8">
        <w:rPr>
          <w:rFonts w:ascii="Arial" w:hAnsi="Arial" w:cs="Arial"/>
          <w:sz w:val="24"/>
          <w:szCs w:val="24"/>
          <w:lang w:val="en-US"/>
        </w:rPr>
        <w:t xml:space="preserve">. Nevertheless, </w:t>
      </w:r>
      <w:r w:rsidR="00A24203" w:rsidRPr="001D29F8">
        <w:rPr>
          <w:rFonts w:ascii="Arial" w:hAnsi="Arial" w:cs="Arial"/>
          <w:sz w:val="24"/>
          <w:szCs w:val="24"/>
          <w:lang w:val="en-US"/>
        </w:rPr>
        <w:t xml:space="preserve">we observed a sustained benefit even after 2 years, which contributes to the rationale that the use of </w:t>
      </w:r>
      <w:proofErr w:type="spellStart"/>
      <w:r w:rsidR="00A24203" w:rsidRPr="001D29F8">
        <w:rPr>
          <w:rFonts w:ascii="Arial" w:hAnsi="Arial" w:cs="Arial"/>
          <w:sz w:val="24"/>
          <w:szCs w:val="24"/>
          <w:lang w:val="en-US"/>
        </w:rPr>
        <w:t>rtCGM</w:t>
      </w:r>
      <w:proofErr w:type="spellEnd"/>
      <w:r w:rsidR="00A24203" w:rsidRPr="001D29F8">
        <w:rPr>
          <w:rFonts w:ascii="Arial" w:hAnsi="Arial" w:cs="Arial"/>
          <w:sz w:val="24"/>
          <w:szCs w:val="24"/>
          <w:lang w:val="en-US"/>
        </w:rPr>
        <w:t xml:space="preserve"> i</w:t>
      </w:r>
      <w:r w:rsidR="007E21F1" w:rsidRPr="001D29F8">
        <w:rPr>
          <w:rFonts w:ascii="Arial" w:hAnsi="Arial" w:cs="Arial"/>
          <w:sz w:val="24"/>
          <w:szCs w:val="24"/>
          <w:lang w:val="en-US"/>
        </w:rPr>
        <w:t>nstigates altered behavior.</w:t>
      </w:r>
    </w:p>
    <w:p w14:paraId="65375731" w14:textId="77777777" w:rsidR="00CE1590" w:rsidRPr="001D29F8" w:rsidRDefault="00894D89" w:rsidP="001D29F8">
      <w:pPr>
        <w:spacing w:after="0" w:line="480" w:lineRule="auto"/>
        <w:jc w:val="both"/>
        <w:rPr>
          <w:rFonts w:ascii="Arial" w:hAnsi="Arial" w:cs="Arial"/>
          <w:sz w:val="24"/>
          <w:szCs w:val="24"/>
          <w:lang w:val="en-US"/>
        </w:rPr>
      </w:pPr>
      <w:r w:rsidRPr="001D29F8">
        <w:rPr>
          <w:rFonts w:ascii="Arial" w:hAnsi="Arial" w:cs="Arial"/>
          <w:sz w:val="24"/>
          <w:szCs w:val="24"/>
          <w:lang w:val="en-US"/>
        </w:rPr>
        <w:t>In conclusion,</w:t>
      </w:r>
      <w:r w:rsidR="002872F9" w:rsidRPr="001D29F8">
        <w:rPr>
          <w:rFonts w:ascii="Arial" w:hAnsi="Arial" w:cs="Arial"/>
          <w:sz w:val="24"/>
          <w:szCs w:val="24"/>
          <w:lang w:val="en-US"/>
        </w:rPr>
        <w:t xml:space="preserve"> over a 24-month period, use of </w:t>
      </w:r>
      <w:proofErr w:type="spellStart"/>
      <w:r w:rsidR="002872F9" w:rsidRPr="001D29F8">
        <w:rPr>
          <w:rFonts w:ascii="Arial" w:hAnsi="Arial" w:cs="Arial"/>
          <w:sz w:val="24"/>
          <w:szCs w:val="24"/>
          <w:lang w:val="en-US"/>
        </w:rPr>
        <w:t>rtCGM</w:t>
      </w:r>
      <w:proofErr w:type="spellEnd"/>
      <w:r w:rsidR="002872F9" w:rsidRPr="001D29F8">
        <w:rPr>
          <w:rFonts w:ascii="Arial" w:hAnsi="Arial" w:cs="Arial"/>
          <w:sz w:val="24"/>
          <w:szCs w:val="24"/>
          <w:lang w:val="en-US"/>
        </w:rPr>
        <w:t xml:space="preserve"> in this high-risk population led to severe hypoglycemia reduction with an important implication for the daily lives of our patients, especially through the cutback of hypoglycemia fear.</w:t>
      </w:r>
    </w:p>
    <w:p w14:paraId="1718D556" w14:textId="77777777" w:rsidR="00245187" w:rsidRPr="001D29F8" w:rsidRDefault="00245187" w:rsidP="001D29F8">
      <w:pPr>
        <w:spacing w:line="480" w:lineRule="auto"/>
        <w:jc w:val="both"/>
        <w:rPr>
          <w:rFonts w:ascii="Arial" w:hAnsi="Arial" w:cs="Arial"/>
          <w:color w:val="FF0000"/>
          <w:sz w:val="24"/>
          <w:szCs w:val="24"/>
          <w:lang w:val="en-US"/>
        </w:rPr>
      </w:pPr>
    </w:p>
    <w:p w14:paraId="2EBCF240" w14:textId="77777777" w:rsidR="00192DAA" w:rsidRPr="0061056F" w:rsidRDefault="0061056F" w:rsidP="0061056F">
      <w:pPr>
        <w:spacing w:line="480" w:lineRule="auto"/>
        <w:jc w:val="both"/>
        <w:rPr>
          <w:rFonts w:ascii="Arial" w:hAnsi="Arial" w:cs="Arial"/>
          <w:b/>
          <w:sz w:val="24"/>
          <w:szCs w:val="24"/>
          <w:lang w:val="en-US"/>
        </w:rPr>
      </w:pPr>
      <w:r w:rsidRPr="0061056F">
        <w:rPr>
          <w:rFonts w:ascii="Arial" w:hAnsi="Arial" w:cs="Arial"/>
          <w:b/>
          <w:sz w:val="24"/>
          <w:szCs w:val="24"/>
          <w:lang w:val="en-US"/>
        </w:rPr>
        <w:t>ACKNOWLEDGEMENTS</w:t>
      </w:r>
    </w:p>
    <w:p w14:paraId="21A648F5" w14:textId="77777777" w:rsidR="001101FC" w:rsidRPr="001D29F8" w:rsidRDefault="00EC4C81" w:rsidP="001D29F8">
      <w:pPr>
        <w:spacing w:line="480" w:lineRule="auto"/>
        <w:jc w:val="both"/>
        <w:rPr>
          <w:rFonts w:ascii="Arial" w:hAnsi="Arial" w:cs="Arial"/>
          <w:sz w:val="24"/>
          <w:szCs w:val="24"/>
          <w:lang w:val="en-US"/>
        </w:rPr>
      </w:pPr>
      <w:r w:rsidRPr="001D29F8">
        <w:rPr>
          <w:rFonts w:ascii="Arial" w:hAnsi="Arial" w:cs="Arial"/>
          <w:b/>
          <w:sz w:val="24"/>
          <w:szCs w:val="24"/>
          <w:lang w:val="en-US"/>
        </w:rPr>
        <w:t>Acknowledgements:</w:t>
      </w:r>
      <w:r w:rsidRPr="001D29F8">
        <w:rPr>
          <w:rFonts w:ascii="Arial" w:hAnsi="Arial" w:cs="Arial"/>
          <w:sz w:val="24"/>
          <w:szCs w:val="24"/>
          <w:lang w:val="en-US"/>
        </w:rPr>
        <w:t xml:space="preserve"> </w:t>
      </w:r>
      <w:r w:rsidR="00192DAA" w:rsidRPr="001D29F8">
        <w:rPr>
          <w:rFonts w:ascii="Arial" w:hAnsi="Arial" w:cs="Arial"/>
          <w:sz w:val="24"/>
          <w:szCs w:val="24"/>
          <w:lang w:val="en-US"/>
        </w:rPr>
        <w:t xml:space="preserve">The authors </w:t>
      </w:r>
      <w:r w:rsidR="00546CC0" w:rsidRPr="001D29F8">
        <w:rPr>
          <w:rFonts w:ascii="Arial" w:hAnsi="Arial" w:cs="Arial"/>
          <w:sz w:val="24"/>
          <w:szCs w:val="24"/>
          <w:lang w:val="en-US"/>
        </w:rPr>
        <w:t xml:space="preserve">would like to </w:t>
      </w:r>
      <w:r w:rsidR="00A40398" w:rsidRPr="001D29F8">
        <w:rPr>
          <w:rFonts w:ascii="Arial" w:hAnsi="Arial" w:cs="Arial"/>
          <w:sz w:val="24"/>
          <w:szCs w:val="24"/>
          <w:lang w:val="en-US"/>
        </w:rPr>
        <w:t xml:space="preserve">thank the data nurses, </w:t>
      </w:r>
      <w:r w:rsidR="00DE292C" w:rsidRPr="001D29F8">
        <w:rPr>
          <w:rFonts w:ascii="Arial" w:hAnsi="Arial" w:cs="Arial"/>
          <w:sz w:val="24"/>
          <w:szCs w:val="24"/>
          <w:lang w:val="en-US"/>
        </w:rPr>
        <w:t>the local investigators and their teams for monitoring the patients, completing the case reporting files, and collecting data.</w:t>
      </w:r>
    </w:p>
    <w:p w14:paraId="0349B254" w14:textId="77777777" w:rsidR="00EC4C81" w:rsidRPr="001D29F8" w:rsidRDefault="00EC4C81" w:rsidP="001D29F8">
      <w:pPr>
        <w:spacing w:line="480" w:lineRule="auto"/>
        <w:jc w:val="both"/>
        <w:rPr>
          <w:rFonts w:ascii="Arial" w:hAnsi="Arial" w:cs="Arial"/>
          <w:sz w:val="24"/>
          <w:szCs w:val="24"/>
          <w:lang w:val="en-US"/>
        </w:rPr>
      </w:pPr>
      <w:r w:rsidRPr="001D29F8">
        <w:rPr>
          <w:rFonts w:ascii="Arial" w:hAnsi="Arial" w:cs="Arial"/>
          <w:b/>
          <w:sz w:val="24"/>
          <w:szCs w:val="24"/>
          <w:lang w:val="en-US"/>
        </w:rPr>
        <w:t xml:space="preserve">Funding: </w:t>
      </w:r>
      <w:r w:rsidRPr="001D29F8">
        <w:rPr>
          <w:rFonts w:ascii="Arial" w:hAnsi="Arial" w:cs="Arial"/>
          <w:sz w:val="24"/>
          <w:szCs w:val="24"/>
          <w:lang w:val="en-US"/>
        </w:rPr>
        <w:t>No funding was available.</w:t>
      </w:r>
      <w:r w:rsidRPr="001D29F8">
        <w:rPr>
          <w:rFonts w:ascii="Arial" w:hAnsi="Arial" w:cs="Arial"/>
          <w:b/>
          <w:sz w:val="24"/>
          <w:szCs w:val="24"/>
          <w:lang w:val="en-US"/>
        </w:rPr>
        <w:t xml:space="preserve"> </w:t>
      </w:r>
      <w:r w:rsidRPr="001D29F8">
        <w:rPr>
          <w:rFonts w:ascii="Arial" w:hAnsi="Arial" w:cs="Arial"/>
          <w:sz w:val="24"/>
          <w:szCs w:val="24"/>
          <w:lang w:val="en-US"/>
        </w:rPr>
        <w:t>S.C. received a doctoral grant strategic basic research and P.G. received a grant for a clinical PhD fellowship from FWO (</w:t>
      </w:r>
      <w:proofErr w:type="spellStart"/>
      <w:r w:rsidRPr="001D29F8">
        <w:rPr>
          <w:rFonts w:ascii="Arial" w:hAnsi="Arial" w:cs="Arial"/>
          <w:sz w:val="24"/>
          <w:szCs w:val="24"/>
          <w:lang w:val="en-US"/>
        </w:rPr>
        <w:t>Fonds</w:t>
      </w:r>
      <w:proofErr w:type="spellEnd"/>
      <w:r w:rsidRPr="001D29F8">
        <w:rPr>
          <w:rFonts w:ascii="Arial" w:hAnsi="Arial" w:cs="Arial"/>
          <w:sz w:val="24"/>
          <w:szCs w:val="24"/>
          <w:lang w:val="en-US"/>
        </w:rPr>
        <w:t xml:space="preserve"> </w:t>
      </w:r>
      <w:proofErr w:type="spellStart"/>
      <w:r w:rsidRPr="001D29F8">
        <w:rPr>
          <w:rFonts w:ascii="Arial" w:hAnsi="Arial" w:cs="Arial"/>
          <w:sz w:val="24"/>
          <w:szCs w:val="24"/>
          <w:lang w:val="en-US"/>
        </w:rPr>
        <w:t>Wetenschappelijk</w:t>
      </w:r>
      <w:proofErr w:type="spellEnd"/>
      <w:r w:rsidRPr="001D29F8">
        <w:rPr>
          <w:rFonts w:ascii="Arial" w:hAnsi="Arial" w:cs="Arial"/>
          <w:sz w:val="24"/>
          <w:szCs w:val="24"/>
          <w:lang w:val="en-US"/>
        </w:rPr>
        <w:t xml:space="preserve"> </w:t>
      </w:r>
      <w:proofErr w:type="spellStart"/>
      <w:r w:rsidRPr="001D29F8">
        <w:rPr>
          <w:rFonts w:ascii="Arial" w:hAnsi="Arial" w:cs="Arial"/>
          <w:sz w:val="24"/>
          <w:szCs w:val="24"/>
          <w:lang w:val="en-US"/>
        </w:rPr>
        <w:t>Onderzoek</w:t>
      </w:r>
      <w:proofErr w:type="spellEnd"/>
      <w:r w:rsidRPr="001D29F8">
        <w:rPr>
          <w:rFonts w:ascii="Arial" w:hAnsi="Arial" w:cs="Arial"/>
          <w:sz w:val="24"/>
          <w:szCs w:val="24"/>
          <w:lang w:val="en-US"/>
        </w:rPr>
        <w:t>).</w:t>
      </w:r>
    </w:p>
    <w:p w14:paraId="3D4AF364" w14:textId="77777777" w:rsidR="00EC4C81" w:rsidRPr="001D29F8" w:rsidRDefault="00EC4C81" w:rsidP="001D29F8">
      <w:pPr>
        <w:spacing w:line="480" w:lineRule="auto"/>
        <w:jc w:val="both"/>
        <w:rPr>
          <w:rFonts w:ascii="Arial" w:hAnsi="Arial" w:cs="Arial"/>
          <w:b/>
          <w:sz w:val="24"/>
          <w:szCs w:val="24"/>
          <w:lang w:val="en-US"/>
        </w:rPr>
      </w:pPr>
      <w:commentRangeStart w:id="12"/>
      <w:r w:rsidRPr="001D29F8">
        <w:rPr>
          <w:rFonts w:ascii="Arial" w:hAnsi="Arial" w:cs="Arial"/>
          <w:b/>
          <w:sz w:val="24"/>
          <w:szCs w:val="24"/>
          <w:lang w:val="en-US"/>
        </w:rPr>
        <w:t>Duality of interest</w:t>
      </w:r>
      <w:commentRangeEnd w:id="12"/>
      <w:r w:rsidR="001D46AC" w:rsidRPr="001D29F8">
        <w:rPr>
          <w:rStyle w:val="Verwijzingopmerking"/>
          <w:rFonts w:ascii="Arial" w:hAnsi="Arial" w:cs="Arial"/>
          <w:sz w:val="24"/>
          <w:szCs w:val="24"/>
        </w:rPr>
        <w:commentReference w:id="12"/>
      </w:r>
      <w:r w:rsidRPr="001D29F8">
        <w:rPr>
          <w:rFonts w:ascii="Arial" w:hAnsi="Arial" w:cs="Arial"/>
          <w:b/>
          <w:sz w:val="24"/>
          <w:szCs w:val="24"/>
          <w:lang w:val="en-US"/>
        </w:rPr>
        <w:t xml:space="preserve">: </w:t>
      </w:r>
      <w:r w:rsidRPr="001D29F8">
        <w:rPr>
          <w:rFonts w:ascii="Arial" w:hAnsi="Arial" w:cs="Arial"/>
          <w:sz w:val="24"/>
          <w:szCs w:val="24"/>
          <w:lang w:val="en-US"/>
        </w:rPr>
        <w:t xml:space="preserve">S.C. received travel grants from Medtronic and Roche, unrelated to the present work. C.M. serves or has served on the advisory panel for Novo Nordisk, Sanofi-Aventis, Merck Sharp and </w:t>
      </w:r>
      <w:proofErr w:type="spellStart"/>
      <w:r w:rsidRPr="001D29F8">
        <w:rPr>
          <w:rFonts w:ascii="Arial" w:hAnsi="Arial" w:cs="Arial"/>
          <w:sz w:val="24"/>
          <w:szCs w:val="24"/>
          <w:lang w:val="en-US"/>
        </w:rPr>
        <w:t>Dohme</w:t>
      </w:r>
      <w:proofErr w:type="spellEnd"/>
      <w:r w:rsidRPr="001D29F8">
        <w:rPr>
          <w:rFonts w:ascii="Arial" w:hAnsi="Arial" w:cs="Arial"/>
          <w:sz w:val="24"/>
          <w:szCs w:val="24"/>
          <w:lang w:val="en-US"/>
        </w:rPr>
        <w:t xml:space="preserve">, Eli Lilly, Novartis, AstraZeneca, </w:t>
      </w:r>
      <w:proofErr w:type="spellStart"/>
      <w:r w:rsidRPr="001D29F8">
        <w:rPr>
          <w:rFonts w:ascii="Arial" w:hAnsi="Arial" w:cs="Arial"/>
          <w:sz w:val="24"/>
          <w:szCs w:val="24"/>
          <w:lang w:val="en-US"/>
        </w:rPr>
        <w:t>Boehringer-Ingelheim</w:t>
      </w:r>
      <w:proofErr w:type="spellEnd"/>
      <w:r w:rsidRPr="001D29F8">
        <w:rPr>
          <w:rFonts w:ascii="Arial" w:hAnsi="Arial" w:cs="Arial"/>
          <w:sz w:val="24"/>
          <w:szCs w:val="24"/>
          <w:lang w:val="en-US"/>
        </w:rPr>
        <w:t xml:space="preserve">, </w:t>
      </w:r>
      <w:proofErr w:type="spellStart"/>
      <w:r w:rsidRPr="001D29F8">
        <w:rPr>
          <w:rFonts w:ascii="Arial" w:hAnsi="Arial" w:cs="Arial"/>
          <w:sz w:val="24"/>
          <w:szCs w:val="24"/>
          <w:lang w:val="en-US"/>
        </w:rPr>
        <w:t>Hanmi</w:t>
      </w:r>
      <w:proofErr w:type="spellEnd"/>
      <w:r w:rsidRPr="001D29F8">
        <w:rPr>
          <w:rFonts w:ascii="Arial" w:hAnsi="Arial" w:cs="Arial"/>
          <w:sz w:val="24"/>
          <w:szCs w:val="24"/>
          <w:lang w:val="en-US"/>
        </w:rPr>
        <w:t xml:space="preserve"> Pharmaceuticals, Roche, Medtronic, </w:t>
      </w:r>
      <w:proofErr w:type="spellStart"/>
      <w:r w:rsidRPr="001D29F8">
        <w:rPr>
          <w:rFonts w:ascii="Arial" w:hAnsi="Arial" w:cs="Arial"/>
          <w:sz w:val="24"/>
          <w:szCs w:val="24"/>
          <w:lang w:val="en-US"/>
        </w:rPr>
        <w:t>ActoBio</w:t>
      </w:r>
      <w:proofErr w:type="spellEnd"/>
      <w:r w:rsidRPr="001D29F8">
        <w:rPr>
          <w:rFonts w:ascii="Arial" w:hAnsi="Arial" w:cs="Arial"/>
          <w:sz w:val="24"/>
          <w:szCs w:val="24"/>
          <w:lang w:val="en-US"/>
        </w:rPr>
        <w:t xml:space="preserve"> Therapeutics, Pfizer, </w:t>
      </w:r>
      <w:proofErr w:type="spellStart"/>
      <w:r w:rsidRPr="001D29F8">
        <w:rPr>
          <w:rFonts w:ascii="Arial" w:hAnsi="Arial" w:cs="Arial"/>
          <w:sz w:val="24"/>
          <w:szCs w:val="24"/>
          <w:lang w:val="en-US"/>
        </w:rPr>
        <w:t>Dianax</w:t>
      </w:r>
      <w:proofErr w:type="spellEnd"/>
      <w:r w:rsidRPr="001D29F8">
        <w:rPr>
          <w:rFonts w:ascii="Arial" w:hAnsi="Arial" w:cs="Arial"/>
          <w:sz w:val="24"/>
          <w:szCs w:val="24"/>
          <w:lang w:val="en-US"/>
        </w:rPr>
        <w:t xml:space="preserve">, and Union </w:t>
      </w:r>
      <w:proofErr w:type="spellStart"/>
      <w:r w:rsidRPr="001D29F8">
        <w:rPr>
          <w:rFonts w:ascii="Arial" w:hAnsi="Arial" w:cs="Arial"/>
          <w:sz w:val="24"/>
          <w:szCs w:val="24"/>
          <w:lang w:val="en-US"/>
        </w:rPr>
        <w:t>Chimique</w:t>
      </w:r>
      <w:proofErr w:type="spellEnd"/>
      <w:r w:rsidRPr="001D29F8">
        <w:rPr>
          <w:rFonts w:ascii="Arial" w:hAnsi="Arial" w:cs="Arial"/>
          <w:sz w:val="24"/>
          <w:szCs w:val="24"/>
          <w:lang w:val="en-US"/>
        </w:rPr>
        <w:t xml:space="preserve"> </w:t>
      </w:r>
      <w:proofErr w:type="spellStart"/>
      <w:r w:rsidRPr="001D29F8">
        <w:rPr>
          <w:rFonts w:ascii="Arial" w:hAnsi="Arial" w:cs="Arial"/>
          <w:sz w:val="24"/>
          <w:szCs w:val="24"/>
          <w:lang w:val="en-US"/>
        </w:rPr>
        <w:t>Belge</w:t>
      </w:r>
      <w:proofErr w:type="spellEnd"/>
      <w:r w:rsidRPr="001D29F8">
        <w:rPr>
          <w:rFonts w:ascii="Arial" w:hAnsi="Arial" w:cs="Arial"/>
          <w:sz w:val="24"/>
          <w:szCs w:val="24"/>
          <w:lang w:val="en-US"/>
        </w:rPr>
        <w:t xml:space="preserve">. Financial compensation for these activities has been received by KU Leuven; KU Leuven has received research support for C.M. from Medtronic, Novo Nordisk, Sanofi-Aventis, Merck Sharp and </w:t>
      </w:r>
      <w:proofErr w:type="spellStart"/>
      <w:r w:rsidRPr="001D29F8">
        <w:rPr>
          <w:rFonts w:ascii="Arial" w:hAnsi="Arial" w:cs="Arial"/>
          <w:sz w:val="24"/>
          <w:szCs w:val="24"/>
          <w:lang w:val="en-US"/>
        </w:rPr>
        <w:t>Dohme</w:t>
      </w:r>
      <w:proofErr w:type="spellEnd"/>
      <w:r w:rsidRPr="001D29F8">
        <w:rPr>
          <w:rFonts w:ascii="Arial" w:hAnsi="Arial" w:cs="Arial"/>
          <w:sz w:val="24"/>
          <w:szCs w:val="24"/>
          <w:lang w:val="en-US"/>
        </w:rPr>
        <w:t xml:space="preserve">, Eli Lilly, Roche, Abbott, </w:t>
      </w:r>
      <w:proofErr w:type="spellStart"/>
      <w:r w:rsidRPr="001D29F8">
        <w:rPr>
          <w:rFonts w:ascii="Arial" w:hAnsi="Arial" w:cs="Arial"/>
          <w:sz w:val="24"/>
          <w:szCs w:val="24"/>
          <w:lang w:val="en-US"/>
        </w:rPr>
        <w:t>ActoBio</w:t>
      </w:r>
      <w:proofErr w:type="spellEnd"/>
      <w:r w:rsidRPr="001D29F8">
        <w:rPr>
          <w:rFonts w:ascii="Arial" w:hAnsi="Arial" w:cs="Arial"/>
          <w:sz w:val="24"/>
          <w:szCs w:val="24"/>
          <w:lang w:val="en-US"/>
        </w:rPr>
        <w:t xml:space="preserve"> Therapeutics, and Novartis; C.M. serves or has served on the speakers bureau for Novo Nordisk, Sanofi-Aventis, Merck Sharp and </w:t>
      </w:r>
      <w:proofErr w:type="spellStart"/>
      <w:r w:rsidRPr="001D29F8">
        <w:rPr>
          <w:rFonts w:ascii="Arial" w:hAnsi="Arial" w:cs="Arial"/>
          <w:sz w:val="24"/>
          <w:szCs w:val="24"/>
          <w:lang w:val="en-US"/>
        </w:rPr>
        <w:t>Dohme</w:t>
      </w:r>
      <w:proofErr w:type="spellEnd"/>
      <w:r w:rsidRPr="001D29F8">
        <w:rPr>
          <w:rFonts w:ascii="Arial" w:hAnsi="Arial" w:cs="Arial"/>
          <w:sz w:val="24"/>
          <w:szCs w:val="24"/>
          <w:lang w:val="en-US"/>
        </w:rPr>
        <w:t xml:space="preserve">, Eli Lilly, </w:t>
      </w:r>
      <w:proofErr w:type="spellStart"/>
      <w:r w:rsidRPr="001D29F8">
        <w:rPr>
          <w:rFonts w:ascii="Arial" w:hAnsi="Arial" w:cs="Arial"/>
          <w:sz w:val="24"/>
          <w:szCs w:val="24"/>
          <w:lang w:val="en-US"/>
        </w:rPr>
        <w:t>Boehringer-Ingelheim</w:t>
      </w:r>
      <w:proofErr w:type="spellEnd"/>
      <w:r w:rsidRPr="001D29F8">
        <w:rPr>
          <w:rFonts w:ascii="Arial" w:hAnsi="Arial" w:cs="Arial"/>
          <w:sz w:val="24"/>
          <w:szCs w:val="24"/>
          <w:lang w:val="en-US"/>
        </w:rPr>
        <w:t xml:space="preserve">, AstraZeneca, and Novartis. Financial compensation for these activities has been received by KU Leuven. F.N. reports consulting fees and honoraria for speaking from Abbott, AstraZeneca, </w:t>
      </w:r>
      <w:proofErr w:type="spellStart"/>
      <w:r w:rsidRPr="001D29F8">
        <w:rPr>
          <w:rFonts w:ascii="Arial" w:hAnsi="Arial" w:cs="Arial"/>
          <w:sz w:val="24"/>
          <w:szCs w:val="24"/>
          <w:lang w:val="en-US"/>
        </w:rPr>
        <w:t>Boehringer-Ingelheim</w:t>
      </w:r>
      <w:proofErr w:type="spellEnd"/>
      <w:r w:rsidRPr="001D29F8">
        <w:rPr>
          <w:rFonts w:ascii="Arial" w:hAnsi="Arial" w:cs="Arial"/>
          <w:sz w:val="24"/>
          <w:szCs w:val="24"/>
          <w:lang w:val="en-US"/>
        </w:rPr>
        <w:t xml:space="preserve">, Eli Lilly, Johnson and Johnson, Medtronic, Merck Sharp and </w:t>
      </w:r>
      <w:proofErr w:type="spellStart"/>
      <w:r w:rsidRPr="001D29F8">
        <w:rPr>
          <w:rFonts w:ascii="Arial" w:hAnsi="Arial" w:cs="Arial"/>
          <w:sz w:val="24"/>
          <w:szCs w:val="24"/>
          <w:lang w:val="en-US"/>
        </w:rPr>
        <w:t>Dohme</w:t>
      </w:r>
      <w:proofErr w:type="spellEnd"/>
      <w:r w:rsidRPr="001D29F8">
        <w:rPr>
          <w:rFonts w:ascii="Arial" w:hAnsi="Arial" w:cs="Arial"/>
          <w:sz w:val="24"/>
          <w:szCs w:val="24"/>
          <w:lang w:val="en-US"/>
        </w:rPr>
        <w:t xml:space="preserve">, Novo Nordisk, Roche, and Sanofi-Aventis. C.D.B. reports consulting fees and honoraria for speaking for Abbott, AstraZeneca, </w:t>
      </w:r>
      <w:proofErr w:type="spellStart"/>
      <w:r w:rsidRPr="001D29F8">
        <w:rPr>
          <w:rFonts w:ascii="Arial" w:hAnsi="Arial" w:cs="Arial"/>
          <w:sz w:val="24"/>
          <w:szCs w:val="24"/>
          <w:lang w:val="en-US"/>
        </w:rPr>
        <w:t>Boehringer-Ingelheim</w:t>
      </w:r>
      <w:proofErr w:type="spellEnd"/>
      <w:r w:rsidRPr="001D29F8">
        <w:rPr>
          <w:rFonts w:ascii="Arial" w:hAnsi="Arial" w:cs="Arial"/>
          <w:sz w:val="24"/>
          <w:szCs w:val="24"/>
          <w:lang w:val="en-US"/>
        </w:rPr>
        <w:t xml:space="preserve">, A. </w:t>
      </w:r>
      <w:proofErr w:type="spellStart"/>
      <w:r w:rsidRPr="001D29F8">
        <w:rPr>
          <w:rFonts w:ascii="Arial" w:hAnsi="Arial" w:cs="Arial"/>
          <w:sz w:val="24"/>
          <w:szCs w:val="24"/>
          <w:lang w:val="en-US"/>
        </w:rPr>
        <w:t>Menarini</w:t>
      </w:r>
      <w:proofErr w:type="spellEnd"/>
      <w:r w:rsidRPr="001D29F8">
        <w:rPr>
          <w:rFonts w:ascii="Arial" w:hAnsi="Arial" w:cs="Arial"/>
          <w:sz w:val="24"/>
          <w:szCs w:val="24"/>
          <w:lang w:val="en-US"/>
        </w:rPr>
        <w:t xml:space="preserve"> Diagnostics, Eli Lilly, Medtronic, Novo Nordisk, and Roche.</w:t>
      </w:r>
      <w:r w:rsidR="001D46AC" w:rsidRPr="001D29F8">
        <w:rPr>
          <w:rFonts w:ascii="Arial" w:hAnsi="Arial" w:cs="Arial"/>
          <w:sz w:val="24"/>
          <w:szCs w:val="24"/>
          <w:lang w:val="en-US"/>
        </w:rPr>
        <w:t xml:space="preserve"> P.G. serves or has served on the advisory panel for Novo Nordisk, Sanofi-Aventis, </w:t>
      </w:r>
      <w:proofErr w:type="spellStart"/>
      <w:r w:rsidR="001D46AC" w:rsidRPr="001D29F8">
        <w:rPr>
          <w:rFonts w:ascii="Arial" w:hAnsi="Arial" w:cs="Arial"/>
          <w:sz w:val="24"/>
          <w:szCs w:val="24"/>
          <w:lang w:val="en-US"/>
        </w:rPr>
        <w:t>Boehringer-Ingelheim</w:t>
      </w:r>
      <w:proofErr w:type="spellEnd"/>
      <w:r w:rsidR="001D46AC" w:rsidRPr="001D29F8">
        <w:rPr>
          <w:rFonts w:ascii="Arial" w:hAnsi="Arial" w:cs="Arial"/>
          <w:sz w:val="24"/>
          <w:szCs w:val="24"/>
          <w:lang w:val="en-US"/>
        </w:rPr>
        <w:t xml:space="preserve">, Janssen Pharmaceuticals, Roche, Medtronic, and Bayer. Financial compensation for these activities has been received by KU Leuven. P.G. serves or has served on the speakers bureau for Merck Sharp and </w:t>
      </w:r>
      <w:proofErr w:type="spellStart"/>
      <w:r w:rsidR="001D46AC" w:rsidRPr="001D29F8">
        <w:rPr>
          <w:rFonts w:ascii="Arial" w:hAnsi="Arial" w:cs="Arial"/>
          <w:sz w:val="24"/>
          <w:szCs w:val="24"/>
          <w:lang w:val="en-US"/>
        </w:rPr>
        <w:t>Dohme</w:t>
      </w:r>
      <w:proofErr w:type="spellEnd"/>
      <w:r w:rsidR="001D46AC" w:rsidRPr="001D29F8">
        <w:rPr>
          <w:rFonts w:ascii="Arial" w:hAnsi="Arial" w:cs="Arial"/>
          <w:sz w:val="24"/>
          <w:szCs w:val="24"/>
          <w:lang w:val="en-US"/>
        </w:rPr>
        <w:t xml:space="preserve">, </w:t>
      </w:r>
      <w:proofErr w:type="spellStart"/>
      <w:r w:rsidR="001D46AC" w:rsidRPr="001D29F8">
        <w:rPr>
          <w:rFonts w:ascii="Arial" w:hAnsi="Arial" w:cs="Arial"/>
          <w:sz w:val="24"/>
          <w:szCs w:val="24"/>
          <w:lang w:val="en-US"/>
        </w:rPr>
        <w:t>Boehringer-Ingelheim</w:t>
      </w:r>
      <w:proofErr w:type="spellEnd"/>
      <w:r w:rsidR="001D46AC" w:rsidRPr="001D29F8">
        <w:rPr>
          <w:rFonts w:ascii="Arial" w:hAnsi="Arial" w:cs="Arial"/>
          <w:sz w:val="24"/>
          <w:szCs w:val="24"/>
          <w:lang w:val="en-US"/>
        </w:rPr>
        <w:t xml:space="preserve">, Bayer, Medtronic, Abbott, and Roche. Financial compensation for these activities has been received by KU Leuven. KU Leuven received for P.G. non-financial support for travel from Sanofi-Aventis, A. </w:t>
      </w:r>
      <w:proofErr w:type="spellStart"/>
      <w:r w:rsidR="001D46AC" w:rsidRPr="001D29F8">
        <w:rPr>
          <w:rFonts w:ascii="Arial" w:hAnsi="Arial" w:cs="Arial"/>
          <w:sz w:val="24"/>
          <w:szCs w:val="24"/>
          <w:lang w:val="en-US"/>
        </w:rPr>
        <w:t>Menarini</w:t>
      </w:r>
      <w:proofErr w:type="spellEnd"/>
      <w:r w:rsidR="001D46AC" w:rsidRPr="001D29F8">
        <w:rPr>
          <w:rFonts w:ascii="Arial" w:hAnsi="Arial" w:cs="Arial"/>
          <w:sz w:val="24"/>
          <w:szCs w:val="24"/>
          <w:lang w:val="en-US"/>
        </w:rPr>
        <w:t xml:space="preserve"> Diagnostics, Medtronic, and Roche.</w:t>
      </w:r>
    </w:p>
    <w:p w14:paraId="7F6829FB" w14:textId="77777777" w:rsidR="00E8096C" w:rsidRPr="001D29F8" w:rsidRDefault="00DE292C" w:rsidP="00551F92">
      <w:pPr>
        <w:spacing w:line="480" w:lineRule="auto"/>
        <w:jc w:val="both"/>
        <w:rPr>
          <w:rFonts w:ascii="Arial" w:hAnsi="Arial" w:cs="Arial"/>
          <w:sz w:val="24"/>
          <w:szCs w:val="24"/>
          <w:lang w:val="en-US"/>
        </w:rPr>
      </w:pPr>
      <w:r w:rsidRPr="001D29F8">
        <w:rPr>
          <w:rStyle w:val="Kop4Char"/>
          <w:b/>
          <w:i w:val="0"/>
          <w:lang w:val="en-US"/>
        </w:rPr>
        <w:t xml:space="preserve">Author </w:t>
      </w:r>
      <w:r w:rsidR="00192DAA" w:rsidRPr="001D29F8">
        <w:rPr>
          <w:rStyle w:val="Kop4Char"/>
          <w:b/>
          <w:i w:val="0"/>
          <w:lang w:val="en-US"/>
        </w:rPr>
        <w:t>Contributions:</w:t>
      </w:r>
      <w:r w:rsidRPr="001D29F8">
        <w:rPr>
          <w:rFonts w:ascii="Arial" w:hAnsi="Arial" w:cs="Arial"/>
          <w:sz w:val="24"/>
          <w:szCs w:val="24"/>
          <w:lang w:val="en-US"/>
        </w:rPr>
        <w:t xml:space="preserve"> </w:t>
      </w:r>
      <w:r w:rsidR="001F3B9C" w:rsidRPr="001D29F8">
        <w:rPr>
          <w:rFonts w:ascii="Arial" w:hAnsi="Arial" w:cs="Arial"/>
          <w:sz w:val="24"/>
          <w:szCs w:val="24"/>
          <w:lang w:val="en-US"/>
        </w:rPr>
        <w:t xml:space="preserve">SC collected and analyzed the data, performed statistical analyses, discussed and wrote the manuscript, and made figures and tables. </w:t>
      </w:r>
      <w:r w:rsidRPr="001D29F8">
        <w:rPr>
          <w:rFonts w:ascii="Arial" w:hAnsi="Arial" w:cs="Arial"/>
          <w:sz w:val="24"/>
          <w:szCs w:val="24"/>
          <w:lang w:val="en-US"/>
        </w:rPr>
        <w:t xml:space="preserve">PG and CM designed the study, analyzed and discussed the data and wrote the manuscript. FN, CDB, RR, </w:t>
      </w:r>
      <w:r w:rsidR="00EB1A8E" w:rsidRPr="001D29F8">
        <w:rPr>
          <w:rFonts w:ascii="Arial" w:hAnsi="Arial" w:cs="Arial"/>
          <w:sz w:val="24"/>
          <w:szCs w:val="24"/>
          <w:lang w:val="en-US"/>
        </w:rPr>
        <w:t xml:space="preserve">IL, AM, DS, KS, MS, EW, YT, </w:t>
      </w:r>
      <w:r w:rsidRPr="001D29F8">
        <w:rPr>
          <w:rFonts w:ascii="Arial" w:hAnsi="Arial" w:cs="Arial"/>
          <w:sz w:val="24"/>
          <w:szCs w:val="24"/>
          <w:lang w:val="en-US"/>
        </w:rPr>
        <w:t xml:space="preserve">CV, and BK collected and discussed the data and edited the manuscript. </w:t>
      </w:r>
      <w:r w:rsidR="001F3B9C" w:rsidRPr="001D29F8">
        <w:rPr>
          <w:rFonts w:ascii="Arial" w:hAnsi="Arial" w:cs="Arial"/>
          <w:sz w:val="24"/>
          <w:szCs w:val="24"/>
          <w:lang w:val="en-US"/>
        </w:rPr>
        <w:t xml:space="preserve">SC and </w:t>
      </w:r>
      <w:r w:rsidRPr="001D29F8">
        <w:rPr>
          <w:rFonts w:ascii="Arial" w:hAnsi="Arial" w:cs="Arial"/>
          <w:sz w:val="24"/>
          <w:szCs w:val="24"/>
          <w:lang w:val="en-US"/>
        </w:rPr>
        <w:t xml:space="preserve">PG </w:t>
      </w:r>
      <w:r w:rsidR="001F3B9C" w:rsidRPr="001D29F8">
        <w:rPr>
          <w:rFonts w:ascii="Arial" w:hAnsi="Arial" w:cs="Arial"/>
          <w:sz w:val="24"/>
          <w:szCs w:val="24"/>
          <w:lang w:val="en-US"/>
        </w:rPr>
        <w:t>are</w:t>
      </w:r>
      <w:r w:rsidRPr="001D29F8">
        <w:rPr>
          <w:rFonts w:ascii="Arial" w:hAnsi="Arial" w:cs="Arial"/>
          <w:sz w:val="24"/>
          <w:szCs w:val="24"/>
          <w:lang w:val="en-US"/>
        </w:rPr>
        <w:t xml:space="preserve"> the guarantor</w:t>
      </w:r>
      <w:r w:rsidR="001F3B9C" w:rsidRPr="001D29F8">
        <w:rPr>
          <w:rFonts w:ascii="Arial" w:hAnsi="Arial" w:cs="Arial"/>
          <w:sz w:val="24"/>
          <w:szCs w:val="24"/>
          <w:lang w:val="en-US"/>
        </w:rPr>
        <w:t>s</w:t>
      </w:r>
      <w:r w:rsidRPr="001D29F8">
        <w:rPr>
          <w:rFonts w:ascii="Arial" w:hAnsi="Arial" w:cs="Arial"/>
          <w:sz w:val="24"/>
          <w:szCs w:val="24"/>
          <w:lang w:val="en-US"/>
        </w:rPr>
        <w:t xml:space="preserve"> of this work and, as such had full access to all the data in the study and takes responsibility for the integrity of the data and</w:t>
      </w:r>
      <w:r w:rsidR="00192DAA" w:rsidRPr="001D29F8">
        <w:rPr>
          <w:rFonts w:ascii="Arial" w:hAnsi="Arial" w:cs="Arial"/>
          <w:sz w:val="24"/>
          <w:szCs w:val="24"/>
          <w:lang w:val="en-US"/>
        </w:rPr>
        <w:t xml:space="preserve"> accuracy of the data analysis.</w:t>
      </w:r>
    </w:p>
    <w:p w14:paraId="5A1F6D2E" w14:textId="77777777" w:rsidR="001F3B9C" w:rsidRPr="001D29F8" w:rsidRDefault="001F3B9C" w:rsidP="001D29F8">
      <w:pPr>
        <w:spacing w:after="0" w:line="480" w:lineRule="auto"/>
        <w:jc w:val="both"/>
        <w:rPr>
          <w:rFonts w:ascii="Arial" w:hAnsi="Arial" w:cs="Arial"/>
          <w:b/>
          <w:sz w:val="24"/>
          <w:szCs w:val="24"/>
          <w:lang w:val="en-US"/>
        </w:rPr>
      </w:pPr>
      <w:r w:rsidRPr="001D29F8">
        <w:rPr>
          <w:rFonts w:ascii="Arial" w:hAnsi="Arial" w:cs="Arial"/>
          <w:b/>
          <w:sz w:val="24"/>
          <w:szCs w:val="24"/>
          <w:lang w:val="en-US"/>
        </w:rPr>
        <w:t xml:space="preserve">Prior presentation: </w:t>
      </w:r>
      <w:r w:rsidRPr="001D29F8">
        <w:rPr>
          <w:rFonts w:ascii="Arial" w:hAnsi="Arial" w:cs="Arial"/>
          <w:sz w:val="24"/>
          <w:szCs w:val="24"/>
          <w:lang w:val="en-US"/>
        </w:rPr>
        <w:t>Parts of this study were presented at the 13th International Conference on Advanced Technologies &amp; Treatments for Diabetes, Madrid, Spain, 19-22 February 2020.</w:t>
      </w:r>
    </w:p>
    <w:p w14:paraId="02AC663D" w14:textId="77777777" w:rsidR="00CF646F" w:rsidRPr="00E02760" w:rsidRDefault="00CF646F" w:rsidP="007443B6">
      <w:pPr>
        <w:spacing w:after="0" w:line="480" w:lineRule="auto"/>
        <w:jc w:val="both"/>
        <w:rPr>
          <w:rFonts w:ascii="Arial" w:hAnsi="Arial" w:cs="Arial"/>
          <w:color w:val="FF0000"/>
          <w:sz w:val="20"/>
          <w:szCs w:val="20"/>
          <w:lang w:val="en-US"/>
        </w:rPr>
      </w:pPr>
    </w:p>
    <w:p w14:paraId="2ADAF48C" w14:textId="77777777" w:rsidR="005855A3" w:rsidRPr="0061056F" w:rsidRDefault="0061056F" w:rsidP="0061056F">
      <w:pPr>
        <w:spacing w:line="480" w:lineRule="auto"/>
        <w:jc w:val="both"/>
        <w:rPr>
          <w:rFonts w:ascii="Arial" w:hAnsi="Arial" w:cs="Arial"/>
          <w:b/>
          <w:sz w:val="24"/>
          <w:szCs w:val="24"/>
          <w:lang w:val="en-US"/>
        </w:rPr>
      </w:pPr>
      <w:r w:rsidRPr="0061056F">
        <w:rPr>
          <w:rFonts w:ascii="Arial" w:hAnsi="Arial" w:cs="Arial"/>
          <w:b/>
          <w:sz w:val="24"/>
          <w:szCs w:val="24"/>
          <w:lang w:val="en-US"/>
        </w:rPr>
        <w:t>REFERENCES</w:t>
      </w:r>
    </w:p>
    <w:p w14:paraId="2CE47628" w14:textId="77777777" w:rsidR="00D35F58" w:rsidRPr="001A6447" w:rsidRDefault="001A4A03" w:rsidP="00D35F58">
      <w:pPr>
        <w:widowControl w:val="0"/>
        <w:autoSpaceDE w:val="0"/>
        <w:autoSpaceDN w:val="0"/>
        <w:adjustRightInd w:val="0"/>
        <w:spacing w:line="480" w:lineRule="auto"/>
        <w:ind w:left="640" w:hanging="640"/>
        <w:rPr>
          <w:rFonts w:ascii="Arial" w:hAnsi="Arial" w:cs="Arial"/>
          <w:noProof/>
          <w:sz w:val="24"/>
          <w:szCs w:val="24"/>
          <w:lang w:val="en-GB"/>
        </w:rPr>
      </w:pPr>
      <w:r w:rsidRPr="0061056F">
        <w:rPr>
          <w:rFonts w:ascii="Arial" w:hAnsi="Arial" w:cs="Arial"/>
          <w:b/>
          <w:sz w:val="24"/>
          <w:szCs w:val="24"/>
          <w:lang w:val="en-US"/>
        </w:rPr>
        <w:fldChar w:fldCharType="begin" w:fldLock="1"/>
      </w:r>
      <w:r w:rsidRPr="0061056F">
        <w:rPr>
          <w:rFonts w:ascii="Arial" w:hAnsi="Arial" w:cs="Arial"/>
          <w:b/>
          <w:sz w:val="24"/>
          <w:szCs w:val="24"/>
          <w:lang w:val="en-US"/>
        </w:rPr>
        <w:instrText xml:space="preserve">ADDIN Mendeley Bibliography CSL_BIBLIOGRAPHY </w:instrText>
      </w:r>
      <w:r w:rsidRPr="0061056F">
        <w:rPr>
          <w:rFonts w:ascii="Arial" w:hAnsi="Arial" w:cs="Arial"/>
          <w:b/>
          <w:sz w:val="24"/>
          <w:szCs w:val="24"/>
          <w:lang w:val="en-US"/>
        </w:rPr>
        <w:fldChar w:fldCharType="separate"/>
      </w:r>
      <w:r w:rsidR="00D35F58" w:rsidRPr="001A6447">
        <w:rPr>
          <w:rFonts w:ascii="Arial" w:hAnsi="Arial" w:cs="Arial"/>
          <w:noProof/>
          <w:sz w:val="24"/>
          <w:szCs w:val="24"/>
          <w:lang w:val="en-GB"/>
        </w:rPr>
        <w:t xml:space="preserve">1. </w:t>
      </w:r>
      <w:r w:rsidR="00D35F58" w:rsidRPr="001A6447">
        <w:rPr>
          <w:rFonts w:ascii="Arial" w:hAnsi="Arial" w:cs="Arial"/>
          <w:noProof/>
          <w:sz w:val="24"/>
          <w:szCs w:val="24"/>
          <w:lang w:val="en-GB"/>
        </w:rPr>
        <w:tab/>
        <w:t xml:space="preserve">Cryer PE. Elimination of hypoglycemia from the lives of people affected by diabetes. Diabetes. 2011;60(1):24–7. </w:t>
      </w:r>
    </w:p>
    <w:p w14:paraId="53959819"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 </w:t>
      </w:r>
      <w:r w:rsidRPr="001A6447">
        <w:rPr>
          <w:rFonts w:ascii="Arial" w:hAnsi="Arial" w:cs="Arial"/>
          <w:noProof/>
          <w:sz w:val="24"/>
          <w:szCs w:val="24"/>
          <w:lang w:val="en-GB"/>
        </w:rPr>
        <w:tab/>
        <w:t xml:space="preserve">Hoerger TJ, Segel JE, Gregg EW, Saaddine JB. Is glycemic control improving in U.S. adults? Diabetes Care. 2008;31(1):81–6. </w:t>
      </w:r>
    </w:p>
    <w:p w14:paraId="2CF8E06F"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 </w:t>
      </w:r>
      <w:r w:rsidRPr="001A6447">
        <w:rPr>
          <w:rFonts w:ascii="Arial" w:hAnsi="Arial" w:cs="Arial"/>
          <w:noProof/>
          <w:sz w:val="24"/>
          <w:szCs w:val="24"/>
          <w:lang w:val="en-GB"/>
        </w:rPr>
        <w:tab/>
        <w:t xml:space="preserve">American Diabetes Association. 6. Glycemic Targets: Standards of Medical Care in Diabetes-2020. Diabetes Care. 2020;43(Suppl 1):S66–76. </w:t>
      </w:r>
    </w:p>
    <w:p w14:paraId="62C6C4A2"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4. </w:t>
      </w:r>
      <w:r w:rsidRPr="001A6447">
        <w:rPr>
          <w:rFonts w:ascii="Arial" w:hAnsi="Arial" w:cs="Arial"/>
          <w:noProof/>
          <w:sz w:val="24"/>
          <w:szCs w:val="24"/>
          <w:lang w:val="en-GB"/>
        </w:rPr>
        <w:tab/>
        <w:t xml:space="preserve">Frier BM. How hypoglycaemia can affect the life of a person with diabetes. Diabetes Metab Res Rev. 2008 Feb;24(2):87–92. </w:t>
      </w:r>
    </w:p>
    <w:p w14:paraId="7E727189" w14:textId="77777777" w:rsidR="00D35F58" w:rsidRPr="00BF7640" w:rsidRDefault="00D35F58" w:rsidP="00D35F58">
      <w:pPr>
        <w:widowControl w:val="0"/>
        <w:autoSpaceDE w:val="0"/>
        <w:autoSpaceDN w:val="0"/>
        <w:adjustRightInd w:val="0"/>
        <w:spacing w:line="480" w:lineRule="auto"/>
        <w:ind w:left="640" w:hanging="640"/>
        <w:rPr>
          <w:rFonts w:ascii="Arial" w:hAnsi="Arial" w:cs="Arial"/>
          <w:noProof/>
          <w:sz w:val="24"/>
          <w:szCs w:val="24"/>
          <w:lang w:val="en-US"/>
        </w:rPr>
      </w:pPr>
      <w:r w:rsidRPr="001A6447">
        <w:rPr>
          <w:rFonts w:ascii="Arial" w:hAnsi="Arial" w:cs="Arial"/>
          <w:noProof/>
          <w:sz w:val="24"/>
          <w:szCs w:val="24"/>
          <w:lang w:val="en-GB"/>
        </w:rPr>
        <w:t xml:space="preserve">5. </w:t>
      </w:r>
      <w:r w:rsidRPr="001A6447">
        <w:rPr>
          <w:rFonts w:ascii="Arial" w:hAnsi="Arial" w:cs="Arial"/>
          <w:noProof/>
          <w:sz w:val="24"/>
          <w:szCs w:val="24"/>
          <w:lang w:val="en-GB"/>
        </w:rPr>
        <w:tab/>
        <w:t xml:space="preserve">Gubitosi-Klug RA, Braffett BH, White NH, Sherwin RS, Service FJ, Lachin JM, et al. Risk of Severe Hypoglycemia in Type 1 Diabetes Over 30 Years of Follow-up in the DCCT/EDIC Study. </w:t>
      </w:r>
      <w:r w:rsidRPr="00BF7640">
        <w:rPr>
          <w:rFonts w:ascii="Arial" w:hAnsi="Arial" w:cs="Arial"/>
          <w:noProof/>
          <w:sz w:val="24"/>
          <w:szCs w:val="24"/>
          <w:lang w:val="en-US"/>
        </w:rPr>
        <w:t xml:space="preserve">Diabetes Care. 2017;40(8):1010–6. </w:t>
      </w:r>
    </w:p>
    <w:p w14:paraId="077A8A30"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BF7640">
        <w:rPr>
          <w:rFonts w:ascii="Arial" w:hAnsi="Arial" w:cs="Arial"/>
          <w:noProof/>
          <w:sz w:val="24"/>
          <w:szCs w:val="24"/>
          <w:lang w:val="en-US"/>
        </w:rPr>
        <w:t xml:space="preserve">6. </w:t>
      </w:r>
      <w:r w:rsidRPr="00BF7640">
        <w:rPr>
          <w:rFonts w:ascii="Arial" w:hAnsi="Arial" w:cs="Arial"/>
          <w:noProof/>
          <w:sz w:val="24"/>
          <w:szCs w:val="24"/>
          <w:lang w:val="en-US"/>
        </w:rPr>
        <w:tab/>
        <w:t xml:space="preserve">Geddes J, Schopman JE, Zammitt NN, Frier BM. </w:t>
      </w:r>
      <w:r w:rsidRPr="001A6447">
        <w:rPr>
          <w:rFonts w:ascii="Arial" w:hAnsi="Arial" w:cs="Arial"/>
          <w:noProof/>
          <w:sz w:val="24"/>
          <w:szCs w:val="24"/>
          <w:lang w:val="en-GB"/>
        </w:rPr>
        <w:t xml:space="preserve">Prevalence of impaired awareness of hypoglycaemia in adults with Type 1 diabetes. Diabet Med. 2008;25(4):501–4. </w:t>
      </w:r>
    </w:p>
    <w:p w14:paraId="0313F8D5"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7. </w:t>
      </w:r>
      <w:r w:rsidRPr="001A6447">
        <w:rPr>
          <w:rFonts w:ascii="Arial" w:hAnsi="Arial" w:cs="Arial"/>
          <w:noProof/>
          <w:sz w:val="24"/>
          <w:szCs w:val="24"/>
          <w:lang w:val="en-GB"/>
        </w:rPr>
        <w:tab/>
        <w:t xml:space="preserve">Choudhary P, Geddes J, Freeman J V, Emery CJ, Heller SR, Frier BM. Frequency of biochemical hypoglycaemia in adults with Type 1 diabetes with and without impaired awareness of hypoglycaemia: no identifiable differences using continuous glucose monitoring. Diabet Med. 2010;27(6):666–72. </w:t>
      </w:r>
    </w:p>
    <w:p w14:paraId="303DA8FF"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8. </w:t>
      </w:r>
      <w:r w:rsidRPr="001A6447">
        <w:rPr>
          <w:rFonts w:ascii="Arial" w:hAnsi="Arial" w:cs="Arial"/>
          <w:noProof/>
          <w:sz w:val="24"/>
          <w:szCs w:val="24"/>
          <w:lang w:val="en-GB"/>
        </w:rPr>
        <w:tab/>
        <w:t xml:space="preserve">Lind M, Polonsky W, Hirsch IB, Heise T, Bolinder J, Dahlqvist S, et al. Continuous Glucose Monitoring vs Conventional Therapy for Glycemic Control in Adults With Type 1 Diabetes Treated With Multiple Daily Insulin Injections: The GOLD Randomized Clinical Trial. JAMA. 2017 Jan;317(4):379–87. </w:t>
      </w:r>
    </w:p>
    <w:p w14:paraId="4888F928" w14:textId="77777777" w:rsidR="00D35F58" w:rsidRPr="00D35F58" w:rsidRDefault="00D35F58" w:rsidP="00D35F58">
      <w:pPr>
        <w:widowControl w:val="0"/>
        <w:autoSpaceDE w:val="0"/>
        <w:autoSpaceDN w:val="0"/>
        <w:adjustRightInd w:val="0"/>
        <w:spacing w:line="480" w:lineRule="auto"/>
        <w:ind w:left="640" w:hanging="640"/>
        <w:rPr>
          <w:rFonts w:ascii="Arial" w:hAnsi="Arial" w:cs="Arial"/>
          <w:noProof/>
          <w:sz w:val="24"/>
          <w:szCs w:val="24"/>
        </w:rPr>
      </w:pPr>
      <w:r w:rsidRPr="001A6447">
        <w:rPr>
          <w:rFonts w:ascii="Arial" w:hAnsi="Arial" w:cs="Arial"/>
          <w:noProof/>
          <w:sz w:val="24"/>
          <w:szCs w:val="24"/>
          <w:lang w:val="en-GB"/>
        </w:rPr>
        <w:t xml:space="preserve">9. </w:t>
      </w:r>
      <w:r w:rsidRPr="001A6447">
        <w:rPr>
          <w:rFonts w:ascii="Arial" w:hAnsi="Arial" w:cs="Arial"/>
          <w:noProof/>
          <w:sz w:val="24"/>
          <w:szCs w:val="24"/>
          <w:lang w:val="en-GB"/>
        </w:rPr>
        <w:tab/>
        <w:t xml:space="preserve">Beck RW, Riddlesworth T, Ruedy K, Ahmann A, Bergenstal R, Haller S, et al. Effect of Continuous Glucose Monitoring on Glycemic Control in Adults With Type 1 Diabetes Using Insulin Injections: The DIAMOND Randomized Clinical Trial. </w:t>
      </w:r>
      <w:r w:rsidRPr="00D35F58">
        <w:rPr>
          <w:rFonts w:ascii="Arial" w:hAnsi="Arial" w:cs="Arial"/>
          <w:noProof/>
          <w:sz w:val="24"/>
          <w:szCs w:val="24"/>
        </w:rPr>
        <w:t xml:space="preserve">JAMA. 2017 Jan;317(4):371–8. </w:t>
      </w:r>
    </w:p>
    <w:p w14:paraId="49CB5F0E"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D35F58">
        <w:rPr>
          <w:rFonts w:ascii="Arial" w:hAnsi="Arial" w:cs="Arial"/>
          <w:noProof/>
          <w:sz w:val="24"/>
          <w:szCs w:val="24"/>
        </w:rPr>
        <w:t xml:space="preserve">10. </w:t>
      </w:r>
      <w:r w:rsidRPr="00D35F58">
        <w:rPr>
          <w:rFonts w:ascii="Arial" w:hAnsi="Arial" w:cs="Arial"/>
          <w:noProof/>
          <w:sz w:val="24"/>
          <w:szCs w:val="24"/>
        </w:rPr>
        <w:tab/>
        <w:t xml:space="preserve">Heinemann L, Freckmann G, Ehrmann D, Faber-Heinemann G, Guerra S, Waldenmaier D, et al. </w:t>
      </w:r>
      <w:r w:rsidRPr="001A6447">
        <w:rPr>
          <w:rFonts w:ascii="Arial" w:hAnsi="Arial" w:cs="Arial"/>
          <w:noProof/>
          <w:sz w:val="24"/>
          <w:szCs w:val="24"/>
          <w:lang w:val="en-GB"/>
        </w:rPr>
        <w:t xml:space="preserve">Real-time continuous glucose monitoring in adults with type 1 diabetes and impaired hypoglycaemia awareness or severe hypoglycaemia treated with multiple daily insulin injections (HypoDE): a multicentre, randomised controlled trial. Lancet. 2018;391(10128):1367–77. </w:t>
      </w:r>
    </w:p>
    <w:p w14:paraId="1A0A68AA" w14:textId="77777777" w:rsidR="00D35F58" w:rsidRPr="00D35F58" w:rsidRDefault="00D35F58" w:rsidP="00D35F58">
      <w:pPr>
        <w:widowControl w:val="0"/>
        <w:autoSpaceDE w:val="0"/>
        <w:autoSpaceDN w:val="0"/>
        <w:adjustRightInd w:val="0"/>
        <w:spacing w:line="480" w:lineRule="auto"/>
        <w:ind w:left="640" w:hanging="640"/>
        <w:rPr>
          <w:rFonts w:ascii="Arial" w:hAnsi="Arial" w:cs="Arial"/>
          <w:noProof/>
          <w:sz w:val="24"/>
          <w:szCs w:val="24"/>
        </w:rPr>
      </w:pPr>
      <w:r w:rsidRPr="001A6447">
        <w:rPr>
          <w:rFonts w:ascii="Arial" w:hAnsi="Arial" w:cs="Arial"/>
          <w:noProof/>
          <w:sz w:val="24"/>
          <w:szCs w:val="24"/>
          <w:lang w:val="en-GB"/>
        </w:rPr>
        <w:t xml:space="preserve">11. </w:t>
      </w:r>
      <w:r w:rsidRPr="001A6447">
        <w:rPr>
          <w:rFonts w:ascii="Arial" w:hAnsi="Arial" w:cs="Arial"/>
          <w:noProof/>
          <w:sz w:val="24"/>
          <w:szCs w:val="24"/>
          <w:lang w:val="en-GB"/>
        </w:rPr>
        <w:tab/>
        <w:t xml:space="preserve">Polonsky WH, Hessler D, Ruedy KJ, Beck RW. The Impact of Continuous Glucose Monitoring on Markers of Quality of Life in Adults With Type 1 Diabetes: Further Findings From the DIAMOND Randomized Clinical Trial. </w:t>
      </w:r>
      <w:r w:rsidRPr="00D35F58">
        <w:rPr>
          <w:rFonts w:ascii="Arial" w:hAnsi="Arial" w:cs="Arial"/>
          <w:noProof/>
          <w:sz w:val="24"/>
          <w:szCs w:val="24"/>
        </w:rPr>
        <w:t xml:space="preserve">Diabetes Care. 2017;40(6):736–41. </w:t>
      </w:r>
    </w:p>
    <w:p w14:paraId="1C5E0DAA"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D35F58">
        <w:rPr>
          <w:rFonts w:ascii="Arial" w:hAnsi="Arial" w:cs="Arial"/>
          <w:noProof/>
          <w:sz w:val="24"/>
          <w:szCs w:val="24"/>
        </w:rPr>
        <w:t xml:space="preserve">12. </w:t>
      </w:r>
      <w:r w:rsidRPr="00D35F58">
        <w:rPr>
          <w:rFonts w:ascii="Arial" w:hAnsi="Arial" w:cs="Arial"/>
          <w:noProof/>
          <w:sz w:val="24"/>
          <w:szCs w:val="24"/>
        </w:rPr>
        <w:tab/>
        <w:t xml:space="preserve">van Beers CAJ, DeVries JH, Kleijer SJ, Smits MM, Geelhoed-Duijvestijn PH, Kramer MHH, et al. </w:t>
      </w:r>
      <w:r w:rsidRPr="001A6447">
        <w:rPr>
          <w:rFonts w:ascii="Arial" w:hAnsi="Arial" w:cs="Arial"/>
          <w:noProof/>
          <w:sz w:val="24"/>
          <w:szCs w:val="24"/>
          <w:lang w:val="en-GB"/>
        </w:rPr>
        <w:t xml:space="preserve">Continuous glucose monitoring for patients with type 1 diabetes and impaired awareness of hypoglycaemia (IN CONTROL): a randomised, open-label, crossover trial. Lancet Diabetes Endocrinol. 2016;4(11):893–902. </w:t>
      </w:r>
    </w:p>
    <w:p w14:paraId="5F3EE64F" w14:textId="77777777" w:rsidR="00D35F58" w:rsidRPr="00BF7640" w:rsidRDefault="00D35F58" w:rsidP="00D35F58">
      <w:pPr>
        <w:widowControl w:val="0"/>
        <w:autoSpaceDE w:val="0"/>
        <w:autoSpaceDN w:val="0"/>
        <w:adjustRightInd w:val="0"/>
        <w:spacing w:line="480" w:lineRule="auto"/>
        <w:ind w:left="640" w:hanging="640"/>
        <w:rPr>
          <w:rFonts w:ascii="Arial" w:hAnsi="Arial" w:cs="Arial"/>
          <w:noProof/>
          <w:sz w:val="24"/>
          <w:szCs w:val="24"/>
        </w:rPr>
      </w:pPr>
      <w:r w:rsidRPr="001A6447">
        <w:rPr>
          <w:rFonts w:ascii="Arial" w:hAnsi="Arial" w:cs="Arial"/>
          <w:noProof/>
          <w:sz w:val="24"/>
          <w:szCs w:val="24"/>
          <w:lang w:val="en-GB"/>
        </w:rPr>
        <w:t xml:space="preserve">13. </w:t>
      </w:r>
      <w:r w:rsidRPr="001A6447">
        <w:rPr>
          <w:rFonts w:ascii="Arial" w:hAnsi="Arial" w:cs="Arial"/>
          <w:noProof/>
          <w:sz w:val="24"/>
          <w:szCs w:val="24"/>
          <w:lang w:val="en-GB"/>
        </w:rPr>
        <w:tab/>
        <w:t xml:space="preserve">Battelino T, Conget I, Olsen B, Schutz-Fuhrmann I, Hommel E, Hoogma R, et al. The use and efficacy of continuous glucose monitoring in type 1 diabetes treated with insulin pump therapy: a randomised controlled trial. </w:t>
      </w:r>
      <w:r w:rsidRPr="00BF7640">
        <w:rPr>
          <w:rFonts w:ascii="Arial" w:hAnsi="Arial" w:cs="Arial"/>
          <w:noProof/>
          <w:sz w:val="24"/>
          <w:szCs w:val="24"/>
        </w:rPr>
        <w:t xml:space="preserve">Diabetologia. 2012;55(12):3155–62. </w:t>
      </w:r>
    </w:p>
    <w:p w14:paraId="0B163D58"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BF7640">
        <w:rPr>
          <w:rFonts w:ascii="Arial" w:hAnsi="Arial" w:cs="Arial"/>
          <w:noProof/>
          <w:sz w:val="24"/>
          <w:szCs w:val="24"/>
        </w:rPr>
        <w:t xml:space="preserve">14. </w:t>
      </w:r>
      <w:r w:rsidRPr="00BF7640">
        <w:rPr>
          <w:rFonts w:ascii="Arial" w:hAnsi="Arial" w:cs="Arial"/>
          <w:noProof/>
          <w:sz w:val="24"/>
          <w:szCs w:val="24"/>
        </w:rPr>
        <w:tab/>
        <w:t xml:space="preserve">Bosi E, Choudhary P, de Valk HW, Lablanche S, Castañeda J, de Portu S, et al. </w:t>
      </w:r>
      <w:r w:rsidRPr="001A6447">
        <w:rPr>
          <w:rFonts w:ascii="Arial" w:hAnsi="Arial" w:cs="Arial"/>
          <w:noProof/>
          <w:sz w:val="24"/>
          <w:szCs w:val="24"/>
          <w:lang w:val="en-GB"/>
        </w:rPr>
        <w:t xml:space="preserve">Efficacy and safety of suspend-before-low insulin pump technology in hypoglycaemia-prone adults with type 1 diabetes (SMILE): an open-label randomised controlled trial. Lancet Diabetes Endocrinol. 2019;7(6):462–72. </w:t>
      </w:r>
    </w:p>
    <w:p w14:paraId="6F3C07DF"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s-ES"/>
        </w:rPr>
      </w:pPr>
      <w:r w:rsidRPr="001A6447">
        <w:rPr>
          <w:rFonts w:ascii="Arial" w:hAnsi="Arial" w:cs="Arial"/>
          <w:noProof/>
          <w:sz w:val="24"/>
          <w:szCs w:val="24"/>
          <w:lang w:val="en-GB"/>
        </w:rPr>
        <w:t xml:space="preserve">15. </w:t>
      </w:r>
      <w:r w:rsidRPr="001A6447">
        <w:rPr>
          <w:rFonts w:ascii="Arial" w:hAnsi="Arial" w:cs="Arial"/>
          <w:noProof/>
          <w:sz w:val="24"/>
          <w:szCs w:val="24"/>
          <w:lang w:val="en-GB"/>
        </w:rPr>
        <w:tab/>
        <w:t xml:space="preserve">Soupal J, Petruzelkova L, Grunberger G, Haskova A, Flekac M, Matoulek M, et al. Glycemic Outcomes in Adults With T1D Are Impacted More by Continuous Glucose Monitoring Than by Insulin Delivery Method: 3 Years of Follow-Up From the COMISAIR Study. </w:t>
      </w:r>
      <w:r w:rsidRPr="001A6447">
        <w:rPr>
          <w:rFonts w:ascii="Arial" w:hAnsi="Arial" w:cs="Arial"/>
          <w:noProof/>
          <w:sz w:val="24"/>
          <w:szCs w:val="24"/>
          <w:lang w:val="es-ES"/>
        </w:rPr>
        <w:t xml:space="preserve">Diabetes Care. 2020;43(1):37–43. </w:t>
      </w:r>
    </w:p>
    <w:p w14:paraId="6D06EAF9"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s-ES"/>
        </w:rPr>
        <w:t xml:space="preserve">16. </w:t>
      </w:r>
      <w:r w:rsidRPr="001A6447">
        <w:rPr>
          <w:rFonts w:ascii="Arial" w:hAnsi="Arial" w:cs="Arial"/>
          <w:noProof/>
          <w:sz w:val="24"/>
          <w:szCs w:val="24"/>
          <w:lang w:val="es-ES"/>
        </w:rPr>
        <w:tab/>
        <w:t xml:space="preserve">Gomez AM, Marin Carrillo LF, Munoz Velandia OM, Rondon Sepulveda MA, Arevalo Correa CM, Mora Garzon E, et al. </w:t>
      </w:r>
      <w:r w:rsidRPr="001A6447">
        <w:rPr>
          <w:rFonts w:ascii="Arial" w:hAnsi="Arial" w:cs="Arial"/>
          <w:noProof/>
          <w:sz w:val="24"/>
          <w:szCs w:val="24"/>
          <w:lang w:val="en-GB"/>
        </w:rPr>
        <w:t xml:space="preserve">Long-Term Efficacy and Safety of Sensor Augmented Insulin Pump Therapy with Low-Glucose Suspend Feature in Patients with Type 1 Diabetes. Diabetes Technol Ther. 2017;19(2):109–14. </w:t>
      </w:r>
    </w:p>
    <w:p w14:paraId="3D714120"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fr-BE"/>
        </w:rPr>
      </w:pPr>
      <w:r w:rsidRPr="001A6447">
        <w:rPr>
          <w:rFonts w:ascii="Arial" w:hAnsi="Arial" w:cs="Arial"/>
          <w:noProof/>
          <w:sz w:val="24"/>
          <w:szCs w:val="24"/>
          <w:lang w:val="en-GB"/>
        </w:rPr>
        <w:t xml:space="preserve">17. </w:t>
      </w:r>
      <w:r w:rsidRPr="001A6447">
        <w:rPr>
          <w:rFonts w:ascii="Arial" w:hAnsi="Arial" w:cs="Arial"/>
          <w:noProof/>
          <w:sz w:val="24"/>
          <w:szCs w:val="24"/>
          <w:lang w:val="en-GB"/>
        </w:rPr>
        <w:tab/>
        <w:t xml:space="preserve">Charleer S, Mathieu C, Nobels F, De Block C, Radermecker RP, Hermans MP, et al. Effect of Continuous Glucose Monitoring on Glycemic Control, Acute Admissions, and Quality of Life: A Real-World Study. </w:t>
      </w:r>
      <w:r w:rsidRPr="001A6447">
        <w:rPr>
          <w:rFonts w:ascii="Arial" w:hAnsi="Arial" w:cs="Arial"/>
          <w:noProof/>
          <w:sz w:val="24"/>
          <w:szCs w:val="24"/>
          <w:lang w:val="fr-BE"/>
        </w:rPr>
        <w:t xml:space="preserve">J Clin Endocrinol Metab. 2018;103(3):1224–32. </w:t>
      </w:r>
    </w:p>
    <w:p w14:paraId="3CDC4D67"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fr-BE"/>
        </w:rPr>
      </w:pPr>
      <w:r w:rsidRPr="001A6447">
        <w:rPr>
          <w:rFonts w:ascii="Arial" w:hAnsi="Arial" w:cs="Arial"/>
          <w:noProof/>
          <w:sz w:val="24"/>
          <w:szCs w:val="24"/>
          <w:lang w:val="fr-BE"/>
        </w:rPr>
        <w:t xml:space="preserve">18. </w:t>
      </w:r>
      <w:r w:rsidRPr="001A6447">
        <w:rPr>
          <w:rFonts w:ascii="Arial" w:hAnsi="Arial" w:cs="Arial"/>
          <w:noProof/>
          <w:sz w:val="24"/>
          <w:szCs w:val="24"/>
          <w:lang w:val="fr-BE"/>
        </w:rPr>
        <w:tab/>
        <w:t xml:space="preserve">Battelino T, Danne T, Bergenstal RM, Amiel SA, Beck R, Biester T, et al. </w:t>
      </w:r>
      <w:r w:rsidRPr="001A6447">
        <w:rPr>
          <w:rFonts w:ascii="Arial" w:hAnsi="Arial" w:cs="Arial"/>
          <w:noProof/>
          <w:sz w:val="24"/>
          <w:szCs w:val="24"/>
          <w:lang w:val="en-GB"/>
        </w:rPr>
        <w:t xml:space="preserve">Clinical Targets for Continuous Glucose Monitoring Data Interpretation: Recommendations From the International Consensus on Time in Range. </w:t>
      </w:r>
      <w:r w:rsidRPr="001A6447">
        <w:rPr>
          <w:rFonts w:ascii="Arial" w:hAnsi="Arial" w:cs="Arial"/>
          <w:noProof/>
          <w:sz w:val="24"/>
          <w:szCs w:val="24"/>
          <w:lang w:val="fr-BE"/>
        </w:rPr>
        <w:t xml:space="preserve">Diabetes Care. 2019;42(8):1593–603. </w:t>
      </w:r>
    </w:p>
    <w:p w14:paraId="6A924E05"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fr-BE"/>
        </w:rPr>
        <w:t xml:space="preserve">19. </w:t>
      </w:r>
      <w:r w:rsidRPr="001A6447">
        <w:rPr>
          <w:rFonts w:ascii="Arial" w:hAnsi="Arial" w:cs="Arial"/>
          <w:noProof/>
          <w:sz w:val="24"/>
          <w:szCs w:val="24"/>
          <w:lang w:val="fr-BE"/>
        </w:rPr>
        <w:tab/>
        <w:t xml:space="preserve">Danne T, Nimri R, Battelino T, Bergenstal RM, Close KL, DeVries JH, et al. </w:t>
      </w:r>
      <w:r w:rsidRPr="001A6447">
        <w:rPr>
          <w:rFonts w:ascii="Arial" w:hAnsi="Arial" w:cs="Arial"/>
          <w:noProof/>
          <w:sz w:val="24"/>
          <w:szCs w:val="24"/>
          <w:lang w:val="en-GB"/>
        </w:rPr>
        <w:t xml:space="preserve">International Consensus on Use of Continuous Glucose Monitoring. Diabetes Care. 2017;40(12):1631–40. </w:t>
      </w:r>
    </w:p>
    <w:p w14:paraId="09C7FB59"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20. </w:t>
      </w:r>
      <w:r w:rsidRPr="001A6447">
        <w:rPr>
          <w:rFonts w:ascii="Arial" w:hAnsi="Arial" w:cs="Arial"/>
          <w:noProof/>
          <w:sz w:val="24"/>
          <w:szCs w:val="24"/>
          <w:lang w:val="en-GB"/>
        </w:rPr>
        <w:tab/>
        <w:t xml:space="preserve">Ware JE. SF-36 Health Survey: Manual and Interpretation Guide. In: New England Medical Center, editor. The Health Institute. Boston, Massachusetts (US); 1993. </w:t>
      </w:r>
    </w:p>
    <w:p w14:paraId="58023D87"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21. </w:t>
      </w:r>
      <w:r w:rsidRPr="001A6447">
        <w:rPr>
          <w:rFonts w:ascii="Arial" w:hAnsi="Arial" w:cs="Arial"/>
          <w:noProof/>
          <w:sz w:val="24"/>
          <w:szCs w:val="24"/>
          <w:lang w:val="en-GB"/>
        </w:rPr>
        <w:tab/>
        <w:t xml:space="preserve">McGuire BE, Morrison TG, Hermanns N, Skovlund S, Eldrup E, Gagliardino J, et al. Short-form measures of diabetes-related emotional distress: the Problem Areas in Diabetes Scale (PAID)-5 and PAID-1. Diabetologia. 2010;53(1):66–9. </w:t>
      </w:r>
    </w:p>
    <w:p w14:paraId="68FF46B9"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22. </w:t>
      </w:r>
      <w:r w:rsidRPr="001A6447">
        <w:rPr>
          <w:rFonts w:ascii="Arial" w:hAnsi="Arial" w:cs="Arial"/>
          <w:noProof/>
          <w:sz w:val="24"/>
          <w:szCs w:val="24"/>
          <w:lang w:val="en-GB"/>
        </w:rPr>
        <w:tab/>
        <w:t xml:space="preserve">Gonder-Frederick LA, Schmidt KM, Vajda KA, Greear ML, Singh H, Shepard JA, et al. Psychometric properties of the hypoglycemia fear survey-ii for adults with type 1 diabetes. Diabetes Care. 2011;34(4):801–6. </w:t>
      </w:r>
    </w:p>
    <w:p w14:paraId="24490984"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23. </w:t>
      </w:r>
      <w:r w:rsidRPr="001A6447">
        <w:rPr>
          <w:rFonts w:ascii="Arial" w:hAnsi="Arial" w:cs="Arial"/>
          <w:noProof/>
          <w:sz w:val="24"/>
          <w:szCs w:val="24"/>
          <w:lang w:val="en-GB"/>
        </w:rPr>
        <w:tab/>
        <w:t xml:space="preserve">Tu Y-K, Baelum V, Gilthorpe MS. The relationship between baseline value and its change: problems in categorization and the proposal of a new method. Eur J Oral Sci. 2005;113(4):279–88. </w:t>
      </w:r>
    </w:p>
    <w:p w14:paraId="20FECC6B"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24. </w:t>
      </w:r>
      <w:r w:rsidRPr="001A6447">
        <w:rPr>
          <w:rFonts w:ascii="Arial" w:hAnsi="Arial" w:cs="Arial"/>
          <w:noProof/>
          <w:sz w:val="24"/>
          <w:szCs w:val="24"/>
          <w:lang w:val="en-GB"/>
        </w:rPr>
        <w:tab/>
        <w:t xml:space="preserve">International Hypoglycaemia Study Group. Hypoglycaemia, cardiovascular disease, and mortality in diabetes: epidemiology, pathogenesis, and management. Lancet Diabetes Endocrinol. 2019;7(5):385–96. </w:t>
      </w:r>
    </w:p>
    <w:p w14:paraId="69F4F8F0"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25. </w:t>
      </w:r>
      <w:r w:rsidRPr="001A6447">
        <w:rPr>
          <w:rFonts w:ascii="Arial" w:hAnsi="Arial" w:cs="Arial"/>
          <w:noProof/>
          <w:sz w:val="24"/>
          <w:szCs w:val="24"/>
          <w:lang w:val="en-GB"/>
        </w:rPr>
        <w:tab/>
        <w:t xml:space="preserve">Nathan DM, Genuth S, Lachin J, Cleary P, Crofford O, Davis M, et al. The effect of intensive treatment of diabetes on the development and progression of long-term complications in insulin-dependent diabetes mellitus. N Engl J Med. 1993;329(14):977–86. </w:t>
      </w:r>
    </w:p>
    <w:p w14:paraId="75FF07BF"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26. </w:t>
      </w:r>
      <w:r w:rsidRPr="001A6447">
        <w:rPr>
          <w:rFonts w:ascii="Arial" w:hAnsi="Arial" w:cs="Arial"/>
          <w:noProof/>
          <w:sz w:val="24"/>
          <w:szCs w:val="24"/>
          <w:lang w:val="en-GB"/>
        </w:rPr>
        <w:tab/>
        <w:t xml:space="preserve">Nathan DM, Cleary PA, Backlund J-YC, Genuth SM, Lachin JM, Orchard TJ, et al. Intensive diabetes treatment and cardiovascular disease in patients with type 1 diabetes. N Engl J Med. 2005;353(25):2643–53. </w:t>
      </w:r>
    </w:p>
    <w:p w14:paraId="53D90E31" w14:textId="77777777" w:rsidR="00D35F58" w:rsidRPr="00D35F58" w:rsidRDefault="00D35F58" w:rsidP="00D35F58">
      <w:pPr>
        <w:widowControl w:val="0"/>
        <w:autoSpaceDE w:val="0"/>
        <w:autoSpaceDN w:val="0"/>
        <w:adjustRightInd w:val="0"/>
        <w:spacing w:line="480" w:lineRule="auto"/>
        <w:ind w:left="640" w:hanging="640"/>
        <w:rPr>
          <w:rFonts w:ascii="Arial" w:hAnsi="Arial" w:cs="Arial"/>
          <w:noProof/>
          <w:sz w:val="24"/>
          <w:szCs w:val="24"/>
        </w:rPr>
      </w:pPr>
      <w:r w:rsidRPr="001A6447">
        <w:rPr>
          <w:rFonts w:ascii="Arial" w:hAnsi="Arial" w:cs="Arial"/>
          <w:noProof/>
          <w:sz w:val="24"/>
          <w:szCs w:val="24"/>
          <w:lang w:val="en-GB"/>
        </w:rPr>
        <w:t xml:space="preserve">27. </w:t>
      </w:r>
      <w:r w:rsidRPr="001A6447">
        <w:rPr>
          <w:rFonts w:ascii="Arial" w:hAnsi="Arial" w:cs="Arial"/>
          <w:noProof/>
          <w:sz w:val="24"/>
          <w:szCs w:val="24"/>
          <w:lang w:val="en-GB"/>
        </w:rPr>
        <w:tab/>
        <w:t xml:space="preserve">Graham C. Continuous Glucose Monitoring and Global Reimbursement: An Update. </w:t>
      </w:r>
      <w:r w:rsidRPr="00D35F58">
        <w:rPr>
          <w:rFonts w:ascii="Arial" w:hAnsi="Arial" w:cs="Arial"/>
          <w:noProof/>
          <w:sz w:val="24"/>
          <w:szCs w:val="24"/>
        </w:rPr>
        <w:t xml:space="preserve">Diabetes Technol Ther. 2017;19(S3):S60–6. </w:t>
      </w:r>
    </w:p>
    <w:p w14:paraId="4902458B"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D35F58">
        <w:rPr>
          <w:rFonts w:ascii="Arial" w:hAnsi="Arial" w:cs="Arial"/>
          <w:noProof/>
          <w:sz w:val="24"/>
          <w:szCs w:val="24"/>
        </w:rPr>
        <w:t xml:space="preserve">28. </w:t>
      </w:r>
      <w:r w:rsidRPr="00D35F58">
        <w:rPr>
          <w:rFonts w:ascii="Arial" w:hAnsi="Arial" w:cs="Arial"/>
          <w:noProof/>
          <w:sz w:val="24"/>
          <w:szCs w:val="24"/>
        </w:rPr>
        <w:tab/>
        <w:t xml:space="preserve">Charleer S, De Block C, Van Huffel L, Broos B, Fieuws S, Nobels F, et al. </w:t>
      </w:r>
      <w:r w:rsidRPr="001A6447">
        <w:rPr>
          <w:rFonts w:ascii="Arial" w:hAnsi="Arial" w:cs="Arial"/>
          <w:noProof/>
          <w:sz w:val="24"/>
          <w:szCs w:val="24"/>
          <w:lang w:val="en-GB"/>
        </w:rPr>
        <w:t xml:space="preserve">Quality of Life and Glucose Control After 1 Year of Nationwide Reimbursement of Intermittently Scanned Continuous Glucose Monitoring in Adults Living With Type 1 Diabetes (FUTURE): A Prospective Observational Real-World Cohort Study. Diabetes Care. 2020;43(2):389–97. </w:t>
      </w:r>
    </w:p>
    <w:p w14:paraId="7732B3DE"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29. </w:t>
      </w:r>
      <w:r w:rsidRPr="001A6447">
        <w:rPr>
          <w:rFonts w:ascii="Arial" w:hAnsi="Arial" w:cs="Arial"/>
          <w:noProof/>
          <w:sz w:val="24"/>
          <w:szCs w:val="24"/>
          <w:lang w:val="en-GB"/>
        </w:rPr>
        <w:tab/>
        <w:t xml:space="preserve">White NH, Skor DA, Cryer PE, Levandoski LA, Bier DM, Santiago J V. Identification of type I diabetic patients at increased risk for hypoglycemia during intensive therapy. N Engl J Med. 1983;308(9):485–91. </w:t>
      </w:r>
    </w:p>
    <w:p w14:paraId="6F2B4BB3"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30. </w:t>
      </w:r>
      <w:r w:rsidRPr="001A6447">
        <w:rPr>
          <w:rFonts w:ascii="Arial" w:hAnsi="Arial" w:cs="Arial"/>
          <w:noProof/>
          <w:sz w:val="24"/>
          <w:szCs w:val="24"/>
          <w:lang w:val="en-GB"/>
        </w:rPr>
        <w:tab/>
        <w:t xml:space="preserve">Little SA, Leelarathna L, Walkinshaw E, Tan HK, Chapple O, Lubina-Solomon A, et al. Recovery of hypoglycemia awareness in long-standing type 1 diabetes: a multicenter 2 × 2 factorial randomized controlled trial comparing insulin pump with multiple daily injections and continuous with conventional glucose self-monitoring (HypoCOMPaSS). Diabetes Care. 2014;37(8):2114–22. </w:t>
      </w:r>
    </w:p>
    <w:p w14:paraId="6B03FC33"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31. </w:t>
      </w:r>
      <w:r w:rsidRPr="001A6447">
        <w:rPr>
          <w:rFonts w:ascii="Arial" w:hAnsi="Arial" w:cs="Arial"/>
          <w:noProof/>
          <w:sz w:val="24"/>
          <w:szCs w:val="24"/>
          <w:lang w:val="en-GB"/>
        </w:rPr>
        <w:tab/>
        <w:t xml:space="preserve">Little SA, Speight J, Leelarathna L, Walkinshaw E, Tan HK, Bowes A, et al. Sustained Reduction in Severe Hypoglycemia in Adults With Type 1 Diabetes Complicated by Impaired Awareness of Hypoglycemia: Two-Year Follow-up in the HypoCOMPaSS Randomized Clinical Trial. Diabetes Care. 2018;41(8):1600–7. </w:t>
      </w:r>
    </w:p>
    <w:p w14:paraId="12EF1935"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32. </w:t>
      </w:r>
      <w:r w:rsidRPr="001A6447">
        <w:rPr>
          <w:rFonts w:ascii="Arial" w:hAnsi="Arial" w:cs="Arial"/>
          <w:noProof/>
          <w:sz w:val="24"/>
          <w:szCs w:val="24"/>
          <w:lang w:val="en-GB"/>
        </w:rPr>
        <w:tab/>
        <w:t xml:space="preserve">Yeoh E, Choudhary P, Nwokolo M, Ayis S, Amiel SA. Interventions That Restore Awareness of Hypoglycemia in Adults With Type 1 Diabetes: A Systematic Review and Meta-analysis. Diabetes Care. 2015;38(8):1592–609. </w:t>
      </w:r>
    </w:p>
    <w:p w14:paraId="79A6B049"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33. </w:t>
      </w:r>
      <w:r w:rsidRPr="001A6447">
        <w:rPr>
          <w:rFonts w:ascii="Arial" w:hAnsi="Arial" w:cs="Arial"/>
          <w:noProof/>
          <w:sz w:val="24"/>
          <w:szCs w:val="24"/>
          <w:lang w:val="en-GB"/>
        </w:rPr>
        <w:tab/>
        <w:t xml:space="preserve">Battelino T, Nimri R, Dovc K, Phillip M, Bratina N. Prevention of Hypoglycemia With Predictive Low Glucose Insulin Suspension in Children With Type 1 Diabetes: A Randomized Controlled Trial. Diabetes Care. 2017;40(6):764–70. </w:t>
      </w:r>
    </w:p>
    <w:p w14:paraId="0AC5DCE7"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34. </w:t>
      </w:r>
      <w:r w:rsidRPr="001A6447">
        <w:rPr>
          <w:rFonts w:ascii="Arial" w:hAnsi="Arial" w:cs="Arial"/>
          <w:noProof/>
          <w:sz w:val="24"/>
          <w:szCs w:val="24"/>
          <w:lang w:val="en-GB"/>
        </w:rPr>
        <w:tab/>
        <w:t xml:space="preserve">Biester T, Kordonouri O, Holder M, Remus K, Kieninger-Baum D, Wadien T, et al. “Let the Algorithm Do the Work”: Reduction of Hypoglycemia Using Sensor-Augmented Pump Therapy with Predictive Insulin Suspension (SmartGuard) in Pediatric Type 1 Diabetes Patients. Diabetes Technol Ther. 2017;19(3):173–82. </w:t>
      </w:r>
    </w:p>
    <w:p w14:paraId="63B85179"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35. </w:t>
      </w:r>
      <w:r w:rsidRPr="001A6447">
        <w:rPr>
          <w:rFonts w:ascii="Arial" w:hAnsi="Arial" w:cs="Arial"/>
          <w:noProof/>
          <w:sz w:val="24"/>
          <w:szCs w:val="24"/>
          <w:lang w:val="en-GB"/>
        </w:rPr>
        <w:tab/>
        <w:t xml:space="preserve">Deshpande PR, Rajan S, Sudeepthi BL, Abdul Nazir CP. Patient-reported outcomes: A new era in clinical research. Perspect Clin Res. 2011;2(4):137–44. </w:t>
      </w:r>
    </w:p>
    <w:p w14:paraId="311A7AB5"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36. </w:t>
      </w:r>
      <w:r w:rsidRPr="001A6447">
        <w:rPr>
          <w:rFonts w:ascii="Arial" w:hAnsi="Arial" w:cs="Arial"/>
          <w:noProof/>
          <w:sz w:val="24"/>
          <w:szCs w:val="24"/>
          <w:lang w:val="en-GB"/>
        </w:rPr>
        <w:tab/>
        <w:t xml:space="preserve">McCrimmon RJ, Frier BM. Hypoglycaemia, the most feared complication of insulin therapy. Diabete Metab. 1994;20(6):503–12. </w:t>
      </w:r>
    </w:p>
    <w:p w14:paraId="5FE22CDF"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37. </w:t>
      </w:r>
      <w:r w:rsidRPr="001A6447">
        <w:rPr>
          <w:rFonts w:ascii="Arial" w:hAnsi="Arial" w:cs="Arial"/>
          <w:noProof/>
          <w:sz w:val="24"/>
          <w:szCs w:val="24"/>
          <w:lang w:val="en-GB"/>
        </w:rPr>
        <w:tab/>
        <w:t xml:space="preserve">Norgaard K, Scaramuzza A, Bratina N, Lalic NM, Jarosz-Chobot P, Kocsis G, et al. Routine sensor-augmented pump therapy in type 1 diabetes: the INTERPRET study. Diabetes Technol Ther. 2013 Apr;15(4):273–80. </w:t>
      </w:r>
    </w:p>
    <w:p w14:paraId="02E04CEB"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szCs w:val="24"/>
          <w:lang w:val="en-GB"/>
        </w:rPr>
      </w:pPr>
      <w:r w:rsidRPr="001A6447">
        <w:rPr>
          <w:rFonts w:ascii="Arial" w:hAnsi="Arial" w:cs="Arial"/>
          <w:noProof/>
          <w:sz w:val="24"/>
          <w:szCs w:val="24"/>
          <w:lang w:val="en-GB"/>
        </w:rPr>
        <w:t xml:space="preserve">38. </w:t>
      </w:r>
      <w:r w:rsidRPr="001A6447">
        <w:rPr>
          <w:rFonts w:ascii="Arial" w:hAnsi="Arial" w:cs="Arial"/>
          <w:noProof/>
          <w:sz w:val="24"/>
          <w:szCs w:val="24"/>
          <w:lang w:val="en-GB"/>
        </w:rPr>
        <w:tab/>
        <w:t xml:space="preserve">Wong JC, Foster NC, Maahs DM, Raghinaru D, Bergenstal RM, Ahmann AJ, et al. Real-time continuous glucose monitoring among participants in the T1D Exchange clinic registry. Diabetes Care. 2014 Oct;37(10):2702–9. </w:t>
      </w:r>
    </w:p>
    <w:p w14:paraId="71F3880B" w14:textId="77777777" w:rsidR="00D35F58" w:rsidRPr="001A6447" w:rsidRDefault="00D35F58" w:rsidP="00D35F58">
      <w:pPr>
        <w:widowControl w:val="0"/>
        <w:autoSpaceDE w:val="0"/>
        <w:autoSpaceDN w:val="0"/>
        <w:adjustRightInd w:val="0"/>
        <w:spacing w:line="480" w:lineRule="auto"/>
        <w:ind w:left="640" w:hanging="640"/>
        <w:rPr>
          <w:rFonts w:ascii="Arial" w:hAnsi="Arial" w:cs="Arial"/>
          <w:noProof/>
          <w:sz w:val="24"/>
          <w:lang w:val="en-GB"/>
        </w:rPr>
      </w:pPr>
      <w:r w:rsidRPr="001A6447">
        <w:rPr>
          <w:rFonts w:ascii="Arial" w:hAnsi="Arial" w:cs="Arial"/>
          <w:noProof/>
          <w:sz w:val="24"/>
          <w:szCs w:val="24"/>
          <w:lang w:val="en-GB"/>
        </w:rPr>
        <w:t xml:space="preserve">39. </w:t>
      </w:r>
      <w:r w:rsidRPr="001A6447">
        <w:rPr>
          <w:rFonts w:ascii="Arial" w:hAnsi="Arial" w:cs="Arial"/>
          <w:noProof/>
          <w:sz w:val="24"/>
          <w:szCs w:val="24"/>
          <w:lang w:val="en-GB"/>
        </w:rPr>
        <w:tab/>
        <w:t xml:space="preserve">Heller SR, Gianfrancesco C, Taylor C, Elliott J. What are the characteristics of the best type 1 diabetes patient education programmes (from diagnosis to long-term care), do they improve outcomes and what is required to make them more effective? Diabet Med. 2020;37(4):545–54. </w:t>
      </w:r>
    </w:p>
    <w:p w14:paraId="26B70270" w14:textId="77777777" w:rsidR="0032399A" w:rsidRPr="0032399A" w:rsidRDefault="001A4A03" w:rsidP="001D29F8">
      <w:pPr>
        <w:rPr>
          <w:rFonts w:ascii="Arial" w:hAnsi="Arial" w:cs="Arial"/>
          <w:b/>
          <w:sz w:val="20"/>
          <w:lang w:val="en-US"/>
        </w:rPr>
        <w:sectPr w:rsidR="0032399A" w:rsidRPr="0032399A" w:rsidSect="00CB7E2C">
          <w:footerReference w:type="default" r:id="rId10"/>
          <w:pgSz w:w="11906" w:h="16838"/>
          <w:pgMar w:top="1417" w:right="1417" w:bottom="1417" w:left="1417" w:header="708" w:footer="708" w:gutter="0"/>
          <w:lnNumType w:countBy="1" w:restart="continuous"/>
          <w:cols w:space="708"/>
          <w:docGrid w:linePitch="360"/>
        </w:sectPr>
      </w:pPr>
      <w:r w:rsidRPr="0061056F">
        <w:rPr>
          <w:rFonts w:ascii="Arial" w:hAnsi="Arial" w:cs="Arial"/>
          <w:b/>
          <w:sz w:val="24"/>
          <w:szCs w:val="24"/>
          <w:lang w:val="en-US"/>
        </w:rPr>
        <w:fldChar w:fldCharType="end"/>
      </w:r>
    </w:p>
    <w:p w14:paraId="55E55795" w14:textId="77777777" w:rsidR="005E5A7E" w:rsidRPr="0061056F" w:rsidRDefault="0061056F" w:rsidP="0061056F">
      <w:pPr>
        <w:spacing w:line="480" w:lineRule="auto"/>
        <w:jc w:val="both"/>
        <w:rPr>
          <w:rFonts w:ascii="Arial" w:hAnsi="Arial" w:cs="Arial"/>
          <w:b/>
          <w:sz w:val="24"/>
          <w:szCs w:val="24"/>
          <w:lang w:val="en-US"/>
        </w:rPr>
      </w:pPr>
      <w:r w:rsidRPr="0061056F">
        <w:rPr>
          <w:rFonts w:ascii="Arial" w:hAnsi="Arial" w:cs="Arial"/>
          <w:b/>
          <w:sz w:val="24"/>
          <w:szCs w:val="24"/>
          <w:lang w:val="en-US"/>
        </w:rPr>
        <w:t>TABLES</w:t>
      </w:r>
    </w:p>
    <w:p w14:paraId="5A5DC140" w14:textId="77777777" w:rsidR="002A2EA5" w:rsidRPr="0061056F" w:rsidRDefault="002A2EA5" w:rsidP="000359CC">
      <w:pPr>
        <w:jc w:val="both"/>
        <w:rPr>
          <w:rFonts w:ascii="Arial" w:hAnsi="Arial" w:cs="Arial"/>
          <w:b/>
          <w:sz w:val="24"/>
          <w:szCs w:val="24"/>
          <w:lang w:val="en-US"/>
        </w:rPr>
      </w:pPr>
      <w:r w:rsidRPr="0061056F">
        <w:rPr>
          <w:rFonts w:ascii="Arial" w:hAnsi="Arial" w:cs="Arial"/>
          <w:b/>
          <w:sz w:val="24"/>
          <w:szCs w:val="24"/>
          <w:lang w:val="en-US"/>
        </w:rPr>
        <w:t xml:space="preserve">Table 1. Diabetes-related acute complications and work absenteeism </w:t>
      </w:r>
      <w:r w:rsidR="0053292E" w:rsidRPr="0061056F">
        <w:rPr>
          <w:rFonts w:ascii="Arial" w:hAnsi="Arial" w:cs="Arial"/>
          <w:b/>
          <w:sz w:val="24"/>
          <w:szCs w:val="24"/>
          <w:lang w:val="en-US"/>
        </w:rPr>
        <w:t>for the total population</w:t>
      </w:r>
    </w:p>
    <w:tbl>
      <w:tblPr>
        <w:tblStyle w:val="Tabelraster"/>
        <w:tblW w:w="14312" w:type="dxa"/>
        <w:tblLayout w:type="fixed"/>
        <w:tblLook w:val="04A0" w:firstRow="1" w:lastRow="0" w:firstColumn="1" w:lastColumn="0" w:noHBand="0" w:noVBand="1"/>
      </w:tblPr>
      <w:tblGrid>
        <w:gridCol w:w="6433"/>
        <w:gridCol w:w="650"/>
        <w:gridCol w:w="1134"/>
        <w:gridCol w:w="567"/>
        <w:gridCol w:w="1134"/>
        <w:gridCol w:w="1276"/>
        <w:gridCol w:w="567"/>
        <w:gridCol w:w="1275"/>
        <w:gridCol w:w="1276"/>
      </w:tblGrid>
      <w:tr w:rsidR="000C6A9A" w:rsidRPr="0061056F" w14:paraId="38A3EEE0" w14:textId="77777777" w:rsidTr="0061056F">
        <w:trPr>
          <w:trHeight w:val="283"/>
        </w:trPr>
        <w:tc>
          <w:tcPr>
            <w:tcW w:w="6433" w:type="dxa"/>
          </w:tcPr>
          <w:p w14:paraId="59CB9116" w14:textId="77777777" w:rsidR="000C6A9A" w:rsidRPr="0061056F" w:rsidRDefault="000C6A9A" w:rsidP="000010ED">
            <w:pPr>
              <w:jc w:val="both"/>
              <w:rPr>
                <w:rFonts w:ascii="Arial" w:hAnsi="Arial" w:cs="Arial"/>
                <w:sz w:val="24"/>
                <w:szCs w:val="24"/>
                <w:lang w:val="en-US"/>
              </w:rPr>
            </w:pPr>
          </w:p>
        </w:tc>
        <w:tc>
          <w:tcPr>
            <w:tcW w:w="1784" w:type="dxa"/>
            <w:gridSpan w:val="2"/>
            <w:vAlign w:val="center"/>
          </w:tcPr>
          <w:p w14:paraId="7189D4DA" w14:textId="77777777" w:rsidR="000C6A9A" w:rsidRPr="0061056F" w:rsidRDefault="00A903DC" w:rsidP="00A903DC">
            <w:pPr>
              <w:rPr>
                <w:rFonts w:ascii="Arial" w:hAnsi="Arial" w:cs="Arial"/>
                <w:b/>
                <w:sz w:val="24"/>
                <w:szCs w:val="24"/>
                <w:lang w:val="en-US"/>
              </w:rPr>
            </w:pPr>
            <w:r w:rsidRPr="0061056F">
              <w:rPr>
                <w:rFonts w:ascii="Arial" w:hAnsi="Arial" w:cs="Arial"/>
                <w:b/>
                <w:sz w:val="24"/>
                <w:szCs w:val="24"/>
                <w:lang w:val="en-US"/>
              </w:rPr>
              <w:t>year before</w:t>
            </w:r>
          </w:p>
        </w:tc>
        <w:tc>
          <w:tcPr>
            <w:tcW w:w="1701" w:type="dxa"/>
            <w:gridSpan w:val="2"/>
            <w:vAlign w:val="center"/>
          </w:tcPr>
          <w:p w14:paraId="4FB7A38F" w14:textId="77777777" w:rsidR="000C6A9A" w:rsidRPr="0061056F" w:rsidRDefault="00A903DC" w:rsidP="000010ED">
            <w:pPr>
              <w:rPr>
                <w:rFonts w:ascii="Arial" w:hAnsi="Arial" w:cs="Arial"/>
                <w:b/>
                <w:sz w:val="24"/>
                <w:szCs w:val="24"/>
                <w:lang w:val="en-US"/>
              </w:rPr>
            </w:pPr>
            <w:r w:rsidRPr="0061056F">
              <w:rPr>
                <w:rFonts w:ascii="Arial" w:hAnsi="Arial" w:cs="Arial"/>
                <w:b/>
                <w:sz w:val="24"/>
                <w:szCs w:val="24"/>
                <w:lang w:val="en-US"/>
              </w:rPr>
              <w:t>0-</w:t>
            </w:r>
            <w:r w:rsidR="000C6A9A" w:rsidRPr="0061056F">
              <w:rPr>
                <w:rFonts w:ascii="Arial" w:hAnsi="Arial" w:cs="Arial"/>
                <w:b/>
                <w:sz w:val="24"/>
                <w:szCs w:val="24"/>
                <w:lang w:val="en-US"/>
              </w:rPr>
              <w:t>12 months</w:t>
            </w:r>
          </w:p>
        </w:tc>
        <w:tc>
          <w:tcPr>
            <w:tcW w:w="1276" w:type="dxa"/>
            <w:vAlign w:val="center"/>
          </w:tcPr>
          <w:p w14:paraId="530A823C" w14:textId="77777777" w:rsidR="000C6A9A" w:rsidRPr="0061056F" w:rsidRDefault="000C6A9A" w:rsidP="00A125E3">
            <w:pPr>
              <w:rPr>
                <w:rFonts w:ascii="Arial" w:hAnsi="Arial" w:cs="Arial"/>
                <w:b/>
                <w:sz w:val="24"/>
                <w:szCs w:val="24"/>
                <w:lang w:val="en-US"/>
              </w:rPr>
            </w:pPr>
            <w:r w:rsidRPr="0061056F">
              <w:rPr>
                <w:rFonts w:ascii="Arial" w:hAnsi="Arial" w:cs="Arial"/>
                <w:b/>
                <w:sz w:val="24"/>
                <w:szCs w:val="24"/>
                <w:lang w:val="en-US"/>
              </w:rPr>
              <w:t>p-value</w:t>
            </w:r>
            <w:r w:rsidR="00A125E3" w:rsidRPr="00A125E3">
              <w:rPr>
                <w:rFonts w:ascii="Arial" w:hAnsi="Arial" w:cs="Arial"/>
                <w:b/>
                <w:sz w:val="24"/>
                <w:szCs w:val="24"/>
                <w:lang w:val="en-US"/>
              </w:rPr>
              <w:t>*</w:t>
            </w:r>
          </w:p>
        </w:tc>
        <w:tc>
          <w:tcPr>
            <w:tcW w:w="1842" w:type="dxa"/>
            <w:gridSpan w:val="2"/>
            <w:vAlign w:val="center"/>
          </w:tcPr>
          <w:p w14:paraId="5533171B" w14:textId="77777777" w:rsidR="000C6A9A" w:rsidRPr="0061056F" w:rsidRDefault="00A903DC" w:rsidP="000010ED">
            <w:pPr>
              <w:rPr>
                <w:rFonts w:ascii="Arial" w:hAnsi="Arial" w:cs="Arial"/>
                <w:b/>
                <w:sz w:val="24"/>
                <w:szCs w:val="24"/>
                <w:lang w:val="en-US"/>
              </w:rPr>
            </w:pPr>
            <w:r w:rsidRPr="0061056F">
              <w:rPr>
                <w:rFonts w:ascii="Arial" w:hAnsi="Arial" w:cs="Arial"/>
                <w:b/>
                <w:sz w:val="24"/>
                <w:szCs w:val="24"/>
                <w:lang w:val="en-US"/>
              </w:rPr>
              <w:t>12-</w:t>
            </w:r>
            <w:r w:rsidR="000C6A9A" w:rsidRPr="0061056F">
              <w:rPr>
                <w:rFonts w:ascii="Arial" w:hAnsi="Arial" w:cs="Arial"/>
                <w:b/>
                <w:sz w:val="24"/>
                <w:szCs w:val="24"/>
                <w:lang w:val="en-US"/>
              </w:rPr>
              <w:t>24 months</w:t>
            </w:r>
          </w:p>
        </w:tc>
        <w:tc>
          <w:tcPr>
            <w:tcW w:w="1276" w:type="dxa"/>
            <w:vAlign w:val="center"/>
          </w:tcPr>
          <w:p w14:paraId="240A4273" w14:textId="77777777" w:rsidR="000C6A9A" w:rsidRPr="0061056F" w:rsidRDefault="000C6A9A" w:rsidP="000010ED">
            <w:pPr>
              <w:rPr>
                <w:rFonts w:ascii="Arial" w:hAnsi="Arial" w:cs="Arial"/>
                <w:b/>
                <w:sz w:val="24"/>
                <w:szCs w:val="24"/>
                <w:lang w:val="en-US"/>
              </w:rPr>
            </w:pPr>
            <w:r w:rsidRPr="0061056F">
              <w:rPr>
                <w:rFonts w:ascii="Arial" w:hAnsi="Arial" w:cs="Arial"/>
                <w:b/>
                <w:sz w:val="24"/>
                <w:szCs w:val="24"/>
                <w:lang w:val="en-US"/>
              </w:rPr>
              <w:t>p-value</w:t>
            </w:r>
            <w:r w:rsidR="00A125E3" w:rsidRPr="00A125E3">
              <w:rPr>
                <w:rFonts w:ascii="Arial" w:hAnsi="Arial" w:cs="Arial"/>
                <w:b/>
                <w:sz w:val="24"/>
                <w:szCs w:val="24"/>
                <w:lang w:val="en-US"/>
              </w:rPr>
              <w:t>*</w:t>
            </w:r>
          </w:p>
        </w:tc>
      </w:tr>
      <w:tr w:rsidR="000C6A9A" w:rsidRPr="0061056F" w14:paraId="1EC15840" w14:textId="77777777" w:rsidTr="0061056F">
        <w:trPr>
          <w:trHeight w:val="283"/>
        </w:trPr>
        <w:tc>
          <w:tcPr>
            <w:tcW w:w="6433" w:type="dxa"/>
          </w:tcPr>
          <w:p w14:paraId="040FCA97" w14:textId="77777777" w:rsidR="000C6A9A" w:rsidRPr="0061056F" w:rsidRDefault="000C6A9A" w:rsidP="000010ED">
            <w:pPr>
              <w:jc w:val="both"/>
              <w:rPr>
                <w:rFonts w:ascii="Arial" w:hAnsi="Arial" w:cs="Arial"/>
                <w:b/>
                <w:sz w:val="24"/>
                <w:szCs w:val="24"/>
                <w:lang w:val="en-US"/>
              </w:rPr>
            </w:pPr>
            <w:r w:rsidRPr="0061056F">
              <w:rPr>
                <w:rFonts w:ascii="Arial" w:hAnsi="Arial" w:cs="Arial"/>
                <w:b/>
                <w:sz w:val="24"/>
                <w:szCs w:val="24"/>
                <w:lang w:val="en-US"/>
              </w:rPr>
              <w:t>People with</w:t>
            </w:r>
          </w:p>
        </w:tc>
        <w:tc>
          <w:tcPr>
            <w:tcW w:w="1784" w:type="dxa"/>
            <w:gridSpan w:val="2"/>
          </w:tcPr>
          <w:p w14:paraId="6CDBB3B5" w14:textId="77777777" w:rsidR="000C6A9A" w:rsidRPr="0061056F" w:rsidRDefault="000C6A9A" w:rsidP="000010ED">
            <w:pPr>
              <w:jc w:val="both"/>
              <w:rPr>
                <w:rFonts w:ascii="Arial" w:hAnsi="Arial" w:cs="Arial"/>
                <w:sz w:val="24"/>
                <w:szCs w:val="24"/>
                <w:lang w:val="en-US"/>
              </w:rPr>
            </w:pPr>
          </w:p>
        </w:tc>
        <w:tc>
          <w:tcPr>
            <w:tcW w:w="1701" w:type="dxa"/>
            <w:gridSpan w:val="2"/>
          </w:tcPr>
          <w:p w14:paraId="438A1114" w14:textId="77777777" w:rsidR="000C6A9A" w:rsidRPr="0061056F" w:rsidRDefault="000C6A9A" w:rsidP="000010ED">
            <w:pPr>
              <w:jc w:val="both"/>
              <w:rPr>
                <w:rFonts w:ascii="Arial" w:hAnsi="Arial" w:cs="Arial"/>
                <w:sz w:val="24"/>
                <w:szCs w:val="24"/>
                <w:lang w:val="en-US"/>
              </w:rPr>
            </w:pPr>
          </w:p>
        </w:tc>
        <w:tc>
          <w:tcPr>
            <w:tcW w:w="1276" w:type="dxa"/>
          </w:tcPr>
          <w:p w14:paraId="22BDFC84" w14:textId="77777777" w:rsidR="000C6A9A" w:rsidRPr="0061056F" w:rsidRDefault="000C6A9A" w:rsidP="000010ED">
            <w:pPr>
              <w:jc w:val="both"/>
              <w:rPr>
                <w:rFonts w:ascii="Arial" w:hAnsi="Arial" w:cs="Arial"/>
                <w:sz w:val="24"/>
                <w:szCs w:val="24"/>
                <w:lang w:val="en-US"/>
              </w:rPr>
            </w:pPr>
          </w:p>
        </w:tc>
        <w:tc>
          <w:tcPr>
            <w:tcW w:w="1842" w:type="dxa"/>
            <w:gridSpan w:val="2"/>
          </w:tcPr>
          <w:p w14:paraId="6D8D1C08" w14:textId="77777777" w:rsidR="000C6A9A" w:rsidRPr="0061056F" w:rsidRDefault="000C6A9A" w:rsidP="000010ED">
            <w:pPr>
              <w:jc w:val="both"/>
              <w:rPr>
                <w:rFonts w:ascii="Arial" w:hAnsi="Arial" w:cs="Arial"/>
                <w:sz w:val="24"/>
                <w:szCs w:val="24"/>
                <w:lang w:val="en-US"/>
              </w:rPr>
            </w:pPr>
          </w:p>
        </w:tc>
        <w:tc>
          <w:tcPr>
            <w:tcW w:w="1276" w:type="dxa"/>
          </w:tcPr>
          <w:p w14:paraId="59795511" w14:textId="77777777" w:rsidR="000C6A9A" w:rsidRPr="0061056F" w:rsidRDefault="000C6A9A" w:rsidP="000010ED">
            <w:pPr>
              <w:jc w:val="both"/>
              <w:rPr>
                <w:rFonts w:ascii="Arial" w:hAnsi="Arial" w:cs="Arial"/>
                <w:sz w:val="24"/>
                <w:szCs w:val="24"/>
                <w:lang w:val="en-US"/>
              </w:rPr>
            </w:pPr>
          </w:p>
        </w:tc>
      </w:tr>
      <w:tr w:rsidR="000C6A9A" w:rsidRPr="0061056F" w14:paraId="79E3DBCF" w14:textId="77777777" w:rsidTr="0061056F">
        <w:trPr>
          <w:trHeight w:val="283"/>
        </w:trPr>
        <w:tc>
          <w:tcPr>
            <w:tcW w:w="6433" w:type="dxa"/>
            <w:vAlign w:val="center"/>
          </w:tcPr>
          <w:p w14:paraId="7A635860"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Hospitalizations due to hypoglycemia and/or ketoacidosis</w:t>
            </w:r>
          </w:p>
        </w:tc>
        <w:tc>
          <w:tcPr>
            <w:tcW w:w="650" w:type="dxa"/>
            <w:tcBorders>
              <w:right w:val="nil"/>
            </w:tcBorders>
            <w:vAlign w:val="center"/>
          </w:tcPr>
          <w:p w14:paraId="504265DE"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77 </w:t>
            </w:r>
          </w:p>
        </w:tc>
        <w:tc>
          <w:tcPr>
            <w:tcW w:w="1134" w:type="dxa"/>
            <w:tcBorders>
              <w:left w:val="nil"/>
            </w:tcBorders>
            <w:vAlign w:val="center"/>
          </w:tcPr>
          <w:p w14:paraId="1E4ACD64"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(15.0%)</w:t>
            </w:r>
          </w:p>
        </w:tc>
        <w:tc>
          <w:tcPr>
            <w:tcW w:w="567" w:type="dxa"/>
            <w:tcBorders>
              <w:right w:val="nil"/>
            </w:tcBorders>
            <w:vAlign w:val="center"/>
          </w:tcPr>
          <w:p w14:paraId="36B643B4"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16 </w:t>
            </w:r>
          </w:p>
        </w:tc>
        <w:tc>
          <w:tcPr>
            <w:tcW w:w="1134" w:type="dxa"/>
            <w:tcBorders>
              <w:left w:val="nil"/>
            </w:tcBorders>
            <w:vAlign w:val="center"/>
          </w:tcPr>
          <w:p w14:paraId="09502A15"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(3.6%)</w:t>
            </w:r>
          </w:p>
        </w:tc>
        <w:tc>
          <w:tcPr>
            <w:tcW w:w="1276" w:type="dxa"/>
            <w:vAlign w:val="center"/>
          </w:tcPr>
          <w:p w14:paraId="636B2B5D"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c>
          <w:tcPr>
            <w:tcW w:w="567" w:type="dxa"/>
            <w:tcBorders>
              <w:right w:val="nil"/>
            </w:tcBorders>
            <w:vAlign w:val="center"/>
          </w:tcPr>
          <w:p w14:paraId="216B706B"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11 </w:t>
            </w:r>
          </w:p>
        </w:tc>
        <w:tc>
          <w:tcPr>
            <w:tcW w:w="1275" w:type="dxa"/>
            <w:tcBorders>
              <w:left w:val="nil"/>
            </w:tcBorders>
            <w:vAlign w:val="center"/>
          </w:tcPr>
          <w:p w14:paraId="31C48659"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(3.1%)</w:t>
            </w:r>
          </w:p>
        </w:tc>
        <w:tc>
          <w:tcPr>
            <w:tcW w:w="1276" w:type="dxa"/>
            <w:vAlign w:val="center"/>
          </w:tcPr>
          <w:p w14:paraId="5B62D720"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r>
      <w:tr w:rsidR="000C6A9A" w:rsidRPr="0061056F" w14:paraId="3B85D177" w14:textId="77777777" w:rsidTr="0061056F">
        <w:trPr>
          <w:trHeight w:val="283"/>
        </w:trPr>
        <w:tc>
          <w:tcPr>
            <w:tcW w:w="6433" w:type="dxa"/>
            <w:vAlign w:val="center"/>
          </w:tcPr>
          <w:p w14:paraId="357497B3"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Hospitalizations due to hypoglycemia</w:t>
            </w:r>
          </w:p>
        </w:tc>
        <w:tc>
          <w:tcPr>
            <w:tcW w:w="650" w:type="dxa"/>
            <w:tcBorders>
              <w:right w:val="nil"/>
            </w:tcBorders>
            <w:vAlign w:val="center"/>
          </w:tcPr>
          <w:p w14:paraId="54EC7F79"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59 </w:t>
            </w:r>
          </w:p>
        </w:tc>
        <w:tc>
          <w:tcPr>
            <w:tcW w:w="1134" w:type="dxa"/>
            <w:tcBorders>
              <w:left w:val="nil"/>
            </w:tcBorders>
            <w:vAlign w:val="center"/>
          </w:tcPr>
          <w:p w14:paraId="0FE32FCF"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(11.5%)</w:t>
            </w:r>
          </w:p>
        </w:tc>
        <w:tc>
          <w:tcPr>
            <w:tcW w:w="567" w:type="dxa"/>
            <w:tcBorders>
              <w:right w:val="nil"/>
            </w:tcBorders>
            <w:vAlign w:val="center"/>
          </w:tcPr>
          <w:p w14:paraId="19ADCC6D"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13 </w:t>
            </w:r>
          </w:p>
        </w:tc>
        <w:tc>
          <w:tcPr>
            <w:tcW w:w="1134" w:type="dxa"/>
            <w:tcBorders>
              <w:left w:val="nil"/>
            </w:tcBorders>
            <w:vAlign w:val="center"/>
          </w:tcPr>
          <w:p w14:paraId="3B883C3A"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(2.9%)</w:t>
            </w:r>
          </w:p>
        </w:tc>
        <w:tc>
          <w:tcPr>
            <w:tcW w:w="1276" w:type="dxa"/>
            <w:vAlign w:val="center"/>
          </w:tcPr>
          <w:p w14:paraId="747B539C"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c>
          <w:tcPr>
            <w:tcW w:w="567" w:type="dxa"/>
            <w:tcBorders>
              <w:right w:val="nil"/>
            </w:tcBorders>
            <w:vAlign w:val="center"/>
          </w:tcPr>
          <w:p w14:paraId="3A438002"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7 </w:t>
            </w:r>
          </w:p>
        </w:tc>
        <w:tc>
          <w:tcPr>
            <w:tcW w:w="1275" w:type="dxa"/>
            <w:tcBorders>
              <w:left w:val="nil"/>
            </w:tcBorders>
            <w:vAlign w:val="center"/>
          </w:tcPr>
          <w:p w14:paraId="4A929BC7"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(2.0%)</w:t>
            </w:r>
          </w:p>
        </w:tc>
        <w:tc>
          <w:tcPr>
            <w:tcW w:w="1276" w:type="dxa"/>
            <w:vAlign w:val="center"/>
          </w:tcPr>
          <w:p w14:paraId="756EECF8"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r>
      <w:tr w:rsidR="000C6A9A" w:rsidRPr="0061056F" w14:paraId="0BB877AC" w14:textId="77777777" w:rsidTr="0061056F">
        <w:trPr>
          <w:trHeight w:val="283"/>
        </w:trPr>
        <w:tc>
          <w:tcPr>
            <w:tcW w:w="6433" w:type="dxa"/>
            <w:vAlign w:val="center"/>
          </w:tcPr>
          <w:p w14:paraId="17C1A750"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Hospitalizations due to ketoacidosis</w:t>
            </w:r>
          </w:p>
        </w:tc>
        <w:tc>
          <w:tcPr>
            <w:tcW w:w="650" w:type="dxa"/>
            <w:tcBorders>
              <w:right w:val="nil"/>
            </w:tcBorders>
            <w:vAlign w:val="center"/>
          </w:tcPr>
          <w:p w14:paraId="7B3C5CCF"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23 </w:t>
            </w:r>
          </w:p>
        </w:tc>
        <w:tc>
          <w:tcPr>
            <w:tcW w:w="1134" w:type="dxa"/>
            <w:tcBorders>
              <w:left w:val="nil"/>
            </w:tcBorders>
            <w:vAlign w:val="center"/>
          </w:tcPr>
          <w:p w14:paraId="55C16C9B"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(4.5%)</w:t>
            </w:r>
          </w:p>
        </w:tc>
        <w:tc>
          <w:tcPr>
            <w:tcW w:w="567" w:type="dxa"/>
            <w:tcBorders>
              <w:right w:val="nil"/>
            </w:tcBorders>
            <w:vAlign w:val="center"/>
          </w:tcPr>
          <w:p w14:paraId="78705670"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5 </w:t>
            </w:r>
          </w:p>
        </w:tc>
        <w:tc>
          <w:tcPr>
            <w:tcW w:w="1134" w:type="dxa"/>
            <w:tcBorders>
              <w:left w:val="nil"/>
            </w:tcBorders>
            <w:vAlign w:val="center"/>
          </w:tcPr>
          <w:p w14:paraId="08B1089E"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(1.1%)</w:t>
            </w:r>
          </w:p>
        </w:tc>
        <w:tc>
          <w:tcPr>
            <w:tcW w:w="1276" w:type="dxa"/>
            <w:vAlign w:val="center"/>
          </w:tcPr>
          <w:p w14:paraId="0AA447AE"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0.001</w:t>
            </w:r>
          </w:p>
        </w:tc>
        <w:tc>
          <w:tcPr>
            <w:tcW w:w="567" w:type="dxa"/>
            <w:tcBorders>
              <w:right w:val="nil"/>
            </w:tcBorders>
            <w:vAlign w:val="center"/>
          </w:tcPr>
          <w:p w14:paraId="5B5E8D1D"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5 </w:t>
            </w:r>
          </w:p>
        </w:tc>
        <w:tc>
          <w:tcPr>
            <w:tcW w:w="1275" w:type="dxa"/>
            <w:tcBorders>
              <w:left w:val="nil"/>
            </w:tcBorders>
            <w:vAlign w:val="center"/>
          </w:tcPr>
          <w:p w14:paraId="5558867F"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(1.4%)</w:t>
            </w:r>
          </w:p>
        </w:tc>
        <w:tc>
          <w:tcPr>
            <w:tcW w:w="1276" w:type="dxa"/>
            <w:vAlign w:val="center"/>
          </w:tcPr>
          <w:p w14:paraId="402CA4BB"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0.005</w:t>
            </w:r>
          </w:p>
        </w:tc>
      </w:tr>
      <w:tr w:rsidR="000C6A9A" w:rsidRPr="0061056F" w14:paraId="7F2DCD5D" w14:textId="77777777" w:rsidTr="0061056F">
        <w:trPr>
          <w:trHeight w:val="283"/>
        </w:trPr>
        <w:tc>
          <w:tcPr>
            <w:tcW w:w="6433" w:type="dxa"/>
            <w:vAlign w:val="center"/>
          </w:tcPr>
          <w:p w14:paraId="3ED3BDE1"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Work absenteeism</w:t>
            </w:r>
          </w:p>
        </w:tc>
        <w:tc>
          <w:tcPr>
            <w:tcW w:w="650" w:type="dxa"/>
            <w:tcBorders>
              <w:right w:val="nil"/>
            </w:tcBorders>
            <w:vAlign w:val="center"/>
          </w:tcPr>
          <w:p w14:paraId="5C2823A6" w14:textId="77777777" w:rsidR="000C6A9A" w:rsidRPr="0061056F" w:rsidRDefault="000C6A9A" w:rsidP="000010ED">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 xml:space="preserve">123 </w:t>
            </w:r>
          </w:p>
        </w:tc>
        <w:tc>
          <w:tcPr>
            <w:tcW w:w="1134" w:type="dxa"/>
            <w:tcBorders>
              <w:left w:val="nil"/>
            </w:tcBorders>
            <w:vAlign w:val="center"/>
          </w:tcPr>
          <w:p w14:paraId="0AEC7904" w14:textId="77777777" w:rsidR="000C6A9A" w:rsidRPr="0061056F" w:rsidRDefault="000C6A9A" w:rsidP="000010ED">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(23.9%)</w:t>
            </w:r>
          </w:p>
        </w:tc>
        <w:tc>
          <w:tcPr>
            <w:tcW w:w="567" w:type="dxa"/>
            <w:tcBorders>
              <w:right w:val="nil"/>
            </w:tcBorders>
            <w:vAlign w:val="center"/>
          </w:tcPr>
          <w:p w14:paraId="2CEB3C89" w14:textId="77777777" w:rsidR="000C6A9A" w:rsidRPr="0061056F" w:rsidRDefault="000C6A9A" w:rsidP="000010ED">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 xml:space="preserve">39 </w:t>
            </w:r>
          </w:p>
        </w:tc>
        <w:tc>
          <w:tcPr>
            <w:tcW w:w="1134" w:type="dxa"/>
            <w:tcBorders>
              <w:left w:val="nil"/>
            </w:tcBorders>
            <w:vAlign w:val="center"/>
          </w:tcPr>
          <w:p w14:paraId="577E2271" w14:textId="77777777" w:rsidR="000C6A9A" w:rsidRPr="0061056F" w:rsidRDefault="000C6A9A" w:rsidP="000010ED">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(8.7%)</w:t>
            </w:r>
          </w:p>
        </w:tc>
        <w:tc>
          <w:tcPr>
            <w:tcW w:w="1276" w:type="dxa"/>
            <w:vAlign w:val="center"/>
          </w:tcPr>
          <w:p w14:paraId="1CFC3E9E"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c>
          <w:tcPr>
            <w:tcW w:w="567" w:type="dxa"/>
            <w:tcBorders>
              <w:right w:val="nil"/>
            </w:tcBorders>
            <w:vAlign w:val="center"/>
          </w:tcPr>
          <w:p w14:paraId="13FAE6A7" w14:textId="77777777" w:rsidR="000C6A9A" w:rsidRPr="0061056F" w:rsidRDefault="000C6A9A" w:rsidP="000010ED">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 xml:space="preserve">24 </w:t>
            </w:r>
          </w:p>
        </w:tc>
        <w:tc>
          <w:tcPr>
            <w:tcW w:w="1275" w:type="dxa"/>
            <w:tcBorders>
              <w:left w:val="nil"/>
            </w:tcBorders>
            <w:vAlign w:val="center"/>
          </w:tcPr>
          <w:p w14:paraId="1B6F5170" w14:textId="77777777" w:rsidR="000C6A9A" w:rsidRPr="0061056F" w:rsidRDefault="000C6A9A" w:rsidP="000010ED">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(6.8%)</w:t>
            </w:r>
          </w:p>
        </w:tc>
        <w:tc>
          <w:tcPr>
            <w:tcW w:w="1276" w:type="dxa"/>
            <w:vAlign w:val="center"/>
          </w:tcPr>
          <w:p w14:paraId="1893F514"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r>
      <w:tr w:rsidR="000C6A9A" w:rsidRPr="0061056F" w14:paraId="0814F2AB" w14:textId="77777777" w:rsidTr="0061056F">
        <w:trPr>
          <w:trHeight w:val="283"/>
        </w:trPr>
        <w:tc>
          <w:tcPr>
            <w:tcW w:w="6433" w:type="dxa"/>
            <w:vAlign w:val="center"/>
          </w:tcPr>
          <w:p w14:paraId="1B2C6578"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Help from third parties due to hypoglycemia</w:t>
            </w:r>
          </w:p>
        </w:tc>
        <w:tc>
          <w:tcPr>
            <w:tcW w:w="650" w:type="dxa"/>
            <w:tcBorders>
              <w:right w:val="nil"/>
            </w:tcBorders>
            <w:vAlign w:val="center"/>
          </w:tcPr>
          <w:p w14:paraId="113D69AA"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217 </w:t>
            </w:r>
          </w:p>
        </w:tc>
        <w:tc>
          <w:tcPr>
            <w:tcW w:w="1134" w:type="dxa"/>
            <w:tcBorders>
              <w:left w:val="nil"/>
            </w:tcBorders>
            <w:vAlign w:val="center"/>
          </w:tcPr>
          <w:p w14:paraId="7C0B53A7"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(42.1%)</w:t>
            </w:r>
          </w:p>
        </w:tc>
        <w:tc>
          <w:tcPr>
            <w:tcW w:w="567" w:type="dxa"/>
            <w:tcBorders>
              <w:right w:val="nil"/>
            </w:tcBorders>
            <w:vAlign w:val="center"/>
          </w:tcPr>
          <w:p w14:paraId="59953703"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63 </w:t>
            </w:r>
          </w:p>
        </w:tc>
        <w:tc>
          <w:tcPr>
            <w:tcW w:w="1134" w:type="dxa"/>
            <w:tcBorders>
              <w:left w:val="nil"/>
            </w:tcBorders>
            <w:vAlign w:val="center"/>
          </w:tcPr>
          <w:p w14:paraId="4C6C45FB"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(14.0%)</w:t>
            </w:r>
          </w:p>
        </w:tc>
        <w:tc>
          <w:tcPr>
            <w:tcW w:w="1276" w:type="dxa"/>
            <w:vAlign w:val="center"/>
          </w:tcPr>
          <w:p w14:paraId="70C58A7E"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c>
          <w:tcPr>
            <w:tcW w:w="567" w:type="dxa"/>
            <w:tcBorders>
              <w:right w:val="nil"/>
            </w:tcBorders>
            <w:vAlign w:val="center"/>
          </w:tcPr>
          <w:p w14:paraId="655EFB95"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46 </w:t>
            </w:r>
          </w:p>
        </w:tc>
        <w:tc>
          <w:tcPr>
            <w:tcW w:w="1275" w:type="dxa"/>
            <w:tcBorders>
              <w:left w:val="nil"/>
            </w:tcBorders>
            <w:vAlign w:val="center"/>
          </w:tcPr>
          <w:p w14:paraId="07E66E0E"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(13.0%)</w:t>
            </w:r>
          </w:p>
        </w:tc>
        <w:tc>
          <w:tcPr>
            <w:tcW w:w="1276" w:type="dxa"/>
            <w:vAlign w:val="center"/>
          </w:tcPr>
          <w:p w14:paraId="2E18CA48"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r>
      <w:tr w:rsidR="000C6A9A" w:rsidRPr="0061056F" w14:paraId="41025CC0" w14:textId="77777777" w:rsidTr="0061056F">
        <w:trPr>
          <w:trHeight w:val="283"/>
        </w:trPr>
        <w:tc>
          <w:tcPr>
            <w:tcW w:w="6433" w:type="dxa"/>
            <w:vAlign w:val="center"/>
          </w:tcPr>
          <w:p w14:paraId="26AE3AAD"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Hypoglycemic comas</w:t>
            </w:r>
          </w:p>
        </w:tc>
        <w:tc>
          <w:tcPr>
            <w:tcW w:w="650" w:type="dxa"/>
            <w:tcBorders>
              <w:right w:val="nil"/>
            </w:tcBorders>
            <w:vAlign w:val="center"/>
          </w:tcPr>
          <w:p w14:paraId="050DCD4D"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91 </w:t>
            </w:r>
          </w:p>
        </w:tc>
        <w:tc>
          <w:tcPr>
            <w:tcW w:w="1134" w:type="dxa"/>
            <w:tcBorders>
              <w:left w:val="nil"/>
            </w:tcBorders>
            <w:vAlign w:val="center"/>
          </w:tcPr>
          <w:p w14:paraId="7D89BD43"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(17.7%)</w:t>
            </w:r>
          </w:p>
        </w:tc>
        <w:tc>
          <w:tcPr>
            <w:tcW w:w="567" w:type="dxa"/>
            <w:tcBorders>
              <w:right w:val="nil"/>
            </w:tcBorders>
            <w:vAlign w:val="center"/>
          </w:tcPr>
          <w:p w14:paraId="282EBFAF"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24 </w:t>
            </w:r>
          </w:p>
        </w:tc>
        <w:tc>
          <w:tcPr>
            <w:tcW w:w="1134" w:type="dxa"/>
            <w:tcBorders>
              <w:left w:val="nil"/>
            </w:tcBorders>
            <w:vAlign w:val="center"/>
          </w:tcPr>
          <w:p w14:paraId="247C584B"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(5.3%)</w:t>
            </w:r>
          </w:p>
        </w:tc>
        <w:tc>
          <w:tcPr>
            <w:tcW w:w="1276" w:type="dxa"/>
            <w:vAlign w:val="center"/>
          </w:tcPr>
          <w:p w14:paraId="5154062B"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c>
          <w:tcPr>
            <w:tcW w:w="567" w:type="dxa"/>
            <w:tcBorders>
              <w:right w:val="nil"/>
            </w:tcBorders>
            <w:vAlign w:val="center"/>
          </w:tcPr>
          <w:p w14:paraId="1F7D800E"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13 </w:t>
            </w:r>
          </w:p>
        </w:tc>
        <w:tc>
          <w:tcPr>
            <w:tcW w:w="1275" w:type="dxa"/>
            <w:tcBorders>
              <w:left w:val="nil"/>
            </w:tcBorders>
            <w:vAlign w:val="center"/>
          </w:tcPr>
          <w:p w14:paraId="2CA66A29"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(3.7%)</w:t>
            </w:r>
          </w:p>
        </w:tc>
        <w:tc>
          <w:tcPr>
            <w:tcW w:w="1276" w:type="dxa"/>
            <w:vAlign w:val="center"/>
          </w:tcPr>
          <w:p w14:paraId="07436EE8"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r>
      <w:tr w:rsidR="000C6A9A" w:rsidRPr="0061056F" w14:paraId="6058934F" w14:textId="77777777" w:rsidTr="0061056F">
        <w:trPr>
          <w:trHeight w:val="283"/>
        </w:trPr>
        <w:tc>
          <w:tcPr>
            <w:tcW w:w="6433" w:type="dxa"/>
            <w:vAlign w:val="center"/>
          </w:tcPr>
          <w:p w14:paraId="12ACFA82"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Hypoglycemia with seizure</w:t>
            </w:r>
          </w:p>
        </w:tc>
        <w:tc>
          <w:tcPr>
            <w:tcW w:w="650" w:type="dxa"/>
            <w:tcBorders>
              <w:right w:val="nil"/>
            </w:tcBorders>
            <w:vAlign w:val="center"/>
          </w:tcPr>
          <w:p w14:paraId="11130F04"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37 </w:t>
            </w:r>
          </w:p>
        </w:tc>
        <w:tc>
          <w:tcPr>
            <w:tcW w:w="1134" w:type="dxa"/>
            <w:tcBorders>
              <w:left w:val="nil"/>
            </w:tcBorders>
            <w:vAlign w:val="center"/>
          </w:tcPr>
          <w:p w14:paraId="2333D25D"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(5.2%)</w:t>
            </w:r>
          </w:p>
        </w:tc>
        <w:tc>
          <w:tcPr>
            <w:tcW w:w="567" w:type="dxa"/>
            <w:tcBorders>
              <w:right w:val="nil"/>
            </w:tcBorders>
            <w:vAlign w:val="center"/>
          </w:tcPr>
          <w:p w14:paraId="1619FF52"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11 </w:t>
            </w:r>
          </w:p>
        </w:tc>
        <w:tc>
          <w:tcPr>
            <w:tcW w:w="1134" w:type="dxa"/>
            <w:tcBorders>
              <w:left w:val="nil"/>
            </w:tcBorders>
            <w:vAlign w:val="center"/>
          </w:tcPr>
          <w:p w14:paraId="7E64B5D7"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(2.4%)</w:t>
            </w:r>
          </w:p>
        </w:tc>
        <w:tc>
          <w:tcPr>
            <w:tcW w:w="1276" w:type="dxa"/>
            <w:vAlign w:val="center"/>
          </w:tcPr>
          <w:p w14:paraId="78A0FD20"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c>
          <w:tcPr>
            <w:tcW w:w="567" w:type="dxa"/>
            <w:tcBorders>
              <w:right w:val="nil"/>
            </w:tcBorders>
            <w:vAlign w:val="center"/>
          </w:tcPr>
          <w:p w14:paraId="531BB6ED"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8 </w:t>
            </w:r>
          </w:p>
        </w:tc>
        <w:tc>
          <w:tcPr>
            <w:tcW w:w="1275" w:type="dxa"/>
            <w:tcBorders>
              <w:left w:val="nil"/>
            </w:tcBorders>
            <w:vAlign w:val="center"/>
          </w:tcPr>
          <w:p w14:paraId="69457724"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(2.3%)</w:t>
            </w:r>
          </w:p>
        </w:tc>
        <w:tc>
          <w:tcPr>
            <w:tcW w:w="1276" w:type="dxa"/>
            <w:vAlign w:val="center"/>
          </w:tcPr>
          <w:p w14:paraId="28F88023"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r>
      <w:tr w:rsidR="000C6A9A" w:rsidRPr="0061056F" w14:paraId="2074938F" w14:textId="77777777" w:rsidTr="0061056F">
        <w:trPr>
          <w:trHeight w:val="283"/>
        </w:trPr>
        <w:tc>
          <w:tcPr>
            <w:tcW w:w="6433" w:type="dxa"/>
            <w:vAlign w:val="center"/>
          </w:tcPr>
          <w:p w14:paraId="41181A50"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Needing glucagon</w:t>
            </w:r>
          </w:p>
        </w:tc>
        <w:tc>
          <w:tcPr>
            <w:tcW w:w="650" w:type="dxa"/>
            <w:tcBorders>
              <w:right w:val="nil"/>
            </w:tcBorders>
            <w:vAlign w:val="center"/>
          </w:tcPr>
          <w:p w14:paraId="54B63605"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105 </w:t>
            </w:r>
          </w:p>
        </w:tc>
        <w:tc>
          <w:tcPr>
            <w:tcW w:w="1134" w:type="dxa"/>
            <w:tcBorders>
              <w:left w:val="nil"/>
            </w:tcBorders>
            <w:vAlign w:val="center"/>
          </w:tcPr>
          <w:p w14:paraId="6D43382D"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(20.4%)</w:t>
            </w:r>
          </w:p>
        </w:tc>
        <w:tc>
          <w:tcPr>
            <w:tcW w:w="567" w:type="dxa"/>
            <w:tcBorders>
              <w:right w:val="nil"/>
            </w:tcBorders>
            <w:vAlign w:val="center"/>
          </w:tcPr>
          <w:p w14:paraId="46CF18CC"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22 </w:t>
            </w:r>
          </w:p>
        </w:tc>
        <w:tc>
          <w:tcPr>
            <w:tcW w:w="1134" w:type="dxa"/>
            <w:tcBorders>
              <w:left w:val="nil"/>
            </w:tcBorders>
            <w:vAlign w:val="center"/>
          </w:tcPr>
          <w:p w14:paraId="11F72D18"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(4.9%)</w:t>
            </w:r>
          </w:p>
        </w:tc>
        <w:tc>
          <w:tcPr>
            <w:tcW w:w="1276" w:type="dxa"/>
            <w:vAlign w:val="center"/>
          </w:tcPr>
          <w:p w14:paraId="5289A32C"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c>
          <w:tcPr>
            <w:tcW w:w="567" w:type="dxa"/>
            <w:tcBorders>
              <w:right w:val="nil"/>
            </w:tcBorders>
            <w:vAlign w:val="center"/>
          </w:tcPr>
          <w:p w14:paraId="0545A455"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14 </w:t>
            </w:r>
          </w:p>
        </w:tc>
        <w:tc>
          <w:tcPr>
            <w:tcW w:w="1275" w:type="dxa"/>
            <w:tcBorders>
              <w:left w:val="nil"/>
            </w:tcBorders>
            <w:vAlign w:val="center"/>
          </w:tcPr>
          <w:p w14:paraId="5BBE0015"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(3.9%)</w:t>
            </w:r>
          </w:p>
        </w:tc>
        <w:tc>
          <w:tcPr>
            <w:tcW w:w="1276" w:type="dxa"/>
            <w:vAlign w:val="center"/>
          </w:tcPr>
          <w:p w14:paraId="2316101B"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r>
      <w:tr w:rsidR="000C6A9A" w:rsidRPr="0061056F" w14:paraId="4D3B2C21" w14:textId="77777777" w:rsidTr="0061056F">
        <w:trPr>
          <w:trHeight w:val="283"/>
        </w:trPr>
        <w:tc>
          <w:tcPr>
            <w:tcW w:w="6433" w:type="dxa"/>
            <w:vAlign w:val="center"/>
          </w:tcPr>
          <w:p w14:paraId="334D8DD2"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Needing help from ambulance due to hypoglycemia</w:t>
            </w:r>
          </w:p>
        </w:tc>
        <w:tc>
          <w:tcPr>
            <w:tcW w:w="650" w:type="dxa"/>
            <w:tcBorders>
              <w:right w:val="nil"/>
            </w:tcBorders>
            <w:vAlign w:val="center"/>
          </w:tcPr>
          <w:p w14:paraId="414685F5"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80 </w:t>
            </w:r>
          </w:p>
        </w:tc>
        <w:tc>
          <w:tcPr>
            <w:tcW w:w="1134" w:type="dxa"/>
            <w:tcBorders>
              <w:left w:val="nil"/>
            </w:tcBorders>
            <w:vAlign w:val="center"/>
          </w:tcPr>
          <w:p w14:paraId="498DEB95"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(15.5%)</w:t>
            </w:r>
          </w:p>
        </w:tc>
        <w:tc>
          <w:tcPr>
            <w:tcW w:w="567" w:type="dxa"/>
            <w:tcBorders>
              <w:right w:val="nil"/>
            </w:tcBorders>
            <w:vAlign w:val="center"/>
          </w:tcPr>
          <w:p w14:paraId="64939C54"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15 </w:t>
            </w:r>
          </w:p>
        </w:tc>
        <w:tc>
          <w:tcPr>
            <w:tcW w:w="1134" w:type="dxa"/>
            <w:tcBorders>
              <w:left w:val="nil"/>
            </w:tcBorders>
            <w:vAlign w:val="center"/>
          </w:tcPr>
          <w:p w14:paraId="0DE11D42"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(3.3%)</w:t>
            </w:r>
          </w:p>
        </w:tc>
        <w:tc>
          <w:tcPr>
            <w:tcW w:w="1276" w:type="dxa"/>
            <w:vAlign w:val="center"/>
          </w:tcPr>
          <w:p w14:paraId="102C1F2F"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c>
          <w:tcPr>
            <w:tcW w:w="567" w:type="dxa"/>
            <w:tcBorders>
              <w:right w:val="nil"/>
            </w:tcBorders>
            <w:vAlign w:val="center"/>
          </w:tcPr>
          <w:p w14:paraId="07B4F604"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 xml:space="preserve">7 </w:t>
            </w:r>
          </w:p>
        </w:tc>
        <w:tc>
          <w:tcPr>
            <w:tcW w:w="1275" w:type="dxa"/>
            <w:tcBorders>
              <w:left w:val="nil"/>
            </w:tcBorders>
            <w:vAlign w:val="center"/>
          </w:tcPr>
          <w:p w14:paraId="444EA3D0" w14:textId="77777777" w:rsidR="000C6A9A" w:rsidRPr="0061056F" w:rsidRDefault="000C6A9A" w:rsidP="000010ED">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(2.0%)</w:t>
            </w:r>
          </w:p>
        </w:tc>
        <w:tc>
          <w:tcPr>
            <w:tcW w:w="1276" w:type="dxa"/>
            <w:vAlign w:val="center"/>
          </w:tcPr>
          <w:p w14:paraId="17EF2A6C" w14:textId="77777777" w:rsidR="000C6A9A" w:rsidRPr="0061056F" w:rsidRDefault="000C6A9A" w:rsidP="000010ED">
            <w:pPr>
              <w:jc w:val="both"/>
              <w:rPr>
                <w:rFonts w:ascii="Arial" w:hAnsi="Arial" w:cs="Arial"/>
                <w:sz w:val="24"/>
                <w:szCs w:val="24"/>
                <w:lang w:val="en-US"/>
              </w:rPr>
            </w:pPr>
            <w:r w:rsidRPr="0061056F">
              <w:rPr>
                <w:rFonts w:ascii="Arial" w:hAnsi="Arial" w:cs="Arial"/>
                <w:sz w:val="24"/>
                <w:szCs w:val="24"/>
                <w:lang w:val="en-US"/>
              </w:rPr>
              <w:t>&lt;0.0001</w:t>
            </w:r>
          </w:p>
        </w:tc>
      </w:tr>
      <w:tr w:rsidR="000C6A9A" w:rsidRPr="00D74D70" w14:paraId="782E39B8" w14:textId="77777777" w:rsidTr="0009148D">
        <w:trPr>
          <w:trHeight w:val="283"/>
        </w:trPr>
        <w:tc>
          <w:tcPr>
            <w:tcW w:w="6433" w:type="dxa"/>
            <w:vAlign w:val="center"/>
          </w:tcPr>
          <w:p w14:paraId="7218BEFC" w14:textId="77777777" w:rsidR="000C6A9A" w:rsidRPr="0061056F" w:rsidRDefault="000C6A9A" w:rsidP="0009148D">
            <w:pPr>
              <w:spacing w:line="276" w:lineRule="auto"/>
              <w:rPr>
                <w:rFonts w:ascii="Arial" w:hAnsi="Arial" w:cs="Arial"/>
                <w:sz w:val="24"/>
                <w:szCs w:val="24"/>
                <w:lang w:val="en-US"/>
              </w:rPr>
            </w:pPr>
            <w:r w:rsidRPr="0061056F">
              <w:rPr>
                <w:rFonts w:ascii="Arial" w:hAnsi="Arial" w:cs="Arial"/>
                <w:b/>
                <w:sz w:val="24"/>
                <w:szCs w:val="24"/>
                <w:lang w:val="en-US"/>
              </w:rPr>
              <w:t>Number of events per 100 patient-years of</w:t>
            </w:r>
          </w:p>
        </w:tc>
        <w:tc>
          <w:tcPr>
            <w:tcW w:w="1784" w:type="dxa"/>
            <w:gridSpan w:val="2"/>
            <w:vAlign w:val="center"/>
          </w:tcPr>
          <w:p w14:paraId="3A63B0F3" w14:textId="77777777" w:rsidR="000C6A9A" w:rsidRPr="0061056F" w:rsidRDefault="000C6A9A" w:rsidP="0009148D">
            <w:pPr>
              <w:rPr>
                <w:rFonts w:ascii="Arial" w:hAnsi="Arial" w:cs="Arial"/>
                <w:sz w:val="24"/>
                <w:szCs w:val="24"/>
                <w:highlight w:val="yellow"/>
                <w:lang w:val="en-US"/>
              </w:rPr>
            </w:pPr>
          </w:p>
        </w:tc>
        <w:tc>
          <w:tcPr>
            <w:tcW w:w="1701" w:type="dxa"/>
            <w:gridSpan w:val="2"/>
            <w:vAlign w:val="center"/>
          </w:tcPr>
          <w:p w14:paraId="1D88273B" w14:textId="77777777" w:rsidR="000C6A9A" w:rsidRPr="0061056F" w:rsidRDefault="000C6A9A" w:rsidP="0009148D">
            <w:pPr>
              <w:rPr>
                <w:rFonts w:ascii="Arial" w:hAnsi="Arial" w:cs="Arial"/>
                <w:sz w:val="24"/>
                <w:szCs w:val="24"/>
                <w:highlight w:val="yellow"/>
                <w:lang w:val="en-US"/>
              </w:rPr>
            </w:pPr>
          </w:p>
        </w:tc>
        <w:tc>
          <w:tcPr>
            <w:tcW w:w="1276" w:type="dxa"/>
            <w:vAlign w:val="center"/>
          </w:tcPr>
          <w:p w14:paraId="0B55CAD1" w14:textId="77777777" w:rsidR="000C6A9A" w:rsidRPr="0061056F" w:rsidRDefault="000C6A9A" w:rsidP="0009148D">
            <w:pPr>
              <w:rPr>
                <w:rFonts w:ascii="Arial" w:hAnsi="Arial" w:cs="Arial"/>
                <w:sz w:val="24"/>
                <w:szCs w:val="24"/>
                <w:highlight w:val="yellow"/>
                <w:lang w:val="en-US"/>
              </w:rPr>
            </w:pPr>
          </w:p>
        </w:tc>
        <w:tc>
          <w:tcPr>
            <w:tcW w:w="1842" w:type="dxa"/>
            <w:gridSpan w:val="2"/>
            <w:vAlign w:val="center"/>
          </w:tcPr>
          <w:p w14:paraId="7552793B" w14:textId="77777777" w:rsidR="000C6A9A" w:rsidRPr="0061056F" w:rsidRDefault="000C6A9A" w:rsidP="0009148D">
            <w:pPr>
              <w:rPr>
                <w:rFonts w:ascii="Arial" w:hAnsi="Arial" w:cs="Arial"/>
                <w:sz w:val="24"/>
                <w:szCs w:val="24"/>
                <w:highlight w:val="yellow"/>
                <w:lang w:val="en-US"/>
              </w:rPr>
            </w:pPr>
          </w:p>
        </w:tc>
        <w:tc>
          <w:tcPr>
            <w:tcW w:w="1276" w:type="dxa"/>
            <w:vAlign w:val="center"/>
          </w:tcPr>
          <w:p w14:paraId="7801CD4F" w14:textId="77777777" w:rsidR="000C6A9A" w:rsidRPr="0061056F" w:rsidRDefault="000C6A9A" w:rsidP="0009148D">
            <w:pPr>
              <w:rPr>
                <w:rFonts w:ascii="Arial" w:hAnsi="Arial" w:cs="Arial"/>
                <w:sz w:val="24"/>
                <w:szCs w:val="24"/>
                <w:highlight w:val="yellow"/>
                <w:lang w:val="en-US"/>
              </w:rPr>
            </w:pPr>
          </w:p>
        </w:tc>
      </w:tr>
      <w:tr w:rsidR="009832FF" w:rsidRPr="0061056F" w14:paraId="2AB112C3" w14:textId="77777777" w:rsidTr="0061056F">
        <w:trPr>
          <w:trHeight w:val="283"/>
        </w:trPr>
        <w:tc>
          <w:tcPr>
            <w:tcW w:w="6433" w:type="dxa"/>
            <w:vAlign w:val="center"/>
          </w:tcPr>
          <w:p w14:paraId="206948F3"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Hospitalizations due to hypoglycemia and/or ketoacidosis</w:t>
            </w:r>
          </w:p>
        </w:tc>
        <w:tc>
          <w:tcPr>
            <w:tcW w:w="1784" w:type="dxa"/>
            <w:gridSpan w:val="2"/>
            <w:vAlign w:val="center"/>
          </w:tcPr>
          <w:p w14:paraId="0220448F"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24.9</w:t>
            </w:r>
          </w:p>
        </w:tc>
        <w:tc>
          <w:tcPr>
            <w:tcW w:w="1701" w:type="dxa"/>
            <w:gridSpan w:val="2"/>
            <w:vAlign w:val="center"/>
          </w:tcPr>
          <w:p w14:paraId="2AF2D0DB"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4.9</w:t>
            </w:r>
          </w:p>
        </w:tc>
        <w:tc>
          <w:tcPr>
            <w:tcW w:w="1276" w:type="dxa"/>
            <w:vAlign w:val="center"/>
          </w:tcPr>
          <w:p w14:paraId="40433029"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c>
          <w:tcPr>
            <w:tcW w:w="1842" w:type="dxa"/>
            <w:gridSpan w:val="2"/>
            <w:vAlign w:val="center"/>
          </w:tcPr>
          <w:p w14:paraId="6C9B7420" w14:textId="77777777" w:rsidR="009832FF" w:rsidRPr="0061056F" w:rsidRDefault="009832FF" w:rsidP="009832FF">
            <w:pPr>
              <w:pStyle w:val="Normaalweb"/>
              <w:spacing w:before="0" w:beforeAutospacing="0" w:after="0" w:afterAutospacing="0"/>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3.9</w:t>
            </w:r>
          </w:p>
        </w:tc>
        <w:tc>
          <w:tcPr>
            <w:tcW w:w="1276" w:type="dxa"/>
            <w:vAlign w:val="center"/>
          </w:tcPr>
          <w:p w14:paraId="22C2EAA9"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r>
      <w:tr w:rsidR="009832FF" w:rsidRPr="0061056F" w14:paraId="450E4C70" w14:textId="77777777" w:rsidTr="0061056F">
        <w:trPr>
          <w:trHeight w:val="283"/>
        </w:trPr>
        <w:tc>
          <w:tcPr>
            <w:tcW w:w="6433" w:type="dxa"/>
            <w:vAlign w:val="center"/>
          </w:tcPr>
          <w:p w14:paraId="6629939C"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Hospitalizations due to hypoglycemia</w:t>
            </w:r>
          </w:p>
        </w:tc>
        <w:tc>
          <w:tcPr>
            <w:tcW w:w="1784" w:type="dxa"/>
            <w:gridSpan w:val="2"/>
            <w:vAlign w:val="center"/>
          </w:tcPr>
          <w:p w14:paraId="6410C088"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19.6</w:t>
            </w:r>
          </w:p>
        </w:tc>
        <w:tc>
          <w:tcPr>
            <w:tcW w:w="1701" w:type="dxa"/>
            <w:gridSpan w:val="2"/>
            <w:vAlign w:val="center"/>
          </w:tcPr>
          <w:p w14:paraId="71B6FAB8"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3.1</w:t>
            </w:r>
          </w:p>
        </w:tc>
        <w:tc>
          <w:tcPr>
            <w:tcW w:w="1276" w:type="dxa"/>
            <w:vAlign w:val="center"/>
          </w:tcPr>
          <w:p w14:paraId="13BD5278"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c>
          <w:tcPr>
            <w:tcW w:w="1842" w:type="dxa"/>
            <w:gridSpan w:val="2"/>
            <w:vAlign w:val="center"/>
          </w:tcPr>
          <w:p w14:paraId="61116F2D" w14:textId="77777777" w:rsidR="009832FF" w:rsidRPr="0061056F" w:rsidRDefault="009832FF" w:rsidP="009832FF">
            <w:pPr>
              <w:pStyle w:val="Normaalweb"/>
              <w:spacing w:before="0" w:beforeAutospacing="0" w:after="0" w:afterAutospacing="0"/>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2.0</w:t>
            </w:r>
          </w:p>
        </w:tc>
        <w:tc>
          <w:tcPr>
            <w:tcW w:w="1276" w:type="dxa"/>
            <w:vAlign w:val="center"/>
          </w:tcPr>
          <w:p w14:paraId="74E30A47"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r>
      <w:tr w:rsidR="009832FF" w:rsidRPr="0061056F" w14:paraId="748E73DD" w14:textId="77777777" w:rsidTr="0061056F">
        <w:trPr>
          <w:trHeight w:val="283"/>
        </w:trPr>
        <w:tc>
          <w:tcPr>
            <w:tcW w:w="6433" w:type="dxa"/>
            <w:vAlign w:val="center"/>
          </w:tcPr>
          <w:p w14:paraId="50974E43"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Hospitalizations due to ketoacidosis</w:t>
            </w:r>
          </w:p>
        </w:tc>
        <w:tc>
          <w:tcPr>
            <w:tcW w:w="1784" w:type="dxa"/>
            <w:gridSpan w:val="2"/>
            <w:vAlign w:val="center"/>
          </w:tcPr>
          <w:p w14:paraId="57A2378E"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5.2</w:t>
            </w:r>
          </w:p>
        </w:tc>
        <w:tc>
          <w:tcPr>
            <w:tcW w:w="1701" w:type="dxa"/>
            <w:gridSpan w:val="2"/>
            <w:vAlign w:val="center"/>
          </w:tcPr>
          <w:p w14:paraId="053A2CEA"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1.3</w:t>
            </w:r>
          </w:p>
        </w:tc>
        <w:tc>
          <w:tcPr>
            <w:tcW w:w="1276" w:type="dxa"/>
            <w:vAlign w:val="center"/>
          </w:tcPr>
          <w:p w14:paraId="23D9B6D2"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0.017</w:t>
            </w:r>
          </w:p>
        </w:tc>
        <w:tc>
          <w:tcPr>
            <w:tcW w:w="1842" w:type="dxa"/>
            <w:gridSpan w:val="2"/>
            <w:vAlign w:val="center"/>
          </w:tcPr>
          <w:p w14:paraId="72475766" w14:textId="77777777" w:rsidR="009832FF" w:rsidRPr="0061056F" w:rsidRDefault="009832FF" w:rsidP="009832FF">
            <w:pPr>
              <w:pStyle w:val="Normaalweb"/>
              <w:spacing w:before="0" w:beforeAutospacing="0" w:after="0" w:afterAutospacing="0"/>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2.0</w:t>
            </w:r>
          </w:p>
        </w:tc>
        <w:tc>
          <w:tcPr>
            <w:tcW w:w="1276" w:type="dxa"/>
            <w:vAlign w:val="center"/>
          </w:tcPr>
          <w:p w14:paraId="35F0DE57"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0.156</w:t>
            </w:r>
          </w:p>
        </w:tc>
      </w:tr>
      <w:tr w:rsidR="009832FF" w:rsidRPr="0061056F" w14:paraId="00359DB9" w14:textId="77777777" w:rsidTr="0061056F">
        <w:trPr>
          <w:trHeight w:val="283"/>
        </w:trPr>
        <w:tc>
          <w:tcPr>
            <w:tcW w:w="6433" w:type="dxa"/>
            <w:vAlign w:val="center"/>
          </w:tcPr>
          <w:p w14:paraId="17FFD156" w14:textId="77777777" w:rsidR="009832FF" w:rsidRPr="0061056F" w:rsidRDefault="009832FF" w:rsidP="009832FF">
            <w:pPr>
              <w:jc w:val="both"/>
              <w:rPr>
                <w:rFonts w:ascii="Arial" w:hAnsi="Arial" w:cs="Arial"/>
                <w:b/>
                <w:sz w:val="24"/>
                <w:szCs w:val="24"/>
                <w:lang w:val="en-US"/>
              </w:rPr>
            </w:pPr>
            <w:r w:rsidRPr="0061056F">
              <w:rPr>
                <w:rFonts w:ascii="Arial" w:hAnsi="Arial" w:cs="Arial"/>
                <w:sz w:val="24"/>
                <w:szCs w:val="24"/>
                <w:lang w:val="en-US"/>
              </w:rPr>
              <w:t>Help from third parties due to hypoglycemia</w:t>
            </w:r>
          </w:p>
        </w:tc>
        <w:tc>
          <w:tcPr>
            <w:tcW w:w="1784" w:type="dxa"/>
            <w:gridSpan w:val="2"/>
            <w:vAlign w:val="center"/>
          </w:tcPr>
          <w:p w14:paraId="4C0E8105"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476.7</w:t>
            </w:r>
          </w:p>
        </w:tc>
        <w:tc>
          <w:tcPr>
            <w:tcW w:w="1701" w:type="dxa"/>
            <w:gridSpan w:val="2"/>
            <w:vAlign w:val="center"/>
          </w:tcPr>
          <w:p w14:paraId="6378802B"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66.4</w:t>
            </w:r>
          </w:p>
        </w:tc>
        <w:tc>
          <w:tcPr>
            <w:tcW w:w="1276" w:type="dxa"/>
            <w:vAlign w:val="center"/>
          </w:tcPr>
          <w:p w14:paraId="20D9EC48"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c>
          <w:tcPr>
            <w:tcW w:w="1842" w:type="dxa"/>
            <w:gridSpan w:val="2"/>
            <w:vAlign w:val="center"/>
          </w:tcPr>
          <w:p w14:paraId="634A46E4" w14:textId="77777777" w:rsidR="009832FF" w:rsidRPr="0061056F" w:rsidRDefault="009832FF" w:rsidP="009832FF">
            <w:pPr>
              <w:pStyle w:val="Normaalweb"/>
              <w:spacing w:before="0" w:beforeAutospacing="0" w:after="0" w:afterAutospacing="0"/>
              <w:rPr>
                <w:rFonts w:ascii="Arial" w:hAnsi="Arial" w:cs="Arial"/>
                <w:lang w:val="en-US"/>
              </w:rPr>
            </w:pPr>
            <w:r w:rsidRPr="0061056F">
              <w:rPr>
                <w:rFonts w:ascii="Arial" w:eastAsia="Source Sans Pro" w:hAnsi="Arial" w:cs="Arial"/>
                <w:color w:val="000000" w:themeColor="text1"/>
                <w:kern w:val="24"/>
                <w:lang w:val="en-US"/>
              </w:rPr>
              <w:t>87.0</w:t>
            </w:r>
          </w:p>
        </w:tc>
        <w:tc>
          <w:tcPr>
            <w:tcW w:w="1276" w:type="dxa"/>
            <w:vAlign w:val="center"/>
          </w:tcPr>
          <w:p w14:paraId="338E96A2"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r>
      <w:tr w:rsidR="009832FF" w:rsidRPr="0061056F" w14:paraId="44A48FC6" w14:textId="77777777" w:rsidTr="0061056F">
        <w:trPr>
          <w:trHeight w:val="283"/>
        </w:trPr>
        <w:tc>
          <w:tcPr>
            <w:tcW w:w="6433" w:type="dxa"/>
            <w:vAlign w:val="center"/>
          </w:tcPr>
          <w:p w14:paraId="23F05FA8" w14:textId="77777777" w:rsidR="009832FF" w:rsidRPr="0061056F" w:rsidRDefault="009832FF" w:rsidP="009832FF">
            <w:pPr>
              <w:jc w:val="both"/>
              <w:rPr>
                <w:rFonts w:ascii="Arial" w:hAnsi="Arial" w:cs="Arial"/>
                <w:b/>
                <w:sz w:val="24"/>
                <w:szCs w:val="24"/>
                <w:lang w:val="en-US"/>
              </w:rPr>
            </w:pPr>
            <w:r w:rsidRPr="0061056F">
              <w:rPr>
                <w:rFonts w:ascii="Arial" w:hAnsi="Arial" w:cs="Arial"/>
                <w:sz w:val="24"/>
                <w:szCs w:val="24"/>
                <w:lang w:val="en-US"/>
              </w:rPr>
              <w:t>Hypoglycemic comas</w:t>
            </w:r>
          </w:p>
        </w:tc>
        <w:tc>
          <w:tcPr>
            <w:tcW w:w="1784" w:type="dxa"/>
            <w:gridSpan w:val="2"/>
            <w:vAlign w:val="center"/>
          </w:tcPr>
          <w:p w14:paraId="57927245"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74.0</w:t>
            </w:r>
          </w:p>
        </w:tc>
        <w:tc>
          <w:tcPr>
            <w:tcW w:w="1701" w:type="dxa"/>
            <w:gridSpan w:val="2"/>
            <w:vAlign w:val="center"/>
          </w:tcPr>
          <w:p w14:paraId="283698CF"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15.4</w:t>
            </w:r>
          </w:p>
        </w:tc>
        <w:tc>
          <w:tcPr>
            <w:tcW w:w="1276" w:type="dxa"/>
            <w:vAlign w:val="center"/>
          </w:tcPr>
          <w:p w14:paraId="51910B93"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c>
          <w:tcPr>
            <w:tcW w:w="1842" w:type="dxa"/>
            <w:gridSpan w:val="2"/>
            <w:vAlign w:val="center"/>
          </w:tcPr>
          <w:p w14:paraId="4475E017" w14:textId="77777777" w:rsidR="009832FF" w:rsidRPr="0061056F" w:rsidRDefault="009832FF" w:rsidP="009832FF">
            <w:pPr>
              <w:pStyle w:val="Normaalweb"/>
              <w:spacing w:before="0" w:beforeAutospacing="0" w:after="0" w:afterAutospacing="0"/>
              <w:rPr>
                <w:rFonts w:ascii="Arial" w:hAnsi="Arial" w:cs="Arial"/>
                <w:lang w:val="en-US"/>
              </w:rPr>
            </w:pPr>
            <w:r w:rsidRPr="0061056F">
              <w:rPr>
                <w:rFonts w:ascii="Arial" w:eastAsia="Source Sans Pro" w:hAnsi="Arial" w:cs="Arial"/>
                <w:color w:val="000000" w:themeColor="text1"/>
                <w:kern w:val="24"/>
                <w:lang w:val="en-US"/>
              </w:rPr>
              <w:t>11.0</w:t>
            </w:r>
          </w:p>
        </w:tc>
        <w:tc>
          <w:tcPr>
            <w:tcW w:w="1276" w:type="dxa"/>
            <w:vAlign w:val="center"/>
          </w:tcPr>
          <w:p w14:paraId="7922BC73"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r>
      <w:tr w:rsidR="009832FF" w:rsidRPr="0061056F" w14:paraId="789A78E3" w14:textId="77777777" w:rsidTr="0061056F">
        <w:trPr>
          <w:trHeight w:val="283"/>
        </w:trPr>
        <w:tc>
          <w:tcPr>
            <w:tcW w:w="6433" w:type="dxa"/>
            <w:vAlign w:val="center"/>
          </w:tcPr>
          <w:p w14:paraId="782C6C7A"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Hypoglycemia with seizure</w:t>
            </w:r>
          </w:p>
        </w:tc>
        <w:tc>
          <w:tcPr>
            <w:tcW w:w="1784" w:type="dxa"/>
            <w:gridSpan w:val="2"/>
            <w:vAlign w:val="center"/>
          </w:tcPr>
          <w:p w14:paraId="5B4A8472"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21.9</w:t>
            </w:r>
          </w:p>
        </w:tc>
        <w:tc>
          <w:tcPr>
            <w:tcW w:w="1701" w:type="dxa"/>
            <w:gridSpan w:val="2"/>
            <w:vAlign w:val="center"/>
          </w:tcPr>
          <w:p w14:paraId="54C7FAA1"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7.8</w:t>
            </w:r>
          </w:p>
        </w:tc>
        <w:tc>
          <w:tcPr>
            <w:tcW w:w="1276" w:type="dxa"/>
            <w:vAlign w:val="center"/>
          </w:tcPr>
          <w:p w14:paraId="16E6DDF0"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0.084</w:t>
            </w:r>
          </w:p>
        </w:tc>
        <w:tc>
          <w:tcPr>
            <w:tcW w:w="1842" w:type="dxa"/>
            <w:gridSpan w:val="2"/>
            <w:vAlign w:val="center"/>
          </w:tcPr>
          <w:p w14:paraId="31DD05CC" w14:textId="77777777" w:rsidR="009832FF" w:rsidRPr="0061056F" w:rsidRDefault="009832FF" w:rsidP="009832FF">
            <w:pPr>
              <w:pStyle w:val="Normaalweb"/>
              <w:spacing w:before="0" w:beforeAutospacing="0" w:after="0" w:afterAutospacing="0"/>
              <w:rPr>
                <w:rFonts w:ascii="Arial" w:hAnsi="Arial" w:cs="Arial"/>
                <w:lang w:val="en-US"/>
              </w:rPr>
            </w:pPr>
            <w:r w:rsidRPr="0061056F">
              <w:rPr>
                <w:rFonts w:ascii="Arial" w:eastAsia="Source Sans Pro" w:hAnsi="Arial" w:cs="Arial"/>
                <w:color w:val="000000" w:themeColor="text1"/>
                <w:kern w:val="24"/>
                <w:lang w:val="en-US"/>
              </w:rPr>
              <w:t>7.3</w:t>
            </w:r>
          </w:p>
        </w:tc>
        <w:tc>
          <w:tcPr>
            <w:tcW w:w="1276" w:type="dxa"/>
            <w:vAlign w:val="center"/>
          </w:tcPr>
          <w:p w14:paraId="07343323"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0.026</w:t>
            </w:r>
          </w:p>
        </w:tc>
      </w:tr>
      <w:tr w:rsidR="009832FF" w:rsidRPr="0061056F" w14:paraId="438287D8" w14:textId="77777777" w:rsidTr="0061056F">
        <w:trPr>
          <w:trHeight w:val="283"/>
        </w:trPr>
        <w:tc>
          <w:tcPr>
            <w:tcW w:w="6433" w:type="dxa"/>
            <w:vAlign w:val="center"/>
          </w:tcPr>
          <w:p w14:paraId="591C9EFD"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Needing glucagon</w:t>
            </w:r>
          </w:p>
        </w:tc>
        <w:tc>
          <w:tcPr>
            <w:tcW w:w="1784" w:type="dxa"/>
            <w:gridSpan w:val="2"/>
            <w:vAlign w:val="center"/>
          </w:tcPr>
          <w:p w14:paraId="3A0C39EF"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64.9</w:t>
            </w:r>
          </w:p>
        </w:tc>
        <w:tc>
          <w:tcPr>
            <w:tcW w:w="1701" w:type="dxa"/>
            <w:gridSpan w:val="2"/>
            <w:vAlign w:val="center"/>
          </w:tcPr>
          <w:p w14:paraId="0217607E"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19.8</w:t>
            </w:r>
          </w:p>
        </w:tc>
        <w:tc>
          <w:tcPr>
            <w:tcW w:w="1276" w:type="dxa"/>
            <w:vAlign w:val="center"/>
          </w:tcPr>
          <w:p w14:paraId="55DD6D02"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c>
          <w:tcPr>
            <w:tcW w:w="1842" w:type="dxa"/>
            <w:gridSpan w:val="2"/>
            <w:vAlign w:val="center"/>
          </w:tcPr>
          <w:p w14:paraId="2AABB827" w14:textId="77777777" w:rsidR="009832FF" w:rsidRPr="0061056F" w:rsidRDefault="009832FF" w:rsidP="009832FF">
            <w:pPr>
              <w:pStyle w:val="Normaalweb"/>
              <w:spacing w:before="0" w:beforeAutospacing="0" w:after="0" w:afterAutospacing="0"/>
              <w:rPr>
                <w:rFonts w:ascii="Arial" w:hAnsi="Arial" w:cs="Arial"/>
                <w:lang w:val="en-US"/>
              </w:rPr>
            </w:pPr>
            <w:r w:rsidRPr="0061056F">
              <w:rPr>
                <w:rFonts w:ascii="Arial" w:eastAsia="Source Sans Pro" w:hAnsi="Arial" w:cs="Arial"/>
                <w:color w:val="000000" w:themeColor="text1"/>
                <w:kern w:val="24"/>
                <w:lang w:val="en-US"/>
              </w:rPr>
              <w:t>15.8</w:t>
            </w:r>
          </w:p>
        </w:tc>
        <w:tc>
          <w:tcPr>
            <w:tcW w:w="1276" w:type="dxa"/>
            <w:vAlign w:val="center"/>
          </w:tcPr>
          <w:p w14:paraId="18C47328"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r>
      <w:tr w:rsidR="009832FF" w:rsidRPr="0061056F" w14:paraId="5D443A4C" w14:textId="77777777" w:rsidTr="0061056F">
        <w:trPr>
          <w:trHeight w:val="283"/>
        </w:trPr>
        <w:tc>
          <w:tcPr>
            <w:tcW w:w="6433" w:type="dxa"/>
            <w:vAlign w:val="center"/>
          </w:tcPr>
          <w:p w14:paraId="01A239CC"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Needing help from ambulance due to hypoglycemia</w:t>
            </w:r>
          </w:p>
        </w:tc>
        <w:tc>
          <w:tcPr>
            <w:tcW w:w="1784" w:type="dxa"/>
            <w:gridSpan w:val="2"/>
            <w:vAlign w:val="center"/>
          </w:tcPr>
          <w:p w14:paraId="478FEFCC"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27.4</w:t>
            </w:r>
          </w:p>
        </w:tc>
        <w:tc>
          <w:tcPr>
            <w:tcW w:w="1701" w:type="dxa"/>
            <w:gridSpan w:val="2"/>
            <w:vAlign w:val="center"/>
          </w:tcPr>
          <w:p w14:paraId="77EF30C9" w14:textId="77777777" w:rsidR="009832FF" w:rsidRPr="0061056F" w:rsidRDefault="009832FF" w:rsidP="009832FF">
            <w:pPr>
              <w:pStyle w:val="Normaalweb"/>
              <w:spacing w:before="0" w:beforeAutospacing="0" w:after="0" w:afterAutospacing="0"/>
              <w:jc w:val="both"/>
              <w:rPr>
                <w:rFonts w:ascii="Arial" w:hAnsi="Arial" w:cs="Arial"/>
                <w:lang w:val="en-US"/>
              </w:rPr>
            </w:pPr>
            <w:r w:rsidRPr="0061056F">
              <w:rPr>
                <w:rFonts w:ascii="Arial" w:eastAsia="Source Sans Pro" w:hAnsi="Arial" w:cs="Arial"/>
                <w:color w:val="000000" w:themeColor="text1"/>
                <w:kern w:val="24"/>
                <w:lang w:val="en-US"/>
              </w:rPr>
              <w:t>4.2</w:t>
            </w:r>
          </w:p>
        </w:tc>
        <w:tc>
          <w:tcPr>
            <w:tcW w:w="1276" w:type="dxa"/>
            <w:vAlign w:val="center"/>
          </w:tcPr>
          <w:p w14:paraId="2E2F85DB"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c>
          <w:tcPr>
            <w:tcW w:w="1842" w:type="dxa"/>
            <w:gridSpan w:val="2"/>
            <w:vAlign w:val="center"/>
          </w:tcPr>
          <w:p w14:paraId="702EFFB1" w14:textId="77777777" w:rsidR="009832FF" w:rsidRPr="0061056F" w:rsidRDefault="009832FF" w:rsidP="009832FF">
            <w:pPr>
              <w:pStyle w:val="Normaalweb"/>
              <w:spacing w:before="0" w:beforeAutospacing="0" w:after="0" w:afterAutospacing="0"/>
              <w:rPr>
                <w:rFonts w:ascii="Arial" w:hAnsi="Arial" w:cs="Arial"/>
                <w:lang w:val="en-US"/>
              </w:rPr>
            </w:pPr>
            <w:r w:rsidRPr="0061056F">
              <w:rPr>
                <w:rFonts w:ascii="Arial" w:eastAsia="Source Sans Pro" w:hAnsi="Arial" w:cs="Arial"/>
                <w:color w:val="000000" w:themeColor="text1"/>
                <w:kern w:val="24"/>
                <w:lang w:val="en-US"/>
              </w:rPr>
              <w:t>2.5</w:t>
            </w:r>
          </w:p>
        </w:tc>
        <w:tc>
          <w:tcPr>
            <w:tcW w:w="1276" w:type="dxa"/>
            <w:vAlign w:val="center"/>
          </w:tcPr>
          <w:p w14:paraId="56142109"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r>
      <w:tr w:rsidR="009832FF" w:rsidRPr="00D74D70" w14:paraId="75BA60FC" w14:textId="77777777" w:rsidTr="0061056F">
        <w:trPr>
          <w:trHeight w:val="283"/>
        </w:trPr>
        <w:tc>
          <w:tcPr>
            <w:tcW w:w="6433" w:type="dxa"/>
            <w:vAlign w:val="center"/>
          </w:tcPr>
          <w:p w14:paraId="1D7D6242" w14:textId="77777777" w:rsidR="009832FF" w:rsidRPr="0061056F" w:rsidRDefault="009832FF" w:rsidP="009832FF">
            <w:pPr>
              <w:jc w:val="both"/>
              <w:rPr>
                <w:rFonts w:ascii="Arial" w:hAnsi="Arial" w:cs="Arial"/>
                <w:sz w:val="24"/>
                <w:szCs w:val="24"/>
                <w:lang w:val="en-US"/>
              </w:rPr>
            </w:pPr>
            <w:r w:rsidRPr="0061056F">
              <w:rPr>
                <w:rFonts w:ascii="Arial" w:hAnsi="Arial" w:cs="Arial"/>
                <w:b/>
                <w:sz w:val="24"/>
                <w:szCs w:val="24"/>
                <w:lang w:val="en-US"/>
              </w:rPr>
              <w:t>Number of days per 100 patient-years of</w:t>
            </w:r>
          </w:p>
        </w:tc>
        <w:tc>
          <w:tcPr>
            <w:tcW w:w="1784" w:type="dxa"/>
            <w:gridSpan w:val="2"/>
            <w:vAlign w:val="center"/>
          </w:tcPr>
          <w:p w14:paraId="6E2F3FFC"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p>
        </w:tc>
        <w:tc>
          <w:tcPr>
            <w:tcW w:w="1701" w:type="dxa"/>
            <w:gridSpan w:val="2"/>
            <w:vAlign w:val="center"/>
          </w:tcPr>
          <w:p w14:paraId="25B6A7BA"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p>
        </w:tc>
        <w:tc>
          <w:tcPr>
            <w:tcW w:w="1276" w:type="dxa"/>
            <w:vAlign w:val="center"/>
          </w:tcPr>
          <w:p w14:paraId="6B4D43BD" w14:textId="77777777" w:rsidR="009832FF" w:rsidRPr="0061056F" w:rsidRDefault="009832FF" w:rsidP="009832FF">
            <w:pPr>
              <w:jc w:val="both"/>
              <w:rPr>
                <w:rFonts w:ascii="Arial" w:hAnsi="Arial" w:cs="Arial"/>
                <w:sz w:val="24"/>
                <w:szCs w:val="24"/>
                <w:lang w:val="en-US"/>
              </w:rPr>
            </w:pPr>
          </w:p>
        </w:tc>
        <w:tc>
          <w:tcPr>
            <w:tcW w:w="1842" w:type="dxa"/>
            <w:gridSpan w:val="2"/>
            <w:vAlign w:val="center"/>
          </w:tcPr>
          <w:p w14:paraId="0E2C9A35" w14:textId="77777777" w:rsidR="009832FF" w:rsidRPr="0061056F" w:rsidRDefault="009832FF" w:rsidP="009832FF">
            <w:pPr>
              <w:pStyle w:val="Normaalweb"/>
              <w:spacing w:before="0" w:beforeAutospacing="0" w:after="0" w:afterAutospacing="0"/>
              <w:rPr>
                <w:rFonts w:ascii="Arial" w:eastAsia="Source Sans Pro" w:hAnsi="Arial" w:cs="Arial"/>
                <w:color w:val="000000" w:themeColor="text1"/>
                <w:kern w:val="24"/>
                <w:lang w:val="en-US"/>
              </w:rPr>
            </w:pPr>
          </w:p>
        </w:tc>
        <w:tc>
          <w:tcPr>
            <w:tcW w:w="1276" w:type="dxa"/>
            <w:vAlign w:val="center"/>
          </w:tcPr>
          <w:p w14:paraId="60249022" w14:textId="77777777" w:rsidR="009832FF" w:rsidRPr="0061056F" w:rsidRDefault="009832FF" w:rsidP="009832FF">
            <w:pPr>
              <w:jc w:val="both"/>
              <w:rPr>
                <w:rFonts w:ascii="Arial" w:hAnsi="Arial" w:cs="Arial"/>
                <w:sz w:val="24"/>
                <w:szCs w:val="24"/>
                <w:lang w:val="en-US"/>
              </w:rPr>
            </w:pPr>
          </w:p>
        </w:tc>
      </w:tr>
      <w:tr w:rsidR="009832FF" w:rsidRPr="0061056F" w14:paraId="38B59CBA" w14:textId="77777777" w:rsidTr="0061056F">
        <w:trPr>
          <w:trHeight w:val="283"/>
        </w:trPr>
        <w:tc>
          <w:tcPr>
            <w:tcW w:w="6433" w:type="dxa"/>
            <w:vAlign w:val="center"/>
          </w:tcPr>
          <w:p w14:paraId="0A278E53"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Work absenteeism</w:t>
            </w:r>
          </w:p>
        </w:tc>
        <w:tc>
          <w:tcPr>
            <w:tcW w:w="1784" w:type="dxa"/>
            <w:gridSpan w:val="2"/>
            <w:vAlign w:val="center"/>
          </w:tcPr>
          <w:p w14:paraId="2A8BB37C"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476.2</w:t>
            </w:r>
          </w:p>
        </w:tc>
        <w:tc>
          <w:tcPr>
            <w:tcW w:w="1701" w:type="dxa"/>
            <w:gridSpan w:val="2"/>
            <w:vAlign w:val="center"/>
          </w:tcPr>
          <w:p w14:paraId="4C7171C4" w14:textId="77777777" w:rsidR="009832FF" w:rsidRPr="0061056F" w:rsidRDefault="009832FF" w:rsidP="009832FF">
            <w:pPr>
              <w:pStyle w:val="Normaalweb"/>
              <w:spacing w:before="0" w:beforeAutospacing="0" w:after="0" w:afterAutospacing="0"/>
              <w:jc w:val="both"/>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208.7</w:t>
            </w:r>
          </w:p>
        </w:tc>
        <w:tc>
          <w:tcPr>
            <w:tcW w:w="1276" w:type="dxa"/>
            <w:vAlign w:val="center"/>
          </w:tcPr>
          <w:p w14:paraId="37263E40"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0.005</w:t>
            </w:r>
          </w:p>
        </w:tc>
        <w:tc>
          <w:tcPr>
            <w:tcW w:w="1842" w:type="dxa"/>
            <w:gridSpan w:val="2"/>
            <w:vAlign w:val="center"/>
          </w:tcPr>
          <w:p w14:paraId="512EF31E" w14:textId="77777777" w:rsidR="009832FF" w:rsidRPr="0061056F" w:rsidRDefault="009832FF" w:rsidP="009832FF">
            <w:pPr>
              <w:pStyle w:val="Normaalweb"/>
              <w:spacing w:before="0" w:beforeAutospacing="0" w:after="0" w:afterAutospacing="0"/>
              <w:rPr>
                <w:rFonts w:ascii="Arial" w:eastAsia="Source Sans Pro" w:hAnsi="Arial" w:cs="Arial"/>
                <w:color w:val="000000" w:themeColor="text1"/>
                <w:kern w:val="24"/>
                <w:lang w:val="en-US"/>
              </w:rPr>
            </w:pPr>
            <w:r w:rsidRPr="0061056F">
              <w:rPr>
                <w:rFonts w:ascii="Arial" w:eastAsia="Source Sans Pro" w:hAnsi="Arial" w:cs="Arial"/>
                <w:color w:val="000000" w:themeColor="text1"/>
                <w:kern w:val="24"/>
                <w:lang w:val="en-US"/>
              </w:rPr>
              <w:t>85.6</w:t>
            </w:r>
          </w:p>
        </w:tc>
        <w:tc>
          <w:tcPr>
            <w:tcW w:w="1276" w:type="dxa"/>
            <w:vAlign w:val="center"/>
          </w:tcPr>
          <w:p w14:paraId="1131A5E2" w14:textId="77777777" w:rsidR="009832FF" w:rsidRPr="0061056F" w:rsidRDefault="009832FF" w:rsidP="009832FF">
            <w:pPr>
              <w:jc w:val="both"/>
              <w:rPr>
                <w:rFonts w:ascii="Arial" w:hAnsi="Arial" w:cs="Arial"/>
                <w:sz w:val="24"/>
                <w:szCs w:val="24"/>
                <w:lang w:val="en-US"/>
              </w:rPr>
            </w:pPr>
            <w:r w:rsidRPr="0061056F">
              <w:rPr>
                <w:rFonts w:ascii="Arial" w:hAnsi="Arial" w:cs="Arial"/>
                <w:sz w:val="24"/>
                <w:szCs w:val="24"/>
                <w:lang w:val="en-US"/>
              </w:rPr>
              <w:t>&lt;0.0001</w:t>
            </w:r>
          </w:p>
        </w:tc>
      </w:tr>
    </w:tbl>
    <w:p w14:paraId="2A4A6C4E" w14:textId="77777777" w:rsidR="002A2EA5" w:rsidRPr="0061056F" w:rsidRDefault="002A2EA5" w:rsidP="000359CC">
      <w:pPr>
        <w:spacing w:after="0"/>
        <w:jc w:val="both"/>
        <w:rPr>
          <w:rFonts w:ascii="Arial" w:hAnsi="Arial" w:cs="Arial"/>
          <w:sz w:val="24"/>
          <w:szCs w:val="24"/>
          <w:lang w:val="en-US"/>
        </w:rPr>
      </w:pPr>
    </w:p>
    <w:p w14:paraId="33DA46DE" w14:textId="06CF2279" w:rsidR="00E8096C" w:rsidRPr="00E02760" w:rsidRDefault="002A2EA5" w:rsidP="000359CC">
      <w:pPr>
        <w:spacing w:line="480" w:lineRule="auto"/>
        <w:jc w:val="both"/>
        <w:rPr>
          <w:rFonts w:ascii="Arial" w:hAnsi="Arial" w:cs="Arial"/>
          <w:sz w:val="20"/>
          <w:lang w:val="en-US"/>
        </w:rPr>
      </w:pPr>
      <w:r w:rsidRPr="0061056F">
        <w:rPr>
          <w:rFonts w:ascii="Arial" w:hAnsi="Arial" w:cs="Arial"/>
          <w:sz w:val="24"/>
          <w:szCs w:val="24"/>
          <w:lang w:val="en-US"/>
        </w:rPr>
        <w:t xml:space="preserve">Data are n (% of total population) or n. Patient-reported hospital admissions were validated by clinicians. </w:t>
      </w:r>
      <w:r w:rsidR="00A125E3" w:rsidRPr="00A125E3">
        <w:rPr>
          <w:rFonts w:ascii="Arial" w:hAnsi="Arial" w:cs="Arial"/>
          <w:sz w:val="24"/>
          <w:szCs w:val="24"/>
          <w:lang w:val="en-US"/>
        </w:rPr>
        <w:t>*</w:t>
      </w:r>
      <w:r w:rsidRPr="0061056F">
        <w:rPr>
          <w:rFonts w:ascii="Arial" w:hAnsi="Arial" w:cs="Arial"/>
          <w:sz w:val="24"/>
          <w:szCs w:val="24"/>
          <w:lang w:val="en-US"/>
        </w:rPr>
        <w:t xml:space="preserve">P-value </w:t>
      </w:r>
      <w:r w:rsidR="0047066B" w:rsidRPr="0061056F">
        <w:rPr>
          <w:rFonts w:ascii="Arial" w:hAnsi="Arial" w:cs="Arial"/>
          <w:sz w:val="24"/>
          <w:szCs w:val="24"/>
          <w:lang w:val="en-US"/>
        </w:rPr>
        <w:t>for the change versus baseline.</w:t>
      </w:r>
    </w:p>
    <w:tbl>
      <w:tblPr>
        <w:tblStyle w:val="Tabelraster"/>
        <w:tblpPr w:leftFromText="141" w:rightFromText="141" w:vertAnchor="text" w:horzAnchor="page" w:tblpX="533" w:tblpY="362"/>
        <w:tblW w:w="16013" w:type="dxa"/>
        <w:tblLayout w:type="fixed"/>
        <w:tblLook w:val="04A0" w:firstRow="1" w:lastRow="0" w:firstColumn="1" w:lastColumn="0" w:noHBand="0" w:noVBand="1"/>
      </w:tblPr>
      <w:tblGrid>
        <w:gridCol w:w="7156"/>
        <w:gridCol w:w="596"/>
        <w:gridCol w:w="8"/>
        <w:gridCol w:w="985"/>
        <w:gridCol w:w="567"/>
        <w:gridCol w:w="993"/>
        <w:gridCol w:w="567"/>
        <w:gridCol w:w="992"/>
        <w:gridCol w:w="567"/>
        <w:gridCol w:w="992"/>
        <w:gridCol w:w="567"/>
        <w:gridCol w:w="992"/>
        <w:gridCol w:w="1031"/>
      </w:tblGrid>
      <w:tr w:rsidR="006C23BC" w:rsidRPr="00E02760" w14:paraId="344F5930" w14:textId="77777777" w:rsidTr="006C23BC">
        <w:tc>
          <w:tcPr>
            <w:tcW w:w="7156" w:type="dxa"/>
          </w:tcPr>
          <w:p w14:paraId="57DD70C3" w14:textId="77777777" w:rsidR="006C23BC" w:rsidRPr="0061056F" w:rsidRDefault="006C23BC" w:rsidP="006C23BC">
            <w:pPr>
              <w:jc w:val="both"/>
              <w:rPr>
                <w:rFonts w:ascii="Arial" w:hAnsi="Arial" w:cs="Arial"/>
                <w:sz w:val="20"/>
                <w:szCs w:val="20"/>
                <w:lang w:val="en-US"/>
              </w:rPr>
            </w:pPr>
          </w:p>
        </w:tc>
        <w:tc>
          <w:tcPr>
            <w:tcW w:w="1589" w:type="dxa"/>
            <w:gridSpan w:val="3"/>
          </w:tcPr>
          <w:p w14:paraId="653BD8EE" w14:textId="77777777" w:rsidR="006C23BC" w:rsidRPr="0061056F" w:rsidRDefault="006C23BC" w:rsidP="006C23BC">
            <w:pPr>
              <w:jc w:val="both"/>
              <w:rPr>
                <w:rFonts w:ascii="Arial" w:hAnsi="Arial" w:cs="Arial"/>
                <w:b/>
                <w:sz w:val="20"/>
                <w:szCs w:val="20"/>
                <w:lang w:val="en-US"/>
              </w:rPr>
            </w:pPr>
            <w:r w:rsidRPr="0061056F">
              <w:rPr>
                <w:rFonts w:ascii="Arial" w:hAnsi="Arial" w:cs="Arial"/>
                <w:b/>
                <w:sz w:val="20"/>
                <w:szCs w:val="20"/>
                <w:lang w:val="en-US"/>
              </w:rPr>
              <w:t>baseline</w:t>
            </w:r>
          </w:p>
        </w:tc>
        <w:tc>
          <w:tcPr>
            <w:tcW w:w="1560" w:type="dxa"/>
            <w:gridSpan w:val="2"/>
          </w:tcPr>
          <w:p w14:paraId="43FE1879" w14:textId="77777777" w:rsidR="006C23BC" w:rsidRPr="0061056F" w:rsidRDefault="006C23BC" w:rsidP="006C23BC">
            <w:pPr>
              <w:jc w:val="both"/>
              <w:rPr>
                <w:rFonts w:ascii="Arial" w:hAnsi="Arial" w:cs="Arial"/>
                <w:b/>
                <w:sz w:val="20"/>
                <w:szCs w:val="20"/>
                <w:lang w:val="en-US"/>
              </w:rPr>
            </w:pPr>
            <w:r w:rsidRPr="0061056F">
              <w:rPr>
                <w:rFonts w:ascii="Arial" w:hAnsi="Arial" w:cs="Arial"/>
                <w:b/>
                <w:sz w:val="20"/>
                <w:szCs w:val="20"/>
                <w:lang w:val="en-US"/>
              </w:rPr>
              <w:t>4 months</w:t>
            </w:r>
          </w:p>
        </w:tc>
        <w:tc>
          <w:tcPr>
            <w:tcW w:w="1559" w:type="dxa"/>
            <w:gridSpan w:val="2"/>
          </w:tcPr>
          <w:p w14:paraId="05FDB706" w14:textId="77777777" w:rsidR="006C23BC" w:rsidRPr="0061056F" w:rsidRDefault="006C23BC" w:rsidP="006C23BC">
            <w:pPr>
              <w:jc w:val="both"/>
              <w:rPr>
                <w:rFonts w:ascii="Arial" w:hAnsi="Arial" w:cs="Arial"/>
                <w:b/>
                <w:sz w:val="20"/>
                <w:szCs w:val="20"/>
                <w:lang w:val="en-US"/>
              </w:rPr>
            </w:pPr>
            <w:r w:rsidRPr="0061056F">
              <w:rPr>
                <w:rFonts w:ascii="Arial" w:hAnsi="Arial" w:cs="Arial"/>
                <w:b/>
                <w:sz w:val="20"/>
                <w:szCs w:val="20"/>
                <w:lang w:val="en-US"/>
              </w:rPr>
              <w:t>8 months</w:t>
            </w:r>
          </w:p>
        </w:tc>
        <w:tc>
          <w:tcPr>
            <w:tcW w:w="1559" w:type="dxa"/>
            <w:gridSpan w:val="2"/>
          </w:tcPr>
          <w:p w14:paraId="71630538" w14:textId="77777777" w:rsidR="006C23BC" w:rsidRPr="0061056F" w:rsidRDefault="006C23BC" w:rsidP="006C23BC">
            <w:pPr>
              <w:jc w:val="both"/>
              <w:rPr>
                <w:rFonts w:ascii="Arial" w:hAnsi="Arial" w:cs="Arial"/>
                <w:b/>
                <w:sz w:val="20"/>
                <w:szCs w:val="20"/>
                <w:lang w:val="en-US"/>
              </w:rPr>
            </w:pPr>
            <w:r w:rsidRPr="0061056F">
              <w:rPr>
                <w:rFonts w:ascii="Arial" w:hAnsi="Arial" w:cs="Arial"/>
                <w:b/>
                <w:sz w:val="20"/>
                <w:szCs w:val="20"/>
                <w:lang w:val="en-US"/>
              </w:rPr>
              <w:t>12 months</w:t>
            </w:r>
          </w:p>
        </w:tc>
        <w:tc>
          <w:tcPr>
            <w:tcW w:w="1559" w:type="dxa"/>
            <w:gridSpan w:val="2"/>
          </w:tcPr>
          <w:p w14:paraId="7ECC1D57" w14:textId="77777777" w:rsidR="006C23BC" w:rsidRPr="0061056F" w:rsidRDefault="006C23BC" w:rsidP="006C23BC">
            <w:pPr>
              <w:jc w:val="both"/>
              <w:rPr>
                <w:rFonts w:ascii="Arial" w:hAnsi="Arial" w:cs="Arial"/>
                <w:b/>
                <w:sz w:val="20"/>
                <w:szCs w:val="20"/>
                <w:lang w:val="en-US"/>
              </w:rPr>
            </w:pPr>
            <w:r w:rsidRPr="0061056F">
              <w:rPr>
                <w:rFonts w:ascii="Arial" w:hAnsi="Arial" w:cs="Arial"/>
                <w:b/>
                <w:sz w:val="20"/>
                <w:szCs w:val="20"/>
                <w:lang w:val="en-US"/>
              </w:rPr>
              <w:t>24 months</w:t>
            </w:r>
          </w:p>
        </w:tc>
        <w:tc>
          <w:tcPr>
            <w:tcW w:w="1031" w:type="dxa"/>
          </w:tcPr>
          <w:p w14:paraId="778E974D" w14:textId="77777777" w:rsidR="006C23BC" w:rsidRPr="0061056F" w:rsidRDefault="006C23BC" w:rsidP="006C23BC">
            <w:pPr>
              <w:jc w:val="both"/>
              <w:rPr>
                <w:rFonts w:ascii="Arial" w:hAnsi="Arial" w:cs="Arial"/>
                <w:b/>
                <w:sz w:val="20"/>
                <w:szCs w:val="20"/>
                <w:lang w:val="en-US"/>
              </w:rPr>
            </w:pPr>
            <w:r w:rsidRPr="0061056F">
              <w:rPr>
                <w:rFonts w:ascii="Arial" w:hAnsi="Arial" w:cs="Arial"/>
                <w:b/>
                <w:sz w:val="20"/>
                <w:szCs w:val="20"/>
                <w:lang w:val="en-US"/>
              </w:rPr>
              <w:t>p-value</w:t>
            </w:r>
            <w:r w:rsidRPr="0061056F">
              <w:rPr>
                <w:rFonts w:ascii="Arial" w:hAnsi="Arial" w:cs="Arial"/>
                <w:b/>
                <w:sz w:val="20"/>
                <w:szCs w:val="20"/>
                <w:vertAlign w:val="superscript"/>
                <w:lang w:val="en-US"/>
              </w:rPr>
              <w:t>†</w:t>
            </w:r>
          </w:p>
        </w:tc>
      </w:tr>
      <w:tr w:rsidR="006C23BC" w:rsidRPr="00E02760" w14:paraId="089D4285" w14:textId="77777777" w:rsidTr="006C23BC">
        <w:trPr>
          <w:trHeight w:val="261"/>
        </w:trPr>
        <w:tc>
          <w:tcPr>
            <w:tcW w:w="7156" w:type="dxa"/>
          </w:tcPr>
          <w:p w14:paraId="631D55C9" w14:textId="77777777" w:rsidR="006C23BC" w:rsidRPr="0061056F" w:rsidRDefault="006C23BC" w:rsidP="006C23BC">
            <w:pPr>
              <w:jc w:val="both"/>
              <w:rPr>
                <w:rFonts w:ascii="Arial" w:hAnsi="Arial" w:cs="Arial"/>
                <w:b/>
                <w:sz w:val="20"/>
                <w:szCs w:val="20"/>
                <w:lang w:val="en-US"/>
              </w:rPr>
            </w:pPr>
            <w:r w:rsidRPr="0061056F">
              <w:rPr>
                <w:rFonts w:ascii="Arial" w:hAnsi="Arial" w:cs="Arial"/>
                <w:b/>
                <w:sz w:val="20"/>
                <w:szCs w:val="20"/>
                <w:lang w:val="en-US"/>
              </w:rPr>
              <w:t>Clinical consensus targets</w:t>
            </w:r>
          </w:p>
        </w:tc>
        <w:tc>
          <w:tcPr>
            <w:tcW w:w="1589" w:type="dxa"/>
            <w:gridSpan w:val="3"/>
          </w:tcPr>
          <w:p w14:paraId="7770E791" w14:textId="77777777" w:rsidR="006C23BC" w:rsidRPr="0061056F" w:rsidRDefault="006C23BC" w:rsidP="006C23BC">
            <w:pPr>
              <w:jc w:val="both"/>
              <w:rPr>
                <w:rFonts w:ascii="Arial" w:hAnsi="Arial" w:cs="Arial"/>
                <w:sz w:val="20"/>
                <w:szCs w:val="20"/>
                <w:lang w:val="en-US"/>
              </w:rPr>
            </w:pPr>
          </w:p>
        </w:tc>
        <w:tc>
          <w:tcPr>
            <w:tcW w:w="1560" w:type="dxa"/>
            <w:gridSpan w:val="2"/>
          </w:tcPr>
          <w:p w14:paraId="4170A6ED" w14:textId="77777777" w:rsidR="006C23BC" w:rsidRPr="0061056F" w:rsidRDefault="006C23BC" w:rsidP="006C23BC">
            <w:pPr>
              <w:jc w:val="both"/>
              <w:rPr>
                <w:rFonts w:ascii="Arial" w:hAnsi="Arial" w:cs="Arial"/>
                <w:sz w:val="20"/>
                <w:szCs w:val="20"/>
                <w:lang w:val="en-US"/>
              </w:rPr>
            </w:pPr>
          </w:p>
        </w:tc>
        <w:tc>
          <w:tcPr>
            <w:tcW w:w="1559" w:type="dxa"/>
            <w:gridSpan w:val="2"/>
          </w:tcPr>
          <w:p w14:paraId="19C0B8AD" w14:textId="77777777" w:rsidR="006C23BC" w:rsidRPr="0061056F" w:rsidRDefault="006C23BC" w:rsidP="006C23BC">
            <w:pPr>
              <w:jc w:val="both"/>
              <w:rPr>
                <w:rFonts w:ascii="Arial" w:hAnsi="Arial" w:cs="Arial"/>
                <w:sz w:val="20"/>
                <w:szCs w:val="20"/>
                <w:lang w:val="en-US"/>
              </w:rPr>
            </w:pPr>
          </w:p>
        </w:tc>
        <w:tc>
          <w:tcPr>
            <w:tcW w:w="1559" w:type="dxa"/>
            <w:gridSpan w:val="2"/>
          </w:tcPr>
          <w:p w14:paraId="117991E1" w14:textId="77777777" w:rsidR="006C23BC" w:rsidRPr="0061056F" w:rsidRDefault="006C23BC" w:rsidP="006C23BC">
            <w:pPr>
              <w:jc w:val="both"/>
              <w:rPr>
                <w:rFonts w:ascii="Arial" w:hAnsi="Arial" w:cs="Arial"/>
                <w:sz w:val="20"/>
                <w:szCs w:val="20"/>
                <w:lang w:val="en-US"/>
              </w:rPr>
            </w:pPr>
          </w:p>
        </w:tc>
        <w:tc>
          <w:tcPr>
            <w:tcW w:w="1559" w:type="dxa"/>
            <w:gridSpan w:val="2"/>
          </w:tcPr>
          <w:p w14:paraId="7FDE0DB8" w14:textId="77777777" w:rsidR="006C23BC" w:rsidRPr="0061056F" w:rsidRDefault="006C23BC" w:rsidP="006C23BC">
            <w:pPr>
              <w:jc w:val="both"/>
              <w:rPr>
                <w:rFonts w:ascii="Arial" w:hAnsi="Arial" w:cs="Arial"/>
                <w:sz w:val="20"/>
                <w:szCs w:val="20"/>
                <w:lang w:val="en-US"/>
              </w:rPr>
            </w:pPr>
          </w:p>
        </w:tc>
        <w:tc>
          <w:tcPr>
            <w:tcW w:w="1031" w:type="dxa"/>
          </w:tcPr>
          <w:p w14:paraId="04C159C3" w14:textId="77777777" w:rsidR="006C23BC" w:rsidRPr="0061056F" w:rsidRDefault="006C23BC" w:rsidP="006C23BC">
            <w:pPr>
              <w:jc w:val="both"/>
              <w:rPr>
                <w:rFonts w:ascii="Arial" w:hAnsi="Arial" w:cs="Arial"/>
                <w:sz w:val="20"/>
                <w:szCs w:val="20"/>
                <w:lang w:val="en-US"/>
              </w:rPr>
            </w:pPr>
          </w:p>
        </w:tc>
      </w:tr>
      <w:tr w:rsidR="00FC5ECF" w:rsidRPr="00E02760" w14:paraId="6CE12B4C" w14:textId="77777777" w:rsidTr="00FC5ECF">
        <w:tc>
          <w:tcPr>
            <w:tcW w:w="7156" w:type="dxa"/>
            <w:vAlign w:val="center"/>
          </w:tcPr>
          <w:p w14:paraId="140D9008" w14:textId="77777777" w:rsidR="00FC5ECF" w:rsidRPr="0061056F" w:rsidRDefault="00FC5ECF" w:rsidP="00FC5ECF">
            <w:pPr>
              <w:spacing w:line="276" w:lineRule="auto"/>
              <w:ind w:left="174"/>
              <w:jc w:val="both"/>
              <w:rPr>
                <w:rFonts w:ascii="Arial" w:hAnsi="Arial" w:cs="Arial"/>
                <w:sz w:val="20"/>
                <w:szCs w:val="20"/>
                <w:lang w:val="en-US"/>
              </w:rPr>
            </w:pPr>
            <w:r w:rsidRPr="0061056F">
              <w:rPr>
                <w:rFonts w:ascii="Arial" w:hAnsi="Arial" w:cs="Arial"/>
                <w:sz w:val="20"/>
                <w:szCs w:val="20"/>
                <w:lang w:val="en-US"/>
              </w:rPr>
              <w:t>HbA</w:t>
            </w:r>
            <w:r w:rsidRPr="0061056F">
              <w:rPr>
                <w:rFonts w:ascii="Arial" w:hAnsi="Arial" w:cs="Arial"/>
                <w:sz w:val="20"/>
                <w:szCs w:val="20"/>
                <w:vertAlign w:val="subscript"/>
                <w:lang w:val="en-US"/>
              </w:rPr>
              <w:t>1c</w:t>
            </w:r>
            <w:r w:rsidRPr="0061056F">
              <w:rPr>
                <w:rFonts w:ascii="Arial" w:hAnsi="Arial" w:cs="Arial"/>
                <w:sz w:val="20"/>
                <w:szCs w:val="20"/>
                <w:lang w:val="en-US"/>
              </w:rPr>
              <w:t xml:space="preserve"> &lt;7% (&lt;53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w:t>
            </w:r>
            <w:proofErr w:type="spellStart"/>
            <w:r w:rsidRPr="0061056F">
              <w:rPr>
                <w:rFonts w:ascii="Arial" w:hAnsi="Arial" w:cs="Arial"/>
                <w:sz w:val="20"/>
                <w:szCs w:val="20"/>
                <w:lang w:val="en-US"/>
              </w:rPr>
              <w:t>mol</w:t>
            </w:r>
            <w:proofErr w:type="spellEnd"/>
            <w:r w:rsidRPr="0061056F">
              <w:rPr>
                <w:rFonts w:ascii="Arial" w:hAnsi="Arial" w:cs="Arial"/>
                <w:sz w:val="20"/>
                <w:szCs w:val="20"/>
                <w:lang w:val="en-US"/>
              </w:rPr>
              <w:t>)</w:t>
            </w:r>
          </w:p>
        </w:tc>
        <w:tc>
          <w:tcPr>
            <w:tcW w:w="596" w:type="dxa"/>
            <w:tcBorders>
              <w:right w:val="nil"/>
            </w:tcBorders>
          </w:tcPr>
          <w:p w14:paraId="675B40B8"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lang w:val="en-US"/>
              </w:rPr>
              <w:t>116</w:t>
            </w:r>
          </w:p>
        </w:tc>
        <w:tc>
          <w:tcPr>
            <w:tcW w:w="993" w:type="dxa"/>
            <w:gridSpan w:val="2"/>
            <w:tcBorders>
              <w:left w:val="nil"/>
            </w:tcBorders>
            <w:vAlign w:val="center"/>
          </w:tcPr>
          <w:p w14:paraId="32CECD6D"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(22.6%)</w:t>
            </w:r>
          </w:p>
        </w:tc>
        <w:tc>
          <w:tcPr>
            <w:tcW w:w="567" w:type="dxa"/>
            <w:tcBorders>
              <w:right w:val="nil"/>
            </w:tcBorders>
            <w:vAlign w:val="center"/>
          </w:tcPr>
          <w:p w14:paraId="42ABAEBB"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177 </w:t>
            </w:r>
          </w:p>
        </w:tc>
        <w:tc>
          <w:tcPr>
            <w:tcW w:w="993" w:type="dxa"/>
            <w:tcBorders>
              <w:left w:val="nil"/>
            </w:tcBorders>
            <w:vAlign w:val="center"/>
          </w:tcPr>
          <w:p w14:paraId="4F5B177F"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(37.7%)</w:t>
            </w:r>
          </w:p>
        </w:tc>
        <w:tc>
          <w:tcPr>
            <w:tcW w:w="567" w:type="dxa"/>
            <w:tcBorders>
              <w:right w:val="nil"/>
            </w:tcBorders>
            <w:vAlign w:val="center"/>
          </w:tcPr>
          <w:p w14:paraId="74A13BA0"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147 </w:t>
            </w:r>
          </w:p>
        </w:tc>
        <w:tc>
          <w:tcPr>
            <w:tcW w:w="992" w:type="dxa"/>
            <w:tcBorders>
              <w:left w:val="nil"/>
            </w:tcBorders>
            <w:vAlign w:val="center"/>
          </w:tcPr>
          <w:p w14:paraId="687956D1"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(35.3%)</w:t>
            </w:r>
          </w:p>
        </w:tc>
        <w:tc>
          <w:tcPr>
            <w:tcW w:w="567" w:type="dxa"/>
            <w:tcBorders>
              <w:right w:val="nil"/>
            </w:tcBorders>
            <w:vAlign w:val="center"/>
          </w:tcPr>
          <w:p w14:paraId="12048D22"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132 </w:t>
            </w:r>
          </w:p>
        </w:tc>
        <w:tc>
          <w:tcPr>
            <w:tcW w:w="992" w:type="dxa"/>
            <w:tcBorders>
              <w:left w:val="nil"/>
            </w:tcBorders>
            <w:vAlign w:val="center"/>
          </w:tcPr>
          <w:p w14:paraId="53A718D5"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(31.6%)</w:t>
            </w:r>
          </w:p>
        </w:tc>
        <w:tc>
          <w:tcPr>
            <w:tcW w:w="567" w:type="dxa"/>
            <w:tcBorders>
              <w:right w:val="nil"/>
            </w:tcBorders>
            <w:vAlign w:val="center"/>
          </w:tcPr>
          <w:p w14:paraId="4C708828"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115 </w:t>
            </w:r>
          </w:p>
        </w:tc>
        <w:tc>
          <w:tcPr>
            <w:tcW w:w="992" w:type="dxa"/>
            <w:tcBorders>
              <w:left w:val="nil"/>
            </w:tcBorders>
            <w:vAlign w:val="center"/>
          </w:tcPr>
          <w:p w14:paraId="14244C23"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(32.8%)</w:t>
            </w:r>
          </w:p>
        </w:tc>
        <w:tc>
          <w:tcPr>
            <w:tcW w:w="1031" w:type="dxa"/>
            <w:vAlign w:val="center"/>
          </w:tcPr>
          <w:p w14:paraId="4F8999E1"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&lt;0.0001</w:t>
            </w:r>
          </w:p>
        </w:tc>
      </w:tr>
      <w:tr w:rsidR="00FC5ECF" w:rsidRPr="00E02760" w14:paraId="42C8C282" w14:textId="77777777" w:rsidTr="00FC5ECF">
        <w:tc>
          <w:tcPr>
            <w:tcW w:w="7156" w:type="dxa"/>
            <w:vAlign w:val="center"/>
          </w:tcPr>
          <w:p w14:paraId="1546E54B" w14:textId="77777777" w:rsidR="00FC5ECF" w:rsidRPr="0061056F" w:rsidRDefault="00FC5ECF" w:rsidP="00FC5ECF">
            <w:pPr>
              <w:spacing w:line="276" w:lineRule="auto"/>
              <w:ind w:left="174"/>
              <w:jc w:val="both"/>
              <w:rPr>
                <w:rFonts w:ascii="Arial" w:hAnsi="Arial" w:cs="Arial"/>
                <w:sz w:val="20"/>
                <w:szCs w:val="20"/>
                <w:lang w:val="en-US"/>
              </w:rPr>
            </w:pPr>
            <w:r w:rsidRPr="0061056F">
              <w:rPr>
                <w:rFonts w:ascii="Arial" w:hAnsi="Arial" w:cs="Arial"/>
                <w:sz w:val="20"/>
                <w:szCs w:val="20"/>
                <w:lang w:val="en-US"/>
              </w:rPr>
              <w:t>&lt;1% of time spent &lt;54 mg/</w:t>
            </w:r>
            <w:proofErr w:type="spellStart"/>
            <w:r w:rsidRPr="0061056F">
              <w:rPr>
                <w:rFonts w:ascii="Arial" w:hAnsi="Arial" w:cs="Arial"/>
                <w:sz w:val="20"/>
                <w:szCs w:val="20"/>
                <w:lang w:val="en-US"/>
              </w:rPr>
              <w:t>dL</w:t>
            </w:r>
            <w:proofErr w:type="spellEnd"/>
            <w:r w:rsidRPr="0061056F">
              <w:rPr>
                <w:rFonts w:ascii="Arial" w:hAnsi="Arial" w:cs="Arial"/>
                <w:sz w:val="20"/>
                <w:szCs w:val="20"/>
                <w:lang w:val="en-US"/>
              </w:rPr>
              <w:t xml:space="preserve"> (&lt;3.0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/L)*</w:t>
            </w:r>
          </w:p>
        </w:tc>
        <w:tc>
          <w:tcPr>
            <w:tcW w:w="596" w:type="dxa"/>
            <w:tcBorders>
              <w:right w:val="nil"/>
            </w:tcBorders>
          </w:tcPr>
          <w:p w14:paraId="5BD72A43"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lang w:val="en-US"/>
              </w:rPr>
              <w:t xml:space="preserve">200 </w:t>
            </w:r>
          </w:p>
        </w:tc>
        <w:tc>
          <w:tcPr>
            <w:tcW w:w="993" w:type="dxa"/>
            <w:gridSpan w:val="2"/>
            <w:tcBorders>
              <w:left w:val="nil"/>
            </w:tcBorders>
            <w:vAlign w:val="center"/>
          </w:tcPr>
          <w:p w14:paraId="687D3922"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lang w:val="en-US"/>
              </w:rPr>
              <w:t>(60.1%)</w:t>
            </w:r>
          </w:p>
        </w:tc>
        <w:tc>
          <w:tcPr>
            <w:tcW w:w="567" w:type="dxa"/>
            <w:tcBorders>
              <w:right w:val="nil"/>
            </w:tcBorders>
            <w:vAlign w:val="center"/>
          </w:tcPr>
          <w:p w14:paraId="2705C3AA"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264 </w:t>
            </w:r>
          </w:p>
        </w:tc>
        <w:tc>
          <w:tcPr>
            <w:tcW w:w="993" w:type="dxa"/>
            <w:tcBorders>
              <w:left w:val="nil"/>
            </w:tcBorders>
            <w:vAlign w:val="center"/>
          </w:tcPr>
          <w:p w14:paraId="23302355"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(63.6%)</w:t>
            </w:r>
          </w:p>
        </w:tc>
        <w:tc>
          <w:tcPr>
            <w:tcW w:w="567" w:type="dxa"/>
            <w:tcBorders>
              <w:right w:val="nil"/>
            </w:tcBorders>
            <w:vAlign w:val="center"/>
          </w:tcPr>
          <w:p w14:paraId="08C82DCD"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231 </w:t>
            </w:r>
          </w:p>
        </w:tc>
        <w:tc>
          <w:tcPr>
            <w:tcW w:w="992" w:type="dxa"/>
            <w:tcBorders>
              <w:left w:val="nil"/>
            </w:tcBorders>
            <w:vAlign w:val="center"/>
          </w:tcPr>
          <w:p w14:paraId="0291D49D"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(71.1%)</w:t>
            </w:r>
          </w:p>
        </w:tc>
        <w:tc>
          <w:tcPr>
            <w:tcW w:w="567" w:type="dxa"/>
            <w:tcBorders>
              <w:right w:val="nil"/>
            </w:tcBorders>
            <w:vAlign w:val="center"/>
          </w:tcPr>
          <w:p w14:paraId="2F9634EC"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241 </w:t>
            </w:r>
          </w:p>
        </w:tc>
        <w:tc>
          <w:tcPr>
            <w:tcW w:w="992" w:type="dxa"/>
            <w:tcBorders>
              <w:left w:val="nil"/>
            </w:tcBorders>
            <w:vAlign w:val="center"/>
          </w:tcPr>
          <w:p w14:paraId="307909D2"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(62.4%)</w:t>
            </w:r>
          </w:p>
        </w:tc>
        <w:tc>
          <w:tcPr>
            <w:tcW w:w="567" w:type="dxa"/>
            <w:tcBorders>
              <w:right w:val="nil"/>
            </w:tcBorders>
            <w:vAlign w:val="center"/>
          </w:tcPr>
          <w:p w14:paraId="2E7A7DBB"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214 </w:t>
            </w:r>
          </w:p>
        </w:tc>
        <w:tc>
          <w:tcPr>
            <w:tcW w:w="992" w:type="dxa"/>
            <w:tcBorders>
              <w:left w:val="nil"/>
            </w:tcBorders>
            <w:vAlign w:val="center"/>
          </w:tcPr>
          <w:p w14:paraId="2C362A81"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(72.1%)</w:t>
            </w:r>
          </w:p>
        </w:tc>
        <w:tc>
          <w:tcPr>
            <w:tcW w:w="1031" w:type="dxa"/>
            <w:vAlign w:val="center"/>
          </w:tcPr>
          <w:p w14:paraId="350959DA" w14:textId="77777777" w:rsidR="00FC5ECF" w:rsidRPr="0061056F" w:rsidRDefault="00A12400" w:rsidP="00FC5ECF">
            <w:pPr>
              <w:spacing w:line="276" w:lineRule="auto"/>
              <w:jc w:val="both"/>
              <w:rPr>
                <w:rFonts w:ascii="Arial" w:hAnsi="Arial" w:cs="Arial"/>
                <w:sz w:val="20"/>
                <w:szCs w:val="20"/>
                <w:lang w:val="en-US"/>
              </w:rPr>
            </w:pPr>
            <w:r w:rsidRPr="0061056F">
              <w:rPr>
                <w:rFonts w:ascii="Arial" w:hAnsi="Arial" w:cs="Arial"/>
                <w:sz w:val="20"/>
                <w:szCs w:val="20"/>
                <w:lang w:val="en-US"/>
              </w:rPr>
              <w:t>&lt;0.0001</w:t>
            </w:r>
          </w:p>
        </w:tc>
      </w:tr>
      <w:tr w:rsidR="00FC5ECF" w:rsidRPr="00E02760" w14:paraId="7954EDDD" w14:textId="77777777" w:rsidTr="00FC5ECF">
        <w:tc>
          <w:tcPr>
            <w:tcW w:w="7156" w:type="dxa"/>
            <w:vAlign w:val="center"/>
          </w:tcPr>
          <w:p w14:paraId="2ADAC58D" w14:textId="77777777" w:rsidR="00FC5ECF" w:rsidRPr="0061056F" w:rsidRDefault="00FC5ECF" w:rsidP="00FC5ECF">
            <w:pPr>
              <w:spacing w:line="276" w:lineRule="auto"/>
              <w:ind w:left="174"/>
              <w:jc w:val="both"/>
              <w:rPr>
                <w:rFonts w:ascii="Arial" w:hAnsi="Arial" w:cs="Arial"/>
                <w:sz w:val="20"/>
                <w:szCs w:val="20"/>
                <w:lang w:val="en-US"/>
              </w:rPr>
            </w:pPr>
            <w:r w:rsidRPr="0061056F">
              <w:rPr>
                <w:rFonts w:ascii="Arial" w:hAnsi="Arial" w:cs="Arial"/>
                <w:sz w:val="20"/>
                <w:szCs w:val="20"/>
                <w:lang w:val="en-US"/>
              </w:rPr>
              <w:t>&lt;4% of time spent &lt;70 mg/</w:t>
            </w:r>
            <w:proofErr w:type="spellStart"/>
            <w:r w:rsidRPr="0061056F">
              <w:rPr>
                <w:rFonts w:ascii="Arial" w:hAnsi="Arial" w:cs="Arial"/>
                <w:sz w:val="20"/>
                <w:szCs w:val="20"/>
                <w:lang w:val="en-US"/>
              </w:rPr>
              <w:t>dL</w:t>
            </w:r>
            <w:proofErr w:type="spellEnd"/>
            <w:r w:rsidRPr="0061056F">
              <w:rPr>
                <w:rFonts w:ascii="Arial" w:hAnsi="Arial" w:cs="Arial"/>
                <w:sz w:val="20"/>
                <w:szCs w:val="20"/>
                <w:lang w:val="en-US"/>
              </w:rPr>
              <w:t xml:space="preserve"> (&lt;3.9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/L)*</w:t>
            </w:r>
          </w:p>
        </w:tc>
        <w:tc>
          <w:tcPr>
            <w:tcW w:w="596" w:type="dxa"/>
            <w:tcBorders>
              <w:right w:val="nil"/>
            </w:tcBorders>
          </w:tcPr>
          <w:p w14:paraId="25D98146"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lang w:val="en-US"/>
              </w:rPr>
              <w:t xml:space="preserve">182 </w:t>
            </w:r>
          </w:p>
        </w:tc>
        <w:tc>
          <w:tcPr>
            <w:tcW w:w="993" w:type="dxa"/>
            <w:gridSpan w:val="2"/>
            <w:tcBorders>
              <w:left w:val="nil"/>
            </w:tcBorders>
            <w:vAlign w:val="center"/>
          </w:tcPr>
          <w:p w14:paraId="2441261C"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lang w:val="en-US"/>
              </w:rPr>
              <w:t>(54.7%)</w:t>
            </w:r>
          </w:p>
        </w:tc>
        <w:tc>
          <w:tcPr>
            <w:tcW w:w="567" w:type="dxa"/>
            <w:tcBorders>
              <w:right w:val="nil"/>
            </w:tcBorders>
            <w:vAlign w:val="center"/>
          </w:tcPr>
          <w:p w14:paraId="725FC52E"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241 </w:t>
            </w:r>
          </w:p>
        </w:tc>
        <w:tc>
          <w:tcPr>
            <w:tcW w:w="993" w:type="dxa"/>
            <w:tcBorders>
              <w:left w:val="nil"/>
            </w:tcBorders>
            <w:vAlign w:val="center"/>
          </w:tcPr>
          <w:p w14:paraId="5F1C5AB6"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(58.1%)</w:t>
            </w:r>
          </w:p>
        </w:tc>
        <w:tc>
          <w:tcPr>
            <w:tcW w:w="567" w:type="dxa"/>
            <w:tcBorders>
              <w:right w:val="nil"/>
            </w:tcBorders>
            <w:vAlign w:val="center"/>
          </w:tcPr>
          <w:p w14:paraId="5DD0F2A0"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212 </w:t>
            </w:r>
          </w:p>
        </w:tc>
        <w:tc>
          <w:tcPr>
            <w:tcW w:w="992" w:type="dxa"/>
            <w:tcBorders>
              <w:left w:val="nil"/>
            </w:tcBorders>
            <w:vAlign w:val="center"/>
          </w:tcPr>
          <w:p w14:paraId="33F8BD4A"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(65.4%)</w:t>
            </w:r>
          </w:p>
        </w:tc>
        <w:tc>
          <w:tcPr>
            <w:tcW w:w="567" w:type="dxa"/>
            <w:tcBorders>
              <w:right w:val="nil"/>
            </w:tcBorders>
            <w:vAlign w:val="center"/>
          </w:tcPr>
          <w:p w14:paraId="68829F90"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231 </w:t>
            </w:r>
          </w:p>
        </w:tc>
        <w:tc>
          <w:tcPr>
            <w:tcW w:w="992" w:type="dxa"/>
            <w:tcBorders>
              <w:left w:val="nil"/>
            </w:tcBorders>
            <w:vAlign w:val="center"/>
          </w:tcPr>
          <w:p w14:paraId="763055CA"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(60.0%)</w:t>
            </w:r>
          </w:p>
        </w:tc>
        <w:tc>
          <w:tcPr>
            <w:tcW w:w="567" w:type="dxa"/>
            <w:tcBorders>
              <w:right w:val="nil"/>
            </w:tcBorders>
            <w:vAlign w:val="center"/>
          </w:tcPr>
          <w:p w14:paraId="3758179A"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198 </w:t>
            </w:r>
          </w:p>
        </w:tc>
        <w:tc>
          <w:tcPr>
            <w:tcW w:w="992" w:type="dxa"/>
            <w:tcBorders>
              <w:left w:val="nil"/>
            </w:tcBorders>
            <w:vAlign w:val="center"/>
          </w:tcPr>
          <w:p w14:paraId="498E341B"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(66.2%)</w:t>
            </w:r>
          </w:p>
        </w:tc>
        <w:tc>
          <w:tcPr>
            <w:tcW w:w="1031" w:type="dxa"/>
            <w:vAlign w:val="center"/>
          </w:tcPr>
          <w:p w14:paraId="6F71BC62" w14:textId="77777777" w:rsidR="00FC5ECF" w:rsidRPr="0061056F" w:rsidRDefault="00A12400" w:rsidP="00FC5ECF">
            <w:pPr>
              <w:spacing w:line="276" w:lineRule="auto"/>
              <w:jc w:val="both"/>
              <w:rPr>
                <w:rFonts w:ascii="Arial" w:hAnsi="Arial" w:cs="Arial"/>
                <w:sz w:val="20"/>
                <w:szCs w:val="20"/>
                <w:lang w:val="en-US"/>
              </w:rPr>
            </w:pPr>
            <w:r w:rsidRPr="0061056F">
              <w:rPr>
                <w:rFonts w:ascii="Arial" w:hAnsi="Arial" w:cs="Arial"/>
                <w:sz w:val="20"/>
                <w:szCs w:val="20"/>
                <w:lang w:val="en-US"/>
              </w:rPr>
              <w:t>0.021</w:t>
            </w:r>
          </w:p>
        </w:tc>
      </w:tr>
      <w:tr w:rsidR="00FC5ECF" w:rsidRPr="00E02760" w14:paraId="79F83E30" w14:textId="77777777" w:rsidTr="00FC5ECF">
        <w:tc>
          <w:tcPr>
            <w:tcW w:w="7156" w:type="dxa"/>
            <w:vAlign w:val="center"/>
          </w:tcPr>
          <w:p w14:paraId="4A3637A3" w14:textId="77777777" w:rsidR="00FC5ECF" w:rsidRPr="0061056F" w:rsidRDefault="00FC5ECF" w:rsidP="00FC5ECF">
            <w:pPr>
              <w:spacing w:line="276" w:lineRule="auto"/>
              <w:ind w:left="174"/>
              <w:jc w:val="both"/>
              <w:rPr>
                <w:rFonts w:ascii="Arial" w:hAnsi="Arial" w:cs="Arial"/>
                <w:sz w:val="20"/>
                <w:szCs w:val="20"/>
                <w:lang w:val="en-US"/>
              </w:rPr>
            </w:pPr>
            <w:r w:rsidRPr="0061056F">
              <w:rPr>
                <w:rFonts w:ascii="Arial" w:hAnsi="Arial" w:cs="Arial"/>
                <w:sz w:val="20"/>
                <w:szCs w:val="20"/>
                <w:lang w:val="en-US"/>
              </w:rPr>
              <w:t>&gt;70% of TIR*</w:t>
            </w:r>
          </w:p>
        </w:tc>
        <w:tc>
          <w:tcPr>
            <w:tcW w:w="596" w:type="dxa"/>
            <w:tcBorders>
              <w:right w:val="nil"/>
            </w:tcBorders>
          </w:tcPr>
          <w:p w14:paraId="1D0147E7"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lang w:val="en-US"/>
              </w:rPr>
              <w:t xml:space="preserve">98 </w:t>
            </w:r>
          </w:p>
        </w:tc>
        <w:tc>
          <w:tcPr>
            <w:tcW w:w="993" w:type="dxa"/>
            <w:gridSpan w:val="2"/>
            <w:tcBorders>
              <w:left w:val="nil"/>
            </w:tcBorders>
            <w:vAlign w:val="center"/>
          </w:tcPr>
          <w:p w14:paraId="55301AAB"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lang w:val="en-US"/>
              </w:rPr>
              <w:t>(29.4%)</w:t>
            </w:r>
          </w:p>
        </w:tc>
        <w:tc>
          <w:tcPr>
            <w:tcW w:w="567" w:type="dxa"/>
            <w:tcBorders>
              <w:right w:val="nil"/>
            </w:tcBorders>
            <w:vAlign w:val="center"/>
          </w:tcPr>
          <w:p w14:paraId="317C0357"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110 </w:t>
            </w:r>
          </w:p>
        </w:tc>
        <w:tc>
          <w:tcPr>
            <w:tcW w:w="993" w:type="dxa"/>
            <w:tcBorders>
              <w:left w:val="nil"/>
            </w:tcBorders>
            <w:vAlign w:val="center"/>
          </w:tcPr>
          <w:p w14:paraId="7D98E5B0"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(26.5%)</w:t>
            </w:r>
          </w:p>
        </w:tc>
        <w:tc>
          <w:tcPr>
            <w:tcW w:w="567" w:type="dxa"/>
            <w:tcBorders>
              <w:right w:val="nil"/>
            </w:tcBorders>
            <w:vAlign w:val="center"/>
          </w:tcPr>
          <w:p w14:paraId="6DB07CE8"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85 </w:t>
            </w:r>
          </w:p>
        </w:tc>
        <w:tc>
          <w:tcPr>
            <w:tcW w:w="992" w:type="dxa"/>
            <w:tcBorders>
              <w:left w:val="nil"/>
            </w:tcBorders>
            <w:vAlign w:val="center"/>
          </w:tcPr>
          <w:p w14:paraId="26B4C6BF"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(26.2%)</w:t>
            </w:r>
          </w:p>
        </w:tc>
        <w:tc>
          <w:tcPr>
            <w:tcW w:w="567" w:type="dxa"/>
            <w:tcBorders>
              <w:right w:val="nil"/>
            </w:tcBorders>
            <w:vAlign w:val="center"/>
          </w:tcPr>
          <w:p w14:paraId="0039479C"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94 </w:t>
            </w:r>
          </w:p>
        </w:tc>
        <w:tc>
          <w:tcPr>
            <w:tcW w:w="992" w:type="dxa"/>
            <w:tcBorders>
              <w:left w:val="nil"/>
            </w:tcBorders>
            <w:vAlign w:val="center"/>
          </w:tcPr>
          <w:p w14:paraId="307CE452"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(24.4%)</w:t>
            </w:r>
          </w:p>
        </w:tc>
        <w:tc>
          <w:tcPr>
            <w:tcW w:w="567" w:type="dxa"/>
            <w:tcBorders>
              <w:right w:val="nil"/>
            </w:tcBorders>
            <w:vAlign w:val="center"/>
          </w:tcPr>
          <w:p w14:paraId="424FDD8E"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76 </w:t>
            </w:r>
          </w:p>
        </w:tc>
        <w:tc>
          <w:tcPr>
            <w:tcW w:w="992" w:type="dxa"/>
            <w:tcBorders>
              <w:left w:val="nil"/>
            </w:tcBorders>
            <w:vAlign w:val="center"/>
          </w:tcPr>
          <w:p w14:paraId="0CF3688E"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(25.4%)</w:t>
            </w:r>
          </w:p>
        </w:tc>
        <w:tc>
          <w:tcPr>
            <w:tcW w:w="1031" w:type="dxa"/>
            <w:vAlign w:val="center"/>
          </w:tcPr>
          <w:p w14:paraId="70FECC80" w14:textId="77777777" w:rsidR="00FC5ECF" w:rsidRPr="0061056F" w:rsidRDefault="00FC5ECF" w:rsidP="00A12400">
            <w:pPr>
              <w:spacing w:line="276" w:lineRule="auto"/>
              <w:jc w:val="both"/>
              <w:rPr>
                <w:rFonts w:ascii="Arial" w:hAnsi="Arial" w:cs="Arial"/>
                <w:sz w:val="20"/>
                <w:szCs w:val="20"/>
                <w:lang w:val="en-US"/>
              </w:rPr>
            </w:pPr>
            <w:r w:rsidRPr="0061056F">
              <w:rPr>
                <w:rFonts w:ascii="Arial" w:hAnsi="Arial" w:cs="Arial"/>
                <w:sz w:val="20"/>
                <w:szCs w:val="20"/>
                <w:lang w:val="en-US"/>
              </w:rPr>
              <w:t>0.1</w:t>
            </w:r>
            <w:r w:rsidR="00A12400" w:rsidRPr="0061056F">
              <w:rPr>
                <w:rFonts w:ascii="Arial" w:hAnsi="Arial" w:cs="Arial"/>
                <w:sz w:val="20"/>
                <w:szCs w:val="20"/>
                <w:lang w:val="en-US"/>
              </w:rPr>
              <w:t>73</w:t>
            </w:r>
          </w:p>
        </w:tc>
      </w:tr>
      <w:tr w:rsidR="00FC5ECF" w:rsidRPr="00E02760" w14:paraId="12E54B2D" w14:textId="77777777" w:rsidTr="00FC5ECF">
        <w:tc>
          <w:tcPr>
            <w:tcW w:w="7156" w:type="dxa"/>
            <w:vAlign w:val="center"/>
          </w:tcPr>
          <w:p w14:paraId="4376A2A9" w14:textId="77777777" w:rsidR="00FC5ECF" w:rsidRPr="0061056F" w:rsidRDefault="00FC5ECF" w:rsidP="00FC5ECF">
            <w:pPr>
              <w:spacing w:line="276" w:lineRule="auto"/>
              <w:ind w:left="174"/>
              <w:jc w:val="both"/>
              <w:rPr>
                <w:rFonts w:ascii="Arial" w:hAnsi="Arial" w:cs="Arial"/>
                <w:sz w:val="20"/>
                <w:szCs w:val="20"/>
                <w:lang w:val="en-US"/>
              </w:rPr>
            </w:pPr>
            <w:r w:rsidRPr="0061056F">
              <w:rPr>
                <w:rFonts w:ascii="Arial" w:hAnsi="Arial" w:cs="Arial"/>
                <w:sz w:val="20"/>
                <w:szCs w:val="20"/>
                <w:lang w:val="en-US"/>
              </w:rPr>
              <w:t>&lt;25% of time spent &gt;180 mg/</w:t>
            </w:r>
            <w:proofErr w:type="spellStart"/>
            <w:r w:rsidRPr="0061056F">
              <w:rPr>
                <w:rFonts w:ascii="Arial" w:hAnsi="Arial" w:cs="Arial"/>
                <w:sz w:val="20"/>
                <w:szCs w:val="20"/>
                <w:lang w:val="en-US"/>
              </w:rPr>
              <w:t>dL</w:t>
            </w:r>
            <w:proofErr w:type="spellEnd"/>
            <w:r w:rsidRPr="0061056F">
              <w:rPr>
                <w:rFonts w:ascii="Arial" w:hAnsi="Arial" w:cs="Arial"/>
                <w:sz w:val="20"/>
                <w:szCs w:val="20"/>
                <w:lang w:val="en-US"/>
              </w:rPr>
              <w:t xml:space="preserve"> (&gt;10.0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/L)*</w:t>
            </w:r>
          </w:p>
        </w:tc>
        <w:tc>
          <w:tcPr>
            <w:tcW w:w="596" w:type="dxa"/>
            <w:tcBorders>
              <w:right w:val="nil"/>
            </w:tcBorders>
          </w:tcPr>
          <w:p w14:paraId="394B0489"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lang w:val="en-US"/>
              </w:rPr>
              <w:t xml:space="preserve">105 </w:t>
            </w:r>
          </w:p>
        </w:tc>
        <w:tc>
          <w:tcPr>
            <w:tcW w:w="993" w:type="dxa"/>
            <w:gridSpan w:val="2"/>
            <w:tcBorders>
              <w:left w:val="nil"/>
            </w:tcBorders>
            <w:vAlign w:val="center"/>
          </w:tcPr>
          <w:p w14:paraId="0DF9DF21"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lang w:val="en-US"/>
              </w:rPr>
              <w:t>(31.5%)</w:t>
            </w:r>
          </w:p>
        </w:tc>
        <w:tc>
          <w:tcPr>
            <w:tcW w:w="567" w:type="dxa"/>
            <w:tcBorders>
              <w:right w:val="nil"/>
            </w:tcBorders>
            <w:vAlign w:val="center"/>
          </w:tcPr>
          <w:p w14:paraId="45F1A2EB"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113 </w:t>
            </w:r>
          </w:p>
        </w:tc>
        <w:tc>
          <w:tcPr>
            <w:tcW w:w="993" w:type="dxa"/>
            <w:tcBorders>
              <w:left w:val="nil"/>
            </w:tcBorders>
            <w:vAlign w:val="center"/>
          </w:tcPr>
          <w:p w14:paraId="6203F878"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(27.2%)</w:t>
            </w:r>
          </w:p>
        </w:tc>
        <w:tc>
          <w:tcPr>
            <w:tcW w:w="567" w:type="dxa"/>
            <w:tcBorders>
              <w:right w:val="nil"/>
            </w:tcBorders>
            <w:vAlign w:val="center"/>
          </w:tcPr>
          <w:p w14:paraId="4D601166"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84 </w:t>
            </w:r>
          </w:p>
        </w:tc>
        <w:tc>
          <w:tcPr>
            <w:tcW w:w="992" w:type="dxa"/>
            <w:tcBorders>
              <w:left w:val="nil"/>
            </w:tcBorders>
            <w:vAlign w:val="center"/>
          </w:tcPr>
          <w:p w14:paraId="79884EEB"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(25.9%)</w:t>
            </w:r>
          </w:p>
        </w:tc>
        <w:tc>
          <w:tcPr>
            <w:tcW w:w="567" w:type="dxa"/>
            <w:tcBorders>
              <w:right w:val="nil"/>
            </w:tcBorders>
            <w:vAlign w:val="center"/>
          </w:tcPr>
          <w:p w14:paraId="7D48778B"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100 </w:t>
            </w:r>
          </w:p>
        </w:tc>
        <w:tc>
          <w:tcPr>
            <w:tcW w:w="992" w:type="dxa"/>
            <w:tcBorders>
              <w:left w:val="nil"/>
            </w:tcBorders>
            <w:vAlign w:val="center"/>
          </w:tcPr>
          <w:p w14:paraId="601EF82B"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(26.0%)</w:t>
            </w:r>
          </w:p>
        </w:tc>
        <w:tc>
          <w:tcPr>
            <w:tcW w:w="567" w:type="dxa"/>
            <w:tcBorders>
              <w:right w:val="nil"/>
            </w:tcBorders>
            <w:vAlign w:val="center"/>
          </w:tcPr>
          <w:p w14:paraId="1F238062"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74 </w:t>
            </w:r>
          </w:p>
        </w:tc>
        <w:tc>
          <w:tcPr>
            <w:tcW w:w="992" w:type="dxa"/>
            <w:tcBorders>
              <w:left w:val="nil"/>
            </w:tcBorders>
            <w:vAlign w:val="center"/>
          </w:tcPr>
          <w:p w14:paraId="3001059F"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(24.7%)</w:t>
            </w:r>
          </w:p>
        </w:tc>
        <w:tc>
          <w:tcPr>
            <w:tcW w:w="1031" w:type="dxa"/>
            <w:vAlign w:val="center"/>
          </w:tcPr>
          <w:p w14:paraId="32416C52" w14:textId="77777777" w:rsidR="00FC5ECF" w:rsidRPr="0061056F" w:rsidRDefault="00FC5ECF" w:rsidP="00A12400">
            <w:pPr>
              <w:spacing w:line="276" w:lineRule="auto"/>
              <w:jc w:val="both"/>
              <w:rPr>
                <w:rFonts w:ascii="Arial" w:hAnsi="Arial" w:cs="Arial"/>
                <w:sz w:val="20"/>
                <w:szCs w:val="20"/>
                <w:lang w:val="en-US"/>
              </w:rPr>
            </w:pPr>
            <w:r w:rsidRPr="0061056F">
              <w:rPr>
                <w:rFonts w:ascii="Arial" w:hAnsi="Arial" w:cs="Arial"/>
                <w:sz w:val="20"/>
                <w:szCs w:val="20"/>
                <w:lang w:val="en-US"/>
              </w:rPr>
              <w:t>0.0</w:t>
            </w:r>
            <w:r w:rsidR="00A12400" w:rsidRPr="0061056F">
              <w:rPr>
                <w:rFonts w:ascii="Arial" w:hAnsi="Arial" w:cs="Arial"/>
                <w:sz w:val="20"/>
                <w:szCs w:val="20"/>
                <w:lang w:val="en-US"/>
              </w:rPr>
              <w:t>40</w:t>
            </w:r>
          </w:p>
        </w:tc>
      </w:tr>
      <w:tr w:rsidR="00FC5ECF" w:rsidRPr="00E02760" w14:paraId="2EFAC7CC" w14:textId="77777777" w:rsidTr="00FC5ECF">
        <w:tc>
          <w:tcPr>
            <w:tcW w:w="7156" w:type="dxa"/>
            <w:vAlign w:val="center"/>
          </w:tcPr>
          <w:p w14:paraId="0181B878" w14:textId="77777777" w:rsidR="00FC5ECF" w:rsidRPr="0061056F" w:rsidRDefault="00FC5ECF" w:rsidP="00FC5ECF">
            <w:pPr>
              <w:spacing w:line="276" w:lineRule="auto"/>
              <w:ind w:left="174"/>
              <w:jc w:val="both"/>
              <w:rPr>
                <w:rFonts w:ascii="Arial" w:hAnsi="Arial" w:cs="Arial"/>
                <w:sz w:val="20"/>
                <w:szCs w:val="20"/>
                <w:lang w:val="en-US"/>
              </w:rPr>
            </w:pPr>
            <w:r w:rsidRPr="0061056F">
              <w:rPr>
                <w:rFonts w:ascii="Arial" w:hAnsi="Arial" w:cs="Arial"/>
                <w:sz w:val="20"/>
                <w:szCs w:val="20"/>
                <w:lang w:val="en-US"/>
              </w:rPr>
              <w:t>&lt;5% of time spent &gt;250 mg/</w:t>
            </w:r>
            <w:proofErr w:type="spellStart"/>
            <w:r w:rsidRPr="0061056F">
              <w:rPr>
                <w:rFonts w:ascii="Arial" w:hAnsi="Arial" w:cs="Arial"/>
                <w:sz w:val="20"/>
                <w:szCs w:val="20"/>
                <w:lang w:val="en-US"/>
              </w:rPr>
              <w:t>dL</w:t>
            </w:r>
            <w:proofErr w:type="spellEnd"/>
            <w:r w:rsidRPr="0061056F">
              <w:rPr>
                <w:rFonts w:ascii="Arial" w:hAnsi="Arial" w:cs="Arial"/>
                <w:sz w:val="20"/>
                <w:szCs w:val="20"/>
                <w:lang w:val="en-US"/>
              </w:rPr>
              <w:t xml:space="preserve"> (&gt;13.9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/L)*</w:t>
            </w:r>
          </w:p>
        </w:tc>
        <w:tc>
          <w:tcPr>
            <w:tcW w:w="596" w:type="dxa"/>
            <w:tcBorders>
              <w:right w:val="nil"/>
            </w:tcBorders>
          </w:tcPr>
          <w:p w14:paraId="688E9321"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lang w:val="en-US"/>
              </w:rPr>
              <w:t xml:space="preserve">114 </w:t>
            </w:r>
          </w:p>
        </w:tc>
        <w:tc>
          <w:tcPr>
            <w:tcW w:w="993" w:type="dxa"/>
            <w:gridSpan w:val="2"/>
            <w:tcBorders>
              <w:left w:val="nil"/>
            </w:tcBorders>
            <w:vAlign w:val="center"/>
          </w:tcPr>
          <w:p w14:paraId="40AF5A64"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lang w:val="en-US"/>
              </w:rPr>
              <w:t>(34.2%)</w:t>
            </w:r>
          </w:p>
        </w:tc>
        <w:tc>
          <w:tcPr>
            <w:tcW w:w="567" w:type="dxa"/>
            <w:tcBorders>
              <w:right w:val="nil"/>
            </w:tcBorders>
            <w:vAlign w:val="center"/>
          </w:tcPr>
          <w:p w14:paraId="222B87DF"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120 </w:t>
            </w:r>
          </w:p>
        </w:tc>
        <w:tc>
          <w:tcPr>
            <w:tcW w:w="993" w:type="dxa"/>
            <w:tcBorders>
              <w:left w:val="nil"/>
            </w:tcBorders>
            <w:vAlign w:val="center"/>
          </w:tcPr>
          <w:p w14:paraId="7B082BCF"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(28.9%)</w:t>
            </w:r>
          </w:p>
        </w:tc>
        <w:tc>
          <w:tcPr>
            <w:tcW w:w="567" w:type="dxa"/>
            <w:tcBorders>
              <w:right w:val="nil"/>
            </w:tcBorders>
            <w:vAlign w:val="center"/>
          </w:tcPr>
          <w:p w14:paraId="03858E14"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88 </w:t>
            </w:r>
          </w:p>
        </w:tc>
        <w:tc>
          <w:tcPr>
            <w:tcW w:w="992" w:type="dxa"/>
            <w:tcBorders>
              <w:left w:val="nil"/>
            </w:tcBorders>
            <w:vAlign w:val="center"/>
          </w:tcPr>
          <w:p w14:paraId="35A83BB4"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(27.2%)</w:t>
            </w:r>
          </w:p>
        </w:tc>
        <w:tc>
          <w:tcPr>
            <w:tcW w:w="567" w:type="dxa"/>
            <w:tcBorders>
              <w:right w:val="nil"/>
            </w:tcBorders>
            <w:vAlign w:val="center"/>
          </w:tcPr>
          <w:p w14:paraId="12074933"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 xml:space="preserve">114 </w:t>
            </w:r>
          </w:p>
        </w:tc>
        <w:tc>
          <w:tcPr>
            <w:tcW w:w="992" w:type="dxa"/>
            <w:tcBorders>
              <w:left w:val="nil"/>
            </w:tcBorders>
            <w:vAlign w:val="center"/>
          </w:tcPr>
          <w:p w14:paraId="3C8FF714" w14:textId="77777777" w:rsidR="00FC5ECF" w:rsidRPr="0061056F" w:rsidRDefault="00FC5ECF" w:rsidP="00FC5ECF">
            <w:pPr>
              <w:pStyle w:val="Normaalweb"/>
              <w:spacing w:before="0" w:beforeAutospacing="0" w:after="0" w:afterAutospacing="0"/>
              <w:jc w:val="both"/>
              <w:rPr>
                <w:rFonts w:ascii="Arial" w:hAnsi="Arial" w:cs="Arial"/>
                <w:sz w:val="20"/>
                <w:szCs w:val="20"/>
                <w:lang w:val="en-US"/>
              </w:rPr>
            </w:pPr>
            <w:r w:rsidRPr="0061056F">
              <w:rPr>
                <w:rFonts w:ascii="Arial" w:hAnsi="Arial" w:cs="Arial"/>
                <w:sz w:val="20"/>
                <w:szCs w:val="20"/>
                <w:lang w:val="en-US"/>
              </w:rPr>
              <w:t>(29.6%)</w:t>
            </w:r>
          </w:p>
        </w:tc>
        <w:tc>
          <w:tcPr>
            <w:tcW w:w="567" w:type="dxa"/>
            <w:tcBorders>
              <w:right w:val="nil"/>
            </w:tcBorders>
            <w:vAlign w:val="center"/>
          </w:tcPr>
          <w:p w14:paraId="7A069407"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83 </w:t>
            </w:r>
          </w:p>
        </w:tc>
        <w:tc>
          <w:tcPr>
            <w:tcW w:w="992" w:type="dxa"/>
            <w:tcBorders>
              <w:left w:val="nil"/>
            </w:tcBorders>
            <w:vAlign w:val="center"/>
          </w:tcPr>
          <w:p w14:paraId="6969C19C"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(28.0%)</w:t>
            </w:r>
          </w:p>
        </w:tc>
        <w:tc>
          <w:tcPr>
            <w:tcW w:w="1031" w:type="dxa"/>
            <w:vAlign w:val="center"/>
          </w:tcPr>
          <w:p w14:paraId="19355B43" w14:textId="77777777" w:rsidR="00FC5ECF" w:rsidRPr="0061056F" w:rsidRDefault="00FC5ECF" w:rsidP="00A12400">
            <w:pPr>
              <w:spacing w:line="276" w:lineRule="auto"/>
              <w:jc w:val="both"/>
              <w:rPr>
                <w:rFonts w:ascii="Arial" w:hAnsi="Arial" w:cs="Arial"/>
                <w:sz w:val="20"/>
                <w:szCs w:val="20"/>
                <w:lang w:val="en-US"/>
              </w:rPr>
            </w:pPr>
            <w:r w:rsidRPr="0061056F">
              <w:rPr>
                <w:rFonts w:ascii="Arial" w:hAnsi="Arial" w:cs="Arial"/>
                <w:sz w:val="20"/>
                <w:szCs w:val="20"/>
                <w:lang w:val="en-US"/>
              </w:rPr>
              <w:t>0.1</w:t>
            </w:r>
            <w:r w:rsidR="00A12400" w:rsidRPr="0061056F">
              <w:rPr>
                <w:rFonts w:ascii="Arial" w:hAnsi="Arial" w:cs="Arial"/>
                <w:sz w:val="20"/>
                <w:szCs w:val="20"/>
                <w:lang w:val="en-US"/>
              </w:rPr>
              <w:t>08</w:t>
            </w:r>
          </w:p>
        </w:tc>
      </w:tr>
      <w:tr w:rsidR="006C23BC" w:rsidRPr="00E02760" w14:paraId="39EEC769" w14:textId="77777777" w:rsidTr="006C23BC">
        <w:tc>
          <w:tcPr>
            <w:tcW w:w="7156" w:type="dxa"/>
            <w:vAlign w:val="center"/>
          </w:tcPr>
          <w:p w14:paraId="65CFA843" w14:textId="77777777" w:rsidR="006C23BC" w:rsidRPr="0061056F" w:rsidRDefault="006C23BC" w:rsidP="006C23BC">
            <w:pPr>
              <w:jc w:val="both"/>
              <w:rPr>
                <w:rFonts w:ascii="Arial" w:hAnsi="Arial" w:cs="Arial"/>
                <w:b/>
                <w:sz w:val="20"/>
                <w:szCs w:val="20"/>
                <w:lang w:val="en-US"/>
              </w:rPr>
            </w:pPr>
            <w:r w:rsidRPr="0061056F">
              <w:rPr>
                <w:rFonts w:ascii="Arial" w:hAnsi="Arial" w:cs="Arial"/>
                <w:b/>
                <w:sz w:val="20"/>
                <w:szCs w:val="20"/>
                <w:lang w:val="en-US"/>
              </w:rPr>
              <w:t>Composite endpoints</w:t>
            </w:r>
          </w:p>
        </w:tc>
        <w:tc>
          <w:tcPr>
            <w:tcW w:w="1589" w:type="dxa"/>
            <w:gridSpan w:val="3"/>
            <w:vAlign w:val="center"/>
          </w:tcPr>
          <w:p w14:paraId="6A76F34B" w14:textId="77777777" w:rsidR="006C23BC" w:rsidRPr="0061056F" w:rsidRDefault="006C23BC" w:rsidP="006C23BC">
            <w:pPr>
              <w:pStyle w:val="Normaalweb"/>
              <w:spacing w:before="0" w:beforeAutospacing="0" w:after="0" w:afterAutospacing="0" w:line="256" w:lineRule="auto"/>
              <w:jc w:val="both"/>
              <w:rPr>
                <w:rFonts w:ascii="Arial" w:hAnsi="Arial" w:cs="Arial"/>
                <w:sz w:val="20"/>
                <w:szCs w:val="20"/>
                <w:lang w:val="en-US"/>
              </w:rPr>
            </w:pPr>
          </w:p>
        </w:tc>
        <w:tc>
          <w:tcPr>
            <w:tcW w:w="1560" w:type="dxa"/>
            <w:gridSpan w:val="2"/>
            <w:vAlign w:val="center"/>
          </w:tcPr>
          <w:p w14:paraId="70608618" w14:textId="77777777" w:rsidR="006C23BC" w:rsidRPr="0061056F" w:rsidRDefault="006C23BC" w:rsidP="006C23BC">
            <w:pPr>
              <w:pStyle w:val="Normaalweb"/>
              <w:spacing w:before="0" w:beforeAutospacing="0" w:after="0" w:afterAutospacing="0" w:line="256" w:lineRule="auto"/>
              <w:jc w:val="both"/>
              <w:rPr>
                <w:rFonts w:ascii="Arial" w:hAnsi="Arial" w:cs="Arial"/>
                <w:sz w:val="20"/>
                <w:szCs w:val="20"/>
                <w:lang w:val="en-US"/>
              </w:rPr>
            </w:pPr>
          </w:p>
        </w:tc>
        <w:tc>
          <w:tcPr>
            <w:tcW w:w="1559" w:type="dxa"/>
            <w:gridSpan w:val="2"/>
            <w:vAlign w:val="center"/>
          </w:tcPr>
          <w:p w14:paraId="42053E9B" w14:textId="77777777" w:rsidR="006C23BC" w:rsidRPr="0061056F" w:rsidRDefault="006C23BC" w:rsidP="006C23BC">
            <w:pPr>
              <w:spacing w:line="276" w:lineRule="auto"/>
              <w:jc w:val="both"/>
              <w:rPr>
                <w:rFonts w:ascii="Arial" w:hAnsi="Arial" w:cs="Arial"/>
                <w:sz w:val="20"/>
                <w:szCs w:val="20"/>
                <w:lang w:val="en-US"/>
              </w:rPr>
            </w:pPr>
          </w:p>
        </w:tc>
        <w:tc>
          <w:tcPr>
            <w:tcW w:w="1559" w:type="dxa"/>
            <w:gridSpan w:val="2"/>
            <w:vAlign w:val="center"/>
          </w:tcPr>
          <w:p w14:paraId="5E3F8BC3" w14:textId="77777777" w:rsidR="006C23BC" w:rsidRPr="0061056F" w:rsidRDefault="006C23BC" w:rsidP="006C23BC">
            <w:pPr>
              <w:pStyle w:val="Normaalweb"/>
              <w:spacing w:before="0" w:beforeAutospacing="0" w:after="0" w:afterAutospacing="0" w:line="256" w:lineRule="auto"/>
              <w:jc w:val="both"/>
              <w:rPr>
                <w:rFonts w:ascii="Arial" w:hAnsi="Arial" w:cs="Arial"/>
                <w:sz w:val="20"/>
                <w:szCs w:val="20"/>
                <w:lang w:val="en-US"/>
              </w:rPr>
            </w:pPr>
          </w:p>
        </w:tc>
        <w:tc>
          <w:tcPr>
            <w:tcW w:w="1559" w:type="dxa"/>
            <w:gridSpan w:val="2"/>
            <w:vAlign w:val="center"/>
          </w:tcPr>
          <w:p w14:paraId="46E18E4F" w14:textId="77777777" w:rsidR="006C23BC" w:rsidRPr="0061056F" w:rsidRDefault="006C23BC" w:rsidP="006C23BC">
            <w:pPr>
              <w:spacing w:line="276" w:lineRule="auto"/>
              <w:jc w:val="both"/>
              <w:rPr>
                <w:rFonts w:ascii="Arial" w:hAnsi="Arial" w:cs="Arial"/>
                <w:sz w:val="20"/>
                <w:szCs w:val="20"/>
                <w:lang w:val="en-US"/>
              </w:rPr>
            </w:pPr>
          </w:p>
        </w:tc>
        <w:tc>
          <w:tcPr>
            <w:tcW w:w="1031" w:type="dxa"/>
          </w:tcPr>
          <w:p w14:paraId="561D37B4" w14:textId="77777777" w:rsidR="006C23BC" w:rsidRPr="0061056F" w:rsidRDefault="006C23BC" w:rsidP="006C23BC">
            <w:pPr>
              <w:spacing w:line="276" w:lineRule="auto"/>
              <w:jc w:val="both"/>
              <w:rPr>
                <w:rFonts w:ascii="Arial" w:hAnsi="Arial" w:cs="Arial"/>
                <w:sz w:val="20"/>
                <w:szCs w:val="20"/>
                <w:lang w:val="en-US"/>
              </w:rPr>
            </w:pPr>
          </w:p>
        </w:tc>
      </w:tr>
      <w:tr w:rsidR="00FC5ECF" w:rsidRPr="00E02760" w14:paraId="50BAA826" w14:textId="77777777" w:rsidTr="006C23BC">
        <w:tc>
          <w:tcPr>
            <w:tcW w:w="7156" w:type="dxa"/>
            <w:vAlign w:val="center"/>
          </w:tcPr>
          <w:p w14:paraId="1864EAE0" w14:textId="77777777" w:rsidR="00FC5ECF" w:rsidRPr="0061056F" w:rsidRDefault="00FC5ECF" w:rsidP="00FC5ECF">
            <w:pPr>
              <w:ind w:left="174"/>
              <w:jc w:val="both"/>
              <w:rPr>
                <w:rFonts w:ascii="Arial" w:hAnsi="Arial" w:cs="Arial"/>
                <w:b/>
                <w:sz w:val="20"/>
                <w:szCs w:val="20"/>
                <w:lang w:val="en-US"/>
              </w:rPr>
            </w:pPr>
            <w:r w:rsidRPr="0061056F">
              <w:rPr>
                <w:rFonts w:ascii="Arial" w:hAnsi="Arial" w:cs="Arial"/>
                <w:sz w:val="20"/>
                <w:szCs w:val="20"/>
                <w:lang w:val="en-US"/>
              </w:rPr>
              <w:t>HbA</w:t>
            </w:r>
            <w:r w:rsidRPr="0061056F">
              <w:rPr>
                <w:rFonts w:ascii="Arial" w:hAnsi="Arial" w:cs="Arial"/>
                <w:sz w:val="20"/>
                <w:szCs w:val="20"/>
                <w:vertAlign w:val="subscript"/>
                <w:lang w:val="en-US"/>
              </w:rPr>
              <w:t>1c</w:t>
            </w:r>
            <w:r w:rsidRPr="0061056F">
              <w:rPr>
                <w:rFonts w:ascii="Arial" w:hAnsi="Arial" w:cs="Arial"/>
                <w:sz w:val="20"/>
                <w:szCs w:val="20"/>
                <w:lang w:val="en-US"/>
              </w:rPr>
              <w:t xml:space="preserve"> &lt;7% (&lt;53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w:t>
            </w:r>
            <w:proofErr w:type="spellStart"/>
            <w:r w:rsidRPr="0061056F">
              <w:rPr>
                <w:rFonts w:ascii="Arial" w:hAnsi="Arial" w:cs="Arial"/>
                <w:sz w:val="20"/>
                <w:szCs w:val="20"/>
                <w:lang w:val="en-US"/>
              </w:rPr>
              <w:t>mol</w:t>
            </w:r>
            <w:proofErr w:type="spellEnd"/>
            <w:r w:rsidRPr="0061056F">
              <w:rPr>
                <w:rFonts w:ascii="Arial" w:hAnsi="Arial" w:cs="Arial"/>
                <w:sz w:val="20"/>
                <w:szCs w:val="20"/>
                <w:lang w:val="en-US"/>
              </w:rPr>
              <w:t>) and &lt;1% of time spent &lt;54 mg/</w:t>
            </w:r>
            <w:proofErr w:type="spellStart"/>
            <w:r w:rsidRPr="0061056F">
              <w:rPr>
                <w:rFonts w:ascii="Arial" w:hAnsi="Arial" w:cs="Arial"/>
                <w:sz w:val="20"/>
                <w:szCs w:val="20"/>
                <w:lang w:val="en-US"/>
              </w:rPr>
              <w:t>dL</w:t>
            </w:r>
            <w:proofErr w:type="spellEnd"/>
            <w:r w:rsidRPr="0061056F">
              <w:rPr>
                <w:rFonts w:ascii="Arial" w:hAnsi="Arial" w:cs="Arial"/>
                <w:sz w:val="20"/>
                <w:szCs w:val="20"/>
                <w:lang w:val="en-US"/>
              </w:rPr>
              <w:t xml:space="preserve"> (&lt;3.0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/L)*</w:t>
            </w:r>
          </w:p>
        </w:tc>
        <w:tc>
          <w:tcPr>
            <w:tcW w:w="604" w:type="dxa"/>
            <w:gridSpan w:val="2"/>
            <w:tcBorders>
              <w:right w:val="nil"/>
            </w:tcBorders>
            <w:vAlign w:val="center"/>
          </w:tcPr>
          <w:p w14:paraId="72936425"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szCs w:val="20"/>
                <w:lang w:val="en-US"/>
              </w:rPr>
              <w:t xml:space="preserve">40 </w:t>
            </w:r>
          </w:p>
        </w:tc>
        <w:tc>
          <w:tcPr>
            <w:tcW w:w="985" w:type="dxa"/>
            <w:tcBorders>
              <w:left w:val="nil"/>
            </w:tcBorders>
            <w:vAlign w:val="center"/>
          </w:tcPr>
          <w:p w14:paraId="1B75D84E"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szCs w:val="20"/>
                <w:lang w:val="en-US"/>
              </w:rPr>
              <w:t>(8.6%)</w:t>
            </w:r>
          </w:p>
        </w:tc>
        <w:tc>
          <w:tcPr>
            <w:tcW w:w="567" w:type="dxa"/>
            <w:tcBorders>
              <w:right w:val="nil"/>
            </w:tcBorders>
            <w:vAlign w:val="center"/>
          </w:tcPr>
          <w:p w14:paraId="12F7DB5D"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szCs w:val="20"/>
                <w:lang w:val="en-US"/>
              </w:rPr>
              <w:t xml:space="preserve">80 </w:t>
            </w:r>
          </w:p>
        </w:tc>
        <w:tc>
          <w:tcPr>
            <w:tcW w:w="993" w:type="dxa"/>
            <w:tcBorders>
              <w:left w:val="nil"/>
            </w:tcBorders>
            <w:vAlign w:val="center"/>
          </w:tcPr>
          <w:p w14:paraId="49A74D03"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szCs w:val="20"/>
                <w:lang w:val="en-US"/>
              </w:rPr>
              <w:t>(18.1%)</w:t>
            </w:r>
          </w:p>
        </w:tc>
        <w:tc>
          <w:tcPr>
            <w:tcW w:w="567" w:type="dxa"/>
            <w:tcBorders>
              <w:right w:val="nil"/>
            </w:tcBorders>
            <w:vAlign w:val="center"/>
          </w:tcPr>
          <w:p w14:paraId="324237D8"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61 </w:t>
            </w:r>
          </w:p>
        </w:tc>
        <w:tc>
          <w:tcPr>
            <w:tcW w:w="992" w:type="dxa"/>
            <w:tcBorders>
              <w:left w:val="nil"/>
            </w:tcBorders>
            <w:vAlign w:val="center"/>
          </w:tcPr>
          <w:p w14:paraId="31652572"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(16.2%)</w:t>
            </w:r>
          </w:p>
        </w:tc>
        <w:tc>
          <w:tcPr>
            <w:tcW w:w="567" w:type="dxa"/>
            <w:tcBorders>
              <w:right w:val="nil"/>
            </w:tcBorders>
            <w:vAlign w:val="center"/>
          </w:tcPr>
          <w:p w14:paraId="105A674D"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szCs w:val="20"/>
                <w:lang w:val="en-US"/>
              </w:rPr>
              <w:t xml:space="preserve">63 </w:t>
            </w:r>
          </w:p>
        </w:tc>
        <w:tc>
          <w:tcPr>
            <w:tcW w:w="992" w:type="dxa"/>
            <w:tcBorders>
              <w:left w:val="nil"/>
            </w:tcBorders>
            <w:vAlign w:val="center"/>
          </w:tcPr>
          <w:p w14:paraId="7739A320" w14:textId="77777777" w:rsidR="00FC5ECF" w:rsidRPr="0061056F" w:rsidRDefault="00FC5ECF" w:rsidP="00FC5ECF">
            <w:pPr>
              <w:pStyle w:val="Normaalweb"/>
              <w:spacing w:before="0" w:beforeAutospacing="0" w:after="0" w:afterAutospacing="0" w:line="256" w:lineRule="auto"/>
              <w:jc w:val="both"/>
              <w:rPr>
                <w:rFonts w:ascii="Arial" w:hAnsi="Arial" w:cs="Arial"/>
                <w:sz w:val="20"/>
                <w:szCs w:val="20"/>
                <w:lang w:val="en-US"/>
              </w:rPr>
            </w:pPr>
            <w:r w:rsidRPr="0061056F">
              <w:rPr>
                <w:rFonts w:ascii="Arial" w:hAnsi="Arial" w:cs="Arial"/>
                <w:sz w:val="20"/>
                <w:szCs w:val="20"/>
                <w:lang w:val="en-US"/>
              </w:rPr>
              <w:t>(15.3%)</w:t>
            </w:r>
          </w:p>
        </w:tc>
        <w:tc>
          <w:tcPr>
            <w:tcW w:w="567" w:type="dxa"/>
            <w:tcBorders>
              <w:right w:val="nil"/>
            </w:tcBorders>
            <w:vAlign w:val="center"/>
          </w:tcPr>
          <w:p w14:paraId="7933FEA1"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65</w:t>
            </w:r>
          </w:p>
        </w:tc>
        <w:tc>
          <w:tcPr>
            <w:tcW w:w="992" w:type="dxa"/>
            <w:tcBorders>
              <w:left w:val="nil"/>
            </w:tcBorders>
            <w:vAlign w:val="center"/>
          </w:tcPr>
          <w:p w14:paraId="5ABC5801"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(19.5%)</w:t>
            </w:r>
          </w:p>
        </w:tc>
        <w:tc>
          <w:tcPr>
            <w:tcW w:w="1031" w:type="dxa"/>
            <w:vAlign w:val="center"/>
          </w:tcPr>
          <w:p w14:paraId="0688FF66" w14:textId="77777777" w:rsidR="00FC5ECF" w:rsidRPr="0061056F" w:rsidRDefault="00E87403" w:rsidP="00FC5ECF">
            <w:pPr>
              <w:spacing w:line="276" w:lineRule="auto"/>
              <w:jc w:val="both"/>
              <w:rPr>
                <w:rFonts w:ascii="Arial" w:hAnsi="Arial" w:cs="Arial"/>
                <w:sz w:val="20"/>
                <w:szCs w:val="20"/>
                <w:lang w:val="en-US"/>
              </w:rPr>
            </w:pPr>
            <w:r w:rsidRPr="0061056F">
              <w:rPr>
                <w:rFonts w:ascii="Arial" w:hAnsi="Arial" w:cs="Arial"/>
                <w:sz w:val="20"/>
                <w:szCs w:val="20"/>
                <w:lang w:val="en-US"/>
              </w:rPr>
              <w:t>&lt;0.0001</w:t>
            </w:r>
          </w:p>
        </w:tc>
      </w:tr>
      <w:tr w:rsidR="00FC5ECF" w:rsidRPr="00E02760" w14:paraId="2E6AC17F" w14:textId="77777777" w:rsidTr="006C23BC">
        <w:tc>
          <w:tcPr>
            <w:tcW w:w="7156" w:type="dxa"/>
            <w:vAlign w:val="center"/>
          </w:tcPr>
          <w:p w14:paraId="23D18735" w14:textId="77777777" w:rsidR="00FC5ECF" w:rsidRPr="0061056F" w:rsidRDefault="00FC5ECF" w:rsidP="00FC5ECF">
            <w:pPr>
              <w:ind w:left="174"/>
              <w:jc w:val="both"/>
              <w:rPr>
                <w:rFonts w:ascii="Arial" w:hAnsi="Arial" w:cs="Arial"/>
                <w:sz w:val="20"/>
                <w:szCs w:val="20"/>
                <w:lang w:val="en-US"/>
              </w:rPr>
            </w:pPr>
            <w:r w:rsidRPr="0061056F">
              <w:rPr>
                <w:rFonts w:ascii="Arial" w:hAnsi="Arial" w:cs="Arial"/>
                <w:sz w:val="20"/>
                <w:szCs w:val="20"/>
                <w:lang w:val="en-US"/>
              </w:rPr>
              <w:t>HbA</w:t>
            </w:r>
            <w:r w:rsidRPr="0061056F">
              <w:rPr>
                <w:rFonts w:ascii="Arial" w:hAnsi="Arial" w:cs="Arial"/>
                <w:sz w:val="20"/>
                <w:szCs w:val="20"/>
                <w:vertAlign w:val="subscript"/>
                <w:lang w:val="en-US"/>
              </w:rPr>
              <w:t>1c</w:t>
            </w:r>
            <w:r w:rsidRPr="0061056F">
              <w:rPr>
                <w:rFonts w:ascii="Arial" w:hAnsi="Arial" w:cs="Arial"/>
                <w:sz w:val="20"/>
                <w:szCs w:val="20"/>
                <w:lang w:val="en-US"/>
              </w:rPr>
              <w:t xml:space="preserve"> &lt;7% (&lt;53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w:t>
            </w:r>
            <w:proofErr w:type="spellStart"/>
            <w:r w:rsidRPr="0061056F">
              <w:rPr>
                <w:rFonts w:ascii="Arial" w:hAnsi="Arial" w:cs="Arial"/>
                <w:sz w:val="20"/>
                <w:szCs w:val="20"/>
                <w:lang w:val="en-US"/>
              </w:rPr>
              <w:t>mol</w:t>
            </w:r>
            <w:proofErr w:type="spellEnd"/>
            <w:r w:rsidRPr="0061056F">
              <w:rPr>
                <w:rFonts w:ascii="Arial" w:hAnsi="Arial" w:cs="Arial"/>
                <w:sz w:val="20"/>
                <w:szCs w:val="20"/>
                <w:lang w:val="en-US"/>
              </w:rPr>
              <w:t>) and no severe hypoglycemia</w:t>
            </w:r>
          </w:p>
        </w:tc>
        <w:tc>
          <w:tcPr>
            <w:tcW w:w="604" w:type="dxa"/>
            <w:gridSpan w:val="2"/>
            <w:tcBorders>
              <w:right w:val="nil"/>
            </w:tcBorders>
            <w:vAlign w:val="center"/>
          </w:tcPr>
          <w:p w14:paraId="383CC815"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 xml:space="preserve">56 </w:t>
            </w:r>
          </w:p>
        </w:tc>
        <w:tc>
          <w:tcPr>
            <w:tcW w:w="985" w:type="dxa"/>
            <w:tcBorders>
              <w:left w:val="nil"/>
            </w:tcBorders>
            <w:vAlign w:val="center"/>
          </w:tcPr>
          <w:p w14:paraId="0ED4A094"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(11.1%)</w:t>
            </w:r>
          </w:p>
        </w:tc>
        <w:tc>
          <w:tcPr>
            <w:tcW w:w="1560" w:type="dxa"/>
            <w:gridSpan w:val="2"/>
            <w:vAlign w:val="center"/>
          </w:tcPr>
          <w:p w14:paraId="0E21042B"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NA</w:t>
            </w:r>
          </w:p>
        </w:tc>
        <w:tc>
          <w:tcPr>
            <w:tcW w:w="1559" w:type="dxa"/>
            <w:gridSpan w:val="2"/>
            <w:vAlign w:val="center"/>
          </w:tcPr>
          <w:p w14:paraId="23A99427"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NA</w:t>
            </w:r>
          </w:p>
        </w:tc>
        <w:tc>
          <w:tcPr>
            <w:tcW w:w="567" w:type="dxa"/>
            <w:tcBorders>
              <w:right w:val="nil"/>
            </w:tcBorders>
            <w:vAlign w:val="center"/>
          </w:tcPr>
          <w:p w14:paraId="3BA56E4A"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 xml:space="preserve">111 </w:t>
            </w:r>
          </w:p>
        </w:tc>
        <w:tc>
          <w:tcPr>
            <w:tcW w:w="992" w:type="dxa"/>
            <w:tcBorders>
              <w:left w:val="nil"/>
            </w:tcBorders>
            <w:vAlign w:val="center"/>
          </w:tcPr>
          <w:p w14:paraId="5484E9B8"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(27.2%)</w:t>
            </w:r>
          </w:p>
        </w:tc>
        <w:tc>
          <w:tcPr>
            <w:tcW w:w="567" w:type="dxa"/>
            <w:tcBorders>
              <w:right w:val="nil"/>
            </w:tcBorders>
            <w:vAlign w:val="center"/>
          </w:tcPr>
          <w:p w14:paraId="0A0713B6"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87</w:t>
            </w:r>
          </w:p>
        </w:tc>
        <w:tc>
          <w:tcPr>
            <w:tcW w:w="992" w:type="dxa"/>
            <w:tcBorders>
              <w:left w:val="nil"/>
            </w:tcBorders>
            <w:vAlign w:val="center"/>
          </w:tcPr>
          <w:p w14:paraId="4C8BD4C1"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(25.4%)</w:t>
            </w:r>
          </w:p>
        </w:tc>
        <w:tc>
          <w:tcPr>
            <w:tcW w:w="1031" w:type="dxa"/>
            <w:vAlign w:val="center"/>
          </w:tcPr>
          <w:p w14:paraId="2B6DCD53"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color w:val="000000" w:themeColor="text1"/>
                <w:kern w:val="24"/>
                <w:sz w:val="20"/>
                <w:lang w:val="en-US"/>
              </w:rPr>
              <w:t>&lt;0.0001</w:t>
            </w:r>
          </w:p>
        </w:tc>
      </w:tr>
      <w:tr w:rsidR="00FC5ECF" w:rsidRPr="00E02760" w14:paraId="5078DABD" w14:textId="77777777" w:rsidTr="006C23BC">
        <w:tc>
          <w:tcPr>
            <w:tcW w:w="7156" w:type="dxa"/>
            <w:vAlign w:val="center"/>
          </w:tcPr>
          <w:p w14:paraId="508DDE88" w14:textId="77777777" w:rsidR="00FC5ECF" w:rsidRPr="0061056F" w:rsidRDefault="00FC5ECF" w:rsidP="00FC5ECF">
            <w:pPr>
              <w:ind w:left="174"/>
              <w:jc w:val="both"/>
              <w:rPr>
                <w:rFonts w:ascii="Arial" w:hAnsi="Arial" w:cs="Arial"/>
                <w:sz w:val="20"/>
                <w:szCs w:val="20"/>
                <w:lang w:val="en-US"/>
              </w:rPr>
            </w:pPr>
            <w:r w:rsidRPr="0061056F">
              <w:rPr>
                <w:rFonts w:ascii="Arial" w:hAnsi="Arial" w:cs="Arial"/>
                <w:sz w:val="20"/>
                <w:szCs w:val="20"/>
                <w:lang w:val="en-US"/>
              </w:rPr>
              <w:t>&gt;70% TIR and &lt;1% of time spent &lt;54 mg/</w:t>
            </w:r>
            <w:proofErr w:type="spellStart"/>
            <w:r w:rsidRPr="0061056F">
              <w:rPr>
                <w:rFonts w:ascii="Arial" w:hAnsi="Arial" w:cs="Arial"/>
                <w:sz w:val="20"/>
                <w:szCs w:val="20"/>
                <w:lang w:val="en-US"/>
              </w:rPr>
              <w:t>dL</w:t>
            </w:r>
            <w:proofErr w:type="spellEnd"/>
            <w:r w:rsidRPr="0061056F">
              <w:rPr>
                <w:rFonts w:ascii="Arial" w:hAnsi="Arial" w:cs="Arial"/>
                <w:sz w:val="20"/>
                <w:szCs w:val="20"/>
                <w:lang w:val="en-US"/>
              </w:rPr>
              <w:t xml:space="preserve"> (&lt;3.0 </w:t>
            </w:r>
            <w:proofErr w:type="spellStart"/>
            <w:r w:rsidRPr="0061056F">
              <w:rPr>
                <w:rFonts w:ascii="Arial" w:hAnsi="Arial" w:cs="Arial"/>
                <w:sz w:val="20"/>
                <w:szCs w:val="20"/>
                <w:lang w:val="en-US"/>
              </w:rPr>
              <w:t>mmol</w:t>
            </w:r>
            <w:proofErr w:type="spellEnd"/>
            <w:r w:rsidRPr="0061056F">
              <w:rPr>
                <w:rFonts w:ascii="Arial" w:hAnsi="Arial" w:cs="Arial"/>
                <w:sz w:val="20"/>
                <w:szCs w:val="20"/>
                <w:lang w:val="en-US"/>
              </w:rPr>
              <w:t>/L)*</w:t>
            </w:r>
          </w:p>
        </w:tc>
        <w:tc>
          <w:tcPr>
            <w:tcW w:w="604" w:type="dxa"/>
            <w:gridSpan w:val="2"/>
            <w:tcBorders>
              <w:right w:val="nil"/>
            </w:tcBorders>
            <w:vAlign w:val="center"/>
          </w:tcPr>
          <w:p w14:paraId="6D9EE67D"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 xml:space="preserve">62 </w:t>
            </w:r>
          </w:p>
        </w:tc>
        <w:tc>
          <w:tcPr>
            <w:tcW w:w="985" w:type="dxa"/>
            <w:tcBorders>
              <w:left w:val="nil"/>
            </w:tcBorders>
            <w:vAlign w:val="center"/>
          </w:tcPr>
          <w:p w14:paraId="03FD3682"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(18.6%)</w:t>
            </w:r>
          </w:p>
        </w:tc>
        <w:tc>
          <w:tcPr>
            <w:tcW w:w="567" w:type="dxa"/>
            <w:tcBorders>
              <w:right w:val="nil"/>
            </w:tcBorders>
            <w:vAlign w:val="center"/>
          </w:tcPr>
          <w:p w14:paraId="2420DEB0"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 xml:space="preserve">69 </w:t>
            </w:r>
          </w:p>
        </w:tc>
        <w:tc>
          <w:tcPr>
            <w:tcW w:w="993" w:type="dxa"/>
            <w:tcBorders>
              <w:left w:val="nil"/>
            </w:tcBorders>
            <w:vAlign w:val="center"/>
          </w:tcPr>
          <w:p w14:paraId="1C0BC807"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(16.6%)</w:t>
            </w:r>
          </w:p>
        </w:tc>
        <w:tc>
          <w:tcPr>
            <w:tcW w:w="567" w:type="dxa"/>
            <w:tcBorders>
              <w:right w:val="nil"/>
            </w:tcBorders>
            <w:vAlign w:val="center"/>
          </w:tcPr>
          <w:p w14:paraId="0B056FF7"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 xml:space="preserve">60 </w:t>
            </w:r>
          </w:p>
        </w:tc>
        <w:tc>
          <w:tcPr>
            <w:tcW w:w="992" w:type="dxa"/>
            <w:tcBorders>
              <w:left w:val="nil"/>
            </w:tcBorders>
            <w:vAlign w:val="center"/>
          </w:tcPr>
          <w:p w14:paraId="6AA50BC7"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(18.5%)</w:t>
            </w:r>
          </w:p>
        </w:tc>
        <w:tc>
          <w:tcPr>
            <w:tcW w:w="567" w:type="dxa"/>
            <w:tcBorders>
              <w:right w:val="nil"/>
            </w:tcBorders>
            <w:vAlign w:val="center"/>
          </w:tcPr>
          <w:p w14:paraId="58C1C235"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 xml:space="preserve">59 </w:t>
            </w:r>
          </w:p>
        </w:tc>
        <w:tc>
          <w:tcPr>
            <w:tcW w:w="992" w:type="dxa"/>
            <w:tcBorders>
              <w:left w:val="nil"/>
            </w:tcBorders>
            <w:vAlign w:val="center"/>
          </w:tcPr>
          <w:p w14:paraId="1C446132"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(15.3%)</w:t>
            </w:r>
          </w:p>
        </w:tc>
        <w:tc>
          <w:tcPr>
            <w:tcW w:w="567" w:type="dxa"/>
            <w:tcBorders>
              <w:right w:val="nil"/>
            </w:tcBorders>
            <w:vAlign w:val="center"/>
          </w:tcPr>
          <w:p w14:paraId="06516AE6"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54</w:t>
            </w:r>
          </w:p>
        </w:tc>
        <w:tc>
          <w:tcPr>
            <w:tcW w:w="992" w:type="dxa"/>
            <w:tcBorders>
              <w:left w:val="nil"/>
            </w:tcBorders>
            <w:vAlign w:val="center"/>
          </w:tcPr>
          <w:p w14:paraId="7C7EA1B7"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(18.1%)</w:t>
            </w:r>
          </w:p>
        </w:tc>
        <w:tc>
          <w:tcPr>
            <w:tcW w:w="1031" w:type="dxa"/>
            <w:vAlign w:val="center"/>
          </w:tcPr>
          <w:p w14:paraId="210ED11C" w14:textId="77777777" w:rsidR="00FC5ECF" w:rsidRPr="0061056F" w:rsidRDefault="00FC5ECF" w:rsidP="00A12400">
            <w:pPr>
              <w:spacing w:line="276" w:lineRule="auto"/>
              <w:jc w:val="both"/>
              <w:rPr>
                <w:rFonts w:ascii="Arial" w:hAnsi="Arial" w:cs="Arial"/>
                <w:sz w:val="20"/>
                <w:szCs w:val="20"/>
                <w:lang w:val="en-US"/>
              </w:rPr>
            </w:pPr>
            <w:r w:rsidRPr="0061056F">
              <w:rPr>
                <w:rFonts w:ascii="Arial" w:eastAsiaTheme="minorEastAsia" w:hAnsi="Arial" w:cs="Arial"/>
                <w:color w:val="000000" w:themeColor="text1"/>
                <w:kern w:val="24"/>
                <w:sz w:val="20"/>
                <w:lang w:val="en-US"/>
              </w:rPr>
              <w:t>0.</w:t>
            </w:r>
            <w:r w:rsidR="00A12400" w:rsidRPr="0061056F">
              <w:rPr>
                <w:rFonts w:ascii="Arial" w:eastAsiaTheme="minorEastAsia" w:hAnsi="Arial" w:cs="Arial"/>
                <w:color w:val="000000" w:themeColor="text1"/>
                <w:kern w:val="24"/>
                <w:sz w:val="20"/>
                <w:lang w:val="en-US"/>
              </w:rPr>
              <w:t>225</w:t>
            </w:r>
          </w:p>
        </w:tc>
      </w:tr>
      <w:tr w:rsidR="00FC5ECF" w:rsidRPr="00E02760" w14:paraId="6BBEC2A8" w14:textId="77777777" w:rsidTr="006C23BC">
        <w:tc>
          <w:tcPr>
            <w:tcW w:w="7156" w:type="dxa"/>
            <w:vAlign w:val="center"/>
          </w:tcPr>
          <w:p w14:paraId="476C6E02" w14:textId="77777777" w:rsidR="00FC5ECF" w:rsidRPr="0061056F" w:rsidRDefault="00FC5ECF" w:rsidP="00FC5ECF">
            <w:pPr>
              <w:ind w:left="174"/>
              <w:jc w:val="both"/>
              <w:rPr>
                <w:rFonts w:ascii="Arial" w:hAnsi="Arial" w:cs="Arial"/>
                <w:sz w:val="20"/>
                <w:szCs w:val="20"/>
                <w:lang w:val="en-US"/>
              </w:rPr>
            </w:pPr>
            <w:r w:rsidRPr="0061056F">
              <w:rPr>
                <w:rFonts w:ascii="Arial" w:hAnsi="Arial" w:cs="Arial"/>
                <w:sz w:val="20"/>
                <w:szCs w:val="20"/>
                <w:lang w:val="en-US"/>
              </w:rPr>
              <w:t>&gt;70% TIR and no severe hypoglycemia*</w:t>
            </w:r>
          </w:p>
        </w:tc>
        <w:tc>
          <w:tcPr>
            <w:tcW w:w="604" w:type="dxa"/>
            <w:gridSpan w:val="2"/>
            <w:tcBorders>
              <w:right w:val="nil"/>
            </w:tcBorders>
            <w:vAlign w:val="center"/>
          </w:tcPr>
          <w:p w14:paraId="25C52B67"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 xml:space="preserve">55 </w:t>
            </w:r>
          </w:p>
        </w:tc>
        <w:tc>
          <w:tcPr>
            <w:tcW w:w="985" w:type="dxa"/>
            <w:tcBorders>
              <w:left w:val="nil"/>
            </w:tcBorders>
            <w:vAlign w:val="center"/>
          </w:tcPr>
          <w:p w14:paraId="181EDEBE"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(13.4%)</w:t>
            </w:r>
          </w:p>
        </w:tc>
        <w:tc>
          <w:tcPr>
            <w:tcW w:w="1560" w:type="dxa"/>
            <w:gridSpan w:val="2"/>
            <w:vAlign w:val="center"/>
          </w:tcPr>
          <w:p w14:paraId="7353EE12"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NA</w:t>
            </w:r>
          </w:p>
        </w:tc>
        <w:tc>
          <w:tcPr>
            <w:tcW w:w="1559" w:type="dxa"/>
            <w:gridSpan w:val="2"/>
            <w:vAlign w:val="center"/>
          </w:tcPr>
          <w:p w14:paraId="75E11A94" w14:textId="77777777" w:rsidR="00FC5ECF" w:rsidRPr="0061056F" w:rsidRDefault="00FC5ECF" w:rsidP="00FC5ECF">
            <w:pPr>
              <w:spacing w:line="276" w:lineRule="auto"/>
              <w:jc w:val="both"/>
              <w:rPr>
                <w:rFonts w:ascii="Arial" w:hAnsi="Arial" w:cs="Arial"/>
                <w:sz w:val="20"/>
                <w:szCs w:val="20"/>
                <w:lang w:val="en-US"/>
              </w:rPr>
            </w:pPr>
            <w:r w:rsidRPr="0061056F">
              <w:rPr>
                <w:rFonts w:ascii="Arial" w:hAnsi="Arial" w:cs="Arial"/>
                <w:sz w:val="20"/>
                <w:szCs w:val="20"/>
                <w:lang w:val="en-US"/>
              </w:rPr>
              <w:t>NA</w:t>
            </w:r>
          </w:p>
        </w:tc>
        <w:tc>
          <w:tcPr>
            <w:tcW w:w="567" w:type="dxa"/>
            <w:tcBorders>
              <w:right w:val="nil"/>
            </w:tcBorders>
            <w:vAlign w:val="center"/>
          </w:tcPr>
          <w:p w14:paraId="57C58B49" w14:textId="77777777" w:rsidR="00FC5ECF" w:rsidRPr="0061056F" w:rsidRDefault="00FC5ECF"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 xml:space="preserve">71 </w:t>
            </w:r>
          </w:p>
        </w:tc>
        <w:tc>
          <w:tcPr>
            <w:tcW w:w="992" w:type="dxa"/>
            <w:tcBorders>
              <w:left w:val="nil"/>
            </w:tcBorders>
            <w:vAlign w:val="center"/>
          </w:tcPr>
          <w:p w14:paraId="507D6289" w14:textId="77777777" w:rsidR="00FC5ECF" w:rsidRPr="0061056F" w:rsidRDefault="00E87403" w:rsidP="00FC5ECF">
            <w:pPr>
              <w:pStyle w:val="Normaalweb"/>
              <w:spacing w:before="0" w:beforeAutospacing="0" w:after="0" w:afterAutospacing="0" w:line="256" w:lineRule="auto"/>
              <w:jc w:val="both"/>
              <w:rPr>
                <w:rFonts w:ascii="Arial" w:eastAsia="Source Sans Pro" w:hAnsi="Arial" w:cs="Arial"/>
                <w:bCs/>
                <w:color w:val="000000" w:themeColor="text1"/>
                <w:kern w:val="24"/>
                <w:sz w:val="20"/>
                <w:szCs w:val="20"/>
                <w:lang w:val="en-US"/>
              </w:rPr>
            </w:pPr>
            <w:r w:rsidRPr="0061056F">
              <w:rPr>
                <w:rFonts w:ascii="Arial" w:eastAsia="Source Sans Pro" w:hAnsi="Arial" w:cs="Arial"/>
                <w:bCs/>
                <w:color w:val="000000" w:themeColor="text1"/>
                <w:kern w:val="24"/>
                <w:sz w:val="20"/>
                <w:szCs w:val="20"/>
                <w:lang w:val="en-US"/>
              </w:rPr>
              <w:t>(18.4%)</w:t>
            </w:r>
          </w:p>
        </w:tc>
        <w:tc>
          <w:tcPr>
            <w:tcW w:w="567" w:type="dxa"/>
            <w:tcBorders>
              <w:right w:val="nil"/>
            </w:tcBorders>
            <w:vAlign w:val="center"/>
          </w:tcPr>
          <w:p w14:paraId="7539F4A3" w14:textId="77777777" w:rsidR="00FC5ECF" w:rsidRPr="0061056F" w:rsidRDefault="00E87403" w:rsidP="00FC5ECF">
            <w:pPr>
              <w:spacing w:line="276" w:lineRule="auto"/>
              <w:jc w:val="both"/>
              <w:rPr>
                <w:rFonts w:ascii="Arial" w:hAnsi="Arial" w:cs="Arial"/>
                <w:sz w:val="20"/>
                <w:szCs w:val="20"/>
                <w:lang w:val="en-US"/>
              </w:rPr>
            </w:pPr>
            <w:r w:rsidRPr="0061056F">
              <w:rPr>
                <w:rFonts w:ascii="Arial" w:hAnsi="Arial" w:cs="Arial"/>
                <w:sz w:val="20"/>
                <w:szCs w:val="20"/>
                <w:lang w:val="en-US"/>
              </w:rPr>
              <w:t>60</w:t>
            </w:r>
          </w:p>
        </w:tc>
        <w:tc>
          <w:tcPr>
            <w:tcW w:w="992" w:type="dxa"/>
            <w:tcBorders>
              <w:left w:val="nil"/>
            </w:tcBorders>
            <w:vAlign w:val="center"/>
          </w:tcPr>
          <w:p w14:paraId="4B6B0D5F" w14:textId="77777777" w:rsidR="00FC5ECF" w:rsidRPr="0061056F" w:rsidRDefault="00E87403" w:rsidP="00FC5ECF">
            <w:pPr>
              <w:spacing w:line="276" w:lineRule="auto"/>
              <w:jc w:val="both"/>
              <w:rPr>
                <w:rFonts w:ascii="Arial" w:hAnsi="Arial" w:cs="Arial"/>
                <w:sz w:val="20"/>
                <w:szCs w:val="20"/>
                <w:lang w:val="en-US"/>
              </w:rPr>
            </w:pPr>
            <w:r w:rsidRPr="0061056F">
              <w:rPr>
                <w:rFonts w:ascii="Arial" w:hAnsi="Arial" w:cs="Arial"/>
                <w:sz w:val="20"/>
                <w:szCs w:val="20"/>
                <w:lang w:val="en-US"/>
              </w:rPr>
              <w:t>(19.6%)</w:t>
            </w:r>
          </w:p>
        </w:tc>
        <w:tc>
          <w:tcPr>
            <w:tcW w:w="1031" w:type="dxa"/>
            <w:vAlign w:val="center"/>
          </w:tcPr>
          <w:p w14:paraId="64ECCE99" w14:textId="77777777" w:rsidR="00FC5ECF" w:rsidRPr="0061056F" w:rsidRDefault="00FC5ECF" w:rsidP="007978AB">
            <w:pPr>
              <w:spacing w:line="276" w:lineRule="auto"/>
              <w:jc w:val="both"/>
              <w:rPr>
                <w:rFonts w:ascii="Arial" w:hAnsi="Arial" w:cs="Arial"/>
                <w:sz w:val="20"/>
                <w:szCs w:val="20"/>
                <w:lang w:val="en-US"/>
              </w:rPr>
            </w:pPr>
            <w:r w:rsidRPr="0061056F">
              <w:rPr>
                <w:rFonts w:ascii="Arial" w:eastAsiaTheme="minorEastAsia" w:hAnsi="Arial" w:cs="Arial"/>
                <w:color w:val="000000" w:themeColor="text1"/>
                <w:kern w:val="24"/>
                <w:sz w:val="20"/>
                <w:lang w:val="en-US"/>
              </w:rPr>
              <w:t>0.</w:t>
            </w:r>
            <w:r w:rsidR="007978AB" w:rsidRPr="0061056F">
              <w:rPr>
                <w:rFonts w:ascii="Arial" w:eastAsiaTheme="minorEastAsia" w:hAnsi="Arial" w:cs="Arial"/>
                <w:color w:val="000000" w:themeColor="text1"/>
                <w:kern w:val="24"/>
                <w:sz w:val="20"/>
                <w:lang w:val="en-US"/>
              </w:rPr>
              <w:t>059</w:t>
            </w:r>
          </w:p>
        </w:tc>
      </w:tr>
    </w:tbl>
    <w:p w14:paraId="103EA9A2" w14:textId="7F06453D" w:rsidR="000B1266" w:rsidRPr="0061056F" w:rsidRDefault="000B1266" w:rsidP="000B1266">
      <w:pPr>
        <w:jc w:val="both"/>
        <w:rPr>
          <w:rFonts w:ascii="Arial" w:hAnsi="Arial" w:cs="Arial"/>
          <w:b/>
          <w:sz w:val="24"/>
          <w:szCs w:val="24"/>
          <w:lang w:val="en-US"/>
        </w:rPr>
      </w:pPr>
      <w:r w:rsidRPr="0061056F">
        <w:rPr>
          <w:rFonts w:ascii="Arial" w:hAnsi="Arial" w:cs="Arial"/>
          <w:b/>
          <w:sz w:val="24"/>
          <w:szCs w:val="24"/>
          <w:lang w:val="en-US"/>
        </w:rPr>
        <w:t xml:space="preserve">Table </w:t>
      </w:r>
      <w:r w:rsidR="002148FD">
        <w:rPr>
          <w:rFonts w:ascii="Arial" w:hAnsi="Arial" w:cs="Arial"/>
          <w:b/>
          <w:sz w:val="24"/>
          <w:szCs w:val="24"/>
          <w:lang w:val="en-US"/>
        </w:rPr>
        <w:t>2</w:t>
      </w:r>
      <w:r w:rsidRPr="0061056F">
        <w:rPr>
          <w:rFonts w:ascii="Arial" w:hAnsi="Arial" w:cs="Arial"/>
          <w:b/>
          <w:sz w:val="24"/>
          <w:szCs w:val="24"/>
          <w:lang w:val="en-US"/>
        </w:rPr>
        <w:t xml:space="preserve">. </w:t>
      </w:r>
      <w:r w:rsidR="00FC5ECF" w:rsidRPr="0061056F">
        <w:rPr>
          <w:rFonts w:ascii="Arial" w:hAnsi="Arial" w:cs="Arial"/>
          <w:b/>
          <w:sz w:val="24"/>
          <w:szCs w:val="24"/>
          <w:lang w:val="en-US"/>
        </w:rPr>
        <w:t>People meeting glycemic targets in the total population</w:t>
      </w:r>
    </w:p>
    <w:p w14:paraId="4EFE7668" w14:textId="77777777" w:rsidR="000B1266" w:rsidRPr="0061056F" w:rsidRDefault="000B1266" w:rsidP="000B1266">
      <w:pPr>
        <w:spacing w:after="0"/>
        <w:jc w:val="both"/>
        <w:rPr>
          <w:rFonts w:ascii="Arial" w:hAnsi="Arial" w:cs="Arial"/>
          <w:sz w:val="24"/>
          <w:szCs w:val="24"/>
          <w:lang w:val="en-US"/>
        </w:rPr>
      </w:pPr>
    </w:p>
    <w:p w14:paraId="1311435C" w14:textId="77777777" w:rsidR="000B1266" w:rsidRPr="0061056F" w:rsidRDefault="000B1266" w:rsidP="000B1266">
      <w:pPr>
        <w:spacing w:line="480" w:lineRule="auto"/>
        <w:jc w:val="both"/>
        <w:rPr>
          <w:sz w:val="24"/>
          <w:szCs w:val="24"/>
          <w:lang w:val="en-US"/>
        </w:rPr>
      </w:pPr>
      <w:r w:rsidRPr="0061056F">
        <w:rPr>
          <w:rFonts w:ascii="Arial" w:hAnsi="Arial" w:cs="Arial"/>
          <w:sz w:val="24"/>
          <w:szCs w:val="24"/>
          <w:lang w:val="en-US"/>
        </w:rPr>
        <w:t xml:space="preserve">Data are </w:t>
      </w:r>
      <w:r w:rsidR="00187AC3" w:rsidRPr="0061056F">
        <w:rPr>
          <w:rFonts w:ascii="Arial" w:hAnsi="Arial" w:cs="Arial"/>
          <w:sz w:val="24"/>
          <w:szCs w:val="24"/>
          <w:lang w:val="en-US"/>
        </w:rPr>
        <w:t>n (%</w:t>
      </w:r>
      <w:r w:rsidR="006B3F58" w:rsidRPr="0061056F">
        <w:rPr>
          <w:rFonts w:ascii="Arial" w:hAnsi="Arial" w:cs="Arial"/>
          <w:sz w:val="24"/>
          <w:szCs w:val="24"/>
          <w:lang w:val="en-US"/>
        </w:rPr>
        <w:t xml:space="preserve"> of people with data</w:t>
      </w:r>
      <w:r w:rsidR="00187AC3" w:rsidRPr="0061056F">
        <w:rPr>
          <w:rFonts w:ascii="Arial" w:hAnsi="Arial" w:cs="Arial"/>
          <w:sz w:val="24"/>
          <w:szCs w:val="24"/>
          <w:lang w:val="en-US"/>
        </w:rPr>
        <w:t>)</w:t>
      </w:r>
      <w:r w:rsidRPr="0061056F">
        <w:rPr>
          <w:rFonts w:ascii="Arial" w:hAnsi="Arial" w:cs="Arial"/>
          <w:sz w:val="24"/>
          <w:szCs w:val="24"/>
          <w:lang w:val="en-US"/>
        </w:rPr>
        <w:t xml:space="preserve">. </w:t>
      </w:r>
      <w:r w:rsidR="00187AC3" w:rsidRPr="0061056F">
        <w:rPr>
          <w:rFonts w:ascii="Arial" w:hAnsi="Arial" w:cs="Arial"/>
          <w:sz w:val="24"/>
          <w:szCs w:val="24"/>
          <w:lang w:val="en-US"/>
        </w:rPr>
        <w:t xml:space="preserve">TIR </w:t>
      </w:r>
      <w:r w:rsidRPr="0061056F">
        <w:rPr>
          <w:rFonts w:ascii="Arial" w:hAnsi="Arial" w:cs="Arial"/>
          <w:sz w:val="24"/>
          <w:szCs w:val="24"/>
          <w:lang w:val="en-US"/>
        </w:rPr>
        <w:t>=</w:t>
      </w:r>
      <w:r w:rsidR="00187AC3" w:rsidRPr="0061056F">
        <w:rPr>
          <w:rFonts w:ascii="Arial" w:hAnsi="Arial" w:cs="Arial"/>
          <w:sz w:val="24"/>
          <w:szCs w:val="24"/>
          <w:lang w:val="en-US"/>
        </w:rPr>
        <w:t xml:space="preserve"> time in range (70-180 mg/</w:t>
      </w:r>
      <w:proofErr w:type="spellStart"/>
      <w:r w:rsidR="00187AC3" w:rsidRPr="0061056F">
        <w:rPr>
          <w:rFonts w:ascii="Arial" w:hAnsi="Arial" w:cs="Arial"/>
          <w:sz w:val="24"/>
          <w:szCs w:val="24"/>
          <w:lang w:val="en-US"/>
        </w:rPr>
        <w:t>dL</w:t>
      </w:r>
      <w:proofErr w:type="spellEnd"/>
      <w:r w:rsidR="00187AC3" w:rsidRPr="0061056F">
        <w:rPr>
          <w:rFonts w:ascii="Arial" w:hAnsi="Arial" w:cs="Arial"/>
          <w:sz w:val="24"/>
          <w:szCs w:val="24"/>
          <w:lang w:val="en-US"/>
        </w:rPr>
        <w:t xml:space="preserve">; 3.9-10.0 </w:t>
      </w:r>
      <w:proofErr w:type="spellStart"/>
      <w:r w:rsidR="00187AC3" w:rsidRPr="0061056F">
        <w:rPr>
          <w:rFonts w:ascii="Arial" w:hAnsi="Arial" w:cs="Arial"/>
          <w:sz w:val="24"/>
          <w:szCs w:val="24"/>
          <w:lang w:val="en-US"/>
        </w:rPr>
        <w:t>mmol</w:t>
      </w:r>
      <w:proofErr w:type="spellEnd"/>
      <w:r w:rsidR="00187AC3" w:rsidRPr="0061056F">
        <w:rPr>
          <w:rFonts w:ascii="Arial" w:hAnsi="Arial" w:cs="Arial"/>
          <w:sz w:val="24"/>
          <w:szCs w:val="24"/>
          <w:lang w:val="en-US"/>
        </w:rPr>
        <w:t>/</w:t>
      </w:r>
      <w:proofErr w:type="spellStart"/>
      <w:r w:rsidR="00187AC3" w:rsidRPr="0061056F">
        <w:rPr>
          <w:rFonts w:ascii="Arial" w:hAnsi="Arial" w:cs="Arial"/>
          <w:sz w:val="24"/>
          <w:szCs w:val="24"/>
          <w:lang w:val="en-US"/>
        </w:rPr>
        <w:t>mol</w:t>
      </w:r>
      <w:proofErr w:type="spellEnd"/>
      <w:r w:rsidR="00187AC3" w:rsidRPr="0061056F">
        <w:rPr>
          <w:rFonts w:ascii="Arial" w:hAnsi="Arial" w:cs="Arial"/>
          <w:sz w:val="24"/>
          <w:szCs w:val="24"/>
          <w:lang w:val="en-US"/>
        </w:rPr>
        <w:t xml:space="preserve">), NA = not applicable *Baseline for this variable is the first 2 weeks after </w:t>
      </w:r>
      <w:r w:rsidR="00CF646F" w:rsidRPr="0061056F">
        <w:rPr>
          <w:rFonts w:ascii="Arial" w:hAnsi="Arial" w:cs="Arial"/>
          <w:sz w:val="24"/>
          <w:szCs w:val="24"/>
          <w:lang w:val="en-US"/>
        </w:rPr>
        <w:t>start</w:t>
      </w:r>
      <w:r w:rsidR="00AC2171" w:rsidRPr="0061056F">
        <w:rPr>
          <w:rFonts w:ascii="Arial" w:hAnsi="Arial" w:cs="Arial"/>
          <w:sz w:val="24"/>
          <w:szCs w:val="24"/>
          <w:lang w:val="en-US"/>
        </w:rPr>
        <w:t xml:space="preserve">. </w:t>
      </w:r>
      <w:r w:rsidR="00AC2171" w:rsidRPr="0061056F">
        <w:rPr>
          <w:rFonts w:ascii="Arial" w:hAnsi="Arial" w:cs="Arial"/>
          <w:sz w:val="24"/>
          <w:szCs w:val="24"/>
          <w:vertAlign w:val="superscript"/>
          <w:lang w:val="en-US"/>
        </w:rPr>
        <w:t>†</w:t>
      </w:r>
      <w:r w:rsidR="00AC2171" w:rsidRPr="0061056F">
        <w:rPr>
          <w:rFonts w:ascii="Arial" w:hAnsi="Arial" w:cs="Arial"/>
          <w:sz w:val="24"/>
          <w:szCs w:val="24"/>
          <w:lang w:val="en-US"/>
        </w:rPr>
        <w:t>P-value for the evolution over the follow-up period.</w:t>
      </w:r>
    </w:p>
    <w:p w14:paraId="1851D027" w14:textId="77777777" w:rsidR="000B1266" w:rsidRDefault="000B1266" w:rsidP="000359CC">
      <w:pPr>
        <w:spacing w:line="480" w:lineRule="auto"/>
        <w:jc w:val="both"/>
        <w:rPr>
          <w:sz w:val="20"/>
          <w:lang w:val="en-US"/>
        </w:rPr>
      </w:pPr>
    </w:p>
    <w:p w14:paraId="15AB36B2" w14:textId="77777777" w:rsidR="001D29F8" w:rsidRDefault="001D29F8" w:rsidP="000359CC">
      <w:pPr>
        <w:spacing w:line="480" w:lineRule="auto"/>
        <w:jc w:val="both"/>
        <w:rPr>
          <w:sz w:val="20"/>
          <w:lang w:val="en-US"/>
        </w:rPr>
      </w:pPr>
    </w:p>
    <w:p w14:paraId="645E0BED" w14:textId="77777777" w:rsidR="001D29F8" w:rsidRDefault="001D29F8" w:rsidP="000359CC">
      <w:pPr>
        <w:spacing w:line="480" w:lineRule="auto"/>
        <w:jc w:val="both"/>
        <w:rPr>
          <w:sz w:val="20"/>
          <w:lang w:val="en-US"/>
        </w:rPr>
      </w:pPr>
    </w:p>
    <w:p w14:paraId="06FC64F5" w14:textId="77777777" w:rsidR="001D29F8" w:rsidRDefault="001D29F8" w:rsidP="000359CC">
      <w:pPr>
        <w:spacing w:line="480" w:lineRule="auto"/>
        <w:jc w:val="both"/>
        <w:rPr>
          <w:sz w:val="20"/>
          <w:lang w:val="en-US"/>
        </w:rPr>
      </w:pPr>
    </w:p>
    <w:p w14:paraId="1BB9C706" w14:textId="77777777" w:rsidR="001D29F8" w:rsidRDefault="001D29F8" w:rsidP="000359CC">
      <w:pPr>
        <w:spacing w:line="480" w:lineRule="auto"/>
        <w:jc w:val="both"/>
        <w:rPr>
          <w:sz w:val="20"/>
          <w:lang w:val="en-US"/>
        </w:rPr>
      </w:pPr>
    </w:p>
    <w:p w14:paraId="4114F79D" w14:textId="77777777" w:rsidR="001D29F8" w:rsidRDefault="001D29F8" w:rsidP="000359CC">
      <w:pPr>
        <w:spacing w:line="480" w:lineRule="auto"/>
        <w:jc w:val="both"/>
        <w:rPr>
          <w:sz w:val="20"/>
          <w:lang w:val="en-US"/>
        </w:rPr>
        <w:sectPr w:rsidR="001D29F8" w:rsidSect="005E5A7E">
          <w:pgSz w:w="16838" w:h="11906" w:orient="landscape"/>
          <w:pgMar w:top="1417" w:right="1417" w:bottom="1417" w:left="1417" w:header="708" w:footer="708" w:gutter="0"/>
          <w:lnNumType w:countBy="1" w:restart="continuous"/>
          <w:cols w:space="708"/>
          <w:docGrid w:linePitch="360"/>
        </w:sectPr>
      </w:pPr>
    </w:p>
    <w:p w14:paraId="5C6C11FB" w14:textId="77777777" w:rsidR="001D29F8" w:rsidRPr="0061056F" w:rsidRDefault="0061056F" w:rsidP="0061056F">
      <w:pPr>
        <w:spacing w:line="480" w:lineRule="auto"/>
        <w:jc w:val="both"/>
        <w:rPr>
          <w:rFonts w:ascii="Arial" w:hAnsi="Arial" w:cs="Arial"/>
          <w:b/>
          <w:sz w:val="24"/>
          <w:szCs w:val="24"/>
          <w:lang w:val="en-US"/>
        </w:rPr>
      </w:pPr>
      <w:r w:rsidRPr="0061056F">
        <w:rPr>
          <w:rFonts w:ascii="Arial" w:hAnsi="Arial" w:cs="Arial"/>
          <w:b/>
          <w:sz w:val="24"/>
          <w:szCs w:val="24"/>
          <w:lang w:val="en-US"/>
        </w:rPr>
        <w:t>FIGURES</w:t>
      </w:r>
    </w:p>
    <w:p w14:paraId="38FAC31E" w14:textId="77777777" w:rsidR="001D29F8" w:rsidRPr="0061056F" w:rsidRDefault="001D29F8" w:rsidP="001D29F8">
      <w:pPr>
        <w:spacing w:line="480" w:lineRule="auto"/>
        <w:jc w:val="both"/>
        <w:rPr>
          <w:rFonts w:ascii="Arial" w:hAnsi="Arial" w:cs="Arial"/>
          <w:b/>
          <w:sz w:val="24"/>
          <w:szCs w:val="24"/>
          <w:lang w:val="en-US"/>
        </w:rPr>
      </w:pPr>
      <w:r w:rsidRPr="0061056F">
        <w:rPr>
          <w:rFonts w:ascii="Arial" w:hAnsi="Arial" w:cs="Arial"/>
          <w:b/>
          <w:sz w:val="24"/>
          <w:szCs w:val="24"/>
          <w:lang w:val="en-US"/>
        </w:rPr>
        <w:t>Figure 1. Evolution of HbA</w:t>
      </w:r>
      <w:r w:rsidRPr="0061056F">
        <w:rPr>
          <w:rFonts w:ascii="Arial" w:hAnsi="Arial" w:cs="Arial"/>
          <w:b/>
          <w:sz w:val="24"/>
          <w:szCs w:val="24"/>
          <w:vertAlign w:val="subscript"/>
          <w:lang w:val="en-US"/>
        </w:rPr>
        <w:t>1c</w:t>
      </w:r>
    </w:p>
    <w:p w14:paraId="071C362F" w14:textId="77777777" w:rsidR="001D29F8" w:rsidRPr="0061056F" w:rsidRDefault="001D29F8" w:rsidP="001D29F8">
      <w:pPr>
        <w:spacing w:line="480" w:lineRule="auto"/>
        <w:jc w:val="both"/>
        <w:rPr>
          <w:rFonts w:ascii="Arial" w:hAnsi="Arial" w:cs="Arial"/>
          <w:sz w:val="24"/>
          <w:szCs w:val="24"/>
          <w:lang w:val="en-US"/>
        </w:rPr>
      </w:pPr>
      <w:r w:rsidRPr="0061056F">
        <w:rPr>
          <w:rFonts w:ascii="Arial" w:hAnsi="Arial" w:cs="Arial"/>
          <w:sz w:val="24"/>
          <w:szCs w:val="24"/>
          <w:lang w:val="en-US"/>
        </w:rPr>
        <w:t>Data points represent least-squares mean (standard error) of HbA</w:t>
      </w:r>
      <w:r w:rsidRPr="0061056F">
        <w:rPr>
          <w:rFonts w:ascii="Arial" w:hAnsi="Arial" w:cs="Arial"/>
          <w:sz w:val="24"/>
          <w:szCs w:val="24"/>
          <w:vertAlign w:val="subscript"/>
          <w:lang w:val="en-US"/>
        </w:rPr>
        <w:t>1c</w:t>
      </w:r>
      <w:r w:rsidRPr="0061056F">
        <w:rPr>
          <w:rFonts w:ascii="Arial" w:hAnsi="Arial" w:cs="Arial"/>
          <w:sz w:val="24"/>
          <w:szCs w:val="24"/>
          <w:lang w:val="en-US"/>
        </w:rPr>
        <w:t xml:space="preserve"> measurements per time point for (A) the total population, (B) as a function of baseline HbA</w:t>
      </w:r>
      <w:r w:rsidRPr="0061056F">
        <w:rPr>
          <w:rFonts w:ascii="Arial" w:hAnsi="Arial" w:cs="Arial"/>
          <w:sz w:val="24"/>
          <w:szCs w:val="24"/>
          <w:vertAlign w:val="subscript"/>
          <w:lang w:val="en-US"/>
        </w:rPr>
        <w:t>1c</w:t>
      </w:r>
      <w:r w:rsidRPr="0061056F">
        <w:rPr>
          <w:rFonts w:ascii="Arial" w:hAnsi="Arial" w:cs="Arial"/>
          <w:sz w:val="24"/>
          <w:szCs w:val="24"/>
          <w:lang w:val="en-US"/>
        </w:rPr>
        <w:t>, and (C) as a function of degree of awareness of hypoglycemia.</w:t>
      </w:r>
    </w:p>
    <w:p w14:paraId="60576C35" w14:textId="77777777" w:rsidR="001D29F8" w:rsidRPr="0061056F" w:rsidRDefault="001D29F8" w:rsidP="001D29F8">
      <w:pPr>
        <w:spacing w:line="480" w:lineRule="auto"/>
        <w:jc w:val="both"/>
        <w:rPr>
          <w:rFonts w:ascii="Arial" w:hAnsi="Arial" w:cs="Arial"/>
          <w:sz w:val="24"/>
          <w:szCs w:val="24"/>
          <w:lang w:val="en-US"/>
        </w:rPr>
      </w:pPr>
      <w:r w:rsidRPr="0061056F">
        <w:rPr>
          <w:rFonts w:ascii="Arial" w:hAnsi="Arial" w:cs="Arial"/>
          <w:sz w:val="24"/>
          <w:szCs w:val="24"/>
          <w:lang w:val="en-US"/>
        </w:rPr>
        <w:t>***p&lt;0.001, for the comparisons versus baseline HbA</w:t>
      </w:r>
      <w:r w:rsidRPr="0061056F">
        <w:rPr>
          <w:rFonts w:ascii="Arial" w:hAnsi="Arial" w:cs="Arial"/>
          <w:sz w:val="24"/>
          <w:szCs w:val="24"/>
          <w:vertAlign w:val="subscript"/>
          <w:lang w:val="en-US"/>
        </w:rPr>
        <w:t>1c</w:t>
      </w:r>
      <w:r w:rsidRPr="0061056F">
        <w:rPr>
          <w:rFonts w:ascii="Arial" w:hAnsi="Arial" w:cs="Arial"/>
          <w:sz w:val="24"/>
          <w:szCs w:val="24"/>
          <w:lang w:val="en-US"/>
        </w:rPr>
        <w:t>. HbA</w:t>
      </w:r>
      <w:r w:rsidRPr="0061056F">
        <w:rPr>
          <w:rFonts w:ascii="Arial" w:hAnsi="Arial" w:cs="Arial"/>
          <w:sz w:val="24"/>
          <w:szCs w:val="24"/>
          <w:vertAlign w:val="subscript"/>
          <w:lang w:val="en-US"/>
        </w:rPr>
        <w:t>1c</w:t>
      </w:r>
      <w:r w:rsidRPr="0061056F">
        <w:rPr>
          <w:rFonts w:ascii="Arial" w:hAnsi="Arial" w:cs="Arial"/>
          <w:sz w:val="24"/>
          <w:szCs w:val="24"/>
          <w:lang w:val="en-US"/>
        </w:rPr>
        <w:t xml:space="preserve"> follow-up values are still significantly different from baseline after Bonferroni-Holm correction. In panel B, the correlation between baseline HbA</w:t>
      </w:r>
      <w:r w:rsidRPr="0061056F">
        <w:rPr>
          <w:rFonts w:ascii="Arial" w:hAnsi="Arial" w:cs="Arial"/>
          <w:sz w:val="24"/>
          <w:szCs w:val="24"/>
          <w:vertAlign w:val="subscript"/>
          <w:lang w:val="en-US"/>
        </w:rPr>
        <w:t>1c</w:t>
      </w:r>
      <w:r w:rsidRPr="0061056F">
        <w:rPr>
          <w:rFonts w:ascii="Arial" w:hAnsi="Arial" w:cs="Arial"/>
          <w:sz w:val="24"/>
          <w:szCs w:val="24"/>
          <w:lang w:val="en-US"/>
        </w:rPr>
        <w:t xml:space="preserve"> and the change in HbA</w:t>
      </w:r>
      <w:r w:rsidRPr="0061056F">
        <w:rPr>
          <w:rFonts w:ascii="Arial" w:hAnsi="Arial" w:cs="Arial"/>
          <w:sz w:val="24"/>
          <w:szCs w:val="24"/>
          <w:vertAlign w:val="subscript"/>
          <w:lang w:val="en-US"/>
        </w:rPr>
        <w:t>1c</w:t>
      </w:r>
      <w:r w:rsidRPr="0061056F">
        <w:rPr>
          <w:rFonts w:ascii="Arial" w:hAnsi="Arial" w:cs="Arial"/>
          <w:sz w:val="24"/>
          <w:szCs w:val="24"/>
          <w:lang w:val="en-US"/>
        </w:rPr>
        <w:t xml:space="preserve"> did not exceed the regression-to-the-mean effect.</w:t>
      </w:r>
    </w:p>
    <w:p w14:paraId="14DF23DE" w14:textId="77777777" w:rsidR="001D29F8" w:rsidRPr="0061056F" w:rsidRDefault="001D29F8" w:rsidP="001D29F8">
      <w:pPr>
        <w:spacing w:line="480" w:lineRule="auto"/>
        <w:jc w:val="both"/>
        <w:rPr>
          <w:rFonts w:ascii="Arial" w:hAnsi="Arial" w:cs="Arial"/>
          <w:sz w:val="24"/>
          <w:szCs w:val="24"/>
          <w:lang w:val="en-US"/>
        </w:rPr>
      </w:pPr>
    </w:p>
    <w:p w14:paraId="4F6FC3BB" w14:textId="77777777" w:rsidR="001D29F8" w:rsidRPr="0061056F" w:rsidRDefault="001D29F8" w:rsidP="001D29F8">
      <w:pPr>
        <w:spacing w:line="480" w:lineRule="auto"/>
        <w:jc w:val="both"/>
        <w:rPr>
          <w:rFonts w:ascii="Arial" w:hAnsi="Arial" w:cs="Arial"/>
          <w:b/>
          <w:sz w:val="24"/>
          <w:szCs w:val="24"/>
          <w:lang w:val="en-US"/>
        </w:rPr>
      </w:pPr>
      <w:r w:rsidRPr="0061056F">
        <w:rPr>
          <w:rFonts w:ascii="Arial" w:hAnsi="Arial" w:cs="Arial"/>
          <w:b/>
          <w:sz w:val="24"/>
          <w:szCs w:val="24"/>
          <w:lang w:val="en-US"/>
        </w:rPr>
        <w:t>Figure 2. Hypoglycemia-related acute complications for people with and without impaired awareness of hypoglycemia</w:t>
      </w:r>
    </w:p>
    <w:p w14:paraId="0DB4ACBC" w14:textId="77777777" w:rsidR="001D29F8" w:rsidRPr="0061056F" w:rsidRDefault="001D29F8" w:rsidP="001D29F8">
      <w:pPr>
        <w:spacing w:line="480" w:lineRule="auto"/>
        <w:jc w:val="both"/>
        <w:rPr>
          <w:rFonts w:ascii="Arial" w:hAnsi="Arial" w:cs="Arial"/>
          <w:sz w:val="24"/>
          <w:szCs w:val="24"/>
          <w:lang w:val="en-US"/>
        </w:rPr>
      </w:pPr>
      <w:r w:rsidRPr="0061056F">
        <w:rPr>
          <w:rFonts w:ascii="Arial" w:hAnsi="Arial" w:cs="Arial"/>
          <w:sz w:val="24"/>
          <w:szCs w:val="24"/>
          <w:lang w:val="en-US"/>
        </w:rPr>
        <w:t>Data points represent number of events per 100 patient-years of (A) hypoglycemia-related hospitalizations, (B) hypoglycemic comas, and (C) help from third parties due to hypoglycemia.</w:t>
      </w:r>
    </w:p>
    <w:p w14:paraId="67536CEE" w14:textId="77777777" w:rsidR="001D29F8" w:rsidRPr="0061056F" w:rsidRDefault="001D29F8" w:rsidP="001D29F8">
      <w:pPr>
        <w:spacing w:line="480" w:lineRule="auto"/>
        <w:jc w:val="both"/>
        <w:rPr>
          <w:rFonts w:ascii="Arial" w:hAnsi="Arial" w:cs="Arial"/>
          <w:sz w:val="24"/>
          <w:szCs w:val="24"/>
          <w:lang w:val="en-US"/>
        </w:rPr>
      </w:pPr>
      <w:r w:rsidRPr="0061056F">
        <w:rPr>
          <w:rFonts w:ascii="Arial" w:hAnsi="Arial" w:cs="Arial"/>
          <w:sz w:val="24"/>
          <w:szCs w:val="24"/>
          <w:lang w:val="en-US"/>
        </w:rPr>
        <w:t>***p&lt;0.001, **p&lt;0.01, and *p&lt;0.05 for the comparisons versus baseline.</w:t>
      </w:r>
    </w:p>
    <w:p w14:paraId="0686CEFD" w14:textId="77777777" w:rsidR="001D29F8" w:rsidRDefault="001D29F8" w:rsidP="001D29F8">
      <w:pPr>
        <w:spacing w:line="480" w:lineRule="auto"/>
        <w:jc w:val="both"/>
        <w:rPr>
          <w:rFonts w:ascii="Arial" w:hAnsi="Arial" w:cs="Arial"/>
          <w:sz w:val="20"/>
          <w:lang w:val="en-US"/>
        </w:rPr>
      </w:pPr>
    </w:p>
    <w:p w14:paraId="7CBF824B" w14:textId="77777777" w:rsidR="001D29F8" w:rsidRDefault="001D29F8" w:rsidP="001D29F8">
      <w:pPr>
        <w:spacing w:line="480" w:lineRule="auto"/>
        <w:jc w:val="both"/>
        <w:rPr>
          <w:rFonts w:ascii="Arial" w:hAnsi="Arial" w:cs="Arial"/>
          <w:sz w:val="20"/>
          <w:lang w:val="en-US"/>
        </w:rPr>
      </w:pPr>
    </w:p>
    <w:p w14:paraId="59F674E6" w14:textId="77777777" w:rsidR="001D29F8" w:rsidRDefault="001D29F8" w:rsidP="001D29F8">
      <w:pPr>
        <w:spacing w:line="480" w:lineRule="auto"/>
        <w:jc w:val="both"/>
        <w:rPr>
          <w:rFonts w:ascii="Arial" w:hAnsi="Arial" w:cs="Arial"/>
          <w:sz w:val="20"/>
          <w:lang w:val="en-US"/>
        </w:rPr>
      </w:pPr>
    </w:p>
    <w:p w14:paraId="5EEF8CEB" w14:textId="77777777" w:rsidR="001D29F8" w:rsidRDefault="001D29F8" w:rsidP="001D29F8">
      <w:pPr>
        <w:spacing w:line="480" w:lineRule="auto"/>
        <w:jc w:val="both"/>
        <w:rPr>
          <w:rFonts w:ascii="Arial" w:hAnsi="Arial" w:cs="Arial"/>
          <w:sz w:val="20"/>
          <w:lang w:val="en-US"/>
        </w:rPr>
      </w:pPr>
    </w:p>
    <w:p w14:paraId="26FE0CC2" w14:textId="77777777" w:rsidR="001D29F8" w:rsidRDefault="001D29F8" w:rsidP="001D29F8">
      <w:pPr>
        <w:spacing w:line="480" w:lineRule="auto"/>
        <w:jc w:val="both"/>
        <w:rPr>
          <w:rFonts w:ascii="Arial" w:hAnsi="Arial" w:cs="Arial"/>
          <w:sz w:val="20"/>
          <w:lang w:val="en-US"/>
        </w:rPr>
      </w:pPr>
    </w:p>
    <w:p w14:paraId="7B3C2BD7" w14:textId="77777777" w:rsidR="001D29F8" w:rsidRDefault="001D29F8" w:rsidP="001D29F8">
      <w:pPr>
        <w:spacing w:line="480" w:lineRule="auto"/>
        <w:jc w:val="both"/>
        <w:rPr>
          <w:rFonts w:ascii="Arial" w:hAnsi="Arial" w:cs="Arial"/>
          <w:sz w:val="20"/>
          <w:lang w:val="en-US"/>
        </w:rPr>
      </w:pPr>
    </w:p>
    <w:p w14:paraId="4E6ACE3E" w14:textId="77777777" w:rsidR="001D29F8" w:rsidRPr="0061056F" w:rsidRDefault="001D29F8" w:rsidP="001D29F8">
      <w:pPr>
        <w:spacing w:line="480" w:lineRule="auto"/>
        <w:jc w:val="both"/>
        <w:rPr>
          <w:rFonts w:ascii="Arial" w:hAnsi="Arial" w:cs="Arial"/>
          <w:b/>
          <w:sz w:val="24"/>
          <w:szCs w:val="24"/>
          <w:lang w:val="en-US"/>
        </w:rPr>
      </w:pPr>
      <w:r w:rsidRPr="0061056F">
        <w:rPr>
          <w:rFonts w:ascii="Arial" w:hAnsi="Arial" w:cs="Arial"/>
          <w:b/>
          <w:sz w:val="24"/>
          <w:szCs w:val="24"/>
          <w:lang w:val="en-US"/>
        </w:rPr>
        <w:t>Figure 1. Evolution of HbA</w:t>
      </w:r>
      <w:r w:rsidRPr="0061056F">
        <w:rPr>
          <w:rFonts w:ascii="Arial" w:hAnsi="Arial" w:cs="Arial"/>
          <w:b/>
          <w:sz w:val="24"/>
          <w:szCs w:val="24"/>
          <w:vertAlign w:val="subscript"/>
          <w:lang w:val="en-US"/>
        </w:rPr>
        <w:t>1c</w:t>
      </w:r>
    </w:p>
    <w:p w14:paraId="7276F32B" w14:textId="77777777" w:rsidR="001D29F8" w:rsidRDefault="00AD3033" w:rsidP="001D29F8">
      <w:pPr>
        <w:spacing w:line="480" w:lineRule="auto"/>
        <w:jc w:val="both"/>
        <w:rPr>
          <w:rFonts w:ascii="Arial" w:hAnsi="Arial" w:cs="Arial"/>
          <w:sz w:val="20"/>
          <w:lang w:val="en-US"/>
        </w:rPr>
      </w:pPr>
      <w:r>
        <w:rPr>
          <w:rFonts w:ascii="Arial" w:hAnsi="Arial" w:cs="Arial"/>
          <w:noProof/>
          <w:sz w:val="20"/>
          <w:lang w:eastAsia="nl-BE"/>
        </w:rPr>
        <w:drawing>
          <wp:inline distT="0" distB="0" distL="0" distR="0" wp14:anchorId="048E2FFC" wp14:editId="5DD3927D">
            <wp:extent cx="4761021" cy="8420431"/>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3092" cy="8441780"/>
                    </a:xfrm>
                    <a:prstGeom prst="rect">
                      <a:avLst/>
                    </a:prstGeom>
                  </pic:spPr>
                </pic:pic>
              </a:graphicData>
            </a:graphic>
          </wp:inline>
        </w:drawing>
      </w:r>
    </w:p>
    <w:p w14:paraId="585B9FDF" w14:textId="77777777" w:rsidR="001D29F8" w:rsidRPr="0061056F" w:rsidRDefault="001D29F8" w:rsidP="001D29F8">
      <w:pPr>
        <w:spacing w:line="480" w:lineRule="auto"/>
        <w:jc w:val="both"/>
        <w:rPr>
          <w:rFonts w:ascii="Arial" w:hAnsi="Arial" w:cs="Arial"/>
          <w:b/>
          <w:sz w:val="24"/>
          <w:lang w:val="en-US"/>
        </w:rPr>
      </w:pPr>
      <w:r w:rsidRPr="0061056F">
        <w:rPr>
          <w:rFonts w:ascii="Arial" w:hAnsi="Arial" w:cs="Arial"/>
          <w:b/>
          <w:sz w:val="24"/>
          <w:lang w:val="en-US"/>
        </w:rPr>
        <w:t>Figure 2. Hypoglycemia-related acute complications for people with and without impaired awareness of hypoglycemia</w:t>
      </w:r>
    </w:p>
    <w:p w14:paraId="4E11138A" w14:textId="77777777" w:rsidR="001D29F8" w:rsidRPr="00E02760" w:rsidRDefault="001D29F8" w:rsidP="000359CC">
      <w:pPr>
        <w:spacing w:line="480" w:lineRule="auto"/>
        <w:jc w:val="both"/>
        <w:rPr>
          <w:sz w:val="20"/>
          <w:lang w:val="en-US"/>
        </w:rPr>
      </w:pPr>
      <w:r>
        <w:rPr>
          <w:rFonts w:ascii="Arial" w:hAnsi="Arial" w:cs="Arial"/>
          <w:b/>
          <w:noProof/>
          <w:sz w:val="20"/>
          <w:lang w:eastAsia="nl-BE"/>
        </w:rPr>
        <w:drawing>
          <wp:inline distT="0" distB="0" distL="0" distR="0" wp14:anchorId="18A7B99D" wp14:editId="75887474">
            <wp:extent cx="4833487" cy="7983110"/>
            <wp:effectExtent l="0" t="0" r="571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 v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2595" cy="8031186"/>
                    </a:xfrm>
                    <a:prstGeom prst="rect">
                      <a:avLst/>
                    </a:prstGeom>
                  </pic:spPr>
                </pic:pic>
              </a:graphicData>
            </a:graphic>
          </wp:inline>
        </w:drawing>
      </w:r>
    </w:p>
    <w:p w14:paraId="002773B2" w14:textId="77777777" w:rsidR="002B694B" w:rsidRPr="00E02760" w:rsidRDefault="002B694B" w:rsidP="000359CC">
      <w:pPr>
        <w:jc w:val="both"/>
        <w:rPr>
          <w:rFonts w:ascii="Arial" w:hAnsi="Arial" w:cs="Arial"/>
          <w:b/>
          <w:vanish/>
          <w:sz w:val="24"/>
          <w:lang w:val="en-US"/>
        </w:rPr>
      </w:pPr>
    </w:p>
    <w:sectPr w:rsidR="002B694B" w:rsidRPr="00E02760" w:rsidSect="001D29F8">
      <w:footerReference w:type="default" r:id="rId13"/>
      <w:pgSz w:w="11906" w:h="16838"/>
      <w:pgMar w:top="1417" w:right="1417" w:bottom="1417" w:left="1417"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Sara Charleer" w:date="2020-06-04T14:51:00Z" w:initials="SC">
    <w:p w14:paraId="28EC9401" w14:textId="77777777" w:rsidR="00D74D70" w:rsidRPr="001D46AC" w:rsidRDefault="00D74D70">
      <w:pPr>
        <w:pStyle w:val="Tekstopmerking"/>
        <w:rPr>
          <w:lang w:val="en-GB"/>
        </w:rPr>
      </w:pPr>
      <w:r>
        <w:rPr>
          <w:rStyle w:val="Verwijzingopmerking"/>
        </w:rPr>
        <w:annotationRef/>
      </w:r>
      <w:r w:rsidRPr="001D46AC">
        <w:rPr>
          <w:lang w:val="en-GB"/>
        </w:rPr>
        <w:t xml:space="preserve">To be completed by every author. </w:t>
      </w:r>
      <w:r>
        <w:rPr>
          <w:lang w:val="en-GB"/>
        </w:rPr>
        <w:t>If nothing to disclose, write your initials + “has nothing to disclose”.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EC94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6F139" w14:textId="77777777" w:rsidR="00D74D70" w:rsidRDefault="00D74D70" w:rsidP="007373F2">
      <w:pPr>
        <w:spacing w:after="0" w:line="240" w:lineRule="auto"/>
      </w:pPr>
      <w:r>
        <w:separator/>
      </w:r>
    </w:p>
  </w:endnote>
  <w:endnote w:type="continuationSeparator" w:id="0">
    <w:p w14:paraId="18438308" w14:textId="77777777" w:rsidR="00D74D70" w:rsidRDefault="00D74D70" w:rsidP="0073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altName w:val="Malgun Gothic"/>
    <w:panose1 w:val="020B0503030403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142302"/>
      <w:docPartObj>
        <w:docPartGallery w:val="Page Numbers (Bottom of Page)"/>
        <w:docPartUnique/>
      </w:docPartObj>
    </w:sdtPr>
    <w:sdtContent>
      <w:p w14:paraId="22B9D69E" w14:textId="72B937C8" w:rsidR="00D74D70" w:rsidRDefault="00D74D70">
        <w:pPr>
          <w:pStyle w:val="Voettekst"/>
          <w:jc w:val="right"/>
        </w:pPr>
        <w:r>
          <w:fldChar w:fldCharType="begin"/>
        </w:r>
        <w:r>
          <w:instrText>PAGE   \* MERGEFORMAT</w:instrText>
        </w:r>
        <w:r>
          <w:fldChar w:fldCharType="separate"/>
        </w:r>
        <w:r w:rsidR="00551F92" w:rsidRPr="00551F92">
          <w:rPr>
            <w:noProof/>
            <w:lang w:val="nl-NL"/>
          </w:rPr>
          <w:t>1</w:t>
        </w:r>
        <w:r>
          <w:fldChar w:fldCharType="end"/>
        </w:r>
      </w:p>
    </w:sdtContent>
  </w:sdt>
  <w:p w14:paraId="4E6B3859" w14:textId="77777777" w:rsidR="00D74D70" w:rsidRDefault="00D74D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527680"/>
      <w:docPartObj>
        <w:docPartGallery w:val="Page Numbers (Bottom of Page)"/>
        <w:docPartUnique/>
      </w:docPartObj>
    </w:sdtPr>
    <w:sdtContent>
      <w:p w14:paraId="5C5FCD93" w14:textId="54D52EA8" w:rsidR="00D74D70" w:rsidRDefault="00D74D70">
        <w:pPr>
          <w:pStyle w:val="Voettekst"/>
          <w:jc w:val="right"/>
        </w:pPr>
        <w:r>
          <w:fldChar w:fldCharType="begin"/>
        </w:r>
        <w:r>
          <w:instrText>PAGE   \* MERGEFORMAT</w:instrText>
        </w:r>
        <w:r>
          <w:fldChar w:fldCharType="separate"/>
        </w:r>
        <w:r w:rsidR="00551F92" w:rsidRPr="00551F92">
          <w:rPr>
            <w:noProof/>
            <w:lang w:val="nl-NL"/>
          </w:rPr>
          <w:t>29</w:t>
        </w:r>
        <w:r>
          <w:fldChar w:fldCharType="end"/>
        </w:r>
      </w:p>
    </w:sdtContent>
  </w:sdt>
  <w:p w14:paraId="625E5AEB" w14:textId="77777777" w:rsidR="00D74D70" w:rsidRDefault="00D74D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55514" w14:textId="77777777" w:rsidR="00D74D70" w:rsidRDefault="00D74D70" w:rsidP="007373F2">
      <w:pPr>
        <w:spacing w:after="0" w:line="240" w:lineRule="auto"/>
      </w:pPr>
      <w:r>
        <w:separator/>
      </w:r>
    </w:p>
  </w:footnote>
  <w:footnote w:type="continuationSeparator" w:id="0">
    <w:p w14:paraId="6A7E4704" w14:textId="77777777" w:rsidR="00D74D70" w:rsidRDefault="00D74D70" w:rsidP="00737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BC8"/>
    <w:multiLevelType w:val="multilevel"/>
    <w:tmpl w:val="E3EEA8E6"/>
    <w:lvl w:ilvl="0">
      <w:start w:val="1"/>
      <w:numFmt w:val="decimal"/>
      <w:lvlText w:val="%1"/>
      <w:lvlJc w:val="left"/>
      <w:pPr>
        <w:ind w:left="360" w:hanging="360"/>
      </w:pPr>
      <w:rPr>
        <w:rFonts w:hint="default"/>
      </w:rPr>
    </w:lvl>
    <w:lvl w:ilvl="1">
      <w:start w:val="1"/>
      <w:numFmt w:val="none"/>
      <w:lvlText w:val="1.3"/>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3"/>
      <w:lvlJc w:val="left"/>
      <w:pPr>
        <w:ind w:left="720" w:hanging="720"/>
      </w:pPr>
      <w:rPr>
        <w:rFonts w:hint="default"/>
      </w:rPr>
    </w:lvl>
    <w:lvl w:ilvl="3">
      <w:start w:val="1"/>
      <w:numFmt w:val="decimal"/>
      <w:lvlText w:val="%1.%23.2.%4"/>
      <w:lvlJc w:val="left"/>
      <w:pPr>
        <w:ind w:left="720" w:hanging="720"/>
      </w:pPr>
      <w:rPr>
        <w:rFonts w:hint="default"/>
      </w:rPr>
    </w:lvl>
    <w:lvl w:ilvl="4">
      <w:start w:val="1"/>
      <w:numFmt w:val="none"/>
      <w:lvlText w:val="1.3.2.2.1"/>
      <w:lvlJc w:val="left"/>
      <w:pPr>
        <w:ind w:left="108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4D2D99"/>
    <w:multiLevelType w:val="multilevel"/>
    <w:tmpl w:val="BBD444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9363C8"/>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1E3AC2"/>
    <w:multiLevelType w:val="hybridMultilevel"/>
    <w:tmpl w:val="282ED30E"/>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CC3370D"/>
    <w:multiLevelType w:val="hybridMultilevel"/>
    <w:tmpl w:val="3C82A55E"/>
    <w:lvl w:ilvl="0" w:tplc="08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D7B0D"/>
    <w:multiLevelType w:val="multilevel"/>
    <w:tmpl w:val="B8F87E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B85C72"/>
    <w:multiLevelType w:val="hybridMultilevel"/>
    <w:tmpl w:val="88CC9F10"/>
    <w:lvl w:ilvl="0" w:tplc="EAAEA522">
      <w:start w:val="1"/>
      <w:numFmt w:val="decimal"/>
      <w:suff w:val="space"/>
      <w:lvlText w:val="%1."/>
      <w:lvlJc w:val="left"/>
      <w:pPr>
        <w:ind w:left="644" w:hanging="360"/>
      </w:pPr>
      <w:rPr>
        <w:rFonts w:hint="default"/>
      </w:rPr>
    </w:lvl>
    <w:lvl w:ilvl="1" w:tplc="08130019">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7" w15:restartNumberingAfterBreak="0">
    <w:nsid w:val="241C00EB"/>
    <w:multiLevelType w:val="hybridMultilevel"/>
    <w:tmpl w:val="2F90ECE6"/>
    <w:lvl w:ilvl="0" w:tplc="5F801FD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BC019E"/>
    <w:multiLevelType w:val="hybridMultilevel"/>
    <w:tmpl w:val="619ABA3E"/>
    <w:lvl w:ilvl="0" w:tplc="357AE602">
      <w:start w:val="68"/>
      <w:numFmt w:val="decimal"/>
      <w:lvlText w:val="%1."/>
      <w:lvlJc w:val="left"/>
      <w:pPr>
        <w:ind w:left="540" w:hanging="360"/>
      </w:pPr>
      <w:rPr>
        <w:rFonts w:hint="default"/>
      </w:rPr>
    </w:lvl>
    <w:lvl w:ilvl="1" w:tplc="08130019" w:tentative="1">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9" w15:restartNumberingAfterBreak="0">
    <w:nsid w:val="27EA6D27"/>
    <w:multiLevelType w:val="hybridMultilevel"/>
    <w:tmpl w:val="5CC46894"/>
    <w:lvl w:ilvl="0" w:tplc="08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35366"/>
    <w:multiLevelType w:val="hybridMultilevel"/>
    <w:tmpl w:val="2CA05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8D66437"/>
    <w:multiLevelType w:val="multilevel"/>
    <w:tmpl w:val="4064A16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2" w15:restartNumberingAfterBreak="0">
    <w:nsid w:val="2BE8162F"/>
    <w:multiLevelType w:val="hybridMultilevel"/>
    <w:tmpl w:val="A6B04EC0"/>
    <w:lvl w:ilvl="0" w:tplc="0813000F">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F7288A"/>
    <w:multiLevelType w:val="hybridMultilevel"/>
    <w:tmpl w:val="97200B42"/>
    <w:lvl w:ilvl="0" w:tplc="267A7630">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5467DD"/>
    <w:multiLevelType w:val="multilevel"/>
    <w:tmpl w:val="F81048C8"/>
    <w:lvl w:ilvl="0">
      <w:start w:val="1"/>
      <w:numFmt w:val="decimal"/>
      <w:lvlText w:val="%1"/>
      <w:lvlJc w:val="left"/>
      <w:pPr>
        <w:ind w:left="360" w:hanging="360"/>
      </w:pPr>
      <w:rPr>
        <w:rFonts w:hint="default"/>
      </w:rPr>
    </w:lvl>
    <w:lvl w:ilvl="1">
      <w:start w:val="1"/>
      <w:numFmt w:val="none"/>
      <w:lvlText w:val="1.3"/>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3"/>
      <w:lvlJc w:val="left"/>
      <w:pPr>
        <w:ind w:left="720" w:hanging="720"/>
      </w:pPr>
      <w:rPr>
        <w:rFonts w:hint="default"/>
      </w:rPr>
    </w:lvl>
    <w:lvl w:ilvl="3">
      <w:start w:val="1"/>
      <w:numFmt w:val="decimal"/>
      <w:lvlText w:val="%1.%23.2.%4"/>
      <w:lvlJc w:val="left"/>
      <w:pPr>
        <w:ind w:left="720" w:hanging="720"/>
      </w:pPr>
      <w:rPr>
        <w:rFonts w:hint="default"/>
      </w:rPr>
    </w:lvl>
    <w:lvl w:ilvl="4">
      <w:start w:val="1"/>
      <w:numFmt w:val="none"/>
      <w:lvlText w:val="1.3.2.3.1"/>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6476C9"/>
    <w:multiLevelType w:val="hybridMultilevel"/>
    <w:tmpl w:val="A5424D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1B7993"/>
    <w:multiLevelType w:val="multilevel"/>
    <w:tmpl w:val="BF5CDC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1285B9C"/>
    <w:multiLevelType w:val="multilevel"/>
    <w:tmpl w:val="E13C80FE"/>
    <w:lvl w:ilvl="0">
      <w:start w:val="1"/>
      <w:numFmt w:val="decimal"/>
      <w:lvlText w:val="%1"/>
      <w:lvlJc w:val="left"/>
      <w:pPr>
        <w:ind w:left="360" w:hanging="360"/>
      </w:pPr>
      <w:rPr>
        <w:rFonts w:hint="default"/>
      </w:rPr>
    </w:lvl>
    <w:lvl w:ilvl="1">
      <w:start w:val="1"/>
      <w:numFmt w:val="none"/>
      <w:lvlText w:val="1.3"/>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3"/>
      <w:lvlJc w:val="left"/>
      <w:pPr>
        <w:ind w:left="720" w:hanging="720"/>
      </w:pPr>
      <w:rPr>
        <w:rFonts w:hint="default"/>
      </w:rPr>
    </w:lvl>
    <w:lvl w:ilvl="3">
      <w:start w:val="1"/>
      <w:numFmt w:val="decimal"/>
      <w:lvlText w:val="%1.%23.2.%4"/>
      <w:lvlJc w:val="left"/>
      <w:pPr>
        <w:ind w:left="720" w:hanging="720"/>
      </w:pPr>
      <w:rPr>
        <w:rFonts w:hint="default"/>
      </w:rPr>
    </w:lvl>
    <w:lvl w:ilvl="4">
      <w:start w:val="1"/>
      <w:numFmt w:val="none"/>
      <w:lvlText w:val="1.3.2.2.2"/>
      <w:lvlJc w:val="left"/>
      <w:pPr>
        <w:ind w:left="108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1026F3"/>
    <w:multiLevelType w:val="hybridMultilevel"/>
    <w:tmpl w:val="DC0C4A36"/>
    <w:lvl w:ilvl="0" w:tplc="08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01B11"/>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0" w15:restartNumberingAfterBreak="0">
    <w:nsid w:val="679F03CF"/>
    <w:multiLevelType w:val="hybridMultilevel"/>
    <w:tmpl w:val="D2F47F78"/>
    <w:lvl w:ilvl="0" w:tplc="4CA6F45A">
      <w:numFmt w:val="bullet"/>
      <w:lvlText w:val=""/>
      <w:lvlJc w:val="left"/>
      <w:pPr>
        <w:ind w:left="408" w:hanging="360"/>
      </w:pPr>
      <w:rPr>
        <w:rFonts w:ascii="Wingdings" w:eastAsiaTheme="minorHAnsi" w:hAnsi="Wingdings" w:cstheme="minorBidi" w:hint="default"/>
      </w:rPr>
    </w:lvl>
    <w:lvl w:ilvl="1" w:tplc="08130003" w:tentative="1">
      <w:start w:val="1"/>
      <w:numFmt w:val="bullet"/>
      <w:lvlText w:val="o"/>
      <w:lvlJc w:val="left"/>
      <w:pPr>
        <w:ind w:left="1128" w:hanging="360"/>
      </w:pPr>
      <w:rPr>
        <w:rFonts w:ascii="Courier New" w:hAnsi="Courier New" w:cs="Courier New" w:hint="default"/>
      </w:rPr>
    </w:lvl>
    <w:lvl w:ilvl="2" w:tplc="08130005" w:tentative="1">
      <w:start w:val="1"/>
      <w:numFmt w:val="bullet"/>
      <w:lvlText w:val=""/>
      <w:lvlJc w:val="left"/>
      <w:pPr>
        <w:ind w:left="1848" w:hanging="360"/>
      </w:pPr>
      <w:rPr>
        <w:rFonts w:ascii="Wingdings" w:hAnsi="Wingdings" w:hint="default"/>
      </w:rPr>
    </w:lvl>
    <w:lvl w:ilvl="3" w:tplc="08130001" w:tentative="1">
      <w:start w:val="1"/>
      <w:numFmt w:val="bullet"/>
      <w:lvlText w:val=""/>
      <w:lvlJc w:val="left"/>
      <w:pPr>
        <w:ind w:left="2568" w:hanging="360"/>
      </w:pPr>
      <w:rPr>
        <w:rFonts w:ascii="Symbol" w:hAnsi="Symbol" w:hint="default"/>
      </w:rPr>
    </w:lvl>
    <w:lvl w:ilvl="4" w:tplc="08130003" w:tentative="1">
      <w:start w:val="1"/>
      <w:numFmt w:val="bullet"/>
      <w:lvlText w:val="o"/>
      <w:lvlJc w:val="left"/>
      <w:pPr>
        <w:ind w:left="3288" w:hanging="360"/>
      </w:pPr>
      <w:rPr>
        <w:rFonts w:ascii="Courier New" w:hAnsi="Courier New" w:cs="Courier New" w:hint="default"/>
      </w:rPr>
    </w:lvl>
    <w:lvl w:ilvl="5" w:tplc="08130005" w:tentative="1">
      <w:start w:val="1"/>
      <w:numFmt w:val="bullet"/>
      <w:lvlText w:val=""/>
      <w:lvlJc w:val="left"/>
      <w:pPr>
        <w:ind w:left="4008" w:hanging="360"/>
      </w:pPr>
      <w:rPr>
        <w:rFonts w:ascii="Wingdings" w:hAnsi="Wingdings" w:hint="default"/>
      </w:rPr>
    </w:lvl>
    <w:lvl w:ilvl="6" w:tplc="08130001" w:tentative="1">
      <w:start w:val="1"/>
      <w:numFmt w:val="bullet"/>
      <w:lvlText w:val=""/>
      <w:lvlJc w:val="left"/>
      <w:pPr>
        <w:ind w:left="4728" w:hanging="360"/>
      </w:pPr>
      <w:rPr>
        <w:rFonts w:ascii="Symbol" w:hAnsi="Symbol" w:hint="default"/>
      </w:rPr>
    </w:lvl>
    <w:lvl w:ilvl="7" w:tplc="08130003" w:tentative="1">
      <w:start w:val="1"/>
      <w:numFmt w:val="bullet"/>
      <w:lvlText w:val="o"/>
      <w:lvlJc w:val="left"/>
      <w:pPr>
        <w:ind w:left="5448" w:hanging="360"/>
      </w:pPr>
      <w:rPr>
        <w:rFonts w:ascii="Courier New" w:hAnsi="Courier New" w:cs="Courier New" w:hint="default"/>
      </w:rPr>
    </w:lvl>
    <w:lvl w:ilvl="8" w:tplc="08130005" w:tentative="1">
      <w:start w:val="1"/>
      <w:numFmt w:val="bullet"/>
      <w:lvlText w:val=""/>
      <w:lvlJc w:val="left"/>
      <w:pPr>
        <w:ind w:left="6168" w:hanging="360"/>
      </w:pPr>
      <w:rPr>
        <w:rFonts w:ascii="Wingdings" w:hAnsi="Wingdings" w:hint="default"/>
      </w:rPr>
    </w:lvl>
  </w:abstractNum>
  <w:abstractNum w:abstractNumId="21" w15:restartNumberingAfterBreak="0">
    <w:nsid w:val="6A407397"/>
    <w:multiLevelType w:val="multilevel"/>
    <w:tmpl w:val="0813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E09226D"/>
    <w:multiLevelType w:val="multilevel"/>
    <w:tmpl w:val="53E2911A"/>
    <w:lvl w:ilvl="0">
      <w:start w:val="1"/>
      <w:numFmt w:val="decimal"/>
      <w:lvlText w:val="%1"/>
      <w:lvlJc w:val="left"/>
      <w:pPr>
        <w:ind w:left="360" w:hanging="360"/>
      </w:pPr>
      <w:rPr>
        <w:rFonts w:hint="default"/>
      </w:rPr>
    </w:lvl>
    <w:lvl w:ilvl="1">
      <w:start w:val="1"/>
      <w:numFmt w:val="none"/>
      <w:lvlText w:val="4.3"/>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3.2.2.2.1"/>
      <w:lvlJc w:val="left"/>
      <w:pPr>
        <w:ind w:left="108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AF7AFA"/>
    <w:multiLevelType w:val="multilevel"/>
    <w:tmpl w:val="A6B04EC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A426CF"/>
    <w:multiLevelType w:val="hybridMultilevel"/>
    <w:tmpl w:val="B2DE7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46D4149"/>
    <w:multiLevelType w:val="hybridMultilevel"/>
    <w:tmpl w:val="EB9A0324"/>
    <w:lvl w:ilvl="0" w:tplc="FE0CBE6C">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5AB69F5"/>
    <w:multiLevelType w:val="multilevel"/>
    <w:tmpl w:val="140EC4FA"/>
    <w:lvl w:ilvl="0">
      <w:start w:val="1"/>
      <w:numFmt w:val="decimal"/>
      <w:lvlText w:val="%1"/>
      <w:lvlJc w:val="left"/>
      <w:pPr>
        <w:ind w:left="360" w:hanging="360"/>
      </w:pPr>
      <w:rPr>
        <w:rFonts w:hint="default"/>
      </w:rPr>
    </w:lvl>
    <w:lvl w:ilvl="1">
      <w:start w:val="1"/>
      <w:numFmt w:val="none"/>
      <w:lvlText w:val="4.2"/>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3.2.2.2.1"/>
      <w:lvlJc w:val="left"/>
      <w:pPr>
        <w:ind w:left="108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375CC4"/>
    <w:multiLevelType w:val="multilevel"/>
    <w:tmpl w:val="140EC4FA"/>
    <w:lvl w:ilvl="0">
      <w:start w:val="1"/>
      <w:numFmt w:val="decimal"/>
      <w:lvlText w:val="%1"/>
      <w:lvlJc w:val="left"/>
      <w:pPr>
        <w:ind w:left="360" w:hanging="360"/>
      </w:pPr>
      <w:rPr>
        <w:rFonts w:hint="default"/>
      </w:rPr>
    </w:lvl>
    <w:lvl w:ilvl="1">
      <w:start w:val="1"/>
      <w:numFmt w:val="none"/>
      <w:lvlText w:val="4.2"/>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3.2.2.2.1"/>
      <w:lvlJc w:val="left"/>
      <w:pPr>
        <w:ind w:left="108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8496924"/>
    <w:multiLevelType w:val="multilevel"/>
    <w:tmpl w:val="BB400DC6"/>
    <w:lvl w:ilvl="0">
      <w:start w:val="1"/>
      <w:numFmt w:val="decimal"/>
      <w:lvlText w:val="%1"/>
      <w:lvlJc w:val="left"/>
      <w:pPr>
        <w:ind w:left="360" w:hanging="360"/>
      </w:pPr>
      <w:rPr>
        <w:rFonts w:hint="default"/>
      </w:rPr>
    </w:lvl>
    <w:lvl w:ilvl="1">
      <w:start w:val="1"/>
      <w:numFmt w:val="none"/>
      <w:lvlText w:val="4.4"/>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3.2.2.2.1"/>
      <w:lvlJc w:val="left"/>
      <w:pPr>
        <w:ind w:left="108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DFC1327"/>
    <w:multiLevelType w:val="hybridMultilevel"/>
    <w:tmpl w:val="E646C148"/>
    <w:lvl w:ilvl="0" w:tplc="ECEC9ED6">
      <w:start w:val="1"/>
      <w:numFmt w:val="decimal"/>
      <w:lvlText w:val="%1."/>
      <w:lvlJc w:val="left"/>
      <w:pPr>
        <w:ind w:left="540" w:hanging="360"/>
      </w:pPr>
      <w:rPr>
        <w:lang w:val="en-G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ECE0A6B"/>
    <w:multiLevelType w:val="hybridMultilevel"/>
    <w:tmpl w:val="C2968220"/>
    <w:lvl w:ilvl="0" w:tplc="0813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18"/>
  </w:num>
  <w:num w:numId="4">
    <w:abstractNumId w:val="30"/>
  </w:num>
  <w:num w:numId="5">
    <w:abstractNumId w:val="19"/>
  </w:num>
  <w:num w:numId="6">
    <w:abstractNumId w:val="19"/>
  </w:num>
  <w:num w:numId="7">
    <w:abstractNumId w:val="15"/>
  </w:num>
  <w:num w:numId="8">
    <w:abstractNumId w:val="2"/>
  </w:num>
  <w:num w:numId="9">
    <w:abstractNumId w:val="11"/>
  </w:num>
  <w:num w:numId="10">
    <w:abstractNumId w:val="21"/>
  </w:num>
  <w:num w:numId="11">
    <w:abstractNumId w:val="14"/>
  </w:num>
  <w:num w:numId="12">
    <w:abstractNumId w:val="6"/>
  </w:num>
  <w:num w:numId="13">
    <w:abstractNumId w:val="16"/>
  </w:num>
  <w:num w:numId="14">
    <w:abstractNumId w:val="5"/>
  </w:num>
  <w:num w:numId="15">
    <w:abstractNumId w:val="29"/>
  </w:num>
  <w:num w:numId="16">
    <w:abstractNumId w:val="8"/>
  </w:num>
  <w:num w:numId="17">
    <w:abstractNumId w:val="12"/>
  </w:num>
  <w:num w:numId="18">
    <w:abstractNumId w:val="23"/>
  </w:num>
  <w:num w:numId="19">
    <w:abstractNumId w:val="13"/>
  </w:num>
  <w:num w:numId="20">
    <w:abstractNumId w:val="27"/>
  </w:num>
  <w:num w:numId="21">
    <w:abstractNumId w:val="26"/>
  </w:num>
  <w:num w:numId="22">
    <w:abstractNumId w:val="22"/>
  </w:num>
  <w:num w:numId="23">
    <w:abstractNumId w:val="28"/>
  </w:num>
  <w:num w:numId="24">
    <w:abstractNumId w:val="0"/>
  </w:num>
  <w:num w:numId="25">
    <w:abstractNumId w:val="17"/>
  </w:num>
  <w:num w:numId="26">
    <w:abstractNumId w:val="1"/>
  </w:num>
  <w:num w:numId="27">
    <w:abstractNumId w:val="9"/>
  </w:num>
  <w:num w:numId="28">
    <w:abstractNumId w:val="19"/>
  </w:num>
  <w:num w:numId="29">
    <w:abstractNumId w:val="19"/>
  </w:num>
  <w:num w:numId="30">
    <w:abstractNumId w:val="7"/>
  </w:num>
  <w:num w:numId="31">
    <w:abstractNumId w:val="19"/>
  </w:num>
  <w:num w:numId="32">
    <w:abstractNumId w:val="19"/>
  </w:num>
  <w:num w:numId="33">
    <w:abstractNumId w:val="25"/>
  </w:num>
  <w:num w:numId="34">
    <w:abstractNumId w:val="20"/>
  </w:num>
  <w:num w:numId="35">
    <w:abstractNumId w:val="19"/>
  </w:num>
  <w:num w:numId="36">
    <w:abstractNumId w:val="19"/>
  </w:num>
  <w:num w:numId="37">
    <w:abstractNumId w:val="10"/>
  </w:num>
  <w:num w:numId="38">
    <w:abstractNumId w:val="3"/>
  </w:num>
  <w:num w:numId="39">
    <w:abstractNumId w:val="19"/>
  </w:num>
  <w:num w:numId="40">
    <w:abstractNumId w:val="24"/>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 Charleer">
    <w15:presenceInfo w15:providerId="AD" w15:userId="S-1-5-21-2123780637-82641590-1866013658-22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A3"/>
    <w:rsid w:val="000010ED"/>
    <w:rsid w:val="000017C6"/>
    <w:rsid w:val="0000541C"/>
    <w:rsid w:val="0001051C"/>
    <w:rsid w:val="00012A3B"/>
    <w:rsid w:val="00012BE8"/>
    <w:rsid w:val="0001437D"/>
    <w:rsid w:val="000144C3"/>
    <w:rsid w:val="000154C6"/>
    <w:rsid w:val="00015B6B"/>
    <w:rsid w:val="000162F2"/>
    <w:rsid w:val="0001653A"/>
    <w:rsid w:val="000174B3"/>
    <w:rsid w:val="000201C1"/>
    <w:rsid w:val="0002052E"/>
    <w:rsid w:val="00021AAC"/>
    <w:rsid w:val="00023321"/>
    <w:rsid w:val="00023B1D"/>
    <w:rsid w:val="00023D64"/>
    <w:rsid w:val="000247C7"/>
    <w:rsid w:val="00024B09"/>
    <w:rsid w:val="00024B7A"/>
    <w:rsid w:val="00027FCC"/>
    <w:rsid w:val="000327D0"/>
    <w:rsid w:val="00033051"/>
    <w:rsid w:val="000336AC"/>
    <w:rsid w:val="00034AFD"/>
    <w:rsid w:val="000359CC"/>
    <w:rsid w:val="00035B7D"/>
    <w:rsid w:val="0003670B"/>
    <w:rsid w:val="0004150A"/>
    <w:rsid w:val="0004267C"/>
    <w:rsid w:val="00042E20"/>
    <w:rsid w:val="00043F13"/>
    <w:rsid w:val="0004498D"/>
    <w:rsid w:val="00044A41"/>
    <w:rsid w:val="00045F40"/>
    <w:rsid w:val="00046320"/>
    <w:rsid w:val="0004736C"/>
    <w:rsid w:val="00047D6D"/>
    <w:rsid w:val="00052645"/>
    <w:rsid w:val="00053194"/>
    <w:rsid w:val="000534EC"/>
    <w:rsid w:val="00056888"/>
    <w:rsid w:val="000574F7"/>
    <w:rsid w:val="000603E0"/>
    <w:rsid w:val="00061453"/>
    <w:rsid w:val="00062A14"/>
    <w:rsid w:val="00062C03"/>
    <w:rsid w:val="000637CB"/>
    <w:rsid w:val="00063FB7"/>
    <w:rsid w:val="00064B37"/>
    <w:rsid w:val="000664A0"/>
    <w:rsid w:val="000665C6"/>
    <w:rsid w:val="00067422"/>
    <w:rsid w:val="000675C6"/>
    <w:rsid w:val="00070F1A"/>
    <w:rsid w:val="0007217E"/>
    <w:rsid w:val="00072AC3"/>
    <w:rsid w:val="00074BC5"/>
    <w:rsid w:val="000756C1"/>
    <w:rsid w:val="00076468"/>
    <w:rsid w:val="00077D25"/>
    <w:rsid w:val="00077EB8"/>
    <w:rsid w:val="00080293"/>
    <w:rsid w:val="000809D0"/>
    <w:rsid w:val="000842A4"/>
    <w:rsid w:val="0008463C"/>
    <w:rsid w:val="000858D7"/>
    <w:rsid w:val="000869ED"/>
    <w:rsid w:val="00087070"/>
    <w:rsid w:val="00087722"/>
    <w:rsid w:val="0009148D"/>
    <w:rsid w:val="00092B64"/>
    <w:rsid w:val="0009387A"/>
    <w:rsid w:val="000946EB"/>
    <w:rsid w:val="00094A3E"/>
    <w:rsid w:val="00096932"/>
    <w:rsid w:val="000972CF"/>
    <w:rsid w:val="000A0D60"/>
    <w:rsid w:val="000A1D45"/>
    <w:rsid w:val="000A34BC"/>
    <w:rsid w:val="000A5BFB"/>
    <w:rsid w:val="000A6248"/>
    <w:rsid w:val="000B1259"/>
    <w:rsid w:val="000B1266"/>
    <w:rsid w:val="000B1638"/>
    <w:rsid w:val="000B3928"/>
    <w:rsid w:val="000C1DA3"/>
    <w:rsid w:val="000C241C"/>
    <w:rsid w:val="000C2944"/>
    <w:rsid w:val="000C342A"/>
    <w:rsid w:val="000C3AC6"/>
    <w:rsid w:val="000C3EF2"/>
    <w:rsid w:val="000C5E68"/>
    <w:rsid w:val="000C6166"/>
    <w:rsid w:val="000C65EF"/>
    <w:rsid w:val="000C6A9A"/>
    <w:rsid w:val="000C6FA5"/>
    <w:rsid w:val="000C777C"/>
    <w:rsid w:val="000D2B15"/>
    <w:rsid w:val="000D394B"/>
    <w:rsid w:val="000D729D"/>
    <w:rsid w:val="000D77EF"/>
    <w:rsid w:val="000D792D"/>
    <w:rsid w:val="000E0486"/>
    <w:rsid w:val="000E1953"/>
    <w:rsid w:val="000E1D0D"/>
    <w:rsid w:val="000E2107"/>
    <w:rsid w:val="000E348D"/>
    <w:rsid w:val="000E5F60"/>
    <w:rsid w:val="000E5FB2"/>
    <w:rsid w:val="000E6646"/>
    <w:rsid w:val="000E70D9"/>
    <w:rsid w:val="000F20C6"/>
    <w:rsid w:val="000F3777"/>
    <w:rsid w:val="000F4293"/>
    <w:rsid w:val="000F5225"/>
    <w:rsid w:val="000F7039"/>
    <w:rsid w:val="000F72FC"/>
    <w:rsid w:val="000F770C"/>
    <w:rsid w:val="000F7E35"/>
    <w:rsid w:val="001003E9"/>
    <w:rsid w:val="00100E47"/>
    <w:rsid w:val="00102DD5"/>
    <w:rsid w:val="00105071"/>
    <w:rsid w:val="00106F04"/>
    <w:rsid w:val="0010724B"/>
    <w:rsid w:val="001101FC"/>
    <w:rsid w:val="00111038"/>
    <w:rsid w:val="00111D2B"/>
    <w:rsid w:val="001120D8"/>
    <w:rsid w:val="001122FE"/>
    <w:rsid w:val="0011506E"/>
    <w:rsid w:val="00115411"/>
    <w:rsid w:val="00116BAD"/>
    <w:rsid w:val="0012092E"/>
    <w:rsid w:val="00122D31"/>
    <w:rsid w:val="00124033"/>
    <w:rsid w:val="0012579F"/>
    <w:rsid w:val="00130228"/>
    <w:rsid w:val="00131162"/>
    <w:rsid w:val="001322CA"/>
    <w:rsid w:val="001336E8"/>
    <w:rsid w:val="00134018"/>
    <w:rsid w:val="00135273"/>
    <w:rsid w:val="0013624D"/>
    <w:rsid w:val="001406B6"/>
    <w:rsid w:val="00140BB3"/>
    <w:rsid w:val="001443EF"/>
    <w:rsid w:val="00145063"/>
    <w:rsid w:val="00145FC3"/>
    <w:rsid w:val="00146CE1"/>
    <w:rsid w:val="00147DFA"/>
    <w:rsid w:val="00153734"/>
    <w:rsid w:val="0015387A"/>
    <w:rsid w:val="00153AC8"/>
    <w:rsid w:val="00155DDD"/>
    <w:rsid w:val="00156979"/>
    <w:rsid w:val="00157D77"/>
    <w:rsid w:val="00160164"/>
    <w:rsid w:val="00160438"/>
    <w:rsid w:val="001637C3"/>
    <w:rsid w:val="00163B3E"/>
    <w:rsid w:val="001644B2"/>
    <w:rsid w:val="0016657B"/>
    <w:rsid w:val="001666A2"/>
    <w:rsid w:val="00166866"/>
    <w:rsid w:val="00170938"/>
    <w:rsid w:val="001713D1"/>
    <w:rsid w:val="0017148D"/>
    <w:rsid w:val="00171FB0"/>
    <w:rsid w:val="001729D8"/>
    <w:rsid w:val="00172CD5"/>
    <w:rsid w:val="0017597D"/>
    <w:rsid w:val="00175A64"/>
    <w:rsid w:val="0018114E"/>
    <w:rsid w:val="00181ECD"/>
    <w:rsid w:val="00182505"/>
    <w:rsid w:val="00182ABE"/>
    <w:rsid w:val="00182D4F"/>
    <w:rsid w:val="00183A5D"/>
    <w:rsid w:val="001849A6"/>
    <w:rsid w:val="00184E42"/>
    <w:rsid w:val="00186171"/>
    <w:rsid w:val="00186874"/>
    <w:rsid w:val="00187246"/>
    <w:rsid w:val="00187AC3"/>
    <w:rsid w:val="00192DAA"/>
    <w:rsid w:val="00196053"/>
    <w:rsid w:val="00197426"/>
    <w:rsid w:val="00197A76"/>
    <w:rsid w:val="00197E02"/>
    <w:rsid w:val="001A21D0"/>
    <w:rsid w:val="001A3547"/>
    <w:rsid w:val="001A4A03"/>
    <w:rsid w:val="001A6447"/>
    <w:rsid w:val="001A6E56"/>
    <w:rsid w:val="001A7689"/>
    <w:rsid w:val="001B03B8"/>
    <w:rsid w:val="001B0D97"/>
    <w:rsid w:val="001B11B4"/>
    <w:rsid w:val="001B59B7"/>
    <w:rsid w:val="001B5DF7"/>
    <w:rsid w:val="001B7D41"/>
    <w:rsid w:val="001C144F"/>
    <w:rsid w:val="001C1909"/>
    <w:rsid w:val="001C219F"/>
    <w:rsid w:val="001C523A"/>
    <w:rsid w:val="001C53D5"/>
    <w:rsid w:val="001C6003"/>
    <w:rsid w:val="001C6327"/>
    <w:rsid w:val="001C729D"/>
    <w:rsid w:val="001C770A"/>
    <w:rsid w:val="001D07FC"/>
    <w:rsid w:val="001D14A1"/>
    <w:rsid w:val="001D2441"/>
    <w:rsid w:val="001D26B9"/>
    <w:rsid w:val="001D29F8"/>
    <w:rsid w:val="001D3F94"/>
    <w:rsid w:val="001D46AC"/>
    <w:rsid w:val="001D5C99"/>
    <w:rsid w:val="001D7E41"/>
    <w:rsid w:val="001E38C6"/>
    <w:rsid w:val="001E3DF2"/>
    <w:rsid w:val="001E4BA5"/>
    <w:rsid w:val="001E505B"/>
    <w:rsid w:val="001E7582"/>
    <w:rsid w:val="001F0123"/>
    <w:rsid w:val="001F0F96"/>
    <w:rsid w:val="001F217F"/>
    <w:rsid w:val="001F3A7C"/>
    <w:rsid w:val="001F3B35"/>
    <w:rsid w:val="001F3B9C"/>
    <w:rsid w:val="001F4180"/>
    <w:rsid w:val="001F4AA2"/>
    <w:rsid w:val="00200616"/>
    <w:rsid w:val="002009BF"/>
    <w:rsid w:val="00200CC3"/>
    <w:rsid w:val="0020189D"/>
    <w:rsid w:val="00201FD7"/>
    <w:rsid w:val="00204F19"/>
    <w:rsid w:val="00205204"/>
    <w:rsid w:val="00205D7C"/>
    <w:rsid w:val="00206130"/>
    <w:rsid w:val="0021003C"/>
    <w:rsid w:val="00211210"/>
    <w:rsid w:val="002148FD"/>
    <w:rsid w:val="00215DB9"/>
    <w:rsid w:val="00217018"/>
    <w:rsid w:val="002179E8"/>
    <w:rsid w:val="002211C5"/>
    <w:rsid w:val="00221B23"/>
    <w:rsid w:val="002235B0"/>
    <w:rsid w:val="00224938"/>
    <w:rsid w:val="00225CC2"/>
    <w:rsid w:val="00226945"/>
    <w:rsid w:val="0023434C"/>
    <w:rsid w:val="00234C90"/>
    <w:rsid w:val="00235119"/>
    <w:rsid w:val="00235B42"/>
    <w:rsid w:val="00237AC3"/>
    <w:rsid w:val="00237E79"/>
    <w:rsid w:val="0024072D"/>
    <w:rsid w:val="0024300D"/>
    <w:rsid w:val="00243C77"/>
    <w:rsid w:val="00244185"/>
    <w:rsid w:val="0024482A"/>
    <w:rsid w:val="002448EE"/>
    <w:rsid w:val="00244BC9"/>
    <w:rsid w:val="00245187"/>
    <w:rsid w:val="00250389"/>
    <w:rsid w:val="00250A9F"/>
    <w:rsid w:val="002522E9"/>
    <w:rsid w:val="00253398"/>
    <w:rsid w:val="00253E8F"/>
    <w:rsid w:val="00256241"/>
    <w:rsid w:val="00260367"/>
    <w:rsid w:val="00260BD4"/>
    <w:rsid w:val="002663F5"/>
    <w:rsid w:val="00267E4C"/>
    <w:rsid w:val="00267E7F"/>
    <w:rsid w:val="00271B19"/>
    <w:rsid w:val="00272133"/>
    <w:rsid w:val="00275A76"/>
    <w:rsid w:val="002806F2"/>
    <w:rsid w:val="00281414"/>
    <w:rsid w:val="00281BE7"/>
    <w:rsid w:val="00284FDA"/>
    <w:rsid w:val="002872F9"/>
    <w:rsid w:val="00287D4A"/>
    <w:rsid w:val="00291F7C"/>
    <w:rsid w:val="00293571"/>
    <w:rsid w:val="00293622"/>
    <w:rsid w:val="002943A3"/>
    <w:rsid w:val="002949E0"/>
    <w:rsid w:val="00295B42"/>
    <w:rsid w:val="002A07CB"/>
    <w:rsid w:val="002A12AE"/>
    <w:rsid w:val="002A1D8A"/>
    <w:rsid w:val="002A2BBC"/>
    <w:rsid w:val="002A2EA5"/>
    <w:rsid w:val="002A38AC"/>
    <w:rsid w:val="002A4069"/>
    <w:rsid w:val="002A4349"/>
    <w:rsid w:val="002A4F32"/>
    <w:rsid w:val="002A5A31"/>
    <w:rsid w:val="002A5FDE"/>
    <w:rsid w:val="002B0B8C"/>
    <w:rsid w:val="002B1018"/>
    <w:rsid w:val="002B2482"/>
    <w:rsid w:val="002B3AA7"/>
    <w:rsid w:val="002B694B"/>
    <w:rsid w:val="002C08B7"/>
    <w:rsid w:val="002C21B5"/>
    <w:rsid w:val="002C2BD8"/>
    <w:rsid w:val="002C2F65"/>
    <w:rsid w:val="002C4EFB"/>
    <w:rsid w:val="002C520B"/>
    <w:rsid w:val="002C5897"/>
    <w:rsid w:val="002C6E7F"/>
    <w:rsid w:val="002C6F45"/>
    <w:rsid w:val="002D15A9"/>
    <w:rsid w:val="002D25DF"/>
    <w:rsid w:val="002D3128"/>
    <w:rsid w:val="002D4B2D"/>
    <w:rsid w:val="002D4E1E"/>
    <w:rsid w:val="002D6E02"/>
    <w:rsid w:val="002D7445"/>
    <w:rsid w:val="002E01EA"/>
    <w:rsid w:val="002E152E"/>
    <w:rsid w:val="002E198B"/>
    <w:rsid w:val="002E2325"/>
    <w:rsid w:val="002E277B"/>
    <w:rsid w:val="002E2C65"/>
    <w:rsid w:val="002E3611"/>
    <w:rsid w:val="002E4EBE"/>
    <w:rsid w:val="002E71F4"/>
    <w:rsid w:val="002F0911"/>
    <w:rsid w:val="002F20E7"/>
    <w:rsid w:val="002F3172"/>
    <w:rsid w:val="002F502E"/>
    <w:rsid w:val="002F73FC"/>
    <w:rsid w:val="0030215D"/>
    <w:rsid w:val="00304842"/>
    <w:rsid w:val="00304FEA"/>
    <w:rsid w:val="00310E87"/>
    <w:rsid w:val="003122F6"/>
    <w:rsid w:val="00314A91"/>
    <w:rsid w:val="00316E5E"/>
    <w:rsid w:val="0032004A"/>
    <w:rsid w:val="00323416"/>
    <w:rsid w:val="0032399A"/>
    <w:rsid w:val="00324A7D"/>
    <w:rsid w:val="0032531B"/>
    <w:rsid w:val="00325583"/>
    <w:rsid w:val="003262C6"/>
    <w:rsid w:val="00326327"/>
    <w:rsid w:val="00326F33"/>
    <w:rsid w:val="003301BD"/>
    <w:rsid w:val="003307FA"/>
    <w:rsid w:val="00330F2A"/>
    <w:rsid w:val="0033195E"/>
    <w:rsid w:val="00331FC3"/>
    <w:rsid w:val="003353B9"/>
    <w:rsid w:val="00335B99"/>
    <w:rsid w:val="0033647E"/>
    <w:rsid w:val="00340193"/>
    <w:rsid w:val="00340DA0"/>
    <w:rsid w:val="00342973"/>
    <w:rsid w:val="00342B34"/>
    <w:rsid w:val="00343588"/>
    <w:rsid w:val="00344319"/>
    <w:rsid w:val="00344741"/>
    <w:rsid w:val="0034481E"/>
    <w:rsid w:val="00346657"/>
    <w:rsid w:val="00347484"/>
    <w:rsid w:val="00347BDF"/>
    <w:rsid w:val="00350CCC"/>
    <w:rsid w:val="00351E1D"/>
    <w:rsid w:val="00352C23"/>
    <w:rsid w:val="00353870"/>
    <w:rsid w:val="00355296"/>
    <w:rsid w:val="00357D93"/>
    <w:rsid w:val="00361042"/>
    <w:rsid w:val="00362D8B"/>
    <w:rsid w:val="00362EF9"/>
    <w:rsid w:val="003636BF"/>
    <w:rsid w:val="003638E6"/>
    <w:rsid w:val="003654CD"/>
    <w:rsid w:val="003656FD"/>
    <w:rsid w:val="00366D89"/>
    <w:rsid w:val="00367097"/>
    <w:rsid w:val="00367CF1"/>
    <w:rsid w:val="00370828"/>
    <w:rsid w:val="00372DA1"/>
    <w:rsid w:val="00373776"/>
    <w:rsid w:val="003740C1"/>
    <w:rsid w:val="003758D8"/>
    <w:rsid w:val="00375982"/>
    <w:rsid w:val="00376A0E"/>
    <w:rsid w:val="003822F7"/>
    <w:rsid w:val="0038329D"/>
    <w:rsid w:val="0038380C"/>
    <w:rsid w:val="00386EEE"/>
    <w:rsid w:val="00387E96"/>
    <w:rsid w:val="003916D1"/>
    <w:rsid w:val="00393F9A"/>
    <w:rsid w:val="00394ED9"/>
    <w:rsid w:val="003965E0"/>
    <w:rsid w:val="00397EF5"/>
    <w:rsid w:val="003A12F8"/>
    <w:rsid w:val="003A31A2"/>
    <w:rsid w:val="003A5246"/>
    <w:rsid w:val="003A552C"/>
    <w:rsid w:val="003A772F"/>
    <w:rsid w:val="003B13D7"/>
    <w:rsid w:val="003B1A99"/>
    <w:rsid w:val="003B2D7F"/>
    <w:rsid w:val="003B4F50"/>
    <w:rsid w:val="003B4F5A"/>
    <w:rsid w:val="003B5B65"/>
    <w:rsid w:val="003B5CE4"/>
    <w:rsid w:val="003B6358"/>
    <w:rsid w:val="003B7148"/>
    <w:rsid w:val="003B7FD4"/>
    <w:rsid w:val="003C2D82"/>
    <w:rsid w:val="003C367F"/>
    <w:rsid w:val="003C39FD"/>
    <w:rsid w:val="003C40CF"/>
    <w:rsid w:val="003C4798"/>
    <w:rsid w:val="003C516F"/>
    <w:rsid w:val="003C5C86"/>
    <w:rsid w:val="003C759A"/>
    <w:rsid w:val="003D0C59"/>
    <w:rsid w:val="003D142A"/>
    <w:rsid w:val="003D34A3"/>
    <w:rsid w:val="003D73C2"/>
    <w:rsid w:val="003D7EBE"/>
    <w:rsid w:val="003E1E21"/>
    <w:rsid w:val="003E2173"/>
    <w:rsid w:val="003E2C02"/>
    <w:rsid w:val="003E2F82"/>
    <w:rsid w:val="003E3147"/>
    <w:rsid w:val="003E46CC"/>
    <w:rsid w:val="003E4D97"/>
    <w:rsid w:val="003E5D69"/>
    <w:rsid w:val="003E65DC"/>
    <w:rsid w:val="003E668D"/>
    <w:rsid w:val="003E6E93"/>
    <w:rsid w:val="003E7B0D"/>
    <w:rsid w:val="003F06BD"/>
    <w:rsid w:val="003F4407"/>
    <w:rsid w:val="003F5415"/>
    <w:rsid w:val="003F7579"/>
    <w:rsid w:val="00404023"/>
    <w:rsid w:val="00404E8E"/>
    <w:rsid w:val="00405912"/>
    <w:rsid w:val="00405AA0"/>
    <w:rsid w:val="004071C7"/>
    <w:rsid w:val="0041195B"/>
    <w:rsid w:val="004124D7"/>
    <w:rsid w:val="004163EB"/>
    <w:rsid w:val="00416FE4"/>
    <w:rsid w:val="004174FE"/>
    <w:rsid w:val="004207C4"/>
    <w:rsid w:val="004211BF"/>
    <w:rsid w:val="00426AE5"/>
    <w:rsid w:val="00430DD3"/>
    <w:rsid w:val="00431A3D"/>
    <w:rsid w:val="00431F94"/>
    <w:rsid w:val="00433ABA"/>
    <w:rsid w:val="00433CF4"/>
    <w:rsid w:val="00433D19"/>
    <w:rsid w:val="0043435C"/>
    <w:rsid w:val="0043436C"/>
    <w:rsid w:val="0043478F"/>
    <w:rsid w:val="00434C19"/>
    <w:rsid w:val="00434F96"/>
    <w:rsid w:val="004368D2"/>
    <w:rsid w:val="004372DF"/>
    <w:rsid w:val="004378FA"/>
    <w:rsid w:val="00437D0E"/>
    <w:rsid w:val="00442B91"/>
    <w:rsid w:val="0044392D"/>
    <w:rsid w:val="00443F88"/>
    <w:rsid w:val="00444CBE"/>
    <w:rsid w:val="00445DD3"/>
    <w:rsid w:val="00445FEC"/>
    <w:rsid w:val="00446069"/>
    <w:rsid w:val="004472DC"/>
    <w:rsid w:val="004511CA"/>
    <w:rsid w:val="004513AA"/>
    <w:rsid w:val="00451CC3"/>
    <w:rsid w:val="004523EE"/>
    <w:rsid w:val="00452EB9"/>
    <w:rsid w:val="004536A8"/>
    <w:rsid w:val="00453D47"/>
    <w:rsid w:val="00454103"/>
    <w:rsid w:val="00455DA0"/>
    <w:rsid w:val="0045689A"/>
    <w:rsid w:val="00456C10"/>
    <w:rsid w:val="004574BC"/>
    <w:rsid w:val="004611C9"/>
    <w:rsid w:val="00463DB7"/>
    <w:rsid w:val="00463DBD"/>
    <w:rsid w:val="00465D0A"/>
    <w:rsid w:val="00465D53"/>
    <w:rsid w:val="0047066B"/>
    <w:rsid w:val="0047242F"/>
    <w:rsid w:val="00472CB9"/>
    <w:rsid w:val="00475D29"/>
    <w:rsid w:val="00476736"/>
    <w:rsid w:val="00476A2D"/>
    <w:rsid w:val="004810F0"/>
    <w:rsid w:val="00483911"/>
    <w:rsid w:val="004850DB"/>
    <w:rsid w:val="00485970"/>
    <w:rsid w:val="00485F53"/>
    <w:rsid w:val="00486FFB"/>
    <w:rsid w:val="00493279"/>
    <w:rsid w:val="00493406"/>
    <w:rsid w:val="00493BC5"/>
    <w:rsid w:val="00494689"/>
    <w:rsid w:val="004975AC"/>
    <w:rsid w:val="004A027B"/>
    <w:rsid w:val="004A20C9"/>
    <w:rsid w:val="004A3DEB"/>
    <w:rsid w:val="004A489B"/>
    <w:rsid w:val="004A4B77"/>
    <w:rsid w:val="004A71C5"/>
    <w:rsid w:val="004B05E3"/>
    <w:rsid w:val="004B15CA"/>
    <w:rsid w:val="004B1F93"/>
    <w:rsid w:val="004B2F06"/>
    <w:rsid w:val="004B3204"/>
    <w:rsid w:val="004B3440"/>
    <w:rsid w:val="004B35D5"/>
    <w:rsid w:val="004B3C52"/>
    <w:rsid w:val="004B3F1F"/>
    <w:rsid w:val="004B42B5"/>
    <w:rsid w:val="004B6177"/>
    <w:rsid w:val="004B62E7"/>
    <w:rsid w:val="004B6E4B"/>
    <w:rsid w:val="004B72B7"/>
    <w:rsid w:val="004B7B0E"/>
    <w:rsid w:val="004C2AD9"/>
    <w:rsid w:val="004C3B21"/>
    <w:rsid w:val="004C3EC8"/>
    <w:rsid w:val="004C4E28"/>
    <w:rsid w:val="004C7CEF"/>
    <w:rsid w:val="004C7DB2"/>
    <w:rsid w:val="004D0783"/>
    <w:rsid w:val="004D0EF2"/>
    <w:rsid w:val="004D0FD4"/>
    <w:rsid w:val="004D1385"/>
    <w:rsid w:val="004D40B4"/>
    <w:rsid w:val="004D5DA4"/>
    <w:rsid w:val="004D721C"/>
    <w:rsid w:val="004D7B55"/>
    <w:rsid w:val="004D7F26"/>
    <w:rsid w:val="004E0309"/>
    <w:rsid w:val="004E034A"/>
    <w:rsid w:val="004E50DA"/>
    <w:rsid w:val="004E52AC"/>
    <w:rsid w:val="004E581F"/>
    <w:rsid w:val="004E5848"/>
    <w:rsid w:val="004E64C9"/>
    <w:rsid w:val="004E71F4"/>
    <w:rsid w:val="004E7473"/>
    <w:rsid w:val="004E7B54"/>
    <w:rsid w:val="004E7F27"/>
    <w:rsid w:val="004F20F1"/>
    <w:rsid w:val="004F24C0"/>
    <w:rsid w:val="004F3513"/>
    <w:rsid w:val="004F5051"/>
    <w:rsid w:val="004F6032"/>
    <w:rsid w:val="004F6751"/>
    <w:rsid w:val="004F6A93"/>
    <w:rsid w:val="004F7256"/>
    <w:rsid w:val="004F7F69"/>
    <w:rsid w:val="00501F2D"/>
    <w:rsid w:val="00502108"/>
    <w:rsid w:val="005033F0"/>
    <w:rsid w:val="005035BE"/>
    <w:rsid w:val="00504EBA"/>
    <w:rsid w:val="00504F15"/>
    <w:rsid w:val="00506082"/>
    <w:rsid w:val="00506A8B"/>
    <w:rsid w:val="00506FBD"/>
    <w:rsid w:val="0051208C"/>
    <w:rsid w:val="0051286F"/>
    <w:rsid w:val="00512BA7"/>
    <w:rsid w:val="00515BBD"/>
    <w:rsid w:val="00516E4A"/>
    <w:rsid w:val="00521892"/>
    <w:rsid w:val="00522DFC"/>
    <w:rsid w:val="00524420"/>
    <w:rsid w:val="005251AF"/>
    <w:rsid w:val="0052557E"/>
    <w:rsid w:val="00525AAF"/>
    <w:rsid w:val="005262E0"/>
    <w:rsid w:val="0053292E"/>
    <w:rsid w:val="00537BEB"/>
    <w:rsid w:val="0054242B"/>
    <w:rsid w:val="0054419D"/>
    <w:rsid w:val="00545F8B"/>
    <w:rsid w:val="005464C2"/>
    <w:rsid w:val="00546AE4"/>
    <w:rsid w:val="00546CC0"/>
    <w:rsid w:val="00547200"/>
    <w:rsid w:val="0055038E"/>
    <w:rsid w:val="00551F92"/>
    <w:rsid w:val="00552718"/>
    <w:rsid w:val="00552E3C"/>
    <w:rsid w:val="005545E0"/>
    <w:rsid w:val="00554668"/>
    <w:rsid w:val="00555E76"/>
    <w:rsid w:val="00556C61"/>
    <w:rsid w:val="005620E5"/>
    <w:rsid w:val="0056356B"/>
    <w:rsid w:val="00563EA2"/>
    <w:rsid w:val="00563F82"/>
    <w:rsid w:val="00564053"/>
    <w:rsid w:val="00566015"/>
    <w:rsid w:val="00566184"/>
    <w:rsid w:val="00566421"/>
    <w:rsid w:val="00566B11"/>
    <w:rsid w:val="005705F3"/>
    <w:rsid w:val="00571F15"/>
    <w:rsid w:val="005741ED"/>
    <w:rsid w:val="00575C29"/>
    <w:rsid w:val="00575FDE"/>
    <w:rsid w:val="00576A90"/>
    <w:rsid w:val="00577625"/>
    <w:rsid w:val="00577B37"/>
    <w:rsid w:val="00580845"/>
    <w:rsid w:val="00580B2F"/>
    <w:rsid w:val="0058247A"/>
    <w:rsid w:val="005842B0"/>
    <w:rsid w:val="005855A3"/>
    <w:rsid w:val="005901EE"/>
    <w:rsid w:val="00590382"/>
    <w:rsid w:val="00590B13"/>
    <w:rsid w:val="0059124D"/>
    <w:rsid w:val="00591DE0"/>
    <w:rsid w:val="00592388"/>
    <w:rsid w:val="00592D82"/>
    <w:rsid w:val="00593AF7"/>
    <w:rsid w:val="00593F2E"/>
    <w:rsid w:val="00595601"/>
    <w:rsid w:val="00595D2C"/>
    <w:rsid w:val="00597169"/>
    <w:rsid w:val="005A1856"/>
    <w:rsid w:val="005A52B4"/>
    <w:rsid w:val="005A780E"/>
    <w:rsid w:val="005A79F7"/>
    <w:rsid w:val="005B03C4"/>
    <w:rsid w:val="005B2A2B"/>
    <w:rsid w:val="005B3C36"/>
    <w:rsid w:val="005B400E"/>
    <w:rsid w:val="005B5B79"/>
    <w:rsid w:val="005B7291"/>
    <w:rsid w:val="005B7601"/>
    <w:rsid w:val="005C0F92"/>
    <w:rsid w:val="005C128A"/>
    <w:rsid w:val="005C595F"/>
    <w:rsid w:val="005C7ADB"/>
    <w:rsid w:val="005D0779"/>
    <w:rsid w:val="005D0999"/>
    <w:rsid w:val="005D3FF3"/>
    <w:rsid w:val="005D408E"/>
    <w:rsid w:val="005D62E4"/>
    <w:rsid w:val="005D65F7"/>
    <w:rsid w:val="005E0597"/>
    <w:rsid w:val="005E288C"/>
    <w:rsid w:val="005E34DB"/>
    <w:rsid w:val="005E5A7E"/>
    <w:rsid w:val="005E6430"/>
    <w:rsid w:val="005E6B7D"/>
    <w:rsid w:val="005F32CF"/>
    <w:rsid w:val="005F47BF"/>
    <w:rsid w:val="005F5DB0"/>
    <w:rsid w:val="005F6A8C"/>
    <w:rsid w:val="005F78CF"/>
    <w:rsid w:val="0060233F"/>
    <w:rsid w:val="00604B19"/>
    <w:rsid w:val="00607690"/>
    <w:rsid w:val="00610057"/>
    <w:rsid w:val="0061056F"/>
    <w:rsid w:val="006123FB"/>
    <w:rsid w:val="00612D83"/>
    <w:rsid w:val="00615E19"/>
    <w:rsid w:val="00616773"/>
    <w:rsid w:val="00616F8C"/>
    <w:rsid w:val="0061779E"/>
    <w:rsid w:val="006217E8"/>
    <w:rsid w:val="00622C0E"/>
    <w:rsid w:val="00623841"/>
    <w:rsid w:val="00631D6D"/>
    <w:rsid w:val="00636388"/>
    <w:rsid w:val="00640646"/>
    <w:rsid w:val="00642C42"/>
    <w:rsid w:val="006462D0"/>
    <w:rsid w:val="0064733F"/>
    <w:rsid w:val="00647474"/>
    <w:rsid w:val="00650036"/>
    <w:rsid w:val="00650F51"/>
    <w:rsid w:val="00650F5D"/>
    <w:rsid w:val="006522DA"/>
    <w:rsid w:val="0065243A"/>
    <w:rsid w:val="00652772"/>
    <w:rsid w:val="00653395"/>
    <w:rsid w:val="00653819"/>
    <w:rsid w:val="00655732"/>
    <w:rsid w:val="00655C9C"/>
    <w:rsid w:val="00656071"/>
    <w:rsid w:val="00656985"/>
    <w:rsid w:val="00657EE6"/>
    <w:rsid w:val="00657F4F"/>
    <w:rsid w:val="00660933"/>
    <w:rsid w:val="00663EF6"/>
    <w:rsid w:val="0066502C"/>
    <w:rsid w:val="0066535F"/>
    <w:rsid w:val="00667E52"/>
    <w:rsid w:val="00670768"/>
    <w:rsid w:val="0067241C"/>
    <w:rsid w:val="0067245E"/>
    <w:rsid w:val="006732F3"/>
    <w:rsid w:val="00674F4E"/>
    <w:rsid w:val="00675D2C"/>
    <w:rsid w:val="006765F7"/>
    <w:rsid w:val="00676622"/>
    <w:rsid w:val="0068110E"/>
    <w:rsid w:val="0068129F"/>
    <w:rsid w:val="00681EB1"/>
    <w:rsid w:val="00682AF3"/>
    <w:rsid w:val="00683A94"/>
    <w:rsid w:val="00683AE7"/>
    <w:rsid w:val="00683E60"/>
    <w:rsid w:val="00684A0A"/>
    <w:rsid w:val="00691F29"/>
    <w:rsid w:val="00692302"/>
    <w:rsid w:val="006941CC"/>
    <w:rsid w:val="006943B8"/>
    <w:rsid w:val="00697639"/>
    <w:rsid w:val="006978E8"/>
    <w:rsid w:val="006A1900"/>
    <w:rsid w:val="006A5EE9"/>
    <w:rsid w:val="006A7056"/>
    <w:rsid w:val="006A7213"/>
    <w:rsid w:val="006A745E"/>
    <w:rsid w:val="006B0071"/>
    <w:rsid w:val="006B0F78"/>
    <w:rsid w:val="006B1B0A"/>
    <w:rsid w:val="006B3F58"/>
    <w:rsid w:val="006B4873"/>
    <w:rsid w:val="006B4E13"/>
    <w:rsid w:val="006B66BF"/>
    <w:rsid w:val="006B7B2D"/>
    <w:rsid w:val="006B7F59"/>
    <w:rsid w:val="006C00A1"/>
    <w:rsid w:val="006C0CDC"/>
    <w:rsid w:val="006C1203"/>
    <w:rsid w:val="006C23BC"/>
    <w:rsid w:val="006C4443"/>
    <w:rsid w:val="006C568F"/>
    <w:rsid w:val="006C6D6D"/>
    <w:rsid w:val="006C714A"/>
    <w:rsid w:val="006D0458"/>
    <w:rsid w:val="006D1A0A"/>
    <w:rsid w:val="006D29EC"/>
    <w:rsid w:val="006D4920"/>
    <w:rsid w:val="006D5809"/>
    <w:rsid w:val="006D5A69"/>
    <w:rsid w:val="006D6CA1"/>
    <w:rsid w:val="006D6CAE"/>
    <w:rsid w:val="006E0FA9"/>
    <w:rsid w:val="006E462E"/>
    <w:rsid w:val="006E4F98"/>
    <w:rsid w:val="006E5683"/>
    <w:rsid w:val="006E6047"/>
    <w:rsid w:val="006E61F7"/>
    <w:rsid w:val="006E7CAA"/>
    <w:rsid w:val="006F2774"/>
    <w:rsid w:val="006F3D29"/>
    <w:rsid w:val="006F3DE5"/>
    <w:rsid w:val="006F518B"/>
    <w:rsid w:val="006F6C1D"/>
    <w:rsid w:val="006F73DE"/>
    <w:rsid w:val="006F7B60"/>
    <w:rsid w:val="007019FB"/>
    <w:rsid w:val="00702B02"/>
    <w:rsid w:val="007071AC"/>
    <w:rsid w:val="007074B4"/>
    <w:rsid w:val="0071095B"/>
    <w:rsid w:val="00711443"/>
    <w:rsid w:val="00713A36"/>
    <w:rsid w:val="007200BF"/>
    <w:rsid w:val="0072020D"/>
    <w:rsid w:val="0072096C"/>
    <w:rsid w:val="00721C48"/>
    <w:rsid w:val="00722694"/>
    <w:rsid w:val="00722882"/>
    <w:rsid w:val="0072499B"/>
    <w:rsid w:val="00724D0C"/>
    <w:rsid w:val="007307D2"/>
    <w:rsid w:val="00732667"/>
    <w:rsid w:val="00733B3B"/>
    <w:rsid w:val="00733C5C"/>
    <w:rsid w:val="00733E90"/>
    <w:rsid w:val="00734CF1"/>
    <w:rsid w:val="00735B4D"/>
    <w:rsid w:val="007373F2"/>
    <w:rsid w:val="00737E1D"/>
    <w:rsid w:val="00740190"/>
    <w:rsid w:val="00740952"/>
    <w:rsid w:val="00742B2C"/>
    <w:rsid w:val="007443B6"/>
    <w:rsid w:val="00744893"/>
    <w:rsid w:val="0074589F"/>
    <w:rsid w:val="007458C6"/>
    <w:rsid w:val="007465B6"/>
    <w:rsid w:val="007467EB"/>
    <w:rsid w:val="00750201"/>
    <w:rsid w:val="00750A20"/>
    <w:rsid w:val="00751B2F"/>
    <w:rsid w:val="00755C32"/>
    <w:rsid w:val="00760DE0"/>
    <w:rsid w:val="00761175"/>
    <w:rsid w:val="00761524"/>
    <w:rsid w:val="00762710"/>
    <w:rsid w:val="0076292D"/>
    <w:rsid w:val="007635E8"/>
    <w:rsid w:val="007640BF"/>
    <w:rsid w:val="0076446E"/>
    <w:rsid w:val="007645F3"/>
    <w:rsid w:val="00765355"/>
    <w:rsid w:val="007656D2"/>
    <w:rsid w:val="007665F7"/>
    <w:rsid w:val="00767720"/>
    <w:rsid w:val="007679DB"/>
    <w:rsid w:val="00772F80"/>
    <w:rsid w:val="007748A0"/>
    <w:rsid w:val="00776442"/>
    <w:rsid w:val="00776462"/>
    <w:rsid w:val="00777BFA"/>
    <w:rsid w:val="0078003F"/>
    <w:rsid w:val="00784222"/>
    <w:rsid w:val="007842AD"/>
    <w:rsid w:val="007842DC"/>
    <w:rsid w:val="00784C99"/>
    <w:rsid w:val="00784DCB"/>
    <w:rsid w:val="007859AE"/>
    <w:rsid w:val="00785FD7"/>
    <w:rsid w:val="0078677C"/>
    <w:rsid w:val="00786AEE"/>
    <w:rsid w:val="00786BC2"/>
    <w:rsid w:val="00787773"/>
    <w:rsid w:val="00787851"/>
    <w:rsid w:val="00787A66"/>
    <w:rsid w:val="00792663"/>
    <w:rsid w:val="007942BB"/>
    <w:rsid w:val="007978AB"/>
    <w:rsid w:val="0079797E"/>
    <w:rsid w:val="007A0290"/>
    <w:rsid w:val="007A09B7"/>
    <w:rsid w:val="007A1057"/>
    <w:rsid w:val="007A11F5"/>
    <w:rsid w:val="007A1A94"/>
    <w:rsid w:val="007A2677"/>
    <w:rsid w:val="007A4C64"/>
    <w:rsid w:val="007A4D8C"/>
    <w:rsid w:val="007A690D"/>
    <w:rsid w:val="007A6D1E"/>
    <w:rsid w:val="007B2D16"/>
    <w:rsid w:val="007B60D9"/>
    <w:rsid w:val="007B6BE9"/>
    <w:rsid w:val="007B7A0A"/>
    <w:rsid w:val="007B7BC5"/>
    <w:rsid w:val="007B7F3B"/>
    <w:rsid w:val="007C06BD"/>
    <w:rsid w:val="007C0A07"/>
    <w:rsid w:val="007C0F7F"/>
    <w:rsid w:val="007C4F95"/>
    <w:rsid w:val="007C75B5"/>
    <w:rsid w:val="007C7B75"/>
    <w:rsid w:val="007D2106"/>
    <w:rsid w:val="007D23F9"/>
    <w:rsid w:val="007D3E7C"/>
    <w:rsid w:val="007D6445"/>
    <w:rsid w:val="007E01E0"/>
    <w:rsid w:val="007E21F1"/>
    <w:rsid w:val="007E332C"/>
    <w:rsid w:val="007E3F1A"/>
    <w:rsid w:val="007E4B1E"/>
    <w:rsid w:val="007E5AB3"/>
    <w:rsid w:val="007E5CFE"/>
    <w:rsid w:val="007E5DAE"/>
    <w:rsid w:val="007E6103"/>
    <w:rsid w:val="007E63A0"/>
    <w:rsid w:val="007E6D26"/>
    <w:rsid w:val="007E79F2"/>
    <w:rsid w:val="007F01D1"/>
    <w:rsid w:val="007F0861"/>
    <w:rsid w:val="007F1478"/>
    <w:rsid w:val="007F1B26"/>
    <w:rsid w:val="007F1F09"/>
    <w:rsid w:val="007F2BE6"/>
    <w:rsid w:val="007F2E85"/>
    <w:rsid w:val="007F5422"/>
    <w:rsid w:val="007F5829"/>
    <w:rsid w:val="007F5E3E"/>
    <w:rsid w:val="007F7798"/>
    <w:rsid w:val="00803E2C"/>
    <w:rsid w:val="008049C3"/>
    <w:rsid w:val="00804CAA"/>
    <w:rsid w:val="008050D9"/>
    <w:rsid w:val="00805A14"/>
    <w:rsid w:val="008063C6"/>
    <w:rsid w:val="0080715E"/>
    <w:rsid w:val="00810C2F"/>
    <w:rsid w:val="0081210B"/>
    <w:rsid w:val="008123C7"/>
    <w:rsid w:val="00812A37"/>
    <w:rsid w:val="00813491"/>
    <w:rsid w:val="008158AA"/>
    <w:rsid w:val="00821330"/>
    <w:rsid w:val="00822EB1"/>
    <w:rsid w:val="00822F1E"/>
    <w:rsid w:val="0082398F"/>
    <w:rsid w:val="00823BA4"/>
    <w:rsid w:val="00823E9D"/>
    <w:rsid w:val="00824AEC"/>
    <w:rsid w:val="008315C4"/>
    <w:rsid w:val="00832223"/>
    <w:rsid w:val="008327EE"/>
    <w:rsid w:val="00833934"/>
    <w:rsid w:val="0083456D"/>
    <w:rsid w:val="00834991"/>
    <w:rsid w:val="0083530C"/>
    <w:rsid w:val="00837A5D"/>
    <w:rsid w:val="008402E8"/>
    <w:rsid w:val="0084061C"/>
    <w:rsid w:val="008422FC"/>
    <w:rsid w:val="00842DB6"/>
    <w:rsid w:val="008458A2"/>
    <w:rsid w:val="00847454"/>
    <w:rsid w:val="00847E08"/>
    <w:rsid w:val="00850928"/>
    <w:rsid w:val="0085769D"/>
    <w:rsid w:val="00860D7D"/>
    <w:rsid w:val="00861B1B"/>
    <w:rsid w:val="0086246E"/>
    <w:rsid w:val="00862BF2"/>
    <w:rsid w:val="00863342"/>
    <w:rsid w:val="00863371"/>
    <w:rsid w:val="00863C86"/>
    <w:rsid w:val="00867A98"/>
    <w:rsid w:val="00871385"/>
    <w:rsid w:val="00872D33"/>
    <w:rsid w:val="008730AC"/>
    <w:rsid w:val="00874625"/>
    <w:rsid w:val="00876687"/>
    <w:rsid w:val="00877B68"/>
    <w:rsid w:val="00877CEA"/>
    <w:rsid w:val="00882D5A"/>
    <w:rsid w:val="00885CF2"/>
    <w:rsid w:val="00886515"/>
    <w:rsid w:val="00891B05"/>
    <w:rsid w:val="008924A4"/>
    <w:rsid w:val="00892EF0"/>
    <w:rsid w:val="00893881"/>
    <w:rsid w:val="00894848"/>
    <w:rsid w:val="00894D89"/>
    <w:rsid w:val="008965FB"/>
    <w:rsid w:val="00896D2A"/>
    <w:rsid w:val="008A1E6F"/>
    <w:rsid w:val="008A254B"/>
    <w:rsid w:val="008A3C73"/>
    <w:rsid w:val="008A53E5"/>
    <w:rsid w:val="008A580F"/>
    <w:rsid w:val="008A5E61"/>
    <w:rsid w:val="008A6D99"/>
    <w:rsid w:val="008A76F7"/>
    <w:rsid w:val="008B060D"/>
    <w:rsid w:val="008B1ECA"/>
    <w:rsid w:val="008B2236"/>
    <w:rsid w:val="008B2C8E"/>
    <w:rsid w:val="008B3197"/>
    <w:rsid w:val="008B340E"/>
    <w:rsid w:val="008B41F1"/>
    <w:rsid w:val="008B57E3"/>
    <w:rsid w:val="008B5BF5"/>
    <w:rsid w:val="008B5C7A"/>
    <w:rsid w:val="008C10F2"/>
    <w:rsid w:val="008C11C1"/>
    <w:rsid w:val="008C1EA8"/>
    <w:rsid w:val="008C1F29"/>
    <w:rsid w:val="008C2D41"/>
    <w:rsid w:val="008C719B"/>
    <w:rsid w:val="008D028D"/>
    <w:rsid w:val="008D0715"/>
    <w:rsid w:val="008D0CE7"/>
    <w:rsid w:val="008D1EEC"/>
    <w:rsid w:val="008D2695"/>
    <w:rsid w:val="008D3139"/>
    <w:rsid w:val="008D43F5"/>
    <w:rsid w:val="008D4636"/>
    <w:rsid w:val="008D4CE4"/>
    <w:rsid w:val="008D6E44"/>
    <w:rsid w:val="008D7932"/>
    <w:rsid w:val="008E03C5"/>
    <w:rsid w:val="008E0A30"/>
    <w:rsid w:val="008E0EE8"/>
    <w:rsid w:val="008E0FCF"/>
    <w:rsid w:val="008E1280"/>
    <w:rsid w:val="008E2E93"/>
    <w:rsid w:val="008E49E4"/>
    <w:rsid w:val="008E7D28"/>
    <w:rsid w:val="008F2402"/>
    <w:rsid w:val="008F3321"/>
    <w:rsid w:val="008F5596"/>
    <w:rsid w:val="008F5B1B"/>
    <w:rsid w:val="008F5FDC"/>
    <w:rsid w:val="008F7732"/>
    <w:rsid w:val="008F7750"/>
    <w:rsid w:val="008F7D13"/>
    <w:rsid w:val="008F7D61"/>
    <w:rsid w:val="009007ED"/>
    <w:rsid w:val="00900ABD"/>
    <w:rsid w:val="009015C5"/>
    <w:rsid w:val="00902057"/>
    <w:rsid w:val="0090253B"/>
    <w:rsid w:val="00903660"/>
    <w:rsid w:val="00903FD1"/>
    <w:rsid w:val="00904AF6"/>
    <w:rsid w:val="00905159"/>
    <w:rsid w:val="00905633"/>
    <w:rsid w:val="00905F9F"/>
    <w:rsid w:val="0090601B"/>
    <w:rsid w:val="009064DA"/>
    <w:rsid w:val="009079B2"/>
    <w:rsid w:val="00907DB9"/>
    <w:rsid w:val="00912796"/>
    <w:rsid w:val="00912C52"/>
    <w:rsid w:val="0091386B"/>
    <w:rsid w:val="009142C2"/>
    <w:rsid w:val="00914D7F"/>
    <w:rsid w:val="00915C01"/>
    <w:rsid w:val="0091617C"/>
    <w:rsid w:val="00917466"/>
    <w:rsid w:val="00920E5A"/>
    <w:rsid w:val="00921CAB"/>
    <w:rsid w:val="009222BC"/>
    <w:rsid w:val="0092517F"/>
    <w:rsid w:val="0092534F"/>
    <w:rsid w:val="00925579"/>
    <w:rsid w:val="00927BEE"/>
    <w:rsid w:val="0093177D"/>
    <w:rsid w:val="00934C36"/>
    <w:rsid w:val="00935E64"/>
    <w:rsid w:val="009360E5"/>
    <w:rsid w:val="00936705"/>
    <w:rsid w:val="009374C6"/>
    <w:rsid w:val="009419A4"/>
    <w:rsid w:val="00942819"/>
    <w:rsid w:val="00943AF2"/>
    <w:rsid w:val="00943D2A"/>
    <w:rsid w:val="00945866"/>
    <w:rsid w:val="00947D5A"/>
    <w:rsid w:val="00947D8F"/>
    <w:rsid w:val="00951837"/>
    <w:rsid w:val="009520E7"/>
    <w:rsid w:val="00952AF5"/>
    <w:rsid w:val="009548ED"/>
    <w:rsid w:val="00956634"/>
    <w:rsid w:val="00956AC6"/>
    <w:rsid w:val="00956ADC"/>
    <w:rsid w:val="00956BD1"/>
    <w:rsid w:val="00957670"/>
    <w:rsid w:val="0096244C"/>
    <w:rsid w:val="00962C86"/>
    <w:rsid w:val="00963E98"/>
    <w:rsid w:val="009643C6"/>
    <w:rsid w:val="00964767"/>
    <w:rsid w:val="009648B4"/>
    <w:rsid w:val="0096683C"/>
    <w:rsid w:val="0097155B"/>
    <w:rsid w:val="00971F33"/>
    <w:rsid w:val="00973488"/>
    <w:rsid w:val="00974EB6"/>
    <w:rsid w:val="009751DC"/>
    <w:rsid w:val="00976267"/>
    <w:rsid w:val="009762E0"/>
    <w:rsid w:val="00976970"/>
    <w:rsid w:val="009832FF"/>
    <w:rsid w:val="00984A18"/>
    <w:rsid w:val="00984F4F"/>
    <w:rsid w:val="00986418"/>
    <w:rsid w:val="009927BF"/>
    <w:rsid w:val="00992D10"/>
    <w:rsid w:val="0099511C"/>
    <w:rsid w:val="0099658A"/>
    <w:rsid w:val="00996F6C"/>
    <w:rsid w:val="00997BB1"/>
    <w:rsid w:val="009A170E"/>
    <w:rsid w:val="009A274C"/>
    <w:rsid w:val="009A295D"/>
    <w:rsid w:val="009A4D5D"/>
    <w:rsid w:val="009A54A5"/>
    <w:rsid w:val="009A7393"/>
    <w:rsid w:val="009B222F"/>
    <w:rsid w:val="009B3BB8"/>
    <w:rsid w:val="009B4ACD"/>
    <w:rsid w:val="009B5A52"/>
    <w:rsid w:val="009B6445"/>
    <w:rsid w:val="009B6459"/>
    <w:rsid w:val="009C3159"/>
    <w:rsid w:val="009C436D"/>
    <w:rsid w:val="009C6888"/>
    <w:rsid w:val="009C6D42"/>
    <w:rsid w:val="009D308B"/>
    <w:rsid w:val="009D47BA"/>
    <w:rsid w:val="009D586D"/>
    <w:rsid w:val="009D5A0B"/>
    <w:rsid w:val="009D608D"/>
    <w:rsid w:val="009D650B"/>
    <w:rsid w:val="009D7ED7"/>
    <w:rsid w:val="009E12AC"/>
    <w:rsid w:val="009E17C7"/>
    <w:rsid w:val="009E31E1"/>
    <w:rsid w:val="009E3F60"/>
    <w:rsid w:val="009E7C82"/>
    <w:rsid w:val="009F0537"/>
    <w:rsid w:val="009F0A8C"/>
    <w:rsid w:val="009F1F3A"/>
    <w:rsid w:val="009F23A9"/>
    <w:rsid w:val="009F31FD"/>
    <w:rsid w:val="009F3337"/>
    <w:rsid w:val="009F3E76"/>
    <w:rsid w:val="009F3FCE"/>
    <w:rsid w:val="009F40E8"/>
    <w:rsid w:val="009F49E7"/>
    <w:rsid w:val="009F74AA"/>
    <w:rsid w:val="00A02364"/>
    <w:rsid w:val="00A026C1"/>
    <w:rsid w:val="00A02DF0"/>
    <w:rsid w:val="00A02F11"/>
    <w:rsid w:val="00A044CE"/>
    <w:rsid w:val="00A04BE3"/>
    <w:rsid w:val="00A04EFD"/>
    <w:rsid w:val="00A053DF"/>
    <w:rsid w:val="00A05656"/>
    <w:rsid w:val="00A0587D"/>
    <w:rsid w:val="00A064BF"/>
    <w:rsid w:val="00A06DF6"/>
    <w:rsid w:val="00A101AE"/>
    <w:rsid w:val="00A10DBB"/>
    <w:rsid w:val="00A11DDC"/>
    <w:rsid w:val="00A12400"/>
    <w:rsid w:val="00A125E3"/>
    <w:rsid w:val="00A13058"/>
    <w:rsid w:val="00A13E6A"/>
    <w:rsid w:val="00A148BD"/>
    <w:rsid w:val="00A1581B"/>
    <w:rsid w:val="00A1659C"/>
    <w:rsid w:val="00A16E54"/>
    <w:rsid w:val="00A17AF5"/>
    <w:rsid w:val="00A17F68"/>
    <w:rsid w:val="00A24203"/>
    <w:rsid w:val="00A26D84"/>
    <w:rsid w:val="00A306C7"/>
    <w:rsid w:val="00A30F3C"/>
    <w:rsid w:val="00A31255"/>
    <w:rsid w:val="00A34190"/>
    <w:rsid w:val="00A34744"/>
    <w:rsid w:val="00A36A10"/>
    <w:rsid w:val="00A3745B"/>
    <w:rsid w:val="00A37B36"/>
    <w:rsid w:val="00A37EC3"/>
    <w:rsid w:val="00A40398"/>
    <w:rsid w:val="00A42834"/>
    <w:rsid w:val="00A42E60"/>
    <w:rsid w:val="00A456C4"/>
    <w:rsid w:val="00A46B12"/>
    <w:rsid w:val="00A47FAD"/>
    <w:rsid w:val="00A516FF"/>
    <w:rsid w:val="00A518E3"/>
    <w:rsid w:val="00A51D52"/>
    <w:rsid w:val="00A51FB2"/>
    <w:rsid w:val="00A52C8C"/>
    <w:rsid w:val="00A5389E"/>
    <w:rsid w:val="00A558C9"/>
    <w:rsid w:val="00A5608F"/>
    <w:rsid w:val="00A56EE0"/>
    <w:rsid w:val="00A56FB2"/>
    <w:rsid w:val="00A56FFF"/>
    <w:rsid w:val="00A57969"/>
    <w:rsid w:val="00A6039F"/>
    <w:rsid w:val="00A6219F"/>
    <w:rsid w:val="00A62D85"/>
    <w:rsid w:val="00A64462"/>
    <w:rsid w:val="00A666C4"/>
    <w:rsid w:val="00A70C78"/>
    <w:rsid w:val="00A70E99"/>
    <w:rsid w:val="00A71779"/>
    <w:rsid w:val="00A7489F"/>
    <w:rsid w:val="00A7568B"/>
    <w:rsid w:val="00A75AE0"/>
    <w:rsid w:val="00A8008B"/>
    <w:rsid w:val="00A80804"/>
    <w:rsid w:val="00A8156C"/>
    <w:rsid w:val="00A826DD"/>
    <w:rsid w:val="00A82B1E"/>
    <w:rsid w:val="00A8361D"/>
    <w:rsid w:val="00A83E15"/>
    <w:rsid w:val="00A84D4F"/>
    <w:rsid w:val="00A85E43"/>
    <w:rsid w:val="00A864C4"/>
    <w:rsid w:val="00A903DC"/>
    <w:rsid w:val="00A92C42"/>
    <w:rsid w:val="00A96375"/>
    <w:rsid w:val="00AA1269"/>
    <w:rsid w:val="00AA4781"/>
    <w:rsid w:val="00AA604B"/>
    <w:rsid w:val="00AA641B"/>
    <w:rsid w:val="00AA6B80"/>
    <w:rsid w:val="00AB1B08"/>
    <w:rsid w:val="00AB21A3"/>
    <w:rsid w:val="00AB275D"/>
    <w:rsid w:val="00AB3D99"/>
    <w:rsid w:val="00AB6495"/>
    <w:rsid w:val="00AB6A20"/>
    <w:rsid w:val="00AC039A"/>
    <w:rsid w:val="00AC10D5"/>
    <w:rsid w:val="00AC1103"/>
    <w:rsid w:val="00AC1278"/>
    <w:rsid w:val="00AC1350"/>
    <w:rsid w:val="00AC2171"/>
    <w:rsid w:val="00AC2695"/>
    <w:rsid w:val="00AC288F"/>
    <w:rsid w:val="00AC2B84"/>
    <w:rsid w:val="00AC3D9D"/>
    <w:rsid w:val="00AC3F9E"/>
    <w:rsid w:val="00AC4972"/>
    <w:rsid w:val="00AC4C53"/>
    <w:rsid w:val="00AC5BA7"/>
    <w:rsid w:val="00AC6052"/>
    <w:rsid w:val="00AC708E"/>
    <w:rsid w:val="00AD15CF"/>
    <w:rsid w:val="00AD161E"/>
    <w:rsid w:val="00AD3033"/>
    <w:rsid w:val="00AD3258"/>
    <w:rsid w:val="00AD4ECD"/>
    <w:rsid w:val="00AE0672"/>
    <w:rsid w:val="00AE24DF"/>
    <w:rsid w:val="00AE3270"/>
    <w:rsid w:val="00AE32D6"/>
    <w:rsid w:val="00AE38BC"/>
    <w:rsid w:val="00AE39B0"/>
    <w:rsid w:val="00AE3D16"/>
    <w:rsid w:val="00AE4963"/>
    <w:rsid w:val="00AE4CCB"/>
    <w:rsid w:val="00AE5C3C"/>
    <w:rsid w:val="00AE6B9C"/>
    <w:rsid w:val="00AE79A0"/>
    <w:rsid w:val="00AF08E0"/>
    <w:rsid w:val="00AF0C8E"/>
    <w:rsid w:val="00AF1EE5"/>
    <w:rsid w:val="00AF27AD"/>
    <w:rsid w:val="00AF4B97"/>
    <w:rsid w:val="00AF63F5"/>
    <w:rsid w:val="00AF6500"/>
    <w:rsid w:val="00AF6DBC"/>
    <w:rsid w:val="00AF7B65"/>
    <w:rsid w:val="00AF7E22"/>
    <w:rsid w:val="00B02448"/>
    <w:rsid w:val="00B02A8C"/>
    <w:rsid w:val="00B03624"/>
    <w:rsid w:val="00B037D0"/>
    <w:rsid w:val="00B03D7F"/>
    <w:rsid w:val="00B04003"/>
    <w:rsid w:val="00B07A46"/>
    <w:rsid w:val="00B11AEE"/>
    <w:rsid w:val="00B14AD3"/>
    <w:rsid w:val="00B15C19"/>
    <w:rsid w:val="00B168A5"/>
    <w:rsid w:val="00B176A1"/>
    <w:rsid w:val="00B20236"/>
    <w:rsid w:val="00B21916"/>
    <w:rsid w:val="00B23D22"/>
    <w:rsid w:val="00B24593"/>
    <w:rsid w:val="00B24F75"/>
    <w:rsid w:val="00B2571C"/>
    <w:rsid w:val="00B30192"/>
    <w:rsid w:val="00B31EEE"/>
    <w:rsid w:val="00B32281"/>
    <w:rsid w:val="00B32EB4"/>
    <w:rsid w:val="00B34D5D"/>
    <w:rsid w:val="00B34D97"/>
    <w:rsid w:val="00B35D12"/>
    <w:rsid w:val="00B3752D"/>
    <w:rsid w:val="00B37716"/>
    <w:rsid w:val="00B407BE"/>
    <w:rsid w:val="00B4210E"/>
    <w:rsid w:val="00B42B26"/>
    <w:rsid w:val="00B43104"/>
    <w:rsid w:val="00B440FA"/>
    <w:rsid w:val="00B51705"/>
    <w:rsid w:val="00B517A6"/>
    <w:rsid w:val="00B52140"/>
    <w:rsid w:val="00B53170"/>
    <w:rsid w:val="00B53D9D"/>
    <w:rsid w:val="00B54A1B"/>
    <w:rsid w:val="00B57CC8"/>
    <w:rsid w:val="00B60BCE"/>
    <w:rsid w:val="00B61AEC"/>
    <w:rsid w:val="00B61F54"/>
    <w:rsid w:val="00B633CD"/>
    <w:rsid w:val="00B64B34"/>
    <w:rsid w:val="00B66B24"/>
    <w:rsid w:val="00B66E46"/>
    <w:rsid w:val="00B66E4E"/>
    <w:rsid w:val="00B716F8"/>
    <w:rsid w:val="00B71AC3"/>
    <w:rsid w:val="00B728D8"/>
    <w:rsid w:val="00B72A55"/>
    <w:rsid w:val="00B731CC"/>
    <w:rsid w:val="00B7365D"/>
    <w:rsid w:val="00B73FC7"/>
    <w:rsid w:val="00B74AD6"/>
    <w:rsid w:val="00B74BDF"/>
    <w:rsid w:val="00B74FCB"/>
    <w:rsid w:val="00B75C3B"/>
    <w:rsid w:val="00B8203D"/>
    <w:rsid w:val="00B835A6"/>
    <w:rsid w:val="00B86473"/>
    <w:rsid w:val="00B911E2"/>
    <w:rsid w:val="00B91ACA"/>
    <w:rsid w:val="00B9236C"/>
    <w:rsid w:val="00B94DFB"/>
    <w:rsid w:val="00B94EB0"/>
    <w:rsid w:val="00B97CD1"/>
    <w:rsid w:val="00BA046C"/>
    <w:rsid w:val="00BA0D73"/>
    <w:rsid w:val="00BA196E"/>
    <w:rsid w:val="00BA1B9F"/>
    <w:rsid w:val="00BA1DB2"/>
    <w:rsid w:val="00BA4A05"/>
    <w:rsid w:val="00BA7F3D"/>
    <w:rsid w:val="00BB01F2"/>
    <w:rsid w:val="00BB1A2A"/>
    <w:rsid w:val="00BB40E5"/>
    <w:rsid w:val="00BB4DD2"/>
    <w:rsid w:val="00BB7AFC"/>
    <w:rsid w:val="00BB7DC6"/>
    <w:rsid w:val="00BC21B4"/>
    <w:rsid w:val="00BC2210"/>
    <w:rsid w:val="00BC2883"/>
    <w:rsid w:val="00BC2AA1"/>
    <w:rsid w:val="00BC3A97"/>
    <w:rsid w:val="00BC490F"/>
    <w:rsid w:val="00BC663C"/>
    <w:rsid w:val="00BC7693"/>
    <w:rsid w:val="00BD0333"/>
    <w:rsid w:val="00BD2269"/>
    <w:rsid w:val="00BD2671"/>
    <w:rsid w:val="00BD28D9"/>
    <w:rsid w:val="00BD2DA6"/>
    <w:rsid w:val="00BD3273"/>
    <w:rsid w:val="00BD53AD"/>
    <w:rsid w:val="00BD5D1B"/>
    <w:rsid w:val="00BD63A9"/>
    <w:rsid w:val="00BD6646"/>
    <w:rsid w:val="00BD6D1A"/>
    <w:rsid w:val="00BD72CC"/>
    <w:rsid w:val="00BD737D"/>
    <w:rsid w:val="00BE0237"/>
    <w:rsid w:val="00BE04E4"/>
    <w:rsid w:val="00BE3132"/>
    <w:rsid w:val="00BE4E68"/>
    <w:rsid w:val="00BE672A"/>
    <w:rsid w:val="00BE7ADB"/>
    <w:rsid w:val="00BF15D2"/>
    <w:rsid w:val="00BF1608"/>
    <w:rsid w:val="00BF18BC"/>
    <w:rsid w:val="00BF4A4C"/>
    <w:rsid w:val="00BF55F5"/>
    <w:rsid w:val="00BF615B"/>
    <w:rsid w:val="00BF626B"/>
    <w:rsid w:val="00BF6309"/>
    <w:rsid w:val="00BF7640"/>
    <w:rsid w:val="00BF7BA0"/>
    <w:rsid w:val="00C01432"/>
    <w:rsid w:val="00C01E31"/>
    <w:rsid w:val="00C04381"/>
    <w:rsid w:val="00C10887"/>
    <w:rsid w:val="00C11BCD"/>
    <w:rsid w:val="00C15339"/>
    <w:rsid w:val="00C174DE"/>
    <w:rsid w:val="00C1794A"/>
    <w:rsid w:val="00C17D62"/>
    <w:rsid w:val="00C20C1E"/>
    <w:rsid w:val="00C20CEC"/>
    <w:rsid w:val="00C210DA"/>
    <w:rsid w:val="00C22B70"/>
    <w:rsid w:val="00C26C32"/>
    <w:rsid w:val="00C30727"/>
    <w:rsid w:val="00C32423"/>
    <w:rsid w:val="00C33478"/>
    <w:rsid w:val="00C345C3"/>
    <w:rsid w:val="00C353C5"/>
    <w:rsid w:val="00C36003"/>
    <w:rsid w:val="00C36378"/>
    <w:rsid w:val="00C374DE"/>
    <w:rsid w:val="00C37D4E"/>
    <w:rsid w:val="00C41248"/>
    <w:rsid w:val="00C424FB"/>
    <w:rsid w:val="00C428E2"/>
    <w:rsid w:val="00C42A9E"/>
    <w:rsid w:val="00C43D66"/>
    <w:rsid w:val="00C43FB7"/>
    <w:rsid w:val="00C4696F"/>
    <w:rsid w:val="00C51965"/>
    <w:rsid w:val="00C527D1"/>
    <w:rsid w:val="00C533A1"/>
    <w:rsid w:val="00C565EC"/>
    <w:rsid w:val="00C56A0C"/>
    <w:rsid w:val="00C574DE"/>
    <w:rsid w:val="00C57D31"/>
    <w:rsid w:val="00C57F26"/>
    <w:rsid w:val="00C611B3"/>
    <w:rsid w:val="00C618D1"/>
    <w:rsid w:val="00C629E7"/>
    <w:rsid w:val="00C62BC5"/>
    <w:rsid w:val="00C6367B"/>
    <w:rsid w:val="00C643F7"/>
    <w:rsid w:val="00C64575"/>
    <w:rsid w:val="00C6480F"/>
    <w:rsid w:val="00C66FCE"/>
    <w:rsid w:val="00C6737E"/>
    <w:rsid w:val="00C67477"/>
    <w:rsid w:val="00C7010E"/>
    <w:rsid w:val="00C7213A"/>
    <w:rsid w:val="00C72512"/>
    <w:rsid w:val="00C730CA"/>
    <w:rsid w:val="00C736C3"/>
    <w:rsid w:val="00C74A00"/>
    <w:rsid w:val="00C754D0"/>
    <w:rsid w:val="00C7552C"/>
    <w:rsid w:val="00C758A6"/>
    <w:rsid w:val="00C75B81"/>
    <w:rsid w:val="00C76565"/>
    <w:rsid w:val="00C7798E"/>
    <w:rsid w:val="00C80962"/>
    <w:rsid w:val="00C80E2A"/>
    <w:rsid w:val="00C83649"/>
    <w:rsid w:val="00C838D6"/>
    <w:rsid w:val="00C83CD4"/>
    <w:rsid w:val="00C83CE2"/>
    <w:rsid w:val="00C90947"/>
    <w:rsid w:val="00C91AF6"/>
    <w:rsid w:val="00C92BF4"/>
    <w:rsid w:val="00C93055"/>
    <w:rsid w:val="00C93636"/>
    <w:rsid w:val="00C9388B"/>
    <w:rsid w:val="00C93912"/>
    <w:rsid w:val="00C9592A"/>
    <w:rsid w:val="00C97E68"/>
    <w:rsid w:val="00CA2DA1"/>
    <w:rsid w:val="00CA4AD6"/>
    <w:rsid w:val="00CA5267"/>
    <w:rsid w:val="00CB05BC"/>
    <w:rsid w:val="00CB3B9E"/>
    <w:rsid w:val="00CB441F"/>
    <w:rsid w:val="00CB6209"/>
    <w:rsid w:val="00CB6775"/>
    <w:rsid w:val="00CB7C21"/>
    <w:rsid w:val="00CB7E2C"/>
    <w:rsid w:val="00CC070C"/>
    <w:rsid w:val="00CC097A"/>
    <w:rsid w:val="00CC0F23"/>
    <w:rsid w:val="00CC11EC"/>
    <w:rsid w:val="00CC1322"/>
    <w:rsid w:val="00CC1BE1"/>
    <w:rsid w:val="00CC2718"/>
    <w:rsid w:val="00CC7C21"/>
    <w:rsid w:val="00CD007F"/>
    <w:rsid w:val="00CD0EB2"/>
    <w:rsid w:val="00CD17CA"/>
    <w:rsid w:val="00CD2D2D"/>
    <w:rsid w:val="00CD2D9D"/>
    <w:rsid w:val="00CD3940"/>
    <w:rsid w:val="00CD5387"/>
    <w:rsid w:val="00CD5C10"/>
    <w:rsid w:val="00CD7FAE"/>
    <w:rsid w:val="00CE0436"/>
    <w:rsid w:val="00CE1590"/>
    <w:rsid w:val="00CE4826"/>
    <w:rsid w:val="00CE5ABD"/>
    <w:rsid w:val="00CE6985"/>
    <w:rsid w:val="00CF06A1"/>
    <w:rsid w:val="00CF32FB"/>
    <w:rsid w:val="00CF5AC1"/>
    <w:rsid w:val="00CF646F"/>
    <w:rsid w:val="00D0185C"/>
    <w:rsid w:val="00D04EB0"/>
    <w:rsid w:val="00D05F6D"/>
    <w:rsid w:val="00D06442"/>
    <w:rsid w:val="00D066B4"/>
    <w:rsid w:val="00D06E4B"/>
    <w:rsid w:val="00D10840"/>
    <w:rsid w:val="00D129AA"/>
    <w:rsid w:val="00D13C77"/>
    <w:rsid w:val="00D14567"/>
    <w:rsid w:val="00D147B4"/>
    <w:rsid w:val="00D14D83"/>
    <w:rsid w:val="00D178D7"/>
    <w:rsid w:val="00D2078C"/>
    <w:rsid w:val="00D20A33"/>
    <w:rsid w:val="00D20A68"/>
    <w:rsid w:val="00D21DFB"/>
    <w:rsid w:val="00D224EC"/>
    <w:rsid w:val="00D22A4C"/>
    <w:rsid w:val="00D236E2"/>
    <w:rsid w:val="00D260F7"/>
    <w:rsid w:val="00D268CE"/>
    <w:rsid w:val="00D27690"/>
    <w:rsid w:val="00D276B3"/>
    <w:rsid w:val="00D30FB0"/>
    <w:rsid w:val="00D32754"/>
    <w:rsid w:val="00D32F10"/>
    <w:rsid w:val="00D34607"/>
    <w:rsid w:val="00D34EE9"/>
    <w:rsid w:val="00D34F80"/>
    <w:rsid w:val="00D35EDA"/>
    <w:rsid w:val="00D35F58"/>
    <w:rsid w:val="00D40D36"/>
    <w:rsid w:val="00D41383"/>
    <w:rsid w:val="00D414B1"/>
    <w:rsid w:val="00D42D18"/>
    <w:rsid w:val="00D43157"/>
    <w:rsid w:val="00D43803"/>
    <w:rsid w:val="00D449AE"/>
    <w:rsid w:val="00D50523"/>
    <w:rsid w:val="00D5077E"/>
    <w:rsid w:val="00D52993"/>
    <w:rsid w:val="00D55017"/>
    <w:rsid w:val="00D561C4"/>
    <w:rsid w:val="00D57821"/>
    <w:rsid w:val="00D600E6"/>
    <w:rsid w:val="00D60768"/>
    <w:rsid w:val="00D6229A"/>
    <w:rsid w:val="00D6232A"/>
    <w:rsid w:val="00D632A9"/>
    <w:rsid w:val="00D64E43"/>
    <w:rsid w:val="00D6531E"/>
    <w:rsid w:val="00D66ACA"/>
    <w:rsid w:val="00D66C06"/>
    <w:rsid w:val="00D70761"/>
    <w:rsid w:val="00D7082B"/>
    <w:rsid w:val="00D70A86"/>
    <w:rsid w:val="00D70C62"/>
    <w:rsid w:val="00D72438"/>
    <w:rsid w:val="00D7254D"/>
    <w:rsid w:val="00D726E7"/>
    <w:rsid w:val="00D7331E"/>
    <w:rsid w:val="00D74204"/>
    <w:rsid w:val="00D74D70"/>
    <w:rsid w:val="00D7693F"/>
    <w:rsid w:val="00D76C11"/>
    <w:rsid w:val="00D76F46"/>
    <w:rsid w:val="00D80693"/>
    <w:rsid w:val="00D82D2E"/>
    <w:rsid w:val="00D83DAF"/>
    <w:rsid w:val="00D8762B"/>
    <w:rsid w:val="00D90F4D"/>
    <w:rsid w:val="00D95B86"/>
    <w:rsid w:val="00D966C7"/>
    <w:rsid w:val="00D96E4D"/>
    <w:rsid w:val="00D97AE5"/>
    <w:rsid w:val="00DA0F62"/>
    <w:rsid w:val="00DA1A5F"/>
    <w:rsid w:val="00DA303F"/>
    <w:rsid w:val="00DA57E2"/>
    <w:rsid w:val="00DA5FF1"/>
    <w:rsid w:val="00DB0575"/>
    <w:rsid w:val="00DB0E6C"/>
    <w:rsid w:val="00DB4452"/>
    <w:rsid w:val="00DB4862"/>
    <w:rsid w:val="00DB586F"/>
    <w:rsid w:val="00DB5BF6"/>
    <w:rsid w:val="00DB60C6"/>
    <w:rsid w:val="00DC0F2C"/>
    <w:rsid w:val="00DC103A"/>
    <w:rsid w:val="00DC2507"/>
    <w:rsid w:val="00DC255F"/>
    <w:rsid w:val="00DC3EF3"/>
    <w:rsid w:val="00DC705D"/>
    <w:rsid w:val="00DC7C24"/>
    <w:rsid w:val="00DD02D4"/>
    <w:rsid w:val="00DD2543"/>
    <w:rsid w:val="00DD4893"/>
    <w:rsid w:val="00DD5BF4"/>
    <w:rsid w:val="00DD5FE5"/>
    <w:rsid w:val="00DE11C5"/>
    <w:rsid w:val="00DE15FA"/>
    <w:rsid w:val="00DE187A"/>
    <w:rsid w:val="00DE21B6"/>
    <w:rsid w:val="00DE292C"/>
    <w:rsid w:val="00DE30F9"/>
    <w:rsid w:val="00DE508F"/>
    <w:rsid w:val="00DE5415"/>
    <w:rsid w:val="00DE71FF"/>
    <w:rsid w:val="00DE7675"/>
    <w:rsid w:val="00DE78CE"/>
    <w:rsid w:val="00DF0E43"/>
    <w:rsid w:val="00DF5227"/>
    <w:rsid w:val="00DF7630"/>
    <w:rsid w:val="00DF7B44"/>
    <w:rsid w:val="00E0206E"/>
    <w:rsid w:val="00E02760"/>
    <w:rsid w:val="00E02FA9"/>
    <w:rsid w:val="00E035CB"/>
    <w:rsid w:val="00E05666"/>
    <w:rsid w:val="00E05D3C"/>
    <w:rsid w:val="00E06BE1"/>
    <w:rsid w:val="00E071DC"/>
    <w:rsid w:val="00E074E0"/>
    <w:rsid w:val="00E100A7"/>
    <w:rsid w:val="00E1177B"/>
    <w:rsid w:val="00E117F4"/>
    <w:rsid w:val="00E124BD"/>
    <w:rsid w:val="00E13239"/>
    <w:rsid w:val="00E1326D"/>
    <w:rsid w:val="00E160FD"/>
    <w:rsid w:val="00E16322"/>
    <w:rsid w:val="00E16C93"/>
    <w:rsid w:val="00E16D97"/>
    <w:rsid w:val="00E21682"/>
    <w:rsid w:val="00E223D8"/>
    <w:rsid w:val="00E22526"/>
    <w:rsid w:val="00E25607"/>
    <w:rsid w:val="00E277E1"/>
    <w:rsid w:val="00E27F06"/>
    <w:rsid w:val="00E32119"/>
    <w:rsid w:val="00E325DF"/>
    <w:rsid w:val="00E3662C"/>
    <w:rsid w:val="00E36B8B"/>
    <w:rsid w:val="00E41374"/>
    <w:rsid w:val="00E415AE"/>
    <w:rsid w:val="00E41645"/>
    <w:rsid w:val="00E424E7"/>
    <w:rsid w:val="00E45B5E"/>
    <w:rsid w:val="00E46D67"/>
    <w:rsid w:val="00E46E7E"/>
    <w:rsid w:val="00E47019"/>
    <w:rsid w:val="00E4765A"/>
    <w:rsid w:val="00E504FB"/>
    <w:rsid w:val="00E506A3"/>
    <w:rsid w:val="00E50AAA"/>
    <w:rsid w:val="00E52637"/>
    <w:rsid w:val="00E52C69"/>
    <w:rsid w:val="00E53681"/>
    <w:rsid w:val="00E53A45"/>
    <w:rsid w:val="00E53E07"/>
    <w:rsid w:val="00E540CF"/>
    <w:rsid w:val="00E5643B"/>
    <w:rsid w:val="00E64B0C"/>
    <w:rsid w:val="00E6654F"/>
    <w:rsid w:val="00E6694D"/>
    <w:rsid w:val="00E66A83"/>
    <w:rsid w:val="00E677AA"/>
    <w:rsid w:val="00E67F1F"/>
    <w:rsid w:val="00E7180B"/>
    <w:rsid w:val="00E71FD5"/>
    <w:rsid w:val="00E72385"/>
    <w:rsid w:val="00E72743"/>
    <w:rsid w:val="00E72DEE"/>
    <w:rsid w:val="00E742E6"/>
    <w:rsid w:val="00E76C6E"/>
    <w:rsid w:val="00E77784"/>
    <w:rsid w:val="00E77921"/>
    <w:rsid w:val="00E77A5A"/>
    <w:rsid w:val="00E77C7E"/>
    <w:rsid w:val="00E804E1"/>
    <w:rsid w:val="00E8096C"/>
    <w:rsid w:val="00E813B3"/>
    <w:rsid w:val="00E81FA7"/>
    <w:rsid w:val="00E859F9"/>
    <w:rsid w:val="00E8602F"/>
    <w:rsid w:val="00E865F9"/>
    <w:rsid w:val="00E869AE"/>
    <w:rsid w:val="00E86CC6"/>
    <w:rsid w:val="00E87038"/>
    <w:rsid w:val="00E87403"/>
    <w:rsid w:val="00E876A1"/>
    <w:rsid w:val="00E90856"/>
    <w:rsid w:val="00E913D4"/>
    <w:rsid w:val="00E91D56"/>
    <w:rsid w:val="00E92544"/>
    <w:rsid w:val="00E9257B"/>
    <w:rsid w:val="00E9369A"/>
    <w:rsid w:val="00E93C6F"/>
    <w:rsid w:val="00E941B6"/>
    <w:rsid w:val="00E9488A"/>
    <w:rsid w:val="00E9519A"/>
    <w:rsid w:val="00E975CC"/>
    <w:rsid w:val="00E9770C"/>
    <w:rsid w:val="00EA017C"/>
    <w:rsid w:val="00EA2392"/>
    <w:rsid w:val="00EA3E26"/>
    <w:rsid w:val="00EA494B"/>
    <w:rsid w:val="00EA49BE"/>
    <w:rsid w:val="00EA4B9B"/>
    <w:rsid w:val="00EA52EB"/>
    <w:rsid w:val="00EA74C9"/>
    <w:rsid w:val="00EA7660"/>
    <w:rsid w:val="00EA7B7E"/>
    <w:rsid w:val="00EB098D"/>
    <w:rsid w:val="00EB0A09"/>
    <w:rsid w:val="00EB0BF8"/>
    <w:rsid w:val="00EB0E44"/>
    <w:rsid w:val="00EB1A8E"/>
    <w:rsid w:val="00EB1CFB"/>
    <w:rsid w:val="00EB5BA2"/>
    <w:rsid w:val="00EB63D1"/>
    <w:rsid w:val="00EB6AEC"/>
    <w:rsid w:val="00EC3104"/>
    <w:rsid w:val="00EC43EE"/>
    <w:rsid w:val="00EC4C81"/>
    <w:rsid w:val="00EC4F9C"/>
    <w:rsid w:val="00EC67ED"/>
    <w:rsid w:val="00ED0623"/>
    <w:rsid w:val="00ED0901"/>
    <w:rsid w:val="00ED2205"/>
    <w:rsid w:val="00ED29F9"/>
    <w:rsid w:val="00ED45FD"/>
    <w:rsid w:val="00ED5591"/>
    <w:rsid w:val="00EE007B"/>
    <w:rsid w:val="00EE100C"/>
    <w:rsid w:val="00EE12F7"/>
    <w:rsid w:val="00EE376C"/>
    <w:rsid w:val="00EE4E4C"/>
    <w:rsid w:val="00EE63E0"/>
    <w:rsid w:val="00EE6A38"/>
    <w:rsid w:val="00EF0E7C"/>
    <w:rsid w:val="00EF1084"/>
    <w:rsid w:val="00EF14CC"/>
    <w:rsid w:val="00EF1EAE"/>
    <w:rsid w:val="00EF22C2"/>
    <w:rsid w:val="00EF2852"/>
    <w:rsid w:val="00EF2D38"/>
    <w:rsid w:val="00EF2D57"/>
    <w:rsid w:val="00EF3972"/>
    <w:rsid w:val="00EF3E7C"/>
    <w:rsid w:val="00EF4546"/>
    <w:rsid w:val="00EF4748"/>
    <w:rsid w:val="00EF6872"/>
    <w:rsid w:val="00EF713A"/>
    <w:rsid w:val="00EF72A6"/>
    <w:rsid w:val="00EF7BC5"/>
    <w:rsid w:val="00EF7FAD"/>
    <w:rsid w:val="00F01F53"/>
    <w:rsid w:val="00F020BF"/>
    <w:rsid w:val="00F03BF7"/>
    <w:rsid w:val="00F04445"/>
    <w:rsid w:val="00F046CC"/>
    <w:rsid w:val="00F06C32"/>
    <w:rsid w:val="00F1096E"/>
    <w:rsid w:val="00F10E8A"/>
    <w:rsid w:val="00F11068"/>
    <w:rsid w:val="00F11386"/>
    <w:rsid w:val="00F11397"/>
    <w:rsid w:val="00F12643"/>
    <w:rsid w:val="00F1290E"/>
    <w:rsid w:val="00F14B97"/>
    <w:rsid w:val="00F14DB7"/>
    <w:rsid w:val="00F210C1"/>
    <w:rsid w:val="00F211C2"/>
    <w:rsid w:val="00F21BED"/>
    <w:rsid w:val="00F21C99"/>
    <w:rsid w:val="00F22B22"/>
    <w:rsid w:val="00F249BC"/>
    <w:rsid w:val="00F249E8"/>
    <w:rsid w:val="00F25684"/>
    <w:rsid w:val="00F273C1"/>
    <w:rsid w:val="00F302A2"/>
    <w:rsid w:val="00F3078E"/>
    <w:rsid w:val="00F32C9F"/>
    <w:rsid w:val="00F341CA"/>
    <w:rsid w:val="00F36DE5"/>
    <w:rsid w:val="00F37BFD"/>
    <w:rsid w:val="00F37E84"/>
    <w:rsid w:val="00F41056"/>
    <w:rsid w:val="00F41199"/>
    <w:rsid w:val="00F41E60"/>
    <w:rsid w:val="00F422B5"/>
    <w:rsid w:val="00F42463"/>
    <w:rsid w:val="00F431F9"/>
    <w:rsid w:val="00F43947"/>
    <w:rsid w:val="00F4401B"/>
    <w:rsid w:val="00F47C70"/>
    <w:rsid w:val="00F50200"/>
    <w:rsid w:val="00F50889"/>
    <w:rsid w:val="00F51A00"/>
    <w:rsid w:val="00F530CA"/>
    <w:rsid w:val="00F5326F"/>
    <w:rsid w:val="00F54468"/>
    <w:rsid w:val="00F54FE0"/>
    <w:rsid w:val="00F57C9B"/>
    <w:rsid w:val="00F629CE"/>
    <w:rsid w:val="00F633B9"/>
    <w:rsid w:val="00F63D81"/>
    <w:rsid w:val="00F65764"/>
    <w:rsid w:val="00F658E9"/>
    <w:rsid w:val="00F71830"/>
    <w:rsid w:val="00F730BF"/>
    <w:rsid w:val="00F746A5"/>
    <w:rsid w:val="00F76327"/>
    <w:rsid w:val="00F76FAF"/>
    <w:rsid w:val="00F77B3A"/>
    <w:rsid w:val="00F80ADC"/>
    <w:rsid w:val="00F80FE1"/>
    <w:rsid w:val="00F81C63"/>
    <w:rsid w:val="00F82422"/>
    <w:rsid w:val="00F836C3"/>
    <w:rsid w:val="00F83759"/>
    <w:rsid w:val="00F839A8"/>
    <w:rsid w:val="00F84227"/>
    <w:rsid w:val="00F84FA1"/>
    <w:rsid w:val="00F85533"/>
    <w:rsid w:val="00F86494"/>
    <w:rsid w:val="00F93A96"/>
    <w:rsid w:val="00F94BED"/>
    <w:rsid w:val="00F969B0"/>
    <w:rsid w:val="00F96A90"/>
    <w:rsid w:val="00FA08F8"/>
    <w:rsid w:val="00FA1045"/>
    <w:rsid w:val="00FA2B19"/>
    <w:rsid w:val="00FA2B1F"/>
    <w:rsid w:val="00FA6360"/>
    <w:rsid w:val="00FA668D"/>
    <w:rsid w:val="00FA6A86"/>
    <w:rsid w:val="00FA6A94"/>
    <w:rsid w:val="00FA7111"/>
    <w:rsid w:val="00FB0285"/>
    <w:rsid w:val="00FB0DD9"/>
    <w:rsid w:val="00FB16DA"/>
    <w:rsid w:val="00FB33A3"/>
    <w:rsid w:val="00FB3D36"/>
    <w:rsid w:val="00FB43EA"/>
    <w:rsid w:val="00FB6966"/>
    <w:rsid w:val="00FB77A3"/>
    <w:rsid w:val="00FC0695"/>
    <w:rsid w:val="00FC07CD"/>
    <w:rsid w:val="00FC1666"/>
    <w:rsid w:val="00FC20BD"/>
    <w:rsid w:val="00FC5ECF"/>
    <w:rsid w:val="00FC6C7E"/>
    <w:rsid w:val="00FD205A"/>
    <w:rsid w:val="00FD2174"/>
    <w:rsid w:val="00FE06FD"/>
    <w:rsid w:val="00FE1520"/>
    <w:rsid w:val="00FE35E3"/>
    <w:rsid w:val="00FE4CBE"/>
    <w:rsid w:val="00FE6674"/>
    <w:rsid w:val="00FE7F4E"/>
    <w:rsid w:val="00FF0D71"/>
    <w:rsid w:val="00FF46AB"/>
    <w:rsid w:val="00FF70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6ADE3"/>
  <w15:docId w15:val="{8941ADF5-EB98-4A71-8411-98C2E774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56241"/>
  </w:style>
  <w:style w:type="paragraph" w:styleId="Kop1">
    <w:name w:val="heading 1"/>
    <w:basedOn w:val="Standaard"/>
    <w:next w:val="Standaard"/>
    <w:link w:val="Kop1Char"/>
    <w:uiPriority w:val="9"/>
    <w:qFormat/>
    <w:rsid w:val="00096932"/>
    <w:pPr>
      <w:keepNext/>
      <w:keepLines/>
      <w:numPr>
        <w:numId w:val="1"/>
      </w:numPr>
      <w:spacing w:before="240" w:after="0" w:line="360" w:lineRule="auto"/>
      <w:jc w:val="both"/>
      <w:outlineLvl w:val="0"/>
    </w:pPr>
    <w:rPr>
      <w:rFonts w:ascii="Arial" w:eastAsiaTheme="majorEastAsia" w:hAnsi="Arial" w:cs="Arial"/>
      <w:b/>
      <w:sz w:val="32"/>
      <w:szCs w:val="32"/>
      <w:u w:color="A8D08D" w:themeColor="accent6" w:themeTint="99"/>
      <w:lang w:val="en-GB"/>
    </w:rPr>
  </w:style>
  <w:style w:type="paragraph" w:styleId="Kop2">
    <w:name w:val="heading 2"/>
    <w:basedOn w:val="Standaard"/>
    <w:next w:val="Standaard"/>
    <w:link w:val="Kop2Char"/>
    <w:uiPriority w:val="9"/>
    <w:unhideWhenUsed/>
    <w:qFormat/>
    <w:rsid w:val="00096932"/>
    <w:pPr>
      <w:keepNext/>
      <w:keepLines/>
      <w:numPr>
        <w:ilvl w:val="1"/>
        <w:numId w:val="1"/>
      </w:numPr>
      <w:spacing w:before="40" w:after="0" w:line="360" w:lineRule="auto"/>
      <w:jc w:val="both"/>
      <w:outlineLvl w:val="1"/>
    </w:pPr>
    <w:rPr>
      <w:rFonts w:ascii="Arial" w:eastAsiaTheme="majorEastAsia" w:hAnsi="Arial" w:cs="Arial"/>
      <w:sz w:val="28"/>
      <w:szCs w:val="28"/>
      <w:lang w:val="en-GB"/>
    </w:rPr>
  </w:style>
  <w:style w:type="paragraph" w:styleId="Kop3">
    <w:name w:val="heading 3"/>
    <w:basedOn w:val="Standaard"/>
    <w:next w:val="Standaard"/>
    <w:link w:val="Kop3Char"/>
    <w:uiPriority w:val="9"/>
    <w:unhideWhenUsed/>
    <w:qFormat/>
    <w:rsid w:val="00096932"/>
    <w:pPr>
      <w:keepNext/>
      <w:keepLines/>
      <w:numPr>
        <w:ilvl w:val="2"/>
        <w:numId w:val="1"/>
      </w:numPr>
      <w:spacing w:before="40" w:after="0" w:line="360" w:lineRule="auto"/>
      <w:jc w:val="both"/>
      <w:outlineLvl w:val="2"/>
    </w:pPr>
    <w:rPr>
      <w:rFonts w:ascii="Arial" w:eastAsiaTheme="majorEastAsia" w:hAnsi="Arial" w:cs="Arial"/>
      <w:b/>
      <w:sz w:val="26"/>
      <w:szCs w:val="26"/>
      <w:lang w:val="en-GB"/>
    </w:rPr>
  </w:style>
  <w:style w:type="paragraph" w:styleId="Kop4">
    <w:name w:val="heading 4"/>
    <w:basedOn w:val="Standaard"/>
    <w:next w:val="Standaard"/>
    <w:link w:val="Kop4Char"/>
    <w:uiPriority w:val="9"/>
    <w:unhideWhenUsed/>
    <w:qFormat/>
    <w:rsid w:val="00096932"/>
    <w:pPr>
      <w:keepNext/>
      <w:keepLines/>
      <w:numPr>
        <w:ilvl w:val="3"/>
        <w:numId w:val="1"/>
      </w:numPr>
      <w:spacing w:before="40" w:after="0" w:line="360" w:lineRule="auto"/>
      <w:jc w:val="both"/>
      <w:outlineLvl w:val="3"/>
    </w:pPr>
    <w:rPr>
      <w:rFonts w:ascii="Arial" w:eastAsiaTheme="majorEastAsia" w:hAnsi="Arial" w:cs="Arial"/>
      <w:i/>
      <w:iCs/>
      <w:sz w:val="24"/>
      <w:szCs w:val="24"/>
      <w:lang w:val="en-GB"/>
    </w:rPr>
  </w:style>
  <w:style w:type="paragraph" w:styleId="Kop5">
    <w:name w:val="heading 5"/>
    <w:basedOn w:val="Standaard"/>
    <w:next w:val="Standaard"/>
    <w:link w:val="Kop5Char"/>
    <w:autoRedefine/>
    <w:uiPriority w:val="9"/>
    <w:unhideWhenUsed/>
    <w:qFormat/>
    <w:rsid w:val="004071C7"/>
    <w:pPr>
      <w:keepNext/>
      <w:keepLines/>
      <w:spacing w:before="40" w:after="0" w:line="360" w:lineRule="auto"/>
      <w:ind w:left="1008" w:hanging="1008"/>
      <w:outlineLvl w:val="4"/>
    </w:pPr>
    <w:rPr>
      <w:rFonts w:ascii="Arial" w:hAnsi="Arial" w:cs="Arial"/>
      <w:sz w:val="20"/>
      <w:lang w:val="en-GB"/>
    </w:rPr>
  </w:style>
  <w:style w:type="paragraph" w:styleId="Kop6">
    <w:name w:val="heading 6"/>
    <w:basedOn w:val="Standaard"/>
    <w:next w:val="Standaard"/>
    <w:link w:val="Kop6Char"/>
    <w:uiPriority w:val="9"/>
    <w:semiHidden/>
    <w:unhideWhenUsed/>
    <w:qFormat/>
    <w:rsid w:val="0009693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9693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9693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9693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32"/>
    <w:rPr>
      <w:rFonts w:ascii="Arial" w:eastAsiaTheme="majorEastAsia" w:hAnsi="Arial" w:cs="Arial"/>
      <w:b/>
      <w:sz w:val="32"/>
      <w:szCs w:val="32"/>
      <w:u w:color="A8D08D" w:themeColor="accent6" w:themeTint="99"/>
      <w:lang w:val="en-GB"/>
    </w:rPr>
  </w:style>
  <w:style w:type="character" w:customStyle="1" w:styleId="Kop2Char">
    <w:name w:val="Kop 2 Char"/>
    <w:basedOn w:val="Standaardalinea-lettertype"/>
    <w:link w:val="Kop2"/>
    <w:uiPriority w:val="9"/>
    <w:rsid w:val="00096932"/>
    <w:rPr>
      <w:rFonts w:ascii="Arial" w:eastAsiaTheme="majorEastAsia" w:hAnsi="Arial" w:cs="Arial"/>
      <w:sz w:val="28"/>
      <w:szCs w:val="28"/>
      <w:lang w:val="en-GB"/>
    </w:rPr>
  </w:style>
  <w:style w:type="character" w:customStyle="1" w:styleId="Kop3Char">
    <w:name w:val="Kop 3 Char"/>
    <w:basedOn w:val="Standaardalinea-lettertype"/>
    <w:link w:val="Kop3"/>
    <w:uiPriority w:val="9"/>
    <w:rsid w:val="00096932"/>
    <w:rPr>
      <w:rFonts w:ascii="Arial" w:eastAsiaTheme="majorEastAsia" w:hAnsi="Arial" w:cs="Arial"/>
      <w:b/>
      <w:sz w:val="26"/>
      <w:szCs w:val="26"/>
      <w:lang w:val="en-GB"/>
    </w:rPr>
  </w:style>
  <w:style w:type="character" w:customStyle="1" w:styleId="Kop4Char">
    <w:name w:val="Kop 4 Char"/>
    <w:basedOn w:val="Standaardalinea-lettertype"/>
    <w:link w:val="Kop4"/>
    <w:uiPriority w:val="9"/>
    <w:rsid w:val="00096932"/>
    <w:rPr>
      <w:rFonts w:ascii="Arial" w:eastAsiaTheme="majorEastAsia" w:hAnsi="Arial" w:cs="Arial"/>
      <w:i/>
      <w:iCs/>
      <w:sz w:val="24"/>
      <w:szCs w:val="24"/>
      <w:lang w:val="en-GB"/>
    </w:rPr>
  </w:style>
  <w:style w:type="character" w:customStyle="1" w:styleId="Kop5Char">
    <w:name w:val="Kop 5 Char"/>
    <w:basedOn w:val="Standaardalinea-lettertype"/>
    <w:link w:val="Kop5"/>
    <w:uiPriority w:val="9"/>
    <w:rsid w:val="004071C7"/>
    <w:rPr>
      <w:rFonts w:ascii="Arial" w:hAnsi="Arial" w:cs="Arial"/>
      <w:sz w:val="20"/>
      <w:lang w:val="en-GB"/>
    </w:rPr>
  </w:style>
  <w:style w:type="character" w:customStyle="1" w:styleId="Kop6Char">
    <w:name w:val="Kop 6 Char"/>
    <w:basedOn w:val="Standaardalinea-lettertype"/>
    <w:link w:val="Kop6"/>
    <w:uiPriority w:val="9"/>
    <w:semiHidden/>
    <w:rsid w:val="00096932"/>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09693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09693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96932"/>
    <w:rPr>
      <w:rFonts w:asciiTheme="majorHAnsi" w:eastAsiaTheme="majorEastAsia" w:hAnsiTheme="majorHAnsi" w:cstheme="majorBidi"/>
      <w:i/>
      <w:iCs/>
      <w:color w:val="272727" w:themeColor="text1" w:themeTint="D8"/>
      <w:sz w:val="21"/>
      <w:szCs w:val="21"/>
    </w:rPr>
  </w:style>
  <w:style w:type="paragraph" w:styleId="HTML-voorafopgemaakt">
    <w:name w:val="HTML Preformatted"/>
    <w:basedOn w:val="Standaard"/>
    <w:link w:val="HTML-voorafopgemaaktChar"/>
    <w:uiPriority w:val="99"/>
    <w:unhideWhenUsed/>
    <w:rsid w:val="00D06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D066B4"/>
    <w:rPr>
      <w:rFonts w:ascii="Courier New" w:eastAsia="Times New Roman" w:hAnsi="Courier New" w:cs="Courier New"/>
      <w:sz w:val="20"/>
      <w:szCs w:val="20"/>
      <w:lang w:val="nl-NL" w:eastAsia="nl-NL"/>
    </w:rPr>
  </w:style>
  <w:style w:type="paragraph" w:styleId="Lijstalinea">
    <w:name w:val="List Paragraph"/>
    <w:basedOn w:val="Standaard"/>
    <w:uiPriority w:val="34"/>
    <w:qFormat/>
    <w:rsid w:val="00096932"/>
    <w:pPr>
      <w:ind w:left="720"/>
      <w:contextualSpacing/>
    </w:pPr>
  </w:style>
  <w:style w:type="paragraph" w:styleId="Bijschrift">
    <w:name w:val="caption"/>
    <w:basedOn w:val="Standaard"/>
    <w:next w:val="Standaard"/>
    <w:uiPriority w:val="35"/>
    <w:unhideWhenUsed/>
    <w:qFormat/>
    <w:rsid w:val="00096932"/>
    <w:pPr>
      <w:spacing w:after="200" w:line="240" w:lineRule="auto"/>
    </w:pPr>
    <w:rPr>
      <w:i/>
      <w:iCs/>
      <w:color w:val="44546A" w:themeColor="text2"/>
      <w:sz w:val="18"/>
      <w:szCs w:val="18"/>
    </w:rPr>
  </w:style>
  <w:style w:type="table" w:styleId="Tabelraster">
    <w:name w:val="Table Grid"/>
    <w:basedOn w:val="Standaardtabel"/>
    <w:uiPriority w:val="39"/>
    <w:rsid w:val="00096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126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1269"/>
    <w:rPr>
      <w:rFonts w:ascii="Segoe UI" w:hAnsi="Segoe UI" w:cs="Segoe UI"/>
      <w:sz w:val="18"/>
      <w:szCs w:val="18"/>
    </w:rPr>
  </w:style>
  <w:style w:type="paragraph" w:styleId="Koptekst">
    <w:name w:val="header"/>
    <w:basedOn w:val="Standaard"/>
    <w:link w:val="KoptekstChar"/>
    <w:uiPriority w:val="99"/>
    <w:unhideWhenUsed/>
    <w:rsid w:val="007373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73F2"/>
  </w:style>
  <w:style w:type="paragraph" w:styleId="Voettekst">
    <w:name w:val="footer"/>
    <w:basedOn w:val="Standaard"/>
    <w:link w:val="VoettekstChar"/>
    <w:uiPriority w:val="99"/>
    <w:unhideWhenUsed/>
    <w:rsid w:val="007373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73F2"/>
  </w:style>
  <w:style w:type="paragraph" w:styleId="Inhopg1">
    <w:name w:val="toc 1"/>
    <w:basedOn w:val="Standaard"/>
    <w:next w:val="Standaard"/>
    <w:autoRedefine/>
    <w:uiPriority w:val="39"/>
    <w:unhideWhenUsed/>
    <w:rsid w:val="007373F2"/>
    <w:pPr>
      <w:tabs>
        <w:tab w:val="right" w:pos="9062"/>
      </w:tabs>
      <w:spacing w:before="240" w:after="120"/>
    </w:pPr>
    <w:rPr>
      <w:b/>
      <w:bCs/>
      <w:sz w:val="20"/>
      <w:szCs w:val="20"/>
    </w:rPr>
  </w:style>
  <w:style w:type="paragraph" w:styleId="Inhopg2">
    <w:name w:val="toc 2"/>
    <w:basedOn w:val="Standaard"/>
    <w:next w:val="Standaard"/>
    <w:autoRedefine/>
    <w:uiPriority w:val="39"/>
    <w:unhideWhenUsed/>
    <w:rsid w:val="007373F2"/>
    <w:pPr>
      <w:tabs>
        <w:tab w:val="left" w:pos="880"/>
        <w:tab w:val="right" w:pos="9062"/>
      </w:tabs>
      <w:spacing w:before="120" w:after="0"/>
      <w:ind w:left="221"/>
    </w:pPr>
    <w:rPr>
      <w:i/>
      <w:iCs/>
      <w:sz w:val="20"/>
      <w:szCs w:val="20"/>
    </w:rPr>
  </w:style>
  <w:style w:type="paragraph" w:styleId="Inhopg3">
    <w:name w:val="toc 3"/>
    <w:basedOn w:val="Standaard"/>
    <w:next w:val="Standaard"/>
    <w:autoRedefine/>
    <w:uiPriority w:val="39"/>
    <w:unhideWhenUsed/>
    <w:rsid w:val="007373F2"/>
    <w:pPr>
      <w:spacing w:after="0"/>
      <w:ind w:left="440"/>
    </w:pPr>
    <w:rPr>
      <w:sz w:val="20"/>
      <w:szCs w:val="20"/>
    </w:rPr>
  </w:style>
  <w:style w:type="paragraph" w:styleId="Inhopg4">
    <w:name w:val="toc 4"/>
    <w:basedOn w:val="Standaard"/>
    <w:next w:val="Standaard"/>
    <w:autoRedefine/>
    <w:uiPriority w:val="39"/>
    <w:unhideWhenUsed/>
    <w:rsid w:val="007373F2"/>
    <w:pPr>
      <w:spacing w:after="0"/>
      <w:ind w:left="660"/>
    </w:pPr>
    <w:rPr>
      <w:sz w:val="20"/>
      <w:szCs w:val="20"/>
    </w:rPr>
  </w:style>
  <w:style w:type="paragraph" w:styleId="Inhopg5">
    <w:name w:val="toc 5"/>
    <w:basedOn w:val="Standaard"/>
    <w:next w:val="Standaard"/>
    <w:autoRedefine/>
    <w:uiPriority w:val="39"/>
    <w:unhideWhenUsed/>
    <w:rsid w:val="007373F2"/>
    <w:pPr>
      <w:spacing w:after="0"/>
      <w:ind w:left="880"/>
    </w:pPr>
    <w:rPr>
      <w:sz w:val="20"/>
      <w:szCs w:val="20"/>
    </w:rPr>
  </w:style>
  <w:style w:type="paragraph" w:styleId="Inhopg6">
    <w:name w:val="toc 6"/>
    <w:basedOn w:val="Standaard"/>
    <w:next w:val="Standaard"/>
    <w:autoRedefine/>
    <w:uiPriority w:val="39"/>
    <w:unhideWhenUsed/>
    <w:rsid w:val="007373F2"/>
    <w:pPr>
      <w:spacing w:after="0"/>
      <w:ind w:left="1100"/>
    </w:pPr>
    <w:rPr>
      <w:sz w:val="20"/>
      <w:szCs w:val="20"/>
    </w:rPr>
  </w:style>
  <w:style w:type="paragraph" w:styleId="Inhopg7">
    <w:name w:val="toc 7"/>
    <w:basedOn w:val="Standaard"/>
    <w:next w:val="Standaard"/>
    <w:autoRedefine/>
    <w:uiPriority w:val="39"/>
    <w:unhideWhenUsed/>
    <w:rsid w:val="007373F2"/>
    <w:pPr>
      <w:spacing w:after="0"/>
      <w:ind w:left="1320"/>
    </w:pPr>
    <w:rPr>
      <w:sz w:val="20"/>
      <w:szCs w:val="20"/>
    </w:rPr>
  </w:style>
  <w:style w:type="paragraph" w:styleId="Inhopg8">
    <w:name w:val="toc 8"/>
    <w:basedOn w:val="Standaard"/>
    <w:next w:val="Standaard"/>
    <w:autoRedefine/>
    <w:uiPriority w:val="39"/>
    <w:unhideWhenUsed/>
    <w:rsid w:val="007373F2"/>
    <w:pPr>
      <w:spacing w:after="0"/>
      <w:ind w:left="1540"/>
    </w:pPr>
    <w:rPr>
      <w:sz w:val="20"/>
      <w:szCs w:val="20"/>
    </w:rPr>
  </w:style>
  <w:style w:type="paragraph" w:styleId="Inhopg9">
    <w:name w:val="toc 9"/>
    <w:basedOn w:val="Standaard"/>
    <w:next w:val="Standaard"/>
    <w:autoRedefine/>
    <w:uiPriority w:val="39"/>
    <w:unhideWhenUsed/>
    <w:rsid w:val="007373F2"/>
    <w:pPr>
      <w:spacing w:after="0"/>
      <w:ind w:left="1760"/>
    </w:pPr>
    <w:rPr>
      <w:sz w:val="20"/>
      <w:szCs w:val="20"/>
    </w:rPr>
  </w:style>
  <w:style w:type="character" w:styleId="Hyperlink">
    <w:name w:val="Hyperlink"/>
    <w:basedOn w:val="Standaardalinea-lettertype"/>
    <w:uiPriority w:val="99"/>
    <w:unhideWhenUsed/>
    <w:rsid w:val="007373F2"/>
    <w:rPr>
      <w:color w:val="0563C1" w:themeColor="hyperlink"/>
      <w:u w:val="single"/>
    </w:rPr>
  </w:style>
  <w:style w:type="character" w:customStyle="1" w:styleId="apple-converted-space">
    <w:name w:val="apple-converted-space"/>
    <w:basedOn w:val="Standaardalinea-lettertype"/>
    <w:rsid w:val="007373F2"/>
  </w:style>
  <w:style w:type="paragraph" w:customStyle="1" w:styleId="EndNoteBibliographyTitle">
    <w:name w:val="EndNote Bibliography Title"/>
    <w:basedOn w:val="Standaard"/>
    <w:link w:val="EndNoteBibliographyTitleChar"/>
    <w:rsid w:val="007373F2"/>
    <w:pPr>
      <w:spacing w:after="0"/>
      <w:jc w:val="center"/>
    </w:pPr>
    <w:rPr>
      <w:rFonts w:ascii="Arial" w:hAnsi="Arial" w:cs="Arial"/>
      <w:noProof/>
      <w:lang w:val="en-US"/>
    </w:rPr>
  </w:style>
  <w:style w:type="character" w:customStyle="1" w:styleId="EndNoteBibliographyTitleChar">
    <w:name w:val="EndNote Bibliography Title Char"/>
    <w:basedOn w:val="Standaardalinea-lettertype"/>
    <w:link w:val="EndNoteBibliographyTitle"/>
    <w:rsid w:val="007373F2"/>
    <w:rPr>
      <w:rFonts w:ascii="Arial" w:hAnsi="Arial" w:cs="Arial"/>
      <w:noProof/>
      <w:lang w:val="en-US"/>
    </w:rPr>
  </w:style>
  <w:style w:type="paragraph" w:customStyle="1" w:styleId="EndNoteBibliography">
    <w:name w:val="EndNote Bibliography"/>
    <w:basedOn w:val="Standaard"/>
    <w:link w:val="EndNoteBibliographyChar"/>
    <w:rsid w:val="007373F2"/>
    <w:pPr>
      <w:spacing w:line="240" w:lineRule="auto"/>
      <w:jc w:val="both"/>
    </w:pPr>
    <w:rPr>
      <w:rFonts w:ascii="Arial" w:hAnsi="Arial" w:cs="Arial"/>
      <w:noProof/>
      <w:lang w:val="en-US"/>
    </w:rPr>
  </w:style>
  <w:style w:type="character" w:customStyle="1" w:styleId="EndNoteBibliographyChar">
    <w:name w:val="EndNote Bibliography Char"/>
    <w:basedOn w:val="Standaardalinea-lettertype"/>
    <w:link w:val="EndNoteBibliography"/>
    <w:rsid w:val="007373F2"/>
    <w:rPr>
      <w:rFonts w:ascii="Arial" w:hAnsi="Arial" w:cs="Arial"/>
      <w:noProof/>
      <w:lang w:val="en-US"/>
    </w:rPr>
  </w:style>
  <w:style w:type="character" w:customStyle="1" w:styleId="TekstopmerkingChar">
    <w:name w:val="Tekst opmerking Char"/>
    <w:basedOn w:val="Standaardalinea-lettertype"/>
    <w:link w:val="Tekstopmerking"/>
    <w:uiPriority w:val="99"/>
    <w:semiHidden/>
    <w:rsid w:val="007373F2"/>
    <w:rPr>
      <w:sz w:val="20"/>
      <w:szCs w:val="20"/>
    </w:rPr>
  </w:style>
  <w:style w:type="paragraph" w:styleId="Tekstopmerking">
    <w:name w:val="annotation text"/>
    <w:basedOn w:val="Standaard"/>
    <w:link w:val="TekstopmerkingChar"/>
    <w:uiPriority w:val="99"/>
    <w:semiHidden/>
    <w:unhideWhenUsed/>
    <w:rsid w:val="007373F2"/>
    <w:pPr>
      <w:spacing w:line="240" w:lineRule="auto"/>
    </w:pPr>
    <w:rPr>
      <w:sz w:val="20"/>
      <w:szCs w:val="20"/>
    </w:rPr>
  </w:style>
  <w:style w:type="character" w:customStyle="1" w:styleId="OnderwerpvanopmerkingChar">
    <w:name w:val="Onderwerp van opmerking Char"/>
    <w:basedOn w:val="TekstopmerkingChar"/>
    <w:link w:val="Onderwerpvanopmerking"/>
    <w:uiPriority w:val="99"/>
    <w:semiHidden/>
    <w:rsid w:val="007373F2"/>
    <w:rPr>
      <w:b/>
      <w:bCs/>
      <w:sz w:val="20"/>
      <w:szCs w:val="20"/>
    </w:rPr>
  </w:style>
  <w:style w:type="paragraph" w:styleId="Onderwerpvanopmerking">
    <w:name w:val="annotation subject"/>
    <w:basedOn w:val="Tekstopmerking"/>
    <w:next w:val="Tekstopmerking"/>
    <w:link w:val="OnderwerpvanopmerkingChar"/>
    <w:uiPriority w:val="99"/>
    <w:semiHidden/>
    <w:unhideWhenUsed/>
    <w:rsid w:val="007373F2"/>
    <w:rPr>
      <w:b/>
      <w:bCs/>
    </w:rPr>
  </w:style>
  <w:style w:type="paragraph" w:styleId="Voetnoottekst">
    <w:name w:val="footnote text"/>
    <w:basedOn w:val="Standaard"/>
    <w:link w:val="VoetnoottekstChar"/>
    <w:uiPriority w:val="99"/>
    <w:semiHidden/>
    <w:unhideWhenUsed/>
    <w:rsid w:val="004536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36A8"/>
    <w:rPr>
      <w:sz w:val="20"/>
      <w:szCs w:val="20"/>
    </w:rPr>
  </w:style>
  <w:style w:type="character" w:styleId="Voetnootmarkering">
    <w:name w:val="footnote reference"/>
    <w:basedOn w:val="Standaardalinea-lettertype"/>
    <w:uiPriority w:val="99"/>
    <w:semiHidden/>
    <w:unhideWhenUsed/>
    <w:rsid w:val="004536A8"/>
    <w:rPr>
      <w:vertAlign w:val="superscript"/>
    </w:rPr>
  </w:style>
  <w:style w:type="character" w:styleId="Verwijzingopmerking">
    <w:name w:val="annotation reference"/>
    <w:basedOn w:val="Standaardalinea-lettertype"/>
    <w:uiPriority w:val="99"/>
    <w:semiHidden/>
    <w:unhideWhenUsed/>
    <w:rsid w:val="009B3BB8"/>
    <w:rPr>
      <w:sz w:val="16"/>
      <w:szCs w:val="16"/>
    </w:rPr>
  </w:style>
  <w:style w:type="paragraph" w:styleId="Normaalweb">
    <w:name w:val="Normal (Web)"/>
    <w:basedOn w:val="Standaard"/>
    <w:uiPriority w:val="99"/>
    <w:unhideWhenUsed/>
    <w:rsid w:val="00A64462"/>
    <w:pPr>
      <w:spacing w:before="100" w:beforeAutospacing="1" w:after="100" w:afterAutospacing="1" w:line="240" w:lineRule="auto"/>
    </w:pPr>
    <w:rPr>
      <w:rFonts w:ascii="Times New Roman" w:eastAsiaTheme="minorEastAsia" w:hAnsi="Times New Roman" w:cs="Times New Roman"/>
      <w:sz w:val="24"/>
      <w:szCs w:val="24"/>
      <w:lang w:eastAsia="nl-BE"/>
    </w:rPr>
  </w:style>
  <w:style w:type="character" w:customStyle="1" w:styleId="Onopgelostemelding1">
    <w:name w:val="Onopgeloste melding1"/>
    <w:basedOn w:val="Standaardalinea-lettertype"/>
    <w:uiPriority w:val="99"/>
    <w:semiHidden/>
    <w:unhideWhenUsed/>
    <w:rsid w:val="00373776"/>
    <w:rPr>
      <w:color w:val="808080"/>
      <w:shd w:val="clear" w:color="auto" w:fill="E6E6E6"/>
    </w:rPr>
  </w:style>
  <w:style w:type="character" w:styleId="GevolgdeHyperlink">
    <w:name w:val="FollowedHyperlink"/>
    <w:basedOn w:val="Standaardalinea-lettertype"/>
    <w:uiPriority w:val="99"/>
    <w:semiHidden/>
    <w:unhideWhenUsed/>
    <w:rsid w:val="0076446E"/>
    <w:rPr>
      <w:color w:val="954F72" w:themeColor="followedHyperlink"/>
      <w:u w:val="single"/>
    </w:rPr>
  </w:style>
  <w:style w:type="character" w:styleId="Regelnummer">
    <w:name w:val="line number"/>
    <w:basedOn w:val="Standaardalinea-lettertype"/>
    <w:uiPriority w:val="99"/>
    <w:semiHidden/>
    <w:unhideWhenUsed/>
    <w:rsid w:val="0021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2921">
      <w:bodyDiv w:val="1"/>
      <w:marLeft w:val="0"/>
      <w:marRight w:val="0"/>
      <w:marTop w:val="0"/>
      <w:marBottom w:val="0"/>
      <w:divBdr>
        <w:top w:val="none" w:sz="0" w:space="0" w:color="auto"/>
        <w:left w:val="none" w:sz="0" w:space="0" w:color="auto"/>
        <w:bottom w:val="none" w:sz="0" w:space="0" w:color="auto"/>
        <w:right w:val="none" w:sz="0" w:space="0" w:color="auto"/>
      </w:divBdr>
    </w:div>
    <w:div w:id="232932871">
      <w:bodyDiv w:val="1"/>
      <w:marLeft w:val="0"/>
      <w:marRight w:val="0"/>
      <w:marTop w:val="0"/>
      <w:marBottom w:val="0"/>
      <w:divBdr>
        <w:top w:val="none" w:sz="0" w:space="0" w:color="auto"/>
        <w:left w:val="none" w:sz="0" w:space="0" w:color="auto"/>
        <w:bottom w:val="none" w:sz="0" w:space="0" w:color="auto"/>
        <w:right w:val="none" w:sz="0" w:space="0" w:color="auto"/>
      </w:divBdr>
    </w:div>
    <w:div w:id="304896394">
      <w:bodyDiv w:val="1"/>
      <w:marLeft w:val="0"/>
      <w:marRight w:val="0"/>
      <w:marTop w:val="0"/>
      <w:marBottom w:val="0"/>
      <w:divBdr>
        <w:top w:val="none" w:sz="0" w:space="0" w:color="auto"/>
        <w:left w:val="none" w:sz="0" w:space="0" w:color="auto"/>
        <w:bottom w:val="none" w:sz="0" w:space="0" w:color="auto"/>
        <w:right w:val="none" w:sz="0" w:space="0" w:color="auto"/>
      </w:divBdr>
    </w:div>
    <w:div w:id="484511251">
      <w:bodyDiv w:val="1"/>
      <w:marLeft w:val="0"/>
      <w:marRight w:val="0"/>
      <w:marTop w:val="0"/>
      <w:marBottom w:val="0"/>
      <w:divBdr>
        <w:top w:val="none" w:sz="0" w:space="0" w:color="auto"/>
        <w:left w:val="none" w:sz="0" w:space="0" w:color="auto"/>
        <w:bottom w:val="none" w:sz="0" w:space="0" w:color="auto"/>
        <w:right w:val="none" w:sz="0" w:space="0" w:color="auto"/>
      </w:divBdr>
    </w:div>
    <w:div w:id="589237966">
      <w:bodyDiv w:val="1"/>
      <w:marLeft w:val="0"/>
      <w:marRight w:val="0"/>
      <w:marTop w:val="0"/>
      <w:marBottom w:val="0"/>
      <w:divBdr>
        <w:top w:val="none" w:sz="0" w:space="0" w:color="auto"/>
        <w:left w:val="none" w:sz="0" w:space="0" w:color="auto"/>
        <w:bottom w:val="none" w:sz="0" w:space="0" w:color="auto"/>
        <w:right w:val="none" w:sz="0" w:space="0" w:color="auto"/>
      </w:divBdr>
    </w:div>
    <w:div w:id="632366496">
      <w:bodyDiv w:val="1"/>
      <w:marLeft w:val="0"/>
      <w:marRight w:val="0"/>
      <w:marTop w:val="0"/>
      <w:marBottom w:val="0"/>
      <w:divBdr>
        <w:top w:val="none" w:sz="0" w:space="0" w:color="auto"/>
        <w:left w:val="none" w:sz="0" w:space="0" w:color="auto"/>
        <w:bottom w:val="none" w:sz="0" w:space="0" w:color="auto"/>
        <w:right w:val="none" w:sz="0" w:space="0" w:color="auto"/>
      </w:divBdr>
    </w:div>
    <w:div w:id="654383169">
      <w:bodyDiv w:val="1"/>
      <w:marLeft w:val="0"/>
      <w:marRight w:val="0"/>
      <w:marTop w:val="0"/>
      <w:marBottom w:val="0"/>
      <w:divBdr>
        <w:top w:val="none" w:sz="0" w:space="0" w:color="auto"/>
        <w:left w:val="none" w:sz="0" w:space="0" w:color="auto"/>
        <w:bottom w:val="none" w:sz="0" w:space="0" w:color="auto"/>
        <w:right w:val="none" w:sz="0" w:space="0" w:color="auto"/>
      </w:divBdr>
    </w:div>
    <w:div w:id="660156725">
      <w:bodyDiv w:val="1"/>
      <w:marLeft w:val="0"/>
      <w:marRight w:val="0"/>
      <w:marTop w:val="0"/>
      <w:marBottom w:val="0"/>
      <w:divBdr>
        <w:top w:val="none" w:sz="0" w:space="0" w:color="auto"/>
        <w:left w:val="none" w:sz="0" w:space="0" w:color="auto"/>
        <w:bottom w:val="none" w:sz="0" w:space="0" w:color="auto"/>
        <w:right w:val="none" w:sz="0" w:space="0" w:color="auto"/>
      </w:divBdr>
    </w:div>
    <w:div w:id="735398205">
      <w:bodyDiv w:val="1"/>
      <w:marLeft w:val="0"/>
      <w:marRight w:val="0"/>
      <w:marTop w:val="0"/>
      <w:marBottom w:val="0"/>
      <w:divBdr>
        <w:top w:val="none" w:sz="0" w:space="0" w:color="auto"/>
        <w:left w:val="none" w:sz="0" w:space="0" w:color="auto"/>
        <w:bottom w:val="none" w:sz="0" w:space="0" w:color="auto"/>
        <w:right w:val="none" w:sz="0" w:space="0" w:color="auto"/>
      </w:divBdr>
    </w:div>
    <w:div w:id="751203231">
      <w:bodyDiv w:val="1"/>
      <w:marLeft w:val="0"/>
      <w:marRight w:val="0"/>
      <w:marTop w:val="0"/>
      <w:marBottom w:val="0"/>
      <w:divBdr>
        <w:top w:val="none" w:sz="0" w:space="0" w:color="auto"/>
        <w:left w:val="none" w:sz="0" w:space="0" w:color="auto"/>
        <w:bottom w:val="none" w:sz="0" w:space="0" w:color="auto"/>
        <w:right w:val="none" w:sz="0" w:space="0" w:color="auto"/>
      </w:divBdr>
    </w:div>
    <w:div w:id="764108828">
      <w:bodyDiv w:val="1"/>
      <w:marLeft w:val="0"/>
      <w:marRight w:val="0"/>
      <w:marTop w:val="0"/>
      <w:marBottom w:val="0"/>
      <w:divBdr>
        <w:top w:val="none" w:sz="0" w:space="0" w:color="auto"/>
        <w:left w:val="none" w:sz="0" w:space="0" w:color="auto"/>
        <w:bottom w:val="none" w:sz="0" w:space="0" w:color="auto"/>
        <w:right w:val="none" w:sz="0" w:space="0" w:color="auto"/>
      </w:divBdr>
    </w:div>
    <w:div w:id="985352088">
      <w:bodyDiv w:val="1"/>
      <w:marLeft w:val="0"/>
      <w:marRight w:val="0"/>
      <w:marTop w:val="0"/>
      <w:marBottom w:val="0"/>
      <w:divBdr>
        <w:top w:val="none" w:sz="0" w:space="0" w:color="auto"/>
        <w:left w:val="none" w:sz="0" w:space="0" w:color="auto"/>
        <w:bottom w:val="none" w:sz="0" w:space="0" w:color="auto"/>
        <w:right w:val="none" w:sz="0" w:space="0" w:color="auto"/>
      </w:divBdr>
    </w:div>
    <w:div w:id="1080443175">
      <w:bodyDiv w:val="1"/>
      <w:marLeft w:val="0"/>
      <w:marRight w:val="0"/>
      <w:marTop w:val="0"/>
      <w:marBottom w:val="0"/>
      <w:divBdr>
        <w:top w:val="none" w:sz="0" w:space="0" w:color="auto"/>
        <w:left w:val="none" w:sz="0" w:space="0" w:color="auto"/>
        <w:bottom w:val="none" w:sz="0" w:space="0" w:color="auto"/>
        <w:right w:val="none" w:sz="0" w:space="0" w:color="auto"/>
      </w:divBdr>
    </w:div>
    <w:div w:id="1143696708">
      <w:bodyDiv w:val="1"/>
      <w:marLeft w:val="0"/>
      <w:marRight w:val="0"/>
      <w:marTop w:val="0"/>
      <w:marBottom w:val="0"/>
      <w:divBdr>
        <w:top w:val="none" w:sz="0" w:space="0" w:color="auto"/>
        <w:left w:val="none" w:sz="0" w:space="0" w:color="auto"/>
        <w:bottom w:val="none" w:sz="0" w:space="0" w:color="auto"/>
        <w:right w:val="none" w:sz="0" w:space="0" w:color="auto"/>
      </w:divBdr>
    </w:div>
    <w:div w:id="1162743599">
      <w:bodyDiv w:val="1"/>
      <w:marLeft w:val="0"/>
      <w:marRight w:val="0"/>
      <w:marTop w:val="0"/>
      <w:marBottom w:val="0"/>
      <w:divBdr>
        <w:top w:val="none" w:sz="0" w:space="0" w:color="auto"/>
        <w:left w:val="none" w:sz="0" w:space="0" w:color="auto"/>
        <w:bottom w:val="none" w:sz="0" w:space="0" w:color="auto"/>
        <w:right w:val="none" w:sz="0" w:space="0" w:color="auto"/>
      </w:divBdr>
    </w:div>
    <w:div w:id="1362633627">
      <w:bodyDiv w:val="1"/>
      <w:marLeft w:val="0"/>
      <w:marRight w:val="0"/>
      <w:marTop w:val="0"/>
      <w:marBottom w:val="0"/>
      <w:divBdr>
        <w:top w:val="none" w:sz="0" w:space="0" w:color="auto"/>
        <w:left w:val="none" w:sz="0" w:space="0" w:color="auto"/>
        <w:bottom w:val="none" w:sz="0" w:space="0" w:color="auto"/>
        <w:right w:val="none" w:sz="0" w:space="0" w:color="auto"/>
      </w:divBdr>
    </w:div>
    <w:div w:id="1381979732">
      <w:bodyDiv w:val="1"/>
      <w:marLeft w:val="0"/>
      <w:marRight w:val="0"/>
      <w:marTop w:val="0"/>
      <w:marBottom w:val="0"/>
      <w:divBdr>
        <w:top w:val="none" w:sz="0" w:space="0" w:color="auto"/>
        <w:left w:val="none" w:sz="0" w:space="0" w:color="auto"/>
        <w:bottom w:val="none" w:sz="0" w:space="0" w:color="auto"/>
        <w:right w:val="none" w:sz="0" w:space="0" w:color="auto"/>
      </w:divBdr>
    </w:div>
    <w:div w:id="1487740621">
      <w:bodyDiv w:val="1"/>
      <w:marLeft w:val="0"/>
      <w:marRight w:val="0"/>
      <w:marTop w:val="0"/>
      <w:marBottom w:val="0"/>
      <w:divBdr>
        <w:top w:val="none" w:sz="0" w:space="0" w:color="auto"/>
        <w:left w:val="none" w:sz="0" w:space="0" w:color="auto"/>
        <w:bottom w:val="none" w:sz="0" w:space="0" w:color="auto"/>
        <w:right w:val="none" w:sz="0" w:space="0" w:color="auto"/>
      </w:divBdr>
    </w:div>
    <w:div w:id="1677999023">
      <w:bodyDiv w:val="1"/>
      <w:marLeft w:val="0"/>
      <w:marRight w:val="0"/>
      <w:marTop w:val="0"/>
      <w:marBottom w:val="0"/>
      <w:divBdr>
        <w:top w:val="none" w:sz="0" w:space="0" w:color="auto"/>
        <w:left w:val="none" w:sz="0" w:space="0" w:color="auto"/>
        <w:bottom w:val="none" w:sz="0" w:space="0" w:color="auto"/>
        <w:right w:val="none" w:sz="0" w:space="0" w:color="auto"/>
      </w:divBdr>
    </w:div>
    <w:div w:id="1846554824">
      <w:bodyDiv w:val="1"/>
      <w:marLeft w:val="0"/>
      <w:marRight w:val="0"/>
      <w:marTop w:val="0"/>
      <w:marBottom w:val="0"/>
      <w:divBdr>
        <w:top w:val="none" w:sz="0" w:space="0" w:color="auto"/>
        <w:left w:val="none" w:sz="0" w:space="0" w:color="auto"/>
        <w:bottom w:val="none" w:sz="0" w:space="0" w:color="auto"/>
        <w:right w:val="none" w:sz="0" w:space="0" w:color="auto"/>
      </w:divBdr>
    </w:div>
    <w:div w:id="2101678314">
      <w:bodyDiv w:val="1"/>
      <w:marLeft w:val="0"/>
      <w:marRight w:val="0"/>
      <w:marTop w:val="0"/>
      <w:marBottom w:val="0"/>
      <w:divBdr>
        <w:top w:val="none" w:sz="0" w:space="0" w:color="auto"/>
        <w:left w:val="none" w:sz="0" w:space="0" w:color="auto"/>
        <w:bottom w:val="none" w:sz="0" w:space="0" w:color="auto"/>
        <w:right w:val="none" w:sz="0" w:space="0" w:color="auto"/>
      </w:divBdr>
    </w:div>
    <w:div w:id="2115049230">
      <w:bodyDiv w:val="1"/>
      <w:marLeft w:val="0"/>
      <w:marRight w:val="0"/>
      <w:marTop w:val="0"/>
      <w:marBottom w:val="0"/>
      <w:divBdr>
        <w:top w:val="none" w:sz="0" w:space="0" w:color="auto"/>
        <w:left w:val="none" w:sz="0" w:space="0" w:color="auto"/>
        <w:bottom w:val="none" w:sz="0" w:space="0" w:color="auto"/>
        <w:right w:val="none" w:sz="0" w:space="0" w:color="auto"/>
      </w:divBdr>
    </w:div>
    <w:div w:id="21317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5F83-8887-4338-8B8D-7863D410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894481E5</Template>
  <TotalTime>163</TotalTime>
  <Pages>31</Pages>
  <Words>55094</Words>
  <Characters>303022</Characters>
  <Application>Microsoft Office Word</Application>
  <DocSecurity>0</DocSecurity>
  <Lines>2525</Lines>
  <Paragraphs>714</Paragraphs>
  <ScaleCrop>false</ScaleCrop>
  <HeadingPairs>
    <vt:vector size="2" baseType="variant">
      <vt:variant>
        <vt:lpstr>Titel</vt:lpstr>
      </vt:variant>
      <vt:variant>
        <vt:i4>1</vt:i4>
      </vt:variant>
    </vt:vector>
  </HeadingPairs>
  <TitlesOfParts>
    <vt:vector size="1" baseType="lpstr">
      <vt:lpstr/>
    </vt:vector>
  </TitlesOfParts>
  <Company>UZL</Company>
  <LinksUpToDate>false</LinksUpToDate>
  <CharactersWithSpaces>357402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Charleer</dc:creator>
  <cp:keywords/>
  <dc:description/>
  <cp:lastModifiedBy>Sara Charleer</cp:lastModifiedBy>
  <cp:revision>6</cp:revision>
  <cp:lastPrinted>2020-06-04T09:29:00Z</cp:lastPrinted>
  <dcterms:created xsi:type="dcterms:W3CDTF">2020-06-05T08:57:00Z</dcterms:created>
  <dcterms:modified xsi:type="dcterms:W3CDTF">2020-06-05T11:48:00Z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fc0cf9c0-22dd-3f96-a6f9-de3f598a0240</vt:lpwstr>
  </property>
  <property fmtid="{D5CDD505-2E9C-101B-9397-08002B2CF9AE}" pid="24" name="Mendeley Citation Style_1">
    <vt:lpwstr>http://www.zotero.org/styles/vancouver</vt:lpwstr>
  </property>
  <property fmtid="{D5CDD505-2E9C-101B-9397-08002B2CF9AE}" pid="25" name="_DocHome">
    <vt:i4>-677158794</vt:i4>
  </property>
</Properties>
</file>