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154" w:rsidRPr="00764154" w:rsidRDefault="00764154" w:rsidP="00764154">
      <w:pPr>
        <w:spacing w:before="100" w:beforeAutospacing="1" w:after="100" w:afterAutospacing="1" w:line="240" w:lineRule="auto"/>
        <w:outlineLvl w:val="0"/>
        <w:rPr>
          <w:rFonts w:ascii="Times New Roman" w:eastAsia="Times New Roman" w:hAnsi="Times New Roman" w:cs="Times New Roman"/>
          <w:b/>
          <w:bCs/>
          <w:kern w:val="36"/>
          <w:sz w:val="48"/>
          <w:szCs w:val="48"/>
          <w:lang w:val="fr-FR" w:eastAsia="fr-BE"/>
        </w:rPr>
      </w:pPr>
      <w:r w:rsidRPr="00764154">
        <w:rPr>
          <w:rFonts w:ascii="Times New Roman" w:eastAsia="Times New Roman" w:hAnsi="Times New Roman" w:cs="Times New Roman"/>
          <w:b/>
          <w:bCs/>
          <w:kern w:val="36"/>
          <w:sz w:val="48"/>
          <w:szCs w:val="48"/>
          <w:lang w:val="fr-FR" w:eastAsia="fr-BE"/>
        </w:rPr>
        <w:t>L'essor des métiers du conseil : dynamiques et tensions</w:t>
      </w:r>
    </w:p>
    <w:p w:rsidR="00764154" w:rsidRPr="00764154" w:rsidRDefault="00764154" w:rsidP="00764154">
      <w:pPr>
        <w:spacing w:after="0" w:line="240" w:lineRule="auto"/>
        <w:rPr>
          <w:rFonts w:ascii="Times New Roman" w:eastAsia="Times New Roman" w:hAnsi="Times New Roman" w:cs="Times New Roman"/>
          <w:sz w:val="24"/>
          <w:szCs w:val="24"/>
          <w:lang w:val="fr-FR" w:eastAsia="fr-BE"/>
        </w:rPr>
      </w:pPr>
      <w:r w:rsidRPr="00764154">
        <w:rPr>
          <w:rFonts w:ascii="Times New Roman" w:eastAsia="Times New Roman" w:hAnsi="Times New Roman" w:cs="Times New Roman"/>
          <w:sz w:val="24"/>
          <w:szCs w:val="24"/>
          <w:lang w:val="fr-FR" w:eastAsia="fr-BE"/>
        </w:rPr>
        <w:t>Introduction au dossier sur les métiers du conseil</w:t>
      </w:r>
    </w:p>
    <w:p w:rsidR="00764154" w:rsidRPr="00764154" w:rsidRDefault="00764154" w:rsidP="00764154">
      <w:pPr>
        <w:spacing w:after="0" w:line="240" w:lineRule="auto"/>
        <w:rPr>
          <w:rFonts w:ascii="Times New Roman" w:eastAsia="Times New Roman" w:hAnsi="Times New Roman" w:cs="Times New Roman"/>
          <w:sz w:val="24"/>
          <w:szCs w:val="24"/>
          <w:lang w:val="fr-FR" w:eastAsia="fr-BE"/>
        </w:rPr>
      </w:pPr>
      <w:r w:rsidRPr="00764154">
        <w:rPr>
          <w:rFonts w:ascii="Times New Roman" w:eastAsia="Times New Roman" w:hAnsi="Times New Roman" w:cs="Times New Roman"/>
          <w:b/>
          <w:bCs/>
          <w:sz w:val="24"/>
          <w:szCs w:val="24"/>
          <w:lang w:val="fr-FR" w:eastAsia="fr-BE"/>
        </w:rPr>
        <w:t xml:space="preserve">Sophie </w:t>
      </w:r>
      <w:proofErr w:type="spellStart"/>
      <w:r w:rsidRPr="00764154">
        <w:rPr>
          <w:rFonts w:ascii="Times New Roman" w:eastAsia="Times New Roman" w:hAnsi="Times New Roman" w:cs="Times New Roman"/>
          <w:b/>
          <w:bCs/>
          <w:sz w:val="24"/>
          <w:szCs w:val="24"/>
          <w:lang w:val="fr-FR" w:eastAsia="fr-BE"/>
        </w:rPr>
        <w:t>Divay</w:t>
      </w:r>
      <w:proofErr w:type="spellEnd"/>
      <w:r w:rsidRPr="00764154">
        <w:rPr>
          <w:rFonts w:ascii="Times New Roman" w:eastAsia="Times New Roman" w:hAnsi="Times New Roman" w:cs="Times New Roman"/>
          <w:b/>
          <w:bCs/>
          <w:sz w:val="24"/>
          <w:szCs w:val="24"/>
          <w:lang w:val="fr-FR" w:eastAsia="fr-BE"/>
        </w:rPr>
        <w:t xml:space="preserve"> et Jean-François Orianne</w:t>
      </w:r>
    </w:p>
    <w:p w:rsidR="00764154" w:rsidRPr="00764154" w:rsidRDefault="00764154" w:rsidP="00764154">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764154">
        <w:rPr>
          <w:rFonts w:ascii="Times New Roman" w:eastAsia="Times New Roman" w:hAnsi="Times New Roman" w:cs="Times New Roman"/>
          <w:sz w:val="24"/>
          <w:szCs w:val="24"/>
          <w:lang w:val="fr-FR" w:eastAsia="fr-BE"/>
        </w:rPr>
        <w:t xml:space="preserve">L'activité de conseil a longtemps constitué une fonction rare et éminente. Max Weber consacre quelques pages à cette figure emblématique du « conseiller (ou guide) du prince » (Weber, 1963, p. 136), qui œuvre dans l'ombre de dirigeants politiques au sein des sphères du pouvoir empreintes de prestige. Ce numéro thématique de </w:t>
      </w:r>
      <w:proofErr w:type="spellStart"/>
      <w:r w:rsidRPr="00764154">
        <w:rPr>
          <w:rFonts w:ascii="Times New Roman" w:eastAsia="Times New Roman" w:hAnsi="Times New Roman" w:cs="Times New Roman"/>
          <w:i/>
          <w:iCs/>
          <w:sz w:val="24"/>
          <w:szCs w:val="24"/>
          <w:lang w:val="fr-FR" w:eastAsia="fr-BE"/>
        </w:rPr>
        <w:t>SociologieS</w:t>
      </w:r>
      <w:proofErr w:type="spellEnd"/>
      <w:r w:rsidRPr="00764154">
        <w:rPr>
          <w:rFonts w:ascii="Times New Roman" w:eastAsia="Times New Roman" w:hAnsi="Times New Roman" w:cs="Times New Roman"/>
          <w:i/>
          <w:iCs/>
          <w:sz w:val="24"/>
          <w:szCs w:val="24"/>
          <w:lang w:val="fr-FR" w:eastAsia="fr-BE"/>
        </w:rPr>
        <w:t>,</w:t>
      </w:r>
      <w:r w:rsidRPr="00764154">
        <w:rPr>
          <w:rFonts w:ascii="Times New Roman" w:eastAsia="Times New Roman" w:hAnsi="Times New Roman" w:cs="Times New Roman"/>
          <w:sz w:val="24"/>
          <w:szCs w:val="24"/>
          <w:lang w:val="fr-FR" w:eastAsia="fr-BE"/>
        </w:rPr>
        <w:t xml:space="preserve"> portant sur les métiers du conseil, rend compte d'une évidente démocratisation de cette activité. Le prince est désormais produit en série. Le plus irremplaçable des êtres (« </w:t>
      </w:r>
      <w:r w:rsidRPr="00764154">
        <w:rPr>
          <w:rFonts w:ascii="Times New Roman" w:eastAsia="Times New Roman" w:hAnsi="Times New Roman" w:cs="Times New Roman"/>
          <w:i/>
          <w:iCs/>
          <w:sz w:val="24"/>
          <w:szCs w:val="24"/>
          <w:lang w:val="fr-FR" w:eastAsia="fr-BE"/>
        </w:rPr>
        <w:t>L'État, c'est moi</w:t>
      </w:r>
      <w:r w:rsidRPr="00764154">
        <w:rPr>
          <w:rFonts w:ascii="Times New Roman" w:eastAsia="Times New Roman" w:hAnsi="Times New Roman" w:cs="Times New Roman"/>
          <w:sz w:val="24"/>
          <w:szCs w:val="24"/>
          <w:lang w:val="fr-FR" w:eastAsia="fr-BE"/>
        </w:rPr>
        <w:t xml:space="preserve"> ») a pris les traits de l'usager ou du client. Parallèlement, le titre de conseiller s’est largement répandu ; il est désormais attribué à nombre de salariés, notamment dans le secteur des services. Ce constat incite à reprendre à notre compte la question posée par Everett Hughes (1996), qui s’interroge sur ce qu’il y a dans un nom ainsi que sur la magie de ses usages : s’agit-il d’un terme dont le sens est dénotatif ou connotatif ? Quel est son pouvoir d’évocation ou son degré d’euphémisation ? De quelles manipulations fait-il l’objet ? Qui, enfin, a le pouvoir de nommer ou la force de rejeter les qualificatifs imposés ? </w:t>
      </w:r>
    </w:p>
    <w:p w:rsidR="00764154" w:rsidRPr="00764154" w:rsidRDefault="00764154" w:rsidP="00764154">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764154">
        <w:rPr>
          <w:rFonts w:ascii="Times New Roman" w:eastAsia="Times New Roman" w:hAnsi="Times New Roman" w:cs="Times New Roman"/>
          <w:sz w:val="24"/>
          <w:szCs w:val="24"/>
          <w:lang w:val="fr-FR" w:eastAsia="fr-BE"/>
        </w:rPr>
        <w:t>Les auteurs des sept textes rassemblés ici apportent tout d’abord des informations sur la variété des circonstances dans lesquelles il est fait usage de ce nom. Il est souvent adopté lors de la création de nouveaux métiers et octroyé à des salariés dont le contenu de travail prescrit peut s’avérer flou, ou encore pour remplacer l’ancien intitulé d’une activité qui, ainsi débaptisée, se trouve au passage éventuellement redéfinie. Par ailleurs, l’appellation de conseiller se rencontre fréquemment intégrée au sein d’expressions composées dont elle constitue le socle, tel un lexème représentant la plus petite unité porteuse de sens d’un lexique, à laquelle on ajoute un adjectif ou un complément de nom (« conseiller pédagogique » ou « conseiller en… »). Ces assemblages sont construits afin de spécifier le champ de compétence des conseillers, tant le spectre sémantique de la notion de conseil est large, puisqu’elle concerne aussi bien la sphère du quotidien et du privé (donner un bon conseil à un ami), que celle du professionnel (aide experte à la décision).</w:t>
      </w:r>
    </w:p>
    <w:p w:rsidR="00764154" w:rsidRPr="00764154" w:rsidRDefault="00764154" w:rsidP="00764154">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764154">
        <w:rPr>
          <w:rFonts w:ascii="Times New Roman" w:eastAsia="Times New Roman" w:hAnsi="Times New Roman" w:cs="Times New Roman"/>
          <w:sz w:val="24"/>
          <w:szCs w:val="24"/>
          <w:lang w:val="fr-FR" w:eastAsia="fr-BE"/>
        </w:rPr>
        <w:t>Une autre source de variabilité découle, en outre, du ciblage des destinataires des conseils prodigués. Selon les cas, ces derniers sont désignés sous des noms différents : « public », « usagers », « bénéficiaires », « clients », « consommateurs ». Une telle palette laisse présager des différences entre les pratiques des conseillers dont le titre générique masque des approches et des objectifs distincts.</w:t>
      </w:r>
    </w:p>
    <w:p w:rsidR="00764154" w:rsidRPr="00764154" w:rsidRDefault="00764154" w:rsidP="00764154">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764154">
        <w:rPr>
          <w:rFonts w:ascii="Times New Roman" w:eastAsia="Times New Roman" w:hAnsi="Times New Roman" w:cs="Times New Roman"/>
          <w:sz w:val="24"/>
          <w:szCs w:val="24"/>
          <w:lang w:val="fr-FR" w:eastAsia="fr-BE"/>
        </w:rPr>
        <w:t xml:space="preserve">Au-delà de la variété et de l’hétérogénéité des contextes dans lesquels le nom de conseiller est utilisé, l’énigme d’un tel succès reste entière : pourquoi tant d’institutions et d’entreprises jugent-elles pertinent de l’attribuer à leurs salariés ? Pourquoi, par ailleurs, certains d’entre eux revendiquent-ils ce titre en le substituant à leur nom officiel de métier, comme s’il </w:t>
      </w:r>
      <w:proofErr w:type="gramStart"/>
      <w:r w:rsidRPr="00764154">
        <w:rPr>
          <w:rFonts w:ascii="Times New Roman" w:eastAsia="Times New Roman" w:hAnsi="Times New Roman" w:cs="Times New Roman"/>
          <w:sz w:val="24"/>
          <w:szCs w:val="24"/>
          <w:lang w:val="fr-FR" w:eastAsia="fr-BE"/>
        </w:rPr>
        <w:t>caractérisait</w:t>
      </w:r>
      <w:proofErr w:type="gramEnd"/>
      <w:r w:rsidRPr="00764154">
        <w:rPr>
          <w:rFonts w:ascii="Times New Roman" w:eastAsia="Times New Roman" w:hAnsi="Times New Roman" w:cs="Times New Roman"/>
          <w:sz w:val="24"/>
          <w:szCs w:val="24"/>
          <w:lang w:val="fr-FR" w:eastAsia="fr-BE"/>
        </w:rPr>
        <w:t xml:space="preserve"> mieux leur activité réelle ou était davantage fidèle à leur définition idéale du métier ? </w:t>
      </w:r>
      <w:r w:rsidRPr="00764154">
        <w:rPr>
          <w:rFonts w:ascii="Times New Roman" w:eastAsia="Times New Roman" w:hAnsi="Times New Roman" w:cs="Times New Roman"/>
          <w:i/>
          <w:iCs/>
          <w:sz w:val="24"/>
          <w:szCs w:val="24"/>
          <w:lang w:val="fr-FR" w:eastAsia="fr-BE"/>
        </w:rPr>
        <w:t>A contrario</w:t>
      </w:r>
      <w:r w:rsidRPr="00764154">
        <w:rPr>
          <w:rFonts w:ascii="Times New Roman" w:eastAsia="Times New Roman" w:hAnsi="Times New Roman" w:cs="Times New Roman"/>
          <w:sz w:val="24"/>
          <w:szCs w:val="24"/>
          <w:lang w:val="fr-FR" w:eastAsia="fr-BE"/>
        </w:rPr>
        <w:t>, pourquoi d’autres se montrent-ils réfractaires à cet intitulé ?</w:t>
      </w:r>
    </w:p>
    <w:p w:rsidR="00764154" w:rsidRPr="00764154" w:rsidRDefault="00764154" w:rsidP="00764154">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764154">
        <w:rPr>
          <w:rFonts w:ascii="Times New Roman" w:eastAsia="Times New Roman" w:hAnsi="Times New Roman" w:cs="Times New Roman"/>
          <w:sz w:val="24"/>
          <w:szCs w:val="24"/>
          <w:lang w:val="fr-FR" w:eastAsia="fr-BE"/>
        </w:rPr>
        <w:t xml:space="preserve">Les réactions récalcitrantes contre le port (du point de vue des salariés) ou contre l’octroi (du point de vue des employeurs) du titre de conseiller s’avèrent toutefois minoritaires au regard </w:t>
      </w:r>
      <w:r w:rsidRPr="00764154">
        <w:rPr>
          <w:rFonts w:ascii="Times New Roman" w:eastAsia="Times New Roman" w:hAnsi="Times New Roman" w:cs="Times New Roman"/>
          <w:sz w:val="24"/>
          <w:szCs w:val="24"/>
          <w:lang w:val="fr-FR" w:eastAsia="fr-BE"/>
        </w:rPr>
        <w:lastRenderedPageBreak/>
        <w:t>du succès que remporte ce nom. Du fait de ses usages antérieurs, il a hérité d’un pouvoir anoblissant qu’il conserve en dépit de sa récente banalisation. Il est de manière générale valorisant d’exercer le métier de conseiller, même si ce titre ne spécifie pas précisément le contenu de travail de son porteur qui est, cependant, spontanément perçu comme chargé d’un mandat à teneur altruiste. En effet, un conseiller ne saurait être que bienveillant à l’égard de ses interlocuteurs auxquels il offre d’une forme d’aide à la décision. Un autre présupposé porte sur la nature des conseils délivrés qui, dans le cadre d’une interaction professionnelle, sont censés être neutres, parce qu’émis par un intervenant extérieur et désintéressé (si ses services sont non payants) ou, tout au moins, préoccupé de l’intérêt de son « client ». Par ailleurs, le recours au conseil est compris comme une démarche volontaire que la personne effectue en vue d’obtenir une aide et un avis expert. Dans cette perspective, la référence au travail social n’est pas loin, et son évocation peut, de ce fait, servir de légitimation à certains nouveaux métiers en mal de reconnaissance ou à des métiers plus anciens dont la réputation est mauvaise.</w:t>
      </w:r>
    </w:p>
    <w:p w:rsidR="00764154" w:rsidRPr="00764154" w:rsidRDefault="00764154" w:rsidP="00764154">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764154">
        <w:rPr>
          <w:rFonts w:ascii="Times New Roman" w:eastAsia="Times New Roman" w:hAnsi="Times New Roman" w:cs="Times New Roman"/>
          <w:sz w:val="24"/>
          <w:szCs w:val="24"/>
          <w:lang w:val="fr-FR" w:eastAsia="fr-BE"/>
        </w:rPr>
        <w:t>À y regarder de plus près, cependant, le tableau demeure brouillé. Le positionnement des conseillers s’avère incertain. Leur intervention est-elle toujours déclenchée par la demande d’un individu à la recherche de conseils ? Ne contribuent-ils pas à faire naître une demande auprès d’interlocuteurs qu’ils transforment, ainsi, en clients ou en usagers ? Mieux, ne s’adressent-ils pas à des personnes qui n’ont pas de demande et à qui ils apportent autre chose ou davantage que des conseils ? Ne sont-ils pas chargés, sous couvert d’une mission affichée de conseil, de délivrer des messages et de faire valoir des normes et des croyances que leur employeur a intérêt à faire adopter par certains publics ? Les activités de service ne se limiteraient donc pas, malgré les discours tenus publiquement, à satisfaire les besoins des destinataires des conseils ; en suivant Everett Hughes (1996), il est même possible d’affirmer qu’une démarche inverse est plus couramment suivie :</w:t>
      </w:r>
    </w:p>
    <w:p w:rsidR="00764154" w:rsidRPr="00764154" w:rsidRDefault="00764154" w:rsidP="00764154">
      <w:pPr>
        <w:spacing w:beforeAutospacing="1" w:after="100" w:afterAutospacing="1" w:line="240" w:lineRule="auto"/>
        <w:jc w:val="both"/>
        <w:rPr>
          <w:rFonts w:ascii="Times New Roman" w:eastAsia="Times New Roman" w:hAnsi="Times New Roman" w:cs="Times New Roman"/>
          <w:sz w:val="24"/>
          <w:szCs w:val="24"/>
          <w:lang w:val="fr-FR" w:eastAsia="fr-BE"/>
        </w:rPr>
      </w:pPr>
      <w:r w:rsidRPr="00764154">
        <w:rPr>
          <w:rFonts w:ascii="Times New Roman" w:eastAsia="Times New Roman" w:hAnsi="Times New Roman" w:cs="Times New Roman"/>
          <w:sz w:val="24"/>
          <w:szCs w:val="24"/>
          <w:lang w:val="fr-FR" w:eastAsia="fr-BE"/>
        </w:rPr>
        <w:t>« D’une manière un peu abrupte, j’ai affirmé que les membres des professions ne se bornent pas à offrir un service, mais qu’ils définissent les besoins mêmes qu’ils servent. Ainsi, la vieille formule qui prétend que les professions satisfont les besoins et les désirs fondamentaux des gens et de la société est beaucoup trop simple. Nous devons prendre pour point de départ l’hypothèse selon laquelle, même en ce qui concerne les besoins biologiques, les professions se trouvent en interaction constante avec la population qu’elles servent – et davantage avec certaines catégories qu’avec d’autres, en raison des contacts entretenus ou de l’attention accordée – ainsi qu’avec la société dans son ensemble, et qu’elles sont à l’origine de changement sociaux, ou qu’elles y réagissent. Ces réactions prennent souvent la forme d’une résistance, parfois celle d’une innovation active » (Hughes, 1996, p. 131).</w:t>
      </w:r>
    </w:p>
    <w:p w:rsidR="00764154" w:rsidRPr="00764154" w:rsidRDefault="00764154" w:rsidP="00764154">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764154">
        <w:rPr>
          <w:rFonts w:ascii="Times New Roman" w:eastAsia="Times New Roman" w:hAnsi="Times New Roman" w:cs="Times New Roman"/>
          <w:sz w:val="24"/>
          <w:szCs w:val="24"/>
          <w:lang w:val="fr-FR" w:eastAsia="fr-BE"/>
        </w:rPr>
        <w:t>Les lecteurs trouveront dans la suite de ce volume un approfondissement des questionnements ébauchés dans cette introduction, à travers la présentation de situations professionnelles singulières de conseillers spécialisés dans des domaines différents.</w:t>
      </w:r>
    </w:p>
    <w:p w:rsidR="00764154" w:rsidRPr="00764154" w:rsidRDefault="00764154" w:rsidP="00764154">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764154">
        <w:rPr>
          <w:rFonts w:ascii="Times New Roman" w:eastAsia="Times New Roman" w:hAnsi="Times New Roman" w:cs="Times New Roman"/>
          <w:sz w:val="24"/>
          <w:szCs w:val="24"/>
          <w:lang w:val="fr-FR" w:eastAsia="fr-BE"/>
        </w:rPr>
        <w:t>Les articles de Xavier Roux et Adeline Gilson apportent un éclairage d’autant plus intéressant sur la condition de conseillers salariés d’une banque, que leurs approches se complètent parfaitement, en analysant, pour l’un, les attentes et les positionnements des clients et, pour l’autre, le rapport des conseillers au travail et à leur mandat. Bien que se situant dans des contextes bancaires différents, ces deux auteurs mettent entre autres en lumière les effets d’un double mandat imposé à ces conseillers (conseiller et vendre) sur l’interaction de conseil.</w:t>
      </w:r>
    </w:p>
    <w:p w:rsidR="00764154" w:rsidRPr="00764154" w:rsidRDefault="00764154" w:rsidP="00764154">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764154">
        <w:rPr>
          <w:rFonts w:ascii="Times New Roman" w:eastAsia="Times New Roman" w:hAnsi="Times New Roman" w:cs="Times New Roman"/>
          <w:sz w:val="24"/>
          <w:szCs w:val="24"/>
          <w:lang w:val="fr-FR" w:eastAsia="fr-BE"/>
        </w:rPr>
        <w:lastRenderedPageBreak/>
        <w:t xml:space="preserve">On trouvera, par la suite, dans les trois textes consacrés à l’accompagnement des chômeurs (Jean-François Orianne et Hugues Draelants ; Jean-Michel Bonvin et Éric </w:t>
      </w:r>
      <w:proofErr w:type="spellStart"/>
      <w:r w:rsidRPr="00764154">
        <w:rPr>
          <w:rFonts w:ascii="Times New Roman" w:eastAsia="Times New Roman" w:hAnsi="Times New Roman" w:cs="Times New Roman"/>
          <w:sz w:val="24"/>
          <w:szCs w:val="24"/>
          <w:lang w:val="fr-FR" w:eastAsia="fr-BE"/>
        </w:rPr>
        <w:t>Moachon</w:t>
      </w:r>
      <w:proofErr w:type="spellEnd"/>
      <w:r w:rsidRPr="00764154">
        <w:rPr>
          <w:rFonts w:ascii="Times New Roman" w:eastAsia="Times New Roman" w:hAnsi="Times New Roman" w:cs="Times New Roman"/>
          <w:sz w:val="24"/>
          <w:szCs w:val="24"/>
          <w:lang w:val="fr-FR" w:eastAsia="fr-BE"/>
        </w:rPr>
        <w:t xml:space="preserve"> ; Sophie </w:t>
      </w:r>
      <w:proofErr w:type="spellStart"/>
      <w:r w:rsidRPr="00764154">
        <w:rPr>
          <w:rFonts w:ascii="Times New Roman" w:eastAsia="Times New Roman" w:hAnsi="Times New Roman" w:cs="Times New Roman"/>
          <w:sz w:val="24"/>
          <w:szCs w:val="24"/>
          <w:lang w:val="fr-FR" w:eastAsia="fr-BE"/>
        </w:rPr>
        <w:t>Divay</w:t>
      </w:r>
      <w:proofErr w:type="spellEnd"/>
      <w:r w:rsidRPr="00764154">
        <w:rPr>
          <w:rFonts w:ascii="Times New Roman" w:eastAsia="Times New Roman" w:hAnsi="Times New Roman" w:cs="Times New Roman"/>
          <w:sz w:val="24"/>
          <w:szCs w:val="24"/>
          <w:lang w:val="fr-FR" w:eastAsia="fr-BE"/>
        </w:rPr>
        <w:t xml:space="preserve"> et Coralie Perez), une mise en regard de dispositifs de la politique de l’emploi dans trois pays différents : la Belgique, la Suisse et la France. Les spécificités nationales s’avèrent </w:t>
      </w:r>
      <w:r w:rsidRPr="00764154">
        <w:rPr>
          <w:rFonts w:ascii="Times New Roman" w:eastAsia="Times New Roman" w:hAnsi="Times New Roman" w:cs="Times New Roman"/>
          <w:i/>
          <w:iCs/>
          <w:sz w:val="24"/>
          <w:szCs w:val="24"/>
          <w:lang w:val="fr-FR" w:eastAsia="fr-BE"/>
        </w:rPr>
        <w:t>in fine</w:t>
      </w:r>
      <w:r w:rsidRPr="00764154">
        <w:rPr>
          <w:rFonts w:ascii="Times New Roman" w:eastAsia="Times New Roman" w:hAnsi="Times New Roman" w:cs="Times New Roman"/>
          <w:sz w:val="24"/>
          <w:szCs w:val="24"/>
          <w:lang w:val="fr-FR" w:eastAsia="fr-BE"/>
        </w:rPr>
        <w:t xml:space="preserve"> bien moindres que les points communs, notamment dus à la force de la </w:t>
      </w:r>
      <w:r w:rsidRPr="00764154">
        <w:rPr>
          <w:rFonts w:ascii="Times New Roman" w:eastAsia="Times New Roman" w:hAnsi="Times New Roman" w:cs="Times New Roman"/>
          <w:i/>
          <w:iCs/>
          <w:sz w:val="24"/>
          <w:szCs w:val="24"/>
          <w:lang w:val="fr-FR" w:eastAsia="fr-BE"/>
        </w:rPr>
        <w:t>doxa</w:t>
      </w:r>
      <w:r w:rsidRPr="00764154">
        <w:rPr>
          <w:rFonts w:ascii="Times New Roman" w:eastAsia="Times New Roman" w:hAnsi="Times New Roman" w:cs="Times New Roman"/>
          <w:sz w:val="24"/>
          <w:szCs w:val="24"/>
          <w:lang w:val="fr-FR" w:eastAsia="fr-BE"/>
        </w:rPr>
        <w:t xml:space="preserve"> de l’activation prônée par les orientations européennes. L’incitation </w:t>
      </w:r>
      <w:proofErr w:type="spellStart"/>
      <w:r w:rsidRPr="00764154">
        <w:rPr>
          <w:rFonts w:ascii="Times New Roman" w:eastAsia="Times New Roman" w:hAnsi="Times New Roman" w:cs="Times New Roman"/>
          <w:sz w:val="24"/>
          <w:szCs w:val="24"/>
          <w:lang w:val="fr-FR" w:eastAsia="fr-BE"/>
        </w:rPr>
        <w:t>individualisante</w:t>
      </w:r>
      <w:proofErr w:type="spellEnd"/>
      <w:r w:rsidRPr="00764154">
        <w:rPr>
          <w:rFonts w:ascii="Times New Roman" w:eastAsia="Times New Roman" w:hAnsi="Times New Roman" w:cs="Times New Roman"/>
          <w:sz w:val="24"/>
          <w:szCs w:val="24"/>
          <w:lang w:val="fr-FR" w:eastAsia="fr-BE"/>
        </w:rPr>
        <w:t xml:space="preserve"> au « retour rapide en emploi » tend à homogénéiser les formes d’encadrement des individus privés d’emploi, dont le contrôle et la normalisation des comportements s’appliquent sous couvert d’une activité de conseil.</w:t>
      </w:r>
    </w:p>
    <w:p w:rsidR="00764154" w:rsidRPr="00764154" w:rsidRDefault="00764154" w:rsidP="00764154">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764154">
        <w:rPr>
          <w:rFonts w:ascii="Times New Roman" w:eastAsia="Times New Roman" w:hAnsi="Times New Roman" w:cs="Times New Roman"/>
          <w:sz w:val="24"/>
          <w:szCs w:val="24"/>
          <w:lang w:val="fr-FR" w:eastAsia="fr-BE"/>
        </w:rPr>
        <w:t>Isabel Boni-Le Goff nous entraîne dans un autre univers du conseil où le prestige symbolique est si déterminant dans les relations avec les clients (rois) que les conseillers préfèrent porter le nom de consultant. Ce titre est jugé plus rentable puisqu’il est porteur de signes distinctifs (de par sa consonance anglo-saxonne) et en adéquation avec les références des cadres et managers, clients auxquels il s’agit de vendre non pas des produits financiers, mais des biens immatériels. Le fond comptant autant que la forme, l’auteure nous livre une analyse fine des tactiques que les consultants mettent en œuvre pour construire et consolider leur légitimité professionnelle, alors qu’ils sont placés sous la pression du principe « </w:t>
      </w:r>
      <w:r w:rsidRPr="00764154">
        <w:rPr>
          <w:rFonts w:ascii="Times New Roman" w:eastAsia="Times New Roman" w:hAnsi="Times New Roman" w:cs="Times New Roman"/>
          <w:i/>
          <w:iCs/>
          <w:sz w:val="24"/>
          <w:szCs w:val="24"/>
          <w:lang w:val="fr-FR" w:eastAsia="fr-BE"/>
        </w:rPr>
        <w:t xml:space="preserve">time </w:t>
      </w:r>
      <w:proofErr w:type="spellStart"/>
      <w:r w:rsidRPr="00764154">
        <w:rPr>
          <w:rFonts w:ascii="Times New Roman" w:eastAsia="Times New Roman" w:hAnsi="Times New Roman" w:cs="Times New Roman"/>
          <w:i/>
          <w:iCs/>
          <w:sz w:val="24"/>
          <w:szCs w:val="24"/>
          <w:lang w:val="fr-FR" w:eastAsia="fr-BE"/>
        </w:rPr>
        <w:t>is</w:t>
      </w:r>
      <w:proofErr w:type="spellEnd"/>
      <w:r w:rsidRPr="00764154">
        <w:rPr>
          <w:rFonts w:ascii="Times New Roman" w:eastAsia="Times New Roman" w:hAnsi="Times New Roman" w:cs="Times New Roman"/>
          <w:i/>
          <w:iCs/>
          <w:sz w:val="24"/>
          <w:szCs w:val="24"/>
          <w:lang w:val="fr-FR" w:eastAsia="fr-BE"/>
        </w:rPr>
        <w:t xml:space="preserve"> money</w:t>
      </w:r>
      <w:r w:rsidRPr="00764154">
        <w:rPr>
          <w:rFonts w:ascii="Times New Roman" w:eastAsia="Times New Roman" w:hAnsi="Times New Roman" w:cs="Times New Roman"/>
          <w:sz w:val="24"/>
          <w:szCs w:val="24"/>
          <w:lang w:val="fr-FR" w:eastAsia="fr-BE"/>
        </w:rPr>
        <w:t> ».</w:t>
      </w:r>
    </w:p>
    <w:p w:rsidR="00764154" w:rsidRPr="00764154" w:rsidRDefault="00764154" w:rsidP="00764154">
      <w:pPr>
        <w:spacing w:before="100" w:beforeAutospacing="1" w:after="100" w:afterAutospacing="1" w:line="240" w:lineRule="auto"/>
        <w:jc w:val="both"/>
        <w:rPr>
          <w:rFonts w:ascii="Times New Roman" w:eastAsia="Times New Roman" w:hAnsi="Times New Roman" w:cs="Times New Roman"/>
          <w:sz w:val="24"/>
          <w:szCs w:val="24"/>
          <w:lang w:val="fr-FR" w:eastAsia="fr-BE"/>
        </w:rPr>
      </w:pPr>
      <w:r w:rsidRPr="00764154">
        <w:rPr>
          <w:rFonts w:ascii="Times New Roman" w:eastAsia="Times New Roman" w:hAnsi="Times New Roman" w:cs="Times New Roman"/>
          <w:sz w:val="24"/>
          <w:szCs w:val="24"/>
          <w:lang w:val="fr-FR" w:eastAsia="fr-BE"/>
        </w:rPr>
        <w:t>L’article de David Delvaux livre, pour finir, les résultats d’une enquête originale et riche d’enseignements menée auprès des conseillers en ressources humaines affectés auprès des juges dans les cours et tribunaux belges. Ces nouveaux venus dans le domaine du conseil sont chargés d’un mandat semblable à celui des conseillers pédagogiques dont l’activité est décrite dans le texte de Jean-François Orianne et Hugues Draelants. Ces deux nouvelles fonctions ont la même finalité : convertir des professionnels à la logique managériale et gestionnaire, sans toutefois avoir affaire au même type de groupe professionnel, l’un étant beaucoup plus armé que l’autre pour opposer une résistance à cette tentative d’ingérence venant d’en haut, en l’occurrence orchestrée par les pouvoirs publics.</w:t>
      </w:r>
    </w:p>
    <w:p w:rsidR="002E7B0F" w:rsidRDefault="002E7B0F"/>
    <w:sectPr w:rsidR="002E7B0F" w:rsidSect="002E7B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764154"/>
    <w:rsid w:val="002E7B0F"/>
    <w:rsid w:val="0076415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B0F"/>
  </w:style>
  <w:style w:type="paragraph" w:styleId="Titre1">
    <w:name w:val="heading 1"/>
    <w:basedOn w:val="Normal"/>
    <w:link w:val="Titre1Car"/>
    <w:uiPriority w:val="9"/>
    <w:qFormat/>
    <w:rsid w:val="007641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764154"/>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4154"/>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764154"/>
    <w:rPr>
      <w:rFonts w:ascii="Times New Roman" w:eastAsia="Times New Roman" w:hAnsi="Times New Roman" w:cs="Times New Roman"/>
      <w:b/>
      <w:bCs/>
      <w:sz w:val="36"/>
      <w:szCs w:val="36"/>
      <w:lang w:eastAsia="fr-BE"/>
    </w:rPr>
  </w:style>
  <w:style w:type="character" w:customStyle="1" w:styleId="text">
    <w:name w:val="text"/>
    <w:basedOn w:val="Policepardfaut"/>
    <w:rsid w:val="00764154"/>
  </w:style>
  <w:style w:type="character" w:styleId="lev">
    <w:name w:val="Strong"/>
    <w:basedOn w:val="Policepardfaut"/>
    <w:uiPriority w:val="22"/>
    <w:qFormat/>
    <w:rsid w:val="00764154"/>
    <w:rPr>
      <w:b/>
      <w:bCs/>
    </w:rPr>
  </w:style>
  <w:style w:type="character" w:customStyle="1" w:styleId="familyname">
    <w:name w:val="familyname"/>
    <w:basedOn w:val="Policepardfaut"/>
    <w:rsid w:val="00764154"/>
  </w:style>
  <w:style w:type="character" w:styleId="Lienhypertexte">
    <w:name w:val="Hyperlink"/>
    <w:basedOn w:val="Policepardfaut"/>
    <w:uiPriority w:val="99"/>
    <w:semiHidden/>
    <w:unhideWhenUsed/>
    <w:rsid w:val="00764154"/>
    <w:rPr>
      <w:color w:val="0000FF"/>
      <w:u w:val="single"/>
    </w:rPr>
  </w:style>
  <w:style w:type="character" w:customStyle="1" w:styleId="fileinfo">
    <w:name w:val="fileinfo"/>
    <w:basedOn w:val="Policepardfaut"/>
    <w:rsid w:val="00764154"/>
  </w:style>
  <w:style w:type="paragraph" w:customStyle="1" w:styleId="texte">
    <w:name w:val="texte"/>
    <w:basedOn w:val="Normal"/>
    <w:rsid w:val="00764154"/>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paranumber">
    <w:name w:val="paranumber"/>
    <w:basedOn w:val="Policepardfaut"/>
    <w:rsid w:val="00764154"/>
  </w:style>
  <w:style w:type="character" w:styleId="Accentuation">
    <w:name w:val="Emphasis"/>
    <w:basedOn w:val="Policepardfaut"/>
    <w:uiPriority w:val="20"/>
    <w:qFormat/>
    <w:rsid w:val="00764154"/>
    <w:rPr>
      <w:i/>
      <w:iCs/>
    </w:rPr>
  </w:style>
  <w:style w:type="paragraph" w:customStyle="1" w:styleId="citation">
    <w:name w:val="citation"/>
    <w:basedOn w:val="Normal"/>
    <w:rsid w:val="00764154"/>
    <w:pPr>
      <w:spacing w:before="100" w:beforeAutospacing="1" w:after="100" w:afterAutospacing="1" w:line="240" w:lineRule="auto"/>
    </w:pPr>
    <w:rPr>
      <w:rFonts w:ascii="Times New Roman" w:eastAsia="Times New Roman" w:hAnsi="Times New Roman" w:cs="Times New Roman"/>
      <w:sz w:val="24"/>
      <w:szCs w:val="24"/>
      <w:lang w:eastAsia="fr-BE"/>
    </w:rPr>
  </w:style>
</w:styles>
</file>

<file path=word/webSettings.xml><?xml version="1.0" encoding="utf-8"?>
<w:webSettings xmlns:r="http://schemas.openxmlformats.org/officeDocument/2006/relationships" xmlns:w="http://schemas.openxmlformats.org/wordprocessingml/2006/main">
  <w:divs>
    <w:div w:id="894857589">
      <w:bodyDiv w:val="1"/>
      <w:marLeft w:val="0"/>
      <w:marRight w:val="0"/>
      <w:marTop w:val="0"/>
      <w:marBottom w:val="0"/>
      <w:divBdr>
        <w:top w:val="none" w:sz="0" w:space="0" w:color="auto"/>
        <w:left w:val="none" w:sz="0" w:space="0" w:color="auto"/>
        <w:bottom w:val="none" w:sz="0" w:space="0" w:color="auto"/>
        <w:right w:val="none" w:sz="0" w:space="0" w:color="auto"/>
      </w:divBdr>
      <w:divsChild>
        <w:div w:id="257716273">
          <w:marLeft w:val="0"/>
          <w:marRight w:val="0"/>
          <w:marTop w:val="0"/>
          <w:marBottom w:val="0"/>
          <w:divBdr>
            <w:top w:val="none" w:sz="0" w:space="0" w:color="auto"/>
            <w:left w:val="none" w:sz="0" w:space="0" w:color="auto"/>
            <w:bottom w:val="none" w:sz="0" w:space="0" w:color="auto"/>
            <w:right w:val="none" w:sz="0" w:space="0" w:color="auto"/>
          </w:divBdr>
          <w:divsChild>
            <w:div w:id="974524714">
              <w:marLeft w:val="0"/>
              <w:marRight w:val="0"/>
              <w:marTop w:val="0"/>
              <w:marBottom w:val="0"/>
              <w:divBdr>
                <w:top w:val="none" w:sz="0" w:space="0" w:color="auto"/>
                <w:left w:val="none" w:sz="0" w:space="0" w:color="auto"/>
                <w:bottom w:val="none" w:sz="0" w:space="0" w:color="auto"/>
                <w:right w:val="none" w:sz="0" w:space="0" w:color="auto"/>
              </w:divBdr>
              <w:divsChild>
                <w:div w:id="1982148603">
                  <w:marLeft w:val="0"/>
                  <w:marRight w:val="0"/>
                  <w:marTop w:val="0"/>
                  <w:marBottom w:val="0"/>
                  <w:divBdr>
                    <w:top w:val="none" w:sz="0" w:space="0" w:color="auto"/>
                    <w:left w:val="none" w:sz="0" w:space="0" w:color="auto"/>
                    <w:bottom w:val="none" w:sz="0" w:space="0" w:color="auto"/>
                    <w:right w:val="none" w:sz="0" w:space="0" w:color="auto"/>
                  </w:divBdr>
                  <w:divsChild>
                    <w:div w:id="1540510432">
                      <w:marLeft w:val="0"/>
                      <w:marRight w:val="0"/>
                      <w:marTop w:val="0"/>
                      <w:marBottom w:val="0"/>
                      <w:divBdr>
                        <w:top w:val="none" w:sz="0" w:space="0" w:color="auto"/>
                        <w:left w:val="none" w:sz="0" w:space="0" w:color="auto"/>
                        <w:bottom w:val="none" w:sz="0" w:space="0" w:color="auto"/>
                        <w:right w:val="none" w:sz="0" w:space="0" w:color="auto"/>
                      </w:divBdr>
                      <w:divsChild>
                        <w:div w:id="992872266">
                          <w:marLeft w:val="0"/>
                          <w:marRight w:val="0"/>
                          <w:marTop w:val="0"/>
                          <w:marBottom w:val="0"/>
                          <w:divBdr>
                            <w:top w:val="none" w:sz="0" w:space="0" w:color="auto"/>
                            <w:left w:val="none" w:sz="0" w:space="0" w:color="auto"/>
                            <w:bottom w:val="none" w:sz="0" w:space="0" w:color="auto"/>
                            <w:right w:val="none" w:sz="0" w:space="0" w:color="auto"/>
                          </w:divBdr>
                          <w:divsChild>
                            <w:div w:id="2045518042">
                              <w:marLeft w:val="0"/>
                              <w:marRight w:val="0"/>
                              <w:marTop w:val="0"/>
                              <w:marBottom w:val="0"/>
                              <w:divBdr>
                                <w:top w:val="none" w:sz="0" w:space="0" w:color="auto"/>
                                <w:left w:val="none" w:sz="0" w:space="0" w:color="auto"/>
                                <w:bottom w:val="none" w:sz="0" w:space="0" w:color="auto"/>
                                <w:right w:val="none" w:sz="0" w:space="0" w:color="auto"/>
                              </w:divBdr>
                            </w:div>
                            <w:div w:id="1334333197">
                              <w:marLeft w:val="0"/>
                              <w:marRight w:val="0"/>
                              <w:marTop w:val="0"/>
                              <w:marBottom w:val="0"/>
                              <w:divBdr>
                                <w:top w:val="none" w:sz="0" w:space="0" w:color="auto"/>
                                <w:left w:val="none" w:sz="0" w:space="0" w:color="auto"/>
                                <w:bottom w:val="none" w:sz="0" w:space="0" w:color="auto"/>
                                <w:right w:val="none" w:sz="0" w:space="0" w:color="auto"/>
                              </w:divBdr>
                            </w:div>
                          </w:divsChild>
                        </w:div>
                        <w:div w:id="930627651">
                          <w:marLeft w:val="0"/>
                          <w:marRight w:val="0"/>
                          <w:marTop w:val="0"/>
                          <w:marBottom w:val="0"/>
                          <w:divBdr>
                            <w:top w:val="none" w:sz="0" w:space="0" w:color="auto"/>
                            <w:left w:val="none" w:sz="0" w:space="0" w:color="auto"/>
                            <w:bottom w:val="none" w:sz="0" w:space="0" w:color="auto"/>
                            <w:right w:val="none" w:sz="0" w:space="0" w:color="auto"/>
                          </w:divBdr>
                          <w:divsChild>
                            <w:div w:id="948045744">
                              <w:marLeft w:val="0"/>
                              <w:marRight w:val="0"/>
                              <w:marTop w:val="0"/>
                              <w:marBottom w:val="0"/>
                              <w:divBdr>
                                <w:top w:val="none" w:sz="0" w:space="0" w:color="auto"/>
                                <w:left w:val="none" w:sz="0" w:space="0" w:color="auto"/>
                                <w:bottom w:val="none" w:sz="0" w:space="0" w:color="auto"/>
                                <w:right w:val="none" w:sz="0" w:space="0" w:color="auto"/>
                              </w:divBdr>
                            </w:div>
                            <w:div w:id="366569751">
                              <w:marLeft w:val="0"/>
                              <w:marRight w:val="0"/>
                              <w:marTop w:val="0"/>
                              <w:marBottom w:val="0"/>
                              <w:divBdr>
                                <w:top w:val="none" w:sz="0" w:space="0" w:color="auto"/>
                                <w:left w:val="none" w:sz="0" w:space="0" w:color="auto"/>
                                <w:bottom w:val="none" w:sz="0" w:space="0" w:color="auto"/>
                                <w:right w:val="none" w:sz="0" w:space="0" w:color="auto"/>
                              </w:divBdr>
                              <w:divsChild>
                                <w:div w:id="1940521149">
                                  <w:marLeft w:val="0"/>
                                  <w:marRight w:val="0"/>
                                  <w:marTop w:val="0"/>
                                  <w:marBottom w:val="0"/>
                                  <w:divBdr>
                                    <w:top w:val="none" w:sz="0" w:space="0" w:color="auto"/>
                                    <w:left w:val="none" w:sz="0" w:space="0" w:color="auto"/>
                                    <w:bottom w:val="none" w:sz="0" w:space="0" w:color="auto"/>
                                    <w:right w:val="none" w:sz="0" w:space="0" w:color="auto"/>
                                  </w:divBdr>
                                </w:div>
                                <w:div w:id="1628465613">
                                  <w:marLeft w:val="0"/>
                                  <w:marRight w:val="0"/>
                                  <w:marTop w:val="0"/>
                                  <w:marBottom w:val="0"/>
                                  <w:divBdr>
                                    <w:top w:val="none" w:sz="0" w:space="0" w:color="auto"/>
                                    <w:left w:val="none" w:sz="0" w:space="0" w:color="auto"/>
                                    <w:bottom w:val="none" w:sz="0" w:space="0" w:color="auto"/>
                                    <w:right w:val="none" w:sz="0" w:space="0" w:color="auto"/>
                                  </w:divBdr>
                                  <w:divsChild>
                                    <w:div w:id="174109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1500</Words>
  <Characters>8256</Characters>
  <Application>Microsoft Office Word</Application>
  <DocSecurity>0</DocSecurity>
  <Lines>68</Lines>
  <Paragraphs>19</Paragraphs>
  <ScaleCrop>false</ScaleCrop>
  <Company>ULg</Company>
  <LinksUpToDate>false</LinksUpToDate>
  <CharactersWithSpaces>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Orianne Jean-François</dc:creator>
  <cp:lastModifiedBy>Orianne Jean-François</cp:lastModifiedBy>
  <cp:revision>1</cp:revision>
  <dcterms:created xsi:type="dcterms:W3CDTF">2010-02-09T11:41:00Z</dcterms:created>
  <dcterms:modified xsi:type="dcterms:W3CDTF">2010-02-09T11:43:00Z</dcterms:modified>
</cp:coreProperties>
</file>