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D84CF" w14:textId="77777777" w:rsidR="00A21E4D" w:rsidRPr="00A21E4D" w:rsidRDefault="00A21E4D" w:rsidP="00A21E4D">
      <w:pPr>
        <w:spacing w:line="240" w:lineRule="auto"/>
        <w:jc w:val="center"/>
        <w:rPr>
          <w:rFonts w:ascii="Times New Roman" w:hAnsi="Times New Roman" w:cs="Times New Roman"/>
          <w:b/>
          <w:smallCaps/>
          <w:sz w:val="24"/>
          <w:szCs w:val="24"/>
          <w:lang w:val="en-GB"/>
        </w:rPr>
      </w:pPr>
      <w:r w:rsidRPr="00A21E4D">
        <w:rPr>
          <w:rFonts w:ascii="Times New Roman" w:hAnsi="Times New Roman" w:cs="Times New Roman"/>
          <w:b/>
          <w:smallCaps/>
          <w:sz w:val="24"/>
          <w:szCs w:val="24"/>
          <w:lang w:val="en-GB"/>
        </w:rPr>
        <w:t>The concept of “worker” between the Free Movement of Workers and the Social Policy Directives. Perspectives from the Case Law of the Court of Justice</w:t>
      </w:r>
    </w:p>
    <w:p w14:paraId="628CE3F8" w14:textId="77777777" w:rsidR="00A21E4D" w:rsidRPr="00A21E4D" w:rsidRDefault="00A21E4D" w:rsidP="00A21E4D">
      <w:pPr>
        <w:spacing w:line="240" w:lineRule="auto"/>
        <w:jc w:val="center"/>
        <w:rPr>
          <w:rFonts w:ascii="Times New Roman" w:hAnsi="Times New Roman" w:cs="Times New Roman"/>
          <w:b/>
          <w:smallCaps/>
          <w:sz w:val="24"/>
          <w:szCs w:val="24"/>
          <w:lang w:val="en-GB"/>
        </w:rPr>
      </w:pPr>
    </w:p>
    <w:p w14:paraId="52129B27" w14:textId="77777777" w:rsidR="00A21E4D" w:rsidRPr="00A21E4D" w:rsidRDefault="00A21E4D" w:rsidP="00A21E4D">
      <w:pPr>
        <w:spacing w:line="240" w:lineRule="auto"/>
        <w:jc w:val="center"/>
        <w:rPr>
          <w:rFonts w:ascii="Times New Roman" w:hAnsi="Times New Roman" w:cs="Times New Roman"/>
          <w:b/>
          <w:smallCaps/>
          <w:sz w:val="24"/>
          <w:szCs w:val="24"/>
          <w:lang w:val="en-GB"/>
        </w:rPr>
      </w:pPr>
      <w:r w:rsidRPr="00A21E4D">
        <w:rPr>
          <w:rFonts w:ascii="Times New Roman" w:hAnsi="Times New Roman" w:cs="Times New Roman"/>
          <w:b/>
          <w:smallCaps/>
          <w:sz w:val="24"/>
          <w:szCs w:val="24"/>
          <w:lang w:val="en-GB"/>
        </w:rPr>
        <w:t>Vincent Février</w:t>
      </w:r>
      <w:r w:rsidRPr="00A21E4D">
        <w:rPr>
          <w:rFonts w:ascii="Times New Roman" w:hAnsi="Times New Roman" w:cs="Times New Roman"/>
          <w:b/>
          <w:smallCaps/>
          <w:sz w:val="24"/>
          <w:szCs w:val="24"/>
          <w:vertAlign w:val="superscript"/>
          <w:lang w:val="en-GB"/>
        </w:rPr>
        <w:footnoteReference w:customMarkFollows="1" w:id="1"/>
        <w:sym w:font="Symbol" w:char="F02A"/>
      </w:r>
      <w:r w:rsidRPr="00A21E4D">
        <w:rPr>
          <w:rFonts w:ascii="Times New Roman" w:hAnsi="Times New Roman" w:cs="Times New Roman"/>
          <w:b/>
          <w:smallCaps/>
          <w:sz w:val="24"/>
          <w:szCs w:val="24"/>
          <w:lang w:val="en-GB"/>
        </w:rPr>
        <w:br/>
      </w:r>
    </w:p>
    <w:p w14:paraId="7119F1E1" w14:textId="0B4513D7" w:rsidR="008B1E1C" w:rsidRPr="0065387A" w:rsidRDefault="00FA0024" w:rsidP="008B1E1C">
      <w:pPr>
        <w:spacing w:line="240" w:lineRule="auto"/>
        <w:jc w:val="center"/>
        <w:rPr>
          <w:rFonts w:ascii="Times New Roman" w:hAnsi="Times New Roman" w:cs="Times New Roman"/>
          <w:b/>
          <w:sz w:val="24"/>
          <w:szCs w:val="24"/>
          <w:lang w:val="en-GB"/>
        </w:rPr>
      </w:pPr>
      <w:bookmarkStart w:id="0" w:name="_GoBack"/>
      <w:bookmarkEnd w:id="0"/>
      <w:r>
        <w:rPr>
          <w:rFonts w:ascii="Times New Roman" w:hAnsi="Times New Roman" w:cs="Times New Roman"/>
          <w:b/>
          <w:smallCaps/>
          <w:sz w:val="24"/>
          <w:szCs w:val="24"/>
          <w:lang w:val="en-GB"/>
        </w:rPr>
        <w:br w:type="textWrapping" w:clear="all"/>
      </w:r>
    </w:p>
    <w:p w14:paraId="3FFA9E9C" w14:textId="77777777" w:rsidR="00D05EBF" w:rsidRPr="00A21E4D" w:rsidRDefault="00D109E1" w:rsidP="00A01045">
      <w:pPr>
        <w:spacing w:line="240" w:lineRule="auto"/>
        <w:jc w:val="both"/>
        <w:rPr>
          <w:rFonts w:ascii="Times New Roman" w:hAnsi="Times New Roman" w:cs="Times New Roman"/>
          <w:b/>
          <w:sz w:val="24"/>
          <w:szCs w:val="24"/>
          <w:lang w:val="en-GB"/>
        </w:rPr>
      </w:pPr>
      <w:r w:rsidRPr="00A21E4D">
        <w:rPr>
          <w:rFonts w:ascii="Times New Roman" w:hAnsi="Times New Roman" w:cs="Times New Roman"/>
          <w:b/>
          <w:sz w:val="24"/>
          <w:szCs w:val="24"/>
          <w:lang w:val="en-GB"/>
        </w:rPr>
        <w:t>INTRODUCTION</w:t>
      </w:r>
    </w:p>
    <w:p w14:paraId="0CA39AAC" w14:textId="53D9261D" w:rsidR="00B51083" w:rsidRPr="00A21E4D" w:rsidRDefault="00B51083" w:rsidP="00D56D32">
      <w:pPr>
        <w:spacing w:line="240" w:lineRule="auto"/>
        <w:jc w:val="both"/>
        <w:rPr>
          <w:rFonts w:ascii="Times New Roman" w:hAnsi="Times New Roman" w:cs="Times New Roman"/>
          <w:sz w:val="24"/>
          <w:szCs w:val="24"/>
          <w:lang w:val="en-GB"/>
        </w:rPr>
      </w:pPr>
      <w:r w:rsidRPr="00A21E4D">
        <w:rPr>
          <w:rFonts w:ascii="Times New Roman" w:hAnsi="Times New Roman" w:cs="Times New Roman"/>
          <w:b/>
          <w:sz w:val="24"/>
          <w:szCs w:val="24"/>
          <w:lang w:val="en-GB"/>
        </w:rPr>
        <w:tab/>
      </w:r>
      <w:r w:rsidRPr="00A21E4D">
        <w:rPr>
          <w:rFonts w:ascii="Times New Roman" w:hAnsi="Times New Roman" w:cs="Times New Roman"/>
          <w:sz w:val="24"/>
          <w:szCs w:val="24"/>
          <w:lang w:val="en-GB"/>
        </w:rPr>
        <w:t>The Concept of worker</w:t>
      </w:r>
      <w:r w:rsidR="000379EE" w:rsidRPr="00A21E4D">
        <w:rPr>
          <w:rFonts w:ascii="Times New Roman" w:hAnsi="Times New Roman" w:cs="Times New Roman"/>
          <w:sz w:val="24"/>
          <w:szCs w:val="24"/>
          <w:lang w:val="en-GB"/>
        </w:rPr>
        <w:t xml:space="preserve"> is the gateway to the access to the protection of </w:t>
      </w:r>
      <w:r w:rsidR="00FA6E19" w:rsidRPr="00A21E4D">
        <w:rPr>
          <w:rFonts w:ascii="Times New Roman" w:hAnsi="Times New Roman" w:cs="Times New Roman"/>
          <w:sz w:val="24"/>
          <w:szCs w:val="24"/>
          <w:lang w:val="en-GB"/>
        </w:rPr>
        <w:t>labour and social security law.</w:t>
      </w:r>
      <w:r w:rsidRPr="00A21E4D">
        <w:rPr>
          <w:rFonts w:ascii="Times New Roman" w:hAnsi="Times New Roman" w:cs="Times New Roman"/>
          <w:sz w:val="24"/>
          <w:szCs w:val="24"/>
          <w:lang w:val="en-GB"/>
        </w:rPr>
        <w:t xml:space="preserve"> Originally, European Communities Law</w:t>
      </w:r>
      <w:r w:rsidR="000379EE" w:rsidRPr="00A21E4D">
        <w:rPr>
          <w:rFonts w:ascii="Times New Roman" w:hAnsi="Times New Roman" w:cs="Times New Roman"/>
          <w:sz w:val="24"/>
          <w:szCs w:val="24"/>
          <w:lang w:val="en-GB"/>
        </w:rPr>
        <w:t xml:space="preserve"> did not have much concern </w:t>
      </w:r>
      <w:r w:rsidR="00FA6E19" w:rsidRPr="00A21E4D">
        <w:rPr>
          <w:rFonts w:ascii="Times New Roman" w:hAnsi="Times New Roman" w:cs="Times New Roman"/>
          <w:sz w:val="24"/>
          <w:szCs w:val="24"/>
          <w:lang w:val="en-GB"/>
        </w:rPr>
        <w:t>in this area</w:t>
      </w:r>
      <w:r w:rsidRPr="00A21E4D">
        <w:rPr>
          <w:rFonts w:ascii="Times New Roman" w:hAnsi="Times New Roman" w:cs="Times New Roman"/>
          <w:sz w:val="24"/>
          <w:szCs w:val="24"/>
          <w:lang w:val="en-GB"/>
        </w:rPr>
        <w:t xml:space="preserve">, as it was seen as a sensitive issue and a prerogative of the Member States. </w:t>
      </w:r>
      <w:r w:rsidR="000379EE" w:rsidRPr="00A21E4D">
        <w:rPr>
          <w:rFonts w:ascii="Times New Roman" w:hAnsi="Times New Roman" w:cs="Times New Roman"/>
          <w:sz w:val="24"/>
          <w:szCs w:val="24"/>
          <w:lang w:val="en-GB"/>
        </w:rPr>
        <w:t xml:space="preserve">If there were </w:t>
      </w:r>
      <w:r w:rsidR="00FA6E19" w:rsidRPr="00A21E4D">
        <w:rPr>
          <w:rFonts w:ascii="Times New Roman" w:hAnsi="Times New Roman" w:cs="Times New Roman"/>
          <w:sz w:val="24"/>
          <w:szCs w:val="24"/>
          <w:lang w:val="en-GB"/>
        </w:rPr>
        <w:t xml:space="preserve">labour and social security </w:t>
      </w:r>
      <w:r w:rsidR="000379EE" w:rsidRPr="00A21E4D">
        <w:rPr>
          <w:rFonts w:ascii="Times New Roman" w:hAnsi="Times New Roman" w:cs="Times New Roman"/>
          <w:sz w:val="24"/>
          <w:szCs w:val="24"/>
          <w:lang w:val="en-GB"/>
        </w:rPr>
        <w:t>l</w:t>
      </w:r>
      <w:r w:rsidR="00623087" w:rsidRPr="00A21E4D">
        <w:rPr>
          <w:rFonts w:ascii="Times New Roman" w:hAnsi="Times New Roman" w:cs="Times New Roman"/>
          <w:sz w:val="24"/>
          <w:szCs w:val="24"/>
          <w:lang w:val="en-GB"/>
        </w:rPr>
        <w:t xml:space="preserve">aw </w:t>
      </w:r>
      <w:r w:rsidRPr="00A21E4D">
        <w:rPr>
          <w:rFonts w:ascii="Times New Roman" w:hAnsi="Times New Roman" w:cs="Times New Roman"/>
          <w:sz w:val="24"/>
          <w:szCs w:val="24"/>
          <w:lang w:val="en-GB"/>
        </w:rPr>
        <w:t>d</w:t>
      </w:r>
      <w:r w:rsidR="00623087" w:rsidRPr="00A21E4D">
        <w:rPr>
          <w:rFonts w:ascii="Times New Roman" w:hAnsi="Times New Roman" w:cs="Times New Roman"/>
          <w:sz w:val="24"/>
          <w:szCs w:val="24"/>
          <w:lang w:val="en-GB"/>
        </w:rPr>
        <w:t>ispositions within the Treaty of Rome</w:t>
      </w:r>
      <w:r w:rsidRPr="00A21E4D">
        <w:rPr>
          <w:rFonts w:ascii="Times New Roman" w:hAnsi="Times New Roman" w:cs="Times New Roman"/>
          <w:sz w:val="24"/>
          <w:szCs w:val="24"/>
          <w:lang w:val="en-GB"/>
        </w:rPr>
        <w:t>,</w:t>
      </w:r>
      <w:r w:rsidR="00623087" w:rsidRPr="00A21E4D">
        <w:rPr>
          <w:rFonts w:ascii="Times New Roman" w:hAnsi="Times New Roman" w:cs="Times New Roman"/>
          <w:sz w:val="24"/>
          <w:szCs w:val="24"/>
          <w:lang w:val="en-GB"/>
        </w:rPr>
        <w:t xml:space="preserve"> they did not provide legally enforceable rights. The European construction was (and is</w:t>
      </w:r>
      <w:r w:rsidRPr="00A21E4D">
        <w:rPr>
          <w:rFonts w:ascii="Times New Roman" w:hAnsi="Times New Roman" w:cs="Times New Roman"/>
          <w:sz w:val="24"/>
          <w:szCs w:val="24"/>
          <w:lang w:val="en-GB"/>
        </w:rPr>
        <w:t xml:space="preserve"> still to some extent) focused on economic goals, notably the establishment of the internal market</w:t>
      </w:r>
      <w:r w:rsidR="00B26CCC" w:rsidRPr="00A21E4D">
        <w:rPr>
          <w:rStyle w:val="Appelnotedebasdep"/>
          <w:rFonts w:ascii="Times New Roman" w:hAnsi="Times New Roman" w:cs="Times New Roman"/>
          <w:sz w:val="24"/>
          <w:szCs w:val="24"/>
          <w:lang w:val="en-GB"/>
        </w:rPr>
        <w:footnoteReference w:id="2"/>
      </w:r>
      <w:r w:rsidRPr="00A21E4D">
        <w:rPr>
          <w:rFonts w:ascii="Times New Roman" w:hAnsi="Times New Roman" w:cs="Times New Roman"/>
          <w:sz w:val="24"/>
          <w:szCs w:val="24"/>
          <w:lang w:val="en-GB"/>
        </w:rPr>
        <w:t xml:space="preserve">. </w:t>
      </w:r>
    </w:p>
    <w:p w14:paraId="47170742" w14:textId="25E82D5D" w:rsidR="00B51083" w:rsidRPr="00A21E4D" w:rsidRDefault="00B51083"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DD0F3B" w:rsidRPr="00A21E4D">
        <w:rPr>
          <w:rFonts w:ascii="Times New Roman" w:hAnsi="Times New Roman" w:cs="Times New Roman"/>
          <w:sz w:val="24"/>
          <w:szCs w:val="24"/>
          <w:lang w:val="en-GB"/>
        </w:rPr>
        <w:t xml:space="preserve">Ironically, it </w:t>
      </w:r>
      <w:r w:rsidR="00C02204" w:rsidRPr="00A21E4D">
        <w:rPr>
          <w:rFonts w:ascii="Times New Roman" w:hAnsi="Times New Roman" w:cs="Times New Roman"/>
          <w:sz w:val="24"/>
          <w:szCs w:val="24"/>
          <w:lang w:val="en-GB"/>
        </w:rPr>
        <w:t>is through</w:t>
      </w:r>
      <w:r w:rsidR="0054321B" w:rsidRPr="00A21E4D">
        <w:rPr>
          <w:rFonts w:ascii="Times New Roman" w:hAnsi="Times New Roman" w:cs="Times New Roman"/>
          <w:sz w:val="24"/>
          <w:szCs w:val="24"/>
          <w:lang w:val="en-GB"/>
        </w:rPr>
        <w:t xml:space="preserve"> the window</w:t>
      </w:r>
      <w:r w:rsidRPr="00A21E4D">
        <w:rPr>
          <w:rFonts w:ascii="Times New Roman" w:hAnsi="Times New Roman" w:cs="Times New Roman"/>
          <w:sz w:val="24"/>
          <w:szCs w:val="24"/>
          <w:lang w:val="en-GB"/>
        </w:rPr>
        <w:t xml:space="preserve"> of the internal m</w:t>
      </w:r>
      <w:r w:rsidR="0086243F" w:rsidRPr="00A21E4D">
        <w:rPr>
          <w:rFonts w:ascii="Times New Roman" w:hAnsi="Times New Roman" w:cs="Times New Roman"/>
          <w:sz w:val="24"/>
          <w:szCs w:val="24"/>
          <w:lang w:val="en-GB"/>
        </w:rPr>
        <w:t>arket and of its freedoms</w:t>
      </w:r>
      <w:r w:rsidR="004008DD" w:rsidRPr="00A21E4D">
        <w:rPr>
          <w:rFonts w:ascii="Times New Roman" w:hAnsi="Times New Roman" w:cs="Times New Roman"/>
          <w:sz w:val="24"/>
          <w:szCs w:val="24"/>
          <w:lang w:val="en-GB"/>
        </w:rPr>
        <w:t xml:space="preserve"> </w:t>
      </w:r>
      <w:r w:rsidR="00813441" w:rsidRPr="00A21E4D">
        <w:rPr>
          <w:rFonts w:ascii="Times New Roman" w:hAnsi="Times New Roman" w:cs="Times New Roman"/>
          <w:sz w:val="24"/>
          <w:szCs w:val="24"/>
          <w:lang w:val="en-GB"/>
        </w:rPr>
        <w:t xml:space="preserve">that </w:t>
      </w:r>
      <w:r w:rsidR="00BE542D" w:rsidRPr="00A21E4D">
        <w:rPr>
          <w:rFonts w:ascii="Times New Roman" w:hAnsi="Times New Roman" w:cs="Times New Roman"/>
          <w:sz w:val="24"/>
          <w:szCs w:val="24"/>
          <w:lang w:val="en-GB"/>
        </w:rPr>
        <w:t>social policy</w:t>
      </w:r>
      <w:r w:rsidR="0054321B" w:rsidRPr="00A21E4D">
        <w:rPr>
          <w:rFonts w:ascii="Times New Roman" w:hAnsi="Times New Roman" w:cs="Times New Roman"/>
          <w:sz w:val="24"/>
          <w:szCs w:val="24"/>
          <w:lang w:val="en-GB"/>
        </w:rPr>
        <w:t xml:space="preserve"> concerns made their entry in European Law.</w:t>
      </w:r>
      <w:r w:rsidR="008731A6" w:rsidRPr="00A21E4D">
        <w:rPr>
          <w:rFonts w:ascii="Times New Roman" w:hAnsi="Times New Roman" w:cs="Times New Roman"/>
          <w:sz w:val="24"/>
          <w:szCs w:val="24"/>
          <w:lang w:val="en-GB"/>
        </w:rPr>
        <w:t xml:space="preserve"> It is in the field of the free movement of workers (</w:t>
      </w:r>
      <w:r w:rsidR="0019785F" w:rsidRPr="00A21E4D">
        <w:rPr>
          <w:rFonts w:ascii="Times New Roman" w:hAnsi="Times New Roman" w:cs="Times New Roman"/>
          <w:sz w:val="24"/>
          <w:szCs w:val="24"/>
          <w:lang w:val="en-GB"/>
        </w:rPr>
        <w:t xml:space="preserve">current article 45 </w:t>
      </w:r>
      <w:r w:rsidR="00C262E9" w:rsidRPr="00A21E4D">
        <w:rPr>
          <w:rFonts w:ascii="Times New Roman" w:hAnsi="Times New Roman" w:cs="Times New Roman"/>
          <w:sz w:val="24"/>
          <w:szCs w:val="24"/>
          <w:lang w:val="en-GB"/>
        </w:rPr>
        <w:t xml:space="preserve">of the </w:t>
      </w:r>
      <w:r w:rsidR="00A22AF8" w:rsidRPr="00A21E4D">
        <w:rPr>
          <w:rFonts w:ascii="Times New Roman" w:hAnsi="Times New Roman" w:cs="Times New Roman"/>
          <w:sz w:val="24"/>
          <w:szCs w:val="24"/>
          <w:lang w:val="en-GB"/>
        </w:rPr>
        <w:t>TFEU</w:t>
      </w:r>
      <w:r w:rsidR="008731A6" w:rsidRPr="00A21E4D">
        <w:rPr>
          <w:rFonts w:ascii="Times New Roman" w:hAnsi="Times New Roman" w:cs="Times New Roman"/>
          <w:sz w:val="24"/>
          <w:szCs w:val="24"/>
          <w:lang w:val="en-GB"/>
        </w:rPr>
        <w:t>) that the Court first needed to develop a specific, autonomous, Community wide concept of worker, through a process which culminated with a first definition</w:t>
      </w:r>
      <w:r w:rsidR="00813441" w:rsidRPr="00A21E4D">
        <w:rPr>
          <w:rFonts w:ascii="Times New Roman" w:hAnsi="Times New Roman" w:cs="Times New Roman"/>
          <w:sz w:val="24"/>
          <w:szCs w:val="24"/>
          <w:lang w:val="en-GB"/>
        </w:rPr>
        <w:t xml:space="preserve"> of the concept</w:t>
      </w:r>
      <w:r w:rsidR="008731A6" w:rsidRPr="00A21E4D">
        <w:rPr>
          <w:rFonts w:ascii="Times New Roman" w:hAnsi="Times New Roman" w:cs="Times New Roman"/>
          <w:sz w:val="24"/>
          <w:szCs w:val="24"/>
          <w:lang w:val="en-GB"/>
        </w:rPr>
        <w:t xml:space="preserve"> in the </w:t>
      </w:r>
      <w:r w:rsidR="008731A6" w:rsidRPr="00A21E4D">
        <w:rPr>
          <w:rFonts w:ascii="Times New Roman" w:hAnsi="Times New Roman" w:cs="Times New Roman"/>
          <w:i/>
          <w:sz w:val="24"/>
          <w:szCs w:val="24"/>
          <w:lang w:val="en-GB"/>
        </w:rPr>
        <w:t>Lawrie-Blum</w:t>
      </w:r>
      <w:r w:rsidR="008731A6" w:rsidRPr="00A21E4D">
        <w:rPr>
          <w:rFonts w:ascii="Times New Roman" w:hAnsi="Times New Roman" w:cs="Times New Roman"/>
          <w:sz w:val="24"/>
          <w:szCs w:val="24"/>
          <w:lang w:val="en-GB"/>
        </w:rPr>
        <w:t xml:space="preserve"> case. Despite the fact that in the meantime a more comprehensive freedom of movement was developed and extended towards Union citizens in general, the case law concerning the freedom of movement of workers remains pertinent</w:t>
      </w:r>
      <w:r w:rsidR="00D24696" w:rsidRPr="00A21E4D">
        <w:rPr>
          <w:rFonts w:ascii="Times New Roman" w:hAnsi="Times New Roman" w:cs="Times New Roman"/>
          <w:sz w:val="24"/>
          <w:szCs w:val="24"/>
          <w:lang w:val="en-GB"/>
        </w:rPr>
        <w:t>,</w:t>
      </w:r>
      <w:r w:rsidR="008731A6" w:rsidRPr="00A21E4D">
        <w:rPr>
          <w:rFonts w:ascii="Times New Roman" w:hAnsi="Times New Roman" w:cs="Times New Roman"/>
          <w:sz w:val="24"/>
          <w:szCs w:val="24"/>
          <w:lang w:val="en-GB"/>
        </w:rPr>
        <w:t xml:space="preserve"> as this category of persons</w:t>
      </w:r>
      <w:r w:rsidR="0086243F" w:rsidRPr="00A21E4D">
        <w:rPr>
          <w:rFonts w:ascii="Times New Roman" w:hAnsi="Times New Roman" w:cs="Times New Roman"/>
          <w:sz w:val="24"/>
          <w:szCs w:val="24"/>
          <w:lang w:val="en-GB"/>
        </w:rPr>
        <w:t xml:space="preserve"> and their family members </w:t>
      </w:r>
      <w:r w:rsidR="008731A6" w:rsidRPr="00A21E4D">
        <w:rPr>
          <w:rFonts w:ascii="Times New Roman" w:hAnsi="Times New Roman" w:cs="Times New Roman"/>
          <w:sz w:val="24"/>
          <w:szCs w:val="24"/>
          <w:lang w:val="en-GB"/>
        </w:rPr>
        <w:t xml:space="preserve">still enjoy </w:t>
      </w:r>
      <w:r w:rsidR="00DF5254" w:rsidRPr="00A21E4D">
        <w:rPr>
          <w:rFonts w:ascii="Times New Roman" w:hAnsi="Times New Roman" w:cs="Times New Roman"/>
          <w:sz w:val="24"/>
          <w:szCs w:val="24"/>
          <w:lang w:val="en-GB"/>
        </w:rPr>
        <w:t xml:space="preserve">a stronger </w:t>
      </w:r>
      <w:r w:rsidR="008731A6" w:rsidRPr="00A21E4D">
        <w:rPr>
          <w:rFonts w:ascii="Times New Roman" w:hAnsi="Times New Roman" w:cs="Times New Roman"/>
          <w:sz w:val="24"/>
          <w:szCs w:val="24"/>
          <w:lang w:val="en-GB"/>
        </w:rPr>
        <w:t>protection</w:t>
      </w:r>
      <w:r w:rsidR="00843C9C" w:rsidRPr="00A21E4D">
        <w:rPr>
          <w:rStyle w:val="Appelnotedebasdep"/>
          <w:rFonts w:ascii="Times New Roman" w:hAnsi="Times New Roman" w:cs="Times New Roman"/>
          <w:sz w:val="24"/>
          <w:szCs w:val="24"/>
          <w:lang w:val="en-GB"/>
        </w:rPr>
        <w:footnoteReference w:id="3"/>
      </w:r>
      <w:r w:rsidR="008731A6" w:rsidRPr="00A21E4D">
        <w:rPr>
          <w:rFonts w:ascii="Times New Roman" w:hAnsi="Times New Roman" w:cs="Times New Roman"/>
          <w:sz w:val="24"/>
          <w:szCs w:val="24"/>
          <w:lang w:val="en-GB"/>
        </w:rPr>
        <w:t>.</w:t>
      </w:r>
    </w:p>
    <w:p w14:paraId="5C604FBC" w14:textId="4DF3D26C" w:rsidR="001B1EFC" w:rsidRPr="00A21E4D" w:rsidRDefault="008731A6"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Alongside the field of free movement of workers, </w:t>
      </w:r>
      <w:r w:rsidR="001A3728" w:rsidRPr="00A21E4D">
        <w:rPr>
          <w:rFonts w:ascii="Times New Roman" w:hAnsi="Times New Roman" w:cs="Times New Roman"/>
          <w:sz w:val="24"/>
          <w:szCs w:val="24"/>
          <w:lang w:val="en-GB"/>
        </w:rPr>
        <w:t xml:space="preserve">new </w:t>
      </w:r>
      <w:r w:rsidR="004008DD" w:rsidRPr="00A21E4D">
        <w:rPr>
          <w:rFonts w:ascii="Times New Roman" w:hAnsi="Times New Roman" w:cs="Times New Roman"/>
          <w:sz w:val="24"/>
          <w:szCs w:val="24"/>
          <w:lang w:val="en-GB"/>
        </w:rPr>
        <w:t xml:space="preserve">provisions </w:t>
      </w:r>
      <w:r w:rsidR="001A3728" w:rsidRPr="00A21E4D">
        <w:rPr>
          <w:rFonts w:ascii="Times New Roman" w:hAnsi="Times New Roman" w:cs="Times New Roman"/>
          <w:sz w:val="24"/>
          <w:szCs w:val="24"/>
          <w:lang w:val="en-GB"/>
        </w:rPr>
        <w:t xml:space="preserve">were included in </w:t>
      </w:r>
      <w:r w:rsidR="004008DD" w:rsidRPr="00A21E4D">
        <w:rPr>
          <w:rFonts w:ascii="Times New Roman" w:hAnsi="Times New Roman" w:cs="Times New Roman"/>
          <w:sz w:val="24"/>
          <w:szCs w:val="24"/>
          <w:lang w:val="en-GB"/>
        </w:rPr>
        <w:t xml:space="preserve">the </w:t>
      </w:r>
      <w:r w:rsidR="00FB286F" w:rsidRPr="00A21E4D">
        <w:rPr>
          <w:rFonts w:ascii="Times New Roman" w:hAnsi="Times New Roman" w:cs="Times New Roman"/>
          <w:sz w:val="24"/>
          <w:szCs w:val="24"/>
          <w:lang w:val="en-GB"/>
        </w:rPr>
        <w:t xml:space="preserve">Treaties </w:t>
      </w:r>
      <w:r w:rsidR="004008DD" w:rsidRPr="00A21E4D">
        <w:rPr>
          <w:rFonts w:ascii="Times New Roman" w:hAnsi="Times New Roman" w:cs="Times New Roman"/>
          <w:sz w:val="24"/>
          <w:szCs w:val="24"/>
          <w:lang w:val="en-GB"/>
        </w:rPr>
        <w:t xml:space="preserve">allowing the European legislator to adopt secondary law in specific areas of </w:t>
      </w:r>
      <w:r w:rsidR="00691426" w:rsidRPr="00A21E4D">
        <w:rPr>
          <w:rFonts w:ascii="Times New Roman" w:hAnsi="Times New Roman" w:cs="Times New Roman"/>
          <w:sz w:val="24"/>
          <w:szCs w:val="24"/>
          <w:lang w:val="en-GB"/>
        </w:rPr>
        <w:t>social policy</w:t>
      </w:r>
      <w:r w:rsidR="004008DD" w:rsidRPr="00A21E4D">
        <w:rPr>
          <w:rFonts w:ascii="Times New Roman" w:hAnsi="Times New Roman" w:cs="Times New Roman"/>
          <w:sz w:val="24"/>
          <w:szCs w:val="24"/>
          <w:lang w:val="en-GB"/>
        </w:rPr>
        <w:t xml:space="preserve"> (</w:t>
      </w:r>
      <w:r w:rsidR="0086243F" w:rsidRPr="00A21E4D">
        <w:rPr>
          <w:rFonts w:ascii="Times New Roman" w:hAnsi="Times New Roman" w:cs="Times New Roman"/>
          <w:sz w:val="24"/>
          <w:szCs w:val="24"/>
          <w:lang w:val="en-GB"/>
        </w:rPr>
        <w:t>which</w:t>
      </w:r>
      <w:r w:rsidR="004008DD" w:rsidRPr="00A21E4D">
        <w:rPr>
          <w:rFonts w:ascii="Times New Roman" w:hAnsi="Times New Roman" w:cs="Times New Roman"/>
          <w:sz w:val="24"/>
          <w:szCs w:val="24"/>
          <w:lang w:val="en-GB"/>
        </w:rPr>
        <w:t xml:space="preserve"> remains</w:t>
      </w:r>
      <w:r w:rsidR="0086243F" w:rsidRPr="00A21E4D">
        <w:rPr>
          <w:rFonts w:ascii="Times New Roman" w:hAnsi="Times New Roman" w:cs="Times New Roman"/>
          <w:sz w:val="24"/>
          <w:szCs w:val="24"/>
          <w:lang w:val="en-GB"/>
        </w:rPr>
        <w:t xml:space="preserve"> in principle</w:t>
      </w:r>
      <w:r w:rsidR="004008DD" w:rsidRPr="00A21E4D">
        <w:rPr>
          <w:rFonts w:ascii="Times New Roman" w:hAnsi="Times New Roman" w:cs="Times New Roman"/>
          <w:sz w:val="24"/>
          <w:szCs w:val="24"/>
          <w:lang w:val="en-GB"/>
        </w:rPr>
        <w:t xml:space="preserve"> a competence for the Member States).</w:t>
      </w:r>
      <w:r w:rsidR="00C262E9" w:rsidRPr="00A21E4D">
        <w:rPr>
          <w:rFonts w:ascii="Times New Roman" w:hAnsi="Times New Roman" w:cs="Times New Roman"/>
          <w:sz w:val="24"/>
          <w:szCs w:val="24"/>
          <w:lang w:val="en-GB"/>
        </w:rPr>
        <w:t xml:space="preserve"> For instance, current article 153 of the </w:t>
      </w:r>
      <w:r w:rsidR="00266EA0" w:rsidRPr="00A21E4D">
        <w:rPr>
          <w:rFonts w:ascii="Times New Roman" w:hAnsi="Times New Roman" w:cs="Times New Roman"/>
          <w:sz w:val="24"/>
          <w:szCs w:val="24"/>
          <w:lang w:val="en-GB"/>
        </w:rPr>
        <w:t>TFEU</w:t>
      </w:r>
      <w:r w:rsidR="00C262E9" w:rsidRPr="00A21E4D">
        <w:rPr>
          <w:rFonts w:ascii="Times New Roman" w:hAnsi="Times New Roman" w:cs="Times New Roman"/>
          <w:sz w:val="24"/>
          <w:szCs w:val="24"/>
          <w:lang w:val="en-GB"/>
        </w:rPr>
        <w:t xml:space="preserve"> provides a legal basis for intervention of the European Union legislator </w:t>
      </w:r>
      <w:r w:rsidR="0002492C" w:rsidRPr="00A21E4D">
        <w:rPr>
          <w:rFonts w:ascii="Times New Roman" w:hAnsi="Times New Roman" w:cs="Times New Roman"/>
          <w:sz w:val="24"/>
          <w:szCs w:val="24"/>
          <w:lang w:val="en-GB"/>
        </w:rPr>
        <w:t>regarding</w:t>
      </w:r>
      <w:r w:rsidR="006D7597" w:rsidRPr="00A21E4D">
        <w:rPr>
          <w:rFonts w:ascii="Times New Roman" w:hAnsi="Times New Roman" w:cs="Times New Roman"/>
          <w:sz w:val="24"/>
          <w:szCs w:val="24"/>
          <w:lang w:val="en-GB"/>
        </w:rPr>
        <w:t>, among others,</w:t>
      </w:r>
      <w:r w:rsidR="0002492C" w:rsidRPr="00A21E4D">
        <w:rPr>
          <w:rFonts w:ascii="Times New Roman" w:hAnsi="Times New Roman" w:cs="Times New Roman"/>
          <w:sz w:val="24"/>
          <w:szCs w:val="24"/>
          <w:lang w:val="en-GB"/>
        </w:rPr>
        <w:t xml:space="preserve"> </w:t>
      </w:r>
      <w:r w:rsidR="00C262E9" w:rsidRPr="00A21E4D">
        <w:rPr>
          <w:rFonts w:ascii="Times New Roman" w:hAnsi="Times New Roman" w:cs="Times New Roman"/>
          <w:sz w:val="24"/>
          <w:szCs w:val="24"/>
          <w:lang w:val="en-GB"/>
        </w:rPr>
        <w:t>the improvement of the work</w:t>
      </w:r>
      <w:r w:rsidR="00262076" w:rsidRPr="00A21E4D">
        <w:rPr>
          <w:rFonts w:ascii="Times New Roman" w:hAnsi="Times New Roman" w:cs="Times New Roman"/>
          <w:sz w:val="24"/>
          <w:szCs w:val="24"/>
          <w:lang w:val="en-GB"/>
        </w:rPr>
        <w:t>ing</w:t>
      </w:r>
      <w:r w:rsidR="00C262E9" w:rsidRPr="00A21E4D">
        <w:rPr>
          <w:rFonts w:ascii="Times New Roman" w:hAnsi="Times New Roman" w:cs="Times New Roman"/>
          <w:sz w:val="24"/>
          <w:szCs w:val="24"/>
          <w:lang w:val="en-GB"/>
        </w:rPr>
        <w:t xml:space="preserve"> conditions or the </w:t>
      </w:r>
      <w:r w:rsidR="007A04D5" w:rsidRPr="00A21E4D">
        <w:rPr>
          <w:rFonts w:ascii="Times New Roman" w:hAnsi="Times New Roman" w:cs="Times New Roman"/>
          <w:sz w:val="24"/>
          <w:szCs w:val="24"/>
          <w:lang w:val="en-GB"/>
        </w:rPr>
        <w:t xml:space="preserve">protection </w:t>
      </w:r>
      <w:r w:rsidR="00C262E9" w:rsidRPr="00A21E4D">
        <w:rPr>
          <w:rFonts w:ascii="Times New Roman" w:hAnsi="Times New Roman" w:cs="Times New Roman"/>
          <w:sz w:val="24"/>
          <w:szCs w:val="24"/>
          <w:lang w:val="en-GB"/>
        </w:rPr>
        <w:t>of the health and safety of workers.</w:t>
      </w:r>
      <w:r w:rsidR="004008DD" w:rsidRPr="00A21E4D">
        <w:rPr>
          <w:rFonts w:ascii="Times New Roman" w:hAnsi="Times New Roman" w:cs="Times New Roman"/>
          <w:sz w:val="24"/>
          <w:szCs w:val="24"/>
          <w:lang w:val="en-GB"/>
        </w:rPr>
        <w:t xml:space="preserve"> </w:t>
      </w:r>
      <w:r w:rsidR="00691426" w:rsidRPr="00A21E4D">
        <w:rPr>
          <w:rFonts w:ascii="Times New Roman" w:hAnsi="Times New Roman" w:cs="Times New Roman"/>
          <w:sz w:val="24"/>
          <w:szCs w:val="24"/>
          <w:lang w:val="en-GB"/>
        </w:rPr>
        <w:t xml:space="preserve"> A definition of the concept of worker in order to determine the scope of the Directives adopted on t</w:t>
      </w:r>
      <w:r w:rsidR="0086243F" w:rsidRPr="00A21E4D">
        <w:rPr>
          <w:rFonts w:ascii="Times New Roman" w:hAnsi="Times New Roman" w:cs="Times New Roman"/>
          <w:sz w:val="24"/>
          <w:szCs w:val="24"/>
          <w:lang w:val="en-GB"/>
        </w:rPr>
        <w:t>hose</w:t>
      </w:r>
      <w:r w:rsidR="00691426" w:rsidRPr="00A21E4D">
        <w:rPr>
          <w:rFonts w:ascii="Times New Roman" w:hAnsi="Times New Roman" w:cs="Times New Roman"/>
          <w:sz w:val="24"/>
          <w:szCs w:val="24"/>
          <w:lang w:val="en-GB"/>
        </w:rPr>
        <w:t xml:space="preserve"> bas</w:t>
      </w:r>
      <w:r w:rsidR="0086243F" w:rsidRPr="00A21E4D">
        <w:rPr>
          <w:rFonts w:ascii="Times New Roman" w:hAnsi="Times New Roman" w:cs="Times New Roman"/>
          <w:sz w:val="24"/>
          <w:szCs w:val="24"/>
          <w:lang w:val="en-GB"/>
        </w:rPr>
        <w:t>e</w:t>
      </w:r>
      <w:r w:rsidR="00691426" w:rsidRPr="00A21E4D">
        <w:rPr>
          <w:rFonts w:ascii="Times New Roman" w:hAnsi="Times New Roman" w:cs="Times New Roman"/>
          <w:sz w:val="24"/>
          <w:szCs w:val="24"/>
          <w:lang w:val="en-GB"/>
        </w:rPr>
        <w:t>s was quickly needed</w:t>
      </w:r>
      <w:r w:rsidR="004008DD" w:rsidRPr="00A21E4D">
        <w:rPr>
          <w:rFonts w:ascii="Times New Roman" w:hAnsi="Times New Roman" w:cs="Times New Roman"/>
          <w:sz w:val="24"/>
          <w:szCs w:val="24"/>
          <w:lang w:val="en-GB"/>
        </w:rPr>
        <w:t xml:space="preserve">. Some </w:t>
      </w:r>
      <w:r w:rsidR="00FF1489" w:rsidRPr="00A21E4D">
        <w:rPr>
          <w:rFonts w:ascii="Times New Roman" w:hAnsi="Times New Roman" w:cs="Times New Roman"/>
          <w:sz w:val="24"/>
          <w:szCs w:val="24"/>
          <w:lang w:val="en-GB"/>
        </w:rPr>
        <w:t>D</w:t>
      </w:r>
      <w:r w:rsidR="004008DD" w:rsidRPr="00A21E4D">
        <w:rPr>
          <w:rFonts w:ascii="Times New Roman" w:hAnsi="Times New Roman" w:cs="Times New Roman"/>
          <w:sz w:val="24"/>
          <w:szCs w:val="24"/>
          <w:lang w:val="en-GB"/>
        </w:rPr>
        <w:t>irectives sent back to the national definitions, sticking</w:t>
      </w:r>
      <w:r w:rsidR="000379EE" w:rsidRPr="00A21E4D">
        <w:rPr>
          <w:rFonts w:ascii="Times New Roman" w:hAnsi="Times New Roman" w:cs="Times New Roman"/>
          <w:sz w:val="24"/>
          <w:szCs w:val="24"/>
          <w:lang w:val="en-GB"/>
        </w:rPr>
        <w:t xml:space="preserve"> close to the idea that social l</w:t>
      </w:r>
      <w:r w:rsidR="004008DD" w:rsidRPr="00A21E4D">
        <w:rPr>
          <w:rFonts w:ascii="Times New Roman" w:hAnsi="Times New Roman" w:cs="Times New Roman"/>
          <w:sz w:val="24"/>
          <w:szCs w:val="24"/>
          <w:lang w:val="en-GB"/>
        </w:rPr>
        <w:t>aw should remain at the hands of Member States</w:t>
      </w:r>
      <w:r w:rsidR="00AC7B6C" w:rsidRPr="00A21E4D">
        <w:rPr>
          <w:rFonts w:ascii="Times New Roman" w:hAnsi="Times New Roman" w:cs="Times New Roman"/>
          <w:sz w:val="24"/>
          <w:szCs w:val="24"/>
          <w:lang w:val="en-GB"/>
        </w:rPr>
        <w:t xml:space="preserve">. Some </w:t>
      </w:r>
      <w:r w:rsidR="0086243F" w:rsidRPr="00A21E4D">
        <w:rPr>
          <w:rFonts w:ascii="Times New Roman" w:hAnsi="Times New Roman" w:cs="Times New Roman"/>
          <w:sz w:val="24"/>
          <w:szCs w:val="24"/>
          <w:lang w:val="en-GB"/>
        </w:rPr>
        <w:t>Directives</w:t>
      </w:r>
      <w:r w:rsidR="004008DD" w:rsidRPr="00A21E4D">
        <w:rPr>
          <w:rFonts w:ascii="Times New Roman" w:hAnsi="Times New Roman" w:cs="Times New Roman"/>
          <w:sz w:val="24"/>
          <w:szCs w:val="24"/>
          <w:lang w:val="en-GB"/>
        </w:rPr>
        <w:t xml:space="preserve"> </w:t>
      </w:r>
      <w:r w:rsidR="00EA791F" w:rsidRPr="00A21E4D">
        <w:rPr>
          <w:rFonts w:ascii="Times New Roman" w:hAnsi="Times New Roman" w:cs="Times New Roman"/>
          <w:sz w:val="24"/>
          <w:szCs w:val="24"/>
          <w:lang w:val="en-GB"/>
        </w:rPr>
        <w:t>did not include</w:t>
      </w:r>
      <w:r w:rsidR="004008DD" w:rsidRPr="00A21E4D">
        <w:rPr>
          <w:rFonts w:ascii="Times New Roman" w:hAnsi="Times New Roman" w:cs="Times New Roman"/>
          <w:sz w:val="24"/>
          <w:szCs w:val="24"/>
          <w:lang w:val="en-GB"/>
        </w:rPr>
        <w:t xml:space="preserve"> any definition and only one (as we will see </w:t>
      </w:r>
      <w:r w:rsidR="004008DD" w:rsidRPr="00A21E4D">
        <w:rPr>
          <w:rFonts w:ascii="Times New Roman" w:hAnsi="Times New Roman" w:cs="Times New Roman"/>
          <w:sz w:val="24"/>
          <w:szCs w:val="24"/>
          <w:lang w:val="en-GB"/>
        </w:rPr>
        <w:lastRenderedPageBreak/>
        <w:t>later) refers to a (very wide) own concept of worker.</w:t>
      </w:r>
      <w:r w:rsidR="00B648AE" w:rsidRPr="00A21E4D">
        <w:rPr>
          <w:rFonts w:ascii="Times New Roman" w:hAnsi="Times New Roman" w:cs="Times New Roman"/>
          <w:sz w:val="24"/>
          <w:szCs w:val="24"/>
          <w:lang w:val="en-GB"/>
        </w:rPr>
        <w:t xml:space="preserve"> </w:t>
      </w:r>
      <w:r w:rsidR="004008DD" w:rsidRPr="00A21E4D">
        <w:rPr>
          <w:rFonts w:ascii="Times New Roman" w:hAnsi="Times New Roman" w:cs="Times New Roman"/>
          <w:sz w:val="24"/>
          <w:szCs w:val="24"/>
          <w:lang w:val="en-GB"/>
        </w:rPr>
        <w:t>It was t</w:t>
      </w:r>
      <w:r w:rsidR="0054321B" w:rsidRPr="00A21E4D">
        <w:rPr>
          <w:rFonts w:ascii="Times New Roman" w:hAnsi="Times New Roman" w:cs="Times New Roman"/>
          <w:sz w:val="24"/>
          <w:szCs w:val="24"/>
          <w:lang w:val="en-GB"/>
        </w:rPr>
        <w:t>h</w:t>
      </w:r>
      <w:r w:rsidR="004008DD" w:rsidRPr="00A21E4D">
        <w:rPr>
          <w:rFonts w:ascii="Times New Roman" w:hAnsi="Times New Roman" w:cs="Times New Roman"/>
          <w:sz w:val="24"/>
          <w:szCs w:val="24"/>
          <w:lang w:val="en-GB"/>
        </w:rPr>
        <w:t>e job of the Court to deal with the things left unsaid by the legislator.</w:t>
      </w:r>
      <w:r w:rsidR="00B648AE" w:rsidRPr="00A21E4D">
        <w:rPr>
          <w:rFonts w:ascii="Times New Roman" w:hAnsi="Times New Roman" w:cs="Times New Roman"/>
          <w:sz w:val="24"/>
          <w:szCs w:val="24"/>
          <w:lang w:val="en-GB"/>
        </w:rPr>
        <w:t xml:space="preserve"> </w:t>
      </w:r>
    </w:p>
    <w:p w14:paraId="75DFC978" w14:textId="50F8BE2E" w:rsidR="00A63F52" w:rsidRPr="00A21E4D" w:rsidRDefault="00B648AE"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A63F52" w:rsidRPr="00A21E4D">
        <w:rPr>
          <w:rFonts w:ascii="Times New Roman" w:hAnsi="Times New Roman" w:cs="Times New Roman"/>
          <w:sz w:val="24"/>
          <w:szCs w:val="24"/>
          <w:lang w:val="en-GB"/>
        </w:rPr>
        <w:t xml:space="preserve">The aim of our short study is to compare the concepts of worker in </w:t>
      </w:r>
      <w:r w:rsidR="0013454A" w:rsidRPr="00A21E4D">
        <w:rPr>
          <w:rFonts w:ascii="Times New Roman" w:hAnsi="Times New Roman" w:cs="Times New Roman"/>
          <w:sz w:val="24"/>
          <w:szCs w:val="24"/>
          <w:lang w:val="en-GB"/>
        </w:rPr>
        <w:t xml:space="preserve">the area of </w:t>
      </w:r>
      <w:r w:rsidR="000379EE" w:rsidRPr="00A21E4D">
        <w:rPr>
          <w:rFonts w:ascii="Times New Roman" w:hAnsi="Times New Roman" w:cs="Times New Roman"/>
          <w:sz w:val="24"/>
          <w:szCs w:val="24"/>
          <w:lang w:val="en-GB"/>
        </w:rPr>
        <w:t xml:space="preserve">free movement </w:t>
      </w:r>
      <w:r w:rsidR="0013454A" w:rsidRPr="00A21E4D">
        <w:rPr>
          <w:rFonts w:ascii="Times New Roman" w:hAnsi="Times New Roman" w:cs="Times New Roman"/>
          <w:sz w:val="24"/>
          <w:szCs w:val="24"/>
          <w:lang w:val="en-GB"/>
        </w:rPr>
        <w:t xml:space="preserve">of workers </w:t>
      </w:r>
      <w:r w:rsidR="000379EE" w:rsidRPr="00A21E4D">
        <w:rPr>
          <w:rFonts w:ascii="Times New Roman" w:hAnsi="Times New Roman" w:cs="Times New Roman"/>
          <w:sz w:val="24"/>
          <w:szCs w:val="24"/>
          <w:lang w:val="en-GB"/>
        </w:rPr>
        <w:t xml:space="preserve">and </w:t>
      </w:r>
      <w:r w:rsidR="0013454A" w:rsidRPr="00A21E4D">
        <w:rPr>
          <w:rFonts w:ascii="Times New Roman" w:hAnsi="Times New Roman" w:cs="Times New Roman"/>
          <w:sz w:val="24"/>
          <w:szCs w:val="24"/>
          <w:lang w:val="en-GB"/>
        </w:rPr>
        <w:t xml:space="preserve">in </w:t>
      </w:r>
      <w:r w:rsidR="000379EE" w:rsidRPr="00A21E4D">
        <w:rPr>
          <w:rFonts w:ascii="Times New Roman" w:hAnsi="Times New Roman" w:cs="Times New Roman"/>
          <w:sz w:val="24"/>
          <w:szCs w:val="24"/>
          <w:lang w:val="en-GB"/>
        </w:rPr>
        <w:t xml:space="preserve">the </w:t>
      </w:r>
      <w:r w:rsidR="00C36F8E" w:rsidRPr="00A21E4D">
        <w:rPr>
          <w:rFonts w:ascii="Times New Roman" w:hAnsi="Times New Roman" w:cs="Times New Roman"/>
          <w:sz w:val="24"/>
          <w:szCs w:val="24"/>
          <w:lang w:val="en-GB"/>
        </w:rPr>
        <w:t>S</w:t>
      </w:r>
      <w:r w:rsidR="00A63F52"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00A63F52" w:rsidRPr="00A21E4D">
        <w:rPr>
          <w:rFonts w:ascii="Times New Roman" w:hAnsi="Times New Roman" w:cs="Times New Roman"/>
          <w:sz w:val="24"/>
          <w:szCs w:val="24"/>
          <w:lang w:val="en-GB"/>
        </w:rPr>
        <w:t xml:space="preserve">olicy </w:t>
      </w:r>
      <w:r w:rsidR="00FF1489" w:rsidRPr="00A21E4D">
        <w:rPr>
          <w:rFonts w:ascii="Times New Roman" w:hAnsi="Times New Roman" w:cs="Times New Roman"/>
          <w:sz w:val="24"/>
          <w:szCs w:val="24"/>
          <w:lang w:val="en-GB"/>
        </w:rPr>
        <w:t>D</w:t>
      </w:r>
      <w:r w:rsidR="00A63F52" w:rsidRPr="00A21E4D">
        <w:rPr>
          <w:rFonts w:ascii="Times New Roman" w:hAnsi="Times New Roman" w:cs="Times New Roman"/>
          <w:sz w:val="24"/>
          <w:szCs w:val="24"/>
          <w:lang w:val="en-GB"/>
        </w:rPr>
        <w:t xml:space="preserve">irectives, in order to </w:t>
      </w:r>
      <w:r w:rsidR="00DC10CB" w:rsidRPr="00A21E4D">
        <w:rPr>
          <w:rFonts w:ascii="Times New Roman" w:hAnsi="Times New Roman" w:cs="Times New Roman"/>
          <w:sz w:val="24"/>
          <w:szCs w:val="24"/>
          <w:lang w:val="en-GB"/>
        </w:rPr>
        <w:t xml:space="preserve">ascertain </w:t>
      </w:r>
      <w:r w:rsidR="00A63F52" w:rsidRPr="00A21E4D">
        <w:rPr>
          <w:rFonts w:ascii="Times New Roman" w:hAnsi="Times New Roman" w:cs="Times New Roman"/>
          <w:sz w:val="24"/>
          <w:szCs w:val="24"/>
          <w:lang w:val="en-GB"/>
        </w:rPr>
        <w:t xml:space="preserve">to which extent they can differ, and to try to explain the rationales behind the decisions of the Court. Indeed, </w:t>
      </w:r>
      <w:r w:rsidR="006670EC" w:rsidRPr="00A21E4D">
        <w:rPr>
          <w:rFonts w:ascii="Times New Roman" w:hAnsi="Times New Roman" w:cs="Times New Roman"/>
          <w:sz w:val="24"/>
          <w:szCs w:val="24"/>
          <w:lang w:val="en-GB"/>
        </w:rPr>
        <w:t xml:space="preserve">if </w:t>
      </w:r>
      <w:r w:rsidRPr="00A21E4D">
        <w:rPr>
          <w:rFonts w:ascii="Times New Roman" w:hAnsi="Times New Roman" w:cs="Times New Roman"/>
          <w:sz w:val="24"/>
          <w:szCs w:val="24"/>
          <w:lang w:val="en-GB"/>
        </w:rPr>
        <w:t xml:space="preserve"> what the Court</w:t>
      </w:r>
      <w:r w:rsidR="00301586" w:rsidRPr="00A21E4D">
        <w:rPr>
          <w:rFonts w:ascii="Times New Roman" w:hAnsi="Times New Roman" w:cs="Times New Roman"/>
          <w:sz w:val="24"/>
          <w:szCs w:val="24"/>
          <w:lang w:val="en-GB"/>
        </w:rPr>
        <w:t xml:space="preserve"> kept saying since the </w:t>
      </w:r>
      <w:r w:rsidR="00301586" w:rsidRPr="00A21E4D">
        <w:rPr>
          <w:rFonts w:ascii="Times New Roman" w:hAnsi="Times New Roman" w:cs="Times New Roman"/>
          <w:i/>
          <w:sz w:val="24"/>
          <w:szCs w:val="24"/>
          <w:lang w:val="en-GB"/>
        </w:rPr>
        <w:t>Martinez-Sala</w:t>
      </w:r>
      <w:r w:rsidR="00301586" w:rsidRPr="00A21E4D">
        <w:rPr>
          <w:rFonts w:ascii="Times New Roman" w:hAnsi="Times New Roman" w:cs="Times New Roman"/>
          <w:sz w:val="24"/>
          <w:szCs w:val="24"/>
          <w:lang w:val="en-GB"/>
        </w:rPr>
        <w:t xml:space="preserve"> case</w:t>
      </w:r>
      <w:r w:rsidRPr="00A21E4D">
        <w:rPr>
          <w:rFonts w:ascii="Times New Roman" w:hAnsi="Times New Roman" w:cs="Times New Roman"/>
          <w:sz w:val="24"/>
          <w:szCs w:val="24"/>
          <w:lang w:val="en-GB"/>
        </w:rPr>
        <w:t xml:space="preserve"> of 1998</w:t>
      </w:r>
      <w:r w:rsidRPr="00A21E4D">
        <w:rPr>
          <w:rStyle w:val="Appelnotedebasdep"/>
          <w:rFonts w:ascii="Times New Roman" w:hAnsi="Times New Roman" w:cs="Times New Roman"/>
          <w:sz w:val="24"/>
          <w:szCs w:val="24"/>
          <w:lang w:val="en-GB"/>
        </w:rPr>
        <w:footnoteReference w:id="4"/>
      </w:r>
      <w:r w:rsidR="006670EC" w:rsidRPr="00A21E4D">
        <w:rPr>
          <w:rFonts w:ascii="Times New Roman" w:hAnsi="Times New Roman" w:cs="Times New Roman"/>
          <w:sz w:val="24"/>
          <w:szCs w:val="24"/>
          <w:lang w:val="en-GB"/>
        </w:rPr>
        <w:t xml:space="preserve"> had to be followed</w:t>
      </w:r>
      <w:r w:rsidRPr="00A21E4D">
        <w:rPr>
          <w:rFonts w:ascii="Times New Roman" w:hAnsi="Times New Roman" w:cs="Times New Roman"/>
          <w:sz w:val="24"/>
          <w:szCs w:val="24"/>
          <w:lang w:val="en-GB"/>
        </w:rPr>
        <w:t xml:space="preserve">, </w:t>
      </w:r>
      <w:r w:rsidR="006670EC" w:rsidRPr="00A21E4D">
        <w:rPr>
          <w:rFonts w:ascii="Times New Roman" w:hAnsi="Times New Roman" w:cs="Times New Roman"/>
          <w:sz w:val="24"/>
          <w:szCs w:val="24"/>
          <w:lang w:val="en-GB"/>
        </w:rPr>
        <w:t>the conclusion would be</w:t>
      </w:r>
      <w:r w:rsidRPr="00A21E4D">
        <w:rPr>
          <w:rFonts w:ascii="Times New Roman" w:hAnsi="Times New Roman" w:cs="Times New Roman"/>
          <w:sz w:val="24"/>
          <w:szCs w:val="24"/>
          <w:lang w:val="en-GB"/>
        </w:rPr>
        <w:t xml:space="preserve"> </w:t>
      </w:r>
      <w:r w:rsidR="006A7B8D"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lang w:val="en-GB"/>
        </w:rPr>
        <w:t>that there is no single definition of worker in European Law and that this concept may vary depending on the</w:t>
      </w:r>
      <w:r w:rsidR="00BE542D" w:rsidRPr="00A21E4D">
        <w:rPr>
          <w:rFonts w:ascii="Times New Roman" w:hAnsi="Times New Roman" w:cs="Times New Roman"/>
          <w:sz w:val="24"/>
          <w:szCs w:val="24"/>
          <w:lang w:val="en-GB"/>
        </w:rPr>
        <w:t xml:space="preserve"> context</w:t>
      </w:r>
      <w:r w:rsidRPr="00A21E4D">
        <w:rPr>
          <w:rFonts w:ascii="Times New Roman" w:hAnsi="Times New Roman" w:cs="Times New Roman"/>
          <w:sz w:val="24"/>
          <w:szCs w:val="24"/>
          <w:lang w:val="en-GB"/>
        </w:rPr>
        <w:t xml:space="preserve">. As we will see in the following </w:t>
      </w:r>
      <w:r w:rsidR="00AD44F4" w:rsidRPr="00A21E4D">
        <w:rPr>
          <w:rFonts w:ascii="Times New Roman" w:hAnsi="Times New Roman" w:cs="Times New Roman"/>
          <w:sz w:val="24"/>
          <w:szCs w:val="24"/>
          <w:lang w:val="en-GB"/>
        </w:rPr>
        <w:t>Sections</w:t>
      </w:r>
      <w:r w:rsidRPr="00A21E4D">
        <w:rPr>
          <w:rFonts w:ascii="Times New Roman" w:hAnsi="Times New Roman" w:cs="Times New Roman"/>
          <w:sz w:val="24"/>
          <w:szCs w:val="24"/>
          <w:lang w:val="en-GB"/>
        </w:rPr>
        <w:t>, this affirmation must be much more nuanced, as the Court regularly extend</w:t>
      </w:r>
      <w:r w:rsidR="00DF27BF" w:rsidRPr="00A21E4D">
        <w:rPr>
          <w:rFonts w:ascii="Times New Roman" w:hAnsi="Times New Roman" w:cs="Times New Roman"/>
          <w:sz w:val="24"/>
          <w:szCs w:val="24"/>
          <w:lang w:val="en-GB"/>
        </w:rPr>
        <w:t>ed</w:t>
      </w:r>
      <w:r w:rsidRPr="00A21E4D">
        <w:rPr>
          <w:rFonts w:ascii="Times New Roman" w:hAnsi="Times New Roman" w:cs="Times New Roman"/>
          <w:sz w:val="24"/>
          <w:szCs w:val="24"/>
          <w:lang w:val="en-GB"/>
        </w:rPr>
        <w:t xml:space="preserve"> its </w:t>
      </w:r>
      <w:r w:rsidRPr="00A21E4D">
        <w:rPr>
          <w:rFonts w:ascii="Times New Roman" w:hAnsi="Times New Roman" w:cs="Times New Roman"/>
          <w:i/>
          <w:iCs/>
          <w:sz w:val="24"/>
          <w:szCs w:val="24"/>
          <w:lang w:val="en-GB"/>
        </w:rPr>
        <w:t>Lawrie-Blum</w:t>
      </w:r>
      <w:r w:rsidRPr="00A21E4D">
        <w:rPr>
          <w:rFonts w:ascii="Times New Roman" w:hAnsi="Times New Roman" w:cs="Times New Roman"/>
          <w:sz w:val="24"/>
          <w:szCs w:val="24"/>
          <w:lang w:val="en-GB"/>
        </w:rPr>
        <w:t xml:space="preserve"> case law to </w:t>
      </w:r>
      <w:r w:rsidR="000379EE" w:rsidRPr="00A21E4D">
        <w:rPr>
          <w:rFonts w:ascii="Times New Roman" w:hAnsi="Times New Roman" w:cs="Times New Roman"/>
          <w:sz w:val="24"/>
          <w:szCs w:val="24"/>
          <w:lang w:val="en-GB"/>
        </w:rPr>
        <w:t xml:space="preserve">cases related to </w:t>
      </w:r>
      <w:r w:rsidR="001D5721" w:rsidRPr="00A21E4D">
        <w:rPr>
          <w:rFonts w:ascii="Times New Roman" w:hAnsi="Times New Roman" w:cs="Times New Roman"/>
          <w:sz w:val="24"/>
          <w:szCs w:val="24"/>
          <w:lang w:val="en-GB"/>
        </w:rPr>
        <w:t xml:space="preserve">Social Protection </w:t>
      </w:r>
      <w:r w:rsidR="00C36F8E" w:rsidRPr="00A21E4D">
        <w:rPr>
          <w:rFonts w:ascii="Times New Roman" w:hAnsi="Times New Roman" w:cs="Times New Roman"/>
          <w:sz w:val="24"/>
          <w:szCs w:val="24"/>
          <w:lang w:val="en-GB"/>
        </w:rPr>
        <w:t>D</w:t>
      </w:r>
      <w:r w:rsidR="000379EE" w:rsidRPr="00A21E4D">
        <w:rPr>
          <w:rFonts w:ascii="Times New Roman" w:hAnsi="Times New Roman" w:cs="Times New Roman"/>
          <w:sz w:val="24"/>
          <w:szCs w:val="24"/>
          <w:lang w:val="en-GB"/>
        </w:rPr>
        <w:t>irectives</w:t>
      </w:r>
      <w:r w:rsidR="00B26CCC" w:rsidRPr="00A21E4D">
        <w:rPr>
          <w:rStyle w:val="Appelnotedebasdep"/>
          <w:rFonts w:ascii="Times New Roman" w:hAnsi="Times New Roman" w:cs="Times New Roman"/>
          <w:sz w:val="24"/>
          <w:szCs w:val="24"/>
          <w:lang w:val="en-GB"/>
        </w:rPr>
        <w:footnoteReference w:id="5"/>
      </w:r>
      <w:r w:rsidRPr="00A21E4D">
        <w:rPr>
          <w:rFonts w:ascii="Times New Roman" w:hAnsi="Times New Roman" w:cs="Times New Roman"/>
          <w:sz w:val="24"/>
          <w:szCs w:val="24"/>
          <w:lang w:val="en-GB"/>
        </w:rPr>
        <w:t xml:space="preserve">. </w:t>
      </w:r>
      <w:r w:rsidR="001D5721" w:rsidRPr="00A21E4D">
        <w:rPr>
          <w:rFonts w:ascii="Times New Roman" w:hAnsi="Times New Roman" w:cs="Times New Roman"/>
          <w:sz w:val="24"/>
          <w:szCs w:val="24"/>
          <w:lang w:val="en-GB"/>
        </w:rPr>
        <w:t>Scholars are divided on the question, some</w:t>
      </w:r>
      <w:r w:rsidR="001B1EFC" w:rsidRPr="00A21E4D">
        <w:rPr>
          <w:rFonts w:ascii="Times New Roman" w:hAnsi="Times New Roman" w:cs="Times New Roman"/>
          <w:sz w:val="24"/>
          <w:szCs w:val="24"/>
          <w:lang w:val="en-GB"/>
        </w:rPr>
        <w:t xml:space="preserve"> claim</w:t>
      </w:r>
      <w:r w:rsidR="001D5721" w:rsidRPr="00A21E4D">
        <w:rPr>
          <w:rFonts w:ascii="Times New Roman" w:hAnsi="Times New Roman" w:cs="Times New Roman"/>
          <w:sz w:val="24"/>
          <w:szCs w:val="24"/>
          <w:lang w:val="en-GB"/>
        </w:rPr>
        <w:t>ing</w:t>
      </w:r>
      <w:r w:rsidR="001B1EFC" w:rsidRPr="00A21E4D">
        <w:rPr>
          <w:rFonts w:ascii="Times New Roman" w:hAnsi="Times New Roman" w:cs="Times New Roman"/>
          <w:sz w:val="24"/>
          <w:szCs w:val="24"/>
          <w:lang w:val="en-GB"/>
        </w:rPr>
        <w:t xml:space="preserve"> that there is no more distinction between the concepts of workers in the Court case law henceforth</w:t>
      </w:r>
      <w:r w:rsidR="00FF76E0" w:rsidRPr="00A21E4D">
        <w:rPr>
          <w:rStyle w:val="Appelnotedebasdep"/>
          <w:rFonts w:ascii="Times New Roman" w:hAnsi="Times New Roman" w:cs="Times New Roman"/>
          <w:sz w:val="24"/>
          <w:szCs w:val="24"/>
          <w:lang w:val="en-GB"/>
        </w:rPr>
        <w:footnoteReference w:id="6"/>
      </w:r>
      <w:r w:rsidR="001B1EFC" w:rsidRPr="00A21E4D">
        <w:rPr>
          <w:rFonts w:ascii="Times New Roman" w:hAnsi="Times New Roman" w:cs="Times New Roman"/>
          <w:sz w:val="24"/>
          <w:szCs w:val="24"/>
          <w:lang w:val="en-GB"/>
        </w:rPr>
        <w:t xml:space="preserve">, while others maintain that the findings of the Court in </w:t>
      </w:r>
      <w:r w:rsidR="001B1EFC" w:rsidRPr="00A21E4D">
        <w:rPr>
          <w:rFonts w:ascii="Times New Roman" w:hAnsi="Times New Roman" w:cs="Times New Roman"/>
          <w:i/>
          <w:sz w:val="24"/>
          <w:szCs w:val="24"/>
          <w:lang w:val="en-GB"/>
        </w:rPr>
        <w:t>Martinez-Sala</w:t>
      </w:r>
      <w:r w:rsidR="001B1EFC" w:rsidRPr="00A21E4D">
        <w:rPr>
          <w:rFonts w:ascii="Times New Roman" w:hAnsi="Times New Roman" w:cs="Times New Roman"/>
          <w:sz w:val="24"/>
          <w:szCs w:val="24"/>
          <w:lang w:val="en-GB"/>
        </w:rPr>
        <w:t xml:space="preserve"> must still be considered as relevant</w:t>
      </w:r>
      <w:r w:rsidR="00FF76E0" w:rsidRPr="00A21E4D">
        <w:rPr>
          <w:rStyle w:val="Appelnotedebasdep"/>
          <w:rFonts w:ascii="Times New Roman" w:hAnsi="Times New Roman" w:cs="Times New Roman"/>
          <w:sz w:val="24"/>
          <w:szCs w:val="24"/>
          <w:lang w:val="en-GB"/>
        </w:rPr>
        <w:footnoteReference w:id="7"/>
      </w:r>
      <w:r w:rsidR="001B1EFC" w:rsidRPr="00A21E4D">
        <w:rPr>
          <w:rFonts w:ascii="Times New Roman" w:hAnsi="Times New Roman" w:cs="Times New Roman"/>
          <w:sz w:val="24"/>
          <w:szCs w:val="24"/>
          <w:lang w:val="en-GB"/>
        </w:rPr>
        <w:t xml:space="preserve">. </w:t>
      </w:r>
      <w:r w:rsidR="006D1F6B" w:rsidRPr="00A21E4D">
        <w:rPr>
          <w:rFonts w:ascii="Times New Roman" w:hAnsi="Times New Roman" w:cs="Times New Roman"/>
          <w:sz w:val="24"/>
          <w:szCs w:val="24"/>
          <w:lang w:val="en-GB"/>
        </w:rPr>
        <w:t xml:space="preserve">We will come back to this </w:t>
      </w:r>
      <w:r w:rsidR="001B1EFC" w:rsidRPr="00A21E4D">
        <w:rPr>
          <w:rFonts w:ascii="Times New Roman" w:hAnsi="Times New Roman" w:cs="Times New Roman"/>
          <w:sz w:val="24"/>
          <w:szCs w:val="24"/>
          <w:lang w:val="en-GB"/>
        </w:rPr>
        <w:t xml:space="preserve">ongoing debate </w:t>
      </w:r>
      <w:r w:rsidR="000379EE" w:rsidRPr="00A21E4D">
        <w:rPr>
          <w:rFonts w:ascii="Times New Roman" w:hAnsi="Times New Roman" w:cs="Times New Roman"/>
          <w:sz w:val="24"/>
          <w:szCs w:val="24"/>
          <w:lang w:val="en-GB"/>
        </w:rPr>
        <w:t xml:space="preserve">at the end of this contribution, </w:t>
      </w:r>
      <w:r w:rsidR="001D5721" w:rsidRPr="00A21E4D">
        <w:rPr>
          <w:rFonts w:ascii="Times New Roman" w:hAnsi="Times New Roman" w:cs="Times New Roman"/>
          <w:sz w:val="24"/>
          <w:szCs w:val="24"/>
          <w:lang w:val="en-GB"/>
        </w:rPr>
        <w:t>and</w:t>
      </w:r>
      <w:r w:rsidR="000C4861" w:rsidRPr="00A21E4D">
        <w:rPr>
          <w:rFonts w:ascii="Times New Roman" w:hAnsi="Times New Roman" w:cs="Times New Roman"/>
          <w:sz w:val="24"/>
          <w:szCs w:val="24"/>
          <w:lang w:val="en-GB"/>
        </w:rPr>
        <w:t xml:space="preserve"> </w:t>
      </w:r>
      <w:r w:rsidR="000379EE" w:rsidRPr="00A21E4D">
        <w:rPr>
          <w:rFonts w:ascii="Times New Roman" w:hAnsi="Times New Roman" w:cs="Times New Roman"/>
          <w:sz w:val="24"/>
          <w:szCs w:val="24"/>
          <w:lang w:val="en-GB"/>
        </w:rPr>
        <w:t xml:space="preserve">briefly address the question of the future evolution of the </w:t>
      </w:r>
      <w:r w:rsidR="00BD5DC1" w:rsidRPr="00A21E4D">
        <w:rPr>
          <w:rFonts w:ascii="Times New Roman" w:hAnsi="Times New Roman" w:cs="Times New Roman"/>
          <w:sz w:val="24"/>
          <w:szCs w:val="24"/>
          <w:lang w:val="en-GB"/>
        </w:rPr>
        <w:t xml:space="preserve">concept </w:t>
      </w:r>
      <w:r w:rsidR="000379EE" w:rsidRPr="00A21E4D">
        <w:rPr>
          <w:rFonts w:ascii="Times New Roman" w:hAnsi="Times New Roman" w:cs="Times New Roman"/>
          <w:sz w:val="24"/>
          <w:szCs w:val="24"/>
          <w:lang w:val="en-GB"/>
        </w:rPr>
        <w:t>of worker in EU Law</w:t>
      </w:r>
      <w:r w:rsidR="00450C1A" w:rsidRPr="00A21E4D">
        <w:rPr>
          <w:rFonts w:ascii="Times New Roman" w:hAnsi="Times New Roman" w:cs="Times New Roman"/>
          <w:sz w:val="24"/>
          <w:szCs w:val="24"/>
          <w:lang w:val="en-GB"/>
        </w:rPr>
        <w:t>, with due consideration among others to the recent Directives on Transparent and Predictable Working Conditions (2019/1152) and on Work-Life Balance (2019/1158)</w:t>
      </w:r>
      <w:r w:rsidR="000379EE" w:rsidRPr="00A21E4D">
        <w:rPr>
          <w:rFonts w:ascii="Times New Roman" w:hAnsi="Times New Roman" w:cs="Times New Roman"/>
          <w:sz w:val="24"/>
          <w:szCs w:val="24"/>
          <w:lang w:val="en-GB"/>
        </w:rPr>
        <w:t>.</w:t>
      </w:r>
      <w:r w:rsidR="00450C1A" w:rsidRPr="00A21E4D">
        <w:rPr>
          <w:rFonts w:ascii="Times New Roman" w:hAnsi="Times New Roman" w:cs="Times New Roman"/>
          <w:sz w:val="24"/>
          <w:szCs w:val="24"/>
          <w:lang w:val="en-GB"/>
        </w:rPr>
        <w:t xml:space="preserve"> </w:t>
      </w:r>
    </w:p>
    <w:p w14:paraId="7827D26C" w14:textId="59EE9FCA" w:rsidR="00495360" w:rsidRPr="00A21E4D" w:rsidRDefault="00923E73" w:rsidP="00A01045">
      <w:pPr>
        <w:spacing w:line="240" w:lineRule="auto"/>
        <w:jc w:val="both"/>
        <w:rPr>
          <w:rFonts w:ascii="Times New Roman" w:hAnsi="Times New Roman" w:cs="Times New Roman"/>
          <w:sz w:val="24"/>
          <w:szCs w:val="24"/>
          <w:lang w:val="en-GB"/>
        </w:rPr>
      </w:pPr>
      <w:r w:rsidRPr="00A21E4D">
        <w:rPr>
          <w:rFonts w:ascii="Times New Roman" w:hAnsi="Times New Roman" w:cs="Times New Roman"/>
          <w:b/>
          <w:sz w:val="24"/>
          <w:szCs w:val="24"/>
          <w:lang w:val="en-GB"/>
        </w:rPr>
        <w:tab/>
      </w:r>
      <w:r w:rsidRPr="00A21E4D">
        <w:rPr>
          <w:rFonts w:ascii="Times New Roman" w:hAnsi="Times New Roman" w:cs="Times New Roman"/>
          <w:sz w:val="24"/>
          <w:szCs w:val="24"/>
          <w:lang w:val="en-GB"/>
        </w:rPr>
        <w:t xml:space="preserve">Concerning the methodology used, </w:t>
      </w:r>
      <w:r w:rsidR="006670EC" w:rsidRPr="00A21E4D">
        <w:rPr>
          <w:rFonts w:ascii="Times New Roman" w:hAnsi="Times New Roman" w:cs="Times New Roman"/>
          <w:sz w:val="24"/>
          <w:szCs w:val="24"/>
          <w:lang w:val="en-GB"/>
        </w:rPr>
        <w:t>it was</w:t>
      </w:r>
      <w:r w:rsidRPr="00A21E4D">
        <w:rPr>
          <w:rFonts w:ascii="Times New Roman" w:hAnsi="Times New Roman" w:cs="Times New Roman"/>
          <w:sz w:val="24"/>
          <w:szCs w:val="24"/>
          <w:lang w:val="en-GB"/>
        </w:rPr>
        <w:t xml:space="preserve"> decided to lead an in-depth analysis of the existing case law of the Court on the concept of worker in the field of free movement of workers on one hand and in the field of the </w:t>
      </w:r>
      <w:r w:rsidR="00C36F8E" w:rsidRPr="00A21E4D">
        <w:rPr>
          <w:rFonts w:ascii="Times New Roman" w:hAnsi="Times New Roman" w:cs="Times New Roman"/>
          <w:sz w:val="24"/>
          <w:szCs w:val="24"/>
          <w:lang w:val="en-GB"/>
        </w:rPr>
        <w:t>S</w:t>
      </w:r>
      <w:r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irectives on the other hand.</w:t>
      </w:r>
      <w:r w:rsidR="006670EC" w:rsidRPr="00A21E4D">
        <w:rPr>
          <w:rFonts w:ascii="Times New Roman" w:hAnsi="Times New Roman" w:cs="Times New Roman"/>
          <w:sz w:val="24"/>
          <w:szCs w:val="24"/>
          <w:lang w:val="en-GB"/>
        </w:rPr>
        <w:t xml:space="preserve"> It is</w:t>
      </w:r>
      <w:r w:rsidR="00951756" w:rsidRPr="00A21E4D">
        <w:rPr>
          <w:rFonts w:ascii="Times New Roman" w:hAnsi="Times New Roman" w:cs="Times New Roman"/>
          <w:sz w:val="24"/>
          <w:szCs w:val="24"/>
          <w:lang w:val="en-GB"/>
        </w:rPr>
        <w:t xml:space="preserve"> assume</w:t>
      </w:r>
      <w:r w:rsidR="006670EC" w:rsidRPr="00A21E4D">
        <w:rPr>
          <w:rFonts w:ascii="Times New Roman" w:hAnsi="Times New Roman" w:cs="Times New Roman"/>
          <w:sz w:val="24"/>
          <w:szCs w:val="24"/>
          <w:lang w:val="en-GB"/>
        </w:rPr>
        <w:t>d</w:t>
      </w:r>
      <w:r w:rsidR="00951756" w:rsidRPr="00A21E4D">
        <w:rPr>
          <w:rFonts w:ascii="Times New Roman" w:hAnsi="Times New Roman" w:cs="Times New Roman"/>
          <w:sz w:val="24"/>
          <w:szCs w:val="24"/>
          <w:lang w:val="en-GB"/>
        </w:rPr>
        <w:t xml:space="preserve"> that the Court is a rational actor and that the differences between the outcomes of its decisions are not random. </w:t>
      </w:r>
      <w:r w:rsidRPr="00A21E4D">
        <w:rPr>
          <w:rFonts w:ascii="Times New Roman" w:hAnsi="Times New Roman" w:cs="Times New Roman"/>
          <w:sz w:val="24"/>
          <w:szCs w:val="24"/>
          <w:lang w:val="en-GB"/>
        </w:rPr>
        <w:t xml:space="preserve">The </w:t>
      </w:r>
      <w:r w:rsidR="008B10D7" w:rsidRPr="00A21E4D">
        <w:rPr>
          <w:rFonts w:ascii="Times New Roman" w:hAnsi="Times New Roman" w:cs="Times New Roman"/>
          <w:sz w:val="24"/>
          <w:szCs w:val="24"/>
          <w:lang w:val="en-GB"/>
        </w:rPr>
        <w:t xml:space="preserve">decisions </w:t>
      </w:r>
      <w:r w:rsidRPr="00A21E4D">
        <w:rPr>
          <w:rFonts w:ascii="Times New Roman" w:hAnsi="Times New Roman" w:cs="Times New Roman"/>
          <w:sz w:val="24"/>
          <w:szCs w:val="24"/>
          <w:lang w:val="en-GB"/>
        </w:rPr>
        <w:t xml:space="preserve">will be presented in three separate </w:t>
      </w:r>
      <w:r w:rsidR="008923C5" w:rsidRPr="00A21E4D">
        <w:rPr>
          <w:rFonts w:ascii="Times New Roman" w:hAnsi="Times New Roman" w:cs="Times New Roman"/>
          <w:sz w:val="24"/>
          <w:szCs w:val="24"/>
          <w:lang w:val="en-GB"/>
        </w:rPr>
        <w:t>Sections</w:t>
      </w:r>
      <w:r w:rsidR="00C40071" w:rsidRPr="00A21E4D">
        <w:rPr>
          <w:rFonts w:ascii="Times New Roman" w:hAnsi="Times New Roman" w:cs="Times New Roman"/>
          <w:sz w:val="24"/>
          <w:szCs w:val="24"/>
          <w:lang w:val="en-GB"/>
        </w:rPr>
        <w:t xml:space="preserve">. Section 1 is </w:t>
      </w:r>
      <w:r w:rsidRPr="00A21E4D">
        <w:rPr>
          <w:rFonts w:ascii="Times New Roman" w:hAnsi="Times New Roman" w:cs="Times New Roman"/>
          <w:sz w:val="24"/>
          <w:szCs w:val="24"/>
          <w:lang w:val="en-GB"/>
        </w:rPr>
        <w:t>dedicated to free movement law</w:t>
      </w:r>
      <w:r w:rsidR="009F4ACB" w:rsidRPr="00A21E4D">
        <w:rPr>
          <w:rFonts w:ascii="Times New Roman" w:hAnsi="Times New Roman" w:cs="Times New Roman"/>
          <w:sz w:val="24"/>
          <w:szCs w:val="24"/>
          <w:lang w:val="en-GB"/>
        </w:rPr>
        <w:t>,</w:t>
      </w:r>
      <w:r w:rsidRPr="00A21E4D">
        <w:rPr>
          <w:rFonts w:ascii="Times New Roman" w:hAnsi="Times New Roman" w:cs="Times New Roman"/>
          <w:sz w:val="24"/>
          <w:szCs w:val="24"/>
          <w:lang w:val="en-GB"/>
        </w:rPr>
        <w:t xml:space="preserve"> </w:t>
      </w:r>
      <w:r w:rsidR="009F4ACB" w:rsidRPr="00A21E4D">
        <w:rPr>
          <w:rFonts w:ascii="Times New Roman" w:hAnsi="Times New Roman" w:cs="Times New Roman"/>
          <w:sz w:val="24"/>
          <w:szCs w:val="24"/>
          <w:lang w:val="en-GB"/>
        </w:rPr>
        <w:t>while Section 2 deal</w:t>
      </w:r>
      <w:r w:rsidR="00F55913" w:rsidRPr="00A21E4D">
        <w:rPr>
          <w:rFonts w:ascii="Times New Roman" w:hAnsi="Times New Roman" w:cs="Times New Roman"/>
          <w:sz w:val="24"/>
          <w:szCs w:val="24"/>
          <w:lang w:val="en-GB"/>
        </w:rPr>
        <w:t>s</w:t>
      </w:r>
      <w:r w:rsidR="009F4ACB" w:rsidRPr="00A21E4D">
        <w:rPr>
          <w:rFonts w:ascii="Times New Roman" w:hAnsi="Times New Roman" w:cs="Times New Roman"/>
          <w:sz w:val="24"/>
          <w:szCs w:val="24"/>
          <w:lang w:val="en-GB"/>
        </w:rPr>
        <w:t xml:space="preserve"> with </w:t>
      </w:r>
      <w:r w:rsidRPr="00A21E4D">
        <w:rPr>
          <w:rFonts w:ascii="Times New Roman" w:hAnsi="Times New Roman" w:cs="Times New Roman"/>
          <w:sz w:val="24"/>
          <w:szCs w:val="24"/>
          <w:lang w:val="en-GB"/>
        </w:rPr>
        <w:t xml:space="preserve">the </w:t>
      </w:r>
      <w:r w:rsidR="00C36F8E" w:rsidRPr="00A21E4D">
        <w:rPr>
          <w:rFonts w:ascii="Times New Roman" w:hAnsi="Times New Roman" w:cs="Times New Roman"/>
          <w:sz w:val="24"/>
          <w:szCs w:val="24"/>
          <w:lang w:val="en-GB"/>
        </w:rPr>
        <w:t>S</w:t>
      </w:r>
      <w:r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irectives</w:t>
      </w:r>
      <w:r w:rsidR="00BA7A67" w:rsidRPr="00A21E4D">
        <w:rPr>
          <w:rFonts w:ascii="Times New Roman" w:hAnsi="Times New Roman" w:cs="Times New Roman"/>
          <w:sz w:val="24"/>
          <w:szCs w:val="24"/>
          <w:lang w:val="en-GB"/>
        </w:rPr>
        <w:t>. These are divided in two groups,</w:t>
      </w:r>
      <w:r w:rsidRPr="00A21E4D">
        <w:rPr>
          <w:rFonts w:ascii="Times New Roman" w:hAnsi="Times New Roman" w:cs="Times New Roman"/>
          <w:sz w:val="24"/>
          <w:szCs w:val="24"/>
          <w:lang w:val="en-GB"/>
        </w:rPr>
        <w:t xml:space="preserve"> </w:t>
      </w:r>
      <w:r w:rsidR="006334C2" w:rsidRPr="00A21E4D">
        <w:rPr>
          <w:rFonts w:ascii="Times New Roman" w:hAnsi="Times New Roman" w:cs="Times New Roman"/>
          <w:sz w:val="24"/>
          <w:szCs w:val="24"/>
          <w:lang w:val="en-GB"/>
        </w:rPr>
        <w:t xml:space="preserve">depending on </w:t>
      </w:r>
      <w:r w:rsidR="00BA7A67" w:rsidRPr="00A21E4D">
        <w:rPr>
          <w:rFonts w:ascii="Times New Roman" w:hAnsi="Times New Roman" w:cs="Times New Roman"/>
          <w:sz w:val="24"/>
          <w:szCs w:val="24"/>
          <w:lang w:val="en-GB"/>
        </w:rPr>
        <w:t xml:space="preserve">whether </w:t>
      </w:r>
      <w:r w:rsidR="006334C2" w:rsidRPr="00A21E4D">
        <w:rPr>
          <w:rFonts w:ascii="Times New Roman" w:hAnsi="Times New Roman" w:cs="Times New Roman"/>
          <w:sz w:val="24"/>
          <w:szCs w:val="24"/>
          <w:lang w:val="en-GB"/>
        </w:rPr>
        <w:t xml:space="preserve">the Court had the possibility to elaborate a “Community concept of worker” or not, in the case where the </w:t>
      </w:r>
      <w:r w:rsidR="00832C78" w:rsidRPr="00A21E4D">
        <w:rPr>
          <w:rFonts w:ascii="Times New Roman" w:hAnsi="Times New Roman" w:cs="Times New Roman"/>
          <w:sz w:val="24"/>
          <w:szCs w:val="24"/>
          <w:lang w:val="en-GB"/>
        </w:rPr>
        <w:t xml:space="preserve">Directive </w:t>
      </w:r>
      <w:r w:rsidR="006334C2" w:rsidRPr="00A21E4D">
        <w:rPr>
          <w:rFonts w:ascii="Times New Roman" w:hAnsi="Times New Roman" w:cs="Times New Roman"/>
          <w:sz w:val="24"/>
          <w:szCs w:val="24"/>
          <w:lang w:val="en-GB"/>
        </w:rPr>
        <w:t xml:space="preserve">refers back to the </w:t>
      </w:r>
      <w:r w:rsidR="001D5721" w:rsidRPr="00A21E4D">
        <w:rPr>
          <w:rFonts w:ascii="Times New Roman" w:hAnsi="Times New Roman" w:cs="Times New Roman"/>
          <w:sz w:val="24"/>
          <w:szCs w:val="24"/>
          <w:lang w:val="en-GB"/>
        </w:rPr>
        <w:t xml:space="preserve">national </w:t>
      </w:r>
      <w:r w:rsidR="006334C2" w:rsidRPr="00A21E4D">
        <w:rPr>
          <w:rFonts w:ascii="Times New Roman" w:hAnsi="Times New Roman" w:cs="Times New Roman"/>
          <w:sz w:val="24"/>
          <w:szCs w:val="24"/>
          <w:lang w:val="en-GB"/>
        </w:rPr>
        <w:t>conc</w:t>
      </w:r>
      <w:r w:rsidR="001D5721" w:rsidRPr="00A21E4D">
        <w:rPr>
          <w:rFonts w:ascii="Times New Roman" w:hAnsi="Times New Roman" w:cs="Times New Roman"/>
          <w:sz w:val="24"/>
          <w:szCs w:val="24"/>
          <w:lang w:val="en-GB"/>
        </w:rPr>
        <w:t>ept of worker</w:t>
      </w:r>
      <w:r w:rsidR="006334C2" w:rsidRPr="00A21E4D">
        <w:rPr>
          <w:rFonts w:ascii="Times New Roman" w:hAnsi="Times New Roman" w:cs="Times New Roman"/>
          <w:sz w:val="24"/>
          <w:szCs w:val="24"/>
          <w:lang w:val="en-GB"/>
        </w:rPr>
        <w:t xml:space="preserve">. </w:t>
      </w:r>
      <w:r w:rsidR="00CB1984" w:rsidRPr="00A21E4D">
        <w:rPr>
          <w:rFonts w:ascii="Times New Roman" w:hAnsi="Times New Roman" w:cs="Times New Roman"/>
          <w:sz w:val="24"/>
          <w:szCs w:val="24"/>
          <w:lang w:val="en-GB"/>
        </w:rPr>
        <w:t xml:space="preserve"> To facilitate the comparison, the </w:t>
      </w:r>
      <w:r w:rsidR="00C91C61" w:rsidRPr="00A21E4D">
        <w:rPr>
          <w:rFonts w:ascii="Times New Roman" w:hAnsi="Times New Roman" w:cs="Times New Roman"/>
          <w:sz w:val="24"/>
          <w:szCs w:val="24"/>
          <w:lang w:val="en-GB"/>
        </w:rPr>
        <w:t xml:space="preserve">analysis </w:t>
      </w:r>
      <w:r w:rsidR="00CB1984" w:rsidRPr="00A21E4D">
        <w:rPr>
          <w:rFonts w:ascii="Times New Roman" w:hAnsi="Times New Roman" w:cs="Times New Roman"/>
          <w:sz w:val="24"/>
          <w:szCs w:val="24"/>
          <w:lang w:val="en-GB"/>
        </w:rPr>
        <w:t xml:space="preserve">will focus on the three elements of the </w:t>
      </w:r>
      <w:r w:rsidR="00CB1984" w:rsidRPr="00A21E4D">
        <w:rPr>
          <w:rFonts w:ascii="Times New Roman" w:hAnsi="Times New Roman" w:cs="Times New Roman"/>
          <w:i/>
          <w:iCs/>
          <w:sz w:val="24"/>
          <w:szCs w:val="24"/>
          <w:lang w:val="en-GB"/>
        </w:rPr>
        <w:t>Lawrie-Blum</w:t>
      </w:r>
      <w:r w:rsidR="00CB1984" w:rsidRPr="00A21E4D">
        <w:rPr>
          <w:rFonts w:ascii="Times New Roman" w:hAnsi="Times New Roman" w:cs="Times New Roman"/>
          <w:sz w:val="24"/>
          <w:szCs w:val="24"/>
          <w:lang w:val="en-GB"/>
        </w:rPr>
        <w:t xml:space="preserve"> formula, namely work, remuneration and link of subordination</w:t>
      </w:r>
      <w:r w:rsidR="00495360" w:rsidRPr="00A21E4D">
        <w:rPr>
          <w:rFonts w:ascii="Times New Roman" w:hAnsi="Times New Roman" w:cs="Times New Roman"/>
          <w:sz w:val="24"/>
          <w:szCs w:val="24"/>
          <w:lang w:val="en-GB"/>
        </w:rPr>
        <w:t>.</w:t>
      </w:r>
    </w:p>
    <w:p w14:paraId="57F60E35" w14:textId="0370AD25" w:rsidR="004D477D" w:rsidRPr="00A21E4D" w:rsidRDefault="004D477D" w:rsidP="002F0EBC">
      <w:pPr>
        <w:pStyle w:val="Paragraphedeliste"/>
        <w:numPr>
          <w:ilvl w:val="0"/>
          <w:numId w:val="20"/>
        </w:numPr>
        <w:spacing w:line="240" w:lineRule="auto"/>
        <w:jc w:val="both"/>
        <w:rPr>
          <w:rFonts w:ascii="Times New Roman" w:hAnsi="Times New Roman" w:cs="Times New Roman"/>
          <w:b/>
          <w:sz w:val="24"/>
          <w:szCs w:val="24"/>
          <w:lang w:val="en-GB"/>
        </w:rPr>
      </w:pPr>
      <w:r w:rsidRPr="00A21E4D">
        <w:rPr>
          <w:rFonts w:ascii="Times New Roman" w:hAnsi="Times New Roman" w:cs="Times New Roman"/>
          <w:b/>
          <w:sz w:val="24"/>
          <w:szCs w:val="24"/>
          <w:lang w:val="en-GB"/>
        </w:rPr>
        <w:t>THE CONCEPT OF WORKER IN FRE</w:t>
      </w:r>
      <w:r w:rsidR="00A01045" w:rsidRPr="00A21E4D">
        <w:rPr>
          <w:rFonts w:ascii="Times New Roman" w:hAnsi="Times New Roman" w:cs="Times New Roman"/>
          <w:b/>
          <w:sz w:val="24"/>
          <w:szCs w:val="24"/>
          <w:lang w:val="en-GB"/>
        </w:rPr>
        <w:t xml:space="preserve">E MOVEMENT LAW: LAWRIE-BLUM AND </w:t>
      </w:r>
      <w:r w:rsidRPr="00A21E4D">
        <w:rPr>
          <w:rFonts w:ascii="Times New Roman" w:hAnsi="Times New Roman" w:cs="Times New Roman"/>
          <w:b/>
          <w:sz w:val="24"/>
          <w:szCs w:val="24"/>
          <w:lang w:val="en-GB"/>
        </w:rPr>
        <w:t>ITS AFTERMATH.</w:t>
      </w:r>
    </w:p>
    <w:p w14:paraId="158BEC69" w14:textId="2FAAA2EE" w:rsidR="00DD5203" w:rsidRPr="00A21E4D" w:rsidRDefault="00A73465"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b/>
          <w:sz w:val="24"/>
          <w:szCs w:val="24"/>
          <w:lang w:val="en-GB"/>
        </w:rPr>
        <w:tab/>
      </w:r>
      <w:r w:rsidRPr="00A21E4D">
        <w:rPr>
          <w:rFonts w:ascii="Times New Roman" w:hAnsi="Times New Roman" w:cs="Times New Roman"/>
          <w:sz w:val="24"/>
          <w:szCs w:val="24"/>
          <w:lang w:val="en-GB"/>
        </w:rPr>
        <w:t xml:space="preserve">The free movement of workers provided by article 45 </w:t>
      </w:r>
      <w:r w:rsidR="00266EA0" w:rsidRPr="00A21E4D">
        <w:rPr>
          <w:rFonts w:ascii="Times New Roman" w:hAnsi="Times New Roman" w:cs="Times New Roman"/>
          <w:sz w:val="24"/>
          <w:szCs w:val="24"/>
          <w:lang w:val="en-GB"/>
        </w:rPr>
        <w:t>TFEU</w:t>
      </w:r>
      <w:r w:rsidRPr="00A21E4D">
        <w:rPr>
          <w:rFonts w:ascii="Times New Roman" w:hAnsi="Times New Roman" w:cs="Times New Roman"/>
          <w:sz w:val="24"/>
          <w:szCs w:val="24"/>
          <w:lang w:val="en-GB"/>
        </w:rPr>
        <w:t xml:space="preserve"> is one of the fundamental freedoms which are necessary to the good functioning of the internal market. In this context, it is logical that the Court </w:t>
      </w:r>
      <w:r w:rsidR="00776D7C" w:rsidRPr="00A21E4D">
        <w:rPr>
          <w:rFonts w:ascii="Times New Roman" w:hAnsi="Times New Roman" w:cs="Times New Roman"/>
          <w:sz w:val="24"/>
          <w:szCs w:val="24"/>
          <w:lang w:val="en-GB"/>
        </w:rPr>
        <w:t xml:space="preserve">would not </w:t>
      </w:r>
      <w:r w:rsidR="001D5721" w:rsidRPr="00A21E4D">
        <w:rPr>
          <w:rFonts w:ascii="Times New Roman" w:hAnsi="Times New Roman" w:cs="Times New Roman"/>
          <w:sz w:val="24"/>
          <w:szCs w:val="24"/>
          <w:lang w:val="en-GB"/>
        </w:rPr>
        <w:t>let the</w:t>
      </w:r>
      <w:r w:rsidRPr="00A21E4D">
        <w:rPr>
          <w:rFonts w:ascii="Times New Roman" w:hAnsi="Times New Roman" w:cs="Times New Roman"/>
          <w:sz w:val="24"/>
          <w:szCs w:val="24"/>
          <w:lang w:val="en-GB"/>
        </w:rPr>
        <w:t xml:space="preserve"> concept of worker, which is the key to the protection offered by this article by determining its scope of application, to be define</w:t>
      </w:r>
      <w:r w:rsidR="00305E42"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 xml:space="preserve"> by the Member States. This concern arose as early as the </w:t>
      </w:r>
      <w:r w:rsidRPr="00A21E4D">
        <w:rPr>
          <w:rFonts w:ascii="Times New Roman" w:hAnsi="Times New Roman" w:cs="Times New Roman"/>
          <w:i/>
          <w:sz w:val="24"/>
          <w:szCs w:val="24"/>
          <w:lang w:val="en-GB"/>
        </w:rPr>
        <w:t>Unger</w:t>
      </w:r>
      <w:r w:rsidRPr="00A21E4D">
        <w:rPr>
          <w:rFonts w:ascii="Times New Roman" w:hAnsi="Times New Roman" w:cs="Times New Roman"/>
          <w:sz w:val="24"/>
          <w:szCs w:val="24"/>
          <w:lang w:val="en-GB"/>
        </w:rPr>
        <w:t xml:space="preserve"> case in 1964</w:t>
      </w:r>
      <w:r w:rsidR="009A5BF4" w:rsidRPr="00A21E4D">
        <w:rPr>
          <w:rStyle w:val="Appelnotedebasdep"/>
          <w:rFonts w:ascii="Times New Roman" w:hAnsi="Times New Roman" w:cs="Times New Roman"/>
          <w:sz w:val="24"/>
          <w:szCs w:val="24"/>
          <w:lang w:val="en-GB"/>
        </w:rPr>
        <w:footnoteReference w:id="8"/>
      </w:r>
      <w:r w:rsidRPr="00A21E4D">
        <w:rPr>
          <w:rFonts w:ascii="Times New Roman" w:hAnsi="Times New Roman" w:cs="Times New Roman"/>
          <w:sz w:val="24"/>
          <w:szCs w:val="24"/>
          <w:lang w:val="en-GB"/>
        </w:rPr>
        <w:t xml:space="preserve">, where the Court stated for the first time that the concept of worker in the field of free movement must have an autonomous meaning. </w:t>
      </w:r>
    </w:p>
    <w:p w14:paraId="7A477634" w14:textId="55BBA28F" w:rsidR="00A73465" w:rsidRPr="00A21E4D" w:rsidRDefault="00DD5203"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A73465" w:rsidRPr="00A21E4D">
        <w:rPr>
          <w:rFonts w:ascii="Times New Roman" w:hAnsi="Times New Roman" w:cs="Times New Roman"/>
          <w:sz w:val="24"/>
          <w:szCs w:val="24"/>
          <w:lang w:val="en-GB"/>
        </w:rPr>
        <w:t xml:space="preserve">However, </w:t>
      </w:r>
      <w:r w:rsidR="009A5BF4" w:rsidRPr="00A21E4D">
        <w:rPr>
          <w:rFonts w:ascii="Times New Roman" w:hAnsi="Times New Roman" w:cs="Times New Roman"/>
          <w:sz w:val="24"/>
          <w:szCs w:val="24"/>
          <w:lang w:val="en-GB"/>
        </w:rPr>
        <w:t xml:space="preserve">it is only in the second half of the eighties that the Court will attempt to give a definition of the concept of worker for the first time. In </w:t>
      </w:r>
      <w:r w:rsidR="0099707E" w:rsidRPr="00A21E4D">
        <w:rPr>
          <w:rFonts w:ascii="Times New Roman" w:hAnsi="Times New Roman" w:cs="Times New Roman"/>
          <w:sz w:val="24"/>
          <w:szCs w:val="24"/>
          <w:lang w:val="en-GB"/>
        </w:rPr>
        <w:t>decisions</w:t>
      </w:r>
      <w:r w:rsidR="009A5BF4" w:rsidRPr="00A21E4D">
        <w:rPr>
          <w:rFonts w:ascii="Times New Roman" w:hAnsi="Times New Roman" w:cs="Times New Roman"/>
          <w:sz w:val="24"/>
          <w:szCs w:val="24"/>
          <w:lang w:val="en-GB"/>
        </w:rPr>
        <w:t xml:space="preserve"> </w:t>
      </w:r>
      <w:r w:rsidR="009A5BF4" w:rsidRPr="00A21E4D">
        <w:rPr>
          <w:rFonts w:ascii="Times New Roman" w:hAnsi="Times New Roman" w:cs="Times New Roman"/>
          <w:i/>
          <w:sz w:val="24"/>
          <w:szCs w:val="24"/>
          <w:lang w:val="en-GB"/>
        </w:rPr>
        <w:t>Levin</w:t>
      </w:r>
      <w:r w:rsidR="009A5BF4" w:rsidRPr="00A21E4D">
        <w:rPr>
          <w:rStyle w:val="Appelnotedebasdep"/>
          <w:rFonts w:ascii="Times New Roman" w:hAnsi="Times New Roman" w:cs="Times New Roman"/>
          <w:i/>
          <w:sz w:val="24"/>
          <w:szCs w:val="24"/>
          <w:lang w:val="en-GB"/>
        </w:rPr>
        <w:footnoteReference w:id="9"/>
      </w:r>
      <w:r w:rsidR="009A5BF4" w:rsidRPr="00A21E4D">
        <w:rPr>
          <w:rFonts w:ascii="Times New Roman" w:hAnsi="Times New Roman" w:cs="Times New Roman"/>
          <w:sz w:val="24"/>
          <w:szCs w:val="24"/>
          <w:lang w:val="en-GB"/>
        </w:rPr>
        <w:t xml:space="preserve"> and </w:t>
      </w:r>
      <w:r w:rsidR="009A5BF4" w:rsidRPr="00A21E4D">
        <w:rPr>
          <w:rFonts w:ascii="Times New Roman" w:hAnsi="Times New Roman" w:cs="Times New Roman"/>
          <w:i/>
          <w:sz w:val="24"/>
          <w:szCs w:val="24"/>
          <w:lang w:val="en-GB"/>
        </w:rPr>
        <w:t>Kempf</w:t>
      </w:r>
      <w:r w:rsidR="009A5BF4" w:rsidRPr="00A21E4D">
        <w:rPr>
          <w:rStyle w:val="Appelnotedebasdep"/>
          <w:rFonts w:ascii="Times New Roman" w:hAnsi="Times New Roman" w:cs="Times New Roman"/>
          <w:i/>
          <w:sz w:val="24"/>
          <w:szCs w:val="24"/>
          <w:lang w:val="en-GB"/>
        </w:rPr>
        <w:footnoteReference w:id="10"/>
      </w:r>
      <w:r w:rsidR="009A5BF4" w:rsidRPr="00A21E4D">
        <w:rPr>
          <w:rFonts w:ascii="Times New Roman" w:hAnsi="Times New Roman" w:cs="Times New Roman"/>
          <w:sz w:val="24"/>
          <w:szCs w:val="24"/>
          <w:lang w:val="en-GB"/>
        </w:rPr>
        <w:t xml:space="preserve">, it decided that part time workers had to be considered as workers in the sense of 45 </w:t>
      </w:r>
      <w:r w:rsidR="00266EA0" w:rsidRPr="00A21E4D">
        <w:rPr>
          <w:rFonts w:ascii="Times New Roman" w:hAnsi="Times New Roman" w:cs="Times New Roman"/>
          <w:sz w:val="24"/>
          <w:szCs w:val="24"/>
          <w:lang w:val="en-GB"/>
        </w:rPr>
        <w:t>TFEU</w:t>
      </w:r>
      <w:r w:rsidR="009A5BF4" w:rsidRPr="00A21E4D">
        <w:rPr>
          <w:rFonts w:ascii="Times New Roman" w:hAnsi="Times New Roman" w:cs="Times New Roman"/>
          <w:sz w:val="24"/>
          <w:szCs w:val="24"/>
          <w:lang w:val="en-GB"/>
        </w:rPr>
        <w:t>, desp</w:t>
      </w:r>
      <w:r w:rsidR="000379EE" w:rsidRPr="00A21E4D">
        <w:rPr>
          <w:rFonts w:ascii="Times New Roman" w:hAnsi="Times New Roman" w:cs="Times New Roman"/>
          <w:sz w:val="24"/>
          <w:szCs w:val="24"/>
          <w:lang w:val="en-GB"/>
        </w:rPr>
        <w:t xml:space="preserve">ite the fact </w:t>
      </w:r>
      <w:r w:rsidR="000379EE" w:rsidRPr="00A21E4D">
        <w:rPr>
          <w:rFonts w:ascii="Times New Roman" w:hAnsi="Times New Roman" w:cs="Times New Roman"/>
          <w:sz w:val="24"/>
          <w:szCs w:val="24"/>
          <w:lang w:val="en-GB"/>
        </w:rPr>
        <w:lastRenderedPageBreak/>
        <w:t>that the income they receive</w:t>
      </w:r>
      <w:r w:rsidR="009A5BF4" w:rsidRPr="00A21E4D">
        <w:rPr>
          <w:rFonts w:ascii="Times New Roman" w:hAnsi="Times New Roman" w:cs="Times New Roman"/>
          <w:sz w:val="24"/>
          <w:szCs w:val="24"/>
          <w:lang w:val="en-GB"/>
        </w:rPr>
        <w:t xml:space="preserve"> is insufficient for subsistence, with a condition that the person</w:t>
      </w:r>
      <w:r w:rsidR="000379EE" w:rsidRPr="00A21E4D">
        <w:rPr>
          <w:rFonts w:ascii="Times New Roman" w:hAnsi="Times New Roman" w:cs="Times New Roman"/>
          <w:sz w:val="24"/>
          <w:szCs w:val="24"/>
          <w:lang w:val="en-GB"/>
        </w:rPr>
        <w:t>s in question have</w:t>
      </w:r>
      <w:r w:rsidR="009A5BF4" w:rsidRPr="00A21E4D">
        <w:rPr>
          <w:rFonts w:ascii="Times New Roman" w:hAnsi="Times New Roman" w:cs="Times New Roman"/>
          <w:sz w:val="24"/>
          <w:szCs w:val="24"/>
          <w:lang w:val="en-GB"/>
        </w:rPr>
        <w:t xml:space="preserve"> a genuine and effective activity. </w:t>
      </w:r>
      <w:r w:rsidR="00DB476E" w:rsidRPr="00A21E4D">
        <w:rPr>
          <w:rFonts w:ascii="Times New Roman" w:hAnsi="Times New Roman" w:cs="Times New Roman"/>
          <w:sz w:val="24"/>
          <w:szCs w:val="24"/>
          <w:lang w:val="en-GB"/>
        </w:rPr>
        <w:t xml:space="preserve">In the </w:t>
      </w:r>
      <w:r w:rsidR="00DB476E" w:rsidRPr="00A21E4D">
        <w:rPr>
          <w:rFonts w:ascii="Times New Roman" w:hAnsi="Times New Roman" w:cs="Times New Roman"/>
          <w:i/>
          <w:iCs/>
          <w:sz w:val="24"/>
          <w:szCs w:val="24"/>
          <w:lang w:val="en-GB"/>
        </w:rPr>
        <w:t>Lawrie-Blum</w:t>
      </w:r>
      <w:r w:rsidR="00DB476E" w:rsidRPr="00A21E4D">
        <w:rPr>
          <w:rFonts w:ascii="Times New Roman" w:hAnsi="Times New Roman" w:cs="Times New Roman"/>
          <w:sz w:val="24"/>
          <w:szCs w:val="24"/>
          <w:lang w:val="en-GB"/>
        </w:rPr>
        <w:t xml:space="preserve"> case, the Court </w:t>
      </w:r>
      <w:r w:rsidRPr="00A21E4D">
        <w:rPr>
          <w:rFonts w:ascii="Times New Roman" w:hAnsi="Times New Roman" w:cs="Times New Roman"/>
          <w:sz w:val="24"/>
          <w:szCs w:val="24"/>
          <w:lang w:val="en-GB"/>
        </w:rPr>
        <w:t>explained that the employment relationship had as essential feature the fact that “for a certain period of time, a person provides services for and under the direction of another person in return for which he receives remuneration”</w:t>
      </w:r>
      <w:r w:rsidRPr="00A21E4D">
        <w:rPr>
          <w:rStyle w:val="Appelnotedebasdep"/>
          <w:rFonts w:ascii="Times New Roman" w:hAnsi="Times New Roman" w:cs="Times New Roman"/>
          <w:sz w:val="24"/>
          <w:szCs w:val="24"/>
          <w:lang w:val="en-GB"/>
        </w:rPr>
        <w:footnoteReference w:id="11"/>
      </w:r>
      <w:r w:rsidRPr="00A21E4D">
        <w:rPr>
          <w:rFonts w:ascii="Times New Roman" w:hAnsi="Times New Roman" w:cs="Times New Roman"/>
          <w:sz w:val="24"/>
          <w:szCs w:val="24"/>
          <w:lang w:val="en-GB"/>
        </w:rPr>
        <w:t>.</w:t>
      </w:r>
    </w:p>
    <w:p w14:paraId="065B44CF" w14:textId="7504E658" w:rsidR="00DD5203" w:rsidRPr="00A21E4D" w:rsidRDefault="00DD5203"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1D5721" w:rsidRPr="00A21E4D">
        <w:rPr>
          <w:rFonts w:ascii="Times New Roman" w:hAnsi="Times New Roman" w:cs="Times New Roman"/>
          <w:sz w:val="24"/>
          <w:szCs w:val="24"/>
          <w:lang w:val="en-GB"/>
        </w:rPr>
        <w:t xml:space="preserve">In the subsequent case-law, the Court retained three criteria </w:t>
      </w:r>
      <w:r w:rsidR="00FC3336" w:rsidRPr="00A21E4D">
        <w:rPr>
          <w:rFonts w:ascii="Times New Roman" w:hAnsi="Times New Roman" w:cs="Times New Roman"/>
          <w:sz w:val="24"/>
          <w:szCs w:val="24"/>
          <w:lang w:val="en-GB"/>
        </w:rPr>
        <w:t>in order to i</w:t>
      </w:r>
      <w:r w:rsidR="00342F9A" w:rsidRPr="00A21E4D">
        <w:rPr>
          <w:rFonts w:ascii="Times New Roman" w:hAnsi="Times New Roman" w:cs="Times New Roman"/>
          <w:sz w:val="24"/>
          <w:szCs w:val="24"/>
          <w:lang w:val="en-GB"/>
        </w:rPr>
        <w:t>dentify a worker: the criterion of work, the criterion of remuneration and finally the most important one</w:t>
      </w:r>
      <w:r w:rsidR="000379EE" w:rsidRPr="00A21E4D">
        <w:rPr>
          <w:rFonts w:ascii="Times New Roman" w:hAnsi="Times New Roman" w:cs="Times New Roman"/>
          <w:sz w:val="24"/>
          <w:szCs w:val="24"/>
          <w:lang w:val="en-GB"/>
        </w:rPr>
        <w:t xml:space="preserve"> in a social law perspective</w:t>
      </w:r>
      <w:r w:rsidR="00342F9A" w:rsidRPr="00A21E4D">
        <w:rPr>
          <w:rFonts w:ascii="Times New Roman" w:hAnsi="Times New Roman" w:cs="Times New Roman"/>
          <w:sz w:val="24"/>
          <w:szCs w:val="24"/>
          <w:lang w:val="en-GB"/>
        </w:rPr>
        <w:t>, the criterion of the link of subordination.</w:t>
      </w:r>
    </w:p>
    <w:p w14:paraId="766B5BF7" w14:textId="1EF73329" w:rsidR="00305E42" w:rsidRPr="00A21E4D" w:rsidRDefault="00305E42" w:rsidP="00BE542D">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Concerning the criterion of work, the analysis of the case law reveals several tendencies.</w:t>
      </w:r>
      <w:r w:rsidR="00E432C0" w:rsidRPr="00A21E4D">
        <w:rPr>
          <w:rFonts w:ascii="Times New Roman" w:hAnsi="Times New Roman" w:cs="Times New Roman"/>
          <w:sz w:val="24"/>
          <w:szCs w:val="24"/>
          <w:lang w:val="en-GB"/>
        </w:rPr>
        <w:t xml:space="preserve"> One </w:t>
      </w:r>
      <w:r w:rsidR="00510F41" w:rsidRPr="00A21E4D">
        <w:rPr>
          <w:rFonts w:ascii="Times New Roman" w:hAnsi="Times New Roman" w:cs="Times New Roman"/>
          <w:sz w:val="24"/>
          <w:szCs w:val="24"/>
          <w:lang w:val="en-GB"/>
        </w:rPr>
        <w:t xml:space="preserve">major </w:t>
      </w:r>
      <w:r w:rsidR="00E432C0" w:rsidRPr="00A21E4D">
        <w:rPr>
          <w:rFonts w:ascii="Times New Roman" w:hAnsi="Times New Roman" w:cs="Times New Roman"/>
          <w:sz w:val="24"/>
          <w:szCs w:val="24"/>
          <w:lang w:val="en-GB"/>
        </w:rPr>
        <w:t>issue</w:t>
      </w:r>
      <w:r w:rsidR="00F73938" w:rsidRPr="00A21E4D">
        <w:rPr>
          <w:rFonts w:ascii="Times New Roman" w:hAnsi="Times New Roman" w:cs="Times New Roman"/>
          <w:sz w:val="24"/>
          <w:szCs w:val="24"/>
          <w:lang w:val="en-GB"/>
        </w:rPr>
        <w:t>,</w:t>
      </w:r>
      <w:r w:rsidR="00E432C0" w:rsidRPr="00A21E4D">
        <w:rPr>
          <w:rFonts w:ascii="Times New Roman" w:hAnsi="Times New Roman" w:cs="Times New Roman"/>
          <w:sz w:val="24"/>
          <w:szCs w:val="24"/>
          <w:lang w:val="en-GB"/>
        </w:rPr>
        <w:t xml:space="preserve"> </w:t>
      </w:r>
      <w:r w:rsidR="00C81BC3" w:rsidRPr="00A21E4D">
        <w:rPr>
          <w:rFonts w:ascii="Times New Roman" w:hAnsi="Times New Roman" w:cs="Times New Roman"/>
          <w:sz w:val="24"/>
          <w:szCs w:val="24"/>
          <w:lang w:val="en-GB"/>
        </w:rPr>
        <w:t xml:space="preserve">frequently at stake, </w:t>
      </w:r>
      <w:r w:rsidR="00F73938" w:rsidRPr="00A21E4D">
        <w:rPr>
          <w:rFonts w:ascii="Times New Roman" w:hAnsi="Times New Roman" w:cs="Times New Roman"/>
          <w:sz w:val="24"/>
          <w:szCs w:val="24"/>
          <w:lang w:val="en-GB"/>
        </w:rPr>
        <w:t xml:space="preserve">relates to </w:t>
      </w:r>
      <w:r w:rsidR="00E432C0" w:rsidRPr="00A21E4D">
        <w:rPr>
          <w:rFonts w:ascii="Times New Roman" w:hAnsi="Times New Roman" w:cs="Times New Roman"/>
          <w:sz w:val="24"/>
          <w:szCs w:val="24"/>
          <w:lang w:val="en-GB"/>
        </w:rPr>
        <w:t xml:space="preserve">the question of public servants. </w:t>
      </w:r>
      <w:r w:rsidR="00F55913" w:rsidRPr="00A21E4D">
        <w:rPr>
          <w:rFonts w:ascii="Times New Roman" w:hAnsi="Times New Roman" w:cs="Times New Roman"/>
          <w:sz w:val="24"/>
          <w:szCs w:val="24"/>
          <w:lang w:val="en-GB"/>
        </w:rPr>
        <w:t>Indeed,</w:t>
      </w:r>
      <w:r w:rsidR="002A4F6C" w:rsidRPr="00A21E4D">
        <w:rPr>
          <w:rFonts w:ascii="Times New Roman" w:hAnsi="Times New Roman" w:cs="Times New Roman"/>
          <w:sz w:val="24"/>
          <w:szCs w:val="24"/>
          <w:lang w:val="en-GB"/>
        </w:rPr>
        <w:t xml:space="preserve"> article 45 (4) of the </w:t>
      </w:r>
      <w:r w:rsidR="00266EA0" w:rsidRPr="00A21E4D">
        <w:rPr>
          <w:rFonts w:ascii="Times New Roman" w:hAnsi="Times New Roman" w:cs="Times New Roman"/>
          <w:sz w:val="24"/>
          <w:szCs w:val="24"/>
          <w:lang w:val="en-GB"/>
        </w:rPr>
        <w:t>TFEU</w:t>
      </w:r>
      <w:r w:rsidR="002A4F6C" w:rsidRPr="00A21E4D">
        <w:rPr>
          <w:rFonts w:ascii="Times New Roman" w:hAnsi="Times New Roman" w:cs="Times New Roman"/>
          <w:sz w:val="24"/>
          <w:szCs w:val="24"/>
          <w:lang w:val="en-GB"/>
        </w:rPr>
        <w:t xml:space="preserve"> excludes employment in the public service from its scope of application.</w:t>
      </w:r>
      <w:r w:rsidR="00C81BC3" w:rsidRPr="00A21E4D">
        <w:rPr>
          <w:rFonts w:ascii="Times New Roman" w:hAnsi="Times New Roman" w:cs="Times New Roman"/>
          <w:sz w:val="24"/>
          <w:szCs w:val="24"/>
          <w:lang w:val="en-GB"/>
        </w:rPr>
        <w:t xml:space="preserve"> This concept</w:t>
      </w:r>
      <w:r w:rsidR="005D0752" w:rsidRPr="00A21E4D">
        <w:rPr>
          <w:rFonts w:ascii="Times New Roman" w:hAnsi="Times New Roman" w:cs="Times New Roman"/>
          <w:sz w:val="24"/>
          <w:szCs w:val="24"/>
          <w:lang w:val="en-GB"/>
        </w:rPr>
        <w:t xml:space="preserve"> r</w:t>
      </w:r>
      <w:r w:rsidR="00C81BC3" w:rsidRPr="00A21E4D">
        <w:rPr>
          <w:rFonts w:ascii="Times New Roman" w:hAnsi="Times New Roman" w:cs="Times New Roman"/>
          <w:sz w:val="24"/>
          <w:szCs w:val="24"/>
          <w:lang w:val="en-GB"/>
        </w:rPr>
        <w:t xml:space="preserve">eceives a uniform interpretation </w:t>
      </w:r>
      <w:r w:rsidR="005D0752" w:rsidRPr="00A21E4D">
        <w:rPr>
          <w:rFonts w:ascii="Times New Roman" w:hAnsi="Times New Roman" w:cs="Times New Roman"/>
          <w:sz w:val="24"/>
          <w:szCs w:val="24"/>
          <w:lang w:val="en-GB"/>
        </w:rPr>
        <w:t>and requires a special relationship of allegiance to the State and reciprocity of rights and duties which form the foundation of the bond of nationality, linked to the exercise of powers conferred by public law and duties designed to safeguard the general interest of the State, which receives a restrictive interpretation.</w:t>
      </w:r>
      <w:r w:rsidR="005D0752" w:rsidRPr="00A21E4D">
        <w:rPr>
          <w:rStyle w:val="Appelnotedebasdep"/>
          <w:rFonts w:ascii="Times New Roman" w:hAnsi="Times New Roman" w:cs="Times New Roman"/>
          <w:sz w:val="24"/>
          <w:szCs w:val="24"/>
          <w:lang w:val="en-GB"/>
        </w:rPr>
        <w:footnoteReference w:id="12"/>
      </w:r>
      <w:r w:rsidR="00815C69" w:rsidRPr="00A21E4D">
        <w:rPr>
          <w:rFonts w:ascii="Times New Roman" w:hAnsi="Times New Roman" w:cs="Times New Roman"/>
          <w:sz w:val="24"/>
          <w:szCs w:val="24"/>
          <w:lang w:val="en-GB"/>
        </w:rPr>
        <w:t>Another concern is the one of</w:t>
      </w:r>
      <w:r w:rsidR="00C81BC3" w:rsidRPr="00A21E4D">
        <w:rPr>
          <w:rFonts w:ascii="Times New Roman" w:hAnsi="Times New Roman" w:cs="Times New Roman"/>
          <w:sz w:val="24"/>
          <w:szCs w:val="24"/>
          <w:lang w:val="en-GB"/>
        </w:rPr>
        <w:t xml:space="preserve"> genuine and effective activity which requires a</w:t>
      </w:r>
      <w:r w:rsidR="00041DC8" w:rsidRPr="00A21E4D">
        <w:rPr>
          <w:rFonts w:ascii="Times New Roman" w:hAnsi="Times New Roman" w:cs="Times New Roman"/>
          <w:sz w:val="24"/>
          <w:szCs w:val="24"/>
          <w:lang w:val="en-GB"/>
        </w:rPr>
        <w:t xml:space="preserve"> global analysis</w:t>
      </w:r>
      <w:r w:rsidR="00340189" w:rsidRPr="00A21E4D">
        <w:rPr>
          <w:rFonts w:ascii="Times New Roman" w:hAnsi="Times New Roman" w:cs="Times New Roman"/>
          <w:sz w:val="24"/>
          <w:szCs w:val="24"/>
          <w:lang w:val="en-GB"/>
        </w:rPr>
        <w:t xml:space="preserve">, </w:t>
      </w:r>
      <w:r w:rsidR="00041DC8" w:rsidRPr="00A21E4D">
        <w:rPr>
          <w:rFonts w:ascii="Times New Roman" w:hAnsi="Times New Roman" w:cs="Times New Roman"/>
          <w:sz w:val="24"/>
          <w:szCs w:val="24"/>
          <w:lang w:val="en-GB"/>
        </w:rPr>
        <w:t xml:space="preserve">based on objective </w:t>
      </w:r>
      <w:r w:rsidR="0099003F" w:rsidRPr="00A21E4D">
        <w:rPr>
          <w:rFonts w:ascii="Times New Roman" w:hAnsi="Times New Roman" w:cs="Times New Roman"/>
          <w:sz w:val="24"/>
          <w:szCs w:val="24"/>
          <w:lang w:val="en-GB"/>
        </w:rPr>
        <w:t>criteria</w:t>
      </w:r>
      <w:r w:rsidR="00041DC8" w:rsidRPr="00A21E4D">
        <w:rPr>
          <w:rStyle w:val="Appelnotedebasdep"/>
          <w:rFonts w:ascii="Times New Roman" w:hAnsi="Times New Roman" w:cs="Times New Roman"/>
          <w:sz w:val="24"/>
          <w:szCs w:val="24"/>
          <w:lang w:val="en-GB"/>
        </w:rPr>
        <w:footnoteReference w:id="13"/>
      </w:r>
      <w:r w:rsidR="00041DC8" w:rsidRPr="00A21E4D">
        <w:rPr>
          <w:rFonts w:ascii="Times New Roman" w:hAnsi="Times New Roman" w:cs="Times New Roman"/>
          <w:sz w:val="24"/>
          <w:szCs w:val="24"/>
          <w:lang w:val="en-GB"/>
        </w:rPr>
        <w:t>.</w:t>
      </w:r>
      <w:r w:rsidR="00815C69" w:rsidRPr="00A21E4D">
        <w:rPr>
          <w:rFonts w:ascii="Times New Roman" w:hAnsi="Times New Roman" w:cs="Times New Roman"/>
          <w:sz w:val="24"/>
          <w:szCs w:val="24"/>
          <w:lang w:val="en-GB"/>
        </w:rPr>
        <w:t xml:space="preserve"> </w:t>
      </w:r>
      <w:r w:rsidR="007D0CDB" w:rsidRPr="00A21E4D">
        <w:rPr>
          <w:rFonts w:ascii="Times New Roman" w:hAnsi="Times New Roman" w:cs="Times New Roman"/>
          <w:sz w:val="24"/>
          <w:szCs w:val="24"/>
          <w:lang w:val="en-GB"/>
        </w:rPr>
        <w:t xml:space="preserve"> Following</w:t>
      </w:r>
      <w:r w:rsidR="00ED07C7" w:rsidRPr="00A21E4D">
        <w:rPr>
          <w:rFonts w:ascii="Times New Roman" w:hAnsi="Times New Roman" w:cs="Times New Roman"/>
          <w:sz w:val="24"/>
          <w:szCs w:val="24"/>
          <w:lang w:val="en-GB"/>
        </w:rPr>
        <w:t xml:space="preserve"> the </w:t>
      </w:r>
      <w:r w:rsidR="00ED07C7" w:rsidRPr="00A21E4D">
        <w:rPr>
          <w:rFonts w:ascii="Times New Roman" w:hAnsi="Times New Roman" w:cs="Times New Roman"/>
          <w:i/>
          <w:sz w:val="24"/>
          <w:szCs w:val="24"/>
          <w:lang w:val="en-GB"/>
        </w:rPr>
        <w:t xml:space="preserve">Bettray </w:t>
      </w:r>
      <w:r w:rsidR="00ED07C7" w:rsidRPr="00A21E4D">
        <w:rPr>
          <w:rFonts w:ascii="Times New Roman" w:hAnsi="Times New Roman" w:cs="Times New Roman"/>
          <w:sz w:val="24"/>
          <w:szCs w:val="24"/>
          <w:lang w:val="en-GB"/>
        </w:rPr>
        <w:t>case</w:t>
      </w:r>
      <w:r w:rsidR="00ED07C7" w:rsidRPr="00A21E4D">
        <w:rPr>
          <w:rStyle w:val="Appelnotedebasdep"/>
          <w:rFonts w:ascii="Times New Roman" w:hAnsi="Times New Roman" w:cs="Times New Roman"/>
          <w:sz w:val="24"/>
          <w:szCs w:val="24"/>
          <w:lang w:val="en-GB"/>
        </w:rPr>
        <w:footnoteReference w:id="14"/>
      </w:r>
      <w:r w:rsidR="00ED07C7" w:rsidRPr="00A21E4D">
        <w:rPr>
          <w:rFonts w:ascii="Times New Roman" w:hAnsi="Times New Roman" w:cs="Times New Roman"/>
          <w:sz w:val="24"/>
          <w:szCs w:val="24"/>
          <w:lang w:val="en-GB"/>
        </w:rPr>
        <w:t xml:space="preserve">, this activity must be an economic activity, </w:t>
      </w:r>
      <w:r w:rsidR="00C81BC3" w:rsidRPr="00A21E4D">
        <w:rPr>
          <w:rFonts w:ascii="Times New Roman" w:hAnsi="Times New Roman" w:cs="Times New Roman"/>
          <w:sz w:val="24"/>
          <w:szCs w:val="24"/>
          <w:lang w:val="en-GB"/>
        </w:rPr>
        <w:t>and not</w:t>
      </w:r>
      <w:r w:rsidR="00ED07C7" w:rsidRPr="00A21E4D">
        <w:rPr>
          <w:rFonts w:ascii="Times New Roman" w:hAnsi="Times New Roman" w:cs="Times New Roman"/>
          <w:sz w:val="24"/>
          <w:szCs w:val="24"/>
          <w:lang w:val="en-GB"/>
        </w:rPr>
        <w:t xml:space="preserve"> merely a means of rehabilitation or reintegration adapted specifically to the capacities of the person employed in order to get it back to “normal” employment</w:t>
      </w:r>
      <w:r w:rsidR="00BE542D" w:rsidRPr="00A21E4D">
        <w:rPr>
          <w:rFonts w:ascii="Times New Roman" w:hAnsi="Times New Roman" w:cs="Times New Roman"/>
          <w:sz w:val="24"/>
          <w:szCs w:val="24"/>
          <w:lang w:val="en-GB"/>
        </w:rPr>
        <w:t>, like an activity specifically designed for a drug addict</w:t>
      </w:r>
      <w:r w:rsidR="00041DC8" w:rsidRPr="00A21E4D">
        <w:rPr>
          <w:rFonts w:ascii="Times New Roman" w:hAnsi="Times New Roman" w:cs="Times New Roman"/>
          <w:sz w:val="24"/>
          <w:szCs w:val="24"/>
          <w:lang w:val="en-GB"/>
        </w:rPr>
        <w:t xml:space="preserve">. In the later </w:t>
      </w:r>
      <w:r w:rsidR="00041DC8" w:rsidRPr="00A21E4D">
        <w:rPr>
          <w:rFonts w:ascii="Times New Roman" w:hAnsi="Times New Roman" w:cs="Times New Roman"/>
          <w:i/>
          <w:sz w:val="24"/>
          <w:szCs w:val="24"/>
          <w:lang w:val="en-GB"/>
        </w:rPr>
        <w:t>Trojani</w:t>
      </w:r>
      <w:r w:rsidR="00041DC8" w:rsidRPr="00A21E4D">
        <w:rPr>
          <w:rStyle w:val="Appelnotedebasdep"/>
          <w:rFonts w:ascii="Times New Roman" w:hAnsi="Times New Roman" w:cs="Times New Roman"/>
          <w:i/>
          <w:sz w:val="24"/>
          <w:szCs w:val="24"/>
          <w:lang w:val="en-GB"/>
        </w:rPr>
        <w:footnoteReference w:id="15"/>
      </w:r>
      <w:r w:rsidR="00041DC8" w:rsidRPr="00A21E4D">
        <w:rPr>
          <w:rFonts w:ascii="Times New Roman" w:hAnsi="Times New Roman" w:cs="Times New Roman"/>
          <w:sz w:val="24"/>
          <w:szCs w:val="24"/>
          <w:lang w:val="en-GB"/>
        </w:rPr>
        <w:t xml:space="preserve"> case, the Court </w:t>
      </w:r>
      <w:r w:rsidR="00F55913" w:rsidRPr="00A21E4D">
        <w:rPr>
          <w:rFonts w:ascii="Times New Roman" w:hAnsi="Times New Roman" w:cs="Times New Roman"/>
          <w:sz w:val="24"/>
          <w:szCs w:val="24"/>
          <w:lang w:val="en-GB"/>
        </w:rPr>
        <w:t>did not exclude</w:t>
      </w:r>
      <w:r w:rsidR="00041DC8" w:rsidRPr="00A21E4D">
        <w:rPr>
          <w:rFonts w:ascii="Times New Roman" w:hAnsi="Times New Roman" w:cs="Times New Roman"/>
          <w:sz w:val="24"/>
          <w:szCs w:val="24"/>
          <w:lang w:val="en-GB"/>
        </w:rPr>
        <w:t xml:space="preserve"> </w:t>
      </w:r>
      <w:r w:rsidR="00041DC8" w:rsidRPr="00A21E4D">
        <w:rPr>
          <w:rFonts w:ascii="Times New Roman" w:hAnsi="Times New Roman" w:cs="Times New Roman"/>
          <w:i/>
          <w:sz w:val="24"/>
          <w:szCs w:val="24"/>
          <w:lang w:val="en-GB"/>
        </w:rPr>
        <w:t>per se</w:t>
      </w:r>
      <w:r w:rsidR="00041DC8" w:rsidRPr="00A21E4D">
        <w:rPr>
          <w:rFonts w:ascii="Times New Roman" w:hAnsi="Times New Roman" w:cs="Times New Roman"/>
          <w:sz w:val="24"/>
          <w:szCs w:val="24"/>
          <w:lang w:val="en-GB"/>
        </w:rPr>
        <w:t xml:space="preserve"> a reintegration programme of the Salvation Army</w:t>
      </w:r>
      <w:r w:rsidR="00F55913" w:rsidRPr="00A21E4D">
        <w:rPr>
          <w:rFonts w:ascii="Times New Roman" w:hAnsi="Times New Roman" w:cs="Times New Roman"/>
          <w:sz w:val="24"/>
          <w:szCs w:val="24"/>
          <w:lang w:val="en-GB"/>
        </w:rPr>
        <w:t xml:space="preserve"> and left the question to the referring judge</w:t>
      </w:r>
      <w:r w:rsidR="00041DC8" w:rsidRPr="00A21E4D">
        <w:rPr>
          <w:rFonts w:ascii="Times New Roman" w:hAnsi="Times New Roman" w:cs="Times New Roman"/>
          <w:sz w:val="24"/>
          <w:szCs w:val="24"/>
          <w:lang w:val="en-GB"/>
        </w:rPr>
        <w:t>.</w:t>
      </w:r>
      <w:r w:rsidR="001D5721" w:rsidRPr="00A21E4D">
        <w:rPr>
          <w:rFonts w:ascii="Times New Roman" w:hAnsi="Times New Roman" w:cs="Times New Roman"/>
          <w:sz w:val="24"/>
          <w:szCs w:val="24"/>
          <w:lang w:val="en-GB"/>
        </w:rPr>
        <w:t xml:space="preserve"> O</w:t>
      </w:r>
      <w:r w:rsidR="00110B1A" w:rsidRPr="00A21E4D">
        <w:rPr>
          <w:rFonts w:ascii="Times New Roman" w:hAnsi="Times New Roman" w:cs="Times New Roman"/>
          <w:sz w:val="24"/>
          <w:szCs w:val="24"/>
          <w:lang w:val="en-GB"/>
        </w:rPr>
        <w:t>ther example</w:t>
      </w:r>
      <w:r w:rsidR="0007196E" w:rsidRPr="00A21E4D">
        <w:rPr>
          <w:rFonts w:ascii="Times New Roman" w:hAnsi="Times New Roman" w:cs="Times New Roman"/>
          <w:sz w:val="24"/>
          <w:szCs w:val="24"/>
          <w:lang w:val="en-GB"/>
        </w:rPr>
        <w:t>s</w:t>
      </w:r>
      <w:r w:rsidR="00110B1A" w:rsidRPr="00A21E4D">
        <w:rPr>
          <w:rFonts w:ascii="Times New Roman" w:hAnsi="Times New Roman" w:cs="Times New Roman"/>
          <w:sz w:val="24"/>
          <w:szCs w:val="24"/>
          <w:lang w:val="en-GB"/>
        </w:rPr>
        <w:t xml:space="preserve"> </w:t>
      </w:r>
      <w:r w:rsidR="001D5721" w:rsidRPr="00A21E4D">
        <w:rPr>
          <w:rFonts w:ascii="Times New Roman" w:hAnsi="Times New Roman" w:cs="Times New Roman"/>
          <w:sz w:val="24"/>
          <w:szCs w:val="24"/>
          <w:lang w:val="en-GB"/>
        </w:rPr>
        <w:t>are</w:t>
      </w:r>
      <w:r w:rsidR="00110B1A" w:rsidRPr="00A21E4D">
        <w:rPr>
          <w:rFonts w:ascii="Times New Roman" w:hAnsi="Times New Roman" w:cs="Times New Roman"/>
          <w:sz w:val="24"/>
          <w:szCs w:val="24"/>
          <w:lang w:val="en-GB"/>
        </w:rPr>
        <w:t xml:space="preserve"> the case</w:t>
      </w:r>
      <w:r w:rsidR="001D5721" w:rsidRPr="00A21E4D">
        <w:rPr>
          <w:rFonts w:ascii="Times New Roman" w:hAnsi="Times New Roman" w:cs="Times New Roman"/>
          <w:sz w:val="24"/>
          <w:szCs w:val="24"/>
          <w:lang w:val="en-GB"/>
        </w:rPr>
        <w:t>s</w:t>
      </w:r>
      <w:r w:rsidR="00110B1A" w:rsidRPr="00A21E4D">
        <w:rPr>
          <w:rFonts w:ascii="Times New Roman" w:hAnsi="Times New Roman" w:cs="Times New Roman"/>
          <w:sz w:val="24"/>
          <w:szCs w:val="24"/>
          <w:lang w:val="en-GB"/>
        </w:rPr>
        <w:t xml:space="preserve"> of professional sport players</w:t>
      </w:r>
      <w:r w:rsidR="001D5721" w:rsidRPr="00A21E4D">
        <w:rPr>
          <w:rStyle w:val="Appelnotedebasdep"/>
          <w:rFonts w:ascii="Times New Roman" w:hAnsi="Times New Roman" w:cs="Times New Roman"/>
          <w:sz w:val="24"/>
          <w:szCs w:val="24"/>
          <w:lang w:val="en-GB"/>
        </w:rPr>
        <w:footnoteReference w:id="16"/>
      </w:r>
      <w:r w:rsidR="0007196E" w:rsidRPr="00A21E4D">
        <w:rPr>
          <w:rFonts w:ascii="Times New Roman" w:hAnsi="Times New Roman" w:cs="Times New Roman"/>
          <w:sz w:val="24"/>
          <w:szCs w:val="24"/>
          <w:lang w:val="en-GB"/>
        </w:rPr>
        <w:t>,</w:t>
      </w:r>
      <w:r w:rsidR="001D5721" w:rsidRPr="00A21E4D">
        <w:rPr>
          <w:rFonts w:ascii="Times New Roman" w:hAnsi="Times New Roman" w:cs="Times New Roman"/>
          <w:sz w:val="24"/>
          <w:szCs w:val="24"/>
          <w:lang w:val="en-GB"/>
        </w:rPr>
        <w:t xml:space="preserve"> trainees</w:t>
      </w:r>
      <w:r w:rsidR="001D5721" w:rsidRPr="00A21E4D">
        <w:rPr>
          <w:rStyle w:val="Appelnotedebasdep"/>
          <w:rFonts w:ascii="Times New Roman" w:hAnsi="Times New Roman" w:cs="Times New Roman"/>
          <w:sz w:val="24"/>
          <w:szCs w:val="24"/>
          <w:lang w:val="en-GB"/>
        </w:rPr>
        <w:footnoteReference w:id="17"/>
      </w:r>
      <w:r w:rsidR="00110B1A" w:rsidRPr="00A21E4D">
        <w:rPr>
          <w:rFonts w:ascii="Times New Roman" w:hAnsi="Times New Roman" w:cs="Times New Roman"/>
          <w:sz w:val="24"/>
          <w:szCs w:val="24"/>
          <w:lang w:val="en-GB"/>
        </w:rPr>
        <w:t xml:space="preserve"> </w:t>
      </w:r>
      <w:r w:rsidR="0007196E" w:rsidRPr="00A21E4D">
        <w:rPr>
          <w:rFonts w:ascii="Times New Roman" w:hAnsi="Times New Roman" w:cs="Times New Roman"/>
          <w:sz w:val="24"/>
          <w:szCs w:val="24"/>
          <w:lang w:val="en-GB"/>
        </w:rPr>
        <w:t>and PhD students</w:t>
      </w:r>
      <w:r w:rsidR="0007196E" w:rsidRPr="00A21E4D">
        <w:rPr>
          <w:rStyle w:val="Appelnotedebasdep"/>
          <w:rFonts w:ascii="Times New Roman" w:hAnsi="Times New Roman" w:cs="Times New Roman"/>
          <w:sz w:val="24"/>
          <w:szCs w:val="24"/>
          <w:lang w:val="en-GB"/>
        </w:rPr>
        <w:footnoteReference w:id="18"/>
      </w:r>
      <w:r w:rsidR="0007196E" w:rsidRPr="00A21E4D">
        <w:rPr>
          <w:rFonts w:ascii="Times New Roman" w:hAnsi="Times New Roman" w:cs="Times New Roman"/>
          <w:sz w:val="24"/>
          <w:szCs w:val="24"/>
          <w:lang w:val="en-GB"/>
        </w:rPr>
        <w:t xml:space="preserve"> </w:t>
      </w:r>
      <w:r w:rsidR="00110B1A" w:rsidRPr="00A21E4D">
        <w:rPr>
          <w:rFonts w:ascii="Times New Roman" w:hAnsi="Times New Roman" w:cs="Times New Roman"/>
          <w:sz w:val="24"/>
          <w:szCs w:val="24"/>
          <w:lang w:val="en-GB"/>
        </w:rPr>
        <w:t>where the Court admitted that such economic activity existed</w:t>
      </w:r>
      <w:r w:rsidR="009E41E4" w:rsidRPr="00A21E4D">
        <w:rPr>
          <w:rFonts w:ascii="Times New Roman" w:hAnsi="Times New Roman" w:cs="Times New Roman"/>
          <w:sz w:val="24"/>
          <w:szCs w:val="24"/>
          <w:lang w:val="en-GB"/>
        </w:rPr>
        <w:t xml:space="preserve">. </w:t>
      </w:r>
      <w:r w:rsidR="00F37CB7" w:rsidRPr="00A21E4D">
        <w:rPr>
          <w:rFonts w:ascii="Times New Roman" w:hAnsi="Times New Roman" w:cs="Times New Roman"/>
          <w:sz w:val="24"/>
          <w:szCs w:val="24"/>
          <w:lang w:val="en-GB"/>
        </w:rPr>
        <w:t xml:space="preserve">Thirdly, diverging from the traditional views of </w:t>
      </w:r>
      <w:r w:rsidR="00394388" w:rsidRPr="00A21E4D">
        <w:rPr>
          <w:rFonts w:ascii="Times New Roman" w:hAnsi="Times New Roman" w:cs="Times New Roman"/>
          <w:sz w:val="24"/>
          <w:szCs w:val="24"/>
          <w:lang w:val="en-GB"/>
        </w:rPr>
        <w:t xml:space="preserve">national </w:t>
      </w:r>
      <w:r w:rsidR="00F37CB7" w:rsidRPr="00A21E4D">
        <w:rPr>
          <w:rFonts w:ascii="Times New Roman" w:hAnsi="Times New Roman" w:cs="Times New Roman"/>
          <w:sz w:val="24"/>
          <w:szCs w:val="24"/>
          <w:lang w:val="en-GB"/>
        </w:rPr>
        <w:t>labour l</w:t>
      </w:r>
      <w:r w:rsidR="00A217CD" w:rsidRPr="00A21E4D">
        <w:rPr>
          <w:rFonts w:ascii="Times New Roman" w:hAnsi="Times New Roman" w:cs="Times New Roman"/>
          <w:sz w:val="24"/>
          <w:szCs w:val="24"/>
          <w:lang w:val="en-GB"/>
        </w:rPr>
        <w:t xml:space="preserve">aw, article 45 (3) of the </w:t>
      </w:r>
      <w:r w:rsidR="00266EA0" w:rsidRPr="00A21E4D">
        <w:rPr>
          <w:rFonts w:ascii="Times New Roman" w:hAnsi="Times New Roman" w:cs="Times New Roman"/>
          <w:sz w:val="24"/>
          <w:szCs w:val="24"/>
          <w:lang w:val="en-GB"/>
        </w:rPr>
        <w:t>TFEU</w:t>
      </w:r>
      <w:r w:rsidR="00A217CD" w:rsidRPr="00A21E4D">
        <w:rPr>
          <w:rFonts w:ascii="Times New Roman" w:hAnsi="Times New Roman" w:cs="Times New Roman"/>
          <w:sz w:val="24"/>
          <w:szCs w:val="24"/>
          <w:lang w:val="en-GB"/>
        </w:rPr>
        <w:t xml:space="preserve"> provides that a</w:t>
      </w:r>
      <w:r w:rsidR="00F37CB7" w:rsidRPr="00A21E4D">
        <w:rPr>
          <w:rFonts w:ascii="Times New Roman" w:hAnsi="Times New Roman" w:cs="Times New Roman"/>
          <w:sz w:val="24"/>
          <w:szCs w:val="24"/>
          <w:lang w:val="en-GB"/>
        </w:rPr>
        <w:t xml:space="preserve"> worker may </w:t>
      </w:r>
      <w:r w:rsidR="00996C4E" w:rsidRPr="00A21E4D">
        <w:rPr>
          <w:rFonts w:ascii="Times New Roman" w:hAnsi="Times New Roman" w:cs="Times New Roman"/>
          <w:sz w:val="24"/>
          <w:szCs w:val="24"/>
          <w:lang w:val="en-GB"/>
        </w:rPr>
        <w:t xml:space="preserve">retain </w:t>
      </w:r>
      <w:r w:rsidR="00F37CB7" w:rsidRPr="00A21E4D">
        <w:rPr>
          <w:rFonts w:ascii="Times New Roman" w:hAnsi="Times New Roman" w:cs="Times New Roman"/>
          <w:sz w:val="24"/>
          <w:szCs w:val="24"/>
          <w:lang w:val="en-GB"/>
        </w:rPr>
        <w:t>this quality after the end of the employment relationship and still benefit from the free movement of workers</w:t>
      </w:r>
      <w:r w:rsidR="00A217CD" w:rsidRPr="00A21E4D">
        <w:rPr>
          <w:rFonts w:ascii="Times New Roman" w:hAnsi="Times New Roman" w:cs="Times New Roman"/>
          <w:sz w:val="24"/>
          <w:szCs w:val="24"/>
          <w:lang w:val="en-GB"/>
        </w:rPr>
        <w:t xml:space="preserve">, </w:t>
      </w:r>
      <w:r w:rsidR="00CF7870" w:rsidRPr="00A21E4D">
        <w:rPr>
          <w:rFonts w:ascii="Times New Roman" w:hAnsi="Times New Roman" w:cs="Times New Roman"/>
          <w:sz w:val="24"/>
          <w:szCs w:val="24"/>
          <w:lang w:val="en-GB"/>
        </w:rPr>
        <w:t xml:space="preserve">a </w:t>
      </w:r>
      <w:r w:rsidR="00A217CD" w:rsidRPr="00A21E4D">
        <w:rPr>
          <w:rFonts w:ascii="Times New Roman" w:hAnsi="Times New Roman" w:cs="Times New Roman"/>
          <w:sz w:val="24"/>
          <w:szCs w:val="24"/>
          <w:lang w:val="en-GB"/>
        </w:rPr>
        <w:t>right which is fleshed out by Regulation No 1612/68</w:t>
      </w:r>
      <w:r w:rsidR="00F37CB7" w:rsidRPr="00A21E4D">
        <w:rPr>
          <w:rFonts w:ascii="Times New Roman" w:hAnsi="Times New Roman" w:cs="Times New Roman"/>
          <w:sz w:val="24"/>
          <w:szCs w:val="24"/>
          <w:lang w:val="en-GB"/>
        </w:rPr>
        <w:t xml:space="preserve">. </w:t>
      </w:r>
      <w:r w:rsidR="00A217CD" w:rsidRPr="00A21E4D">
        <w:rPr>
          <w:rFonts w:ascii="Times New Roman" w:hAnsi="Times New Roman" w:cs="Times New Roman"/>
          <w:sz w:val="24"/>
          <w:szCs w:val="24"/>
          <w:lang w:val="en-GB"/>
        </w:rPr>
        <w:t xml:space="preserve">It was up to the Court to determine how far this extension goes. For instance, if the worker loses her job and intend to attend studies at a university, such studies must lead to a professional qualification directly linked to </w:t>
      </w:r>
      <w:r w:rsidR="00176A26" w:rsidRPr="00A21E4D">
        <w:rPr>
          <w:rFonts w:ascii="Times New Roman" w:hAnsi="Times New Roman" w:cs="Times New Roman"/>
          <w:sz w:val="24"/>
          <w:szCs w:val="24"/>
          <w:lang w:val="en-GB"/>
        </w:rPr>
        <w:t xml:space="preserve">the </w:t>
      </w:r>
      <w:r w:rsidR="00A217CD" w:rsidRPr="00A21E4D">
        <w:rPr>
          <w:rFonts w:ascii="Times New Roman" w:hAnsi="Times New Roman" w:cs="Times New Roman"/>
          <w:sz w:val="24"/>
          <w:szCs w:val="24"/>
          <w:lang w:val="en-GB"/>
        </w:rPr>
        <w:t>previous job</w:t>
      </w:r>
      <w:r w:rsidR="00A217CD" w:rsidRPr="00A21E4D">
        <w:rPr>
          <w:rStyle w:val="Appelnotedebasdep"/>
          <w:rFonts w:ascii="Times New Roman" w:hAnsi="Times New Roman" w:cs="Times New Roman"/>
          <w:sz w:val="24"/>
          <w:szCs w:val="24"/>
          <w:lang w:val="en-GB"/>
        </w:rPr>
        <w:footnoteReference w:id="19"/>
      </w:r>
      <w:r w:rsidR="00A217CD" w:rsidRPr="00A21E4D">
        <w:rPr>
          <w:rFonts w:ascii="Times New Roman" w:hAnsi="Times New Roman" w:cs="Times New Roman"/>
          <w:sz w:val="24"/>
          <w:szCs w:val="24"/>
          <w:lang w:val="en-GB"/>
        </w:rPr>
        <w:t>.</w:t>
      </w:r>
      <w:r w:rsidR="00C65692" w:rsidRPr="00A21E4D">
        <w:rPr>
          <w:rFonts w:ascii="Times New Roman" w:hAnsi="Times New Roman" w:cs="Times New Roman"/>
          <w:sz w:val="24"/>
          <w:szCs w:val="24"/>
          <w:lang w:val="en-GB"/>
        </w:rPr>
        <w:t xml:space="preserve"> </w:t>
      </w:r>
      <w:r w:rsidR="00FA6E19" w:rsidRPr="00A21E4D">
        <w:rPr>
          <w:rFonts w:ascii="Times New Roman" w:hAnsi="Times New Roman" w:cs="Times New Roman"/>
          <w:sz w:val="24"/>
          <w:szCs w:val="24"/>
          <w:lang w:val="en-GB"/>
        </w:rPr>
        <w:t>Such link with a previous activity is</w:t>
      </w:r>
      <w:r w:rsidR="00C65692" w:rsidRPr="00A21E4D">
        <w:rPr>
          <w:rFonts w:ascii="Times New Roman" w:hAnsi="Times New Roman" w:cs="Times New Roman"/>
          <w:sz w:val="24"/>
          <w:szCs w:val="24"/>
          <w:lang w:val="en-GB"/>
        </w:rPr>
        <w:t xml:space="preserve"> although</w:t>
      </w:r>
      <w:r w:rsidR="00FA6E19" w:rsidRPr="00A21E4D">
        <w:rPr>
          <w:rFonts w:ascii="Times New Roman" w:hAnsi="Times New Roman" w:cs="Times New Roman"/>
          <w:sz w:val="24"/>
          <w:szCs w:val="24"/>
          <w:lang w:val="en-GB"/>
        </w:rPr>
        <w:t xml:space="preserve"> not required</w:t>
      </w:r>
      <w:r w:rsidR="00C65692" w:rsidRPr="00A21E4D">
        <w:rPr>
          <w:rFonts w:ascii="Times New Roman" w:hAnsi="Times New Roman" w:cs="Times New Roman"/>
          <w:sz w:val="24"/>
          <w:szCs w:val="24"/>
          <w:lang w:val="en-GB"/>
        </w:rPr>
        <w:t xml:space="preserve"> if the migrant worker which starts such studies became involuntary unemployed beforehand</w:t>
      </w:r>
      <w:r w:rsidR="00C65692" w:rsidRPr="00A21E4D">
        <w:rPr>
          <w:rStyle w:val="Appelnotedebasdep"/>
          <w:rFonts w:ascii="Times New Roman" w:hAnsi="Times New Roman" w:cs="Times New Roman"/>
          <w:sz w:val="24"/>
          <w:szCs w:val="24"/>
          <w:lang w:val="en-GB"/>
        </w:rPr>
        <w:footnoteReference w:id="20"/>
      </w:r>
      <w:r w:rsidR="00FA6E19" w:rsidRPr="00A21E4D">
        <w:rPr>
          <w:rFonts w:ascii="Times New Roman" w:hAnsi="Times New Roman" w:cs="Times New Roman"/>
          <w:sz w:val="24"/>
          <w:szCs w:val="24"/>
          <w:lang w:val="en-GB"/>
        </w:rPr>
        <w:t>.</w:t>
      </w:r>
      <w:r w:rsidR="00C65692" w:rsidRPr="00A21E4D">
        <w:rPr>
          <w:rFonts w:ascii="Times New Roman" w:hAnsi="Times New Roman" w:cs="Times New Roman"/>
          <w:sz w:val="24"/>
          <w:szCs w:val="24"/>
          <w:lang w:val="en-GB"/>
        </w:rPr>
        <w:t xml:space="preserve"> </w:t>
      </w:r>
      <w:r w:rsidR="00FF1489" w:rsidRPr="00A21E4D">
        <w:rPr>
          <w:rFonts w:ascii="Times New Roman" w:hAnsi="Times New Roman" w:cs="Times New Roman"/>
          <w:sz w:val="24"/>
          <w:szCs w:val="24"/>
          <w:lang w:val="en-GB"/>
        </w:rPr>
        <w:t>This does not mean</w:t>
      </w:r>
      <w:r w:rsidR="00FA6E19" w:rsidRPr="00A21E4D">
        <w:rPr>
          <w:rFonts w:ascii="Times New Roman" w:hAnsi="Times New Roman" w:cs="Times New Roman"/>
          <w:sz w:val="24"/>
          <w:szCs w:val="24"/>
          <w:lang w:val="en-GB"/>
        </w:rPr>
        <w:t xml:space="preserve"> a person can move to another country, </w:t>
      </w:r>
      <w:r w:rsidR="00FF1489" w:rsidRPr="00A21E4D">
        <w:rPr>
          <w:rFonts w:ascii="Times New Roman" w:hAnsi="Times New Roman" w:cs="Times New Roman"/>
          <w:sz w:val="24"/>
          <w:szCs w:val="24"/>
          <w:lang w:val="en-GB"/>
        </w:rPr>
        <w:t>exercise a professional activity there for only a short period of time, then attend studies with the sole intention to benefit thereby from the protection</w:t>
      </w:r>
      <w:r w:rsidR="00C65692" w:rsidRPr="00A21E4D">
        <w:rPr>
          <w:rStyle w:val="Appelnotedebasdep"/>
          <w:rFonts w:ascii="Times New Roman" w:hAnsi="Times New Roman" w:cs="Times New Roman"/>
          <w:sz w:val="24"/>
          <w:szCs w:val="24"/>
          <w:lang w:val="en-GB"/>
        </w:rPr>
        <w:footnoteReference w:id="21"/>
      </w:r>
      <w:r w:rsidR="00C65692" w:rsidRPr="00A21E4D">
        <w:rPr>
          <w:rFonts w:ascii="Times New Roman" w:hAnsi="Times New Roman" w:cs="Times New Roman"/>
          <w:sz w:val="24"/>
          <w:szCs w:val="24"/>
          <w:lang w:val="en-GB"/>
        </w:rPr>
        <w:t>.</w:t>
      </w:r>
      <w:r w:rsidR="009E41E4" w:rsidRPr="00A21E4D">
        <w:rPr>
          <w:rFonts w:ascii="Times New Roman" w:hAnsi="Times New Roman" w:cs="Times New Roman"/>
          <w:sz w:val="24"/>
          <w:szCs w:val="24"/>
          <w:lang w:val="en-GB"/>
        </w:rPr>
        <w:t xml:space="preserve"> A woman stopping her activities</w:t>
      </w:r>
      <w:r w:rsidR="00B57C0B" w:rsidRPr="00A21E4D">
        <w:rPr>
          <w:rFonts w:ascii="Times New Roman" w:hAnsi="Times New Roman" w:cs="Times New Roman"/>
          <w:sz w:val="24"/>
          <w:szCs w:val="24"/>
          <w:lang w:val="en-GB"/>
        </w:rPr>
        <w:t xml:space="preserve"> or stopping to search for employment</w:t>
      </w:r>
      <w:r w:rsidR="009E41E4" w:rsidRPr="00A21E4D">
        <w:rPr>
          <w:rFonts w:ascii="Times New Roman" w:hAnsi="Times New Roman" w:cs="Times New Roman"/>
          <w:sz w:val="24"/>
          <w:szCs w:val="24"/>
          <w:lang w:val="en-GB"/>
        </w:rPr>
        <w:t xml:space="preserve"> because of her pregnancy can also still be considered as a worker as the free movement of </w:t>
      </w:r>
      <w:r w:rsidR="009E41E4" w:rsidRPr="00A21E4D">
        <w:rPr>
          <w:rFonts w:ascii="Times New Roman" w:hAnsi="Times New Roman" w:cs="Times New Roman"/>
          <w:sz w:val="24"/>
          <w:szCs w:val="24"/>
          <w:lang w:val="en-GB"/>
        </w:rPr>
        <w:lastRenderedPageBreak/>
        <w:t xml:space="preserve">workers is </w:t>
      </w:r>
      <w:r w:rsidR="00F55913" w:rsidRPr="00A21E4D">
        <w:rPr>
          <w:rFonts w:ascii="Times New Roman" w:hAnsi="Times New Roman" w:cs="Times New Roman"/>
          <w:sz w:val="24"/>
          <w:szCs w:val="24"/>
          <w:lang w:val="en-GB"/>
        </w:rPr>
        <w:t>deemed fundamental and must</w:t>
      </w:r>
      <w:r w:rsidR="009E41E4" w:rsidRPr="00A21E4D">
        <w:rPr>
          <w:rFonts w:ascii="Times New Roman" w:hAnsi="Times New Roman" w:cs="Times New Roman"/>
          <w:sz w:val="24"/>
          <w:szCs w:val="24"/>
          <w:lang w:val="en-GB"/>
        </w:rPr>
        <w:t xml:space="preserve"> be interpreted broadly</w:t>
      </w:r>
      <w:r w:rsidR="009E41E4" w:rsidRPr="00A21E4D">
        <w:rPr>
          <w:rStyle w:val="Appelnotedebasdep"/>
          <w:rFonts w:ascii="Times New Roman" w:hAnsi="Times New Roman" w:cs="Times New Roman"/>
          <w:sz w:val="24"/>
          <w:szCs w:val="24"/>
          <w:lang w:val="en-GB"/>
        </w:rPr>
        <w:footnoteReference w:id="22"/>
      </w:r>
      <w:r w:rsidR="009E41E4" w:rsidRPr="00A21E4D">
        <w:rPr>
          <w:rFonts w:ascii="Times New Roman" w:hAnsi="Times New Roman" w:cs="Times New Roman"/>
          <w:sz w:val="24"/>
          <w:szCs w:val="24"/>
          <w:lang w:val="en-GB"/>
        </w:rPr>
        <w:t>.</w:t>
      </w:r>
      <w:r w:rsidR="00B57C0B" w:rsidRPr="00A21E4D">
        <w:rPr>
          <w:rFonts w:ascii="Times New Roman" w:hAnsi="Times New Roman" w:cs="Times New Roman"/>
          <w:sz w:val="24"/>
          <w:szCs w:val="24"/>
          <w:lang w:val="en-GB"/>
        </w:rPr>
        <w:t xml:space="preserve"> </w:t>
      </w:r>
      <w:r w:rsidR="008957FA" w:rsidRPr="00A21E4D">
        <w:rPr>
          <w:rFonts w:ascii="Times New Roman" w:hAnsi="Times New Roman" w:cs="Times New Roman"/>
          <w:sz w:val="24"/>
          <w:szCs w:val="24"/>
          <w:lang w:val="en-GB"/>
        </w:rPr>
        <w:t xml:space="preserve"> </w:t>
      </w:r>
      <w:r w:rsidR="00F55913" w:rsidRPr="00A21E4D">
        <w:rPr>
          <w:rFonts w:ascii="Times New Roman" w:hAnsi="Times New Roman" w:cs="Times New Roman"/>
          <w:sz w:val="24"/>
          <w:szCs w:val="24"/>
          <w:lang w:val="en-GB"/>
        </w:rPr>
        <w:t>E</w:t>
      </w:r>
      <w:r w:rsidR="001D0003" w:rsidRPr="00A21E4D">
        <w:rPr>
          <w:rFonts w:ascii="Times New Roman" w:hAnsi="Times New Roman" w:cs="Times New Roman"/>
          <w:sz w:val="24"/>
          <w:szCs w:val="24"/>
          <w:lang w:val="en-GB"/>
        </w:rPr>
        <w:t xml:space="preserve">xpansive </w:t>
      </w:r>
      <w:r w:rsidR="008957FA" w:rsidRPr="00A21E4D">
        <w:rPr>
          <w:rFonts w:ascii="Times New Roman" w:hAnsi="Times New Roman" w:cs="Times New Roman"/>
          <w:sz w:val="24"/>
          <w:szCs w:val="24"/>
          <w:lang w:val="en-GB"/>
        </w:rPr>
        <w:t xml:space="preserve">interpretation is not limitless. In the </w:t>
      </w:r>
      <w:r w:rsidR="008957FA" w:rsidRPr="00A21E4D">
        <w:rPr>
          <w:rFonts w:ascii="Times New Roman" w:hAnsi="Times New Roman" w:cs="Times New Roman"/>
          <w:i/>
          <w:sz w:val="24"/>
          <w:szCs w:val="24"/>
          <w:lang w:val="en-GB"/>
        </w:rPr>
        <w:t>Brian Francis Collins</w:t>
      </w:r>
      <w:r w:rsidR="008957FA" w:rsidRPr="00A21E4D">
        <w:rPr>
          <w:rFonts w:ascii="Times New Roman" w:hAnsi="Times New Roman" w:cs="Times New Roman"/>
          <w:sz w:val="24"/>
          <w:szCs w:val="24"/>
          <w:lang w:val="en-GB"/>
        </w:rPr>
        <w:t xml:space="preserve"> case, an Irish-American binational was refused the qualification of a worker </w:t>
      </w:r>
      <w:r w:rsidR="00887A38" w:rsidRPr="00A21E4D">
        <w:rPr>
          <w:rFonts w:ascii="Times New Roman" w:hAnsi="Times New Roman" w:cs="Times New Roman"/>
          <w:sz w:val="24"/>
          <w:szCs w:val="24"/>
          <w:lang w:val="en-GB"/>
        </w:rPr>
        <w:t>and the</w:t>
      </w:r>
      <w:r w:rsidR="008957FA" w:rsidRPr="00A21E4D">
        <w:rPr>
          <w:rFonts w:ascii="Times New Roman" w:hAnsi="Times New Roman" w:cs="Times New Roman"/>
          <w:sz w:val="24"/>
          <w:szCs w:val="24"/>
          <w:lang w:val="en-GB"/>
        </w:rPr>
        <w:t xml:space="preserve"> right to stay in the United Kingdom. His claim was only based</w:t>
      </w:r>
      <w:r w:rsidR="00F55913" w:rsidRPr="00A21E4D">
        <w:rPr>
          <w:rFonts w:ascii="Times New Roman" w:hAnsi="Times New Roman" w:cs="Times New Roman"/>
          <w:sz w:val="24"/>
          <w:szCs w:val="24"/>
          <w:lang w:val="en-GB"/>
        </w:rPr>
        <w:t xml:space="preserve"> </w:t>
      </w:r>
      <w:r w:rsidR="008957FA" w:rsidRPr="00A21E4D">
        <w:rPr>
          <w:rFonts w:ascii="Times New Roman" w:hAnsi="Times New Roman" w:cs="Times New Roman"/>
          <w:sz w:val="24"/>
          <w:szCs w:val="24"/>
          <w:lang w:val="en-GB"/>
        </w:rPr>
        <w:t>on the fact that he had wor</w:t>
      </w:r>
      <w:r w:rsidR="00F55913" w:rsidRPr="00A21E4D">
        <w:rPr>
          <w:rFonts w:ascii="Times New Roman" w:hAnsi="Times New Roman" w:cs="Times New Roman"/>
          <w:sz w:val="24"/>
          <w:szCs w:val="24"/>
          <w:lang w:val="en-GB"/>
        </w:rPr>
        <w:t>ked on a part-time basis for a short time</w:t>
      </w:r>
      <w:r w:rsidR="008957FA" w:rsidRPr="00A21E4D">
        <w:rPr>
          <w:rFonts w:ascii="Times New Roman" w:hAnsi="Times New Roman" w:cs="Times New Roman"/>
          <w:sz w:val="24"/>
          <w:szCs w:val="24"/>
          <w:lang w:val="en-GB"/>
        </w:rPr>
        <w:t xml:space="preserve"> years before, </w:t>
      </w:r>
      <w:r w:rsidR="00EC77FC" w:rsidRPr="00A21E4D">
        <w:rPr>
          <w:rFonts w:ascii="Times New Roman" w:hAnsi="Times New Roman" w:cs="Times New Roman"/>
          <w:sz w:val="24"/>
          <w:szCs w:val="24"/>
          <w:lang w:val="en-GB"/>
        </w:rPr>
        <w:t xml:space="preserve">in the context of an </w:t>
      </w:r>
      <w:r w:rsidR="008957FA" w:rsidRPr="00A21E4D">
        <w:rPr>
          <w:rFonts w:ascii="Times New Roman" w:hAnsi="Times New Roman" w:cs="Times New Roman"/>
          <w:sz w:val="24"/>
          <w:szCs w:val="24"/>
          <w:lang w:val="en-GB"/>
        </w:rPr>
        <w:t>activit</w:t>
      </w:r>
      <w:r w:rsidR="00EC77FC" w:rsidRPr="00A21E4D">
        <w:rPr>
          <w:rFonts w:ascii="Times New Roman" w:hAnsi="Times New Roman" w:cs="Times New Roman"/>
          <w:sz w:val="24"/>
          <w:szCs w:val="24"/>
          <w:lang w:val="en-GB"/>
        </w:rPr>
        <w:t>y</w:t>
      </w:r>
      <w:r w:rsidR="008957FA" w:rsidRPr="00A21E4D">
        <w:rPr>
          <w:rFonts w:ascii="Times New Roman" w:hAnsi="Times New Roman" w:cs="Times New Roman"/>
          <w:sz w:val="24"/>
          <w:szCs w:val="24"/>
          <w:lang w:val="en-GB"/>
        </w:rPr>
        <w:t xml:space="preserve"> which had absolutely no link with his current presence in the country</w:t>
      </w:r>
      <w:r w:rsidR="008957FA" w:rsidRPr="00A21E4D">
        <w:rPr>
          <w:rStyle w:val="Appelnotedebasdep"/>
          <w:rFonts w:ascii="Times New Roman" w:hAnsi="Times New Roman" w:cs="Times New Roman"/>
          <w:sz w:val="24"/>
          <w:szCs w:val="24"/>
          <w:lang w:val="en-GB"/>
        </w:rPr>
        <w:footnoteReference w:id="23"/>
      </w:r>
      <w:r w:rsidR="008957FA" w:rsidRPr="00A21E4D">
        <w:rPr>
          <w:rFonts w:ascii="Times New Roman" w:hAnsi="Times New Roman" w:cs="Times New Roman"/>
          <w:sz w:val="24"/>
          <w:szCs w:val="24"/>
          <w:lang w:val="en-GB"/>
        </w:rPr>
        <w:t>.</w:t>
      </w:r>
    </w:p>
    <w:p w14:paraId="67565726" w14:textId="1802DB50" w:rsidR="00B74DE7" w:rsidRPr="00A21E4D" w:rsidRDefault="00B74DE7"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Concerning the question of the remuneration,</w:t>
      </w:r>
      <w:r w:rsidR="00917A76" w:rsidRPr="00A21E4D">
        <w:rPr>
          <w:rFonts w:ascii="Times New Roman" w:hAnsi="Times New Roman" w:cs="Times New Roman"/>
          <w:sz w:val="24"/>
          <w:szCs w:val="24"/>
          <w:lang w:val="en-GB"/>
        </w:rPr>
        <w:t xml:space="preserve"> the case law analysed shows that the Court is not willing to make it an obstacle to the claiming of the quality of worker and accepts several scenarios which do not follow the “normal” pattern where the employer gives a salary in the form of a sum of money to a worker</w:t>
      </w:r>
      <w:r w:rsidR="00F057AE" w:rsidRPr="00A21E4D">
        <w:rPr>
          <w:rStyle w:val="Appelnotedebasdep"/>
          <w:rFonts w:ascii="Times New Roman" w:hAnsi="Times New Roman" w:cs="Times New Roman"/>
          <w:sz w:val="24"/>
          <w:szCs w:val="24"/>
          <w:lang w:val="en-GB"/>
        </w:rPr>
        <w:footnoteReference w:id="24"/>
      </w:r>
      <w:r w:rsidR="00917A76" w:rsidRPr="00A21E4D">
        <w:rPr>
          <w:rFonts w:ascii="Times New Roman" w:hAnsi="Times New Roman" w:cs="Times New Roman"/>
          <w:sz w:val="24"/>
          <w:szCs w:val="24"/>
          <w:lang w:val="en-GB"/>
        </w:rPr>
        <w:t xml:space="preserve">. </w:t>
      </w:r>
      <w:r w:rsidR="00086BF8" w:rsidRPr="00A21E4D">
        <w:rPr>
          <w:rFonts w:ascii="Times New Roman" w:hAnsi="Times New Roman" w:cs="Times New Roman"/>
          <w:sz w:val="24"/>
          <w:szCs w:val="24"/>
          <w:lang w:val="en-GB"/>
        </w:rPr>
        <w:t xml:space="preserve">For example, </w:t>
      </w:r>
      <w:r w:rsidR="00640450" w:rsidRPr="00A21E4D">
        <w:rPr>
          <w:rFonts w:ascii="Times New Roman" w:hAnsi="Times New Roman" w:cs="Times New Roman"/>
          <w:sz w:val="24"/>
          <w:szCs w:val="24"/>
          <w:lang w:val="en-GB"/>
        </w:rPr>
        <w:t xml:space="preserve">the source </w:t>
      </w:r>
      <w:r w:rsidR="00086BF8" w:rsidRPr="00A21E4D">
        <w:rPr>
          <w:rFonts w:ascii="Times New Roman" w:hAnsi="Times New Roman" w:cs="Times New Roman"/>
          <w:sz w:val="24"/>
          <w:szCs w:val="24"/>
          <w:lang w:val="en-GB"/>
        </w:rPr>
        <w:t xml:space="preserve">of the remuneration does not </w:t>
      </w:r>
      <w:r w:rsidR="00C21A5C" w:rsidRPr="00A21E4D">
        <w:rPr>
          <w:rFonts w:ascii="Times New Roman" w:hAnsi="Times New Roman" w:cs="Times New Roman"/>
          <w:sz w:val="24"/>
          <w:szCs w:val="24"/>
          <w:lang w:val="en-GB"/>
        </w:rPr>
        <w:t xml:space="preserve">seem to </w:t>
      </w:r>
      <w:r w:rsidR="00086BF8" w:rsidRPr="00A21E4D">
        <w:rPr>
          <w:rFonts w:ascii="Times New Roman" w:hAnsi="Times New Roman" w:cs="Times New Roman"/>
          <w:sz w:val="24"/>
          <w:szCs w:val="24"/>
          <w:lang w:val="en-GB"/>
        </w:rPr>
        <w:t xml:space="preserve">matter. </w:t>
      </w:r>
      <w:r w:rsidR="00F057AE" w:rsidRPr="00A21E4D">
        <w:rPr>
          <w:rFonts w:ascii="Times New Roman" w:hAnsi="Times New Roman" w:cs="Times New Roman"/>
          <w:sz w:val="24"/>
          <w:szCs w:val="24"/>
          <w:lang w:val="en-GB"/>
        </w:rPr>
        <w:t>Thus</w:t>
      </w:r>
      <w:r w:rsidR="00086BF8" w:rsidRPr="00A21E4D">
        <w:rPr>
          <w:rFonts w:ascii="Times New Roman" w:hAnsi="Times New Roman" w:cs="Times New Roman"/>
          <w:sz w:val="24"/>
          <w:szCs w:val="24"/>
          <w:lang w:val="en-GB"/>
        </w:rPr>
        <w:t xml:space="preserve">, in the aforementioned </w:t>
      </w:r>
      <w:r w:rsidR="00086BF8" w:rsidRPr="00A21E4D">
        <w:rPr>
          <w:rFonts w:ascii="Times New Roman" w:hAnsi="Times New Roman" w:cs="Times New Roman"/>
          <w:i/>
          <w:sz w:val="24"/>
          <w:szCs w:val="24"/>
          <w:lang w:val="en-GB"/>
        </w:rPr>
        <w:t>Bettray</w:t>
      </w:r>
      <w:r w:rsidR="001B153D" w:rsidRPr="00A21E4D">
        <w:rPr>
          <w:rFonts w:ascii="Times New Roman" w:hAnsi="Times New Roman" w:cs="Times New Roman"/>
          <w:sz w:val="24"/>
          <w:szCs w:val="24"/>
          <w:lang w:val="en-GB"/>
        </w:rPr>
        <w:t xml:space="preserve"> case, the fact that the remuneration is essentially subsidised by public funds and not by </w:t>
      </w:r>
      <w:r w:rsidR="00086BF8" w:rsidRPr="00A21E4D">
        <w:rPr>
          <w:rFonts w:ascii="Times New Roman" w:hAnsi="Times New Roman" w:cs="Times New Roman"/>
          <w:sz w:val="24"/>
          <w:szCs w:val="24"/>
          <w:lang w:val="en-GB"/>
        </w:rPr>
        <w:t>the employer was not problematic for the Court</w:t>
      </w:r>
      <w:r w:rsidR="00086BF8" w:rsidRPr="00A21E4D">
        <w:rPr>
          <w:rStyle w:val="Appelnotedebasdep"/>
          <w:rFonts w:ascii="Times New Roman" w:hAnsi="Times New Roman" w:cs="Times New Roman"/>
          <w:sz w:val="24"/>
          <w:szCs w:val="24"/>
          <w:lang w:val="en-GB"/>
        </w:rPr>
        <w:footnoteReference w:id="25"/>
      </w:r>
      <w:r w:rsidR="00086BF8" w:rsidRPr="00A21E4D">
        <w:rPr>
          <w:rFonts w:ascii="Times New Roman" w:hAnsi="Times New Roman" w:cs="Times New Roman"/>
          <w:sz w:val="24"/>
          <w:szCs w:val="24"/>
          <w:lang w:val="en-GB"/>
        </w:rPr>
        <w:t>. The limited character of the remuneration does not have any consequences whatsoever</w:t>
      </w:r>
      <w:r w:rsidR="00086BF8" w:rsidRPr="00A21E4D">
        <w:rPr>
          <w:rStyle w:val="Appelnotedebasdep"/>
          <w:rFonts w:ascii="Times New Roman" w:hAnsi="Times New Roman" w:cs="Times New Roman"/>
          <w:sz w:val="24"/>
          <w:szCs w:val="24"/>
          <w:lang w:val="en-GB"/>
        </w:rPr>
        <w:footnoteReference w:id="26"/>
      </w:r>
      <w:r w:rsidR="00086BF8" w:rsidRPr="00A21E4D">
        <w:rPr>
          <w:rFonts w:ascii="Times New Roman" w:hAnsi="Times New Roman" w:cs="Times New Roman"/>
          <w:sz w:val="24"/>
          <w:szCs w:val="24"/>
          <w:lang w:val="en-GB"/>
        </w:rPr>
        <w:t>. The nature of the remuneration itself is admitted to vary, and the Cou</w:t>
      </w:r>
      <w:r w:rsidR="00F72CD0" w:rsidRPr="00A21E4D">
        <w:rPr>
          <w:rFonts w:ascii="Times New Roman" w:hAnsi="Times New Roman" w:cs="Times New Roman"/>
          <w:sz w:val="24"/>
          <w:szCs w:val="24"/>
          <w:lang w:val="en-GB"/>
        </w:rPr>
        <w:t xml:space="preserve">rt </w:t>
      </w:r>
      <w:r w:rsidR="00086BF8" w:rsidRPr="00A21E4D">
        <w:rPr>
          <w:rFonts w:ascii="Times New Roman" w:hAnsi="Times New Roman" w:cs="Times New Roman"/>
          <w:sz w:val="24"/>
          <w:szCs w:val="24"/>
          <w:lang w:val="en-GB"/>
        </w:rPr>
        <w:t>recognize</w:t>
      </w:r>
      <w:r w:rsidR="007266FE" w:rsidRPr="00A21E4D">
        <w:rPr>
          <w:rFonts w:ascii="Times New Roman" w:hAnsi="Times New Roman" w:cs="Times New Roman"/>
          <w:sz w:val="24"/>
          <w:szCs w:val="24"/>
          <w:lang w:val="en-GB"/>
        </w:rPr>
        <w:t>d</w:t>
      </w:r>
      <w:r w:rsidR="00086BF8" w:rsidRPr="00A21E4D">
        <w:rPr>
          <w:rFonts w:ascii="Times New Roman" w:hAnsi="Times New Roman" w:cs="Times New Roman"/>
          <w:sz w:val="24"/>
          <w:szCs w:val="24"/>
          <w:lang w:val="en-GB"/>
        </w:rPr>
        <w:t xml:space="preserve">, in the </w:t>
      </w:r>
      <w:r w:rsidR="00086BF8" w:rsidRPr="00A21E4D">
        <w:rPr>
          <w:rFonts w:ascii="Times New Roman" w:hAnsi="Times New Roman" w:cs="Times New Roman"/>
          <w:i/>
          <w:sz w:val="24"/>
          <w:szCs w:val="24"/>
          <w:lang w:val="en-GB"/>
        </w:rPr>
        <w:t>Steymann</w:t>
      </w:r>
      <w:r w:rsidR="00086BF8" w:rsidRPr="00A21E4D">
        <w:rPr>
          <w:rFonts w:ascii="Times New Roman" w:hAnsi="Times New Roman" w:cs="Times New Roman"/>
          <w:sz w:val="24"/>
          <w:szCs w:val="24"/>
          <w:lang w:val="en-GB"/>
        </w:rPr>
        <w:t xml:space="preserve"> case, </w:t>
      </w:r>
      <w:r w:rsidR="000F034A" w:rsidRPr="00A21E4D">
        <w:rPr>
          <w:rFonts w:ascii="Times New Roman" w:hAnsi="Times New Roman" w:cs="Times New Roman"/>
          <w:sz w:val="24"/>
          <w:szCs w:val="24"/>
          <w:lang w:val="en-GB"/>
        </w:rPr>
        <w:t xml:space="preserve">that services and benefits in kind provided by a religious community to one of its members in exchange of his work had to be considered as equivalent </w:t>
      </w:r>
      <w:r w:rsidR="009034DA" w:rsidRPr="00A21E4D">
        <w:rPr>
          <w:rFonts w:ascii="Times New Roman" w:hAnsi="Times New Roman" w:cs="Times New Roman"/>
          <w:sz w:val="24"/>
          <w:szCs w:val="24"/>
          <w:lang w:val="en-GB"/>
        </w:rPr>
        <w:t xml:space="preserve">to </w:t>
      </w:r>
      <w:r w:rsidR="00F6346D" w:rsidRPr="00A21E4D">
        <w:rPr>
          <w:rFonts w:ascii="Times New Roman" w:hAnsi="Times New Roman" w:cs="Times New Roman"/>
          <w:sz w:val="24"/>
          <w:szCs w:val="24"/>
          <w:lang w:val="en-GB"/>
        </w:rPr>
        <w:t xml:space="preserve">a </w:t>
      </w:r>
      <w:r w:rsidR="000F034A" w:rsidRPr="00A21E4D">
        <w:rPr>
          <w:rFonts w:ascii="Times New Roman" w:hAnsi="Times New Roman" w:cs="Times New Roman"/>
          <w:sz w:val="24"/>
          <w:szCs w:val="24"/>
          <w:lang w:val="en-GB"/>
        </w:rPr>
        <w:t>salary</w:t>
      </w:r>
      <w:r w:rsidR="000F034A" w:rsidRPr="00A21E4D">
        <w:rPr>
          <w:rStyle w:val="Appelnotedebasdep"/>
          <w:rFonts w:ascii="Times New Roman" w:hAnsi="Times New Roman" w:cs="Times New Roman"/>
          <w:sz w:val="24"/>
          <w:szCs w:val="24"/>
          <w:lang w:val="en-GB"/>
        </w:rPr>
        <w:footnoteReference w:id="27"/>
      </w:r>
      <w:r w:rsidR="000F034A" w:rsidRPr="00A21E4D">
        <w:rPr>
          <w:rFonts w:ascii="Times New Roman" w:hAnsi="Times New Roman" w:cs="Times New Roman"/>
          <w:sz w:val="24"/>
          <w:szCs w:val="24"/>
          <w:lang w:val="en-GB"/>
        </w:rPr>
        <w:t>.</w:t>
      </w:r>
    </w:p>
    <w:p w14:paraId="6029B23B" w14:textId="39F25F21" w:rsidR="00B74DE7" w:rsidRPr="00A21E4D" w:rsidRDefault="00B74DE7" w:rsidP="00F0032F">
      <w:pPr>
        <w:spacing w:line="240" w:lineRule="auto"/>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F86070" w:rsidRPr="00A21E4D">
        <w:rPr>
          <w:rFonts w:ascii="Times New Roman" w:hAnsi="Times New Roman" w:cs="Times New Roman"/>
          <w:sz w:val="24"/>
          <w:szCs w:val="24"/>
          <w:lang w:val="en-GB"/>
        </w:rPr>
        <w:t xml:space="preserve"> The Court does not usually give as much attention to the criteri</w:t>
      </w:r>
      <w:r w:rsidR="00905D02" w:rsidRPr="00A21E4D">
        <w:rPr>
          <w:rFonts w:ascii="Times New Roman" w:hAnsi="Times New Roman" w:cs="Times New Roman"/>
          <w:sz w:val="24"/>
          <w:szCs w:val="24"/>
          <w:lang w:val="en-GB"/>
        </w:rPr>
        <w:t>on</w:t>
      </w:r>
      <w:r w:rsidR="00F86070" w:rsidRPr="00A21E4D">
        <w:rPr>
          <w:rFonts w:ascii="Times New Roman" w:hAnsi="Times New Roman" w:cs="Times New Roman"/>
          <w:sz w:val="24"/>
          <w:szCs w:val="24"/>
          <w:lang w:val="en-GB"/>
        </w:rPr>
        <w:t xml:space="preserve"> of the link of subordination as to the other criteria of </w:t>
      </w:r>
      <w:r w:rsidR="00F86070" w:rsidRPr="00A21E4D">
        <w:rPr>
          <w:rFonts w:ascii="Times New Roman" w:hAnsi="Times New Roman" w:cs="Times New Roman"/>
          <w:i/>
          <w:sz w:val="24"/>
          <w:szCs w:val="24"/>
          <w:lang w:val="en-GB"/>
        </w:rPr>
        <w:t>Lawrie-Blum</w:t>
      </w:r>
      <w:r w:rsidR="00F86070" w:rsidRPr="00A21E4D">
        <w:rPr>
          <w:rFonts w:ascii="Times New Roman" w:hAnsi="Times New Roman" w:cs="Times New Roman"/>
          <w:sz w:val="24"/>
          <w:szCs w:val="24"/>
          <w:lang w:val="en-GB"/>
        </w:rPr>
        <w:t xml:space="preserve"> in the field of free movement. Analysing the </w:t>
      </w:r>
      <w:r w:rsidR="00F86070" w:rsidRPr="00A21E4D">
        <w:rPr>
          <w:rFonts w:ascii="Times New Roman" w:hAnsi="Times New Roman" w:cs="Times New Roman"/>
          <w:i/>
          <w:sz w:val="24"/>
          <w:szCs w:val="24"/>
          <w:lang w:val="en-GB"/>
        </w:rPr>
        <w:t>Bettray</w:t>
      </w:r>
      <w:r w:rsidR="00F86070" w:rsidRPr="00A21E4D">
        <w:rPr>
          <w:rFonts w:ascii="Times New Roman" w:hAnsi="Times New Roman" w:cs="Times New Roman"/>
          <w:sz w:val="24"/>
          <w:szCs w:val="24"/>
          <w:lang w:val="en-GB"/>
        </w:rPr>
        <w:t xml:space="preserve"> case, </w:t>
      </w:r>
      <w:r w:rsidR="0094670D" w:rsidRPr="00A21E4D">
        <w:rPr>
          <w:rFonts w:ascii="Times New Roman" w:hAnsi="Times New Roman" w:cs="Times New Roman"/>
          <w:sz w:val="24"/>
          <w:szCs w:val="24"/>
          <w:lang w:val="en-GB"/>
        </w:rPr>
        <w:t>E</w:t>
      </w:r>
      <w:r w:rsidR="00F86070" w:rsidRPr="00A21E4D">
        <w:rPr>
          <w:rFonts w:ascii="Times New Roman" w:hAnsi="Times New Roman" w:cs="Times New Roman"/>
          <w:sz w:val="24"/>
          <w:szCs w:val="24"/>
          <w:lang w:val="en-GB"/>
        </w:rPr>
        <w:t xml:space="preserve">manuele Menegatti explains it by the fact that the Court focuses more on the smooth functioning of the internal market and the development of the economic freedoms than </w:t>
      </w:r>
      <w:r w:rsidR="00832F88" w:rsidRPr="00A21E4D">
        <w:rPr>
          <w:rFonts w:ascii="Times New Roman" w:hAnsi="Times New Roman" w:cs="Times New Roman"/>
          <w:sz w:val="24"/>
          <w:szCs w:val="24"/>
          <w:lang w:val="en-GB"/>
        </w:rPr>
        <w:t xml:space="preserve">on </w:t>
      </w:r>
      <w:r w:rsidR="00F86070" w:rsidRPr="00A21E4D">
        <w:rPr>
          <w:rFonts w:ascii="Times New Roman" w:hAnsi="Times New Roman" w:cs="Times New Roman"/>
          <w:sz w:val="24"/>
          <w:szCs w:val="24"/>
          <w:lang w:val="en-GB"/>
        </w:rPr>
        <w:t>the protection of the workers</w:t>
      </w:r>
      <w:r w:rsidR="002F006E" w:rsidRPr="00A21E4D">
        <w:rPr>
          <w:rFonts w:ascii="Times New Roman" w:hAnsi="Times New Roman" w:cs="Times New Roman"/>
          <w:sz w:val="24"/>
          <w:szCs w:val="24"/>
          <w:lang w:val="en-GB"/>
        </w:rPr>
        <w:t>. When the free movement of workers is not available, it is perfectly possible to fall</w:t>
      </w:r>
      <w:r w:rsidR="00F72CD0" w:rsidRPr="00A21E4D">
        <w:rPr>
          <w:rFonts w:ascii="Times New Roman" w:hAnsi="Times New Roman" w:cs="Times New Roman"/>
          <w:sz w:val="24"/>
          <w:szCs w:val="24"/>
          <w:lang w:val="en-GB"/>
        </w:rPr>
        <w:t xml:space="preserve"> back on</w:t>
      </w:r>
      <w:r w:rsidR="002F006E" w:rsidRPr="00A21E4D">
        <w:rPr>
          <w:rFonts w:ascii="Times New Roman" w:hAnsi="Times New Roman" w:cs="Times New Roman"/>
          <w:sz w:val="24"/>
          <w:szCs w:val="24"/>
          <w:lang w:val="en-GB"/>
        </w:rPr>
        <w:t xml:space="preserve"> the</w:t>
      </w:r>
      <w:r w:rsidR="00F55913" w:rsidRPr="00A21E4D">
        <w:rPr>
          <w:rFonts w:ascii="Times New Roman" w:hAnsi="Times New Roman" w:cs="Times New Roman"/>
          <w:sz w:val="24"/>
          <w:szCs w:val="24"/>
          <w:lang w:val="en-GB"/>
        </w:rPr>
        <w:t xml:space="preserve"> other freedoms</w:t>
      </w:r>
      <w:r w:rsidR="00F86070" w:rsidRPr="00A21E4D">
        <w:rPr>
          <w:rStyle w:val="Appelnotedebasdep"/>
          <w:rFonts w:ascii="Times New Roman" w:hAnsi="Times New Roman" w:cs="Times New Roman"/>
          <w:sz w:val="24"/>
          <w:szCs w:val="24"/>
          <w:lang w:val="en-GB"/>
        </w:rPr>
        <w:footnoteReference w:id="28"/>
      </w:r>
      <w:r w:rsidR="00F86070" w:rsidRPr="00A21E4D">
        <w:rPr>
          <w:rFonts w:ascii="Times New Roman" w:hAnsi="Times New Roman" w:cs="Times New Roman"/>
          <w:sz w:val="24"/>
          <w:szCs w:val="24"/>
          <w:lang w:val="en-GB"/>
        </w:rPr>
        <w:t xml:space="preserve">. </w:t>
      </w:r>
      <w:r w:rsidR="00C12956" w:rsidRPr="00A21E4D">
        <w:rPr>
          <w:rFonts w:ascii="Times New Roman" w:hAnsi="Times New Roman" w:cs="Times New Roman"/>
          <w:sz w:val="24"/>
          <w:szCs w:val="24"/>
          <w:lang w:val="en-GB"/>
        </w:rPr>
        <w:t>However, t</w:t>
      </w:r>
      <w:r w:rsidR="007266FE" w:rsidRPr="00A21E4D">
        <w:rPr>
          <w:rFonts w:ascii="Times New Roman" w:hAnsi="Times New Roman" w:cs="Times New Roman"/>
          <w:sz w:val="24"/>
          <w:szCs w:val="24"/>
          <w:lang w:val="en-GB"/>
        </w:rPr>
        <w:t>here are still interesting cases to mention</w:t>
      </w:r>
      <w:r w:rsidRPr="00A21E4D">
        <w:rPr>
          <w:rFonts w:ascii="Times New Roman" w:hAnsi="Times New Roman" w:cs="Times New Roman"/>
          <w:sz w:val="24"/>
          <w:szCs w:val="24"/>
          <w:lang w:val="en-GB"/>
        </w:rPr>
        <w:t xml:space="preserve">. In the </w:t>
      </w:r>
      <w:r w:rsidRPr="00A21E4D">
        <w:rPr>
          <w:rFonts w:ascii="Times New Roman" w:hAnsi="Times New Roman" w:cs="Times New Roman"/>
          <w:i/>
          <w:sz w:val="24"/>
          <w:szCs w:val="24"/>
          <w:lang w:val="en-GB"/>
        </w:rPr>
        <w:t>Asscher</w:t>
      </w:r>
      <w:r w:rsidRPr="00A21E4D">
        <w:rPr>
          <w:rFonts w:ascii="Times New Roman" w:hAnsi="Times New Roman" w:cs="Times New Roman"/>
          <w:sz w:val="24"/>
          <w:szCs w:val="24"/>
          <w:lang w:val="en-GB"/>
        </w:rPr>
        <w:t xml:space="preserve"> case</w:t>
      </w:r>
      <w:r w:rsidRPr="00A21E4D">
        <w:rPr>
          <w:rStyle w:val="Appelnotedebasdep"/>
          <w:rFonts w:ascii="Times New Roman" w:hAnsi="Times New Roman" w:cs="Times New Roman"/>
          <w:sz w:val="24"/>
          <w:szCs w:val="24"/>
          <w:lang w:val="en-GB"/>
        </w:rPr>
        <w:footnoteReference w:id="29"/>
      </w:r>
      <w:r w:rsidRPr="00A21E4D">
        <w:rPr>
          <w:rFonts w:ascii="Times New Roman" w:hAnsi="Times New Roman" w:cs="Times New Roman"/>
          <w:sz w:val="24"/>
          <w:szCs w:val="24"/>
          <w:lang w:val="en-GB"/>
        </w:rPr>
        <w:t xml:space="preserve">, the question arose </w:t>
      </w:r>
      <w:r w:rsidR="0061462B" w:rsidRPr="00A21E4D">
        <w:rPr>
          <w:rFonts w:ascii="Times New Roman" w:hAnsi="Times New Roman" w:cs="Times New Roman"/>
          <w:sz w:val="24"/>
          <w:szCs w:val="24"/>
          <w:lang w:val="en-GB"/>
        </w:rPr>
        <w:t xml:space="preserve">as to whether </w:t>
      </w:r>
      <w:r w:rsidRPr="00A21E4D">
        <w:rPr>
          <w:rFonts w:ascii="Times New Roman" w:hAnsi="Times New Roman" w:cs="Times New Roman"/>
          <w:sz w:val="24"/>
          <w:szCs w:val="24"/>
          <w:lang w:val="en-GB"/>
        </w:rPr>
        <w:t>someone</w:t>
      </w:r>
      <w:r w:rsidR="00F63BAB" w:rsidRPr="00A21E4D">
        <w:rPr>
          <w:rFonts w:ascii="Times New Roman" w:hAnsi="Times New Roman" w:cs="Times New Roman"/>
          <w:sz w:val="24"/>
          <w:szCs w:val="24"/>
          <w:lang w:val="en-GB"/>
        </w:rPr>
        <w:t>,</w:t>
      </w:r>
      <w:r w:rsidRPr="00A21E4D">
        <w:rPr>
          <w:rFonts w:ascii="Times New Roman" w:hAnsi="Times New Roman" w:cs="Times New Roman"/>
          <w:sz w:val="24"/>
          <w:szCs w:val="24"/>
          <w:lang w:val="en-GB"/>
        </w:rPr>
        <w:t xml:space="preserve"> </w:t>
      </w:r>
      <w:r w:rsidR="00F63BAB" w:rsidRPr="00A21E4D">
        <w:rPr>
          <w:rFonts w:ascii="Times New Roman" w:hAnsi="Times New Roman" w:cs="Times New Roman"/>
          <w:sz w:val="24"/>
          <w:szCs w:val="24"/>
          <w:lang w:val="en-GB"/>
        </w:rPr>
        <w:t xml:space="preserve">who </w:t>
      </w:r>
      <w:r w:rsidRPr="00A21E4D">
        <w:rPr>
          <w:rFonts w:ascii="Times New Roman" w:hAnsi="Times New Roman" w:cs="Times New Roman"/>
          <w:sz w:val="24"/>
          <w:szCs w:val="24"/>
          <w:lang w:val="en-GB"/>
        </w:rPr>
        <w:t>was considered as a self-employed person under national fiscal law</w:t>
      </w:r>
      <w:r w:rsidR="00F63BAB" w:rsidRPr="00A21E4D">
        <w:rPr>
          <w:rFonts w:ascii="Times New Roman" w:hAnsi="Times New Roman" w:cs="Times New Roman"/>
          <w:sz w:val="24"/>
          <w:szCs w:val="24"/>
          <w:lang w:val="en-GB"/>
        </w:rPr>
        <w:t>,</w:t>
      </w:r>
      <w:r w:rsidRPr="00A21E4D">
        <w:rPr>
          <w:rFonts w:ascii="Times New Roman" w:hAnsi="Times New Roman" w:cs="Times New Roman"/>
          <w:sz w:val="24"/>
          <w:szCs w:val="24"/>
          <w:lang w:val="en-GB"/>
        </w:rPr>
        <w:t xml:space="preserve"> could be qualified as a worker under free movement law and therefore benefit from </w:t>
      </w:r>
      <w:r w:rsidR="002231A3" w:rsidRPr="00A21E4D">
        <w:rPr>
          <w:rFonts w:ascii="Times New Roman" w:hAnsi="Times New Roman" w:cs="Times New Roman"/>
          <w:sz w:val="24"/>
          <w:szCs w:val="24"/>
          <w:lang w:val="en-GB"/>
        </w:rPr>
        <w:t xml:space="preserve">this </w:t>
      </w:r>
      <w:r w:rsidRPr="00A21E4D">
        <w:rPr>
          <w:rFonts w:ascii="Times New Roman" w:hAnsi="Times New Roman" w:cs="Times New Roman"/>
          <w:sz w:val="24"/>
          <w:szCs w:val="24"/>
          <w:lang w:val="en-GB"/>
        </w:rPr>
        <w:t>protection in order to rebut proceedings brought against him. The person in question was the director of a</w:t>
      </w:r>
      <w:r w:rsidR="00F72CD0" w:rsidRPr="00A21E4D">
        <w:rPr>
          <w:rFonts w:ascii="Times New Roman" w:hAnsi="Times New Roman" w:cs="Times New Roman"/>
          <w:sz w:val="24"/>
          <w:szCs w:val="24"/>
          <w:lang w:val="en-GB"/>
        </w:rPr>
        <w:t xml:space="preserve"> Dutch</w:t>
      </w:r>
      <w:r w:rsidRPr="00A21E4D">
        <w:rPr>
          <w:rFonts w:ascii="Times New Roman" w:hAnsi="Times New Roman" w:cs="Times New Roman"/>
          <w:sz w:val="24"/>
          <w:szCs w:val="24"/>
          <w:lang w:val="en-GB"/>
        </w:rPr>
        <w:t xml:space="preserve"> company, where he was also the only shareholder, and of a Belgian one. The Court concluded by application of the </w:t>
      </w:r>
      <w:r w:rsidRPr="00A21E4D">
        <w:rPr>
          <w:rFonts w:ascii="Times New Roman" w:hAnsi="Times New Roman" w:cs="Times New Roman"/>
          <w:i/>
          <w:sz w:val="24"/>
          <w:szCs w:val="24"/>
          <w:lang w:val="en-GB"/>
        </w:rPr>
        <w:t>Lawrie-Blum</w:t>
      </w:r>
      <w:r w:rsidRPr="00A21E4D">
        <w:rPr>
          <w:rFonts w:ascii="Times New Roman" w:hAnsi="Times New Roman" w:cs="Times New Roman"/>
          <w:sz w:val="24"/>
          <w:szCs w:val="24"/>
          <w:lang w:val="en-GB"/>
        </w:rPr>
        <w:t xml:space="preserve"> formula that there was no link of subordination</w:t>
      </w:r>
      <w:r w:rsidR="00434C8B" w:rsidRPr="00A21E4D">
        <w:rPr>
          <w:rStyle w:val="Appelnotedebasdep"/>
          <w:rFonts w:ascii="Times New Roman" w:hAnsi="Times New Roman" w:cs="Times New Roman"/>
          <w:sz w:val="24"/>
          <w:szCs w:val="24"/>
          <w:lang w:val="en-GB"/>
        </w:rPr>
        <w:footnoteReference w:id="30"/>
      </w:r>
      <w:r w:rsidRPr="00A21E4D">
        <w:rPr>
          <w:rFonts w:ascii="Times New Roman" w:hAnsi="Times New Roman" w:cs="Times New Roman"/>
          <w:sz w:val="24"/>
          <w:szCs w:val="24"/>
          <w:lang w:val="en-GB"/>
        </w:rPr>
        <w:t>.</w:t>
      </w:r>
      <w:r w:rsidR="00347732" w:rsidRPr="00A21E4D">
        <w:rPr>
          <w:rFonts w:ascii="Times New Roman" w:hAnsi="Times New Roman" w:cs="Times New Roman"/>
          <w:sz w:val="24"/>
          <w:szCs w:val="24"/>
          <w:lang w:val="en-GB"/>
        </w:rPr>
        <w:t xml:space="preserve"> </w:t>
      </w:r>
      <w:r w:rsidR="007266FE" w:rsidRPr="00A21E4D">
        <w:rPr>
          <w:rFonts w:ascii="Times New Roman" w:hAnsi="Times New Roman" w:cs="Times New Roman"/>
          <w:sz w:val="24"/>
          <w:szCs w:val="24"/>
          <w:lang w:val="en-GB"/>
        </w:rPr>
        <w:t>I</w:t>
      </w:r>
      <w:r w:rsidR="008C042E" w:rsidRPr="00A21E4D">
        <w:rPr>
          <w:rFonts w:ascii="Times New Roman" w:hAnsi="Times New Roman" w:cs="Times New Roman"/>
          <w:sz w:val="24"/>
          <w:szCs w:val="24"/>
          <w:lang w:val="en-GB"/>
        </w:rPr>
        <w:t xml:space="preserve">n </w:t>
      </w:r>
      <w:r w:rsidR="007266FE" w:rsidRPr="00A21E4D">
        <w:rPr>
          <w:rFonts w:ascii="Times New Roman" w:hAnsi="Times New Roman" w:cs="Times New Roman"/>
          <w:sz w:val="24"/>
          <w:szCs w:val="24"/>
          <w:lang w:val="en-GB"/>
        </w:rPr>
        <w:t xml:space="preserve"> the </w:t>
      </w:r>
      <w:r w:rsidR="00347732" w:rsidRPr="00A21E4D">
        <w:rPr>
          <w:rFonts w:ascii="Times New Roman" w:hAnsi="Times New Roman" w:cs="Times New Roman"/>
          <w:i/>
          <w:sz w:val="24"/>
          <w:szCs w:val="24"/>
          <w:lang w:val="en-GB"/>
        </w:rPr>
        <w:t>Jany</w:t>
      </w:r>
      <w:r w:rsidR="007A51A2" w:rsidRPr="00A21E4D">
        <w:rPr>
          <w:rFonts w:ascii="Times New Roman" w:hAnsi="Times New Roman" w:cs="Times New Roman"/>
          <w:sz w:val="24"/>
          <w:szCs w:val="24"/>
          <w:lang w:val="en-GB"/>
        </w:rPr>
        <w:t>,</w:t>
      </w:r>
      <w:r w:rsidR="00347732" w:rsidRPr="00A21E4D">
        <w:rPr>
          <w:rFonts w:ascii="Times New Roman" w:hAnsi="Times New Roman" w:cs="Times New Roman"/>
          <w:i/>
          <w:sz w:val="24"/>
          <w:szCs w:val="24"/>
          <w:lang w:val="en-GB"/>
        </w:rPr>
        <w:t xml:space="preserve"> Van der Steen</w:t>
      </w:r>
      <w:r w:rsidR="00347732" w:rsidRPr="00A21E4D">
        <w:rPr>
          <w:rFonts w:ascii="Times New Roman" w:hAnsi="Times New Roman" w:cs="Times New Roman"/>
          <w:sz w:val="24"/>
          <w:szCs w:val="24"/>
          <w:lang w:val="en-GB"/>
        </w:rPr>
        <w:t xml:space="preserve"> </w:t>
      </w:r>
      <w:r w:rsidR="00F55913" w:rsidRPr="00A21E4D">
        <w:rPr>
          <w:rFonts w:ascii="Times New Roman" w:hAnsi="Times New Roman" w:cs="Times New Roman"/>
          <w:sz w:val="24"/>
          <w:szCs w:val="24"/>
          <w:lang w:val="en-GB"/>
        </w:rPr>
        <w:t xml:space="preserve">and </w:t>
      </w:r>
      <w:r w:rsidR="00347732" w:rsidRPr="00A21E4D">
        <w:rPr>
          <w:rFonts w:ascii="Times New Roman" w:hAnsi="Times New Roman" w:cs="Times New Roman"/>
          <w:i/>
          <w:sz w:val="24"/>
          <w:szCs w:val="24"/>
          <w:lang w:val="en-GB"/>
        </w:rPr>
        <w:t>Zako</w:t>
      </w:r>
      <w:r w:rsidR="00347732" w:rsidRPr="00A21E4D">
        <w:rPr>
          <w:rFonts w:ascii="Times New Roman" w:hAnsi="Times New Roman" w:cs="Times New Roman"/>
          <w:sz w:val="24"/>
          <w:szCs w:val="24"/>
          <w:lang w:val="en-GB"/>
        </w:rPr>
        <w:t xml:space="preserve"> case</w:t>
      </w:r>
      <w:r w:rsidR="007266FE" w:rsidRPr="00A21E4D">
        <w:rPr>
          <w:rFonts w:ascii="Times New Roman" w:hAnsi="Times New Roman" w:cs="Times New Roman"/>
          <w:sz w:val="24"/>
          <w:szCs w:val="24"/>
          <w:lang w:val="en-GB"/>
        </w:rPr>
        <w:t>s</w:t>
      </w:r>
      <w:r w:rsidR="007A51A2" w:rsidRPr="00A21E4D">
        <w:rPr>
          <w:rStyle w:val="Appelnotedebasdep"/>
          <w:rFonts w:ascii="Times New Roman" w:hAnsi="Times New Roman" w:cs="Times New Roman"/>
          <w:sz w:val="24"/>
          <w:szCs w:val="24"/>
          <w:lang w:val="en-GB"/>
        </w:rPr>
        <w:footnoteReference w:id="31"/>
      </w:r>
      <w:r w:rsidR="007266FE" w:rsidRPr="00A21E4D">
        <w:rPr>
          <w:rFonts w:ascii="Times New Roman" w:hAnsi="Times New Roman" w:cs="Times New Roman"/>
          <w:sz w:val="24"/>
          <w:szCs w:val="24"/>
          <w:lang w:val="en-GB"/>
        </w:rPr>
        <w:t>, t</w:t>
      </w:r>
      <w:r w:rsidR="00234AED" w:rsidRPr="00A21E4D">
        <w:rPr>
          <w:rFonts w:ascii="Times New Roman" w:hAnsi="Times New Roman" w:cs="Times New Roman"/>
          <w:sz w:val="24"/>
          <w:szCs w:val="24"/>
          <w:lang w:val="en-GB"/>
        </w:rPr>
        <w:t xml:space="preserve">he Court decided to stretch the concept of subordination by including elements which are </w:t>
      </w:r>
      <w:r w:rsidR="003858D7" w:rsidRPr="00A21E4D">
        <w:rPr>
          <w:rFonts w:ascii="Times New Roman" w:hAnsi="Times New Roman" w:cs="Times New Roman"/>
          <w:sz w:val="24"/>
          <w:szCs w:val="24"/>
          <w:lang w:val="en-GB"/>
        </w:rPr>
        <w:t xml:space="preserve">considered </w:t>
      </w:r>
      <w:r w:rsidR="00234AED" w:rsidRPr="00A21E4D">
        <w:rPr>
          <w:rFonts w:ascii="Times New Roman" w:hAnsi="Times New Roman" w:cs="Times New Roman"/>
          <w:sz w:val="24"/>
          <w:szCs w:val="24"/>
          <w:lang w:val="en-GB"/>
        </w:rPr>
        <w:t xml:space="preserve">as </w:t>
      </w:r>
      <w:r w:rsidR="00302307" w:rsidRPr="00A21E4D">
        <w:rPr>
          <w:rFonts w:ascii="Times New Roman" w:hAnsi="Times New Roman" w:cs="Times New Roman"/>
          <w:sz w:val="24"/>
          <w:szCs w:val="24"/>
          <w:lang w:val="en-GB"/>
        </w:rPr>
        <w:t xml:space="preserve">falling </w:t>
      </w:r>
      <w:r w:rsidR="00234AED" w:rsidRPr="00A21E4D">
        <w:rPr>
          <w:rFonts w:ascii="Times New Roman" w:hAnsi="Times New Roman" w:cs="Times New Roman"/>
          <w:sz w:val="24"/>
          <w:szCs w:val="24"/>
          <w:lang w:val="en-GB"/>
        </w:rPr>
        <w:t>outside it</w:t>
      </w:r>
      <w:r w:rsidR="003979BC" w:rsidRPr="00A21E4D">
        <w:rPr>
          <w:rFonts w:ascii="Times New Roman" w:hAnsi="Times New Roman" w:cs="Times New Roman"/>
          <w:sz w:val="24"/>
          <w:szCs w:val="24"/>
          <w:lang w:val="en-GB"/>
        </w:rPr>
        <w:t>, such as, among other things, the question of participation to the risks</w:t>
      </w:r>
      <w:r w:rsidR="0090747E" w:rsidRPr="00A21E4D">
        <w:rPr>
          <w:rFonts w:ascii="Times New Roman" w:hAnsi="Times New Roman" w:cs="Times New Roman"/>
          <w:sz w:val="24"/>
          <w:szCs w:val="24"/>
          <w:lang w:val="en-GB"/>
        </w:rPr>
        <w:t xml:space="preserve"> or economic dependency</w:t>
      </w:r>
      <w:r w:rsidR="0090747E" w:rsidRPr="00A21E4D">
        <w:rPr>
          <w:rStyle w:val="Appelnotedebasdep"/>
          <w:rFonts w:ascii="Times New Roman" w:hAnsi="Times New Roman" w:cs="Times New Roman"/>
          <w:sz w:val="24"/>
          <w:szCs w:val="24"/>
          <w:lang w:val="en-GB"/>
        </w:rPr>
        <w:footnoteReference w:id="32"/>
      </w:r>
      <w:r w:rsidR="009172FB" w:rsidRPr="00A21E4D">
        <w:rPr>
          <w:rFonts w:ascii="Times New Roman" w:hAnsi="Times New Roman" w:cs="Times New Roman"/>
          <w:sz w:val="24"/>
          <w:szCs w:val="24"/>
          <w:lang w:val="en-GB"/>
        </w:rPr>
        <w:t>.</w:t>
      </w:r>
      <w:r w:rsidR="00234AED" w:rsidRPr="00A21E4D">
        <w:rPr>
          <w:rFonts w:ascii="Times New Roman" w:hAnsi="Times New Roman" w:cs="Times New Roman"/>
          <w:sz w:val="24"/>
          <w:szCs w:val="24"/>
          <w:lang w:val="en-GB"/>
        </w:rPr>
        <w:t xml:space="preserve"> </w:t>
      </w:r>
      <w:r w:rsidR="008C4DBC" w:rsidRPr="00A21E4D">
        <w:rPr>
          <w:rFonts w:ascii="Times New Roman" w:hAnsi="Times New Roman" w:cs="Times New Roman"/>
          <w:sz w:val="24"/>
          <w:szCs w:val="24"/>
          <w:lang w:val="en-GB"/>
        </w:rPr>
        <w:t xml:space="preserve">However, </w:t>
      </w:r>
      <w:r w:rsidR="001E6D27" w:rsidRPr="00A21E4D">
        <w:rPr>
          <w:rFonts w:ascii="Times New Roman" w:hAnsi="Times New Roman" w:cs="Times New Roman"/>
          <w:sz w:val="24"/>
          <w:szCs w:val="24"/>
          <w:lang w:val="en-GB"/>
        </w:rPr>
        <w:t xml:space="preserve">these cases deal with </w:t>
      </w:r>
      <w:r w:rsidR="001E6D27" w:rsidRPr="00A21E4D">
        <w:rPr>
          <w:rFonts w:ascii="Times New Roman" w:hAnsi="Times New Roman" w:cs="Times New Roman"/>
          <w:sz w:val="24"/>
          <w:szCs w:val="24"/>
          <w:lang w:val="en-GB"/>
        </w:rPr>
        <w:lastRenderedPageBreak/>
        <w:t>exceptional circumstances within the field of free movement</w:t>
      </w:r>
      <w:r w:rsidR="007B3452" w:rsidRPr="00A21E4D">
        <w:rPr>
          <w:rFonts w:ascii="Times New Roman" w:hAnsi="Times New Roman" w:cs="Times New Roman"/>
          <w:sz w:val="24"/>
          <w:szCs w:val="24"/>
          <w:lang w:val="en-GB"/>
        </w:rPr>
        <w:t>,</w:t>
      </w:r>
      <w:r w:rsidR="001E6D27" w:rsidRPr="00A21E4D">
        <w:rPr>
          <w:rFonts w:ascii="Times New Roman" w:hAnsi="Times New Roman" w:cs="Times New Roman"/>
          <w:sz w:val="24"/>
          <w:szCs w:val="24"/>
          <w:lang w:val="en-GB"/>
        </w:rPr>
        <w:t xml:space="preserve"> </w:t>
      </w:r>
      <w:r w:rsidR="007B3452" w:rsidRPr="00A21E4D">
        <w:rPr>
          <w:rFonts w:ascii="Times New Roman" w:hAnsi="Times New Roman" w:cs="Times New Roman"/>
          <w:sz w:val="24"/>
          <w:szCs w:val="24"/>
          <w:lang w:val="en-GB"/>
        </w:rPr>
        <w:t xml:space="preserve">so </w:t>
      </w:r>
      <w:r w:rsidR="001E6D27" w:rsidRPr="00A21E4D">
        <w:rPr>
          <w:rFonts w:ascii="Times New Roman" w:hAnsi="Times New Roman" w:cs="Times New Roman"/>
          <w:sz w:val="24"/>
          <w:szCs w:val="24"/>
          <w:lang w:val="en-GB"/>
        </w:rPr>
        <w:t xml:space="preserve">that a </w:t>
      </w:r>
      <w:r w:rsidR="00BC45DA" w:rsidRPr="00A21E4D">
        <w:rPr>
          <w:rFonts w:ascii="Times New Roman" w:hAnsi="Times New Roman" w:cs="Times New Roman"/>
          <w:sz w:val="24"/>
          <w:szCs w:val="24"/>
          <w:lang w:val="en-GB"/>
        </w:rPr>
        <w:t xml:space="preserve">generalisation </w:t>
      </w:r>
      <w:r w:rsidR="001E6D27" w:rsidRPr="00A21E4D">
        <w:rPr>
          <w:rFonts w:ascii="Times New Roman" w:hAnsi="Times New Roman" w:cs="Times New Roman"/>
          <w:sz w:val="24"/>
          <w:szCs w:val="24"/>
          <w:lang w:val="en-GB"/>
        </w:rPr>
        <w:t xml:space="preserve">of the reasoning </w:t>
      </w:r>
      <w:r w:rsidR="00CA5A27" w:rsidRPr="00A21E4D">
        <w:rPr>
          <w:rFonts w:ascii="Times New Roman" w:hAnsi="Times New Roman" w:cs="Times New Roman"/>
          <w:sz w:val="24"/>
          <w:szCs w:val="24"/>
          <w:lang w:val="en-GB"/>
        </w:rPr>
        <w:t xml:space="preserve">of the Court </w:t>
      </w:r>
      <w:r w:rsidR="001E6D27" w:rsidRPr="00A21E4D">
        <w:rPr>
          <w:rFonts w:ascii="Times New Roman" w:hAnsi="Times New Roman" w:cs="Times New Roman"/>
          <w:sz w:val="24"/>
          <w:szCs w:val="24"/>
          <w:lang w:val="en-GB"/>
        </w:rPr>
        <w:t xml:space="preserve">to the whole field would </w:t>
      </w:r>
      <w:r w:rsidR="00E13713" w:rsidRPr="00A21E4D">
        <w:rPr>
          <w:rFonts w:ascii="Times New Roman" w:hAnsi="Times New Roman" w:cs="Times New Roman"/>
          <w:sz w:val="24"/>
          <w:szCs w:val="24"/>
          <w:lang w:val="en-GB"/>
        </w:rPr>
        <w:t>probably be</w:t>
      </w:r>
      <w:r w:rsidR="0096080D" w:rsidRPr="00A21E4D">
        <w:rPr>
          <w:rFonts w:ascii="Times New Roman" w:hAnsi="Times New Roman" w:cs="Times New Roman"/>
          <w:sz w:val="24"/>
          <w:szCs w:val="24"/>
          <w:lang w:val="en-GB"/>
        </w:rPr>
        <w:t xml:space="preserve"> </w:t>
      </w:r>
      <w:r w:rsidR="00CC1FFA" w:rsidRPr="00A21E4D">
        <w:rPr>
          <w:rFonts w:ascii="Times New Roman" w:hAnsi="Times New Roman" w:cs="Times New Roman"/>
          <w:sz w:val="24"/>
          <w:szCs w:val="24"/>
          <w:lang w:val="en-GB"/>
        </w:rPr>
        <w:t>excessive</w:t>
      </w:r>
      <w:r w:rsidR="001E6D27" w:rsidRPr="00A21E4D">
        <w:rPr>
          <w:rFonts w:ascii="Times New Roman" w:hAnsi="Times New Roman" w:cs="Times New Roman"/>
          <w:sz w:val="24"/>
          <w:szCs w:val="24"/>
          <w:lang w:val="en-GB"/>
        </w:rPr>
        <w:t xml:space="preserve">. </w:t>
      </w:r>
    </w:p>
    <w:p w14:paraId="6806EDE5" w14:textId="77777777" w:rsidR="00DA0E75" w:rsidRPr="00A21E4D" w:rsidRDefault="004D477D" w:rsidP="002F0EBC">
      <w:pPr>
        <w:pStyle w:val="Paragraphedeliste"/>
        <w:numPr>
          <w:ilvl w:val="0"/>
          <w:numId w:val="20"/>
        </w:numPr>
        <w:spacing w:line="240" w:lineRule="auto"/>
        <w:jc w:val="both"/>
        <w:rPr>
          <w:rFonts w:ascii="Times New Roman" w:hAnsi="Times New Roman" w:cs="Times New Roman"/>
          <w:b/>
          <w:sz w:val="24"/>
          <w:szCs w:val="24"/>
          <w:lang w:val="en-GB"/>
        </w:rPr>
      </w:pPr>
      <w:r w:rsidRPr="00A21E4D">
        <w:rPr>
          <w:rFonts w:ascii="Times New Roman" w:hAnsi="Times New Roman" w:cs="Times New Roman"/>
          <w:b/>
          <w:sz w:val="24"/>
          <w:szCs w:val="24"/>
          <w:lang w:val="en-GB"/>
        </w:rPr>
        <w:t>THE CONCEPT OF WORKER IN SOCIAL POLICY DIRECTIVES:</w:t>
      </w:r>
    </w:p>
    <w:p w14:paraId="6CE16765" w14:textId="77777777" w:rsidR="00325D03" w:rsidRPr="00A21E4D" w:rsidRDefault="00325D03" w:rsidP="00F0032F">
      <w:pPr>
        <w:pStyle w:val="Paragraphedeliste"/>
        <w:spacing w:line="240" w:lineRule="auto"/>
        <w:ind w:left="0"/>
        <w:jc w:val="both"/>
        <w:rPr>
          <w:rFonts w:ascii="Times New Roman" w:hAnsi="Times New Roman" w:cs="Times New Roman"/>
          <w:sz w:val="24"/>
          <w:szCs w:val="24"/>
          <w:lang w:val="en-GB"/>
        </w:rPr>
      </w:pPr>
    </w:p>
    <w:p w14:paraId="1E487B8A" w14:textId="720BA235" w:rsidR="00325D03" w:rsidRPr="00A21E4D" w:rsidRDefault="00325D0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In secondary law,</w:t>
      </w:r>
      <w:r w:rsidR="003A0E96" w:rsidRPr="00A21E4D">
        <w:rPr>
          <w:rFonts w:ascii="Times New Roman" w:hAnsi="Times New Roman" w:cs="Times New Roman"/>
          <w:sz w:val="24"/>
          <w:szCs w:val="24"/>
          <w:lang w:val="en-GB"/>
        </w:rPr>
        <w:t xml:space="preserve"> more precisely in </w:t>
      </w:r>
      <w:r w:rsidR="00C36F8E" w:rsidRPr="00A21E4D">
        <w:rPr>
          <w:rFonts w:ascii="Times New Roman" w:hAnsi="Times New Roman" w:cs="Times New Roman"/>
          <w:sz w:val="24"/>
          <w:szCs w:val="24"/>
          <w:lang w:val="en-GB"/>
        </w:rPr>
        <w:t>S</w:t>
      </w:r>
      <w:r w:rsidR="003A0E96"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003A0E96"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003A0E96" w:rsidRPr="00A21E4D">
        <w:rPr>
          <w:rFonts w:ascii="Times New Roman" w:hAnsi="Times New Roman" w:cs="Times New Roman"/>
          <w:sz w:val="24"/>
          <w:szCs w:val="24"/>
          <w:lang w:val="en-GB"/>
        </w:rPr>
        <w:t>irectives,</w:t>
      </w:r>
      <w:r w:rsidRPr="00A21E4D">
        <w:rPr>
          <w:rFonts w:ascii="Times New Roman" w:hAnsi="Times New Roman" w:cs="Times New Roman"/>
          <w:sz w:val="24"/>
          <w:szCs w:val="24"/>
          <w:lang w:val="en-GB"/>
        </w:rPr>
        <w:t xml:space="preserve"> the concept of worker is widely used</w:t>
      </w:r>
      <w:r w:rsidR="00FA7C40" w:rsidRPr="00A21E4D">
        <w:rPr>
          <w:rFonts w:ascii="Times New Roman" w:hAnsi="Times New Roman" w:cs="Times New Roman"/>
          <w:sz w:val="24"/>
          <w:szCs w:val="24"/>
          <w:lang w:val="en-GB"/>
        </w:rPr>
        <w:t xml:space="preserve"> but </w:t>
      </w:r>
      <w:r w:rsidR="00117717" w:rsidRPr="00A21E4D">
        <w:rPr>
          <w:rFonts w:ascii="Times New Roman" w:hAnsi="Times New Roman" w:cs="Times New Roman"/>
          <w:sz w:val="24"/>
          <w:szCs w:val="24"/>
          <w:lang w:val="en-GB"/>
        </w:rPr>
        <w:t xml:space="preserve">rarely </w:t>
      </w:r>
      <w:r w:rsidRPr="00A21E4D">
        <w:rPr>
          <w:rFonts w:ascii="Times New Roman" w:hAnsi="Times New Roman" w:cs="Times New Roman"/>
          <w:sz w:val="24"/>
          <w:szCs w:val="24"/>
          <w:lang w:val="en-GB"/>
        </w:rPr>
        <w:t>defined. Most simply refer back to the national definition of the concept, while some other do not contain any indication about the definition which should be used. Only the Occupational Safety and Health Framework Dir</w:t>
      </w:r>
      <w:r w:rsidR="007266FE" w:rsidRPr="00A21E4D">
        <w:rPr>
          <w:rFonts w:ascii="Times New Roman" w:hAnsi="Times New Roman" w:cs="Times New Roman"/>
          <w:sz w:val="24"/>
          <w:szCs w:val="24"/>
          <w:lang w:val="en-GB"/>
        </w:rPr>
        <w:t>ective does contain a quite broad and not very precise definition of a worker</w:t>
      </w:r>
      <w:r w:rsidR="001E5B86" w:rsidRPr="00A21E4D">
        <w:rPr>
          <w:rFonts w:ascii="Times New Roman" w:hAnsi="Times New Roman" w:cs="Times New Roman"/>
          <w:sz w:val="24"/>
          <w:szCs w:val="24"/>
          <w:lang w:val="en-GB"/>
        </w:rPr>
        <w:t xml:space="preserve">. The </w:t>
      </w:r>
      <w:r w:rsidRPr="00A21E4D">
        <w:rPr>
          <w:rFonts w:ascii="Times New Roman" w:hAnsi="Times New Roman" w:cs="Times New Roman"/>
          <w:sz w:val="24"/>
          <w:szCs w:val="24"/>
          <w:lang w:val="en-GB"/>
        </w:rPr>
        <w:t>worker is “any person employed by an employer, including trainees and apprentices b</w:t>
      </w:r>
      <w:r w:rsidR="00F72CD0" w:rsidRPr="00A21E4D">
        <w:rPr>
          <w:rFonts w:ascii="Times New Roman" w:hAnsi="Times New Roman" w:cs="Times New Roman"/>
          <w:sz w:val="24"/>
          <w:szCs w:val="24"/>
          <w:lang w:val="en-GB"/>
        </w:rPr>
        <w:t>ut excluding domestic servants”</w:t>
      </w:r>
      <w:r w:rsidRPr="00A21E4D">
        <w:rPr>
          <w:rStyle w:val="Appelnotedebasdep"/>
          <w:rFonts w:ascii="Times New Roman" w:hAnsi="Times New Roman" w:cs="Times New Roman"/>
          <w:sz w:val="24"/>
          <w:szCs w:val="24"/>
          <w:lang w:val="en-GB"/>
        </w:rPr>
        <w:footnoteReference w:id="33"/>
      </w:r>
      <w:r w:rsidRPr="00A21E4D">
        <w:rPr>
          <w:rFonts w:ascii="Times New Roman" w:hAnsi="Times New Roman" w:cs="Times New Roman"/>
          <w:sz w:val="24"/>
          <w:szCs w:val="24"/>
          <w:lang w:val="en-GB"/>
        </w:rPr>
        <w:t xml:space="preserve">. </w:t>
      </w:r>
    </w:p>
    <w:p w14:paraId="7B0B6F33" w14:textId="77777777" w:rsidR="00325D03" w:rsidRPr="00A21E4D" w:rsidRDefault="00325D03" w:rsidP="00F0032F">
      <w:pPr>
        <w:pStyle w:val="Paragraphedeliste"/>
        <w:spacing w:line="240" w:lineRule="auto"/>
        <w:ind w:left="0"/>
        <w:jc w:val="both"/>
        <w:rPr>
          <w:rFonts w:ascii="Times New Roman" w:hAnsi="Times New Roman" w:cs="Times New Roman"/>
          <w:sz w:val="24"/>
          <w:szCs w:val="24"/>
          <w:lang w:val="en-GB"/>
        </w:rPr>
      </w:pPr>
    </w:p>
    <w:p w14:paraId="00B5FB2E" w14:textId="2FDE5C1B" w:rsidR="00325D03" w:rsidRPr="00A21E4D" w:rsidRDefault="00325D0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The purpose of the following chapter is to first study the situation where </w:t>
      </w:r>
      <w:r w:rsidR="001D1C4D" w:rsidRPr="00A21E4D">
        <w:rPr>
          <w:rFonts w:ascii="Times New Roman" w:hAnsi="Times New Roman" w:cs="Times New Roman"/>
          <w:sz w:val="24"/>
          <w:szCs w:val="24"/>
          <w:lang w:val="en-GB"/>
        </w:rPr>
        <w:t xml:space="preserve">a given Directive </w:t>
      </w:r>
      <w:r w:rsidRPr="00A21E4D">
        <w:rPr>
          <w:rFonts w:ascii="Times New Roman" w:hAnsi="Times New Roman" w:cs="Times New Roman"/>
          <w:sz w:val="24"/>
          <w:szCs w:val="24"/>
          <w:lang w:val="en-GB"/>
        </w:rPr>
        <w:t>does not contain any indication of a definition of worker</w:t>
      </w:r>
      <w:r w:rsidR="00E34617" w:rsidRPr="00A21E4D">
        <w:rPr>
          <w:rFonts w:ascii="Times New Roman" w:hAnsi="Times New Roman" w:cs="Times New Roman"/>
          <w:sz w:val="24"/>
          <w:szCs w:val="24"/>
          <w:lang w:val="en-GB"/>
        </w:rPr>
        <w:t xml:space="preserve">, leading </w:t>
      </w:r>
      <w:r w:rsidRPr="00A21E4D">
        <w:rPr>
          <w:rFonts w:ascii="Times New Roman" w:hAnsi="Times New Roman" w:cs="Times New Roman"/>
          <w:sz w:val="24"/>
          <w:szCs w:val="24"/>
          <w:lang w:val="en-GB"/>
        </w:rPr>
        <w:t xml:space="preserve">the Court </w:t>
      </w:r>
      <w:r w:rsidR="00E34617" w:rsidRPr="00A21E4D">
        <w:rPr>
          <w:rFonts w:ascii="Times New Roman" w:hAnsi="Times New Roman" w:cs="Times New Roman"/>
          <w:sz w:val="24"/>
          <w:szCs w:val="24"/>
          <w:lang w:val="en-GB"/>
        </w:rPr>
        <w:t xml:space="preserve">to </w:t>
      </w:r>
      <w:r w:rsidRPr="00A21E4D">
        <w:rPr>
          <w:rFonts w:ascii="Times New Roman" w:hAnsi="Times New Roman" w:cs="Times New Roman"/>
          <w:sz w:val="24"/>
          <w:szCs w:val="24"/>
          <w:lang w:val="en-GB"/>
        </w:rPr>
        <w:t xml:space="preserve">find an autonomous concept of worker. </w:t>
      </w:r>
      <w:r w:rsidR="006670EC" w:rsidRPr="00A21E4D">
        <w:rPr>
          <w:rFonts w:ascii="Times New Roman" w:hAnsi="Times New Roman" w:cs="Times New Roman"/>
          <w:sz w:val="24"/>
          <w:szCs w:val="24"/>
          <w:lang w:val="en-GB"/>
        </w:rPr>
        <w:t>T</w:t>
      </w:r>
      <w:r w:rsidRPr="00A21E4D">
        <w:rPr>
          <w:rFonts w:ascii="Times New Roman" w:hAnsi="Times New Roman" w:cs="Times New Roman"/>
          <w:sz w:val="24"/>
          <w:szCs w:val="24"/>
          <w:lang w:val="en-GB"/>
        </w:rPr>
        <w:t xml:space="preserve">he </w:t>
      </w:r>
      <w:r w:rsidR="006606A6" w:rsidRPr="00A21E4D">
        <w:rPr>
          <w:rFonts w:ascii="Times New Roman" w:hAnsi="Times New Roman" w:cs="Times New Roman"/>
          <w:sz w:val="24"/>
          <w:szCs w:val="24"/>
          <w:lang w:val="en-GB"/>
        </w:rPr>
        <w:t xml:space="preserve">relevant </w:t>
      </w:r>
      <w:r w:rsidRPr="00A21E4D">
        <w:rPr>
          <w:rFonts w:ascii="Times New Roman" w:hAnsi="Times New Roman" w:cs="Times New Roman"/>
          <w:sz w:val="24"/>
          <w:szCs w:val="24"/>
          <w:lang w:val="en-GB"/>
        </w:rPr>
        <w:t>case-law</w:t>
      </w:r>
      <w:r w:rsidR="006670EC" w:rsidRPr="00A21E4D">
        <w:rPr>
          <w:rFonts w:ascii="Times New Roman" w:hAnsi="Times New Roman" w:cs="Times New Roman"/>
          <w:sz w:val="24"/>
          <w:szCs w:val="24"/>
          <w:lang w:val="en-GB"/>
        </w:rPr>
        <w:t xml:space="preserve"> will be analysed</w:t>
      </w:r>
      <w:r w:rsidRPr="00A21E4D">
        <w:rPr>
          <w:rFonts w:ascii="Times New Roman" w:hAnsi="Times New Roman" w:cs="Times New Roman"/>
          <w:sz w:val="24"/>
          <w:szCs w:val="24"/>
          <w:lang w:val="en-GB"/>
        </w:rPr>
        <w:t xml:space="preserve"> to find out which kind of definition is used and to which extend it is comparable to th</w:t>
      </w:r>
      <w:r w:rsidR="00B2340D" w:rsidRPr="00A21E4D">
        <w:rPr>
          <w:rFonts w:ascii="Times New Roman" w:hAnsi="Times New Roman" w:cs="Times New Roman"/>
          <w:sz w:val="24"/>
          <w:szCs w:val="24"/>
          <w:lang w:val="en-GB"/>
        </w:rPr>
        <w:t>e Court’s definition</w:t>
      </w:r>
      <w:r w:rsidRPr="00A21E4D">
        <w:rPr>
          <w:rFonts w:ascii="Times New Roman" w:hAnsi="Times New Roman" w:cs="Times New Roman"/>
          <w:sz w:val="24"/>
          <w:szCs w:val="24"/>
          <w:lang w:val="en-GB"/>
        </w:rPr>
        <w:t xml:space="preserve"> in the </w:t>
      </w:r>
      <w:r w:rsidRPr="00A21E4D">
        <w:rPr>
          <w:rFonts w:ascii="Times New Roman" w:hAnsi="Times New Roman" w:cs="Times New Roman"/>
          <w:i/>
          <w:sz w:val="24"/>
          <w:szCs w:val="24"/>
          <w:lang w:val="en-GB"/>
        </w:rPr>
        <w:t>Lawrie-Blum</w:t>
      </w:r>
      <w:r w:rsidRPr="00A21E4D">
        <w:rPr>
          <w:rFonts w:ascii="Times New Roman" w:hAnsi="Times New Roman" w:cs="Times New Roman"/>
          <w:sz w:val="24"/>
          <w:szCs w:val="24"/>
          <w:lang w:val="en-GB"/>
        </w:rPr>
        <w:t xml:space="preserve"> case-law. </w:t>
      </w:r>
      <w:r w:rsidR="006670EC" w:rsidRPr="00A21E4D">
        <w:rPr>
          <w:rFonts w:ascii="Times New Roman" w:hAnsi="Times New Roman" w:cs="Times New Roman"/>
          <w:sz w:val="24"/>
          <w:szCs w:val="24"/>
          <w:lang w:val="en-GB"/>
        </w:rPr>
        <w:t>The focus will then shift</w:t>
      </w:r>
      <w:r w:rsidR="00B2340D" w:rsidRPr="00A21E4D">
        <w:rPr>
          <w:rFonts w:ascii="Times New Roman" w:hAnsi="Times New Roman" w:cs="Times New Roman"/>
          <w:sz w:val="24"/>
          <w:szCs w:val="24"/>
          <w:lang w:val="en-GB"/>
        </w:rPr>
        <w:t xml:space="preserve"> to</w:t>
      </w:r>
      <w:r w:rsidRPr="00A21E4D">
        <w:rPr>
          <w:rFonts w:ascii="Times New Roman" w:hAnsi="Times New Roman" w:cs="Times New Roman"/>
          <w:sz w:val="24"/>
          <w:szCs w:val="24"/>
          <w:lang w:val="en-GB"/>
        </w:rPr>
        <w:t xml:space="preserve"> </w:t>
      </w:r>
      <w:r w:rsidR="00C36F8E"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 xml:space="preserve">irectives where the definition of worker is left to the Member State. </w:t>
      </w:r>
    </w:p>
    <w:p w14:paraId="6071CCBB" w14:textId="77777777" w:rsidR="00325D03" w:rsidRPr="00A21E4D" w:rsidRDefault="00325D03" w:rsidP="00F0032F">
      <w:pPr>
        <w:pStyle w:val="Paragraphedeliste"/>
        <w:spacing w:line="240" w:lineRule="auto"/>
        <w:ind w:left="0"/>
        <w:jc w:val="both"/>
        <w:rPr>
          <w:rFonts w:ascii="Times New Roman" w:hAnsi="Times New Roman" w:cs="Times New Roman"/>
          <w:i/>
          <w:sz w:val="24"/>
          <w:szCs w:val="24"/>
          <w:lang w:val="en-GB"/>
        </w:rPr>
      </w:pPr>
    </w:p>
    <w:p w14:paraId="6156F95C" w14:textId="77777777" w:rsidR="002F0EBC" w:rsidRPr="00A21E4D" w:rsidRDefault="002F0EBC" w:rsidP="002F0EBC">
      <w:pPr>
        <w:pStyle w:val="Paragraphedeliste"/>
        <w:numPr>
          <w:ilvl w:val="0"/>
          <w:numId w:val="19"/>
        </w:numPr>
        <w:spacing w:line="240" w:lineRule="auto"/>
        <w:jc w:val="both"/>
        <w:rPr>
          <w:rFonts w:ascii="Times New Roman" w:hAnsi="Times New Roman" w:cs="Times New Roman"/>
          <w:b/>
          <w:vanish/>
          <w:sz w:val="24"/>
          <w:szCs w:val="24"/>
          <w:lang w:val="en-GB"/>
        </w:rPr>
      </w:pPr>
    </w:p>
    <w:p w14:paraId="53B84121" w14:textId="77777777" w:rsidR="002F0EBC" w:rsidRPr="00A21E4D" w:rsidRDefault="002F0EBC" w:rsidP="002F0EBC">
      <w:pPr>
        <w:pStyle w:val="Paragraphedeliste"/>
        <w:numPr>
          <w:ilvl w:val="0"/>
          <w:numId w:val="19"/>
        </w:numPr>
        <w:spacing w:line="240" w:lineRule="auto"/>
        <w:jc w:val="both"/>
        <w:rPr>
          <w:rFonts w:ascii="Times New Roman" w:hAnsi="Times New Roman" w:cs="Times New Roman"/>
          <w:b/>
          <w:vanish/>
          <w:sz w:val="24"/>
          <w:szCs w:val="24"/>
          <w:lang w:val="en-GB"/>
        </w:rPr>
      </w:pPr>
    </w:p>
    <w:p w14:paraId="08C8048B" w14:textId="60A92333" w:rsidR="00203E5E" w:rsidRPr="00A21E4D" w:rsidRDefault="004D477D" w:rsidP="002F0EBC">
      <w:pPr>
        <w:pStyle w:val="Paragraphedeliste"/>
        <w:numPr>
          <w:ilvl w:val="1"/>
          <w:numId w:val="19"/>
        </w:numPr>
        <w:spacing w:line="240" w:lineRule="auto"/>
        <w:jc w:val="both"/>
        <w:rPr>
          <w:rFonts w:ascii="Times New Roman" w:hAnsi="Times New Roman" w:cs="Times New Roman"/>
          <w:b/>
          <w:sz w:val="24"/>
          <w:szCs w:val="24"/>
          <w:lang w:val="en-GB"/>
        </w:rPr>
      </w:pPr>
      <w:r w:rsidRPr="00A21E4D">
        <w:rPr>
          <w:rFonts w:ascii="Times New Roman" w:hAnsi="Times New Roman" w:cs="Times New Roman"/>
          <w:b/>
          <w:sz w:val="24"/>
          <w:szCs w:val="24"/>
          <w:lang w:val="en-GB"/>
        </w:rPr>
        <w:t>SO</w:t>
      </w:r>
      <w:r w:rsidR="00203E5E" w:rsidRPr="00A21E4D">
        <w:rPr>
          <w:rFonts w:ascii="Times New Roman" w:hAnsi="Times New Roman" w:cs="Times New Roman"/>
          <w:b/>
          <w:sz w:val="24"/>
          <w:szCs w:val="24"/>
          <w:lang w:val="en-GB"/>
        </w:rPr>
        <w:t>CIAL POLICY DIRECTIVES FOR WHICH THE COURT REFERS</w:t>
      </w:r>
      <w:r w:rsidRPr="00A21E4D">
        <w:rPr>
          <w:rFonts w:ascii="Times New Roman" w:hAnsi="Times New Roman" w:cs="Times New Roman"/>
          <w:b/>
          <w:sz w:val="24"/>
          <w:szCs w:val="24"/>
          <w:lang w:val="en-GB"/>
        </w:rPr>
        <w:t xml:space="preserve"> TO A “COMMUNITY CONCEPT” OF WORKER: WHICH EUROPEAN CONCEPT OF WORKER?</w:t>
      </w:r>
    </w:p>
    <w:p w14:paraId="7C6308EE" w14:textId="77777777" w:rsidR="00325D03" w:rsidRPr="00A21E4D" w:rsidRDefault="00203E5E"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7E5A9AC1" w14:textId="77777777" w:rsidR="00DF5133" w:rsidRPr="00A21E4D" w:rsidRDefault="00325D0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74EFC789" w14:textId="015C49E4" w:rsidR="00325D03" w:rsidRPr="00A21E4D" w:rsidRDefault="00DF513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086746" w:rsidRPr="00A21E4D">
        <w:rPr>
          <w:rFonts w:ascii="Times New Roman" w:hAnsi="Times New Roman" w:cs="Times New Roman"/>
          <w:sz w:val="24"/>
          <w:szCs w:val="24"/>
          <w:lang w:val="en-GB"/>
        </w:rPr>
        <w:t xml:space="preserve">The </w:t>
      </w:r>
      <w:r w:rsidRPr="00A21E4D">
        <w:rPr>
          <w:rFonts w:ascii="Times New Roman" w:hAnsi="Times New Roman" w:cs="Times New Roman"/>
          <w:sz w:val="24"/>
          <w:szCs w:val="24"/>
          <w:lang w:val="en-GB"/>
        </w:rPr>
        <w:t xml:space="preserve">Court of Justice of the European </w:t>
      </w:r>
      <w:r w:rsidR="00DA0046" w:rsidRPr="00A21E4D">
        <w:rPr>
          <w:rFonts w:ascii="Times New Roman" w:hAnsi="Times New Roman" w:cs="Times New Roman"/>
          <w:sz w:val="24"/>
          <w:szCs w:val="24"/>
          <w:lang w:val="en-GB"/>
        </w:rPr>
        <w:t>Union tried to fill up the</w:t>
      </w:r>
      <w:r w:rsidRPr="00A21E4D">
        <w:rPr>
          <w:rFonts w:ascii="Times New Roman" w:hAnsi="Times New Roman" w:cs="Times New Roman"/>
          <w:sz w:val="24"/>
          <w:szCs w:val="24"/>
          <w:lang w:val="en-GB"/>
        </w:rPr>
        <w:t xml:space="preserve"> gap</w:t>
      </w:r>
      <w:r w:rsidR="00DA0046" w:rsidRPr="00A21E4D">
        <w:rPr>
          <w:rFonts w:ascii="Times New Roman" w:hAnsi="Times New Roman" w:cs="Times New Roman"/>
          <w:sz w:val="24"/>
          <w:szCs w:val="24"/>
          <w:lang w:val="en-GB"/>
        </w:rPr>
        <w:t xml:space="preserve"> that represents the lack of definition</w:t>
      </w:r>
      <w:r w:rsidRPr="00A21E4D">
        <w:rPr>
          <w:rStyle w:val="Appelnotedebasdep"/>
          <w:rFonts w:ascii="Times New Roman" w:hAnsi="Times New Roman" w:cs="Times New Roman"/>
          <w:sz w:val="24"/>
          <w:szCs w:val="24"/>
          <w:lang w:val="en-GB"/>
        </w:rPr>
        <w:footnoteReference w:id="34"/>
      </w:r>
      <w:r w:rsidR="00086746" w:rsidRPr="00A21E4D">
        <w:rPr>
          <w:rFonts w:ascii="Times New Roman" w:hAnsi="Times New Roman" w:cs="Times New Roman"/>
          <w:sz w:val="24"/>
          <w:szCs w:val="24"/>
          <w:lang w:val="en-GB"/>
        </w:rPr>
        <w:t xml:space="preserve"> in order to delimit the scope of these Directives</w:t>
      </w:r>
      <w:r w:rsidRPr="00A21E4D">
        <w:rPr>
          <w:rFonts w:ascii="Times New Roman" w:hAnsi="Times New Roman" w:cs="Times New Roman"/>
          <w:sz w:val="24"/>
          <w:szCs w:val="24"/>
          <w:lang w:val="en-GB"/>
        </w:rPr>
        <w:t>.  Two options were available</w:t>
      </w:r>
      <w:r w:rsidR="00B2340D" w:rsidRPr="00A21E4D">
        <w:rPr>
          <w:rFonts w:ascii="Times New Roman" w:hAnsi="Times New Roman" w:cs="Times New Roman"/>
          <w:sz w:val="24"/>
          <w:szCs w:val="24"/>
          <w:lang w:val="en-GB"/>
        </w:rPr>
        <w:t>: follow the trend of the majority of the Directives and accept the national definition or develop an autonomous concept</w:t>
      </w:r>
      <w:r w:rsidRPr="00A21E4D">
        <w:rPr>
          <w:rFonts w:ascii="Times New Roman" w:hAnsi="Times New Roman" w:cs="Times New Roman"/>
          <w:sz w:val="24"/>
          <w:szCs w:val="24"/>
          <w:lang w:val="en-GB"/>
        </w:rPr>
        <w:t xml:space="preserve">. </w:t>
      </w:r>
      <w:r w:rsidR="006670EC" w:rsidRPr="00A21E4D">
        <w:rPr>
          <w:rFonts w:ascii="Times New Roman" w:hAnsi="Times New Roman" w:cs="Times New Roman"/>
          <w:sz w:val="24"/>
          <w:szCs w:val="24"/>
          <w:lang w:val="en-GB"/>
        </w:rPr>
        <w:t>T</w:t>
      </w:r>
      <w:r w:rsidR="00325D03" w:rsidRPr="00A21E4D">
        <w:rPr>
          <w:rFonts w:ascii="Times New Roman" w:hAnsi="Times New Roman" w:cs="Times New Roman"/>
          <w:sz w:val="24"/>
          <w:szCs w:val="24"/>
          <w:lang w:val="en-GB"/>
        </w:rPr>
        <w:t>he following paragraphs</w:t>
      </w:r>
      <w:r w:rsidR="006670EC" w:rsidRPr="00A21E4D">
        <w:rPr>
          <w:rFonts w:ascii="Times New Roman" w:hAnsi="Times New Roman" w:cs="Times New Roman"/>
          <w:sz w:val="24"/>
          <w:szCs w:val="24"/>
          <w:lang w:val="en-GB"/>
        </w:rPr>
        <w:t xml:space="preserve"> show that</w:t>
      </w:r>
      <w:r w:rsidR="00325D03" w:rsidRPr="00A21E4D">
        <w:rPr>
          <w:rFonts w:ascii="Times New Roman" w:hAnsi="Times New Roman" w:cs="Times New Roman"/>
          <w:sz w:val="24"/>
          <w:szCs w:val="24"/>
          <w:lang w:val="en-GB"/>
        </w:rPr>
        <w:t xml:space="preserve"> it is the latter path which was chosen.</w:t>
      </w:r>
    </w:p>
    <w:p w14:paraId="3D2008A8" w14:textId="77777777" w:rsidR="00DF5181" w:rsidRPr="00A21E4D" w:rsidRDefault="00DF5181" w:rsidP="00F0032F">
      <w:pPr>
        <w:pStyle w:val="Paragraphedeliste"/>
        <w:spacing w:line="240" w:lineRule="auto"/>
        <w:ind w:left="0"/>
        <w:jc w:val="both"/>
        <w:rPr>
          <w:rFonts w:ascii="Times New Roman" w:hAnsi="Times New Roman" w:cs="Times New Roman"/>
          <w:sz w:val="24"/>
          <w:szCs w:val="24"/>
          <w:lang w:val="en-GB"/>
        </w:rPr>
      </w:pPr>
    </w:p>
    <w:p w14:paraId="10F8E74E" w14:textId="7355915C" w:rsidR="00DF5181" w:rsidRPr="00A21E4D" w:rsidRDefault="00DF5181"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086746" w:rsidRPr="00A21E4D">
        <w:rPr>
          <w:rFonts w:ascii="Times New Roman" w:hAnsi="Times New Roman" w:cs="Times New Roman"/>
          <w:sz w:val="24"/>
          <w:szCs w:val="24"/>
          <w:lang w:val="en-GB"/>
        </w:rPr>
        <w:t xml:space="preserve">The Court regularly stresses out </w:t>
      </w:r>
      <w:r w:rsidR="007266FE" w:rsidRPr="00A21E4D">
        <w:rPr>
          <w:rFonts w:ascii="Times New Roman" w:hAnsi="Times New Roman" w:cs="Times New Roman"/>
          <w:sz w:val="24"/>
          <w:szCs w:val="24"/>
          <w:lang w:val="en-GB"/>
        </w:rPr>
        <w:t>that the concept of worker</w:t>
      </w:r>
      <w:r w:rsidR="00DE6D26" w:rsidRPr="00A21E4D">
        <w:rPr>
          <w:rFonts w:ascii="Times New Roman" w:hAnsi="Times New Roman" w:cs="Times New Roman"/>
          <w:sz w:val="24"/>
          <w:szCs w:val="24"/>
          <w:lang w:val="en-GB"/>
        </w:rPr>
        <w:t xml:space="preserve"> in these cases has an autonomous meaning and should n</w:t>
      </w:r>
      <w:r w:rsidR="002B21D3" w:rsidRPr="00A21E4D">
        <w:rPr>
          <w:rFonts w:ascii="Times New Roman" w:hAnsi="Times New Roman" w:cs="Times New Roman"/>
          <w:sz w:val="24"/>
          <w:szCs w:val="24"/>
          <w:lang w:val="en-GB"/>
        </w:rPr>
        <w:t>ot be interpreted restrictively</w:t>
      </w:r>
      <w:r w:rsidR="00DE6D26" w:rsidRPr="00A21E4D">
        <w:rPr>
          <w:rFonts w:ascii="Times New Roman" w:hAnsi="Times New Roman" w:cs="Times New Roman"/>
          <w:sz w:val="24"/>
          <w:szCs w:val="24"/>
          <w:lang w:val="en-GB"/>
        </w:rPr>
        <w:t>.</w:t>
      </w:r>
      <w:r w:rsidR="002B21D3"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lang w:val="en-GB"/>
        </w:rPr>
        <w:t xml:space="preserve">When the Court deals with such issues, </w:t>
      </w:r>
      <w:r w:rsidR="007266FE" w:rsidRPr="00A21E4D">
        <w:rPr>
          <w:rFonts w:ascii="Times New Roman" w:hAnsi="Times New Roman" w:cs="Times New Roman"/>
          <w:sz w:val="24"/>
          <w:szCs w:val="24"/>
          <w:lang w:val="en-GB"/>
        </w:rPr>
        <w:t xml:space="preserve">it </w:t>
      </w:r>
      <w:r w:rsidRPr="00A21E4D">
        <w:rPr>
          <w:rFonts w:ascii="Times New Roman" w:hAnsi="Times New Roman" w:cs="Times New Roman"/>
          <w:sz w:val="24"/>
          <w:szCs w:val="24"/>
          <w:lang w:val="en-GB"/>
        </w:rPr>
        <w:t>use</w:t>
      </w:r>
      <w:r w:rsidR="007266FE" w:rsidRPr="00A21E4D">
        <w:rPr>
          <w:rFonts w:ascii="Times New Roman" w:hAnsi="Times New Roman" w:cs="Times New Roman"/>
          <w:sz w:val="24"/>
          <w:szCs w:val="24"/>
          <w:lang w:val="en-GB"/>
        </w:rPr>
        <w:t>s systematically</w:t>
      </w:r>
      <w:r w:rsidRPr="00A21E4D">
        <w:rPr>
          <w:rFonts w:ascii="Times New Roman" w:hAnsi="Times New Roman" w:cs="Times New Roman"/>
          <w:sz w:val="24"/>
          <w:szCs w:val="24"/>
          <w:lang w:val="en-GB"/>
        </w:rPr>
        <w:t xml:space="preserve"> the </w:t>
      </w:r>
      <w:r w:rsidRPr="00A21E4D">
        <w:rPr>
          <w:rFonts w:ascii="Times New Roman" w:hAnsi="Times New Roman" w:cs="Times New Roman"/>
          <w:i/>
          <w:sz w:val="24"/>
          <w:szCs w:val="24"/>
          <w:lang w:val="en-GB"/>
        </w:rPr>
        <w:t>Lawrie-Blum</w:t>
      </w:r>
      <w:r w:rsidRPr="00A21E4D">
        <w:rPr>
          <w:rFonts w:ascii="Times New Roman" w:hAnsi="Times New Roman" w:cs="Times New Roman"/>
          <w:sz w:val="24"/>
          <w:szCs w:val="24"/>
          <w:lang w:val="en-GB"/>
        </w:rPr>
        <w:t xml:space="preserve"> definiti</w:t>
      </w:r>
      <w:r w:rsidR="00B2340D" w:rsidRPr="00A21E4D">
        <w:rPr>
          <w:rFonts w:ascii="Times New Roman" w:hAnsi="Times New Roman" w:cs="Times New Roman"/>
          <w:sz w:val="24"/>
          <w:szCs w:val="24"/>
          <w:lang w:val="en-GB"/>
        </w:rPr>
        <w:t>on of a worker</w:t>
      </w:r>
      <w:r w:rsidR="002B21D3" w:rsidRPr="00A21E4D">
        <w:rPr>
          <w:rStyle w:val="Appelnotedebasdep"/>
          <w:rFonts w:ascii="Times New Roman" w:hAnsi="Times New Roman" w:cs="Times New Roman"/>
          <w:sz w:val="24"/>
          <w:szCs w:val="24"/>
          <w:lang w:val="en-GB"/>
        </w:rPr>
        <w:footnoteReference w:id="35"/>
      </w:r>
      <w:r w:rsidR="002B21D3" w:rsidRPr="00A21E4D">
        <w:rPr>
          <w:rFonts w:ascii="Times New Roman" w:hAnsi="Times New Roman" w:cs="Times New Roman"/>
          <w:sz w:val="24"/>
          <w:szCs w:val="24"/>
          <w:lang w:val="en-GB"/>
        </w:rPr>
        <w:t>.</w:t>
      </w:r>
      <w:r w:rsidR="008C7EEE" w:rsidRPr="00A21E4D">
        <w:rPr>
          <w:rFonts w:ascii="Times New Roman" w:hAnsi="Times New Roman" w:cs="Times New Roman"/>
          <w:sz w:val="24"/>
          <w:szCs w:val="24"/>
          <w:lang w:val="en-GB"/>
        </w:rPr>
        <w:t xml:space="preserve"> We will take into account this characteristic in our presentation of the case-law and compare how the Court handles </w:t>
      </w:r>
      <w:r w:rsidR="009A3985" w:rsidRPr="00A21E4D">
        <w:rPr>
          <w:rFonts w:ascii="Times New Roman" w:hAnsi="Times New Roman" w:cs="Times New Roman"/>
          <w:sz w:val="24"/>
          <w:szCs w:val="24"/>
          <w:lang w:val="en-GB"/>
        </w:rPr>
        <w:t xml:space="preserve">each of </w:t>
      </w:r>
      <w:r w:rsidR="008C7EEE" w:rsidRPr="00A21E4D">
        <w:rPr>
          <w:rFonts w:ascii="Times New Roman" w:hAnsi="Times New Roman" w:cs="Times New Roman"/>
          <w:sz w:val="24"/>
          <w:szCs w:val="24"/>
          <w:lang w:val="en-GB"/>
        </w:rPr>
        <w:t xml:space="preserve">the three </w:t>
      </w:r>
      <w:r w:rsidR="00E1133B" w:rsidRPr="00A21E4D">
        <w:rPr>
          <w:rFonts w:ascii="Times New Roman" w:hAnsi="Times New Roman" w:cs="Times New Roman"/>
          <w:sz w:val="24"/>
          <w:szCs w:val="24"/>
          <w:lang w:val="en-GB"/>
        </w:rPr>
        <w:t>criteria</w:t>
      </w:r>
      <w:r w:rsidR="008C7EEE" w:rsidRPr="00A21E4D">
        <w:rPr>
          <w:rFonts w:ascii="Times New Roman" w:hAnsi="Times New Roman" w:cs="Times New Roman"/>
          <w:sz w:val="24"/>
          <w:szCs w:val="24"/>
          <w:lang w:val="en-GB"/>
        </w:rPr>
        <w:t xml:space="preserve"> in social policy cases </w:t>
      </w:r>
      <w:r w:rsidR="009A3985" w:rsidRPr="00A21E4D">
        <w:rPr>
          <w:rFonts w:ascii="Times New Roman" w:hAnsi="Times New Roman" w:cs="Times New Roman"/>
          <w:sz w:val="24"/>
          <w:szCs w:val="24"/>
          <w:lang w:val="en-GB"/>
        </w:rPr>
        <w:t>with the situation of free movement previously studied.</w:t>
      </w:r>
    </w:p>
    <w:p w14:paraId="033BF603" w14:textId="77777777" w:rsidR="00E432C0" w:rsidRPr="00A21E4D" w:rsidRDefault="001D12C4"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4D768EE8" w14:textId="07CAA56B" w:rsidR="005D6A3B" w:rsidRPr="00A21E4D" w:rsidRDefault="00E432C0"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lastRenderedPageBreak/>
        <w:tab/>
      </w:r>
      <w:r w:rsidR="00110DB1" w:rsidRPr="00A21E4D">
        <w:rPr>
          <w:rFonts w:ascii="Times New Roman" w:hAnsi="Times New Roman" w:cs="Times New Roman"/>
          <w:sz w:val="24"/>
          <w:szCs w:val="24"/>
          <w:lang w:val="en-GB"/>
        </w:rPr>
        <w:t>We observe that like in the field of free movement, the party which denies the existence of the employment relationship is often an authority of a Member State, while the other party is a public servant or someone which is in a comparable situation under national law. This characteristic is again not deemed relevant (</w:t>
      </w:r>
      <w:r w:rsidR="00110DB1" w:rsidRPr="00A21E4D">
        <w:rPr>
          <w:rFonts w:ascii="Times New Roman" w:hAnsi="Times New Roman" w:cs="Times New Roman"/>
          <w:i/>
          <w:sz w:val="24"/>
          <w:szCs w:val="24"/>
          <w:lang w:val="en-GB"/>
        </w:rPr>
        <w:t>Kiiski</w:t>
      </w:r>
      <w:r w:rsidR="00110DB1" w:rsidRPr="00A21E4D">
        <w:rPr>
          <w:rFonts w:ascii="Times New Roman" w:hAnsi="Times New Roman" w:cs="Times New Roman"/>
          <w:sz w:val="24"/>
          <w:szCs w:val="24"/>
          <w:lang w:val="en-GB"/>
        </w:rPr>
        <w:t xml:space="preserve">, </w:t>
      </w:r>
      <w:r w:rsidR="00110DB1" w:rsidRPr="00A21E4D">
        <w:rPr>
          <w:rFonts w:ascii="Times New Roman" w:hAnsi="Times New Roman" w:cs="Times New Roman"/>
          <w:i/>
          <w:sz w:val="24"/>
          <w:szCs w:val="24"/>
          <w:lang w:val="en-GB"/>
        </w:rPr>
        <w:t>AOK</w:t>
      </w:r>
      <w:r w:rsidR="00110DB1" w:rsidRPr="00A21E4D">
        <w:rPr>
          <w:rFonts w:ascii="Times New Roman" w:hAnsi="Times New Roman" w:cs="Times New Roman"/>
          <w:sz w:val="24"/>
          <w:szCs w:val="24"/>
          <w:lang w:val="en-GB"/>
        </w:rPr>
        <w:t xml:space="preserve"> and </w:t>
      </w:r>
      <w:r w:rsidR="00110DB1" w:rsidRPr="00A21E4D">
        <w:rPr>
          <w:rFonts w:ascii="Times New Roman" w:hAnsi="Times New Roman" w:cs="Times New Roman"/>
          <w:i/>
          <w:sz w:val="24"/>
          <w:szCs w:val="24"/>
          <w:lang w:val="en-GB"/>
        </w:rPr>
        <w:t xml:space="preserve">Neidel </w:t>
      </w:r>
      <w:r w:rsidR="00110DB1" w:rsidRPr="00A21E4D">
        <w:rPr>
          <w:rFonts w:ascii="Times New Roman" w:hAnsi="Times New Roman" w:cs="Times New Roman"/>
          <w:sz w:val="24"/>
          <w:szCs w:val="24"/>
          <w:lang w:val="en-GB"/>
        </w:rPr>
        <w:t>cases).</w:t>
      </w:r>
      <w:r w:rsidR="005D6A3B" w:rsidRPr="00A21E4D">
        <w:rPr>
          <w:rFonts w:ascii="Times New Roman" w:hAnsi="Times New Roman" w:cs="Times New Roman"/>
          <w:sz w:val="24"/>
          <w:szCs w:val="24"/>
          <w:lang w:val="en-GB"/>
        </w:rPr>
        <w:t xml:space="preserve">The extension of the concept of worker in free movement law to former workers is not to be found here, as it was closely linked to the presence of article 45(3) </w:t>
      </w:r>
      <w:r w:rsidR="00266EA0" w:rsidRPr="00A21E4D">
        <w:rPr>
          <w:rFonts w:ascii="Times New Roman" w:hAnsi="Times New Roman" w:cs="Times New Roman"/>
          <w:sz w:val="24"/>
          <w:szCs w:val="24"/>
          <w:lang w:val="en-GB"/>
        </w:rPr>
        <w:t>TFEU</w:t>
      </w:r>
      <w:r w:rsidR="005D6A3B" w:rsidRPr="00A21E4D">
        <w:rPr>
          <w:rFonts w:ascii="Times New Roman" w:hAnsi="Times New Roman" w:cs="Times New Roman"/>
          <w:sz w:val="24"/>
          <w:szCs w:val="24"/>
          <w:lang w:val="en-GB"/>
        </w:rPr>
        <w:t xml:space="preserve"> and the goal of maximizing the movement of persons, which is not relevant in a social protection context. </w:t>
      </w:r>
    </w:p>
    <w:p w14:paraId="585534B8" w14:textId="77777777" w:rsidR="007945DB" w:rsidRPr="00A21E4D" w:rsidRDefault="007945DB"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57D459E6" w14:textId="6D8239B8" w:rsidR="007945DB" w:rsidRPr="00A21E4D" w:rsidRDefault="007945DB"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452A24" w:rsidRPr="00A21E4D">
        <w:rPr>
          <w:rFonts w:ascii="Times New Roman" w:hAnsi="Times New Roman" w:cs="Times New Roman"/>
          <w:sz w:val="24"/>
          <w:szCs w:val="24"/>
          <w:lang w:val="en-GB"/>
        </w:rPr>
        <w:t xml:space="preserve">In our </w:t>
      </w:r>
      <w:r w:rsidRPr="00A21E4D">
        <w:rPr>
          <w:rFonts w:ascii="Times New Roman" w:hAnsi="Times New Roman" w:cs="Times New Roman"/>
          <w:sz w:val="24"/>
          <w:szCs w:val="24"/>
          <w:lang w:val="en-GB"/>
        </w:rPr>
        <w:t xml:space="preserve">research </w:t>
      </w:r>
      <w:r w:rsidR="00452A24" w:rsidRPr="00A21E4D">
        <w:rPr>
          <w:rFonts w:ascii="Times New Roman" w:hAnsi="Times New Roman" w:cs="Times New Roman"/>
          <w:sz w:val="24"/>
          <w:szCs w:val="24"/>
          <w:lang w:val="en-GB"/>
        </w:rPr>
        <w:t xml:space="preserve">we did not </w:t>
      </w:r>
      <w:r w:rsidRPr="00A21E4D">
        <w:rPr>
          <w:rFonts w:ascii="Times New Roman" w:hAnsi="Times New Roman" w:cs="Times New Roman"/>
          <w:sz w:val="24"/>
          <w:szCs w:val="24"/>
          <w:lang w:val="en-GB"/>
        </w:rPr>
        <w:t>find cases where the question of the exis</w:t>
      </w:r>
      <w:r w:rsidR="005D6A3B" w:rsidRPr="00A21E4D">
        <w:rPr>
          <w:rFonts w:ascii="Times New Roman" w:hAnsi="Times New Roman" w:cs="Times New Roman"/>
          <w:sz w:val="24"/>
          <w:szCs w:val="24"/>
          <w:lang w:val="en-GB"/>
        </w:rPr>
        <w:t>tence of a remuneration</w:t>
      </w:r>
      <w:r w:rsidRPr="00A21E4D">
        <w:rPr>
          <w:rFonts w:ascii="Times New Roman" w:hAnsi="Times New Roman" w:cs="Times New Roman"/>
          <w:sz w:val="24"/>
          <w:szCs w:val="24"/>
          <w:lang w:val="en-GB"/>
        </w:rPr>
        <w:t xml:space="preserve"> was at stake. </w:t>
      </w:r>
      <w:r w:rsidR="001A6E56" w:rsidRPr="00A21E4D">
        <w:rPr>
          <w:rFonts w:ascii="Times New Roman" w:hAnsi="Times New Roman" w:cs="Times New Roman"/>
          <w:sz w:val="24"/>
          <w:szCs w:val="24"/>
          <w:lang w:val="en-GB"/>
        </w:rPr>
        <w:t xml:space="preserve">It is arguable that, </w:t>
      </w:r>
      <w:r w:rsidR="005E3088" w:rsidRPr="00A21E4D">
        <w:rPr>
          <w:rFonts w:ascii="Times New Roman" w:hAnsi="Times New Roman" w:cs="Times New Roman"/>
          <w:sz w:val="24"/>
          <w:szCs w:val="24"/>
          <w:lang w:val="en-GB"/>
        </w:rPr>
        <w:t xml:space="preserve">were </w:t>
      </w:r>
      <w:r w:rsidRPr="00A21E4D">
        <w:rPr>
          <w:rFonts w:ascii="Times New Roman" w:hAnsi="Times New Roman" w:cs="Times New Roman"/>
          <w:sz w:val="24"/>
          <w:szCs w:val="24"/>
          <w:lang w:val="en-GB"/>
        </w:rPr>
        <w:t xml:space="preserve">such a case </w:t>
      </w:r>
      <w:r w:rsidR="005E3088" w:rsidRPr="00A21E4D">
        <w:rPr>
          <w:rFonts w:ascii="Times New Roman" w:hAnsi="Times New Roman" w:cs="Times New Roman"/>
          <w:sz w:val="24"/>
          <w:szCs w:val="24"/>
          <w:lang w:val="en-GB"/>
        </w:rPr>
        <w:t xml:space="preserve">to </w:t>
      </w:r>
      <w:r w:rsidR="00934F23" w:rsidRPr="00A21E4D">
        <w:rPr>
          <w:rFonts w:ascii="Times New Roman" w:hAnsi="Times New Roman" w:cs="Times New Roman"/>
          <w:sz w:val="24"/>
          <w:szCs w:val="24"/>
          <w:lang w:val="en-GB"/>
        </w:rPr>
        <w:t xml:space="preserve">find its way </w:t>
      </w:r>
      <w:r w:rsidRPr="00A21E4D">
        <w:rPr>
          <w:rFonts w:ascii="Times New Roman" w:hAnsi="Times New Roman" w:cs="Times New Roman"/>
          <w:sz w:val="24"/>
          <w:szCs w:val="24"/>
          <w:lang w:val="en-GB"/>
        </w:rPr>
        <w:t xml:space="preserve">before the Court, it would opt for an analysis which would not be so different from the one it adopted in the field of free movement. </w:t>
      </w:r>
    </w:p>
    <w:p w14:paraId="0889AB58" w14:textId="77777777" w:rsidR="00411FDA" w:rsidRPr="00A21E4D" w:rsidRDefault="00411FDA" w:rsidP="00F0032F">
      <w:pPr>
        <w:pStyle w:val="Paragraphedeliste"/>
        <w:spacing w:line="240" w:lineRule="auto"/>
        <w:ind w:left="0"/>
        <w:jc w:val="both"/>
        <w:rPr>
          <w:rFonts w:ascii="Times New Roman" w:hAnsi="Times New Roman" w:cs="Times New Roman"/>
          <w:sz w:val="24"/>
          <w:szCs w:val="24"/>
          <w:lang w:val="en-GB"/>
        </w:rPr>
      </w:pPr>
    </w:p>
    <w:p w14:paraId="247EF9D4" w14:textId="71922BD1" w:rsidR="00411FDA" w:rsidRPr="00A21E4D" w:rsidRDefault="00411FDA"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We will now discuss </w:t>
      </w:r>
      <w:r w:rsidR="00365334" w:rsidRPr="00A21E4D">
        <w:rPr>
          <w:rFonts w:ascii="Times New Roman" w:hAnsi="Times New Roman" w:cs="Times New Roman"/>
          <w:sz w:val="24"/>
          <w:szCs w:val="24"/>
          <w:lang w:val="en-GB"/>
        </w:rPr>
        <w:t xml:space="preserve">the criterion of the </w:t>
      </w:r>
      <w:r w:rsidRPr="00A21E4D">
        <w:rPr>
          <w:rFonts w:ascii="Times New Roman" w:hAnsi="Times New Roman" w:cs="Times New Roman"/>
          <w:sz w:val="24"/>
          <w:szCs w:val="24"/>
          <w:lang w:val="en-GB"/>
        </w:rPr>
        <w:t>link of subordination</w:t>
      </w:r>
      <w:r w:rsidR="00CF0DD1" w:rsidRPr="00A21E4D">
        <w:rPr>
          <w:rFonts w:ascii="Times New Roman" w:hAnsi="Times New Roman" w:cs="Times New Roman"/>
          <w:sz w:val="24"/>
          <w:szCs w:val="24"/>
          <w:lang w:val="en-GB"/>
        </w:rPr>
        <w:t>, which is the most relevant</w:t>
      </w:r>
      <w:r w:rsidRPr="00A21E4D">
        <w:rPr>
          <w:rFonts w:ascii="Times New Roman" w:hAnsi="Times New Roman" w:cs="Times New Roman"/>
          <w:sz w:val="24"/>
          <w:szCs w:val="24"/>
          <w:lang w:val="en-GB"/>
        </w:rPr>
        <w:t xml:space="preserve"> in order to distinguish an employment relationship from other kinds of relationships. </w:t>
      </w:r>
    </w:p>
    <w:p w14:paraId="36430FF6" w14:textId="77777777" w:rsidR="00BB189E" w:rsidRPr="00A21E4D" w:rsidRDefault="00BB189E"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 xml:space="preserve"> </w:t>
      </w:r>
    </w:p>
    <w:p w14:paraId="45C810F5" w14:textId="392F98D0" w:rsidR="00164045" w:rsidRPr="00A21E4D" w:rsidRDefault="00BB189E"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1E2A16" w:rsidRPr="00A21E4D">
        <w:rPr>
          <w:rFonts w:ascii="Times New Roman" w:hAnsi="Times New Roman" w:cs="Times New Roman"/>
          <w:sz w:val="24"/>
          <w:szCs w:val="24"/>
          <w:lang w:val="en-GB"/>
        </w:rPr>
        <w:t xml:space="preserve">As such, </w:t>
      </w:r>
      <w:r w:rsidRPr="00A21E4D">
        <w:rPr>
          <w:rFonts w:ascii="Times New Roman" w:hAnsi="Times New Roman" w:cs="Times New Roman"/>
          <w:sz w:val="24"/>
          <w:szCs w:val="24"/>
          <w:lang w:val="en-GB"/>
        </w:rPr>
        <w:t xml:space="preserve">it is relevant to develop in more details </w:t>
      </w:r>
      <w:r w:rsidR="00164045" w:rsidRPr="00A21E4D">
        <w:rPr>
          <w:rFonts w:ascii="Times New Roman" w:hAnsi="Times New Roman" w:cs="Times New Roman"/>
          <w:sz w:val="24"/>
          <w:szCs w:val="24"/>
          <w:lang w:val="en-GB"/>
        </w:rPr>
        <w:t xml:space="preserve">the seminal </w:t>
      </w:r>
      <w:r w:rsidR="00164045" w:rsidRPr="00A21E4D">
        <w:rPr>
          <w:rFonts w:ascii="Times New Roman" w:hAnsi="Times New Roman" w:cs="Times New Roman"/>
          <w:i/>
          <w:sz w:val="24"/>
          <w:szCs w:val="24"/>
          <w:lang w:val="en-GB"/>
        </w:rPr>
        <w:t>Danosa</w:t>
      </w:r>
      <w:r w:rsidR="00164045" w:rsidRPr="00A21E4D">
        <w:rPr>
          <w:rFonts w:ascii="Times New Roman" w:hAnsi="Times New Roman" w:cs="Times New Roman"/>
          <w:sz w:val="24"/>
          <w:szCs w:val="24"/>
          <w:lang w:val="en-GB"/>
        </w:rPr>
        <w:t xml:space="preserve"> case</w:t>
      </w:r>
      <w:r w:rsidR="005A39F1"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lang w:val="en-GB"/>
        </w:rPr>
        <w:t>concerning the definition of a worker under the Pregnant Worker Directive (Directive 96/85)</w:t>
      </w:r>
      <w:r w:rsidR="005A39F1" w:rsidRPr="00A21E4D">
        <w:rPr>
          <w:rFonts w:ascii="Times New Roman" w:hAnsi="Times New Roman" w:cs="Times New Roman"/>
          <w:sz w:val="24"/>
          <w:szCs w:val="24"/>
          <w:lang w:val="en-GB"/>
        </w:rPr>
        <w:t>. Ms Danosa was the uniq</w:t>
      </w:r>
      <w:r w:rsidR="008737A1" w:rsidRPr="00A21E4D">
        <w:rPr>
          <w:rFonts w:ascii="Times New Roman" w:hAnsi="Times New Roman" w:cs="Times New Roman"/>
          <w:sz w:val="24"/>
          <w:szCs w:val="24"/>
          <w:lang w:val="en-GB"/>
        </w:rPr>
        <w:t>ue member of the Board of Directors</w:t>
      </w:r>
      <w:r w:rsidR="005A39F1" w:rsidRPr="00A21E4D">
        <w:rPr>
          <w:rFonts w:ascii="Times New Roman" w:hAnsi="Times New Roman" w:cs="Times New Roman"/>
          <w:sz w:val="24"/>
          <w:szCs w:val="24"/>
          <w:lang w:val="en-GB"/>
        </w:rPr>
        <w:t xml:space="preserve"> of a</w:t>
      </w:r>
      <w:r w:rsidR="008737A1" w:rsidRPr="00A21E4D">
        <w:rPr>
          <w:rFonts w:ascii="Times New Roman" w:hAnsi="Times New Roman" w:cs="Times New Roman"/>
          <w:sz w:val="24"/>
          <w:szCs w:val="24"/>
          <w:lang w:val="en-GB"/>
        </w:rPr>
        <w:t xml:space="preserve"> Latvian</w:t>
      </w:r>
      <w:r w:rsidR="00B2340D" w:rsidRPr="00A21E4D">
        <w:rPr>
          <w:rFonts w:ascii="Times New Roman" w:hAnsi="Times New Roman" w:cs="Times New Roman"/>
          <w:sz w:val="24"/>
          <w:szCs w:val="24"/>
          <w:lang w:val="en-GB"/>
        </w:rPr>
        <w:t xml:space="preserve"> company under an agency contract</w:t>
      </w:r>
      <w:r w:rsidR="007266FE" w:rsidRPr="00A21E4D">
        <w:rPr>
          <w:rFonts w:ascii="Times New Roman" w:hAnsi="Times New Roman" w:cs="Times New Roman"/>
          <w:sz w:val="24"/>
          <w:szCs w:val="24"/>
          <w:lang w:val="en-GB"/>
        </w:rPr>
        <w:t>. T</w:t>
      </w:r>
      <w:r w:rsidR="008737A1" w:rsidRPr="00A21E4D">
        <w:rPr>
          <w:rFonts w:ascii="Times New Roman" w:hAnsi="Times New Roman" w:cs="Times New Roman"/>
          <w:sz w:val="24"/>
          <w:szCs w:val="24"/>
          <w:lang w:val="en-GB"/>
        </w:rPr>
        <w:t xml:space="preserve">he general meeting of shareholders decided to remove her from her post. Ms Danosa considered that this decision was motivated by her pregnancy and brought proceedings against the company. </w:t>
      </w:r>
      <w:r w:rsidR="00B2340D" w:rsidRPr="00A21E4D">
        <w:rPr>
          <w:rFonts w:ascii="Times New Roman" w:hAnsi="Times New Roman" w:cs="Times New Roman"/>
          <w:sz w:val="24"/>
          <w:szCs w:val="24"/>
          <w:lang w:val="en-GB"/>
        </w:rPr>
        <w:t>The main question was if</w:t>
      </w:r>
      <w:r w:rsidR="008737A1" w:rsidRPr="00A21E4D">
        <w:rPr>
          <w:rFonts w:ascii="Times New Roman" w:hAnsi="Times New Roman" w:cs="Times New Roman"/>
          <w:sz w:val="24"/>
          <w:szCs w:val="24"/>
          <w:lang w:val="en-GB"/>
        </w:rPr>
        <w:t xml:space="preserve"> the unique member of a Board of Directors</w:t>
      </w:r>
      <w:r w:rsidR="00B2340D" w:rsidRPr="00A21E4D">
        <w:rPr>
          <w:rFonts w:ascii="Times New Roman" w:hAnsi="Times New Roman" w:cs="Times New Roman"/>
          <w:sz w:val="24"/>
          <w:szCs w:val="24"/>
          <w:lang w:val="en-GB"/>
        </w:rPr>
        <w:t xml:space="preserve"> was</w:t>
      </w:r>
      <w:r w:rsidR="008737A1" w:rsidRPr="00A21E4D">
        <w:rPr>
          <w:rFonts w:ascii="Times New Roman" w:hAnsi="Times New Roman" w:cs="Times New Roman"/>
          <w:sz w:val="24"/>
          <w:szCs w:val="24"/>
          <w:lang w:val="en-GB"/>
        </w:rPr>
        <w:t xml:space="preserve"> deemed to be a worker</w:t>
      </w:r>
      <w:r w:rsidR="00B2340D" w:rsidRPr="00A21E4D">
        <w:rPr>
          <w:rFonts w:ascii="Times New Roman" w:hAnsi="Times New Roman" w:cs="Times New Roman"/>
          <w:sz w:val="24"/>
          <w:szCs w:val="24"/>
          <w:lang w:val="en-GB"/>
        </w:rPr>
        <w:t xml:space="preserve"> in the sense of the Directive</w:t>
      </w:r>
      <w:r w:rsidR="008737A1" w:rsidRPr="00A21E4D">
        <w:rPr>
          <w:rFonts w:ascii="Times New Roman" w:hAnsi="Times New Roman" w:cs="Times New Roman"/>
          <w:sz w:val="24"/>
          <w:szCs w:val="24"/>
          <w:lang w:val="en-GB"/>
        </w:rPr>
        <w:t>, especially if un</w:t>
      </w:r>
      <w:r w:rsidR="00B2340D" w:rsidRPr="00A21E4D">
        <w:rPr>
          <w:rFonts w:ascii="Times New Roman" w:hAnsi="Times New Roman" w:cs="Times New Roman"/>
          <w:sz w:val="24"/>
          <w:szCs w:val="24"/>
          <w:lang w:val="en-GB"/>
        </w:rPr>
        <w:t>der Lat</w:t>
      </w:r>
      <w:r w:rsidR="007266FE" w:rsidRPr="00A21E4D">
        <w:rPr>
          <w:rFonts w:ascii="Times New Roman" w:hAnsi="Times New Roman" w:cs="Times New Roman"/>
          <w:sz w:val="24"/>
          <w:szCs w:val="24"/>
          <w:lang w:val="en-GB"/>
        </w:rPr>
        <w:t xml:space="preserve">vian </w:t>
      </w:r>
      <w:r w:rsidR="00B2340D" w:rsidRPr="00A21E4D">
        <w:rPr>
          <w:rFonts w:ascii="Times New Roman" w:hAnsi="Times New Roman" w:cs="Times New Roman"/>
          <w:sz w:val="24"/>
          <w:szCs w:val="24"/>
          <w:lang w:val="en-GB"/>
        </w:rPr>
        <w:t>law, she was</w:t>
      </w:r>
      <w:r w:rsidR="008737A1" w:rsidRPr="00A21E4D">
        <w:rPr>
          <w:rFonts w:ascii="Times New Roman" w:hAnsi="Times New Roman" w:cs="Times New Roman"/>
          <w:sz w:val="24"/>
          <w:szCs w:val="24"/>
          <w:lang w:val="en-GB"/>
        </w:rPr>
        <w:t xml:space="preserve"> considered as in a </w:t>
      </w:r>
      <w:r w:rsidR="008737A1" w:rsidRPr="00A21E4D">
        <w:rPr>
          <w:rFonts w:ascii="Times New Roman" w:hAnsi="Times New Roman" w:cs="Times New Roman"/>
          <w:i/>
          <w:sz w:val="24"/>
          <w:szCs w:val="24"/>
          <w:lang w:val="en-GB"/>
        </w:rPr>
        <w:t>sui generis</w:t>
      </w:r>
      <w:r w:rsidR="008737A1" w:rsidRPr="00A21E4D">
        <w:rPr>
          <w:rFonts w:ascii="Times New Roman" w:hAnsi="Times New Roman" w:cs="Times New Roman"/>
          <w:sz w:val="24"/>
          <w:szCs w:val="24"/>
          <w:lang w:val="en-GB"/>
        </w:rPr>
        <w:t xml:space="preserve"> relationship?</w:t>
      </w:r>
    </w:p>
    <w:p w14:paraId="273F5083" w14:textId="77777777" w:rsidR="008737A1" w:rsidRPr="00A21E4D" w:rsidRDefault="008737A1" w:rsidP="00F0032F">
      <w:pPr>
        <w:pStyle w:val="Paragraphedeliste"/>
        <w:spacing w:line="240" w:lineRule="auto"/>
        <w:ind w:left="0"/>
        <w:jc w:val="both"/>
        <w:rPr>
          <w:rFonts w:ascii="Times New Roman" w:hAnsi="Times New Roman" w:cs="Times New Roman"/>
          <w:sz w:val="24"/>
          <w:szCs w:val="24"/>
          <w:lang w:val="en-GB"/>
        </w:rPr>
      </w:pPr>
    </w:p>
    <w:p w14:paraId="43006C55" w14:textId="2928CDF3" w:rsidR="002B14C3" w:rsidRPr="00A21E4D" w:rsidRDefault="008737A1"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First of all, the Court referred back to</w:t>
      </w:r>
      <w:r w:rsidR="00B2340D" w:rsidRPr="00A21E4D">
        <w:rPr>
          <w:rFonts w:ascii="Times New Roman" w:hAnsi="Times New Roman" w:cs="Times New Roman"/>
          <w:sz w:val="24"/>
          <w:szCs w:val="24"/>
          <w:lang w:val="en-GB"/>
        </w:rPr>
        <w:t xml:space="preserve"> the</w:t>
      </w:r>
      <w:r w:rsidRPr="00A21E4D">
        <w:rPr>
          <w:rFonts w:ascii="Times New Roman" w:hAnsi="Times New Roman" w:cs="Times New Roman"/>
          <w:sz w:val="24"/>
          <w:szCs w:val="24"/>
          <w:lang w:val="en-GB"/>
        </w:rPr>
        <w:t xml:space="preserve"> </w:t>
      </w:r>
      <w:r w:rsidRPr="00A21E4D">
        <w:rPr>
          <w:rFonts w:ascii="Times New Roman" w:hAnsi="Times New Roman" w:cs="Times New Roman"/>
          <w:i/>
          <w:sz w:val="24"/>
          <w:szCs w:val="24"/>
          <w:lang w:val="en-GB"/>
        </w:rPr>
        <w:t>Lawrie-Blum</w:t>
      </w:r>
      <w:r w:rsidR="0051464A" w:rsidRPr="00A21E4D">
        <w:rPr>
          <w:rFonts w:ascii="Times New Roman" w:hAnsi="Times New Roman" w:cs="Times New Roman"/>
          <w:sz w:val="24"/>
          <w:szCs w:val="24"/>
          <w:lang w:val="en-GB"/>
        </w:rPr>
        <w:t xml:space="preserve"> formula</w:t>
      </w:r>
      <w:r w:rsidRPr="00A21E4D">
        <w:rPr>
          <w:rStyle w:val="Appelnotedebasdep"/>
          <w:rFonts w:ascii="Times New Roman" w:hAnsi="Times New Roman" w:cs="Times New Roman"/>
          <w:sz w:val="24"/>
          <w:szCs w:val="24"/>
          <w:lang w:val="en-GB"/>
        </w:rPr>
        <w:footnoteReference w:id="36"/>
      </w:r>
      <w:r w:rsidRPr="00A21E4D">
        <w:rPr>
          <w:rFonts w:ascii="Times New Roman" w:hAnsi="Times New Roman" w:cs="Times New Roman"/>
          <w:sz w:val="24"/>
          <w:szCs w:val="24"/>
          <w:lang w:val="en-GB"/>
        </w:rPr>
        <w:t xml:space="preserve">. Like in the </w:t>
      </w:r>
      <w:r w:rsidRPr="00A21E4D">
        <w:rPr>
          <w:rFonts w:ascii="Times New Roman" w:hAnsi="Times New Roman" w:cs="Times New Roman"/>
          <w:i/>
          <w:sz w:val="24"/>
          <w:szCs w:val="24"/>
          <w:lang w:val="en-GB"/>
        </w:rPr>
        <w:t>Kiiski</w:t>
      </w:r>
      <w:r w:rsidR="00365334" w:rsidRPr="00A21E4D">
        <w:rPr>
          <w:rFonts w:ascii="Times New Roman" w:hAnsi="Times New Roman" w:cs="Times New Roman"/>
          <w:sz w:val="24"/>
          <w:szCs w:val="24"/>
          <w:lang w:val="en-GB"/>
        </w:rPr>
        <w:t xml:space="preserve"> and </w:t>
      </w:r>
      <w:r w:rsidR="002E3EB9" w:rsidRPr="00A21E4D">
        <w:rPr>
          <w:rFonts w:ascii="Times New Roman" w:hAnsi="Times New Roman" w:cs="Times New Roman"/>
          <w:sz w:val="24"/>
          <w:szCs w:val="24"/>
          <w:lang w:val="en-GB"/>
        </w:rPr>
        <w:t xml:space="preserve"> </w:t>
      </w:r>
      <w:r w:rsidR="002E3EB9" w:rsidRPr="00A21E4D">
        <w:rPr>
          <w:rFonts w:ascii="Times New Roman" w:hAnsi="Times New Roman" w:cs="Times New Roman"/>
          <w:i/>
          <w:sz w:val="24"/>
          <w:szCs w:val="24"/>
          <w:lang w:val="en-GB"/>
        </w:rPr>
        <w:t>Allonby</w:t>
      </w:r>
      <w:r w:rsidR="002E3EB9" w:rsidRPr="00A21E4D">
        <w:rPr>
          <w:rFonts w:ascii="Times New Roman" w:hAnsi="Times New Roman" w:cs="Times New Roman"/>
          <w:sz w:val="24"/>
          <w:szCs w:val="24"/>
          <w:lang w:val="en-GB"/>
        </w:rPr>
        <w:t xml:space="preserve"> case</w:t>
      </w:r>
      <w:r w:rsidR="00365334" w:rsidRPr="00A21E4D">
        <w:rPr>
          <w:rFonts w:ascii="Times New Roman" w:hAnsi="Times New Roman" w:cs="Times New Roman"/>
          <w:sz w:val="24"/>
          <w:szCs w:val="24"/>
          <w:lang w:val="en-GB"/>
        </w:rPr>
        <w:t>s</w:t>
      </w:r>
      <w:r w:rsidRPr="00A21E4D">
        <w:rPr>
          <w:rFonts w:ascii="Times New Roman" w:hAnsi="Times New Roman" w:cs="Times New Roman"/>
          <w:sz w:val="24"/>
          <w:szCs w:val="24"/>
          <w:lang w:val="en-GB"/>
        </w:rPr>
        <w:t>,</w:t>
      </w:r>
      <w:r w:rsidR="002E3EB9" w:rsidRPr="00A21E4D">
        <w:rPr>
          <w:rFonts w:ascii="Times New Roman" w:hAnsi="Times New Roman" w:cs="Times New Roman"/>
          <w:sz w:val="24"/>
          <w:szCs w:val="24"/>
          <w:lang w:val="en-GB"/>
        </w:rPr>
        <w:t xml:space="preserve"> neither</w:t>
      </w:r>
      <w:r w:rsidRPr="00A21E4D">
        <w:rPr>
          <w:rFonts w:ascii="Times New Roman" w:hAnsi="Times New Roman" w:cs="Times New Roman"/>
          <w:sz w:val="24"/>
          <w:szCs w:val="24"/>
          <w:lang w:val="en-GB"/>
        </w:rPr>
        <w:t xml:space="preserve"> the fact that the employment relationship has a </w:t>
      </w:r>
      <w:r w:rsidRPr="00A21E4D">
        <w:rPr>
          <w:rFonts w:ascii="Times New Roman" w:hAnsi="Times New Roman" w:cs="Times New Roman"/>
          <w:i/>
          <w:sz w:val="24"/>
          <w:szCs w:val="24"/>
          <w:lang w:val="en-GB"/>
        </w:rPr>
        <w:t>sui generis</w:t>
      </w:r>
      <w:r w:rsidRPr="00A21E4D">
        <w:rPr>
          <w:rFonts w:ascii="Times New Roman" w:hAnsi="Times New Roman" w:cs="Times New Roman"/>
          <w:sz w:val="24"/>
          <w:szCs w:val="24"/>
          <w:lang w:val="en-GB"/>
        </w:rPr>
        <w:t xml:space="preserve"> character under national law</w:t>
      </w:r>
      <w:r w:rsidR="002E3EB9" w:rsidRPr="00A21E4D">
        <w:rPr>
          <w:rFonts w:ascii="Times New Roman" w:hAnsi="Times New Roman" w:cs="Times New Roman"/>
          <w:sz w:val="24"/>
          <w:szCs w:val="24"/>
          <w:lang w:val="en-GB"/>
        </w:rPr>
        <w:t xml:space="preserve"> nor the possible self-employed character </w:t>
      </w:r>
      <w:r w:rsidRPr="00A21E4D">
        <w:rPr>
          <w:rFonts w:ascii="Times New Roman" w:hAnsi="Times New Roman" w:cs="Times New Roman"/>
          <w:sz w:val="24"/>
          <w:szCs w:val="24"/>
          <w:lang w:val="en-GB"/>
        </w:rPr>
        <w:t xml:space="preserve">have any particular </w:t>
      </w:r>
      <w:r w:rsidR="002E3EB9" w:rsidRPr="00A21E4D">
        <w:rPr>
          <w:rFonts w:ascii="Times New Roman" w:hAnsi="Times New Roman" w:cs="Times New Roman"/>
          <w:sz w:val="24"/>
          <w:szCs w:val="24"/>
          <w:lang w:val="en-GB"/>
        </w:rPr>
        <w:t xml:space="preserve">relevance for the determination of the scope of application of the </w:t>
      </w:r>
      <w:r w:rsidR="007060D3" w:rsidRPr="00A21E4D">
        <w:rPr>
          <w:rFonts w:ascii="Times New Roman" w:hAnsi="Times New Roman" w:cs="Times New Roman"/>
          <w:sz w:val="24"/>
          <w:szCs w:val="24"/>
          <w:lang w:val="en-GB"/>
        </w:rPr>
        <w:t>Directive</w:t>
      </w:r>
      <w:r w:rsidR="002E3EB9" w:rsidRPr="00A21E4D">
        <w:rPr>
          <w:rStyle w:val="Appelnotedebasdep"/>
          <w:rFonts w:ascii="Times New Roman" w:hAnsi="Times New Roman" w:cs="Times New Roman"/>
          <w:sz w:val="24"/>
          <w:szCs w:val="24"/>
          <w:lang w:val="en-GB"/>
        </w:rPr>
        <w:footnoteReference w:id="37"/>
      </w:r>
      <w:r w:rsidR="002E3EB9" w:rsidRPr="00A21E4D">
        <w:rPr>
          <w:rFonts w:ascii="Times New Roman" w:hAnsi="Times New Roman" w:cs="Times New Roman"/>
          <w:sz w:val="24"/>
          <w:szCs w:val="24"/>
          <w:lang w:val="en-GB"/>
        </w:rPr>
        <w:t xml:space="preserve">. The Court </w:t>
      </w:r>
      <w:r w:rsidR="00C83B18" w:rsidRPr="00A21E4D">
        <w:rPr>
          <w:rFonts w:ascii="Times New Roman" w:hAnsi="Times New Roman" w:cs="Times New Roman"/>
          <w:sz w:val="24"/>
          <w:szCs w:val="24"/>
          <w:lang w:val="en-GB"/>
        </w:rPr>
        <w:t xml:space="preserve">then </w:t>
      </w:r>
      <w:r w:rsidR="00071307" w:rsidRPr="00A21E4D">
        <w:rPr>
          <w:rFonts w:ascii="Times New Roman" w:hAnsi="Times New Roman" w:cs="Times New Roman"/>
          <w:sz w:val="24"/>
          <w:szCs w:val="24"/>
          <w:lang w:val="en-GB"/>
        </w:rPr>
        <w:t>analyses</w:t>
      </w:r>
      <w:r w:rsidR="00C5490F" w:rsidRPr="00A21E4D">
        <w:rPr>
          <w:rFonts w:ascii="Times New Roman" w:hAnsi="Times New Roman" w:cs="Times New Roman"/>
          <w:sz w:val="24"/>
          <w:szCs w:val="24"/>
          <w:lang w:val="en-GB"/>
        </w:rPr>
        <w:t xml:space="preserve"> the facts of the case. T</w:t>
      </w:r>
      <w:r w:rsidR="00FB2D43" w:rsidRPr="00A21E4D">
        <w:rPr>
          <w:rFonts w:ascii="Times New Roman" w:hAnsi="Times New Roman" w:cs="Times New Roman"/>
          <w:sz w:val="24"/>
          <w:szCs w:val="24"/>
          <w:lang w:val="en-GB"/>
        </w:rPr>
        <w:t xml:space="preserve">he </w:t>
      </w:r>
      <w:r w:rsidR="002E3EB9" w:rsidRPr="00A21E4D">
        <w:rPr>
          <w:rFonts w:ascii="Times New Roman" w:hAnsi="Times New Roman" w:cs="Times New Roman"/>
          <w:sz w:val="24"/>
          <w:szCs w:val="24"/>
          <w:lang w:val="en-GB"/>
        </w:rPr>
        <w:t xml:space="preserve">presence of a link of subordination was </w:t>
      </w:r>
      <w:r w:rsidR="00AF6B99" w:rsidRPr="00A21E4D">
        <w:rPr>
          <w:rFonts w:ascii="Times New Roman" w:hAnsi="Times New Roman" w:cs="Times New Roman"/>
          <w:sz w:val="24"/>
          <w:szCs w:val="24"/>
          <w:lang w:val="en-GB"/>
        </w:rPr>
        <w:t>unclear</w:t>
      </w:r>
      <w:r w:rsidR="002E3EB9" w:rsidRPr="00A21E4D">
        <w:rPr>
          <w:rFonts w:ascii="Times New Roman" w:hAnsi="Times New Roman" w:cs="Times New Roman"/>
          <w:sz w:val="24"/>
          <w:szCs w:val="24"/>
          <w:lang w:val="en-GB"/>
        </w:rPr>
        <w:t xml:space="preserve">. The Court </w:t>
      </w:r>
      <w:r w:rsidR="008448C6" w:rsidRPr="00A21E4D">
        <w:rPr>
          <w:rFonts w:ascii="Times New Roman" w:hAnsi="Times New Roman" w:cs="Times New Roman"/>
          <w:sz w:val="24"/>
          <w:szCs w:val="24"/>
          <w:lang w:val="en-GB"/>
        </w:rPr>
        <w:t xml:space="preserve">emphasised </w:t>
      </w:r>
      <w:r w:rsidR="002E3EB9" w:rsidRPr="00A21E4D">
        <w:rPr>
          <w:rFonts w:ascii="Times New Roman" w:hAnsi="Times New Roman" w:cs="Times New Roman"/>
          <w:sz w:val="24"/>
          <w:szCs w:val="24"/>
          <w:lang w:val="en-GB"/>
        </w:rPr>
        <w:t>that such question had to be answered on a case-by-case basis</w:t>
      </w:r>
      <w:r w:rsidR="00F615D8" w:rsidRPr="00A21E4D">
        <w:rPr>
          <w:rFonts w:ascii="Times New Roman" w:hAnsi="Times New Roman" w:cs="Times New Roman"/>
          <w:sz w:val="24"/>
          <w:szCs w:val="24"/>
          <w:lang w:val="en-GB"/>
        </w:rPr>
        <w:t>,</w:t>
      </w:r>
      <w:r w:rsidR="002E3EB9" w:rsidRPr="00A21E4D">
        <w:rPr>
          <w:rFonts w:ascii="Times New Roman" w:hAnsi="Times New Roman" w:cs="Times New Roman"/>
          <w:sz w:val="24"/>
          <w:szCs w:val="24"/>
          <w:lang w:val="en-GB"/>
        </w:rPr>
        <w:t xml:space="preserve"> taking into account all the elements and all the circumstances which characterizes the r</w:t>
      </w:r>
      <w:r w:rsidR="0051464A" w:rsidRPr="00A21E4D">
        <w:rPr>
          <w:rFonts w:ascii="Times New Roman" w:hAnsi="Times New Roman" w:cs="Times New Roman"/>
          <w:sz w:val="24"/>
          <w:szCs w:val="24"/>
          <w:lang w:val="en-GB"/>
        </w:rPr>
        <w:t>elationship between the parties, including the way the director</w:t>
      </w:r>
      <w:r w:rsidR="00C5490F" w:rsidRPr="00A21E4D">
        <w:rPr>
          <w:rFonts w:ascii="Times New Roman" w:hAnsi="Times New Roman" w:cs="Times New Roman"/>
          <w:sz w:val="24"/>
          <w:szCs w:val="24"/>
          <w:lang w:val="en-GB"/>
        </w:rPr>
        <w:t xml:space="preserve"> was recruited</w:t>
      </w:r>
      <w:r w:rsidR="00F12419" w:rsidRPr="00A21E4D">
        <w:rPr>
          <w:rFonts w:ascii="Times New Roman" w:hAnsi="Times New Roman" w:cs="Times New Roman"/>
          <w:sz w:val="24"/>
          <w:szCs w:val="24"/>
          <w:lang w:val="en-GB"/>
        </w:rPr>
        <w:t>, the nature of her functions, the environment in which these are exercised, the control that can be exercised on her and the way to revoke her</w:t>
      </w:r>
      <w:r w:rsidR="00F12419" w:rsidRPr="00A21E4D">
        <w:rPr>
          <w:rStyle w:val="Appelnotedebasdep"/>
          <w:rFonts w:ascii="Times New Roman" w:hAnsi="Times New Roman" w:cs="Times New Roman"/>
          <w:sz w:val="24"/>
          <w:szCs w:val="24"/>
          <w:lang w:val="en-GB"/>
        </w:rPr>
        <w:footnoteReference w:id="38"/>
      </w:r>
      <w:r w:rsidR="00A6639C" w:rsidRPr="00A21E4D">
        <w:rPr>
          <w:rFonts w:ascii="Times New Roman" w:hAnsi="Times New Roman" w:cs="Times New Roman"/>
          <w:sz w:val="24"/>
          <w:szCs w:val="24"/>
          <w:lang w:val="en-GB"/>
        </w:rPr>
        <w:t xml:space="preserve">. Ms Danosa could be revoked by a decision of the general meeting of associates, </w:t>
      </w:r>
      <w:r w:rsidR="00E92139" w:rsidRPr="00A21E4D">
        <w:rPr>
          <w:rFonts w:ascii="Times New Roman" w:hAnsi="Times New Roman" w:cs="Times New Roman"/>
          <w:sz w:val="24"/>
          <w:szCs w:val="24"/>
          <w:lang w:val="en-GB"/>
        </w:rPr>
        <w:t xml:space="preserve">a </w:t>
      </w:r>
      <w:r w:rsidR="00A6639C" w:rsidRPr="00A21E4D">
        <w:rPr>
          <w:rFonts w:ascii="Times New Roman" w:hAnsi="Times New Roman" w:cs="Times New Roman"/>
          <w:sz w:val="24"/>
          <w:szCs w:val="24"/>
          <w:lang w:val="en-GB"/>
        </w:rPr>
        <w:t>decision taken by an organ which she did not control</w:t>
      </w:r>
      <w:r w:rsidR="00192BDE" w:rsidRPr="00A21E4D">
        <w:rPr>
          <w:rFonts w:ascii="Times New Roman" w:hAnsi="Times New Roman" w:cs="Times New Roman"/>
          <w:sz w:val="24"/>
          <w:szCs w:val="24"/>
          <w:lang w:val="en-GB"/>
        </w:rPr>
        <w:t xml:space="preserve"> and which could decide </w:t>
      </w:r>
      <w:r w:rsidR="00B86BDC" w:rsidRPr="00A21E4D">
        <w:rPr>
          <w:rFonts w:ascii="Times New Roman" w:hAnsi="Times New Roman" w:cs="Times New Roman"/>
          <w:sz w:val="24"/>
          <w:szCs w:val="24"/>
          <w:lang w:val="en-GB"/>
        </w:rPr>
        <w:t xml:space="preserve">so </w:t>
      </w:r>
      <w:r w:rsidR="00192BDE" w:rsidRPr="00A21E4D">
        <w:rPr>
          <w:rFonts w:ascii="Times New Roman" w:hAnsi="Times New Roman" w:cs="Times New Roman"/>
          <w:sz w:val="24"/>
          <w:szCs w:val="24"/>
          <w:lang w:val="en-GB"/>
        </w:rPr>
        <w:t>whenever it wanted without her consent</w:t>
      </w:r>
      <w:r w:rsidR="00192BDE" w:rsidRPr="00A21E4D">
        <w:rPr>
          <w:rStyle w:val="Appelnotedebasdep"/>
          <w:rFonts w:ascii="Times New Roman" w:hAnsi="Times New Roman" w:cs="Times New Roman"/>
          <w:sz w:val="24"/>
          <w:szCs w:val="24"/>
          <w:lang w:val="en-GB"/>
        </w:rPr>
        <w:footnoteReference w:id="39"/>
      </w:r>
      <w:r w:rsidR="00A6639C" w:rsidRPr="00A21E4D">
        <w:rPr>
          <w:rFonts w:ascii="Times New Roman" w:hAnsi="Times New Roman" w:cs="Times New Roman"/>
          <w:sz w:val="24"/>
          <w:szCs w:val="24"/>
          <w:lang w:val="en-GB"/>
        </w:rPr>
        <w:t>.</w:t>
      </w:r>
      <w:r w:rsidR="00192BDE" w:rsidRPr="00A21E4D">
        <w:rPr>
          <w:rFonts w:ascii="Times New Roman" w:hAnsi="Times New Roman" w:cs="Times New Roman"/>
          <w:sz w:val="24"/>
          <w:szCs w:val="24"/>
          <w:lang w:val="en-GB"/>
        </w:rPr>
        <w:t xml:space="preserve"> This was deemed sufficient by the Court to establish that Ms Danosa had to be considered as a worker under the said </w:t>
      </w:r>
      <w:r w:rsidR="00C36F8E" w:rsidRPr="00A21E4D">
        <w:rPr>
          <w:rFonts w:ascii="Times New Roman" w:hAnsi="Times New Roman" w:cs="Times New Roman"/>
          <w:sz w:val="24"/>
          <w:szCs w:val="24"/>
          <w:lang w:val="en-GB"/>
        </w:rPr>
        <w:t>D</w:t>
      </w:r>
      <w:r w:rsidR="00192BDE" w:rsidRPr="00A21E4D">
        <w:rPr>
          <w:rFonts w:ascii="Times New Roman" w:hAnsi="Times New Roman" w:cs="Times New Roman"/>
          <w:sz w:val="24"/>
          <w:szCs w:val="24"/>
          <w:lang w:val="en-GB"/>
        </w:rPr>
        <w:t>irective.</w:t>
      </w:r>
      <w:r w:rsidR="00423FA5" w:rsidRPr="00A21E4D">
        <w:rPr>
          <w:rFonts w:ascii="Times New Roman" w:hAnsi="Times New Roman" w:cs="Times New Roman"/>
          <w:sz w:val="24"/>
          <w:szCs w:val="24"/>
          <w:lang w:val="en-GB"/>
        </w:rPr>
        <w:t xml:space="preserve"> </w:t>
      </w:r>
    </w:p>
    <w:p w14:paraId="23B1D3F7" w14:textId="77777777" w:rsidR="002B14C3" w:rsidRPr="00A21E4D" w:rsidRDefault="002B14C3" w:rsidP="00F0032F">
      <w:pPr>
        <w:pStyle w:val="Paragraphedeliste"/>
        <w:spacing w:line="240" w:lineRule="auto"/>
        <w:ind w:left="0"/>
        <w:jc w:val="both"/>
        <w:rPr>
          <w:rFonts w:ascii="Times New Roman" w:hAnsi="Times New Roman" w:cs="Times New Roman"/>
          <w:sz w:val="24"/>
          <w:szCs w:val="24"/>
          <w:lang w:val="en-GB"/>
        </w:rPr>
      </w:pPr>
    </w:p>
    <w:p w14:paraId="781D8252" w14:textId="1E3C01B1" w:rsidR="008737A1" w:rsidRPr="00A21E4D" w:rsidRDefault="002B14C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C5490F" w:rsidRPr="00A21E4D">
        <w:rPr>
          <w:rFonts w:ascii="Times New Roman" w:hAnsi="Times New Roman" w:cs="Times New Roman"/>
          <w:sz w:val="24"/>
          <w:szCs w:val="24"/>
          <w:lang w:val="en-GB"/>
        </w:rPr>
        <w:t>The outcome differs from the one in the</w:t>
      </w:r>
      <w:r w:rsidR="00FD161A" w:rsidRPr="00A21E4D">
        <w:rPr>
          <w:rFonts w:ascii="Times New Roman" w:hAnsi="Times New Roman" w:cs="Times New Roman"/>
          <w:sz w:val="24"/>
          <w:szCs w:val="24"/>
          <w:lang w:val="en-GB"/>
        </w:rPr>
        <w:t xml:space="preserve"> </w:t>
      </w:r>
      <w:r w:rsidR="00FD161A" w:rsidRPr="00A21E4D">
        <w:rPr>
          <w:rFonts w:ascii="Times New Roman" w:hAnsi="Times New Roman" w:cs="Times New Roman"/>
          <w:i/>
          <w:sz w:val="24"/>
          <w:szCs w:val="24"/>
          <w:lang w:val="en-GB"/>
        </w:rPr>
        <w:t>Asscher</w:t>
      </w:r>
      <w:r w:rsidR="00FD161A" w:rsidRPr="00A21E4D">
        <w:rPr>
          <w:rFonts w:ascii="Times New Roman" w:hAnsi="Times New Roman" w:cs="Times New Roman"/>
          <w:sz w:val="24"/>
          <w:szCs w:val="24"/>
          <w:lang w:val="en-GB"/>
        </w:rPr>
        <w:t xml:space="preserve"> case. </w:t>
      </w:r>
      <w:r w:rsidRPr="00A21E4D">
        <w:rPr>
          <w:rFonts w:ascii="Times New Roman" w:hAnsi="Times New Roman" w:cs="Times New Roman"/>
          <w:sz w:val="24"/>
          <w:szCs w:val="24"/>
          <w:lang w:val="en-GB"/>
        </w:rPr>
        <w:t>One first explanation could be that the facts of the two cases differ, with M</w:t>
      </w:r>
      <w:r w:rsidR="005C0A02" w:rsidRPr="00A21E4D">
        <w:rPr>
          <w:rFonts w:ascii="Times New Roman" w:hAnsi="Times New Roman" w:cs="Times New Roman"/>
          <w:sz w:val="24"/>
          <w:szCs w:val="24"/>
          <w:lang w:val="en-GB"/>
        </w:rPr>
        <w:t>r</w:t>
      </w:r>
      <w:r w:rsidRPr="00A21E4D">
        <w:rPr>
          <w:rFonts w:ascii="Times New Roman" w:hAnsi="Times New Roman" w:cs="Times New Roman"/>
          <w:sz w:val="24"/>
          <w:szCs w:val="24"/>
          <w:lang w:val="en-GB"/>
        </w:rPr>
        <w:t xml:space="preserve">. Asscher showing no signs of </w:t>
      </w:r>
      <w:r w:rsidR="00F768BB" w:rsidRPr="00A21E4D">
        <w:rPr>
          <w:rFonts w:ascii="Times New Roman" w:hAnsi="Times New Roman" w:cs="Times New Roman"/>
          <w:sz w:val="24"/>
          <w:szCs w:val="24"/>
          <w:lang w:val="en-GB"/>
        </w:rPr>
        <w:t xml:space="preserve">subordination </w:t>
      </w:r>
      <w:r w:rsidRPr="00A21E4D">
        <w:rPr>
          <w:rFonts w:ascii="Times New Roman" w:hAnsi="Times New Roman" w:cs="Times New Roman"/>
          <w:sz w:val="24"/>
          <w:szCs w:val="24"/>
          <w:lang w:val="en-GB"/>
        </w:rPr>
        <w:t>while Ms Danosa finds herself in what is often called the “grey zone” between self-employment and employment.</w:t>
      </w:r>
    </w:p>
    <w:p w14:paraId="1F1D6A98" w14:textId="77777777" w:rsidR="008361A8" w:rsidRPr="00A21E4D" w:rsidRDefault="008361A8" w:rsidP="00F0032F">
      <w:pPr>
        <w:pStyle w:val="Paragraphedeliste"/>
        <w:spacing w:line="240" w:lineRule="auto"/>
        <w:ind w:left="0"/>
        <w:jc w:val="both"/>
        <w:rPr>
          <w:rFonts w:ascii="Times New Roman" w:hAnsi="Times New Roman" w:cs="Times New Roman"/>
          <w:sz w:val="24"/>
          <w:szCs w:val="24"/>
          <w:lang w:val="en-GB"/>
        </w:rPr>
      </w:pPr>
    </w:p>
    <w:p w14:paraId="468F04C9" w14:textId="3846FE60" w:rsidR="00EF6C5F" w:rsidRPr="00A21E4D" w:rsidRDefault="008361A8"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lastRenderedPageBreak/>
        <w:tab/>
      </w:r>
      <w:r w:rsidR="002B14C3" w:rsidRPr="00A21E4D">
        <w:rPr>
          <w:rFonts w:ascii="Times New Roman" w:hAnsi="Times New Roman" w:cs="Times New Roman"/>
          <w:sz w:val="24"/>
          <w:szCs w:val="24"/>
          <w:lang w:val="en-GB"/>
        </w:rPr>
        <w:t>Furthermore, i</w:t>
      </w:r>
      <w:r w:rsidR="00423FA5" w:rsidRPr="00A21E4D">
        <w:rPr>
          <w:rFonts w:ascii="Times New Roman" w:hAnsi="Times New Roman" w:cs="Times New Roman"/>
          <w:sz w:val="24"/>
          <w:szCs w:val="24"/>
          <w:lang w:val="en-GB"/>
        </w:rPr>
        <w:t xml:space="preserve">n the </w:t>
      </w:r>
      <w:r w:rsidR="00423FA5" w:rsidRPr="00A21E4D">
        <w:rPr>
          <w:rFonts w:ascii="Times New Roman" w:hAnsi="Times New Roman" w:cs="Times New Roman"/>
          <w:i/>
          <w:sz w:val="24"/>
          <w:szCs w:val="24"/>
          <w:lang w:val="en-GB"/>
        </w:rPr>
        <w:t>Danosa</w:t>
      </w:r>
      <w:r w:rsidR="00423FA5"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lang w:val="en-GB"/>
        </w:rPr>
        <w:t xml:space="preserve">case, it is interesting to point out that even if reference is made again to the </w:t>
      </w:r>
      <w:r w:rsidRPr="00A21E4D">
        <w:rPr>
          <w:rFonts w:ascii="Times New Roman" w:hAnsi="Times New Roman" w:cs="Times New Roman"/>
          <w:i/>
          <w:sz w:val="24"/>
          <w:szCs w:val="24"/>
          <w:lang w:val="en-GB"/>
        </w:rPr>
        <w:t>Lawrie-Blum</w:t>
      </w:r>
      <w:r w:rsidRPr="00A21E4D">
        <w:rPr>
          <w:rFonts w:ascii="Times New Roman" w:hAnsi="Times New Roman" w:cs="Times New Roman"/>
          <w:sz w:val="24"/>
          <w:szCs w:val="24"/>
          <w:lang w:val="en-GB"/>
        </w:rPr>
        <w:t xml:space="preserve"> formula, the Court</w:t>
      </w:r>
      <w:r w:rsidR="00BB189E" w:rsidRPr="00A21E4D">
        <w:rPr>
          <w:rFonts w:ascii="Times New Roman" w:hAnsi="Times New Roman" w:cs="Times New Roman"/>
          <w:sz w:val="24"/>
          <w:szCs w:val="24"/>
          <w:lang w:val="en-GB"/>
        </w:rPr>
        <w:t xml:space="preserve"> d</w:t>
      </w:r>
      <w:r w:rsidR="007B7C26" w:rsidRPr="00A21E4D">
        <w:rPr>
          <w:rFonts w:ascii="Times New Roman" w:hAnsi="Times New Roman" w:cs="Times New Roman"/>
          <w:sz w:val="24"/>
          <w:szCs w:val="24"/>
          <w:lang w:val="en-GB"/>
        </w:rPr>
        <w:t>id</w:t>
      </w:r>
      <w:r w:rsidR="00BB189E" w:rsidRPr="00A21E4D">
        <w:rPr>
          <w:rFonts w:ascii="Times New Roman" w:hAnsi="Times New Roman" w:cs="Times New Roman"/>
          <w:sz w:val="24"/>
          <w:szCs w:val="24"/>
          <w:lang w:val="en-GB"/>
        </w:rPr>
        <w:t xml:space="preserve"> not hesitate to stretch considerably the notion of the link of subordination</w:t>
      </w:r>
      <w:r w:rsidR="00086746" w:rsidRPr="00A21E4D">
        <w:rPr>
          <w:rFonts w:ascii="Times New Roman" w:hAnsi="Times New Roman" w:cs="Times New Roman"/>
          <w:sz w:val="24"/>
          <w:szCs w:val="24"/>
          <w:lang w:val="en-GB"/>
        </w:rPr>
        <w:t xml:space="preserve">, unlike in </w:t>
      </w:r>
      <w:r w:rsidR="00086746" w:rsidRPr="00A21E4D">
        <w:rPr>
          <w:rFonts w:ascii="Times New Roman" w:hAnsi="Times New Roman" w:cs="Times New Roman"/>
          <w:i/>
          <w:sz w:val="24"/>
          <w:szCs w:val="24"/>
          <w:lang w:val="en-GB"/>
        </w:rPr>
        <w:t>Asscher</w:t>
      </w:r>
      <w:r w:rsidR="00EF1962" w:rsidRPr="00A21E4D">
        <w:rPr>
          <w:rFonts w:ascii="Times New Roman" w:hAnsi="Times New Roman" w:cs="Times New Roman"/>
          <w:sz w:val="24"/>
          <w:szCs w:val="24"/>
          <w:lang w:val="en-GB"/>
        </w:rPr>
        <w:t xml:space="preserve">. </w:t>
      </w:r>
      <w:r w:rsidR="00086746" w:rsidRPr="00A21E4D">
        <w:rPr>
          <w:rFonts w:ascii="Times New Roman" w:hAnsi="Times New Roman" w:cs="Times New Roman"/>
          <w:sz w:val="24"/>
          <w:szCs w:val="24"/>
          <w:lang w:val="en-GB"/>
        </w:rPr>
        <w:t>Indeed,</w:t>
      </w:r>
      <w:r w:rsidR="00EF1962" w:rsidRPr="00A21E4D">
        <w:rPr>
          <w:rFonts w:ascii="Times New Roman" w:hAnsi="Times New Roman" w:cs="Times New Roman"/>
          <w:sz w:val="24"/>
          <w:szCs w:val="24"/>
          <w:lang w:val="en-GB"/>
        </w:rPr>
        <w:t xml:space="preserve"> M</w:t>
      </w:r>
      <w:r w:rsidR="005C0A02" w:rsidRPr="00A21E4D">
        <w:rPr>
          <w:rFonts w:ascii="Times New Roman" w:hAnsi="Times New Roman" w:cs="Times New Roman"/>
          <w:sz w:val="24"/>
          <w:szCs w:val="24"/>
          <w:lang w:val="en-GB"/>
        </w:rPr>
        <w:t>r</w:t>
      </w:r>
      <w:r w:rsidR="00EF1962" w:rsidRPr="00A21E4D">
        <w:rPr>
          <w:rFonts w:ascii="Times New Roman" w:hAnsi="Times New Roman" w:cs="Times New Roman"/>
          <w:sz w:val="24"/>
          <w:szCs w:val="24"/>
          <w:lang w:val="en-GB"/>
        </w:rPr>
        <w:t>. Asscher tried to rely on free movement of worker</w:t>
      </w:r>
      <w:r w:rsidR="00717202" w:rsidRPr="00A21E4D">
        <w:rPr>
          <w:rFonts w:ascii="Times New Roman" w:hAnsi="Times New Roman" w:cs="Times New Roman"/>
          <w:sz w:val="24"/>
          <w:szCs w:val="24"/>
          <w:lang w:val="en-GB"/>
        </w:rPr>
        <w:t>s</w:t>
      </w:r>
      <w:r w:rsidR="00EF1962" w:rsidRPr="00A21E4D">
        <w:rPr>
          <w:rFonts w:ascii="Times New Roman" w:hAnsi="Times New Roman" w:cs="Times New Roman"/>
          <w:sz w:val="24"/>
          <w:szCs w:val="24"/>
          <w:lang w:val="en-GB"/>
        </w:rPr>
        <w:t xml:space="preserve"> only to avoid the national fiscal regulations, which could be seen as less problematic than ensure that pregnancy is not a ground for redundancy</w:t>
      </w:r>
      <w:r w:rsidR="008F7E63" w:rsidRPr="00A21E4D">
        <w:rPr>
          <w:rFonts w:ascii="Times New Roman" w:hAnsi="Times New Roman" w:cs="Times New Roman"/>
          <w:sz w:val="24"/>
          <w:szCs w:val="24"/>
          <w:lang w:val="en-GB"/>
        </w:rPr>
        <w:t>, equality between men and women being a sensitive issue for the Court</w:t>
      </w:r>
      <w:r w:rsidR="00EF1962" w:rsidRPr="00A21E4D">
        <w:rPr>
          <w:rFonts w:ascii="Times New Roman" w:hAnsi="Times New Roman" w:cs="Times New Roman"/>
          <w:sz w:val="24"/>
          <w:szCs w:val="24"/>
          <w:lang w:val="en-GB"/>
        </w:rPr>
        <w:t xml:space="preserve">. </w:t>
      </w:r>
      <w:r w:rsidR="005C0A02" w:rsidRPr="00A21E4D">
        <w:rPr>
          <w:rFonts w:ascii="Times New Roman" w:hAnsi="Times New Roman" w:cs="Times New Roman"/>
          <w:sz w:val="24"/>
          <w:szCs w:val="24"/>
          <w:lang w:val="en-GB"/>
        </w:rPr>
        <w:t>As Taco</w:t>
      </w:r>
      <w:r w:rsidR="003529DA" w:rsidRPr="00A21E4D">
        <w:rPr>
          <w:rFonts w:ascii="Times New Roman" w:hAnsi="Times New Roman" w:cs="Times New Roman"/>
          <w:sz w:val="24"/>
          <w:szCs w:val="24"/>
          <w:lang w:val="en-GB"/>
        </w:rPr>
        <w:t xml:space="preserve"> Van Peijpe shows</w:t>
      </w:r>
      <w:r w:rsidR="003529DA" w:rsidRPr="00A21E4D">
        <w:rPr>
          <w:rStyle w:val="Appelnotedebasdep"/>
          <w:rFonts w:ascii="Times New Roman" w:hAnsi="Times New Roman" w:cs="Times New Roman"/>
          <w:sz w:val="24"/>
          <w:szCs w:val="24"/>
          <w:lang w:val="en-GB"/>
        </w:rPr>
        <w:footnoteReference w:id="40"/>
      </w:r>
      <w:r w:rsidR="00951E39" w:rsidRPr="00A21E4D">
        <w:rPr>
          <w:rFonts w:ascii="Times New Roman" w:hAnsi="Times New Roman" w:cs="Times New Roman"/>
          <w:sz w:val="24"/>
          <w:szCs w:val="24"/>
          <w:lang w:val="en-GB"/>
        </w:rPr>
        <w:t xml:space="preserve">, the Court seeks to include </w:t>
      </w:r>
      <w:r w:rsidR="00A46519" w:rsidRPr="00A21E4D">
        <w:rPr>
          <w:rFonts w:ascii="Times New Roman" w:hAnsi="Times New Roman" w:cs="Times New Roman"/>
          <w:sz w:val="24"/>
          <w:szCs w:val="24"/>
          <w:lang w:val="en-GB"/>
        </w:rPr>
        <w:t>economically dependent workers within the</w:t>
      </w:r>
      <w:r w:rsidR="00347732" w:rsidRPr="00A21E4D">
        <w:rPr>
          <w:rFonts w:ascii="Times New Roman" w:hAnsi="Times New Roman" w:cs="Times New Roman"/>
          <w:sz w:val="24"/>
          <w:szCs w:val="24"/>
          <w:lang w:val="en-GB"/>
        </w:rPr>
        <w:t xml:space="preserve"> reach of the protection of the</w:t>
      </w:r>
      <w:r w:rsidR="00A46519" w:rsidRPr="00A21E4D">
        <w:rPr>
          <w:rFonts w:ascii="Times New Roman" w:hAnsi="Times New Roman" w:cs="Times New Roman"/>
          <w:sz w:val="24"/>
          <w:szCs w:val="24"/>
          <w:lang w:val="en-GB"/>
        </w:rPr>
        <w:t xml:space="preserve"> </w:t>
      </w:r>
      <w:r w:rsidR="00C36F8E" w:rsidRPr="00A21E4D">
        <w:rPr>
          <w:rFonts w:ascii="Times New Roman" w:hAnsi="Times New Roman" w:cs="Times New Roman"/>
          <w:sz w:val="24"/>
          <w:szCs w:val="24"/>
          <w:lang w:val="en-GB"/>
        </w:rPr>
        <w:t>S</w:t>
      </w:r>
      <w:r w:rsidR="00A46519"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00A46519"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00A46519" w:rsidRPr="00A21E4D">
        <w:rPr>
          <w:rFonts w:ascii="Times New Roman" w:hAnsi="Times New Roman" w:cs="Times New Roman"/>
          <w:sz w:val="24"/>
          <w:szCs w:val="24"/>
          <w:lang w:val="en-GB"/>
        </w:rPr>
        <w:t>irective</w:t>
      </w:r>
      <w:r w:rsidR="00347732" w:rsidRPr="00A21E4D">
        <w:rPr>
          <w:rFonts w:ascii="Times New Roman" w:hAnsi="Times New Roman" w:cs="Times New Roman"/>
          <w:sz w:val="24"/>
          <w:szCs w:val="24"/>
          <w:lang w:val="en-GB"/>
        </w:rPr>
        <w:t xml:space="preserve"> in question</w:t>
      </w:r>
      <w:r w:rsidR="00A46519" w:rsidRPr="00A21E4D">
        <w:rPr>
          <w:rFonts w:ascii="Times New Roman" w:hAnsi="Times New Roman" w:cs="Times New Roman"/>
          <w:sz w:val="24"/>
          <w:szCs w:val="24"/>
          <w:lang w:val="en-GB"/>
        </w:rPr>
        <w:t xml:space="preserve">. A similar reasoning was also found in the </w:t>
      </w:r>
      <w:r w:rsidR="00A46519" w:rsidRPr="00A21E4D">
        <w:rPr>
          <w:rFonts w:ascii="Times New Roman" w:hAnsi="Times New Roman" w:cs="Times New Roman"/>
          <w:i/>
          <w:sz w:val="24"/>
          <w:szCs w:val="24"/>
          <w:lang w:val="en-GB"/>
        </w:rPr>
        <w:t>Allonby</w:t>
      </w:r>
      <w:r w:rsidR="00A46519" w:rsidRPr="00A21E4D">
        <w:rPr>
          <w:rStyle w:val="Appelnotedebasdep"/>
          <w:rFonts w:ascii="Times New Roman" w:hAnsi="Times New Roman" w:cs="Times New Roman"/>
          <w:sz w:val="24"/>
          <w:szCs w:val="24"/>
          <w:lang w:val="en-GB"/>
        </w:rPr>
        <w:footnoteReference w:id="41"/>
      </w:r>
      <w:r w:rsidR="00504BDD" w:rsidRPr="00A21E4D">
        <w:rPr>
          <w:rFonts w:ascii="Times New Roman" w:hAnsi="Times New Roman" w:cs="Times New Roman"/>
          <w:sz w:val="24"/>
          <w:szCs w:val="24"/>
          <w:lang w:val="en-GB"/>
        </w:rPr>
        <w:t xml:space="preserve"> case (</w:t>
      </w:r>
      <w:r w:rsidR="00A46519" w:rsidRPr="00A21E4D">
        <w:rPr>
          <w:rFonts w:ascii="Times New Roman" w:hAnsi="Times New Roman" w:cs="Times New Roman"/>
          <w:sz w:val="24"/>
          <w:szCs w:val="24"/>
          <w:lang w:val="en-GB"/>
        </w:rPr>
        <w:t xml:space="preserve">C-256/01). </w:t>
      </w:r>
      <w:r w:rsidR="00EF6C5F" w:rsidRPr="00A21E4D">
        <w:rPr>
          <w:rFonts w:ascii="Times New Roman" w:hAnsi="Times New Roman" w:cs="Times New Roman"/>
          <w:sz w:val="24"/>
          <w:szCs w:val="24"/>
          <w:lang w:val="en-GB"/>
        </w:rPr>
        <w:t>This will to protect pregnant women can also be found in the fact that</w:t>
      </w:r>
      <w:r w:rsidR="00C5490F" w:rsidRPr="00A21E4D">
        <w:rPr>
          <w:rFonts w:ascii="Times New Roman" w:hAnsi="Times New Roman" w:cs="Times New Roman"/>
          <w:sz w:val="24"/>
          <w:szCs w:val="24"/>
          <w:lang w:val="en-GB"/>
        </w:rPr>
        <w:t xml:space="preserve"> even if the Court had</w:t>
      </w:r>
      <w:r w:rsidR="00EF6C5F" w:rsidRPr="00A21E4D">
        <w:rPr>
          <w:rFonts w:ascii="Times New Roman" w:hAnsi="Times New Roman" w:cs="Times New Roman"/>
          <w:sz w:val="24"/>
          <w:szCs w:val="24"/>
          <w:lang w:val="en-GB"/>
        </w:rPr>
        <w:t xml:space="preserve"> already shown that Ms Danos</w:t>
      </w:r>
      <w:r w:rsidR="00B15082" w:rsidRPr="00A21E4D">
        <w:rPr>
          <w:rFonts w:ascii="Times New Roman" w:hAnsi="Times New Roman" w:cs="Times New Roman"/>
          <w:sz w:val="24"/>
          <w:szCs w:val="24"/>
          <w:lang w:val="en-GB"/>
        </w:rPr>
        <w:t xml:space="preserve">a could be qualified as </w:t>
      </w:r>
      <w:r w:rsidR="00EF6C5F" w:rsidRPr="00A21E4D">
        <w:rPr>
          <w:rFonts w:ascii="Times New Roman" w:hAnsi="Times New Roman" w:cs="Times New Roman"/>
          <w:sz w:val="24"/>
          <w:szCs w:val="24"/>
          <w:lang w:val="en-GB"/>
        </w:rPr>
        <w:t xml:space="preserve">a worker and fall under the scope of the </w:t>
      </w:r>
      <w:r w:rsidR="00C36F8E" w:rsidRPr="00A21E4D">
        <w:rPr>
          <w:rFonts w:ascii="Times New Roman" w:hAnsi="Times New Roman" w:cs="Times New Roman"/>
          <w:sz w:val="24"/>
          <w:szCs w:val="24"/>
          <w:lang w:val="en-GB"/>
        </w:rPr>
        <w:t>D</w:t>
      </w:r>
      <w:r w:rsidR="00C5490F" w:rsidRPr="00A21E4D">
        <w:rPr>
          <w:rFonts w:ascii="Times New Roman" w:hAnsi="Times New Roman" w:cs="Times New Roman"/>
          <w:sz w:val="24"/>
          <w:szCs w:val="24"/>
          <w:lang w:val="en-GB"/>
        </w:rPr>
        <w:t>irective, it felt</w:t>
      </w:r>
      <w:r w:rsidR="00EF6C5F" w:rsidRPr="00A21E4D">
        <w:rPr>
          <w:rFonts w:ascii="Times New Roman" w:hAnsi="Times New Roman" w:cs="Times New Roman"/>
          <w:sz w:val="24"/>
          <w:szCs w:val="24"/>
          <w:lang w:val="en-GB"/>
        </w:rPr>
        <w:t xml:space="preserve"> the n</w:t>
      </w:r>
      <w:r w:rsidR="00B15082" w:rsidRPr="00A21E4D">
        <w:rPr>
          <w:rFonts w:ascii="Times New Roman" w:hAnsi="Times New Roman" w:cs="Times New Roman"/>
          <w:sz w:val="24"/>
          <w:szCs w:val="24"/>
          <w:lang w:val="en-GB"/>
        </w:rPr>
        <w:t>eed to add, as highlighted by Sophie</w:t>
      </w:r>
      <w:r w:rsidR="00EF6C5F" w:rsidRPr="00A21E4D">
        <w:rPr>
          <w:rFonts w:ascii="Times New Roman" w:hAnsi="Times New Roman" w:cs="Times New Roman"/>
          <w:sz w:val="24"/>
          <w:szCs w:val="24"/>
          <w:lang w:val="en-GB"/>
        </w:rPr>
        <w:t xml:space="preserve"> Robin-Olivier</w:t>
      </w:r>
      <w:r w:rsidR="00B15082" w:rsidRPr="00A21E4D">
        <w:rPr>
          <w:rFonts w:ascii="Times New Roman" w:hAnsi="Times New Roman" w:cs="Times New Roman"/>
          <w:sz w:val="24"/>
          <w:szCs w:val="24"/>
          <w:lang w:val="en-GB"/>
        </w:rPr>
        <w:t>, that even if the referring jurisdiction did conclude that Ms Danosa has to be qualified as a self-employed worker, protection should be given anyway</w:t>
      </w:r>
      <w:r w:rsidR="000E55A1" w:rsidRPr="00A21E4D">
        <w:rPr>
          <w:rFonts w:ascii="Times New Roman" w:hAnsi="Times New Roman" w:cs="Times New Roman"/>
          <w:sz w:val="24"/>
          <w:szCs w:val="24"/>
          <w:lang w:val="en-GB"/>
        </w:rPr>
        <w:t>, justifying it</w:t>
      </w:r>
      <w:r w:rsidR="001875B2" w:rsidRPr="00A21E4D">
        <w:rPr>
          <w:rFonts w:ascii="Times New Roman" w:hAnsi="Times New Roman" w:cs="Times New Roman"/>
          <w:sz w:val="24"/>
          <w:szCs w:val="24"/>
          <w:lang w:val="en-GB"/>
        </w:rPr>
        <w:t xml:space="preserve"> by the objectives pursued by the European Union Law concerning equality between men and women</w:t>
      </w:r>
      <w:r w:rsidR="009D7F15" w:rsidRPr="00A21E4D">
        <w:rPr>
          <w:rStyle w:val="Appelnotedebasdep"/>
          <w:rFonts w:ascii="Times New Roman" w:hAnsi="Times New Roman" w:cs="Times New Roman"/>
          <w:sz w:val="24"/>
          <w:szCs w:val="24"/>
          <w:lang w:val="en-GB"/>
        </w:rPr>
        <w:footnoteReference w:id="42"/>
      </w:r>
      <w:r w:rsidR="00B15082" w:rsidRPr="00A21E4D">
        <w:rPr>
          <w:rFonts w:ascii="Times New Roman" w:hAnsi="Times New Roman" w:cs="Times New Roman"/>
          <w:sz w:val="24"/>
          <w:szCs w:val="24"/>
          <w:lang w:val="en-GB"/>
        </w:rPr>
        <w:t xml:space="preserve">. </w:t>
      </w:r>
      <w:r w:rsidR="009D7F15" w:rsidRPr="00A21E4D">
        <w:rPr>
          <w:rFonts w:ascii="Times New Roman" w:hAnsi="Times New Roman" w:cs="Times New Roman"/>
          <w:sz w:val="24"/>
          <w:szCs w:val="24"/>
          <w:lang w:val="en-GB"/>
        </w:rPr>
        <w:t>Such a far-reaching conclusion is blurring the (quite) clear-cut distinction that the Court makes between subordinated workers and self-employed workers in the context of pregnancy. Sophie Robin-Olivier goes further</w:t>
      </w:r>
      <w:r w:rsidR="000028F6" w:rsidRPr="00A21E4D">
        <w:rPr>
          <w:rFonts w:ascii="Times New Roman" w:hAnsi="Times New Roman" w:cs="Times New Roman"/>
          <w:sz w:val="24"/>
          <w:szCs w:val="24"/>
          <w:lang w:val="en-GB"/>
        </w:rPr>
        <w:t>,</w:t>
      </w:r>
      <w:r w:rsidR="009D7F15" w:rsidRPr="00A21E4D">
        <w:rPr>
          <w:rFonts w:ascii="Times New Roman" w:hAnsi="Times New Roman" w:cs="Times New Roman"/>
          <w:sz w:val="24"/>
          <w:szCs w:val="24"/>
          <w:lang w:val="en-GB"/>
        </w:rPr>
        <w:t xml:space="preserve"> </w:t>
      </w:r>
      <w:r w:rsidR="000028F6" w:rsidRPr="00A21E4D">
        <w:rPr>
          <w:rFonts w:ascii="Times New Roman" w:hAnsi="Times New Roman" w:cs="Times New Roman"/>
          <w:sz w:val="24"/>
          <w:szCs w:val="24"/>
          <w:lang w:val="en-GB"/>
        </w:rPr>
        <w:t xml:space="preserve">concluding </w:t>
      </w:r>
      <w:r w:rsidR="009D7F15" w:rsidRPr="00A21E4D">
        <w:rPr>
          <w:rFonts w:ascii="Times New Roman" w:hAnsi="Times New Roman" w:cs="Times New Roman"/>
          <w:sz w:val="24"/>
          <w:szCs w:val="24"/>
          <w:lang w:val="en-GB"/>
        </w:rPr>
        <w:t xml:space="preserve">that such case-law is problematic because it ends up </w:t>
      </w:r>
      <w:r w:rsidR="00FA46ED" w:rsidRPr="00A21E4D">
        <w:rPr>
          <w:rFonts w:ascii="Times New Roman" w:hAnsi="Times New Roman" w:cs="Times New Roman"/>
          <w:sz w:val="24"/>
          <w:szCs w:val="24"/>
          <w:lang w:val="en-GB"/>
        </w:rPr>
        <w:t xml:space="preserve">undermining </w:t>
      </w:r>
      <w:r w:rsidR="009D7F15" w:rsidRPr="00A21E4D">
        <w:rPr>
          <w:rFonts w:ascii="Times New Roman" w:hAnsi="Times New Roman" w:cs="Times New Roman"/>
          <w:sz w:val="24"/>
          <w:szCs w:val="24"/>
          <w:lang w:val="en-GB"/>
        </w:rPr>
        <w:t xml:space="preserve">the utility of the different </w:t>
      </w:r>
      <w:r w:rsidR="00C36F8E" w:rsidRPr="00A21E4D">
        <w:rPr>
          <w:rFonts w:ascii="Times New Roman" w:hAnsi="Times New Roman" w:cs="Times New Roman"/>
          <w:sz w:val="24"/>
          <w:szCs w:val="24"/>
          <w:lang w:val="en-GB"/>
        </w:rPr>
        <w:t>D</w:t>
      </w:r>
      <w:r w:rsidR="009D7F15" w:rsidRPr="00A21E4D">
        <w:rPr>
          <w:rFonts w:ascii="Times New Roman" w:hAnsi="Times New Roman" w:cs="Times New Roman"/>
          <w:sz w:val="24"/>
          <w:szCs w:val="24"/>
          <w:lang w:val="en-GB"/>
        </w:rPr>
        <w:t>irectives by making reference to higher</w:t>
      </w:r>
      <w:r w:rsidR="009514B4" w:rsidRPr="00A21E4D">
        <w:rPr>
          <w:rFonts w:ascii="Times New Roman" w:hAnsi="Times New Roman" w:cs="Times New Roman"/>
          <w:sz w:val="24"/>
          <w:szCs w:val="24"/>
          <w:lang w:val="en-GB"/>
        </w:rPr>
        <w:t xml:space="preserve"> general</w:t>
      </w:r>
      <w:r w:rsidR="009D7F15" w:rsidRPr="00A21E4D">
        <w:rPr>
          <w:rFonts w:ascii="Times New Roman" w:hAnsi="Times New Roman" w:cs="Times New Roman"/>
          <w:sz w:val="24"/>
          <w:szCs w:val="24"/>
          <w:lang w:val="en-GB"/>
        </w:rPr>
        <w:t xml:space="preserve"> principles of EU Law, while it is clear that the Court draws these principles from secondary law</w:t>
      </w:r>
      <w:r w:rsidR="006107C4" w:rsidRPr="00A21E4D">
        <w:rPr>
          <w:rStyle w:val="Appelnotedebasdep"/>
          <w:rFonts w:ascii="Times New Roman" w:hAnsi="Times New Roman" w:cs="Times New Roman"/>
          <w:sz w:val="24"/>
          <w:szCs w:val="24"/>
          <w:lang w:val="en-GB"/>
        </w:rPr>
        <w:footnoteReference w:id="43"/>
      </w:r>
      <w:r w:rsidR="009D7F15" w:rsidRPr="00A21E4D">
        <w:rPr>
          <w:rFonts w:ascii="Times New Roman" w:hAnsi="Times New Roman" w:cs="Times New Roman"/>
          <w:sz w:val="24"/>
          <w:szCs w:val="24"/>
          <w:lang w:val="en-GB"/>
        </w:rPr>
        <w:t>.</w:t>
      </w:r>
    </w:p>
    <w:p w14:paraId="1DB54195" w14:textId="77777777" w:rsidR="00A46519" w:rsidRPr="00A21E4D" w:rsidRDefault="00A46519" w:rsidP="00F0032F">
      <w:pPr>
        <w:pStyle w:val="Paragraphedeliste"/>
        <w:spacing w:line="240" w:lineRule="auto"/>
        <w:ind w:left="0"/>
        <w:jc w:val="both"/>
        <w:rPr>
          <w:rFonts w:ascii="Times New Roman" w:hAnsi="Times New Roman" w:cs="Times New Roman"/>
          <w:sz w:val="24"/>
          <w:szCs w:val="24"/>
          <w:lang w:val="en-GB"/>
        </w:rPr>
      </w:pPr>
    </w:p>
    <w:p w14:paraId="4DA1B683" w14:textId="0A8AEB9D" w:rsidR="00A46519" w:rsidRPr="00A21E4D" w:rsidRDefault="00A46519"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Such a need </w:t>
      </w:r>
      <w:r w:rsidR="00E73CF8" w:rsidRPr="00A21E4D">
        <w:rPr>
          <w:rFonts w:ascii="Times New Roman" w:hAnsi="Times New Roman" w:cs="Times New Roman"/>
          <w:sz w:val="24"/>
          <w:szCs w:val="24"/>
          <w:lang w:val="en-GB"/>
        </w:rPr>
        <w:t>appeared once more</w:t>
      </w:r>
      <w:r w:rsidRPr="00A21E4D">
        <w:rPr>
          <w:rFonts w:ascii="Times New Roman" w:hAnsi="Times New Roman" w:cs="Times New Roman"/>
          <w:sz w:val="24"/>
          <w:szCs w:val="24"/>
          <w:lang w:val="en-GB"/>
        </w:rPr>
        <w:t xml:space="preserve"> in the </w:t>
      </w:r>
      <w:r w:rsidRPr="00A21E4D">
        <w:rPr>
          <w:rFonts w:ascii="Times New Roman" w:hAnsi="Times New Roman" w:cs="Times New Roman"/>
          <w:i/>
          <w:sz w:val="24"/>
          <w:szCs w:val="24"/>
          <w:lang w:val="en-GB"/>
        </w:rPr>
        <w:t>Balkaya</w:t>
      </w:r>
      <w:r w:rsidRPr="00A21E4D">
        <w:rPr>
          <w:rFonts w:ascii="Times New Roman" w:hAnsi="Times New Roman" w:cs="Times New Roman"/>
          <w:sz w:val="24"/>
          <w:szCs w:val="24"/>
          <w:lang w:val="en-GB"/>
        </w:rPr>
        <w:t xml:space="preserve"> case concerning Directive 98/59 on Collective Redundanc</w:t>
      </w:r>
      <w:r w:rsidR="00B30707" w:rsidRPr="00A21E4D">
        <w:rPr>
          <w:rFonts w:ascii="Times New Roman" w:hAnsi="Times New Roman" w:cs="Times New Roman"/>
          <w:sz w:val="24"/>
          <w:szCs w:val="24"/>
          <w:lang w:val="en-GB"/>
        </w:rPr>
        <w:t>ies</w:t>
      </w:r>
      <w:r w:rsidR="001E6D27" w:rsidRPr="00A21E4D">
        <w:rPr>
          <w:rFonts w:ascii="Times New Roman" w:hAnsi="Times New Roman" w:cs="Times New Roman"/>
          <w:sz w:val="24"/>
          <w:szCs w:val="24"/>
          <w:lang w:val="en-GB"/>
        </w:rPr>
        <w:t xml:space="preserve">. This </w:t>
      </w:r>
      <w:r w:rsidR="00C36F8E" w:rsidRPr="00A21E4D">
        <w:rPr>
          <w:rFonts w:ascii="Times New Roman" w:hAnsi="Times New Roman" w:cs="Times New Roman"/>
          <w:sz w:val="24"/>
          <w:szCs w:val="24"/>
          <w:lang w:val="en-GB"/>
        </w:rPr>
        <w:t>D</w:t>
      </w:r>
      <w:r w:rsidR="001E6D27" w:rsidRPr="00A21E4D">
        <w:rPr>
          <w:rFonts w:ascii="Times New Roman" w:hAnsi="Times New Roman" w:cs="Times New Roman"/>
          <w:sz w:val="24"/>
          <w:szCs w:val="24"/>
          <w:lang w:val="en-GB"/>
        </w:rPr>
        <w:t xml:space="preserve">irective </w:t>
      </w:r>
      <w:r w:rsidR="00995FAB" w:rsidRPr="00A21E4D">
        <w:rPr>
          <w:rFonts w:ascii="Times New Roman" w:hAnsi="Times New Roman" w:cs="Times New Roman"/>
          <w:sz w:val="24"/>
          <w:szCs w:val="24"/>
          <w:lang w:val="en-GB"/>
        </w:rPr>
        <w:t xml:space="preserve">does only </w:t>
      </w:r>
      <w:r w:rsidR="001E6D27" w:rsidRPr="00A21E4D">
        <w:rPr>
          <w:rFonts w:ascii="Times New Roman" w:hAnsi="Times New Roman" w:cs="Times New Roman"/>
          <w:sz w:val="24"/>
          <w:szCs w:val="24"/>
          <w:lang w:val="en-GB"/>
        </w:rPr>
        <w:t xml:space="preserve">contain a reference to the definition if the concept </w:t>
      </w:r>
      <w:r w:rsidR="00995FAB" w:rsidRPr="00A21E4D">
        <w:rPr>
          <w:rFonts w:ascii="Times New Roman" w:hAnsi="Times New Roman" w:cs="Times New Roman"/>
          <w:sz w:val="24"/>
          <w:szCs w:val="24"/>
          <w:lang w:val="en-GB"/>
        </w:rPr>
        <w:t xml:space="preserve">of “representative of </w:t>
      </w:r>
      <w:r w:rsidR="001E6D27" w:rsidRPr="00A21E4D">
        <w:rPr>
          <w:rFonts w:ascii="Times New Roman" w:hAnsi="Times New Roman" w:cs="Times New Roman"/>
          <w:sz w:val="24"/>
          <w:szCs w:val="24"/>
          <w:lang w:val="en-GB"/>
        </w:rPr>
        <w:t>worker</w:t>
      </w:r>
      <w:r w:rsidR="00995FAB" w:rsidRPr="00A21E4D">
        <w:rPr>
          <w:rFonts w:ascii="Times New Roman" w:hAnsi="Times New Roman" w:cs="Times New Roman"/>
          <w:sz w:val="24"/>
          <w:szCs w:val="24"/>
          <w:lang w:val="en-GB"/>
        </w:rPr>
        <w:t>s”</w:t>
      </w:r>
      <w:r w:rsidR="001E6D27" w:rsidRPr="00A21E4D">
        <w:rPr>
          <w:rFonts w:ascii="Times New Roman" w:hAnsi="Times New Roman" w:cs="Times New Roman"/>
          <w:sz w:val="24"/>
          <w:szCs w:val="24"/>
          <w:lang w:val="en-GB"/>
        </w:rPr>
        <w:t xml:space="preserve"> b</w:t>
      </w:r>
      <w:r w:rsidR="00773B48" w:rsidRPr="00A21E4D">
        <w:rPr>
          <w:rFonts w:ascii="Times New Roman" w:hAnsi="Times New Roman" w:cs="Times New Roman"/>
          <w:sz w:val="24"/>
          <w:szCs w:val="24"/>
          <w:lang w:val="en-GB"/>
        </w:rPr>
        <w:t xml:space="preserve">y the law of the Member States </w:t>
      </w:r>
      <w:r w:rsidR="001E6D27" w:rsidRPr="00A21E4D">
        <w:rPr>
          <w:rFonts w:ascii="Times New Roman" w:hAnsi="Times New Roman" w:cs="Times New Roman"/>
          <w:sz w:val="24"/>
          <w:szCs w:val="24"/>
          <w:lang w:val="en-GB"/>
        </w:rPr>
        <w:t xml:space="preserve"> </w:t>
      </w:r>
      <w:r w:rsidR="00773B48" w:rsidRPr="00A21E4D">
        <w:rPr>
          <w:rFonts w:ascii="Times New Roman" w:hAnsi="Times New Roman" w:cs="Times New Roman"/>
          <w:sz w:val="24"/>
          <w:szCs w:val="24"/>
          <w:lang w:val="en-GB"/>
        </w:rPr>
        <w:t>(</w:t>
      </w:r>
      <w:r w:rsidR="00AA247B" w:rsidRPr="00A21E4D">
        <w:rPr>
          <w:rFonts w:ascii="Times New Roman" w:hAnsi="Times New Roman" w:cs="Times New Roman"/>
          <w:sz w:val="24"/>
          <w:szCs w:val="24"/>
          <w:lang w:val="en-GB"/>
        </w:rPr>
        <w:t xml:space="preserve">analysed </w:t>
      </w:r>
      <w:r w:rsidR="001E6D27" w:rsidRPr="00A21E4D">
        <w:rPr>
          <w:rFonts w:ascii="Times New Roman" w:hAnsi="Times New Roman" w:cs="Times New Roman"/>
          <w:sz w:val="24"/>
          <w:szCs w:val="24"/>
          <w:lang w:val="en-GB"/>
        </w:rPr>
        <w:t>in the next section</w:t>
      </w:r>
      <w:r w:rsidR="00773B48" w:rsidRPr="00A21E4D">
        <w:rPr>
          <w:rFonts w:ascii="Times New Roman" w:hAnsi="Times New Roman" w:cs="Times New Roman"/>
          <w:sz w:val="24"/>
          <w:szCs w:val="24"/>
          <w:lang w:val="en-GB"/>
        </w:rPr>
        <w:t>)</w:t>
      </w:r>
      <w:r w:rsidRPr="00A21E4D">
        <w:rPr>
          <w:rFonts w:ascii="Times New Roman" w:hAnsi="Times New Roman" w:cs="Times New Roman"/>
          <w:sz w:val="24"/>
          <w:szCs w:val="24"/>
          <w:lang w:val="en-GB"/>
        </w:rPr>
        <w:t>.</w:t>
      </w:r>
      <w:r w:rsidR="00930F59" w:rsidRPr="00A21E4D">
        <w:rPr>
          <w:rFonts w:ascii="Times New Roman" w:hAnsi="Times New Roman" w:cs="Times New Roman"/>
          <w:sz w:val="24"/>
          <w:szCs w:val="24"/>
          <w:lang w:val="en-GB"/>
        </w:rPr>
        <w:t xml:space="preserve"> </w:t>
      </w:r>
      <w:r w:rsidR="00773B48" w:rsidRPr="00A21E4D">
        <w:rPr>
          <w:rFonts w:ascii="Times New Roman" w:hAnsi="Times New Roman" w:cs="Times New Roman"/>
          <w:sz w:val="24"/>
          <w:szCs w:val="24"/>
          <w:lang w:val="en-GB"/>
        </w:rPr>
        <w:t>T</w:t>
      </w:r>
      <w:r w:rsidR="00276622" w:rsidRPr="00A21E4D">
        <w:rPr>
          <w:rFonts w:ascii="Times New Roman" w:hAnsi="Times New Roman" w:cs="Times New Roman"/>
          <w:sz w:val="24"/>
          <w:szCs w:val="24"/>
          <w:lang w:val="en-GB"/>
        </w:rPr>
        <w:t xml:space="preserve">he question </w:t>
      </w:r>
      <w:r w:rsidR="00773B48" w:rsidRPr="00A21E4D">
        <w:rPr>
          <w:rFonts w:ascii="Times New Roman" w:hAnsi="Times New Roman" w:cs="Times New Roman"/>
          <w:sz w:val="24"/>
          <w:szCs w:val="24"/>
          <w:lang w:val="en-GB"/>
        </w:rPr>
        <w:t xml:space="preserve">was </w:t>
      </w:r>
      <w:r w:rsidR="00276622" w:rsidRPr="00A21E4D">
        <w:rPr>
          <w:rFonts w:ascii="Times New Roman" w:hAnsi="Times New Roman" w:cs="Times New Roman"/>
          <w:sz w:val="24"/>
          <w:szCs w:val="24"/>
          <w:lang w:val="en-GB"/>
        </w:rPr>
        <w:t>whether</w:t>
      </w:r>
      <w:r w:rsidR="00930F59" w:rsidRPr="00A21E4D">
        <w:rPr>
          <w:rFonts w:ascii="Times New Roman" w:hAnsi="Times New Roman" w:cs="Times New Roman"/>
          <w:sz w:val="24"/>
          <w:szCs w:val="24"/>
          <w:lang w:val="en-GB"/>
        </w:rPr>
        <w:t xml:space="preserve"> a director had to be included in the </w:t>
      </w:r>
      <w:r w:rsidR="00497927" w:rsidRPr="00A21E4D">
        <w:rPr>
          <w:rFonts w:ascii="Times New Roman" w:hAnsi="Times New Roman" w:cs="Times New Roman"/>
          <w:sz w:val="24"/>
          <w:szCs w:val="24"/>
          <w:lang w:val="en-GB"/>
        </w:rPr>
        <w:t xml:space="preserve">number </w:t>
      </w:r>
      <w:r w:rsidR="00930F59" w:rsidRPr="00A21E4D">
        <w:rPr>
          <w:rFonts w:ascii="Times New Roman" w:hAnsi="Times New Roman" w:cs="Times New Roman"/>
          <w:sz w:val="24"/>
          <w:szCs w:val="24"/>
          <w:lang w:val="en-GB"/>
        </w:rPr>
        <w:t xml:space="preserve">of workers made redundant to determine if the </w:t>
      </w:r>
      <w:r w:rsidR="005251A0" w:rsidRPr="00A21E4D">
        <w:rPr>
          <w:rFonts w:ascii="Times New Roman" w:hAnsi="Times New Roman" w:cs="Times New Roman"/>
          <w:sz w:val="24"/>
          <w:szCs w:val="24"/>
          <w:lang w:val="en-GB"/>
        </w:rPr>
        <w:t xml:space="preserve">Directive </w:t>
      </w:r>
      <w:r w:rsidR="00D348F1" w:rsidRPr="00A21E4D">
        <w:rPr>
          <w:rFonts w:ascii="Times New Roman" w:hAnsi="Times New Roman" w:cs="Times New Roman"/>
          <w:sz w:val="24"/>
          <w:szCs w:val="24"/>
          <w:lang w:val="en-GB"/>
        </w:rPr>
        <w:t xml:space="preserve">was </w:t>
      </w:r>
      <w:r w:rsidR="00930F59" w:rsidRPr="00A21E4D">
        <w:rPr>
          <w:rFonts w:ascii="Times New Roman" w:hAnsi="Times New Roman" w:cs="Times New Roman"/>
          <w:sz w:val="24"/>
          <w:szCs w:val="24"/>
          <w:lang w:val="en-GB"/>
        </w:rPr>
        <w:t xml:space="preserve">applicable. The Court transposed its reasoning from </w:t>
      </w:r>
      <w:r w:rsidR="00930F59" w:rsidRPr="00A21E4D">
        <w:rPr>
          <w:rFonts w:ascii="Times New Roman" w:hAnsi="Times New Roman" w:cs="Times New Roman"/>
          <w:i/>
          <w:sz w:val="24"/>
          <w:szCs w:val="24"/>
          <w:lang w:val="en-GB"/>
        </w:rPr>
        <w:t>Danosa</w:t>
      </w:r>
      <w:r w:rsidR="0084779F" w:rsidRPr="00A21E4D">
        <w:rPr>
          <w:rStyle w:val="Appelnotedebasdep"/>
          <w:rFonts w:ascii="Times New Roman" w:hAnsi="Times New Roman" w:cs="Times New Roman"/>
          <w:i/>
          <w:sz w:val="24"/>
          <w:szCs w:val="24"/>
          <w:lang w:val="en-GB"/>
        </w:rPr>
        <w:footnoteReference w:id="44"/>
      </w:r>
      <w:r w:rsidR="007B7C26" w:rsidRPr="00A21E4D">
        <w:rPr>
          <w:rFonts w:ascii="Times New Roman" w:hAnsi="Times New Roman" w:cs="Times New Roman"/>
          <w:sz w:val="24"/>
          <w:szCs w:val="24"/>
          <w:lang w:val="en-GB"/>
        </w:rPr>
        <w:t xml:space="preserve">, </w:t>
      </w:r>
      <w:r w:rsidR="00930F59" w:rsidRPr="00A21E4D">
        <w:rPr>
          <w:rFonts w:ascii="Times New Roman" w:hAnsi="Times New Roman" w:cs="Times New Roman"/>
          <w:sz w:val="24"/>
          <w:szCs w:val="24"/>
          <w:lang w:val="en-GB"/>
        </w:rPr>
        <w:t>adding that, even if it is not decisive by itself, the director in question did not hold any part within the company</w:t>
      </w:r>
      <w:r w:rsidR="00141CF6" w:rsidRPr="00A21E4D">
        <w:rPr>
          <w:rStyle w:val="Appelnotedebasdep"/>
          <w:rFonts w:ascii="Times New Roman" w:hAnsi="Times New Roman" w:cs="Times New Roman"/>
          <w:sz w:val="24"/>
          <w:szCs w:val="24"/>
          <w:lang w:val="en-GB"/>
        </w:rPr>
        <w:footnoteReference w:id="45"/>
      </w:r>
      <w:r w:rsidR="00930F59" w:rsidRPr="00A21E4D">
        <w:rPr>
          <w:rFonts w:ascii="Times New Roman" w:hAnsi="Times New Roman" w:cs="Times New Roman"/>
          <w:sz w:val="24"/>
          <w:szCs w:val="24"/>
          <w:lang w:val="en-GB"/>
        </w:rPr>
        <w:t xml:space="preserve">. This is </w:t>
      </w:r>
      <w:r w:rsidR="0084779F" w:rsidRPr="00A21E4D">
        <w:rPr>
          <w:rFonts w:ascii="Times New Roman" w:hAnsi="Times New Roman" w:cs="Times New Roman"/>
          <w:sz w:val="24"/>
          <w:szCs w:val="24"/>
          <w:lang w:val="en-GB"/>
        </w:rPr>
        <w:t xml:space="preserve">also </w:t>
      </w:r>
      <w:r w:rsidR="00930F59" w:rsidRPr="00A21E4D">
        <w:rPr>
          <w:rFonts w:ascii="Times New Roman" w:hAnsi="Times New Roman" w:cs="Times New Roman"/>
          <w:sz w:val="24"/>
          <w:szCs w:val="24"/>
          <w:lang w:val="en-GB"/>
        </w:rPr>
        <w:t>an element</w:t>
      </w:r>
      <w:r w:rsidR="003246E0" w:rsidRPr="00A21E4D">
        <w:rPr>
          <w:rFonts w:ascii="Times New Roman" w:hAnsi="Times New Roman" w:cs="Times New Roman"/>
          <w:sz w:val="24"/>
          <w:szCs w:val="24"/>
          <w:lang w:val="en-GB"/>
        </w:rPr>
        <w:t>, the absence of participation to the risks,</w:t>
      </w:r>
      <w:r w:rsidR="00930F59" w:rsidRPr="00A21E4D">
        <w:rPr>
          <w:rFonts w:ascii="Times New Roman" w:hAnsi="Times New Roman" w:cs="Times New Roman"/>
          <w:sz w:val="24"/>
          <w:szCs w:val="24"/>
          <w:lang w:val="en-GB"/>
        </w:rPr>
        <w:t xml:space="preserve"> more linked to economic dependency </w:t>
      </w:r>
      <w:r w:rsidR="0084779F" w:rsidRPr="00A21E4D">
        <w:rPr>
          <w:rFonts w:ascii="Times New Roman" w:hAnsi="Times New Roman" w:cs="Times New Roman"/>
          <w:sz w:val="24"/>
          <w:szCs w:val="24"/>
          <w:lang w:val="en-GB"/>
        </w:rPr>
        <w:t xml:space="preserve">than an element related to the link of subordination in the traditional </w:t>
      </w:r>
      <w:r w:rsidR="0084779F" w:rsidRPr="00A21E4D">
        <w:rPr>
          <w:rFonts w:ascii="Times New Roman" w:hAnsi="Times New Roman" w:cs="Times New Roman"/>
          <w:i/>
          <w:sz w:val="24"/>
          <w:szCs w:val="24"/>
          <w:lang w:val="en-GB"/>
        </w:rPr>
        <w:t>Lawrie-Blum</w:t>
      </w:r>
      <w:r w:rsidR="0084779F" w:rsidRPr="00A21E4D">
        <w:rPr>
          <w:rFonts w:ascii="Times New Roman" w:hAnsi="Times New Roman" w:cs="Times New Roman"/>
          <w:sz w:val="24"/>
          <w:szCs w:val="24"/>
          <w:lang w:val="en-GB"/>
        </w:rPr>
        <w:t xml:space="preserve"> sense.</w:t>
      </w:r>
      <w:r w:rsidR="00995FAB" w:rsidRPr="00A21E4D">
        <w:rPr>
          <w:rFonts w:ascii="Times New Roman" w:hAnsi="Times New Roman" w:cs="Times New Roman"/>
          <w:sz w:val="24"/>
          <w:szCs w:val="24"/>
          <w:lang w:val="en-GB"/>
        </w:rPr>
        <w:t xml:space="preserve">  The Court also confirmed its traditional view on trainees which should be counted too for the calculation of the thresholds for the application of the </w:t>
      </w:r>
      <w:r w:rsidR="00C36F8E" w:rsidRPr="00A21E4D">
        <w:rPr>
          <w:rFonts w:ascii="Times New Roman" w:hAnsi="Times New Roman" w:cs="Times New Roman"/>
          <w:sz w:val="24"/>
          <w:szCs w:val="24"/>
          <w:lang w:val="en-GB"/>
        </w:rPr>
        <w:t>D</w:t>
      </w:r>
      <w:r w:rsidR="00995FAB" w:rsidRPr="00A21E4D">
        <w:rPr>
          <w:rFonts w:ascii="Times New Roman" w:hAnsi="Times New Roman" w:cs="Times New Roman"/>
          <w:sz w:val="24"/>
          <w:szCs w:val="24"/>
          <w:lang w:val="en-GB"/>
        </w:rPr>
        <w:t>irective</w:t>
      </w:r>
      <w:r w:rsidR="00995FAB" w:rsidRPr="00A21E4D">
        <w:rPr>
          <w:rStyle w:val="Appelnotedebasdep"/>
          <w:rFonts w:ascii="Times New Roman" w:hAnsi="Times New Roman" w:cs="Times New Roman"/>
          <w:sz w:val="24"/>
          <w:szCs w:val="24"/>
          <w:lang w:val="en-GB"/>
        </w:rPr>
        <w:footnoteReference w:id="46"/>
      </w:r>
      <w:r w:rsidR="00995FAB" w:rsidRPr="00A21E4D">
        <w:rPr>
          <w:rFonts w:ascii="Times New Roman" w:hAnsi="Times New Roman" w:cs="Times New Roman"/>
          <w:sz w:val="24"/>
          <w:szCs w:val="24"/>
          <w:lang w:val="en-GB"/>
        </w:rPr>
        <w:t xml:space="preserve">. In the </w:t>
      </w:r>
      <w:r w:rsidR="00995FAB" w:rsidRPr="00A21E4D">
        <w:rPr>
          <w:rFonts w:ascii="Times New Roman" w:hAnsi="Times New Roman" w:cs="Times New Roman"/>
          <w:i/>
          <w:sz w:val="24"/>
          <w:szCs w:val="24"/>
          <w:lang w:val="en-GB"/>
        </w:rPr>
        <w:t>Pujante Rivera</w:t>
      </w:r>
      <w:r w:rsidR="00995FAB" w:rsidRPr="00A21E4D">
        <w:rPr>
          <w:rFonts w:ascii="Times New Roman" w:hAnsi="Times New Roman" w:cs="Times New Roman"/>
          <w:sz w:val="24"/>
          <w:szCs w:val="24"/>
          <w:lang w:val="en-GB"/>
        </w:rPr>
        <w:t xml:space="preserve"> case, a similar reasoning leads to the same conclusion concerning fixed term contracts</w:t>
      </w:r>
      <w:r w:rsidR="00995FAB" w:rsidRPr="00A21E4D">
        <w:rPr>
          <w:rStyle w:val="Appelnotedebasdep"/>
          <w:rFonts w:ascii="Times New Roman" w:hAnsi="Times New Roman" w:cs="Times New Roman"/>
          <w:sz w:val="24"/>
          <w:szCs w:val="24"/>
          <w:lang w:val="en-GB"/>
        </w:rPr>
        <w:footnoteReference w:id="47"/>
      </w:r>
      <w:r w:rsidR="00995FAB" w:rsidRPr="00A21E4D">
        <w:rPr>
          <w:rFonts w:ascii="Times New Roman" w:hAnsi="Times New Roman" w:cs="Times New Roman"/>
          <w:sz w:val="24"/>
          <w:szCs w:val="24"/>
          <w:lang w:val="en-GB"/>
        </w:rPr>
        <w:t>.</w:t>
      </w:r>
    </w:p>
    <w:p w14:paraId="44B5A324" w14:textId="77777777" w:rsidR="00807090" w:rsidRPr="00A21E4D" w:rsidRDefault="00807090" w:rsidP="00F0032F">
      <w:pPr>
        <w:pStyle w:val="Paragraphedeliste"/>
        <w:spacing w:line="240" w:lineRule="auto"/>
        <w:ind w:left="0"/>
        <w:jc w:val="both"/>
        <w:rPr>
          <w:rFonts w:ascii="Times New Roman" w:hAnsi="Times New Roman" w:cs="Times New Roman"/>
          <w:sz w:val="24"/>
          <w:szCs w:val="24"/>
          <w:lang w:val="en-GB"/>
        </w:rPr>
      </w:pPr>
    </w:p>
    <w:p w14:paraId="0740704D" w14:textId="53A8DBE7" w:rsidR="00807090" w:rsidRPr="00A21E4D" w:rsidRDefault="00807090"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We have mentioned in the previous </w:t>
      </w:r>
      <w:r w:rsidR="00FF1489" w:rsidRPr="00A21E4D">
        <w:rPr>
          <w:rFonts w:ascii="Times New Roman" w:hAnsi="Times New Roman" w:cs="Times New Roman"/>
          <w:sz w:val="24"/>
          <w:szCs w:val="24"/>
          <w:lang w:val="en-GB"/>
        </w:rPr>
        <w:t>section t</w:t>
      </w:r>
      <w:r w:rsidRPr="00A21E4D">
        <w:rPr>
          <w:rFonts w:ascii="Times New Roman" w:hAnsi="Times New Roman" w:cs="Times New Roman"/>
          <w:sz w:val="24"/>
          <w:szCs w:val="24"/>
          <w:lang w:val="en-GB"/>
        </w:rPr>
        <w:t>he existence of cases under free movement law where the Court reached a similar concl</w:t>
      </w:r>
      <w:r w:rsidR="00FA2B28" w:rsidRPr="00A21E4D">
        <w:rPr>
          <w:rFonts w:ascii="Times New Roman" w:hAnsi="Times New Roman" w:cs="Times New Roman"/>
          <w:sz w:val="24"/>
          <w:szCs w:val="24"/>
          <w:lang w:val="en-GB"/>
        </w:rPr>
        <w:t xml:space="preserve">usion, maybe for the same purpose. </w:t>
      </w:r>
      <w:r w:rsidR="000A12D4" w:rsidRPr="00A21E4D">
        <w:rPr>
          <w:rFonts w:ascii="Times New Roman" w:hAnsi="Times New Roman" w:cs="Times New Roman"/>
          <w:sz w:val="24"/>
          <w:szCs w:val="24"/>
          <w:lang w:val="en-GB"/>
        </w:rPr>
        <w:t xml:space="preserve">In free </w:t>
      </w:r>
      <w:r w:rsidR="000A12D4" w:rsidRPr="00A21E4D">
        <w:rPr>
          <w:rFonts w:ascii="Times New Roman" w:hAnsi="Times New Roman" w:cs="Times New Roman"/>
          <w:sz w:val="24"/>
          <w:szCs w:val="24"/>
          <w:lang w:val="en-GB"/>
        </w:rPr>
        <w:lastRenderedPageBreak/>
        <w:t xml:space="preserve">movement law, </w:t>
      </w:r>
      <w:r w:rsidR="000F1080" w:rsidRPr="00A21E4D">
        <w:rPr>
          <w:rFonts w:ascii="Times New Roman" w:hAnsi="Times New Roman" w:cs="Times New Roman"/>
          <w:sz w:val="24"/>
          <w:szCs w:val="24"/>
          <w:lang w:val="en-GB"/>
        </w:rPr>
        <w:t xml:space="preserve">although, </w:t>
      </w:r>
      <w:r w:rsidR="00680AE9" w:rsidRPr="00A21E4D">
        <w:rPr>
          <w:rFonts w:ascii="Times New Roman" w:hAnsi="Times New Roman" w:cs="Times New Roman"/>
          <w:sz w:val="24"/>
          <w:szCs w:val="24"/>
          <w:lang w:val="en-GB"/>
        </w:rPr>
        <w:t xml:space="preserve">the cases in question remains exceptional and quite at the margin of the topic. In </w:t>
      </w:r>
      <w:r w:rsidR="00C36F8E" w:rsidRPr="00A21E4D">
        <w:rPr>
          <w:rFonts w:ascii="Times New Roman" w:hAnsi="Times New Roman" w:cs="Times New Roman"/>
          <w:sz w:val="24"/>
          <w:szCs w:val="24"/>
          <w:lang w:val="en-GB"/>
        </w:rPr>
        <w:t>S</w:t>
      </w:r>
      <w:r w:rsidR="00680AE9"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00680AE9"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00680AE9" w:rsidRPr="00A21E4D">
        <w:rPr>
          <w:rFonts w:ascii="Times New Roman" w:hAnsi="Times New Roman" w:cs="Times New Roman"/>
          <w:sz w:val="24"/>
          <w:szCs w:val="24"/>
          <w:lang w:val="en-GB"/>
        </w:rPr>
        <w:t xml:space="preserve">irectives, it seems more linked to the very nature of the </w:t>
      </w:r>
      <w:r w:rsidR="00C36F8E" w:rsidRPr="00A21E4D">
        <w:rPr>
          <w:rFonts w:ascii="Times New Roman" w:hAnsi="Times New Roman" w:cs="Times New Roman"/>
          <w:sz w:val="24"/>
          <w:szCs w:val="24"/>
          <w:lang w:val="en-GB"/>
        </w:rPr>
        <w:t>D</w:t>
      </w:r>
      <w:r w:rsidR="00680AE9" w:rsidRPr="00A21E4D">
        <w:rPr>
          <w:rFonts w:ascii="Times New Roman" w:hAnsi="Times New Roman" w:cs="Times New Roman"/>
          <w:sz w:val="24"/>
          <w:szCs w:val="24"/>
          <w:lang w:val="en-GB"/>
        </w:rPr>
        <w:t>irective</w:t>
      </w:r>
      <w:r w:rsidR="00773289" w:rsidRPr="00A21E4D">
        <w:rPr>
          <w:rStyle w:val="Appelnotedebasdep"/>
          <w:rFonts w:ascii="Times New Roman" w:hAnsi="Times New Roman" w:cs="Times New Roman"/>
          <w:sz w:val="24"/>
          <w:szCs w:val="24"/>
          <w:lang w:val="en-GB"/>
        </w:rPr>
        <w:footnoteReference w:id="48"/>
      </w:r>
      <w:r w:rsidR="00680AE9" w:rsidRPr="00A21E4D">
        <w:rPr>
          <w:rFonts w:ascii="Times New Roman" w:hAnsi="Times New Roman" w:cs="Times New Roman"/>
          <w:sz w:val="24"/>
          <w:szCs w:val="24"/>
          <w:lang w:val="en-GB"/>
        </w:rPr>
        <w:t>.</w:t>
      </w:r>
    </w:p>
    <w:p w14:paraId="61339B96" w14:textId="77777777" w:rsidR="002B14C3" w:rsidRPr="00A21E4D" w:rsidRDefault="002B14C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13E4A1FC" w14:textId="0996292E" w:rsidR="002B14C3" w:rsidRPr="00A21E4D" w:rsidRDefault="002B14C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Taking into account all </w:t>
      </w:r>
      <w:r w:rsidR="002C4C9D" w:rsidRPr="00A21E4D">
        <w:rPr>
          <w:rFonts w:ascii="Times New Roman" w:hAnsi="Times New Roman" w:cs="Times New Roman"/>
          <w:sz w:val="24"/>
          <w:szCs w:val="24"/>
          <w:lang w:val="en-GB"/>
        </w:rPr>
        <w:t xml:space="preserve">these elements, it </w:t>
      </w:r>
      <w:r w:rsidR="00917CD9" w:rsidRPr="00A21E4D">
        <w:rPr>
          <w:rFonts w:ascii="Times New Roman" w:hAnsi="Times New Roman" w:cs="Times New Roman"/>
          <w:sz w:val="24"/>
          <w:szCs w:val="24"/>
          <w:lang w:val="en-GB"/>
        </w:rPr>
        <w:t xml:space="preserve">seems </w:t>
      </w:r>
      <w:r w:rsidR="002C4C9D" w:rsidRPr="00A21E4D">
        <w:rPr>
          <w:rFonts w:ascii="Times New Roman" w:hAnsi="Times New Roman" w:cs="Times New Roman"/>
          <w:sz w:val="24"/>
          <w:szCs w:val="24"/>
          <w:lang w:val="en-GB"/>
        </w:rPr>
        <w:t xml:space="preserve">safe to </w:t>
      </w:r>
      <w:r w:rsidR="004A7E4D" w:rsidRPr="00A21E4D">
        <w:rPr>
          <w:rFonts w:ascii="Times New Roman" w:hAnsi="Times New Roman" w:cs="Times New Roman"/>
          <w:sz w:val="24"/>
          <w:szCs w:val="24"/>
          <w:lang w:val="en-GB"/>
        </w:rPr>
        <w:t xml:space="preserve">affirm </w:t>
      </w:r>
      <w:r w:rsidR="002C4C9D" w:rsidRPr="00A21E4D">
        <w:rPr>
          <w:rFonts w:ascii="Times New Roman" w:hAnsi="Times New Roman" w:cs="Times New Roman"/>
          <w:sz w:val="24"/>
          <w:szCs w:val="24"/>
          <w:lang w:val="en-GB"/>
        </w:rPr>
        <w:t>that</w:t>
      </w:r>
      <w:r w:rsidR="00583F3C" w:rsidRPr="00A21E4D">
        <w:rPr>
          <w:rFonts w:ascii="Times New Roman" w:hAnsi="Times New Roman" w:cs="Times New Roman"/>
          <w:sz w:val="24"/>
          <w:szCs w:val="24"/>
          <w:lang w:val="en-GB"/>
        </w:rPr>
        <w:t>,</w:t>
      </w:r>
      <w:r w:rsidR="002C4C9D" w:rsidRPr="00A21E4D">
        <w:rPr>
          <w:rFonts w:ascii="Times New Roman" w:hAnsi="Times New Roman" w:cs="Times New Roman"/>
          <w:sz w:val="24"/>
          <w:szCs w:val="24"/>
          <w:lang w:val="en-GB"/>
        </w:rPr>
        <w:t xml:space="preserve"> even if the Court draws its inspiration on an extensive basis from the case law on free movement of workers to define the concept of worker in the sense of </w:t>
      </w:r>
      <w:r w:rsidR="00C36F8E" w:rsidRPr="00A21E4D">
        <w:rPr>
          <w:rFonts w:ascii="Times New Roman" w:hAnsi="Times New Roman" w:cs="Times New Roman"/>
          <w:sz w:val="24"/>
          <w:szCs w:val="24"/>
          <w:lang w:val="en-GB"/>
        </w:rPr>
        <w:t>S</w:t>
      </w:r>
      <w:r w:rsidR="002C4C9D"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002C4C9D"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002C4C9D" w:rsidRPr="00A21E4D">
        <w:rPr>
          <w:rFonts w:ascii="Times New Roman" w:hAnsi="Times New Roman" w:cs="Times New Roman"/>
          <w:sz w:val="24"/>
          <w:szCs w:val="24"/>
          <w:lang w:val="en-GB"/>
        </w:rPr>
        <w:t xml:space="preserve">irectives, it </w:t>
      </w:r>
      <w:r w:rsidR="00EB6244" w:rsidRPr="00A21E4D">
        <w:rPr>
          <w:rFonts w:ascii="Times New Roman" w:hAnsi="Times New Roman" w:cs="Times New Roman"/>
          <w:sz w:val="24"/>
          <w:szCs w:val="24"/>
          <w:lang w:val="en-GB"/>
        </w:rPr>
        <w:t xml:space="preserve">is ready to </w:t>
      </w:r>
      <w:r w:rsidR="002C4C9D" w:rsidRPr="00A21E4D">
        <w:rPr>
          <w:rFonts w:ascii="Times New Roman" w:hAnsi="Times New Roman" w:cs="Times New Roman"/>
          <w:sz w:val="24"/>
          <w:szCs w:val="24"/>
          <w:lang w:val="en-GB"/>
        </w:rPr>
        <w:t xml:space="preserve">distinguish the two situations when the need arises. </w:t>
      </w:r>
    </w:p>
    <w:p w14:paraId="452707E1" w14:textId="77777777" w:rsidR="00DA0046" w:rsidRPr="00A21E4D" w:rsidRDefault="00DA0046" w:rsidP="00F0032F">
      <w:pPr>
        <w:pStyle w:val="Paragraphedeliste"/>
        <w:spacing w:line="240" w:lineRule="auto"/>
        <w:ind w:left="0"/>
        <w:jc w:val="both"/>
        <w:rPr>
          <w:rFonts w:ascii="Times New Roman" w:hAnsi="Times New Roman" w:cs="Times New Roman"/>
          <w:sz w:val="24"/>
          <w:szCs w:val="24"/>
          <w:lang w:val="en-GB"/>
        </w:rPr>
      </w:pPr>
    </w:p>
    <w:p w14:paraId="05661996" w14:textId="23D43649" w:rsidR="00290D80" w:rsidRPr="00A21E4D" w:rsidRDefault="009A3985"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C5490F" w:rsidRPr="00A21E4D">
        <w:rPr>
          <w:rFonts w:ascii="Times New Roman" w:hAnsi="Times New Roman" w:cs="Times New Roman"/>
          <w:sz w:val="24"/>
          <w:szCs w:val="24"/>
          <w:lang w:val="en-GB"/>
        </w:rPr>
        <w:t xml:space="preserve">Why </w:t>
      </w:r>
      <w:r w:rsidRPr="00A21E4D">
        <w:rPr>
          <w:rFonts w:ascii="Times New Roman" w:hAnsi="Times New Roman" w:cs="Times New Roman"/>
          <w:sz w:val="24"/>
          <w:szCs w:val="24"/>
          <w:lang w:val="en-GB"/>
        </w:rPr>
        <w:t>did the Court opt</w:t>
      </w:r>
      <w:r w:rsidR="00773B48"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lang w:val="en-GB"/>
        </w:rPr>
        <w:t xml:space="preserve">for a Community definition of the concept of worker for these </w:t>
      </w:r>
      <w:r w:rsidR="00C36F8E" w:rsidRPr="00A21E4D">
        <w:rPr>
          <w:rFonts w:ascii="Times New Roman" w:hAnsi="Times New Roman" w:cs="Times New Roman"/>
          <w:sz w:val="24"/>
          <w:szCs w:val="24"/>
          <w:lang w:val="en-GB"/>
        </w:rPr>
        <w:t>D</w:t>
      </w:r>
      <w:r w:rsidR="00C5490F" w:rsidRPr="00A21E4D">
        <w:rPr>
          <w:rFonts w:ascii="Times New Roman" w:hAnsi="Times New Roman" w:cs="Times New Roman"/>
          <w:sz w:val="24"/>
          <w:szCs w:val="24"/>
          <w:lang w:val="en-GB"/>
        </w:rPr>
        <w:t>irectives</w:t>
      </w:r>
      <w:r w:rsidR="00E9790F" w:rsidRPr="00A21E4D">
        <w:rPr>
          <w:rFonts w:ascii="Times New Roman" w:hAnsi="Times New Roman" w:cs="Times New Roman"/>
          <w:sz w:val="24"/>
          <w:szCs w:val="24"/>
          <w:lang w:val="en-GB"/>
        </w:rPr>
        <w:t xml:space="preserve"> and</w:t>
      </w:r>
      <w:r w:rsidRPr="00A21E4D">
        <w:rPr>
          <w:rFonts w:ascii="Times New Roman" w:hAnsi="Times New Roman" w:cs="Times New Roman"/>
          <w:sz w:val="24"/>
          <w:szCs w:val="24"/>
          <w:lang w:val="en-GB"/>
        </w:rPr>
        <w:t xml:space="preserve"> for an alignment</w:t>
      </w:r>
      <w:r w:rsidR="00866A86" w:rsidRPr="00A21E4D">
        <w:rPr>
          <w:rFonts w:ascii="Times New Roman" w:hAnsi="Times New Roman" w:cs="Times New Roman"/>
          <w:sz w:val="24"/>
          <w:szCs w:val="24"/>
          <w:lang w:val="en-GB"/>
        </w:rPr>
        <w:t>, to a certain extent,</w:t>
      </w:r>
      <w:r w:rsidRPr="00A21E4D">
        <w:rPr>
          <w:rFonts w:ascii="Times New Roman" w:hAnsi="Times New Roman" w:cs="Times New Roman"/>
          <w:sz w:val="24"/>
          <w:szCs w:val="24"/>
          <w:lang w:val="en-GB"/>
        </w:rPr>
        <w:t xml:space="preserve"> on the </w:t>
      </w:r>
      <w:r w:rsidRPr="00A21E4D">
        <w:rPr>
          <w:rFonts w:ascii="Times New Roman" w:hAnsi="Times New Roman" w:cs="Times New Roman"/>
          <w:i/>
          <w:sz w:val="24"/>
          <w:szCs w:val="24"/>
          <w:lang w:val="en-GB"/>
        </w:rPr>
        <w:t xml:space="preserve">Lawrie-Blum </w:t>
      </w:r>
      <w:r w:rsidRPr="00A21E4D">
        <w:rPr>
          <w:rFonts w:ascii="Times New Roman" w:hAnsi="Times New Roman" w:cs="Times New Roman"/>
          <w:sz w:val="24"/>
          <w:szCs w:val="24"/>
          <w:lang w:val="en-GB"/>
        </w:rPr>
        <w:t>form</w:t>
      </w:r>
      <w:r w:rsidR="0094670D" w:rsidRPr="00A21E4D">
        <w:rPr>
          <w:rFonts w:ascii="Times New Roman" w:hAnsi="Times New Roman" w:cs="Times New Roman"/>
          <w:sz w:val="24"/>
          <w:szCs w:val="24"/>
          <w:lang w:val="en-GB"/>
        </w:rPr>
        <w:t>ula</w:t>
      </w:r>
      <w:r w:rsidR="00C5490F" w:rsidRPr="00A21E4D">
        <w:rPr>
          <w:rFonts w:ascii="Times New Roman" w:hAnsi="Times New Roman" w:cs="Times New Roman"/>
          <w:sz w:val="24"/>
          <w:szCs w:val="24"/>
          <w:lang w:val="en-GB"/>
        </w:rPr>
        <w:t>?</w:t>
      </w:r>
      <w:r w:rsidR="0096261F" w:rsidRPr="00A21E4D">
        <w:rPr>
          <w:rFonts w:ascii="Times New Roman" w:hAnsi="Times New Roman" w:cs="Times New Roman"/>
          <w:sz w:val="24"/>
          <w:szCs w:val="24"/>
          <w:lang w:val="en-GB"/>
        </w:rPr>
        <w:t xml:space="preserve"> It </w:t>
      </w:r>
      <w:r w:rsidR="007B7C26" w:rsidRPr="00A21E4D">
        <w:rPr>
          <w:rFonts w:ascii="Times New Roman" w:hAnsi="Times New Roman" w:cs="Times New Roman"/>
          <w:sz w:val="24"/>
          <w:szCs w:val="24"/>
          <w:lang w:val="en-GB"/>
        </w:rPr>
        <w:t>was</w:t>
      </w:r>
      <w:r w:rsidR="0096261F" w:rsidRPr="00A21E4D">
        <w:rPr>
          <w:rFonts w:ascii="Times New Roman" w:hAnsi="Times New Roman" w:cs="Times New Roman"/>
          <w:sz w:val="24"/>
          <w:szCs w:val="24"/>
          <w:lang w:val="en-GB"/>
        </w:rPr>
        <w:t xml:space="preserve"> easier for it to invoke the use of a Community concept of worker without feeling the need to add extra justification</w:t>
      </w:r>
      <w:r w:rsidR="00C5490F" w:rsidRPr="00A21E4D">
        <w:rPr>
          <w:rFonts w:ascii="Times New Roman" w:hAnsi="Times New Roman" w:cs="Times New Roman"/>
          <w:sz w:val="24"/>
          <w:szCs w:val="24"/>
          <w:lang w:val="en-GB"/>
        </w:rPr>
        <w:t xml:space="preserve"> as there is no reference to national law within the Directives at stake</w:t>
      </w:r>
      <w:r w:rsidR="0096261F" w:rsidRPr="00A21E4D">
        <w:rPr>
          <w:rFonts w:ascii="Times New Roman" w:hAnsi="Times New Roman" w:cs="Times New Roman"/>
          <w:sz w:val="24"/>
          <w:szCs w:val="24"/>
          <w:lang w:val="en-GB"/>
        </w:rPr>
        <w:t xml:space="preserve">. Stefano Giubbonni explains the alignment of the Court on its case-law concerning free movement law in the early stages of the development of the case-law concerning </w:t>
      </w:r>
      <w:r w:rsidR="00C36F8E" w:rsidRPr="00A21E4D">
        <w:rPr>
          <w:rFonts w:ascii="Times New Roman" w:hAnsi="Times New Roman" w:cs="Times New Roman"/>
          <w:sz w:val="24"/>
          <w:szCs w:val="24"/>
          <w:lang w:val="en-GB"/>
        </w:rPr>
        <w:t>S</w:t>
      </w:r>
      <w:r w:rsidR="0096261F"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0096261F"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0096261F" w:rsidRPr="00A21E4D">
        <w:rPr>
          <w:rFonts w:ascii="Times New Roman" w:hAnsi="Times New Roman" w:cs="Times New Roman"/>
          <w:sz w:val="24"/>
          <w:szCs w:val="24"/>
          <w:lang w:val="en-GB"/>
        </w:rPr>
        <w:t xml:space="preserve">irective by a will of “functionalist harmonization”, </w:t>
      </w:r>
      <w:r w:rsidR="00070D7B" w:rsidRPr="00A21E4D">
        <w:rPr>
          <w:rFonts w:ascii="Times New Roman" w:hAnsi="Times New Roman" w:cs="Times New Roman"/>
          <w:sz w:val="24"/>
          <w:szCs w:val="24"/>
          <w:lang w:val="en-GB"/>
        </w:rPr>
        <w:t xml:space="preserve">an </w:t>
      </w:r>
      <w:r w:rsidR="0096261F" w:rsidRPr="00A21E4D">
        <w:rPr>
          <w:rFonts w:ascii="Times New Roman" w:hAnsi="Times New Roman" w:cs="Times New Roman"/>
          <w:sz w:val="24"/>
          <w:szCs w:val="24"/>
          <w:lang w:val="en-GB"/>
        </w:rPr>
        <w:t xml:space="preserve">expression borrowed </w:t>
      </w:r>
      <w:r w:rsidR="00070D7B" w:rsidRPr="00A21E4D">
        <w:rPr>
          <w:rFonts w:ascii="Times New Roman" w:hAnsi="Times New Roman" w:cs="Times New Roman"/>
          <w:sz w:val="24"/>
          <w:szCs w:val="24"/>
          <w:lang w:val="en-GB"/>
        </w:rPr>
        <w:t xml:space="preserve">from </w:t>
      </w:r>
      <w:r w:rsidR="0096261F" w:rsidRPr="00A21E4D">
        <w:rPr>
          <w:rFonts w:ascii="Times New Roman" w:hAnsi="Times New Roman" w:cs="Times New Roman"/>
          <w:sz w:val="24"/>
          <w:szCs w:val="24"/>
          <w:lang w:val="en-GB"/>
        </w:rPr>
        <w:t>Massimo d’Antona</w:t>
      </w:r>
      <w:r w:rsidR="00371A4C" w:rsidRPr="00A21E4D">
        <w:rPr>
          <w:rStyle w:val="Appelnotedebasdep"/>
          <w:rFonts w:ascii="Times New Roman" w:hAnsi="Times New Roman" w:cs="Times New Roman"/>
          <w:sz w:val="24"/>
          <w:szCs w:val="24"/>
          <w:lang w:val="en-GB"/>
        </w:rPr>
        <w:footnoteReference w:id="49"/>
      </w:r>
      <w:r w:rsidR="0096261F" w:rsidRPr="00A21E4D">
        <w:rPr>
          <w:rFonts w:ascii="Times New Roman" w:hAnsi="Times New Roman" w:cs="Times New Roman"/>
          <w:sz w:val="24"/>
          <w:szCs w:val="24"/>
          <w:lang w:val="en-GB"/>
        </w:rPr>
        <w:t xml:space="preserve">. It means basically that during this period, the Court’s main objective was still to ensure the smooth functioning of the </w:t>
      </w:r>
      <w:r w:rsidR="00F959B3" w:rsidRPr="00A21E4D">
        <w:rPr>
          <w:rFonts w:ascii="Times New Roman" w:hAnsi="Times New Roman" w:cs="Times New Roman"/>
          <w:sz w:val="24"/>
          <w:szCs w:val="24"/>
          <w:lang w:val="en-GB"/>
        </w:rPr>
        <w:t>internal market.</w:t>
      </w:r>
      <w:r w:rsidR="009E0D0C" w:rsidRPr="00A21E4D">
        <w:rPr>
          <w:rFonts w:ascii="Times New Roman" w:hAnsi="Times New Roman" w:cs="Times New Roman"/>
          <w:sz w:val="24"/>
          <w:szCs w:val="24"/>
          <w:lang w:val="en-GB"/>
        </w:rPr>
        <w:t xml:space="preserve"> The </w:t>
      </w:r>
      <w:r w:rsidR="00C36F8E" w:rsidRPr="00A21E4D">
        <w:rPr>
          <w:rFonts w:ascii="Times New Roman" w:hAnsi="Times New Roman" w:cs="Times New Roman"/>
          <w:sz w:val="24"/>
          <w:szCs w:val="24"/>
          <w:lang w:val="en-GB"/>
        </w:rPr>
        <w:t>D</w:t>
      </w:r>
      <w:r w:rsidR="009E0D0C" w:rsidRPr="00A21E4D">
        <w:rPr>
          <w:rFonts w:ascii="Times New Roman" w:hAnsi="Times New Roman" w:cs="Times New Roman"/>
          <w:sz w:val="24"/>
          <w:szCs w:val="24"/>
          <w:lang w:val="en-GB"/>
        </w:rPr>
        <w:t>irectives were indeed not directly aimed at the realisation of the common market, but i</w:t>
      </w:r>
      <w:r w:rsidR="00C5490F" w:rsidRPr="00A21E4D">
        <w:rPr>
          <w:rFonts w:ascii="Times New Roman" w:hAnsi="Times New Roman" w:cs="Times New Roman"/>
          <w:sz w:val="24"/>
          <w:szCs w:val="24"/>
          <w:lang w:val="en-GB"/>
        </w:rPr>
        <w:t>f the Court had left the</w:t>
      </w:r>
      <w:r w:rsidR="00685656" w:rsidRPr="00A21E4D">
        <w:rPr>
          <w:rFonts w:ascii="Times New Roman" w:hAnsi="Times New Roman" w:cs="Times New Roman"/>
          <w:sz w:val="24"/>
          <w:szCs w:val="24"/>
          <w:lang w:val="en-GB"/>
        </w:rPr>
        <w:t xml:space="preserve"> </w:t>
      </w:r>
      <w:r w:rsidR="009E0D0C" w:rsidRPr="00A21E4D">
        <w:rPr>
          <w:rFonts w:ascii="Times New Roman" w:hAnsi="Times New Roman" w:cs="Times New Roman"/>
          <w:sz w:val="24"/>
          <w:szCs w:val="24"/>
          <w:lang w:val="en-GB"/>
        </w:rPr>
        <w:t xml:space="preserve">Member States </w:t>
      </w:r>
      <w:r w:rsidR="0071522F" w:rsidRPr="00A21E4D">
        <w:rPr>
          <w:rFonts w:ascii="Times New Roman" w:hAnsi="Times New Roman" w:cs="Times New Roman"/>
          <w:sz w:val="24"/>
          <w:szCs w:val="24"/>
          <w:lang w:val="en-GB"/>
        </w:rPr>
        <w:t xml:space="preserve">free to use </w:t>
      </w:r>
      <w:r w:rsidR="009E0D0C" w:rsidRPr="00A21E4D">
        <w:rPr>
          <w:rFonts w:ascii="Times New Roman" w:hAnsi="Times New Roman" w:cs="Times New Roman"/>
          <w:sz w:val="24"/>
          <w:szCs w:val="24"/>
          <w:lang w:val="en-GB"/>
        </w:rPr>
        <w:t xml:space="preserve">their own notion of worker, the scope of application of the </w:t>
      </w:r>
      <w:r w:rsidR="00C36F8E" w:rsidRPr="00A21E4D">
        <w:rPr>
          <w:rFonts w:ascii="Times New Roman" w:hAnsi="Times New Roman" w:cs="Times New Roman"/>
          <w:sz w:val="24"/>
          <w:szCs w:val="24"/>
          <w:lang w:val="en-GB"/>
        </w:rPr>
        <w:t>D</w:t>
      </w:r>
      <w:r w:rsidR="009E0D0C" w:rsidRPr="00A21E4D">
        <w:rPr>
          <w:rFonts w:ascii="Times New Roman" w:hAnsi="Times New Roman" w:cs="Times New Roman"/>
          <w:sz w:val="24"/>
          <w:szCs w:val="24"/>
          <w:lang w:val="en-GB"/>
        </w:rPr>
        <w:t>irectives would have varied from State to State, creating discrepancies at the Community level and a risk of social dumping, which would have at the end of the day endangered the free movement of worker</w:t>
      </w:r>
      <w:r w:rsidR="006B5671" w:rsidRPr="00A21E4D">
        <w:rPr>
          <w:rFonts w:ascii="Times New Roman" w:hAnsi="Times New Roman" w:cs="Times New Roman"/>
          <w:sz w:val="24"/>
          <w:szCs w:val="24"/>
          <w:lang w:val="en-GB"/>
        </w:rPr>
        <w:t xml:space="preserve">s enshrined </w:t>
      </w:r>
      <w:r w:rsidR="005F4206" w:rsidRPr="00A21E4D">
        <w:rPr>
          <w:rFonts w:ascii="Times New Roman" w:hAnsi="Times New Roman" w:cs="Times New Roman"/>
          <w:sz w:val="24"/>
          <w:szCs w:val="24"/>
          <w:lang w:val="en-GB"/>
        </w:rPr>
        <w:t xml:space="preserve">in </w:t>
      </w:r>
      <w:r w:rsidR="006B5671" w:rsidRPr="00A21E4D">
        <w:rPr>
          <w:rFonts w:ascii="Times New Roman" w:hAnsi="Times New Roman" w:cs="Times New Roman"/>
          <w:sz w:val="24"/>
          <w:szCs w:val="24"/>
          <w:lang w:val="en-GB"/>
        </w:rPr>
        <w:t>the Treaties</w:t>
      </w:r>
      <w:r w:rsidR="009E0D0C" w:rsidRPr="00A21E4D">
        <w:rPr>
          <w:rFonts w:ascii="Times New Roman" w:hAnsi="Times New Roman" w:cs="Times New Roman"/>
          <w:sz w:val="24"/>
          <w:szCs w:val="24"/>
          <w:lang w:val="en-GB"/>
        </w:rPr>
        <w:t xml:space="preserve">. Such a reading allows also a better understanding of the reason why the Court decided to base itself on </w:t>
      </w:r>
      <w:r w:rsidR="009E0D0C" w:rsidRPr="00A21E4D">
        <w:rPr>
          <w:rFonts w:ascii="Times New Roman" w:hAnsi="Times New Roman" w:cs="Times New Roman"/>
          <w:i/>
          <w:sz w:val="24"/>
          <w:szCs w:val="24"/>
          <w:lang w:val="en-GB"/>
        </w:rPr>
        <w:t>Lawrie-Blum</w:t>
      </w:r>
      <w:r w:rsidR="009E0D0C" w:rsidRPr="00A21E4D">
        <w:rPr>
          <w:rFonts w:ascii="Times New Roman" w:hAnsi="Times New Roman" w:cs="Times New Roman"/>
          <w:sz w:val="24"/>
          <w:szCs w:val="24"/>
          <w:lang w:val="en-GB"/>
        </w:rPr>
        <w:t xml:space="preserve"> rather than elaborating a new, tailor-made definition of a worker in the context of those </w:t>
      </w:r>
      <w:r w:rsidR="00C36F8E" w:rsidRPr="00A21E4D">
        <w:rPr>
          <w:rFonts w:ascii="Times New Roman" w:hAnsi="Times New Roman" w:cs="Times New Roman"/>
          <w:sz w:val="24"/>
          <w:szCs w:val="24"/>
          <w:lang w:val="en-GB"/>
        </w:rPr>
        <w:t>D</w:t>
      </w:r>
      <w:r w:rsidR="009E0D0C" w:rsidRPr="00A21E4D">
        <w:rPr>
          <w:rFonts w:ascii="Times New Roman" w:hAnsi="Times New Roman" w:cs="Times New Roman"/>
          <w:sz w:val="24"/>
          <w:szCs w:val="24"/>
          <w:lang w:val="en-GB"/>
        </w:rPr>
        <w:t>irectives.</w:t>
      </w:r>
      <w:r w:rsidR="00290D80" w:rsidRPr="00A21E4D">
        <w:rPr>
          <w:rFonts w:ascii="Times New Roman" w:hAnsi="Times New Roman" w:cs="Times New Roman"/>
          <w:sz w:val="24"/>
          <w:szCs w:val="24"/>
          <w:lang w:val="en-GB"/>
        </w:rPr>
        <w:t xml:space="preserve"> </w:t>
      </w:r>
    </w:p>
    <w:p w14:paraId="7185B573" w14:textId="77777777" w:rsidR="00290D80" w:rsidRPr="00A21E4D" w:rsidRDefault="00290D80"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318EE262" w14:textId="78DDDE20" w:rsidR="009A3985" w:rsidRPr="00A21E4D" w:rsidRDefault="00290D80"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Nonetheless, </w:t>
      </w:r>
      <w:r w:rsidR="006670EC" w:rsidRPr="00A21E4D">
        <w:rPr>
          <w:rFonts w:ascii="Times New Roman" w:hAnsi="Times New Roman" w:cs="Times New Roman"/>
          <w:sz w:val="24"/>
          <w:szCs w:val="24"/>
          <w:lang w:val="en-GB"/>
        </w:rPr>
        <w:t>it may be assumed</w:t>
      </w:r>
      <w:r w:rsidRPr="00A21E4D">
        <w:rPr>
          <w:rFonts w:ascii="Times New Roman" w:hAnsi="Times New Roman" w:cs="Times New Roman"/>
          <w:sz w:val="24"/>
          <w:szCs w:val="24"/>
          <w:lang w:val="en-GB"/>
        </w:rPr>
        <w:t xml:space="preserve"> that the analysis of the case-law on Social </w:t>
      </w:r>
      <w:r w:rsidR="00C36F8E" w:rsidRPr="00A21E4D">
        <w:rPr>
          <w:rFonts w:ascii="Times New Roman" w:hAnsi="Times New Roman" w:cs="Times New Roman"/>
          <w:sz w:val="24"/>
          <w:szCs w:val="24"/>
          <w:lang w:val="en-GB"/>
        </w:rPr>
        <w:t>P</w:t>
      </w:r>
      <w:r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 xml:space="preserve">irectives where the Court refers to such a Community concept of worker reveals some trends and concerns which are specific to this field. </w:t>
      </w:r>
      <w:r w:rsidR="007945DB" w:rsidRPr="00A21E4D">
        <w:rPr>
          <w:rFonts w:ascii="Times New Roman" w:hAnsi="Times New Roman" w:cs="Times New Roman"/>
          <w:sz w:val="24"/>
          <w:szCs w:val="24"/>
          <w:lang w:val="en-GB"/>
        </w:rPr>
        <w:t xml:space="preserve">Due to the fact that there is no </w:t>
      </w:r>
      <w:r w:rsidR="0014162E" w:rsidRPr="00A21E4D">
        <w:rPr>
          <w:rFonts w:ascii="Times New Roman" w:hAnsi="Times New Roman" w:cs="Times New Roman"/>
          <w:sz w:val="24"/>
          <w:szCs w:val="24"/>
          <w:lang w:val="en-GB"/>
        </w:rPr>
        <w:t>fall-back</w:t>
      </w:r>
      <w:r w:rsidR="007945DB" w:rsidRPr="00A21E4D">
        <w:rPr>
          <w:rFonts w:ascii="Times New Roman" w:hAnsi="Times New Roman" w:cs="Times New Roman"/>
          <w:sz w:val="24"/>
          <w:szCs w:val="24"/>
          <w:lang w:val="en-GB"/>
        </w:rPr>
        <w:t xml:space="preserve"> </w:t>
      </w:r>
      <w:r w:rsidR="008E2D00" w:rsidRPr="00A21E4D">
        <w:rPr>
          <w:rFonts w:ascii="Times New Roman" w:hAnsi="Times New Roman" w:cs="Times New Roman"/>
          <w:sz w:val="24"/>
          <w:szCs w:val="24"/>
          <w:lang w:val="en-GB"/>
        </w:rPr>
        <w:t xml:space="preserve">provision </w:t>
      </w:r>
      <w:r w:rsidR="007945DB" w:rsidRPr="00A21E4D">
        <w:rPr>
          <w:rFonts w:ascii="Times New Roman" w:hAnsi="Times New Roman" w:cs="Times New Roman"/>
          <w:sz w:val="24"/>
          <w:szCs w:val="24"/>
          <w:lang w:val="en-GB"/>
        </w:rPr>
        <w:t>available</w:t>
      </w:r>
      <w:r w:rsidR="0014162E" w:rsidRPr="00A21E4D">
        <w:rPr>
          <w:rFonts w:ascii="Times New Roman" w:hAnsi="Times New Roman" w:cs="Times New Roman"/>
          <w:sz w:val="24"/>
          <w:szCs w:val="24"/>
          <w:lang w:val="en-GB"/>
        </w:rPr>
        <w:t>,</w:t>
      </w:r>
      <w:r w:rsidR="007945DB" w:rsidRPr="00A21E4D">
        <w:rPr>
          <w:rFonts w:ascii="Times New Roman" w:hAnsi="Times New Roman" w:cs="Times New Roman"/>
          <w:sz w:val="24"/>
          <w:szCs w:val="24"/>
          <w:lang w:val="en-GB"/>
        </w:rPr>
        <w:t xml:space="preserve"> like it is the case </w:t>
      </w:r>
      <w:r w:rsidR="003F076F" w:rsidRPr="00A21E4D">
        <w:rPr>
          <w:rFonts w:ascii="Times New Roman" w:hAnsi="Times New Roman" w:cs="Times New Roman"/>
          <w:sz w:val="24"/>
          <w:szCs w:val="24"/>
          <w:lang w:val="en-GB"/>
        </w:rPr>
        <w:t xml:space="preserve">of </w:t>
      </w:r>
      <w:r w:rsidR="007945DB" w:rsidRPr="00A21E4D">
        <w:rPr>
          <w:rFonts w:ascii="Times New Roman" w:hAnsi="Times New Roman" w:cs="Times New Roman"/>
          <w:sz w:val="24"/>
          <w:szCs w:val="24"/>
          <w:lang w:val="en-GB"/>
        </w:rPr>
        <w:t>free</w:t>
      </w:r>
      <w:r w:rsidR="00E9790F" w:rsidRPr="00A21E4D">
        <w:rPr>
          <w:rFonts w:ascii="Times New Roman" w:hAnsi="Times New Roman" w:cs="Times New Roman"/>
          <w:sz w:val="24"/>
          <w:szCs w:val="24"/>
          <w:lang w:val="en-GB"/>
        </w:rPr>
        <w:t xml:space="preserve"> movement law</w:t>
      </w:r>
      <w:r w:rsidR="007945DB" w:rsidRPr="00A21E4D">
        <w:rPr>
          <w:rFonts w:ascii="Times New Roman" w:hAnsi="Times New Roman" w:cs="Times New Roman"/>
          <w:sz w:val="24"/>
          <w:szCs w:val="24"/>
          <w:lang w:val="en-GB"/>
        </w:rPr>
        <w:t xml:space="preserve">, the Court had to give more attention on the question of the link of subordination. The Court </w:t>
      </w:r>
      <w:r w:rsidR="00DC2D93" w:rsidRPr="00A21E4D">
        <w:rPr>
          <w:rFonts w:ascii="Times New Roman" w:hAnsi="Times New Roman" w:cs="Times New Roman"/>
          <w:sz w:val="24"/>
          <w:szCs w:val="24"/>
          <w:lang w:val="en-GB"/>
        </w:rPr>
        <w:t xml:space="preserve">seems to be concerned with the inclusion of </w:t>
      </w:r>
      <w:r w:rsidR="007945DB" w:rsidRPr="00A21E4D">
        <w:rPr>
          <w:rFonts w:ascii="Times New Roman" w:hAnsi="Times New Roman" w:cs="Times New Roman"/>
          <w:sz w:val="24"/>
          <w:szCs w:val="24"/>
          <w:lang w:val="en-GB"/>
        </w:rPr>
        <w:t xml:space="preserve">people which are </w:t>
      </w:r>
      <w:r w:rsidR="008843F2" w:rsidRPr="00A21E4D">
        <w:rPr>
          <w:rFonts w:ascii="Times New Roman" w:hAnsi="Times New Roman" w:cs="Times New Roman"/>
          <w:sz w:val="24"/>
          <w:szCs w:val="24"/>
          <w:lang w:val="en-GB"/>
        </w:rPr>
        <w:t xml:space="preserve">considered as needing </w:t>
      </w:r>
      <w:r w:rsidR="007945DB" w:rsidRPr="00A21E4D">
        <w:rPr>
          <w:rFonts w:ascii="Times New Roman" w:hAnsi="Times New Roman" w:cs="Times New Roman"/>
          <w:sz w:val="24"/>
          <w:szCs w:val="24"/>
          <w:lang w:val="en-GB"/>
        </w:rPr>
        <w:t xml:space="preserve">protection within the scope of the said </w:t>
      </w:r>
      <w:r w:rsidR="00C36F8E" w:rsidRPr="00A21E4D">
        <w:rPr>
          <w:rFonts w:ascii="Times New Roman" w:hAnsi="Times New Roman" w:cs="Times New Roman"/>
          <w:sz w:val="24"/>
          <w:szCs w:val="24"/>
          <w:lang w:val="en-GB"/>
        </w:rPr>
        <w:t>D</w:t>
      </w:r>
      <w:r w:rsidR="007945DB" w:rsidRPr="00A21E4D">
        <w:rPr>
          <w:rFonts w:ascii="Times New Roman" w:hAnsi="Times New Roman" w:cs="Times New Roman"/>
          <w:sz w:val="24"/>
          <w:szCs w:val="24"/>
          <w:lang w:val="en-GB"/>
        </w:rPr>
        <w:t>irectives, and does not hesitate</w:t>
      </w:r>
      <w:r w:rsidR="00B26249" w:rsidRPr="00A21E4D">
        <w:rPr>
          <w:rFonts w:ascii="Times New Roman" w:hAnsi="Times New Roman" w:cs="Times New Roman"/>
          <w:sz w:val="24"/>
          <w:szCs w:val="24"/>
          <w:lang w:val="en-GB"/>
        </w:rPr>
        <w:t xml:space="preserve"> to stretch the concept of </w:t>
      </w:r>
      <w:r w:rsidR="00110DEF" w:rsidRPr="00A21E4D">
        <w:rPr>
          <w:rFonts w:ascii="Times New Roman" w:hAnsi="Times New Roman" w:cs="Times New Roman"/>
          <w:sz w:val="24"/>
          <w:szCs w:val="24"/>
          <w:lang w:val="en-GB"/>
        </w:rPr>
        <w:t xml:space="preserve">the </w:t>
      </w:r>
      <w:r w:rsidR="00B26249" w:rsidRPr="00A21E4D">
        <w:rPr>
          <w:rFonts w:ascii="Times New Roman" w:hAnsi="Times New Roman" w:cs="Times New Roman"/>
          <w:sz w:val="24"/>
          <w:szCs w:val="24"/>
          <w:lang w:val="en-GB"/>
        </w:rPr>
        <w:t xml:space="preserve">link of subordination in order to cover also situations of economic dependency. </w:t>
      </w:r>
      <w:r w:rsidR="006670EC" w:rsidRPr="00A21E4D">
        <w:rPr>
          <w:rFonts w:ascii="Times New Roman" w:hAnsi="Times New Roman" w:cs="Times New Roman"/>
          <w:sz w:val="24"/>
          <w:szCs w:val="24"/>
          <w:lang w:val="en-GB"/>
        </w:rPr>
        <w:t>A</w:t>
      </w:r>
      <w:r w:rsidR="00B26249" w:rsidRPr="00A21E4D">
        <w:rPr>
          <w:rFonts w:ascii="Times New Roman" w:hAnsi="Times New Roman" w:cs="Times New Roman"/>
          <w:sz w:val="24"/>
          <w:szCs w:val="24"/>
          <w:lang w:val="en-GB"/>
        </w:rPr>
        <w:t xml:space="preserve"> specific concern for </w:t>
      </w:r>
      <w:r w:rsidR="00C36F8E" w:rsidRPr="00A21E4D">
        <w:rPr>
          <w:rFonts w:ascii="Times New Roman" w:hAnsi="Times New Roman" w:cs="Times New Roman"/>
          <w:sz w:val="24"/>
          <w:szCs w:val="24"/>
          <w:lang w:val="en-GB"/>
        </w:rPr>
        <w:t>D</w:t>
      </w:r>
      <w:r w:rsidR="00B26249" w:rsidRPr="00A21E4D">
        <w:rPr>
          <w:rFonts w:ascii="Times New Roman" w:hAnsi="Times New Roman" w:cs="Times New Roman"/>
          <w:sz w:val="24"/>
          <w:szCs w:val="24"/>
          <w:lang w:val="en-GB"/>
        </w:rPr>
        <w:t>irectives which deals specifically with the question of equality between men and women</w:t>
      </w:r>
      <w:r w:rsidR="006670EC" w:rsidRPr="00A21E4D">
        <w:rPr>
          <w:rFonts w:ascii="Times New Roman" w:hAnsi="Times New Roman" w:cs="Times New Roman"/>
          <w:sz w:val="24"/>
          <w:szCs w:val="24"/>
          <w:lang w:val="en-GB"/>
        </w:rPr>
        <w:t xml:space="preserve"> should also be underlined</w:t>
      </w:r>
      <w:r w:rsidR="00B26249" w:rsidRPr="00A21E4D">
        <w:rPr>
          <w:rFonts w:ascii="Times New Roman" w:hAnsi="Times New Roman" w:cs="Times New Roman"/>
          <w:sz w:val="24"/>
          <w:szCs w:val="24"/>
          <w:lang w:val="en-GB"/>
        </w:rPr>
        <w:t xml:space="preserve">. </w:t>
      </w:r>
    </w:p>
    <w:p w14:paraId="0A7EA5C4" w14:textId="3D935321" w:rsidR="007607DC" w:rsidRPr="00A21E4D" w:rsidRDefault="007607DC" w:rsidP="00F0032F">
      <w:pPr>
        <w:pStyle w:val="Paragraphedeliste"/>
        <w:spacing w:line="240" w:lineRule="auto"/>
        <w:ind w:left="0"/>
        <w:jc w:val="both"/>
        <w:rPr>
          <w:rFonts w:ascii="Times New Roman" w:hAnsi="Times New Roman" w:cs="Times New Roman"/>
          <w:sz w:val="24"/>
          <w:szCs w:val="24"/>
          <w:lang w:val="en-GB"/>
        </w:rPr>
      </w:pPr>
    </w:p>
    <w:p w14:paraId="37AA0C85" w14:textId="77777777" w:rsidR="00B26249" w:rsidRPr="00A21E4D" w:rsidRDefault="00B26249" w:rsidP="00F0032F">
      <w:pPr>
        <w:pStyle w:val="Paragraphedeliste"/>
        <w:spacing w:line="240" w:lineRule="auto"/>
        <w:ind w:left="0"/>
        <w:jc w:val="both"/>
        <w:rPr>
          <w:rFonts w:ascii="Times New Roman" w:hAnsi="Times New Roman" w:cs="Times New Roman"/>
          <w:sz w:val="24"/>
          <w:szCs w:val="24"/>
          <w:lang w:val="en-GB"/>
        </w:rPr>
      </w:pPr>
    </w:p>
    <w:p w14:paraId="11AF2CA0" w14:textId="77777777" w:rsidR="00B21911" w:rsidRPr="00A21E4D" w:rsidRDefault="00B21911" w:rsidP="00F0032F">
      <w:pPr>
        <w:pStyle w:val="Paragraphedeliste"/>
        <w:spacing w:line="240" w:lineRule="auto"/>
        <w:ind w:left="792"/>
        <w:jc w:val="both"/>
        <w:rPr>
          <w:rFonts w:ascii="Times New Roman" w:hAnsi="Times New Roman" w:cs="Times New Roman"/>
          <w:sz w:val="24"/>
          <w:szCs w:val="24"/>
          <w:lang w:val="en-GB"/>
        </w:rPr>
      </w:pPr>
    </w:p>
    <w:p w14:paraId="084FB598" w14:textId="77777777" w:rsidR="00DA0E75" w:rsidRPr="00A21E4D" w:rsidRDefault="00DA0E75" w:rsidP="00B7448E">
      <w:pPr>
        <w:pStyle w:val="Paragraphedeliste"/>
        <w:numPr>
          <w:ilvl w:val="1"/>
          <w:numId w:val="19"/>
        </w:numPr>
        <w:spacing w:line="240" w:lineRule="auto"/>
        <w:jc w:val="both"/>
        <w:rPr>
          <w:rFonts w:ascii="Times New Roman" w:hAnsi="Times New Roman" w:cs="Times New Roman"/>
          <w:b/>
          <w:sz w:val="24"/>
          <w:szCs w:val="24"/>
          <w:lang w:val="en-GB"/>
        </w:rPr>
      </w:pPr>
      <w:r w:rsidRPr="00A21E4D">
        <w:rPr>
          <w:rFonts w:ascii="Times New Roman" w:hAnsi="Times New Roman" w:cs="Times New Roman"/>
          <w:b/>
          <w:sz w:val="24"/>
          <w:szCs w:val="24"/>
          <w:lang w:val="en-GB"/>
        </w:rPr>
        <w:t xml:space="preserve"> SOCIAL POLICY DIRECTIVES</w:t>
      </w:r>
      <w:r w:rsidR="00203E5E" w:rsidRPr="00A21E4D">
        <w:rPr>
          <w:rFonts w:ascii="Times New Roman" w:hAnsi="Times New Roman" w:cs="Times New Roman"/>
          <w:b/>
          <w:sz w:val="24"/>
          <w:szCs w:val="24"/>
          <w:lang w:val="en-GB"/>
        </w:rPr>
        <w:t xml:space="preserve"> FOR</w:t>
      </w:r>
      <w:r w:rsidRPr="00A21E4D">
        <w:rPr>
          <w:rFonts w:ascii="Times New Roman" w:hAnsi="Times New Roman" w:cs="Times New Roman"/>
          <w:b/>
          <w:sz w:val="24"/>
          <w:szCs w:val="24"/>
          <w:lang w:val="en-GB"/>
        </w:rPr>
        <w:t xml:space="preserve"> </w:t>
      </w:r>
      <w:r w:rsidR="00203E5E" w:rsidRPr="00A21E4D">
        <w:rPr>
          <w:rFonts w:ascii="Times New Roman" w:hAnsi="Times New Roman" w:cs="Times New Roman"/>
          <w:b/>
          <w:sz w:val="24"/>
          <w:szCs w:val="24"/>
          <w:lang w:val="en-GB"/>
        </w:rPr>
        <w:t xml:space="preserve">WHICH THE COURT </w:t>
      </w:r>
      <w:r w:rsidRPr="00A21E4D">
        <w:rPr>
          <w:rFonts w:ascii="Times New Roman" w:hAnsi="Times New Roman" w:cs="Times New Roman"/>
          <w:b/>
          <w:sz w:val="24"/>
          <w:szCs w:val="24"/>
          <w:lang w:val="en-GB"/>
        </w:rPr>
        <w:t>DO</w:t>
      </w:r>
      <w:r w:rsidR="00203E5E" w:rsidRPr="00A21E4D">
        <w:rPr>
          <w:rFonts w:ascii="Times New Roman" w:hAnsi="Times New Roman" w:cs="Times New Roman"/>
          <w:b/>
          <w:sz w:val="24"/>
          <w:szCs w:val="24"/>
          <w:lang w:val="en-GB"/>
        </w:rPr>
        <w:t>ES</w:t>
      </w:r>
      <w:r w:rsidRPr="00A21E4D">
        <w:rPr>
          <w:rFonts w:ascii="Times New Roman" w:hAnsi="Times New Roman" w:cs="Times New Roman"/>
          <w:b/>
          <w:sz w:val="24"/>
          <w:szCs w:val="24"/>
          <w:lang w:val="en-GB"/>
        </w:rPr>
        <w:t xml:space="preserve"> NOT REFER TO A “COMMUNITY CONCEPT” OF WORKER: CARTE BLANCHE FOR MEMBER STATES?</w:t>
      </w:r>
    </w:p>
    <w:p w14:paraId="74F635EC" w14:textId="6C665FA6" w:rsidR="00A21DE4" w:rsidRPr="00A21E4D" w:rsidRDefault="00E86A38" w:rsidP="00495360">
      <w:pPr>
        <w:spacing w:line="240" w:lineRule="auto"/>
        <w:jc w:val="both"/>
        <w:rPr>
          <w:rFonts w:ascii="Times New Roman" w:hAnsi="Times New Roman" w:cs="Times New Roman"/>
          <w:sz w:val="24"/>
          <w:szCs w:val="24"/>
          <w:lang w:val="en-GB"/>
        </w:rPr>
      </w:pPr>
      <w:r w:rsidRPr="00A21E4D">
        <w:rPr>
          <w:rFonts w:ascii="Times New Roman" w:hAnsi="Times New Roman" w:cs="Times New Roman"/>
          <w:b/>
          <w:sz w:val="24"/>
          <w:szCs w:val="24"/>
          <w:lang w:val="en-GB"/>
        </w:rPr>
        <w:lastRenderedPageBreak/>
        <w:tab/>
      </w:r>
      <w:r w:rsidRPr="00A21E4D">
        <w:rPr>
          <w:rFonts w:ascii="Times New Roman" w:hAnsi="Times New Roman" w:cs="Times New Roman"/>
          <w:sz w:val="24"/>
          <w:szCs w:val="24"/>
          <w:lang w:val="en-GB"/>
        </w:rPr>
        <w:t xml:space="preserve">There are not as much cases under this section than under the previous one. Henceforth, those cases often are </w:t>
      </w:r>
      <w:r w:rsidR="00DF2C95" w:rsidRPr="00A21E4D">
        <w:rPr>
          <w:rFonts w:ascii="Times New Roman" w:hAnsi="Times New Roman" w:cs="Times New Roman"/>
          <w:sz w:val="24"/>
          <w:szCs w:val="24"/>
          <w:lang w:val="en-GB"/>
        </w:rPr>
        <w:t xml:space="preserve">more interesting on an individual basis, which justifies that we will take more length to study some of them. </w:t>
      </w:r>
    </w:p>
    <w:p w14:paraId="247F974C" w14:textId="2007BBED" w:rsidR="00694A3D" w:rsidRPr="00A21E4D" w:rsidRDefault="00A21DE4"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b/>
          <w:sz w:val="24"/>
          <w:szCs w:val="24"/>
          <w:lang w:val="en-GB"/>
        </w:rPr>
        <w:tab/>
      </w:r>
      <w:r w:rsidR="00E00F73" w:rsidRPr="00A21E4D">
        <w:rPr>
          <w:rFonts w:ascii="Times New Roman" w:hAnsi="Times New Roman" w:cs="Times New Roman"/>
          <w:sz w:val="24"/>
          <w:szCs w:val="24"/>
          <w:lang w:val="en-GB"/>
        </w:rPr>
        <w:t>T</w:t>
      </w:r>
      <w:r w:rsidRPr="00A21E4D">
        <w:rPr>
          <w:rFonts w:ascii="Times New Roman" w:hAnsi="Times New Roman" w:cs="Times New Roman"/>
          <w:sz w:val="24"/>
          <w:szCs w:val="24"/>
          <w:lang w:val="en-GB"/>
        </w:rPr>
        <w:t xml:space="preserve">he Court has fully embraced the </w:t>
      </w:r>
      <w:r w:rsidRPr="00A21E4D">
        <w:rPr>
          <w:rFonts w:ascii="Times New Roman" w:hAnsi="Times New Roman" w:cs="Times New Roman"/>
          <w:i/>
          <w:sz w:val="24"/>
          <w:szCs w:val="24"/>
          <w:lang w:val="en-GB"/>
        </w:rPr>
        <w:t>Lawrie-Blum</w:t>
      </w:r>
      <w:r w:rsidRPr="00A21E4D">
        <w:rPr>
          <w:rFonts w:ascii="Times New Roman" w:hAnsi="Times New Roman" w:cs="Times New Roman"/>
          <w:sz w:val="24"/>
          <w:szCs w:val="24"/>
          <w:lang w:val="en-GB"/>
        </w:rPr>
        <w:t xml:space="preserve"> formula in every case related to Social Policy </w:t>
      </w:r>
      <w:r w:rsidR="00C36F8E"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irectives which did not contain any definition of worker, establis</w:t>
      </w:r>
      <w:r w:rsidR="00694A3D" w:rsidRPr="00A21E4D">
        <w:rPr>
          <w:rFonts w:ascii="Times New Roman" w:hAnsi="Times New Roman" w:cs="Times New Roman"/>
          <w:sz w:val="24"/>
          <w:szCs w:val="24"/>
          <w:lang w:val="en-GB"/>
        </w:rPr>
        <w:t>hing clearly the existence of a</w:t>
      </w:r>
      <w:r w:rsidRPr="00A21E4D">
        <w:rPr>
          <w:rFonts w:ascii="Times New Roman" w:hAnsi="Times New Roman" w:cs="Times New Roman"/>
          <w:sz w:val="24"/>
          <w:szCs w:val="24"/>
          <w:lang w:val="en-GB"/>
        </w:rPr>
        <w:t xml:space="preserve"> European worker concept in the fields covere</w:t>
      </w:r>
      <w:r w:rsidR="00694A3D" w:rsidRPr="00A21E4D">
        <w:rPr>
          <w:rFonts w:ascii="Times New Roman" w:hAnsi="Times New Roman" w:cs="Times New Roman"/>
          <w:sz w:val="24"/>
          <w:szCs w:val="24"/>
          <w:lang w:val="en-GB"/>
        </w:rPr>
        <w:t xml:space="preserve">d by those </w:t>
      </w:r>
      <w:r w:rsidR="00C36F8E" w:rsidRPr="00A21E4D">
        <w:rPr>
          <w:rFonts w:ascii="Times New Roman" w:hAnsi="Times New Roman" w:cs="Times New Roman"/>
          <w:sz w:val="24"/>
          <w:szCs w:val="24"/>
          <w:lang w:val="en-GB"/>
        </w:rPr>
        <w:t>D</w:t>
      </w:r>
      <w:r w:rsidR="00694A3D" w:rsidRPr="00A21E4D">
        <w:rPr>
          <w:rFonts w:ascii="Times New Roman" w:hAnsi="Times New Roman" w:cs="Times New Roman"/>
          <w:sz w:val="24"/>
          <w:szCs w:val="24"/>
          <w:lang w:val="en-GB"/>
        </w:rPr>
        <w:t>irective</w:t>
      </w:r>
      <w:r w:rsidR="00E27BC0" w:rsidRPr="00A21E4D">
        <w:rPr>
          <w:rFonts w:ascii="Times New Roman" w:hAnsi="Times New Roman" w:cs="Times New Roman"/>
          <w:sz w:val="24"/>
          <w:szCs w:val="24"/>
          <w:lang w:val="en-GB"/>
        </w:rPr>
        <w:t>s</w:t>
      </w:r>
      <w:r w:rsidR="00E00F73" w:rsidRPr="00A21E4D">
        <w:rPr>
          <w:rFonts w:ascii="Times New Roman" w:hAnsi="Times New Roman" w:cs="Times New Roman"/>
          <w:sz w:val="24"/>
          <w:szCs w:val="24"/>
          <w:lang w:val="en-GB"/>
        </w:rPr>
        <w:t xml:space="preserve">. However, </w:t>
      </w:r>
      <w:r w:rsidR="00694A3D" w:rsidRPr="00A21E4D">
        <w:rPr>
          <w:rFonts w:ascii="Times New Roman" w:hAnsi="Times New Roman" w:cs="Times New Roman"/>
          <w:sz w:val="24"/>
          <w:szCs w:val="24"/>
          <w:lang w:val="en-GB"/>
        </w:rPr>
        <w:t xml:space="preserve">it showed more self-restraint </w:t>
      </w:r>
      <w:r w:rsidR="00F56434" w:rsidRPr="00A21E4D">
        <w:rPr>
          <w:rFonts w:ascii="Times New Roman" w:hAnsi="Times New Roman" w:cs="Times New Roman"/>
          <w:sz w:val="24"/>
          <w:szCs w:val="24"/>
          <w:lang w:val="en-GB"/>
        </w:rPr>
        <w:t xml:space="preserve">when dealing with </w:t>
      </w:r>
      <w:r w:rsidR="00694A3D" w:rsidRPr="00A21E4D">
        <w:rPr>
          <w:rFonts w:ascii="Times New Roman" w:hAnsi="Times New Roman" w:cs="Times New Roman"/>
          <w:sz w:val="24"/>
          <w:szCs w:val="24"/>
          <w:lang w:val="en-GB"/>
        </w:rPr>
        <w:t xml:space="preserve">cases concerning </w:t>
      </w:r>
      <w:r w:rsidR="00C36F8E" w:rsidRPr="00A21E4D">
        <w:rPr>
          <w:rFonts w:ascii="Times New Roman" w:hAnsi="Times New Roman" w:cs="Times New Roman"/>
          <w:sz w:val="24"/>
          <w:szCs w:val="24"/>
          <w:lang w:val="en-GB"/>
        </w:rPr>
        <w:t>D</w:t>
      </w:r>
      <w:r w:rsidR="00694A3D" w:rsidRPr="00A21E4D">
        <w:rPr>
          <w:rFonts w:ascii="Times New Roman" w:hAnsi="Times New Roman" w:cs="Times New Roman"/>
          <w:sz w:val="24"/>
          <w:szCs w:val="24"/>
          <w:lang w:val="en-GB"/>
        </w:rPr>
        <w:t>irectives which referred back to the national definition of worker.</w:t>
      </w:r>
    </w:p>
    <w:p w14:paraId="4DDBFC20" w14:textId="77777777" w:rsidR="002F4995" w:rsidRPr="00A21E4D" w:rsidRDefault="002F4995" w:rsidP="00F0032F">
      <w:pPr>
        <w:pStyle w:val="Paragraphedeliste"/>
        <w:spacing w:line="240" w:lineRule="auto"/>
        <w:ind w:left="0"/>
        <w:jc w:val="both"/>
        <w:rPr>
          <w:rFonts w:ascii="Times New Roman" w:hAnsi="Times New Roman" w:cs="Times New Roman"/>
          <w:sz w:val="24"/>
          <w:szCs w:val="24"/>
          <w:lang w:val="en-GB"/>
        </w:rPr>
      </w:pPr>
    </w:p>
    <w:p w14:paraId="0B643657" w14:textId="05B27CDE" w:rsidR="002F4995" w:rsidRPr="00A21E4D" w:rsidRDefault="002F4995"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The Court introduced this line of </w:t>
      </w:r>
      <w:r w:rsidR="00F63304" w:rsidRPr="00A21E4D">
        <w:rPr>
          <w:rFonts w:ascii="Times New Roman" w:hAnsi="Times New Roman" w:cs="Times New Roman"/>
          <w:sz w:val="24"/>
          <w:szCs w:val="24"/>
          <w:lang w:val="en-GB"/>
        </w:rPr>
        <w:t>reasoning</w:t>
      </w:r>
      <w:r w:rsidRPr="00A21E4D">
        <w:rPr>
          <w:rFonts w:ascii="Times New Roman" w:hAnsi="Times New Roman" w:cs="Times New Roman"/>
          <w:sz w:val="24"/>
          <w:szCs w:val="24"/>
          <w:lang w:val="en-GB"/>
        </w:rPr>
        <w:t xml:space="preserve"> in the </w:t>
      </w:r>
      <w:r w:rsidRPr="00A21E4D">
        <w:rPr>
          <w:rFonts w:ascii="Times New Roman" w:hAnsi="Times New Roman" w:cs="Times New Roman"/>
          <w:i/>
          <w:sz w:val="24"/>
          <w:szCs w:val="24"/>
          <w:lang w:val="en-GB"/>
        </w:rPr>
        <w:t>Danmols</w:t>
      </w:r>
      <w:r w:rsidRPr="00A21E4D">
        <w:rPr>
          <w:rFonts w:ascii="Times New Roman" w:hAnsi="Times New Roman" w:cs="Times New Roman"/>
          <w:sz w:val="24"/>
          <w:szCs w:val="24"/>
          <w:lang w:val="en-GB"/>
        </w:rPr>
        <w:t xml:space="preserve"> case</w:t>
      </w:r>
      <w:r w:rsidRPr="00A21E4D">
        <w:rPr>
          <w:rStyle w:val="Appelnotedebasdep"/>
          <w:rFonts w:ascii="Times New Roman" w:hAnsi="Times New Roman" w:cs="Times New Roman"/>
          <w:sz w:val="24"/>
          <w:szCs w:val="24"/>
          <w:lang w:val="en-GB"/>
        </w:rPr>
        <w:footnoteReference w:id="50"/>
      </w:r>
      <w:r w:rsidRPr="00A21E4D">
        <w:rPr>
          <w:rFonts w:ascii="Times New Roman" w:hAnsi="Times New Roman" w:cs="Times New Roman"/>
          <w:sz w:val="24"/>
          <w:szCs w:val="24"/>
          <w:lang w:val="en-GB"/>
        </w:rPr>
        <w:t xml:space="preserve">, </w:t>
      </w:r>
      <w:r w:rsidR="005C0A02" w:rsidRPr="00A21E4D">
        <w:rPr>
          <w:rFonts w:ascii="Times New Roman" w:hAnsi="Times New Roman" w:cs="Times New Roman"/>
          <w:sz w:val="24"/>
          <w:szCs w:val="24"/>
          <w:lang w:val="en-GB"/>
        </w:rPr>
        <w:t>lead</w:t>
      </w:r>
      <w:r w:rsidR="009B5385" w:rsidRPr="00A21E4D">
        <w:rPr>
          <w:rFonts w:ascii="Times New Roman" w:hAnsi="Times New Roman" w:cs="Times New Roman"/>
          <w:sz w:val="24"/>
          <w:szCs w:val="24"/>
          <w:lang w:val="en-GB"/>
        </w:rPr>
        <w:t>ing</w:t>
      </w:r>
      <w:r w:rsidR="005C0A02" w:rsidRPr="00A21E4D">
        <w:rPr>
          <w:rFonts w:ascii="Times New Roman" w:hAnsi="Times New Roman" w:cs="Times New Roman"/>
          <w:sz w:val="24"/>
          <w:szCs w:val="24"/>
          <w:lang w:val="en-GB"/>
        </w:rPr>
        <w:t xml:space="preserve"> Nicola</w:t>
      </w:r>
      <w:r w:rsidRPr="00A21E4D">
        <w:rPr>
          <w:rFonts w:ascii="Times New Roman" w:hAnsi="Times New Roman" w:cs="Times New Roman"/>
          <w:sz w:val="24"/>
          <w:szCs w:val="24"/>
          <w:lang w:val="en-GB"/>
        </w:rPr>
        <w:t xml:space="preserve"> Kountouris to use the expression of “</w:t>
      </w:r>
      <w:r w:rsidRPr="00A21E4D">
        <w:rPr>
          <w:rFonts w:ascii="Times New Roman" w:hAnsi="Times New Roman" w:cs="Times New Roman"/>
          <w:i/>
          <w:sz w:val="24"/>
          <w:szCs w:val="24"/>
          <w:lang w:val="en-GB"/>
        </w:rPr>
        <w:t xml:space="preserve">Danmols </w:t>
      </w:r>
      <w:r w:rsidRPr="00A21E4D">
        <w:rPr>
          <w:rFonts w:ascii="Times New Roman" w:hAnsi="Times New Roman" w:cs="Times New Roman"/>
          <w:sz w:val="24"/>
          <w:szCs w:val="24"/>
          <w:lang w:val="en-GB"/>
        </w:rPr>
        <w:t xml:space="preserve">orthodoxy” to refer to this position. The </w:t>
      </w:r>
      <w:r w:rsidR="00E27BC0" w:rsidRPr="00A21E4D">
        <w:rPr>
          <w:rFonts w:ascii="Times New Roman" w:hAnsi="Times New Roman" w:cs="Times New Roman"/>
          <w:sz w:val="24"/>
          <w:szCs w:val="24"/>
          <w:lang w:val="en-GB"/>
        </w:rPr>
        <w:t>Court decided that if a</w:t>
      </w:r>
      <w:r w:rsidRPr="00A21E4D">
        <w:rPr>
          <w:rFonts w:ascii="Times New Roman" w:hAnsi="Times New Roman" w:cs="Times New Roman"/>
          <w:sz w:val="24"/>
          <w:szCs w:val="24"/>
          <w:lang w:val="en-GB"/>
        </w:rPr>
        <w:t xml:space="preserve"> Directive sought only for a partial harmonization, it was not possible to introduce a Community concept similar to the one developed in the field of free movement of workers</w:t>
      </w:r>
      <w:r w:rsidRPr="00A21E4D">
        <w:rPr>
          <w:rStyle w:val="Appelnotedebasdep"/>
          <w:rFonts w:ascii="Times New Roman" w:hAnsi="Times New Roman" w:cs="Times New Roman"/>
          <w:sz w:val="24"/>
          <w:szCs w:val="24"/>
          <w:lang w:val="en-GB"/>
        </w:rPr>
        <w:footnoteReference w:id="51"/>
      </w:r>
      <w:r w:rsidRPr="00A21E4D">
        <w:rPr>
          <w:rFonts w:ascii="Times New Roman" w:hAnsi="Times New Roman" w:cs="Times New Roman"/>
          <w:sz w:val="24"/>
          <w:szCs w:val="24"/>
          <w:lang w:val="en-GB"/>
        </w:rPr>
        <w:t>.</w:t>
      </w:r>
      <w:r w:rsidR="004D73E2" w:rsidRPr="00A21E4D">
        <w:rPr>
          <w:rFonts w:ascii="Times New Roman" w:hAnsi="Times New Roman" w:cs="Times New Roman"/>
          <w:sz w:val="24"/>
          <w:szCs w:val="24"/>
          <w:lang w:val="en-GB"/>
        </w:rPr>
        <w:t xml:space="preserve">  </w:t>
      </w:r>
    </w:p>
    <w:p w14:paraId="053C881C" w14:textId="77777777" w:rsidR="00E41B67" w:rsidRPr="00A21E4D" w:rsidRDefault="00E41B67" w:rsidP="00F0032F">
      <w:pPr>
        <w:pStyle w:val="Paragraphedeliste"/>
        <w:spacing w:line="240" w:lineRule="auto"/>
        <w:ind w:left="0"/>
        <w:jc w:val="both"/>
        <w:rPr>
          <w:rFonts w:ascii="Times New Roman" w:hAnsi="Times New Roman" w:cs="Times New Roman"/>
          <w:sz w:val="24"/>
          <w:szCs w:val="24"/>
          <w:lang w:val="en-GB"/>
        </w:rPr>
      </w:pPr>
    </w:p>
    <w:p w14:paraId="7E3E40E8" w14:textId="57F4ADBC" w:rsidR="00694A3D" w:rsidRPr="00A21E4D" w:rsidRDefault="00E41B67"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Therefore, in the case of the Transfer of Undertakings Directive</w:t>
      </w:r>
      <w:r w:rsidR="007D5D8C" w:rsidRPr="00A21E4D">
        <w:rPr>
          <w:rStyle w:val="Appelnotedebasdep"/>
          <w:rFonts w:ascii="Times New Roman" w:hAnsi="Times New Roman" w:cs="Times New Roman"/>
          <w:sz w:val="24"/>
          <w:szCs w:val="24"/>
          <w:lang w:val="en-GB"/>
        </w:rPr>
        <w:footnoteReference w:id="52"/>
      </w:r>
      <w:r w:rsidRPr="00A21E4D">
        <w:rPr>
          <w:rFonts w:ascii="Times New Roman" w:hAnsi="Times New Roman" w:cs="Times New Roman"/>
          <w:sz w:val="24"/>
          <w:szCs w:val="24"/>
          <w:lang w:val="en-GB"/>
        </w:rPr>
        <w:t>,</w:t>
      </w:r>
      <w:r w:rsidR="004D73E2" w:rsidRPr="00A21E4D">
        <w:rPr>
          <w:rFonts w:ascii="Times New Roman" w:hAnsi="Times New Roman" w:cs="Times New Roman"/>
          <w:sz w:val="24"/>
          <w:szCs w:val="24"/>
          <w:lang w:val="en-GB"/>
        </w:rPr>
        <w:t xml:space="preserve"> which consecrated the teachings of the </w:t>
      </w:r>
      <w:r w:rsidR="004D73E2" w:rsidRPr="00A21E4D">
        <w:rPr>
          <w:rFonts w:ascii="Times New Roman" w:hAnsi="Times New Roman" w:cs="Times New Roman"/>
          <w:i/>
          <w:sz w:val="24"/>
          <w:szCs w:val="24"/>
          <w:lang w:val="en-GB"/>
        </w:rPr>
        <w:t>Danmols</w:t>
      </w:r>
      <w:r w:rsidR="004D73E2" w:rsidRPr="00A21E4D">
        <w:rPr>
          <w:rFonts w:ascii="Times New Roman" w:hAnsi="Times New Roman" w:cs="Times New Roman"/>
          <w:sz w:val="24"/>
          <w:szCs w:val="24"/>
          <w:lang w:val="en-GB"/>
        </w:rPr>
        <w:t xml:space="preserve"> case</w:t>
      </w:r>
      <w:r w:rsidR="004D73E2" w:rsidRPr="00A21E4D">
        <w:rPr>
          <w:rStyle w:val="Appelnotedebasdep"/>
          <w:rFonts w:ascii="Times New Roman" w:hAnsi="Times New Roman" w:cs="Times New Roman"/>
          <w:sz w:val="24"/>
          <w:szCs w:val="24"/>
          <w:lang w:val="en-GB"/>
        </w:rPr>
        <w:footnoteReference w:id="53"/>
      </w:r>
      <w:r w:rsidR="004D73E2" w:rsidRPr="00A21E4D">
        <w:rPr>
          <w:rFonts w:ascii="Times New Roman" w:hAnsi="Times New Roman" w:cs="Times New Roman"/>
          <w:sz w:val="24"/>
          <w:szCs w:val="24"/>
          <w:lang w:val="en-GB"/>
        </w:rPr>
        <w:t>,</w:t>
      </w:r>
      <w:r w:rsidRPr="00A21E4D">
        <w:rPr>
          <w:rFonts w:ascii="Times New Roman" w:hAnsi="Times New Roman" w:cs="Times New Roman"/>
          <w:sz w:val="24"/>
          <w:szCs w:val="24"/>
          <w:lang w:val="en-GB"/>
        </w:rPr>
        <w:t xml:space="preserve"> the Court repeatedly refused to decide on the national concept of worker used for the scope </w:t>
      </w:r>
      <w:r w:rsidR="007D5D8C" w:rsidRPr="00A21E4D">
        <w:rPr>
          <w:rFonts w:ascii="Times New Roman" w:hAnsi="Times New Roman" w:cs="Times New Roman"/>
          <w:sz w:val="24"/>
          <w:szCs w:val="24"/>
          <w:lang w:val="en-GB"/>
        </w:rPr>
        <w:t>of application of the D</w:t>
      </w:r>
      <w:r w:rsidRPr="00A21E4D">
        <w:rPr>
          <w:rFonts w:ascii="Times New Roman" w:hAnsi="Times New Roman" w:cs="Times New Roman"/>
          <w:sz w:val="24"/>
          <w:szCs w:val="24"/>
          <w:lang w:val="en-GB"/>
        </w:rPr>
        <w:t xml:space="preserve">irective, even in situations where it led to workers being treated differently. </w:t>
      </w:r>
      <w:r w:rsidR="00E27BC0" w:rsidRPr="00A21E4D">
        <w:rPr>
          <w:rFonts w:ascii="Times New Roman" w:hAnsi="Times New Roman" w:cs="Times New Roman"/>
          <w:sz w:val="24"/>
          <w:szCs w:val="24"/>
          <w:lang w:val="en-GB"/>
        </w:rPr>
        <w:t>For example, i</w:t>
      </w:r>
      <w:r w:rsidR="007D5D8C" w:rsidRPr="00A21E4D">
        <w:rPr>
          <w:rFonts w:ascii="Times New Roman" w:hAnsi="Times New Roman" w:cs="Times New Roman"/>
          <w:sz w:val="24"/>
          <w:szCs w:val="24"/>
          <w:lang w:val="en-GB"/>
        </w:rPr>
        <w:t>f the law of the Member State i</w:t>
      </w:r>
      <w:r w:rsidR="00E27BC0" w:rsidRPr="00A21E4D">
        <w:rPr>
          <w:rFonts w:ascii="Times New Roman" w:hAnsi="Times New Roman" w:cs="Times New Roman"/>
          <w:sz w:val="24"/>
          <w:szCs w:val="24"/>
          <w:lang w:val="en-GB"/>
        </w:rPr>
        <w:t>n question does not qualify public servants</w:t>
      </w:r>
      <w:r w:rsidR="007D5D8C" w:rsidRPr="00A21E4D">
        <w:rPr>
          <w:rFonts w:ascii="Times New Roman" w:hAnsi="Times New Roman" w:cs="Times New Roman"/>
          <w:sz w:val="24"/>
          <w:szCs w:val="24"/>
          <w:lang w:val="en-GB"/>
        </w:rPr>
        <w:t xml:space="preserve"> as workers for the application of the Directive, then, the Court will concl</w:t>
      </w:r>
      <w:r w:rsidR="00100C8A" w:rsidRPr="00A21E4D">
        <w:rPr>
          <w:rFonts w:ascii="Times New Roman" w:hAnsi="Times New Roman" w:cs="Times New Roman"/>
          <w:sz w:val="24"/>
          <w:szCs w:val="24"/>
          <w:lang w:val="en-GB"/>
        </w:rPr>
        <w:t xml:space="preserve">ude that </w:t>
      </w:r>
      <w:r w:rsidR="003F2DC8" w:rsidRPr="00A21E4D">
        <w:rPr>
          <w:rFonts w:ascii="Times New Roman" w:hAnsi="Times New Roman" w:cs="Times New Roman"/>
          <w:sz w:val="24"/>
          <w:szCs w:val="24"/>
          <w:lang w:val="en-GB"/>
        </w:rPr>
        <w:t xml:space="preserve">their exclusion </w:t>
      </w:r>
      <w:r w:rsidR="00F4611F" w:rsidRPr="00A21E4D">
        <w:rPr>
          <w:rFonts w:ascii="Times New Roman" w:hAnsi="Times New Roman" w:cs="Times New Roman"/>
          <w:sz w:val="24"/>
          <w:szCs w:val="24"/>
          <w:lang w:val="en-GB"/>
        </w:rPr>
        <w:t xml:space="preserve">from the scope of a given Directive </w:t>
      </w:r>
      <w:r w:rsidR="003F2DC8" w:rsidRPr="00A21E4D">
        <w:rPr>
          <w:rFonts w:ascii="Times New Roman" w:hAnsi="Times New Roman" w:cs="Times New Roman"/>
          <w:sz w:val="24"/>
          <w:szCs w:val="24"/>
          <w:lang w:val="en-GB"/>
        </w:rPr>
        <w:t xml:space="preserve">is </w:t>
      </w:r>
      <w:r w:rsidR="00100C8A" w:rsidRPr="00A21E4D">
        <w:rPr>
          <w:rFonts w:ascii="Times New Roman" w:hAnsi="Times New Roman" w:cs="Times New Roman"/>
          <w:sz w:val="24"/>
          <w:szCs w:val="24"/>
          <w:lang w:val="en-GB"/>
        </w:rPr>
        <w:t xml:space="preserve">valid under European law. This was the case in the </w:t>
      </w:r>
      <w:r w:rsidR="00100C8A" w:rsidRPr="00A21E4D">
        <w:rPr>
          <w:rFonts w:ascii="Times New Roman" w:hAnsi="Times New Roman" w:cs="Times New Roman"/>
          <w:i/>
          <w:sz w:val="24"/>
          <w:szCs w:val="24"/>
          <w:lang w:val="en-GB"/>
        </w:rPr>
        <w:t xml:space="preserve">Collino and </w:t>
      </w:r>
      <w:r w:rsidR="00226E87" w:rsidRPr="00A21E4D">
        <w:rPr>
          <w:rFonts w:ascii="Times New Roman" w:hAnsi="Times New Roman" w:cs="Times New Roman"/>
          <w:i/>
          <w:sz w:val="24"/>
          <w:szCs w:val="24"/>
          <w:lang w:val="en-GB"/>
        </w:rPr>
        <w:t>Chiappero</w:t>
      </w:r>
      <w:r w:rsidR="00226E87" w:rsidRPr="00A21E4D">
        <w:rPr>
          <w:rFonts w:ascii="Times New Roman" w:hAnsi="Times New Roman" w:cs="Times New Roman"/>
          <w:sz w:val="24"/>
          <w:szCs w:val="24"/>
          <w:lang w:val="en-GB"/>
        </w:rPr>
        <w:t xml:space="preserve"> </w:t>
      </w:r>
      <w:r w:rsidR="0099707E" w:rsidRPr="00A21E4D">
        <w:rPr>
          <w:rFonts w:ascii="Times New Roman" w:hAnsi="Times New Roman" w:cs="Times New Roman"/>
          <w:sz w:val="24"/>
          <w:szCs w:val="24"/>
          <w:lang w:val="en-GB"/>
        </w:rPr>
        <w:t>decision</w:t>
      </w:r>
      <w:r w:rsidR="00100C8A" w:rsidRPr="00A21E4D">
        <w:rPr>
          <w:rFonts w:ascii="Times New Roman" w:hAnsi="Times New Roman" w:cs="Times New Roman"/>
          <w:sz w:val="24"/>
          <w:szCs w:val="24"/>
          <w:lang w:val="en-GB"/>
        </w:rPr>
        <w:t xml:space="preserve"> despite the argument of the Commission following which these people did exercise analogous functions to the ones which could be exercised in the private sector</w:t>
      </w:r>
      <w:r w:rsidR="00100C8A" w:rsidRPr="00A21E4D">
        <w:rPr>
          <w:rStyle w:val="Appelnotedebasdep"/>
          <w:rFonts w:ascii="Times New Roman" w:hAnsi="Times New Roman" w:cs="Times New Roman"/>
          <w:sz w:val="24"/>
          <w:szCs w:val="24"/>
          <w:lang w:val="en-GB"/>
        </w:rPr>
        <w:footnoteReference w:id="54"/>
      </w:r>
      <w:r w:rsidR="00100C8A" w:rsidRPr="00A21E4D">
        <w:rPr>
          <w:rFonts w:ascii="Times New Roman" w:hAnsi="Times New Roman" w:cs="Times New Roman"/>
          <w:sz w:val="24"/>
          <w:szCs w:val="24"/>
          <w:lang w:val="en-GB"/>
        </w:rPr>
        <w:t xml:space="preserve">. </w:t>
      </w:r>
    </w:p>
    <w:p w14:paraId="7360787D" w14:textId="77777777" w:rsidR="002F006E" w:rsidRPr="00A21E4D" w:rsidRDefault="002F006E" w:rsidP="00F0032F">
      <w:pPr>
        <w:pStyle w:val="Paragraphedeliste"/>
        <w:spacing w:line="240" w:lineRule="auto"/>
        <w:ind w:left="0"/>
        <w:jc w:val="both"/>
        <w:rPr>
          <w:rFonts w:ascii="Times New Roman" w:hAnsi="Times New Roman" w:cs="Times New Roman"/>
          <w:sz w:val="24"/>
          <w:szCs w:val="24"/>
          <w:lang w:val="en-GB"/>
        </w:rPr>
      </w:pPr>
    </w:p>
    <w:p w14:paraId="56FB5197" w14:textId="4A2AC164" w:rsidR="002771DA" w:rsidRPr="00A21E4D" w:rsidRDefault="002771DA"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The </w:t>
      </w:r>
      <w:r w:rsidRPr="00A21E4D">
        <w:rPr>
          <w:rFonts w:ascii="Times New Roman" w:hAnsi="Times New Roman" w:cs="Times New Roman"/>
          <w:i/>
          <w:sz w:val="24"/>
          <w:szCs w:val="24"/>
          <w:lang w:val="en-GB"/>
        </w:rPr>
        <w:t>CGT</w:t>
      </w:r>
      <w:r w:rsidRPr="00A21E4D">
        <w:rPr>
          <w:rFonts w:ascii="Times New Roman" w:hAnsi="Times New Roman" w:cs="Times New Roman"/>
          <w:sz w:val="24"/>
          <w:szCs w:val="24"/>
          <w:lang w:val="en-GB"/>
        </w:rPr>
        <w:t xml:space="preserve"> case</w:t>
      </w:r>
      <w:r w:rsidRPr="00A21E4D">
        <w:rPr>
          <w:rStyle w:val="Appelnotedebasdep"/>
          <w:rFonts w:ascii="Times New Roman" w:hAnsi="Times New Roman" w:cs="Times New Roman"/>
          <w:sz w:val="24"/>
          <w:szCs w:val="24"/>
          <w:lang w:val="en-GB"/>
        </w:rPr>
        <w:footnoteReference w:id="55"/>
      </w:r>
      <w:r w:rsidRPr="00A21E4D">
        <w:rPr>
          <w:rFonts w:ascii="Times New Roman" w:hAnsi="Times New Roman" w:cs="Times New Roman"/>
          <w:sz w:val="24"/>
          <w:szCs w:val="24"/>
          <w:lang w:val="en-GB"/>
        </w:rPr>
        <w:t xml:space="preserve"> concerned both the Directive</w:t>
      </w:r>
      <w:r w:rsidRPr="00A21E4D">
        <w:rPr>
          <w:rStyle w:val="Appelnotedebasdep"/>
          <w:rFonts w:ascii="Times New Roman" w:hAnsi="Times New Roman" w:cs="Times New Roman"/>
          <w:sz w:val="24"/>
          <w:szCs w:val="24"/>
          <w:lang w:val="en-GB"/>
        </w:rPr>
        <w:footnoteReference w:id="56"/>
      </w:r>
      <w:r w:rsidRPr="00A21E4D">
        <w:rPr>
          <w:rFonts w:ascii="Times New Roman" w:hAnsi="Times New Roman" w:cs="Times New Roman"/>
          <w:sz w:val="24"/>
          <w:szCs w:val="24"/>
          <w:lang w:val="en-GB"/>
        </w:rPr>
        <w:t xml:space="preserve"> on the information and consultation of employees and the Collective Redundancies Directive. The first one did refer to the national concept of worker. French law excluded some categories of workers from the calculation of the thresholds for the application of those Directives.  If the Court did find at the end of the day that a legislation like the legislation at stake breaches EU Law, it did not discuss the definition of a worker. The Court emphasize</w:t>
      </w:r>
      <w:r w:rsidR="007B7C26"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 xml:space="preserve"> the fact that the Directive on consultation and information sends back to national law, and that there is no problem here as French law considers these excluded persons as workers. The Court follow</w:t>
      </w:r>
      <w:r w:rsidR="007B7C26" w:rsidRPr="00A21E4D">
        <w:rPr>
          <w:rFonts w:ascii="Times New Roman" w:hAnsi="Times New Roman" w:cs="Times New Roman"/>
          <w:sz w:val="24"/>
          <w:szCs w:val="24"/>
          <w:lang w:val="en-GB"/>
        </w:rPr>
        <w:t>ed</w:t>
      </w:r>
      <w:r w:rsidRPr="00A21E4D">
        <w:rPr>
          <w:rFonts w:ascii="Times New Roman" w:hAnsi="Times New Roman" w:cs="Times New Roman"/>
          <w:sz w:val="24"/>
          <w:szCs w:val="24"/>
          <w:lang w:val="en-GB"/>
        </w:rPr>
        <w:t xml:space="preserve"> and sa</w:t>
      </w:r>
      <w:r w:rsidR="007B7C26" w:rsidRPr="00A21E4D">
        <w:rPr>
          <w:rFonts w:ascii="Times New Roman" w:hAnsi="Times New Roman" w:cs="Times New Roman"/>
          <w:sz w:val="24"/>
          <w:szCs w:val="24"/>
          <w:lang w:val="en-GB"/>
        </w:rPr>
        <w:t>id</w:t>
      </w:r>
      <w:r w:rsidRPr="00A21E4D">
        <w:rPr>
          <w:rFonts w:ascii="Times New Roman" w:hAnsi="Times New Roman" w:cs="Times New Roman"/>
          <w:sz w:val="24"/>
          <w:szCs w:val="24"/>
          <w:lang w:val="en-GB"/>
        </w:rPr>
        <w:t xml:space="preserve"> that if they are workers under French Law, then they have to be taken into consideration for the calculation of the threshold</w:t>
      </w:r>
      <w:r w:rsidR="00D07832" w:rsidRPr="00A21E4D">
        <w:rPr>
          <w:rFonts w:ascii="Times New Roman" w:hAnsi="Times New Roman" w:cs="Times New Roman"/>
          <w:sz w:val="24"/>
          <w:szCs w:val="24"/>
          <w:lang w:val="en-GB"/>
        </w:rPr>
        <w:t>. At this point of the study,  the “</w:t>
      </w:r>
      <w:r w:rsidR="00D07832" w:rsidRPr="00A21E4D">
        <w:rPr>
          <w:rFonts w:ascii="Times New Roman" w:hAnsi="Times New Roman" w:cs="Times New Roman"/>
          <w:i/>
          <w:sz w:val="24"/>
          <w:szCs w:val="24"/>
          <w:lang w:val="en-GB"/>
        </w:rPr>
        <w:t>Danmols</w:t>
      </w:r>
      <w:r w:rsidR="00D07832" w:rsidRPr="00A21E4D">
        <w:rPr>
          <w:rFonts w:ascii="Times New Roman" w:hAnsi="Times New Roman" w:cs="Times New Roman"/>
          <w:sz w:val="24"/>
          <w:szCs w:val="24"/>
          <w:lang w:val="en-GB"/>
        </w:rPr>
        <w:t xml:space="preserve"> orthodoxy” has not yet been put into question.</w:t>
      </w:r>
    </w:p>
    <w:p w14:paraId="4FC31032" w14:textId="77777777" w:rsidR="00923C31" w:rsidRPr="00A21E4D" w:rsidRDefault="00923C31" w:rsidP="00F0032F">
      <w:pPr>
        <w:pStyle w:val="Paragraphedeliste"/>
        <w:spacing w:line="240" w:lineRule="auto"/>
        <w:ind w:left="0"/>
        <w:jc w:val="both"/>
        <w:rPr>
          <w:rFonts w:ascii="Times New Roman" w:hAnsi="Times New Roman" w:cs="Times New Roman"/>
          <w:sz w:val="24"/>
          <w:szCs w:val="24"/>
          <w:lang w:val="en-GB"/>
        </w:rPr>
      </w:pPr>
    </w:p>
    <w:p w14:paraId="2E1F7AD8" w14:textId="330D983F" w:rsidR="0019785F" w:rsidRPr="00A21E4D" w:rsidRDefault="00923C31"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047D68" w:rsidRPr="00A21E4D">
        <w:rPr>
          <w:rFonts w:ascii="Times New Roman" w:hAnsi="Times New Roman" w:cs="Times New Roman"/>
          <w:sz w:val="24"/>
          <w:szCs w:val="24"/>
          <w:lang w:val="en-GB"/>
        </w:rPr>
        <w:t xml:space="preserve">Therefore, a person could </w:t>
      </w:r>
      <w:r w:rsidRPr="00A21E4D">
        <w:rPr>
          <w:rFonts w:ascii="Times New Roman" w:hAnsi="Times New Roman" w:cs="Times New Roman"/>
          <w:sz w:val="24"/>
          <w:szCs w:val="24"/>
          <w:lang w:val="en-GB"/>
        </w:rPr>
        <w:t xml:space="preserve">be in a rather uncomfortable situation where, regarding EU law, </w:t>
      </w:r>
      <w:r w:rsidR="00A334F8" w:rsidRPr="00A21E4D">
        <w:rPr>
          <w:rFonts w:ascii="Times New Roman" w:hAnsi="Times New Roman" w:cs="Times New Roman"/>
          <w:sz w:val="24"/>
          <w:szCs w:val="24"/>
          <w:lang w:val="en-GB"/>
        </w:rPr>
        <w:t>s</w:t>
      </w:r>
      <w:r w:rsidRPr="00A21E4D">
        <w:rPr>
          <w:rFonts w:ascii="Times New Roman" w:hAnsi="Times New Roman" w:cs="Times New Roman"/>
          <w:sz w:val="24"/>
          <w:szCs w:val="24"/>
          <w:lang w:val="en-GB"/>
        </w:rPr>
        <w:t xml:space="preserve">he will be considered as a worker under free movement law and the Social Policy Directives where a Community concept of worker was </w:t>
      </w:r>
      <w:r w:rsidR="002A38AB" w:rsidRPr="00A21E4D">
        <w:rPr>
          <w:rFonts w:ascii="Times New Roman" w:hAnsi="Times New Roman" w:cs="Times New Roman"/>
          <w:sz w:val="24"/>
          <w:szCs w:val="24"/>
          <w:lang w:val="en-GB"/>
        </w:rPr>
        <w:t xml:space="preserve">consecrated, but not under some </w:t>
      </w:r>
      <w:r w:rsidR="002A38AB" w:rsidRPr="00A21E4D">
        <w:rPr>
          <w:rFonts w:ascii="Times New Roman" w:hAnsi="Times New Roman" w:cs="Times New Roman"/>
          <w:sz w:val="24"/>
          <w:szCs w:val="24"/>
          <w:lang w:val="en-GB"/>
        </w:rPr>
        <w:lastRenderedPageBreak/>
        <w:t xml:space="preserve">Directives which refer back to the national definitions. </w:t>
      </w:r>
      <w:r w:rsidR="00047D68" w:rsidRPr="00A21E4D">
        <w:rPr>
          <w:rFonts w:ascii="Times New Roman" w:hAnsi="Times New Roman" w:cs="Times New Roman"/>
          <w:sz w:val="24"/>
          <w:szCs w:val="24"/>
          <w:lang w:val="en-GB"/>
        </w:rPr>
        <w:t>Recently, t</w:t>
      </w:r>
      <w:r w:rsidRPr="00A21E4D">
        <w:rPr>
          <w:rFonts w:ascii="Times New Roman" w:hAnsi="Times New Roman" w:cs="Times New Roman"/>
          <w:sz w:val="24"/>
          <w:szCs w:val="24"/>
          <w:lang w:val="en-GB"/>
        </w:rPr>
        <w:t>he Court has</w:t>
      </w:r>
      <w:r w:rsidR="00D60AFA" w:rsidRPr="00A21E4D">
        <w:rPr>
          <w:rFonts w:ascii="Times New Roman" w:hAnsi="Times New Roman" w:cs="Times New Roman"/>
          <w:sz w:val="24"/>
          <w:szCs w:val="24"/>
          <w:lang w:val="en-GB"/>
        </w:rPr>
        <w:t xml:space="preserve"> begun to</w:t>
      </w:r>
      <w:r w:rsidRPr="00A21E4D">
        <w:rPr>
          <w:rFonts w:ascii="Times New Roman" w:hAnsi="Times New Roman" w:cs="Times New Roman"/>
          <w:sz w:val="24"/>
          <w:szCs w:val="24"/>
          <w:lang w:val="en-GB"/>
        </w:rPr>
        <w:t xml:space="preserve"> put safeguards on a careful basis for certain </w:t>
      </w:r>
      <w:r w:rsidR="00C36F8E"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irectives despite the “</w:t>
      </w:r>
      <w:r w:rsidRPr="00A21E4D">
        <w:rPr>
          <w:rFonts w:ascii="Times New Roman" w:hAnsi="Times New Roman" w:cs="Times New Roman"/>
          <w:i/>
          <w:sz w:val="24"/>
          <w:szCs w:val="24"/>
          <w:lang w:val="en-GB"/>
        </w:rPr>
        <w:t>Danmols</w:t>
      </w:r>
      <w:r w:rsidR="00474200" w:rsidRPr="00A21E4D">
        <w:rPr>
          <w:rFonts w:ascii="Times New Roman" w:hAnsi="Times New Roman" w:cs="Times New Roman"/>
          <w:sz w:val="24"/>
          <w:szCs w:val="24"/>
          <w:lang w:val="en-GB"/>
        </w:rPr>
        <w:t xml:space="preserve"> o</w:t>
      </w:r>
      <w:r w:rsidRPr="00A21E4D">
        <w:rPr>
          <w:rFonts w:ascii="Times New Roman" w:hAnsi="Times New Roman" w:cs="Times New Roman"/>
          <w:sz w:val="24"/>
          <w:szCs w:val="24"/>
          <w:lang w:val="en-GB"/>
        </w:rPr>
        <w:t>rthodoxy”.</w:t>
      </w:r>
    </w:p>
    <w:p w14:paraId="08B86D9D" w14:textId="77777777" w:rsidR="00923C31" w:rsidRPr="00A21E4D" w:rsidRDefault="00923C31" w:rsidP="00F0032F">
      <w:pPr>
        <w:pStyle w:val="Paragraphedeliste"/>
        <w:spacing w:line="240" w:lineRule="auto"/>
        <w:ind w:left="0"/>
        <w:jc w:val="both"/>
        <w:rPr>
          <w:rFonts w:ascii="Times New Roman" w:hAnsi="Times New Roman" w:cs="Times New Roman"/>
          <w:sz w:val="24"/>
          <w:szCs w:val="24"/>
          <w:lang w:val="en-GB"/>
        </w:rPr>
      </w:pPr>
    </w:p>
    <w:p w14:paraId="2651DBE8" w14:textId="07AB16DB" w:rsidR="005761D6" w:rsidRPr="00A21E4D" w:rsidRDefault="005761D6"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This new trend was foreshadowed in the conclusions of Advocate General </w:t>
      </w:r>
      <w:r w:rsidR="002C4D5B" w:rsidRPr="00A21E4D">
        <w:rPr>
          <w:rFonts w:ascii="Times New Roman" w:hAnsi="Times New Roman" w:cs="Times New Roman"/>
          <w:sz w:val="24"/>
          <w:szCs w:val="24"/>
          <w:lang w:val="en-GB"/>
        </w:rPr>
        <w:t xml:space="preserve">Poiares Maduro in the </w:t>
      </w:r>
      <w:r w:rsidR="004A2F23" w:rsidRPr="00A21E4D">
        <w:rPr>
          <w:rFonts w:ascii="Times New Roman" w:hAnsi="Times New Roman" w:cs="Times New Roman"/>
          <w:i/>
          <w:sz w:val="24"/>
          <w:szCs w:val="24"/>
          <w:lang w:val="en-GB"/>
        </w:rPr>
        <w:t>Del C</w:t>
      </w:r>
      <w:r w:rsidR="002C4D5B" w:rsidRPr="00A21E4D">
        <w:rPr>
          <w:rFonts w:ascii="Times New Roman" w:hAnsi="Times New Roman" w:cs="Times New Roman"/>
          <w:i/>
          <w:sz w:val="24"/>
          <w:szCs w:val="24"/>
          <w:lang w:val="en-GB"/>
        </w:rPr>
        <w:t>erro Alonso</w:t>
      </w:r>
      <w:r w:rsidR="002C4D5B" w:rsidRPr="00A21E4D">
        <w:rPr>
          <w:rStyle w:val="Appelnotedebasdep"/>
          <w:rFonts w:ascii="Times New Roman" w:hAnsi="Times New Roman" w:cs="Times New Roman"/>
          <w:i/>
          <w:sz w:val="24"/>
          <w:szCs w:val="24"/>
          <w:lang w:val="en-GB"/>
        </w:rPr>
        <w:footnoteReference w:id="57"/>
      </w:r>
      <w:r w:rsidR="0006218B" w:rsidRPr="00A21E4D">
        <w:rPr>
          <w:rFonts w:ascii="Times New Roman" w:hAnsi="Times New Roman" w:cs="Times New Roman"/>
          <w:iCs/>
          <w:sz w:val="24"/>
          <w:szCs w:val="24"/>
          <w:lang w:val="en-GB"/>
        </w:rPr>
        <w:t>, a</w:t>
      </w:r>
      <w:r w:rsidR="002C4D5B" w:rsidRPr="00A21E4D">
        <w:rPr>
          <w:rFonts w:ascii="Times New Roman" w:hAnsi="Times New Roman" w:cs="Times New Roman"/>
          <w:sz w:val="24"/>
          <w:szCs w:val="24"/>
          <w:lang w:val="en-GB"/>
        </w:rPr>
        <w:t xml:space="preserve"> case linked to the Directive on Fixed-Term Work</w:t>
      </w:r>
      <w:r w:rsidR="002C4D5B" w:rsidRPr="00A21E4D">
        <w:rPr>
          <w:rStyle w:val="Appelnotedebasdep"/>
          <w:rFonts w:ascii="Times New Roman" w:hAnsi="Times New Roman" w:cs="Times New Roman"/>
          <w:sz w:val="24"/>
          <w:szCs w:val="24"/>
          <w:lang w:val="en-GB"/>
        </w:rPr>
        <w:footnoteReference w:id="58"/>
      </w:r>
      <w:r w:rsidR="002C4D5B" w:rsidRPr="00A21E4D">
        <w:rPr>
          <w:rFonts w:ascii="Times New Roman" w:hAnsi="Times New Roman" w:cs="Times New Roman"/>
          <w:sz w:val="24"/>
          <w:szCs w:val="24"/>
          <w:lang w:val="en-GB"/>
        </w:rPr>
        <w:t>.</w:t>
      </w:r>
      <w:r w:rsidR="004A2F23" w:rsidRPr="00A21E4D">
        <w:rPr>
          <w:rFonts w:ascii="Times New Roman" w:hAnsi="Times New Roman" w:cs="Times New Roman"/>
          <w:sz w:val="24"/>
          <w:szCs w:val="24"/>
          <w:lang w:val="en-GB"/>
        </w:rPr>
        <w:t xml:space="preserve"> </w:t>
      </w:r>
      <w:r w:rsidR="0006218B" w:rsidRPr="00A21E4D">
        <w:rPr>
          <w:rFonts w:ascii="Times New Roman" w:hAnsi="Times New Roman" w:cs="Times New Roman"/>
          <w:sz w:val="24"/>
          <w:szCs w:val="24"/>
          <w:lang w:val="en-GB"/>
        </w:rPr>
        <w:t xml:space="preserve">There, he </w:t>
      </w:r>
      <w:r w:rsidR="004A2F23" w:rsidRPr="00A21E4D">
        <w:rPr>
          <w:rFonts w:ascii="Times New Roman" w:hAnsi="Times New Roman" w:cs="Times New Roman"/>
          <w:sz w:val="24"/>
          <w:szCs w:val="24"/>
          <w:lang w:val="en-GB"/>
        </w:rPr>
        <w:t>proposed to introduce a concept of “conditional renvoi”</w:t>
      </w:r>
      <w:r w:rsidR="00F53AB7" w:rsidRPr="00A21E4D">
        <w:rPr>
          <w:rFonts w:ascii="Times New Roman" w:hAnsi="Times New Roman" w:cs="Times New Roman"/>
          <w:sz w:val="24"/>
          <w:szCs w:val="24"/>
          <w:lang w:val="en-GB"/>
        </w:rPr>
        <w:t xml:space="preserve"> to stay “faithful to both spirit and letter of the Community legislation”. If there is an employment relationship between the public servant and the authorities which is not substantially different from the one in which is involved a regular employee which is considered as a worker by a Member State, then this Member State cannot exclude these public servants from the concept of worker. Doing so would lead to a brea</w:t>
      </w:r>
      <w:r w:rsidR="00E52338" w:rsidRPr="00A21E4D">
        <w:rPr>
          <w:rFonts w:ascii="Times New Roman" w:hAnsi="Times New Roman" w:cs="Times New Roman"/>
          <w:sz w:val="24"/>
          <w:szCs w:val="24"/>
          <w:lang w:val="en-GB"/>
        </w:rPr>
        <w:t>ch</w:t>
      </w:r>
      <w:r w:rsidR="00F53AB7" w:rsidRPr="00A21E4D">
        <w:rPr>
          <w:rFonts w:ascii="Times New Roman" w:hAnsi="Times New Roman" w:cs="Times New Roman"/>
          <w:sz w:val="24"/>
          <w:szCs w:val="24"/>
          <w:lang w:val="en-GB"/>
        </w:rPr>
        <w:t xml:space="preserve"> of the internal logic of national law itself</w:t>
      </w:r>
      <w:r w:rsidR="00F53AB7" w:rsidRPr="00A21E4D">
        <w:rPr>
          <w:rStyle w:val="Appelnotedebasdep"/>
          <w:rFonts w:ascii="Times New Roman" w:hAnsi="Times New Roman" w:cs="Times New Roman"/>
          <w:sz w:val="24"/>
          <w:szCs w:val="24"/>
          <w:lang w:val="en-GB"/>
        </w:rPr>
        <w:footnoteReference w:id="59"/>
      </w:r>
      <w:r w:rsidR="00F53AB7" w:rsidRPr="00A21E4D">
        <w:rPr>
          <w:rFonts w:ascii="Times New Roman" w:hAnsi="Times New Roman" w:cs="Times New Roman"/>
          <w:sz w:val="24"/>
          <w:szCs w:val="24"/>
          <w:lang w:val="en-GB"/>
        </w:rPr>
        <w:t xml:space="preserve">. </w:t>
      </w:r>
      <w:r w:rsidR="00C148BF" w:rsidRPr="00A21E4D">
        <w:rPr>
          <w:rFonts w:ascii="Times New Roman" w:hAnsi="Times New Roman" w:cs="Times New Roman"/>
          <w:sz w:val="24"/>
          <w:szCs w:val="24"/>
          <w:lang w:val="en-GB"/>
        </w:rPr>
        <w:t>The Court stated that the person in question was a worker</w:t>
      </w:r>
      <w:r w:rsidR="002E5CE9" w:rsidRPr="00A21E4D">
        <w:rPr>
          <w:rFonts w:ascii="Times New Roman" w:hAnsi="Times New Roman" w:cs="Times New Roman"/>
          <w:sz w:val="24"/>
          <w:szCs w:val="24"/>
          <w:lang w:val="en-GB"/>
        </w:rPr>
        <w:t>.</w:t>
      </w:r>
      <w:r w:rsidR="00A334F8" w:rsidRPr="00A21E4D">
        <w:rPr>
          <w:rFonts w:ascii="Times New Roman" w:hAnsi="Times New Roman" w:cs="Times New Roman"/>
          <w:sz w:val="24"/>
          <w:szCs w:val="24"/>
          <w:lang w:val="en-GB"/>
        </w:rPr>
        <w:t xml:space="preserve"> </w:t>
      </w:r>
      <w:r w:rsidR="006827EC" w:rsidRPr="00A21E4D">
        <w:rPr>
          <w:rFonts w:ascii="Times New Roman" w:hAnsi="Times New Roman" w:cs="Times New Roman"/>
          <w:sz w:val="24"/>
          <w:szCs w:val="24"/>
          <w:lang w:val="en-GB"/>
        </w:rPr>
        <w:t>Therefore, s</w:t>
      </w:r>
      <w:r w:rsidR="002E5CE9" w:rsidRPr="00A21E4D">
        <w:rPr>
          <w:rFonts w:ascii="Times New Roman" w:hAnsi="Times New Roman" w:cs="Times New Roman"/>
          <w:sz w:val="24"/>
          <w:szCs w:val="24"/>
          <w:lang w:val="en-GB"/>
        </w:rPr>
        <w:t xml:space="preserve">ince </w:t>
      </w:r>
      <w:r w:rsidR="00A334F8" w:rsidRPr="00A21E4D">
        <w:rPr>
          <w:rFonts w:ascii="Times New Roman" w:hAnsi="Times New Roman" w:cs="Times New Roman"/>
          <w:sz w:val="24"/>
          <w:szCs w:val="24"/>
          <w:lang w:val="en-GB"/>
        </w:rPr>
        <w:t>the D</w:t>
      </w:r>
      <w:r w:rsidR="00C148BF" w:rsidRPr="00A21E4D">
        <w:rPr>
          <w:rFonts w:ascii="Times New Roman" w:hAnsi="Times New Roman" w:cs="Times New Roman"/>
          <w:sz w:val="24"/>
          <w:szCs w:val="24"/>
          <w:lang w:val="en-GB"/>
        </w:rPr>
        <w:t>irective implements a Framework agreement whose goal is to ensure the respect of the equal treatment principle towards all workers, the Member State cannot exclude him as it would jeopardize the effectiveness of EU Law</w:t>
      </w:r>
      <w:r w:rsidR="00C148BF" w:rsidRPr="00A21E4D">
        <w:rPr>
          <w:rStyle w:val="Appelnotedebasdep"/>
          <w:rFonts w:ascii="Times New Roman" w:hAnsi="Times New Roman" w:cs="Times New Roman"/>
          <w:sz w:val="24"/>
          <w:szCs w:val="24"/>
          <w:lang w:val="en-GB"/>
        </w:rPr>
        <w:footnoteReference w:id="60"/>
      </w:r>
      <w:r w:rsidR="00C148BF" w:rsidRPr="00A21E4D">
        <w:rPr>
          <w:rFonts w:ascii="Times New Roman" w:hAnsi="Times New Roman" w:cs="Times New Roman"/>
          <w:sz w:val="24"/>
          <w:szCs w:val="24"/>
          <w:lang w:val="en-GB"/>
        </w:rPr>
        <w:t>.</w:t>
      </w:r>
      <w:r w:rsidR="009F37CE" w:rsidRPr="00A21E4D">
        <w:rPr>
          <w:rFonts w:ascii="Times New Roman" w:hAnsi="Times New Roman" w:cs="Times New Roman"/>
          <w:sz w:val="24"/>
          <w:szCs w:val="24"/>
          <w:lang w:val="en-GB"/>
        </w:rPr>
        <w:t xml:space="preserve"> </w:t>
      </w:r>
      <w:r w:rsidR="00035212" w:rsidRPr="00A21E4D">
        <w:rPr>
          <w:rFonts w:ascii="Times New Roman" w:hAnsi="Times New Roman" w:cs="Times New Roman"/>
          <w:sz w:val="24"/>
          <w:szCs w:val="24"/>
          <w:lang w:val="en-GB"/>
        </w:rPr>
        <w:t>T</w:t>
      </w:r>
      <w:r w:rsidR="009F37CE" w:rsidRPr="00A21E4D">
        <w:rPr>
          <w:rFonts w:ascii="Times New Roman" w:hAnsi="Times New Roman" w:cs="Times New Roman"/>
          <w:sz w:val="24"/>
          <w:szCs w:val="24"/>
          <w:lang w:val="en-GB"/>
        </w:rPr>
        <w:t xml:space="preserve">he claim of faithfulness </w:t>
      </w:r>
      <w:r w:rsidR="00035212" w:rsidRPr="00A21E4D">
        <w:rPr>
          <w:rFonts w:ascii="Times New Roman" w:hAnsi="Times New Roman" w:cs="Times New Roman"/>
          <w:sz w:val="24"/>
          <w:szCs w:val="24"/>
          <w:lang w:val="en-GB"/>
        </w:rPr>
        <w:t xml:space="preserve">can be discussed, </w:t>
      </w:r>
      <w:r w:rsidR="009F37CE" w:rsidRPr="00A21E4D">
        <w:rPr>
          <w:rFonts w:ascii="Times New Roman" w:hAnsi="Times New Roman" w:cs="Times New Roman"/>
          <w:sz w:val="24"/>
          <w:szCs w:val="24"/>
          <w:lang w:val="en-GB"/>
        </w:rPr>
        <w:t xml:space="preserve">as </w:t>
      </w:r>
      <w:r w:rsidR="004E2F96" w:rsidRPr="00A21E4D">
        <w:rPr>
          <w:rFonts w:ascii="Times New Roman" w:hAnsi="Times New Roman" w:cs="Times New Roman"/>
          <w:sz w:val="24"/>
          <w:szCs w:val="24"/>
          <w:lang w:val="en-GB"/>
        </w:rPr>
        <w:t xml:space="preserve">this interpretation </w:t>
      </w:r>
      <w:r w:rsidR="009F37CE" w:rsidRPr="00A21E4D">
        <w:rPr>
          <w:rFonts w:ascii="Times New Roman" w:hAnsi="Times New Roman" w:cs="Times New Roman"/>
          <w:sz w:val="24"/>
          <w:szCs w:val="24"/>
          <w:lang w:val="en-GB"/>
        </w:rPr>
        <w:t>leads</w:t>
      </w:r>
      <w:r w:rsidR="008F08C7" w:rsidRPr="00A21E4D">
        <w:rPr>
          <w:rFonts w:ascii="Times New Roman" w:hAnsi="Times New Roman" w:cs="Times New Roman"/>
          <w:sz w:val="24"/>
          <w:szCs w:val="24"/>
          <w:lang w:val="en-GB"/>
        </w:rPr>
        <w:t>,</w:t>
      </w:r>
      <w:r w:rsidR="009F37CE" w:rsidRPr="00A21E4D">
        <w:rPr>
          <w:rFonts w:ascii="Times New Roman" w:hAnsi="Times New Roman" w:cs="Times New Roman"/>
          <w:sz w:val="24"/>
          <w:szCs w:val="24"/>
          <w:lang w:val="en-GB"/>
        </w:rPr>
        <w:t xml:space="preserve"> to some </w:t>
      </w:r>
      <w:r w:rsidR="004E2F96" w:rsidRPr="00A21E4D">
        <w:rPr>
          <w:rFonts w:ascii="Times New Roman" w:hAnsi="Times New Roman" w:cs="Times New Roman"/>
          <w:sz w:val="24"/>
          <w:szCs w:val="24"/>
          <w:lang w:val="en-GB"/>
        </w:rPr>
        <w:t>extent</w:t>
      </w:r>
      <w:r w:rsidR="008F08C7" w:rsidRPr="00A21E4D">
        <w:rPr>
          <w:rFonts w:ascii="Times New Roman" w:hAnsi="Times New Roman" w:cs="Times New Roman"/>
          <w:sz w:val="24"/>
          <w:szCs w:val="24"/>
          <w:lang w:val="en-GB"/>
        </w:rPr>
        <w:t>.</w:t>
      </w:r>
      <w:r w:rsidR="004E2F96" w:rsidRPr="00A21E4D">
        <w:rPr>
          <w:rFonts w:ascii="Times New Roman" w:hAnsi="Times New Roman" w:cs="Times New Roman"/>
          <w:sz w:val="24"/>
          <w:szCs w:val="24"/>
          <w:lang w:val="en-GB"/>
        </w:rPr>
        <w:t xml:space="preserve"> </w:t>
      </w:r>
      <w:r w:rsidR="009F37CE" w:rsidRPr="00A21E4D">
        <w:rPr>
          <w:rFonts w:ascii="Times New Roman" w:hAnsi="Times New Roman" w:cs="Times New Roman"/>
          <w:sz w:val="24"/>
          <w:szCs w:val="24"/>
          <w:lang w:val="en-GB"/>
        </w:rPr>
        <w:t xml:space="preserve">to an obligation for the Member State to interpret its own definition of a worker </w:t>
      </w:r>
      <w:r w:rsidR="005C22B6" w:rsidRPr="00A21E4D">
        <w:rPr>
          <w:rFonts w:ascii="Times New Roman" w:hAnsi="Times New Roman" w:cs="Times New Roman"/>
          <w:sz w:val="24"/>
          <w:szCs w:val="24"/>
          <w:lang w:val="en-GB"/>
        </w:rPr>
        <w:t xml:space="preserve">in </w:t>
      </w:r>
      <w:r w:rsidR="009F37CE" w:rsidRPr="00A21E4D">
        <w:rPr>
          <w:rFonts w:ascii="Times New Roman" w:hAnsi="Times New Roman" w:cs="Times New Roman"/>
          <w:sz w:val="24"/>
          <w:szCs w:val="24"/>
          <w:lang w:val="en-GB"/>
        </w:rPr>
        <w:t>a new light after the decision of the Court</w:t>
      </w:r>
      <w:r w:rsidR="003A549A" w:rsidRPr="00A21E4D">
        <w:rPr>
          <w:rStyle w:val="Appelnotedebasdep"/>
          <w:rFonts w:ascii="Times New Roman" w:hAnsi="Times New Roman" w:cs="Times New Roman"/>
          <w:sz w:val="24"/>
          <w:szCs w:val="24"/>
          <w:lang w:val="en-GB"/>
        </w:rPr>
        <w:footnoteReference w:id="61"/>
      </w:r>
      <w:r w:rsidR="009F37CE" w:rsidRPr="00A21E4D">
        <w:rPr>
          <w:rFonts w:ascii="Times New Roman" w:hAnsi="Times New Roman" w:cs="Times New Roman"/>
          <w:sz w:val="24"/>
          <w:szCs w:val="24"/>
          <w:lang w:val="en-GB"/>
        </w:rPr>
        <w:t xml:space="preserve">. </w:t>
      </w:r>
    </w:p>
    <w:p w14:paraId="05D11136" w14:textId="77777777" w:rsidR="005761D6" w:rsidRPr="00A21E4D" w:rsidRDefault="005761D6" w:rsidP="00F0032F">
      <w:pPr>
        <w:pStyle w:val="Paragraphedeliste"/>
        <w:spacing w:line="240" w:lineRule="auto"/>
        <w:ind w:left="0"/>
        <w:jc w:val="both"/>
        <w:rPr>
          <w:rFonts w:ascii="Times New Roman" w:hAnsi="Times New Roman" w:cs="Times New Roman"/>
          <w:sz w:val="24"/>
          <w:szCs w:val="24"/>
          <w:lang w:val="en-GB"/>
        </w:rPr>
      </w:pPr>
    </w:p>
    <w:p w14:paraId="408E056E" w14:textId="581F7958" w:rsidR="007C0766" w:rsidRPr="00A21E4D" w:rsidRDefault="00923C31"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7A1D35" w:rsidRPr="00A21E4D">
        <w:rPr>
          <w:rFonts w:ascii="Times New Roman" w:hAnsi="Times New Roman" w:cs="Times New Roman"/>
          <w:sz w:val="24"/>
          <w:szCs w:val="24"/>
          <w:lang w:val="en-GB"/>
        </w:rPr>
        <w:t xml:space="preserve">Another example </w:t>
      </w:r>
      <w:r w:rsidR="00441D78" w:rsidRPr="00A21E4D">
        <w:rPr>
          <w:rFonts w:ascii="Times New Roman" w:hAnsi="Times New Roman" w:cs="Times New Roman"/>
          <w:sz w:val="24"/>
          <w:szCs w:val="24"/>
          <w:lang w:val="en-GB"/>
        </w:rPr>
        <w:t xml:space="preserve">stems from the interpretation </w:t>
      </w:r>
      <w:r w:rsidRPr="00A21E4D">
        <w:rPr>
          <w:rFonts w:ascii="Times New Roman" w:hAnsi="Times New Roman" w:cs="Times New Roman"/>
          <w:sz w:val="24"/>
          <w:szCs w:val="24"/>
          <w:lang w:val="en-GB"/>
        </w:rPr>
        <w:t>of the Part Time Work Directive</w:t>
      </w:r>
      <w:r w:rsidR="002A38AB" w:rsidRPr="00A21E4D">
        <w:rPr>
          <w:rStyle w:val="Appelnotedebasdep"/>
          <w:rFonts w:ascii="Times New Roman" w:hAnsi="Times New Roman" w:cs="Times New Roman"/>
          <w:sz w:val="24"/>
          <w:szCs w:val="24"/>
          <w:lang w:val="en-GB"/>
        </w:rPr>
        <w:footnoteReference w:id="62"/>
      </w:r>
      <w:r w:rsidRPr="00A21E4D">
        <w:rPr>
          <w:rFonts w:ascii="Times New Roman" w:hAnsi="Times New Roman" w:cs="Times New Roman"/>
          <w:sz w:val="24"/>
          <w:szCs w:val="24"/>
          <w:lang w:val="en-GB"/>
        </w:rPr>
        <w:t xml:space="preserve">. </w:t>
      </w:r>
      <w:r w:rsidR="002A38AB" w:rsidRPr="00A21E4D">
        <w:rPr>
          <w:rFonts w:ascii="Times New Roman" w:hAnsi="Times New Roman" w:cs="Times New Roman"/>
          <w:sz w:val="24"/>
          <w:szCs w:val="24"/>
          <w:lang w:val="en-GB"/>
        </w:rPr>
        <w:t>Following the clause 2(1) of the Framework agreement implemented by the Directive, it is</w:t>
      </w:r>
      <w:r w:rsidR="00A5280A" w:rsidRPr="00A21E4D">
        <w:rPr>
          <w:rFonts w:ascii="Times New Roman" w:hAnsi="Times New Roman" w:cs="Times New Roman"/>
          <w:sz w:val="24"/>
          <w:szCs w:val="24"/>
          <w:lang w:val="en-GB"/>
        </w:rPr>
        <w:t xml:space="preserve"> up to the national law to define</w:t>
      </w:r>
      <w:r w:rsidR="002A38AB" w:rsidRPr="00A21E4D">
        <w:rPr>
          <w:rFonts w:ascii="Times New Roman" w:hAnsi="Times New Roman" w:cs="Times New Roman"/>
          <w:sz w:val="24"/>
          <w:szCs w:val="24"/>
          <w:lang w:val="en-GB"/>
        </w:rPr>
        <w:t xml:space="preserve"> the concepts of employment contract and employment relationship. The Court confirmed the application of the “</w:t>
      </w:r>
      <w:r w:rsidR="002A38AB" w:rsidRPr="00A21E4D">
        <w:rPr>
          <w:rFonts w:ascii="Times New Roman" w:hAnsi="Times New Roman" w:cs="Times New Roman"/>
          <w:i/>
          <w:sz w:val="24"/>
          <w:szCs w:val="24"/>
          <w:lang w:val="en-GB"/>
        </w:rPr>
        <w:t xml:space="preserve">Danmols </w:t>
      </w:r>
      <w:r w:rsidR="002A38AB" w:rsidRPr="00A21E4D">
        <w:rPr>
          <w:rFonts w:ascii="Times New Roman" w:hAnsi="Times New Roman" w:cs="Times New Roman"/>
          <w:sz w:val="24"/>
          <w:szCs w:val="24"/>
          <w:lang w:val="en-GB"/>
        </w:rPr>
        <w:t xml:space="preserve">orthodoxy” to this situation in the </w:t>
      </w:r>
      <w:r w:rsidR="005E3684" w:rsidRPr="00A21E4D">
        <w:rPr>
          <w:rFonts w:ascii="Times New Roman" w:hAnsi="Times New Roman" w:cs="Times New Roman"/>
          <w:i/>
          <w:sz w:val="24"/>
          <w:szCs w:val="24"/>
          <w:lang w:val="en-GB"/>
        </w:rPr>
        <w:t>Wippel</w:t>
      </w:r>
      <w:r w:rsidR="002A38AB" w:rsidRPr="00A21E4D">
        <w:rPr>
          <w:rFonts w:ascii="Times New Roman" w:hAnsi="Times New Roman" w:cs="Times New Roman"/>
          <w:sz w:val="24"/>
          <w:szCs w:val="24"/>
          <w:lang w:val="en-GB"/>
        </w:rPr>
        <w:t xml:space="preserve"> case</w:t>
      </w:r>
      <w:r w:rsidR="002A38AB" w:rsidRPr="00A21E4D">
        <w:rPr>
          <w:rStyle w:val="Appelnotedebasdep"/>
          <w:rFonts w:ascii="Times New Roman" w:hAnsi="Times New Roman" w:cs="Times New Roman"/>
          <w:sz w:val="24"/>
          <w:szCs w:val="24"/>
          <w:lang w:val="en-GB"/>
        </w:rPr>
        <w:footnoteReference w:id="63"/>
      </w:r>
      <w:r w:rsidR="002A38AB" w:rsidRPr="00A21E4D">
        <w:rPr>
          <w:rFonts w:ascii="Times New Roman" w:hAnsi="Times New Roman" w:cs="Times New Roman"/>
          <w:sz w:val="24"/>
          <w:szCs w:val="24"/>
          <w:lang w:val="en-GB"/>
        </w:rPr>
        <w:t>.</w:t>
      </w:r>
      <w:r w:rsidR="00474200" w:rsidRPr="00A21E4D">
        <w:rPr>
          <w:rFonts w:ascii="Times New Roman" w:hAnsi="Times New Roman" w:cs="Times New Roman"/>
          <w:sz w:val="24"/>
          <w:szCs w:val="24"/>
          <w:lang w:val="en-GB"/>
        </w:rPr>
        <w:t xml:space="preserve"> But in the </w:t>
      </w:r>
      <w:r w:rsidR="00474200" w:rsidRPr="00A21E4D">
        <w:rPr>
          <w:rFonts w:ascii="Times New Roman" w:hAnsi="Times New Roman" w:cs="Times New Roman"/>
          <w:i/>
          <w:sz w:val="24"/>
          <w:szCs w:val="24"/>
          <w:lang w:val="en-GB"/>
        </w:rPr>
        <w:t>O’Brien</w:t>
      </w:r>
      <w:r w:rsidR="00474200" w:rsidRPr="00A21E4D">
        <w:rPr>
          <w:rFonts w:ascii="Times New Roman" w:hAnsi="Times New Roman" w:cs="Times New Roman"/>
          <w:sz w:val="24"/>
          <w:szCs w:val="24"/>
          <w:lang w:val="en-GB"/>
        </w:rPr>
        <w:t xml:space="preserve"> c</w:t>
      </w:r>
      <w:r w:rsidR="00277E03" w:rsidRPr="00A21E4D">
        <w:rPr>
          <w:rFonts w:ascii="Times New Roman" w:hAnsi="Times New Roman" w:cs="Times New Roman"/>
          <w:sz w:val="24"/>
          <w:szCs w:val="24"/>
          <w:lang w:val="en-GB"/>
        </w:rPr>
        <w:t>ase</w:t>
      </w:r>
      <w:r w:rsidR="00277E03" w:rsidRPr="00A21E4D">
        <w:rPr>
          <w:rStyle w:val="Appelnotedebasdep"/>
          <w:rFonts w:ascii="Times New Roman" w:hAnsi="Times New Roman" w:cs="Times New Roman"/>
          <w:sz w:val="24"/>
          <w:szCs w:val="24"/>
          <w:lang w:val="en-GB"/>
        </w:rPr>
        <w:footnoteReference w:id="64"/>
      </w:r>
      <w:r w:rsidR="00277E03" w:rsidRPr="00A21E4D">
        <w:rPr>
          <w:rFonts w:ascii="Times New Roman" w:hAnsi="Times New Roman" w:cs="Times New Roman"/>
          <w:sz w:val="24"/>
          <w:szCs w:val="24"/>
          <w:lang w:val="en-GB"/>
        </w:rPr>
        <w:t xml:space="preserve">, the Court had the occasion to put </w:t>
      </w:r>
      <w:r w:rsidR="00750BBD" w:rsidRPr="00A21E4D">
        <w:rPr>
          <w:rFonts w:ascii="Times New Roman" w:hAnsi="Times New Roman" w:cs="Times New Roman"/>
          <w:sz w:val="24"/>
          <w:szCs w:val="24"/>
          <w:lang w:val="en-GB"/>
        </w:rPr>
        <w:t xml:space="preserve">some </w:t>
      </w:r>
      <w:r w:rsidR="00277E03" w:rsidRPr="00A21E4D">
        <w:rPr>
          <w:rFonts w:ascii="Times New Roman" w:hAnsi="Times New Roman" w:cs="Times New Roman"/>
          <w:sz w:val="24"/>
          <w:szCs w:val="24"/>
          <w:lang w:val="en-GB"/>
        </w:rPr>
        <w:t xml:space="preserve">limitations. </w:t>
      </w:r>
      <w:r w:rsidR="005C0A02" w:rsidRPr="00A21E4D">
        <w:rPr>
          <w:rFonts w:ascii="Times New Roman" w:hAnsi="Times New Roman" w:cs="Times New Roman"/>
          <w:sz w:val="24"/>
          <w:szCs w:val="24"/>
          <w:lang w:val="en-GB"/>
        </w:rPr>
        <w:t xml:space="preserve">Under the law of the United Kingdom, judges are considered as “office holders” and therefore are not in an employment contract. </w:t>
      </w:r>
      <w:r w:rsidR="00287358" w:rsidRPr="00A21E4D">
        <w:rPr>
          <w:rFonts w:ascii="Times New Roman" w:hAnsi="Times New Roman" w:cs="Times New Roman"/>
          <w:sz w:val="24"/>
          <w:szCs w:val="24"/>
          <w:lang w:val="en-GB"/>
        </w:rPr>
        <w:t xml:space="preserve">Following the case law of the Court, a recorder, paid on a daily basis a fraction of the pay of a </w:t>
      </w:r>
      <w:r w:rsidR="002B6A7F" w:rsidRPr="00A21E4D">
        <w:rPr>
          <w:rFonts w:ascii="Times New Roman" w:hAnsi="Times New Roman" w:cs="Times New Roman"/>
          <w:sz w:val="24"/>
          <w:szCs w:val="24"/>
          <w:lang w:val="en-GB"/>
        </w:rPr>
        <w:t>full-time</w:t>
      </w:r>
      <w:r w:rsidR="00287358" w:rsidRPr="00A21E4D">
        <w:rPr>
          <w:rFonts w:ascii="Times New Roman" w:hAnsi="Times New Roman" w:cs="Times New Roman"/>
          <w:sz w:val="24"/>
          <w:szCs w:val="24"/>
          <w:lang w:val="en-GB"/>
        </w:rPr>
        <w:t xml:space="preserve"> judge but which is denied the right to a retirement pension, should</w:t>
      </w:r>
      <w:r w:rsidR="00A143D0" w:rsidRPr="00A21E4D">
        <w:rPr>
          <w:rFonts w:ascii="Times New Roman" w:hAnsi="Times New Roman" w:cs="Times New Roman"/>
          <w:sz w:val="24"/>
          <w:szCs w:val="24"/>
          <w:lang w:val="en-GB"/>
        </w:rPr>
        <w:t xml:space="preserve"> normally</w:t>
      </w:r>
      <w:r w:rsidR="00287358" w:rsidRPr="00A21E4D">
        <w:rPr>
          <w:rFonts w:ascii="Times New Roman" w:hAnsi="Times New Roman" w:cs="Times New Roman"/>
          <w:sz w:val="24"/>
          <w:szCs w:val="24"/>
          <w:lang w:val="en-GB"/>
        </w:rPr>
        <w:t xml:space="preserve"> not benefit from the provisions of the Directive. </w:t>
      </w:r>
    </w:p>
    <w:p w14:paraId="5DE341F9" w14:textId="77777777" w:rsidR="007C0766" w:rsidRPr="00A21E4D" w:rsidRDefault="007C0766"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7266C891" w14:textId="422306B4" w:rsidR="00923C31" w:rsidRPr="00A21E4D" w:rsidRDefault="007C0766"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287358" w:rsidRPr="00A21E4D">
        <w:rPr>
          <w:rFonts w:ascii="Times New Roman" w:hAnsi="Times New Roman" w:cs="Times New Roman"/>
          <w:sz w:val="24"/>
          <w:szCs w:val="24"/>
          <w:lang w:val="en-GB"/>
        </w:rPr>
        <w:t xml:space="preserve">Nevertheless, the Court added that the United Kingdom must respect in defining its concept of </w:t>
      </w:r>
      <w:r w:rsidR="00003B72" w:rsidRPr="00A21E4D">
        <w:rPr>
          <w:rFonts w:ascii="Times New Roman" w:hAnsi="Times New Roman" w:cs="Times New Roman"/>
          <w:sz w:val="24"/>
          <w:szCs w:val="24"/>
          <w:lang w:val="en-GB"/>
        </w:rPr>
        <w:t>employment contract both</w:t>
      </w:r>
      <w:r w:rsidR="00287358" w:rsidRPr="00A21E4D">
        <w:rPr>
          <w:rFonts w:ascii="Times New Roman" w:hAnsi="Times New Roman" w:cs="Times New Roman"/>
          <w:sz w:val="24"/>
          <w:szCs w:val="24"/>
          <w:lang w:val="en-GB"/>
        </w:rPr>
        <w:t xml:space="preserve"> effectiveness of the Dir</w:t>
      </w:r>
      <w:r w:rsidR="00003B72" w:rsidRPr="00A21E4D">
        <w:rPr>
          <w:rFonts w:ascii="Times New Roman" w:hAnsi="Times New Roman" w:cs="Times New Roman"/>
          <w:sz w:val="24"/>
          <w:szCs w:val="24"/>
          <w:lang w:val="en-GB"/>
        </w:rPr>
        <w:t>ective and</w:t>
      </w:r>
      <w:r w:rsidR="00287358" w:rsidRPr="00A21E4D">
        <w:rPr>
          <w:rFonts w:ascii="Times New Roman" w:hAnsi="Times New Roman" w:cs="Times New Roman"/>
          <w:sz w:val="24"/>
          <w:szCs w:val="24"/>
          <w:lang w:val="en-GB"/>
        </w:rPr>
        <w:t xml:space="preserve"> general principles of Union Law</w:t>
      </w:r>
      <w:r w:rsidR="000E496F" w:rsidRPr="00A21E4D">
        <w:rPr>
          <w:rStyle w:val="Appelnotedebasdep"/>
          <w:rFonts w:ascii="Times New Roman" w:hAnsi="Times New Roman" w:cs="Times New Roman"/>
          <w:sz w:val="24"/>
          <w:szCs w:val="24"/>
          <w:lang w:val="en-GB"/>
        </w:rPr>
        <w:footnoteReference w:id="65"/>
      </w:r>
      <w:r w:rsidR="00287358" w:rsidRPr="00A21E4D">
        <w:rPr>
          <w:rFonts w:ascii="Times New Roman" w:hAnsi="Times New Roman" w:cs="Times New Roman"/>
          <w:sz w:val="24"/>
          <w:szCs w:val="24"/>
          <w:lang w:val="en-GB"/>
        </w:rPr>
        <w:t>.</w:t>
      </w:r>
      <w:r w:rsidR="00A143D0" w:rsidRPr="00A21E4D">
        <w:rPr>
          <w:rFonts w:ascii="Times New Roman" w:hAnsi="Times New Roman" w:cs="Times New Roman"/>
          <w:sz w:val="24"/>
          <w:szCs w:val="24"/>
          <w:lang w:val="en-GB"/>
        </w:rPr>
        <w:t xml:space="preserve">  In order to check if the British exclusion does not breach EU Law, it must be verified if a substantial difference exists between the situation of the judge and the situation of any “normal” worker. The Court le</w:t>
      </w:r>
      <w:r w:rsidR="00483D7A" w:rsidRPr="00A21E4D">
        <w:rPr>
          <w:rFonts w:ascii="Times New Roman" w:hAnsi="Times New Roman" w:cs="Times New Roman"/>
          <w:sz w:val="24"/>
          <w:szCs w:val="24"/>
          <w:lang w:val="en-GB"/>
        </w:rPr>
        <w:t>ft</w:t>
      </w:r>
      <w:r w:rsidR="00A143D0" w:rsidRPr="00A21E4D">
        <w:rPr>
          <w:rFonts w:ascii="Times New Roman" w:hAnsi="Times New Roman" w:cs="Times New Roman"/>
          <w:sz w:val="24"/>
          <w:szCs w:val="24"/>
          <w:lang w:val="en-GB"/>
        </w:rPr>
        <w:t xml:space="preserve"> this matter to the referring court but g</w:t>
      </w:r>
      <w:r w:rsidR="00483D7A" w:rsidRPr="00A21E4D">
        <w:rPr>
          <w:rFonts w:ascii="Times New Roman" w:hAnsi="Times New Roman" w:cs="Times New Roman"/>
          <w:sz w:val="24"/>
          <w:szCs w:val="24"/>
          <w:lang w:val="en-GB"/>
        </w:rPr>
        <w:t>ave</w:t>
      </w:r>
      <w:r w:rsidR="00A143D0" w:rsidRPr="00A21E4D">
        <w:rPr>
          <w:rFonts w:ascii="Times New Roman" w:hAnsi="Times New Roman" w:cs="Times New Roman"/>
          <w:sz w:val="24"/>
          <w:szCs w:val="24"/>
          <w:lang w:val="en-GB"/>
        </w:rPr>
        <w:t xml:space="preserve"> some clues to help it to effectuate this test.</w:t>
      </w:r>
      <w:r w:rsidR="00542FAD" w:rsidRPr="00A21E4D">
        <w:rPr>
          <w:rFonts w:ascii="Times New Roman" w:hAnsi="Times New Roman" w:cs="Times New Roman"/>
          <w:sz w:val="24"/>
          <w:szCs w:val="24"/>
          <w:lang w:val="en-GB"/>
        </w:rPr>
        <w:t xml:space="preserve"> It refer</w:t>
      </w:r>
      <w:r w:rsidR="00483D7A" w:rsidRPr="00A21E4D">
        <w:rPr>
          <w:rFonts w:ascii="Times New Roman" w:hAnsi="Times New Roman" w:cs="Times New Roman"/>
          <w:sz w:val="24"/>
          <w:szCs w:val="24"/>
          <w:lang w:val="en-GB"/>
        </w:rPr>
        <w:t>red</w:t>
      </w:r>
      <w:r w:rsidR="00542FAD" w:rsidRPr="00A21E4D">
        <w:rPr>
          <w:rFonts w:ascii="Times New Roman" w:hAnsi="Times New Roman" w:cs="Times New Roman"/>
          <w:sz w:val="24"/>
          <w:szCs w:val="24"/>
          <w:lang w:val="en-GB"/>
        </w:rPr>
        <w:t xml:space="preserve"> to the opinion of the Advocate General which explain</w:t>
      </w:r>
      <w:r w:rsidR="00483D7A" w:rsidRPr="00A21E4D">
        <w:rPr>
          <w:rFonts w:ascii="Times New Roman" w:hAnsi="Times New Roman" w:cs="Times New Roman"/>
          <w:sz w:val="24"/>
          <w:szCs w:val="24"/>
          <w:lang w:val="en-GB"/>
        </w:rPr>
        <w:t>ed</w:t>
      </w:r>
      <w:r w:rsidR="004011D5" w:rsidRPr="00A21E4D">
        <w:rPr>
          <w:rFonts w:ascii="Times New Roman" w:hAnsi="Times New Roman" w:cs="Times New Roman"/>
          <w:sz w:val="24"/>
          <w:szCs w:val="24"/>
          <w:lang w:val="en-GB"/>
        </w:rPr>
        <w:t xml:space="preserve"> that</w:t>
      </w:r>
      <w:r w:rsidR="002F4950" w:rsidRPr="00A21E4D">
        <w:rPr>
          <w:rFonts w:ascii="Times New Roman" w:hAnsi="Times New Roman" w:cs="Times New Roman"/>
          <w:sz w:val="24"/>
          <w:szCs w:val="24"/>
          <w:lang w:val="en-GB"/>
        </w:rPr>
        <w:t xml:space="preserve"> the distinction between employees and self-employed workers</w:t>
      </w:r>
      <w:r w:rsidR="004011D5" w:rsidRPr="00A21E4D">
        <w:rPr>
          <w:rFonts w:ascii="Times New Roman" w:hAnsi="Times New Roman" w:cs="Times New Roman"/>
          <w:sz w:val="24"/>
          <w:szCs w:val="24"/>
          <w:lang w:val="en-GB"/>
        </w:rPr>
        <w:t xml:space="preserve"> must be taken into account</w:t>
      </w:r>
      <w:r w:rsidR="002F4950" w:rsidRPr="00A21E4D">
        <w:rPr>
          <w:rFonts w:ascii="Times New Roman" w:hAnsi="Times New Roman" w:cs="Times New Roman"/>
          <w:sz w:val="24"/>
          <w:szCs w:val="24"/>
          <w:lang w:val="en-GB"/>
        </w:rPr>
        <w:t>.</w:t>
      </w:r>
      <w:r w:rsidR="00816E1C" w:rsidRPr="00A21E4D">
        <w:rPr>
          <w:rFonts w:ascii="Times New Roman" w:hAnsi="Times New Roman" w:cs="Times New Roman"/>
          <w:sz w:val="24"/>
          <w:szCs w:val="24"/>
          <w:lang w:val="en-GB"/>
        </w:rPr>
        <w:t xml:space="preserve"> Come then a classic element related to the establishment of a link of subordination which is the question of the organisation of the work. The way in which the judges are nominated and removed, and their access to sick pay, maternity or paternity pay and other benefits must also </w:t>
      </w:r>
      <w:r w:rsidR="00816E1C" w:rsidRPr="00A21E4D">
        <w:rPr>
          <w:rFonts w:ascii="Times New Roman" w:hAnsi="Times New Roman" w:cs="Times New Roman"/>
          <w:sz w:val="24"/>
          <w:szCs w:val="24"/>
          <w:lang w:val="en-GB"/>
        </w:rPr>
        <w:lastRenderedPageBreak/>
        <w:t>be taken into consideration .  The question of the independence of the judge in its decision-making duties is, following the Court, not relevant</w:t>
      </w:r>
      <w:r w:rsidR="000E496F" w:rsidRPr="00A21E4D">
        <w:rPr>
          <w:rStyle w:val="Appelnotedebasdep"/>
          <w:rFonts w:ascii="Times New Roman" w:hAnsi="Times New Roman" w:cs="Times New Roman"/>
          <w:sz w:val="24"/>
          <w:szCs w:val="24"/>
          <w:lang w:val="en-GB"/>
        </w:rPr>
        <w:footnoteReference w:id="66"/>
      </w:r>
      <w:r w:rsidR="00816E1C" w:rsidRPr="00A21E4D">
        <w:rPr>
          <w:rFonts w:ascii="Times New Roman" w:hAnsi="Times New Roman" w:cs="Times New Roman"/>
          <w:sz w:val="24"/>
          <w:szCs w:val="24"/>
          <w:lang w:val="en-GB"/>
        </w:rPr>
        <w:t>.</w:t>
      </w:r>
    </w:p>
    <w:p w14:paraId="699AB37A" w14:textId="77777777" w:rsidR="00816E1C" w:rsidRPr="00A21E4D" w:rsidRDefault="00816E1C" w:rsidP="00F0032F">
      <w:pPr>
        <w:pStyle w:val="Paragraphedeliste"/>
        <w:spacing w:line="240" w:lineRule="auto"/>
        <w:ind w:left="0"/>
        <w:jc w:val="both"/>
        <w:rPr>
          <w:rFonts w:ascii="Times New Roman" w:hAnsi="Times New Roman" w:cs="Times New Roman"/>
          <w:sz w:val="24"/>
          <w:szCs w:val="24"/>
          <w:lang w:val="en-GB"/>
        </w:rPr>
      </w:pPr>
    </w:p>
    <w:p w14:paraId="6EE42EC7" w14:textId="1F6D00CD" w:rsidR="00816E1C" w:rsidRPr="00A21E4D" w:rsidRDefault="00816E1C"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31478E" w:rsidRPr="00A21E4D">
        <w:rPr>
          <w:rFonts w:ascii="Times New Roman" w:hAnsi="Times New Roman" w:cs="Times New Roman"/>
          <w:sz w:val="24"/>
          <w:szCs w:val="24"/>
          <w:lang w:val="en-GB"/>
        </w:rPr>
        <w:t>T</w:t>
      </w:r>
      <w:r w:rsidRPr="00A21E4D">
        <w:rPr>
          <w:rFonts w:ascii="Times New Roman" w:hAnsi="Times New Roman" w:cs="Times New Roman"/>
          <w:sz w:val="24"/>
          <w:szCs w:val="24"/>
          <w:lang w:val="en-GB"/>
        </w:rPr>
        <w:t xml:space="preserve">he </w:t>
      </w:r>
      <w:r w:rsidR="005D758A" w:rsidRPr="00A21E4D">
        <w:rPr>
          <w:rFonts w:ascii="Times New Roman" w:hAnsi="Times New Roman" w:cs="Times New Roman"/>
          <w:sz w:val="24"/>
          <w:szCs w:val="24"/>
          <w:lang w:val="en-GB"/>
        </w:rPr>
        <w:t xml:space="preserve">reasoning of the Court </w:t>
      </w:r>
      <w:r w:rsidRPr="00A21E4D">
        <w:rPr>
          <w:rFonts w:ascii="Times New Roman" w:hAnsi="Times New Roman" w:cs="Times New Roman"/>
          <w:sz w:val="24"/>
          <w:szCs w:val="24"/>
          <w:lang w:val="en-GB"/>
        </w:rPr>
        <w:t xml:space="preserve">in this </w:t>
      </w:r>
      <w:r w:rsidR="0099707E" w:rsidRPr="00A21E4D">
        <w:rPr>
          <w:rFonts w:ascii="Times New Roman" w:hAnsi="Times New Roman" w:cs="Times New Roman"/>
          <w:sz w:val="24"/>
          <w:szCs w:val="24"/>
          <w:lang w:val="en-GB"/>
        </w:rPr>
        <w:t>decision</w:t>
      </w:r>
      <w:r w:rsidRPr="00A21E4D">
        <w:rPr>
          <w:rFonts w:ascii="Times New Roman" w:hAnsi="Times New Roman" w:cs="Times New Roman"/>
          <w:sz w:val="24"/>
          <w:szCs w:val="24"/>
          <w:lang w:val="en-GB"/>
        </w:rPr>
        <w:t xml:space="preserve"> end</w:t>
      </w:r>
      <w:r w:rsidR="00483D7A" w:rsidRPr="00A21E4D">
        <w:rPr>
          <w:rFonts w:ascii="Times New Roman" w:hAnsi="Times New Roman" w:cs="Times New Roman"/>
          <w:sz w:val="24"/>
          <w:szCs w:val="24"/>
          <w:lang w:val="en-GB"/>
        </w:rPr>
        <w:t>ed</w:t>
      </w:r>
      <w:r w:rsidRPr="00A21E4D">
        <w:rPr>
          <w:rFonts w:ascii="Times New Roman" w:hAnsi="Times New Roman" w:cs="Times New Roman"/>
          <w:sz w:val="24"/>
          <w:szCs w:val="24"/>
          <w:lang w:val="en-GB"/>
        </w:rPr>
        <w:t xml:space="preserve"> with an answer t</w:t>
      </w:r>
      <w:r w:rsidR="00770E58" w:rsidRPr="00A21E4D">
        <w:rPr>
          <w:rFonts w:ascii="Times New Roman" w:hAnsi="Times New Roman" w:cs="Times New Roman"/>
          <w:sz w:val="24"/>
          <w:szCs w:val="24"/>
          <w:lang w:val="en-GB"/>
        </w:rPr>
        <w:t>o the argument</w:t>
      </w:r>
      <w:r w:rsidRPr="00A21E4D">
        <w:rPr>
          <w:rFonts w:ascii="Times New Roman" w:hAnsi="Times New Roman" w:cs="Times New Roman"/>
          <w:sz w:val="24"/>
          <w:szCs w:val="24"/>
          <w:lang w:val="en-GB"/>
        </w:rPr>
        <w:t xml:space="preserve"> that judges could not be seen as workers under the Framework agreement as they are not workers under the meaning of the free movement </w:t>
      </w:r>
      <w:r w:rsidR="009E0D8D" w:rsidRPr="00A21E4D">
        <w:rPr>
          <w:rFonts w:ascii="Times New Roman" w:hAnsi="Times New Roman" w:cs="Times New Roman"/>
          <w:sz w:val="24"/>
          <w:szCs w:val="24"/>
          <w:lang w:val="en-GB"/>
        </w:rPr>
        <w:t>rules</w:t>
      </w:r>
      <w:r w:rsidR="00770E58" w:rsidRPr="00A21E4D">
        <w:rPr>
          <w:rFonts w:ascii="Times New Roman" w:hAnsi="Times New Roman" w:cs="Times New Roman"/>
          <w:sz w:val="24"/>
          <w:szCs w:val="24"/>
          <w:lang w:val="en-GB"/>
        </w:rPr>
        <w:t>, seeing that article 51 of the TFEU excludes application of these free movement rules to the public servants exercising public authority</w:t>
      </w:r>
      <w:r w:rsidRPr="00A21E4D">
        <w:rPr>
          <w:rFonts w:ascii="Times New Roman" w:hAnsi="Times New Roman" w:cs="Times New Roman"/>
          <w:sz w:val="24"/>
          <w:szCs w:val="24"/>
          <w:lang w:val="en-GB"/>
        </w:rPr>
        <w:t>.</w:t>
      </w:r>
      <w:r w:rsidR="001C2FB5" w:rsidRPr="00A21E4D">
        <w:rPr>
          <w:rFonts w:ascii="Times New Roman" w:hAnsi="Times New Roman" w:cs="Times New Roman"/>
          <w:sz w:val="24"/>
          <w:szCs w:val="24"/>
          <w:lang w:val="en-GB"/>
        </w:rPr>
        <w:t xml:space="preserve"> The Court </w:t>
      </w:r>
      <w:r w:rsidR="009244D4" w:rsidRPr="00A21E4D">
        <w:rPr>
          <w:rFonts w:ascii="Times New Roman" w:hAnsi="Times New Roman" w:cs="Times New Roman"/>
          <w:sz w:val="24"/>
          <w:szCs w:val="24"/>
          <w:lang w:val="en-GB"/>
        </w:rPr>
        <w:t>conclude</w:t>
      </w:r>
      <w:r w:rsidR="00483D7A" w:rsidRPr="00A21E4D">
        <w:rPr>
          <w:rFonts w:ascii="Times New Roman" w:hAnsi="Times New Roman" w:cs="Times New Roman"/>
          <w:sz w:val="24"/>
          <w:szCs w:val="24"/>
          <w:lang w:val="en-GB"/>
        </w:rPr>
        <w:t>d</w:t>
      </w:r>
      <w:r w:rsidR="001C2FB5" w:rsidRPr="00A21E4D">
        <w:rPr>
          <w:rFonts w:ascii="Times New Roman" w:hAnsi="Times New Roman" w:cs="Times New Roman"/>
          <w:sz w:val="24"/>
          <w:szCs w:val="24"/>
          <w:lang w:val="en-GB"/>
        </w:rPr>
        <w:t xml:space="preserve"> that it did not matter because </w:t>
      </w:r>
      <w:r w:rsidR="00A92C35" w:rsidRPr="00A21E4D">
        <w:rPr>
          <w:rFonts w:ascii="Times New Roman" w:hAnsi="Times New Roman" w:cs="Times New Roman"/>
          <w:sz w:val="24"/>
          <w:szCs w:val="24"/>
          <w:lang w:val="en-GB"/>
        </w:rPr>
        <w:t xml:space="preserve">the framework </w:t>
      </w:r>
      <w:r w:rsidR="001C2FB5" w:rsidRPr="00A21E4D">
        <w:rPr>
          <w:rFonts w:ascii="Times New Roman" w:hAnsi="Times New Roman" w:cs="Times New Roman"/>
          <w:sz w:val="24"/>
          <w:szCs w:val="24"/>
          <w:lang w:val="en-GB"/>
        </w:rPr>
        <w:t xml:space="preserve">agreement and </w:t>
      </w:r>
      <w:r w:rsidR="00A92C35" w:rsidRPr="00A21E4D">
        <w:rPr>
          <w:rFonts w:ascii="Times New Roman" w:hAnsi="Times New Roman" w:cs="Times New Roman"/>
          <w:sz w:val="24"/>
          <w:szCs w:val="24"/>
          <w:lang w:val="en-GB"/>
        </w:rPr>
        <w:t xml:space="preserve">free movement rules </w:t>
      </w:r>
      <w:r w:rsidR="001C2FB5" w:rsidRPr="00A21E4D">
        <w:rPr>
          <w:rFonts w:ascii="Times New Roman" w:hAnsi="Times New Roman" w:cs="Times New Roman"/>
          <w:sz w:val="24"/>
          <w:szCs w:val="24"/>
          <w:lang w:val="en-GB"/>
        </w:rPr>
        <w:t>did not concern the same thing</w:t>
      </w:r>
      <w:r w:rsidR="000E496F" w:rsidRPr="00A21E4D">
        <w:rPr>
          <w:rStyle w:val="Appelnotedebasdep"/>
          <w:rFonts w:ascii="Times New Roman" w:hAnsi="Times New Roman" w:cs="Times New Roman"/>
          <w:sz w:val="24"/>
          <w:szCs w:val="24"/>
          <w:lang w:val="en-GB"/>
        </w:rPr>
        <w:footnoteReference w:id="67"/>
      </w:r>
      <w:r w:rsidR="001C2FB5" w:rsidRPr="00A21E4D">
        <w:rPr>
          <w:rFonts w:ascii="Times New Roman" w:hAnsi="Times New Roman" w:cs="Times New Roman"/>
          <w:sz w:val="24"/>
          <w:szCs w:val="24"/>
          <w:lang w:val="en-GB"/>
        </w:rPr>
        <w:t xml:space="preserve">. </w:t>
      </w:r>
      <w:r w:rsidR="00DD03D8" w:rsidRPr="00A21E4D">
        <w:rPr>
          <w:rFonts w:ascii="Times New Roman" w:hAnsi="Times New Roman" w:cs="Times New Roman"/>
          <w:sz w:val="24"/>
          <w:szCs w:val="24"/>
          <w:lang w:val="en-GB"/>
        </w:rPr>
        <w:t>To us, t</w:t>
      </w:r>
      <w:r w:rsidR="001C2FB5" w:rsidRPr="00A21E4D">
        <w:rPr>
          <w:rFonts w:ascii="Times New Roman" w:hAnsi="Times New Roman" w:cs="Times New Roman"/>
          <w:sz w:val="24"/>
          <w:szCs w:val="24"/>
          <w:lang w:val="en-GB"/>
        </w:rPr>
        <w:t>he message</w:t>
      </w:r>
      <w:r w:rsidR="00DD03D8" w:rsidRPr="00A21E4D">
        <w:rPr>
          <w:rFonts w:ascii="Times New Roman" w:hAnsi="Times New Roman" w:cs="Times New Roman"/>
          <w:sz w:val="24"/>
          <w:szCs w:val="24"/>
          <w:lang w:val="en-GB"/>
        </w:rPr>
        <w:t xml:space="preserve"> of the Court</w:t>
      </w:r>
      <w:r w:rsidR="001C2FB5" w:rsidRPr="00A21E4D">
        <w:rPr>
          <w:rFonts w:ascii="Times New Roman" w:hAnsi="Times New Roman" w:cs="Times New Roman"/>
          <w:sz w:val="24"/>
          <w:szCs w:val="24"/>
          <w:lang w:val="en-GB"/>
        </w:rPr>
        <w:t xml:space="preserve"> is clear: these are two different topics</w:t>
      </w:r>
      <w:r w:rsidR="00A5280A" w:rsidRPr="00A21E4D">
        <w:rPr>
          <w:rFonts w:ascii="Times New Roman" w:hAnsi="Times New Roman" w:cs="Times New Roman"/>
          <w:sz w:val="24"/>
          <w:szCs w:val="24"/>
          <w:lang w:val="en-GB"/>
        </w:rPr>
        <w:t xml:space="preserve"> which need</w:t>
      </w:r>
      <w:r w:rsidR="001C2FB5" w:rsidRPr="00A21E4D">
        <w:rPr>
          <w:rFonts w:ascii="Times New Roman" w:hAnsi="Times New Roman" w:cs="Times New Roman"/>
          <w:sz w:val="24"/>
          <w:szCs w:val="24"/>
          <w:lang w:val="en-GB"/>
        </w:rPr>
        <w:t xml:space="preserve"> different concepts of workers.</w:t>
      </w:r>
    </w:p>
    <w:p w14:paraId="2C378600" w14:textId="77777777" w:rsidR="00FB4622" w:rsidRPr="00A21E4D" w:rsidRDefault="00FB4622" w:rsidP="00F0032F">
      <w:pPr>
        <w:pStyle w:val="Paragraphedeliste"/>
        <w:spacing w:line="240" w:lineRule="auto"/>
        <w:ind w:left="0"/>
        <w:jc w:val="both"/>
        <w:rPr>
          <w:rFonts w:ascii="Times New Roman" w:hAnsi="Times New Roman" w:cs="Times New Roman"/>
          <w:sz w:val="24"/>
          <w:szCs w:val="24"/>
          <w:lang w:val="en-GB"/>
        </w:rPr>
      </w:pPr>
    </w:p>
    <w:p w14:paraId="10F3707B" w14:textId="3B9B6E2C" w:rsidR="008045FD" w:rsidRPr="00A21E4D" w:rsidRDefault="00FB4622"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Another case worth mentioning is the </w:t>
      </w:r>
      <w:r w:rsidR="00ED47D5" w:rsidRPr="00A21E4D">
        <w:rPr>
          <w:rFonts w:ascii="Times New Roman" w:hAnsi="Times New Roman" w:cs="Times New Roman"/>
          <w:i/>
          <w:sz w:val="24"/>
          <w:szCs w:val="24"/>
          <w:lang w:val="en-GB"/>
        </w:rPr>
        <w:t>Betriebsrat der Ruhrlandklinik</w:t>
      </w:r>
      <w:r w:rsidR="00ED47D5" w:rsidRPr="00A21E4D">
        <w:rPr>
          <w:rStyle w:val="Appelnotedebasdep"/>
          <w:rFonts w:ascii="Times New Roman" w:hAnsi="Times New Roman" w:cs="Times New Roman"/>
          <w:i/>
          <w:sz w:val="24"/>
          <w:szCs w:val="24"/>
          <w:lang w:val="en-GB"/>
        </w:rPr>
        <w:footnoteReference w:id="68"/>
      </w:r>
      <w:r w:rsidR="00ED47D5" w:rsidRPr="00A21E4D">
        <w:rPr>
          <w:rFonts w:ascii="Times New Roman" w:hAnsi="Times New Roman" w:cs="Times New Roman"/>
          <w:sz w:val="24"/>
          <w:szCs w:val="24"/>
          <w:lang w:val="en-GB"/>
        </w:rPr>
        <w:t xml:space="preserve"> case in the context of the Temporary Agency Work Directive</w:t>
      </w:r>
      <w:r w:rsidR="00ED47D5" w:rsidRPr="00A21E4D">
        <w:rPr>
          <w:rStyle w:val="Appelnotedebasdep"/>
          <w:rFonts w:ascii="Times New Roman" w:hAnsi="Times New Roman" w:cs="Times New Roman"/>
          <w:sz w:val="24"/>
          <w:szCs w:val="24"/>
          <w:lang w:val="en-GB"/>
        </w:rPr>
        <w:footnoteReference w:id="69"/>
      </w:r>
      <w:r w:rsidR="00ED47D5" w:rsidRPr="00A21E4D">
        <w:rPr>
          <w:rFonts w:ascii="Times New Roman" w:hAnsi="Times New Roman" w:cs="Times New Roman"/>
          <w:sz w:val="24"/>
          <w:szCs w:val="24"/>
          <w:lang w:val="en-GB"/>
        </w:rPr>
        <w:t>.</w:t>
      </w:r>
      <w:r w:rsidR="00A10208" w:rsidRPr="00A21E4D">
        <w:rPr>
          <w:rFonts w:ascii="Times New Roman" w:hAnsi="Times New Roman" w:cs="Times New Roman"/>
          <w:sz w:val="24"/>
          <w:szCs w:val="24"/>
          <w:lang w:val="en-GB"/>
        </w:rPr>
        <w:t xml:space="preserve"> Article 3, 1) a) of the Directive provides that it is up to the Member States to define the concept of worker.</w:t>
      </w:r>
    </w:p>
    <w:p w14:paraId="058E8035" w14:textId="77777777" w:rsidR="00A10208" w:rsidRPr="00A21E4D" w:rsidRDefault="00A10208" w:rsidP="00F0032F">
      <w:pPr>
        <w:pStyle w:val="Paragraphedeliste"/>
        <w:spacing w:line="240" w:lineRule="auto"/>
        <w:ind w:left="0"/>
        <w:jc w:val="both"/>
        <w:rPr>
          <w:rFonts w:ascii="Times New Roman" w:hAnsi="Times New Roman" w:cs="Times New Roman"/>
          <w:sz w:val="24"/>
          <w:szCs w:val="24"/>
          <w:lang w:val="en-GB"/>
        </w:rPr>
      </w:pPr>
    </w:p>
    <w:p w14:paraId="46D920E9" w14:textId="75F13D47" w:rsidR="00E33917" w:rsidRPr="00A21E4D" w:rsidRDefault="00A10208"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FB4622" w:rsidRPr="00A21E4D">
        <w:rPr>
          <w:rFonts w:ascii="Times New Roman" w:hAnsi="Times New Roman" w:cs="Times New Roman"/>
          <w:sz w:val="24"/>
          <w:szCs w:val="24"/>
          <w:lang w:val="en-GB"/>
        </w:rPr>
        <w:t xml:space="preserve">The case </w:t>
      </w:r>
      <w:r w:rsidRPr="00A21E4D">
        <w:rPr>
          <w:rFonts w:ascii="Times New Roman" w:hAnsi="Times New Roman" w:cs="Times New Roman"/>
          <w:sz w:val="24"/>
          <w:szCs w:val="24"/>
          <w:lang w:val="en-GB"/>
        </w:rPr>
        <w:t xml:space="preserve">concerned an hospital which had recourse to an association of nurses (the German Red Cross) thanks to an association agreement, in order to supply </w:t>
      </w:r>
      <w:r w:rsidR="00E33917" w:rsidRPr="00A21E4D">
        <w:rPr>
          <w:rFonts w:ascii="Times New Roman" w:hAnsi="Times New Roman" w:cs="Times New Roman"/>
          <w:sz w:val="24"/>
          <w:szCs w:val="24"/>
          <w:lang w:val="en-GB"/>
        </w:rPr>
        <w:t>staff</w:t>
      </w:r>
      <w:r w:rsidRPr="00A21E4D">
        <w:rPr>
          <w:rFonts w:ascii="Times New Roman" w:hAnsi="Times New Roman" w:cs="Times New Roman"/>
          <w:sz w:val="24"/>
          <w:szCs w:val="24"/>
          <w:lang w:val="en-GB"/>
        </w:rPr>
        <w:t xml:space="preserve"> </w:t>
      </w:r>
      <w:r w:rsidR="00E33917" w:rsidRPr="00A21E4D">
        <w:rPr>
          <w:rFonts w:ascii="Times New Roman" w:hAnsi="Times New Roman" w:cs="Times New Roman"/>
          <w:sz w:val="24"/>
          <w:szCs w:val="24"/>
          <w:lang w:val="en-GB"/>
        </w:rPr>
        <w:t xml:space="preserve">that </w:t>
      </w:r>
      <w:r w:rsidRPr="00A21E4D">
        <w:rPr>
          <w:rFonts w:ascii="Times New Roman" w:hAnsi="Times New Roman" w:cs="Times New Roman"/>
          <w:sz w:val="24"/>
          <w:szCs w:val="24"/>
          <w:lang w:val="en-GB"/>
        </w:rPr>
        <w:t xml:space="preserve">the hospital needed. </w:t>
      </w:r>
      <w:r w:rsidR="00E33917" w:rsidRPr="00A21E4D">
        <w:rPr>
          <w:rFonts w:ascii="Times New Roman" w:hAnsi="Times New Roman" w:cs="Times New Roman"/>
          <w:sz w:val="24"/>
          <w:szCs w:val="24"/>
          <w:lang w:val="en-GB"/>
        </w:rPr>
        <w:t xml:space="preserve"> To fully understand the issues at stake, we must precise the functioning of the Red Cross. If the members of this association are working in another institution as in our case, they are subject to the “functional and organisational instructions of the institution in question” while still paid by the Red Cross, which gets a financial compensation from the institution in return. One big point is that there is no employment contract between the Red Cross and its members, only a “relationship of personal dependency” based on their obligations coming from their membership</w:t>
      </w:r>
      <w:r w:rsidR="00597866" w:rsidRPr="00A21E4D">
        <w:rPr>
          <w:rStyle w:val="Appelnotedebasdep"/>
          <w:rFonts w:ascii="Times New Roman" w:hAnsi="Times New Roman" w:cs="Times New Roman"/>
          <w:sz w:val="24"/>
          <w:szCs w:val="24"/>
          <w:lang w:val="en-GB"/>
        </w:rPr>
        <w:footnoteReference w:id="70"/>
      </w:r>
      <w:r w:rsidR="00E33917" w:rsidRPr="00A21E4D">
        <w:rPr>
          <w:rFonts w:ascii="Times New Roman" w:hAnsi="Times New Roman" w:cs="Times New Roman"/>
          <w:sz w:val="24"/>
          <w:szCs w:val="24"/>
          <w:lang w:val="en-GB"/>
        </w:rPr>
        <w:t>.</w:t>
      </w:r>
    </w:p>
    <w:p w14:paraId="5CEE5A46" w14:textId="77777777" w:rsidR="00E33917" w:rsidRPr="00A21E4D" w:rsidRDefault="00E33917" w:rsidP="00F0032F">
      <w:pPr>
        <w:pStyle w:val="Paragraphedeliste"/>
        <w:spacing w:line="240" w:lineRule="auto"/>
        <w:ind w:left="0"/>
        <w:jc w:val="both"/>
        <w:rPr>
          <w:rFonts w:ascii="Times New Roman" w:hAnsi="Times New Roman" w:cs="Times New Roman"/>
          <w:sz w:val="24"/>
          <w:szCs w:val="24"/>
          <w:lang w:val="en-GB"/>
        </w:rPr>
      </w:pPr>
    </w:p>
    <w:p w14:paraId="3F0A10E9" w14:textId="13E1B1A0" w:rsidR="00A10208" w:rsidRPr="00A21E4D" w:rsidRDefault="00061BAA"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The work</w:t>
      </w:r>
      <w:r w:rsidR="00E33917" w:rsidRPr="00A21E4D">
        <w:rPr>
          <w:rFonts w:ascii="Times New Roman" w:hAnsi="Times New Roman" w:cs="Times New Roman"/>
          <w:sz w:val="24"/>
          <w:szCs w:val="24"/>
          <w:lang w:val="en-GB"/>
        </w:rPr>
        <w:t xml:space="preserve"> council of the hospital said that this s</w:t>
      </w:r>
      <w:r w:rsidR="00A334F8" w:rsidRPr="00A21E4D">
        <w:rPr>
          <w:rFonts w:ascii="Times New Roman" w:hAnsi="Times New Roman" w:cs="Times New Roman"/>
          <w:sz w:val="24"/>
          <w:szCs w:val="24"/>
          <w:lang w:val="en-GB"/>
        </w:rPr>
        <w:t>ituation fell under the German L</w:t>
      </w:r>
      <w:r w:rsidR="00E33917" w:rsidRPr="00A21E4D">
        <w:rPr>
          <w:rFonts w:ascii="Times New Roman" w:hAnsi="Times New Roman" w:cs="Times New Roman"/>
          <w:sz w:val="24"/>
          <w:szCs w:val="24"/>
          <w:lang w:val="en-GB"/>
        </w:rPr>
        <w:t>aw on the supply of temporary staff, which was therefore breached as the supply was not temporary</w:t>
      </w:r>
      <w:r w:rsidR="00597866" w:rsidRPr="00A21E4D">
        <w:rPr>
          <w:rStyle w:val="Appelnotedebasdep"/>
          <w:rFonts w:ascii="Times New Roman" w:hAnsi="Times New Roman" w:cs="Times New Roman"/>
          <w:sz w:val="24"/>
          <w:szCs w:val="24"/>
          <w:lang w:val="en-GB"/>
        </w:rPr>
        <w:footnoteReference w:id="71"/>
      </w:r>
      <w:r w:rsidR="00E33917" w:rsidRPr="00A21E4D">
        <w:rPr>
          <w:rFonts w:ascii="Times New Roman" w:hAnsi="Times New Roman" w:cs="Times New Roman"/>
          <w:sz w:val="24"/>
          <w:szCs w:val="24"/>
          <w:lang w:val="en-GB"/>
        </w:rPr>
        <w:t xml:space="preserve">. </w:t>
      </w:r>
      <w:r w:rsidR="0058135E" w:rsidRPr="00A21E4D">
        <w:rPr>
          <w:rFonts w:ascii="Times New Roman" w:hAnsi="Times New Roman" w:cs="Times New Roman"/>
          <w:sz w:val="24"/>
          <w:szCs w:val="24"/>
          <w:lang w:val="en-GB"/>
        </w:rPr>
        <w:t>The problem lies in the fact that this statute only applies to temporary work agencies. The referring cou</w:t>
      </w:r>
      <w:r w:rsidR="00500A7E" w:rsidRPr="00A21E4D">
        <w:rPr>
          <w:rFonts w:ascii="Times New Roman" w:hAnsi="Times New Roman" w:cs="Times New Roman"/>
          <w:sz w:val="24"/>
          <w:szCs w:val="24"/>
          <w:lang w:val="en-GB"/>
        </w:rPr>
        <w:t xml:space="preserve">rt felt uneasy </w:t>
      </w:r>
      <w:r w:rsidRPr="00A21E4D">
        <w:rPr>
          <w:rFonts w:ascii="Times New Roman" w:hAnsi="Times New Roman" w:cs="Times New Roman"/>
          <w:sz w:val="24"/>
          <w:szCs w:val="24"/>
          <w:lang w:val="en-GB"/>
        </w:rPr>
        <w:t xml:space="preserve">on </w:t>
      </w:r>
      <w:r w:rsidR="00500A7E" w:rsidRPr="00A21E4D">
        <w:rPr>
          <w:rFonts w:ascii="Times New Roman" w:hAnsi="Times New Roman" w:cs="Times New Roman"/>
          <w:sz w:val="24"/>
          <w:szCs w:val="24"/>
          <w:lang w:val="en-GB"/>
        </w:rPr>
        <w:t xml:space="preserve">the qualification of the relationship between the nurses </w:t>
      </w:r>
      <w:r w:rsidR="00B74D6A" w:rsidRPr="00A21E4D">
        <w:rPr>
          <w:rFonts w:ascii="Times New Roman" w:hAnsi="Times New Roman" w:cs="Times New Roman"/>
          <w:sz w:val="24"/>
          <w:szCs w:val="24"/>
          <w:lang w:val="en-GB"/>
        </w:rPr>
        <w:t xml:space="preserve">and </w:t>
      </w:r>
      <w:r w:rsidRPr="00A21E4D">
        <w:rPr>
          <w:rFonts w:ascii="Times New Roman" w:hAnsi="Times New Roman" w:cs="Times New Roman"/>
          <w:sz w:val="24"/>
          <w:szCs w:val="24"/>
          <w:lang w:val="en-GB"/>
        </w:rPr>
        <w:t xml:space="preserve">the Red Cross. </w:t>
      </w:r>
    </w:p>
    <w:p w14:paraId="7116F5E5" w14:textId="77777777" w:rsidR="00500A7E" w:rsidRPr="00A21E4D" w:rsidRDefault="00500A7E" w:rsidP="00F0032F">
      <w:pPr>
        <w:pStyle w:val="Paragraphedeliste"/>
        <w:spacing w:line="240" w:lineRule="auto"/>
        <w:ind w:left="0"/>
        <w:jc w:val="both"/>
        <w:rPr>
          <w:rFonts w:ascii="Times New Roman" w:hAnsi="Times New Roman" w:cs="Times New Roman"/>
          <w:sz w:val="24"/>
          <w:szCs w:val="24"/>
          <w:lang w:val="en-GB"/>
        </w:rPr>
      </w:pPr>
    </w:p>
    <w:p w14:paraId="0742FAC0" w14:textId="470F4993" w:rsidR="00623087" w:rsidRPr="00A21E4D" w:rsidRDefault="00500A7E"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The Court </w:t>
      </w:r>
      <w:r w:rsidR="00C750E2" w:rsidRPr="00A21E4D">
        <w:rPr>
          <w:rFonts w:ascii="Times New Roman" w:hAnsi="Times New Roman" w:cs="Times New Roman"/>
          <w:sz w:val="24"/>
          <w:szCs w:val="24"/>
          <w:lang w:val="en-GB"/>
        </w:rPr>
        <w:t>recognise</w:t>
      </w:r>
      <w:r w:rsidR="00483D7A" w:rsidRPr="00A21E4D">
        <w:rPr>
          <w:rFonts w:ascii="Times New Roman" w:hAnsi="Times New Roman" w:cs="Times New Roman"/>
          <w:sz w:val="24"/>
          <w:szCs w:val="24"/>
          <w:lang w:val="en-GB"/>
        </w:rPr>
        <w:t>d</w:t>
      </w:r>
      <w:r w:rsidR="00C750E2"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lang w:val="en-GB"/>
        </w:rPr>
        <w:t xml:space="preserve">that the Member States are competent for the definition of the concept of worker under the </w:t>
      </w:r>
      <w:r w:rsidR="0065387A" w:rsidRPr="00A21E4D">
        <w:rPr>
          <w:rFonts w:ascii="Times New Roman" w:hAnsi="Times New Roman" w:cs="Times New Roman"/>
          <w:sz w:val="24"/>
          <w:szCs w:val="24"/>
          <w:lang w:val="en-GB"/>
        </w:rPr>
        <w:t>Directive</w:t>
      </w:r>
      <w:r w:rsidRPr="00A21E4D">
        <w:rPr>
          <w:rFonts w:ascii="Times New Roman" w:hAnsi="Times New Roman" w:cs="Times New Roman"/>
          <w:sz w:val="24"/>
          <w:szCs w:val="24"/>
          <w:lang w:val="en-GB"/>
        </w:rPr>
        <w:t xml:space="preserve">. </w:t>
      </w:r>
      <w:r w:rsidR="002C468D" w:rsidRPr="00A21E4D">
        <w:rPr>
          <w:rFonts w:ascii="Times New Roman" w:hAnsi="Times New Roman" w:cs="Times New Roman"/>
          <w:sz w:val="24"/>
          <w:szCs w:val="24"/>
          <w:lang w:val="en-GB"/>
        </w:rPr>
        <w:t xml:space="preserve">However, </w:t>
      </w:r>
      <w:r w:rsidRPr="00A21E4D">
        <w:rPr>
          <w:rFonts w:ascii="Times New Roman" w:hAnsi="Times New Roman" w:cs="Times New Roman"/>
          <w:sz w:val="24"/>
          <w:szCs w:val="24"/>
          <w:lang w:val="en-GB"/>
        </w:rPr>
        <w:t>the Court immediately move</w:t>
      </w:r>
      <w:r w:rsidR="00483D7A"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 xml:space="preserve"> away from this assumption and recall</w:t>
      </w:r>
      <w:r w:rsidR="00483D7A" w:rsidRPr="00A21E4D">
        <w:rPr>
          <w:rFonts w:ascii="Times New Roman" w:hAnsi="Times New Roman" w:cs="Times New Roman"/>
          <w:sz w:val="24"/>
          <w:szCs w:val="24"/>
          <w:lang w:val="en-GB"/>
        </w:rPr>
        <w:t>ed</w:t>
      </w:r>
      <w:r w:rsidRPr="00A21E4D">
        <w:rPr>
          <w:rFonts w:ascii="Times New Roman" w:hAnsi="Times New Roman" w:cs="Times New Roman"/>
          <w:sz w:val="24"/>
          <w:szCs w:val="24"/>
          <w:lang w:val="en-GB"/>
        </w:rPr>
        <w:t xml:space="preserve"> its </w:t>
      </w:r>
      <w:r w:rsidR="0025511E" w:rsidRPr="00A21E4D">
        <w:rPr>
          <w:rFonts w:ascii="Times New Roman" w:hAnsi="Times New Roman" w:cs="Times New Roman"/>
          <w:sz w:val="24"/>
          <w:szCs w:val="24"/>
          <w:lang w:val="en-GB"/>
        </w:rPr>
        <w:t>traditional definition stem</w:t>
      </w:r>
      <w:r w:rsidR="00BC21F6" w:rsidRPr="00A21E4D">
        <w:rPr>
          <w:rFonts w:ascii="Times New Roman" w:hAnsi="Times New Roman" w:cs="Times New Roman"/>
          <w:sz w:val="24"/>
          <w:szCs w:val="24"/>
          <w:lang w:val="en-GB"/>
        </w:rPr>
        <w:t>ming</w:t>
      </w:r>
      <w:r w:rsidR="0025511E" w:rsidRPr="00A21E4D">
        <w:rPr>
          <w:rFonts w:ascii="Times New Roman" w:hAnsi="Times New Roman" w:cs="Times New Roman"/>
          <w:sz w:val="24"/>
          <w:szCs w:val="24"/>
          <w:lang w:val="en-GB"/>
        </w:rPr>
        <w:t xml:space="preserve"> from </w:t>
      </w:r>
      <w:r w:rsidR="0025511E" w:rsidRPr="00A21E4D">
        <w:rPr>
          <w:rFonts w:ascii="Times New Roman" w:hAnsi="Times New Roman" w:cs="Times New Roman"/>
          <w:i/>
          <w:sz w:val="24"/>
          <w:szCs w:val="24"/>
          <w:lang w:val="en-GB"/>
        </w:rPr>
        <w:t>Lawrie-Blum</w:t>
      </w:r>
      <w:r w:rsidR="0025511E" w:rsidRPr="00A21E4D">
        <w:rPr>
          <w:rFonts w:ascii="Times New Roman" w:hAnsi="Times New Roman" w:cs="Times New Roman"/>
          <w:sz w:val="24"/>
          <w:szCs w:val="24"/>
          <w:lang w:val="en-GB"/>
        </w:rPr>
        <w:t xml:space="preserve"> and the </w:t>
      </w:r>
      <w:r w:rsidR="0025511E" w:rsidRPr="00A21E4D">
        <w:rPr>
          <w:rFonts w:ascii="Times New Roman" w:hAnsi="Times New Roman" w:cs="Times New Roman"/>
          <w:i/>
          <w:sz w:val="24"/>
          <w:szCs w:val="24"/>
          <w:lang w:val="en-GB"/>
        </w:rPr>
        <w:t>Danosa</w:t>
      </w:r>
      <w:r w:rsidR="0025511E" w:rsidRPr="00A21E4D">
        <w:rPr>
          <w:rFonts w:ascii="Times New Roman" w:hAnsi="Times New Roman" w:cs="Times New Roman"/>
          <w:sz w:val="24"/>
          <w:szCs w:val="24"/>
          <w:lang w:val="en-GB"/>
        </w:rPr>
        <w:t xml:space="preserve"> case</w:t>
      </w:r>
      <w:r w:rsidR="003B3E9C" w:rsidRPr="00A21E4D">
        <w:rPr>
          <w:rFonts w:ascii="Times New Roman" w:hAnsi="Times New Roman" w:cs="Times New Roman"/>
          <w:sz w:val="24"/>
          <w:szCs w:val="24"/>
          <w:lang w:val="en-GB"/>
        </w:rPr>
        <w:t>,</w:t>
      </w:r>
      <w:r w:rsidR="0025511E" w:rsidRPr="00A21E4D">
        <w:rPr>
          <w:rFonts w:ascii="Times New Roman" w:hAnsi="Times New Roman" w:cs="Times New Roman"/>
          <w:sz w:val="24"/>
          <w:szCs w:val="24"/>
          <w:lang w:val="en-GB"/>
        </w:rPr>
        <w:t xml:space="preserve"> where it decided that the national form and nature of the relationship were not relevant for the qualification of a worker. It is difficult to introduce more antagonistic statements in only a couple of paragraphs. </w:t>
      </w:r>
      <w:r w:rsidR="00A334F8" w:rsidRPr="00A21E4D">
        <w:rPr>
          <w:rFonts w:ascii="Times New Roman" w:hAnsi="Times New Roman" w:cs="Times New Roman"/>
          <w:sz w:val="24"/>
          <w:szCs w:val="24"/>
          <w:lang w:val="en-GB"/>
        </w:rPr>
        <w:t xml:space="preserve">Even if the </w:t>
      </w:r>
      <w:r w:rsidR="0025511E" w:rsidRPr="00A21E4D">
        <w:rPr>
          <w:rFonts w:ascii="Times New Roman" w:hAnsi="Times New Roman" w:cs="Times New Roman"/>
          <w:sz w:val="24"/>
          <w:szCs w:val="24"/>
          <w:lang w:val="en-GB"/>
        </w:rPr>
        <w:t xml:space="preserve">aim </w:t>
      </w:r>
      <w:r w:rsidR="007624FA" w:rsidRPr="00A21E4D">
        <w:rPr>
          <w:rFonts w:ascii="Times New Roman" w:hAnsi="Times New Roman" w:cs="Times New Roman"/>
          <w:sz w:val="24"/>
          <w:szCs w:val="24"/>
          <w:lang w:val="en-GB"/>
        </w:rPr>
        <w:t xml:space="preserve">of the Directive </w:t>
      </w:r>
      <w:r w:rsidR="0025511E" w:rsidRPr="00A21E4D">
        <w:rPr>
          <w:rFonts w:ascii="Times New Roman" w:hAnsi="Times New Roman" w:cs="Times New Roman"/>
          <w:sz w:val="24"/>
          <w:szCs w:val="24"/>
          <w:lang w:val="en-GB"/>
        </w:rPr>
        <w:t xml:space="preserve">is not to </w:t>
      </w:r>
      <w:r w:rsidR="00C91EFD" w:rsidRPr="00A21E4D">
        <w:rPr>
          <w:rFonts w:ascii="Times New Roman" w:hAnsi="Times New Roman" w:cs="Times New Roman"/>
          <w:sz w:val="24"/>
          <w:szCs w:val="24"/>
          <w:lang w:val="en-GB"/>
        </w:rPr>
        <w:t xml:space="preserve">harmonise </w:t>
      </w:r>
      <w:r w:rsidR="00076EC7" w:rsidRPr="00A21E4D">
        <w:rPr>
          <w:rFonts w:ascii="Times New Roman" w:hAnsi="Times New Roman" w:cs="Times New Roman"/>
          <w:sz w:val="24"/>
          <w:szCs w:val="24"/>
          <w:lang w:val="en-GB"/>
        </w:rPr>
        <w:t xml:space="preserve">this definition, </w:t>
      </w:r>
      <w:r w:rsidR="00C91EFD" w:rsidRPr="00A21E4D">
        <w:rPr>
          <w:rFonts w:ascii="Times New Roman" w:hAnsi="Times New Roman" w:cs="Times New Roman"/>
          <w:sz w:val="24"/>
          <w:szCs w:val="24"/>
          <w:lang w:val="en-GB"/>
        </w:rPr>
        <w:t xml:space="preserve">this </w:t>
      </w:r>
      <w:r w:rsidR="0025511E" w:rsidRPr="00A21E4D">
        <w:rPr>
          <w:rFonts w:ascii="Times New Roman" w:hAnsi="Times New Roman" w:cs="Times New Roman"/>
          <w:sz w:val="24"/>
          <w:szCs w:val="24"/>
          <w:lang w:val="en-GB"/>
        </w:rPr>
        <w:t xml:space="preserve">does not mean that the Member States enjoy a limitless margin of manoeuvre. </w:t>
      </w:r>
      <w:r w:rsidR="00076EC7" w:rsidRPr="00A21E4D">
        <w:rPr>
          <w:rFonts w:ascii="Times New Roman" w:hAnsi="Times New Roman" w:cs="Times New Roman"/>
          <w:sz w:val="24"/>
          <w:szCs w:val="24"/>
          <w:lang w:val="en-GB"/>
        </w:rPr>
        <w:t>Interestingly, the Court explain</w:t>
      </w:r>
      <w:r w:rsidR="00483D7A" w:rsidRPr="00A21E4D">
        <w:rPr>
          <w:rFonts w:ascii="Times New Roman" w:hAnsi="Times New Roman" w:cs="Times New Roman"/>
          <w:sz w:val="24"/>
          <w:szCs w:val="24"/>
          <w:lang w:val="en-GB"/>
        </w:rPr>
        <w:t>ed</w:t>
      </w:r>
      <w:r w:rsidR="00076EC7" w:rsidRPr="00A21E4D">
        <w:rPr>
          <w:rFonts w:ascii="Times New Roman" w:hAnsi="Times New Roman" w:cs="Times New Roman"/>
          <w:sz w:val="24"/>
          <w:szCs w:val="24"/>
          <w:lang w:val="en-GB"/>
        </w:rPr>
        <w:t xml:space="preserve"> its choice by </w:t>
      </w:r>
      <w:r w:rsidR="004D2E5A" w:rsidRPr="00A21E4D">
        <w:rPr>
          <w:rFonts w:ascii="Times New Roman" w:hAnsi="Times New Roman" w:cs="Times New Roman"/>
          <w:sz w:val="24"/>
          <w:szCs w:val="24"/>
          <w:lang w:val="en-GB"/>
        </w:rPr>
        <w:t>referring</w:t>
      </w:r>
      <w:r w:rsidR="00076EC7" w:rsidRPr="00A21E4D">
        <w:rPr>
          <w:rFonts w:ascii="Times New Roman" w:hAnsi="Times New Roman" w:cs="Times New Roman"/>
          <w:sz w:val="24"/>
          <w:szCs w:val="24"/>
          <w:lang w:val="en-GB"/>
        </w:rPr>
        <w:t xml:space="preserve"> to</w:t>
      </w:r>
      <w:r w:rsidR="00A334F8" w:rsidRPr="00A21E4D">
        <w:rPr>
          <w:rFonts w:ascii="Times New Roman" w:hAnsi="Times New Roman" w:cs="Times New Roman"/>
          <w:sz w:val="24"/>
          <w:szCs w:val="24"/>
          <w:lang w:val="en-GB"/>
        </w:rPr>
        <w:t xml:space="preserve"> the objectives pursued by the D</w:t>
      </w:r>
      <w:r w:rsidR="004011D5" w:rsidRPr="00A21E4D">
        <w:rPr>
          <w:rFonts w:ascii="Times New Roman" w:hAnsi="Times New Roman" w:cs="Times New Roman"/>
          <w:sz w:val="24"/>
          <w:szCs w:val="24"/>
          <w:lang w:val="en-GB"/>
        </w:rPr>
        <w:t xml:space="preserve">irective, the protection of </w:t>
      </w:r>
      <w:r w:rsidR="00076EC7" w:rsidRPr="00A21E4D">
        <w:rPr>
          <w:rFonts w:ascii="Times New Roman" w:hAnsi="Times New Roman" w:cs="Times New Roman"/>
          <w:sz w:val="24"/>
          <w:szCs w:val="24"/>
          <w:lang w:val="en-GB"/>
        </w:rPr>
        <w:t>temporary agency workers</w:t>
      </w:r>
      <w:r w:rsidR="0092528C" w:rsidRPr="00A21E4D">
        <w:rPr>
          <w:rFonts w:ascii="Times New Roman" w:hAnsi="Times New Roman" w:cs="Times New Roman"/>
          <w:sz w:val="24"/>
          <w:szCs w:val="24"/>
          <w:lang w:val="en-GB"/>
        </w:rPr>
        <w:t xml:space="preserve"> by enforcing the principles of non-discrimination, transparency and proportionality.  If the Member State’s legislation is too restrictive, there is a risk that these objectives will not be met with the excluded categories of persons. The Court </w:t>
      </w:r>
      <w:r w:rsidR="00483D7A" w:rsidRPr="00A21E4D">
        <w:rPr>
          <w:rFonts w:ascii="Times New Roman" w:hAnsi="Times New Roman" w:cs="Times New Roman"/>
          <w:sz w:val="24"/>
          <w:szCs w:val="24"/>
          <w:lang w:val="en-GB"/>
        </w:rPr>
        <w:t xml:space="preserve">went </w:t>
      </w:r>
      <w:r w:rsidR="0092528C" w:rsidRPr="00A21E4D">
        <w:rPr>
          <w:rFonts w:ascii="Times New Roman" w:hAnsi="Times New Roman" w:cs="Times New Roman"/>
          <w:sz w:val="24"/>
          <w:szCs w:val="24"/>
          <w:lang w:val="en-GB"/>
        </w:rPr>
        <w:t xml:space="preserve">further by highlighting the fact that in its relationship with the Red Cross, a nurse enjoys several rights </w:t>
      </w:r>
      <w:r w:rsidR="0092528C" w:rsidRPr="00A21E4D">
        <w:rPr>
          <w:rFonts w:ascii="Times New Roman" w:hAnsi="Times New Roman" w:cs="Times New Roman"/>
          <w:sz w:val="24"/>
          <w:szCs w:val="24"/>
          <w:lang w:val="en-GB"/>
        </w:rPr>
        <w:lastRenderedPageBreak/>
        <w:t xml:space="preserve">which can be identical to those </w:t>
      </w:r>
      <w:r w:rsidR="004D2E5A" w:rsidRPr="00A21E4D">
        <w:rPr>
          <w:rFonts w:ascii="Times New Roman" w:hAnsi="Times New Roman" w:cs="Times New Roman"/>
          <w:sz w:val="24"/>
          <w:szCs w:val="24"/>
          <w:lang w:val="en-GB"/>
        </w:rPr>
        <w:t xml:space="preserve">from which </w:t>
      </w:r>
      <w:r w:rsidR="0092528C" w:rsidRPr="00A21E4D">
        <w:rPr>
          <w:rFonts w:ascii="Times New Roman" w:hAnsi="Times New Roman" w:cs="Times New Roman"/>
          <w:sz w:val="24"/>
          <w:szCs w:val="24"/>
          <w:lang w:val="en-GB"/>
        </w:rPr>
        <w:t xml:space="preserve">a worker would benefit </w:t>
      </w:r>
      <w:r w:rsidR="0049711F" w:rsidRPr="00A21E4D">
        <w:rPr>
          <w:rFonts w:ascii="Times New Roman" w:hAnsi="Times New Roman" w:cs="Times New Roman"/>
          <w:sz w:val="24"/>
          <w:szCs w:val="24"/>
          <w:lang w:val="en-GB"/>
        </w:rPr>
        <w:t>under German Law</w:t>
      </w:r>
      <w:r w:rsidR="00597866" w:rsidRPr="00A21E4D">
        <w:rPr>
          <w:rStyle w:val="Appelnotedebasdep"/>
          <w:rFonts w:ascii="Times New Roman" w:hAnsi="Times New Roman" w:cs="Times New Roman"/>
          <w:sz w:val="24"/>
          <w:szCs w:val="24"/>
          <w:lang w:val="en-GB"/>
        </w:rPr>
        <w:footnoteReference w:id="72"/>
      </w:r>
      <w:r w:rsidR="0049711F" w:rsidRPr="00A21E4D">
        <w:rPr>
          <w:rFonts w:ascii="Times New Roman" w:hAnsi="Times New Roman" w:cs="Times New Roman"/>
          <w:sz w:val="24"/>
          <w:szCs w:val="24"/>
          <w:lang w:val="en-GB"/>
        </w:rPr>
        <w:t>. Even if the Court le</w:t>
      </w:r>
      <w:r w:rsidR="00483D7A" w:rsidRPr="00A21E4D">
        <w:rPr>
          <w:rFonts w:ascii="Times New Roman" w:hAnsi="Times New Roman" w:cs="Times New Roman"/>
          <w:sz w:val="24"/>
          <w:szCs w:val="24"/>
          <w:lang w:val="en-GB"/>
        </w:rPr>
        <w:t>ft</w:t>
      </w:r>
      <w:r w:rsidR="0049711F" w:rsidRPr="00A21E4D">
        <w:rPr>
          <w:rFonts w:ascii="Times New Roman" w:hAnsi="Times New Roman" w:cs="Times New Roman"/>
          <w:sz w:val="24"/>
          <w:szCs w:val="24"/>
          <w:lang w:val="en-GB"/>
        </w:rPr>
        <w:t xml:space="preserve"> to the referring judge the task to qualify the relationship, it seems clear that it is in favour of concluding to the existence of a relationship of work. </w:t>
      </w:r>
      <w:r w:rsidR="00B62A65" w:rsidRPr="00A21E4D">
        <w:rPr>
          <w:rFonts w:ascii="Times New Roman" w:hAnsi="Times New Roman" w:cs="Times New Roman"/>
          <w:sz w:val="24"/>
          <w:szCs w:val="24"/>
          <w:lang w:val="en-GB"/>
        </w:rPr>
        <w:t xml:space="preserve">Like in the </w:t>
      </w:r>
      <w:r w:rsidR="00B62A65" w:rsidRPr="00A21E4D">
        <w:rPr>
          <w:rFonts w:ascii="Times New Roman" w:hAnsi="Times New Roman" w:cs="Times New Roman"/>
          <w:i/>
          <w:sz w:val="24"/>
          <w:szCs w:val="24"/>
          <w:lang w:val="en-GB"/>
        </w:rPr>
        <w:t>O’Brien</w:t>
      </w:r>
      <w:r w:rsidR="00B62A65" w:rsidRPr="00A21E4D">
        <w:rPr>
          <w:rFonts w:ascii="Times New Roman" w:hAnsi="Times New Roman" w:cs="Times New Roman"/>
          <w:sz w:val="24"/>
          <w:szCs w:val="24"/>
          <w:lang w:val="en-GB"/>
        </w:rPr>
        <w:t xml:space="preserve"> case, the main elements to be taken into account by the national judge following the Court are not necessarily directly linked to the question of the existence of a link of subordination, but on the benefits that the persons draw from the relationship</w:t>
      </w:r>
      <w:r w:rsidR="003A549A" w:rsidRPr="00A21E4D">
        <w:rPr>
          <w:rStyle w:val="Appelnotedebasdep"/>
          <w:rFonts w:ascii="Times New Roman" w:hAnsi="Times New Roman" w:cs="Times New Roman"/>
          <w:sz w:val="24"/>
          <w:szCs w:val="24"/>
          <w:lang w:val="en-GB"/>
        </w:rPr>
        <w:footnoteReference w:id="73"/>
      </w:r>
      <w:r w:rsidR="00B62A65" w:rsidRPr="00A21E4D">
        <w:rPr>
          <w:rFonts w:ascii="Times New Roman" w:hAnsi="Times New Roman" w:cs="Times New Roman"/>
          <w:sz w:val="24"/>
          <w:szCs w:val="24"/>
          <w:lang w:val="en-GB"/>
        </w:rPr>
        <w:t>.</w:t>
      </w:r>
    </w:p>
    <w:p w14:paraId="388279E5" w14:textId="29ADD70D" w:rsidR="00B61A68" w:rsidRPr="00A21E4D" w:rsidRDefault="00623087"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B61A68" w:rsidRPr="00A21E4D">
        <w:rPr>
          <w:rFonts w:ascii="Times New Roman" w:hAnsi="Times New Roman" w:cs="Times New Roman"/>
          <w:sz w:val="24"/>
          <w:szCs w:val="24"/>
          <w:lang w:val="en-GB"/>
        </w:rPr>
        <w:t xml:space="preserve"> </w:t>
      </w:r>
    </w:p>
    <w:p w14:paraId="008B2B6C" w14:textId="618B7DB1" w:rsidR="007158D3" w:rsidRPr="00A21E4D" w:rsidRDefault="00B61A68"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94670D" w:rsidRPr="00A21E4D">
        <w:rPr>
          <w:rFonts w:ascii="Times New Roman" w:hAnsi="Times New Roman" w:cs="Times New Roman"/>
          <w:sz w:val="24"/>
          <w:szCs w:val="24"/>
          <w:lang w:val="en-GB"/>
        </w:rPr>
        <w:t xml:space="preserve"> Emmanuele Menegatti affirms in his contribution that the Court has adopted </w:t>
      </w:r>
      <w:r w:rsidR="00A334F8" w:rsidRPr="00A21E4D">
        <w:rPr>
          <w:rFonts w:ascii="Times New Roman" w:hAnsi="Times New Roman" w:cs="Times New Roman"/>
          <w:sz w:val="24"/>
          <w:szCs w:val="24"/>
          <w:lang w:val="en-GB"/>
        </w:rPr>
        <w:t>a new approach towards all the D</w:t>
      </w:r>
      <w:r w:rsidR="0094670D" w:rsidRPr="00A21E4D">
        <w:rPr>
          <w:rFonts w:ascii="Times New Roman" w:hAnsi="Times New Roman" w:cs="Times New Roman"/>
          <w:sz w:val="24"/>
          <w:szCs w:val="24"/>
          <w:lang w:val="en-GB"/>
        </w:rPr>
        <w:t>irectives aimed at the protection of the employees</w:t>
      </w:r>
      <w:r w:rsidR="001B1EFC" w:rsidRPr="00A21E4D">
        <w:rPr>
          <w:rStyle w:val="Appelnotedebasdep"/>
          <w:rFonts w:ascii="Times New Roman" w:hAnsi="Times New Roman" w:cs="Times New Roman"/>
          <w:sz w:val="24"/>
          <w:szCs w:val="24"/>
          <w:lang w:val="en-GB"/>
        </w:rPr>
        <w:footnoteReference w:id="74"/>
      </w:r>
      <w:r w:rsidR="0094670D" w:rsidRPr="00A21E4D">
        <w:rPr>
          <w:rFonts w:ascii="Times New Roman" w:hAnsi="Times New Roman" w:cs="Times New Roman"/>
          <w:sz w:val="24"/>
          <w:szCs w:val="24"/>
          <w:lang w:val="en-GB"/>
        </w:rPr>
        <w:t xml:space="preserve">. </w:t>
      </w:r>
      <w:r w:rsidR="005E0013" w:rsidRPr="00A21E4D">
        <w:rPr>
          <w:rFonts w:ascii="Times New Roman" w:hAnsi="Times New Roman" w:cs="Times New Roman"/>
          <w:sz w:val="24"/>
          <w:szCs w:val="24"/>
          <w:lang w:val="en-GB"/>
        </w:rPr>
        <w:t xml:space="preserve">If </w:t>
      </w:r>
      <w:r w:rsidR="008E1D65" w:rsidRPr="00A21E4D">
        <w:rPr>
          <w:rFonts w:ascii="Times New Roman" w:hAnsi="Times New Roman" w:cs="Times New Roman"/>
          <w:sz w:val="24"/>
          <w:szCs w:val="24"/>
          <w:lang w:val="en-GB"/>
        </w:rPr>
        <w:t>it can be agreed</w:t>
      </w:r>
      <w:r w:rsidR="005E0013" w:rsidRPr="00A21E4D">
        <w:rPr>
          <w:rFonts w:ascii="Times New Roman" w:hAnsi="Times New Roman" w:cs="Times New Roman"/>
          <w:sz w:val="24"/>
          <w:szCs w:val="24"/>
          <w:lang w:val="en-GB"/>
        </w:rPr>
        <w:t xml:space="preserve"> with him that the underlying reasoning of the Court in the cases studied is based on the will of ensuring the “effet utile” of</w:t>
      </w:r>
      <w:r w:rsidR="00A334F8" w:rsidRPr="00A21E4D">
        <w:rPr>
          <w:rFonts w:ascii="Times New Roman" w:hAnsi="Times New Roman" w:cs="Times New Roman"/>
          <w:sz w:val="24"/>
          <w:szCs w:val="24"/>
          <w:lang w:val="en-GB"/>
        </w:rPr>
        <w:t xml:space="preserve"> the objectives pursued by the D</w:t>
      </w:r>
      <w:r w:rsidR="005E0013" w:rsidRPr="00A21E4D">
        <w:rPr>
          <w:rFonts w:ascii="Times New Roman" w:hAnsi="Times New Roman" w:cs="Times New Roman"/>
          <w:sz w:val="24"/>
          <w:szCs w:val="24"/>
          <w:lang w:val="en-GB"/>
        </w:rPr>
        <w:t>irectives at stake,</w:t>
      </w:r>
      <w:r w:rsidR="00E37461" w:rsidRPr="00A21E4D">
        <w:rPr>
          <w:rFonts w:ascii="Times New Roman" w:hAnsi="Times New Roman" w:cs="Times New Roman"/>
          <w:sz w:val="24"/>
          <w:szCs w:val="24"/>
          <w:lang w:val="en-GB"/>
        </w:rPr>
        <w:t xml:space="preserve"> we think</w:t>
      </w:r>
      <w:r w:rsidR="001253F9" w:rsidRPr="00A21E4D">
        <w:rPr>
          <w:rFonts w:ascii="Times New Roman" w:hAnsi="Times New Roman" w:cs="Times New Roman"/>
          <w:sz w:val="24"/>
          <w:szCs w:val="24"/>
          <w:lang w:val="en-GB"/>
        </w:rPr>
        <w:t xml:space="preserve"> that the Court </w:t>
      </w:r>
      <w:r w:rsidR="00E37461" w:rsidRPr="00A21E4D">
        <w:rPr>
          <w:rFonts w:ascii="Times New Roman" w:hAnsi="Times New Roman" w:cs="Times New Roman"/>
          <w:sz w:val="24"/>
          <w:szCs w:val="24"/>
          <w:lang w:val="en-GB"/>
        </w:rPr>
        <w:t>remains</w:t>
      </w:r>
      <w:r w:rsidR="001B1EFC" w:rsidRPr="00A21E4D">
        <w:rPr>
          <w:rFonts w:ascii="Times New Roman" w:hAnsi="Times New Roman" w:cs="Times New Roman"/>
          <w:sz w:val="24"/>
          <w:szCs w:val="24"/>
          <w:lang w:val="en-GB"/>
        </w:rPr>
        <w:t xml:space="preserve"> cautious o</w:t>
      </w:r>
      <w:r w:rsidR="00A334F8" w:rsidRPr="00A21E4D">
        <w:rPr>
          <w:rFonts w:ascii="Times New Roman" w:hAnsi="Times New Roman" w:cs="Times New Roman"/>
          <w:sz w:val="24"/>
          <w:szCs w:val="24"/>
          <w:lang w:val="en-GB"/>
        </w:rPr>
        <w:t>n</w:t>
      </w:r>
      <w:r w:rsidR="001B1EFC" w:rsidRPr="00A21E4D">
        <w:rPr>
          <w:rFonts w:ascii="Times New Roman" w:hAnsi="Times New Roman" w:cs="Times New Roman"/>
          <w:sz w:val="24"/>
          <w:szCs w:val="24"/>
          <w:lang w:val="en-GB"/>
        </w:rPr>
        <w:t xml:space="preserve"> the question of extending this approach.</w:t>
      </w:r>
      <w:r w:rsidR="005E0013" w:rsidRPr="00A21E4D">
        <w:rPr>
          <w:rFonts w:ascii="Times New Roman" w:hAnsi="Times New Roman" w:cs="Times New Roman"/>
          <w:sz w:val="24"/>
          <w:szCs w:val="24"/>
          <w:lang w:val="en-GB"/>
        </w:rPr>
        <w:t xml:space="preserve"> </w:t>
      </w:r>
      <w:r w:rsidR="001B1EFC" w:rsidRPr="00A21E4D">
        <w:rPr>
          <w:rFonts w:ascii="Times New Roman" w:hAnsi="Times New Roman" w:cs="Times New Roman"/>
          <w:sz w:val="24"/>
          <w:szCs w:val="24"/>
          <w:lang w:val="en-GB"/>
        </w:rPr>
        <w:t>Indeed, a</w:t>
      </w:r>
      <w:r w:rsidRPr="00A21E4D">
        <w:rPr>
          <w:rFonts w:ascii="Times New Roman" w:hAnsi="Times New Roman" w:cs="Times New Roman"/>
          <w:sz w:val="24"/>
          <w:szCs w:val="24"/>
          <w:lang w:val="en-GB"/>
        </w:rPr>
        <w:t>t the time we are writing,</w:t>
      </w:r>
      <w:r w:rsidR="008E1D65" w:rsidRPr="00A21E4D">
        <w:rPr>
          <w:rFonts w:ascii="Times New Roman" w:hAnsi="Times New Roman" w:cs="Times New Roman"/>
          <w:sz w:val="24"/>
          <w:szCs w:val="24"/>
          <w:lang w:val="en-GB"/>
        </w:rPr>
        <w:t xml:space="preserve"> no</w:t>
      </w:r>
      <w:r w:rsidRPr="00A21E4D">
        <w:rPr>
          <w:rFonts w:ascii="Times New Roman" w:hAnsi="Times New Roman" w:cs="Times New Roman"/>
          <w:sz w:val="24"/>
          <w:szCs w:val="24"/>
          <w:lang w:val="en-GB"/>
        </w:rPr>
        <w:t xml:space="preserve"> other cases where the Court </w:t>
      </w:r>
      <w:r w:rsidR="00A23FAE" w:rsidRPr="00A21E4D">
        <w:rPr>
          <w:rFonts w:ascii="Times New Roman" w:hAnsi="Times New Roman" w:cs="Times New Roman"/>
          <w:sz w:val="24"/>
          <w:szCs w:val="24"/>
          <w:lang w:val="en-GB"/>
        </w:rPr>
        <w:t>departs</w:t>
      </w:r>
      <w:r w:rsidRPr="00A21E4D">
        <w:rPr>
          <w:rFonts w:ascii="Times New Roman" w:hAnsi="Times New Roman" w:cs="Times New Roman"/>
          <w:sz w:val="24"/>
          <w:szCs w:val="24"/>
          <w:lang w:val="en-GB"/>
        </w:rPr>
        <w:t xml:space="preserve"> from the “</w:t>
      </w:r>
      <w:r w:rsidRPr="00A21E4D">
        <w:rPr>
          <w:rFonts w:ascii="Times New Roman" w:hAnsi="Times New Roman" w:cs="Times New Roman"/>
          <w:i/>
          <w:sz w:val="24"/>
          <w:szCs w:val="24"/>
          <w:lang w:val="en-GB"/>
        </w:rPr>
        <w:t xml:space="preserve">Danmols </w:t>
      </w:r>
      <w:r w:rsidR="00150B8F" w:rsidRPr="00A21E4D">
        <w:rPr>
          <w:rFonts w:ascii="Times New Roman" w:hAnsi="Times New Roman" w:cs="Times New Roman"/>
          <w:sz w:val="24"/>
          <w:szCs w:val="24"/>
          <w:lang w:val="en-GB"/>
        </w:rPr>
        <w:t>o</w:t>
      </w:r>
      <w:r w:rsidRPr="00A21E4D">
        <w:rPr>
          <w:rFonts w:ascii="Times New Roman" w:hAnsi="Times New Roman" w:cs="Times New Roman"/>
          <w:sz w:val="24"/>
          <w:szCs w:val="24"/>
          <w:lang w:val="en-GB"/>
        </w:rPr>
        <w:t>rthodoxy”</w:t>
      </w:r>
      <w:r w:rsidR="008E1D65" w:rsidRPr="00A21E4D">
        <w:rPr>
          <w:rFonts w:ascii="Times New Roman" w:hAnsi="Times New Roman" w:cs="Times New Roman"/>
          <w:sz w:val="24"/>
          <w:szCs w:val="24"/>
          <w:lang w:val="en-GB"/>
        </w:rPr>
        <w:t xml:space="preserve"> were found</w:t>
      </w:r>
      <w:r w:rsidRPr="00A21E4D">
        <w:rPr>
          <w:rFonts w:ascii="Times New Roman" w:hAnsi="Times New Roman" w:cs="Times New Roman"/>
          <w:sz w:val="24"/>
          <w:szCs w:val="24"/>
          <w:lang w:val="en-GB"/>
        </w:rPr>
        <w:t xml:space="preserve">. The recent </w:t>
      </w:r>
      <w:r w:rsidRPr="00A21E4D">
        <w:rPr>
          <w:rFonts w:ascii="Times New Roman" w:hAnsi="Times New Roman" w:cs="Times New Roman"/>
          <w:i/>
          <w:sz w:val="24"/>
          <w:szCs w:val="24"/>
          <w:lang w:val="en-GB"/>
        </w:rPr>
        <w:t>Correia Moreira</w:t>
      </w:r>
      <w:r w:rsidR="00B316D1" w:rsidRPr="00A21E4D">
        <w:rPr>
          <w:rStyle w:val="Appelnotedebasdep"/>
          <w:rFonts w:ascii="Times New Roman" w:hAnsi="Times New Roman" w:cs="Times New Roman"/>
          <w:i/>
          <w:sz w:val="24"/>
          <w:szCs w:val="24"/>
          <w:lang w:val="en-GB"/>
        </w:rPr>
        <w:footnoteReference w:id="75"/>
      </w:r>
      <w:r w:rsidRPr="00A21E4D">
        <w:rPr>
          <w:rFonts w:ascii="Times New Roman" w:hAnsi="Times New Roman" w:cs="Times New Roman"/>
          <w:sz w:val="24"/>
          <w:szCs w:val="24"/>
          <w:lang w:val="en-GB"/>
        </w:rPr>
        <w:t xml:space="preserve"> case </w:t>
      </w:r>
      <w:r w:rsidR="00663E9F" w:rsidRPr="00A21E4D">
        <w:rPr>
          <w:rFonts w:ascii="Times New Roman" w:hAnsi="Times New Roman" w:cs="Times New Roman"/>
          <w:sz w:val="24"/>
          <w:szCs w:val="24"/>
          <w:lang w:val="en-GB"/>
        </w:rPr>
        <w:t xml:space="preserve">decided </w:t>
      </w:r>
      <w:r w:rsidRPr="00A21E4D">
        <w:rPr>
          <w:rFonts w:ascii="Times New Roman" w:hAnsi="Times New Roman" w:cs="Times New Roman"/>
          <w:sz w:val="24"/>
          <w:szCs w:val="24"/>
          <w:lang w:val="en-GB"/>
        </w:rPr>
        <w:t xml:space="preserve">by the Court in the field of </w:t>
      </w:r>
      <w:r w:rsidR="0063449B" w:rsidRPr="00A21E4D">
        <w:rPr>
          <w:rFonts w:ascii="Times New Roman" w:hAnsi="Times New Roman" w:cs="Times New Roman"/>
          <w:sz w:val="24"/>
          <w:szCs w:val="24"/>
          <w:lang w:val="en-GB"/>
        </w:rPr>
        <w:t xml:space="preserve">the </w:t>
      </w:r>
      <w:r w:rsidRPr="00A21E4D">
        <w:rPr>
          <w:rFonts w:ascii="Times New Roman" w:hAnsi="Times New Roman" w:cs="Times New Roman"/>
          <w:sz w:val="24"/>
          <w:szCs w:val="24"/>
          <w:lang w:val="en-GB"/>
        </w:rPr>
        <w:t>Transfer of Undertakings</w:t>
      </w:r>
      <w:r w:rsidR="0063449B" w:rsidRPr="00A21E4D">
        <w:rPr>
          <w:rFonts w:ascii="Times New Roman" w:hAnsi="Times New Roman" w:cs="Times New Roman"/>
          <w:sz w:val="24"/>
          <w:szCs w:val="24"/>
          <w:lang w:val="en-GB"/>
        </w:rPr>
        <w:t xml:space="preserve"> Directive</w:t>
      </w:r>
      <w:r w:rsidR="005D1D87"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lang w:val="en-GB"/>
        </w:rPr>
        <w:t>still respects the national character of the definition of a worker.</w:t>
      </w:r>
      <w:r w:rsidR="005261BC" w:rsidRPr="00A21E4D">
        <w:rPr>
          <w:rFonts w:ascii="Times New Roman" w:hAnsi="Times New Roman" w:cs="Times New Roman"/>
          <w:sz w:val="24"/>
          <w:szCs w:val="24"/>
          <w:lang w:val="en-GB"/>
        </w:rPr>
        <w:t xml:space="preserve"> If the Court admi</w:t>
      </w:r>
      <w:r w:rsidR="00483D7A" w:rsidRPr="00A21E4D">
        <w:rPr>
          <w:rFonts w:ascii="Times New Roman" w:hAnsi="Times New Roman" w:cs="Times New Roman"/>
          <w:sz w:val="24"/>
          <w:szCs w:val="24"/>
          <w:lang w:val="en-GB"/>
        </w:rPr>
        <w:t>tted</w:t>
      </w:r>
      <w:r w:rsidR="005261BC" w:rsidRPr="00A21E4D">
        <w:rPr>
          <w:rFonts w:ascii="Times New Roman" w:hAnsi="Times New Roman" w:cs="Times New Roman"/>
          <w:sz w:val="24"/>
          <w:szCs w:val="24"/>
          <w:lang w:val="en-GB"/>
        </w:rPr>
        <w:t xml:space="preserve"> that a person in a position of trust might be </w:t>
      </w:r>
      <w:r w:rsidR="00BD3DA6" w:rsidRPr="00A21E4D">
        <w:rPr>
          <w:rFonts w:ascii="Times New Roman" w:hAnsi="Times New Roman" w:cs="Times New Roman"/>
          <w:sz w:val="24"/>
          <w:szCs w:val="24"/>
          <w:lang w:val="en-GB"/>
        </w:rPr>
        <w:t xml:space="preserve">recognised </w:t>
      </w:r>
      <w:r w:rsidR="005261BC" w:rsidRPr="00A21E4D">
        <w:rPr>
          <w:rFonts w:ascii="Times New Roman" w:hAnsi="Times New Roman" w:cs="Times New Roman"/>
          <w:sz w:val="24"/>
          <w:szCs w:val="24"/>
          <w:lang w:val="en-GB"/>
        </w:rPr>
        <w:t>as an emp</w:t>
      </w:r>
      <w:r w:rsidR="00A334F8" w:rsidRPr="00A21E4D">
        <w:rPr>
          <w:rFonts w:ascii="Times New Roman" w:hAnsi="Times New Roman" w:cs="Times New Roman"/>
          <w:sz w:val="24"/>
          <w:szCs w:val="24"/>
          <w:lang w:val="en-GB"/>
        </w:rPr>
        <w:t>loyee under the meaning of the D</w:t>
      </w:r>
      <w:r w:rsidR="005261BC" w:rsidRPr="00A21E4D">
        <w:rPr>
          <w:rFonts w:ascii="Times New Roman" w:hAnsi="Times New Roman" w:cs="Times New Roman"/>
          <w:sz w:val="24"/>
          <w:szCs w:val="24"/>
          <w:lang w:val="en-GB"/>
        </w:rPr>
        <w:t>irective, it is only because it is provided so by national law</w:t>
      </w:r>
      <w:r w:rsidR="00B316D1" w:rsidRPr="00A21E4D">
        <w:rPr>
          <w:rStyle w:val="Appelnotedebasdep"/>
          <w:rFonts w:ascii="Times New Roman" w:hAnsi="Times New Roman" w:cs="Times New Roman"/>
          <w:sz w:val="24"/>
          <w:szCs w:val="24"/>
          <w:lang w:val="en-GB"/>
        </w:rPr>
        <w:footnoteReference w:id="76"/>
      </w:r>
      <w:r w:rsidR="005261BC" w:rsidRPr="00A21E4D">
        <w:rPr>
          <w:rFonts w:ascii="Times New Roman" w:hAnsi="Times New Roman" w:cs="Times New Roman"/>
          <w:sz w:val="24"/>
          <w:szCs w:val="24"/>
          <w:lang w:val="en-GB"/>
        </w:rPr>
        <w:t>. The Court strongly denie</w:t>
      </w:r>
      <w:r w:rsidR="00483D7A" w:rsidRPr="00A21E4D">
        <w:rPr>
          <w:rFonts w:ascii="Times New Roman" w:hAnsi="Times New Roman" w:cs="Times New Roman"/>
          <w:sz w:val="24"/>
          <w:szCs w:val="24"/>
          <w:lang w:val="en-GB"/>
        </w:rPr>
        <w:t>d</w:t>
      </w:r>
      <w:r w:rsidR="005261BC" w:rsidRPr="00A21E4D">
        <w:rPr>
          <w:rFonts w:ascii="Times New Roman" w:hAnsi="Times New Roman" w:cs="Times New Roman"/>
          <w:sz w:val="24"/>
          <w:szCs w:val="24"/>
          <w:lang w:val="en-GB"/>
        </w:rPr>
        <w:t xml:space="preserve"> any jurisdiction on the interpretation of national law</w:t>
      </w:r>
      <w:r w:rsidR="00B316D1" w:rsidRPr="00A21E4D">
        <w:rPr>
          <w:rStyle w:val="Appelnotedebasdep"/>
          <w:rFonts w:ascii="Times New Roman" w:hAnsi="Times New Roman" w:cs="Times New Roman"/>
          <w:sz w:val="24"/>
          <w:szCs w:val="24"/>
          <w:lang w:val="en-GB"/>
        </w:rPr>
        <w:footnoteReference w:id="77"/>
      </w:r>
      <w:r w:rsidR="005261BC" w:rsidRPr="00A21E4D">
        <w:rPr>
          <w:rFonts w:ascii="Times New Roman" w:hAnsi="Times New Roman" w:cs="Times New Roman"/>
          <w:sz w:val="24"/>
          <w:szCs w:val="24"/>
          <w:lang w:val="en-GB"/>
        </w:rPr>
        <w:t>.</w:t>
      </w:r>
      <w:r w:rsidRPr="00A21E4D">
        <w:rPr>
          <w:rFonts w:ascii="Times New Roman" w:hAnsi="Times New Roman" w:cs="Times New Roman"/>
          <w:sz w:val="24"/>
          <w:szCs w:val="24"/>
          <w:lang w:val="en-GB"/>
        </w:rPr>
        <w:t xml:space="preserve"> </w:t>
      </w:r>
      <w:r w:rsidR="00E37461" w:rsidRPr="00A21E4D">
        <w:rPr>
          <w:rFonts w:ascii="Times New Roman" w:hAnsi="Times New Roman" w:cs="Times New Roman"/>
          <w:sz w:val="24"/>
          <w:szCs w:val="24"/>
          <w:lang w:val="en-GB"/>
        </w:rPr>
        <w:t xml:space="preserve">The </w:t>
      </w:r>
      <w:r w:rsidR="00466606" w:rsidRPr="00A21E4D">
        <w:rPr>
          <w:rFonts w:ascii="Times New Roman" w:hAnsi="Times New Roman" w:cs="Times New Roman"/>
          <w:sz w:val="24"/>
          <w:szCs w:val="24"/>
          <w:lang w:val="en-GB"/>
        </w:rPr>
        <w:t xml:space="preserve">Court can be reluctant to </w:t>
      </w:r>
      <w:r w:rsidR="00344E94" w:rsidRPr="00A21E4D">
        <w:rPr>
          <w:rFonts w:ascii="Times New Roman" w:hAnsi="Times New Roman" w:cs="Times New Roman"/>
          <w:sz w:val="24"/>
          <w:szCs w:val="24"/>
          <w:lang w:val="en-GB"/>
        </w:rPr>
        <w:t xml:space="preserve">generalise </w:t>
      </w:r>
      <w:r w:rsidR="00E37461" w:rsidRPr="00A21E4D">
        <w:rPr>
          <w:rFonts w:ascii="Times New Roman" w:hAnsi="Times New Roman" w:cs="Times New Roman"/>
          <w:sz w:val="24"/>
          <w:szCs w:val="24"/>
          <w:lang w:val="en-GB"/>
        </w:rPr>
        <w:t>a too recent and revolutionary line of case-law</w:t>
      </w:r>
      <w:r w:rsidR="00A334F8" w:rsidRPr="00A21E4D">
        <w:rPr>
          <w:rFonts w:ascii="Times New Roman" w:hAnsi="Times New Roman" w:cs="Times New Roman"/>
          <w:sz w:val="24"/>
          <w:szCs w:val="24"/>
          <w:lang w:val="en-GB"/>
        </w:rPr>
        <w:t xml:space="preserve"> to the whole bulk of D</w:t>
      </w:r>
      <w:r w:rsidR="00466606" w:rsidRPr="00A21E4D">
        <w:rPr>
          <w:rFonts w:ascii="Times New Roman" w:hAnsi="Times New Roman" w:cs="Times New Roman"/>
          <w:sz w:val="24"/>
          <w:szCs w:val="24"/>
          <w:lang w:val="en-GB"/>
        </w:rPr>
        <w:t>irectives where there is no community concept of workers.</w:t>
      </w:r>
      <w:r w:rsidR="00661FBE" w:rsidRPr="00A21E4D">
        <w:rPr>
          <w:rFonts w:ascii="Times New Roman" w:hAnsi="Times New Roman" w:cs="Times New Roman"/>
          <w:sz w:val="24"/>
          <w:szCs w:val="24"/>
          <w:lang w:val="en-GB"/>
        </w:rPr>
        <w:t xml:space="preserve"> </w:t>
      </w:r>
      <w:r w:rsidR="00483D7A" w:rsidRPr="00A21E4D">
        <w:rPr>
          <w:rFonts w:ascii="Times New Roman" w:hAnsi="Times New Roman" w:cs="Times New Roman"/>
          <w:sz w:val="24"/>
          <w:szCs w:val="24"/>
          <w:lang w:val="en-GB"/>
        </w:rPr>
        <w:t>Following</w:t>
      </w:r>
      <w:r w:rsidR="008E1D65" w:rsidRPr="00A21E4D">
        <w:rPr>
          <w:rFonts w:ascii="Times New Roman" w:hAnsi="Times New Roman" w:cs="Times New Roman"/>
          <w:sz w:val="24"/>
          <w:szCs w:val="24"/>
          <w:lang w:val="en-GB"/>
        </w:rPr>
        <w:t xml:space="preserve"> Nicola Kountouris</w:t>
      </w:r>
      <w:r w:rsidR="00902FB8" w:rsidRPr="00A21E4D">
        <w:rPr>
          <w:rFonts w:ascii="Times New Roman" w:hAnsi="Times New Roman" w:cs="Times New Roman"/>
          <w:sz w:val="24"/>
          <w:szCs w:val="24"/>
          <w:lang w:val="en-GB"/>
        </w:rPr>
        <w:t>,</w:t>
      </w:r>
      <w:r w:rsidR="007158D3" w:rsidRPr="00A21E4D">
        <w:rPr>
          <w:rFonts w:ascii="Times New Roman" w:hAnsi="Times New Roman" w:cs="Times New Roman"/>
          <w:sz w:val="24"/>
          <w:szCs w:val="24"/>
          <w:lang w:val="en-GB"/>
        </w:rPr>
        <w:t xml:space="preserve">  </w:t>
      </w:r>
      <w:r w:rsidR="00E37461" w:rsidRPr="00A21E4D">
        <w:rPr>
          <w:rFonts w:ascii="Times New Roman" w:hAnsi="Times New Roman" w:cs="Times New Roman"/>
          <w:sz w:val="24"/>
          <w:szCs w:val="24"/>
          <w:lang w:val="en-GB"/>
        </w:rPr>
        <w:t xml:space="preserve">this generalisation </w:t>
      </w:r>
      <w:r w:rsidR="00902FB8" w:rsidRPr="00A21E4D">
        <w:rPr>
          <w:rFonts w:ascii="Times New Roman" w:hAnsi="Times New Roman" w:cs="Times New Roman"/>
          <w:sz w:val="24"/>
          <w:szCs w:val="24"/>
          <w:lang w:val="en-GB"/>
        </w:rPr>
        <w:t xml:space="preserve">should not be excepted </w:t>
      </w:r>
      <w:r w:rsidR="007158D3" w:rsidRPr="00A21E4D">
        <w:rPr>
          <w:rFonts w:ascii="Times New Roman" w:hAnsi="Times New Roman" w:cs="Times New Roman"/>
          <w:sz w:val="24"/>
          <w:szCs w:val="24"/>
          <w:lang w:val="en-GB"/>
        </w:rPr>
        <w:t xml:space="preserve">in the short </w:t>
      </w:r>
      <w:r w:rsidR="00902FB8" w:rsidRPr="00A21E4D">
        <w:rPr>
          <w:rFonts w:ascii="Times New Roman" w:hAnsi="Times New Roman" w:cs="Times New Roman"/>
          <w:sz w:val="24"/>
          <w:szCs w:val="24"/>
          <w:lang w:val="en-GB"/>
        </w:rPr>
        <w:t xml:space="preserve">or </w:t>
      </w:r>
      <w:r w:rsidR="007158D3" w:rsidRPr="00A21E4D">
        <w:rPr>
          <w:rFonts w:ascii="Times New Roman" w:hAnsi="Times New Roman" w:cs="Times New Roman"/>
          <w:sz w:val="24"/>
          <w:szCs w:val="24"/>
          <w:lang w:val="en-GB"/>
        </w:rPr>
        <w:t xml:space="preserve">medium term. </w:t>
      </w:r>
    </w:p>
    <w:p w14:paraId="5CD61C25" w14:textId="77777777" w:rsidR="007158D3" w:rsidRPr="00A21E4D" w:rsidRDefault="007158D3" w:rsidP="00F0032F">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1D02A1D8" w14:textId="45BB880B" w:rsidR="001F43A9" w:rsidRPr="00A21E4D" w:rsidRDefault="007158D3" w:rsidP="001F43A9">
      <w:pPr>
        <w:pStyle w:val="Paragraphedeliste"/>
        <w:spacing w:line="240" w:lineRule="auto"/>
        <w:ind w:left="0"/>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7D3E11" w:rsidRPr="00A21E4D">
        <w:rPr>
          <w:rFonts w:ascii="Times New Roman" w:hAnsi="Times New Roman" w:cs="Times New Roman"/>
          <w:sz w:val="24"/>
          <w:szCs w:val="24"/>
          <w:lang w:val="en-GB"/>
        </w:rPr>
        <w:t xml:space="preserve">We turn now to </w:t>
      </w:r>
      <w:r w:rsidR="002C005F" w:rsidRPr="00A21E4D">
        <w:rPr>
          <w:rFonts w:ascii="Times New Roman" w:hAnsi="Times New Roman" w:cs="Times New Roman"/>
          <w:sz w:val="24"/>
          <w:szCs w:val="24"/>
          <w:lang w:val="en-GB"/>
        </w:rPr>
        <w:t>the underlying rationale behind this singular conduct of t</w:t>
      </w:r>
      <w:r w:rsidR="00A334F8" w:rsidRPr="00A21E4D">
        <w:rPr>
          <w:rFonts w:ascii="Times New Roman" w:hAnsi="Times New Roman" w:cs="Times New Roman"/>
          <w:sz w:val="24"/>
          <w:szCs w:val="24"/>
          <w:lang w:val="en-GB"/>
        </w:rPr>
        <w:t>he Court in the field of those D</w:t>
      </w:r>
      <w:r w:rsidR="002C005F" w:rsidRPr="00A21E4D">
        <w:rPr>
          <w:rFonts w:ascii="Times New Roman" w:hAnsi="Times New Roman" w:cs="Times New Roman"/>
          <w:sz w:val="24"/>
          <w:szCs w:val="24"/>
          <w:lang w:val="en-GB"/>
        </w:rPr>
        <w:t xml:space="preserve">irectives. </w:t>
      </w:r>
      <w:r w:rsidR="008E1D65" w:rsidRPr="00A21E4D">
        <w:rPr>
          <w:rFonts w:ascii="Times New Roman" w:hAnsi="Times New Roman" w:cs="Times New Roman"/>
          <w:sz w:val="24"/>
          <w:szCs w:val="24"/>
          <w:lang w:val="en-GB"/>
        </w:rPr>
        <w:t>It must be</w:t>
      </w:r>
      <w:r w:rsidR="00661FBE" w:rsidRPr="00A21E4D">
        <w:rPr>
          <w:rFonts w:ascii="Times New Roman" w:hAnsi="Times New Roman" w:cs="Times New Roman"/>
          <w:sz w:val="24"/>
          <w:szCs w:val="24"/>
          <w:lang w:val="en-GB"/>
        </w:rPr>
        <w:t xml:space="preserve"> remember</w:t>
      </w:r>
      <w:r w:rsidR="008E1D65" w:rsidRPr="00A21E4D">
        <w:rPr>
          <w:rFonts w:ascii="Times New Roman" w:hAnsi="Times New Roman" w:cs="Times New Roman"/>
          <w:sz w:val="24"/>
          <w:szCs w:val="24"/>
          <w:lang w:val="en-GB"/>
        </w:rPr>
        <w:t>ed</w:t>
      </w:r>
      <w:r w:rsidR="00661FBE" w:rsidRPr="00A21E4D">
        <w:rPr>
          <w:rFonts w:ascii="Times New Roman" w:hAnsi="Times New Roman" w:cs="Times New Roman"/>
          <w:sz w:val="24"/>
          <w:szCs w:val="24"/>
          <w:lang w:val="en-GB"/>
        </w:rPr>
        <w:t xml:space="preserve"> </w:t>
      </w:r>
      <w:r w:rsidR="002C005F" w:rsidRPr="00A21E4D">
        <w:rPr>
          <w:rFonts w:ascii="Times New Roman" w:hAnsi="Times New Roman" w:cs="Times New Roman"/>
          <w:sz w:val="24"/>
          <w:szCs w:val="24"/>
          <w:lang w:val="en-GB"/>
        </w:rPr>
        <w:t xml:space="preserve">that if </w:t>
      </w:r>
      <w:r w:rsidR="0054318F" w:rsidRPr="00A21E4D">
        <w:rPr>
          <w:rFonts w:ascii="Times New Roman" w:hAnsi="Times New Roman" w:cs="Times New Roman"/>
          <w:sz w:val="24"/>
          <w:szCs w:val="24"/>
          <w:lang w:val="en-GB"/>
        </w:rPr>
        <w:t xml:space="preserve">these </w:t>
      </w:r>
      <w:r w:rsidR="00661FBE" w:rsidRPr="00A21E4D">
        <w:rPr>
          <w:rFonts w:ascii="Times New Roman" w:hAnsi="Times New Roman" w:cs="Times New Roman"/>
          <w:sz w:val="24"/>
          <w:szCs w:val="24"/>
          <w:lang w:val="en-GB"/>
        </w:rPr>
        <w:t xml:space="preserve">refer to the Member States definitions of the concept of worker, it is because they only </w:t>
      </w:r>
      <w:r w:rsidR="0054318F" w:rsidRPr="00A21E4D">
        <w:rPr>
          <w:rFonts w:ascii="Times New Roman" w:hAnsi="Times New Roman" w:cs="Times New Roman"/>
          <w:sz w:val="24"/>
          <w:szCs w:val="24"/>
          <w:lang w:val="en-GB"/>
        </w:rPr>
        <w:t xml:space="preserve">aim </w:t>
      </w:r>
      <w:r w:rsidR="00661FBE" w:rsidRPr="00A21E4D">
        <w:rPr>
          <w:rFonts w:ascii="Times New Roman" w:hAnsi="Times New Roman" w:cs="Times New Roman"/>
          <w:sz w:val="24"/>
          <w:szCs w:val="24"/>
          <w:lang w:val="en-GB"/>
        </w:rPr>
        <w:t xml:space="preserve">to </w:t>
      </w:r>
      <w:r w:rsidR="00C7422E" w:rsidRPr="00A21E4D">
        <w:rPr>
          <w:rFonts w:ascii="Times New Roman" w:hAnsi="Times New Roman" w:cs="Times New Roman"/>
          <w:sz w:val="24"/>
          <w:szCs w:val="24"/>
          <w:lang w:val="en-GB"/>
        </w:rPr>
        <w:t xml:space="preserve">bring about </w:t>
      </w:r>
      <w:r w:rsidR="00661FBE" w:rsidRPr="00A21E4D">
        <w:rPr>
          <w:rFonts w:ascii="Times New Roman" w:hAnsi="Times New Roman" w:cs="Times New Roman"/>
          <w:sz w:val="24"/>
          <w:szCs w:val="24"/>
          <w:lang w:val="en-GB"/>
        </w:rPr>
        <w:t xml:space="preserve">a partial </w:t>
      </w:r>
      <w:r w:rsidR="00013044" w:rsidRPr="00A21E4D">
        <w:rPr>
          <w:rFonts w:ascii="Times New Roman" w:hAnsi="Times New Roman" w:cs="Times New Roman"/>
          <w:sz w:val="24"/>
          <w:szCs w:val="24"/>
          <w:lang w:val="en-GB"/>
        </w:rPr>
        <w:t>harmonisation</w:t>
      </w:r>
      <w:r w:rsidR="00661FBE" w:rsidRPr="00A21E4D">
        <w:rPr>
          <w:rFonts w:ascii="Times New Roman" w:hAnsi="Times New Roman" w:cs="Times New Roman"/>
          <w:sz w:val="24"/>
          <w:szCs w:val="24"/>
          <w:lang w:val="en-GB"/>
        </w:rPr>
        <w:t>, as the Court regularly reminds, and deal with sensitive issues.</w:t>
      </w:r>
      <w:r w:rsidR="00466606" w:rsidRPr="00A21E4D">
        <w:rPr>
          <w:rFonts w:ascii="Times New Roman" w:hAnsi="Times New Roman" w:cs="Times New Roman"/>
          <w:sz w:val="24"/>
          <w:szCs w:val="24"/>
          <w:lang w:val="en-GB"/>
        </w:rPr>
        <w:t xml:space="preserve"> </w:t>
      </w:r>
      <w:r w:rsidR="00661FBE" w:rsidRPr="00A21E4D">
        <w:rPr>
          <w:rFonts w:ascii="Times New Roman" w:hAnsi="Times New Roman" w:cs="Times New Roman"/>
          <w:sz w:val="24"/>
          <w:szCs w:val="24"/>
          <w:lang w:val="en-GB"/>
        </w:rPr>
        <w:t xml:space="preserve">This </w:t>
      </w:r>
      <w:r w:rsidR="003B106E" w:rsidRPr="00A21E4D">
        <w:rPr>
          <w:rFonts w:ascii="Times New Roman" w:hAnsi="Times New Roman" w:cs="Times New Roman"/>
          <w:sz w:val="24"/>
          <w:szCs w:val="24"/>
          <w:lang w:val="en-GB"/>
        </w:rPr>
        <w:t xml:space="preserve">also </w:t>
      </w:r>
      <w:r w:rsidR="00661FBE" w:rsidRPr="00A21E4D">
        <w:rPr>
          <w:rFonts w:ascii="Times New Roman" w:hAnsi="Times New Roman" w:cs="Times New Roman"/>
          <w:sz w:val="24"/>
          <w:szCs w:val="24"/>
          <w:lang w:val="en-GB"/>
        </w:rPr>
        <w:t>explains the careful conduct of the Court.</w:t>
      </w:r>
      <w:r w:rsidR="007607DC" w:rsidRPr="00A21E4D">
        <w:rPr>
          <w:rFonts w:ascii="Times New Roman" w:hAnsi="Times New Roman" w:cs="Times New Roman"/>
          <w:sz w:val="24"/>
          <w:szCs w:val="24"/>
          <w:lang w:val="en-GB"/>
        </w:rPr>
        <w:t xml:space="preserve"> It cannot use the “functional harmonization” rationale highlighted by Stefano Giubboni and Massimo </w:t>
      </w:r>
      <w:r w:rsidR="008923DA" w:rsidRPr="00A21E4D">
        <w:rPr>
          <w:rFonts w:ascii="Times New Roman" w:hAnsi="Times New Roman" w:cs="Times New Roman"/>
          <w:sz w:val="24"/>
          <w:szCs w:val="24"/>
          <w:lang w:val="en-GB"/>
        </w:rPr>
        <w:t>d’Antona</w:t>
      </w:r>
      <w:r w:rsidR="007607DC" w:rsidRPr="00A21E4D">
        <w:rPr>
          <w:rFonts w:ascii="Times New Roman" w:hAnsi="Times New Roman" w:cs="Times New Roman"/>
          <w:sz w:val="24"/>
          <w:szCs w:val="24"/>
          <w:lang w:val="en-GB"/>
        </w:rPr>
        <w:t>, as it has clearly never been question of a EU-wi</w:t>
      </w:r>
      <w:r w:rsidR="00A334F8" w:rsidRPr="00A21E4D">
        <w:rPr>
          <w:rFonts w:ascii="Times New Roman" w:hAnsi="Times New Roman" w:cs="Times New Roman"/>
          <w:sz w:val="24"/>
          <w:szCs w:val="24"/>
          <w:lang w:val="en-GB"/>
        </w:rPr>
        <w:t>de concept of worker for those D</w:t>
      </w:r>
      <w:r w:rsidR="007607DC" w:rsidRPr="00A21E4D">
        <w:rPr>
          <w:rFonts w:ascii="Times New Roman" w:hAnsi="Times New Roman" w:cs="Times New Roman"/>
          <w:sz w:val="24"/>
          <w:szCs w:val="24"/>
          <w:lang w:val="en-GB"/>
        </w:rPr>
        <w:t xml:space="preserve">irectives, so the Court had to find something else. </w:t>
      </w:r>
      <w:r w:rsidR="00661FBE" w:rsidRPr="00A21E4D">
        <w:rPr>
          <w:rFonts w:ascii="Times New Roman" w:hAnsi="Times New Roman" w:cs="Times New Roman"/>
          <w:sz w:val="24"/>
          <w:szCs w:val="24"/>
          <w:lang w:val="en-GB"/>
        </w:rPr>
        <w:t xml:space="preserve"> </w:t>
      </w:r>
      <w:r w:rsidR="0087429F" w:rsidRPr="00A21E4D">
        <w:rPr>
          <w:rFonts w:ascii="Times New Roman" w:hAnsi="Times New Roman" w:cs="Times New Roman"/>
          <w:sz w:val="24"/>
          <w:szCs w:val="24"/>
          <w:lang w:val="en-GB"/>
        </w:rPr>
        <w:t xml:space="preserve">The Court does not </w:t>
      </w:r>
      <w:r w:rsidRPr="00A21E4D">
        <w:rPr>
          <w:rFonts w:ascii="Times New Roman" w:hAnsi="Times New Roman" w:cs="Times New Roman"/>
          <w:sz w:val="24"/>
          <w:szCs w:val="24"/>
          <w:lang w:val="en-GB"/>
        </w:rPr>
        <w:t xml:space="preserve">oppose frontally the Member States </w:t>
      </w:r>
      <w:r w:rsidR="00C015A3" w:rsidRPr="00A21E4D">
        <w:rPr>
          <w:rFonts w:ascii="Times New Roman" w:hAnsi="Times New Roman" w:cs="Times New Roman"/>
          <w:sz w:val="24"/>
          <w:szCs w:val="24"/>
          <w:lang w:val="en-GB"/>
        </w:rPr>
        <w:t xml:space="preserve">when </w:t>
      </w:r>
      <w:r w:rsidRPr="00A21E4D">
        <w:rPr>
          <w:rFonts w:ascii="Times New Roman" w:hAnsi="Times New Roman" w:cs="Times New Roman"/>
          <w:sz w:val="24"/>
          <w:szCs w:val="24"/>
          <w:lang w:val="en-GB"/>
        </w:rPr>
        <w:t>there is another way out, for example if the person to pro</w:t>
      </w:r>
      <w:r w:rsidR="001F4F56" w:rsidRPr="00A21E4D">
        <w:rPr>
          <w:rFonts w:ascii="Times New Roman" w:hAnsi="Times New Roman" w:cs="Times New Roman"/>
          <w:sz w:val="24"/>
          <w:szCs w:val="24"/>
          <w:lang w:val="en-GB"/>
        </w:rPr>
        <w:t>tect falls</w:t>
      </w:r>
      <w:r w:rsidRPr="00A21E4D">
        <w:rPr>
          <w:rFonts w:ascii="Times New Roman" w:hAnsi="Times New Roman" w:cs="Times New Roman"/>
          <w:sz w:val="24"/>
          <w:szCs w:val="24"/>
          <w:lang w:val="en-GB"/>
        </w:rPr>
        <w:t xml:space="preserve"> under the n</w:t>
      </w:r>
      <w:r w:rsidR="00117E6D" w:rsidRPr="00A21E4D">
        <w:rPr>
          <w:rFonts w:ascii="Times New Roman" w:hAnsi="Times New Roman" w:cs="Times New Roman"/>
          <w:sz w:val="24"/>
          <w:szCs w:val="24"/>
          <w:lang w:val="en-GB"/>
        </w:rPr>
        <w:t xml:space="preserve">ational definition of a worker. </w:t>
      </w:r>
      <w:r w:rsidR="00C148BF" w:rsidRPr="00A21E4D">
        <w:rPr>
          <w:rFonts w:ascii="Times New Roman" w:hAnsi="Times New Roman" w:cs="Times New Roman"/>
          <w:sz w:val="24"/>
          <w:szCs w:val="24"/>
          <w:lang w:val="en-GB"/>
        </w:rPr>
        <w:t>Frédérique Michéa</w:t>
      </w:r>
      <w:r w:rsidR="00DF2209" w:rsidRPr="00A21E4D">
        <w:rPr>
          <w:rStyle w:val="Appelnotedebasdep"/>
          <w:rFonts w:ascii="Times New Roman" w:hAnsi="Times New Roman" w:cs="Times New Roman"/>
          <w:sz w:val="24"/>
          <w:szCs w:val="24"/>
          <w:lang w:val="en-GB"/>
        </w:rPr>
        <w:footnoteReference w:id="78"/>
      </w:r>
      <w:r w:rsidR="00117E6D" w:rsidRPr="00A21E4D">
        <w:rPr>
          <w:rFonts w:ascii="Times New Roman" w:hAnsi="Times New Roman" w:cs="Times New Roman"/>
          <w:sz w:val="24"/>
          <w:szCs w:val="24"/>
          <w:lang w:val="en-GB"/>
        </w:rPr>
        <w:t xml:space="preserve"> explain</w:t>
      </w:r>
      <w:r w:rsidR="00C148BF" w:rsidRPr="00A21E4D">
        <w:rPr>
          <w:rFonts w:ascii="Times New Roman" w:hAnsi="Times New Roman" w:cs="Times New Roman"/>
          <w:sz w:val="24"/>
          <w:szCs w:val="24"/>
          <w:lang w:val="en-GB"/>
        </w:rPr>
        <w:t>s</w:t>
      </w:r>
      <w:r w:rsidR="00117E6D" w:rsidRPr="00A21E4D">
        <w:rPr>
          <w:rFonts w:ascii="Times New Roman" w:hAnsi="Times New Roman" w:cs="Times New Roman"/>
          <w:sz w:val="24"/>
          <w:szCs w:val="24"/>
          <w:lang w:val="en-GB"/>
        </w:rPr>
        <w:t xml:space="preserve"> that the approach of the Court described above consists in the interpretation of national law itself.  There is no goal to replace the national concept with a</w:t>
      </w:r>
      <w:r w:rsidR="007462AB" w:rsidRPr="00A21E4D">
        <w:rPr>
          <w:rFonts w:ascii="Times New Roman" w:hAnsi="Times New Roman" w:cs="Times New Roman"/>
          <w:sz w:val="24"/>
          <w:szCs w:val="24"/>
          <w:lang w:val="en-GB"/>
        </w:rPr>
        <w:t>n</w:t>
      </w:r>
      <w:r w:rsidR="00117E6D" w:rsidRPr="00A21E4D">
        <w:rPr>
          <w:rFonts w:ascii="Times New Roman" w:hAnsi="Times New Roman" w:cs="Times New Roman"/>
          <w:sz w:val="24"/>
          <w:szCs w:val="24"/>
          <w:lang w:val="en-GB"/>
        </w:rPr>
        <w:t xml:space="preserve"> EU-wide one, but to interpret it in a</w:t>
      </w:r>
      <w:r w:rsidR="00A334F8" w:rsidRPr="00A21E4D">
        <w:rPr>
          <w:rFonts w:ascii="Times New Roman" w:hAnsi="Times New Roman" w:cs="Times New Roman"/>
          <w:sz w:val="24"/>
          <w:szCs w:val="24"/>
          <w:lang w:val="en-GB"/>
        </w:rPr>
        <w:t>ccordance with the goals of EU D</w:t>
      </w:r>
      <w:r w:rsidR="00117E6D" w:rsidRPr="00A21E4D">
        <w:rPr>
          <w:rFonts w:ascii="Times New Roman" w:hAnsi="Times New Roman" w:cs="Times New Roman"/>
          <w:sz w:val="24"/>
          <w:szCs w:val="24"/>
          <w:lang w:val="en-GB"/>
        </w:rPr>
        <w:t>irectives</w:t>
      </w:r>
      <w:r w:rsidR="002C005F" w:rsidRPr="00A21E4D">
        <w:rPr>
          <w:rFonts w:ascii="Times New Roman" w:hAnsi="Times New Roman" w:cs="Times New Roman"/>
          <w:sz w:val="24"/>
          <w:szCs w:val="24"/>
          <w:lang w:val="en-GB"/>
        </w:rPr>
        <w:t xml:space="preserve"> and conclude that the persons concerned are indeed workers</w:t>
      </w:r>
      <w:r w:rsidR="002B4753" w:rsidRPr="00A21E4D">
        <w:rPr>
          <w:rFonts w:ascii="Times New Roman" w:hAnsi="Times New Roman" w:cs="Times New Roman"/>
          <w:sz w:val="24"/>
          <w:szCs w:val="24"/>
          <w:lang w:val="en-GB"/>
        </w:rPr>
        <w:t xml:space="preserve">. </w:t>
      </w:r>
      <w:r w:rsidR="008E1D65" w:rsidRPr="00A21E4D">
        <w:rPr>
          <w:rFonts w:ascii="Times New Roman" w:hAnsi="Times New Roman" w:cs="Times New Roman"/>
          <w:sz w:val="24"/>
          <w:szCs w:val="24"/>
          <w:lang w:val="en-GB"/>
        </w:rPr>
        <w:t>T</w:t>
      </w:r>
      <w:r w:rsidR="002C005F" w:rsidRPr="00A21E4D">
        <w:rPr>
          <w:rFonts w:ascii="Times New Roman" w:hAnsi="Times New Roman" w:cs="Times New Roman"/>
          <w:sz w:val="24"/>
          <w:szCs w:val="24"/>
          <w:lang w:val="en-GB"/>
        </w:rPr>
        <w:t>his approach</w:t>
      </w:r>
      <w:r w:rsidR="008E1D65" w:rsidRPr="00A21E4D">
        <w:rPr>
          <w:rFonts w:ascii="Times New Roman" w:hAnsi="Times New Roman" w:cs="Times New Roman"/>
          <w:sz w:val="24"/>
          <w:szCs w:val="24"/>
          <w:lang w:val="en-GB"/>
        </w:rPr>
        <w:t xml:space="preserve"> could be analysed</w:t>
      </w:r>
      <w:r w:rsidR="002C005F" w:rsidRPr="00A21E4D">
        <w:rPr>
          <w:rFonts w:ascii="Times New Roman" w:hAnsi="Times New Roman" w:cs="Times New Roman"/>
          <w:sz w:val="24"/>
          <w:szCs w:val="24"/>
          <w:lang w:val="en-GB"/>
        </w:rPr>
        <w:t xml:space="preserve"> as an overstretched version of the normal log</w:t>
      </w:r>
      <w:r w:rsidR="001F43A9" w:rsidRPr="00A21E4D">
        <w:rPr>
          <w:rFonts w:ascii="Times New Roman" w:hAnsi="Times New Roman" w:cs="Times New Roman"/>
          <w:sz w:val="24"/>
          <w:szCs w:val="24"/>
          <w:lang w:val="en-GB"/>
        </w:rPr>
        <w:t>ic of the Court in those cases.</w:t>
      </w:r>
    </w:p>
    <w:p w14:paraId="1DBACF08" w14:textId="6DBC4F3E" w:rsidR="00337F02" w:rsidRPr="00A21E4D" w:rsidRDefault="00337F02" w:rsidP="001F43A9">
      <w:pPr>
        <w:pStyle w:val="Sansinterligne"/>
        <w:ind w:left="360"/>
        <w:jc w:val="both"/>
        <w:rPr>
          <w:rFonts w:ascii="Times New Roman" w:hAnsi="Times New Roman" w:cs="Times New Roman"/>
          <w:b/>
          <w:sz w:val="24"/>
          <w:szCs w:val="24"/>
          <w:lang w:val="en-GB"/>
        </w:rPr>
      </w:pPr>
    </w:p>
    <w:p w14:paraId="22A52273" w14:textId="77777777" w:rsidR="00337F02" w:rsidRPr="00A21E4D" w:rsidRDefault="00337F02" w:rsidP="001F43A9">
      <w:pPr>
        <w:pStyle w:val="Sansinterligne"/>
        <w:ind w:left="360"/>
        <w:jc w:val="both"/>
        <w:rPr>
          <w:rFonts w:ascii="Times New Roman" w:hAnsi="Times New Roman" w:cs="Times New Roman"/>
          <w:b/>
          <w:sz w:val="24"/>
          <w:szCs w:val="24"/>
          <w:lang w:val="en-GB"/>
        </w:rPr>
      </w:pPr>
    </w:p>
    <w:p w14:paraId="342766A0" w14:textId="77777777" w:rsidR="00F0032F" w:rsidRPr="00A21E4D" w:rsidRDefault="002E3EB9" w:rsidP="00F0032F">
      <w:pPr>
        <w:pStyle w:val="Sansinterligne"/>
        <w:numPr>
          <w:ilvl w:val="0"/>
          <w:numId w:val="19"/>
        </w:numPr>
        <w:jc w:val="both"/>
        <w:rPr>
          <w:rFonts w:ascii="Times New Roman" w:hAnsi="Times New Roman" w:cs="Times New Roman"/>
          <w:sz w:val="24"/>
          <w:szCs w:val="24"/>
          <w:lang w:val="en-GB"/>
        </w:rPr>
      </w:pPr>
      <w:r w:rsidRPr="00A21E4D">
        <w:rPr>
          <w:rFonts w:ascii="Times New Roman" w:hAnsi="Times New Roman" w:cs="Times New Roman"/>
          <w:b/>
          <w:sz w:val="24"/>
          <w:szCs w:val="24"/>
          <w:lang w:val="en-GB"/>
        </w:rPr>
        <w:t>C</w:t>
      </w:r>
      <w:r w:rsidR="00192BDE" w:rsidRPr="00A21E4D">
        <w:rPr>
          <w:rFonts w:ascii="Times New Roman" w:hAnsi="Times New Roman" w:cs="Times New Roman"/>
          <w:b/>
          <w:sz w:val="24"/>
          <w:szCs w:val="24"/>
          <w:lang w:val="en-GB"/>
        </w:rPr>
        <w:t>O</w:t>
      </w:r>
      <w:r w:rsidR="00466606" w:rsidRPr="00A21E4D">
        <w:rPr>
          <w:rFonts w:ascii="Times New Roman" w:hAnsi="Times New Roman" w:cs="Times New Roman"/>
          <w:b/>
          <w:sz w:val="24"/>
          <w:szCs w:val="24"/>
          <w:lang w:val="en-GB"/>
        </w:rPr>
        <w:t>NCLUSION: A COMMON CONCE</w:t>
      </w:r>
      <w:r w:rsidR="00CB1984" w:rsidRPr="00A21E4D">
        <w:rPr>
          <w:rFonts w:ascii="Times New Roman" w:hAnsi="Times New Roman" w:cs="Times New Roman"/>
          <w:b/>
          <w:sz w:val="24"/>
          <w:szCs w:val="24"/>
          <w:lang w:val="en-GB"/>
        </w:rPr>
        <w:t>PT?</w:t>
      </w:r>
    </w:p>
    <w:p w14:paraId="6698E196" w14:textId="77777777" w:rsidR="00337F02" w:rsidRPr="00A21E4D" w:rsidRDefault="00337F02" w:rsidP="00337F02">
      <w:pPr>
        <w:pStyle w:val="Sansinterligne"/>
        <w:ind w:left="360"/>
        <w:jc w:val="both"/>
        <w:rPr>
          <w:rFonts w:ascii="Times New Roman" w:hAnsi="Times New Roman" w:cs="Times New Roman"/>
          <w:sz w:val="24"/>
          <w:szCs w:val="24"/>
          <w:lang w:val="en-GB"/>
        </w:rPr>
      </w:pPr>
    </w:p>
    <w:p w14:paraId="1213330D" w14:textId="77777777" w:rsidR="00F0032F" w:rsidRPr="00A21E4D" w:rsidRDefault="00F0032F"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lastRenderedPageBreak/>
        <w:tab/>
        <w:t xml:space="preserve">At the end of this short overview of the case-law of the Court of Justice of the European Union, several conclusions can be drawn. </w:t>
      </w:r>
      <w:r w:rsidR="002036C9" w:rsidRPr="00A21E4D">
        <w:rPr>
          <w:rFonts w:ascii="Times New Roman" w:hAnsi="Times New Roman" w:cs="Times New Roman"/>
          <w:sz w:val="24"/>
          <w:szCs w:val="24"/>
          <w:lang w:val="en-GB"/>
        </w:rPr>
        <w:t xml:space="preserve">They offer a nuanced picture on the ongoing debate concerning the concept of worker in the different fields of EU Law. </w:t>
      </w:r>
      <w:r w:rsidRPr="00A21E4D">
        <w:rPr>
          <w:rFonts w:ascii="Times New Roman" w:hAnsi="Times New Roman" w:cs="Times New Roman"/>
          <w:sz w:val="24"/>
          <w:szCs w:val="24"/>
          <w:lang w:val="en-GB"/>
        </w:rPr>
        <w:t xml:space="preserve"> </w:t>
      </w:r>
    </w:p>
    <w:p w14:paraId="059A415C" w14:textId="77777777" w:rsidR="007607DC" w:rsidRPr="00A21E4D" w:rsidRDefault="007607DC"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09CA0C6A" w14:textId="235EBFA0" w:rsidR="007607DC" w:rsidRPr="00A21E4D" w:rsidRDefault="007607DC"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We</w:t>
      </w:r>
      <w:r w:rsidR="00A334F8" w:rsidRPr="00A21E4D">
        <w:rPr>
          <w:rFonts w:ascii="Times New Roman" w:hAnsi="Times New Roman" w:cs="Times New Roman"/>
          <w:sz w:val="24"/>
          <w:szCs w:val="24"/>
          <w:lang w:val="en-GB"/>
        </w:rPr>
        <w:t xml:space="preserve"> have </w:t>
      </w:r>
      <w:r w:rsidR="007462AB" w:rsidRPr="00A21E4D">
        <w:rPr>
          <w:rFonts w:ascii="Times New Roman" w:hAnsi="Times New Roman" w:cs="Times New Roman"/>
          <w:sz w:val="24"/>
          <w:szCs w:val="24"/>
          <w:lang w:val="en-GB"/>
        </w:rPr>
        <w:t xml:space="preserve">highlighted </w:t>
      </w:r>
      <w:r w:rsidR="00A334F8" w:rsidRPr="00A21E4D">
        <w:rPr>
          <w:rFonts w:ascii="Times New Roman" w:hAnsi="Times New Roman" w:cs="Times New Roman"/>
          <w:sz w:val="24"/>
          <w:szCs w:val="24"/>
          <w:lang w:val="en-GB"/>
        </w:rPr>
        <w:t>that only one D</w:t>
      </w:r>
      <w:r w:rsidRPr="00A21E4D">
        <w:rPr>
          <w:rFonts w:ascii="Times New Roman" w:hAnsi="Times New Roman" w:cs="Times New Roman"/>
          <w:sz w:val="24"/>
          <w:szCs w:val="24"/>
          <w:lang w:val="en-GB"/>
        </w:rPr>
        <w:t>irective on social policy did contain a proper definition of worker</w:t>
      </w:r>
      <w:r w:rsidR="0087429F" w:rsidRPr="00A21E4D">
        <w:rPr>
          <w:rFonts w:ascii="Times New Roman" w:hAnsi="Times New Roman" w:cs="Times New Roman"/>
          <w:sz w:val="24"/>
          <w:szCs w:val="24"/>
          <w:lang w:val="en-GB"/>
        </w:rPr>
        <w:t xml:space="preserve">, which is </w:t>
      </w:r>
      <w:r w:rsidRPr="00A21E4D">
        <w:rPr>
          <w:rFonts w:ascii="Times New Roman" w:hAnsi="Times New Roman" w:cs="Times New Roman"/>
          <w:sz w:val="24"/>
          <w:szCs w:val="24"/>
          <w:lang w:val="en-GB"/>
        </w:rPr>
        <w:t xml:space="preserve">very </w:t>
      </w:r>
      <w:r w:rsidR="00A3688A" w:rsidRPr="00A21E4D">
        <w:rPr>
          <w:rFonts w:ascii="Times New Roman" w:hAnsi="Times New Roman" w:cs="Times New Roman"/>
          <w:sz w:val="24"/>
          <w:szCs w:val="24"/>
          <w:lang w:val="en-GB"/>
        </w:rPr>
        <w:t>broad</w:t>
      </w:r>
      <w:r w:rsidRPr="00A21E4D">
        <w:rPr>
          <w:rFonts w:ascii="Times New Roman" w:hAnsi="Times New Roman" w:cs="Times New Roman"/>
          <w:sz w:val="24"/>
          <w:szCs w:val="24"/>
          <w:lang w:val="en-GB"/>
        </w:rPr>
        <w:t xml:space="preserve"> and could not be used in the context </w:t>
      </w:r>
      <w:r w:rsidR="00A334F8" w:rsidRPr="00A21E4D">
        <w:rPr>
          <w:rFonts w:ascii="Times New Roman" w:hAnsi="Times New Roman" w:cs="Times New Roman"/>
          <w:sz w:val="24"/>
          <w:szCs w:val="24"/>
          <w:lang w:val="en-GB"/>
        </w:rPr>
        <w:t xml:space="preserve">of other </w:t>
      </w:r>
      <w:r w:rsidR="00C36F8E" w:rsidRPr="00A21E4D">
        <w:rPr>
          <w:rFonts w:ascii="Times New Roman" w:hAnsi="Times New Roman" w:cs="Times New Roman"/>
          <w:sz w:val="24"/>
          <w:szCs w:val="24"/>
          <w:lang w:val="en-GB"/>
        </w:rPr>
        <w:t>D</w:t>
      </w:r>
      <w:r w:rsidR="00A334F8" w:rsidRPr="00A21E4D">
        <w:rPr>
          <w:rFonts w:ascii="Times New Roman" w:hAnsi="Times New Roman" w:cs="Times New Roman"/>
          <w:sz w:val="24"/>
          <w:szCs w:val="24"/>
          <w:lang w:val="en-GB"/>
        </w:rPr>
        <w:t xml:space="preserve">irectives. For those </w:t>
      </w:r>
      <w:r w:rsidR="0087429F" w:rsidRPr="00A21E4D">
        <w:rPr>
          <w:rFonts w:ascii="Times New Roman" w:hAnsi="Times New Roman" w:cs="Times New Roman"/>
          <w:sz w:val="24"/>
          <w:szCs w:val="24"/>
          <w:lang w:val="en-GB"/>
        </w:rPr>
        <w:t xml:space="preserve">which </w:t>
      </w:r>
      <w:r w:rsidRPr="00A21E4D">
        <w:rPr>
          <w:rFonts w:ascii="Times New Roman" w:hAnsi="Times New Roman" w:cs="Times New Roman"/>
          <w:sz w:val="24"/>
          <w:szCs w:val="24"/>
          <w:lang w:val="en-GB"/>
        </w:rPr>
        <w:t xml:space="preserve">do not leave to the Member States the task of defining the concept of worker, the Court constantly uses its findings from the free movement case-law and the three </w:t>
      </w:r>
      <w:r w:rsidR="00E1133B" w:rsidRPr="00A21E4D">
        <w:rPr>
          <w:rFonts w:ascii="Times New Roman" w:hAnsi="Times New Roman" w:cs="Times New Roman"/>
          <w:sz w:val="24"/>
          <w:szCs w:val="24"/>
          <w:lang w:val="en-GB"/>
        </w:rPr>
        <w:t>criteria</w:t>
      </w:r>
      <w:r w:rsidR="004B1BE9" w:rsidRPr="00A21E4D">
        <w:rPr>
          <w:rFonts w:ascii="Times New Roman" w:hAnsi="Times New Roman" w:cs="Times New Roman"/>
          <w:sz w:val="24"/>
          <w:szCs w:val="24"/>
          <w:lang w:val="en-GB"/>
        </w:rPr>
        <w:t xml:space="preserve"> elaborated and clarified in the </w:t>
      </w:r>
      <w:r w:rsidR="004B1BE9" w:rsidRPr="00A21E4D">
        <w:rPr>
          <w:rFonts w:ascii="Times New Roman" w:hAnsi="Times New Roman" w:cs="Times New Roman"/>
          <w:i/>
          <w:sz w:val="24"/>
          <w:szCs w:val="24"/>
          <w:lang w:val="en-GB"/>
        </w:rPr>
        <w:t>Lawrie-Blum</w:t>
      </w:r>
      <w:r w:rsidR="004B1BE9" w:rsidRPr="00A21E4D">
        <w:rPr>
          <w:rFonts w:ascii="Times New Roman" w:hAnsi="Times New Roman" w:cs="Times New Roman"/>
          <w:sz w:val="24"/>
          <w:szCs w:val="24"/>
          <w:lang w:val="en-GB"/>
        </w:rPr>
        <w:t xml:space="preserve"> case and its aftermath.</w:t>
      </w:r>
      <w:r w:rsidR="00823E70" w:rsidRPr="00A21E4D">
        <w:rPr>
          <w:rFonts w:ascii="Times New Roman" w:hAnsi="Times New Roman" w:cs="Times New Roman"/>
          <w:sz w:val="24"/>
          <w:szCs w:val="24"/>
          <w:lang w:val="en-GB"/>
        </w:rPr>
        <w:t xml:space="preserve"> We showed that this move could</w:t>
      </w:r>
      <w:r w:rsidR="004B1BE9" w:rsidRPr="00A21E4D">
        <w:rPr>
          <w:rFonts w:ascii="Times New Roman" w:hAnsi="Times New Roman" w:cs="Times New Roman"/>
          <w:sz w:val="24"/>
          <w:szCs w:val="24"/>
          <w:lang w:val="en-GB"/>
        </w:rPr>
        <w:t xml:space="preserve"> be explained by the fact that originally, the Court sought</w:t>
      </w:r>
      <w:r w:rsidR="00B25B06" w:rsidRPr="00A21E4D">
        <w:rPr>
          <w:rFonts w:ascii="Times New Roman" w:hAnsi="Times New Roman" w:cs="Times New Roman"/>
          <w:sz w:val="24"/>
          <w:szCs w:val="24"/>
          <w:lang w:val="en-GB"/>
        </w:rPr>
        <w:t xml:space="preserve"> to ensure that the Member States did not restrict </w:t>
      </w:r>
      <w:r w:rsidR="00823E70" w:rsidRPr="00A21E4D">
        <w:rPr>
          <w:rFonts w:ascii="Times New Roman" w:hAnsi="Times New Roman" w:cs="Times New Roman"/>
          <w:sz w:val="24"/>
          <w:szCs w:val="24"/>
          <w:lang w:val="en-GB"/>
        </w:rPr>
        <w:t xml:space="preserve">the free movement of workers </w:t>
      </w:r>
      <w:r w:rsidR="003D1FE0" w:rsidRPr="00A21E4D">
        <w:rPr>
          <w:rFonts w:ascii="Times New Roman" w:hAnsi="Times New Roman" w:cs="Times New Roman"/>
          <w:sz w:val="24"/>
          <w:szCs w:val="24"/>
          <w:lang w:val="en-GB"/>
        </w:rPr>
        <w:t xml:space="preserve">by </w:t>
      </w:r>
      <w:r w:rsidR="00823E70" w:rsidRPr="00A21E4D">
        <w:rPr>
          <w:rFonts w:ascii="Times New Roman" w:hAnsi="Times New Roman" w:cs="Times New Roman"/>
          <w:sz w:val="24"/>
          <w:szCs w:val="24"/>
          <w:lang w:val="en-GB"/>
        </w:rPr>
        <w:t>treating differently some categories of workers and excluding them from the</w:t>
      </w:r>
      <w:r w:rsidR="00A334F8" w:rsidRPr="00A21E4D">
        <w:rPr>
          <w:rFonts w:ascii="Times New Roman" w:hAnsi="Times New Roman" w:cs="Times New Roman"/>
          <w:sz w:val="24"/>
          <w:szCs w:val="24"/>
          <w:lang w:val="en-GB"/>
        </w:rPr>
        <w:t xml:space="preserve"> scope of application of those </w:t>
      </w:r>
      <w:r w:rsidR="00C36F8E" w:rsidRPr="00A21E4D">
        <w:rPr>
          <w:rFonts w:ascii="Times New Roman" w:hAnsi="Times New Roman" w:cs="Times New Roman"/>
          <w:sz w:val="24"/>
          <w:szCs w:val="24"/>
          <w:lang w:val="en-GB"/>
        </w:rPr>
        <w:t>D</w:t>
      </w:r>
      <w:r w:rsidR="00E4680F" w:rsidRPr="00A21E4D">
        <w:rPr>
          <w:rFonts w:ascii="Times New Roman" w:hAnsi="Times New Roman" w:cs="Times New Roman"/>
          <w:sz w:val="24"/>
          <w:szCs w:val="24"/>
          <w:lang w:val="en-GB"/>
        </w:rPr>
        <w:t>irectives</w:t>
      </w:r>
      <w:r w:rsidR="00823E70" w:rsidRPr="00A21E4D">
        <w:rPr>
          <w:rFonts w:ascii="Times New Roman" w:hAnsi="Times New Roman" w:cs="Times New Roman"/>
          <w:sz w:val="24"/>
          <w:szCs w:val="24"/>
          <w:lang w:val="en-GB"/>
        </w:rPr>
        <w:t>, following a “functionalist harmonization” rationale. Therefore, in this context, we can conclude to the existence of a common, EU wide concept w</w:t>
      </w:r>
      <w:r w:rsidR="0087429F" w:rsidRPr="00A21E4D">
        <w:rPr>
          <w:rFonts w:ascii="Times New Roman" w:hAnsi="Times New Roman" w:cs="Times New Roman"/>
          <w:sz w:val="24"/>
          <w:szCs w:val="24"/>
          <w:lang w:val="en-GB"/>
        </w:rPr>
        <w:t>hich applies equally to both</w:t>
      </w:r>
      <w:r w:rsidR="00823E70" w:rsidRPr="00A21E4D">
        <w:rPr>
          <w:rFonts w:ascii="Times New Roman" w:hAnsi="Times New Roman" w:cs="Times New Roman"/>
          <w:sz w:val="24"/>
          <w:szCs w:val="24"/>
          <w:lang w:val="en-GB"/>
        </w:rPr>
        <w:t xml:space="preserve"> free movem</w:t>
      </w:r>
      <w:r w:rsidR="0087429F" w:rsidRPr="00A21E4D">
        <w:rPr>
          <w:rFonts w:ascii="Times New Roman" w:hAnsi="Times New Roman" w:cs="Times New Roman"/>
          <w:sz w:val="24"/>
          <w:szCs w:val="24"/>
          <w:lang w:val="en-GB"/>
        </w:rPr>
        <w:t>ent</w:t>
      </w:r>
      <w:r w:rsidR="00A334F8" w:rsidRPr="00A21E4D">
        <w:rPr>
          <w:rFonts w:ascii="Times New Roman" w:hAnsi="Times New Roman" w:cs="Times New Roman"/>
          <w:sz w:val="24"/>
          <w:szCs w:val="24"/>
          <w:lang w:val="en-GB"/>
        </w:rPr>
        <w:t xml:space="preserve"> and Social Policy D</w:t>
      </w:r>
      <w:r w:rsidR="0087429F" w:rsidRPr="00A21E4D">
        <w:rPr>
          <w:rFonts w:ascii="Times New Roman" w:hAnsi="Times New Roman" w:cs="Times New Roman"/>
          <w:sz w:val="24"/>
          <w:szCs w:val="24"/>
          <w:lang w:val="en-GB"/>
        </w:rPr>
        <w:t xml:space="preserve">irectives </w:t>
      </w:r>
      <w:r w:rsidR="00823E70" w:rsidRPr="00A21E4D">
        <w:rPr>
          <w:rFonts w:ascii="Times New Roman" w:hAnsi="Times New Roman" w:cs="Times New Roman"/>
          <w:sz w:val="24"/>
          <w:szCs w:val="24"/>
          <w:lang w:val="en-GB"/>
        </w:rPr>
        <w:t>which do not refer to the national concept of worker</w:t>
      </w:r>
      <w:r w:rsidR="0087429F" w:rsidRPr="00A21E4D">
        <w:rPr>
          <w:rFonts w:ascii="Times New Roman" w:hAnsi="Times New Roman" w:cs="Times New Roman"/>
          <w:sz w:val="24"/>
          <w:szCs w:val="24"/>
          <w:lang w:val="en-GB"/>
        </w:rPr>
        <w:t xml:space="preserve"> cases</w:t>
      </w:r>
      <w:r w:rsidR="00823E70" w:rsidRPr="00A21E4D">
        <w:rPr>
          <w:rFonts w:ascii="Times New Roman" w:hAnsi="Times New Roman" w:cs="Times New Roman"/>
          <w:sz w:val="24"/>
          <w:szCs w:val="24"/>
          <w:lang w:val="en-GB"/>
        </w:rPr>
        <w:t xml:space="preserve">. </w:t>
      </w:r>
      <w:r w:rsidR="002A436F" w:rsidRPr="00A21E4D">
        <w:rPr>
          <w:rFonts w:ascii="Times New Roman" w:hAnsi="Times New Roman" w:cs="Times New Roman"/>
          <w:sz w:val="24"/>
          <w:szCs w:val="24"/>
          <w:lang w:val="en-GB"/>
        </w:rPr>
        <w:t xml:space="preserve">However, this </w:t>
      </w:r>
      <w:r w:rsidR="00823E70" w:rsidRPr="00A21E4D">
        <w:rPr>
          <w:rFonts w:ascii="Times New Roman" w:hAnsi="Times New Roman" w:cs="Times New Roman"/>
          <w:sz w:val="24"/>
          <w:szCs w:val="24"/>
          <w:lang w:val="en-GB"/>
        </w:rPr>
        <w:t xml:space="preserve">affirmation must be nuanced. We saw in the </w:t>
      </w:r>
      <w:r w:rsidR="00823E70" w:rsidRPr="00A21E4D">
        <w:rPr>
          <w:rFonts w:ascii="Times New Roman" w:hAnsi="Times New Roman" w:cs="Times New Roman"/>
          <w:i/>
          <w:sz w:val="24"/>
          <w:szCs w:val="24"/>
          <w:lang w:val="en-GB"/>
        </w:rPr>
        <w:t>Danosa</w:t>
      </w:r>
      <w:r w:rsidR="00823E70" w:rsidRPr="00A21E4D">
        <w:rPr>
          <w:rFonts w:ascii="Times New Roman" w:hAnsi="Times New Roman" w:cs="Times New Roman"/>
          <w:sz w:val="24"/>
          <w:szCs w:val="24"/>
          <w:lang w:val="en-GB"/>
        </w:rPr>
        <w:t xml:space="preserve"> case and</w:t>
      </w:r>
      <w:r w:rsidR="00C2511C" w:rsidRPr="00A21E4D">
        <w:rPr>
          <w:rFonts w:ascii="Times New Roman" w:hAnsi="Times New Roman" w:cs="Times New Roman"/>
          <w:sz w:val="24"/>
          <w:szCs w:val="24"/>
          <w:lang w:val="en-GB"/>
        </w:rPr>
        <w:t xml:space="preserve"> its follow-ups</w:t>
      </w:r>
      <w:r w:rsidR="00823E70" w:rsidRPr="00A21E4D">
        <w:rPr>
          <w:rFonts w:ascii="Times New Roman" w:hAnsi="Times New Roman" w:cs="Times New Roman"/>
          <w:sz w:val="24"/>
          <w:szCs w:val="24"/>
          <w:lang w:val="en-GB"/>
        </w:rPr>
        <w:t xml:space="preserve">, that even if the Court refers systematically to the </w:t>
      </w:r>
      <w:r w:rsidR="00823E70" w:rsidRPr="00A21E4D">
        <w:rPr>
          <w:rFonts w:ascii="Times New Roman" w:hAnsi="Times New Roman" w:cs="Times New Roman"/>
          <w:i/>
          <w:sz w:val="24"/>
          <w:szCs w:val="24"/>
          <w:lang w:val="en-GB"/>
        </w:rPr>
        <w:t>Lawrie-Blum</w:t>
      </w:r>
      <w:r w:rsidR="00823E70" w:rsidRPr="00A21E4D">
        <w:rPr>
          <w:rFonts w:ascii="Times New Roman" w:hAnsi="Times New Roman" w:cs="Times New Roman"/>
          <w:sz w:val="24"/>
          <w:szCs w:val="24"/>
          <w:lang w:val="en-GB"/>
        </w:rPr>
        <w:t xml:space="preserve"> case-law, it gives </w:t>
      </w:r>
      <w:r w:rsidR="00C2511C" w:rsidRPr="00A21E4D">
        <w:rPr>
          <w:rFonts w:ascii="Times New Roman" w:hAnsi="Times New Roman" w:cs="Times New Roman"/>
          <w:sz w:val="24"/>
          <w:szCs w:val="24"/>
          <w:lang w:val="en-GB"/>
        </w:rPr>
        <w:t>more</w:t>
      </w:r>
      <w:r w:rsidR="00823E70" w:rsidRPr="00A21E4D">
        <w:rPr>
          <w:rFonts w:ascii="Times New Roman" w:hAnsi="Times New Roman" w:cs="Times New Roman"/>
          <w:sz w:val="24"/>
          <w:szCs w:val="24"/>
          <w:lang w:val="en-GB"/>
        </w:rPr>
        <w:t xml:space="preserve"> emphasis on the question of the link of subordination, trying to stretch it in order to include economic dependent workers under the</w:t>
      </w:r>
      <w:r w:rsidR="00A334F8" w:rsidRPr="00A21E4D">
        <w:rPr>
          <w:rFonts w:ascii="Times New Roman" w:hAnsi="Times New Roman" w:cs="Times New Roman"/>
          <w:sz w:val="24"/>
          <w:szCs w:val="24"/>
          <w:lang w:val="en-GB"/>
        </w:rPr>
        <w:t xml:space="preserve"> scope of application of those </w:t>
      </w:r>
      <w:r w:rsidR="00C36F8E" w:rsidRPr="00A21E4D">
        <w:rPr>
          <w:rFonts w:ascii="Times New Roman" w:hAnsi="Times New Roman" w:cs="Times New Roman"/>
          <w:sz w:val="24"/>
          <w:szCs w:val="24"/>
          <w:lang w:val="en-GB"/>
        </w:rPr>
        <w:t>D</w:t>
      </w:r>
      <w:r w:rsidR="00064330" w:rsidRPr="00A21E4D">
        <w:rPr>
          <w:rFonts w:ascii="Times New Roman" w:hAnsi="Times New Roman" w:cs="Times New Roman"/>
          <w:sz w:val="24"/>
          <w:szCs w:val="24"/>
          <w:lang w:val="en-GB"/>
        </w:rPr>
        <w:t>irectives</w:t>
      </w:r>
      <w:r w:rsidR="00823E70" w:rsidRPr="00A21E4D">
        <w:rPr>
          <w:rFonts w:ascii="Times New Roman" w:hAnsi="Times New Roman" w:cs="Times New Roman"/>
          <w:sz w:val="24"/>
          <w:szCs w:val="24"/>
          <w:lang w:val="en-GB"/>
        </w:rPr>
        <w:t xml:space="preserve">.  We also saw the specific concern that the Court had towards equality between men and women, which lead it to move boldly, which was often criticized, in order to overcome the boundaries between employee and self-employed worker. </w:t>
      </w:r>
    </w:p>
    <w:p w14:paraId="274AF582" w14:textId="77777777" w:rsidR="0029033E" w:rsidRPr="00A21E4D" w:rsidRDefault="0029033E"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p>
    <w:p w14:paraId="01B93C25" w14:textId="60289685" w:rsidR="0029033E" w:rsidRPr="00A21E4D" w:rsidRDefault="0029033E"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C2511C" w:rsidRPr="00A21E4D">
        <w:rPr>
          <w:rFonts w:ascii="Times New Roman" w:hAnsi="Times New Roman" w:cs="Times New Roman"/>
          <w:sz w:val="24"/>
          <w:szCs w:val="24"/>
          <w:lang w:val="en-GB"/>
        </w:rPr>
        <w:t>For</w:t>
      </w:r>
      <w:r w:rsidR="00A334F8" w:rsidRPr="00A21E4D">
        <w:rPr>
          <w:rFonts w:ascii="Times New Roman" w:hAnsi="Times New Roman" w:cs="Times New Roman"/>
          <w:sz w:val="24"/>
          <w:szCs w:val="24"/>
          <w:lang w:val="en-GB"/>
        </w:rPr>
        <w:t xml:space="preserve"> </w:t>
      </w:r>
      <w:r w:rsidR="00C36F8E" w:rsidRPr="00A21E4D">
        <w:rPr>
          <w:rFonts w:ascii="Times New Roman" w:hAnsi="Times New Roman" w:cs="Times New Roman"/>
          <w:sz w:val="24"/>
          <w:szCs w:val="24"/>
          <w:lang w:val="en-GB"/>
        </w:rPr>
        <w:t>D</w:t>
      </w:r>
      <w:r w:rsidR="00A308A4" w:rsidRPr="00A21E4D">
        <w:rPr>
          <w:rFonts w:ascii="Times New Roman" w:hAnsi="Times New Roman" w:cs="Times New Roman"/>
          <w:sz w:val="24"/>
          <w:szCs w:val="24"/>
          <w:lang w:val="en-GB"/>
        </w:rPr>
        <w:t xml:space="preserve">irectives </w:t>
      </w:r>
      <w:r w:rsidRPr="00A21E4D">
        <w:rPr>
          <w:rFonts w:ascii="Times New Roman" w:hAnsi="Times New Roman" w:cs="Times New Roman"/>
          <w:sz w:val="24"/>
          <w:szCs w:val="24"/>
          <w:lang w:val="en-GB"/>
        </w:rPr>
        <w:t>which did actually refer to the national concept of worker in order to de</w:t>
      </w:r>
      <w:r w:rsidR="00C2511C" w:rsidRPr="00A21E4D">
        <w:rPr>
          <w:rFonts w:ascii="Times New Roman" w:hAnsi="Times New Roman" w:cs="Times New Roman"/>
          <w:sz w:val="24"/>
          <w:szCs w:val="24"/>
          <w:lang w:val="en-GB"/>
        </w:rPr>
        <w:t>termine its scope, w</w:t>
      </w:r>
      <w:r w:rsidRPr="00A21E4D">
        <w:rPr>
          <w:rFonts w:ascii="Times New Roman" w:hAnsi="Times New Roman" w:cs="Times New Roman"/>
          <w:sz w:val="24"/>
          <w:szCs w:val="24"/>
          <w:lang w:val="en-GB"/>
        </w:rPr>
        <w:t xml:space="preserve">e observed that the Court </w:t>
      </w:r>
      <w:r w:rsidR="00C2511C" w:rsidRPr="00A21E4D">
        <w:rPr>
          <w:rFonts w:ascii="Times New Roman" w:hAnsi="Times New Roman" w:cs="Times New Roman"/>
          <w:sz w:val="24"/>
          <w:szCs w:val="24"/>
          <w:lang w:val="en-GB"/>
        </w:rPr>
        <w:t xml:space="preserve">originally </w:t>
      </w:r>
      <w:r w:rsidRPr="00A21E4D">
        <w:rPr>
          <w:rFonts w:ascii="Times New Roman" w:hAnsi="Times New Roman" w:cs="Times New Roman"/>
          <w:sz w:val="24"/>
          <w:szCs w:val="24"/>
          <w:lang w:val="en-GB"/>
        </w:rPr>
        <w:t xml:space="preserve">stuck to </w:t>
      </w:r>
      <w:r w:rsidR="00C2511C" w:rsidRPr="00A21E4D">
        <w:rPr>
          <w:rFonts w:ascii="Times New Roman" w:hAnsi="Times New Roman" w:cs="Times New Roman"/>
          <w:sz w:val="24"/>
          <w:szCs w:val="24"/>
          <w:lang w:val="en-GB"/>
        </w:rPr>
        <w:t xml:space="preserve">the </w:t>
      </w:r>
      <w:r w:rsidRPr="00A21E4D">
        <w:rPr>
          <w:rFonts w:ascii="Times New Roman" w:hAnsi="Times New Roman" w:cs="Times New Roman"/>
          <w:sz w:val="24"/>
          <w:szCs w:val="24"/>
          <w:lang w:val="en-GB"/>
        </w:rPr>
        <w:t>“</w:t>
      </w:r>
      <w:r w:rsidRPr="00A21E4D">
        <w:rPr>
          <w:rFonts w:ascii="Times New Roman" w:hAnsi="Times New Roman" w:cs="Times New Roman"/>
          <w:i/>
          <w:sz w:val="24"/>
          <w:szCs w:val="24"/>
          <w:lang w:val="en-GB"/>
        </w:rPr>
        <w:t>Danmols</w:t>
      </w:r>
      <w:r w:rsidRPr="00A21E4D">
        <w:rPr>
          <w:rFonts w:ascii="Times New Roman" w:hAnsi="Times New Roman" w:cs="Times New Roman"/>
          <w:sz w:val="24"/>
          <w:szCs w:val="24"/>
          <w:lang w:val="en-GB"/>
        </w:rPr>
        <w:t xml:space="preserve"> orthodoxy”</w:t>
      </w:r>
      <w:r w:rsidR="007B79BB" w:rsidRPr="00A21E4D">
        <w:rPr>
          <w:rFonts w:ascii="Times New Roman" w:hAnsi="Times New Roman" w:cs="Times New Roman"/>
          <w:sz w:val="24"/>
          <w:szCs w:val="24"/>
          <w:lang w:val="en-GB"/>
        </w:rPr>
        <w:t xml:space="preserve">, with a systematic refusal to decide on the national definitions used by the Member States, position which was </w:t>
      </w:r>
      <w:r w:rsidR="00A334F8" w:rsidRPr="00A21E4D">
        <w:rPr>
          <w:rFonts w:ascii="Times New Roman" w:hAnsi="Times New Roman" w:cs="Times New Roman"/>
          <w:sz w:val="24"/>
          <w:szCs w:val="24"/>
          <w:lang w:val="en-GB"/>
        </w:rPr>
        <w:t>explained by the fact that the D</w:t>
      </w:r>
      <w:r w:rsidR="007B79BB" w:rsidRPr="00A21E4D">
        <w:rPr>
          <w:rFonts w:ascii="Times New Roman" w:hAnsi="Times New Roman" w:cs="Times New Roman"/>
          <w:sz w:val="24"/>
          <w:szCs w:val="24"/>
          <w:lang w:val="en-GB"/>
        </w:rPr>
        <w:t xml:space="preserve">irectives in question realize only a partial </w:t>
      </w:r>
      <w:r w:rsidR="003D6622" w:rsidRPr="00A21E4D">
        <w:rPr>
          <w:rFonts w:ascii="Times New Roman" w:hAnsi="Times New Roman" w:cs="Times New Roman"/>
          <w:sz w:val="24"/>
          <w:szCs w:val="24"/>
          <w:lang w:val="en-GB"/>
        </w:rPr>
        <w:t>harmonisation</w:t>
      </w:r>
      <w:r w:rsidR="007B79BB" w:rsidRPr="00A21E4D">
        <w:rPr>
          <w:rFonts w:ascii="Times New Roman" w:hAnsi="Times New Roman" w:cs="Times New Roman"/>
          <w:sz w:val="24"/>
          <w:szCs w:val="24"/>
          <w:lang w:val="en-GB"/>
        </w:rPr>
        <w:t xml:space="preserve">, which makes the recourse to the “functionalist harmonization” rationale impossible. This way </w:t>
      </w:r>
      <w:r w:rsidR="00C2511C" w:rsidRPr="00A21E4D">
        <w:rPr>
          <w:rFonts w:ascii="Times New Roman" w:hAnsi="Times New Roman" w:cs="Times New Roman"/>
          <w:sz w:val="24"/>
          <w:szCs w:val="24"/>
          <w:lang w:val="en-GB"/>
        </w:rPr>
        <w:t>of dealing with the cases still</w:t>
      </w:r>
      <w:r w:rsidR="007B79BB" w:rsidRPr="00A21E4D">
        <w:rPr>
          <w:rFonts w:ascii="Times New Roman" w:hAnsi="Times New Roman" w:cs="Times New Roman"/>
          <w:sz w:val="24"/>
          <w:szCs w:val="24"/>
          <w:lang w:val="en-GB"/>
        </w:rPr>
        <w:t xml:space="preserve"> exist</w:t>
      </w:r>
      <w:r w:rsidR="00C2511C" w:rsidRPr="00A21E4D">
        <w:rPr>
          <w:rFonts w:ascii="Times New Roman" w:hAnsi="Times New Roman" w:cs="Times New Roman"/>
          <w:sz w:val="24"/>
          <w:szCs w:val="24"/>
          <w:lang w:val="en-GB"/>
        </w:rPr>
        <w:t>s</w:t>
      </w:r>
      <w:r w:rsidR="007B79BB" w:rsidRPr="00A21E4D">
        <w:rPr>
          <w:rFonts w:ascii="Times New Roman" w:hAnsi="Times New Roman" w:cs="Times New Roman"/>
          <w:sz w:val="24"/>
          <w:szCs w:val="24"/>
          <w:lang w:val="en-GB"/>
        </w:rPr>
        <w:t xml:space="preserve"> currently, especially i</w:t>
      </w:r>
      <w:r w:rsidR="001F4F56" w:rsidRPr="00A21E4D">
        <w:rPr>
          <w:rFonts w:ascii="Times New Roman" w:hAnsi="Times New Roman" w:cs="Times New Roman"/>
          <w:sz w:val="24"/>
          <w:szCs w:val="24"/>
          <w:lang w:val="en-GB"/>
        </w:rPr>
        <w:t>n the field of the Transfer of U</w:t>
      </w:r>
      <w:r w:rsidR="007B79BB" w:rsidRPr="00A21E4D">
        <w:rPr>
          <w:rFonts w:ascii="Times New Roman" w:hAnsi="Times New Roman" w:cs="Times New Roman"/>
          <w:sz w:val="24"/>
          <w:szCs w:val="24"/>
          <w:lang w:val="en-GB"/>
        </w:rPr>
        <w:t xml:space="preserve">ndertakings Directive. </w:t>
      </w:r>
      <w:r w:rsidR="00A4700B" w:rsidRPr="00A21E4D">
        <w:rPr>
          <w:rFonts w:ascii="Times New Roman" w:hAnsi="Times New Roman" w:cs="Times New Roman"/>
          <w:sz w:val="24"/>
          <w:szCs w:val="24"/>
          <w:lang w:val="en-GB"/>
        </w:rPr>
        <w:t xml:space="preserve">Alongside this line of case-law, we saw that another one recently appeared, in which the Court, while still </w:t>
      </w:r>
      <w:r w:rsidR="00613DA5" w:rsidRPr="00A21E4D">
        <w:rPr>
          <w:rFonts w:ascii="Times New Roman" w:hAnsi="Times New Roman" w:cs="Times New Roman"/>
          <w:sz w:val="24"/>
          <w:szCs w:val="24"/>
          <w:lang w:val="en-GB"/>
        </w:rPr>
        <w:t xml:space="preserve">recognising </w:t>
      </w:r>
      <w:r w:rsidR="00A4700B" w:rsidRPr="00A21E4D">
        <w:rPr>
          <w:rFonts w:ascii="Times New Roman" w:hAnsi="Times New Roman" w:cs="Times New Roman"/>
          <w:sz w:val="24"/>
          <w:szCs w:val="24"/>
          <w:lang w:val="en-GB"/>
        </w:rPr>
        <w:t>the competence of the Member States on the question, states that this competence is not limitless. There are several differences</w:t>
      </w:r>
      <w:r w:rsidR="00A546D5" w:rsidRPr="00A21E4D">
        <w:rPr>
          <w:rFonts w:ascii="Times New Roman" w:hAnsi="Times New Roman" w:cs="Times New Roman"/>
          <w:sz w:val="24"/>
          <w:szCs w:val="24"/>
          <w:lang w:val="en-GB"/>
        </w:rPr>
        <w:t xml:space="preserve"> with the modus operandi of the Court used for the first category of Directives</w:t>
      </w:r>
      <w:r w:rsidR="00A4700B" w:rsidRPr="00A21E4D">
        <w:rPr>
          <w:rFonts w:ascii="Times New Roman" w:hAnsi="Times New Roman" w:cs="Times New Roman"/>
          <w:sz w:val="24"/>
          <w:szCs w:val="24"/>
          <w:lang w:val="en-GB"/>
        </w:rPr>
        <w:t xml:space="preserve">. First, even if some references can be made to case-law </w:t>
      </w:r>
      <w:r w:rsidR="00573763" w:rsidRPr="00A21E4D">
        <w:rPr>
          <w:rFonts w:ascii="Times New Roman" w:hAnsi="Times New Roman" w:cs="Times New Roman"/>
          <w:sz w:val="24"/>
          <w:szCs w:val="24"/>
          <w:lang w:val="en-GB"/>
        </w:rPr>
        <w:t xml:space="preserve">decided </w:t>
      </w:r>
      <w:r w:rsidR="00A4700B" w:rsidRPr="00A21E4D">
        <w:rPr>
          <w:rFonts w:ascii="Times New Roman" w:hAnsi="Times New Roman" w:cs="Times New Roman"/>
          <w:sz w:val="24"/>
          <w:szCs w:val="24"/>
          <w:lang w:val="en-GB"/>
        </w:rPr>
        <w:t xml:space="preserve">in other fields, including the </w:t>
      </w:r>
      <w:r w:rsidR="00A4700B" w:rsidRPr="00A21E4D">
        <w:rPr>
          <w:rFonts w:ascii="Times New Roman" w:hAnsi="Times New Roman" w:cs="Times New Roman"/>
          <w:i/>
          <w:sz w:val="24"/>
          <w:szCs w:val="24"/>
          <w:lang w:val="en-GB"/>
        </w:rPr>
        <w:t>Lawrie-Blum</w:t>
      </w:r>
      <w:r w:rsidR="00A4700B" w:rsidRPr="00A21E4D">
        <w:rPr>
          <w:rFonts w:ascii="Times New Roman" w:hAnsi="Times New Roman" w:cs="Times New Roman"/>
          <w:sz w:val="24"/>
          <w:szCs w:val="24"/>
          <w:lang w:val="en-GB"/>
        </w:rPr>
        <w:t xml:space="preserve"> case-law, the core of this mechanism of “conditional renvoi” is not </w:t>
      </w:r>
      <w:r w:rsidR="007E0010" w:rsidRPr="00A21E4D">
        <w:rPr>
          <w:rFonts w:ascii="Times New Roman" w:hAnsi="Times New Roman" w:cs="Times New Roman"/>
          <w:sz w:val="24"/>
          <w:szCs w:val="24"/>
          <w:lang w:val="en-GB"/>
        </w:rPr>
        <w:t xml:space="preserve">situated </w:t>
      </w:r>
      <w:r w:rsidR="00A4700B" w:rsidRPr="00A21E4D">
        <w:rPr>
          <w:rFonts w:ascii="Times New Roman" w:hAnsi="Times New Roman" w:cs="Times New Roman"/>
          <w:sz w:val="24"/>
          <w:szCs w:val="24"/>
          <w:lang w:val="en-GB"/>
        </w:rPr>
        <w:t xml:space="preserve">at the level of EU law, but within the national </w:t>
      </w:r>
      <w:r w:rsidR="002B1F6C" w:rsidRPr="00A21E4D">
        <w:rPr>
          <w:rFonts w:ascii="Times New Roman" w:hAnsi="Times New Roman" w:cs="Times New Roman"/>
          <w:sz w:val="24"/>
          <w:szCs w:val="24"/>
          <w:lang w:val="en-GB"/>
        </w:rPr>
        <w:t>one</w:t>
      </w:r>
      <w:r w:rsidR="00A4700B" w:rsidRPr="00A21E4D">
        <w:rPr>
          <w:rFonts w:ascii="Times New Roman" w:hAnsi="Times New Roman" w:cs="Times New Roman"/>
          <w:sz w:val="24"/>
          <w:szCs w:val="24"/>
          <w:lang w:val="en-GB"/>
        </w:rPr>
        <w:t>. A common trait shared by the two lines of case-la</w:t>
      </w:r>
      <w:r w:rsidR="00A334F8" w:rsidRPr="00A21E4D">
        <w:rPr>
          <w:rFonts w:ascii="Times New Roman" w:hAnsi="Times New Roman" w:cs="Times New Roman"/>
          <w:sz w:val="24"/>
          <w:szCs w:val="24"/>
          <w:lang w:val="en-GB"/>
        </w:rPr>
        <w:t xml:space="preserve">w concerning the </w:t>
      </w:r>
      <w:r w:rsidR="00C36F8E" w:rsidRPr="00A21E4D">
        <w:rPr>
          <w:rFonts w:ascii="Times New Roman" w:hAnsi="Times New Roman" w:cs="Times New Roman"/>
          <w:sz w:val="24"/>
          <w:szCs w:val="24"/>
          <w:lang w:val="en-GB"/>
        </w:rPr>
        <w:t>S</w:t>
      </w:r>
      <w:r w:rsidR="00A334F8" w:rsidRPr="00A21E4D">
        <w:rPr>
          <w:rFonts w:ascii="Times New Roman" w:hAnsi="Times New Roman" w:cs="Times New Roman"/>
          <w:sz w:val="24"/>
          <w:szCs w:val="24"/>
          <w:lang w:val="en-GB"/>
        </w:rPr>
        <w:t xml:space="preserve">ocial </w:t>
      </w:r>
      <w:r w:rsidR="00C36F8E" w:rsidRPr="00A21E4D">
        <w:rPr>
          <w:rFonts w:ascii="Times New Roman" w:hAnsi="Times New Roman" w:cs="Times New Roman"/>
          <w:sz w:val="24"/>
          <w:szCs w:val="24"/>
          <w:lang w:val="en-GB"/>
        </w:rPr>
        <w:t>P</w:t>
      </w:r>
      <w:r w:rsidR="00A334F8" w:rsidRPr="00A21E4D">
        <w:rPr>
          <w:rFonts w:ascii="Times New Roman" w:hAnsi="Times New Roman" w:cs="Times New Roman"/>
          <w:sz w:val="24"/>
          <w:szCs w:val="24"/>
          <w:lang w:val="en-GB"/>
        </w:rPr>
        <w:t xml:space="preserve">olicy </w:t>
      </w:r>
      <w:r w:rsidR="00C36F8E" w:rsidRPr="00A21E4D">
        <w:rPr>
          <w:rFonts w:ascii="Times New Roman" w:hAnsi="Times New Roman" w:cs="Times New Roman"/>
          <w:sz w:val="24"/>
          <w:szCs w:val="24"/>
          <w:lang w:val="en-GB"/>
        </w:rPr>
        <w:t>D</w:t>
      </w:r>
      <w:r w:rsidR="005E299F" w:rsidRPr="00A21E4D">
        <w:rPr>
          <w:rFonts w:ascii="Times New Roman" w:hAnsi="Times New Roman" w:cs="Times New Roman"/>
          <w:sz w:val="24"/>
          <w:szCs w:val="24"/>
          <w:lang w:val="en-GB"/>
        </w:rPr>
        <w:t xml:space="preserve">irectives </w:t>
      </w:r>
      <w:r w:rsidR="00A4700B" w:rsidRPr="00A21E4D">
        <w:rPr>
          <w:rFonts w:ascii="Times New Roman" w:hAnsi="Times New Roman" w:cs="Times New Roman"/>
          <w:sz w:val="24"/>
          <w:szCs w:val="24"/>
          <w:lang w:val="en-GB"/>
        </w:rPr>
        <w:t>is the key rol</w:t>
      </w:r>
      <w:r w:rsidR="00430C18" w:rsidRPr="00A21E4D">
        <w:rPr>
          <w:rFonts w:ascii="Times New Roman" w:hAnsi="Times New Roman" w:cs="Times New Roman"/>
          <w:sz w:val="24"/>
          <w:szCs w:val="24"/>
          <w:lang w:val="en-GB"/>
        </w:rPr>
        <w:t>e played by general principles. In the case of a “conditional renvoi”, these principles, like equality, are the objectives u</w:t>
      </w:r>
      <w:r w:rsidR="00A334F8" w:rsidRPr="00A21E4D">
        <w:rPr>
          <w:rFonts w:ascii="Times New Roman" w:hAnsi="Times New Roman" w:cs="Times New Roman"/>
          <w:sz w:val="24"/>
          <w:szCs w:val="24"/>
          <w:lang w:val="en-GB"/>
        </w:rPr>
        <w:t>nderlining the adoption of the D</w:t>
      </w:r>
      <w:r w:rsidR="00430C18" w:rsidRPr="00A21E4D">
        <w:rPr>
          <w:rFonts w:ascii="Times New Roman" w:hAnsi="Times New Roman" w:cs="Times New Roman"/>
          <w:sz w:val="24"/>
          <w:szCs w:val="24"/>
          <w:lang w:val="en-GB"/>
        </w:rPr>
        <w:t xml:space="preserve">irectives. The referring judge has to interpret its national law in a sense which will not attain those objectives. </w:t>
      </w:r>
      <w:r w:rsidR="00C85C97" w:rsidRPr="00A21E4D">
        <w:rPr>
          <w:rFonts w:ascii="Times New Roman" w:hAnsi="Times New Roman" w:cs="Times New Roman"/>
          <w:sz w:val="24"/>
          <w:szCs w:val="24"/>
          <w:lang w:val="en-GB"/>
        </w:rPr>
        <w:t xml:space="preserve">In this perspective, national law is seen as self-contradictory, as it treats differently categories which are not substantially different. </w:t>
      </w:r>
      <w:r w:rsidR="00A546D5" w:rsidRPr="00A21E4D">
        <w:rPr>
          <w:rFonts w:ascii="Times New Roman" w:hAnsi="Times New Roman" w:cs="Times New Roman"/>
          <w:sz w:val="24"/>
          <w:szCs w:val="24"/>
          <w:lang w:val="en-GB"/>
        </w:rPr>
        <w:t xml:space="preserve">The Court gives clues to the national judge to help him in this task. </w:t>
      </w:r>
      <w:r w:rsidR="00074FAF" w:rsidRPr="00A21E4D">
        <w:rPr>
          <w:rFonts w:ascii="Times New Roman" w:hAnsi="Times New Roman" w:cs="Times New Roman"/>
          <w:sz w:val="24"/>
          <w:szCs w:val="24"/>
          <w:lang w:val="en-GB"/>
        </w:rPr>
        <w:t>These includes elements which are not directly linked to the link of subordination, but which consists in the benefits that the person draws from the relationship, like for example, sickness pay, maternity leave, etc.</w:t>
      </w:r>
    </w:p>
    <w:p w14:paraId="3A450898" w14:textId="77777777" w:rsidR="00074FAF" w:rsidRPr="00A21E4D" w:rsidRDefault="00074FAF" w:rsidP="00F0032F">
      <w:pPr>
        <w:pStyle w:val="Sansinterligne"/>
        <w:jc w:val="both"/>
        <w:rPr>
          <w:rFonts w:ascii="Times New Roman" w:hAnsi="Times New Roman" w:cs="Times New Roman"/>
          <w:sz w:val="24"/>
          <w:szCs w:val="24"/>
          <w:lang w:val="en-GB"/>
        </w:rPr>
      </w:pPr>
    </w:p>
    <w:p w14:paraId="05678F0F" w14:textId="0F1D2004" w:rsidR="00074FAF" w:rsidRPr="00A21E4D" w:rsidRDefault="00074FAF"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1F43A9" w:rsidRPr="00A21E4D">
        <w:rPr>
          <w:rFonts w:ascii="Times New Roman" w:hAnsi="Times New Roman" w:cs="Times New Roman"/>
          <w:sz w:val="24"/>
          <w:szCs w:val="24"/>
          <w:lang w:val="en-GB"/>
        </w:rPr>
        <w:t>We can</w:t>
      </w:r>
      <w:r w:rsidRPr="00A21E4D">
        <w:rPr>
          <w:rFonts w:ascii="Times New Roman" w:hAnsi="Times New Roman" w:cs="Times New Roman"/>
          <w:sz w:val="24"/>
          <w:szCs w:val="24"/>
          <w:lang w:val="en-GB"/>
        </w:rPr>
        <w:t xml:space="preserve"> </w:t>
      </w:r>
      <w:r w:rsidR="00A10FAF" w:rsidRPr="00A21E4D">
        <w:rPr>
          <w:rFonts w:ascii="Times New Roman" w:hAnsi="Times New Roman" w:cs="Times New Roman"/>
          <w:sz w:val="24"/>
          <w:szCs w:val="24"/>
          <w:lang w:val="en-GB"/>
        </w:rPr>
        <w:t xml:space="preserve">conclude </w:t>
      </w:r>
      <w:r w:rsidRPr="00A21E4D">
        <w:rPr>
          <w:rFonts w:ascii="Times New Roman" w:hAnsi="Times New Roman" w:cs="Times New Roman"/>
          <w:sz w:val="24"/>
          <w:szCs w:val="24"/>
          <w:lang w:val="en-GB"/>
        </w:rPr>
        <w:t xml:space="preserve">that there is no unitary concept of worker currently existing </w:t>
      </w:r>
      <w:r w:rsidR="002B4753" w:rsidRPr="00A21E4D">
        <w:rPr>
          <w:rFonts w:ascii="Times New Roman" w:hAnsi="Times New Roman" w:cs="Times New Roman"/>
          <w:sz w:val="24"/>
          <w:szCs w:val="24"/>
          <w:lang w:val="en-GB"/>
        </w:rPr>
        <w:t>in EU law</w:t>
      </w:r>
      <w:r w:rsidRPr="00A21E4D">
        <w:rPr>
          <w:rFonts w:ascii="Times New Roman" w:hAnsi="Times New Roman" w:cs="Times New Roman"/>
          <w:sz w:val="24"/>
          <w:szCs w:val="24"/>
          <w:lang w:val="en-GB"/>
        </w:rPr>
        <w:t xml:space="preserve">. </w:t>
      </w:r>
      <w:r w:rsidR="001922B4" w:rsidRPr="00A21E4D">
        <w:rPr>
          <w:rFonts w:ascii="Times New Roman" w:hAnsi="Times New Roman" w:cs="Times New Roman"/>
          <w:sz w:val="24"/>
          <w:szCs w:val="24"/>
          <w:lang w:val="en-GB"/>
        </w:rPr>
        <w:t>W</w:t>
      </w:r>
      <w:r w:rsidR="00A10FAF" w:rsidRPr="00A21E4D">
        <w:rPr>
          <w:rFonts w:ascii="Times New Roman" w:hAnsi="Times New Roman" w:cs="Times New Roman"/>
          <w:sz w:val="24"/>
          <w:szCs w:val="24"/>
          <w:lang w:val="en-GB"/>
        </w:rPr>
        <w:t xml:space="preserve">e </w:t>
      </w:r>
      <w:r w:rsidRPr="00A21E4D">
        <w:rPr>
          <w:rFonts w:ascii="Times New Roman" w:hAnsi="Times New Roman" w:cs="Times New Roman"/>
          <w:sz w:val="24"/>
          <w:szCs w:val="24"/>
          <w:lang w:val="en-GB"/>
        </w:rPr>
        <w:t>can identify t</w:t>
      </w:r>
      <w:r w:rsidR="001F43A9" w:rsidRPr="00A21E4D">
        <w:rPr>
          <w:rFonts w:ascii="Times New Roman" w:hAnsi="Times New Roman" w:cs="Times New Roman"/>
          <w:sz w:val="24"/>
          <w:szCs w:val="24"/>
          <w:lang w:val="en-GB"/>
        </w:rPr>
        <w:t>he wish of the Court to overcome</w:t>
      </w:r>
      <w:r w:rsidRPr="00A21E4D">
        <w:rPr>
          <w:rFonts w:ascii="Times New Roman" w:hAnsi="Times New Roman" w:cs="Times New Roman"/>
          <w:sz w:val="24"/>
          <w:szCs w:val="24"/>
          <w:lang w:val="en-GB"/>
        </w:rPr>
        <w:t xml:space="preserve"> the boundaries between the different fields of EU Law and </w:t>
      </w:r>
      <w:r w:rsidR="001922B4" w:rsidRPr="00A21E4D">
        <w:rPr>
          <w:rFonts w:ascii="Times New Roman" w:hAnsi="Times New Roman" w:cs="Times New Roman"/>
          <w:sz w:val="24"/>
          <w:szCs w:val="24"/>
          <w:lang w:val="en-GB"/>
        </w:rPr>
        <w:t xml:space="preserve">generalise </w:t>
      </w:r>
      <w:r w:rsidRPr="00A21E4D">
        <w:rPr>
          <w:rFonts w:ascii="Times New Roman" w:hAnsi="Times New Roman" w:cs="Times New Roman"/>
          <w:sz w:val="24"/>
          <w:szCs w:val="24"/>
          <w:lang w:val="en-GB"/>
        </w:rPr>
        <w:t xml:space="preserve">the </w:t>
      </w:r>
      <w:r w:rsidRPr="00A21E4D">
        <w:rPr>
          <w:rFonts w:ascii="Times New Roman" w:hAnsi="Times New Roman" w:cs="Times New Roman"/>
          <w:i/>
          <w:sz w:val="24"/>
          <w:szCs w:val="24"/>
          <w:lang w:val="en-GB"/>
        </w:rPr>
        <w:t>Lawrie-Blum</w:t>
      </w:r>
      <w:r w:rsidRPr="00A21E4D">
        <w:rPr>
          <w:rFonts w:ascii="Times New Roman" w:hAnsi="Times New Roman" w:cs="Times New Roman"/>
          <w:sz w:val="24"/>
          <w:szCs w:val="24"/>
          <w:lang w:val="en-GB"/>
        </w:rPr>
        <w:t xml:space="preserve"> case-law</w:t>
      </w:r>
      <w:r w:rsidR="001922B4" w:rsidRPr="00A21E4D">
        <w:rPr>
          <w:rFonts w:ascii="Times New Roman" w:hAnsi="Times New Roman" w:cs="Times New Roman"/>
          <w:sz w:val="24"/>
          <w:szCs w:val="24"/>
          <w:lang w:val="en-GB"/>
        </w:rPr>
        <w:t xml:space="preserve">. </w:t>
      </w:r>
      <w:r w:rsidR="00893B8B" w:rsidRPr="00A21E4D">
        <w:rPr>
          <w:rFonts w:ascii="Times New Roman" w:hAnsi="Times New Roman" w:cs="Times New Roman"/>
          <w:sz w:val="24"/>
          <w:szCs w:val="24"/>
          <w:lang w:val="en-GB"/>
        </w:rPr>
        <w:t xml:space="preserve">At the same time, </w:t>
      </w:r>
      <w:r w:rsidRPr="00A21E4D">
        <w:rPr>
          <w:rFonts w:ascii="Times New Roman" w:hAnsi="Times New Roman" w:cs="Times New Roman"/>
          <w:sz w:val="24"/>
          <w:szCs w:val="24"/>
          <w:lang w:val="en-GB"/>
        </w:rPr>
        <w:t xml:space="preserve">there </w:t>
      </w:r>
      <w:r w:rsidR="00E4422F" w:rsidRPr="00A21E4D">
        <w:rPr>
          <w:rFonts w:ascii="Times New Roman" w:hAnsi="Times New Roman" w:cs="Times New Roman"/>
          <w:sz w:val="24"/>
          <w:szCs w:val="24"/>
          <w:lang w:val="en-GB"/>
        </w:rPr>
        <w:t xml:space="preserve">are </w:t>
      </w:r>
      <w:r w:rsidRPr="00A21E4D">
        <w:rPr>
          <w:rFonts w:ascii="Times New Roman" w:hAnsi="Times New Roman" w:cs="Times New Roman"/>
          <w:sz w:val="24"/>
          <w:szCs w:val="24"/>
          <w:lang w:val="en-GB"/>
        </w:rPr>
        <w:t xml:space="preserve">still specificities in cases where the Court uses the mechanism of “conditional renvoi” and it is unlikely that this case-law will </w:t>
      </w:r>
      <w:r w:rsidR="00907A79" w:rsidRPr="00A21E4D">
        <w:rPr>
          <w:rFonts w:ascii="Times New Roman" w:hAnsi="Times New Roman" w:cs="Times New Roman"/>
          <w:sz w:val="24"/>
          <w:szCs w:val="24"/>
          <w:lang w:val="en-GB"/>
        </w:rPr>
        <w:t xml:space="preserve">be extended to </w:t>
      </w:r>
      <w:r w:rsidR="00C36F8E" w:rsidRPr="00A21E4D">
        <w:rPr>
          <w:rFonts w:ascii="Times New Roman" w:hAnsi="Times New Roman" w:cs="Times New Roman"/>
          <w:sz w:val="24"/>
          <w:szCs w:val="24"/>
          <w:lang w:val="en-GB"/>
        </w:rPr>
        <w:t>D</w:t>
      </w:r>
      <w:r w:rsidRPr="00A21E4D">
        <w:rPr>
          <w:rFonts w:ascii="Times New Roman" w:hAnsi="Times New Roman" w:cs="Times New Roman"/>
          <w:sz w:val="24"/>
          <w:szCs w:val="24"/>
          <w:lang w:val="en-GB"/>
        </w:rPr>
        <w:t xml:space="preserve">irectives which refer back to national law in </w:t>
      </w:r>
      <w:r w:rsidRPr="00A21E4D">
        <w:rPr>
          <w:rFonts w:ascii="Times New Roman" w:hAnsi="Times New Roman" w:cs="Times New Roman"/>
          <w:sz w:val="24"/>
          <w:szCs w:val="24"/>
          <w:lang w:val="en-GB"/>
        </w:rPr>
        <w:lastRenderedPageBreak/>
        <w:t xml:space="preserve">the near future. </w:t>
      </w:r>
      <w:r w:rsidR="001F43A9" w:rsidRPr="00A21E4D">
        <w:rPr>
          <w:rFonts w:ascii="Times New Roman" w:hAnsi="Times New Roman" w:cs="Times New Roman"/>
          <w:sz w:val="24"/>
          <w:szCs w:val="24"/>
          <w:lang w:val="en-GB"/>
        </w:rPr>
        <w:t xml:space="preserve">The difficulties are rooted in the origins of the European construction itself, and it will be difficult to </w:t>
      </w:r>
      <w:r w:rsidR="002C7710" w:rsidRPr="00A21E4D">
        <w:rPr>
          <w:rFonts w:ascii="Times New Roman" w:hAnsi="Times New Roman" w:cs="Times New Roman"/>
          <w:sz w:val="24"/>
          <w:szCs w:val="24"/>
          <w:lang w:val="en-GB"/>
        </w:rPr>
        <w:t xml:space="preserve">overcome </w:t>
      </w:r>
      <w:r w:rsidR="001F43A9" w:rsidRPr="00A21E4D">
        <w:rPr>
          <w:rFonts w:ascii="Times New Roman" w:hAnsi="Times New Roman" w:cs="Times New Roman"/>
          <w:sz w:val="24"/>
          <w:szCs w:val="24"/>
          <w:lang w:val="en-GB"/>
        </w:rPr>
        <w:t xml:space="preserve">them. </w:t>
      </w:r>
    </w:p>
    <w:p w14:paraId="6B61EDC0" w14:textId="0E6E8C69" w:rsidR="00B74D6A" w:rsidRPr="00A21E4D" w:rsidRDefault="00B74D6A" w:rsidP="00F0032F">
      <w:pPr>
        <w:pStyle w:val="Sansinterligne"/>
        <w:jc w:val="both"/>
        <w:rPr>
          <w:rFonts w:ascii="Times New Roman" w:hAnsi="Times New Roman" w:cs="Times New Roman"/>
          <w:sz w:val="24"/>
          <w:szCs w:val="24"/>
          <w:lang w:val="en-GB"/>
        </w:rPr>
      </w:pPr>
    </w:p>
    <w:p w14:paraId="420D5716" w14:textId="6C567C61" w:rsidR="00B74D6A" w:rsidRPr="00A21E4D" w:rsidRDefault="00B74D6A"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At this point of the reasoning, we would like to address the case of two recent legislative initiatives in the field of Social Policy, namely the Directive on Transparent and Predictable Working Conditions in the European Union</w:t>
      </w:r>
      <w:r w:rsidRPr="00A21E4D">
        <w:rPr>
          <w:rStyle w:val="Appelnotedebasdep"/>
          <w:rFonts w:ascii="Times New Roman" w:hAnsi="Times New Roman" w:cs="Times New Roman"/>
          <w:sz w:val="24"/>
          <w:szCs w:val="24"/>
          <w:lang w:val="en-GB"/>
        </w:rPr>
        <w:footnoteReference w:id="79"/>
      </w:r>
      <w:r w:rsidRPr="00A21E4D">
        <w:rPr>
          <w:rFonts w:ascii="Times New Roman" w:hAnsi="Times New Roman" w:cs="Times New Roman"/>
          <w:sz w:val="24"/>
          <w:szCs w:val="24"/>
          <w:lang w:val="en-GB"/>
        </w:rPr>
        <w:t xml:space="preserve"> and the Work-Life Balance Directive</w:t>
      </w:r>
      <w:r w:rsidRPr="00A21E4D">
        <w:rPr>
          <w:rStyle w:val="Appelnotedebasdep"/>
          <w:rFonts w:ascii="Times New Roman" w:hAnsi="Times New Roman" w:cs="Times New Roman"/>
          <w:sz w:val="24"/>
          <w:szCs w:val="24"/>
          <w:lang w:val="en-GB"/>
        </w:rPr>
        <w:footnoteReference w:id="80"/>
      </w:r>
      <w:r w:rsidRPr="00A21E4D">
        <w:rPr>
          <w:rFonts w:ascii="Times New Roman" w:hAnsi="Times New Roman" w:cs="Times New Roman"/>
          <w:sz w:val="24"/>
          <w:szCs w:val="24"/>
          <w:lang w:val="en-GB"/>
        </w:rPr>
        <w:t>. Those two directives, adopted the same day</w:t>
      </w:r>
      <w:r w:rsidR="00FD08E0" w:rsidRPr="00A21E4D">
        <w:rPr>
          <w:rStyle w:val="Appelnotedebasdep"/>
          <w:rFonts w:ascii="Times New Roman" w:hAnsi="Times New Roman" w:cs="Times New Roman"/>
          <w:sz w:val="24"/>
          <w:szCs w:val="24"/>
          <w:lang w:val="en-GB"/>
        </w:rPr>
        <w:footnoteReference w:id="81"/>
      </w:r>
      <w:r w:rsidRPr="00A21E4D">
        <w:rPr>
          <w:rFonts w:ascii="Times New Roman" w:hAnsi="Times New Roman" w:cs="Times New Roman"/>
          <w:sz w:val="24"/>
          <w:szCs w:val="24"/>
          <w:lang w:val="en-GB"/>
        </w:rPr>
        <w:t xml:space="preserve">, have in common a specific wording of their personal scope. </w:t>
      </w:r>
      <w:r w:rsidR="00540E78" w:rsidRPr="00A21E4D">
        <w:rPr>
          <w:rFonts w:ascii="Times New Roman" w:hAnsi="Times New Roman" w:cs="Times New Roman"/>
          <w:sz w:val="24"/>
          <w:szCs w:val="24"/>
          <w:lang w:val="en-GB"/>
        </w:rPr>
        <w:t>These provisions had a quite tumultuous genesis. Indeed, in the original Commission’s proposal, a proper definition</w:t>
      </w:r>
      <w:r w:rsidR="003904BC" w:rsidRPr="00A21E4D">
        <w:rPr>
          <w:rFonts w:ascii="Times New Roman" w:hAnsi="Times New Roman" w:cs="Times New Roman"/>
          <w:sz w:val="24"/>
          <w:szCs w:val="24"/>
          <w:lang w:val="en-GB"/>
        </w:rPr>
        <w:t xml:space="preserve"> of a worker</w:t>
      </w:r>
      <w:r w:rsidR="00540E78" w:rsidRPr="00A21E4D">
        <w:rPr>
          <w:rFonts w:ascii="Times New Roman" w:hAnsi="Times New Roman" w:cs="Times New Roman"/>
          <w:sz w:val="24"/>
          <w:szCs w:val="24"/>
          <w:lang w:val="en-GB"/>
        </w:rPr>
        <w:t xml:space="preserve">, based on the one developed by the Court in the </w:t>
      </w:r>
      <w:r w:rsidR="00540E78" w:rsidRPr="00A21E4D">
        <w:rPr>
          <w:rFonts w:ascii="Times New Roman" w:hAnsi="Times New Roman" w:cs="Times New Roman"/>
          <w:i/>
          <w:sz w:val="24"/>
          <w:szCs w:val="24"/>
          <w:lang w:val="en-GB"/>
        </w:rPr>
        <w:t>Lawrie-Blum</w:t>
      </w:r>
      <w:r w:rsidR="00540E78" w:rsidRPr="00A21E4D">
        <w:rPr>
          <w:rFonts w:ascii="Times New Roman" w:hAnsi="Times New Roman" w:cs="Times New Roman"/>
          <w:sz w:val="24"/>
          <w:szCs w:val="24"/>
          <w:lang w:val="en-GB"/>
        </w:rPr>
        <w:t xml:space="preserve"> case was intended.  </w:t>
      </w:r>
      <w:r w:rsidR="003904BC" w:rsidRPr="00A21E4D">
        <w:rPr>
          <w:rFonts w:ascii="Times New Roman" w:hAnsi="Times New Roman" w:cs="Times New Roman"/>
          <w:sz w:val="24"/>
          <w:szCs w:val="24"/>
          <w:lang w:val="en-GB"/>
        </w:rPr>
        <w:t xml:space="preserve">This was too ambitious for the Council which re-drafted the text in order to refer back to the national definitions. </w:t>
      </w:r>
      <w:r w:rsidR="008B2DC4" w:rsidRPr="00A21E4D">
        <w:rPr>
          <w:rFonts w:ascii="Times New Roman" w:hAnsi="Times New Roman" w:cs="Times New Roman"/>
          <w:sz w:val="24"/>
          <w:szCs w:val="24"/>
          <w:lang w:val="en-GB"/>
        </w:rPr>
        <w:t>Finally, under the pressure of the Parliament, an original solution was found</w:t>
      </w:r>
      <w:r w:rsidR="002557B0" w:rsidRPr="00A21E4D">
        <w:rPr>
          <w:rStyle w:val="Appelnotedebasdep"/>
          <w:rFonts w:ascii="Times New Roman" w:hAnsi="Times New Roman" w:cs="Times New Roman"/>
          <w:sz w:val="24"/>
          <w:szCs w:val="24"/>
          <w:lang w:val="en-GB"/>
        </w:rPr>
        <w:footnoteReference w:id="82"/>
      </w:r>
      <w:r w:rsidR="008B2DC4" w:rsidRPr="00A21E4D">
        <w:rPr>
          <w:rFonts w:ascii="Times New Roman" w:hAnsi="Times New Roman" w:cs="Times New Roman"/>
          <w:sz w:val="24"/>
          <w:szCs w:val="24"/>
          <w:lang w:val="en-GB"/>
        </w:rPr>
        <w:t xml:space="preserve">. From now on, the Directives apply to “every worker in the Union who has an employment contract or employment relationship as defined by the law, collective agreements or practices in force in each Member State, </w:t>
      </w:r>
      <w:r w:rsidR="008B2DC4" w:rsidRPr="00A21E4D">
        <w:rPr>
          <w:rFonts w:ascii="Times New Roman" w:hAnsi="Times New Roman" w:cs="Times New Roman"/>
          <w:i/>
          <w:sz w:val="24"/>
          <w:szCs w:val="24"/>
          <w:lang w:val="en-GB"/>
        </w:rPr>
        <w:t xml:space="preserve">with consideration to the case law of the Court of Justice </w:t>
      </w:r>
      <w:r w:rsidR="008B2DC4" w:rsidRPr="00A21E4D">
        <w:rPr>
          <w:rFonts w:ascii="Times New Roman" w:hAnsi="Times New Roman" w:cs="Times New Roman"/>
          <w:sz w:val="24"/>
          <w:szCs w:val="24"/>
          <w:lang w:val="en-GB"/>
        </w:rPr>
        <w:t>(we underline)</w:t>
      </w:r>
      <w:r w:rsidR="008B2DC4" w:rsidRPr="00A21E4D">
        <w:rPr>
          <w:rStyle w:val="Appelnotedebasdep"/>
          <w:rFonts w:ascii="Times New Roman" w:hAnsi="Times New Roman" w:cs="Times New Roman"/>
          <w:sz w:val="24"/>
          <w:szCs w:val="24"/>
          <w:lang w:val="en-GB"/>
        </w:rPr>
        <w:footnoteReference w:id="83"/>
      </w:r>
      <w:r w:rsidR="00123F64" w:rsidRPr="00A21E4D">
        <w:rPr>
          <w:rFonts w:ascii="Times New Roman" w:hAnsi="Times New Roman" w:cs="Times New Roman"/>
          <w:sz w:val="24"/>
          <w:szCs w:val="24"/>
          <w:lang w:val="en-GB"/>
        </w:rPr>
        <w:t xml:space="preserve">. In our eyes, this solution can be compared with the outcome of the evolution of the Court’s case-law in the field of Directives which refer back to the national concept of worker. This assumption </w:t>
      </w:r>
      <w:r w:rsidR="0052077C" w:rsidRPr="00A21E4D">
        <w:rPr>
          <w:rFonts w:ascii="Times New Roman" w:hAnsi="Times New Roman" w:cs="Times New Roman"/>
          <w:sz w:val="24"/>
          <w:szCs w:val="24"/>
          <w:lang w:val="en-GB"/>
        </w:rPr>
        <w:t>is backed by the recital 8 of Directive 1152/2019,</w:t>
      </w:r>
      <w:r w:rsidR="003233E3" w:rsidRPr="00A21E4D">
        <w:rPr>
          <w:rFonts w:ascii="Times New Roman" w:hAnsi="Times New Roman" w:cs="Times New Roman"/>
          <w:sz w:val="24"/>
          <w:szCs w:val="24"/>
          <w:lang w:val="en-GB"/>
        </w:rPr>
        <w:t xml:space="preserve"> which states that the criteria provided by the case-law should be taken into consideration in the implementation of the directive. </w:t>
      </w:r>
      <w:r w:rsidR="0052077C" w:rsidRPr="00A21E4D">
        <w:rPr>
          <w:rFonts w:ascii="Times New Roman" w:hAnsi="Times New Roman" w:cs="Times New Roman"/>
          <w:sz w:val="24"/>
          <w:szCs w:val="24"/>
          <w:lang w:val="en-GB"/>
        </w:rPr>
        <w:t xml:space="preserve"> </w:t>
      </w:r>
      <w:r w:rsidR="003233E3" w:rsidRPr="00A21E4D">
        <w:rPr>
          <w:rFonts w:ascii="Times New Roman" w:hAnsi="Times New Roman" w:cs="Times New Roman"/>
          <w:sz w:val="24"/>
          <w:szCs w:val="24"/>
          <w:lang w:val="en-GB"/>
        </w:rPr>
        <w:t>Several cases are</w:t>
      </w:r>
      <w:r w:rsidR="0065676D" w:rsidRPr="00A21E4D">
        <w:rPr>
          <w:rFonts w:ascii="Times New Roman" w:hAnsi="Times New Roman" w:cs="Times New Roman"/>
          <w:sz w:val="24"/>
          <w:szCs w:val="24"/>
          <w:lang w:val="en-GB"/>
        </w:rPr>
        <w:t xml:space="preserve"> then</w:t>
      </w:r>
      <w:r w:rsidR="003233E3" w:rsidRPr="00A21E4D">
        <w:rPr>
          <w:rFonts w:ascii="Times New Roman" w:hAnsi="Times New Roman" w:cs="Times New Roman"/>
          <w:sz w:val="24"/>
          <w:szCs w:val="24"/>
          <w:lang w:val="en-GB"/>
        </w:rPr>
        <w:t xml:space="preserve"> mentioned, among which </w:t>
      </w:r>
      <w:r w:rsidR="003233E3" w:rsidRPr="00A21E4D">
        <w:rPr>
          <w:rFonts w:ascii="Times New Roman" w:hAnsi="Times New Roman" w:cs="Times New Roman"/>
          <w:i/>
          <w:sz w:val="24"/>
          <w:szCs w:val="24"/>
          <w:lang w:val="en-GB"/>
        </w:rPr>
        <w:t>Lawrie-Blum</w:t>
      </w:r>
      <w:r w:rsidR="003233E3" w:rsidRPr="00A21E4D">
        <w:rPr>
          <w:rFonts w:ascii="Times New Roman" w:hAnsi="Times New Roman" w:cs="Times New Roman"/>
          <w:sz w:val="24"/>
          <w:szCs w:val="24"/>
          <w:lang w:val="en-GB"/>
        </w:rPr>
        <w:t xml:space="preserve"> but also </w:t>
      </w:r>
      <w:r w:rsidR="003233E3" w:rsidRPr="00A21E4D">
        <w:rPr>
          <w:rFonts w:ascii="Times New Roman" w:hAnsi="Times New Roman" w:cs="Times New Roman"/>
          <w:i/>
          <w:sz w:val="24"/>
          <w:szCs w:val="24"/>
          <w:lang w:val="en-GB"/>
        </w:rPr>
        <w:t>Betriebsrat der Ruhrlandsklinik</w:t>
      </w:r>
      <w:r w:rsidR="003233E3" w:rsidRPr="00A21E4D">
        <w:rPr>
          <w:rFonts w:ascii="Times New Roman" w:hAnsi="Times New Roman" w:cs="Times New Roman"/>
          <w:sz w:val="24"/>
          <w:szCs w:val="24"/>
          <w:lang w:val="en-GB"/>
        </w:rPr>
        <w:t>.</w:t>
      </w:r>
      <w:r w:rsidR="00123F64" w:rsidRPr="00A21E4D">
        <w:rPr>
          <w:rFonts w:ascii="Times New Roman" w:hAnsi="Times New Roman" w:cs="Times New Roman"/>
          <w:sz w:val="24"/>
          <w:szCs w:val="24"/>
          <w:lang w:val="en-GB"/>
        </w:rPr>
        <w:t xml:space="preserve"> </w:t>
      </w:r>
      <w:r w:rsidR="00EF1B2A" w:rsidRPr="00A21E4D">
        <w:rPr>
          <w:rFonts w:ascii="Times New Roman" w:hAnsi="Times New Roman" w:cs="Times New Roman"/>
          <w:sz w:val="24"/>
          <w:szCs w:val="24"/>
          <w:lang w:val="en-GB"/>
        </w:rPr>
        <w:t>It remains to be seen if this way of drafting personal scope provisions will be generalised to future Social Policy Directives, and how the Court of justice will handle these provisions. We consider although that, in light of the findings of this paper, these new Directives offer opportunities to the Court to go further with the definition</w:t>
      </w:r>
      <w:r w:rsidR="002D3D73" w:rsidRPr="00A21E4D">
        <w:rPr>
          <w:rFonts w:ascii="Times New Roman" w:hAnsi="Times New Roman" w:cs="Times New Roman"/>
          <w:sz w:val="24"/>
          <w:szCs w:val="24"/>
          <w:lang w:val="en-GB"/>
        </w:rPr>
        <w:t>s</w:t>
      </w:r>
      <w:r w:rsidR="00EF1B2A" w:rsidRPr="00A21E4D">
        <w:rPr>
          <w:rFonts w:ascii="Times New Roman" w:hAnsi="Times New Roman" w:cs="Times New Roman"/>
          <w:sz w:val="24"/>
          <w:szCs w:val="24"/>
          <w:lang w:val="en-GB"/>
        </w:rPr>
        <w:t xml:space="preserve"> of a worker in European Law, even if</w:t>
      </w:r>
      <w:r w:rsidR="002D3D73" w:rsidRPr="00A21E4D">
        <w:rPr>
          <w:rFonts w:ascii="Times New Roman" w:hAnsi="Times New Roman" w:cs="Times New Roman"/>
          <w:sz w:val="24"/>
          <w:szCs w:val="24"/>
          <w:lang w:val="en-GB"/>
        </w:rPr>
        <w:t xml:space="preserve"> it does not reach a single, common concept</w:t>
      </w:r>
      <w:r w:rsidR="00EF1B2A" w:rsidRPr="00A21E4D">
        <w:rPr>
          <w:rFonts w:ascii="Times New Roman" w:hAnsi="Times New Roman" w:cs="Times New Roman"/>
          <w:sz w:val="24"/>
          <w:szCs w:val="24"/>
          <w:lang w:val="en-GB"/>
        </w:rPr>
        <w:t>.</w:t>
      </w:r>
    </w:p>
    <w:p w14:paraId="70E7E2C6" w14:textId="77777777" w:rsidR="001F43A9" w:rsidRPr="00A21E4D" w:rsidRDefault="001F43A9" w:rsidP="00F0032F">
      <w:pPr>
        <w:pStyle w:val="Sansinterligne"/>
        <w:jc w:val="both"/>
        <w:rPr>
          <w:rFonts w:ascii="Times New Roman" w:hAnsi="Times New Roman" w:cs="Times New Roman"/>
          <w:sz w:val="24"/>
          <w:szCs w:val="24"/>
          <w:lang w:val="en-GB"/>
        </w:rPr>
      </w:pPr>
    </w:p>
    <w:p w14:paraId="79E80AAF" w14:textId="7022D6CE" w:rsidR="006C0844" w:rsidRPr="00A21E4D" w:rsidRDefault="001F43A9"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But do we really need to introduce a common concept of worker, releva</w:t>
      </w:r>
      <w:r w:rsidR="00A70827" w:rsidRPr="00A21E4D">
        <w:rPr>
          <w:rFonts w:ascii="Times New Roman" w:hAnsi="Times New Roman" w:cs="Times New Roman"/>
          <w:sz w:val="24"/>
          <w:szCs w:val="24"/>
          <w:lang w:val="en-GB"/>
        </w:rPr>
        <w:t>nt for all the fields of EU law</w:t>
      </w:r>
      <w:r w:rsidRPr="00A21E4D">
        <w:rPr>
          <w:rFonts w:ascii="Times New Roman" w:hAnsi="Times New Roman" w:cs="Times New Roman"/>
          <w:sz w:val="24"/>
          <w:szCs w:val="24"/>
          <w:lang w:val="en-GB"/>
        </w:rPr>
        <w:t xml:space="preserve">? If it is the case, which concept should be used? Is the </w:t>
      </w:r>
      <w:r w:rsidR="005974F6" w:rsidRPr="00A21E4D">
        <w:rPr>
          <w:rFonts w:ascii="Times New Roman" w:hAnsi="Times New Roman" w:cs="Times New Roman"/>
          <w:sz w:val="24"/>
          <w:szCs w:val="24"/>
          <w:lang w:val="en-GB"/>
        </w:rPr>
        <w:t xml:space="preserve">generalisation </w:t>
      </w:r>
      <w:r w:rsidRPr="00A21E4D">
        <w:rPr>
          <w:rFonts w:ascii="Times New Roman" w:hAnsi="Times New Roman" w:cs="Times New Roman"/>
          <w:sz w:val="24"/>
          <w:szCs w:val="24"/>
          <w:lang w:val="en-GB"/>
        </w:rPr>
        <w:t xml:space="preserve">of the one drawn from </w:t>
      </w:r>
      <w:r w:rsidRPr="00A21E4D">
        <w:rPr>
          <w:rFonts w:ascii="Times New Roman" w:hAnsi="Times New Roman" w:cs="Times New Roman"/>
          <w:i/>
          <w:sz w:val="24"/>
          <w:szCs w:val="24"/>
          <w:lang w:val="en-GB"/>
        </w:rPr>
        <w:t>Lawrie-Blum</w:t>
      </w:r>
      <w:r w:rsidRPr="00A21E4D">
        <w:rPr>
          <w:rFonts w:ascii="Times New Roman" w:hAnsi="Times New Roman" w:cs="Times New Roman"/>
          <w:sz w:val="24"/>
          <w:szCs w:val="24"/>
          <w:lang w:val="en-GB"/>
        </w:rPr>
        <w:t xml:space="preserve"> the best option available? </w:t>
      </w:r>
      <w:r w:rsidR="00A70827" w:rsidRPr="00A21E4D">
        <w:rPr>
          <w:rFonts w:ascii="Times New Roman" w:hAnsi="Times New Roman" w:cs="Times New Roman"/>
          <w:sz w:val="24"/>
          <w:szCs w:val="24"/>
          <w:lang w:val="en-GB"/>
        </w:rPr>
        <w:t>New challenges are ahead: atypical work</w:t>
      </w:r>
      <w:r w:rsidR="00F32BDD" w:rsidRPr="00A21E4D">
        <w:rPr>
          <w:rFonts w:ascii="Times New Roman" w:hAnsi="Times New Roman" w:cs="Times New Roman"/>
          <w:sz w:val="24"/>
          <w:szCs w:val="24"/>
          <w:lang w:val="en-GB"/>
        </w:rPr>
        <w:t>, like in gig economy</w:t>
      </w:r>
      <w:r w:rsidR="00F32BDD" w:rsidRPr="00A21E4D">
        <w:rPr>
          <w:rStyle w:val="Appelnotedebasdep"/>
          <w:rFonts w:ascii="Times New Roman" w:hAnsi="Times New Roman" w:cs="Times New Roman"/>
          <w:sz w:val="24"/>
          <w:szCs w:val="24"/>
          <w:lang w:val="en-GB"/>
        </w:rPr>
        <w:footnoteReference w:id="84"/>
      </w:r>
      <w:r w:rsidR="00F32BDD" w:rsidRPr="00A21E4D">
        <w:rPr>
          <w:rFonts w:ascii="Times New Roman" w:hAnsi="Times New Roman" w:cs="Times New Roman"/>
          <w:sz w:val="24"/>
          <w:szCs w:val="24"/>
          <w:lang w:val="en-GB"/>
        </w:rPr>
        <w:t>,</w:t>
      </w:r>
      <w:r w:rsidR="00A70827" w:rsidRPr="00A21E4D">
        <w:rPr>
          <w:rFonts w:ascii="Times New Roman" w:hAnsi="Times New Roman" w:cs="Times New Roman"/>
          <w:sz w:val="24"/>
          <w:szCs w:val="24"/>
          <w:lang w:val="en-GB"/>
        </w:rPr>
        <w:t xml:space="preserve"> is on the rise, and a proper protection will be needed for the workers concerned.</w:t>
      </w:r>
      <w:r w:rsidR="00F32BDD" w:rsidRPr="00A21E4D">
        <w:rPr>
          <w:rFonts w:ascii="Times New Roman" w:hAnsi="Times New Roman" w:cs="Times New Roman"/>
          <w:sz w:val="24"/>
          <w:szCs w:val="24"/>
          <w:lang w:val="en-GB"/>
        </w:rPr>
        <w:t xml:space="preserve"> Between employees and self-employed</w:t>
      </w:r>
      <w:r w:rsidR="00A70827" w:rsidRPr="00A21E4D">
        <w:rPr>
          <w:rFonts w:ascii="Times New Roman" w:hAnsi="Times New Roman" w:cs="Times New Roman"/>
          <w:sz w:val="24"/>
          <w:szCs w:val="24"/>
          <w:lang w:val="en-GB"/>
        </w:rPr>
        <w:t>,</w:t>
      </w:r>
      <w:r w:rsidR="00CB2624" w:rsidRPr="00A21E4D">
        <w:rPr>
          <w:rFonts w:ascii="Times New Roman" w:hAnsi="Times New Roman" w:cs="Times New Roman"/>
          <w:sz w:val="24"/>
          <w:szCs w:val="24"/>
          <w:lang w:val="en-GB"/>
        </w:rPr>
        <w:t xml:space="preserve"> </w:t>
      </w:r>
      <w:r w:rsidR="00A70827" w:rsidRPr="00A21E4D">
        <w:rPr>
          <w:rFonts w:ascii="Times New Roman" w:hAnsi="Times New Roman" w:cs="Times New Roman"/>
          <w:sz w:val="24"/>
          <w:szCs w:val="24"/>
          <w:lang w:val="en-GB"/>
        </w:rPr>
        <w:t xml:space="preserve">“grey areas” </w:t>
      </w:r>
      <w:r w:rsidR="00CB2624" w:rsidRPr="00A21E4D">
        <w:rPr>
          <w:rFonts w:ascii="Times New Roman" w:hAnsi="Times New Roman" w:cs="Times New Roman"/>
          <w:sz w:val="24"/>
          <w:szCs w:val="24"/>
          <w:lang w:val="en-GB"/>
        </w:rPr>
        <w:t>now exist instead of a clear-cut border</w:t>
      </w:r>
      <w:r w:rsidR="00CB2624" w:rsidRPr="00A21E4D">
        <w:rPr>
          <w:rStyle w:val="Appelnotedebasdep"/>
          <w:rFonts w:ascii="Times New Roman" w:hAnsi="Times New Roman" w:cs="Times New Roman"/>
          <w:sz w:val="24"/>
          <w:szCs w:val="24"/>
          <w:lang w:val="en-GB"/>
        </w:rPr>
        <w:footnoteReference w:id="85"/>
      </w:r>
      <w:r w:rsidR="00CB2624" w:rsidRPr="00A21E4D">
        <w:rPr>
          <w:rFonts w:ascii="Times New Roman" w:hAnsi="Times New Roman" w:cs="Times New Roman"/>
          <w:sz w:val="24"/>
          <w:szCs w:val="24"/>
          <w:lang w:val="en-GB"/>
        </w:rPr>
        <w:t>.</w:t>
      </w:r>
      <w:r w:rsidR="001961E6" w:rsidRPr="00A21E4D">
        <w:rPr>
          <w:rFonts w:ascii="Times New Roman" w:hAnsi="Times New Roman" w:cs="Times New Roman"/>
          <w:sz w:val="24"/>
          <w:szCs w:val="24"/>
          <w:lang w:val="en-GB"/>
        </w:rPr>
        <w:t xml:space="preserve"> </w:t>
      </w:r>
    </w:p>
    <w:p w14:paraId="039798B2" w14:textId="4C219A95" w:rsidR="006C0844" w:rsidRPr="00A21E4D" w:rsidRDefault="006C0844" w:rsidP="00F0032F">
      <w:pPr>
        <w:pStyle w:val="Sansinterligne"/>
        <w:jc w:val="both"/>
        <w:rPr>
          <w:rFonts w:ascii="Times New Roman" w:hAnsi="Times New Roman" w:cs="Times New Roman"/>
          <w:sz w:val="24"/>
          <w:szCs w:val="24"/>
          <w:lang w:val="en-GB"/>
        </w:rPr>
      </w:pPr>
    </w:p>
    <w:p w14:paraId="40341C5F" w14:textId="6D04780D" w:rsidR="006C0844" w:rsidRPr="00A21E4D" w:rsidRDefault="006C0844"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t xml:space="preserve">Currently, the question of the qualification of these workers is mostly handled by Member States. We note a wide disparity in the solutions proposed. The case of platform </w:t>
      </w:r>
      <w:r w:rsidRPr="00A21E4D">
        <w:rPr>
          <w:rFonts w:ascii="Times New Roman" w:hAnsi="Times New Roman" w:cs="Times New Roman"/>
          <w:sz w:val="24"/>
          <w:szCs w:val="24"/>
          <w:lang w:val="en-GB"/>
        </w:rPr>
        <w:lastRenderedPageBreak/>
        <w:t>workers is particularly eloquent</w:t>
      </w:r>
      <w:r w:rsidR="00992171" w:rsidRPr="00A21E4D">
        <w:rPr>
          <w:rFonts w:ascii="Times New Roman" w:hAnsi="Times New Roman" w:cs="Times New Roman"/>
          <w:sz w:val="24"/>
          <w:szCs w:val="24"/>
          <w:lang w:val="en-GB"/>
        </w:rPr>
        <w:t>, going from deregulation (like in Belgium</w:t>
      </w:r>
      <w:r w:rsidR="005E4117" w:rsidRPr="00A21E4D">
        <w:rPr>
          <w:rStyle w:val="Appelnotedebasdep"/>
          <w:rFonts w:ascii="Times New Roman" w:hAnsi="Times New Roman" w:cs="Times New Roman"/>
          <w:sz w:val="24"/>
          <w:szCs w:val="24"/>
          <w:lang w:val="en-GB"/>
        </w:rPr>
        <w:footnoteReference w:id="86"/>
      </w:r>
      <w:r w:rsidR="00992171" w:rsidRPr="00A21E4D">
        <w:rPr>
          <w:rFonts w:ascii="Times New Roman" w:hAnsi="Times New Roman" w:cs="Times New Roman"/>
          <w:sz w:val="24"/>
          <w:szCs w:val="24"/>
          <w:lang w:val="en-GB"/>
        </w:rPr>
        <w:t>) to the establishment of an intermediate category between employees and self-employed (like in Germany or in Italy</w:t>
      </w:r>
      <w:r w:rsidR="00E9721F" w:rsidRPr="00A21E4D">
        <w:rPr>
          <w:rStyle w:val="Appelnotedebasdep"/>
          <w:rFonts w:ascii="Times New Roman" w:hAnsi="Times New Roman" w:cs="Times New Roman"/>
          <w:sz w:val="24"/>
          <w:szCs w:val="24"/>
          <w:lang w:val="en-GB"/>
        </w:rPr>
        <w:footnoteReference w:id="87"/>
      </w:r>
      <w:r w:rsidR="00992171" w:rsidRPr="00A21E4D">
        <w:rPr>
          <w:rFonts w:ascii="Times New Roman" w:hAnsi="Times New Roman" w:cs="Times New Roman"/>
          <w:sz w:val="24"/>
          <w:szCs w:val="24"/>
          <w:lang w:val="en-GB"/>
        </w:rPr>
        <w:t>).</w:t>
      </w:r>
      <w:r w:rsidR="005E4117" w:rsidRPr="00A21E4D">
        <w:rPr>
          <w:rFonts w:ascii="Times New Roman" w:hAnsi="Times New Roman" w:cs="Times New Roman"/>
          <w:sz w:val="24"/>
          <w:szCs w:val="24"/>
          <w:lang w:val="en-GB"/>
        </w:rPr>
        <w:t xml:space="preserve"> This means that a gig worker risks to be treated differently depending on the applicable (national) law. </w:t>
      </w:r>
      <w:r w:rsidR="002A55FC" w:rsidRPr="00A21E4D">
        <w:rPr>
          <w:rFonts w:ascii="Times New Roman" w:hAnsi="Times New Roman" w:cs="Times New Roman"/>
          <w:sz w:val="24"/>
          <w:szCs w:val="24"/>
          <w:lang w:val="en-GB"/>
        </w:rPr>
        <w:t>This issue was one of the main reasons behind the Commission’s proposal which would lead to the adoption of the Directive on Transparent and Predictable Working Conditions.</w:t>
      </w:r>
      <w:r w:rsidR="00AD1BA1" w:rsidRPr="00A21E4D">
        <w:rPr>
          <w:rFonts w:ascii="Times New Roman" w:hAnsi="Times New Roman" w:cs="Times New Roman"/>
          <w:sz w:val="24"/>
          <w:szCs w:val="24"/>
          <w:lang w:val="en-GB"/>
        </w:rPr>
        <w:t xml:space="preserve"> Unfortunately, as we have seen, the final wording of the Directive does not refer to the atypical workers, which are only mentioned in the recitals</w:t>
      </w:r>
      <w:r w:rsidR="00AD1BA1" w:rsidRPr="00A21E4D">
        <w:rPr>
          <w:rStyle w:val="Appelnotedebasdep"/>
          <w:rFonts w:ascii="Times New Roman" w:hAnsi="Times New Roman" w:cs="Times New Roman"/>
          <w:sz w:val="24"/>
          <w:szCs w:val="24"/>
          <w:lang w:val="en-GB"/>
        </w:rPr>
        <w:footnoteReference w:id="88"/>
      </w:r>
      <w:r w:rsidR="00AD1BA1" w:rsidRPr="00A21E4D">
        <w:rPr>
          <w:rFonts w:ascii="Times New Roman" w:hAnsi="Times New Roman" w:cs="Times New Roman"/>
          <w:sz w:val="24"/>
          <w:szCs w:val="24"/>
          <w:lang w:val="en-GB"/>
        </w:rPr>
        <w:t xml:space="preserve">. </w:t>
      </w:r>
      <w:r w:rsidR="00976AD3" w:rsidRPr="00A21E4D">
        <w:rPr>
          <w:rFonts w:ascii="Times New Roman" w:hAnsi="Times New Roman" w:cs="Times New Roman"/>
          <w:sz w:val="24"/>
          <w:szCs w:val="24"/>
          <w:lang w:val="en-GB"/>
        </w:rPr>
        <w:t>We advocate</w:t>
      </w:r>
      <w:r w:rsidR="000E5237" w:rsidRPr="00A21E4D">
        <w:rPr>
          <w:rFonts w:ascii="Times New Roman" w:hAnsi="Times New Roman" w:cs="Times New Roman"/>
          <w:sz w:val="24"/>
          <w:szCs w:val="24"/>
          <w:lang w:val="en-GB"/>
        </w:rPr>
        <w:t xml:space="preserve"> </w:t>
      </w:r>
      <w:r w:rsidR="00BF5ED4" w:rsidRPr="00A21E4D">
        <w:rPr>
          <w:rFonts w:ascii="Times New Roman" w:hAnsi="Times New Roman" w:cs="Times New Roman"/>
          <w:sz w:val="24"/>
          <w:szCs w:val="24"/>
          <w:lang w:val="en-GB"/>
        </w:rPr>
        <w:t>for an intervention of the Court to provide</w:t>
      </w:r>
      <w:r w:rsidR="00681C6D" w:rsidRPr="00A21E4D">
        <w:rPr>
          <w:rFonts w:ascii="Times New Roman" w:hAnsi="Times New Roman" w:cs="Times New Roman"/>
          <w:sz w:val="24"/>
          <w:szCs w:val="24"/>
          <w:lang w:val="en-GB"/>
        </w:rPr>
        <w:t xml:space="preserve"> a EU</w:t>
      </w:r>
      <w:r w:rsidR="000D0120" w:rsidRPr="00A21E4D">
        <w:rPr>
          <w:rFonts w:ascii="Times New Roman" w:hAnsi="Times New Roman" w:cs="Times New Roman"/>
          <w:sz w:val="24"/>
          <w:szCs w:val="24"/>
          <w:lang w:val="en-GB"/>
        </w:rPr>
        <w:t>-wide solution to</w:t>
      </w:r>
      <w:r w:rsidR="00681C6D" w:rsidRPr="00A21E4D">
        <w:rPr>
          <w:rFonts w:ascii="Times New Roman" w:hAnsi="Times New Roman" w:cs="Times New Roman"/>
          <w:sz w:val="24"/>
          <w:szCs w:val="24"/>
          <w:lang w:val="en-GB"/>
        </w:rPr>
        <w:t xml:space="preserve"> this problem</w:t>
      </w:r>
      <w:r w:rsidR="00976AD3" w:rsidRPr="00A21E4D">
        <w:rPr>
          <w:rFonts w:ascii="Times New Roman" w:hAnsi="Times New Roman" w:cs="Times New Roman"/>
          <w:sz w:val="24"/>
          <w:szCs w:val="24"/>
          <w:lang w:val="en-GB"/>
        </w:rPr>
        <w:t>, in order to give some legal certainty</w:t>
      </w:r>
      <w:r w:rsidR="00681C6D" w:rsidRPr="00A21E4D">
        <w:rPr>
          <w:rFonts w:ascii="Times New Roman" w:hAnsi="Times New Roman" w:cs="Times New Roman"/>
          <w:sz w:val="24"/>
          <w:szCs w:val="24"/>
          <w:lang w:val="en-GB"/>
        </w:rPr>
        <w:t>.</w:t>
      </w:r>
      <w:r w:rsidR="00976AD3" w:rsidRPr="00A21E4D">
        <w:rPr>
          <w:rFonts w:ascii="Times New Roman" w:hAnsi="Times New Roman" w:cs="Times New Roman"/>
          <w:sz w:val="24"/>
          <w:szCs w:val="24"/>
          <w:lang w:val="en-GB"/>
        </w:rPr>
        <w:t xml:space="preserve"> This would not be in contradiction with the conduct of the Court as we analysed it in this study, especially if we take into consideration the Court’s tendency, already highlighted by </w:t>
      </w:r>
      <w:r w:rsidR="002B6D4F" w:rsidRPr="00A21E4D">
        <w:rPr>
          <w:rFonts w:ascii="Times New Roman" w:hAnsi="Times New Roman" w:cs="Times New Roman"/>
          <w:sz w:val="24"/>
          <w:szCs w:val="24"/>
          <w:lang w:val="en-GB"/>
        </w:rPr>
        <w:t xml:space="preserve">Emanuele </w:t>
      </w:r>
      <w:r w:rsidR="00976AD3" w:rsidRPr="00A21E4D">
        <w:rPr>
          <w:rFonts w:ascii="Times New Roman" w:hAnsi="Times New Roman" w:cs="Times New Roman"/>
          <w:sz w:val="24"/>
          <w:szCs w:val="24"/>
          <w:lang w:val="en-GB"/>
        </w:rPr>
        <w:t>Menegatti, to go “beyond the wording of the legislative text”</w:t>
      </w:r>
      <w:r w:rsidR="00976AD3" w:rsidRPr="00A21E4D">
        <w:rPr>
          <w:rStyle w:val="Appelnotedebasdep"/>
          <w:rFonts w:ascii="Times New Roman" w:hAnsi="Times New Roman" w:cs="Times New Roman"/>
          <w:sz w:val="24"/>
          <w:szCs w:val="24"/>
          <w:lang w:val="en-GB"/>
        </w:rPr>
        <w:footnoteReference w:id="89"/>
      </w:r>
      <w:r w:rsidR="00976AD3" w:rsidRPr="00A21E4D">
        <w:rPr>
          <w:rFonts w:ascii="Times New Roman" w:hAnsi="Times New Roman" w:cs="Times New Roman"/>
          <w:sz w:val="24"/>
          <w:szCs w:val="24"/>
          <w:lang w:val="en-GB"/>
        </w:rPr>
        <w:t xml:space="preserve">.  </w:t>
      </w:r>
      <w:r w:rsidR="00681C6D" w:rsidRPr="00A21E4D">
        <w:rPr>
          <w:rFonts w:ascii="Times New Roman" w:hAnsi="Times New Roman" w:cs="Times New Roman"/>
          <w:sz w:val="24"/>
          <w:szCs w:val="24"/>
          <w:lang w:val="en-GB"/>
        </w:rPr>
        <w:t xml:space="preserve"> </w:t>
      </w:r>
      <w:r w:rsidR="000E5237" w:rsidRPr="00A21E4D">
        <w:rPr>
          <w:rFonts w:ascii="Times New Roman" w:hAnsi="Times New Roman" w:cs="Times New Roman"/>
          <w:sz w:val="24"/>
          <w:szCs w:val="24"/>
          <w:lang w:val="en-GB"/>
        </w:rPr>
        <w:t xml:space="preserve"> </w:t>
      </w:r>
    </w:p>
    <w:p w14:paraId="55EB8268" w14:textId="77777777" w:rsidR="006C0844" w:rsidRPr="00A21E4D" w:rsidRDefault="006C0844" w:rsidP="00F0032F">
      <w:pPr>
        <w:pStyle w:val="Sansinterligne"/>
        <w:jc w:val="both"/>
        <w:rPr>
          <w:rFonts w:ascii="Times New Roman" w:hAnsi="Times New Roman" w:cs="Times New Roman"/>
          <w:sz w:val="24"/>
          <w:szCs w:val="24"/>
          <w:lang w:val="en-GB"/>
        </w:rPr>
      </w:pPr>
    </w:p>
    <w:p w14:paraId="0AF3CC34" w14:textId="595E72EB" w:rsidR="00C04015" w:rsidRPr="00A21E4D" w:rsidRDefault="006C0844" w:rsidP="00F0032F">
      <w:pPr>
        <w:pStyle w:val="Sansinterlign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ab/>
      </w:r>
      <w:r w:rsidR="00CB2624" w:rsidRPr="00A21E4D">
        <w:rPr>
          <w:rFonts w:ascii="Times New Roman" w:hAnsi="Times New Roman" w:cs="Times New Roman"/>
          <w:sz w:val="24"/>
          <w:szCs w:val="24"/>
          <w:lang w:val="en-GB"/>
        </w:rPr>
        <w:t xml:space="preserve"> </w:t>
      </w:r>
      <w:r w:rsidR="00681C6D" w:rsidRPr="00A21E4D">
        <w:rPr>
          <w:rFonts w:ascii="Times New Roman" w:hAnsi="Times New Roman" w:cs="Times New Roman"/>
          <w:sz w:val="24"/>
          <w:szCs w:val="24"/>
          <w:lang w:val="en-GB"/>
        </w:rPr>
        <w:t xml:space="preserve">Which kind of answer could the Court give? </w:t>
      </w:r>
      <w:r w:rsidR="00A546D5" w:rsidRPr="00A21E4D">
        <w:rPr>
          <w:rFonts w:ascii="Times New Roman" w:hAnsi="Times New Roman" w:cs="Times New Roman"/>
          <w:sz w:val="24"/>
          <w:szCs w:val="24"/>
          <w:lang w:val="en-GB"/>
        </w:rPr>
        <w:t>Like</w:t>
      </w:r>
      <w:r w:rsidR="00CB2624" w:rsidRPr="00A21E4D">
        <w:rPr>
          <w:rFonts w:ascii="Times New Roman" w:hAnsi="Times New Roman" w:cs="Times New Roman"/>
          <w:sz w:val="24"/>
          <w:szCs w:val="24"/>
          <w:lang w:val="en-GB"/>
        </w:rPr>
        <w:t xml:space="preserve"> Martin Risak and Thomas Dullinger</w:t>
      </w:r>
      <w:r w:rsidR="00A546D5" w:rsidRPr="00A21E4D">
        <w:rPr>
          <w:rFonts w:ascii="Times New Roman" w:hAnsi="Times New Roman" w:cs="Times New Roman"/>
          <w:sz w:val="24"/>
          <w:szCs w:val="24"/>
          <w:lang w:val="en-GB"/>
        </w:rPr>
        <w:t>,</w:t>
      </w:r>
      <w:r w:rsidR="00CB2624" w:rsidRPr="00A21E4D">
        <w:rPr>
          <w:rFonts w:ascii="Times New Roman" w:hAnsi="Times New Roman" w:cs="Times New Roman"/>
          <w:sz w:val="24"/>
          <w:szCs w:val="24"/>
          <w:lang w:val="en-GB"/>
        </w:rPr>
        <w:t xml:space="preserve"> </w:t>
      </w:r>
      <w:r w:rsidR="00A546D5" w:rsidRPr="00A21E4D">
        <w:rPr>
          <w:rFonts w:ascii="Times New Roman" w:hAnsi="Times New Roman" w:cs="Times New Roman"/>
          <w:sz w:val="24"/>
          <w:szCs w:val="24"/>
          <w:lang w:val="en-GB"/>
        </w:rPr>
        <w:t>we think</w:t>
      </w:r>
      <w:r w:rsidR="00CB2624" w:rsidRPr="00A21E4D">
        <w:rPr>
          <w:rFonts w:ascii="Times New Roman" w:hAnsi="Times New Roman" w:cs="Times New Roman"/>
          <w:sz w:val="24"/>
          <w:szCs w:val="24"/>
          <w:lang w:val="en-GB"/>
        </w:rPr>
        <w:t xml:space="preserve"> that the introduction of a third category would not be a solution. There is no mention of such possibility in the Court case-law, and it would probably lead to more uncertainty as genuine workers in complex situations would end up less protected in the intermediate category</w:t>
      </w:r>
      <w:r w:rsidR="00CB2624" w:rsidRPr="00A21E4D">
        <w:rPr>
          <w:rStyle w:val="Appelnotedebasdep"/>
          <w:rFonts w:ascii="Times New Roman" w:hAnsi="Times New Roman" w:cs="Times New Roman"/>
          <w:sz w:val="24"/>
          <w:szCs w:val="24"/>
          <w:lang w:val="en-GB"/>
        </w:rPr>
        <w:footnoteReference w:id="90"/>
      </w:r>
      <w:r w:rsidR="00CB2624" w:rsidRPr="00A21E4D">
        <w:rPr>
          <w:rFonts w:ascii="Times New Roman" w:hAnsi="Times New Roman" w:cs="Times New Roman"/>
          <w:sz w:val="24"/>
          <w:szCs w:val="24"/>
          <w:lang w:val="en-GB"/>
        </w:rPr>
        <w:t>.</w:t>
      </w:r>
      <w:r w:rsidR="005317D0" w:rsidRPr="00A21E4D">
        <w:rPr>
          <w:rFonts w:ascii="Times New Roman" w:hAnsi="Times New Roman" w:cs="Times New Roman"/>
          <w:sz w:val="24"/>
          <w:szCs w:val="24"/>
          <w:lang w:val="en-GB"/>
        </w:rPr>
        <w:t xml:space="preserve"> </w:t>
      </w:r>
      <w:r w:rsidR="0025467A" w:rsidRPr="00A21E4D">
        <w:rPr>
          <w:rFonts w:ascii="Times New Roman" w:hAnsi="Times New Roman" w:cs="Times New Roman"/>
          <w:sz w:val="24"/>
          <w:szCs w:val="24"/>
          <w:lang w:val="en-GB"/>
        </w:rPr>
        <w:t xml:space="preserve">The same </w:t>
      </w:r>
      <w:r w:rsidR="00C81BC3" w:rsidRPr="00A21E4D">
        <w:rPr>
          <w:rFonts w:ascii="Times New Roman" w:hAnsi="Times New Roman" w:cs="Times New Roman"/>
          <w:sz w:val="24"/>
          <w:szCs w:val="24"/>
          <w:lang w:val="en-GB"/>
        </w:rPr>
        <w:t>a</w:t>
      </w:r>
      <w:r w:rsidR="0025467A" w:rsidRPr="00A21E4D">
        <w:rPr>
          <w:rFonts w:ascii="Times New Roman" w:hAnsi="Times New Roman" w:cs="Times New Roman"/>
          <w:sz w:val="24"/>
          <w:szCs w:val="24"/>
          <w:lang w:val="en-GB"/>
        </w:rPr>
        <w:t>uthors</w:t>
      </w:r>
      <w:r w:rsidR="00F32BDD" w:rsidRPr="00A21E4D">
        <w:rPr>
          <w:rFonts w:ascii="Times New Roman" w:hAnsi="Times New Roman" w:cs="Times New Roman"/>
          <w:sz w:val="24"/>
          <w:szCs w:val="24"/>
          <w:lang w:val="en-GB"/>
        </w:rPr>
        <w:t xml:space="preserve"> and Nicola Kountouris</w:t>
      </w:r>
      <w:r w:rsidR="0025467A" w:rsidRPr="00A21E4D">
        <w:rPr>
          <w:rFonts w:ascii="Times New Roman" w:hAnsi="Times New Roman" w:cs="Times New Roman"/>
          <w:sz w:val="24"/>
          <w:szCs w:val="24"/>
          <w:lang w:val="en-GB"/>
        </w:rPr>
        <w:t xml:space="preserve"> </w:t>
      </w:r>
      <w:r w:rsidR="005317D0" w:rsidRPr="00A21E4D">
        <w:rPr>
          <w:rFonts w:ascii="Times New Roman" w:hAnsi="Times New Roman" w:cs="Times New Roman"/>
          <w:sz w:val="24"/>
          <w:szCs w:val="24"/>
          <w:lang w:val="en-GB"/>
        </w:rPr>
        <w:t xml:space="preserve">advocate for an EU-wide concept of worker, </w:t>
      </w:r>
      <w:r w:rsidR="0063115A" w:rsidRPr="00A21E4D">
        <w:rPr>
          <w:rFonts w:ascii="Times New Roman" w:hAnsi="Times New Roman" w:cs="Times New Roman"/>
          <w:sz w:val="24"/>
          <w:szCs w:val="24"/>
          <w:lang w:val="en-GB"/>
        </w:rPr>
        <w:t xml:space="preserve">which </w:t>
      </w:r>
      <w:r w:rsidR="005317D0" w:rsidRPr="00A21E4D">
        <w:rPr>
          <w:rFonts w:ascii="Times New Roman" w:hAnsi="Times New Roman" w:cs="Times New Roman"/>
          <w:sz w:val="24"/>
          <w:szCs w:val="24"/>
          <w:lang w:val="en-GB"/>
        </w:rPr>
        <w:t>would take into account economic depe</w:t>
      </w:r>
      <w:r w:rsidR="00F32BDD" w:rsidRPr="00A21E4D">
        <w:rPr>
          <w:rFonts w:ascii="Times New Roman" w:hAnsi="Times New Roman" w:cs="Times New Roman"/>
          <w:sz w:val="24"/>
          <w:szCs w:val="24"/>
          <w:lang w:val="en-GB"/>
        </w:rPr>
        <w:t xml:space="preserve">ndency alongside subordination, while </w:t>
      </w:r>
      <w:r w:rsidR="005317D0" w:rsidRPr="00A21E4D">
        <w:rPr>
          <w:rFonts w:ascii="Times New Roman" w:hAnsi="Times New Roman" w:cs="Times New Roman"/>
          <w:sz w:val="24"/>
          <w:szCs w:val="24"/>
          <w:lang w:val="en-GB"/>
        </w:rPr>
        <w:t>Stefano Giubboni</w:t>
      </w:r>
      <w:r w:rsidR="00F32BDD" w:rsidRPr="00A21E4D">
        <w:rPr>
          <w:rFonts w:ascii="Times New Roman" w:hAnsi="Times New Roman" w:cs="Times New Roman"/>
          <w:sz w:val="24"/>
          <w:szCs w:val="24"/>
          <w:lang w:val="en-GB"/>
        </w:rPr>
        <w:t xml:space="preserve"> </w:t>
      </w:r>
      <w:r w:rsidR="00702B24" w:rsidRPr="00A21E4D">
        <w:rPr>
          <w:rFonts w:ascii="Times New Roman" w:hAnsi="Times New Roman" w:cs="Times New Roman"/>
          <w:sz w:val="24"/>
          <w:szCs w:val="24"/>
          <w:lang w:val="en-GB"/>
        </w:rPr>
        <w:t xml:space="preserve">estimates that the current situation is still too fragmented and that </w:t>
      </w:r>
      <w:r w:rsidR="00C81BC3" w:rsidRPr="00A21E4D">
        <w:rPr>
          <w:rFonts w:ascii="Times New Roman" w:hAnsi="Times New Roman" w:cs="Times New Roman"/>
          <w:sz w:val="24"/>
          <w:szCs w:val="24"/>
          <w:lang w:val="en-GB"/>
        </w:rPr>
        <w:t>social policy remains</w:t>
      </w:r>
      <w:r w:rsidR="00702B24" w:rsidRPr="00A21E4D">
        <w:rPr>
          <w:rFonts w:ascii="Times New Roman" w:hAnsi="Times New Roman" w:cs="Times New Roman"/>
          <w:sz w:val="24"/>
          <w:szCs w:val="24"/>
          <w:lang w:val="en-GB"/>
        </w:rPr>
        <w:t xml:space="preserve"> a poor relative of the internal market</w:t>
      </w:r>
      <w:r w:rsidR="00702B24" w:rsidRPr="00A21E4D">
        <w:rPr>
          <w:rStyle w:val="Appelnotedebasdep"/>
          <w:rFonts w:ascii="Times New Roman" w:hAnsi="Times New Roman" w:cs="Times New Roman"/>
          <w:sz w:val="24"/>
          <w:szCs w:val="24"/>
          <w:lang w:val="en-GB"/>
        </w:rPr>
        <w:footnoteReference w:id="91"/>
      </w:r>
      <w:r w:rsidR="00702B24" w:rsidRPr="00A21E4D">
        <w:rPr>
          <w:rFonts w:ascii="Times New Roman" w:hAnsi="Times New Roman" w:cs="Times New Roman"/>
          <w:sz w:val="24"/>
          <w:szCs w:val="24"/>
          <w:lang w:val="en-GB"/>
        </w:rPr>
        <w:t>.</w:t>
      </w:r>
      <w:r w:rsidR="005317D0" w:rsidRPr="00A21E4D">
        <w:rPr>
          <w:rFonts w:ascii="Times New Roman" w:hAnsi="Times New Roman" w:cs="Times New Roman"/>
          <w:sz w:val="24"/>
          <w:szCs w:val="24"/>
          <w:lang w:val="en-GB"/>
        </w:rPr>
        <w:t xml:space="preserve"> </w:t>
      </w:r>
      <w:r w:rsidR="00013833" w:rsidRPr="00A21E4D">
        <w:rPr>
          <w:rFonts w:ascii="Times New Roman" w:hAnsi="Times New Roman" w:cs="Times New Roman"/>
          <w:sz w:val="24"/>
          <w:szCs w:val="24"/>
          <w:lang w:val="en-GB"/>
        </w:rPr>
        <w:t xml:space="preserve">The specificities of the </w:t>
      </w:r>
      <w:r w:rsidR="00F32BDD" w:rsidRPr="00A21E4D">
        <w:rPr>
          <w:rFonts w:ascii="Times New Roman" w:hAnsi="Times New Roman" w:cs="Times New Roman"/>
          <w:sz w:val="24"/>
          <w:szCs w:val="24"/>
          <w:lang w:val="en-GB"/>
        </w:rPr>
        <w:t>Court case-law in the field of Social P</w:t>
      </w:r>
      <w:r w:rsidR="00C81BC3" w:rsidRPr="00A21E4D">
        <w:rPr>
          <w:rFonts w:ascii="Times New Roman" w:hAnsi="Times New Roman" w:cs="Times New Roman"/>
          <w:sz w:val="24"/>
          <w:szCs w:val="24"/>
          <w:lang w:val="en-GB"/>
        </w:rPr>
        <w:t>olicy</w:t>
      </w:r>
      <w:r w:rsidR="00013833" w:rsidRPr="00A21E4D">
        <w:rPr>
          <w:rFonts w:ascii="Times New Roman" w:hAnsi="Times New Roman" w:cs="Times New Roman"/>
          <w:sz w:val="24"/>
          <w:szCs w:val="24"/>
          <w:lang w:val="en-GB"/>
        </w:rPr>
        <w:t xml:space="preserve"> </w:t>
      </w:r>
      <w:r w:rsidR="00C36F8E" w:rsidRPr="00A21E4D">
        <w:rPr>
          <w:rFonts w:ascii="Times New Roman" w:hAnsi="Times New Roman" w:cs="Times New Roman"/>
          <w:sz w:val="24"/>
          <w:szCs w:val="24"/>
          <w:lang w:val="en-GB"/>
        </w:rPr>
        <w:t>D</w:t>
      </w:r>
      <w:r w:rsidR="00013833" w:rsidRPr="00A21E4D">
        <w:rPr>
          <w:rFonts w:ascii="Times New Roman" w:hAnsi="Times New Roman" w:cs="Times New Roman"/>
          <w:sz w:val="24"/>
          <w:szCs w:val="24"/>
          <w:lang w:val="en-GB"/>
        </w:rPr>
        <w:t>irective could be a good starting point for dealing with those challenges.</w:t>
      </w:r>
      <w:r w:rsidR="005317D0" w:rsidRPr="00A21E4D">
        <w:rPr>
          <w:rFonts w:ascii="Times New Roman" w:hAnsi="Times New Roman" w:cs="Times New Roman"/>
          <w:sz w:val="24"/>
          <w:szCs w:val="24"/>
          <w:lang w:val="en-GB"/>
        </w:rPr>
        <w:t xml:space="preserve"> </w:t>
      </w:r>
      <w:r w:rsidR="00A546D5" w:rsidRPr="00A21E4D">
        <w:rPr>
          <w:rFonts w:ascii="Times New Roman" w:hAnsi="Times New Roman" w:cs="Times New Roman"/>
          <w:sz w:val="24"/>
          <w:szCs w:val="24"/>
          <w:lang w:val="en-GB"/>
        </w:rPr>
        <w:t xml:space="preserve">Protection is a bigger concern </w:t>
      </w:r>
      <w:r w:rsidR="00013833" w:rsidRPr="00A21E4D">
        <w:rPr>
          <w:rFonts w:ascii="Times New Roman" w:hAnsi="Times New Roman" w:cs="Times New Roman"/>
          <w:sz w:val="24"/>
          <w:szCs w:val="24"/>
          <w:lang w:val="en-GB"/>
        </w:rPr>
        <w:t xml:space="preserve">in this field </w:t>
      </w:r>
      <w:r w:rsidR="005317D0" w:rsidRPr="00A21E4D">
        <w:rPr>
          <w:rFonts w:ascii="Times New Roman" w:hAnsi="Times New Roman" w:cs="Times New Roman"/>
          <w:sz w:val="24"/>
          <w:szCs w:val="24"/>
          <w:lang w:val="en-GB"/>
        </w:rPr>
        <w:t xml:space="preserve">than for the more traditional approach linked to the establishment of the internal market derived from the </w:t>
      </w:r>
      <w:r w:rsidR="005317D0" w:rsidRPr="00A21E4D">
        <w:rPr>
          <w:rFonts w:ascii="Times New Roman" w:hAnsi="Times New Roman" w:cs="Times New Roman"/>
          <w:i/>
          <w:sz w:val="24"/>
          <w:szCs w:val="24"/>
          <w:lang w:val="en-GB"/>
        </w:rPr>
        <w:t>Lawrie-Blum</w:t>
      </w:r>
      <w:r w:rsidR="005317D0" w:rsidRPr="00A21E4D">
        <w:rPr>
          <w:rFonts w:ascii="Times New Roman" w:hAnsi="Times New Roman" w:cs="Times New Roman"/>
          <w:sz w:val="24"/>
          <w:szCs w:val="24"/>
          <w:lang w:val="en-GB"/>
        </w:rPr>
        <w:t xml:space="preserve"> line of case-law in free movement law.</w:t>
      </w:r>
      <w:r w:rsidR="00013833" w:rsidRPr="00A21E4D">
        <w:rPr>
          <w:rFonts w:ascii="Times New Roman" w:hAnsi="Times New Roman" w:cs="Times New Roman"/>
          <w:sz w:val="24"/>
          <w:szCs w:val="24"/>
          <w:lang w:val="en-GB"/>
        </w:rPr>
        <w:t xml:space="preserve"> Only the future will tell us if a common concept of worker can emerge in EU law and the form it may take, through the action of the legislator or the judge.  </w:t>
      </w:r>
    </w:p>
    <w:p w14:paraId="47D7CE14" w14:textId="77777777" w:rsidR="00AC42A5" w:rsidRPr="00A21E4D" w:rsidRDefault="00AC42A5" w:rsidP="008B1E1C">
      <w:pPr>
        <w:rPr>
          <w:rFonts w:ascii="Times New Roman" w:hAnsi="Times New Roman" w:cs="Times New Roman"/>
          <w:sz w:val="24"/>
          <w:szCs w:val="24"/>
          <w:lang w:val="en-GB"/>
        </w:rPr>
      </w:pPr>
    </w:p>
    <w:sectPr w:rsidR="00AC42A5" w:rsidRPr="00A21E4D" w:rsidSect="00344FCA">
      <w:footerReference w:type="default" r:id="rId9"/>
      <w:pgSz w:w="11906" w:h="16838"/>
      <w:pgMar w:top="1417" w:right="1417" w:bottom="1417" w:left="1417"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93EFE" w16cid:durableId="21E565ED"/>
  <w16cid:commentId w16cid:paraId="33FD1ED1" w16cid:durableId="21E425B9"/>
  <w16cid:commentId w16cid:paraId="1720249F" w16cid:durableId="21E42613"/>
  <w16cid:commentId w16cid:paraId="028662A5" w16cid:durableId="21E427E2"/>
  <w16cid:commentId w16cid:paraId="6F23B1C9" w16cid:durableId="21E56116"/>
  <w16cid:commentId w16cid:paraId="68A19DE7" w16cid:durableId="21E4298D"/>
  <w16cid:commentId w16cid:paraId="1415DE3B" w16cid:durableId="21E429B3"/>
  <w16cid:commentId w16cid:paraId="1614789D" w16cid:durableId="21E42C81"/>
  <w16cid:commentId w16cid:paraId="1ADE0698" w16cid:durableId="21E42D4B"/>
  <w16cid:commentId w16cid:paraId="05612DEB" w16cid:durableId="21E561B1"/>
  <w16cid:commentId w16cid:paraId="7C78EED7" w16cid:durableId="21E42E94"/>
  <w16cid:commentId w16cid:paraId="7131022C" w16cid:durableId="21E42F60"/>
  <w16cid:commentId w16cid:paraId="3AA06EF4" w16cid:durableId="21E4355C"/>
  <w16cid:commentId w16cid:paraId="5C4D2659" w16cid:durableId="21E43689"/>
  <w16cid:commentId w16cid:paraId="203191F4" w16cid:durableId="21E437D1"/>
  <w16cid:commentId w16cid:paraId="333BE452" w16cid:durableId="21E43816"/>
  <w16cid:commentId w16cid:paraId="77677010" w16cid:durableId="21E43828"/>
  <w16cid:commentId w16cid:paraId="24DFBFBF" w16cid:durableId="21E43921"/>
  <w16cid:commentId w16cid:paraId="26DE2A45" w16cid:durableId="21E55D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00B57" w14:textId="77777777" w:rsidR="00A81AA1" w:rsidRDefault="00A81AA1" w:rsidP="00DF5133">
      <w:pPr>
        <w:spacing w:after="0" w:line="240" w:lineRule="auto"/>
      </w:pPr>
      <w:r>
        <w:separator/>
      </w:r>
    </w:p>
  </w:endnote>
  <w:endnote w:type="continuationSeparator" w:id="0">
    <w:p w14:paraId="693FA8F9" w14:textId="77777777" w:rsidR="00A81AA1" w:rsidRDefault="00A81AA1" w:rsidP="00DF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015415"/>
      <w:docPartObj>
        <w:docPartGallery w:val="Page Numbers (Bottom of Page)"/>
        <w:docPartUnique/>
      </w:docPartObj>
    </w:sdtPr>
    <w:sdtEndPr/>
    <w:sdtContent>
      <w:p w14:paraId="554C67C0" w14:textId="6CDECA65" w:rsidR="006670EC" w:rsidRDefault="006670EC">
        <w:pPr>
          <w:pStyle w:val="Pieddepage"/>
          <w:jc w:val="right"/>
        </w:pPr>
        <w:r>
          <w:fldChar w:fldCharType="begin"/>
        </w:r>
        <w:r>
          <w:instrText>PAGE   \* MERGEFORMAT</w:instrText>
        </w:r>
        <w:r>
          <w:fldChar w:fldCharType="separate"/>
        </w:r>
        <w:r w:rsidR="00A21E4D">
          <w:rPr>
            <w:noProof/>
          </w:rPr>
          <w:t>1</w:t>
        </w:r>
        <w:r>
          <w:fldChar w:fldCharType="end"/>
        </w:r>
      </w:p>
    </w:sdtContent>
  </w:sdt>
  <w:p w14:paraId="6F351514" w14:textId="77777777" w:rsidR="006670EC" w:rsidRDefault="006670E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4913F" w14:textId="77777777" w:rsidR="00A81AA1" w:rsidRDefault="00A81AA1" w:rsidP="00DF5133">
      <w:pPr>
        <w:spacing w:after="0" w:line="240" w:lineRule="auto"/>
      </w:pPr>
      <w:r>
        <w:separator/>
      </w:r>
    </w:p>
  </w:footnote>
  <w:footnote w:type="continuationSeparator" w:id="0">
    <w:p w14:paraId="6E2E7AB9" w14:textId="77777777" w:rsidR="00A81AA1" w:rsidRDefault="00A81AA1" w:rsidP="00DF5133">
      <w:pPr>
        <w:spacing w:after="0" w:line="240" w:lineRule="auto"/>
      </w:pPr>
      <w:r>
        <w:continuationSeparator/>
      </w:r>
    </w:p>
  </w:footnote>
  <w:footnote w:id="1">
    <w:p w14:paraId="2ED6FCE3" w14:textId="77777777" w:rsidR="00A21E4D" w:rsidRPr="00F01ECF" w:rsidRDefault="00A21E4D" w:rsidP="00A21E4D">
      <w:pPr>
        <w:pStyle w:val="Notedebasdepage"/>
        <w:jc w:val="both"/>
        <w:rPr>
          <w:rFonts w:ascii="Times New Roman" w:hAnsi="Times New Roman" w:cs="Times New Roman"/>
          <w:sz w:val="24"/>
          <w:szCs w:val="24"/>
          <w:lang w:val="en-GB"/>
        </w:rPr>
      </w:pPr>
      <w:r w:rsidRPr="00FA0024">
        <w:rPr>
          <w:rStyle w:val="Appelnotedebasdep"/>
        </w:rPr>
        <w:sym w:font="Symbol" w:char="F02A"/>
      </w:r>
      <w:r w:rsidRPr="0090747E">
        <w:rPr>
          <w:rFonts w:ascii="Times New Roman" w:hAnsi="Times New Roman" w:cs="Times New Roman"/>
          <w:sz w:val="24"/>
          <w:szCs w:val="24"/>
          <w:lang w:val="en-GB"/>
        </w:rPr>
        <w:t xml:space="preserve"> PhD Candidate at the University of Liège</w:t>
      </w:r>
      <w:r>
        <w:rPr>
          <w:rFonts w:ascii="Times New Roman" w:hAnsi="Times New Roman" w:cs="Times New Roman"/>
          <w:sz w:val="24"/>
          <w:szCs w:val="24"/>
          <w:lang w:val="en-GB"/>
        </w:rPr>
        <w:t xml:space="preserve"> (Belgium)</w:t>
      </w:r>
      <w:r w:rsidRPr="0090747E">
        <w:rPr>
          <w:rFonts w:ascii="Times New Roman" w:hAnsi="Times New Roman" w:cs="Times New Roman"/>
          <w:sz w:val="24"/>
          <w:szCs w:val="24"/>
          <w:lang w:val="en-GB"/>
        </w:rPr>
        <w:t xml:space="preserve"> and </w:t>
      </w:r>
      <w:r w:rsidRPr="0090747E">
        <w:rPr>
          <w:rFonts w:ascii="Times New Roman" w:hAnsi="Times New Roman" w:cs="Times New Roman"/>
          <w:i/>
          <w:sz w:val="24"/>
          <w:szCs w:val="24"/>
          <w:lang w:val="en-GB"/>
        </w:rPr>
        <w:t>aspirant</w:t>
      </w:r>
      <w:r w:rsidRPr="0090747E">
        <w:rPr>
          <w:rFonts w:ascii="Times New Roman" w:hAnsi="Times New Roman" w:cs="Times New Roman"/>
          <w:sz w:val="24"/>
          <w:szCs w:val="24"/>
          <w:lang w:val="en-GB"/>
        </w:rPr>
        <w:t xml:space="preserve"> of the F.R.S-F.N.R.S.</w:t>
      </w:r>
      <w:r w:rsidRPr="00F01ECF">
        <w:rPr>
          <w:rFonts w:ascii="Times New Roman" w:eastAsia="Times New Roman" w:hAnsi="Times New Roman" w:cs="Times New Roman"/>
          <w:sz w:val="24"/>
          <w:szCs w:val="24"/>
          <w:lang w:val="en-GB" w:eastAsia="fr-BE"/>
        </w:rPr>
        <w:t xml:space="preserve"> </w:t>
      </w:r>
      <w:r w:rsidRPr="00F01ECF">
        <w:rPr>
          <w:rFonts w:ascii="Times New Roman" w:hAnsi="Times New Roman" w:cs="Times New Roman"/>
          <w:sz w:val="24"/>
          <w:szCs w:val="24"/>
          <w:lang w:val="en-GB"/>
        </w:rPr>
        <w:t>I would like to express my warmest thanks to Dr. Ljupcho Grozdanovski, post-doctoral researcher at the</w:t>
      </w:r>
      <w:r>
        <w:rPr>
          <w:rFonts w:ascii="Times New Roman" w:hAnsi="Times New Roman" w:cs="Times New Roman"/>
          <w:sz w:val="24"/>
          <w:szCs w:val="24"/>
          <w:lang w:val="en-GB"/>
        </w:rPr>
        <w:t xml:space="preserve"> </w:t>
      </w:r>
      <w:r w:rsidRPr="00F01ECF">
        <w:rPr>
          <w:rFonts w:ascii="Times New Roman" w:hAnsi="Times New Roman" w:cs="Times New Roman"/>
          <w:sz w:val="24"/>
          <w:szCs w:val="24"/>
          <w:lang w:val="en-GB"/>
        </w:rPr>
        <w:t>Univer</w:t>
      </w:r>
      <w:r>
        <w:rPr>
          <w:rFonts w:ascii="Times New Roman" w:hAnsi="Times New Roman" w:cs="Times New Roman"/>
          <w:sz w:val="24"/>
          <w:szCs w:val="24"/>
          <w:lang w:val="en-GB"/>
        </w:rPr>
        <w:t>sity of Liège and to Dr. Marco Rocca, Lecturer at the University of Liège and CNRS Researcher at the University of Strasbourg (France) for their</w:t>
      </w:r>
      <w:r w:rsidRPr="00F01ECF">
        <w:rPr>
          <w:rFonts w:ascii="Times New Roman" w:hAnsi="Times New Roman" w:cs="Times New Roman"/>
          <w:sz w:val="24"/>
          <w:szCs w:val="24"/>
          <w:lang w:val="en-GB"/>
        </w:rPr>
        <w:t xml:space="preserve"> invaluable assistance</w:t>
      </w:r>
      <w:r>
        <w:rPr>
          <w:rFonts w:ascii="Times New Roman" w:hAnsi="Times New Roman" w:cs="Times New Roman"/>
          <w:sz w:val="24"/>
          <w:szCs w:val="24"/>
          <w:lang w:val="en-GB"/>
        </w:rPr>
        <w:t>.</w:t>
      </w:r>
    </w:p>
  </w:footnote>
  <w:footnote w:id="2">
    <w:p w14:paraId="04C75092" w14:textId="13B8973B" w:rsidR="006670EC" w:rsidRPr="00A21E4D" w:rsidRDefault="006670EC" w:rsidP="00F01ECF">
      <w:pPr>
        <w:pStyle w:val="Notedebasdepage"/>
        <w:jc w:val="both"/>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007D2EE6" w:rsidRPr="00A21E4D">
        <w:rPr>
          <w:rFonts w:ascii="Times New Roman" w:hAnsi="Times New Roman" w:cs="Times New Roman"/>
          <w:smallCaps/>
          <w:sz w:val="24"/>
          <w:szCs w:val="24"/>
          <w:lang w:val="fr-BE"/>
        </w:rPr>
        <w:fldChar w:fldCharType="begin"/>
      </w:r>
      <w:r w:rsidR="00EA2B7E" w:rsidRPr="00A21E4D">
        <w:rPr>
          <w:rFonts w:ascii="Times New Roman" w:hAnsi="Times New Roman" w:cs="Times New Roman"/>
          <w:smallCaps/>
          <w:sz w:val="24"/>
          <w:szCs w:val="24"/>
          <w:lang w:val="en-GB"/>
        </w:rPr>
        <w:instrText xml:space="preserve"> ADDIN ZOTERO_ITEM CSL_CITATION {"citationID":"jmx57NdL","properties":{"formattedCitation":"M. {\\scaps Shanks}, \\uc0\\u171{}\\uc0\\u160{}Introductory article: The Social Policy of the European Community\\uc0\\u160{}\\uc0\\u187{}, {\\i{}CMLRev}, 1977, p. 375\\uc0\\u160{}; C. {\\scaps Barnard}, \\uc0\\u171{}\\uc0\\u160{}Internal Market v. Labour Market: a Brief History\\uc0\\u160{}\\uc0\\u187{}, in {\\i{}European Union Internal Market and Labour Law: Friends or Foes?}, Antwerp, Intersentia, 2009, pp. 19\\uc0\\u8209{}20.","plainCitation":"M. Shanks, « Introductory article: The Social Policy of the European Community », CMLRev, 1977, p. 375 ; C. Barnard, « Internal Market v. Labour Market: a Brief History », in European Union Internal Market and Labour Law: Friends or Foes?, Antwerp, Intersentia, 2009, pp. 19‑20.","noteIndex":2},"citationItems":[{"id":461,"uris":["http://zotero.org/users/local/0X1c0osY/items/A9L3WYM7"],"uri":["http://zotero.org/users/local/0X1c0osY/items/A9L3WYM7"],"itemData":{"id":461,"type":"article-journal","container-title":"CMLRev","title":"Introductory article: The Social Policy of the European Community","author":[{"family":"Shanks","given":"M."}],"issued":{"date-parts":[["1977"]]}},"locator":"375"},{"id":462,"uris":["http://zotero.org/users/local/0X1c0osY/items/9ZYR5D44"],"uri":["http://zotero.org/users/local/0X1c0osY/items/9ZYR5D44"],"itemData":{"id":462,"type":"chapter","container-title":"European Union Internal Market and Labour Law: Friends or Foes?","event-place":"Antwerp","publisher":"Intersentia","publisher-place":"Antwerp","title":"Internal Market v. Labour Market: a Brief History","author":[{"family":"Barnard","given":"Catherine"}],"issued":{"date-parts":[["2009"]]}},"locator":"19-20"}],"schema":"https://github.com/citation-style-language/schema/raw/master/csl-citation.json"} </w:instrText>
      </w:r>
      <w:r w:rsidR="007D2EE6" w:rsidRPr="00A21E4D">
        <w:rPr>
          <w:rFonts w:ascii="Times New Roman" w:hAnsi="Times New Roman" w:cs="Times New Roman"/>
          <w:smallCaps/>
          <w:sz w:val="24"/>
          <w:szCs w:val="24"/>
          <w:lang w:val="fr-BE"/>
        </w:rPr>
        <w:fldChar w:fldCharType="separate"/>
      </w:r>
      <w:r w:rsidR="00EA2B7E" w:rsidRPr="00A21E4D">
        <w:rPr>
          <w:rFonts w:ascii="Times New Roman" w:hAnsi="Times New Roman" w:cs="Times New Roman"/>
          <w:sz w:val="24"/>
          <w:szCs w:val="24"/>
          <w:lang w:val="en-GB"/>
        </w:rPr>
        <w:t xml:space="preserve">M. </w:t>
      </w:r>
      <w:r w:rsidR="00EA2B7E" w:rsidRPr="00A21E4D">
        <w:rPr>
          <w:rFonts w:ascii="Times New Roman" w:hAnsi="Times New Roman" w:cs="Times New Roman"/>
          <w:smallCaps/>
          <w:sz w:val="24"/>
          <w:szCs w:val="24"/>
          <w:lang w:val="en-GB"/>
        </w:rPr>
        <w:t>Shanks</w:t>
      </w:r>
      <w:r w:rsidR="00EA2B7E" w:rsidRPr="00A21E4D">
        <w:rPr>
          <w:rFonts w:ascii="Times New Roman" w:hAnsi="Times New Roman" w:cs="Times New Roman"/>
          <w:sz w:val="24"/>
          <w:szCs w:val="24"/>
          <w:lang w:val="en-GB"/>
        </w:rPr>
        <w:t xml:space="preserve">, « Introductory article: The Social Policy of the European Community », </w:t>
      </w:r>
      <w:r w:rsidR="00EA2B7E" w:rsidRPr="00A21E4D">
        <w:rPr>
          <w:rFonts w:ascii="Times New Roman" w:hAnsi="Times New Roman" w:cs="Times New Roman"/>
          <w:i/>
          <w:iCs/>
          <w:sz w:val="24"/>
          <w:szCs w:val="24"/>
          <w:lang w:val="en-GB"/>
        </w:rPr>
        <w:t>CMLRev</w:t>
      </w:r>
      <w:r w:rsidR="00EA2B7E" w:rsidRPr="00A21E4D">
        <w:rPr>
          <w:rFonts w:ascii="Times New Roman" w:hAnsi="Times New Roman" w:cs="Times New Roman"/>
          <w:sz w:val="24"/>
          <w:szCs w:val="24"/>
          <w:lang w:val="en-GB"/>
        </w:rPr>
        <w:t xml:space="preserve">, 1977, p. 375 ; C. </w:t>
      </w:r>
      <w:r w:rsidR="00EA2B7E" w:rsidRPr="00A21E4D">
        <w:rPr>
          <w:rFonts w:ascii="Times New Roman" w:hAnsi="Times New Roman" w:cs="Times New Roman"/>
          <w:smallCaps/>
          <w:sz w:val="24"/>
          <w:szCs w:val="24"/>
          <w:lang w:val="en-GB"/>
        </w:rPr>
        <w:t>Barnard</w:t>
      </w:r>
      <w:r w:rsidR="00EA2B7E" w:rsidRPr="00A21E4D">
        <w:rPr>
          <w:rFonts w:ascii="Times New Roman" w:hAnsi="Times New Roman" w:cs="Times New Roman"/>
          <w:sz w:val="24"/>
          <w:szCs w:val="24"/>
          <w:lang w:val="en-GB"/>
        </w:rPr>
        <w:t xml:space="preserve">, « Internal Market v. Labour Market: a Brief History », in </w:t>
      </w:r>
      <w:r w:rsidR="00EA2B7E" w:rsidRPr="00A21E4D">
        <w:rPr>
          <w:rFonts w:ascii="Times New Roman" w:hAnsi="Times New Roman" w:cs="Times New Roman"/>
          <w:i/>
          <w:iCs/>
          <w:sz w:val="24"/>
          <w:szCs w:val="24"/>
          <w:lang w:val="en-GB"/>
        </w:rPr>
        <w:t>European Union Internal Market and Labour Law: Friends or Foes?</w:t>
      </w:r>
      <w:r w:rsidR="00EA2B7E" w:rsidRPr="00A21E4D">
        <w:rPr>
          <w:rFonts w:ascii="Times New Roman" w:hAnsi="Times New Roman" w:cs="Times New Roman"/>
          <w:sz w:val="24"/>
          <w:szCs w:val="24"/>
          <w:lang w:val="en-GB"/>
        </w:rPr>
        <w:t>, Antwerp, Intersentia, 2009, pp. 19‑20.</w:t>
      </w:r>
      <w:r w:rsidR="007D2EE6" w:rsidRPr="00A21E4D">
        <w:rPr>
          <w:rFonts w:ascii="Times New Roman" w:hAnsi="Times New Roman" w:cs="Times New Roman"/>
          <w:smallCaps/>
          <w:sz w:val="24"/>
          <w:szCs w:val="24"/>
          <w:lang w:val="fr-BE"/>
        </w:rPr>
        <w:fldChar w:fldCharType="end"/>
      </w:r>
      <w:r w:rsidRPr="00A21E4D">
        <w:rPr>
          <w:rFonts w:ascii="Times New Roman" w:hAnsi="Times New Roman" w:cs="Times New Roman"/>
          <w:smallCaps/>
          <w:sz w:val="24"/>
          <w:szCs w:val="24"/>
          <w:lang w:val="en-GB"/>
        </w:rPr>
        <w:t xml:space="preserve"> </w:t>
      </w:r>
      <w:r w:rsidRPr="00A21E4D">
        <w:rPr>
          <w:rFonts w:ascii="Times New Roman" w:hAnsi="Times New Roman" w:cs="Times New Roman"/>
          <w:smallCaps/>
          <w:sz w:val="24"/>
          <w:szCs w:val="24"/>
          <w:lang w:val="fr-BE"/>
        </w:rPr>
        <w:t>Michéa</w:t>
      </w:r>
      <w:r w:rsidRPr="00A21E4D">
        <w:rPr>
          <w:rFonts w:ascii="Times New Roman" w:hAnsi="Times New Roman" w:cs="Times New Roman"/>
          <w:sz w:val="24"/>
          <w:szCs w:val="24"/>
          <w:lang w:val="fr-BE"/>
        </w:rPr>
        <w:t xml:space="preserve">, « Les catégories juridiques en droit social de l’Union européenne » in </w:t>
      </w:r>
      <w:r w:rsidRPr="00A21E4D">
        <w:rPr>
          <w:rFonts w:ascii="Times New Roman" w:hAnsi="Times New Roman" w:cs="Times New Roman"/>
          <w:smallCaps/>
          <w:sz w:val="24"/>
          <w:szCs w:val="24"/>
          <w:lang w:val="fr-BE"/>
        </w:rPr>
        <w:t>B. Brunessen</w:t>
      </w:r>
      <w:r w:rsidRPr="00A21E4D">
        <w:rPr>
          <w:rFonts w:ascii="Times New Roman" w:hAnsi="Times New Roman" w:cs="Times New Roman"/>
          <w:sz w:val="24"/>
          <w:szCs w:val="24"/>
          <w:lang w:val="fr-BE"/>
        </w:rPr>
        <w:t xml:space="preserve"> (dir.), </w:t>
      </w:r>
      <w:r w:rsidRPr="00A21E4D">
        <w:rPr>
          <w:rFonts w:ascii="Times New Roman" w:hAnsi="Times New Roman" w:cs="Times New Roman"/>
          <w:i/>
          <w:sz w:val="24"/>
          <w:szCs w:val="24"/>
          <w:lang w:val="fr-BE"/>
        </w:rPr>
        <w:t>Les catégories juridiques du droit de l’Union européenne</w:t>
      </w:r>
      <w:r w:rsidRPr="00A21E4D">
        <w:rPr>
          <w:rFonts w:ascii="Times New Roman" w:hAnsi="Times New Roman" w:cs="Times New Roman"/>
          <w:sz w:val="24"/>
          <w:szCs w:val="24"/>
          <w:lang w:val="fr-BE"/>
        </w:rPr>
        <w:t>, Bruxelles, Bruylant,2016, pp. 249-250.</w:t>
      </w:r>
      <w:r w:rsidR="00F01ECF" w:rsidRPr="00A21E4D">
        <w:rPr>
          <w:rFonts w:ascii="Times New Roman" w:hAnsi="Times New Roman" w:cs="Times New Roman"/>
          <w:sz w:val="24"/>
          <w:szCs w:val="24"/>
          <w:lang w:val="fr-BE"/>
        </w:rPr>
        <w:t>.</w:t>
      </w:r>
    </w:p>
  </w:footnote>
  <w:footnote w:id="3">
    <w:p w14:paraId="6D6A9DD8" w14:textId="77777777" w:rsidR="006670EC" w:rsidRPr="00A21E4D" w:rsidRDefault="006670EC" w:rsidP="00F01ECF">
      <w:pPr>
        <w:pStyle w:val="Notedebasdepage"/>
        <w:jc w:val="both"/>
        <w:rPr>
          <w:rFonts w:ascii="Times New Roman" w:hAnsi="Times New Roman" w:cs="Times New Roman"/>
          <w:sz w:val="24"/>
          <w:szCs w:val="24"/>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rPr>
        <w:t xml:space="preserve"> </w:t>
      </w:r>
      <w:r w:rsidRPr="00A21E4D">
        <w:rPr>
          <w:rFonts w:ascii="Times New Roman" w:hAnsi="Times New Roman" w:cs="Times New Roman"/>
          <w:smallCaps/>
          <w:sz w:val="24"/>
          <w:szCs w:val="24"/>
        </w:rPr>
        <w:t>S. Robin-OLIVIER, «</w:t>
      </w:r>
      <w:r w:rsidRPr="00A21E4D">
        <w:rPr>
          <w:rFonts w:ascii="Times New Roman" w:hAnsi="Times New Roman" w:cs="Times New Roman"/>
          <w:sz w:val="24"/>
          <w:szCs w:val="24"/>
        </w:rPr>
        <w:t xml:space="preserve"> Chronique Libre circulation des travailleur-Illustrations de l’importance renouvelée de la qualification de travailleur », RTDeur, 2013, pp. 855-858.</w:t>
      </w:r>
    </w:p>
  </w:footnote>
  <w:footnote w:id="4">
    <w:p w14:paraId="2E365923" w14:textId="77777777" w:rsidR="006670EC" w:rsidRPr="00A21E4D" w:rsidRDefault="006670EC" w:rsidP="00843C9C">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C-85/96, </w:t>
      </w:r>
      <w:r w:rsidRPr="00A21E4D">
        <w:rPr>
          <w:rFonts w:ascii="Times New Roman" w:hAnsi="Times New Roman" w:cs="Times New Roman"/>
          <w:i/>
          <w:sz w:val="24"/>
          <w:szCs w:val="24"/>
          <w:lang w:val="it-IT"/>
        </w:rPr>
        <w:t>Martinez-Sala</w:t>
      </w:r>
      <w:r w:rsidRPr="00A21E4D">
        <w:rPr>
          <w:rFonts w:ascii="Times New Roman" w:hAnsi="Times New Roman" w:cs="Times New Roman"/>
          <w:sz w:val="24"/>
          <w:szCs w:val="24"/>
          <w:lang w:val="it-IT"/>
        </w:rPr>
        <w:t>.</w:t>
      </w:r>
    </w:p>
  </w:footnote>
  <w:footnote w:id="5">
    <w:p w14:paraId="76065C51" w14:textId="77777777" w:rsidR="006670EC" w:rsidRPr="00A21E4D" w:rsidRDefault="006670EC" w:rsidP="00843C9C">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w:t>
      </w:r>
      <w:r w:rsidRPr="00A21E4D">
        <w:rPr>
          <w:rFonts w:ascii="Times New Roman" w:hAnsi="Times New Roman" w:cs="Times New Roman"/>
          <w:smallCaps/>
          <w:sz w:val="24"/>
          <w:szCs w:val="24"/>
          <w:lang w:val="it-IT"/>
        </w:rPr>
        <w:t>F. Michéa</w:t>
      </w:r>
      <w:r w:rsidRPr="00A21E4D">
        <w:rPr>
          <w:rFonts w:ascii="Times New Roman" w:hAnsi="Times New Roman" w:cs="Times New Roman"/>
          <w:sz w:val="24"/>
          <w:szCs w:val="24"/>
          <w:lang w:val="it-IT"/>
        </w:rPr>
        <w:t>,</w:t>
      </w:r>
      <w:r w:rsidRPr="00A21E4D">
        <w:rPr>
          <w:rFonts w:ascii="Times New Roman" w:hAnsi="Times New Roman" w:cs="Times New Roman"/>
          <w:i/>
          <w:sz w:val="24"/>
          <w:szCs w:val="24"/>
          <w:lang w:val="it-IT"/>
        </w:rPr>
        <w:t xml:space="preserve"> op cit., </w:t>
      </w:r>
      <w:r w:rsidRPr="00A21E4D">
        <w:rPr>
          <w:rFonts w:ascii="Times New Roman" w:hAnsi="Times New Roman" w:cs="Times New Roman"/>
          <w:sz w:val="24"/>
          <w:szCs w:val="24"/>
          <w:lang w:val="it-IT"/>
        </w:rPr>
        <w:t xml:space="preserve">p. 263. </w:t>
      </w:r>
    </w:p>
  </w:footnote>
  <w:footnote w:id="6">
    <w:p w14:paraId="6D109000"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M. </w:t>
      </w:r>
      <w:r w:rsidRPr="00A21E4D">
        <w:rPr>
          <w:rFonts w:ascii="Times New Roman" w:hAnsi="Times New Roman" w:cs="Times New Roman"/>
          <w:smallCaps/>
          <w:sz w:val="24"/>
          <w:szCs w:val="24"/>
          <w:lang w:val="en-GB"/>
        </w:rPr>
        <w:t>Risak</w:t>
      </w:r>
      <w:r w:rsidRPr="00A21E4D">
        <w:rPr>
          <w:rFonts w:ascii="Times New Roman" w:hAnsi="Times New Roman" w:cs="Times New Roman"/>
          <w:sz w:val="24"/>
          <w:szCs w:val="24"/>
          <w:lang w:val="en-GB"/>
        </w:rPr>
        <w:t xml:space="preserve"> and T. </w:t>
      </w:r>
      <w:r w:rsidRPr="00A21E4D">
        <w:rPr>
          <w:rFonts w:ascii="Times New Roman" w:hAnsi="Times New Roman" w:cs="Times New Roman"/>
          <w:smallCaps/>
          <w:sz w:val="24"/>
          <w:szCs w:val="24"/>
          <w:lang w:val="en-GB"/>
        </w:rPr>
        <w:t>Dullinger</w:t>
      </w:r>
      <w:r w:rsidRPr="00A21E4D">
        <w:rPr>
          <w:rFonts w:ascii="Times New Roman" w:hAnsi="Times New Roman" w:cs="Times New Roman"/>
          <w:sz w:val="24"/>
          <w:szCs w:val="24"/>
          <w:lang w:val="en-GB"/>
        </w:rPr>
        <w:t xml:space="preserve">, « The Concept of Worker in EU-Labour Law — Still Fit for Purpose? », </w:t>
      </w:r>
      <w:r w:rsidRPr="00A21E4D">
        <w:rPr>
          <w:rFonts w:ascii="Times New Roman" w:hAnsi="Times New Roman" w:cs="Times New Roman"/>
          <w:i/>
          <w:iCs/>
          <w:sz w:val="24"/>
          <w:szCs w:val="24"/>
          <w:lang w:val="en-GB"/>
        </w:rPr>
        <w:t>Kutafin University Law Review</w:t>
      </w:r>
      <w:r w:rsidRPr="00A21E4D">
        <w:rPr>
          <w:rFonts w:ascii="Times New Roman" w:hAnsi="Times New Roman" w:cs="Times New Roman"/>
          <w:sz w:val="24"/>
          <w:szCs w:val="24"/>
          <w:lang w:val="en-GB"/>
        </w:rPr>
        <w:t>, 2018, pp.18-20.</w:t>
      </w:r>
    </w:p>
  </w:footnote>
  <w:footnote w:id="7">
    <w:p w14:paraId="2F714484"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mallCaps/>
          <w:sz w:val="24"/>
          <w:szCs w:val="24"/>
          <w:lang w:val="en-GB"/>
        </w:rPr>
        <w:t>S. Giubboni</w:t>
      </w:r>
      <w:r w:rsidRPr="00A21E4D">
        <w:rPr>
          <w:rFonts w:ascii="Times New Roman" w:hAnsi="Times New Roman" w:cs="Times New Roman"/>
          <w:sz w:val="24"/>
          <w:szCs w:val="24"/>
          <w:lang w:val="en-GB"/>
        </w:rPr>
        <w:t xml:space="preserve">, «Being a Worker in EU Law », </w:t>
      </w:r>
      <w:r w:rsidRPr="00A21E4D">
        <w:rPr>
          <w:rFonts w:ascii="Times New Roman" w:hAnsi="Times New Roman" w:cs="Times New Roman"/>
          <w:i/>
          <w:sz w:val="24"/>
          <w:szCs w:val="24"/>
          <w:lang w:val="en-GB"/>
        </w:rPr>
        <w:t>E.L.L.J</w:t>
      </w:r>
      <w:r w:rsidRPr="00A21E4D">
        <w:rPr>
          <w:rFonts w:ascii="Times New Roman" w:hAnsi="Times New Roman" w:cs="Times New Roman"/>
          <w:sz w:val="24"/>
          <w:szCs w:val="24"/>
          <w:lang w:val="en-GB"/>
        </w:rPr>
        <w:t xml:space="preserve">., 2018, p. 234. </w:t>
      </w:r>
    </w:p>
  </w:footnote>
  <w:footnote w:id="8">
    <w:p w14:paraId="275E40D0" w14:textId="77777777" w:rsidR="006670EC" w:rsidRPr="00A21E4D" w:rsidRDefault="006670EC" w:rsidP="00B26CCC">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75/63,</w:t>
      </w:r>
      <w:r w:rsidRPr="00A21E4D">
        <w:rPr>
          <w:rFonts w:ascii="Times New Roman" w:hAnsi="Times New Roman" w:cs="Times New Roman"/>
          <w:i/>
          <w:sz w:val="24"/>
          <w:szCs w:val="24"/>
          <w:lang w:val="en-GB"/>
        </w:rPr>
        <w:t xml:space="preserve"> Unger.</w:t>
      </w:r>
    </w:p>
  </w:footnote>
  <w:footnote w:id="9">
    <w:p w14:paraId="65E942A1"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53/81, </w:t>
      </w:r>
      <w:r w:rsidRPr="00A21E4D">
        <w:rPr>
          <w:rFonts w:ascii="Times New Roman" w:hAnsi="Times New Roman" w:cs="Times New Roman"/>
          <w:i/>
          <w:sz w:val="24"/>
          <w:szCs w:val="24"/>
          <w:lang w:val="en-GB"/>
        </w:rPr>
        <w:t>Levin.</w:t>
      </w:r>
    </w:p>
  </w:footnote>
  <w:footnote w:id="10">
    <w:p w14:paraId="40ADF6E0"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139/85, </w:t>
      </w:r>
      <w:r w:rsidRPr="00A21E4D">
        <w:rPr>
          <w:rFonts w:ascii="Times New Roman" w:hAnsi="Times New Roman" w:cs="Times New Roman"/>
          <w:i/>
          <w:sz w:val="24"/>
          <w:szCs w:val="24"/>
          <w:lang w:val="en-GB"/>
        </w:rPr>
        <w:t>Kempf</w:t>
      </w:r>
      <w:r w:rsidRPr="00A21E4D">
        <w:rPr>
          <w:rFonts w:ascii="Times New Roman" w:hAnsi="Times New Roman" w:cs="Times New Roman"/>
          <w:sz w:val="24"/>
          <w:szCs w:val="24"/>
          <w:lang w:val="en-GB"/>
        </w:rPr>
        <w:t>.</w:t>
      </w:r>
    </w:p>
  </w:footnote>
  <w:footnote w:id="11">
    <w:p w14:paraId="6CE4C7CA"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66/85, </w:t>
      </w:r>
      <w:r w:rsidRPr="00A21E4D">
        <w:rPr>
          <w:rFonts w:ascii="Times New Roman" w:hAnsi="Times New Roman" w:cs="Times New Roman"/>
          <w:i/>
          <w:sz w:val="24"/>
          <w:szCs w:val="24"/>
          <w:lang w:val="en-GB"/>
        </w:rPr>
        <w:t>Lawrie Blum</w:t>
      </w:r>
      <w:r w:rsidRPr="00A21E4D">
        <w:rPr>
          <w:rFonts w:ascii="Times New Roman" w:hAnsi="Times New Roman" w:cs="Times New Roman"/>
          <w:sz w:val="24"/>
          <w:szCs w:val="24"/>
          <w:lang w:val="en-GB"/>
        </w:rPr>
        <w:t>, §17.</w:t>
      </w:r>
    </w:p>
  </w:footnote>
  <w:footnote w:id="12">
    <w:p w14:paraId="1FD1771D"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152/73, </w:t>
      </w:r>
      <w:r w:rsidRPr="00A21E4D">
        <w:rPr>
          <w:rFonts w:ascii="Times New Roman" w:hAnsi="Times New Roman" w:cs="Times New Roman"/>
          <w:i/>
          <w:sz w:val="24"/>
          <w:szCs w:val="24"/>
          <w:lang w:val="en-GB"/>
        </w:rPr>
        <w:t>Sotgiu</w:t>
      </w:r>
      <w:r w:rsidRPr="00A21E4D">
        <w:rPr>
          <w:rFonts w:ascii="Times New Roman" w:hAnsi="Times New Roman" w:cs="Times New Roman"/>
          <w:sz w:val="24"/>
          <w:szCs w:val="24"/>
          <w:lang w:val="en-GB"/>
        </w:rPr>
        <w:t xml:space="preserve">; Case 147/86, </w:t>
      </w:r>
      <w:r w:rsidRPr="00A21E4D">
        <w:rPr>
          <w:rFonts w:ascii="Times New Roman" w:hAnsi="Times New Roman" w:cs="Times New Roman"/>
          <w:i/>
          <w:sz w:val="24"/>
          <w:szCs w:val="24"/>
          <w:lang w:val="en-GB"/>
        </w:rPr>
        <w:t>Commission vs Greece</w:t>
      </w:r>
      <w:r w:rsidRPr="00A21E4D">
        <w:rPr>
          <w:rFonts w:ascii="Times New Roman" w:hAnsi="Times New Roman" w:cs="Times New Roman"/>
          <w:sz w:val="24"/>
          <w:szCs w:val="24"/>
          <w:lang w:val="en-GB"/>
        </w:rPr>
        <w:t xml:space="preserve">; Case 225/85, </w:t>
      </w:r>
      <w:r w:rsidRPr="00A21E4D">
        <w:rPr>
          <w:rFonts w:ascii="Times New Roman" w:hAnsi="Times New Roman" w:cs="Times New Roman"/>
          <w:i/>
          <w:sz w:val="24"/>
          <w:szCs w:val="24"/>
          <w:lang w:val="en-GB"/>
        </w:rPr>
        <w:t>Commission vs Italy</w:t>
      </w:r>
      <w:r w:rsidRPr="00A21E4D">
        <w:rPr>
          <w:rFonts w:ascii="Times New Roman" w:hAnsi="Times New Roman" w:cs="Times New Roman"/>
          <w:sz w:val="24"/>
          <w:szCs w:val="24"/>
          <w:lang w:val="en-GB"/>
        </w:rPr>
        <w:t xml:space="preserve">; Case 33/88, </w:t>
      </w:r>
      <w:r w:rsidRPr="00A21E4D">
        <w:rPr>
          <w:rFonts w:ascii="Times New Roman" w:hAnsi="Times New Roman" w:cs="Times New Roman"/>
          <w:i/>
          <w:sz w:val="24"/>
          <w:szCs w:val="24"/>
          <w:lang w:val="en-GB"/>
        </w:rPr>
        <w:t>Allue Coonan</w:t>
      </w:r>
      <w:r w:rsidRPr="00A21E4D">
        <w:rPr>
          <w:rFonts w:ascii="Times New Roman" w:hAnsi="Times New Roman" w:cs="Times New Roman"/>
          <w:sz w:val="24"/>
          <w:szCs w:val="24"/>
          <w:lang w:val="en-GB"/>
        </w:rPr>
        <w:t xml:space="preserve">; C-4/91, </w:t>
      </w:r>
      <w:r w:rsidRPr="00A21E4D">
        <w:rPr>
          <w:rFonts w:ascii="Times New Roman" w:hAnsi="Times New Roman" w:cs="Times New Roman"/>
          <w:i/>
          <w:sz w:val="24"/>
          <w:szCs w:val="24"/>
          <w:lang w:val="en-GB"/>
        </w:rPr>
        <w:t>Bleis</w:t>
      </w:r>
      <w:r w:rsidRPr="00A21E4D">
        <w:rPr>
          <w:rFonts w:ascii="Times New Roman" w:hAnsi="Times New Roman" w:cs="Times New Roman"/>
          <w:sz w:val="24"/>
          <w:szCs w:val="24"/>
          <w:lang w:val="en-GB"/>
        </w:rPr>
        <w:t xml:space="preserve">; C-473/93, </w:t>
      </w:r>
      <w:r w:rsidRPr="00A21E4D">
        <w:rPr>
          <w:rFonts w:ascii="Times New Roman" w:hAnsi="Times New Roman" w:cs="Times New Roman"/>
          <w:i/>
          <w:sz w:val="24"/>
          <w:szCs w:val="24"/>
          <w:lang w:val="en-GB"/>
        </w:rPr>
        <w:t>Commission vs Luxembourg</w:t>
      </w:r>
      <w:r w:rsidRPr="00A21E4D">
        <w:rPr>
          <w:rFonts w:ascii="Times New Roman" w:hAnsi="Times New Roman" w:cs="Times New Roman"/>
          <w:sz w:val="24"/>
          <w:szCs w:val="24"/>
          <w:lang w:val="en-GB"/>
        </w:rPr>
        <w:t xml:space="preserve">; C-47/02, </w:t>
      </w:r>
      <w:r w:rsidRPr="00A21E4D">
        <w:rPr>
          <w:rFonts w:ascii="Times New Roman" w:hAnsi="Times New Roman" w:cs="Times New Roman"/>
          <w:i/>
          <w:sz w:val="24"/>
          <w:szCs w:val="24"/>
          <w:lang w:val="en-GB"/>
        </w:rPr>
        <w:t>Anker</w:t>
      </w:r>
      <w:r w:rsidRPr="00A21E4D">
        <w:rPr>
          <w:rFonts w:ascii="Times New Roman" w:hAnsi="Times New Roman" w:cs="Times New Roman"/>
          <w:sz w:val="24"/>
          <w:szCs w:val="24"/>
          <w:lang w:val="en-GB"/>
        </w:rPr>
        <w:t>.</w:t>
      </w:r>
    </w:p>
  </w:footnote>
  <w:footnote w:id="13">
    <w:p w14:paraId="41D34836"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C-413/01, </w:t>
      </w:r>
      <w:r w:rsidRPr="00A21E4D">
        <w:rPr>
          <w:rFonts w:ascii="Times New Roman" w:hAnsi="Times New Roman" w:cs="Times New Roman"/>
          <w:i/>
          <w:sz w:val="24"/>
          <w:szCs w:val="24"/>
          <w:lang w:val="en-GB"/>
        </w:rPr>
        <w:t>Ninni-Orasche</w:t>
      </w:r>
      <w:r w:rsidRPr="00A21E4D">
        <w:rPr>
          <w:rFonts w:ascii="Times New Roman" w:hAnsi="Times New Roman" w:cs="Times New Roman"/>
          <w:sz w:val="24"/>
          <w:szCs w:val="24"/>
          <w:lang w:val="en-GB"/>
        </w:rPr>
        <w:t>.</w:t>
      </w:r>
    </w:p>
  </w:footnote>
  <w:footnote w:id="14">
    <w:p w14:paraId="61860DB1"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344/87, </w:t>
      </w:r>
      <w:r w:rsidRPr="00A21E4D">
        <w:rPr>
          <w:rFonts w:ascii="Times New Roman" w:hAnsi="Times New Roman" w:cs="Times New Roman"/>
          <w:i/>
          <w:sz w:val="24"/>
          <w:szCs w:val="24"/>
          <w:lang w:val="en-GB"/>
        </w:rPr>
        <w:t>Bettray</w:t>
      </w:r>
      <w:r w:rsidRPr="00A21E4D">
        <w:rPr>
          <w:rFonts w:ascii="Times New Roman" w:hAnsi="Times New Roman" w:cs="Times New Roman"/>
          <w:sz w:val="24"/>
          <w:szCs w:val="24"/>
          <w:lang w:val="en-GB"/>
        </w:rPr>
        <w:t>, §17.</w:t>
      </w:r>
    </w:p>
  </w:footnote>
  <w:footnote w:id="15">
    <w:p w14:paraId="6EC8237A" w14:textId="77777777" w:rsidR="006670EC" w:rsidRPr="00A21E4D" w:rsidRDefault="006670EC" w:rsidP="00773289">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C-456/02, </w:t>
      </w:r>
      <w:r w:rsidRPr="00A21E4D">
        <w:rPr>
          <w:rFonts w:ascii="Times New Roman" w:hAnsi="Times New Roman" w:cs="Times New Roman"/>
          <w:i/>
          <w:sz w:val="24"/>
          <w:szCs w:val="24"/>
          <w:lang w:val="it-IT"/>
        </w:rPr>
        <w:t>Trojani</w:t>
      </w:r>
      <w:r w:rsidRPr="00A21E4D">
        <w:rPr>
          <w:rFonts w:ascii="Times New Roman" w:hAnsi="Times New Roman" w:cs="Times New Roman"/>
          <w:sz w:val="24"/>
          <w:szCs w:val="24"/>
          <w:lang w:val="it-IT"/>
        </w:rPr>
        <w:t>.</w:t>
      </w:r>
    </w:p>
  </w:footnote>
  <w:footnote w:id="16">
    <w:p w14:paraId="220E7F51" w14:textId="77777777" w:rsidR="001D5721" w:rsidRPr="00A21E4D" w:rsidRDefault="001D5721" w:rsidP="001D5721">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C-415/93, </w:t>
      </w:r>
      <w:r w:rsidRPr="00A21E4D">
        <w:rPr>
          <w:rFonts w:ascii="Times New Roman" w:hAnsi="Times New Roman" w:cs="Times New Roman"/>
          <w:i/>
          <w:sz w:val="24"/>
          <w:szCs w:val="24"/>
          <w:lang w:val="it-IT"/>
        </w:rPr>
        <w:t>Bosman</w:t>
      </w:r>
      <w:r w:rsidRPr="00A21E4D">
        <w:rPr>
          <w:rFonts w:ascii="Times New Roman" w:hAnsi="Times New Roman" w:cs="Times New Roman"/>
          <w:sz w:val="24"/>
          <w:szCs w:val="24"/>
          <w:lang w:val="it-IT"/>
        </w:rPr>
        <w:t xml:space="preserve">; C-176/96, </w:t>
      </w:r>
      <w:r w:rsidRPr="00A21E4D">
        <w:rPr>
          <w:rFonts w:ascii="Times New Roman" w:hAnsi="Times New Roman" w:cs="Times New Roman"/>
          <w:i/>
          <w:sz w:val="24"/>
          <w:szCs w:val="24"/>
          <w:lang w:val="it-IT"/>
        </w:rPr>
        <w:t>Jyri Lehlonen</w:t>
      </w:r>
      <w:r w:rsidRPr="00A21E4D">
        <w:rPr>
          <w:rFonts w:ascii="Times New Roman" w:hAnsi="Times New Roman" w:cs="Times New Roman"/>
          <w:sz w:val="24"/>
          <w:szCs w:val="24"/>
          <w:lang w:val="it-IT"/>
        </w:rPr>
        <w:t>.</w:t>
      </w:r>
    </w:p>
  </w:footnote>
  <w:footnote w:id="17">
    <w:p w14:paraId="2E10D2E7" w14:textId="77777777" w:rsidR="001D5721" w:rsidRPr="00A21E4D" w:rsidRDefault="001D5721" w:rsidP="001D5721">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66/85, </w:t>
      </w:r>
      <w:r w:rsidRPr="00A21E4D">
        <w:rPr>
          <w:rFonts w:ascii="Times New Roman" w:hAnsi="Times New Roman" w:cs="Times New Roman"/>
          <w:i/>
          <w:sz w:val="24"/>
          <w:szCs w:val="24"/>
          <w:lang w:val="en-GB"/>
        </w:rPr>
        <w:t xml:space="preserve">Lawrie Blum; </w:t>
      </w:r>
      <w:r w:rsidRPr="00A21E4D">
        <w:rPr>
          <w:rFonts w:ascii="Times New Roman" w:hAnsi="Times New Roman" w:cs="Times New Roman"/>
          <w:sz w:val="24"/>
          <w:szCs w:val="24"/>
          <w:lang w:val="en-GB"/>
        </w:rPr>
        <w:t xml:space="preserve">C-3/90, </w:t>
      </w:r>
      <w:r w:rsidRPr="00A21E4D">
        <w:rPr>
          <w:rFonts w:ascii="Times New Roman" w:hAnsi="Times New Roman" w:cs="Times New Roman"/>
          <w:i/>
          <w:sz w:val="24"/>
          <w:szCs w:val="24"/>
          <w:lang w:val="en-GB"/>
        </w:rPr>
        <w:t>Bernini</w:t>
      </w:r>
      <w:r w:rsidRPr="00A21E4D">
        <w:rPr>
          <w:rFonts w:ascii="Times New Roman" w:hAnsi="Times New Roman" w:cs="Times New Roman"/>
          <w:sz w:val="24"/>
          <w:szCs w:val="24"/>
          <w:lang w:val="en-GB"/>
        </w:rPr>
        <w:t xml:space="preserve">; C-109/04, </w:t>
      </w:r>
      <w:r w:rsidRPr="00A21E4D">
        <w:rPr>
          <w:rFonts w:ascii="Times New Roman" w:hAnsi="Times New Roman" w:cs="Times New Roman"/>
          <w:i/>
          <w:sz w:val="24"/>
          <w:szCs w:val="24"/>
          <w:lang w:val="en-GB"/>
        </w:rPr>
        <w:t>Kraneman</w:t>
      </w:r>
      <w:r w:rsidRPr="00A21E4D">
        <w:rPr>
          <w:rFonts w:ascii="Times New Roman" w:hAnsi="Times New Roman" w:cs="Times New Roman"/>
          <w:sz w:val="24"/>
          <w:szCs w:val="24"/>
          <w:lang w:val="en-GB"/>
        </w:rPr>
        <w:t>.</w:t>
      </w:r>
    </w:p>
  </w:footnote>
  <w:footnote w:id="18">
    <w:p w14:paraId="0EB80B84" w14:textId="77777777" w:rsidR="0007196E" w:rsidRPr="00A21E4D" w:rsidRDefault="0007196E" w:rsidP="0007196E">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C-94/07, </w:t>
      </w:r>
      <w:r w:rsidRPr="00A21E4D">
        <w:rPr>
          <w:rFonts w:ascii="Times New Roman" w:hAnsi="Times New Roman" w:cs="Times New Roman"/>
          <w:i/>
          <w:sz w:val="24"/>
          <w:szCs w:val="24"/>
          <w:lang w:val="en-GB"/>
        </w:rPr>
        <w:t>Racannelli</w:t>
      </w:r>
      <w:r w:rsidRPr="00A21E4D">
        <w:rPr>
          <w:rFonts w:ascii="Times New Roman" w:hAnsi="Times New Roman" w:cs="Times New Roman"/>
          <w:sz w:val="24"/>
          <w:szCs w:val="24"/>
          <w:lang w:val="en-GB"/>
        </w:rPr>
        <w:t>, § 33.</w:t>
      </w:r>
    </w:p>
  </w:footnote>
  <w:footnote w:id="19">
    <w:p w14:paraId="3D026A29"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38/86, </w:t>
      </w:r>
      <w:r w:rsidRPr="00A21E4D">
        <w:rPr>
          <w:rFonts w:ascii="Times New Roman" w:hAnsi="Times New Roman" w:cs="Times New Roman"/>
          <w:i/>
          <w:sz w:val="24"/>
          <w:szCs w:val="24"/>
          <w:lang w:val="en-GB"/>
        </w:rPr>
        <w:t>Lair;</w:t>
      </w:r>
      <w:r w:rsidRPr="00A21E4D">
        <w:rPr>
          <w:rFonts w:ascii="Times New Roman" w:hAnsi="Times New Roman" w:cs="Times New Roman"/>
          <w:sz w:val="24"/>
          <w:szCs w:val="24"/>
          <w:lang w:val="en-GB"/>
        </w:rPr>
        <w:t xml:space="preserve"> Case 197/86, </w:t>
      </w:r>
      <w:r w:rsidRPr="00A21E4D">
        <w:rPr>
          <w:rFonts w:ascii="Times New Roman" w:hAnsi="Times New Roman" w:cs="Times New Roman"/>
          <w:i/>
          <w:sz w:val="24"/>
          <w:szCs w:val="24"/>
          <w:lang w:val="en-GB"/>
        </w:rPr>
        <w:t>Brown</w:t>
      </w:r>
      <w:r w:rsidRPr="00A21E4D">
        <w:rPr>
          <w:rFonts w:ascii="Times New Roman" w:hAnsi="Times New Roman" w:cs="Times New Roman"/>
          <w:sz w:val="24"/>
          <w:szCs w:val="24"/>
          <w:lang w:val="en-GB"/>
        </w:rPr>
        <w:t>.</w:t>
      </w:r>
    </w:p>
  </w:footnote>
  <w:footnote w:id="20">
    <w:p w14:paraId="20AF7C2A" w14:textId="77777777" w:rsidR="006670EC" w:rsidRPr="00A21E4D" w:rsidRDefault="006670EC">
      <w:pPr>
        <w:pStyle w:val="Notedebasdepage"/>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w:t>
      </w:r>
      <w:r w:rsidRPr="00A21E4D">
        <w:rPr>
          <w:rFonts w:ascii="Times New Roman" w:hAnsi="Times New Roman" w:cs="Times New Roman"/>
          <w:i/>
          <w:sz w:val="24"/>
          <w:szCs w:val="24"/>
          <w:lang w:val="it-IT"/>
        </w:rPr>
        <w:t>Lair</w:t>
      </w:r>
      <w:r w:rsidRPr="00A21E4D">
        <w:rPr>
          <w:rFonts w:ascii="Times New Roman" w:hAnsi="Times New Roman" w:cs="Times New Roman"/>
          <w:sz w:val="24"/>
          <w:szCs w:val="24"/>
          <w:lang w:val="it-IT"/>
        </w:rPr>
        <w:t xml:space="preserve">, §39 ; C-357/89, </w:t>
      </w:r>
      <w:r w:rsidRPr="00A21E4D">
        <w:rPr>
          <w:rFonts w:ascii="Times New Roman" w:hAnsi="Times New Roman" w:cs="Times New Roman"/>
          <w:i/>
          <w:sz w:val="24"/>
          <w:szCs w:val="24"/>
          <w:lang w:val="it-IT"/>
        </w:rPr>
        <w:t>Raulin</w:t>
      </w:r>
      <w:r w:rsidRPr="00A21E4D">
        <w:rPr>
          <w:rFonts w:ascii="Times New Roman" w:hAnsi="Times New Roman" w:cs="Times New Roman"/>
          <w:sz w:val="24"/>
          <w:szCs w:val="24"/>
          <w:lang w:val="it-IT"/>
        </w:rPr>
        <w:t xml:space="preserve">, §21 ; </w:t>
      </w:r>
      <w:r w:rsidRPr="00A21E4D">
        <w:rPr>
          <w:rFonts w:ascii="Times New Roman" w:hAnsi="Times New Roman" w:cs="Times New Roman"/>
          <w:i/>
          <w:sz w:val="24"/>
          <w:szCs w:val="24"/>
          <w:lang w:val="it-IT"/>
        </w:rPr>
        <w:t>Ninni-Orasche</w:t>
      </w:r>
      <w:r w:rsidRPr="00A21E4D">
        <w:rPr>
          <w:rFonts w:ascii="Times New Roman" w:hAnsi="Times New Roman" w:cs="Times New Roman"/>
          <w:sz w:val="24"/>
          <w:szCs w:val="24"/>
          <w:lang w:val="it-IT"/>
        </w:rPr>
        <w:t xml:space="preserve">, §26. </w:t>
      </w:r>
    </w:p>
  </w:footnote>
  <w:footnote w:id="21">
    <w:p w14:paraId="073B25DD" w14:textId="7D34F4E7" w:rsidR="006670EC" w:rsidRPr="00A21E4D" w:rsidRDefault="006670EC" w:rsidP="00C65692">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i/>
          <w:sz w:val="24"/>
          <w:szCs w:val="24"/>
          <w:lang w:val="en-GB"/>
        </w:rPr>
        <w:t>Lair</w:t>
      </w:r>
      <w:r w:rsidRPr="00A21E4D">
        <w:rPr>
          <w:rFonts w:ascii="Times New Roman" w:hAnsi="Times New Roman" w:cs="Times New Roman"/>
          <w:sz w:val="24"/>
          <w:szCs w:val="24"/>
          <w:lang w:val="en-GB"/>
        </w:rPr>
        <w:t>, §</w:t>
      </w:r>
      <w:r w:rsidR="00D35D05" w:rsidRPr="00A21E4D">
        <w:rPr>
          <w:rFonts w:ascii="Times New Roman" w:hAnsi="Times New Roman" w:cs="Times New Roman"/>
          <w:sz w:val="24"/>
          <w:szCs w:val="24"/>
          <w:lang w:val="en-GB"/>
        </w:rPr>
        <w:t>43;</w:t>
      </w:r>
      <w:r w:rsidRPr="00A21E4D">
        <w:rPr>
          <w:rFonts w:ascii="Times New Roman" w:hAnsi="Times New Roman" w:cs="Times New Roman"/>
          <w:i/>
          <w:sz w:val="24"/>
          <w:szCs w:val="24"/>
          <w:lang w:val="en-GB"/>
        </w:rPr>
        <w:t xml:space="preserve"> Ninni-Orasche</w:t>
      </w:r>
      <w:r w:rsidRPr="00A21E4D">
        <w:rPr>
          <w:rFonts w:ascii="Times New Roman" w:hAnsi="Times New Roman" w:cs="Times New Roman"/>
          <w:sz w:val="24"/>
          <w:szCs w:val="24"/>
          <w:lang w:val="en-GB"/>
        </w:rPr>
        <w:t xml:space="preserve">, §26. </w:t>
      </w:r>
    </w:p>
  </w:footnote>
  <w:footnote w:id="22">
    <w:p w14:paraId="03283128"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C-507/12, </w:t>
      </w:r>
      <w:r w:rsidRPr="00A21E4D">
        <w:rPr>
          <w:rFonts w:ascii="Times New Roman" w:hAnsi="Times New Roman" w:cs="Times New Roman"/>
          <w:i/>
          <w:sz w:val="24"/>
          <w:szCs w:val="24"/>
          <w:lang w:val="en-GB"/>
        </w:rPr>
        <w:t>Jessy St-Prix</w:t>
      </w:r>
      <w:r w:rsidRPr="00A21E4D">
        <w:rPr>
          <w:rFonts w:ascii="Times New Roman" w:hAnsi="Times New Roman" w:cs="Times New Roman"/>
          <w:sz w:val="24"/>
          <w:szCs w:val="24"/>
          <w:lang w:val="en-GB"/>
        </w:rPr>
        <w:t>, § 40.</w:t>
      </w:r>
    </w:p>
  </w:footnote>
  <w:footnote w:id="23">
    <w:p w14:paraId="37F282E7"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C-138/02, </w:t>
      </w:r>
      <w:r w:rsidRPr="00A21E4D">
        <w:rPr>
          <w:rFonts w:ascii="Times New Roman" w:hAnsi="Times New Roman" w:cs="Times New Roman"/>
          <w:i/>
          <w:sz w:val="24"/>
          <w:szCs w:val="24"/>
          <w:lang w:val="en-GB"/>
        </w:rPr>
        <w:t>Brian Francis Collins</w:t>
      </w:r>
      <w:r w:rsidRPr="00A21E4D">
        <w:rPr>
          <w:rFonts w:ascii="Times New Roman" w:hAnsi="Times New Roman" w:cs="Times New Roman"/>
          <w:sz w:val="24"/>
          <w:szCs w:val="24"/>
          <w:lang w:val="en-GB"/>
        </w:rPr>
        <w:t>, § 26-28.</w:t>
      </w:r>
    </w:p>
  </w:footnote>
  <w:footnote w:id="24">
    <w:p w14:paraId="6D94BAAC"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mallCaps/>
          <w:sz w:val="24"/>
          <w:szCs w:val="24"/>
          <w:lang w:val="en-GB"/>
        </w:rPr>
        <w:t>N. Kountouris</w:t>
      </w:r>
      <w:r w:rsidRPr="00A21E4D">
        <w:rPr>
          <w:rFonts w:ascii="Times New Roman" w:hAnsi="Times New Roman" w:cs="Times New Roman"/>
          <w:sz w:val="24"/>
          <w:szCs w:val="24"/>
          <w:lang w:val="en-GB"/>
        </w:rPr>
        <w:t xml:space="preserve">, « The Concept of ‘Worker’ in European Labour Law: Fragmentation, Autonomy and Scope », </w:t>
      </w:r>
      <w:r w:rsidRPr="00A21E4D">
        <w:rPr>
          <w:rFonts w:ascii="Times New Roman" w:hAnsi="Times New Roman" w:cs="Times New Roman"/>
          <w:i/>
          <w:sz w:val="24"/>
          <w:szCs w:val="24"/>
          <w:lang w:val="en-GB"/>
        </w:rPr>
        <w:t>Industrial Law Journal</w:t>
      </w:r>
      <w:r w:rsidRPr="00A21E4D">
        <w:rPr>
          <w:rFonts w:ascii="Times New Roman" w:hAnsi="Times New Roman" w:cs="Times New Roman"/>
          <w:sz w:val="24"/>
          <w:szCs w:val="24"/>
          <w:lang w:val="en-GB"/>
        </w:rPr>
        <w:t>, 2018, vol. 47, n° 2, pp.198-199.</w:t>
      </w:r>
    </w:p>
  </w:footnote>
  <w:footnote w:id="25">
    <w:p w14:paraId="7DCA58C2"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15 of the arrest; see also C-1/97, </w:t>
      </w:r>
      <w:r w:rsidRPr="00A21E4D">
        <w:rPr>
          <w:rFonts w:ascii="Times New Roman" w:hAnsi="Times New Roman" w:cs="Times New Roman"/>
          <w:i/>
          <w:sz w:val="24"/>
          <w:szCs w:val="24"/>
          <w:lang w:val="en-GB"/>
        </w:rPr>
        <w:t>Mehmet Birden</w:t>
      </w:r>
      <w:r w:rsidRPr="00A21E4D">
        <w:rPr>
          <w:rFonts w:ascii="Times New Roman" w:hAnsi="Times New Roman" w:cs="Times New Roman"/>
          <w:sz w:val="24"/>
          <w:szCs w:val="24"/>
          <w:lang w:val="en-GB"/>
        </w:rPr>
        <w:t>, § 25.</w:t>
      </w:r>
    </w:p>
  </w:footnote>
  <w:footnote w:id="26">
    <w:p w14:paraId="56BC097B"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i/>
          <w:sz w:val="24"/>
          <w:szCs w:val="24"/>
          <w:lang w:val="en-GB"/>
        </w:rPr>
        <w:t>Trojani</w:t>
      </w:r>
      <w:r w:rsidRPr="00A21E4D">
        <w:rPr>
          <w:rFonts w:ascii="Times New Roman" w:hAnsi="Times New Roman" w:cs="Times New Roman"/>
          <w:sz w:val="24"/>
          <w:szCs w:val="24"/>
          <w:lang w:val="en-GB"/>
        </w:rPr>
        <w:t xml:space="preserve">, § 15, </w:t>
      </w:r>
      <w:r w:rsidRPr="00A21E4D">
        <w:rPr>
          <w:rFonts w:ascii="Times New Roman" w:hAnsi="Times New Roman" w:cs="Times New Roman"/>
          <w:i/>
          <w:sz w:val="24"/>
          <w:szCs w:val="24"/>
          <w:lang w:val="en-GB"/>
        </w:rPr>
        <w:t>Levin</w:t>
      </w:r>
      <w:r w:rsidRPr="00A21E4D">
        <w:rPr>
          <w:rFonts w:ascii="Times New Roman" w:hAnsi="Times New Roman" w:cs="Times New Roman"/>
          <w:sz w:val="24"/>
          <w:szCs w:val="24"/>
          <w:lang w:val="en-GB"/>
        </w:rPr>
        <w:t xml:space="preserve">, § 16; C-10/05, </w:t>
      </w:r>
      <w:r w:rsidRPr="00A21E4D">
        <w:rPr>
          <w:rFonts w:ascii="Times New Roman" w:hAnsi="Times New Roman" w:cs="Times New Roman"/>
          <w:i/>
          <w:sz w:val="24"/>
          <w:szCs w:val="24"/>
          <w:lang w:val="en-GB"/>
        </w:rPr>
        <w:t>Mattern Cikotic</w:t>
      </w:r>
      <w:r w:rsidRPr="00A21E4D">
        <w:rPr>
          <w:rFonts w:ascii="Times New Roman" w:hAnsi="Times New Roman" w:cs="Times New Roman"/>
          <w:sz w:val="24"/>
          <w:szCs w:val="24"/>
          <w:lang w:val="en-GB"/>
        </w:rPr>
        <w:t>, § 22.</w:t>
      </w:r>
    </w:p>
  </w:footnote>
  <w:footnote w:id="27">
    <w:p w14:paraId="06C48908"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196/87, </w:t>
      </w:r>
      <w:r w:rsidRPr="00A21E4D">
        <w:rPr>
          <w:rFonts w:ascii="Times New Roman" w:hAnsi="Times New Roman" w:cs="Times New Roman"/>
          <w:i/>
          <w:sz w:val="24"/>
          <w:szCs w:val="24"/>
          <w:lang w:val="en-GB"/>
        </w:rPr>
        <w:t>Steymann</w:t>
      </w:r>
      <w:r w:rsidRPr="00A21E4D">
        <w:rPr>
          <w:rFonts w:ascii="Times New Roman" w:hAnsi="Times New Roman" w:cs="Times New Roman"/>
          <w:sz w:val="24"/>
          <w:szCs w:val="24"/>
          <w:lang w:val="en-GB"/>
        </w:rPr>
        <w:t>, § 12.</w:t>
      </w:r>
    </w:p>
  </w:footnote>
  <w:footnote w:id="28">
    <w:p w14:paraId="3CC9A71D" w14:textId="77777777" w:rsidR="006670EC" w:rsidRPr="00A21E4D" w:rsidRDefault="006670EC" w:rsidP="0094670D">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mallCaps/>
          <w:sz w:val="24"/>
          <w:szCs w:val="24"/>
          <w:lang w:val="en-GB"/>
        </w:rPr>
        <w:t>E. Menegatti</w:t>
      </w:r>
      <w:r w:rsidRPr="00A21E4D">
        <w:rPr>
          <w:rFonts w:ascii="Times New Roman" w:hAnsi="Times New Roman" w:cs="Times New Roman"/>
          <w:sz w:val="24"/>
          <w:szCs w:val="24"/>
          <w:lang w:val="en-GB"/>
        </w:rPr>
        <w:t>, “The Evolving Concept of Worker in EU Law</w:t>
      </w:r>
      <w:r w:rsidRPr="00A21E4D">
        <w:rPr>
          <w:rFonts w:ascii="Times New Roman" w:hAnsi="Times New Roman" w:cs="Times New Roman"/>
          <w:i/>
          <w:sz w:val="24"/>
          <w:szCs w:val="24"/>
          <w:lang w:val="en-GB"/>
        </w:rPr>
        <w:t>”, Italian Labour Law E-Journal</w:t>
      </w:r>
      <w:r w:rsidRPr="00A21E4D">
        <w:rPr>
          <w:rFonts w:ascii="Times New Roman" w:hAnsi="Times New Roman" w:cs="Times New Roman"/>
          <w:sz w:val="24"/>
          <w:szCs w:val="24"/>
          <w:lang w:val="en-GB"/>
        </w:rPr>
        <w:t>, 2019, p. 73.</w:t>
      </w:r>
    </w:p>
  </w:footnote>
  <w:footnote w:id="29">
    <w:p w14:paraId="1F1CC7A6" w14:textId="77777777" w:rsidR="006670EC" w:rsidRPr="00A21E4D" w:rsidRDefault="006670EC" w:rsidP="0094670D">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Case C-107/94, </w:t>
      </w:r>
      <w:r w:rsidRPr="00A21E4D">
        <w:rPr>
          <w:rFonts w:ascii="Times New Roman" w:hAnsi="Times New Roman" w:cs="Times New Roman"/>
          <w:i/>
          <w:sz w:val="24"/>
          <w:szCs w:val="24"/>
          <w:lang w:val="en-GB"/>
        </w:rPr>
        <w:t>Asscher</w:t>
      </w:r>
      <w:r w:rsidRPr="00A21E4D">
        <w:rPr>
          <w:rFonts w:ascii="Times New Roman" w:hAnsi="Times New Roman" w:cs="Times New Roman"/>
          <w:sz w:val="24"/>
          <w:szCs w:val="24"/>
          <w:lang w:val="en-GB"/>
        </w:rPr>
        <w:t>.</w:t>
      </w:r>
    </w:p>
  </w:footnote>
  <w:footnote w:id="30">
    <w:p w14:paraId="2E23E30E" w14:textId="3D81FADD" w:rsidR="006670EC" w:rsidRPr="00A21E4D" w:rsidRDefault="006670EC" w:rsidP="0094670D">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00D35D05" w:rsidRPr="00A21E4D">
        <w:rPr>
          <w:rFonts w:ascii="Times New Roman" w:hAnsi="Times New Roman" w:cs="Times New Roman"/>
          <w:sz w:val="24"/>
          <w:szCs w:val="24"/>
          <w:lang w:val="en-GB"/>
        </w:rPr>
        <w:t>T</w:t>
      </w:r>
      <w:r w:rsidRPr="00A21E4D">
        <w:rPr>
          <w:rFonts w:ascii="Times New Roman" w:hAnsi="Times New Roman" w:cs="Times New Roman"/>
          <w:sz w:val="24"/>
          <w:szCs w:val="24"/>
          <w:lang w:val="en-GB"/>
        </w:rPr>
        <w:t xml:space="preserve">his does not exclude the possibility for the director’s spouse to be qualified as a worker in a link of subordination even if she works in the same company. C-337/97, </w:t>
      </w:r>
      <w:r w:rsidRPr="00A21E4D">
        <w:rPr>
          <w:rFonts w:ascii="Times New Roman" w:hAnsi="Times New Roman" w:cs="Times New Roman"/>
          <w:i/>
          <w:sz w:val="24"/>
          <w:szCs w:val="24"/>
          <w:lang w:val="en-GB"/>
        </w:rPr>
        <w:t>Meeusen</w:t>
      </w:r>
      <w:r w:rsidRPr="00A21E4D">
        <w:rPr>
          <w:rFonts w:ascii="Times New Roman" w:hAnsi="Times New Roman" w:cs="Times New Roman"/>
          <w:sz w:val="24"/>
          <w:szCs w:val="24"/>
          <w:lang w:val="en-GB"/>
        </w:rPr>
        <w:t>, § 15.</w:t>
      </w:r>
    </w:p>
  </w:footnote>
  <w:footnote w:id="31">
    <w:p w14:paraId="31CA48F5" w14:textId="1E4222F6" w:rsidR="006670EC" w:rsidRPr="00A21E4D" w:rsidRDefault="006670EC" w:rsidP="0094670D">
      <w:pPr>
        <w:widowControl w:val="0"/>
        <w:autoSpaceDE w:val="0"/>
        <w:autoSpaceDN w:val="0"/>
        <w:adjustRightInd w:val="0"/>
        <w:spacing w:after="0" w:line="240" w:lineRule="auto"/>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C-268/99, </w:t>
      </w:r>
      <w:r w:rsidRPr="00A21E4D">
        <w:rPr>
          <w:rFonts w:ascii="Times New Roman" w:hAnsi="Times New Roman" w:cs="Times New Roman"/>
          <w:i/>
          <w:sz w:val="24"/>
          <w:szCs w:val="24"/>
          <w:lang w:val="en-GB"/>
        </w:rPr>
        <w:t>Jany</w:t>
      </w:r>
      <w:r w:rsidRPr="00A21E4D">
        <w:rPr>
          <w:rFonts w:ascii="Times New Roman" w:hAnsi="Times New Roman" w:cs="Times New Roman"/>
          <w:sz w:val="24"/>
          <w:szCs w:val="24"/>
          <w:lang w:val="en-GB"/>
        </w:rPr>
        <w:t xml:space="preserve">; C-355/06, </w:t>
      </w:r>
      <w:r w:rsidRPr="00A21E4D">
        <w:rPr>
          <w:rFonts w:ascii="Times New Roman" w:hAnsi="Times New Roman" w:cs="Times New Roman"/>
          <w:i/>
          <w:sz w:val="24"/>
          <w:szCs w:val="24"/>
          <w:lang w:val="en-GB"/>
        </w:rPr>
        <w:t>Van der Steen</w:t>
      </w:r>
      <w:r w:rsidRPr="00A21E4D">
        <w:rPr>
          <w:rFonts w:ascii="Times New Roman" w:hAnsi="Times New Roman" w:cs="Times New Roman"/>
          <w:sz w:val="24"/>
          <w:szCs w:val="24"/>
          <w:lang w:val="en-GB"/>
        </w:rPr>
        <w:t xml:space="preserve">; C-452/17, </w:t>
      </w:r>
      <w:r w:rsidRPr="00A21E4D">
        <w:rPr>
          <w:rFonts w:ascii="Times New Roman" w:hAnsi="Times New Roman" w:cs="Times New Roman"/>
          <w:i/>
          <w:sz w:val="24"/>
          <w:szCs w:val="24"/>
          <w:lang w:val="en-GB"/>
        </w:rPr>
        <w:t>Zako</w:t>
      </w:r>
      <w:r w:rsidRPr="00A21E4D">
        <w:rPr>
          <w:rFonts w:ascii="Times New Roman" w:hAnsi="Times New Roman" w:cs="Times New Roman"/>
          <w:sz w:val="24"/>
          <w:szCs w:val="24"/>
          <w:lang w:val="en-GB"/>
        </w:rPr>
        <w:t xml:space="preserve">; T. </w:t>
      </w:r>
      <w:r w:rsidRPr="00A21E4D">
        <w:rPr>
          <w:rFonts w:ascii="Times New Roman" w:hAnsi="Times New Roman" w:cs="Times New Roman"/>
          <w:smallCaps/>
          <w:sz w:val="24"/>
          <w:szCs w:val="24"/>
          <w:lang w:val="en-GB"/>
        </w:rPr>
        <w:t>Van Peijpe</w:t>
      </w:r>
      <w:r w:rsidRPr="00A21E4D">
        <w:rPr>
          <w:rFonts w:ascii="Times New Roman" w:hAnsi="Times New Roman" w:cs="Times New Roman"/>
          <w:sz w:val="24"/>
          <w:szCs w:val="24"/>
          <w:lang w:val="en-GB"/>
        </w:rPr>
        <w:t xml:space="preserve">, « EU Limits for the Personal Scope of Employment Law », </w:t>
      </w:r>
      <w:r w:rsidRPr="00A21E4D">
        <w:rPr>
          <w:rFonts w:ascii="Times New Roman" w:hAnsi="Times New Roman" w:cs="Times New Roman"/>
          <w:i/>
          <w:iCs/>
          <w:sz w:val="24"/>
          <w:szCs w:val="24"/>
          <w:lang w:val="en-GB"/>
        </w:rPr>
        <w:t>European Labour Law Journal</w:t>
      </w:r>
      <w:r w:rsidRPr="00A21E4D">
        <w:rPr>
          <w:rFonts w:ascii="Times New Roman" w:hAnsi="Times New Roman" w:cs="Times New Roman"/>
          <w:sz w:val="24"/>
          <w:szCs w:val="24"/>
          <w:lang w:val="en-GB"/>
        </w:rPr>
        <w:t xml:space="preserve">, 2012, vol. 3, n° 1, pp. 46-48. </w:t>
      </w:r>
    </w:p>
  </w:footnote>
  <w:footnote w:id="32">
    <w:p w14:paraId="29E184E9" w14:textId="390A4C46" w:rsidR="0090747E" w:rsidRPr="00A21E4D" w:rsidRDefault="0090747E">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rPr>
        <w:fldChar w:fldCharType="begin"/>
      </w:r>
      <w:r w:rsidRPr="00A21E4D">
        <w:rPr>
          <w:rFonts w:ascii="Times New Roman" w:hAnsi="Times New Roman" w:cs="Times New Roman"/>
          <w:sz w:val="24"/>
          <w:szCs w:val="24"/>
          <w:lang w:val="en-GB"/>
        </w:rPr>
        <w:instrText xml:space="preserve"> ADDIN ZOTERO_ITEM CSL_CITATION {"citationID":"auZfowWb","properties":{"formattedCitation":"T. {\\scaps Van Peijpe}, \\uc0\\u171{}\\uc0\\u160{}EU Limits for the Personal Scope of Employment Law\\uc0\\u160{}\\uc0\\u187{}, {\\i{}European Labour Law Journal}, 2012, pp. 48 and 53\\uc0\\u160{}; F. {\\scaps Rosioru}, \\uc0\\u171{}\\uc0\\u160{}Legal Acknowledgement of the Category of Economically Dependent Workers Special Edition: Which Securities for Workers in Times of Crisis\\uc0\\u160{}\\uc0\\u187{}, {\\i{}European Labour Law Journal}, 2014, p. 296.","plainCitation":"T. Van Peijpe, « EU Limits for the Personal Scope of Employment Law », European Labour Law Journal, 2012, pp. 48 and 53 ; F. Rosioru, « Legal Acknowledgement of the Category of Economically Dependent Workers Special Edition: Which Securities for Workers in Times of Crisis », European Labour Law Journal, 2014, p. 296.","noteIndex":32},"citationItems":[{"id":22,"uris":["http://zotero.org/users/local/0X1c0osY/items/BV5AYIVM"],"uri":["http://zotero.org/users/local/0X1c0osY/items/BV5AYIVM"],"itemData":{"id":22,"type":"article-journal","abstract":"EU Member States are obliged to protect all labourers who fall within the scope of EU labour law. The Member States are free, in principle, to extend the scope of protection by applying a worker concept which includes the economically dependent self-employed., EU free movement principles restrict this freedom of the Member States to apply their own worker concepts. The ECJ makes this freedom almost illusory through a strict application of the subordination criterion for the definition of the concept of ‘worker’, as laid down in its Lawrie-Blum case law. If the ECJ would develop a positive and narrow definition of the concept of self-employed persons, then the Member States would retain the freedom which is necessary to extend adequate protection to the economically dependent self-employed, and to combat bogus self-employment. A few judgments of the ECJ contain materials for the development of such a definition of self-employed persons.","container-title":"European Labour Law Journal","DOI":"10.1177/201395251200300104","ISSN":"2031-9525","journalAbbreviation":"European Labour Law Journal","language":"en","page":"35-53","source":"SAGE Journals","title":"EU Limits for the Personal Scope of Employment Law","author":[{"family":"Van Peijpe","given":"Taco"}],"issued":{"date-parts":[["2012"]]}},"locator":"48 and 53"},{"id":61,"uris":["http://zotero.org/users/local/0X1c0osY/items/5694UW8S"],"uri":["http://zotero.org/users/local/0X1c0osY/items/5694UW8S"],"itemData":{"id":61,"type":"article-journal","container-title":"European Labour Law Journal","journalAbbreviation":"Eur. Lab. L.J.","language":"eng","page":"279-305","source":"HeinOnline","title":"Legal Acknowledgement of the Category of Economically Dependent Workers Special Edition: Which Securities for Workers in Times of Crisis","title-short":"Legal Acknowledgement of the Category of Economically Dependent Workers Special Edition","author":[{"family":"Rosioru","given":"Felicia"}],"issued":{"date-parts":[["2014"]]}},"locator":"296"}],"schema":"https://github.com/citation-style-language/schema/raw/master/csl-citation.json"} </w:instrText>
      </w:r>
      <w:r w:rsidRPr="00A21E4D">
        <w:rPr>
          <w:rFonts w:ascii="Times New Roman" w:hAnsi="Times New Roman" w:cs="Times New Roman"/>
          <w:sz w:val="24"/>
          <w:szCs w:val="24"/>
        </w:rPr>
        <w:fldChar w:fldCharType="separate"/>
      </w:r>
      <w:r w:rsidRPr="00A21E4D">
        <w:rPr>
          <w:rFonts w:ascii="Times New Roman" w:hAnsi="Times New Roman" w:cs="Times New Roman"/>
          <w:sz w:val="24"/>
          <w:szCs w:val="24"/>
          <w:lang w:val="en-GB"/>
        </w:rPr>
        <w:t xml:space="preserve">T. </w:t>
      </w:r>
      <w:r w:rsidRPr="00A21E4D">
        <w:rPr>
          <w:rFonts w:ascii="Times New Roman" w:hAnsi="Times New Roman" w:cs="Times New Roman"/>
          <w:smallCaps/>
          <w:sz w:val="24"/>
          <w:szCs w:val="24"/>
          <w:lang w:val="en-GB"/>
        </w:rPr>
        <w:t>Van Peijpe</w:t>
      </w:r>
      <w:r w:rsidRPr="00A21E4D">
        <w:rPr>
          <w:rFonts w:ascii="Times New Roman" w:hAnsi="Times New Roman" w:cs="Times New Roman"/>
          <w:sz w:val="24"/>
          <w:szCs w:val="24"/>
          <w:lang w:val="en-GB"/>
        </w:rPr>
        <w:t xml:space="preserve">, « EU Limits for the Personal Scope of Employment Law », </w:t>
      </w:r>
      <w:r w:rsidRPr="00A21E4D">
        <w:rPr>
          <w:rFonts w:ascii="Times New Roman" w:hAnsi="Times New Roman" w:cs="Times New Roman"/>
          <w:i/>
          <w:iCs/>
          <w:sz w:val="24"/>
          <w:szCs w:val="24"/>
          <w:lang w:val="en-GB"/>
        </w:rPr>
        <w:t>European Labour Law Journal</w:t>
      </w:r>
      <w:r w:rsidRPr="00A21E4D">
        <w:rPr>
          <w:rFonts w:ascii="Times New Roman" w:hAnsi="Times New Roman" w:cs="Times New Roman"/>
          <w:sz w:val="24"/>
          <w:szCs w:val="24"/>
          <w:lang w:val="en-GB"/>
        </w:rPr>
        <w:t xml:space="preserve">, 2012, pp. 48 and 53 ; F. </w:t>
      </w:r>
      <w:r w:rsidRPr="00A21E4D">
        <w:rPr>
          <w:rFonts w:ascii="Times New Roman" w:hAnsi="Times New Roman" w:cs="Times New Roman"/>
          <w:smallCaps/>
          <w:sz w:val="24"/>
          <w:szCs w:val="24"/>
          <w:lang w:val="en-GB"/>
        </w:rPr>
        <w:t>Rosioru</w:t>
      </w:r>
      <w:r w:rsidRPr="00A21E4D">
        <w:rPr>
          <w:rFonts w:ascii="Times New Roman" w:hAnsi="Times New Roman" w:cs="Times New Roman"/>
          <w:sz w:val="24"/>
          <w:szCs w:val="24"/>
          <w:lang w:val="en-GB"/>
        </w:rPr>
        <w:t xml:space="preserve">, « Legal Acknowledgement of the Category of Economically Dependent Workers Special Edition: Which Securities for Workers in Times of Crisis », </w:t>
      </w:r>
      <w:r w:rsidRPr="00A21E4D">
        <w:rPr>
          <w:rFonts w:ascii="Times New Roman" w:hAnsi="Times New Roman" w:cs="Times New Roman"/>
          <w:i/>
          <w:iCs/>
          <w:sz w:val="24"/>
          <w:szCs w:val="24"/>
          <w:lang w:val="en-GB"/>
        </w:rPr>
        <w:t>European Labour Law Journal</w:t>
      </w:r>
      <w:r w:rsidRPr="00A21E4D">
        <w:rPr>
          <w:rFonts w:ascii="Times New Roman" w:hAnsi="Times New Roman" w:cs="Times New Roman"/>
          <w:sz w:val="24"/>
          <w:szCs w:val="24"/>
          <w:lang w:val="en-GB"/>
        </w:rPr>
        <w:t>, 2014, p. 296.</w:t>
      </w:r>
      <w:r w:rsidRPr="00A21E4D">
        <w:rPr>
          <w:rFonts w:ascii="Times New Roman" w:hAnsi="Times New Roman" w:cs="Times New Roman"/>
          <w:sz w:val="24"/>
          <w:szCs w:val="24"/>
        </w:rPr>
        <w:fldChar w:fldCharType="end"/>
      </w:r>
    </w:p>
  </w:footnote>
  <w:footnote w:id="33">
    <w:p w14:paraId="7DC2B110" w14:textId="77777777" w:rsidR="006670EC" w:rsidRPr="00A21E4D" w:rsidRDefault="006670EC" w:rsidP="0094670D">
      <w:pPr>
        <w:pStyle w:val="Notedebasdepage"/>
        <w:jc w:val="both"/>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M. </w:t>
      </w:r>
      <w:r w:rsidRPr="00A21E4D">
        <w:rPr>
          <w:rFonts w:ascii="Times New Roman" w:hAnsi="Times New Roman" w:cs="Times New Roman"/>
          <w:smallCaps/>
          <w:sz w:val="24"/>
          <w:szCs w:val="24"/>
          <w:lang w:val="nl-BE"/>
        </w:rPr>
        <w:t>Risak</w:t>
      </w:r>
      <w:r w:rsidRPr="00A21E4D">
        <w:rPr>
          <w:rFonts w:ascii="Times New Roman" w:hAnsi="Times New Roman" w:cs="Times New Roman"/>
          <w:sz w:val="24"/>
          <w:szCs w:val="24"/>
          <w:lang w:val="nl-BE"/>
        </w:rPr>
        <w:t xml:space="preserve"> and T. </w:t>
      </w:r>
      <w:r w:rsidRPr="00A21E4D">
        <w:rPr>
          <w:rFonts w:ascii="Times New Roman" w:hAnsi="Times New Roman" w:cs="Times New Roman"/>
          <w:smallCaps/>
          <w:sz w:val="24"/>
          <w:szCs w:val="24"/>
          <w:lang w:val="nl-BE"/>
        </w:rPr>
        <w:t>Dullinger</w:t>
      </w:r>
      <w:r w:rsidRPr="00A21E4D">
        <w:rPr>
          <w:rFonts w:ascii="Times New Roman" w:hAnsi="Times New Roman" w:cs="Times New Roman"/>
          <w:sz w:val="24"/>
          <w:szCs w:val="24"/>
          <w:lang w:val="nl-BE"/>
        </w:rPr>
        <w:t xml:space="preserve">, </w:t>
      </w:r>
      <w:r w:rsidRPr="00A21E4D">
        <w:rPr>
          <w:rFonts w:ascii="Times New Roman" w:hAnsi="Times New Roman" w:cs="Times New Roman"/>
          <w:i/>
          <w:sz w:val="24"/>
          <w:szCs w:val="24"/>
          <w:lang w:val="nl-BE"/>
        </w:rPr>
        <w:t xml:space="preserve">op cit., </w:t>
      </w:r>
      <w:r w:rsidRPr="00A21E4D">
        <w:rPr>
          <w:rFonts w:ascii="Times New Roman" w:hAnsi="Times New Roman" w:cs="Times New Roman"/>
          <w:sz w:val="24"/>
          <w:szCs w:val="24"/>
          <w:lang w:val="nl-BE"/>
        </w:rPr>
        <w:t>p.20.</w:t>
      </w:r>
    </w:p>
  </w:footnote>
  <w:footnote w:id="34">
    <w:p w14:paraId="310F9C03" w14:textId="77777777" w:rsidR="006670EC" w:rsidRPr="00A21E4D" w:rsidRDefault="006670EC" w:rsidP="00773289">
      <w:pPr>
        <w:pStyle w:val="Notedebasdepage"/>
        <w:jc w:val="both"/>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M. </w:t>
      </w:r>
      <w:r w:rsidRPr="00A21E4D">
        <w:rPr>
          <w:rFonts w:ascii="Times New Roman" w:hAnsi="Times New Roman" w:cs="Times New Roman"/>
          <w:smallCaps/>
          <w:sz w:val="24"/>
          <w:szCs w:val="24"/>
          <w:lang w:val="nl-BE"/>
        </w:rPr>
        <w:t>Risak</w:t>
      </w:r>
      <w:r w:rsidRPr="00A21E4D">
        <w:rPr>
          <w:rFonts w:ascii="Times New Roman" w:hAnsi="Times New Roman" w:cs="Times New Roman"/>
          <w:sz w:val="24"/>
          <w:szCs w:val="24"/>
          <w:lang w:val="nl-BE"/>
        </w:rPr>
        <w:t xml:space="preserve"> and T. </w:t>
      </w:r>
      <w:r w:rsidRPr="00A21E4D">
        <w:rPr>
          <w:rFonts w:ascii="Times New Roman" w:hAnsi="Times New Roman" w:cs="Times New Roman"/>
          <w:smallCaps/>
          <w:sz w:val="24"/>
          <w:szCs w:val="24"/>
          <w:lang w:val="nl-BE"/>
        </w:rPr>
        <w:t xml:space="preserve">Dullinger, </w:t>
      </w:r>
      <w:r w:rsidRPr="00A21E4D">
        <w:rPr>
          <w:rFonts w:ascii="Times New Roman" w:hAnsi="Times New Roman" w:cs="Times New Roman"/>
          <w:i/>
          <w:sz w:val="24"/>
          <w:szCs w:val="24"/>
          <w:lang w:val="nl-BE"/>
        </w:rPr>
        <w:t>op cit</w:t>
      </w:r>
      <w:r w:rsidRPr="00A21E4D">
        <w:rPr>
          <w:rFonts w:ascii="Times New Roman" w:hAnsi="Times New Roman" w:cs="Times New Roman"/>
          <w:sz w:val="24"/>
          <w:szCs w:val="24"/>
          <w:lang w:val="nl-BE"/>
        </w:rPr>
        <w:t>., p. 20.</w:t>
      </w:r>
    </w:p>
  </w:footnote>
  <w:footnote w:id="35">
    <w:p w14:paraId="3EE0F9D4" w14:textId="174C55AF" w:rsidR="006670EC" w:rsidRPr="00A21E4D" w:rsidRDefault="006670EC" w:rsidP="00773289">
      <w:pPr>
        <w:pStyle w:val="Notedebasdepage"/>
        <w:jc w:val="both"/>
        <w:rPr>
          <w:rFonts w:ascii="Times New Roman" w:hAnsi="Times New Roman" w:cs="Times New Roman"/>
          <w:i/>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Concerning the Working Time Directive 2003/88/CE: C-428/09, </w:t>
      </w:r>
      <w:r w:rsidRPr="00A21E4D">
        <w:rPr>
          <w:rFonts w:ascii="Times New Roman" w:hAnsi="Times New Roman" w:cs="Times New Roman"/>
          <w:i/>
          <w:sz w:val="24"/>
          <w:szCs w:val="24"/>
          <w:lang w:val="en-GB"/>
        </w:rPr>
        <w:t>Union syndicale solidaire Isère</w:t>
      </w:r>
      <w:r w:rsidRPr="00A21E4D">
        <w:rPr>
          <w:rFonts w:ascii="Times New Roman" w:hAnsi="Times New Roman" w:cs="Times New Roman"/>
          <w:sz w:val="24"/>
          <w:szCs w:val="24"/>
          <w:lang w:val="en-GB"/>
        </w:rPr>
        <w:t xml:space="preserve">; C-519/99, </w:t>
      </w:r>
      <w:r w:rsidRPr="00A21E4D">
        <w:rPr>
          <w:rFonts w:ascii="Times New Roman" w:hAnsi="Times New Roman" w:cs="Times New Roman"/>
          <w:i/>
          <w:sz w:val="24"/>
          <w:szCs w:val="24"/>
          <w:lang w:val="en-GB"/>
        </w:rPr>
        <w:t>May vs AOK Rheinland</w:t>
      </w:r>
      <w:r w:rsidRPr="00A21E4D">
        <w:rPr>
          <w:rFonts w:ascii="Times New Roman" w:hAnsi="Times New Roman" w:cs="Times New Roman"/>
          <w:sz w:val="24"/>
          <w:szCs w:val="24"/>
          <w:lang w:val="en-GB"/>
        </w:rPr>
        <w:t xml:space="preserve">; C-337/10 </w:t>
      </w:r>
      <w:r w:rsidRPr="00A21E4D">
        <w:rPr>
          <w:rFonts w:ascii="Times New Roman" w:hAnsi="Times New Roman" w:cs="Times New Roman"/>
          <w:i/>
          <w:sz w:val="24"/>
          <w:szCs w:val="24"/>
          <w:lang w:val="en-GB"/>
        </w:rPr>
        <w:t>Neidel vs Frankfurt am Main</w:t>
      </w:r>
      <w:r w:rsidR="00D26DF4" w:rsidRPr="00A21E4D">
        <w:rPr>
          <w:rFonts w:ascii="Times New Roman" w:hAnsi="Times New Roman" w:cs="Times New Roman"/>
          <w:i/>
          <w:sz w:val="24"/>
          <w:szCs w:val="24"/>
          <w:lang w:val="en-GB"/>
        </w:rPr>
        <w:t xml:space="preserve">; </w:t>
      </w:r>
      <w:r w:rsidR="00D26DF4" w:rsidRPr="00A21E4D">
        <w:rPr>
          <w:rFonts w:ascii="Times New Roman" w:hAnsi="Times New Roman" w:cs="Times New Roman"/>
          <w:sz w:val="24"/>
          <w:szCs w:val="24"/>
          <w:lang w:val="en-GB"/>
        </w:rPr>
        <w:t>C-518/15</w:t>
      </w:r>
      <w:r w:rsidR="00D26DF4" w:rsidRPr="00A21E4D">
        <w:rPr>
          <w:rFonts w:ascii="Times New Roman" w:hAnsi="Times New Roman" w:cs="Times New Roman"/>
          <w:i/>
          <w:sz w:val="24"/>
          <w:szCs w:val="24"/>
          <w:lang w:val="en-GB"/>
        </w:rPr>
        <w:t>, Matzak.</w:t>
      </w:r>
    </w:p>
    <w:p w14:paraId="57DD1294"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 xml:space="preserve">Concerning the Collective Redundancies Directive 98/59/CE: C-32/02, </w:t>
      </w:r>
      <w:r w:rsidRPr="00A21E4D">
        <w:rPr>
          <w:rFonts w:ascii="Times New Roman" w:hAnsi="Times New Roman" w:cs="Times New Roman"/>
          <w:i/>
          <w:sz w:val="24"/>
          <w:szCs w:val="24"/>
          <w:lang w:val="en-GB"/>
        </w:rPr>
        <w:t>Commission vs Italy</w:t>
      </w:r>
      <w:r w:rsidRPr="00A21E4D">
        <w:rPr>
          <w:rFonts w:ascii="Times New Roman" w:hAnsi="Times New Roman" w:cs="Times New Roman"/>
          <w:sz w:val="24"/>
          <w:szCs w:val="24"/>
          <w:lang w:val="en-GB"/>
        </w:rPr>
        <w:t xml:space="preserve">, C-229/14, </w:t>
      </w:r>
      <w:r w:rsidRPr="00A21E4D">
        <w:rPr>
          <w:rFonts w:ascii="Times New Roman" w:hAnsi="Times New Roman" w:cs="Times New Roman"/>
          <w:i/>
          <w:sz w:val="24"/>
          <w:szCs w:val="24"/>
          <w:lang w:val="en-GB"/>
        </w:rPr>
        <w:t>Balkaya</w:t>
      </w:r>
      <w:r w:rsidRPr="00A21E4D">
        <w:rPr>
          <w:rFonts w:ascii="Times New Roman" w:hAnsi="Times New Roman" w:cs="Times New Roman"/>
          <w:sz w:val="24"/>
          <w:szCs w:val="24"/>
          <w:lang w:val="en-GB"/>
        </w:rPr>
        <w:t xml:space="preserve">, C-422/14, </w:t>
      </w:r>
      <w:r w:rsidRPr="00A21E4D">
        <w:rPr>
          <w:rFonts w:ascii="Times New Roman" w:hAnsi="Times New Roman" w:cs="Times New Roman"/>
          <w:i/>
          <w:sz w:val="24"/>
          <w:szCs w:val="24"/>
          <w:lang w:val="en-GB"/>
        </w:rPr>
        <w:t>Pujante Rivera</w:t>
      </w:r>
      <w:r w:rsidRPr="00A21E4D">
        <w:rPr>
          <w:rFonts w:ascii="Times New Roman" w:hAnsi="Times New Roman" w:cs="Times New Roman"/>
          <w:sz w:val="24"/>
          <w:szCs w:val="24"/>
          <w:lang w:val="en-GB"/>
        </w:rPr>
        <w:t>.</w:t>
      </w:r>
    </w:p>
    <w:p w14:paraId="571EAC6E"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 xml:space="preserve">Concerning Directive 2000/78: C-432/14, </w:t>
      </w:r>
      <w:r w:rsidRPr="00A21E4D">
        <w:rPr>
          <w:rFonts w:ascii="Times New Roman" w:hAnsi="Times New Roman" w:cs="Times New Roman"/>
          <w:i/>
          <w:sz w:val="24"/>
          <w:szCs w:val="24"/>
          <w:lang w:val="en-GB"/>
        </w:rPr>
        <w:t>O vs Bio Philippe Auguste.</w:t>
      </w:r>
    </w:p>
    <w:p w14:paraId="4EC9CAAE"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 xml:space="preserve">Concerning the Pregnant Worker Directive: C-116/06, </w:t>
      </w:r>
      <w:r w:rsidRPr="00A21E4D">
        <w:rPr>
          <w:rFonts w:ascii="Times New Roman" w:hAnsi="Times New Roman" w:cs="Times New Roman"/>
          <w:i/>
          <w:sz w:val="24"/>
          <w:szCs w:val="24"/>
          <w:lang w:val="en-GB"/>
        </w:rPr>
        <w:t>Kiiski</w:t>
      </w:r>
      <w:r w:rsidRPr="00A21E4D">
        <w:rPr>
          <w:rFonts w:ascii="Times New Roman" w:hAnsi="Times New Roman" w:cs="Times New Roman"/>
          <w:sz w:val="24"/>
          <w:szCs w:val="24"/>
          <w:lang w:val="en-GB"/>
        </w:rPr>
        <w:t xml:space="preserve">, C-232/9, </w:t>
      </w:r>
      <w:r w:rsidRPr="00A21E4D">
        <w:rPr>
          <w:rFonts w:ascii="Times New Roman" w:hAnsi="Times New Roman" w:cs="Times New Roman"/>
          <w:i/>
          <w:sz w:val="24"/>
          <w:szCs w:val="24"/>
          <w:lang w:val="en-GB"/>
        </w:rPr>
        <w:t>Danosa</w:t>
      </w:r>
      <w:r w:rsidRPr="00A21E4D">
        <w:rPr>
          <w:rFonts w:ascii="Times New Roman" w:hAnsi="Times New Roman" w:cs="Times New Roman"/>
          <w:sz w:val="24"/>
          <w:szCs w:val="24"/>
          <w:lang w:val="en-GB"/>
        </w:rPr>
        <w:t>.</w:t>
      </w:r>
    </w:p>
    <w:p w14:paraId="2E71636F" w14:textId="3D7C3B90" w:rsidR="006670EC" w:rsidRPr="00A21E4D" w:rsidRDefault="006670EC" w:rsidP="00773289">
      <w:pPr>
        <w:pStyle w:val="Notedebasdepage"/>
        <w:jc w:val="both"/>
        <w:rPr>
          <w:rFonts w:ascii="Times New Roman" w:hAnsi="Times New Roman" w:cs="Times New Roman"/>
          <w:sz w:val="24"/>
          <w:szCs w:val="24"/>
          <w:lang w:val="en-GB"/>
        </w:rPr>
      </w:pPr>
      <w:r w:rsidRPr="00A21E4D">
        <w:rPr>
          <w:rFonts w:ascii="Times New Roman" w:hAnsi="Times New Roman" w:cs="Times New Roman"/>
          <w:sz w:val="24"/>
          <w:szCs w:val="24"/>
          <w:lang w:val="en-GB"/>
        </w:rPr>
        <w:t xml:space="preserve">Concerning the Directive 75/117/CE on equality of remunerations: C-313/09, </w:t>
      </w:r>
      <w:r w:rsidRPr="00A21E4D">
        <w:rPr>
          <w:rFonts w:ascii="Times New Roman" w:hAnsi="Times New Roman" w:cs="Times New Roman"/>
          <w:i/>
          <w:sz w:val="24"/>
          <w:szCs w:val="24"/>
          <w:lang w:val="en-GB"/>
        </w:rPr>
        <w:t>Wippel</w:t>
      </w:r>
      <w:r w:rsidR="00D55C42" w:rsidRPr="00A21E4D">
        <w:rPr>
          <w:rFonts w:ascii="Times New Roman" w:hAnsi="Times New Roman" w:cs="Times New Roman"/>
          <w:i/>
          <w:sz w:val="24"/>
          <w:szCs w:val="24"/>
          <w:lang w:val="en-GB"/>
        </w:rPr>
        <w:t>.</w:t>
      </w:r>
    </w:p>
  </w:footnote>
  <w:footnote w:id="36">
    <w:p w14:paraId="4F005438"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39 of the arrest.</w:t>
      </w:r>
    </w:p>
  </w:footnote>
  <w:footnote w:id="37">
    <w:p w14:paraId="5AABB957"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40 and 41 of the arrest.</w:t>
      </w:r>
    </w:p>
  </w:footnote>
  <w:footnote w:id="38">
    <w:p w14:paraId="08F22603"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44 and 47 of the arrest.</w:t>
      </w:r>
    </w:p>
  </w:footnote>
  <w:footnote w:id="39">
    <w:p w14:paraId="4CA8E7AD" w14:textId="5424A497" w:rsidR="006670EC" w:rsidRPr="00A21E4D" w:rsidRDefault="006670EC" w:rsidP="00773289">
      <w:pPr>
        <w:pStyle w:val="Notedebasdepage"/>
        <w:jc w:val="both"/>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50 of the arrest.</w:t>
      </w:r>
      <w:r w:rsidR="00623FDA" w:rsidRPr="00A21E4D">
        <w:rPr>
          <w:rFonts w:ascii="Times New Roman" w:hAnsi="Times New Roman" w:cs="Times New Roman"/>
          <w:sz w:val="24"/>
          <w:szCs w:val="24"/>
          <w:lang w:val="en-GB"/>
        </w:rPr>
        <w:t xml:space="preserve">  </w:t>
      </w:r>
      <w:r w:rsidR="00623FDA" w:rsidRPr="00A21E4D">
        <w:rPr>
          <w:rFonts w:ascii="Times New Roman" w:hAnsi="Times New Roman" w:cs="Times New Roman"/>
          <w:sz w:val="24"/>
          <w:szCs w:val="24"/>
          <w:lang w:val="en-GB"/>
        </w:rPr>
        <w:fldChar w:fldCharType="begin"/>
      </w:r>
      <w:r w:rsidR="00623FDA" w:rsidRPr="00A21E4D">
        <w:rPr>
          <w:rFonts w:ascii="Times New Roman" w:hAnsi="Times New Roman" w:cs="Times New Roman"/>
          <w:sz w:val="24"/>
          <w:szCs w:val="24"/>
          <w:lang w:val="en-GB"/>
        </w:rPr>
        <w:instrText xml:space="preserve"> ADDIN ZOTERO_ITEM CSL_CITATION {"citationID":"QlZSdiOs","properties":{"formattedCitation":"E. {\\scaps Jeansen}, \\uc0\\u171{}\\uc0\\u160{}Protection de la \\uc0\\u8220{}travailleuse enceinte\\uc0\\u8221{} membre d\\uc0\\u8217{}un comit\\uc0\\u233{} de direction\\uc0\\u160{}\\uc0\\u187{}, {\\i{}J.C.P. S.}, 2010, pp. 23\\uc0\\u8209{}25.","plainCitation":"E. Jeansen, « Protection de la “travailleuse enceinte” membre d’un comité de direction », J.C.P. S., 2010, pp. 23‑25.","noteIndex":39},"citationItems":[{"id":454,"uris":["http://zotero.org/users/local/0X1c0osY/items/AM8C36Y6"],"uri":["http://zotero.org/users/local/0X1c0osY/items/AM8C36Y6"],"itemData":{"id":454,"type":"article-journal","container-title":"J.C.P. S.","page":"23-25","title":"Protection de la \"travailleuse enceinte\" membre d'un comité de direction","author":[{"family":"Jeansen","given":"Emeric"}],"issued":{"date-parts":[["2010"]]}}}],"schema":"https://github.com/citation-style-language/schema/raw/master/csl-citation.json"} </w:instrText>
      </w:r>
      <w:r w:rsidR="00623FDA" w:rsidRPr="00A21E4D">
        <w:rPr>
          <w:rFonts w:ascii="Times New Roman" w:hAnsi="Times New Roman" w:cs="Times New Roman"/>
          <w:sz w:val="24"/>
          <w:szCs w:val="24"/>
          <w:lang w:val="en-GB"/>
        </w:rPr>
        <w:fldChar w:fldCharType="separate"/>
      </w:r>
      <w:r w:rsidR="00623FDA" w:rsidRPr="00A21E4D">
        <w:rPr>
          <w:rFonts w:ascii="Times New Roman" w:hAnsi="Times New Roman" w:cs="Times New Roman"/>
          <w:sz w:val="24"/>
          <w:szCs w:val="24"/>
        </w:rPr>
        <w:t xml:space="preserve">E. </w:t>
      </w:r>
      <w:r w:rsidR="00623FDA" w:rsidRPr="00A21E4D">
        <w:rPr>
          <w:rFonts w:ascii="Times New Roman" w:hAnsi="Times New Roman" w:cs="Times New Roman"/>
          <w:smallCaps/>
          <w:sz w:val="24"/>
          <w:szCs w:val="24"/>
        </w:rPr>
        <w:t>Jeansen</w:t>
      </w:r>
      <w:r w:rsidR="00623FDA" w:rsidRPr="00A21E4D">
        <w:rPr>
          <w:rFonts w:ascii="Times New Roman" w:hAnsi="Times New Roman" w:cs="Times New Roman"/>
          <w:sz w:val="24"/>
          <w:szCs w:val="24"/>
        </w:rPr>
        <w:t xml:space="preserve">, « Protection de la “travailleuse enceinte” membre d’un comité de direction », </w:t>
      </w:r>
      <w:r w:rsidR="00623FDA" w:rsidRPr="00A21E4D">
        <w:rPr>
          <w:rFonts w:ascii="Times New Roman" w:hAnsi="Times New Roman" w:cs="Times New Roman"/>
          <w:i/>
          <w:iCs/>
          <w:sz w:val="24"/>
          <w:szCs w:val="24"/>
        </w:rPr>
        <w:t>J.C.P. S.</w:t>
      </w:r>
      <w:r w:rsidR="00623FDA" w:rsidRPr="00A21E4D">
        <w:rPr>
          <w:rFonts w:ascii="Times New Roman" w:hAnsi="Times New Roman" w:cs="Times New Roman"/>
          <w:sz w:val="24"/>
          <w:szCs w:val="24"/>
        </w:rPr>
        <w:t>, 2010, pp. 23‑25.</w:t>
      </w:r>
      <w:r w:rsidR="00623FDA" w:rsidRPr="00A21E4D">
        <w:rPr>
          <w:rFonts w:ascii="Times New Roman" w:hAnsi="Times New Roman" w:cs="Times New Roman"/>
          <w:sz w:val="24"/>
          <w:szCs w:val="24"/>
          <w:lang w:val="en-GB"/>
        </w:rPr>
        <w:fldChar w:fldCharType="end"/>
      </w:r>
    </w:p>
  </w:footnote>
  <w:footnote w:id="40">
    <w:p w14:paraId="06CCC698" w14:textId="77777777" w:rsidR="006670EC" w:rsidRPr="00A21E4D" w:rsidRDefault="006670EC" w:rsidP="00773289">
      <w:pPr>
        <w:widowControl w:val="0"/>
        <w:autoSpaceDE w:val="0"/>
        <w:autoSpaceDN w:val="0"/>
        <w:adjustRightInd w:val="0"/>
        <w:spacing w:after="0" w:line="240" w:lineRule="auto"/>
        <w:jc w:val="both"/>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T. </w:t>
      </w:r>
      <w:r w:rsidRPr="00A21E4D">
        <w:rPr>
          <w:rFonts w:ascii="Times New Roman" w:hAnsi="Times New Roman" w:cs="Times New Roman"/>
          <w:smallCaps/>
          <w:sz w:val="24"/>
          <w:szCs w:val="24"/>
          <w:lang w:val="nl-BE"/>
        </w:rPr>
        <w:t>Van Peijpe</w:t>
      </w:r>
      <w:r w:rsidRPr="00A21E4D">
        <w:rPr>
          <w:rFonts w:ascii="Times New Roman" w:hAnsi="Times New Roman" w:cs="Times New Roman"/>
          <w:sz w:val="24"/>
          <w:szCs w:val="24"/>
          <w:lang w:val="nl-BE"/>
        </w:rPr>
        <w:t>,</w:t>
      </w:r>
      <w:r w:rsidRPr="00A21E4D">
        <w:rPr>
          <w:rFonts w:ascii="Times New Roman" w:hAnsi="Times New Roman" w:cs="Times New Roman"/>
          <w:i/>
          <w:sz w:val="24"/>
          <w:szCs w:val="24"/>
          <w:lang w:val="nl-BE"/>
        </w:rPr>
        <w:t>op cit.,</w:t>
      </w:r>
      <w:r w:rsidRPr="00A21E4D">
        <w:rPr>
          <w:rFonts w:ascii="Times New Roman" w:hAnsi="Times New Roman" w:cs="Times New Roman"/>
          <w:sz w:val="24"/>
          <w:szCs w:val="24"/>
          <w:lang w:val="nl-BE"/>
        </w:rPr>
        <w:t xml:space="preserve"> p. 48.</w:t>
      </w:r>
    </w:p>
  </w:footnote>
  <w:footnote w:id="41">
    <w:p w14:paraId="78EB7A86"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lang w:val="en-GB"/>
        </w:rPr>
        <w:footnoteRef/>
      </w:r>
      <w:r w:rsidRPr="00A21E4D">
        <w:rPr>
          <w:rFonts w:ascii="Times New Roman" w:hAnsi="Times New Roman" w:cs="Times New Roman"/>
          <w:sz w:val="24"/>
          <w:szCs w:val="24"/>
          <w:lang w:val="en-GB"/>
        </w:rPr>
        <w:t xml:space="preserve">  As this latter case concerns the scope of article 141§2 of the TFEU, an in-depth analysis of it would lead us beyond the scope of our study. </w:t>
      </w:r>
    </w:p>
  </w:footnote>
  <w:footnote w:id="42">
    <w:p w14:paraId="7CC8678E" w14:textId="77777777"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§64-70 of the arrest.</w:t>
      </w:r>
    </w:p>
  </w:footnote>
  <w:footnote w:id="43">
    <w:p w14:paraId="2F399C9C" w14:textId="77777777"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mallCaps/>
          <w:sz w:val="24"/>
          <w:szCs w:val="24"/>
        </w:rPr>
        <w:footnoteRef/>
      </w:r>
      <w:r w:rsidRPr="00A21E4D">
        <w:rPr>
          <w:rFonts w:ascii="Times New Roman" w:hAnsi="Times New Roman" w:cs="Times New Roman"/>
          <w:smallCaps/>
          <w:sz w:val="24"/>
          <w:szCs w:val="24"/>
          <w:lang w:val="fr-BE"/>
        </w:rPr>
        <w:t xml:space="preserve"> S. Robin-Olivier</w:t>
      </w:r>
      <w:r w:rsidRPr="00A21E4D">
        <w:rPr>
          <w:rFonts w:ascii="Times New Roman" w:hAnsi="Times New Roman" w:cs="Times New Roman"/>
          <w:sz w:val="24"/>
          <w:szCs w:val="24"/>
          <w:lang w:val="fr-BE"/>
        </w:rPr>
        <w:t xml:space="preserve">, “Politique sociale de l’Union européenne”, </w:t>
      </w:r>
      <w:r w:rsidRPr="00A21E4D">
        <w:rPr>
          <w:rFonts w:ascii="Times New Roman" w:hAnsi="Times New Roman" w:cs="Times New Roman"/>
          <w:i/>
          <w:sz w:val="24"/>
          <w:szCs w:val="24"/>
          <w:lang w:val="fr-BE"/>
        </w:rPr>
        <w:t>RTDeur</w:t>
      </w:r>
      <w:r w:rsidRPr="00A21E4D">
        <w:rPr>
          <w:rFonts w:ascii="Times New Roman" w:hAnsi="Times New Roman" w:cs="Times New Roman"/>
          <w:sz w:val="24"/>
          <w:szCs w:val="24"/>
          <w:lang w:val="fr-BE"/>
        </w:rPr>
        <w:t>, 2012, pp. 484 and 485.</w:t>
      </w:r>
    </w:p>
  </w:footnote>
  <w:footnote w:id="44">
    <w:p w14:paraId="5039E769" w14:textId="11166001" w:rsidR="006670EC" w:rsidRPr="00A21E4D" w:rsidRDefault="006670EC" w:rsidP="00773289">
      <w:pPr>
        <w:pStyle w:val="Notedebasdepage"/>
        <w:jc w:val="both"/>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 34 and 37 of the arrest.</w:t>
      </w:r>
      <w:r w:rsidR="00792A00" w:rsidRPr="00A21E4D">
        <w:rPr>
          <w:rFonts w:ascii="Times New Roman" w:hAnsi="Times New Roman" w:cs="Times New Roman"/>
          <w:sz w:val="24"/>
          <w:szCs w:val="24"/>
          <w:lang w:val="fr-BE"/>
        </w:rPr>
        <w:t xml:space="preserve"> </w:t>
      </w:r>
      <w:r w:rsidR="00623FDA" w:rsidRPr="00A21E4D">
        <w:rPr>
          <w:rFonts w:ascii="Times New Roman" w:hAnsi="Times New Roman" w:cs="Times New Roman"/>
          <w:sz w:val="24"/>
          <w:szCs w:val="24"/>
          <w:lang w:val="en-GB"/>
        </w:rPr>
        <w:fldChar w:fldCharType="begin"/>
      </w:r>
      <w:r w:rsidR="00623FDA" w:rsidRPr="00A21E4D">
        <w:rPr>
          <w:rFonts w:ascii="Times New Roman" w:hAnsi="Times New Roman" w:cs="Times New Roman"/>
          <w:sz w:val="24"/>
          <w:szCs w:val="24"/>
          <w:lang w:val="fr-BE"/>
        </w:rPr>
        <w:instrText xml:space="preserve"> ADDIN ZOTERO_ITEM CSL_CITATION {"citationID":"NHioHm9m","properties":{"formattedCitation":"L. {\\scaps Driguez}, \\uc0\\u171{}\\uc0\\u160{}Notion de travailleur\\uc0\\u160{}\\uc0\\u187{}, {\\i{}Revue Europe}, 2015, pp. 38\\uc0\\u8209{}39\\uc0\\u160{}; S. {\\scaps Robin-Olivier}, \\uc0\\u171{}\\uc0\\u160{}La conception de la notion de travailleur pour l\\uc0\\u8217{}application de la directive relative aux licenciements collectifs: une conception extensive \\uc0\\u224{} des fins de protection\\uc0\\u160{}\\uc0\\u187{}, {\\i{}RTDEur}, 2015, pp. 846\\uc0\\u8209{}848.","plainCitation":"L. Driguez, « Notion de travailleur », Revue Europe, 2015, pp. 38‑39 ; S. Robin-Olivier, « La conception de la notion de travailleur pour l’application de la directive relative aux licenciements collectifs: une conception extensive à des fins de protection », RTDEur, 2015, pp. 846‑848.","noteIndex":44},"citationItems":[{"id":457,"uris":["http://zotero.org/users/local/0X1c0osY/items/6YVHUSXJ"],"uri":["http://zotero.org/users/local/0X1c0osY/items/6YVHUSXJ"],"itemData":{"id":457,"type":"article-journal","container-title":"Revue Europe","page":"38-39","title":"Notion de travailleur","author":[{"family":"Driguez","given":"Laetitia"}],"issued":{"date-parts":[["2015"]]}}},{"id":456,"uris":["http://zotero.org/users/local/0X1c0osY/items/YJ5NYN9B"],"uri":["http://zotero.org/users/local/0X1c0osY/items/YJ5NYN9B"],"itemData":{"id":456,"type":"article-journal","container-title":"RTDEur","page":"846-848","title":"La conception de la notion de travailleur pour l'application de la directive relative aux licenciements collectifs: une conception extensive à des fins de protection","author":[{"family":"Robin-Olivier","given":"Sophie"}],"issued":{"date-parts":[["2015"]]}}}],"schema":"https://github.com/citation-style-language/schema/raw/master/csl-citation.json"} </w:instrText>
      </w:r>
      <w:r w:rsidR="00623FDA" w:rsidRPr="00A21E4D">
        <w:rPr>
          <w:rFonts w:ascii="Times New Roman" w:hAnsi="Times New Roman" w:cs="Times New Roman"/>
          <w:sz w:val="24"/>
          <w:szCs w:val="24"/>
          <w:lang w:val="en-GB"/>
        </w:rPr>
        <w:fldChar w:fldCharType="separate"/>
      </w:r>
      <w:r w:rsidR="00623FDA" w:rsidRPr="00A21E4D">
        <w:rPr>
          <w:rFonts w:ascii="Times New Roman" w:hAnsi="Times New Roman" w:cs="Times New Roman"/>
          <w:sz w:val="24"/>
          <w:szCs w:val="24"/>
        </w:rPr>
        <w:t xml:space="preserve">L. </w:t>
      </w:r>
      <w:r w:rsidR="00623FDA" w:rsidRPr="00A21E4D">
        <w:rPr>
          <w:rFonts w:ascii="Times New Roman" w:hAnsi="Times New Roman" w:cs="Times New Roman"/>
          <w:smallCaps/>
          <w:sz w:val="24"/>
          <w:szCs w:val="24"/>
        </w:rPr>
        <w:t>Driguez</w:t>
      </w:r>
      <w:r w:rsidR="00623FDA" w:rsidRPr="00A21E4D">
        <w:rPr>
          <w:rFonts w:ascii="Times New Roman" w:hAnsi="Times New Roman" w:cs="Times New Roman"/>
          <w:sz w:val="24"/>
          <w:szCs w:val="24"/>
        </w:rPr>
        <w:t xml:space="preserve">, « Notion de travailleur », </w:t>
      </w:r>
      <w:r w:rsidR="00623FDA" w:rsidRPr="00A21E4D">
        <w:rPr>
          <w:rFonts w:ascii="Times New Roman" w:hAnsi="Times New Roman" w:cs="Times New Roman"/>
          <w:i/>
          <w:iCs/>
          <w:sz w:val="24"/>
          <w:szCs w:val="24"/>
        </w:rPr>
        <w:t>Revue Europe</w:t>
      </w:r>
      <w:r w:rsidR="00623FDA" w:rsidRPr="00A21E4D">
        <w:rPr>
          <w:rFonts w:ascii="Times New Roman" w:hAnsi="Times New Roman" w:cs="Times New Roman"/>
          <w:sz w:val="24"/>
          <w:szCs w:val="24"/>
        </w:rPr>
        <w:t xml:space="preserve">, 2015, pp. 38‑39 ; S. </w:t>
      </w:r>
      <w:r w:rsidR="00623FDA" w:rsidRPr="00A21E4D">
        <w:rPr>
          <w:rFonts w:ascii="Times New Roman" w:hAnsi="Times New Roman" w:cs="Times New Roman"/>
          <w:smallCaps/>
          <w:sz w:val="24"/>
          <w:szCs w:val="24"/>
        </w:rPr>
        <w:t>Robin-Olivier</w:t>
      </w:r>
      <w:r w:rsidR="00623FDA" w:rsidRPr="00A21E4D">
        <w:rPr>
          <w:rFonts w:ascii="Times New Roman" w:hAnsi="Times New Roman" w:cs="Times New Roman"/>
          <w:sz w:val="24"/>
          <w:szCs w:val="24"/>
        </w:rPr>
        <w:t xml:space="preserve">, « La conception de la notion de travailleur pour l’application de la directive relative aux licenciements collectifs: une conception extensive à des fins de protection », </w:t>
      </w:r>
      <w:r w:rsidR="00623FDA" w:rsidRPr="00A21E4D">
        <w:rPr>
          <w:rFonts w:ascii="Times New Roman" w:hAnsi="Times New Roman" w:cs="Times New Roman"/>
          <w:i/>
          <w:iCs/>
          <w:sz w:val="24"/>
          <w:szCs w:val="24"/>
        </w:rPr>
        <w:t>RTDEur</w:t>
      </w:r>
      <w:r w:rsidR="00623FDA" w:rsidRPr="00A21E4D">
        <w:rPr>
          <w:rFonts w:ascii="Times New Roman" w:hAnsi="Times New Roman" w:cs="Times New Roman"/>
          <w:sz w:val="24"/>
          <w:szCs w:val="24"/>
        </w:rPr>
        <w:t>, 2015, pp. 846‑848.</w:t>
      </w:r>
      <w:r w:rsidR="00623FDA" w:rsidRPr="00A21E4D">
        <w:rPr>
          <w:rFonts w:ascii="Times New Roman" w:hAnsi="Times New Roman" w:cs="Times New Roman"/>
          <w:sz w:val="24"/>
          <w:szCs w:val="24"/>
          <w:lang w:val="en-GB"/>
        </w:rPr>
        <w:fldChar w:fldCharType="end"/>
      </w:r>
    </w:p>
  </w:footnote>
  <w:footnote w:id="45">
    <w:p w14:paraId="586F7FB5"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40 of the arrest.</w:t>
      </w:r>
    </w:p>
  </w:footnote>
  <w:footnote w:id="46">
    <w:p w14:paraId="4883376B"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28 of the arrest.</w:t>
      </w:r>
    </w:p>
  </w:footnote>
  <w:footnote w:id="47">
    <w:p w14:paraId="6CF1D697" w14:textId="77777777"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 33 of the arrest.  </w:t>
      </w:r>
    </w:p>
  </w:footnote>
  <w:footnote w:id="48">
    <w:p w14:paraId="14C24D14" w14:textId="77777777" w:rsidR="006670EC" w:rsidRPr="00A21E4D" w:rsidRDefault="006670EC" w:rsidP="00773289">
      <w:pPr>
        <w:pStyle w:val="Notedebasdepage"/>
        <w:jc w:val="both"/>
        <w:rPr>
          <w:rFonts w:ascii="Times New Roman" w:hAnsi="Times New Roman" w:cs="Times New Roman"/>
          <w:sz w:val="24"/>
          <w:szCs w:val="24"/>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rPr>
        <w:t xml:space="preserve"> </w:t>
      </w:r>
      <w:r w:rsidRPr="00A21E4D">
        <w:rPr>
          <w:rFonts w:ascii="Times New Roman" w:hAnsi="Times New Roman" w:cs="Times New Roman"/>
          <w:smallCaps/>
          <w:sz w:val="24"/>
          <w:szCs w:val="24"/>
        </w:rPr>
        <w:t>N. Moizard</w:t>
      </w:r>
      <w:r w:rsidRPr="00A21E4D">
        <w:rPr>
          <w:rFonts w:ascii="Times New Roman" w:hAnsi="Times New Roman" w:cs="Times New Roman"/>
          <w:sz w:val="24"/>
          <w:szCs w:val="24"/>
        </w:rPr>
        <w:t xml:space="preserve">, « La frontière entre « travailleurs et « travailleurs indépendants » et le droit des discriminations de l’Union européenne », </w:t>
      </w:r>
      <w:r w:rsidRPr="00A21E4D">
        <w:rPr>
          <w:rFonts w:ascii="Times New Roman" w:hAnsi="Times New Roman" w:cs="Times New Roman"/>
          <w:smallCaps/>
          <w:sz w:val="24"/>
          <w:szCs w:val="24"/>
        </w:rPr>
        <w:t>in Barbou des Places, S., Pataut, E.</w:t>
      </w:r>
      <w:r w:rsidRPr="00A21E4D">
        <w:rPr>
          <w:rFonts w:ascii="Times New Roman" w:hAnsi="Times New Roman" w:cs="Times New Roman"/>
          <w:sz w:val="24"/>
          <w:szCs w:val="24"/>
        </w:rPr>
        <w:t xml:space="preserve"> and </w:t>
      </w:r>
      <w:r w:rsidRPr="00A21E4D">
        <w:rPr>
          <w:rFonts w:ascii="Times New Roman" w:hAnsi="Times New Roman" w:cs="Times New Roman"/>
          <w:smallCaps/>
          <w:sz w:val="24"/>
          <w:szCs w:val="24"/>
        </w:rPr>
        <w:t>Rodière, P.</w:t>
      </w:r>
      <w:r w:rsidRPr="00A21E4D">
        <w:rPr>
          <w:rFonts w:ascii="Times New Roman" w:hAnsi="Times New Roman" w:cs="Times New Roman"/>
          <w:sz w:val="24"/>
          <w:szCs w:val="24"/>
        </w:rPr>
        <w:t xml:space="preserve"> (eds), les frontières de l’Europe sociale, Paris, Pedone, 2018, pp.201-202.</w:t>
      </w:r>
    </w:p>
  </w:footnote>
  <w:footnote w:id="49">
    <w:p w14:paraId="20BCF9B8" w14:textId="0933D5CE" w:rsidR="00371A4C" w:rsidRPr="00A21E4D" w:rsidRDefault="00371A4C" w:rsidP="00371A4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mallCaps/>
          <w:sz w:val="24"/>
          <w:szCs w:val="24"/>
          <w:lang w:val="it-IT"/>
        </w:rPr>
        <w:t>S. Giubboni</w:t>
      </w:r>
      <w:r w:rsidRPr="00A21E4D">
        <w:rPr>
          <w:rFonts w:ascii="Times New Roman" w:hAnsi="Times New Roman" w:cs="Times New Roman"/>
          <w:i/>
          <w:sz w:val="24"/>
          <w:szCs w:val="24"/>
          <w:lang w:val="it-IT"/>
        </w:rPr>
        <w:t>, op cit.</w:t>
      </w:r>
      <w:r w:rsidRPr="00A21E4D">
        <w:rPr>
          <w:rFonts w:ascii="Times New Roman" w:hAnsi="Times New Roman" w:cs="Times New Roman"/>
          <w:sz w:val="24"/>
          <w:szCs w:val="24"/>
          <w:lang w:val="it-IT"/>
        </w:rPr>
        <w:t xml:space="preserve">, pp. 223-224; </w:t>
      </w:r>
      <w:r w:rsidRPr="00A21E4D">
        <w:rPr>
          <w:rFonts w:ascii="Times New Roman" w:hAnsi="Times New Roman" w:cs="Times New Roman"/>
          <w:smallCaps/>
          <w:sz w:val="24"/>
          <w:szCs w:val="24"/>
          <w:lang w:val="it-IT"/>
        </w:rPr>
        <w:t>M. D’Antona</w:t>
      </w:r>
      <w:r w:rsidRPr="00A21E4D">
        <w:rPr>
          <w:rFonts w:ascii="Times New Roman" w:hAnsi="Times New Roman" w:cs="Times New Roman"/>
          <w:sz w:val="24"/>
          <w:szCs w:val="24"/>
          <w:lang w:val="it-IT"/>
        </w:rPr>
        <w:t xml:space="preserve"> (2000), ‘Sistema giuridico comunitario’, in </w:t>
      </w:r>
      <w:r w:rsidRPr="00A21E4D">
        <w:rPr>
          <w:rFonts w:ascii="Times New Roman" w:hAnsi="Times New Roman" w:cs="Times New Roman"/>
          <w:smallCaps/>
          <w:sz w:val="24"/>
          <w:szCs w:val="24"/>
          <w:lang w:val="it-IT"/>
        </w:rPr>
        <w:t>B. Caruso</w:t>
      </w:r>
      <w:r w:rsidRPr="00A21E4D">
        <w:rPr>
          <w:rFonts w:ascii="Times New Roman" w:hAnsi="Times New Roman" w:cs="Times New Roman"/>
          <w:sz w:val="24"/>
          <w:szCs w:val="24"/>
          <w:lang w:val="it-IT"/>
        </w:rPr>
        <w:t xml:space="preserve"> and </w:t>
      </w:r>
      <w:r w:rsidRPr="00A21E4D">
        <w:rPr>
          <w:rFonts w:ascii="Times New Roman" w:hAnsi="Times New Roman" w:cs="Times New Roman"/>
          <w:smallCaps/>
          <w:sz w:val="24"/>
          <w:szCs w:val="24"/>
          <w:lang w:val="it-IT"/>
        </w:rPr>
        <w:t xml:space="preserve">S. Sciarra </w:t>
      </w:r>
      <w:r w:rsidRPr="00A21E4D">
        <w:rPr>
          <w:rFonts w:ascii="Times New Roman" w:hAnsi="Times New Roman" w:cs="Times New Roman"/>
          <w:sz w:val="24"/>
          <w:szCs w:val="24"/>
          <w:lang w:val="it-IT"/>
        </w:rPr>
        <w:t xml:space="preserve">(eds.), </w:t>
      </w:r>
      <w:r w:rsidRPr="00A21E4D">
        <w:rPr>
          <w:rFonts w:ascii="Times New Roman" w:hAnsi="Times New Roman" w:cs="Times New Roman"/>
          <w:i/>
          <w:sz w:val="24"/>
          <w:szCs w:val="24"/>
          <w:lang w:val="it-IT"/>
        </w:rPr>
        <w:t>Opere. Scritti sul metodo e sulla evoluzione del diritto del lavoro–Scritti sul diritto del lavoro comparato e comunitario, vol. 1,</w:t>
      </w:r>
      <w:r w:rsidRPr="00A21E4D">
        <w:rPr>
          <w:rFonts w:ascii="Times New Roman" w:hAnsi="Times New Roman" w:cs="Times New Roman"/>
          <w:sz w:val="24"/>
          <w:szCs w:val="24"/>
          <w:lang w:val="it-IT"/>
        </w:rPr>
        <w:t xml:space="preserve"> Milan: Giuffre`, pp. 377and following.</w:t>
      </w:r>
    </w:p>
  </w:footnote>
  <w:footnote w:id="50">
    <w:p w14:paraId="77CFDCC2" w14:textId="77777777" w:rsidR="006670EC" w:rsidRPr="00A21E4D" w:rsidRDefault="006670EC" w:rsidP="00D05E08">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lang w:val="nl-BE"/>
        </w:rPr>
        <w:footnoteRef/>
      </w:r>
      <w:r w:rsidRPr="00A21E4D">
        <w:rPr>
          <w:rFonts w:ascii="Times New Roman" w:hAnsi="Times New Roman" w:cs="Times New Roman"/>
          <w:sz w:val="24"/>
          <w:szCs w:val="24"/>
          <w:lang w:val="it-IT"/>
        </w:rPr>
        <w:t xml:space="preserve"> Case 105/84, </w:t>
      </w:r>
      <w:r w:rsidRPr="00A21E4D">
        <w:rPr>
          <w:rFonts w:ascii="Times New Roman" w:hAnsi="Times New Roman" w:cs="Times New Roman"/>
          <w:i/>
          <w:sz w:val="24"/>
          <w:szCs w:val="24"/>
          <w:lang w:val="it-IT"/>
        </w:rPr>
        <w:t>Danmols</w:t>
      </w:r>
      <w:r w:rsidRPr="00A21E4D">
        <w:rPr>
          <w:rFonts w:ascii="Times New Roman" w:hAnsi="Times New Roman" w:cs="Times New Roman"/>
          <w:sz w:val="24"/>
          <w:szCs w:val="24"/>
          <w:lang w:val="it-IT"/>
        </w:rPr>
        <w:t>.</w:t>
      </w:r>
    </w:p>
  </w:footnote>
  <w:footnote w:id="51">
    <w:p w14:paraId="7C550844" w14:textId="2B25AE1A" w:rsidR="006670EC" w:rsidRPr="00A21E4D" w:rsidRDefault="006670EC" w:rsidP="00773289">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w:t>
      </w:r>
      <w:r w:rsidRPr="00A21E4D">
        <w:rPr>
          <w:rFonts w:ascii="Times New Roman" w:hAnsi="Times New Roman" w:cs="Times New Roman"/>
          <w:smallCaps/>
          <w:sz w:val="24"/>
          <w:szCs w:val="24"/>
          <w:lang w:val="it-IT"/>
        </w:rPr>
        <w:t>N. Kountouris</w:t>
      </w:r>
      <w:r w:rsidRPr="00A21E4D">
        <w:rPr>
          <w:rFonts w:ascii="Times New Roman" w:hAnsi="Times New Roman" w:cs="Times New Roman"/>
          <w:sz w:val="24"/>
          <w:szCs w:val="24"/>
          <w:lang w:val="it-IT"/>
        </w:rPr>
        <w:t xml:space="preserve">, </w:t>
      </w:r>
      <w:r w:rsidRPr="00A21E4D">
        <w:rPr>
          <w:rFonts w:ascii="Times New Roman" w:hAnsi="Times New Roman" w:cs="Times New Roman"/>
          <w:i/>
          <w:sz w:val="24"/>
          <w:szCs w:val="24"/>
          <w:lang w:val="it-IT"/>
        </w:rPr>
        <w:t>op cit</w:t>
      </w:r>
      <w:r w:rsidRPr="00A21E4D">
        <w:rPr>
          <w:rFonts w:ascii="Times New Roman" w:hAnsi="Times New Roman" w:cs="Times New Roman"/>
          <w:sz w:val="24"/>
          <w:szCs w:val="24"/>
          <w:lang w:val="it-IT"/>
        </w:rPr>
        <w:t>., p.  201</w:t>
      </w:r>
      <w:r w:rsidR="00D26DF4" w:rsidRPr="00A21E4D">
        <w:rPr>
          <w:rFonts w:ascii="Times New Roman" w:hAnsi="Times New Roman" w:cs="Times New Roman"/>
          <w:sz w:val="24"/>
          <w:szCs w:val="24"/>
          <w:lang w:val="it-IT"/>
        </w:rPr>
        <w:t xml:space="preserve">; </w:t>
      </w:r>
      <w:r w:rsidR="00D26DF4" w:rsidRPr="00A21E4D">
        <w:rPr>
          <w:rFonts w:ascii="Times New Roman" w:hAnsi="Times New Roman" w:cs="Times New Roman"/>
          <w:sz w:val="24"/>
          <w:szCs w:val="24"/>
          <w:lang w:val="en-GB"/>
        </w:rPr>
        <w:t xml:space="preserve">A. </w:t>
      </w:r>
      <w:r w:rsidR="00D26DF4" w:rsidRPr="00A21E4D">
        <w:rPr>
          <w:rFonts w:ascii="Times New Roman" w:hAnsi="Times New Roman" w:cs="Times New Roman"/>
          <w:smallCaps/>
          <w:sz w:val="24"/>
          <w:szCs w:val="24"/>
          <w:lang w:val="en-GB"/>
        </w:rPr>
        <w:t>Sagan</w:t>
      </w:r>
      <w:r w:rsidR="00D26DF4" w:rsidRPr="00A21E4D">
        <w:rPr>
          <w:rFonts w:ascii="Times New Roman" w:hAnsi="Times New Roman" w:cs="Times New Roman"/>
          <w:sz w:val="24"/>
          <w:szCs w:val="24"/>
          <w:lang w:val="en-GB"/>
        </w:rPr>
        <w:t xml:space="preserve">, « The classification as ‘worker’ under EU law », </w:t>
      </w:r>
      <w:r w:rsidR="00D26DF4" w:rsidRPr="00A21E4D">
        <w:rPr>
          <w:rFonts w:ascii="Times New Roman" w:hAnsi="Times New Roman" w:cs="Times New Roman"/>
          <w:i/>
          <w:iCs/>
          <w:sz w:val="24"/>
          <w:szCs w:val="24"/>
          <w:lang w:val="en-GB"/>
        </w:rPr>
        <w:t>European Labour Law Journal</w:t>
      </w:r>
      <w:r w:rsidR="00D26DF4" w:rsidRPr="00A21E4D">
        <w:rPr>
          <w:rFonts w:ascii="Times New Roman" w:hAnsi="Times New Roman" w:cs="Times New Roman"/>
          <w:sz w:val="24"/>
          <w:szCs w:val="24"/>
          <w:lang w:val="en-GB"/>
        </w:rPr>
        <w:t>, 2019, p. 358.</w:t>
      </w:r>
      <w:r w:rsidR="00D26DF4" w:rsidRPr="00A21E4D">
        <w:rPr>
          <w:rFonts w:ascii="Times New Roman" w:hAnsi="Times New Roman" w:cs="Times New Roman"/>
          <w:sz w:val="24"/>
          <w:szCs w:val="24"/>
          <w:lang w:val="it-IT"/>
        </w:rPr>
        <w:t xml:space="preserve"> </w:t>
      </w:r>
    </w:p>
  </w:footnote>
  <w:footnote w:id="52">
    <w:p w14:paraId="652B1A67" w14:textId="77777777" w:rsidR="006670EC" w:rsidRPr="00A21E4D" w:rsidRDefault="006670EC" w:rsidP="00773289">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Directive 2001/23/EC.</w:t>
      </w:r>
    </w:p>
  </w:footnote>
  <w:footnote w:id="53">
    <w:p w14:paraId="41A0CB71" w14:textId="77777777" w:rsidR="006670EC" w:rsidRPr="00A21E4D" w:rsidRDefault="006670EC" w:rsidP="00773289">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Article 2, §1, d).</w:t>
      </w:r>
    </w:p>
  </w:footnote>
  <w:footnote w:id="54">
    <w:p w14:paraId="50A988B7" w14:textId="587279D1" w:rsidR="006670EC" w:rsidRPr="00A21E4D" w:rsidRDefault="006670EC" w:rsidP="00773289">
      <w:pPr>
        <w:pStyle w:val="Notedebasdepage"/>
        <w:jc w:val="both"/>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C-343/98, </w:t>
      </w:r>
      <w:r w:rsidRPr="00A21E4D">
        <w:rPr>
          <w:rFonts w:ascii="Times New Roman" w:hAnsi="Times New Roman" w:cs="Times New Roman"/>
          <w:i/>
          <w:sz w:val="24"/>
          <w:szCs w:val="24"/>
          <w:lang w:val="it-IT"/>
        </w:rPr>
        <w:t>Collino and Chiappero</w:t>
      </w:r>
      <w:r w:rsidRPr="00A21E4D">
        <w:rPr>
          <w:rFonts w:ascii="Times New Roman" w:hAnsi="Times New Roman" w:cs="Times New Roman"/>
          <w:sz w:val="24"/>
          <w:szCs w:val="24"/>
          <w:lang w:val="it-IT"/>
        </w:rPr>
        <w:t xml:space="preserve">, §§ 29 and 38; </w:t>
      </w:r>
      <w:r w:rsidRPr="00A21E4D">
        <w:rPr>
          <w:rFonts w:ascii="Times New Roman" w:hAnsi="Times New Roman" w:cs="Times New Roman"/>
          <w:smallCaps/>
          <w:sz w:val="24"/>
          <w:szCs w:val="24"/>
          <w:lang w:val="it-IT"/>
        </w:rPr>
        <w:t xml:space="preserve">C. Engels, </w:t>
      </w:r>
      <w:r w:rsidRPr="00A21E4D">
        <w:rPr>
          <w:rFonts w:ascii="Times New Roman" w:hAnsi="Times New Roman" w:cs="Times New Roman"/>
          <w:i/>
          <w:sz w:val="24"/>
          <w:szCs w:val="24"/>
          <w:lang w:val="it-IT"/>
        </w:rPr>
        <w:t>Overgang van onderneming in het kader van de CAO nr 32bis</w:t>
      </w:r>
      <w:r w:rsidRPr="00A21E4D">
        <w:rPr>
          <w:rFonts w:ascii="Times New Roman" w:hAnsi="Times New Roman" w:cs="Times New Roman"/>
          <w:sz w:val="24"/>
          <w:szCs w:val="24"/>
          <w:lang w:val="it-IT"/>
        </w:rPr>
        <w:t xml:space="preserve">, Bruges, De Keure, 2017, p. 51; </w:t>
      </w:r>
      <w:r w:rsidRPr="00A21E4D">
        <w:rPr>
          <w:rFonts w:ascii="Times New Roman" w:hAnsi="Times New Roman" w:cs="Times New Roman"/>
          <w:smallCaps/>
          <w:sz w:val="24"/>
          <w:szCs w:val="24"/>
          <w:lang w:val="it-IT"/>
        </w:rPr>
        <w:t>N. Moizard</w:t>
      </w:r>
      <w:r w:rsidRPr="00A21E4D">
        <w:rPr>
          <w:rFonts w:ascii="Times New Roman" w:hAnsi="Times New Roman" w:cs="Times New Roman"/>
          <w:sz w:val="24"/>
          <w:szCs w:val="24"/>
          <w:lang w:val="it-IT"/>
        </w:rPr>
        <w:t xml:space="preserve">, </w:t>
      </w:r>
      <w:r w:rsidRPr="00A21E4D">
        <w:rPr>
          <w:rFonts w:ascii="Times New Roman" w:hAnsi="Times New Roman" w:cs="Times New Roman"/>
          <w:i/>
          <w:sz w:val="24"/>
          <w:szCs w:val="24"/>
          <w:lang w:val="it-IT"/>
        </w:rPr>
        <w:t>Transferts d’entreprise, Droit de l’Union européenne et droit français</w:t>
      </w:r>
      <w:r w:rsidRPr="00A21E4D">
        <w:rPr>
          <w:rFonts w:ascii="Times New Roman" w:hAnsi="Times New Roman" w:cs="Times New Roman"/>
          <w:sz w:val="24"/>
          <w:szCs w:val="24"/>
          <w:lang w:val="it-IT"/>
        </w:rPr>
        <w:t>, Bruxelles, Larcier, 2015, p. 69.</w:t>
      </w:r>
    </w:p>
  </w:footnote>
  <w:footnote w:id="55">
    <w:p w14:paraId="12EEA615" w14:textId="77777777"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C-385/05</w:t>
      </w:r>
      <w:r w:rsidRPr="00A21E4D">
        <w:rPr>
          <w:rFonts w:ascii="Times New Roman" w:hAnsi="Times New Roman" w:cs="Times New Roman"/>
          <w:i/>
          <w:sz w:val="24"/>
          <w:szCs w:val="24"/>
          <w:lang w:val="fr-BE"/>
        </w:rPr>
        <w:t>, CGT</w:t>
      </w:r>
      <w:r w:rsidRPr="00A21E4D">
        <w:rPr>
          <w:rFonts w:ascii="Times New Roman" w:hAnsi="Times New Roman" w:cs="Times New Roman"/>
          <w:sz w:val="24"/>
          <w:szCs w:val="24"/>
          <w:lang w:val="fr-BE"/>
        </w:rPr>
        <w:t>.</w:t>
      </w:r>
    </w:p>
  </w:footnote>
  <w:footnote w:id="56">
    <w:p w14:paraId="68661FAF" w14:textId="77777777" w:rsidR="006670EC" w:rsidRPr="00A21E4D" w:rsidRDefault="006670EC" w:rsidP="002771DA">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Directive 2002/14/EC.</w:t>
      </w:r>
    </w:p>
  </w:footnote>
  <w:footnote w:id="57">
    <w:p w14:paraId="30DA7549" w14:textId="77777777"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C-307/05, </w:t>
      </w:r>
      <w:r w:rsidRPr="00A21E4D">
        <w:rPr>
          <w:rFonts w:ascii="Times New Roman" w:hAnsi="Times New Roman" w:cs="Times New Roman"/>
          <w:i/>
          <w:sz w:val="24"/>
          <w:szCs w:val="24"/>
          <w:lang w:val="fr-BE"/>
        </w:rPr>
        <w:t>Del Cerro Alonso.</w:t>
      </w:r>
    </w:p>
  </w:footnote>
  <w:footnote w:id="58">
    <w:p w14:paraId="47D23CE6" w14:textId="77777777"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Directive 1999/70/CE</w:t>
      </w:r>
    </w:p>
  </w:footnote>
  <w:footnote w:id="59">
    <w:p w14:paraId="6777130D" w14:textId="77777777" w:rsidR="006670EC" w:rsidRPr="00A21E4D" w:rsidRDefault="006670EC" w:rsidP="0055564F">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Conclusions of the Advocate General, §15;</w:t>
      </w:r>
      <w:r w:rsidRPr="00A21E4D">
        <w:rPr>
          <w:rFonts w:ascii="Times New Roman" w:hAnsi="Times New Roman" w:cs="Times New Roman"/>
          <w:smallCaps/>
          <w:sz w:val="24"/>
          <w:szCs w:val="24"/>
          <w:lang w:val="en-GB"/>
        </w:rPr>
        <w:t xml:space="preserve"> F. Michéa</w:t>
      </w:r>
      <w:r w:rsidRPr="00A21E4D">
        <w:rPr>
          <w:rFonts w:ascii="Times New Roman" w:hAnsi="Times New Roman" w:cs="Times New Roman"/>
          <w:sz w:val="24"/>
          <w:szCs w:val="24"/>
          <w:lang w:val="en-GB"/>
        </w:rPr>
        <w:t xml:space="preserve">, </w:t>
      </w:r>
      <w:r w:rsidRPr="00A21E4D">
        <w:rPr>
          <w:rFonts w:ascii="Times New Roman" w:hAnsi="Times New Roman" w:cs="Times New Roman"/>
          <w:i/>
          <w:sz w:val="24"/>
          <w:szCs w:val="24"/>
          <w:lang w:val="en-GB"/>
        </w:rPr>
        <w:t xml:space="preserve">op cit., </w:t>
      </w:r>
      <w:r w:rsidRPr="00A21E4D">
        <w:rPr>
          <w:rFonts w:ascii="Times New Roman" w:hAnsi="Times New Roman" w:cs="Times New Roman"/>
          <w:sz w:val="24"/>
          <w:szCs w:val="24"/>
          <w:lang w:val="en-GB"/>
        </w:rPr>
        <w:t>p. 265-266.</w:t>
      </w:r>
    </w:p>
  </w:footnote>
  <w:footnote w:id="60">
    <w:p w14:paraId="5E22CF35"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24-30 of the arrest.</w:t>
      </w:r>
    </w:p>
  </w:footnote>
  <w:footnote w:id="61">
    <w:p w14:paraId="78741D43" w14:textId="77777777" w:rsidR="006670EC" w:rsidRPr="00A21E4D" w:rsidRDefault="006670EC" w:rsidP="003A549A">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mallCaps/>
          <w:sz w:val="24"/>
          <w:szCs w:val="24"/>
          <w:lang w:val="en-GB"/>
        </w:rPr>
        <w:t>F. Michéa</w:t>
      </w:r>
      <w:r w:rsidRPr="00A21E4D">
        <w:rPr>
          <w:rFonts w:ascii="Times New Roman" w:hAnsi="Times New Roman" w:cs="Times New Roman"/>
          <w:sz w:val="24"/>
          <w:szCs w:val="24"/>
          <w:lang w:val="en-GB"/>
        </w:rPr>
        <w:t xml:space="preserve">, </w:t>
      </w:r>
      <w:r w:rsidRPr="00A21E4D">
        <w:rPr>
          <w:rFonts w:ascii="Times New Roman" w:hAnsi="Times New Roman" w:cs="Times New Roman"/>
          <w:i/>
          <w:sz w:val="24"/>
          <w:szCs w:val="24"/>
          <w:lang w:val="en-GB"/>
        </w:rPr>
        <w:t xml:space="preserve">op cit., </w:t>
      </w:r>
      <w:r w:rsidRPr="00A21E4D">
        <w:rPr>
          <w:rFonts w:ascii="Times New Roman" w:hAnsi="Times New Roman" w:cs="Times New Roman"/>
          <w:sz w:val="24"/>
          <w:szCs w:val="24"/>
          <w:lang w:val="en-GB"/>
        </w:rPr>
        <w:t>p. 269.</w:t>
      </w:r>
    </w:p>
  </w:footnote>
  <w:footnote w:id="62">
    <w:p w14:paraId="19937A98" w14:textId="77777777" w:rsidR="006670EC" w:rsidRPr="00A21E4D" w:rsidRDefault="006670EC" w:rsidP="00773289">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Directive 97/81 implementing the Framework Agreement on Part Time Work of 6 June 1997.</w:t>
      </w:r>
    </w:p>
  </w:footnote>
  <w:footnote w:id="63">
    <w:p w14:paraId="49D2D862" w14:textId="6E229C21" w:rsidR="006670EC" w:rsidRPr="00A21E4D" w:rsidRDefault="006670EC" w:rsidP="00773289">
      <w:pPr>
        <w:pStyle w:val="Notedebasdepage"/>
        <w:jc w:val="both"/>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C-313/02, </w:t>
      </w:r>
      <w:r w:rsidR="005E3684" w:rsidRPr="00A21E4D">
        <w:rPr>
          <w:rFonts w:ascii="Times New Roman" w:hAnsi="Times New Roman" w:cs="Times New Roman"/>
          <w:i/>
          <w:sz w:val="24"/>
          <w:szCs w:val="24"/>
          <w:lang w:val="fr-BE"/>
        </w:rPr>
        <w:t>Wippel</w:t>
      </w:r>
      <w:r w:rsidR="00F01ECF" w:rsidRPr="00A21E4D">
        <w:rPr>
          <w:rFonts w:ascii="Times New Roman" w:hAnsi="Times New Roman" w:cs="Times New Roman"/>
          <w:smallCaps/>
          <w:sz w:val="24"/>
          <w:szCs w:val="24"/>
          <w:lang w:val="fr-BE"/>
        </w:rPr>
        <w:t>.</w:t>
      </w:r>
    </w:p>
  </w:footnote>
  <w:footnote w:id="64">
    <w:p w14:paraId="38C40629" w14:textId="75A74A95" w:rsidR="006670EC" w:rsidRPr="00A21E4D" w:rsidRDefault="006670EC" w:rsidP="00773289">
      <w:pPr>
        <w:pStyle w:val="Notedebasdepage"/>
        <w:jc w:val="both"/>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Case C-393/10, </w:t>
      </w:r>
      <w:r w:rsidRPr="00A21E4D">
        <w:rPr>
          <w:rFonts w:ascii="Times New Roman" w:hAnsi="Times New Roman" w:cs="Times New Roman"/>
          <w:i/>
          <w:sz w:val="24"/>
          <w:szCs w:val="24"/>
          <w:lang w:val="fr-BE"/>
        </w:rPr>
        <w:t>O’Brien</w:t>
      </w:r>
      <w:r w:rsidR="00623FDA" w:rsidRPr="00A21E4D">
        <w:rPr>
          <w:rFonts w:ascii="Times New Roman" w:hAnsi="Times New Roman" w:cs="Times New Roman"/>
          <w:sz w:val="24"/>
          <w:szCs w:val="24"/>
          <w:lang w:val="fr-BE"/>
        </w:rPr>
        <w:t xml:space="preserve">; </w:t>
      </w:r>
      <w:r w:rsidR="00623FDA" w:rsidRPr="00A21E4D">
        <w:rPr>
          <w:rFonts w:ascii="Times New Roman" w:hAnsi="Times New Roman" w:cs="Times New Roman"/>
          <w:sz w:val="24"/>
          <w:szCs w:val="24"/>
          <w:lang w:val="nl-BE"/>
        </w:rPr>
        <w:fldChar w:fldCharType="begin"/>
      </w:r>
      <w:r w:rsidR="00623FDA" w:rsidRPr="00A21E4D">
        <w:rPr>
          <w:rFonts w:ascii="Times New Roman" w:hAnsi="Times New Roman" w:cs="Times New Roman"/>
          <w:sz w:val="24"/>
          <w:szCs w:val="24"/>
          <w:lang w:val="fr-BE"/>
        </w:rPr>
        <w:instrText xml:space="preserve"> ADDIN ZOTERO_ITEM CSL_CITATION {"citationID":"sDM8wAGx","properties":{"formattedCitation":"S. {\\scaps Laulom}, \\uc0\\u171{}\\uc0\\u160{}La notion de travailleur\\uc0\\u160{}\\uc0\\u187{}, {\\i{}Semaine sociale Lamy}, 2013, pp. 11\\uc0\\u8209{}14.","plainCitation":"S. Laulom, « La notion de travailleur », Semaine sociale Lamy, 2013, pp. 11‑14.","noteIndex":64},"citationItems":[{"id":455,"uris":["http://zotero.org/users/local/0X1c0osY/items/E3DB6CNJ"],"uri":["http://zotero.org/users/local/0X1c0osY/items/E3DB6CNJ"],"itemData":{"id":455,"type":"article-journal","container-title":"Semaine sociale Lamy","page":"11-14","title":"La notion de travailleur","author":[{"family":"Laulom","given":"Sylvaine"}],"issued":{"date-parts":[["2013"]]}}}],"schema":"https://github.com/citation-style-language/schema/raw/master/csl-citation.json"} </w:instrText>
      </w:r>
      <w:r w:rsidR="00623FDA" w:rsidRPr="00A21E4D">
        <w:rPr>
          <w:rFonts w:ascii="Times New Roman" w:hAnsi="Times New Roman" w:cs="Times New Roman"/>
          <w:sz w:val="24"/>
          <w:szCs w:val="24"/>
          <w:lang w:val="nl-BE"/>
        </w:rPr>
        <w:fldChar w:fldCharType="separate"/>
      </w:r>
      <w:r w:rsidR="00623FDA" w:rsidRPr="00A21E4D">
        <w:rPr>
          <w:rFonts w:ascii="Times New Roman" w:hAnsi="Times New Roman" w:cs="Times New Roman"/>
          <w:sz w:val="24"/>
          <w:szCs w:val="24"/>
        </w:rPr>
        <w:t xml:space="preserve">S. </w:t>
      </w:r>
      <w:r w:rsidR="00623FDA" w:rsidRPr="00A21E4D">
        <w:rPr>
          <w:rFonts w:ascii="Times New Roman" w:hAnsi="Times New Roman" w:cs="Times New Roman"/>
          <w:smallCaps/>
          <w:sz w:val="24"/>
          <w:szCs w:val="24"/>
        </w:rPr>
        <w:t>Laulom</w:t>
      </w:r>
      <w:r w:rsidR="00623FDA" w:rsidRPr="00A21E4D">
        <w:rPr>
          <w:rFonts w:ascii="Times New Roman" w:hAnsi="Times New Roman" w:cs="Times New Roman"/>
          <w:sz w:val="24"/>
          <w:szCs w:val="24"/>
        </w:rPr>
        <w:t xml:space="preserve">, « La notion de travailleur », </w:t>
      </w:r>
      <w:r w:rsidR="00623FDA" w:rsidRPr="00A21E4D">
        <w:rPr>
          <w:rFonts w:ascii="Times New Roman" w:hAnsi="Times New Roman" w:cs="Times New Roman"/>
          <w:i/>
          <w:iCs/>
          <w:sz w:val="24"/>
          <w:szCs w:val="24"/>
        </w:rPr>
        <w:t>Semaine sociale Lamy</w:t>
      </w:r>
      <w:r w:rsidR="00623FDA" w:rsidRPr="00A21E4D">
        <w:rPr>
          <w:rFonts w:ascii="Times New Roman" w:hAnsi="Times New Roman" w:cs="Times New Roman"/>
          <w:sz w:val="24"/>
          <w:szCs w:val="24"/>
        </w:rPr>
        <w:t>, 2013, pp. 11‑14.</w:t>
      </w:r>
      <w:r w:rsidR="00623FDA" w:rsidRPr="00A21E4D">
        <w:rPr>
          <w:rFonts w:ascii="Times New Roman" w:hAnsi="Times New Roman" w:cs="Times New Roman"/>
          <w:sz w:val="24"/>
          <w:szCs w:val="24"/>
          <w:lang w:val="nl-BE"/>
        </w:rPr>
        <w:fldChar w:fldCharType="end"/>
      </w:r>
    </w:p>
  </w:footnote>
  <w:footnote w:id="65">
    <w:p w14:paraId="532D3593"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38 and 42 of the arrest.</w:t>
      </w:r>
    </w:p>
  </w:footnote>
  <w:footnote w:id="66">
    <w:p w14:paraId="086D2AB6"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43-47 of the arrest.</w:t>
      </w:r>
    </w:p>
  </w:footnote>
  <w:footnote w:id="67">
    <w:p w14:paraId="5F0C4794" w14:textId="77777777" w:rsidR="006670EC" w:rsidRPr="00A21E4D" w:rsidRDefault="006670EC">
      <w:pPr>
        <w:pStyle w:val="Notedebasdepage"/>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 50 of the arrest.</w:t>
      </w:r>
    </w:p>
  </w:footnote>
  <w:footnote w:id="68">
    <w:p w14:paraId="7522F332" w14:textId="77777777" w:rsidR="006670EC" w:rsidRPr="00A21E4D" w:rsidRDefault="006670EC">
      <w:pPr>
        <w:pStyle w:val="Notedebasdepage"/>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C-216/15</w:t>
      </w:r>
      <w:r w:rsidRPr="00A21E4D">
        <w:rPr>
          <w:rFonts w:ascii="Times New Roman" w:hAnsi="Times New Roman" w:cs="Times New Roman"/>
          <w:i/>
          <w:sz w:val="24"/>
          <w:szCs w:val="24"/>
          <w:lang w:val="nl-BE"/>
        </w:rPr>
        <w:t>, Betriebsrat der Ruhrlandklinik</w:t>
      </w:r>
      <w:r w:rsidRPr="00A21E4D">
        <w:rPr>
          <w:rFonts w:ascii="Times New Roman" w:hAnsi="Times New Roman" w:cs="Times New Roman"/>
          <w:sz w:val="24"/>
          <w:szCs w:val="24"/>
          <w:lang w:val="nl-BE"/>
        </w:rPr>
        <w:t>.</w:t>
      </w:r>
    </w:p>
  </w:footnote>
  <w:footnote w:id="69">
    <w:p w14:paraId="58D8BDB9"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Directive 2008/104/EC.</w:t>
      </w:r>
    </w:p>
  </w:footnote>
  <w:footnote w:id="70">
    <w:p w14:paraId="0DF34617" w14:textId="649CC70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10-14 of the arrest</w:t>
      </w:r>
      <w:r w:rsidR="00D55C42" w:rsidRPr="00A21E4D">
        <w:rPr>
          <w:rFonts w:ascii="Times New Roman" w:hAnsi="Times New Roman" w:cs="Times New Roman"/>
          <w:sz w:val="24"/>
          <w:szCs w:val="24"/>
          <w:lang w:val="en-GB"/>
        </w:rPr>
        <w:t>.</w:t>
      </w:r>
    </w:p>
  </w:footnote>
  <w:footnote w:id="71">
    <w:p w14:paraId="48D498B4" w14:textId="75013B4E"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15 of the arrest</w:t>
      </w:r>
      <w:r w:rsidR="00D55C42" w:rsidRPr="00A21E4D">
        <w:rPr>
          <w:rFonts w:ascii="Times New Roman" w:hAnsi="Times New Roman" w:cs="Times New Roman"/>
          <w:sz w:val="24"/>
          <w:szCs w:val="24"/>
          <w:lang w:val="en-GB"/>
        </w:rPr>
        <w:t>.</w:t>
      </w:r>
    </w:p>
  </w:footnote>
  <w:footnote w:id="72">
    <w:p w14:paraId="1EF2FBA6" w14:textId="39605EFF"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25-39 of the arrest</w:t>
      </w:r>
      <w:r w:rsidR="00D55C42" w:rsidRPr="00A21E4D">
        <w:rPr>
          <w:rFonts w:ascii="Times New Roman" w:hAnsi="Times New Roman" w:cs="Times New Roman"/>
          <w:sz w:val="24"/>
          <w:szCs w:val="24"/>
          <w:lang w:val="en-GB"/>
        </w:rPr>
        <w:t xml:space="preserve">. </w:t>
      </w:r>
      <w:r w:rsidR="00D55C42" w:rsidRPr="00A21E4D">
        <w:rPr>
          <w:rFonts w:ascii="Times New Roman" w:hAnsi="Times New Roman" w:cs="Times New Roman"/>
          <w:sz w:val="24"/>
          <w:szCs w:val="24"/>
          <w:lang w:val="en-GB"/>
        </w:rPr>
        <w:fldChar w:fldCharType="begin"/>
      </w:r>
      <w:r w:rsidR="00FD08E0" w:rsidRPr="00A21E4D">
        <w:rPr>
          <w:rFonts w:ascii="Times New Roman" w:hAnsi="Times New Roman" w:cs="Times New Roman"/>
          <w:sz w:val="24"/>
          <w:szCs w:val="24"/>
          <w:lang w:val="en-GB"/>
        </w:rPr>
        <w:instrText xml:space="preserve"> ADDIN ZOTERO_ITEM CSL_CITATION {"citationID":"rd4sBZqa","properties":{"formattedCitation":"L. {\\scaps Driguez}, \\uc0\\u171{}\\uc0\\u160{}Notion de travailleur int\\uc0\\u233{}rimaire\\uc0\\u160{}\\uc0\\u187{}, {\\i{}Europe}, 2017, p. 27.","plainCitation":"L. Driguez, « Notion de travailleur intérimaire », Europe, 2017, p. 27.","noteIndex":72},"citationItems":[{"id":458,"uris":["http://zotero.org/users/local/0X1c0osY/items/UEFUVNQK"],"uri":["http://zotero.org/users/local/0X1c0osY/items/UEFUVNQK"],"itemData":{"id":458,"type":"article-journal","container-title":"Europe","page":"27","title":"Notion de travailleur intérimaire","author":[{"family":"Driguez","given":"Laetitia"}],"issued":{"date-parts":[["2017"]]}}}],"schema":"https://github.com/citation-style-language/schema/raw/master/csl-citation.json"} </w:instrText>
      </w:r>
      <w:r w:rsidR="00D55C42" w:rsidRPr="00A21E4D">
        <w:rPr>
          <w:rFonts w:ascii="Times New Roman" w:hAnsi="Times New Roman" w:cs="Times New Roman"/>
          <w:sz w:val="24"/>
          <w:szCs w:val="24"/>
          <w:lang w:val="en-GB"/>
        </w:rPr>
        <w:fldChar w:fldCharType="separate"/>
      </w:r>
      <w:r w:rsidR="00D55C42" w:rsidRPr="00A21E4D">
        <w:rPr>
          <w:rFonts w:ascii="Times New Roman" w:hAnsi="Times New Roman" w:cs="Times New Roman"/>
          <w:sz w:val="24"/>
          <w:szCs w:val="24"/>
        </w:rPr>
        <w:t xml:space="preserve">L. </w:t>
      </w:r>
      <w:r w:rsidR="00D55C42" w:rsidRPr="00A21E4D">
        <w:rPr>
          <w:rFonts w:ascii="Times New Roman" w:hAnsi="Times New Roman" w:cs="Times New Roman"/>
          <w:smallCaps/>
          <w:sz w:val="24"/>
          <w:szCs w:val="24"/>
        </w:rPr>
        <w:t>Driguez</w:t>
      </w:r>
      <w:r w:rsidR="00D55C42" w:rsidRPr="00A21E4D">
        <w:rPr>
          <w:rFonts w:ascii="Times New Roman" w:hAnsi="Times New Roman" w:cs="Times New Roman"/>
          <w:sz w:val="24"/>
          <w:szCs w:val="24"/>
        </w:rPr>
        <w:t xml:space="preserve">, « Notion de travailleur intérimaire », </w:t>
      </w:r>
      <w:r w:rsidR="00D55C42" w:rsidRPr="00A21E4D">
        <w:rPr>
          <w:rFonts w:ascii="Times New Roman" w:hAnsi="Times New Roman" w:cs="Times New Roman"/>
          <w:i/>
          <w:iCs/>
          <w:sz w:val="24"/>
          <w:szCs w:val="24"/>
        </w:rPr>
        <w:t>Europe</w:t>
      </w:r>
      <w:r w:rsidR="00D55C42" w:rsidRPr="00A21E4D">
        <w:rPr>
          <w:rFonts w:ascii="Times New Roman" w:hAnsi="Times New Roman" w:cs="Times New Roman"/>
          <w:sz w:val="24"/>
          <w:szCs w:val="24"/>
        </w:rPr>
        <w:t>, 2017, p. 27.</w:t>
      </w:r>
      <w:r w:rsidR="00D55C42" w:rsidRPr="00A21E4D">
        <w:rPr>
          <w:rFonts w:ascii="Times New Roman" w:hAnsi="Times New Roman" w:cs="Times New Roman"/>
          <w:sz w:val="24"/>
          <w:szCs w:val="24"/>
          <w:lang w:val="en-GB"/>
        </w:rPr>
        <w:fldChar w:fldCharType="end"/>
      </w:r>
    </w:p>
  </w:footnote>
  <w:footnote w:id="73">
    <w:p w14:paraId="6AACC301" w14:textId="77777777" w:rsidR="006670EC" w:rsidRPr="00A21E4D" w:rsidRDefault="006670EC">
      <w:pPr>
        <w:pStyle w:val="Notedebasdepage"/>
        <w:rPr>
          <w:rFonts w:ascii="Times New Roman" w:hAnsi="Times New Roman" w:cs="Times New Roman"/>
          <w:sz w:val="24"/>
          <w:szCs w:val="24"/>
          <w:lang w:val="fr-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fr-BE"/>
        </w:rPr>
        <w:t xml:space="preserve"> §§ 40-43 of the arrest</w:t>
      </w:r>
    </w:p>
  </w:footnote>
  <w:footnote w:id="74">
    <w:p w14:paraId="29526194" w14:textId="77777777" w:rsidR="006670EC" w:rsidRPr="00A21E4D" w:rsidRDefault="006670EC">
      <w:pPr>
        <w:pStyle w:val="Notedebasdepage"/>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w:t>
      </w:r>
      <w:r w:rsidRPr="00A21E4D">
        <w:rPr>
          <w:rFonts w:ascii="Times New Roman" w:hAnsi="Times New Roman" w:cs="Times New Roman"/>
          <w:smallCaps/>
          <w:sz w:val="24"/>
          <w:szCs w:val="24"/>
          <w:lang w:val="nl-BE"/>
        </w:rPr>
        <w:t>E. Menegatti</w:t>
      </w:r>
      <w:r w:rsidRPr="00A21E4D">
        <w:rPr>
          <w:rFonts w:ascii="Times New Roman" w:hAnsi="Times New Roman" w:cs="Times New Roman"/>
          <w:sz w:val="24"/>
          <w:szCs w:val="24"/>
          <w:lang w:val="nl-BE"/>
        </w:rPr>
        <w:t xml:space="preserve">, </w:t>
      </w:r>
      <w:r w:rsidRPr="00A21E4D">
        <w:rPr>
          <w:rFonts w:ascii="Times New Roman" w:hAnsi="Times New Roman" w:cs="Times New Roman"/>
          <w:i/>
          <w:sz w:val="24"/>
          <w:szCs w:val="24"/>
          <w:lang w:val="nl-BE"/>
        </w:rPr>
        <w:t>op cit.,</w:t>
      </w:r>
      <w:r w:rsidRPr="00A21E4D">
        <w:rPr>
          <w:rFonts w:ascii="Times New Roman" w:hAnsi="Times New Roman" w:cs="Times New Roman"/>
          <w:sz w:val="24"/>
          <w:szCs w:val="24"/>
          <w:lang w:val="nl-BE"/>
        </w:rPr>
        <w:t xml:space="preserve"> p. 78.</w:t>
      </w:r>
    </w:p>
  </w:footnote>
  <w:footnote w:id="75">
    <w:p w14:paraId="58763A1D"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C-317/18</w:t>
      </w:r>
      <w:r w:rsidRPr="00A21E4D">
        <w:rPr>
          <w:rFonts w:ascii="Times New Roman" w:hAnsi="Times New Roman" w:cs="Times New Roman"/>
          <w:i/>
          <w:sz w:val="24"/>
          <w:szCs w:val="24"/>
          <w:lang w:val="en-GB"/>
        </w:rPr>
        <w:t>, Correia Moreira</w:t>
      </w:r>
      <w:r w:rsidRPr="00A21E4D">
        <w:rPr>
          <w:rFonts w:ascii="Times New Roman" w:hAnsi="Times New Roman" w:cs="Times New Roman"/>
          <w:sz w:val="24"/>
          <w:szCs w:val="24"/>
          <w:lang w:val="en-GB"/>
        </w:rPr>
        <w:t>.</w:t>
      </w:r>
    </w:p>
  </w:footnote>
  <w:footnote w:id="76">
    <w:p w14:paraId="05332CFF" w14:textId="3A312D50"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 43</w:t>
      </w:r>
      <w:r w:rsidR="00E37461" w:rsidRPr="00A21E4D">
        <w:rPr>
          <w:rFonts w:ascii="Times New Roman" w:hAnsi="Times New Roman" w:cs="Times New Roman"/>
          <w:sz w:val="24"/>
          <w:szCs w:val="24"/>
          <w:lang w:val="en-GB"/>
        </w:rPr>
        <w:t xml:space="preserve"> and 51</w:t>
      </w:r>
      <w:r w:rsidRPr="00A21E4D">
        <w:rPr>
          <w:rFonts w:ascii="Times New Roman" w:hAnsi="Times New Roman" w:cs="Times New Roman"/>
          <w:sz w:val="24"/>
          <w:szCs w:val="24"/>
          <w:lang w:val="en-GB"/>
        </w:rPr>
        <w:t xml:space="preserve"> of the arrest</w:t>
      </w:r>
      <w:r w:rsidR="00D55C42" w:rsidRPr="00A21E4D">
        <w:rPr>
          <w:rFonts w:ascii="Times New Roman" w:hAnsi="Times New Roman" w:cs="Times New Roman"/>
          <w:sz w:val="24"/>
          <w:szCs w:val="24"/>
          <w:lang w:val="en-GB"/>
        </w:rPr>
        <w:t>.</w:t>
      </w:r>
    </w:p>
  </w:footnote>
  <w:footnote w:id="77">
    <w:p w14:paraId="1751DC86" w14:textId="77777777" w:rsidR="006670EC" w:rsidRPr="00A21E4D" w:rsidRDefault="006670EC">
      <w:pPr>
        <w:pStyle w:val="Notedebasdepage"/>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Ibidem.</w:t>
      </w:r>
    </w:p>
  </w:footnote>
  <w:footnote w:id="78">
    <w:p w14:paraId="3A85C8C3" w14:textId="77777777" w:rsidR="006670EC" w:rsidRPr="00A21E4D" w:rsidRDefault="006670EC" w:rsidP="00DF2209">
      <w:pPr>
        <w:pStyle w:val="Notedebasdepage"/>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w:t>
      </w:r>
      <w:r w:rsidRPr="00A21E4D">
        <w:rPr>
          <w:rFonts w:ascii="Times New Roman" w:hAnsi="Times New Roman" w:cs="Times New Roman"/>
          <w:smallCaps/>
          <w:sz w:val="24"/>
          <w:szCs w:val="24"/>
          <w:lang w:val="nl-BE"/>
        </w:rPr>
        <w:t>F. Michéa</w:t>
      </w:r>
      <w:r w:rsidRPr="00A21E4D">
        <w:rPr>
          <w:rFonts w:ascii="Times New Roman" w:hAnsi="Times New Roman" w:cs="Times New Roman"/>
          <w:sz w:val="24"/>
          <w:szCs w:val="24"/>
          <w:lang w:val="nl-BE"/>
        </w:rPr>
        <w:t xml:space="preserve">, </w:t>
      </w:r>
      <w:r w:rsidRPr="00A21E4D">
        <w:rPr>
          <w:rFonts w:ascii="Times New Roman" w:hAnsi="Times New Roman" w:cs="Times New Roman"/>
          <w:i/>
          <w:sz w:val="24"/>
          <w:szCs w:val="24"/>
          <w:lang w:val="nl-BE"/>
        </w:rPr>
        <w:t xml:space="preserve">op cit., </w:t>
      </w:r>
      <w:r w:rsidRPr="00A21E4D">
        <w:rPr>
          <w:rFonts w:ascii="Times New Roman" w:hAnsi="Times New Roman" w:cs="Times New Roman"/>
          <w:sz w:val="24"/>
          <w:szCs w:val="24"/>
          <w:lang w:val="nl-BE"/>
        </w:rPr>
        <w:t xml:space="preserve">p. 272. </w:t>
      </w:r>
    </w:p>
  </w:footnote>
  <w:footnote w:id="79">
    <w:p w14:paraId="3A84AF07" w14:textId="05AD6CA0" w:rsidR="00B74D6A" w:rsidRPr="00A21E4D" w:rsidRDefault="00B74D6A" w:rsidP="002557B0">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Directive 2019/1152.</w:t>
      </w:r>
    </w:p>
  </w:footnote>
  <w:footnote w:id="80">
    <w:p w14:paraId="3966897B" w14:textId="0B4C49C4" w:rsidR="00B74D6A" w:rsidRPr="00A21E4D" w:rsidRDefault="00B74D6A" w:rsidP="002557B0">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Directive 2019/1158.</w:t>
      </w:r>
    </w:p>
  </w:footnote>
  <w:footnote w:id="81">
    <w:p w14:paraId="77F24DD3" w14:textId="3CBDCA5A" w:rsidR="00FD08E0" w:rsidRPr="00A21E4D" w:rsidRDefault="00FD08E0" w:rsidP="002557B0">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rPr>
        <w:fldChar w:fldCharType="begin"/>
      </w:r>
      <w:r w:rsidRPr="00A21E4D">
        <w:rPr>
          <w:rFonts w:ascii="Times New Roman" w:hAnsi="Times New Roman" w:cs="Times New Roman"/>
          <w:sz w:val="24"/>
          <w:szCs w:val="24"/>
          <w:lang w:val="en-GB"/>
        </w:rPr>
        <w:instrText xml:space="preserve"> ADDIN ZOTERO_ITEM CSL_CITATION {"citationID":"HSd3cUtY","properties":{"formattedCitation":"E. {\\scaps Chieregato}, \\uc0\\u171{}\\uc0\\u160{}A Work-Life Balance for All: Assessing the Inclusiveness of EU Directive 2019/1158\\uc0\\u160{}\\uc0\\u187{}, {\\i{}Comparative Labour Law and Industrial Relations}, 2020, pp. 59\\uc0\\u8209{}80.","plainCitation":"E. Chieregato, « A Work-Life Balance for All: Assessing the Inclusiveness of EU Directive 2019/1158 », Comparative Labour Law and Industrial Relations, 2020, pp. 59‑80.","noteIndex":81},"citationItems":[{"id":471,"uris":["http://zotero.org/users/local/0X1c0osY/items/ND4EX42T"],"uri":["http://zotero.org/users/local/0X1c0osY/items/ND4EX42T"],"itemData":{"id":471,"type":"article-newspaper","container-title":"Comparative Labour Law and Industrial Relations","page":"59-80","title":"A Work-Life Balance for All: Assessing the Inclusiveness of EU Directive 2019/1158","author":[{"family":"Chieregato","given":"Elisa"}],"issued":{"date-parts":[["2020"]]}}}],"schema":"https://github.com/citation-style-language/schema/raw/master/csl-citation.json"} </w:instrText>
      </w:r>
      <w:r w:rsidRPr="00A21E4D">
        <w:rPr>
          <w:rFonts w:ascii="Times New Roman" w:hAnsi="Times New Roman" w:cs="Times New Roman"/>
          <w:sz w:val="24"/>
          <w:szCs w:val="24"/>
        </w:rPr>
        <w:fldChar w:fldCharType="separate"/>
      </w:r>
      <w:r w:rsidRPr="00A21E4D">
        <w:rPr>
          <w:rFonts w:ascii="Times New Roman" w:hAnsi="Times New Roman" w:cs="Times New Roman"/>
          <w:sz w:val="24"/>
          <w:szCs w:val="24"/>
          <w:lang w:val="en-GB"/>
        </w:rPr>
        <w:t xml:space="preserve">E. </w:t>
      </w:r>
      <w:r w:rsidRPr="00A21E4D">
        <w:rPr>
          <w:rFonts w:ascii="Times New Roman" w:hAnsi="Times New Roman" w:cs="Times New Roman"/>
          <w:smallCaps/>
          <w:sz w:val="24"/>
          <w:szCs w:val="24"/>
          <w:lang w:val="en-GB"/>
        </w:rPr>
        <w:t>Chieregato</w:t>
      </w:r>
      <w:r w:rsidRPr="00A21E4D">
        <w:rPr>
          <w:rFonts w:ascii="Times New Roman" w:hAnsi="Times New Roman" w:cs="Times New Roman"/>
          <w:sz w:val="24"/>
          <w:szCs w:val="24"/>
          <w:lang w:val="en-GB"/>
        </w:rPr>
        <w:t xml:space="preserve">, « A Work-Life Balance for All: Assessing the Inclusiveness of EU Directive 2019/1158 », </w:t>
      </w:r>
      <w:r w:rsidRPr="00A21E4D">
        <w:rPr>
          <w:rFonts w:ascii="Times New Roman" w:hAnsi="Times New Roman" w:cs="Times New Roman"/>
          <w:i/>
          <w:iCs/>
          <w:sz w:val="24"/>
          <w:szCs w:val="24"/>
          <w:lang w:val="en-GB"/>
        </w:rPr>
        <w:t>Comparative Labour Law and Industrial Relations</w:t>
      </w:r>
      <w:r w:rsidRPr="00A21E4D">
        <w:rPr>
          <w:rFonts w:ascii="Times New Roman" w:hAnsi="Times New Roman" w:cs="Times New Roman"/>
          <w:sz w:val="24"/>
          <w:szCs w:val="24"/>
          <w:lang w:val="en-GB"/>
        </w:rPr>
        <w:t>, 2020, pp. 59‑80.</w:t>
      </w:r>
      <w:r w:rsidRPr="00A21E4D">
        <w:rPr>
          <w:rFonts w:ascii="Times New Roman" w:hAnsi="Times New Roman" w:cs="Times New Roman"/>
          <w:sz w:val="24"/>
          <w:szCs w:val="24"/>
        </w:rPr>
        <w:fldChar w:fldCharType="end"/>
      </w:r>
    </w:p>
  </w:footnote>
  <w:footnote w:id="82">
    <w:p w14:paraId="67D812B2" w14:textId="2E0A23C7" w:rsidR="002557B0" w:rsidRPr="00A21E4D" w:rsidRDefault="002557B0" w:rsidP="002557B0">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rPr>
        <w:fldChar w:fldCharType="begin"/>
      </w:r>
      <w:r w:rsidR="00123F64" w:rsidRPr="00A21E4D">
        <w:rPr>
          <w:rFonts w:ascii="Times New Roman" w:hAnsi="Times New Roman" w:cs="Times New Roman"/>
          <w:sz w:val="24"/>
          <w:szCs w:val="24"/>
          <w:lang w:val="en-GB"/>
        </w:rPr>
        <w:instrText xml:space="preserve"> ADDIN ZOTERO_ITEM CSL_CITATION {"citationID":"ybkTCqxC","properties":{"formattedCitation":"B. {\\scaps Bednarowicz}, \\uc0\\u171{}\\uc0\\u160{}Delivering on the European Pillar of Social Rights: The New Directive on Transparent and Predictable Working Conditions\\uc0\\u160{}\\uc0\\u187{}, {\\i{}Industrial Law Journal}, 2019, pp. 609\\uc0\\u8209{}614.","plainCitation":"B. Bednarowicz, « Delivering on the European Pillar of Social Rights: The New Directive on Transparent and Predictable Working Conditions », Industrial Law Journal, 2019, pp. 609‑614.","noteIndex":82},"citationItems":[{"id":470,"uris":["http://zotero.org/users/local/0X1c0osY/items/JJG6UWRL"],"uri":["http://zotero.org/users/local/0X1c0osY/items/JJG6UWRL"],"itemData":{"id":470,"type":"article-newspaper","container-title":"Industrial Law Journal","page":"604-623","title":"Delivering on the European Pillar of Social Rights: The New Directive on Transparent and Predictable Working Conditions","author":[{"family":"Bednarowicz","given":"Bartolomiej"}],"issued":{"date-parts":[["2019"]]}},"locator":"609-614"}],"schema":"https://github.com/citation-style-language/schema/raw/master/csl-citation.json"} </w:instrText>
      </w:r>
      <w:r w:rsidRPr="00A21E4D">
        <w:rPr>
          <w:rFonts w:ascii="Times New Roman" w:hAnsi="Times New Roman" w:cs="Times New Roman"/>
          <w:sz w:val="24"/>
          <w:szCs w:val="24"/>
        </w:rPr>
        <w:fldChar w:fldCharType="separate"/>
      </w:r>
      <w:r w:rsidR="00123F64" w:rsidRPr="00A21E4D">
        <w:rPr>
          <w:rFonts w:ascii="Times New Roman" w:hAnsi="Times New Roman" w:cs="Times New Roman"/>
          <w:sz w:val="24"/>
          <w:szCs w:val="24"/>
          <w:lang w:val="en-GB"/>
        </w:rPr>
        <w:t xml:space="preserve">B. </w:t>
      </w:r>
      <w:r w:rsidR="00123F64" w:rsidRPr="00A21E4D">
        <w:rPr>
          <w:rFonts w:ascii="Times New Roman" w:hAnsi="Times New Roman" w:cs="Times New Roman"/>
          <w:smallCaps/>
          <w:sz w:val="24"/>
          <w:szCs w:val="24"/>
          <w:lang w:val="en-GB"/>
        </w:rPr>
        <w:t>Bednarowicz</w:t>
      </w:r>
      <w:r w:rsidR="00123F64" w:rsidRPr="00A21E4D">
        <w:rPr>
          <w:rFonts w:ascii="Times New Roman" w:hAnsi="Times New Roman" w:cs="Times New Roman"/>
          <w:sz w:val="24"/>
          <w:szCs w:val="24"/>
          <w:lang w:val="en-GB"/>
        </w:rPr>
        <w:t xml:space="preserve">, « Delivering on the European Pillar of Social Rights: The New Directive on Transparent and Predictable Working Conditions », </w:t>
      </w:r>
      <w:r w:rsidR="00123F64" w:rsidRPr="00A21E4D">
        <w:rPr>
          <w:rFonts w:ascii="Times New Roman" w:hAnsi="Times New Roman" w:cs="Times New Roman"/>
          <w:i/>
          <w:iCs/>
          <w:sz w:val="24"/>
          <w:szCs w:val="24"/>
          <w:lang w:val="en-GB"/>
        </w:rPr>
        <w:t>Industrial Law Journal</w:t>
      </w:r>
      <w:r w:rsidR="00123F64" w:rsidRPr="00A21E4D">
        <w:rPr>
          <w:rFonts w:ascii="Times New Roman" w:hAnsi="Times New Roman" w:cs="Times New Roman"/>
          <w:sz w:val="24"/>
          <w:szCs w:val="24"/>
          <w:lang w:val="en-GB"/>
        </w:rPr>
        <w:t>, 2019, pp. 609‑614.</w:t>
      </w:r>
      <w:r w:rsidRPr="00A21E4D">
        <w:rPr>
          <w:rFonts w:ascii="Times New Roman" w:hAnsi="Times New Roman" w:cs="Times New Roman"/>
          <w:sz w:val="24"/>
          <w:szCs w:val="24"/>
        </w:rPr>
        <w:fldChar w:fldCharType="end"/>
      </w:r>
    </w:p>
  </w:footnote>
  <w:footnote w:id="83">
    <w:p w14:paraId="04C84CBE" w14:textId="5DFB0AC9" w:rsidR="008B2DC4" w:rsidRPr="00A21E4D" w:rsidRDefault="008B2DC4" w:rsidP="002557B0">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Article 1.2 of Directive 2019/1152 and article 2 of Directive 2019/1158.</w:t>
      </w:r>
    </w:p>
  </w:footnote>
  <w:footnote w:id="84">
    <w:p w14:paraId="7967A34B" w14:textId="77777777" w:rsidR="00F32BDD" w:rsidRPr="00A21E4D" w:rsidRDefault="00F32BDD" w:rsidP="00F32BDD">
      <w:pPr>
        <w:pStyle w:val="Notedebasdepage"/>
        <w:jc w:val="both"/>
        <w:rPr>
          <w:rFonts w:ascii="Times New Roman" w:hAnsi="Times New Roman" w:cs="Times New Roman"/>
          <w:sz w:val="24"/>
          <w:szCs w:val="24"/>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rPr>
        <w:t xml:space="preserve"> </w:t>
      </w:r>
      <w:r w:rsidRPr="00A21E4D">
        <w:rPr>
          <w:rFonts w:ascii="Times New Roman" w:hAnsi="Times New Roman" w:cs="Times New Roman"/>
          <w:smallCaps/>
          <w:sz w:val="24"/>
          <w:szCs w:val="24"/>
        </w:rPr>
        <w:t>F. Kéfer</w:t>
      </w:r>
      <w:r w:rsidRPr="00A21E4D">
        <w:rPr>
          <w:rFonts w:ascii="Times New Roman" w:hAnsi="Times New Roman" w:cs="Times New Roman"/>
          <w:sz w:val="24"/>
          <w:szCs w:val="24"/>
        </w:rPr>
        <w:t xml:space="preserve"> and </w:t>
      </w:r>
      <w:r w:rsidRPr="00A21E4D">
        <w:rPr>
          <w:rFonts w:ascii="Times New Roman" w:hAnsi="Times New Roman" w:cs="Times New Roman"/>
          <w:smallCaps/>
          <w:sz w:val="24"/>
          <w:szCs w:val="24"/>
        </w:rPr>
        <w:t>Q. Cordier</w:t>
      </w:r>
      <w:r w:rsidRPr="00A21E4D">
        <w:rPr>
          <w:rFonts w:ascii="Times New Roman" w:hAnsi="Times New Roman" w:cs="Times New Roman"/>
          <w:sz w:val="24"/>
          <w:szCs w:val="24"/>
        </w:rPr>
        <w:t xml:space="preserve">, « le travailleur 2.0. Contribution à l’étude du rapport de dépendance dans l’environnement numérique », in </w:t>
      </w:r>
      <w:r w:rsidRPr="00A21E4D">
        <w:rPr>
          <w:rFonts w:ascii="Times New Roman" w:hAnsi="Times New Roman" w:cs="Times New Roman"/>
          <w:smallCaps/>
          <w:sz w:val="24"/>
          <w:szCs w:val="24"/>
        </w:rPr>
        <w:t>L. Dear</w:t>
      </w:r>
      <w:r w:rsidRPr="00A21E4D">
        <w:rPr>
          <w:rFonts w:ascii="Times New Roman" w:hAnsi="Times New Roman" w:cs="Times New Roman"/>
          <w:sz w:val="24"/>
          <w:szCs w:val="24"/>
        </w:rPr>
        <w:t xml:space="preserve"> and </w:t>
      </w:r>
      <w:r w:rsidRPr="00A21E4D">
        <w:rPr>
          <w:rFonts w:ascii="Times New Roman" w:hAnsi="Times New Roman" w:cs="Times New Roman"/>
          <w:smallCaps/>
          <w:sz w:val="24"/>
          <w:szCs w:val="24"/>
        </w:rPr>
        <w:t>E. Plasschaert</w:t>
      </w:r>
      <w:r w:rsidRPr="00A21E4D">
        <w:rPr>
          <w:rFonts w:ascii="Times New Roman" w:hAnsi="Times New Roman" w:cs="Times New Roman"/>
          <w:sz w:val="24"/>
          <w:szCs w:val="24"/>
        </w:rPr>
        <w:t xml:space="preserve"> (eds), </w:t>
      </w:r>
      <w:r w:rsidRPr="00A21E4D">
        <w:rPr>
          <w:rFonts w:ascii="Times New Roman" w:hAnsi="Times New Roman" w:cs="Times New Roman"/>
          <w:i/>
          <w:sz w:val="24"/>
          <w:szCs w:val="24"/>
        </w:rPr>
        <w:t>Le droit du travail à l’aube du XXIe siècle</w:t>
      </w:r>
      <w:r w:rsidRPr="00A21E4D">
        <w:rPr>
          <w:rFonts w:ascii="Times New Roman" w:hAnsi="Times New Roman" w:cs="Times New Roman"/>
          <w:sz w:val="24"/>
          <w:szCs w:val="24"/>
        </w:rPr>
        <w:t>, Bruxelles, Larcier, 2018, pp. 35-88.</w:t>
      </w:r>
    </w:p>
  </w:footnote>
  <w:footnote w:id="85">
    <w:p w14:paraId="264C4837" w14:textId="77777777" w:rsidR="006670EC" w:rsidRPr="00A21E4D" w:rsidRDefault="006670EC">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mallCaps/>
          <w:sz w:val="24"/>
          <w:szCs w:val="24"/>
          <w:lang w:val="en-GB"/>
        </w:rPr>
        <w:t>N. Kountouris</w:t>
      </w:r>
      <w:r w:rsidRPr="00A21E4D">
        <w:rPr>
          <w:rFonts w:ascii="Times New Roman" w:hAnsi="Times New Roman" w:cs="Times New Roman"/>
          <w:i/>
          <w:sz w:val="24"/>
          <w:szCs w:val="24"/>
          <w:lang w:val="en-GB"/>
        </w:rPr>
        <w:t>, op cit</w:t>
      </w:r>
      <w:r w:rsidRPr="00A21E4D">
        <w:rPr>
          <w:rFonts w:ascii="Times New Roman" w:hAnsi="Times New Roman" w:cs="Times New Roman"/>
          <w:sz w:val="24"/>
          <w:szCs w:val="24"/>
          <w:lang w:val="en-GB"/>
        </w:rPr>
        <w:t>., p. 224.</w:t>
      </w:r>
    </w:p>
  </w:footnote>
  <w:footnote w:id="86">
    <w:p w14:paraId="5F38638D" w14:textId="2C69D086" w:rsidR="005E4117" w:rsidRPr="00A21E4D" w:rsidRDefault="005E4117" w:rsidP="00464FDA">
      <w:pPr>
        <w:pStyle w:val="Notedebasdepage"/>
        <w:jc w:val="both"/>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Loi-programme du 1er juillet 2016, </w:t>
      </w:r>
      <w:r w:rsidRPr="00A21E4D">
        <w:rPr>
          <w:rFonts w:ascii="Times New Roman" w:hAnsi="Times New Roman" w:cs="Times New Roman"/>
          <w:i/>
          <w:sz w:val="24"/>
          <w:szCs w:val="24"/>
          <w:lang w:val="en-GB"/>
        </w:rPr>
        <w:t>M.B.</w:t>
      </w:r>
      <w:r w:rsidRPr="00A21E4D">
        <w:rPr>
          <w:rFonts w:ascii="Times New Roman" w:hAnsi="Times New Roman" w:cs="Times New Roman"/>
          <w:sz w:val="24"/>
          <w:szCs w:val="24"/>
          <w:lang w:val="en-GB"/>
        </w:rPr>
        <w:t>, 4th July 2016 ;</w:t>
      </w:r>
      <w:r w:rsidR="00CB5037" w:rsidRPr="00A21E4D">
        <w:rPr>
          <w:rFonts w:ascii="Times New Roman" w:hAnsi="Times New Roman" w:cs="Times New Roman"/>
          <w:sz w:val="24"/>
          <w:szCs w:val="24"/>
          <w:lang w:val="en-GB"/>
        </w:rPr>
        <w:t xml:space="preserve"> Loi-programme du 18 juillet 2018, </w:t>
      </w:r>
      <w:r w:rsidR="00CB5037" w:rsidRPr="00A21E4D">
        <w:rPr>
          <w:rFonts w:ascii="Times New Roman" w:hAnsi="Times New Roman" w:cs="Times New Roman"/>
          <w:i/>
          <w:sz w:val="24"/>
          <w:szCs w:val="24"/>
          <w:lang w:val="en-GB"/>
        </w:rPr>
        <w:t>M.B.,</w:t>
      </w:r>
      <w:r w:rsidR="00CB5037" w:rsidRPr="00A21E4D">
        <w:rPr>
          <w:rFonts w:ascii="Times New Roman" w:hAnsi="Times New Roman" w:cs="Times New Roman"/>
          <w:sz w:val="24"/>
          <w:szCs w:val="24"/>
          <w:lang w:val="en-GB"/>
        </w:rPr>
        <w:t xml:space="preserve">26th July 2018 ; </w:t>
      </w:r>
      <w:r w:rsidR="00CB5037" w:rsidRPr="00A21E4D">
        <w:rPr>
          <w:rFonts w:ascii="Times New Roman" w:hAnsi="Times New Roman" w:cs="Times New Roman"/>
          <w:sz w:val="24"/>
          <w:szCs w:val="24"/>
          <w:lang w:val="fr-BE"/>
        </w:rPr>
        <w:fldChar w:fldCharType="begin"/>
      </w:r>
      <w:r w:rsidR="00CB5037" w:rsidRPr="00A21E4D">
        <w:rPr>
          <w:rFonts w:ascii="Times New Roman" w:hAnsi="Times New Roman" w:cs="Times New Roman"/>
          <w:sz w:val="24"/>
          <w:szCs w:val="24"/>
          <w:lang w:val="en-GB"/>
        </w:rPr>
        <w:instrText xml:space="preserve"> ADDIN ZOTERO_ITEM CSL_CITATION {"citationID":"15eL3Jft","properties":{"formattedCitation":"C. {\\scaps Wattecamps}, \\uc0\\u171{}\\uc0\\u160{}Belgium\\uc0\\u160{}\\uc0\\u187{}, {\\i{}in} I. {\\scaps Daugareilh}, C. {\\scaps Degryse} et P. {\\scaps Pochet} (\\uc0\\u233{}ds.), {\\i{}The Platform economy end Social Law: Key Issues in Comparative perspective}, ETUI Research Paper, 2019, p. 49\\uc0\\u160{}; P. {\\scaps Schoukens}, A. {\\scaps Barrio} et S. {\\scaps Montebovi}, \\uc0\\u171{}\\uc0\\u160{}The EU Social Pillar: An answer to the challenge of the social protection of platform workers\\uc0\\u160{}\\uc0\\u187{}, {\\i{}E.J.S.S.}, 2018, p. 234.","plainCitation":"C. Wattecamps, « Belgium », in I. Daugareilh, C. Degryse et P. Pochet (éds.), The Platform economy end Social Law: Key Issues in Comparative perspective, ETUI Research Paper, 2019, p. 49 ; P. Schoukens, A. Barrio et S. Montebovi, « The EU Social Pillar: An answer to the challenge of the social protection of platform workers », E.J.S.S., 2018, p. 234.","noteIndex":86},"citationItems":[{"id":481,"uris":["http://zotero.org/users/local/0X1c0osY/items/NGWBE5JN"],"uri":["http://zotero.org/users/local/0X1c0osY/items/NGWBE5JN"],"itemData":{"id":481,"type":"chapter","container-title":"The Platform economy end Social Law: Key Issues in Comparative perspective","event-place":"ETUI Research Paper","publisher-place":"ETUI Research Paper","title":"Belgium","author":[{"family":"Wattecamps","given":"C."}],"editor":[{"family":"Daugareilh","given":"Isabelle"},{"family":"Degryse","given":"Christophe"},{"family":"Pochet","given":"Philippe"}],"issued":{"date-parts":[["2019"]]}},"locator":"49"},{"id":480,"uris":["http://zotero.org/users/local/0X1c0osY/items/A58VHHSK"],"uri":["http://zotero.org/users/local/0X1c0osY/items/A58VHHSK"],"itemData":{"id":480,"type":"article-newspaper","container-title":"E.J.S.S.","page":"219-241","title":"The EU Social Pillar: An answer to the challenge of the social protection of platform workers","author":[{"family":"Schoukens","given":"Paul"},{"family":"Barrio","given":"Alberto"},{"family":"Montebovi","given":"Saskia"}],"issued":{"date-parts":[["2018"]]}},"locator":"234"}],"schema":"https://github.com/citation-style-language/schema/raw/master/csl-citation.json"} </w:instrText>
      </w:r>
      <w:r w:rsidR="00CB5037" w:rsidRPr="00A21E4D">
        <w:rPr>
          <w:rFonts w:ascii="Times New Roman" w:hAnsi="Times New Roman" w:cs="Times New Roman"/>
          <w:sz w:val="24"/>
          <w:szCs w:val="24"/>
          <w:lang w:val="fr-BE"/>
        </w:rPr>
        <w:fldChar w:fldCharType="separate"/>
      </w:r>
      <w:r w:rsidR="00CB5037" w:rsidRPr="00A21E4D">
        <w:rPr>
          <w:rFonts w:ascii="Times New Roman" w:hAnsi="Times New Roman" w:cs="Times New Roman"/>
          <w:sz w:val="24"/>
          <w:szCs w:val="24"/>
          <w:lang w:val="en-GB"/>
        </w:rPr>
        <w:t xml:space="preserve">C. </w:t>
      </w:r>
      <w:r w:rsidR="00CB5037" w:rsidRPr="00A21E4D">
        <w:rPr>
          <w:rFonts w:ascii="Times New Roman" w:hAnsi="Times New Roman" w:cs="Times New Roman"/>
          <w:smallCaps/>
          <w:sz w:val="24"/>
          <w:szCs w:val="24"/>
          <w:lang w:val="en-GB"/>
        </w:rPr>
        <w:t>Wattecamps</w:t>
      </w:r>
      <w:r w:rsidR="00CB5037" w:rsidRPr="00A21E4D">
        <w:rPr>
          <w:rFonts w:ascii="Times New Roman" w:hAnsi="Times New Roman" w:cs="Times New Roman"/>
          <w:sz w:val="24"/>
          <w:szCs w:val="24"/>
          <w:lang w:val="en-GB"/>
        </w:rPr>
        <w:t xml:space="preserve">, « Belgium », </w:t>
      </w:r>
      <w:r w:rsidR="00CB5037" w:rsidRPr="00A21E4D">
        <w:rPr>
          <w:rFonts w:ascii="Times New Roman" w:hAnsi="Times New Roman" w:cs="Times New Roman"/>
          <w:i/>
          <w:iCs/>
          <w:sz w:val="24"/>
          <w:szCs w:val="24"/>
          <w:lang w:val="en-GB"/>
        </w:rPr>
        <w:t>in</w:t>
      </w:r>
      <w:r w:rsidR="00CB5037" w:rsidRPr="00A21E4D">
        <w:rPr>
          <w:rFonts w:ascii="Times New Roman" w:hAnsi="Times New Roman" w:cs="Times New Roman"/>
          <w:sz w:val="24"/>
          <w:szCs w:val="24"/>
          <w:lang w:val="en-GB"/>
        </w:rPr>
        <w:t xml:space="preserve"> I. </w:t>
      </w:r>
      <w:r w:rsidR="00CB5037" w:rsidRPr="00A21E4D">
        <w:rPr>
          <w:rFonts w:ascii="Times New Roman" w:hAnsi="Times New Roman" w:cs="Times New Roman"/>
          <w:smallCaps/>
          <w:sz w:val="24"/>
          <w:szCs w:val="24"/>
          <w:lang w:val="en-GB"/>
        </w:rPr>
        <w:t>Daugareilh</w:t>
      </w:r>
      <w:r w:rsidR="00CB5037" w:rsidRPr="00A21E4D">
        <w:rPr>
          <w:rFonts w:ascii="Times New Roman" w:hAnsi="Times New Roman" w:cs="Times New Roman"/>
          <w:sz w:val="24"/>
          <w:szCs w:val="24"/>
          <w:lang w:val="en-GB"/>
        </w:rPr>
        <w:t xml:space="preserve">, C. </w:t>
      </w:r>
      <w:r w:rsidR="00CB5037" w:rsidRPr="00A21E4D">
        <w:rPr>
          <w:rFonts w:ascii="Times New Roman" w:hAnsi="Times New Roman" w:cs="Times New Roman"/>
          <w:smallCaps/>
          <w:sz w:val="24"/>
          <w:szCs w:val="24"/>
          <w:lang w:val="en-GB"/>
        </w:rPr>
        <w:t>Degryse</w:t>
      </w:r>
      <w:r w:rsidR="00464FDA" w:rsidRPr="00A21E4D">
        <w:rPr>
          <w:rFonts w:ascii="Times New Roman" w:hAnsi="Times New Roman" w:cs="Times New Roman"/>
          <w:sz w:val="24"/>
          <w:szCs w:val="24"/>
          <w:lang w:val="en-GB"/>
        </w:rPr>
        <w:t xml:space="preserve"> and</w:t>
      </w:r>
      <w:r w:rsidR="00CB5037" w:rsidRPr="00A21E4D">
        <w:rPr>
          <w:rFonts w:ascii="Times New Roman" w:hAnsi="Times New Roman" w:cs="Times New Roman"/>
          <w:sz w:val="24"/>
          <w:szCs w:val="24"/>
          <w:lang w:val="en-GB"/>
        </w:rPr>
        <w:t xml:space="preserve"> P. </w:t>
      </w:r>
      <w:r w:rsidR="00CB5037" w:rsidRPr="00A21E4D">
        <w:rPr>
          <w:rFonts w:ascii="Times New Roman" w:hAnsi="Times New Roman" w:cs="Times New Roman"/>
          <w:smallCaps/>
          <w:sz w:val="24"/>
          <w:szCs w:val="24"/>
          <w:lang w:val="en-GB"/>
        </w:rPr>
        <w:t>Pochet</w:t>
      </w:r>
      <w:r w:rsidR="00CB5037" w:rsidRPr="00A21E4D">
        <w:rPr>
          <w:rFonts w:ascii="Times New Roman" w:hAnsi="Times New Roman" w:cs="Times New Roman"/>
          <w:sz w:val="24"/>
          <w:szCs w:val="24"/>
          <w:lang w:val="en-GB"/>
        </w:rPr>
        <w:t xml:space="preserve"> (</w:t>
      </w:r>
      <w:r w:rsidR="00464FDA" w:rsidRPr="00A21E4D">
        <w:rPr>
          <w:rFonts w:ascii="Times New Roman" w:hAnsi="Times New Roman" w:cs="Times New Roman"/>
          <w:sz w:val="24"/>
          <w:szCs w:val="24"/>
          <w:lang w:val="en-GB"/>
        </w:rPr>
        <w:t>e</w:t>
      </w:r>
      <w:r w:rsidR="00CB5037" w:rsidRPr="00A21E4D">
        <w:rPr>
          <w:rFonts w:ascii="Times New Roman" w:hAnsi="Times New Roman" w:cs="Times New Roman"/>
          <w:sz w:val="24"/>
          <w:szCs w:val="24"/>
          <w:lang w:val="en-GB"/>
        </w:rPr>
        <w:t xml:space="preserve">ds.), </w:t>
      </w:r>
      <w:r w:rsidR="00CB5037" w:rsidRPr="00A21E4D">
        <w:rPr>
          <w:rFonts w:ascii="Times New Roman" w:hAnsi="Times New Roman" w:cs="Times New Roman"/>
          <w:i/>
          <w:iCs/>
          <w:sz w:val="24"/>
          <w:szCs w:val="24"/>
          <w:lang w:val="en-GB"/>
        </w:rPr>
        <w:t>The Platform economy end Social Law: Key Issues in Comparative perspective</w:t>
      </w:r>
      <w:r w:rsidR="00CB5037" w:rsidRPr="00A21E4D">
        <w:rPr>
          <w:rFonts w:ascii="Times New Roman" w:hAnsi="Times New Roman" w:cs="Times New Roman"/>
          <w:sz w:val="24"/>
          <w:szCs w:val="24"/>
          <w:lang w:val="en-GB"/>
        </w:rPr>
        <w:t xml:space="preserve">, ETUI Research Paper, 2019, p. 49 ; P. </w:t>
      </w:r>
      <w:r w:rsidR="00CB5037" w:rsidRPr="00A21E4D">
        <w:rPr>
          <w:rFonts w:ascii="Times New Roman" w:hAnsi="Times New Roman" w:cs="Times New Roman"/>
          <w:smallCaps/>
          <w:sz w:val="24"/>
          <w:szCs w:val="24"/>
          <w:lang w:val="en-GB"/>
        </w:rPr>
        <w:t>Schoukens</w:t>
      </w:r>
      <w:r w:rsidR="00CB5037" w:rsidRPr="00A21E4D">
        <w:rPr>
          <w:rFonts w:ascii="Times New Roman" w:hAnsi="Times New Roman" w:cs="Times New Roman"/>
          <w:sz w:val="24"/>
          <w:szCs w:val="24"/>
          <w:lang w:val="en-GB"/>
        </w:rPr>
        <w:t xml:space="preserve">, A. </w:t>
      </w:r>
      <w:r w:rsidR="00CB5037" w:rsidRPr="00A21E4D">
        <w:rPr>
          <w:rFonts w:ascii="Times New Roman" w:hAnsi="Times New Roman" w:cs="Times New Roman"/>
          <w:smallCaps/>
          <w:sz w:val="24"/>
          <w:szCs w:val="24"/>
          <w:lang w:val="en-GB"/>
        </w:rPr>
        <w:t>Barrio</w:t>
      </w:r>
      <w:r w:rsidR="00464FDA" w:rsidRPr="00A21E4D">
        <w:rPr>
          <w:rFonts w:ascii="Times New Roman" w:hAnsi="Times New Roman" w:cs="Times New Roman"/>
          <w:sz w:val="24"/>
          <w:szCs w:val="24"/>
          <w:lang w:val="en-GB"/>
        </w:rPr>
        <w:t xml:space="preserve"> and</w:t>
      </w:r>
      <w:r w:rsidR="00CB5037" w:rsidRPr="00A21E4D">
        <w:rPr>
          <w:rFonts w:ascii="Times New Roman" w:hAnsi="Times New Roman" w:cs="Times New Roman"/>
          <w:sz w:val="24"/>
          <w:szCs w:val="24"/>
          <w:lang w:val="en-GB"/>
        </w:rPr>
        <w:t xml:space="preserve"> S. </w:t>
      </w:r>
      <w:r w:rsidR="00CB5037" w:rsidRPr="00A21E4D">
        <w:rPr>
          <w:rFonts w:ascii="Times New Roman" w:hAnsi="Times New Roman" w:cs="Times New Roman"/>
          <w:smallCaps/>
          <w:sz w:val="24"/>
          <w:szCs w:val="24"/>
          <w:lang w:val="en-GB"/>
        </w:rPr>
        <w:t>Montebovi</w:t>
      </w:r>
      <w:r w:rsidR="00CB5037" w:rsidRPr="00A21E4D">
        <w:rPr>
          <w:rFonts w:ascii="Times New Roman" w:hAnsi="Times New Roman" w:cs="Times New Roman"/>
          <w:sz w:val="24"/>
          <w:szCs w:val="24"/>
          <w:lang w:val="en-GB"/>
        </w:rPr>
        <w:t xml:space="preserve">, « The EU Social Pillar: An answer to the challenge of the social protection of platform workers », </w:t>
      </w:r>
      <w:r w:rsidR="00CB5037" w:rsidRPr="00A21E4D">
        <w:rPr>
          <w:rFonts w:ascii="Times New Roman" w:hAnsi="Times New Roman" w:cs="Times New Roman"/>
          <w:i/>
          <w:iCs/>
          <w:sz w:val="24"/>
          <w:szCs w:val="24"/>
          <w:lang w:val="en-GB"/>
        </w:rPr>
        <w:t>E.J.S.S.</w:t>
      </w:r>
      <w:r w:rsidR="00CB5037" w:rsidRPr="00A21E4D">
        <w:rPr>
          <w:rFonts w:ascii="Times New Roman" w:hAnsi="Times New Roman" w:cs="Times New Roman"/>
          <w:sz w:val="24"/>
          <w:szCs w:val="24"/>
          <w:lang w:val="en-GB"/>
        </w:rPr>
        <w:t>, 2018, p. 234.</w:t>
      </w:r>
      <w:r w:rsidR="00CB5037" w:rsidRPr="00A21E4D">
        <w:rPr>
          <w:rFonts w:ascii="Times New Roman" w:hAnsi="Times New Roman" w:cs="Times New Roman"/>
          <w:sz w:val="24"/>
          <w:szCs w:val="24"/>
          <w:lang w:val="fr-BE"/>
        </w:rPr>
        <w:fldChar w:fldCharType="end"/>
      </w:r>
    </w:p>
  </w:footnote>
  <w:footnote w:id="87">
    <w:p w14:paraId="5F7E8587" w14:textId="3177D66F" w:rsidR="00E9721F" w:rsidRPr="00A21E4D" w:rsidRDefault="00E9721F">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rPr>
        <w:fldChar w:fldCharType="begin"/>
      </w:r>
      <w:r w:rsidRPr="00A21E4D">
        <w:rPr>
          <w:rFonts w:ascii="Times New Roman" w:hAnsi="Times New Roman" w:cs="Times New Roman"/>
          <w:sz w:val="24"/>
          <w:szCs w:val="24"/>
          <w:lang w:val="en-GB"/>
        </w:rPr>
        <w:instrText xml:space="preserve"> ADDIN ZOTERO_ITEM CSL_CITATION {"citationID":"UEyCwgFi","properties":{"formattedCitation":"V. {\\scaps De Stefano}, \\uc0\\u171{}\\uc0\\u160{}The Rise of Just-in -Time Workforce: On-Demand Work, Crowdwork, and Labour Protection in the Gig-Economy\\uc0\\u160{}\\uc0\\u187{}, {\\i{}Comparative Labour Law and Policy Journal}, 2016, pp. 494\\uc0\\u8209{}496.","plainCitation":"V. De Stefano, « The Rise of Just-in -Time Workforce: On-Demand Work, Crowdwork, and Labour Protection in the Gig-Economy », Comparative Labour Law and Policy Journal, 2016, pp. 494‑496.","noteIndex":87},"citationItems":[{"id":474,"uris":["http://zotero.org/users/local/0X1c0osY/items/S4WNJCJL"],"uri":["http://zotero.org/users/local/0X1c0osY/items/S4WNJCJL"],"itemData":{"id":474,"type":"article-newspaper","container-title":"Comparative Labour Law and Policy Journal","page":"471-504","title":"The Rise of Just-in -Time Workforce: On-Demand Work, Crowdwork, and Labour Protection in the Gig-Economy","author":[{"family":"De Stefano","given":"Valerio"}],"issued":{"date-parts":[["2016"]]}},"locator":"494-496"}],"schema":"https://github.com/citation-style-language/schema/raw/master/csl-citation.json"} </w:instrText>
      </w:r>
      <w:r w:rsidRPr="00A21E4D">
        <w:rPr>
          <w:rFonts w:ascii="Times New Roman" w:hAnsi="Times New Roman" w:cs="Times New Roman"/>
          <w:sz w:val="24"/>
          <w:szCs w:val="24"/>
        </w:rPr>
        <w:fldChar w:fldCharType="separate"/>
      </w:r>
      <w:r w:rsidRPr="00A21E4D">
        <w:rPr>
          <w:rFonts w:ascii="Times New Roman" w:hAnsi="Times New Roman" w:cs="Times New Roman"/>
          <w:sz w:val="24"/>
          <w:szCs w:val="24"/>
          <w:lang w:val="en-GB"/>
        </w:rPr>
        <w:t xml:space="preserve">V. </w:t>
      </w:r>
      <w:r w:rsidRPr="00A21E4D">
        <w:rPr>
          <w:rFonts w:ascii="Times New Roman" w:hAnsi="Times New Roman" w:cs="Times New Roman"/>
          <w:smallCaps/>
          <w:sz w:val="24"/>
          <w:szCs w:val="24"/>
          <w:lang w:val="en-GB"/>
        </w:rPr>
        <w:t>De Stefano</w:t>
      </w:r>
      <w:r w:rsidRPr="00A21E4D">
        <w:rPr>
          <w:rFonts w:ascii="Times New Roman" w:hAnsi="Times New Roman" w:cs="Times New Roman"/>
          <w:sz w:val="24"/>
          <w:szCs w:val="24"/>
          <w:lang w:val="en-GB"/>
        </w:rPr>
        <w:t xml:space="preserve">, « The Rise of Just-in -Time Workforce: On-Demand Work, Crowdwork, and Labour Protection in the Gig-Economy », </w:t>
      </w:r>
      <w:r w:rsidRPr="00A21E4D">
        <w:rPr>
          <w:rFonts w:ascii="Times New Roman" w:hAnsi="Times New Roman" w:cs="Times New Roman"/>
          <w:i/>
          <w:iCs/>
          <w:sz w:val="24"/>
          <w:szCs w:val="24"/>
          <w:lang w:val="en-GB"/>
        </w:rPr>
        <w:t>Comparative Labour Law and Policy Journal</w:t>
      </w:r>
      <w:r w:rsidRPr="00A21E4D">
        <w:rPr>
          <w:rFonts w:ascii="Times New Roman" w:hAnsi="Times New Roman" w:cs="Times New Roman"/>
          <w:sz w:val="24"/>
          <w:szCs w:val="24"/>
          <w:lang w:val="en-GB"/>
        </w:rPr>
        <w:t>, 2016, pp. 494‑496.</w:t>
      </w:r>
      <w:r w:rsidRPr="00A21E4D">
        <w:rPr>
          <w:rFonts w:ascii="Times New Roman" w:hAnsi="Times New Roman" w:cs="Times New Roman"/>
          <w:sz w:val="24"/>
          <w:szCs w:val="24"/>
        </w:rPr>
        <w:fldChar w:fldCharType="end"/>
      </w:r>
    </w:p>
  </w:footnote>
  <w:footnote w:id="88">
    <w:p w14:paraId="7E1B61EE" w14:textId="5A41B86C" w:rsidR="00AD1BA1" w:rsidRPr="00A21E4D" w:rsidRDefault="00AD1BA1">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Recitals 2 and 4 of the Directive.</w:t>
      </w:r>
    </w:p>
  </w:footnote>
  <w:footnote w:id="89">
    <w:p w14:paraId="48721163" w14:textId="497ED316" w:rsidR="00976AD3" w:rsidRPr="00A21E4D" w:rsidRDefault="00976AD3">
      <w:pPr>
        <w:pStyle w:val="Notedebasdepage"/>
        <w:rPr>
          <w:rFonts w:ascii="Times New Roman" w:hAnsi="Times New Roman" w:cs="Times New Roman"/>
          <w:sz w:val="24"/>
          <w:szCs w:val="24"/>
          <w:lang w:val="en-GB"/>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en-GB"/>
        </w:rPr>
        <w:t xml:space="preserve"> </w:t>
      </w:r>
      <w:r w:rsidRPr="00A21E4D">
        <w:rPr>
          <w:rFonts w:ascii="Times New Roman" w:hAnsi="Times New Roman" w:cs="Times New Roman"/>
          <w:sz w:val="24"/>
          <w:szCs w:val="24"/>
        </w:rPr>
        <w:fldChar w:fldCharType="begin"/>
      </w:r>
      <w:r w:rsidRPr="00A21E4D">
        <w:rPr>
          <w:rFonts w:ascii="Times New Roman" w:hAnsi="Times New Roman" w:cs="Times New Roman"/>
          <w:sz w:val="24"/>
          <w:szCs w:val="24"/>
          <w:lang w:val="en-GB"/>
        </w:rPr>
        <w:instrText xml:space="preserve"> ADDIN ZOTERO_ITEM CSL_CITATION {"citationID":"X6n9kGdf","properties":{"formattedCitation":"E. {\\scaps Menegatti}, \\uc0\\u171{}\\uc0\\u160{}Taking EU labour law beyond the employment contract: The role played by the European Court of Justice\\uc0\\u160{}\\uc0\\u187{}, {\\i{}European Labour Law Journal}, novembre 2019, p. 35.","plainCitation":"E. Menegatti, « Taking EU labour law beyond the employment contract: The role played by the European Court of Justice », European Labour Law Journal, novembre 2019, p. 35.","noteIndex":88},"citationItems":[{"id":352,"uris":["http://zotero.org/users/local/0X1c0osY/items/F78NX2BI"],"uri":["http://zotero.org/users/local/0X1c0osY/items/F78NX2BI"],"itemData":{"id":352,"type":"article-journal","abstract":"The ongoing transformation of work has been increasing the number of working relationships not falling within the domain of labour law. Non-standard and contingent working arrangements, most recently those prompted by the so-called gig economy, struggle to meet customary employment tests, since the employee/self-employed dichotomy has long been eclipsed. As this article will argue, the Court of Justice of the European Union, in shaping the scope of EU labour law, has been looking beyond the traditional categories. Starting from the area of the free movement of workers, the Court has built a common European concept of worker, broader than that of ‘employee’ endorsed by national jurisdictions, applying it to an increasing body of EU social legislation. Because of the primacy of EU law, the Court’s approach is bound to influence national laws.","container-title":"European Labour Law Journal","DOI":"10.1177/2031952519884713","ISSN":"2031-9525","journalAbbreviation":"European Labour Law Journal","language":"en","page":"2031952519884713","source":"SAGE Journals","title":"Taking EU labour law beyond the employment contract: The role played by the European Court of Justice","title-short":"Taking EU labour law beyond the employment contract","author":[{"family":"Menegatti","given":"Emanuele"}],"issued":{"date-parts":[["2019",11,6]]}},"locator":"35"}],"schema":"https://github.com/citation-style-language/schema/raw/master/csl-citation.json"} </w:instrText>
      </w:r>
      <w:r w:rsidRPr="00A21E4D">
        <w:rPr>
          <w:rFonts w:ascii="Times New Roman" w:hAnsi="Times New Roman" w:cs="Times New Roman"/>
          <w:sz w:val="24"/>
          <w:szCs w:val="24"/>
        </w:rPr>
        <w:fldChar w:fldCharType="separate"/>
      </w:r>
      <w:r w:rsidRPr="00A21E4D">
        <w:rPr>
          <w:rFonts w:ascii="Times New Roman" w:hAnsi="Times New Roman" w:cs="Times New Roman"/>
          <w:sz w:val="24"/>
          <w:szCs w:val="24"/>
          <w:lang w:val="en-GB"/>
        </w:rPr>
        <w:t xml:space="preserve">E. </w:t>
      </w:r>
      <w:r w:rsidRPr="00A21E4D">
        <w:rPr>
          <w:rFonts w:ascii="Times New Roman" w:hAnsi="Times New Roman" w:cs="Times New Roman"/>
          <w:smallCaps/>
          <w:sz w:val="24"/>
          <w:szCs w:val="24"/>
          <w:lang w:val="en-GB"/>
        </w:rPr>
        <w:t>Menegatti</w:t>
      </w:r>
      <w:r w:rsidRPr="00A21E4D">
        <w:rPr>
          <w:rFonts w:ascii="Times New Roman" w:hAnsi="Times New Roman" w:cs="Times New Roman"/>
          <w:sz w:val="24"/>
          <w:szCs w:val="24"/>
          <w:lang w:val="en-GB"/>
        </w:rPr>
        <w:t xml:space="preserve">, « Taking EU labour law beyond the employment contract: The role played by the European Court of Justice », </w:t>
      </w:r>
      <w:r w:rsidRPr="00A21E4D">
        <w:rPr>
          <w:rFonts w:ascii="Times New Roman" w:hAnsi="Times New Roman" w:cs="Times New Roman"/>
          <w:i/>
          <w:iCs/>
          <w:sz w:val="24"/>
          <w:szCs w:val="24"/>
          <w:lang w:val="en-GB"/>
        </w:rPr>
        <w:t>European Labour Law Journal</w:t>
      </w:r>
      <w:r w:rsidRPr="00A21E4D">
        <w:rPr>
          <w:rFonts w:ascii="Times New Roman" w:hAnsi="Times New Roman" w:cs="Times New Roman"/>
          <w:sz w:val="24"/>
          <w:szCs w:val="24"/>
          <w:lang w:val="en-GB"/>
        </w:rPr>
        <w:t>, 2019, p. 35.</w:t>
      </w:r>
      <w:r w:rsidRPr="00A21E4D">
        <w:rPr>
          <w:rFonts w:ascii="Times New Roman" w:hAnsi="Times New Roman" w:cs="Times New Roman"/>
          <w:sz w:val="24"/>
          <w:szCs w:val="24"/>
        </w:rPr>
        <w:fldChar w:fldCharType="end"/>
      </w:r>
    </w:p>
  </w:footnote>
  <w:footnote w:id="90">
    <w:p w14:paraId="577B2824" w14:textId="75565BC1" w:rsidR="006670EC" w:rsidRPr="00A21E4D" w:rsidRDefault="006670EC" w:rsidP="00F32BDD">
      <w:pPr>
        <w:pStyle w:val="Notedebasdepage"/>
        <w:rPr>
          <w:rFonts w:ascii="Times New Roman" w:hAnsi="Times New Roman" w:cs="Times New Roman"/>
          <w:sz w:val="24"/>
          <w:szCs w:val="24"/>
          <w:lang w:val="nl-BE"/>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nl-BE"/>
        </w:rPr>
        <w:t xml:space="preserve"> </w:t>
      </w:r>
      <w:r w:rsidRPr="00A21E4D">
        <w:rPr>
          <w:rFonts w:ascii="Times New Roman" w:hAnsi="Times New Roman" w:cs="Times New Roman"/>
          <w:smallCaps/>
          <w:sz w:val="24"/>
          <w:szCs w:val="24"/>
          <w:lang w:val="nl-BE"/>
        </w:rPr>
        <w:t>M. Risak</w:t>
      </w:r>
      <w:r w:rsidRPr="00A21E4D">
        <w:rPr>
          <w:rFonts w:ascii="Times New Roman" w:hAnsi="Times New Roman" w:cs="Times New Roman"/>
          <w:sz w:val="24"/>
          <w:szCs w:val="24"/>
          <w:lang w:val="nl-BE"/>
        </w:rPr>
        <w:t xml:space="preserve"> and </w:t>
      </w:r>
      <w:r w:rsidRPr="00A21E4D">
        <w:rPr>
          <w:rFonts w:ascii="Times New Roman" w:hAnsi="Times New Roman" w:cs="Times New Roman"/>
          <w:smallCaps/>
          <w:sz w:val="24"/>
          <w:szCs w:val="24"/>
          <w:lang w:val="nl-BE"/>
        </w:rPr>
        <w:t>T. Dullinger</w:t>
      </w:r>
      <w:r w:rsidRPr="00A21E4D">
        <w:rPr>
          <w:rFonts w:ascii="Times New Roman" w:hAnsi="Times New Roman" w:cs="Times New Roman"/>
          <w:i/>
          <w:sz w:val="24"/>
          <w:szCs w:val="24"/>
          <w:lang w:val="nl-BE"/>
        </w:rPr>
        <w:t>, op cit</w:t>
      </w:r>
      <w:r w:rsidR="00F32BDD" w:rsidRPr="00A21E4D">
        <w:rPr>
          <w:rFonts w:ascii="Times New Roman" w:hAnsi="Times New Roman" w:cs="Times New Roman"/>
          <w:sz w:val="24"/>
          <w:szCs w:val="24"/>
          <w:lang w:val="nl-BE"/>
        </w:rPr>
        <w:t>., p.43;</w:t>
      </w:r>
      <w:r w:rsidR="00F32BDD" w:rsidRPr="00A21E4D">
        <w:rPr>
          <w:rFonts w:ascii="Times New Roman" w:hAnsi="Times New Roman" w:cs="Times New Roman"/>
          <w:smallCaps/>
          <w:sz w:val="24"/>
          <w:szCs w:val="24"/>
          <w:lang w:val="nl-BE"/>
        </w:rPr>
        <w:t xml:space="preserve"> N. Kountouris</w:t>
      </w:r>
      <w:r w:rsidR="00F32BDD" w:rsidRPr="00A21E4D">
        <w:rPr>
          <w:rFonts w:ascii="Times New Roman" w:hAnsi="Times New Roman" w:cs="Times New Roman"/>
          <w:i/>
          <w:sz w:val="24"/>
          <w:szCs w:val="24"/>
          <w:lang w:val="nl-BE"/>
        </w:rPr>
        <w:t>, op cit</w:t>
      </w:r>
      <w:r w:rsidR="00F32BDD" w:rsidRPr="00A21E4D">
        <w:rPr>
          <w:rFonts w:ascii="Times New Roman" w:hAnsi="Times New Roman" w:cs="Times New Roman"/>
          <w:sz w:val="24"/>
          <w:szCs w:val="24"/>
          <w:lang w:val="nl-BE"/>
        </w:rPr>
        <w:t>., p. 225.</w:t>
      </w:r>
    </w:p>
  </w:footnote>
  <w:footnote w:id="91">
    <w:p w14:paraId="1C7AFD4F" w14:textId="77777777" w:rsidR="006670EC" w:rsidRPr="00A01045" w:rsidRDefault="006670EC">
      <w:pPr>
        <w:pStyle w:val="Notedebasdepage"/>
        <w:rPr>
          <w:rFonts w:ascii="Times New Roman" w:hAnsi="Times New Roman" w:cs="Times New Roman"/>
          <w:sz w:val="24"/>
          <w:szCs w:val="24"/>
          <w:lang w:val="it-IT"/>
        </w:rPr>
      </w:pPr>
      <w:r w:rsidRPr="00A21E4D">
        <w:rPr>
          <w:rStyle w:val="Appelnotedebasdep"/>
          <w:rFonts w:ascii="Times New Roman" w:hAnsi="Times New Roman" w:cs="Times New Roman"/>
          <w:sz w:val="24"/>
          <w:szCs w:val="24"/>
        </w:rPr>
        <w:footnoteRef/>
      </w:r>
      <w:r w:rsidRPr="00A21E4D">
        <w:rPr>
          <w:rFonts w:ascii="Times New Roman" w:hAnsi="Times New Roman" w:cs="Times New Roman"/>
          <w:sz w:val="24"/>
          <w:szCs w:val="24"/>
          <w:lang w:val="it-IT"/>
        </w:rPr>
        <w:t xml:space="preserve"> </w:t>
      </w:r>
      <w:r w:rsidRPr="00A21E4D">
        <w:rPr>
          <w:rFonts w:ascii="Times New Roman" w:hAnsi="Times New Roman" w:cs="Times New Roman"/>
          <w:smallCaps/>
          <w:sz w:val="24"/>
          <w:szCs w:val="24"/>
          <w:lang w:val="it-IT"/>
        </w:rPr>
        <w:t>S. Giubboni</w:t>
      </w:r>
      <w:r w:rsidRPr="00A21E4D">
        <w:rPr>
          <w:rFonts w:ascii="Times New Roman" w:hAnsi="Times New Roman" w:cs="Times New Roman"/>
          <w:sz w:val="24"/>
          <w:szCs w:val="24"/>
          <w:lang w:val="it-IT"/>
        </w:rPr>
        <w:t xml:space="preserve">, </w:t>
      </w:r>
      <w:r w:rsidRPr="00A21E4D">
        <w:rPr>
          <w:rFonts w:ascii="Times New Roman" w:hAnsi="Times New Roman" w:cs="Times New Roman"/>
          <w:i/>
          <w:sz w:val="24"/>
          <w:szCs w:val="24"/>
          <w:lang w:val="it-IT"/>
        </w:rPr>
        <w:t>op cit</w:t>
      </w:r>
      <w:r w:rsidRPr="00A21E4D">
        <w:rPr>
          <w:rFonts w:ascii="Times New Roman" w:hAnsi="Times New Roman" w:cs="Times New Roman"/>
          <w:sz w:val="24"/>
          <w:szCs w:val="24"/>
          <w:lang w:val="it-IT"/>
        </w:rPr>
        <w:t>, p. 234.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C98"/>
    <w:multiLevelType w:val="hybridMultilevel"/>
    <w:tmpl w:val="12022D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426FB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7B43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4297C"/>
    <w:multiLevelType w:val="hybridMultilevel"/>
    <w:tmpl w:val="50006C48"/>
    <w:lvl w:ilvl="0" w:tplc="4A5E83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97195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D362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205B9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C27F3"/>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30E3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0237B8"/>
    <w:multiLevelType w:val="hybridMultilevel"/>
    <w:tmpl w:val="925C6F32"/>
    <w:lvl w:ilvl="0" w:tplc="040C000F">
      <w:start w:val="1"/>
      <w:numFmt w:val="decimal"/>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0" w15:restartNumberingAfterBreak="0">
    <w:nsid w:val="37BC5BA4"/>
    <w:multiLevelType w:val="multilevel"/>
    <w:tmpl w:val="040C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CB6E5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3C4547"/>
    <w:multiLevelType w:val="hybridMultilevel"/>
    <w:tmpl w:val="D11CD83A"/>
    <w:lvl w:ilvl="0" w:tplc="040C000F">
      <w:start w:val="1"/>
      <w:numFmt w:val="decimal"/>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3" w15:restartNumberingAfterBreak="0">
    <w:nsid w:val="51CA7C00"/>
    <w:multiLevelType w:val="hybridMultilevel"/>
    <w:tmpl w:val="DC880570"/>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4" w15:restartNumberingAfterBreak="0">
    <w:nsid w:val="56DA2458"/>
    <w:multiLevelType w:val="multilevel"/>
    <w:tmpl w:val="2012CDF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9C40B1"/>
    <w:multiLevelType w:val="hybridMultilevel"/>
    <w:tmpl w:val="2A9AAF26"/>
    <w:lvl w:ilvl="0" w:tplc="FBBC1CDA">
      <w:start w:val="1"/>
      <w:numFmt w:val="decimal"/>
      <w:lvlText w:val="%1."/>
      <w:lvlJc w:val="left"/>
      <w:pPr>
        <w:ind w:left="720" w:hanging="360"/>
      </w:pPr>
      <w:rPr>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94D71DA"/>
    <w:multiLevelType w:val="hybridMultilevel"/>
    <w:tmpl w:val="810E69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D1A580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593A08"/>
    <w:multiLevelType w:val="multilevel"/>
    <w:tmpl w:val="C9263C3C"/>
    <w:lvl w:ilvl="0">
      <w:start w:val="1"/>
      <w:numFmt w:val="decimal"/>
      <w:lvlText w:val="%1."/>
      <w:lvlJc w:val="left"/>
      <w:pPr>
        <w:ind w:left="360" w:hanging="360"/>
      </w:pPr>
      <w:rPr>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4A7B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
  </w:num>
  <w:num w:numId="3">
    <w:abstractNumId w:val="5"/>
  </w:num>
  <w:num w:numId="4">
    <w:abstractNumId w:val="4"/>
  </w:num>
  <w:num w:numId="5">
    <w:abstractNumId w:val="17"/>
  </w:num>
  <w:num w:numId="6">
    <w:abstractNumId w:val="11"/>
  </w:num>
  <w:num w:numId="7">
    <w:abstractNumId w:val="19"/>
  </w:num>
  <w:num w:numId="8">
    <w:abstractNumId w:val="2"/>
  </w:num>
  <w:num w:numId="9">
    <w:abstractNumId w:val="8"/>
  </w:num>
  <w:num w:numId="10">
    <w:abstractNumId w:val="12"/>
  </w:num>
  <w:num w:numId="11">
    <w:abstractNumId w:val="9"/>
  </w:num>
  <w:num w:numId="12">
    <w:abstractNumId w:val="16"/>
  </w:num>
  <w:num w:numId="13">
    <w:abstractNumId w:val="1"/>
  </w:num>
  <w:num w:numId="14">
    <w:abstractNumId w:val="6"/>
  </w:num>
  <w:num w:numId="15">
    <w:abstractNumId w:val="7"/>
  </w:num>
  <w:num w:numId="16">
    <w:abstractNumId w:val="14"/>
  </w:num>
  <w:num w:numId="17">
    <w:abstractNumId w:val="0"/>
  </w:num>
  <w:num w:numId="18">
    <w:abstractNumId w:val="13"/>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E1"/>
    <w:rsid w:val="000016FA"/>
    <w:rsid w:val="000028F6"/>
    <w:rsid w:val="00003B72"/>
    <w:rsid w:val="00007C5A"/>
    <w:rsid w:val="00013044"/>
    <w:rsid w:val="00013833"/>
    <w:rsid w:val="00020611"/>
    <w:rsid w:val="00021A2F"/>
    <w:rsid w:val="0002492C"/>
    <w:rsid w:val="00032E56"/>
    <w:rsid w:val="00034FB0"/>
    <w:rsid w:val="00035212"/>
    <w:rsid w:val="000379EE"/>
    <w:rsid w:val="000403D8"/>
    <w:rsid w:val="00041DC8"/>
    <w:rsid w:val="00047D68"/>
    <w:rsid w:val="00061747"/>
    <w:rsid w:val="00061BAA"/>
    <w:rsid w:val="0006218B"/>
    <w:rsid w:val="00064330"/>
    <w:rsid w:val="00067AAB"/>
    <w:rsid w:val="00070D7B"/>
    <w:rsid w:val="00071307"/>
    <w:rsid w:val="0007196E"/>
    <w:rsid w:val="00074FAF"/>
    <w:rsid w:val="000761CD"/>
    <w:rsid w:val="00076EC7"/>
    <w:rsid w:val="00086746"/>
    <w:rsid w:val="00086BF8"/>
    <w:rsid w:val="00096D1B"/>
    <w:rsid w:val="000A12D4"/>
    <w:rsid w:val="000A3A28"/>
    <w:rsid w:val="000B11F0"/>
    <w:rsid w:val="000B6AD6"/>
    <w:rsid w:val="000C4861"/>
    <w:rsid w:val="000C51CA"/>
    <w:rsid w:val="000D0120"/>
    <w:rsid w:val="000D399C"/>
    <w:rsid w:val="000E496F"/>
    <w:rsid w:val="000E5237"/>
    <w:rsid w:val="000E55A1"/>
    <w:rsid w:val="000E71B4"/>
    <w:rsid w:val="000F034A"/>
    <w:rsid w:val="000F1080"/>
    <w:rsid w:val="000F4B3F"/>
    <w:rsid w:val="000F7E8D"/>
    <w:rsid w:val="00100C8A"/>
    <w:rsid w:val="00105514"/>
    <w:rsid w:val="00110B1A"/>
    <w:rsid w:val="00110DB1"/>
    <w:rsid w:val="00110DEF"/>
    <w:rsid w:val="00110E94"/>
    <w:rsid w:val="00117717"/>
    <w:rsid w:val="00117E6D"/>
    <w:rsid w:val="00123F64"/>
    <w:rsid w:val="001253F9"/>
    <w:rsid w:val="00127ED1"/>
    <w:rsid w:val="001315C4"/>
    <w:rsid w:val="0013454A"/>
    <w:rsid w:val="0014162E"/>
    <w:rsid w:val="00141CF6"/>
    <w:rsid w:val="00145899"/>
    <w:rsid w:val="00150B8F"/>
    <w:rsid w:val="00152B76"/>
    <w:rsid w:val="00153759"/>
    <w:rsid w:val="00154D1D"/>
    <w:rsid w:val="00164045"/>
    <w:rsid w:val="00167AD9"/>
    <w:rsid w:val="001707D2"/>
    <w:rsid w:val="00171713"/>
    <w:rsid w:val="001733AE"/>
    <w:rsid w:val="00175460"/>
    <w:rsid w:val="00176A26"/>
    <w:rsid w:val="00177EB9"/>
    <w:rsid w:val="00182FB4"/>
    <w:rsid w:val="001875B2"/>
    <w:rsid w:val="001922B4"/>
    <w:rsid w:val="00192BDE"/>
    <w:rsid w:val="00195BEE"/>
    <w:rsid w:val="001961E6"/>
    <w:rsid w:val="0019785F"/>
    <w:rsid w:val="001A3728"/>
    <w:rsid w:val="001A6E56"/>
    <w:rsid w:val="001B153D"/>
    <w:rsid w:val="001B1EFC"/>
    <w:rsid w:val="001C2FB5"/>
    <w:rsid w:val="001C3907"/>
    <w:rsid w:val="001D0003"/>
    <w:rsid w:val="001D12C4"/>
    <w:rsid w:val="001D1C4D"/>
    <w:rsid w:val="001D5721"/>
    <w:rsid w:val="001D5BF2"/>
    <w:rsid w:val="001D5E9F"/>
    <w:rsid w:val="001E2A16"/>
    <w:rsid w:val="001E5B86"/>
    <w:rsid w:val="001E6D27"/>
    <w:rsid w:val="001F43A9"/>
    <w:rsid w:val="001F4F56"/>
    <w:rsid w:val="001F550A"/>
    <w:rsid w:val="001F74E2"/>
    <w:rsid w:val="002036C9"/>
    <w:rsid w:val="00203E5E"/>
    <w:rsid w:val="00212A4B"/>
    <w:rsid w:val="002231A3"/>
    <w:rsid w:val="00226E87"/>
    <w:rsid w:val="00234AED"/>
    <w:rsid w:val="0023648C"/>
    <w:rsid w:val="00242C21"/>
    <w:rsid w:val="0025467A"/>
    <w:rsid w:val="0025511E"/>
    <w:rsid w:val="002557B0"/>
    <w:rsid w:val="00262076"/>
    <w:rsid w:val="00264069"/>
    <w:rsid w:val="00266EA0"/>
    <w:rsid w:val="00267D6D"/>
    <w:rsid w:val="0027330E"/>
    <w:rsid w:val="00275517"/>
    <w:rsid w:val="00276622"/>
    <w:rsid w:val="002771DA"/>
    <w:rsid w:val="00277E03"/>
    <w:rsid w:val="00287358"/>
    <w:rsid w:val="0029033E"/>
    <w:rsid w:val="00290D80"/>
    <w:rsid w:val="002A2D70"/>
    <w:rsid w:val="002A38AB"/>
    <w:rsid w:val="002A412D"/>
    <w:rsid w:val="002A436F"/>
    <w:rsid w:val="002A4F6C"/>
    <w:rsid w:val="002A55FC"/>
    <w:rsid w:val="002A5DC6"/>
    <w:rsid w:val="002B14C3"/>
    <w:rsid w:val="002B1F6C"/>
    <w:rsid w:val="002B21D3"/>
    <w:rsid w:val="002B4753"/>
    <w:rsid w:val="002B48CF"/>
    <w:rsid w:val="002B6A7F"/>
    <w:rsid w:val="002B6D4F"/>
    <w:rsid w:val="002B7EB7"/>
    <w:rsid w:val="002C005F"/>
    <w:rsid w:val="002C0159"/>
    <w:rsid w:val="002C468D"/>
    <w:rsid w:val="002C4C9D"/>
    <w:rsid w:val="002C4D5B"/>
    <w:rsid w:val="002C7710"/>
    <w:rsid w:val="002D3D73"/>
    <w:rsid w:val="002E3EB9"/>
    <w:rsid w:val="002E5CE9"/>
    <w:rsid w:val="002F006E"/>
    <w:rsid w:val="002F0EBC"/>
    <w:rsid w:val="002F4950"/>
    <w:rsid w:val="002F4995"/>
    <w:rsid w:val="00301586"/>
    <w:rsid w:val="00302307"/>
    <w:rsid w:val="00305E42"/>
    <w:rsid w:val="0031478E"/>
    <w:rsid w:val="003208D2"/>
    <w:rsid w:val="003233E3"/>
    <w:rsid w:val="0032441E"/>
    <w:rsid w:val="003246E0"/>
    <w:rsid w:val="00325D03"/>
    <w:rsid w:val="00326EF0"/>
    <w:rsid w:val="00327D0F"/>
    <w:rsid w:val="00333549"/>
    <w:rsid w:val="00337F02"/>
    <w:rsid w:val="00340189"/>
    <w:rsid w:val="00342F9A"/>
    <w:rsid w:val="00344E94"/>
    <w:rsid w:val="00344FCA"/>
    <w:rsid w:val="00347732"/>
    <w:rsid w:val="003529DA"/>
    <w:rsid w:val="00352BA1"/>
    <w:rsid w:val="00365334"/>
    <w:rsid w:val="00371A4C"/>
    <w:rsid w:val="003773C0"/>
    <w:rsid w:val="00381821"/>
    <w:rsid w:val="003858D7"/>
    <w:rsid w:val="003904BC"/>
    <w:rsid w:val="00393302"/>
    <w:rsid w:val="00394388"/>
    <w:rsid w:val="00395F0F"/>
    <w:rsid w:val="003979BC"/>
    <w:rsid w:val="003A0E96"/>
    <w:rsid w:val="003A549A"/>
    <w:rsid w:val="003B106E"/>
    <w:rsid w:val="003B3E9C"/>
    <w:rsid w:val="003C48F5"/>
    <w:rsid w:val="003C4A0A"/>
    <w:rsid w:val="003D1FE0"/>
    <w:rsid w:val="003D4873"/>
    <w:rsid w:val="003D6622"/>
    <w:rsid w:val="003D7A3E"/>
    <w:rsid w:val="003F076F"/>
    <w:rsid w:val="003F1DA8"/>
    <w:rsid w:val="003F2DC8"/>
    <w:rsid w:val="003F629B"/>
    <w:rsid w:val="004008DD"/>
    <w:rsid w:val="004011D5"/>
    <w:rsid w:val="00402FCC"/>
    <w:rsid w:val="00411FDA"/>
    <w:rsid w:val="004214E5"/>
    <w:rsid w:val="004221D7"/>
    <w:rsid w:val="00423FA5"/>
    <w:rsid w:val="00430691"/>
    <w:rsid w:val="00430C18"/>
    <w:rsid w:val="004312F1"/>
    <w:rsid w:val="00434C8B"/>
    <w:rsid w:val="00441D78"/>
    <w:rsid w:val="00450C1A"/>
    <w:rsid w:val="00452A24"/>
    <w:rsid w:val="0045603D"/>
    <w:rsid w:val="00463155"/>
    <w:rsid w:val="00464FDA"/>
    <w:rsid w:val="00466606"/>
    <w:rsid w:val="00474200"/>
    <w:rsid w:val="00475883"/>
    <w:rsid w:val="00483D7A"/>
    <w:rsid w:val="0049100F"/>
    <w:rsid w:val="00495360"/>
    <w:rsid w:val="004959F3"/>
    <w:rsid w:val="0049711F"/>
    <w:rsid w:val="00497927"/>
    <w:rsid w:val="004A2F23"/>
    <w:rsid w:val="004A3F65"/>
    <w:rsid w:val="004A7E4D"/>
    <w:rsid w:val="004B1BE9"/>
    <w:rsid w:val="004B2F5C"/>
    <w:rsid w:val="004B40DD"/>
    <w:rsid w:val="004C045E"/>
    <w:rsid w:val="004C5FD0"/>
    <w:rsid w:val="004D2E5A"/>
    <w:rsid w:val="004D477D"/>
    <w:rsid w:val="004D73E2"/>
    <w:rsid w:val="004E2F96"/>
    <w:rsid w:val="004E59EB"/>
    <w:rsid w:val="004E7050"/>
    <w:rsid w:val="004E7408"/>
    <w:rsid w:val="004F6BB6"/>
    <w:rsid w:val="00500A7E"/>
    <w:rsid w:val="00504BDD"/>
    <w:rsid w:val="00510F41"/>
    <w:rsid w:val="0051464A"/>
    <w:rsid w:val="0052077C"/>
    <w:rsid w:val="005250C4"/>
    <w:rsid w:val="005251A0"/>
    <w:rsid w:val="005261BC"/>
    <w:rsid w:val="005317D0"/>
    <w:rsid w:val="00534B9D"/>
    <w:rsid w:val="00535648"/>
    <w:rsid w:val="00535FD7"/>
    <w:rsid w:val="00540E78"/>
    <w:rsid w:val="00542FAD"/>
    <w:rsid w:val="0054318F"/>
    <w:rsid w:val="0054321B"/>
    <w:rsid w:val="005438C9"/>
    <w:rsid w:val="00543C49"/>
    <w:rsid w:val="0055564F"/>
    <w:rsid w:val="00573763"/>
    <w:rsid w:val="005761D6"/>
    <w:rsid w:val="0058135E"/>
    <w:rsid w:val="00583F3C"/>
    <w:rsid w:val="00591FC1"/>
    <w:rsid w:val="005974F6"/>
    <w:rsid w:val="00597866"/>
    <w:rsid w:val="005A39F1"/>
    <w:rsid w:val="005C0A02"/>
    <w:rsid w:val="005C22B6"/>
    <w:rsid w:val="005D0752"/>
    <w:rsid w:val="005D1D87"/>
    <w:rsid w:val="005D6A3B"/>
    <w:rsid w:val="005D758A"/>
    <w:rsid w:val="005E0013"/>
    <w:rsid w:val="005E1E16"/>
    <w:rsid w:val="005E299F"/>
    <w:rsid w:val="005E3088"/>
    <w:rsid w:val="005E3684"/>
    <w:rsid w:val="005E4117"/>
    <w:rsid w:val="005F4206"/>
    <w:rsid w:val="00602498"/>
    <w:rsid w:val="0061039A"/>
    <w:rsid w:val="006107C4"/>
    <w:rsid w:val="00613DA5"/>
    <w:rsid w:val="0061462B"/>
    <w:rsid w:val="00623087"/>
    <w:rsid w:val="006238F0"/>
    <w:rsid w:val="00623FDA"/>
    <w:rsid w:val="006305C5"/>
    <w:rsid w:val="0063115A"/>
    <w:rsid w:val="006334C2"/>
    <w:rsid w:val="0063449B"/>
    <w:rsid w:val="00640450"/>
    <w:rsid w:val="0064284C"/>
    <w:rsid w:val="00642E10"/>
    <w:rsid w:val="00650CEB"/>
    <w:rsid w:val="0065387A"/>
    <w:rsid w:val="0065676D"/>
    <w:rsid w:val="006606A6"/>
    <w:rsid w:val="00661FBE"/>
    <w:rsid w:val="00662F00"/>
    <w:rsid w:val="006635B6"/>
    <w:rsid w:val="00663E9F"/>
    <w:rsid w:val="006670EC"/>
    <w:rsid w:val="0066755C"/>
    <w:rsid w:val="00680AE9"/>
    <w:rsid w:val="00680DFA"/>
    <w:rsid w:val="00681C6D"/>
    <w:rsid w:val="006827EC"/>
    <w:rsid w:val="006850C5"/>
    <w:rsid w:val="00685656"/>
    <w:rsid w:val="00686FC4"/>
    <w:rsid w:val="00691426"/>
    <w:rsid w:val="00694A3D"/>
    <w:rsid w:val="006A7B8D"/>
    <w:rsid w:val="006B5671"/>
    <w:rsid w:val="006B6A00"/>
    <w:rsid w:val="006C0844"/>
    <w:rsid w:val="006C4A8A"/>
    <w:rsid w:val="006D1F6B"/>
    <w:rsid w:val="006D332F"/>
    <w:rsid w:val="006D5C70"/>
    <w:rsid w:val="006D6C86"/>
    <w:rsid w:val="006D7597"/>
    <w:rsid w:val="006F172C"/>
    <w:rsid w:val="006F3356"/>
    <w:rsid w:val="006F4DE8"/>
    <w:rsid w:val="00702B24"/>
    <w:rsid w:val="00703544"/>
    <w:rsid w:val="00705124"/>
    <w:rsid w:val="007060D3"/>
    <w:rsid w:val="00710BD4"/>
    <w:rsid w:val="0071522F"/>
    <w:rsid w:val="007158D3"/>
    <w:rsid w:val="00715DE6"/>
    <w:rsid w:val="00717202"/>
    <w:rsid w:val="007226D9"/>
    <w:rsid w:val="00723080"/>
    <w:rsid w:val="007266FE"/>
    <w:rsid w:val="007449B3"/>
    <w:rsid w:val="007462AB"/>
    <w:rsid w:val="00750BBD"/>
    <w:rsid w:val="00752E2E"/>
    <w:rsid w:val="007607DC"/>
    <w:rsid w:val="007624FA"/>
    <w:rsid w:val="00770E58"/>
    <w:rsid w:val="00773289"/>
    <w:rsid w:val="00773B48"/>
    <w:rsid w:val="00776794"/>
    <w:rsid w:val="00776D7C"/>
    <w:rsid w:val="0078114F"/>
    <w:rsid w:val="007839FE"/>
    <w:rsid w:val="00784597"/>
    <w:rsid w:val="00792A00"/>
    <w:rsid w:val="007945DB"/>
    <w:rsid w:val="007A04D5"/>
    <w:rsid w:val="007A1D35"/>
    <w:rsid w:val="007A51A2"/>
    <w:rsid w:val="007B3452"/>
    <w:rsid w:val="007B79BB"/>
    <w:rsid w:val="007B7C26"/>
    <w:rsid w:val="007C0766"/>
    <w:rsid w:val="007C3757"/>
    <w:rsid w:val="007C41E2"/>
    <w:rsid w:val="007D0CDB"/>
    <w:rsid w:val="007D243E"/>
    <w:rsid w:val="007D2EE6"/>
    <w:rsid w:val="007D3E11"/>
    <w:rsid w:val="007D5D8C"/>
    <w:rsid w:val="007E0010"/>
    <w:rsid w:val="007F14DF"/>
    <w:rsid w:val="007F169A"/>
    <w:rsid w:val="007F20B1"/>
    <w:rsid w:val="007F61D4"/>
    <w:rsid w:val="008045FD"/>
    <w:rsid w:val="00804E92"/>
    <w:rsid w:val="00805400"/>
    <w:rsid w:val="00807090"/>
    <w:rsid w:val="00813441"/>
    <w:rsid w:val="00815C69"/>
    <w:rsid w:val="00816E1C"/>
    <w:rsid w:val="00822012"/>
    <w:rsid w:val="008224B3"/>
    <w:rsid w:val="00823E70"/>
    <w:rsid w:val="00825999"/>
    <w:rsid w:val="00832C78"/>
    <w:rsid w:val="00832F88"/>
    <w:rsid w:val="008361A8"/>
    <w:rsid w:val="008414E3"/>
    <w:rsid w:val="008414E4"/>
    <w:rsid w:val="00843C9C"/>
    <w:rsid w:val="008448C6"/>
    <w:rsid w:val="0084779F"/>
    <w:rsid w:val="008534DB"/>
    <w:rsid w:val="0086243F"/>
    <w:rsid w:val="00866A86"/>
    <w:rsid w:val="008731A6"/>
    <w:rsid w:val="008737A1"/>
    <w:rsid w:val="0087429F"/>
    <w:rsid w:val="00875FFB"/>
    <w:rsid w:val="008843F2"/>
    <w:rsid w:val="008868C5"/>
    <w:rsid w:val="00887A38"/>
    <w:rsid w:val="008923C5"/>
    <w:rsid w:val="008923DA"/>
    <w:rsid w:val="00893B8B"/>
    <w:rsid w:val="008957FA"/>
    <w:rsid w:val="008A7029"/>
    <w:rsid w:val="008A7F6D"/>
    <w:rsid w:val="008B0D29"/>
    <w:rsid w:val="008B10D7"/>
    <w:rsid w:val="008B1E1C"/>
    <w:rsid w:val="008B2DC4"/>
    <w:rsid w:val="008C042E"/>
    <w:rsid w:val="008C4DBC"/>
    <w:rsid w:val="008C7EEE"/>
    <w:rsid w:val="008E1D65"/>
    <w:rsid w:val="008E2D00"/>
    <w:rsid w:val="008F08C7"/>
    <w:rsid w:val="008F3DE8"/>
    <w:rsid w:val="008F7E63"/>
    <w:rsid w:val="009014F1"/>
    <w:rsid w:val="00902FB8"/>
    <w:rsid w:val="009034DA"/>
    <w:rsid w:val="00905D02"/>
    <w:rsid w:val="0090747E"/>
    <w:rsid w:val="00907A79"/>
    <w:rsid w:val="009172FB"/>
    <w:rsid w:val="00917A76"/>
    <w:rsid w:val="00917CD9"/>
    <w:rsid w:val="0092143A"/>
    <w:rsid w:val="009237A3"/>
    <w:rsid w:val="00923C31"/>
    <w:rsid w:val="00923E73"/>
    <w:rsid w:val="009244D4"/>
    <w:rsid w:val="0092528C"/>
    <w:rsid w:val="00930F59"/>
    <w:rsid w:val="00934E9F"/>
    <w:rsid w:val="00934F23"/>
    <w:rsid w:val="00945A32"/>
    <w:rsid w:val="0094670D"/>
    <w:rsid w:val="00946FE0"/>
    <w:rsid w:val="009477DB"/>
    <w:rsid w:val="009509D7"/>
    <w:rsid w:val="009514B4"/>
    <w:rsid w:val="00951756"/>
    <w:rsid w:val="00951E39"/>
    <w:rsid w:val="00954DEF"/>
    <w:rsid w:val="0096080D"/>
    <w:rsid w:val="0096261F"/>
    <w:rsid w:val="00970F54"/>
    <w:rsid w:val="00971B1B"/>
    <w:rsid w:val="009722B1"/>
    <w:rsid w:val="00976AD3"/>
    <w:rsid w:val="009817CA"/>
    <w:rsid w:val="00982D12"/>
    <w:rsid w:val="0099003F"/>
    <w:rsid w:val="00992171"/>
    <w:rsid w:val="00992D98"/>
    <w:rsid w:val="00995FAB"/>
    <w:rsid w:val="00996C4E"/>
    <w:rsid w:val="0099707E"/>
    <w:rsid w:val="009A08A2"/>
    <w:rsid w:val="009A3985"/>
    <w:rsid w:val="009A5183"/>
    <w:rsid w:val="009A5BF4"/>
    <w:rsid w:val="009A6140"/>
    <w:rsid w:val="009B2039"/>
    <w:rsid w:val="009B5385"/>
    <w:rsid w:val="009B590B"/>
    <w:rsid w:val="009C5FEE"/>
    <w:rsid w:val="009D7F15"/>
    <w:rsid w:val="009E0D0C"/>
    <w:rsid w:val="009E0D8D"/>
    <w:rsid w:val="009E41E4"/>
    <w:rsid w:val="009F37CE"/>
    <w:rsid w:val="009F4ACB"/>
    <w:rsid w:val="00A01045"/>
    <w:rsid w:val="00A10208"/>
    <w:rsid w:val="00A10FAF"/>
    <w:rsid w:val="00A143D0"/>
    <w:rsid w:val="00A217CD"/>
    <w:rsid w:val="00A21DE4"/>
    <w:rsid w:val="00A21E4D"/>
    <w:rsid w:val="00A22AF8"/>
    <w:rsid w:val="00A23FAE"/>
    <w:rsid w:val="00A308A4"/>
    <w:rsid w:val="00A334F8"/>
    <w:rsid w:val="00A3688A"/>
    <w:rsid w:val="00A46519"/>
    <w:rsid w:val="00A4700B"/>
    <w:rsid w:val="00A5280A"/>
    <w:rsid w:val="00A546D5"/>
    <w:rsid w:val="00A5481E"/>
    <w:rsid w:val="00A63F52"/>
    <w:rsid w:val="00A6639C"/>
    <w:rsid w:val="00A70827"/>
    <w:rsid w:val="00A73465"/>
    <w:rsid w:val="00A76541"/>
    <w:rsid w:val="00A8144D"/>
    <w:rsid w:val="00A81AA1"/>
    <w:rsid w:val="00A82C6C"/>
    <w:rsid w:val="00A854B5"/>
    <w:rsid w:val="00A92C35"/>
    <w:rsid w:val="00A9772E"/>
    <w:rsid w:val="00AA1C09"/>
    <w:rsid w:val="00AA247B"/>
    <w:rsid w:val="00AB27A3"/>
    <w:rsid w:val="00AC16BF"/>
    <w:rsid w:val="00AC42A5"/>
    <w:rsid w:val="00AC63B6"/>
    <w:rsid w:val="00AC7B6C"/>
    <w:rsid w:val="00AD1BA1"/>
    <w:rsid w:val="00AD44F4"/>
    <w:rsid w:val="00AD4E88"/>
    <w:rsid w:val="00AF333B"/>
    <w:rsid w:val="00AF6B99"/>
    <w:rsid w:val="00B0262C"/>
    <w:rsid w:val="00B15082"/>
    <w:rsid w:val="00B21911"/>
    <w:rsid w:val="00B21EF8"/>
    <w:rsid w:val="00B2340D"/>
    <w:rsid w:val="00B25B06"/>
    <w:rsid w:val="00B26249"/>
    <w:rsid w:val="00B26CCC"/>
    <w:rsid w:val="00B30707"/>
    <w:rsid w:val="00B316D1"/>
    <w:rsid w:val="00B32A9B"/>
    <w:rsid w:val="00B3690D"/>
    <w:rsid w:val="00B51083"/>
    <w:rsid w:val="00B558F0"/>
    <w:rsid w:val="00B57C0B"/>
    <w:rsid w:val="00B61A68"/>
    <w:rsid w:val="00B62A65"/>
    <w:rsid w:val="00B62F50"/>
    <w:rsid w:val="00B648AE"/>
    <w:rsid w:val="00B713BD"/>
    <w:rsid w:val="00B7448E"/>
    <w:rsid w:val="00B74D6A"/>
    <w:rsid w:val="00B74DE7"/>
    <w:rsid w:val="00B802AA"/>
    <w:rsid w:val="00B8154D"/>
    <w:rsid w:val="00B85331"/>
    <w:rsid w:val="00B86BDC"/>
    <w:rsid w:val="00B96A1B"/>
    <w:rsid w:val="00BA6932"/>
    <w:rsid w:val="00BA75AF"/>
    <w:rsid w:val="00BA7A67"/>
    <w:rsid w:val="00BB189E"/>
    <w:rsid w:val="00BB1C35"/>
    <w:rsid w:val="00BC21F6"/>
    <w:rsid w:val="00BC45DA"/>
    <w:rsid w:val="00BD3DA6"/>
    <w:rsid w:val="00BD5DC1"/>
    <w:rsid w:val="00BE542D"/>
    <w:rsid w:val="00BF5ED4"/>
    <w:rsid w:val="00C015A3"/>
    <w:rsid w:val="00C02204"/>
    <w:rsid w:val="00C04015"/>
    <w:rsid w:val="00C12956"/>
    <w:rsid w:val="00C12D93"/>
    <w:rsid w:val="00C148BF"/>
    <w:rsid w:val="00C20C34"/>
    <w:rsid w:val="00C21A5C"/>
    <w:rsid w:val="00C2441D"/>
    <w:rsid w:val="00C24F66"/>
    <w:rsid w:val="00C2511C"/>
    <w:rsid w:val="00C262E9"/>
    <w:rsid w:val="00C36F8E"/>
    <w:rsid w:val="00C40071"/>
    <w:rsid w:val="00C42C6D"/>
    <w:rsid w:val="00C4350C"/>
    <w:rsid w:val="00C5490F"/>
    <w:rsid w:val="00C65692"/>
    <w:rsid w:val="00C65EFA"/>
    <w:rsid w:val="00C7422E"/>
    <w:rsid w:val="00C750E2"/>
    <w:rsid w:val="00C752AD"/>
    <w:rsid w:val="00C81BC3"/>
    <w:rsid w:val="00C83B18"/>
    <w:rsid w:val="00C85C97"/>
    <w:rsid w:val="00C91C61"/>
    <w:rsid w:val="00C91EFD"/>
    <w:rsid w:val="00CA4201"/>
    <w:rsid w:val="00CA5A27"/>
    <w:rsid w:val="00CB0A61"/>
    <w:rsid w:val="00CB1984"/>
    <w:rsid w:val="00CB2624"/>
    <w:rsid w:val="00CB36D9"/>
    <w:rsid w:val="00CB5037"/>
    <w:rsid w:val="00CB710E"/>
    <w:rsid w:val="00CB7D6C"/>
    <w:rsid w:val="00CC1FFA"/>
    <w:rsid w:val="00CD306B"/>
    <w:rsid w:val="00CD54C8"/>
    <w:rsid w:val="00CE39D6"/>
    <w:rsid w:val="00CF0599"/>
    <w:rsid w:val="00CF0DD1"/>
    <w:rsid w:val="00CF707F"/>
    <w:rsid w:val="00CF7870"/>
    <w:rsid w:val="00D05E08"/>
    <w:rsid w:val="00D05EBF"/>
    <w:rsid w:val="00D07832"/>
    <w:rsid w:val="00D109E1"/>
    <w:rsid w:val="00D1138B"/>
    <w:rsid w:val="00D20E1D"/>
    <w:rsid w:val="00D24696"/>
    <w:rsid w:val="00D26DF4"/>
    <w:rsid w:val="00D348F1"/>
    <w:rsid w:val="00D35D05"/>
    <w:rsid w:val="00D36259"/>
    <w:rsid w:val="00D40DD6"/>
    <w:rsid w:val="00D55C42"/>
    <w:rsid w:val="00D56D32"/>
    <w:rsid w:val="00D60AFA"/>
    <w:rsid w:val="00D708A4"/>
    <w:rsid w:val="00D72460"/>
    <w:rsid w:val="00D84C51"/>
    <w:rsid w:val="00D85D93"/>
    <w:rsid w:val="00DA0046"/>
    <w:rsid w:val="00DA0E75"/>
    <w:rsid w:val="00DA1BB3"/>
    <w:rsid w:val="00DA4F32"/>
    <w:rsid w:val="00DB0B07"/>
    <w:rsid w:val="00DB3E81"/>
    <w:rsid w:val="00DB476E"/>
    <w:rsid w:val="00DC10CB"/>
    <w:rsid w:val="00DC2D93"/>
    <w:rsid w:val="00DC40DD"/>
    <w:rsid w:val="00DC6818"/>
    <w:rsid w:val="00DD03D8"/>
    <w:rsid w:val="00DD0F3B"/>
    <w:rsid w:val="00DD2AA5"/>
    <w:rsid w:val="00DD5203"/>
    <w:rsid w:val="00DE5769"/>
    <w:rsid w:val="00DE6D26"/>
    <w:rsid w:val="00DF2209"/>
    <w:rsid w:val="00DF27BF"/>
    <w:rsid w:val="00DF2C95"/>
    <w:rsid w:val="00DF5133"/>
    <w:rsid w:val="00DF5181"/>
    <w:rsid w:val="00DF5254"/>
    <w:rsid w:val="00E00F73"/>
    <w:rsid w:val="00E02DC6"/>
    <w:rsid w:val="00E072D0"/>
    <w:rsid w:val="00E1133B"/>
    <w:rsid w:val="00E13713"/>
    <w:rsid w:val="00E23C23"/>
    <w:rsid w:val="00E24E39"/>
    <w:rsid w:val="00E27BC0"/>
    <w:rsid w:val="00E33917"/>
    <w:rsid w:val="00E34617"/>
    <w:rsid w:val="00E37461"/>
    <w:rsid w:val="00E41B67"/>
    <w:rsid w:val="00E432C0"/>
    <w:rsid w:val="00E4422F"/>
    <w:rsid w:val="00E4508E"/>
    <w:rsid w:val="00E4680F"/>
    <w:rsid w:val="00E52338"/>
    <w:rsid w:val="00E55878"/>
    <w:rsid w:val="00E73CD7"/>
    <w:rsid w:val="00E73CF8"/>
    <w:rsid w:val="00E76D0D"/>
    <w:rsid w:val="00E851AE"/>
    <w:rsid w:val="00E86A38"/>
    <w:rsid w:val="00E92139"/>
    <w:rsid w:val="00E9662F"/>
    <w:rsid w:val="00E9721F"/>
    <w:rsid w:val="00E9790F"/>
    <w:rsid w:val="00EA2B7E"/>
    <w:rsid w:val="00EA791F"/>
    <w:rsid w:val="00EB2F6B"/>
    <w:rsid w:val="00EB6244"/>
    <w:rsid w:val="00EB7128"/>
    <w:rsid w:val="00EC77FC"/>
    <w:rsid w:val="00ED07C7"/>
    <w:rsid w:val="00ED47D5"/>
    <w:rsid w:val="00ED4BE3"/>
    <w:rsid w:val="00EF12DE"/>
    <w:rsid w:val="00EF1962"/>
    <w:rsid w:val="00EF1B2A"/>
    <w:rsid w:val="00EF63D1"/>
    <w:rsid w:val="00EF6C5F"/>
    <w:rsid w:val="00F0032F"/>
    <w:rsid w:val="00F01ECF"/>
    <w:rsid w:val="00F02D5D"/>
    <w:rsid w:val="00F057AE"/>
    <w:rsid w:val="00F12419"/>
    <w:rsid w:val="00F12C0A"/>
    <w:rsid w:val="00F229D2"/>
    <w:rsid w:val="00F23734"/>
    <w:rsid w:val="00F32BDD"/>
    <w:rsid w:val="00F35428"/>
    <w:rsid w:val="00F37CB7"/>
    <w:rsid w:val="00F4611F"/>
    <w:rsid w:val="00F53AB7"/>
    <w:rsid w:val="00F55913"/>
    <w:rsid w:val="00F562CD"/>
    <w:rsid w:val="00F56434"/>
    <w:rsid w:val="00F60E6F"/>
    <w:rsid w:val="00F615D8"/>
    <w:rsid w:val="00F62CA1"/>
    <w:rsid w:val="00F63304"/>
    <w:rsid w:val="00F6346D"/>
    <w:rsid w:val="00F63BAB"/>
    <w:rsid w:val="00F72CD0"/>
    <w:rsid w:val="00F73938"/>
    <w:rsid w:val="00F768BB"/>
    <w:rsid w:val="00F86070"/>
    <w:rsid w:val="00F959B3"/>
    <w:rsid w:val="00FA0024"/>
    <w:rsid w:val="00FA2B28"/>
    <w:rsid w:val="00FA2EF2"/>
    <w:rsid w:val="00FA46ED"/>
    <w:rsid w:val="00FA6E19"/>
    <w:rsid w:val="00FA7C40"/>
    <w:rsid w:val="00FB286F"/>
    <w:rsid w:val="00FB2D43"/>
    <w:rsid w:val="00FB40D0"/>
    <w:rsid w:val="00FB4622"/>
    <w:rsid w:val="00FB6535"/>
    <w:rsid w:val="00FC3336"/>
    <w:rsid w:val="00FC474A"/>
    <w:rsid w:val="00FC7DAA"/>
    <w:rsid w:val="00FD08E0"/>
    <w:rsid w:val="00FD0C4F"/>
    <w:rsid w:val="00FD161A"/>
    <w:rsid w:val="00FD479D"/>
    <w:rsid w:val="00FD5D39"/>
    <w:rsid w:val="00FF1489"/>
    <w:rsid w:val="00FF7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065E"/>
  <w15:chartTrackingRefBased/>
  <w15:docId w15:val="{710CBFC4-83DC-4086-BA04-30C9536A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05E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9E1"/>
    <w:pPr>
      <w:ind w:left="720"/>
      <w:contextualSpacing/>
    </w:pPr>
  </w:style>
  <w:style w:type="paragraph" w:styleId="Sansinterligne">
    <w:name w:val="No Spacing"/>
    <w:link w:val="SansinterligneCar"/>
    <w:uiPriority w:val="1"/>
    <w:qFormat/>
    <w:rsid w:val="003F1DA8"/>
    <w:pPr>
      <w:spacing w:after="0" w:line="240" w:lineRule="auto"/>
    </w:pPr>
  </w:style>
  <w:style w:type="paragraph" w:styleId="Notedebasdepage">
    <w:name w:val="footnote text"/>
    <w:basedOn w:val="Normal"/>
    <w:link w:val="NotedebasdepageCar"/>
    <w:uiPriority w:val="99"/>
    <w:semiHidden/>
    <w:unhideWhenUsed/>
    <w:rsid w:val="00DF51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5133"/>
    <w:rPr>
      <w:sz w:val="20"/>
      <w:szCs w:val="20"/>
    </w:rPr>
  </w:style>
  <w:style w:type="character" w:styleId="Appelnotedebasdep">
    <w:name w:val="footnote reference"/>
    <w:basedOn w:val="Policepardfaut"/>
    <w:uiPriority w:val="99"/>
    <w:semiHidden/>
    <w:unhideWhenUsed/>
    <w:rsid w:val="00DF5133"/>
    <w:rPr>
      <w:vertAlign w:val="superscript"/>
    </w:rPr>
  </w:style>
  <w:style w:type="paragraph" w:styleId="En-tte">
    <w:name w:val="header"/>
    <w:basedOn w:val="Normal"/>
    <w:link w:val="En-tteCar"/>
    <w:uiPriority w:val="99"/>
    <w:unhideWhenUsed/>
    <w:rsid w:val="00A46519"/>
    <w:pPr>
      <w:tabs>
        <w:tab w:val="center" w:pos="4536"/>
        <w:tab w:val="right" w:pos="9072"/>
      </w:tabs>
      <w:spacing w:after="0" w:line="240" w:lineRule="auto"/>
    </w:pPr>
  </w:style>
  <w:style w:type="character" w:customStyle="1" w:styleId="En-tteCar">
    <w:name w:val="En-tête Car"/>
    <w:basedOn w:val="Policepardfaut"/>
    <w:link w:val="En-tte"/>
    <w:uiPriority w:val="99"/>
    <w:rsid w:val="00A46519"/>
  </w:style>
  <w:style w:type="paragraph" w:styleId="Pieddepage">
    <w:name w:val="footer"/>
    <w:basedOn w:val="Normal"/>
    <w:link w:val="PieddepageCar"/>
    <w:uiPriority w:val="99"/>
    <w:unhideWhenUsed/>
    <w:rsid w:val="00A465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6519"/>
  </w:style>
  <w:style w:type="character" w:customStyle="1" w:styleId="SansinterligneCar">
    <w:name w:val="Sans interligne Car"/>
    <w:basedOn w:val="Policepardfaut"/>
    <w:link w:val="Sansinterligne"/>
    <w:uiPriority w:val="1"/>
    <w:rsid w:val="00344FCA"/>
  </w:style>
  <w:style w:type="character" w:customStyle="1" w:styleId="Titre1Car">
    <w:name w:val="Titre 1 Car"/>
    <w:basedOn w:val="Policepardfaut"/>
    <w:link w:val="Titre1"/>
    <w:uiPriority w:val="9"/>
    <w:rsid w:val="00D05EBF"/>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D05EBF"/>
    <w:pPr>
      <w:outlineLvl w:val="9"/>
    </w:pPr>
    <w:rPr>
      <w:lang w:val="fr-BE" w:eastAsia="fr-BE"/>
    </w:rPr>
  </w:style>
  <w:style w:type="paragraph" w:styleId="TM2">
    <w:name w:val="toc 2"/>
    <w:basedOn w:val="Normal"/>
    <w:next w:val="Normal"/>
    <w:autoRedefine/>
    <w:uiPriority w:val="39"/>
    <w:unhideWhenUsed/>
    <w:rsid w:val="00D05EBF"/>
    <w:pPr>
      <w:spacing w:after="100"/>
      <w:ind w:left="220"/>
    </w:pPr>
    <w:rPr>
      <w:rFonts w:eastAsiaTheme="minorEastAsia" w:cs="Times New Roman"/>
      <w:lang w:val="fr-BE" w:eastAsia="fr-BE"/>
    </w:rPr>
  </w:style>
  <w:style w:type="paragraph" w:styleId="TM1">
    <w:name w:val="toc 1"/>
    <w:basedOn w:val="Normal"/>
    <w:next w:val="Normal"/>
    <w:autoRedefine/>
    <w:uiPriority w:val="39"/>
    <w:unhideWhenUsed/>
    <w:rsid w:val="00D05EBF"/>
    <w:pPr>
      <w:spacing w:after="100"/>
    </w:pPr>
    <w:rPr>
      <w:rFonts w:eastAsiaTheme="minorEastAsia" w:cs="Times New Roman"/>
      <w:lang w:val="fr-BE" w:eastAsia="fr-BE"/>
    </w:rPr>
  </w:style>
  <w:style w:type="paragraph" w:styleId="TM3">
    <w:name w:val="toc 3"/>
    <w:basedOn w:val="Normal"/>
    <w:next w:val="Normal"/>
    <w:autoRedefine/>
    <w:uiPriority w:val="39"/>
    <w:unhideWhenUsed/>
    <w:rsid w:val="00D05EBF"/>
    <w:pPr>
      <w:spacing w:after="100"/>
      <w:ind w:left="440"/>
    </w:pPr>
    <w:rPr>
      <w:rFonts w:eastAsiaTheme="minorEastAsia" w:cs="Times New Roman"/>
      <w:lang w:val="fr-BE" w:eastAsia="fr-BE"/>
    </w:rPr>
  </w:style>
  <w:style w:type="character" w:styleId="Marquedecommentaire">
    <w:name w:val="annotation reference"/>
    <w:basedOn w:val="Policepardfaut"/>
    <w:uiPriority w:val="99"/>
    <w:semiHidden/>
    <w:unhideWhenUsed/>
    <w:rsid w:val="00D56D32"/>
    <w:rPr>
      <w:sz w:val="16"/>
      <w:szCs w:val="16"/>
    </w:rPr>
  </w:style>
  <w:style w:type="paragraph" w:styleId="Commentaire">
    <w:name w:val="annotation text"/>
    <w:basedOn w:val="Normal"/>
    <w:link w:val="CommentaireCar"/>
    <w:uiPriority w:val="99"/>
    <w:semiHidden/>
    <w:unhideWhenUsed/>
    <w:rsid w:val="00D56D32"/>
    <w:pPr>
      <w:spacing w:line="240" w:lineRule="auto"/>
    </w:pPr>
    <w:rPr>
      <w:sz w:val="20"/>
      <w:szCs w:val="20"/>
    </w:rPr>
  </w:style>
  <w:style w:type="character" w:customStyle="1" w:styleId="CommentaireCar">
    <w:name w:val="Commentaire Car"/>
    <w:basedOn w:val="Policepardfaut"/>
    <w:link w:val="Commentaire"/>
    <w:uiPriority w:val="99"/>
    <w:semiHidden/>
    <w:rsid w:val="00D56D32"/>
    <w:rPr>
      <w:sz w:val="20"/>
      <w:szCs w:val="20"/>
    </w:rPr>
  </w:style>
  <w:style w:type="paragraph" w:styleId="Objetducommentaire">
    <w:name w:val="annotation subject"/>
    <w:basedOn w:val="Commentaire"/>
    <w:next w:val="Commentaire"/>
    <w:link w:val="ObjetducommentaireCar"/>
    <w:uiPriority w:val="99"/>
    <w:semiHidden/>
    <w:unhideWhenUsed/>
    <w:rsid w:val="00D56D32"/>
    <w:rPr>
      <w:b/>
      <w:bCs/>
    </w:rPr>
  </w:style>
  <w:style w:type="character" w:customStyle="1" w:styleId="ObjetducommentaireCar">
    <w:name w:val="Objet du commentaire Car"/>
    <w:basedOn w:val="CommentaireCar"/>
    <w:link w:val="Objetducommentaire"/>
    <w:uiPriority w:val="99"/>
    <w:semiHidden/>
    <w:rsid w:val="00D56D32"/>
    <w:rPr>
      <w:b/>
      <w:bCs/>
      <w:sz w:val="20"/>
      <w:szCs w:val="20"/>
    </w:rPr>
  </w:style>
  <w:style w:type="paragraph" w:styleId="Textedebulles">
    <w:name w:val="Balloon Text"/>
    <w:basedOn w:val="Normal"/>
    <w:link w:val="TextedebullesCar"/>
    <w:uiPriority w:val="99"/>
    <w:semiHidden/>
    <w:unhideWhenUsed/>
    <w:rsid w:val="00D56D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0938">
      <w:bodyDiv w:val="1"/>
      <w:marLeft w:val="0"/>
      <w:marRight w:val="0"/>
      <w:marTop w:val="0"/>
      <w:marBottom w:val="0"/>
      <w:divBdr>
        <w:top w:val="none" w:sz="0" w:space="0" w:color="auto"/>
        <w:left w:val="none" w:sz="0" w:space="0" w:color="auto"/>
        <w:bottom w:val="none" w:sz="0" w:space="0" w:color="auto"/>
        <w:right w:val="none" w:sz="0" w:space="0" w:color="auto"/>
      </w:divBdr>
    </w:div>
    <w:div w:id="554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Supervisor : A.P. Van der Mei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5B5992-03D3-4787-92EA-8A24AD00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6856</Words>
  <Characters>37714</Characters>
  <Application>Microsoft Office Word</Application>
  <DocSecurity>0</DocSecurity>
  <Lines>314</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Worker between the Free Movement of Workers and theSocial Policy Directives: A Common Concept?</vt:lpstr>
      <vt:lpstr>The Worker between the Free Movement of Workers and theSocial Policy Directives: A Common Concept?</vt:lpstr>
    </vt:vector>
  </TitlesOfParts>
  <Company>Maastricht University</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Worker between the Free Movement of Workers and theSocial Policy Directives: A Common Concept?</dc:title>
  <dc:subject>A SELECTION FROM CJEU’S CASE LAW</dc:subject>
  <dc:creator>ULg</dc:creator>
  <cp:keywords/>
  <dc:description/>
  <cp:lastModifiedBy>Février Vincent</cp:lastModifiedBy>
  <cp:revision>2</cp:revision>
  <dcterms:created xsi:type="dcterms:W3CDTF">2020-07-07T14:04:00Z</dcterms:created>
  <dcterms:modified xsi:type="dcterms:W3CDTF">2020-07-07T14:04:00Z</dcterms:modified>
  <cp:category>Février Vincent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id="gvp9v8Xl"/&gt;&lt;style id="http://www.zotero.org/styles/universite-de-liege-droit" hasBibliography="1" bibliographyStyleHasBeenSet="0"/&gt;&lt;prefs&gt;&lt;pref name="fieldType" value="Field"/&gt;&lt;pref name="automat</vt:lpwstr>
  </property>
  <property fmtid="{D5CDD505-2E9C-101B-9397-08002B2CF9AE}" pid="3" name="ZOTERO_PREF_2">
    <vt:lpwstr>icJournalAbbreviations" value="true"/&gt;&lt;pref name="noteType" value="1"/&gt;&lt;/prefs&gt;&lt;/data&gt;</vt:lpwstr>
  </property>
</Properties>
</file>