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C7" w:rsidRDefault="00C449C7" w:rsidP="00C449C7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Supplementary Information</w:t>
      </w:r>
    </w:p>
    <w:p w:rsidR="00C449C7" w:rsidRDefault="00C449C7" w:rsidP="00C449C7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eastAsia="Times New Roman"/>
          <w:b/>
          <w:lang w:val="en-US"/>
        </w:rPr>
      </w:pPr>
    </w:p>
    <w:p w:rsidR="00C449C7" w:rsidRPr="006B14D6" w:rsidRDefault="00C449C7" w:rsidP="00C449C7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O</w:t>
      </w:r>
      <w:r>
        <w:rPr>
          <w:rFonts w:eastAsia="Times New Roman"/>
          <w:b/>
          <w:lang w:val="en-US"/>
        </w:rPr>
        <w:t>nly</w:t>
      </w:r>
      <w:r>
        <w:rPr>
          <w:rFonts w:eastAsia="Times New Roman"/>
          <w:b/>
          <w:lang w:val="en-US"/>
        </w:rPr>
        <w:t xml:space="preserve"> M</w:t>
      </w:r>
      <w:r>
        <w:rPr>
          <w:rFonts w:eastAsia="Times New Roman"/>
          <w:b/>
          <w:lang w:val="en-US"/>
        </w:rPr>
        <w:t>inor</w:t>
      </w:r>
      <w:r>
        <w:rPr>
          <w:rFonts w:eastAsia="Times New Roman"/>
          <w:b/>
          <w:lang w:val="en-US"/>
        </w:rPr>
        <w:t xml:space="preserve"> C</w:t>
      </w:r>
      <w:r>
        <w:rPr>
          <w:rFonts w:eastAsia="Times New Roman"/>
          <w:b/>
          <w:lang w:val="en-US"/>
        </w:rPr>
        <w:t>hanges</w:t>
      </w:r>
      <w:r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  <w:lang w:val="en-US"/>
        </w:rPr>
        <w:t>in the</w:t>
      </w:r>
      <w:r>
        <w:rPr>
          <w:rFonts w:eastAsia="Times New Roman"/>
          <w:b/>
          <w:lang w:val="en-US"/>
        </w:rPr>
        <w:t xml:space="preserve"> S</w:t>
      </w:r>
      <w:r>
        <w:rPr>
          <w:rFonts w:eastAsia="Times New Roman"/>
          <w:b/>
          <w:lang w:val="en-US"/>
        </w:rPr>
        <w:t>oil</w:t>
      </w:r>
      <w:r>
        <w:rPr>
          <w:rFonts w:eastAsia="Times New Roman"/>
          <w:b/>
          <w:lang w:val="en-US"/>
        </w:rPr>
        <w:t xml:space="preserve"> </w:t>
      </w:r>
      <w:proofErr w:type="spellStart"/>
      <w:r>
        <w:rPr>
          <w:rFonts w:eastAsia="Times New Roman"/>
          <w:b/>
          <w:lang w:val="en-US"/>
        </w:rPr>
        <w:t>M</w:t>
      </w:r>
      <w:r>
        <w:rPr>
          <w:rFonts w:eastAsia="Times New Roman"/>
          <w:b/>
          <w:lang w:val="en-US"/>
        </w:rPr>
        <w:t>icrobiome</w:t>
      </w:r>
      <w:proofErr w:type="spellEnd"/>
      <w:r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  <w:lang w:val="en-US"/>
        </w:rPr>
        <w:t>of</w:t>
      </w:r>
      <w:r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  <w:lang w:val="en-US"/>
        </w:rPr>
        <w:t>a</w:t>
      </w:r>
      <w:r>
        <w:rPr>
          <w:rFonts w:eastAsia="Times New Roman"/>
          <w:b/>
          <w:lang w:val="en-US"/>
        </w:rPr>
        <w:t xml:space="preserve"> S</w:t>
      </w:r>
      <w:r>
        <w:rPr>
          <w:rFonts w:eastAsia="Times New Roman"/>
          <w:b/>
          <w:lang w:val="en-US"/>
        </w:rPr>
        <w:t>ub</w:t>
      </w:r>
      <w:r>
        <w:rPr>
          <w:rFonts w:eastAsia="Times New Roman"/>
          <w:b/>
          <w:lang w:val="en-US"/>
        </w:rPr>
        <w:t>-A</w:t>
      </w:r>
      <w:r>
        <w:rPr>
          <w:rFonts w:eastAsia="Times New Roman"/>
          <w:b/>
          <w:lang w:val="en-US"/>
        </w:rPr>
        <w:t>lpine</w:t>
      </w:r>
      <w:r>
        <w:rPr>
          <w:rFonts w:eastAsia="Times New Roman"/>
          <w:b/>
          <w:lang w:val="en-US"/>
        </w:rPr>
        <w:t xml:space="preserve"> F</w:t>
      </w:r>
      <w:r>
        <w:rPr>
          <w:rFonts w:eastAsia="Times New Roman"/>
          <w:b/>
          <w:lang w:val="en-US"/>
        </w:rPr>
        <w:t>orest</w:t>
      </w:r>
      <w:r w:rsidRPr="006B14D6"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  <w:lang w:val="en-US"/>
        </w:rPr>
        <w:t>A</w:t>
      </w:r>
      <w:r>
        <w:rPr>
          <w:rFonts w:eastAsia="Times New Roman"/>
          <w:b/>
          <w:lang w:val="en-US"/>
        </w:rPr>
        <w:t>fter</w:t>
      </w:r>
      <w:r w:rsidRPr="006B14D6"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  <w:lang w:val="en-US"/>
        </w:rPr>
        <w:t>20</w:t>
      </w:r>
      <w:r>
        <w:rPr>
          <w:rFonts w:eastAsia="Times New Roman"/>
          <w:b/>
          <w:lang w:val="en-US"/>
        </w:rPr>
        <w:t xml:space="preserve"> </w:t>
      </w:r>
      <w:r w:rsidRPr="006B14D6">
        <w:rPr>
          <w:rFonts w:eastAsia="Times New Roman"/>
          <w:b/>
          <w:lang w:val="en-US"/>
        </w:rPr>
        <w:t>Y</w:t>
      </w:r>
      <w:r>
        <w:rPr>
          <w:rFonts w:eastAsia="Times New Roman"/>
          <w:b/>
          <w:lang w:val="en-US"/>
        </w:rPr>
        <w:t>ears</w:t>
      </w:r>
      <w:r w:rsidRPr="006B14D6"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  <w:lang w:val="en-US"/>
        </w:rPr>
        <w:t>of</w:t>
      </w:r>
      <w:r>
        <w:rPr>
          <w:rFonts w:eastAsia="Times New Roman"/>
          <w:b/>
          <w:lang w:val="en-US"/>
        </w:rPr>
        <w:t xml:space="preserve"> M</w:t>
      </w:r>
      <w:r>
        <w:rPr>
          <w:rFonts w:eastAsia="Times New Roman"/>
          <w:b/>
          <w:lang w:val="en-US"/>
        </w:rPr>
        <w:t>oderately</w:t>
      </w:r>
      <w:r>
        <w:rPr>
          <w:rFonts w:eastAsia="Times New Roman"/>
          <w:b/>
          <w:lang w:val="en-US"/>
        </w:rPr>
        <w:t xml:space="preserve"> </w:t>
      </w:r>
      <w:r w:rsidRPr="006B14D6">
        <w:rPr>
          <w:rFonts w:eastAsia="Times New Roman"/>
          <w:b/>
          <w:lang w:val="en-US"/>
        </w:rPr>
        <w:t>I</w:t>
      </w:r>
      <w:r>
        <w:rPr>
          <w:rFonts w:eastAsia="Times New Roman"/>
          <w:b/>
          <w:lang w:val="en-US"/>
        </w:rPr>
        <w:t>ncreased</w:t>
      </w:r>
      <w:r w:rsidRPr="006B14D6">
        <w:rPr>
          <w:rFonts w:eastAsia="Times New Roman"/>
          <w:b/>
          <w:lang w:val="en-US"/>
        </w:rPr>
        <w:t xml:space="preserve"> N</w:t>
      </w:r>
      <w:r>
        <w:rPr>
          <w:rFonts w:eastAsia="Times New Roman"/>
          <w:b/>
          <w:lang w:val="en-US"/>
        </w:rPr>
        <w:t>itrogen</w:t>
      </w:r>
      <w:r w:rsidRPr="006B14D6">
        <w:rPr>
          <w:rFonts w:eastAsia="Times New Roman"/>
          <w:b/>
          <w:lang w:val="en-US"/>
        </w:rPr>
        <w:t xml:space="preserve"> L</w:t>
      </w:r>
      <w:r>
        <w:rPr>
          <w:rFonts w:eastAsia="Times New Roman"/>
          <w:b/>
          <w:lang w:val="en-US"/>
        </w:rPr>
        <w:t>oads</w:t>
      </w:r>
    </w:p>
    <w:p w:rsidR="00C449C7" w:rsidRDefault="00C449C7" w:rsidP="00C449C7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C449C7" w:rsidRPr="006B14D6" w:rsidRDefault="00C449C7" w:rsidP="00C449C7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C449C7" w:rsidRDefault="00C449C7" w:rsidP="00C449C7">
      <w:pPr>
        <w:widowControl w:val="0"/>
        <w:autoSpaceDE w:val="0"/>
        <w:autoSpaceDN w:val="0"/>
        <w:adjustRightInd w:val="0"/>
        <w:spacing w:line="480" w:lineRule="auto"/>
        <w:jc w:val="both"/>
        <w:rPr>
          <w:vertAlign w:val="superscript"/>
          <w:lang w:val="en-US"/>
        </w:rPr>
      </w:pPr>
      <w:r w:rsidRPr="006B14D6">
        <w:rPr>
          <w:lang w:val="en-US"/>
        </w:rPr>
        <w:t>Beat Frey</w:t>
      </w:r>
      <w:r w:rsidRPr="006B14D6">
        <w:rPr>
          <w:vertAlign w:val="superscript"/>
          <w:lang w:val="en-US"/>
        </w:rPr>
        <w:t>1</w:t>
      </w:r>
      <w:r w:rsidRPr="006B14D6">
        <w:rPr>
          <w:lang w:val="en-US"/>
        </w:rPr>
        <w:t>, Monique Carnol</w:t>
      </w:r>
      <w:r w:rsidRPr="006B14D6">
        <w:rPr>
          <w:vertAlign w:val="superscript"/>
          <w:lang w:val="en-US"/>
        </w:rPr>
        <w:t>2</w:t>
      </w:r>
      <w:r w:rsidRPr="006B14D6">
        <w:rPr>
          <w:lang w:val="en-US"/>
        </w:rPr>
        <w:t>, Alexander Dharmarajah</w:t>
      </w:r>
      <w:r w:rsidRPr="006B14D6">
        <w:rPr>
          <w:vertAlign w:val="superscript"/>
          <w:lang w:val="en-US"/>
        </w:rPr>
        <w:t>1</w:t>
      </w:r>
      <w:r w:rsidRPr="006B14D6">
        <w:rPr>
          <w:lang w:val="en-US"/>
        </w:rPr>
        <w:t xml:space="preserve">, </w:t>
      </w:r>
      <w:proofErr w:type="spellStart"/>
      <w:r w:rsidRPr="006B14D6">
        <w:rPr>
          <w:lang w:val="en-US"/>
        </w:rPr>
        <w:t>Ivano</w:t>
      </w:r>
      <w:proofErr w:type="spellEnd"/>
      <w:r w:rsidRPr="006B14D6">
        <w:rPr>
          <w:lang w:val="en-US"/>
        </w:rPr>
        <w:t xml:space="preserve"> Brunner</w:t>
      </w:r>
      <w:r w:rsidRPr="006B14D6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6B14D6">
        <w:rPr>
          <w:lang w:val="en-US"/>
        </w:rPr>
        <w:t>Patrick Schleppi</w:t>
      </w:r>
      <w:r w:rsidRPr="006B14D6">
        <w:rPr>
          <w:vertAlign w:val="superscript"/>
          <w:lang w:val="en-US"/>
        </w:rPr>
        <w:t>1</w:t>
      </w:r>
    </w:p>
    <w:p w:rsidR="00C449C7" w:rsidRPr="006B14D6" w:rsidRDefault="00C449C7" w:rsidP="00C449C7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C449C7" w:rsidRPr="006B14D6" w:rsidRDefault="00C449C7" w:rsidP="00C449C7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6B14D6">
        <w:rPr>
          <w:vertAlign w:val="superscript"/>
          <w:lang w:val="en-US"/>
        </w:rPr>
        <w:t>1</w:t>
      </w:r>
      <w:r w:rsidRPr="006B14D6">
        <w:rPr>
          <w:lang w:val="en-US"/>
        </w:rPr>
        <w:t>Forest Soils and Biogeochemistry, Swiss Federal Research Institute WSL, 8903 Birmensdorf, Switzerland</w:t>
      </w:r>
    </w:p>
    <w:p w:rsidR="00C449C7" w:rsidRPr="006B14D6" w:rsidRDefault="00C449C7" w:rsidP="00C449C7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6B14D6">
        <w:rPr>
          <w:vertAlign w:val="superscript"/>
          <w:lang w:val="en-US"/>
        </w:rPr>
        <w:t>2</w:t>
      </w:r>
      <w:r w:rsidRPr="00293ADF">
        <w:rPr>
          <w:rFonts w:eastAsia="Times New Roman"/>
          <w:lang w:val="en-US"/>
        </w:rPr>
        <w:t xml:space="preserve"> </w:t>
      </w:r>
      <w:proofErr w:type="gramStart"/>
      <w:r w:rsidRPr="00F84958">
        <w:rPr>
          <w:rFonts w:eastAsia="Times New Roman"/>
          <w:lang w:val="en-US"/>
        </w:rPr>
        <w:t>Laboratory</w:t>
      </w:r>
      <w:proofErr w:type="gramEnd"/>
      <w:r w:rsidRPr="00F84958">
        <w:rPr>
          <w:rFonts w:eastAsia="Times New Roman"/>
          <w:lang w:val="en-US"/>
        </w:rPr>
        <w:t xml:space="preserve"> of Plant and Microbial Ecology</w:t>
      </w:r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InBioS</w:t>
      </w:r>
      <w:proofErr w:type="spellEnd"/>
      <w:r>
        <w:rPr>
          <w:rFonts w:eastAsia="Times New Roman"/>
          <w:lang w:val="en-US"/>
        </w:rPr>
        <w:t xml:space="preserve">, </w:t>
      </w:r>
      <w:r w:rsidRPr="006B14D6">
        <w:rPr>
          <w:rFonts w:eastAsia="Times New Roman"/>
          <w:lang w:val="en-US"/>
        </w:rPr>
        <w:t>University of Liège, 4000 Liège, Belgium</w:t>
      </w:r>
    </w:p>
    <w:p w:rsidR="00C449C7" w:rsidRPr="006B14D6" w:rsidRDefault="00C449C7" w:rsidP="00C449C7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:rsidR="00C449C7" w:rsidRPr="00EA121D" w:rsidRDefault="00C449C7" w:rsidP="00C449C7">
      <w:pPr>
        <w:widowControl w:val="0"/>
        <w:autoSpaceDE w:val="0"/>
        <w:autoSpaceDN w:val="0"/>
        <w:adjustRightInd w:val="0"/>
        <w:spacing w:line="480" w:lineRule="auto"/>
        <w:rPr>
          <w:lang w:val="en-US"/>
        </w:rPr>
      </w:pPr>
      <w:r w:rsidRPr="00EA121D">
        <w:rPr>
          <w:lang w:val="en-US"/>
        </w:rPr>
        <w:t>*Correspondence:</w:t>
      </w:r>
      <w:r>
        <w:rPr>
          <w:lang w:val="en-US"/>
        </w:rPr>
        <w:t xml:space="preserve"> </w:t>
      </w:r>
      <w:r w:rsidRPr="00EA121D">
        <w:rPr>
          <w:lang w:val="en-US"/>
        </w:rPr>
        <w:t>Beat Frey</w:t>
      </w:r>
      <w:r>
        <w:rPr>
          <w:lang w:val="en-US"/>
        </w:rPr>
        <w:t xml:space="preserve">, </w:t>
      </w:r>
      <w:r w:rsidRPr="00EA121D">
        <w:rPr>
          <w:lang w:val="en-US"/>
        </w:rPr>
        <w:t>beat.frey@wsl.ch</w:t>
      </w:r>
    </w:p>
    <w:p w:rsidR="00C449C7" w:rsidRDefault="00C449C7">
      <w:r>
        <w:br w:type="page"/>
      </w:r>
    </w:p>
    <w:p w:rsidR="00C449C7" w:rsidRPr="001B2788" w:rsidRDefault="00C449C7" w:rsidP="00C449C7">
      <w:pPr>
        <w:jc w:val="both"/>
        <w:rPr>
          <w:b/>
          <w:lang w:val="en-GB"/>
        </w:rPr>
      </w:pPr>
      <w:proofErr w:type="gramStart"/>
      <w:r w:rsidRPr="001B2788">
        <w:rPr>
          <w:b/>
          <w:lang w:val="en-US"/>
        </w:rPr>
        <w:lastRenderedPageBreak/>
        <w:t>Supplemental Figure 1</w:t>
      </w:r>
      <w:r w:rsidRPr="001B2788">
        <w:rPr>
          <w:lang w:val="en-US"/>
        </w:rPr>
        <w:t>.</w:t>
      </w:r>
      <w:proofErr w:type="gramEnd"/>
      <w:r w:rsidRPr="001B2788">
        <w:rPr>
          <w:lang w:val="en-US"/>
        </w:rPr>
        <w:t xml:space="preserve"> </w:t>
      </w:r>
      <w:proofErr w:type="gramStart"/>
      <w:r w:rsidRPr="001B2788">
        <w:rPr>
          <w:lang w:val="en-US"/>
        </w:rPr>
        <w:t xml:space="preserve">Differently abundant bacterial taxa (statistical difference </w:t>
      </w:r>
      <w:r w:rsidRPr="00020726">
        <w:rPr>
          <w:i/>
          <w:lang w:val="en-US"/>
        </w:rPr>
        <w:t>p</w:t>
      </w:r>
      <w:r w:rsidRPr="001B2788">
        <w:rPr>
          <w:lang w:val="en-US"/>
        </w:rPr>
        <w:t xml:space="preserve"> &lt; 0.1)</w:t>
      </w:r>
      <w:r>
        <w:rPr>
          <w:lang w:val="en-US"/>
        </w:rPr>
        <w:t xml:space="preserve">, which </w:t>
      </w:r>
      <w:r w:rsidRPr="001B2788">
        <w:rPr>
          <w:lang w:val="en-US"/>
        </w:rPr>
        <w:t xml:space="preserve">respond to N treatments </w:t>
      </w:r>
      <w:r w:rsidRPr="001B2788">
        <w:rPr>
          <w:lang w:val="en-GB"/>
        </w:rPr>
        <w:t>across all soil horizons with</w:t>
      </w:r>
      <w:r>
        <w:rPr>
          <w:lang w:val="en-GB"/>
        </w:rPr>
        <w:t xml:space="preserve"> a</w:t>
      </w:r>
      <w:r w:rsidRPr="001B2788">
        <w:rPr>
          <w:lang w:val="en-GB"/>
        </w:rPr>
        <w:t xml:space="preserve"> log</w:t>
      </w:r>
      <w:r w:rsidRPr="001B2788">
        <w:rPr>
          <w:vertAlign w:val="subscript"/>
          <w:lang w:val="en-GB"/>
        </w:rPr>
        <w:t>2</w:t>
      </w:r>
      <w:r w:rsidRPr="001B2788">
        <w:rPr>
          <w:lang w:val="en-GB"/>
        </w:rPr>
        <w:t xml:space="preserve">fold change </w:t>
      </w:r>
      <w:r w:rsidRPr="001B2788">
        <w:rPr>
          <w:lang w:val="en-US"/>
        </w:rPr>
        <w:t>&gt; 0.5.</w:t>
      </w:r>
      <w:proofErr w:type="gramEnd"/>
      <w:r w:rsidRPr="001B2788">
        <w:rPr>
          <w:lang w:val="en-US"/>
        </w:rPr>
        <w:t xml:space="preserve"> </w:t>
      </w:r>
      <w:r w:rsidRPr="001B2788">
        <w:rPr>
          <w:lang w:val="en-GB"/>
        </w:rPr>
        <w:t>Negative values (blue) refer to Control-</w:t>
      </w:r>
      <w:proofErr w:type="spellStart"/>
      <w:r w:rsidRPr="001B2788">
        <w:rPr>
          <w:lang w:val="en-GB"/>
        </w:rPr>
        <w:t>upregulated</w:t>
      </w:r>
      <w:proofErr w:type="spellEnd"/>
      <w:r w:rsidRPr="001B2788">
        <w:rPr>
          <w:lang w:val="en-GB"/>
        </w:rPr>
        <w:t xml:space="preserve"> genera, positive values (red) to N-Addition-</w:t>
      </w:r>
      <w:proofErr w:type="spellStart"/>
      <w:r w:rsidRPr="001B2788">
        <w:rPr>
          <w:lang w:val="en-GB"/>
        </w:rPr>
        <w:t>upregulated</w:t>
      </w:r>
      <w:proofErr w:type="spellEnd"/>
      <w:r w:rsidRPr="001B2788">
        <w:rPr>
          <w:lang w:val="en-GB"/>
        </w:rPr>
        <w:t xml:space="preserve"> genera. </w:t>
      </w:r>
      <w:r w:rsidRPr="001B2788">
        <w:rPr>
          <w:iCs/>
          <w:lang w:val="en-GB"/>
        </w:rPr>
        <w:t>Bar diagrams on the right shows the relative abundance.</w:t>
      </w:r>
    </w:p>
    <w:p w:rsidR="00C449C7" w:rsidRPr="001B2788" w:rsidRDefault="00C449C7" w:rsidP="00C449C7">
      <w:pPr>
        <w:jc w:val="both"/>
        <w:rPr>
          <w:lang w:val="en-US"/>
        </w:rPr>
      </w:pPr>
    </w:p>
    <w:p w:rsidR="00900BE5" w:rsidRDefault="00C449C7" w:rsidP="00C449C7">
      <w:pPr>
        <w:rPr>
          <w:lang w:val="en-GB"/>
        </w:rPr>
      </w:pPr>
      <w:proofErr w:type="gramStart"/>
      <w:r w:rsidRPr="001B2788">
        <w:rPr>
          <w:b/>
          <w:lang w:val="en-US"/>
        </w:rPr>
        <w:t>Supplemental Figure 2</w:t>
      </w:r>
      <w:r w:rsidRPr="001B2788">
        <w:rPr>
          <w:lang w:val="en-US"/>
        </w:rPr>
        <w:t>.</w:t>
      </w:r>
      <w:proofErr w:type="gramEnd"/>
      <w:r w:rsidRPr="001B2788">
        <w:rPr>
          <w:lang w:val="en-US"/>
        </w:rPr>
        <w:t xml:space="preserve"> </w:t>
      </w:r>
      <w:r w:rsidRPr="001B2788">
        <w:rPr>
          <w:iCs/>
          <w:lang w:val="en-GB"/>
        </w:rPr>
        <w:t xml:space="preserve">Differently abundant fungal genera (statistically different </w:t>
      </w:r>
      <w:r w:rsidRPr="00020726">
        <w:rPr>
          <w:i/>
          <w:iCs/>
          <w:lang w:val="en-GB"/>
        </w:rPr>
        <w:t>p</w:t>
      </w:r>
      <w:r>
        <w:rPr>
          <w:iCs/>
          <w:lang w:val="en-GB"/>
        </w:rPr>
        <w:t xml:space="preserve"> </w:t>
      </w:r>
      <w:r w:rsidRPr="001B2788">
        <w:rPr>
          <w:iCs/>
          <w:lang w:val="en-GB"/>
        </w:rPr>
        <w:t>&lt; 0.05)</w:t>
      </w:r>
      <w:r>
        <w:rPr>
          <w:iCs/>
          <w:lang w:val="en-GB"/>
        </w:rPr>
        <w:t>, which</w:t>
      </w:r>
      <w:r w:rsidRPr="001B2788">
        <w:rPr>
          <w:iCs/>
          <w:lang w:val="en-GB"/>
        </w:rPr>
        <w:t xml:space="preserve"> respond to N treatments </w:t>
      </w:r>
      <w:r w:rsidRPr="001B2788">
        <w:rPr>
          <w:rFonts w:eastAsia="Times New Roman"/>
          <w:lang w:val="en-US"/>
        </w:rPr>
        <w:t>in the horizons of the mineral soil in the control and N-addition plots</w:t>
      </w:r>
      <w:r w:rsidRPr="001B2788">
        <w:rPr>
          <w:rFonts w:eastAsia="Times New Roman"/>
          <w:lang w:val="en-GB"/>
        </w:rPr>
        <w:t xml:space="preserve"> (A = A</w:t>
      </w:r>
      <w:r>
        <w:rPr>
          <w:rFonts w:eastAsia="Times New Roman"/>
          <w:lang w:val="en-GB"/>
        </w:rPr>
        <w:t xml:space="preserve"> </w:t>
      </w:r>
      <w:r w:rsidRPr="001B2788">
        <w:rPr>
          <w:rFonts w:eastAsia="Times New Roman"/>
          <w:lang w:val="en-GB"/>
        </w:rPr>
        <w:t xml:space="preserve">horizon; B = </w:t>
      </w:r>
      <w:proofErr w:type="spellStart"/>
      <w:r w:rsidRPr="001B2788">
        <w:rPr>
          <w:rFonts w:eastAsia="Times New Roman"/>
          <w:lang w:val="en-GB"/>
        </w:rPr>
        <w:t>oxic</w:t>
      </w:r>
      <w:proofErr w:type="spellEnd"/>
      <w:r w:rsidRPr="001B2788">
        <w:rPr>
          <w:rFonts w:eastAsia="Times New Roman"/>
          <w:lang w:val="en-GB"/>
        </w:rPr>
        <w:t xml:space="preserve"> B</w:t>
      </w:r>
      <w:r>
        <w:rPr>
          <w:rFonts w:eastAsia="Times New Roman"/>
          <w:lang w:val="en-GB"/>
        </w:rPr>
        <w:t xml:space="preserve"> </w:t>
      </w:r>
      <w:r w:rsidRPr="001B2788">
        <w:rPr>
          <w:rFonts w:eastAsia="Times New Roman"/>
          <w:lang w:val="en-GB"/>
        </w:rPr>
        <w:t>horizon; C = reduced B</w:t>
      </w:r>
      <w:r>
        <w:rPr>
          <w:rFonts w:eastAsia="Times New Roman"/>
          <w:lang w:val="en-GB"/>
        </w:rPr>
        <w:t xml:space="preserve"> </w:t>
      </w:r>
      <w:r w:rsidRPr="001B2788">
        <w:rPr>
          <w:rFonts w:eastAsia="Times New Roman"/>
          <w:lang w:val="en-GB"/>
        </w:rPr>
        <w:t xml:space="preserve">horizon) </w:t>
      </w:r>
      <w:r w:rsidRPr="001B2788">
        <w:rPr>
          <w:iCs/>
          <w:lang w:val="en-GB"/>
        </w:rPr>
        <w:t xml:space="preserve">with </w:t>
      </w:r>
      <w:r>
        <w:rPr>
          <w:iCs/>
          <w:lang w:val="en-GB"/>
        </w:rPr>
        <w:t xml:space="preserve">a </w:t>
      </w:r>
      <w:r w:rsidRPr="001B2788">
        <w:rPr>
          <w:lang w:val="en-GB"/>
        </w:rPr>
        <w:t>log</w:t>
      </w:r>
      <w:r w:rsidRPr="001B2788">
        <w:rPr>
          <w:vertAlign w:val="subscript"/>
          <w:lang w:val="en-GB"/>
        </w:rPr>
        <w:t>2</w:t>
      </w:r>
      <w:r w:rsidRPr="001B2788">
        <w:rPr>
          <w:lang w:val="en-GB"/>
        </w:rPr>
        <w:t xml:space="preserve">-fold change </w:t>
      </w:r>
      <w:r w:rsidRPr="001B2788">
        <w:rPr>
          <w:iCs/>
          <w:lang w:val="en-GB"/>
        </w:rPr>
        <w:t xml:space="preserve">&gt; 1.0. Bar diagrams on the right shows the relative abundance. </w:t>
      </w:r>
      <w:r w:rsidRPr="001B2788">
        <w:rPr>
          <w:lang w:val="en-GB"/>
        </w:rPr>
        <w:t>Negative values (blue) refer to Control-</w:t>
      </w:r>
      <w:proofErr w:type="spellStart"/>
      <w:r w:rsidRPr="001B2788">
        <w:rPr>
          <w:lang w:val="en-GB"/>
        </w:rPr>
        <w:t>upregulated</w:t>
      </w:r>
      <w:proofErr w:type="spellEnd"/>
      <w:r w:rsidRPr="001B2788">
        <w:rPr>
          <w:lang w:val="en-GB"/>
        </w:rPr>
        <w:t xml:space="preserve"> genera, positive values (red) to N-Addition-</w:t>
      </w:r>
      <w:proofErr w:type="spellStart"/>
      <w:r w:rsidRPr="001B2788">
        <w:rPr>
          <w:lang w:val="en-GB"/>
        </w:rPr>
        <w:t>upregulated</w:t>
      </w:r>
      <w:proofErr w:type="spellEnd"/>
      <w:r w:rsidRPr="001B2788">
        <w:rPr>
          <w:lang w:val="en-GB"/>
        </w:rPr>
        <w:t xml:space="preserve"> gen</w:t>
      </w:r>
      <w:r>
        <w:rPr>
          <w:lang w:val="en-GB"/>
        </w:rPr>
        <w:t>era.</w:t>
      </w:r>
    </w:p>
    <w:p w:rsidR="00C449C7" w:rsidRDefault="00C449C7" w:rsidP="00C449C7">
      <w:pPr>
        <w:rPr>
          <w:lang w:val="en-GB"/>
        </w:rPr>
      </w:pPr>
    </w:p>
    <w:p w:rsidR="00C449C7" w:rsidRDefault="00C449C7">
      <w:pPr>
        <w:rPr>
          <w:lang w:val="en-GB"/>
        </w:rPr>
      </w:pPr>
      <w:r>
        <w:rPr>
          <w:lang w:val="en-GB"/>
        </w:rPr>
        <w:br w:type="page"/>
      </w:r>
    </w:p>
    <w:p w:rsidR="00C449C7" w:rsidRDefault="00C449C7" w:rsidP="00C449C7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>Supplementary Results</w:t>
      </w:r>
    </w:p>
    <w:p w:rsidR="00C449C7" w:rsidRDefault="00C449C7" w:rsidP="00C449C7">
      <w:pPr>
        <w:jc w:val="both"/>
        <w:rPr>
          <w:b/>
          <w:i/>
          <w:lang w:val="en-GB"/>
        </w:rPr>
      </w:pPr>
    </w:p>
    <w:p w:rsidR="00C449C7" w:rsidRPr="001B2788" w:rsidRDefault="00C449C7" w:rsidP="00C449C7">
      <w:pPr>
        <w:jc w:val="both"/>
        <w:rPr>
          <w:b/>
          <w:i/>
          <w:lang w:val="en-GB"/>
        </w:rPr>
      </w:pPr>
      <w:r w:rsidRPr="001B2788">
        <w:rPr>
          <w:b/>
          <w:i/>
          <w:lang w:val="en-GB"/>
        </w:rPr>
        <w:t>Overall microbial community composition</w:t>
      </w:r>
    </w:p>
    <w:p w:rsidR="00C449C7" w:rsidRPr="001B2788" w:rsidRDefault="00C449C7" w:rsidP="00C449C7">
      <w:pPr>
        <w:jc w:val="both"/>
        <w:rPr>
          <w:b/>
          <w:lang w:val="en-GB"/>
        </w:rPr>
      </w:pPr>
      <w:r w:rsidRPr="001B2788">
        <w:rPr>
          <w:lang w:val="en-US"/>
        </w:rPr>
        <w:t>Among the 30 samples of N-treated and control soils, a total of 793,235 bacterial sequences with an average number of 26,441 (</w:t>
      </w:r>
      <w:r w:rsidRPr="001B2788">
        <w:rPr>
          <w:color w:val="000000" w:themeColor="text1"/>
          <w:lang w:val="en-US"/>
        </w:rPr>
        <w:t>± 4,386) sequences per sample</w:t>
      </w:r>
      <w:r>
        <w:rPr>
          <w:color w:val="000000" w:themeColor="text1"/>
          <w:lang w:val="en-US"/>
        </w:rPr>
        <w:t xml:space="preserve"> was identified</w:t>
      </w:r>
      <w:r w:rsidRPr="001B2788">
        <w:rPr>
          <w:color w:val="000000" w:themeColor="text1"/>
          <w:lang w:val="en-US"/>
        </w:rPr>
        <w:t xml:space="preserve">. These sequences were distributed among 6,098 OTUs (2183 ± 357 per sample) of which 99.6% could be classified at phylum and 25.8% at genus level. </w:t>
      </w:r>
      <w:r w:rsidRPr="001B2788">
        <w:rPr>
          <w:lang w:val="en-US"/>
        </w:rPr>
        <w:t xml:space="preserve">We further identified 5544 </w:t>
      </w:r>
      <w:proofErr w:type="spellStart"/>
      <w:r w:rsidRPr="001B2788">
        <w:rPr>
          <w:lang w:val="en-US"/>
        </w:rPr>
        <w:t>archaeal</w:t>
      </w:r>
      <w:proofErr w:type="spellEnd"/>
      <w:r w:rsidRPr="001B2788">
        <w:rPr>
          <w:lang w:val="en-US"/>
        </w:rPr>
        <w:t xml:space="preserve"> sequences, which were not </w:t>
      </w:r>
      <w:proofErr w:type="spellStart"/>
      <w:r w:rsidRPr="001B2788">
        <w:rPr>
          <w:lang w:val="en-US"/>
        </w:rPr>
        <w:t>analysed</w:t>
      </w:r>
      <w:proofErr w:type="spellEnd"/>
      <w:r w:rsidRPr="001B2788">
        <w:rPr>
          <w:lang w:val="en-US"/>
        </w:rPr>
        <w:t xml:space="preserve"> further. The predominant bacterial phyla were </w:t>
      </w:r>
      <w:proofErr w:type="spellStart"/>
      <w:r w:rsidRPr="001B2788">
        <w:rPr>
          <w:i/>
          <w:lang w:val="en-US"/>
        </w:rPr>
        <w:t>Proteobacteria</w:t>
      </w:r>
      <w:proofErr w:type="spellEnd"/>
      <w:r w:rsidRPr="001B2788">
        <w:rPr>
          <w:lang w:val="en-US"/>
        </w:rPr>
        <w:t xml:space="preserve"> (27.7%</w:t>
      </w:r>
      <w:r>
        <w:rPr>
          <w:lang w:val="en-US"/>
        </w:rPr>
        <w:t xml:space="preserve"> of total sequences</w:t>
      </w:r>
      <w:r w:rsidRPr="001B2788">
        <w:rPr>
          <w:lang w:val="en-US"/>
        </w:rPr>
        <w:t xml:space="preserve">; 1125 OTUs), </w:t>
      </w:r>
      <w:proofErr w:type="spellStart"/>
      <w:r w:rsidRPr="001B2788">
        <w:rPr>
          <w:i/>
          <w:lang w:val="en-US"/>
        </w:rPr>
        <w:t>Acidobacteria</w:t>
      </w:r>
      <w:proofErr w:type="spellEnd"/>
      <w:r w:rsidRPr="001B2788">
        <w:rPr>
          <w:lang w:val="en-US"/>
        </w:rPr>
        <w:t xml:space="preserve"> (15.6%; 425 OTUs), </w:t>
      </w:r>
      <w:proofErr w:type="spellStart"/>
      <w:r w:rsidRPr="001B2788">
        <w:rPr>
          <w:i/>
          <w:lang w:val="en-US"/>
        </w:rPr>
        <w:t>Verrucomicrobia</w:t>
      </w:r>
      <w:proofErr w:type="spellEnd"/>
      <w:r w:rsidRPr="001B2788">
        <w:rPr>
          <w:lang w:val="en-US"/>
        </w:rPr>
        <w:t xml:space="preserve"> (12.8%; 377 OTUs), </w:t>
      </w:r>
      <w:proofErr w:type="spellStart"/>
      <w:r w:rsidRPr="001B2788">
        <w:rPr>
          <w:i/>
          <w:lang w:val="en-US"/>
        </w:rPr>
        <w:t>Chloroflexi</w:t>
      </w:r>
      <w:proofErr w:type="spellEnd"/>
      <w:r w:rsidRPr="001B2788">
        <w:rPr>
          <w:lang w:val="en-US"/>
        </w:rPr>
        <w:t xml:space="preserve"> (12.4%; 575 OTUs) and </w:t>
      </w:r>
      <w:proofErr w:type="spellStart"/>
      <w:r w:rsidRPr="001B2788">
        <w:rPr>
          <w:i/>
          <w:lang w:val="en-US"/>
        </w:rPr>
        <w:t>Planctomycetes</w:t>
      </w:r>
      <w:proofErr w:type="spellEnd"/>
      <w:r w:rsidRPr="001B2788">
        <w:rPr>
          <w:lang w:val="en-US"/>
        </w:rPr>
        <w:t xml:space="preserve"> (10.6%; 831 OTUs). For fungi, sequencing analysis yielded a total of 828,050 </w:t>
      </w:r>
      <w:r>
        <w:rPr>
          <w:lang w:val="en-US"/>
        </w:rPr>
        <w:t xml:space="preserve">ITS2 </w:t>
      </w:r>
      <w:r w:rsidRPr="001B2788">
        <w:rPr>
          <w:lang w:val="en-US"/>
        </w:rPr>
        <w:t>sequences with an average of 27,602 (</w:t>
      </w:r>
      <w:r w:rsidRPr="001B2788">
        <w:rPr>
          <w:color w:val="000000" w:themeColor="text1"/>
          <w:lang w:val="en-US"/>
        </w:rPr>
        <w:t xml:space="preserve">± 7,227) sequences per sample. The total number of sequences represented </w:t>
      </w:r>
      <w:r>
        <w:rPr>
          <w:color w:val="000000" w:themeColor="text1"/>
          <w:lang w:val="en-US"/>
        </w:rPr>
        <w:t>1</w:t>
      </w:r>
      <w:r w:rsidRPr="001B2788">
        <w:rPr>
          <w:color w:val="000000" w:themeColor="text1"/>
          <w:lang w:val="en-US"/>
        </w:rPr>
        <w:t>,</w:t>
      </w:r>
      <w:r>
        <w:rPr>
          <w:color w:val="000000" w:themeColor="text1"/>
          <w:lang w:val="en-US"/>
        </w:rPr>
        <w:t>749</w:t>
      </w:r>
      <w:r w:rsidRPr="001B2788">
        <w:rPr>
          <w:color w:val="000000" w:themeColor="text1"/>
          <w:lang w:val="en-US"/>
        </w:rPr>
        <w:t xml:space="preserve"> (292 ± 112 per sample) fungal OTUs. 94.9% of OTUs could be classified at phylum and 82.4% at genus level. </w:t>
      </w:r>
      <w:proofErr w:type="spellStart"/>
      <w:r w:rsidRPr="001B2788">
        <w:rPr>
          <w:i/>
          <w:color w:val="000000" w:themeColor="text1"/>
          <w:lang w:val="en-US"/>
        </w:rPr>
        <w:t>Basidiomycota</w:t>
      </w:r>
      <w:proofErr w:type="spellEnd"/>
      <w:r w:rsidRPr="001B2788">
        <w:rPr>
          <w:color w:val="000000" w:themeColor="text1"/>
          <w:lang w:val="en-US"/>
        </w:rPr>
        <w:t xml:space="preserve"> (54.0%; </w:t>
      </w:r>
      <w:r w:rsidRPr="001B2788">
        <w:rPr>
          <w:lang w:val="en-US"/>
        </w:rPr>
        <w:t>540</w:t>
      </w:r>
      <w:r w:rsidRPr="001B2788">
        <w:rPr>
          <w:color w:val="000000" w:themeColor="text1"/>
          <w:lang w:val="en-US"/>
        </w:rPr>
        <w:t xml:space="preserve"> OTUs), </w:t>
      </w:r>
      <w:r w:rsidRPr="001B2788">
        <w:rPr>
          <w:i/>
          <w:color w:val="000000" w:themeColor="text1"/>
          <w:lang w:val="en-US"/>
        </w:rPr>
        <w:t>Ascomycota</w:t>
      </w:r>
      <w:r w:rsidRPr="001B2788">
        <w:rPr>
          <w:color w:val="000000" w:themeColor="text1"/>
          <w:lang w:val="en-US"/>
        </w:rPr>
        <w:t xml:space="preserve"> (38.0%; </w:t>
      </w:r>
      <w:r w:rsidRPr="001B2788">
        <w:rPr>
          <w:lang w:val="en-US"/>
        </w:rPr>
        <w:t>901</w:t>
      </w:r>
      <w:r w:rsidRPr="001B2788">
        <w:rPr>
          <w:color w:val="000000" w:themeColor="text1"/>
          <w:lang w:val="en-US"/>
        </w:rPr>
        <w:t xml:space="preserve"> OTUs), </w:t>
      </w:r>
      <w:proofErr w:type="spellStart"/>
      <w:r w:rsidRPr="001B2788">
        <w:rPr>
          <w:i/>
          <w:color w:val="000000" w:themeColor="text1"/>
          <w:lang w:val="en-US"/>
        </w:rPr>
        <w:t>Mortierellomycota</w:t>
      </w:r>
      <w:proofErr w:type="spellEnd"/>
      <w:r w:rsidRPr="001B2788">
        <w:rPr>
          <w:i/>
          <w:color w:val="000000" w:themeColor="text1"/>
          <w:lang w:val="en-US"/>
        </w:rPr>
        <w:t xml:space="preserve"> </w:t>
      </w:r>
      <w:r w:rsidRPr="001B2788">
        <w:rPr>
          <w:color w:val="000000" w:themeColor="text1"/>
          <w:lang w:val="en-US"/>
        </w:rPr>
        <w:t xml:space="preserve">(1.3%; </w:t>
      </w:r>
      <w:r w:rsidRPr="001B2788">
        <w:rPr>
          <w:lang w:val="en-US"/>
        </w:rPr>
        <w:t>48</w:t>
      </w:r>
      <w:r w:rsidRPr="001B2788">
        <w:rPr>
          <w:color w:val="000000" w:themeColor="text1"/>
          <w:lang w:val="en-US"/>
        </w:rPr>
        <w:t xml:space="preserve"> OTUs) and </w:t>
      </w:r>
      <w:proofErr w:type="spellStart"/>
      <w:r w:rsidRPr="001B2788">
        <w:rPr>
          <w:i/>
          <w:color w:val="000000" w:themeColor="text1"/>
          <w:lang w:val="en-US"/>
        </w:rPr>
        <w:t>Rozellomycota</w:t>
      </w:r>
      <w:proofErr w:type="spellEnd"/>
      <w:r w:rsidRPr="001B2788">
        <w:rPr>
          <w:color w:val="000000" w:themeColor="text1"/>
          <w:lang w:val="en-US"/>
        </w:rPr>
        <w:t xml:space="preserve"> (1.2%; </w:t>
      </w:r>
      <w:r w:rsidRPr="001B2788">
        <w:rPr>
          <w:lang w:val="en-US"/>
        </w:rPr>
        <w:t xml:space="preserve">77 </w:t>
      </w:r>
      <w:r w:rsidRPr="001B2788">
        <w:rPr>
          <w:color w:val="000000" w:themeColor="text1"/>
          <w:lang w:val="en-US"/>
        </w:rPr>
        <w:t xml:space="preserve">OTUs) were found to be the most abundant fungal phyla. </w:t>
      </w:r>
    </w:p>
    <w:p w:rsidR="00C449C7" w:rsidRDefault="00C449C7" w:rsidP="00C449C7">
      <w:pPr>
        <w:spacing w:line="480" w:lineRule="auto"/>
        <w:outlineLvl w:val="0"/>
        <w:rPr>
          <w:b/>
          <w:sz w:val="22"/>
          <w:szCs w:val="22"/>
          <w:lang w:val="en-US"/>
        </w:rPr>
      </w:pPr>
    </w:p>
    <w:p w:rsidR="00C449C7" w:rsidRDefault="00C449C7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C449C7" w:rsidRPr="00AF32FC" w:rsidRDefault="00C449C7" w:rsidP="00C449C7">
      <w:pPr>
        <w:spacing w:line="480" w:lineRule="auto"/>
        <w:outlineLvl w:val="0"/>
        <w:rPr>
          <w:color w:val="000000"/>
          <w:sz w:val="22"/>
          <w:szCs w:val="22"/>
          <w:lang w:val="en-US"/>
        </w:rPr>
      </w:pPr>
      <w:bookmarkStart w:id="0" w:name="_GoBack"/>
      <w:bookmarkEnd w:id="0"/>
      <w:r w:rsidRPr="00AF32FC">
        <w:rPr>
          <w:b/>
          <w:sz w:val="22"/>
          <w:szCs w:val="22"/>
          <w:lang w:val="en-US"/>
        </w:rPr>
        <w:t>Supplementary Table 1</w:t>
      </w:r>
      <w:r w:rsidRPr="00AF32FC">
        <w:rPr>
          <w:sz w:val="22"/>
          <w:szCs w:val="22"/>
          <w:lang w:val="en-US"/>
        </w:rPr>
        <w:t xml:space="preserve">: </w:t>
      </w:r>
      <w:r w:rsidRPr="00AF32FC">
        <w:rPr>
          <w:color w:val="000000"/>
          <w:sz w:val="22"/>
          <w:szCs w:val="22"/>
          <w:lang w:val="en-US"/>
        </w:rPr>
        <w:t>Primer pairs and annealing temperatures used in real-time quantitative PCR analysis for functional genes.</w:t>
      </w:r>
    </w:p>
    <w:tbl>
      <w:tblPr>
        <w:tblW w:w="10444" w:type="dxa"/>
        <w:tblInd w:w="108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3543"/>
        <w:gridCol w:w="1418"/>
        <w:gridCol w:w="2790"/>
      </w:tblGrid>
      <w:tr w:rsidR="00C449C7" w:rsidRPr="00AF32FC" w:rsidTr="00EA65ED">
        <w:trPr>
          <w:trHeight w:hRule="exact" w:val="510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Genes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 xml:space="preserve">Primer </w:t>
            </w:r>
            <w:proofErr w:type="spellStart"/>
            <w:r w:rsidRPr="00AF32FC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 xml:space="preserve">Primer </w:t>
            </w:r>
            <w:proofErr w:type="spellStart"/>
            <w:r w:rsidRPr="00AF32FC">
              <w:rPr>
                <w:sz w:val="20"/>
                <w:szCs w:val="20"/>
              </w:rPr>
              <w:t>sequence</w:t>
            </w:r>
            <w:proofErr w:type="spellEnd"/>
            <w:r w:rsidRPr="00AF32FC">
              <w:rPr>
                <w:sz w:val="20"/>
                <w:szCs w:val="20"/>
              </w:rPr>
              <w:t xml:space="preserve"> (5’-3’)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Annealing</w:t>
            </w:r>
            <w:proofErr w:type="spellEnd"/>
            <w:r w:rsidRPr="00AF32FC">
              <w:rPr>
                <w:sz w:val="20"/>
                <w:szCs w:val="20"/>
              </w:rPr>
              <w:t xml:space="preserve"> </w:t>
            </w:r>
            <w:proofErr w:type="spellStart"/>
            <w:r w:rsidRPr="00AF32FC">
              <w:rPr>
                <w:sz w:val="20"/>
                <w:szCs w:val="20"/>
              </w:rPr>
              <w:t>temperature</w:t>
            </w:r>
            <w:proofErr w:type="spellEnd"/>
          </w:p>
        </w:tc>
        <w:tc>
          <w:tcPr>
            <w:tcW w:w="27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Reference</w:t>
            </w: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aamoA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  <w:lang w:val="en-US"/>
              </w:rPr>
              <w:t>Arch-</w:t>
            </w:r>
            <w:proofErr w:type="spellStart"/>
            <w:r w:rsidRPr="00AF32FC">
              <w:rPr>
                <w:sz w:val="20"/>
                <w:szCs w:val="20"/>
                <w:lang w:val="en-US"/>
              </w:rPr>
              <w:t>amoAF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  <w:lang w:val="en-US" w:eastAsia="de-CH"/>
              </w:rPr>
              <w:t>STAATGGTCTGGCTTAGACG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53 °C</w:t>
            </w:r>
          </w:p>
        </w:tc>
        <w:tc>
          <w:tcPr>
            <w:tcW w:w="279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Francis et al. (2005)</w:t>
            </w: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  <w:lang w:val="en-US"/>
              </w:rPr>
              <w:t>Arch-</w:t>
            </w:r>
            <w:proofErr w:type="spellStart"/>
            <w:r w:rsidRPr="00AF32FC">
              <w:rPr>
                <w:sz w:val="20"/>
                <w:szCs w:val="20"/>
                <w:lang w:val="en-US"/>
              </w:rPr>
              <w:t>amoAR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  <w:lang w:val="en-US" w:eastAsia="de-CH"/>
              </w:rPr>
              <w:t>GCGGCCATCCATCTGTATGT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bamoA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amoA-1F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GGGGTTTCTACTGGTGGT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55 °C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Rotthauwe</w:t>
            </w:r>
            <w:proofErr w:type="spellEnd"/>
            <w:r w:rsidRPr="00AF32FC">
              <w:rPr>
                <w:sz w:val="20"/>
                <w:szCs w:val="20"/>
              </w:rPr>
              <w:t xml:space="preserve"> et al. (1997)</w:t>
            </w: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amoA-2R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CCCCTCKGSAAAGCCTTCTTC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nrxB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nrxB-169F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TACATGTGGTGGAACA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57 °C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Pester</w:t>
            </w:r>
            <w:proofErr w:type="spellEnd"/>
            <w:r w:rsidRPr="00AF32FC">
              <w:rPr>
                <w:sz w:val="20"/>
                <w:szCs w:val="20"/>
              </w:rPr>
              <w:t xml:space="preserve"> et al. (2014)</w:t>
            </w: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nrxB-638R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CGGTTCTGGTCRATCA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nirS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nirS-cd3AF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GTSAACGTSAAGGARACSGG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58 °C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Throbäck</w:t>
            </w:r>
            <w:proofErr w:type="spellEnd"/>
            <w:r w:rsidRPr="00AF32FC">
              <w:rPr>
                <w:sz w:val="20"/>
                <w:szCs w:val="20"/>
              </w:rPr>
              <w:t xml:space="preserve"> et al. (20</w:t>
            </w:r>
            <w:r>
              <w:rPr>
                <w:sz w:val="20"/>
                <w:szCs w:val="20"/>
              </w:rPr>
              <w:t>04</w:t>
            </w:r>
            <w:r w:rsidRPr="00AF32FC">
              <w:rPr>
                <w:sz w:val="20"/>
                <w:szCs w:val="20"/>
              </w:rPr>
              <w:t>)</w:t>
            </w: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nirS_R3cd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GASTTCGGRTGSGTCTTGA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nosZ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nosZ-1F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WCSYTGTTCMTCGACAGCCAG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62 °C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Henry et al. (2006)</w:t>
            </w: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nosZ-1R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tabs>
                <w:tab w:val="left" w:pos="1167"/>
              </w:tabs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ATGTCGATCARCTGVKCRTTYTC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nifH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Pol-F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8637C3" w:rsidRDefault="00C449C7" w:rsidP="00EA65ED">
            <w:pPr>
              <w:rPr>
                <w:sz w:val="20"/>
                <w:szCs w:val="20"/>
              </w:rPr>
            </w:pPr>
            <w:r w:rsidRPr="008637C3">
              <w:rPr>
                <w:color w:val="000000"/>
                <w:sz w:val="20"/>
                <w:szCs w:val="20"/>
              </w:rPr>
              <w:t>TGCGAYCCSAARGCBGACTC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55 °C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Poly</w:t>
            </w:r>
            <w:proofErr w:type="spellEnd"/>
            <w:r w:rsidRPr="00AF32FC">
              <w:rPr>
                <w:sz w:val="20"/>
                <w:szCs w:val="20"/>
              </w:rPr>
              <w:t xml:space="preserve"> et al. (2001)</w:t>
            </w:r>
          </w:p>
        </w:tc>
      </w:tr>
      <w:tr w:rsidR="00C449C7" w:rsidRPr="00AF32FC" w:rsidTr="00EA65ED">
        <w:trPr>
          <w:trHeight w:hRule="exact" w:val="652"/>
        </w:trPr>
        <w:tc>
          <w:tcPr>
            <w:tcW w:w="993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Pol-R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8637C3" w:rsidRDefault="00C449C7" w:rsidP="00EA65ED">
            <w:pPr>
              <w:rPr>
                <w:sz w:val="20"/>
                <w:szCs w:val="20"/>
              </w:rPr>
            </w:pPr>
            <w:r w:rsidRPr="008637C3">
              <w:rPr>
                <w:color w:val="000000"/>
                <w:sz w:val="20"/>
                <w:szCs w:val="20"/>
              </w:rPr>
              <w:t>ATSGCCATCATYTCRCCGGA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</w:tr>
      <w:tr w:rsidR="00C449C7" w:rsidRPr="00AF32FC" w:rsidTr="00EA65ED">
        <w:trPr>
          <w:trHeight w:hRule="exact" w:val="5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proofErr w:type="spellStart"/>
            <w:r w:rsidRPr="00AF32FC">
              <w:rPr>
                <w:sz w:val="20"/>
                <w:szCs w:val="20"/>
              </w:rPr>
              <w:t>mcrA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ML-F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GGTGGTGTMGGATTCACACARTAYGCWACAGC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50 °C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sz w:val="20"/>
                <w:szCs w:val="20"/>
              </w:rPr>
              <w:t>Luton et al. (2002)</w:t>
            </w:r>
          </w:p>
        </w:tc>
      </w:tr>
      <w:tr w:rsidR="00C449C7" w:rsidRPr="00AF32FC" w:rsidTr="00EA65ED">
        <w:trPr>
          <w:trHeight w:hRule="exact" w:val="652"/>
        </w:trPr>
        <w:tc>
          <w:tcPr>
            <w:tcW w:w="993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ML-R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  <w:r w:rsidRPr="00AF32FC">
              <w:rPr>
                <w:color w:val="000000"/>
                <w:sz w:val="20"/>
                <w:szCs w:val="20"/>
              </w:rPr>
              <w:t>TTCATTGCRTAGTTWGGRTAGTT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449C7" w:rsidRPr="00AF32FC" w:rsidRDefault="00C449C7" w:rsidP="00EA65ED">
            <w:pPr>
              <w:rPr>
                <w:sz w:val="20"/>
                <w:szCs w:val="20"/>
              </w:rPr>
            </w:pPr>
          </w:p>
        </w:tc>
      </w:tr>
    </w:tbl>
    <w:p w:rsidR="00C449C7" w:rsidRPr="00AF32FC" w:rsidRDefault="00C449C7" w:rsidP="00C449C7">
      <w:pPr>
        <w:spacing w:line="480" w:lineRule="auto"/>
        <w:outlineLvl w:val="0"/>
        <w:rPr>
          <w:b/>
          <w:color w:val="000000"/>
          <w:sz w:val="20"/>
          <w:szCs w:val="20"/>
        </w:rPr>
      </w:pPr>
    </w:p>
    <w:p w:rsidR="00C449C7" w:rsidRPr="00AF32FC" w:rsidRDefault="00C449C7" w:rsidP="00C449C7">
      <w:pPr>
        <w:spacing w:line="480" w:lineRule="auto"/>
        <w:outlineLvl w:val="0"/>
        <w:rPr>
          <w:b/>
          <w:color w:val="000000"/>
          <w:sz w:val="22"/>
          <w:szCs w:val="22"/>
        </w:rPr>
      </w:pPr>
      <w:r w:rsidRPr="00AF32FC">
        <w:rPr>
          <w:b/>
          <w:color w:val="000000"/>
          <w:sz w:val="22"/>
          <w:szCs w:val="22"/>
        </w:rPr>
        <w:t>References</w:t>
      </w:r>
    </w:p>
    <w:p w:rsidR="00C449C7" w:rsidRPr="00511229" w:rsidRDefault="00C449C7" w:rsidP="00C449C7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eastAsia="Times New Roman"/>
          <w:sz w:val="18"/>
          <w:szCs w:val="18"/>
          <w:lang w:val="en-US"/>
        </w:rPr>
      </w:pPr>
      <w:r w:rsidRPr="00511229">
        <w:rPr>
          <w:rFonts w:eastAsia="Times New Roman"/>
          <w:sz w:val="18"/>
          <w:szCs w:val="18"/>
        </w:rPr>
        <w:t xml:space="preserve">Francis, C. A., Roberts, K. J., </w:t>
      </w:r>
      <w:proofErr w:type="spellStart"/>
      <w:r w:rsidRPr="00511229">
        <w:rPr>
          <w:rFonts w:eastAsia="Times New Roman"/>
          <w:sz w:val="18"/>
          <w:szCs w:val="18"/>
        </w:rPr>
        <w:t>Beman</w:t>
      </w:r>
      <w:proofErr w:type="spellEnd"/>
      <w:r w:rsidRPr="00511229">
        <w:rPr>
          <w:rFonts w:eastAsia="Times New Roman"/>
          <w:sz w:val="18"/>
          <w:szCs w:val="18"/>
        </w:rPr>
        <w:t xml:space="preserve">, J. M., Santoro, A. E., </w:t>
      </w:r>
      <w:proofErr w:type="spellStart"/>
      <w:r w:rsidRPr="00511229">
        <w:rPr>
          <w:rFonts w:eastAsia="Times New Roman"/>
          <w:sz w:val="18"/>
          <w:szCs w:val="18"/>
        </w:rPr>
        <w:t>and</w:t>
      </w:r>
      <w:proofErr w:type="spellEnd"/>
      <w:r w:rsidRPr="00511229">
        <w:rPr>
          <w:rFonts w:eastAsia="Times New Roman"/>
          <w:sz w:val="18"/>
          <w:szCs w:val="18"/>
        </w:rPr>
        <w:t xml:space="preserve"> Oakley, B. B. (2005). </w:t>
      </w:r>
      <w:proofErr w:type="gramStart"/>
      <w:r w:rsidRPr="00511229">
        <w:rPr>
          <w:rFonts w:eastAsia="Times New Roman"/>
          <w:sz w:val="18"/>
          <w:szCs w:val="18"/>
          <w:lang w:val="en-US"/>
        </w:rPr>
        <w:t xml:space="preserve">Ubiquity and diversity of ammonia-oxidizing </w:t>
      </w:r>
      <w:proofErr w:type="spellStart"/>
      <w:r w:rsidRPr="00511229">
        <w:rPr>
          <w:rFonts w:eastAsia="Times New Roman"/>
          <w:sz w:val="18"/>
          <w:szCs w:val="18"/>
          <w:lang w:val="en-US"/>
        </w:rPr>
        <w:t>archaea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 in water columns and sediments of the ocean.</w:t>
      </w:r>
      <w:proofErr w:type="gramEnd"/>
      <w:r w:rsidRPr="00511229">
        <w:rPr>
          <w:rFonts w:eastAsia="Times New Roman"/>
          <w:sz w:val="18"/>
          <w:szCs w:val="18"/>
          <w:lang w:val="en-US"/>
        </w:rPr>
        <w:t xml:space="preserve"> </w:t>
      </w:r>
      <w:r w:rsidRPr="00511229">
        <w:rPr>
          <w:rFonts w:eastAsia="Times New Roman"/>
          <w:i/>
          <w:sz w:val="18"/>
          <w:szCs w:val="18"/>
          <w:lang w:val="en-US"/>
        </w:rPr>
        <w:t>Proc. Natl. Acad. Sci. U S.A</w:t>
      </w:r>
      <w:r w:rsidRPr="00511229">
        <w:rPr>
          <w:rFonts w:eastAsia="Times New Roman"/>
          <w:sz w:val="18"/>
          <w:szCs w:val="18"/>
          <w:lang w:val="en-US"/>
        </w:rPr>
        <w:t xml:space="preserve"> 102, 14683–14688. </w:t>
      </w:r>
      <w:proofErr w:type="spellStart"/>
      <w:proofErr w:type="gramStart"/>
      <w:r w:rsidRPr="00511229">
        <w:rPr>
          <w:rFonts w:eastAsia="Times New Roman"/>
          <w:sz w:val="18"/>
          <w:szCs w:val="18"/>
          <w:lang w:val="en-US"/>
        </w:rPr>
        <w:t>doi</w:t>
      </w:r>
      <w:proofErr w:type="spellEnd"/>
      <w:proofErr w:type="gramEnd"/>
      <w:r w:rsidRPr="00511229">
        <w:rPr>
          <w:rFonts w:eastAsia="Times New Roman"/>
          <w:sz w:val="18"/>
          <w:szCs w:val="18"/>
          <w:lang w:val="en-US"/>
        </w:rPr>
        <w:t>: 10.1073/pnas.0506625102</w:t>
      </w:r>
    </w:p>
    <w:p w:rsidR="00C449C7" w:rsidRPr="00511229" w:rsidRDefault="00C449C7" w:rsidP="00C449C7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sz w:val="18"/>
          <w:szCs w:val="18"/>
          <w:lang w:val="en-US"/>
        </w:rPr>
      </w:pPr>
      <w:proofErr w:type="gramStart"/>
      <w:r w:rsidRPr="00511229">
        <w:rPr>
          <w:sz w:val="18"/>
          <w:szCs w:val="18"/>
          <w:lang w:val="en-US"/>
        </w:rPr>
        <w:t xml:space="preserve">Henry, S., </w:t>
      </w:r>
      <w:proofErr w:type="spellStart"/>
      <w:r w:rsidRPr="00511229">
        <w:rPr>
          <w:sz w:val="18"/>
          <w:szCs w:val="18"/>
          <w:lang w:val="en-US"/>
        </w:rPr>
        <w:t>Bru</w:t>
      </w:r>
      <w:proofErr w:type="spellEnd"/>
      <w:r w:rsidRPr="00511229">
        <w:rPr>
          <w:sz w:val="18"/>
          <w:szCs w:val="18"/>
          <w:lang w:val="en-US"/>
        </w:rPr>
        <w:t xml:space="preserve">, D., </w:t>
      </w:r>
      <w:proofErr w:type="spellStart"/>
      <w:r w:rsidRPr="00511229">
        <w:rPr>
          <w:sz w:val="18"/>
          <w:szCs w:val="18"/>
          <w:lang w:val="en-US"/>
        </w:rPr>
        <w:t>Stres</w:t>
      </w:r>
      <w:proofErr w:type="spellEnd"/>
      <w:r w:rsidRPr="00511229">
        <w:rPr>
          <w:sz w:val="18"/>
          <w:szCs w:val="18"/>
          <w:lang w:val="en-US"/>
        </w:rPr>
        <w:t xml:space="preserve">, B., </w:t>
      </w:r>
      <w:proofErr w:type="spellStart"/>
      <w:r w:rsidRPr="00511229">
        <w:rPr>
          <w:sz w:val="18"/>
          <w:szCs w:val="18"/>
          <w:lang w:val="en-US"/>
        </w:rPr>
        <w:t>Hallet</w:t>
      </w:r>
      <w:proofErr w:type="spellEnd"/>
      <w:r w:rsidRPr="00511229">
        <w:rPr>
          <w:sz w:val="18"/>
          <w:szCs w:val="18"/>
          <w:lang w:val="en-US"/>
        </w:rPr>
        <w:t xml:space="preserve">, S., and </w:t>
      </w:r>
      <w:proofErr w:type="spellStart"/>
      <w:r w:rsidRPr="00511229">
        <w:rPr>
          <w:sz w:val="18"/>
          <w:szCs w:val="18"/>
          <w:lang w:val="en-US"/>
        </w:rPr>
        <w:t>Philippot</w:t>
      </w:r>
      <w:proofErr w:type="spellEnd"/>
      <w:r w:rsidRPr="00511229">
        <w:rPr>
          <w:sz w:val="18"/>
          <w:szCs w:val="18"/>
          <w:lang w:val="en-US"/>
        </w:rPr>
        <w:t>, L. (2006).</w:t>
      </w:r>
      <w:proofErr w:type="gramEnd"/>
      <w:r w:rsidRPr="00511229">
        <w:rPr>
          <w:sz w:val="18"/>
          <w:szCs w:val="18"/>
          <w:lang w:val="en-US"/>
        </w:rPr>
        <w:t xml:space="preserve"> Quantitative detection of the </w:t>
      </w:r>
      <w:proofErr w:type="spellStart"/>
      <w:r w:rsidRPr="004E7267">
        <w:rPr>
          <w:i/>
          <w:sz w:val="18"/>
          <w:szCs w:val="18"/>
          <w:lang w:val="en-US"/>
        </w:rPr>
        <w:t>nosZ</w:t>
      </w:r>
      <w:proofErr w:type="spellEnd"/>
      <w:r w:rsidRPr="00511229">
        <w:rPr>
          <w:sz w:val="18"/>
          <w:szCs w:val="18"/>
          <w:lang w:val="en-US"/>
        </w:rPr>
        <w:t xml:space="preserve"> gene, encoding nitrous oxide </w:t>
      </w:r>
      <w:proofErr w:type="spellStart"/>
      <w:r w:rsidRPr="00511229">
        <w:rPr>
          <w:sz w:val="18"/>
          <w:szCs w:val="18"/>
          <w:lang w:val="en-US"/>
        </w:rPr>
        <w:t>reductase</w:t>
      </w:r>
      <w:proofErr w:type="spellEnd"/>
      <w:r w:rsidRPr="00511229">
        <w:rPr>
          <w:sz w:val="18"/>
          <w:szCs w:val="18"/>
          <w:lang w:val="en-US"/>
        </w:rPr>
        <w:t xml:space="preserve">, and comparison of the abundances of 16S </w:t>
      </w:r>
      <w:proofErr w:type="spellStart"/>
      <w:r w:rsidRPr="00511229">
        <w:rPr>
          <w:sz w:val="18"/>
          <w:szCs w:val="18"/>
          <w:lang w:val="en-US"/>
        </w:rPr>
        <w:t>rRNA</w:t>
      </w:r>
      <w:proofErr w:type="spellEnd"/>
      <w:r w:rsidRPr="00511229">
        <w:rPr>
          <w:sz w:val="18"/>
          <w:szCs w:val="18"/>
          <w:lang w:val="en-US"/>
        </w:rPr>
        <w:t xml:space="preserve">, </w:t>
      </w:r>
      <w:proofErr w:type="spellStart"/>
      <w:r w:rsidRPr="004E7267">
        <w:rPr>
          <w:i/>
          <w:sz w:val="18"/>
          <w:szCs w:val="18"/>
          <w:lang w:val="en-US"/>
        </w:rPr>
        <w:t>narG</w:t>
      </w:r>
      <w:proofErr w:type="spellEnd"/>
      <w:r w:rsidRPr="00511229">
        <w:rPr>
          <w:sz w:val="18"/>
          <w:szCs w:val="18"/>
          <w:lang w:val="en-US"/>
        </w:rPr>
        <w:t xml:space="preserve">, </w:t>
      </w:r>
      <w:proofErr w:type="spellStart"/>
      <w:r w:rsidRPr="004E7267">
        <w:rPr>
          <w:i/>
          <w:sz w:val="18"/>
          <w:szCs w:val="18"/>
          <w:lang w:val="en-US"/>
        </w:rPr>
        <w:t>nirK</w:t>
      </w:r>
      <w:proofErr w:type="spellEnd"/>
      <w:r w:rsidRPr="00511229">
        <w:rPr>
          <w:sz w:val="18"/>
          <w:szCs w:val="18"/>
          <w:lang w:val="en-US"/>
        </w:rPr>
        <w:t xml:space="preserve">, and </w:t>
      </w:r>
      <w:proofErr w:type="spellStart"/>
      <w:r w:rsidRPr="004E7267">
        <w:rPr>
          <w:i/>
          <w:sz w:val="18"/>
          <w:szCs w:val="18"/>
          <w:lang w:val="en-US"/>
        </w:rPr>
        <w:t>nosZ</w:t>
      </w:r>
      <w:proofErr w:type="spellEnd"/>
      <w:r w:rsidRPr="00511229">
        <w:rPr>
          <w:sz w:val="18"/>
          <w:szCs w:val="18"/>
          <w:lang w:val="en-US"/>
        </w:rPr>
        <w:t xml:space="preserve"> genes in soils. </w:t>
      </w:r>
      <w:r w:rsidRPr="00511229">
        <w:rPr>
          <w:i/>
          <w:sz w:val="18"/>
          <w:szCs w:val="18"/>
          <w:lang w:val="en-US"/>
        </w:rPr>
        <w:t xml:space="preserve">Appl. Environ. </w:t>
      </w:r>
      <w:proofErr w:type="spellStart"/>
      <w:r w:rsidRPr="00511229">
        <w:rPr>
          <w:i/>
          <w:sz w:val="18"/>
          <w:szCs w:val="18"/>
          <w:lang w:val="en-US"/>
        </w:rPr>
        <w:t>Microb</w:t>
      </w:r>
      <w:proofErr w:type="spellEnd"/>
      <w:r w:rsidRPr="00511229">
        <w:rPr>
          <w:i/>
          <w:sz w:val="18"/>
          <w:szCs w:val="18"/>
          <w:lang w:val="en-US"/>
        </w:rPr>
        <w:t>.</w:t>
      </w:r>
      <w:r w:rsidRPr="00511229">
        <w:rPr>
          <w:sz w:val="18"/>
          <w:szCs w:val="18"/>
          <w:lang w:val="en-US"/>
        </w:rPr>
        <w:t xml:space="preserve"> 72, 5181–5189. </w:t>
      </w:r>
      <w:proofErr w:type="spellStart"/>
      <w:proofErr w:type="gramStart"/>
      <w:r w:rsidRPr="00511229">
        <w:rPr>
          <w:rFonts w:eastAsia="Times New Roman"/>
          <w:sz w:val="18"/>
          <w:szCs w:val="18"/>
          <w:lang w:val="en-US"/>
        </w:rPr>
        <w:t>doi</w:t>
      </w:r>
      <w:proofErr w:type="spellEnd"/>
      <w:proofErr w:type="gramEnd"/>
      <w:r w:rsidRPr="00511229">
        <w:rPr>
          <w:rFonts w:eastAsia="Times New Roman"/>
          <w:sz w:val="18"/>
          <w:szCs w:val="18"/>
          <w:lang w:val="en-US"/>
        </w:rPr>
        <w:t>: 10.1128/AEM.00231-06</w:t>
      </w:r>
    </w:p>
    <w:p w:rsidR="00C449C7" w:rsidRPr="00511229" w:rsidRDefault="00C449C7" w:rsidP="00C449C7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sz w:val="18"/>
          <w:szCs w:val="18"/>
          <w:lang w:val="en-US"/>
        </w:rPr>
      </w:pPr>
      <w:proofErr w:type="spellStart"/>
      <w:r w:rsidRPr="00511229">
        <w:rPr>
          <w:sz w:val="18"/>
          <w:szCs w:val="18"/>
          <w:lang w:val="en-US"/>
        </w:rPr>
        <w:t>Luton</w:t>
      </w:r>
      <w:proofErr w:type="spellEnd"/>
      <w:r w:rsidRPr="00511229">
        <w:rPr>
          <w:sz w:val="18"/>
          <w:szCs w:val="18"/>
          <w:lang w:val="en-US"/>
        </w:rPr>
        <w:t xml:space="preserve">, P. E., Wayne, J. M., Sharp, R. J., and Riley, P. W. (2002). </w:t>
      </w:r>
      <w:proofErr w:type="gramStart"/>
      <w:r w:rsidRPr="00511229">
        <w:rPr>
          <w:sz w:val="18"/>
          <w:szCs w:val="18"/>
          <w:lang w:val="en-US"/>
        </w:rPr>
        <w:t xml:space="preserve">The </w:t>
      </w:r>
      <w:proofErr w:type="spellStart"/>
      <w:r w:rsidRPr="004E7267">
        <w:rPr>
          <w:i/>
          <w:sz w:val="18"/>
          <w:szCs w:val="18"/>
          <w:lang w:val="en-US"/>
        </w:rPr>
        <w:t>mcrA</w:t>
      </w:r>
      <w:proofErr w:type="spellEnd"/>
      <w:r w:rsidRPr="00511229">
        <w:rPr>
          <w:sz w:val="18"/>
          <w:szCs w:val="18"/>
          <w:lang w:val="en-US"/>
        </w:rPr>
        <w:t xml:space="preserve"> gene as an alternative to 16S </w:t>
      </w:r>
      <w:proofErr w:type="spellStart"/>
      <w:r w:rsidRPr="00511229">
        <w:rPr>
          <w:sz w:val="18"/>
          <w:szCs w:val="18"/>
          <w:lang w:val="en-US"/>
        </w:rPr>
        <w:t>rRNA</w:t>
      </w:r>
      <w:proofErr w:type="spellEnd"/>
      <w:r w:rsidRPr="00511229">
        <w:rPr>
          <w:sz w:val="18"/>
          <w:szCs w:val="18"/>
          <w:lang w:val="en-US"/>
        </w:rPr>
        <w:t xml:space="preserve"> in the phylogenetic analysis of methanogen populations in landfill.</w:t>
      </w:r>
      <w:proofErr w:type="gramEnd"/>
      <w:r w:rsidRPr="00511229">
        <w:rPr>
          <w:sz w:val="18"/>
          <w:szCs w:val="18"/>
          <w:lang w:val="en-US"/>
        </w:rPr>
        <w:t xml:space="preserve"> </w:t>
      </w:r>
      <w:r w:rsidRPr="00511229">
        <w:rPr>
          <w:i/>
          <w:sz w:val="18"/>
          <w:szCs w:val="18"/>
          <w:lang w:val="en-US"/>
        </w:rPr>
        <w:t>Microbiology</w:t>
      </w:r>
      <w:r w:rsidRPr="00511229">
        <w:rPr>
          <w:sz w:val="18"/>
          <w:szCs w:val="18"/>
          <w:lang w:val="en-US"/>
        </w:rPr>
        <w:t xml:space="preserve"> 148, 3521–3530. </w:t>
      </w:r>
      <w:proofErr w:type="spellStart"/>
      <w:proofErr w:type="gramStart"/>
      <w:r w:rsidRPr="00511229">
        <w:rPr>
          <w:rFonts w:eastAsia="Times New Roman"/>
          <w:sz w:val="18"/>
          <w:szCs w:val="18"/>
          <w:lang w:val="en-US"/>
        </w:rPr>
        <w:t>doi</w:t>
      </w:r>
      <w:proofErr w:type="spellEnd"/>
      <w:proofErr w:type="gramEnd"/>
      <w:r w:rsidRPr="00511229">
        <w:rPr>
          <w:rFonts w:eastAsia="Times New Roman"/>
          <w:sz w:val="18"/>
          <w:szCs w:val="18"/>
          <w:lang w:val="en-US"/>
        </w:rPr>
        <w:t>: 10.1099/00221287-148-11-3521</w:t>
      </w:r>
    </w:p>
    <w:p w:rsidR="00C449C7" w:rsidRPr="00511229" w:rsidRDefault="00C449C7" w:rsidP="00C449C7">
      <w:pPr>
        <w:spacing w:line="360" w:lineRule="auto"/>
        <w:ind w:left="284" w:hanging="284"/>
        <w:rPr>
          <w:rFonts w:eastAsia="Times New Roman"/>
          <w:sz w:val="18"/>
          <w:szCs w:val="18"/>
          <w:lang w:val="en-US"/>
        </w:rPr>
      </w:pPr>
      <w:r w:rsidRPr="00511229">
        <w:rPr>
          <w:rFonts w:eastAsia="Times New Roman"/>
          <w:sz w:val="18"/>
          <w:szCs w:val="18"/>
          <w:lang w:val="en-US"/>
        </w:rPr>
        <w:t xml:space="preserve">Pester, M., </w:t>
      </w:r>
      <w:proofErr w:type="spellStart"/>
      <w:r w:rsidRPr="00511229">
        <w:rPr>
          <w:rFonts w:eastAsia="Times New Roman"/>
          <w:sz w:val="18"/>
          <w:szCs w:val="18"/>
          <w:lang w:val="en-US"/>
        </w:rPr>
        <w:t>Maixner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, F., Berry, D., </w:t>
      </w:r>
      <w:proofErr w:type="spellStart"/>
      <w:r w:rsidRPr="00511229">
        <w:rPr>
          <w:rFonts w:eastAsia="Times New Roman"/>
          <w:sz w:val="18"/>
          <w:szCs w:val="18"/>
          <w:lang w:val="en-US"/>
        </w:rPr>
        <w:t>Rattei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, T., Koch, H., </w:t>
      </w:r>
      <w:proofErr w:type="spellStart"/>
      <w:r w:rsidRPr="00511229">
        <w:rPr>
          <w:rFonts w:eastAsia="Times New Roman"/>
          <w:sz w:val="18"/>
          <w:szCs w:val="18"/>
          <w:lang w:val="en-US"/>
        </w:rPr>
        <w:t>Lücker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, S., et al. (2014). </w:t>
      </w:r>
      <w:proofErr w:type="spellStart"/>
      <w:proofErr w:type="gramStart"/>
      <w:r w:rsidRPr="00511229">
        <w:rPr>
          <w:rFonts w:eastAsia="Times New Roman"/>
          <w:sz w:val="18"/>
          <w:szCs w:val="18"/>
          <w:lang w:val="en-US"/>
        </w:rPr>
        <w:t>NxrB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 encoding the beta subunit of nitrite </w:t>
      </w:r>
      <w:proofErr w:type="spellStart"/>
      <w:r w:rsidRPr="00511229">
        <w:rPr>
          <w:rFonts w:eastAsia="Times New Roman"/>
          <w:sz w:val="18"/>
          <w:szCs w:val="18"/>
          <w:lang w:val="en-US"/>
        </w:rPr>
        <w:t>oxidoreductase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 as functional and phylogenetic marker for nitrite-oxidizing </w:t>
      </w:r>
      <w:proofErr w:type="spellStart"/>
      <w:r w:rsidRPr="00511229">
        <w:rPr>
          <w:rFonts w:eastAsia="Times New Roman"/>
          <w:i/>
          <w:sz w:val="18"/>
          <w:szCs w:val="18"/>
          <w:lang w:val="en-US"/>
        </w:rPr>
        <w:t>Nitrospira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>.</w:t>
      </w:r>
      <w:proofErr w:type="gramEnd"/>
      <w:r w:rsidRPr="00511229">
        <w:rPr>
          <w:rFonts w:eastAsia="Times New Roman"/>
          <w:sz w:val="18"/>
          <w:szCs w:val="18"/>
          <w:lang w:val="en-US"/>
        </w:rPr>
        <w:t xml:space="preserve"> </w:t>
      </w:r>
      <w:r w:rsidRPr="00511229">
        <w:rPr>
          <w:rFonts w:eastAsia="Times New Roman"/>
          <w:i/>
          <w:sz w:val="18"/>
          <w:szCs w:val="18"/>
          <w:lang w:val="en-US"/>
        </w:rPr>
        <w:t xml:space="preserve">Environ. </w:t>
      </w:r>
      <w:proofErr w:type="spellStart"/>
      <w:r w:rsidRPr="00511229">
        <w:rPr>
          <w:rFonts w:eastAsia="Times New Roman"/>
          <w:i/>
          <w:sz w:val="18"/>
          <w:szCs w:val="18"/>
          <w:lang w:val="en-US"/>
        </w:rPr>
        <w:t>Microbiol</w:t>
      </w:r>
      <w:proofErr w:type="spellEnd"/>
      <w:r w:rsidRPr="00511229">
        <w:rPr>
          <w:rFonts w:eastAsia="Times New Roman"/>
          <w:i/>
          <w:sz w:val="18"/>
          <w:szCs w:val="18"/>
          <w:lang w:val="en-US"/>
        </w:rPr>
        <w:t>.</w:t>
      </w:r>
      <w:r w:rsidRPr="00511229">
        <w:rPr>
          <w:rFonts w:eastAsia="Times New Roman"/>
          <w:sz w:val="18"/>
          <w:szCs w:val="18"/>
          <w:lang w:val="en-US"/>
        </w:rPr>
        <w:t xml:space="preserve"> 16, 3055–3071. </w:t>
      </w:r>
      <w:proofErr w:type="spellStart"/>
      <w:proofErr w:type="gramStart"/>
      <w:r w:rsidRPr="00511229">
        <w:rPr>
          <w:rFonts w:eastAsia="Times New Roman"/>
          <w:sz w:val="18"/>
          <w:szCs w:val="18"/>
          <w:lang w:val="en-US"/>
        </w:rPr>
        <w:t>doi</w:t>
      </w:r>
      <w:proofErr w:type="spellEnd"/>
      <w:proofErr w:type="gramEnd"/>
      <w:r w:rsidRPr="00511229">
        <w:rPr>
          <w:rFonts w:eastAsia="Times New Roman"/>
          <w:sz w:val="18"/>
          <w:szCs w:val="18"/>
          <w:lang w:val="en-US"/>
        </w:rPr>
        <w:t>: 10.1111/1462-2920.12300</w:t>
      </w:r>
    </w:p>
    <w:p w:rsidR="00C449C7" w:rsidRPr="00511229" w:rsidRDefault="00C449C7" w:rsidP="00C449C7">
      <w:pPr>
        <w:spacing w:line="360" w:lineRule="auto"/>
        <w:ind w:left="284" w:hanging="284"/>
        <w:rPr>
          <w:rFonts w:eastAsia="Times New Roman"/>
          <w:sz w:val="18"/>
          <w:szCs w:val="18"/>
          <w:lang w:val="en-US"/>
        </w:rPr>
      </w:pPr>
      <w:proofErr w:type="gramStart"/>
      <w:r w:rsidRPr="00511229">
        <w:rPr>
          <w:rStyle w:val="mixed-citation"/>
          <w:rFonts w:eastAsia="Times New Roman"/>
          <w:sz w:val="18"/>
          <w:szCs w:val="18"/>
          <w:lang w:val="en-US"/>
        </w:rPr>
        <w:t xml:space="preserve">Poly, F., </w:t>
      </w:r>
      <w:proofErr w:type="spellStart"/>
      <w:r w:rsidRPr="00511229">
        <w:rPr>
          <w:rStyle w:val="mixed-citation"/>
          <w:rFonts w:eastAsia="Times New Roman"/>
          <w:sz w:val="18"/>
          <w:szCs w:val="18"/>
          <w:lang w:val="en-US"/>
        </w:rPr>
        <w:t>Monrozier</w:t>
      </w:r>
      <w:proofErr w:type="spellEnd"/>
      <w:r w:rsidRPr="00511229">
        <w:rPr>
          <w:rStyle w:val="mixed-citation"/>
          <w:rFonts w:eastAsia="Times New Roman"/>
          <w:sz w:val="18"/>
          <w:szCs w:val="18"/>
          <w:lang w:val="en-US"/>
        </w:rPr>
        <w:t xml:space="preserve"> L. J., and Bally, R. (2001).</w:t>
      </w:r>
      <w:proofErr w:type="gramEnd"/>
      <w:r w:rsidRPr="00511229">
        <w:rPr>
          <w:rStyle w:val="mixed-citation"/>
          <w:rFonts w:eastAsia="Times New Roman"/>
          <w:sz w:val="18"/>
          <w:szCs w:val="18"/>
          <w:lang w:val="en-US"/>
        </w:rPr>
        <w:t xml:space="preserve"> </w:t>
      </w:r>
      <w:proofErr w:type="gramStart"/>
      <w:r w:rsidRPr="00511229">
        <w:rPr>
          <w:rStyle w:val="ref-title"/>
          <w:rFonts w:eastAsia="Times New Roman"/>
          <w:sz w:val="18"/>
          <w:szCs w:val="18"/>
          <w:lang w:val="en-US"/>
        </w:rPr>
        <w:t xml:space="preserve">Improvement in the RFLP procedure for studying the diversity of </w:t>
      </w:r>
      <w:proofErr w:type="spellStart"/>
      <w:r w:rsidRPr="00511229">
        <w:rPr>
          <w:rStyle w:val="Herausstellen"/>
          <w:rFonts w:eastAsia="Times New Roman"/>
          <w:sz w:val="18"/>
          <w:szCs w:val="18"/>
          <w:lang w:val="en-US"/>
        </w:rPr>
        <w:t>nifH</w:t>
      </w:r>
      <w:proofErr w:type="spellEnd"/>
      <w:r w:rsidRPr="00511229">
        <w:rPr>
          <w:rStyle w:val="ref-title"/>
          <w:rFonts w:eastAsia="Times New Roman"/>
          <w:sz w:val="18"/>
          <w:szCs w:val="18"/>
          <w:lang w:val="en-US"/>
        </w:rPr>
        <w:t xml:space="preserve"> genes in communities of nitrogen fixers in soil</w:t>
      </w:r>
      <w:r w:rsidRPr="00511229">
        <w:rPr>
          <w:rStyle w:val="mixed-citation"/>
          <w:rFonts w:eastAsia="Times New Roman"/>
          <w:sz w:val="18"/>
          <w:szCs w:val="18"/>
          <w:lang w:val="en-US"/>
        </w:rPr>
        <w:t>.</w:t>
      </w:r>
      <w:proofErr w:type="gramEnd"/>
      <w:r w:rsidRPr="00511229">
        <w:rPr>
          <w:rStyle w:val="mixed-citation"/>
          <w:rFonts w:eastAsia="Times New Roman"/>
          <w:sz w:val="18"/>
          <w:szCs w:val="18"/>
          <w:lang w:val="en-US"/>
        </w:rPr>
        <w:t xml:space="preserve"> </w:t>
      </w:r>
      <w:r w:rsidRPr="00511229">
        <w:rPr>
          <w:rStyle w:val="ref-journal"/>
          <w:rFonts w:eastAsia="Times New Roman"/>
          <w:sz w:val="18"/>
          <w:szCs w:val="18"/>
          <w:lang w:val="en-US"/>
        </w:rPr>
        <w:t xml:space="preserve">Res. </w:t>
      </w:r>
      <w:proofErr w:type="spellStart"/>
      <w:r w:rsidRPr="00511229">
        <w:rPr>
          <w:rStyle w:val="ref-journal"/>
          <w:rFonts w:eastAsia="Times New Roman"/>
          <w:sz w:val="18"/>
          <w:szCs w:val="18"/>
          <w:lang w:val="en-US"/>
        </w:rPr>
        <w:t>Microbiol</w:t>
      </w:r>
      <w:proofErr w:type="spellEnd"/>
      <w:r w:rsidRPr="00511229">
        <w:rPr>
          <w:rStyle w:val="ref-journal"/>
          <w:rFonts w:eastAsia="Times New Roman"/>
          <w:sz w:val="18"/>
          <w:szCs w:val="18"/>
          <w:lang w:val="en-US"/>
        </w:rPr>
        <w:t>.</w:t>
      </w:r>
      <w:r w:rsidRPr="00511229">
        <w:rPr>
          <w:rStyle w:val="mixed-citation"/>
          <w:rFonts w:eastAsia="Times New Roman"/>
          <w:sz w:val="18"/>
          <w:szCs w:val="18"/>
          <w:lang w:val="en-US"/>
        </w:rPr>
        <w:t xml:space="preserve"> </w:t>
      </w:r>
      <w:r w:rsidRPr="00511229">
        <w:rPr>
          <w:rStyle w:val="ref-vol"/>
          <w:sz w:val="18"/>
          <w:szCs w:val="18"/>
          <w:lang w:val="en-US"/>
        </w:rPr>
        <w:t>152</w:t>
      </w:r>
      <w:r w:rsidRPr="00511229">
        <w:rPr>
          <w:rStyle w:val="mixed-citation"/>
          <w:rFonts w:eastAsia="Times New Roman"/>
          <w:sz w:val="18"/>
          <w:szCs w:val="18"/>
          <w:lang w:val="en-US"/>
        </w:rPr>
        <w:t xml:space="preserve">, 95–103. </w:t>
      </w:r>
      <w:proofErr w:type="spellStart"/>
      <w:proofErr w:type="gramStart"/>
      <w:r w:rsidRPr="00511229">
        <w:rPr>
          <w:rFonts w:eastAsia="Times New Roman"/>
          <w:sz w:val="18"/>
          <w:szCs w:val="18"/>
          <w:lang w:val="en-US"/>
        </w:rPr>
        <w:t>doi</w:t>
      </w:r>
      <w:proofErr w:type="spellEnd"/>
      <w:proofErr w:type="gramEnd"/>
      <w:r w:rsidRPr="00511229">
        <w:rPr>
          <w:rFonts w:eastAsia="Times New Roman"/>
          <w:sz w:val="18"/>
          <w:szCs w:val="18"/>
          <w:lang w:val="en-US"/>
        </w:rPr>
        <w:t>: 10.1016/s0923-2508(00)01172-4</w:t>
      </w:r>
    </w:p>
    <w:p w:rsidR="00C449C7" w:rsidRDefault="00C449C7" w:rsidP="00C449C7">
      <w:pPr>
        <w:spacing w:line="360" w:lineRule="auto"/>
        <w:ind w:left="284" w:hanging="284"/>
        <w:rPr>
          <w:rFonts w:eastAsia="Times New Roman"/>
          <w:sz w:val="18"/>
          <w:szCs w:val="18"/>
          <w:lang w:val="en-US"/>
        </w:rPr>
      </w:pPr>
      <w:proofErr w:type="spellStart"/>
      <w:r w:rsidRPr="00511229">
        <w:rPr>
          <w:rFonts w:eastAsia="Times New Roman"/>
          <w:sz w:val="18"/>
          <w:szCs w:val="18"/>
          <w:lang w:val="en-US"/>
        </w:rPr>
        <w:t>Rotthauwe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, J. H., </w:t>
      </w:r>
      <w:proofErr w:type="spellStart"/>
      <w:r w:rsidRPr="00511229">
        <w:rPr>
          <w:rFonts w:eastAsia="Times New Roman"/>
          <w:sz w:val="18"/>
          <w:szCs w:val="18"/>
          <w:lang w:val="en-US"/>
        </w:rPr>
        <w:t>Witzel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, K. P., and </w:t>
      </w:r>
      <w:proofErr w:type="spellStart"/>
      <w:r w:rsidRPr="00511229">
        <w:rPr>
          <w:rFonts w:eastAsia="Times New Roman"/>
          <w:sz w:val="18"/>
          <w:szCs w:val="18"/>
          <w:lang w:val="en-US"/>
        </w:rPr>
        <w:t>Liesack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, W. (1997). The ammonia </w:t>
      </w:r>
      <w:proofErr w:type="spellStart"/>
      <w:r w:rsidRPr="00511229">
        <w:rPr>
          <w:rFonts w:eastAsia="Times New Roman"/>
          <w:sz w:val="18"/>
          <w:szCs w:val="18"/>
          <w:lang w:val="en-US"/>
        </w:rPr>
        <w:t>monooxygenase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 structural gene </w:t>
      </w:r>
      <w:proofErr w:type="spellStart"/>
      <w:r w:rsidRPr="00511229">
        <w:rPr>
          <w:rFonts w:eastAsia="Times New Roman"/>
          <w:i/>
          <w:sz w:val="18"/>
          <w:szCs w:val="18"/>
          <w:lang w:val="en-US"/>
        </w:rPr>
        <w:t>amo</w:t>
      </w:r>
      <w:r>
        <w:rPr>
          <w:rFonts w:eastAsia="Times New Roman"/>
          <w:i/>
          <w:sz w:val="18"/>
          <w:szCs w:val="18"/>
          <w:lang w:val="en-US"/>
        </w:rPr>
        <w:t>A</w:t>
      </w:r>
      <w:proofErr w:type="spellEnd"/>
      <w:r w:rsidRPr="00511229">
        <w:rPr>
          <w:rFonts w:eastAsia="Times New Roman"/>
          <w:sz w:val="18"/>
          <w:szCs w:val="18"/>
          <w:lang w:val="en-US"/>
        </w:rPr>
        <w:t xml:space="preserve"> as a functional marker: molecular fine-scale analysis of natural ammonia-oxidizing populations. </w:t>
      </w:r>
      <w:r w:rsidRPr="00511229">
        <w:rPr>
          <w:rFonts w:eastAsia="Times New Roman"/>
          <w:i/>
          <w:sz w:val="18"/>
          <w:szCs w:val="18"/>
          <w:lang w:val="en-US"/>
        </w:rPr>
        <w:t xml:space="preserve">Appl. Environ. </w:t>
      </w:r>
      <w:proofErr w:type="spellStart"/>
      <w:r w:rsidRPr="00511229">
        <w:rPr>
          <w:rFonts w:eastAsia="Times New Roman"/>
          <w:i/>
          <w:sz w:val="18"/>
          <w:szCs w:val="18"/>
          <w:lang w:val="en-US"/>
        </w:rPr>
        <w:t>Microbiol</w:t>
      </w:r>
      <w:proofErr w:type="spellEnd"/>
      <w:r w:rsidRPr="00511229">
        <w:rPr>
          <w:rFonts w:eastAsia="Times New Roman"/>
          <w:i/>
          <w:sz w:val="18"/>
          <w:szCs w:val="18"/>
          <w:lang w:val="en-US"/>
        </w:rPr>
        <w:t>.</w:t>
      </w:r>
      <w:r w:rsidRPr="00511229">
        <w:rPr>
          <w:rFonts w:eastAsia="Times New Roman"/>
          <w:sz w:val="18"/>
          <w:szCs w:val="18"/>
          <w:lang w:val="en-US"/>
        </w:rPr>
        <w:t xml:space="preserve"> 63, 4704–4712</w:t>
      </w:r>
    </w:p>
    <w:p w:rsidR="00C449C7" w:rsidRPr="00511229" w:rsidRDefault="00C449C7" w:rsidP="00C449C7">
      <w:pPr>
        <w:spacing w:line="360" w:lineRule="auto"/>
        <w:ind w:left="284" w:hanging="284"/>
        <w:rPr>
          <w:rFonts w:eastAsia="Times New Roman"/>
          <w:sz w:val="18"/>
          <w:szCs w:val="18"/>
          <w:lang w:val="en-US"/>
        </w:rPr>
      </w:pPr>
      <w:proofErr w:type="spellStart"/>
      <w:r w:rsidRPr="00511229">
        <w:rPr>
          <w:rStyle w:val="mixed-citation"/>
          <w:rFonts w:eastAsia="Times New Roman"/>
          <w:sz w:val="18"/>
          <w:szCs w:val="18"/>
        </w:rPr>
        <w:t>Throbäck</w:t>
      </w:r>
      <w:proofErr w:type="spellEnd"/>
      <w:r>
        <w:rPr>
          <w:rStyle w:val="mixed-citation"/>
          <w:rFonts w:eastAsia="Times New Roman"/>
          <w:sz w:val="18"/>
          <w:szCs w:val="18"/>
        </w:rPr>
        <w:t>,</w:t>
      </w:r>
      <w:r w:rsidRPr="00511229">
        <w:rPr>
          <w:rStyle w:val="mixed-citation"/>
          <w:rFonts w:eastAsia="Times New Roman"/>
          <w:sz w:val="18"/>
          <w:szCs w:val="18"/>
        </w:rPr>
        <w:t xml:space="preserve"> I. N., </w:t>
      </w:r>
      <w:proofErr w:type="spellStart"/>
      <w:r w:rsidRPr="00511229">
        <w:rPr>
          <w:rStyle w:val="mixed-citation"/>
          <w:rFonts w:eastAsia="Times New Roman"/>
          <w:sz w:val="18"/>
          <w:szCs w:val="18"/>
        </w:rPr>
        <w:t>Enwall</w:t>
      </w:r>
      <w:proofErr w:type="spellEnd"/>
      <w:r>
        <w:rPr>
          <w:rStyle w:val="mixed-citation"/>
          <w:rFonts w:eastAsia="Times New Roman"/>
          <w:sz w:val="18"/>
          <w:szCs w:val="18"/>
        </w:rPr>
        <w:t>,</w:t>
      </w:r>
      <w:r w:rsidRPr="00511229">
        <w:rPr>
          <w:rStyle w:val="mixed-citation"/>
          <w:rFonts w:eastAsia="Times New Roman"/>
          <w:sz w:val="18"/>
          <w:szCs w:val="18"/>
        </w:rPr>
        <w:t xml:space="preserve"> K., Jarvis</w:t>
      </w:r>
      <w:r>
        <w:rPr>
          <w:rStyle w:val="mixed-citation"/>
          <w:rFonts w:eastAsia="Times New Roman"/>
          <w:sz w:val="18"/>
          <w:szCs w:val="18"/>
        </w:rPr>
        <w:t>,</w:t>
      </w:r>
      <w:r w:rsidRPr="00511229">
        <w:rPr>
          <w:rStyle w:val="mixed-citation"/>
          <w:rFonts w:eastAsia="Times New Roman"/>
          <w:sz w:val="18"/>
          <w:szCs w:val="18"/>
        </w:rPr>
        <w:t xml:space="preserve"> A., </w:t>
      </w:r>
      <w:proofErr w:type="spellStart"/>
      <w:r>
        <w:rPr>
          <w:rStyle w:val="mixed-citation"/>
          <w:rFonts w:eastAsia="Times New Roman"/>
          <w:sz w:val="18"/>
          <w:szCs w:val="18"/>
        </w:rPr>
        <w:t>and</w:t>
      </w:r>
      <w:proofErr w:type="spellEnd"/>
      <w:r>
        <w:rPr>
          <w:rStyle w:val="mixed-citation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mixed-citation"/>
          <w:rFonts w:eastAsia="Times New Roman"/>
          <w:sz w:val="18"/>
          <w:szCs w:val="18"/>
        </w:rPr>
        <w:t>Hallin</w:t>
      </w:r>
      <w:proofErr w:type="spellEnd"/>
      <w:r>
        <w:rPr>
          <w:rStyle w:val="mixed-citation"/>
          <w:rFonts w:eastAsia="Times New Roman"/>
          <w:sz w:val="18"/>
          <w:szCs w:val="18"/>
        </w:rPr>
        <w:t>,</w:t>
      </w:r>
      <w:r w:rsidRPr="00511229">
        <w:rPr>
          <w:rStyle w:val="mixed-citation"/>
          <w:rFonts w:eastAsia="Times New Roman"/>
          <w:sz w:val="18"/>
          <w:szCs w:val="18"/>
        </w:rPr>
        <w:t xml:space="preserve"> S. (2004).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Reassessing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PCR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primers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targeting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i/>
          <w:sz w:val="18"/>
          <w:szCs w:val="18"/>
        </w:rPr>
        <w:t>nirS</w:t>
      </w:r>
      <w:proofErr w:type="spellEnd"/>
      <w:r w:rsidRPr="00511229">
        <w:rPr>
          <w:rStyle w:val="ref-title"/>
          <w:rFonts w:eastAsia="Times New Roman"/>
          <w:i/>
          <w:sz w:val="18"/>
          <w:szCs w:val="18"/>
        </w:rPr>
        <w:t xml:space="preserve">, </w:t>
      </w:r>
      <w:proofErr w:type="spellStart"/>
      <w:r w:rsidRPr="00511229">
        <w:rPr>
          <w:rStyle w:val="ref-title"/>
          <w:rFonts w:eastAsia="Times New Roman"/>
          <w:i/>
          <w:sz w:val="18"/>
          <w:szCs w:val="18"/>
        </w:rPr>
        <w:t>nirK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and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i/>
          <w:sz w:val="18"/>
          <w:szCs w:val="18"/>
        </w:rPr>
        <w:t>nosZ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genes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for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community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surveys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of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denitrifying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bacteria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</w:t>
      </w:r>
      <w:proofErr w:type="spellStart"/>
      <w:r w:rsidRPr="00511229">
        <w:rPr>
          <w:rStyle w:val="ref-title"/>
          <w:rFonts w:eastAsia="Times New Roman"/>
          <w:sz w:val="18"/>
          <w:szCs w:val="18"/>
        </w:rPr>
        <w:t>with</w:t>
      </w:r>
      <w:proofErr w:type="spellEnd"/>
      <w:r w:rsidRPr="00511229">
        <w:rPr>
          <w:rStyle w:val="ref-title"/>
          <w:rFonts w:eastAsia="Times New Roman"/>
          <w:sz w:val="18"/>
          <w:szCs w:val="18"/>
        </w:rPr>
        <w:t xml:space="preserve"> DGGE.</w:t>
      </w:r>
      <w:r w:rsidRPr="00511229">
        <w:rPr>
          <w:rStyle w:val="mixed-citation"/>
          <w:rFonts w:eastAsia="Times New Roman"/>
          <w:sz w:val="18"/>
          <w:szCs w:val="18"/>
        </w:rPr>
        <w:t xml:space="preserve"> </w:t>
      </w:r>
      <w:r w:rsidRPr="00511229">
        <w:rPr>
          <w:rStyle w:val="Herausstellen"/>
          <w:rFonts w:eastAsia="Times New Roman"/>
          <w:sz w:val="18"/>
          <w:szCs w:val="18"/>
        </w:rPr>
        <w:t xml:space="preserve">FEMS </w:t>
      </w:r>
      <w:proofErr w:type="spellStart"/>
      <w:r w:rsidRPr="00511229">
        <w:rPr>
          <w:rStyle w:val="Herausstellen"/>
          <w:rFonts w:eastAsia="Times New Roman"/>
          <w:sz w:val="18"/>
          <w:szCs w:val="18"/>
        </w:rPr>
        <w:t>Microbiol</w:t>
      </w:r>
      <w:proofErr w:type="spellEnd"/>
      <w:r w:rsidRPr="00511229">
        <w:rPr>
          <w:rStyle w:val="Herausstellen"/>
          <w:rFonts w:eastAsia="Times New Roman"/>
          <w:sz w:val="18"/>
          <w:szCs w:val="18"/>
        </w:rPr>
        <w:t xml:space="preserve">. </w:t>
      </w:r>
      <w:proofErr w:type="spellStart"/>
      <w:r w:rsidRPr="00511229">
        <w:rPr>
          <w:rStyle w:val="Herausstellen"/>
          <w:rFonts w:eastAsia="Times New Roman"/>
          <w:sz w:val="18"/>
          <w:szCs w:val="18"/>
        </w:rPr>
        <w:t>Ecol</w:t>
      </w:r>
      <w:proofErr w:type="spellEnd"/>
      <w:r w:rsidRPr="00511229">
        <w:rPr>
          <w:rStyle w:val="Herausstellen"/>
          <w:rFonts w:eastAsia="Times New Roman"/>
          <w:sz w:val="18"/>
          <w:szCs w:val="18"/>
        </w:rPr>
        <w:t>.</w:t>
      </w:r>
      <w:r w:rsidRPr="00511229">
        <w:rPr>
          <w:rStyle w:val="mixed-citation"/>
          <w:rFonts w:eastAsia="Times New Roman"/>
          <w:sz w:val="18"/>
          <w:szCs w:val="18"/>
        </w:rPr>
        <w:t xml:space="preserve"> </w:t>
      </w:r>
      <w:r w:rsidRPr="00511229">
        <w:rPr>
          <w:rStyle w:val="ref-vol"/>
          <w:rFonts w:eastAsia="Times New Roman"/>
          <w:sz w:val="18"/>
          <w:szCs w:val="18"/>
        </w:rPr>
        <w:t>49,</w:t>
      </w:r>
      <w:r w:rsidRPr="00511229">
        <w:rPr>
          <w:rStyle w:val="mixed-citation"/>
          <w:rFonts w:eastAsia="Times New Roman"/>
          <w:sz w:val="18"/>
          <w:szCs w:val="18"/>
        </w:rPr>
        <w:t xml:space="preserve"> 401–417, </w:t>
      </w:r>
      <w:proofErr w:type="spellStart"/>
      <w:r>
        <w:rPr>
          <w:rStyle w:val="mixed-citation"/>
          <w:rFonts w:eastAsia="Times New Roman"/>
          <w:sz w:val="18"/>
          <w:szCs w:val="18"/>
        </w:rPr>
        <w:t>doi</w:t>
      </w:r>
      <w:proofErr w:type="spellEnd"/>
      <w:r>
        <w:rPr>
          <w:rStyle w:val="mixed-citation"/>
          <w:rFonts w:eastAsia="Times New Roman"/>
          <w:sz w:val="18"/>
          <w:szCs w:val="18"/>
        </w:rPr>
        <w:t xml:space="preserve">: </w:t>
      </w:r>
      <w:r w:rsidRPr="00511229">
        <w:rPr>
          <w:rStyle w:val="mixed-citation"/>
          <w:rFonts w:eastAsia="Times New Roman"/>
          <w:sz w:val="18"/>
          <w:szCs w:val="18"/>
        </w:rPr>
        <w:t>10.1016/j.femsec.2004.04.011</w:t>
      </w:r>
      <w:r w:rsidRPr="00511229">
        <w:rPr>
          <w:rFonts w:eastAsia="Times New Roman"/>
          <w:sz w:val="18"/>
          <w:szCs w:val="18"/>
          <w:lang w:val="en-US"/>
        </w:rPr>
        <w:t xml:space="preserve"> </w:t>
      </w:r>
    </w:p>
    <w:p w:rsidR="00C449C7" w:rsidRPr="00511229" w:rsidRDefault="00C449C7" w:rsidP="00C449C7">
      <w:pPr>
        <w:spacing w:line="360" w:lineRule="auto"/>
        <w:ind w:left="284" w:hanging="284"/>
        <w:rPr>
          <w:sz w:val="18"/>
          <w:szCs w:val="18"/>
          <w:lang w:val="en-GB"/>
        </w:rPr>
      </w:pPr>
    </w:p>
    <w:p w:rsidR="00C449C7" w:rsidRDefault="00C449C7" w:rsidP="00C449C7">
      <w:pPr>
        <w:spacing w:line="480" w:lineRule="auto"/>
        <w:ind w:left="284" w:hanging="284"/>
        <w:rPr>
          <w:lang w:val="en-GB"/>
        </w:rPr>
      </w:pPr>
    </w:p>
    <w:p w:rsidR="00C449C7" w:rsidRPr="00676668" w:rsidRDefault="00C449C7" w:rsidP="00C449C7">
      <w:pPr>
        <w:rPr>
          <w:sz w:val="20"/>
          <w:szCs w:val="20"/>
          <w:lang w:val="en-GB"/>
        </w:rPr>
      </w:pPr>
      <w:r w:rsidRPr="00D608C8">
        <w:rPr>
          <w:sz w:val="16"/>
          <w:szCs w:val="16"/>
          <w:lang w:val="en-GB"/>
        </w:rPr>
        <w:br w:type="page"/>
      </w:r>
    </w:p>
    <w:p w:rsidR="00C449C7" w:rsidRPr="00AF32FC" w:rsidRDefault="00C449C7" w:rsidP="00C449C7">
      <w:pPr>
        <w:spacing w:line="480" w:lineRule="auto"/>
        <w:rPr>
          <w:sz w:val="22"/>
          <w:szCs w:val="22"/>
          <w:lang w:val="en-GB"/>
        </w:rPr>
      </w:pPr>
      <w:proofErr w:type="gramStart"/>
      <w:r w:rsidRPr="00AF32FC">
        <w:rPr>
          <w:b/>
          <w:sz w:val="22"/>
          <w:szCs w:val="22"/>
          <w:lang w:val="en-GB"/>
        </w:rPr>
        <w:t>Supplemental Table 2</w:t>
      </w:r>
      <w:r w:rsidRPr="00AF32FC">
        <w:rPr>
          <w:sz w:val="22"/>
          <w:szCs w:val="22"/>
          <w:lang w:val="en-GB"/>
        </w:rPr>
        <w:t>.</w:t>
      </w:r>
      <w:proofErr w:type="gramEnd"/>
      <w:r w:rsidRPr="00AF32FC">
        <w:rPr>
          <w:sz w:val="22"/>
          <w:szCs w:val="22"/>
          <w:lang w:val="en-GB"/>
        </w:rPr>
        <w:t xml:space="preserve"> </w:t>
      </w:r>
      <w:proofErr w:type="gramStart"/>
      <w:r w:rsidRPr="00AF32FC">
        <w:rPr>
          <w:sz w:val="22"/>
          <w:szCs w:val="22"/>
          <w:lang w:val="en-GB"/>
        </w:rPr>
        <w:t xml:space="preserve">Treatment (N addition) and spatial (horizon) effects on phylogenetic and functional marker genes </w:t>
      </w:r>
      <w:r w:rsidRPr="00AF32FC">
        <w:rPr>
          <w:sz w:val="22"/>
          <w:szCs w:val="22"/>
          <w:lang w:val="en-US"/>
        </w:rPr>
        <w:t xml:space="preserve">in the </w:t>
      </w:r>
      <w:proofErr w:type="spellStart"/>
      <w:r w:rsidRPr="00AF32FC">
        <w:rPr>
          <w:sz w:val="22"/>
          <w:szCs w:val="22"/>
          <w:lang w:val="en-US"/>
        </w:rPr>
        <w:t>Alptal</w:t>
      </w:r>
      <w:proofErr w:type="spellEnd"/>
      <w:r w:rsidRPr="00AF32FC">
        <w:rPr>
          <w:sz w:val="22"/>
          <w:szCs w:val="22"/>
          <w:lang w:val="en-US"/>
        </w:rPr>
        <w:t xml:space="preserve"> N addition experiment.</w:t>
      </w:r>
      <w:proofErr w:type="gramEnd"/>
    </w:p>
    <w:p w:rsidR="00C449C7" w:rsidRPr="00676668" w:rsidRDefault="00C449C7" w:rsidP="00C449C7">
      <w:pPr>
        <w:rPr>
          <w:sz w:val="18"/>
          <w:szCs w:val="18"/>
          <w:lang w:val="en-GB"/>
        </w:rPr>
      </w:pPr>
    </w:p>
    <w:tbl>
      <w:tblPr>
        <w:tblStyle w:val="Tabellenraster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449C7" w:rsidRPr="00676668" w:rsidTr="00EA65ED">
        <w:trPr>
          <w:trHeight w:val="340"/>
        </w:trPr>
        <w:tc>
          <w:tcPr>
            <w:tcW w:w="129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C449C7" w:rsidRPr="00676668" w:rsidRDefault="00C449C7" w:rsidP="00EA65E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</w:pPr>
          </w:p>
        </w:tc>
        <w:tc>
          <w:tcPr>
            <w:tcW w:w="258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C449C7" w:rsidRPr="00676668" w:rsidRDefault="00C449C7" w:rsidP="00EA65E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  <w:t>Treatment*</w:t>
            </w:r>
          </w:p>
        </w:tc>
        <w:tc>
          <w:tcPr>
            <w:tcW w:w="2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C449C7" w:rsidRPr="00676668" w:rsidRDefault="00C449C7" w:rsidP="00EA65E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  <w:t>Horizon</w:t>
            </w:r>
          </w:p>
        </w:tc>
        <w:tc>
          <w:tcPr>
            <w:tcW w:w="2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C449C7" w:rsidRPr="00676668" w:rsidRDefault="00C449C7" w:rsidP="00EA65E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  <w:t xml:space="preserve">Treatment </w:t>
            </w:r>
            <w:r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  <w:t>x</w:t>
            </w:r>
            <w:r w:rsidRPr="00676668">
              <w:rPr>
                <w:rFonts w:ascii="Times New Roman" w:hAnsi="Times New Roman" w:cs="Times New Roman"/>
                <w:sz w:val="20"/>
                <w:szCs w:val="20"/>
                <w:u w:val="thick"/>
                <w:lang w:val="en-GB"/>
              </w:rPr>
              <w:t xml:space="preserve"> Horizon</w:t>
            </w:r>
          </w:p>
        </w:tc>
      </w:tr>
      <w:tr w:rsidR="00C449C7" w:rsidRPr="00676668" w:rsidTr="00EA65ED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</w:pPr>
            <w:proofErr w:type="gramStart"/>
            <w:r w:rsidRPr="0067666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</w:t>
            </w: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gramEnd"/>
            <w:r w:rsidRPr="0067666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1/24)</w:t>
            </w:r>
            <w:r w:rsidRPr="00E2578C">
              <w:t xml:space="preserve"> </w:t>
            </w:r>
            <w:r w:rsidRPr="00F960A8">
              <w:rPr>
                <w:rFonts w:ascii="Times New Roman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gramStart"/>
            <w:r w:rsidRPr="0067666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</w:pPr>
            <w:proofErr w:type="gramStart"/>
            <w:r w:rsidRPr="0067666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</w:t>
            </w: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gramEnd"/>
            <w:r w:rsidRPr="0067666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2/24)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gramStart"/>
            <w:r w:rsidRPr="0067666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</w:pPr>
            <w:proofErr w:type="gramStart"/>
            <w:r w:rsidRPr="0067666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</w:t>
            </w: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gramEnd"/>
            <w:r w:rsidRPr="0067666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2/24)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gramStart"/>
            <w:r w:rsidRPr="0067666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</w:t>
            </w:r>
            <w:proofErr w:type="gramEnd"/>
          </w:p>
        </w:tc>
      </w:tr>
      <w:tr w:rsidR="00C449C7" w:rsidRPr="00676668" w:rsidTr="00EA65ED">
        <w:tc>
          <w:tcPr>
            <w:tcW w:w="12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16S</w:t>
            </w:r>
          </w:p>
        </w:tc>
        <w:tc>
          <w:tcPr>
            <w:tcW w:w="12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0.79</w:t>
            </w:r>
          </w:p>
        </w:tc>
        <w:tc>
          <w:tcPr>
            <w:tcW w:w="12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0.38</w:t>
            </w:r>
          </w:p>
        </w:tc>
        <w:tc>
          <w:tcPr>
            <w:tcW w:w="129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0.92</w:t>
            </w:r>
          </w:p>
        </w:tc>
        <w:tc>
          <w:tcPr>
            <w:tcW w:w="129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0.41</w:t>
            </w:r>
          </w:p>
        </w:tc>
        <w:tc>
          <w:tcPr>
            <w:tcW w:w="129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</w:t>
            </w:r>
          </w:p>
        </w:tc>
        <w:tc>
          <w:tcPr>
            <w:tcW w:w="129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0.93</w:t>
            </w:r>
          </w:p>
        </w:tc>
      </w:tr>
      <w:tr w:rsidR="00C449C7" w:rsidRPr="00676668" w:rsidTr="00EA65ED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ITS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0.72</w:t>
            </w:r>
          </w:p>
        </w:tc>
      </w:tr>
      <w:tr w:rsidR="00C449C7" w:rsidRPr="00676668" w:rsidTr="00EA65ED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bamoA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2.36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0.95</w:t>
            </w:r>
          </w:p>
        </w:tc>
      </w:tr>
      <w:tr w:rsidR="00C449C7" w:rsidRPr="00676668" w:rsidTr="00EA65ED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aamoA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1.52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0.65</w:t>
            </w:r>
          </w:p>
        </w:tc>
      </w:tr>
      <w:tr w:rsidR="00C449C7" w:rsidRPr="00676668" w:rsidTr="00EA65ED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nifH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3.26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0.08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5.55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0.46</w:t>
            </w:r>
          </w:p>
        </w:tc>
      </w:tr>
      <w:tr w:rsidR="00C449C7" w:rsidRPr="00676668" w:rsidTr="00EA65ED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nrxB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3.94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8637C3" w:rsidRDefault="00C449C7" w:rsidP="00EA65ED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8637C3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0.06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9.28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0.73</w:t>
            </w:r>
          </w:p>
        </w:tc>
      </w:tr>
      <w:tr w:rsidR="00C449C7" w:rsidRPr="00676668" w:rsidTr="00EA65ED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nirS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2.07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4.43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0.02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0.52</w:t>
            </w:r>
          </w:p>
        </w:tc>
      </w:tr>
      <w:tr w:rsidR="00C449C7" w:rsidRPr="00676668" w:rsidTr="00EA65ED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nosZ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0.79</w:t>
            </w:r>
          </w:p>
        </w:tc>
      </w:tr>
      <w:tr w:rsidR="00C449C7" w:rsidRPr="00676668" w:rsidTr="00EA65ED">
        <w:tc>
          <w:tcPr>
            <w:tcW w:w="12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mcrA</w:t>
            </w:r>
            <w:proofErr w:type="spellEnd"/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49C7" w:rsidRPr="00676668" w:rsidRDefault="00C449C7" w:rsidP="00EA65E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66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0.45</w:t>
            </w:r>
          </w:p>
        </w:tc>
      </w:tr>
    </w:tbl>
    <w:p w:rsidR="00C449C7" w:rsidRPr="00D608C8" w:rsidRDefault="00C449C7" w:rsidP="00C449C7">
      <w:pPr>
        <w:rPr>
          <w:sz w:val="16"/>
          <w:szCs w:val="16"/>
          <w:lang w:val="en-GB"/>
        </w:rPr>
      </w:pPr>
    </w:p>
    <w:p w:rsidR="00C449C7" w:rsidRPr="00AF32FC" w:rsidRDefault="00C449C7" w:rsidP="00C449C7">
      <w:pPr>
        <w:widowControl w:val="0"/>
        <w:autoSpaceDE w:val="0"/>
        <w:autoSpaceDN w:val="0"/>
        <w:adjustRightInd w:val="0"/>
        <w:spacing w:line="480" w:lineRule="auto"/>
        <w:rPr>
          <w:color w:val="231F20"/>
          <w:sz w:val="22"/>
          <w:szCs w:val="22"/>
          <w:lang w:val="en-US"/>
        </w:rPr>
      </w:pPr>
      <w:r w:rsidRPr="00AF32FC">
        <w:rPr>
          <w:color w:val="231F20"/>
          <w:sz w:val="22"/>
          <w:szCs w:val="22"/>
          <w:lang w:val="en-US"/>
        </w:rPr>
        <w:t xml:space="preserve">*Effects of main factors and their interactions assessed by </w:t>
      </w:r>
      <w:r w:rsidRPr="00AF32FC">
        <w:rPr>
          <w:sz w:val="22"/>
          <w:szCs w:val="22"/>
          <w:lang w:val="en-US"/>
        </w:rPr>
        <w:t>analysis of variance (ANOVA)</w:t>
      </w:r>
      <w:r w:rsidRPr="00AF32FC">
        <w:rPr>
          <w:color w:val="231F20"/>
          <w:sz w:val="22"/>
          <w:szCs w:val="22"/>
          <w:lang w:val="en-US"/>
        </w:rPr>
        <w:t>.</w:t>
      </w:r>
    </w:p>
    <w:p w:rsidR="00C449C7" w:rsidRPr="00AF32FC" w:rsidRDefault="00C449C7" w:rsidP="00C449C7">
      <w:pPr>
        <w:widowControl w:val="0"/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AF32FC">
        <w:rPr>
          <w:color w:val="231F20"/>
          <w:sz w:val="22"/>
          <w:szCs w:val="22"/>
          <w:lang w:val="en-US"/>
        </w:rPr>
        <w:t xml:space="preserve">+Values represent the </w:t>
      </w:r>
      <w:r w:rsidRPr="00AF32FC">
        <w:rPr>
          <w:i/>
          <w:color w:val="231F20"/>
          <w:sz w:val="22"/>
          <w:szCs w:val="22"/>
          <w:lang w:val="en-US"/>
        </w:rPr>
        <w:t>F</w:t>
      </w:r>
      <w:r w:rsidRPr="00AF32FC">
        <w:rPr>
          <w:color w:val="231F20"/>
          <w:sz w:val="22"/>
          <w:szCs w:val="22"/>
          <w:lang w:val="en-US"/>
        </w:rPr>
        <w:t xml:space="preserve">-ratio (degrees of freedom for each factor are given in brackets); </w:t>
      </w:r>
      <w:r w:rsidRPr="00AF32FC">
        <w:rPr>
          <w:sz w:val="22"/>
          <w:szCs w:val="22"/>
          <w:lang w:val="en-US"/>
        </w:rPr>
        <w:t>significant values</w:t>
      </w:r>
      <w:r>
        <w:rPr>
          <w:sz w:val="22"/>
          <w:szCs w:val="22"/>
          <w:lang w:val="en-US"/>
        </w:rPr>
        <w:t xml:space="preserve"> (</w:t>
      </w:r>
      <w:r w:rsidRPr="00AF32FC">
        <w:rPr>
          <w:i/>
          <w:sz w:val="22"/>
          <w:szCs w:val="22"/>
          <w:lang w:val="en-US"/>
        </w:rPr>
        <w:t>p</w:t>
      </w:r>
      <w:r w:rsidRPr="00AF32FC">
        <w:rPr>
          <w:sz w:val="22"/>
          <w:szCs w:val="22"/>
          <w:lang w:val="en-US"/>
        </w:rPr>
        <w:t>&lt;0.</w:t>
      </w:r>
      <w:r>
        <w:rPr>
          <w:sz w:val="22"/>
          <w:szCs w:val="22"/>
          <w:lang w:val="en-US"/>
        </w:rPr>
        <w:t>05)</w:t>
      </w:r>
      <w:r w:rsidRPr="00AF32FC">
        <w:rPr>
          <w:sz w:val="22"/>
          <w:szCs w:val="22"/>
          <w:lang w:val="en-US"/>
        </w:rPr>
        <w:t xml:space="preserve"> are in bold letters and value</w:t>
      </w:r>
      <w:r>
        <w:rPr>
          <w:sz w:val="22"/>
          <w:szCs w:val="22"/>
          <w:lang w:val="en-US"/>
        </w:rPr>
        <w:t>s</w:t>
      </w:r>
      <w:r w:rsidRPr="00AF32FC">
        <w:rPr>
          <w:sz w:val="22"/>
          <w:szCs w:val="22"/>
          <w:lang w:val="en-US"/>
        </w:rPr>
        <w:t xml:space="preserve"> in italics represent </w:t>
      </w:r>
      <w:r w:rsidRPr="00AF32FC">
        <w:rPr>
          <w:i/>
          <w:sz w:val="22"/>
          <w:szCs w:val="22"/>
          <w:lang w:val="en-US"/>
        </w:rPr>
        <w:t>p</w:t>
      </w:r>
      <w:r w:rsidRPr="00AF32FC">
        <w:rPr>
          <w:sz w:val="22"/>
          <w:szCs w:val="22"/>
          <w:lang w:val="en-US"/>
        </w:rPr>
        <w:t>&lt;0.1.</w:t>
      </w:r>
    </w:p>
    <w:p w:rsidR="00C449C7" w:rsidRPr="00D608C8" w:rsidRDefault="00C449C7" w:rsidP="00C449C7">
      <w:pPr>
        <w:rPr>
          <w:sz w:val="16"/>
          <w:szCs w:val="16"/>
          <w:lang w:val="en-US"/>
        </w:rPr>
      </w:pPr>
    </w:p>
    <w:p w:rsidR="00C449C7" w:rsidRPr="0001005F" w:rsidRDefault="00C449C7" w:rsidP="00C449C7">
      <w:pPr>
        <w:spacing w:after="120"/>
        <w:rPr>
          <w:lang w:val="en-GB"/>
        </w:rPr>
      </w:pPr>
    </w:p>
    <w:p w:rsidR="00C449C7" w:rsidRDefault="00C449C7" w:rsidP="00C449C7"/>
    <w:sectPr w:rsidR="00C449C7" w:rsidSect="00F62B8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C7"/>
    <w:rsid w:val="00900BE5"/>
    <w:rsid w:val="00C449C7"/>
    <w:rsid w:val="00F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AB67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49C7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ausstellen">
    <w:name w:val="Emphasis"/>
    <w:basedOn w:val="Absatzstandardschriftart"/>
    <w:uiPriority w:val="20"/>
    <w:qFormat/>
    <w:rsid w:val="00C449C7"/>
    <w:rPr>
      <w:i/>
      <w:iCs/>
    </w:rPr>
  </w:style>
  <w:style w:type="character" w:customStyle="1" w:styleId="mixed-citation">
    <w:name w:val="mixed-citation"/>
    <w:basedOn w:val="Absatzstandardschriftart"/>
    <w:rsid w:val="00C449C7"/>
  </w:style>
  <w:style w:type="character" w:customStyle="1" w:styleId="ref-title">
    <w:name w:val="ref-title"/>
    <w:basedOn w:val="Absatzstandardschriftart"/>
    <w:rsid w:val="00C449C7"/>
  </w:style>
  <w:style w:type="character" w:customStyle="1" w:styleId="ref-journal">
    <w:name w:val="ref-journal"/>
    <w:basedOn w:val="Absatzstandardschriftart"/>
    <w:rsid w:val="00C449C7"/>
  </w:style>
  <w:style w:type="character" w:customStyle="1" w:styleId="ref-vol">
    <w:name w:val="ref-vol"/>
    <w:basedOn w:val="Absatzstandardschriftart"/>
    <w:rsid w:val="00C449C7"/>
  </w:style>
  <w:style w:type="table" w:styleId="Tabellenraster">
    <w:name w:val="Table Grid"/>
    <w:basedOn w:val="NormaleTabelle"/>
    <w:uiPriority w:val="39"/>
    <w:rsid w:val="00C449C7"/>
    <w:rPr>
      <w:rFonts w:asciiTheme="minorHAnsi" w:eastAsiaTheme="minorHAnsi" w:hAnsiTheme="minorHAnsi" w:cstheme="minorBidi"/>
      <w:sz w:val="22"/>
      <w:szCs w:val="22"/>
      <w:lang w:val="de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49C7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ausstellen">
    <w:name w:val="Emphasis"/>
    <w:basedOn w:val="Absatzstandardschriftart"/>
    <w:uiPriority w:val="20"/>
    <w:qFormat/>
    <w:rsid w:val="00C449C7"/>
    <w:rPr>
      <w:i/>
      <w:iCs/>
    </w:rPr>
  </w:style>
  <w:style w:type="character" w:customStyle="1" w:styleId="mixed-citation">
    <w:name w:val="mixed-citation"/>
    <w:basedOn w:val="Absatzstandardschriftart"/>
    <w:rsid w:val="00C449C7"/>
  </w:style>
  <w:style w:type="character" w:customStyle="1" w:styleId="ref-title">
    <w:name w:val="ref-title"/>
    <w:basedOn w:val="Absatzstandardschriftart"/>
    <w:rsid w:val="00C449C7"/>
  </w:style>
  <w:style w:type="character" w:customStyle="1" w:styleId="ref-journal">
    <w:name w:val="ref-journal"/>
    <w:basedOn w:val="Absatzstandardschriftart"/>
    <w:rsid w:val="00C449C7"/>
  </w:style>
  <w:style w:type="character" w:customStyle="1" w:styleId="ref-vol">
    <w:name w:val="ref-vol"/>
    <w:basedOn w:val="Absatzstandardschriftart"/>
    <w:rsid w:val="00C449C7"/>
  </w:style>
  <w:style w:type="table" w:styleId="Tabellenraster">
    <w:name w:val="Table Grid"/>
    <w:basedOn w:val="NormaleTabelle"/>
    <w:uiPriority w:val="39"/>
    <w:rsid w:val="00C449C7"/>
    <w:rPr>
      <w:rFonts w:asciiTheme="minorHAnsi" w:eastAsiaTheme="minorHAnsi" w:hAnsiTheme="minorHAnsi" w:cstheme="minorBidi"/>
      <w:sz w:val="22"/>
      <w:szCs w:val="22"/>
      <w:lang w:val="de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819</Words>
  <Characters>5160</Characters>
  <Application>Microsoft Macintosh Word</Application>
  <DocSecurity>0</DocSecurity>
  <Lines>43</Lines>
  <Paragraphs>11</Paragraphs>
  <ScaleCrop>false</ScaleCrop>
  <Company>WSL Birmensdorf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Frey</dc:creator>
  <cp:keywords/>
  <dc:description/>
  <cp:lastModifiedBy>Beat Frey</cp:lastModifiedBy>
  <cp:revision>1</cp:revision>
  <dcterms:created xsi:type="dcterms:W3CDTF">2020-06-11T23:24:00Z</dcterms:created>
  <dcterms:modified xsi:type="dcterms:W3CDTF">2020-06-11T23:29:00Z</dcterms:modified>
</cp:coreProperties>
</file>