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1" w:rsidRDefault="00750AAA" w:rsidP="00787771">
      <w:pPr>
        <w:spacing w:after="0"/>
        <w:jc w:val="center"/>
        <w:rPr>
          <w:b/>
        </w:rPr>
      </w:pPr>
      <w:r w:rsidRPr="00750AAA">
        <w:rPr>
          <w:b/>
        </w:rPr>
        <w:drawing>
          <wp:anchor distT="0" distB="0" distL="114300" distR="114300" simplePos="0" relativeHeight="251668480" behindDoc="0" locked="0" layoutInCell="1" allowOverlap="1" wp14:anchorId="179249AA" wp14:editId="4707BCD9">
            <wp:simplePos x="0" y="0"/>
            <wp:positionH relativeFrom="page">
              <wp:posOffset>6002804</wp:posOffset>
            </wp:positionH>
            <wp:positionV relativeFrom="paragraph">
              <wp:posOffset>-332316</wp:posOffset>
            </wp:positionV>
            <wp:extent cx="1409000" cy="414867"/>
            <wp:effectExtent l="0" t="0" r="1270" b="4445"/>
            <wp:wrapNone/>
            <wp:docPr id="3"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rotWithShape="1">
                    <a:blip r:embed="rId8"/>
                    <a:srcRect l="41278" t="22743" r="44384" b="68500"/>
                    <a:stretch/>
                  </pic:blipFill>
                  <pic:spPr>
                    <a:xfrm>
                      <a:off x="0" y="0"/>
                      <a:ext cx="1409000" cy="414867"/>
                    </a:xfrm>
                    <a:prstGeom prst="rect">
                      <a:avLst/>
                    </a:prstGeom>
                  </pic:spPr>
                </pic:pic>
              </a:graphicData>
            </a:graphic>
            <wp14:sizeRelH relativeFrom="margin">
              <wp14:pctWidth>0</wp14:pctWidth>
            </wp14:sizeRelH>
            <wp14:sizeRelV relativeFrom="margin">
              <wp14:pctHeight>0</wp14:pctHeight>
            </wp14:sizeRelV>
          </wp:anchor>
        </w:drawing>
      </w:r>
      <w:r w:rsidRPr="00750AAA">
        <w:rPr>
          <w:b/>
        </w:rPr>
        <w:drawing>
          <wp:anchor distT="0" distB="0" distL="114300" distR="114300" simplePos="0" relativeHeight="251669504" behindDoc="0" locked="0" layoutInCell="1" allowOverlap="1" wp14:anchorId="33B49474" wp14:editId="31AFF99D">
            <wp:simplePos x="0" y="0"/>
            <wp:positionH relativeFrom="column">
              <wp:posOffset>4967393</wp:posOffset>
            </wp:positionH>
            <wp:positionV relativeFrom="paragraph">
              <wp:posOffset>-848488</wp:posOffset>
            </wp:positionV>
            <wp:extent cx="1452456" cy="575310"/>
            <wp:effectExtent l="0" t="0" r="0" b="0"/>
            <wp:wrapNone/>
            <wp:docPr id="4"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456" cy="575310"/>
                    </a:xfrm>
                    <a:prstGeom prst="rect">
                      <a:avLst/>
                    </a:prstGeom>
                  </pic:spPr>
                </pic:pic>
              </a:graphicData>
            </a:graphic>
            <wp14:sizeRelH relativeFrom="margin">
              <wp14:pctWidth>0</wp14:pctWidth>
            </wp14:sizeRelH>
            <wp14:sizeRelV relativeFrom="margin">
              <wp14:pctHeight>0</wp14:pctHeight>
            </wp14:sizeRelV>
          </wp:anchor>
        </w:drawing>
      </w:r>
      <w:r w:rsidR="00787771" w:rsidRPr="00787771">
        <w:rPr>
          <w:b/>
          <w:noProof/>
          <w:lang w:eastAsia="fr-BE"/>
        </w:rPr>
        <mc:AlternateContent>
          <mc:Choice Requires="wps">
            <w:drawing>
              <wp:anchor distT="0" distB="0" distL="114300" distR="114300" simplePos="0" relativeHeight="251666432" behindDoc="0" locked="0" layoutInCell="1" allowOverlap="1" wp14:anchorId="6683BB4E" wp14:editId="66B5914D">
                <wp:simplePos x="0" y="0"/>
                <wp:positionH relativeFrom="column">
                  <wp:posOffset>655109</wp:posOffset>
                </wp:positionH>
                <wp:positionV relativeFrom="paragraph">
                  <wp:posOffset>-282364</wp:posOffset>
                </wp:positionV>
                <wp:extent cx="700576" cy="276999"/>
                <wp:effectExtent l="0" t="0" r="0" b="0"/>
                <wp:wrapNone/>
                <wp:docPr id="7" name="ZoneTexte 6"/>
                <wp:cNvGraphicFramePr/>
                <a:graphic xmlns:a="http://schemas.openxmlformats.org/drawingml/2006/main">
                  <a:graphicData uri="http://schemas.microsoft.com/office/word/2010/wordprocessingShape">
                    <wps:wsp>
                      <wps:cNvSpPr txBox="1"/>
                      <wps:spPr>
                        <a:xfrm>
                          <a:off x="0" y="0"/>
                          <a:ext cx="700576" cy="276999"/>
                        </a:xfrm>
                        <a:prstGeom prst="rect">
                          <a:avLst/>
                        </a:prstGeom>
                        <a:noFill/>
                      </wps:spPr>
                      <wps:txbx>
                        <w:txbxContent>
                          <w:p w:rsidR="00787771" w:rsidRPr="00787771" w:rsidRDefault="00787771" w:rsidP="00787771">
                            <w:pPr>
                              <w:pStyle w:val="NormalWeb"/>
                              <w:spacing w:before="0" w:beforeAutospacing="0" w:after="0" w:afterAutospacing="0"/>
                              <w:rPr>
                                <w:sz w:val="20"/>
                              </w:rPr>
                            </w:pPr>
                            <w:r w:rsidRPr="00787771">
                              <w:rPr>
                                <w:rFonts w:asciiTheme="minorHAnsi" w:hAnsi="Calibri" w:cstheme="minorBidi"/>
                                <w:b/>
                                <w:bCs/>
                                <w:color w:val="000000" w:themeColor="text1"/>
                                <w:kern w:val="24"/>
                                <w:sz w:val="20"/>
                                <w:lang w:val="fr-FR"/>
                              </w:rPr>
                              <w:t>EA 3412</w:t>
                            </w:r>
                          </w:p>
                        </w:txbxContent>
                      </wps:txbx>
                      <wps:bodyPr wrap="none" rtlCol="0">
                        <a:spAutoFit/>
                      </wps:bodyPr>
                    </wps:wsp>
                  </a:graphicData>
                </a:graphic>
              </wp:anchor>
            </w:drawing>
          </mc:Choice>
          <mc:Fallback>
            <w:pict>
              <v:shapetype w14:anchorId="6683BB4E" id="_x0000_t202" coordsize="21600,21600" o:spt="202" path="m,l,21600r21600,l21600,xe">
                <v:stroke joinstyle="miter"/>
                <v:path gradientshapeok="t" o:connecttype="rect"/>
              </v:shapetype>
              <v:shape id="ZoneTexte 6" o:spid="_x0000_s1026" type="#_x0000_t202" style="position:absolute;left:0;text-align:left;margin-left:51.6pt;margin-top:-22.25pt;width:55.15pt;height:21.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BMkQEAAAwDAAAOAAAAZHJzL2Uyb0RvYy54bWysUstOwzAQvCPxD5bvNKESLY2aVjwEFwRI&#10;wIWb69iNpdhreU2T/j1rt7QIboiLH/sYz8x6vhxsxzYqoAFX8/NRyZlyEhrj1jV/e707u+QMo3CN&#10;6MCpmm8V8uXi9GTe+0qNoYWuUYERiMOq9zVvY/RVUaBslRU4Aq8cJTUEKyJdw7pogugJ3XbFuCwn&#10;RQ+h8QGkQqTo7S7JFxlfayXjk9aoIutqTtxiXkNeV2ktFnNRrYPwrZF7GuIPLKwwjh49QN2KKNhH&#10;ML+grJEBEHQcSbAFaG2kyhpIzXn5Q81LK7zKWsgc9Aeb8P9g5ePmOTDT1HzKmROWRvROg3pVQ1Rs&#10;kuzpPVZU9eKpLg7XMNCYv+JIwaR60MGmnfQwypPR24O5hMQkBadleTGdcCYpNZ5OZrNZQimOzT5g&#10;vFdgWTrUPNDssqVi84BxV/pVkt5ycGe6LsUTwx2TdIrDatjTXkGzJdY9jbfmjmRxFmJ3A/kvJAz0&#10;Vx+RcDJ8at517DHJ8kxw/z3STL/fc9XxEy8+AQAA//8DAFBLAwQUAAYACAAAACEA2j6+tt0AAAAJ&#10;AQAADwAAAGRycy9kb3ducmV2LnhtbEyPwU7DMBBE70j8g7VI3FonaYraNE6FCpyhhQ9w4yVOE6+j&#10;2G0DX89ygtvO7mj2TbmdXC8uOIbWk4J0noBAqr1pqVHw8f4yW4EIUZPRvSdU8IUBttXtTakL46+0&#10;x8shNoJDKBRagY1xKKQMtUWnw9wPSHz79KPTkeXYSDPqK4e7XmZJ8iCdbok/WD3gzmLdHc5OwSpx&#10;r123zt6Cy7/Tpd09+efhpNT93fS4ARFxin9m+MVndKiY6ejPZILoWSeLjK0KZnm+BMGOLF3wcOTN&#10;GmRVyv8Nqh8AAAD//wMAUEsBAi0AFAAGAAgAAAAhALaDOJL+AAAA4QEAABMAAAAAAAAAAAAAAAAA&#10;AAAAAFtDb250ZW50X1R5cGVzXS54bWxQSwECLQAUAAYACAAAACEAOP0h/9YAAACUAQAACwAAAAAA&#10;AAAAAAAAAAAvAQAAX3JlbHMvLnJlbHNQSwECLQAUAAYACAAAACEArVxwTJEBAAAMAwAADgAAAAAA&#10;AAAAAAAAAAAuAgAAZHJzL2Uyb0RvYy54bWxQSwECLQAUAAYACAAAACEA2j6+tt0AAAAJAQAADwAA&#10;AAAAAAAAAAAAAADrAwAAZHJzL2Rvd25yZXYueG1sUEsFBgAAAAAEAAQA8wAAAPUEAAAAAA==&#10;" filled="f" stroked="f">
                <v:textbox style="mso-fit-shape-to-text:t">
                  <w:txbxContent>
                    <w:p w:rsidR="00787771" w:rsidRPr="00787771" w:rsidRDefault="00787771" w:rsidP="00787771">
                      <w:pPr>
                        <w:pStyle w:val="NormalWeb"/>
                        <w:spacing w:before="0" w:beforeAutospacing="0" w:after="0" w:afterAutospacing="0"/>
                        <w:rPr>
                          <w:sz w:val="20"/>
                        </w:rPr>
                      </w:pPr>
                      <w:r w:rsidRPr="00787771">
                        <w:rPr>
                          <w:rFonts w:asciiTheme="minorHAnsi" w:hAnsi="Calibri" w:cstheme="minorBidi"/>
                          <w:b/>
                          <w:bCs/>
                          <w:color w:val="000000" w:themeColor="text1"/>
                          <w:kern w:val="24"/>
                          <w:sz w:val="20"/>
                          <w:lang w:val="fr-FR"/>
                        </w:rPr>
                        <w:t>EA 3412</w:t>
                      </w:r>
                    </w:p>
                  </w:txbxContent>
                </v:textbox>
              </v:shape>
            </w:pict>
          </mc:Fallback>
        </mc:AlternateContent>
      </w:r>
      <w:r w:rsidR="00787771" w:rsidRPr="00787771">
        <w:rPr>
          <w:b/>
          <w:noProof/>
          <w:lang w:eastAsia="fr-BE"/>
        </w:rPr>
        <w:drawing>
          <wp:anchor distT="0" distB="0" distL="114300" distR="114300" simplePos="0" relativeHeight="251663360" behindDoc="0" locked="0" layoutInCell="1" allowOverlap="1" wp14:anchorId="7AFEB5C5" wp14:editId="18904BDE">
            <wp:simplePos x="0" y="0"/>
            <wp:positionH relativeFrom="column">
              <wp:posOffset>327660</wp:posOffset>
            </wp:positionH>
            <wp:positionV relativeFrom="paragraph">
              <wp:posOffset>-594783</wp:posOffset>
            </wp:positionV>
            <wp:extent cx="1532466" cy="372534"/>
            <wp:effectExtent l="0" t="0" r="0" b="8890"/>
            <wp:wrapNone/>
            <wp:docPr id="10" name="Image 9"/>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466" cy="372534"/>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http://schemas.openxmlformats.org/presentationml/2006/main"/>
                      </a:ext>
                    </a:extLst>
                  </pic:spPr>
                </pic:pic>
              </a:graphicData>
            </a:graphic>
            <wp14:sizeRelH relativeFrom="margin">
              <wp14:pctWidth>0</wp14:pctWidth>
            </wp14:sizeRelH>
            <wp14:sizeRelV relativeFrom="margin">
              <wp14:pctHeight>0</wp14:pctHeight>
            </wp14:sizeRelV>
          </wp:anchor>
        </w:drawing>
      </w:r>
      <w:r w:rsidR="00787771" w:rsidRPr="00787771">
        <w:rPr>
          <w:b/>
          <w:noProof/>
          <w:lang w:eastAsia="fr-BE"/>
        </w:rPr>
        <w:drawing>
          <wp:anchor distT="0" distB="0" distL="114300" distR="114300" simplePos="0" relativeHeight="251662336" behindDoc="0" locked="0" layoutInCell="1" allowOverlap="1" wp14:anchorId="209567A3" wp14:editId="12961748">
            <wp:simplePos x="0" y="0"/>
            <wp:positionH relativeFrom="column">
              <wp:posOffset>387138</wp:posOffset>
            </wp:positionH>
            <wp:positionV relativeFrom="paragraph">
              <wp:posOffset>-899794</wp:posOffset>
            </wp:positionV>
            <wp:extent cx="1176867" cy="406400"/>
            <wp:effectExtent l="0" t="0" r="4445" b="0"/>
            <wp:wrapNone/>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277" cy="412067"/>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http://schemas.openxmlformats.org/presentationml/2006/main"/>
                      </a:ext>
                    </a:extLst>
                  </pic:spPr>
                </pic:pic>
              </a:graphicData>
            </a:graphic>
            <wp14:sizeRelH relativeFrom="margin">
              <wp14:pctWidth>0</wp14:pctWidth>
            </wp14:sizeRelH>
            <wp14:sizeRelV relativeFrom="margin">
              <wp14:pctHeight>0</wp14:pctHeight>
            </wp14:sizeRelV>
          </wp:anchor>
        </w:drawing>
      </w:r>
      <w:r w:rsidR="00787771" w:rsidRPr="00787771">
        <w:rPr>
          <w:b/>
          <w:noProof/>
          <w:lang w:eastAsia="fr-BE"/>
        </w:rPr>
        <w:drawing>
          <wp:anchor distT="0" distB="0" distL="114300" distR="114300" simplePos="0" relativeHeight="251661312" behindDoc="0" locked="0" layoutInCell="1" allowOverlap="1" wp14:anchorId="2FC66AAC" wp14:editId="48AC3C67">
            <wp:simplePos x="0" y="0"/>
            <wp:positionH relativeFrom="column">
              <wp:posOffset>-721995</wp:posOffset>
            </wp:positionH>
            <wp:positionV relativeFrom="paragraph">
              <wp:posOffset>-815127</wp:posOffset>
            </wp:positionV>
            <wp:extent cx="939800" cy="965200"/>
            <wp:effectExtent l="0" t="0" r="0" b="6350"/>
            <wp:wrapNone/>
            <wp:docPr id="8" name="Picture 6" descr="Résultat de recherche d'images"/>
            <wp:cNvGraphicFramePr/>
            <a:graphic xmlns:a="http://schemas.openxmlformats.org/drawingml/2006/main">
              <a:graphicData uri="http://schemas.openxmlformats.org/drawingml/2006/picture">
                <pic:pic xmlns:pic="http://schemas.openxmlformats.org/drawingml/2006/picture">
                  <pic:nvPicPr>
                    <pic:cNvPr id="8" name="Picture 6" descr="Résultat de recherche d'image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974" cy="970514"/>
                    </a:xfrm>
                    <a:prstGeom prst="rect">
                      <a:avLst/>
                    </a:prstGeom>
                    <a:noFill/>
                    <a:extLst/>
                  </pic:spPr>
                </pic:pic>
              </a:graphicData>
            </a:graphic>
            <wp14:sizeRelH relativeFrom="margin">
              <wp14:pctWidth>0</wp14:pctWidth>
            </wp14:sizeRelH>
            <wp14:sizeRelV relativeFrom="margin">
              <wp14:pctHeight>0</wp14:pctHeight>
            </wp14:sizeRelV>
          </wp:anchor>
        </w:drawing>
      </w:r>
      <w:r w:rsidR="00787771" w:rsidRPr="00787771">
        <w:rPr>
          <w:b/>
          <w:noProof/>
          <w:lang w:eastAsia="fr-BE"/>
        </w:rPr>
        <w:drawing>
          <wp:anchor distT="0" distB="0" distL="114300" distR="114300" simplePos="0" relativeHeight="251664384" behindDoc="0" locked="0" layoutInCell="1" allowOverlap="1" wp14:anchorId="140D8EFD" wp14:editId="2307F329">
            <wp:simplePos x="0" y="0"/>
            <wp:positionH relativeFrom="column">
              <wp:posOffset>6834505</wp:posOffset>
            </wp:positionH>
            <wp:positionV relativeFrom="paragraph">
              <wp:posOffset>1000760</wp:posOffset>
            </wp:positionV>
            <wp:extent cx="1896157" cy="600698"/>
            <wp:effectExtent l="0" t="0" r="0" b="9525"/>
            <wp:wrapNone/>
            <wp:docPr id="11"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rotWithShape="1">
                    <a:blip r:embed="rId8"/>
                    <a:srcRect l="41278" t="22743" r="44384" b="68500"/>
                    <a:stretch/>
                  </pic:blipFill>
                  <pic:spPr>
                    <a:xfrm>
                      <a:off x="0" y="0"/>
                      <a:ext cx="1896157" cy="600698"/>
                    </a:xfrm>
                    <a:prstGeom prst="rect">
                      <a:avLst/>
                    </a:prstGeom>
                  </pic:spPr>
                </pic:pic>
              </a:graphicData>
            </a:graphic>
          </wp:anchor>
        </w:drawing>
      </w:r>
      <w:r w:rsidR="0075275F" w:rsidRPr="009B2756">
        <w:rPr>
          <w:b/>
        </w:rPr>
        <w:t>Ana</w:t>
      </w:r>
      <w:r w:rsidR="002025DE">
        <w:rPr>
          <w:b/>
        </w:rPr>
        <w:t>Sé</w:t>
      </w:r>
      <w:r w:rsidR="0075275F" w:rsidRPr="009B2756">
        <w:rPr>
          <w:b/>
        </w:rPr>
        <w:t>Cas </w:t>
      </w:r>
      <w:r w:rsidR="009B2756" w:rsidRPr="009B2756">
        <w:rPr>
          <w:b/>
        </w:rPr>
        <w:t>(A</w:t>
      </w:r>
      <w:r w:rsidR="002025DE">
        <w:rPr>
          <w:b/>
        </w:rPr>
        <w:t>S</w:t>
      </w:r>
      <w:r w:rsidR="009B2756" w:rsidRPr="009B2756">
        <w:rPr>
          <w:b/>
        </w:rPr>
        <w:t>C)</w:t>
      </w:r>
      <w:r w:rsidRPr="00750AAA">
        <w:rPr>
          <w:noProof/>
          <w:lang w:eastAsia="fr-BE"/>
        </w:rPr>
        <w:t xml:space="preserve"> </w:t>
      </w:r>
      <w:bookmarkStart w:id="0" w:name="_GoBack"/>
      <w:bookmarkEnd w:id="0"/>
    </w:p>
    <w:p w:rsidR="00787771" w:rsidRDefault="000377E8" w:rsidP="00787771">
      <w:pPr>
        <w:spacing w:after="0"/>
        <w:jc w:val="center"/>
        <w:rPr>
          <w:b/>
        </w:rPr>
      </w:pPr>
      <w:r>
        <w:rPr>
          <w:b/>
        </w:rPr>
        <w:t>U</w:t>
      </w:r>
      <w:r w:rsidR="0075275F" w:rsidRPr="009B2756">
        <w:rPr>
          <w:b/>
        </w:rPr>
        <w:t xml:space="preserve">n jeu sérieux </w:t>
      </w:r>
      <w:r w:rsidR="002025DE">
        <w:rPr>
          <w:b/>
        </w:rPr>
        <w:t xml:space="preserve">simulant la démarche </w:t>
      </w:r>
      <w:r w:rsidR="0075275F" w:rsidRPr="009B2756">
        <w:rPr>
          <w:b/>
        </w:rPr>
        <w:t>de diagnostic des besoins éducatifs en ETP</w:t>
      </w:r>
    </w:p>
    <w:p w:rsidR="0075275F" w:rsidRPr="009B2756" w:rsidRDefault="00B649B3" w:rsidP="009B2756">
      <w:pPr>
        <w:jc w:val="center"/>
        <w:rPr>
          <w:b/>
        </w:rPr>
      </w:pPr>
      <w:r>
        <w:rPr>
          <w:b/>
        </w:rPr>
        <w:t>Avec l</w:t>
      </w:r>
      <w:r w:rsidR="002025DE">
        <w:rPr>
          <w:b/>
        </w:rPr>
        <w:t>es CONSIGNES</w:t>
      </w:r>
    </w:p>
    <w:p w:rsidR="0075275F" w:rsidRPr="009B2756" w:rsidRDefault="009B2756" w:rsidP="009B2756">
      <w:pPr>
        <w:jc w:val="center"/>
        <w:rPr>
          <w:b/>
        </w:rPr>
      </w:pPr>
      <w:r>
        <w:rPr>
          <w:b/>
        </w:rPr>
        <w:t>D. Leclercq (2020)</w:t>
      </w:r>
    </w:p>
    <w:p w:rsidR="00736CDD" w:rsidRPr="00736CDD" w:rsidRDefault="00047DB4">
      <w:pPr>
        <w:rPr>
          <w:b/>
          <w:noProof/>
          <w:lang w:eastAsia="fr-BE"/>
        </w:rPr>
      </w:pPr>
      <w:r>
        <w:rPr>
          <w:b/>
          <w:noProof/>
          <w:lang w:eastAsia="fr-BE"/>
        </w:rPr>
        <w:t xml:space="preserve">A. </w:t>
      </w:r>
      <w:r w:rsidR="00736CDD" w:rsidRPr="00736CDD">
        <w:rPr>
          <w:b/>
          <w:noProof/>
          <w:lang w:eastAsia="fr-BE"/>
        </w:rPr>
        <w:t>Définition d’Anasécas</w:t>
      </w:r>
    </w:p>
    <w:p w:rsidR="00736CDD" w:rsidRDefault="00736CDD">
      <w:pPr>
        <w:rPr>
          <w:noProof/>
          <w:lang w:eastAsia="fr-BE"/>
        </w:rPr>
      </w:pPr>
      <w:r>
        <w:rPr>
          <w:noProof/>
          <w:lang w:eastAsia="fr-BE"/>
        </w:rPr>
        <w:t xml:space="preserve">La définition qui suit est à géométrie varibale. Son expression la plus « resserrée » ne retient que les mots en gras. Le reste constitue des précisions (on pourrait préciser plus encore, notamment par des exemples). </w:t>
      </w:r>
    </w:p>
    <w:p w:rsidR="002025DE" w:rsidRDefault="002025DE">
      <w:pPr>
        <w:rPr>
          <w:noProof/>
          <w:lang w:eastAsia="fr-BE"/>
        </w:rPr>
      </w:pPr>
      <w:r>
        <w:rPr>
          <w:noProof/>
          <w:lang w:eastAsia="fr-BE"/>
        </w:rPr>
        <w:t xml:space="preserve">AnaSécas </w:t>
      </w:r>
      <w:r w:rsidRPr="00736CDD">
        <w:rPr>
          <w:b/>
          <w:noProof/>
          <w:lang w:eastAsia="fr-BE"/>
        </w:rPr>
        <w:t>signifie « </w:t>
      </w:r>
      <w:r w:rsidRPr="00736CDD">
        <w:rPr>
          <w:b/>
          <w:noProof/>
          <w:u w:val="single"/>
          <w:lang w:eastAsia="fr-BE"/>
        </w:rPr>
        <w:t>Analyse Séquentielle de Cas</w:t>
      </w:r>
      <w:r w:rsidRPr="00736CDD">
        <w:rPr>
          <w:b/>
          <w:noProof/>
          <w:lang w:eastAsia="fr-BE"/>
        </w:rPr>
        <w:t> ». il s’agit d’un</w:t>
      </w:r>
      <w:r>
        <w:rPr>
          <w:noProof/>
          <w:lang w:eastAsia="fr-BE"/>
        </w:rPr>
        <w:t xml:space="preserve"> </w:t>
      </w:r>
      <w:r w:rsidRPr="00736CDD">
        <w:rPr>
          <w:b/>
          <w:noProof/>
          <w:lang w:eastAsia="fr-BE"/>
        </w:rPr>
        <w:t>jeu sérieux</w:t>
      </w:r>
      <w:r>
        <w:rPr>
          <w:noProof/>
          <w:lang w:eastAsia="fr-BE"/>
        </w:rPr>
        <w:t xml:space="preserve"> (serious game) </w:t>
      </w:r>
      <w:r w:rsidRPr="00736CDD">
        <w:rPr>
          <w:b/>
          <w:noProof/>
          <w:lang w:eastAsia="fr-BE"/>
        </w:rPr>
        <w:t xml:space="preserve">simulant </w:t>
      </w:r>
      <w:r w:rsidR="00B649B3">
        <w:rPr>
          <w:b/>
          <w:noProof/>
          <w:lang w:eastAsia="fr-BE"/>
        </w:rPr>
        <w:t>la démarche clinique d’</w:t>
      </w:r>
      <w:r w:rsidRPr="00736CDD">
        <w:rPr>
          <w:b/>
          <w:noProof/>
          <w:lang w:eastAsia="fr-BE"/>
        </w:rPr>
        <w:t>un soignant-éducateur qui</w:t>
      </w:r>
      <w:r>
        <w:rPr>
          <w:noProof/>
          <w:lang w:eastAsia="fr-BE"/>
        </w:rPr>
        <w:t xml:space="preserve"> </w:t>
      </w:r>
    </w:p>
    <w:p w:rsidR="002025DE" w:rsidRDefault="002025DE" w:rsidP="00630249">
      <w:pPr>
        <w:spacing w:after="0"/>
        <w:ind w:left="708"/>
        <w:rPr>
          <w:noProof/>
          <w:lang w:eastAsia="fr-BE"/>
        </w:rPr>
      </w:pPr>
      <w:r>
        <w:rPr>
          <w:noProof/>
          <w:lang w:eastAsia="fr-BE"/>
        </w:rPr>
        <w:t>-</w:t>
      </w:r>
      <w:r w:rsidRPr="00736CDD">
        <w:rPr>
          <w:b/>
          <w:noProof/>
          <w:lang w:eastAsia="fr-BE"/>
        </w:rPr>
        <w:t>devant un</w:t>
      </w:r>
      <w:r>
        <w:rPr>
          <w:noProof/>
          <w:lang w:eastAsia="fr-BE"/>
        </w:rPr>
        <w:t xml:space="preserve"> </w:t>
      </w:r>
      <w:r w:rsidRPr="00736CDD">
        <w:rPr>
          <w:b/>
          <w:noProof/>
          <w:lang w:eastAsia="fr-BE"/>
        </w:rPr>
        <w:t>problème de santé</w:t>
      </w:r>
      <w:r>
        <w:rPr>
          <w:noProof/>
          <w:lang w:eastAsia="fr-BE"/>
        </w:rPr>
        <w:t xml:space="preserve"> (d’abord fo</w:t>
      </w:r>
      <w:r w:rsidR="00630249">
        <w:rPr>
          <w:noProof/>
          <w:lang w:eastAsia="fr-BE"/>
        </w:rPr>
        <w:t>r</w:t>
      </w:r>
      <w:r>
        <w:rPr>
          <w:noProof/>
          <w:lang w:eastAsia="fr-BE"/>
        </w:rPr>
        <w:t xml:space="preserve">mulé en termes très vagues) </w:t>
      </w:r>
    </w:p>
    <w:p w:rsidR="00630249" w:rsidRDefault="00630249" w:rsidP="00630249">
      <w:pPr>
        <w:spacing w:after="0"/>
        <w:ind w:left="708"/>
        <w:rPr>
          <w:noProof/>
          <w:lang w:eastAsia="fr-BE"/>
        </w:rPr>
      </w:pPr>
      <w:r>
        <w:rPr>
          <w:noProof/>
          <w:lang w:eastAsia="fr-BE"/>
        </w:rPr>
        <w:t xml:space="preserve">-a déjà, même involontairement, des </w:t>
      </w:r>
      <w:r w:rsidRPr="00630249">
        <w:rPr>
          <w:b/>
          <w:noProof/>
          <w:lang w:eastAsia="fr-BE"/>
        </w:rPr>
        <w:t>intuitions sur les causes</w:t>
      </w:r>
    </w:p>
    <w:p w:rsidR="002025DE" w:rsidRDefault="002025DE" w:rsidP="00630249">
      <w:pPr>
        <w:spacing w:after="0"/>
        <w:ind w:left="708"/>
        <w:rPr>
          <w:noProof/>
          <w:lang w:eastAsia="fr-BE"/>
        </w:rPr>
      </w:pPr>
      <w:r>
        <w:rPr>
          <w:noProof/>
          <w:lang w:eastAsia="fr-BE"/>
        </w:rPr>
        <w:t>-</w:t>
      </w:r>
      <w:r w:rsidRPr="00736CDD">
        <w:rPr>
          <w:b/>
          <w:noProof/>
          <w:lang w:eastAsia="fr-BE"/>
        </w:rPr>
        <w:t>pose des questions</w:t>
      </w:r>
      <w:r w:rsidR="00736CDD">
        <w:rPr>
          <w:noProof/>
          <w:lang w:eastAsia="fr-BE"/>
        </w:rPr>
        <w:t xml:space="preserve"> </w:t>
      </w:r>
      <w:r w:rsidR="00630249">
        <w:rPr>
          <w:noProof/>
          <w:lang w:eastAsia="fr-BE"/>
        </w:rPr>
        <w:t>(au patient ou à se</w:t>
      </w:r>
      <w:r>
        <w:rPr>
          <w:noProof/>
          <w:lang w:eastAsia="fr-BE"/>
        </w:rPr>
        <w:t>s</w:t>
      </w:r>
      <w:r w:rsidR="00630249">
        <w:rPr>
          <w:noProof/>
          <w:lang w:eastAsia="fr-BE"/>
        </w:rPr>
        <w:t xml:space="preserve"> </w:t>
      </w:r>
      <w:r>
        <w:rPr>
          <w:noProof/>
          <w:lang w:eastAsia="fr-BE"/>
        </w:rPr>
        <w:t xml:space="preserve">proches, ou au dossier médical, etc. </w:t>
      </w:r>
      <w:r w:rsidR="00B649B3">
        <w:rPr>
          <w:noProof/>
          <w:lang w:eastAsia="fr-BE"/>
        </w:rPr>
        <w:t>)</w:t>
      </w:r>
    </w:p>
    <w:p w:rsidR="00736CDD" w:rsidRDefault="002025DE" w:rsidP="00630249">
      <w:pPr>
        <w:spacing w:after="0"/>
        <w:ind w:left="708"/>
        <w:rPr>
          <w:noProof/>
          <w:lang w:eastAsia="fr-BE"/>
        </w:rPr>
      </w:pPr>
      <w:r>
        <w:rPr>
          <w:noProof/>
          <w:lang w:eastAsia="fr-BE"/>
        </w:rPr>
        <w:t>-</w:t>
      </w:r>
      <w:r w:rsidRPr="00736CDD">
        <w:rPr>
          <w:b/>
          <w:noProof/>
          <w:lang w:eastAsia="fr-BE"/>
        </w:rPr>
        <w:t>et ainsi acquiert progressivement des informations qui l’amènent à reformuler ses hypothèses</w:t>
      </w:r>
      <w:r>
        <w:rPr>
          <w:noProof/>
          <w:lang w:eastAsia="fr-BE"/>
        </w:rPr>
        <w:t xml:space="preserve"> sur les causes de la conduite </w:t>
      </w:r>
      <w:r w:rsidR="00736CDD">
        <w:rPr>
          <w:noProof/>
          <w:lang w:eastAsia="fr-BE"/>
        </w:rPr>
        <w:t>problémat</w:t>
      </w:r>
      <w:r>
        <w:rPr>
          <w:noProof/>
          <w:lang w:eastAsia="fr-BE"/>
        </w:rPr>
        <w:t>i</w:t>
      </w:r>
      <w:r w:rsidR="00736CDD">
        <w:rPr>
          <w:noProof/>
          <w:lang w:eastAsia="fr-BE"/>
        </w:rPr>
        <w:t>q</w:t>
      </w:r>
      <w:r>
        <w:rPr>
          <w:noProof/>
          <w:lang w:eastAsia="fr-BE"/>
        </w:rPr>
        <w:t>ue et sur les facteurs (ASCID) médiateurs qui devraient : pourraient être « travaillés » chez le pat</w:t>
      </w:r>
      <w:r w:rsidR="00736CDD">
        <w:rPr>
          <w:noProof/>
          <w:lang w:eastAsia="fr-BE"/>
        </w:rPr>
        <w:t>i</w:t>
      </w:r>
      <w:r>
        <w:rPr>
          <w:noProof/>
          <w:lang w:eastAsia="fr-BE"/>
        </w:rPr>
        <w:t>ent (ou sur son entourage, ou….voir l’axe « Acteurs</w:t>
      </w:r>
      <w:r w:rsidR="00736CDD">
        <w:rPr>
          <w:noProof/>
          <w:lang w:eastAsia="fr-BE"/>
        </w:rPr>
        <w:t> »</w:t>
      </w:r>
      <w:r>
        <w:rPr>
          <w:noProof/>
          <w:lang w:eastAsia="fr-BE"/>
        </w:rPr>
        <w:t xml:space="preserve"> du Modèle 5 sur 5</w:t>
      </w:r>
      <w:r w:rsidR="00736CDD">
        <w:rPr>
          <w:noProof/>
          <w:lang w:eastAsia="fr-BE"/>
        </w:rPr>
        <w:t xml:space="preserve"> des évaluations</w:t>
      </w:r>
      <w:r>
        <w:rPr>
          <w:noProof/>
          <w:lang w:eastAsia="fr-BE"/>
        </w:rPr>
        <w:t xml:space="preserve">) </w:t>
      </w:r>
    </w:p>
    <w:p w:rsidR="00736CDD" w:rsidRDefault="00736CDD" w:rsidP="00630249">
      <w:pPr>
        <w:spacing w:after="0"/>
        <w:ind w:left="708"/>
        <w:rPr>
          <w:noProof/>
          <w:lang w:eastAsia="fr-BE"/>
        </w:rPr>
      </w:pPr>
      <w:r w:rsidRPr="00736CDD">
        <w:rPr>
          <w:b/>
          <w:noProof/>
          <w:lang w:eastAsia="fr-BE"/>
        </w:rPr>
        <w:t>-et</w:t>
      </w:r>
      <w:r>
        <w:rPr>
          <w:noProof/>
          <w:lang w:eastAsia="fr-BE"/>
        </w:rPr>
        <w:t>, sur cette base</w:t>
      </w:r>
      <w:r w:rsidRPr="00736CDD">
        <w:rPr>
          <w:b/>
          <w:noProof/>
          <w:lang w:eastAsia="fr-BE"/>
        </w:rPr>
        <w:t>, imagine</w:t>
      </w:r>
      <w:r>
        <w:rPr>
          <w:noProof/>
          <w:lang w:eastAsia="fr-BE"/>
        </w:rPr>
        <w:t xml:space="preserve"> </w:t>
      </w:r>
    </w:p>
    <w:p w:rsidR="00736CDD" w:rsidRDefault="00736CDD" w:rsidP="00630249">
      <w:pPr>
        <w:spacing w:after="0"/>
        <w:ind w:left="2126" w:hanging="709"/>
        <w:rPr>
          <w:noProof/>
          <w:lang w:eastAsia="fr-BE"/>
        </w:rPr>
      </w:pPr>
      <w:r>
        <w:rPr>
          <w:noProof/>
          <w:lang w:eastAsia="fr-BE"/>
        </w:rPr>
        <w:t>-</w:t>
      </w:r>
      <w:r w:rsidRPr="00736CDD">
        <w:rPr>
          <w:b/>
          <w:noProof/>
          <w:lang w:eastAsia="fr-BE"/>
        </w:rPr>
        <w:t>des</w:t>
      </w:r>
      <w:r>
        <w:rPr>
          <w:noProof/>
          <w:lang w:eastAsia="fr-BE"/>
        </w:rPr>
        <w:t xml:space="preserve"> </w:t>
      </w:r>
      <w:r w:rsidRPr="00736CDD">
        <w:rPr>
          <w:b/>
          <w:noProof/>
          <w:lang w:eastAsia="fr-BE"/>
        </w:rPr>
        <w:t>modalités et des critères d’évaluation</w:t>
      </w:r>
      <w:r>
        <w:rPr>
          <w:noProof/>
          <w:lang w:eastAsia="fr-BE"/>
        </w:rPr>
        <w:t xml:space="preserve"> indicatifs de l’avancement vers les objectifs (voir axe « Niveaux de profondeur » du modèle 5 sur 5 des évaluations d’impact des inte</w:t>
      </w:r>
      <w:r w:rsidR="00630249">
        <w:rPr>
          <w:noProof/>
          <w:lang w:eastAsia="fr-BE"/>
        </w:rPr>
        <w:t>r</w:t>
      </w:r>
      <w:r>
        <w:rPr>
          <w:noProof/>
          <w:lang w:eastAsia="fr-BE"/>
        </w:rPr>
        <w:t>ventions éducatives)</w:t>
      </w:r>
    </w:p>
    <w:p w:rsidR="00736CDD" w:rsidRDefault="00736CDD" w:rsidP="00630249">
      <w:pPr>
        <w:spacing w:after="0"/>
        <w:ind w:left="2126" w:hanging="709"/>
        <w:rPr>
          <w:noProof/>
          <w:lang w:eastAsia="fr-BE"/>
        </w:rPr>
      </w:pPr>
      <w:r>
        <w:rPr>
          <w:noProof/>
          <w:lang w:eastAsia="fr-BE"/>
        </w:rPr>
        <w:t>-</w:t>
      </w:r>
      <w:r w:rsidRPr="00736CDD">
        <w:rPr>
          <w:b/>
          <w:noProof/>
          <w:lang w:eastAsia="fr-BE"/>
        </w:rPr>
        <w:t>et des</w:t>
      </w:r>
      <w:r>
        <w:rPr>
          <w:noProof/>
          <w:lang w:eastAsia="fr-BE"/>
        </w:rPr>
        <w:t xml:space="preserve"> </w:t>
      </w:r>
      <w:r>
        <w:rPr>
          <w:b/>
          <w:noProof/>
          <w:lang w:eastAsia="fr-BE"/>
        </w:rPr>
        <w:t>M</w:t>
      </w:r>
      <w:r w:rsidRPr="00736CDD">
        <w:rPr>
          <w:b/>
          <w:noProof/>
          <w:lang w:eastAsia="fr-BE"/>
        </w:rPr>
        <w:t>éthodes d’intervention</w:t>
      </w:r>
      <w:r>
        <w:rPr>
          <w:noProof/>
          <w:lang w:eastAsia="fr-BE"/>
        </w:rPr>
        <w:t xml:space="preserve"> (cf Les 8 événements d’apprentissage ou </w:t>
      </w:r>
      <w:r w:rsidRPr="00736CDD">
        <w:rPr>
          <w:i/>
          <w:noProof/>
          <w:lang w:eastAsia="fr-BE"/>
        </w:rPr>
        <w:t>Learning Events Model</w:t>
      </w:r>
      <w:r>
        <w:rPr>
          <w:noProof/>
          <w:lang w:eastAsia="fr-BE"/>
        </w:rPr>
        <w:t>) à appliquer par lui/elle même éducateur/trice ou par d’autres)</w:t>
      </w:r>
    </w:p>
    <w:p w:rsidR="00047DB4" w:rsidRDefault="00047DB4" w:rsidP="00630249">
      <w:pPr>
        <w:ind w:left="708"/>
        <w:rPr>
          <w:noProof/>
          <w:lang w:eastAsia="fr-BE"/>
        </w:rPr>
      </w:pPr>
      <w:r w:rsidRPr="00047DB4">
        <w:rPr>
          <w:b/>
          <w:noProof/>
          <w:lang w:eastAsia="fr-BE"/>
        </w:rPr>
        <w:t>-en pesant les forces, faiblesses, opportunités et menaces</w:t>
      </w:r>
      <w:r w:rsidR="00B649B3">
        <w:rPr>
          <w:noProof/>
          <w:lang w:eastAsia="fr-BE"/>
        </w:rPr>
        <w:t xml:space="preserve"> (SWOT) de ces évaluatio</w:t>
      </w:r>
      <w:r>
        <w:rPr>
          <w:noProof/>
          <w:lang w:eastAsia="fr-BE"/>
        </w:rPr>
        <w:t>n</w:t>
      </w:r>
      <w:r w:rsidR="00B649B3">
        <w:rPr>
          <w:noProof/>
          <w:lang w:eastAsia="fr-BE"/>
        </w:rPr>
        <w:t>s</w:t>
      </w:r>
      <w:r>
        <w:rPr>
          <w:noProof/>
          <w:lang w:eastAsia="fr-BE"/>
        </w:rPr>
        <w:t xml:space="preserve"> et méthodes. </w:t>
      </w:r>
    </w:p>
    <w:p w:rsidR="00047DB4" w:rsidRPr="00047DB4" w:rsidRDefault="00047DB4">
      <w:pPr>
        <w:rPr>
          <w:b/>
          <w:noProof/>
          <w:lang w:eastAsia="fr-BE"/>
        </w:rPr>
      </w:pPr>
      <w:r w:rsidRPr="00047DB4">
        <w:rPr>
          <w:b/>
          <w:noProof/>
          <w:lang w:eastAsia="fr-BE"/>
        </w:rPr>
        <w:t xml:space="preserve">B. </w:t>
      </w:r>
      <w:r w:rsidR="00E73A1F">
        <w:rPr>
          <w:b/>
          <w:noProof/>
          <w:lang w:eastAsia="fr-BE"/>
        </w:rPr>
        <w:t>L</w:t>
      </w:r>
      <w:r w:rsidRPr="00047DB4">
        <w:rPr>
          <w:b/>
          <w:noProof/>
          <w:lang w:eastAsia="fr-BE"/>
        </w:rPr>
        <w:t>a révision des probabilités</w:t>
      </w:r>
      <w:r w:rsidR="00A5582B">
        <w:rPr>
          <w:b/>
          <w:noProof/>
          <w:lang w:eastAsia="fr-BE"/>
        </w:rPr>
        <w:t xml:space="preserve"> et le théorème de Bayes</w:t>
      </w:r>
    </w:p>
    <w:p w:rsidR="00047DB4" w:rsidRDefault="00B649B3">
      <w:pPr>
        <w:rPr>
          <w:noProof/>
          <w:lang w:eastAsia="fr-BE"/>
        </w:rPr>
      </w:pPr>
      <w:r>
        <w:rPr>
          <w:noProof/>
          <w:lang w:eastAsia="fr-BE"/>
        </w:rPr>
        <w:t xml:space="preserve">Depuis longtemps </w:t>
      </w:r>
      <w:r>
        <w:rPr>
          <w:rStyle w:val="Appelnotedebasdep"/>
          <w:noProof/>
          <w:lang w:eastAsia="fr-BE"/>
        </w:rPr>
        <w:footnoteReference w:id="1"/>
      </w:r>
      <w:r w:rsidR="00047DB4">
        <w:rPr>
          <w:noProof/>
          <w:lang w:eastAsia="fr-BE"/>
        </w:rPr>
        <w:t xml:space="preserve">, on a recouru à des modélisations mathématiques de l’affinement progressif des diagnostics médicaux. Le théorème de Bayes </w:t>
      </w:r>
      <w:r w:rsidR="00902E61">
        <w:rPr>
          <w:noProof/>
          <w:lang w:eastAsia="fr-BE"/>
        </w:rPr>
        <w:t xml:space="preserve">(Thomas Bayes, 1702-1761) </w:t>
      </w:r>
      <w:r w:rsidR="00047DB4">
        <w:rPr>
          <w:noProof/>
          <w:lang w:eastAsia="fr-BE"/>
        </w:rPr>
        <w:t>est l’exemple le plus emblématique de cette modélisaton mathématique. Ce théorème traite des probabilités successives qui sont attribuées à chacun</w:t>
      </w:r>
      <w:r>
        <w:rPr>
          <w:noProof/>
          <w:lang w:eastAsia="fr-BE"/>
        </w:rPr>
        <w:t xml:space="preserve">e des maladies </w:t>
      </w:r>
      <w:r w:rsidRPr="00B649B3">
        <w:rPr>
          <w:b/>
          <w:noProof/>
          <w:lang w:eastAsia="fr-BE"/>
        </w:rPr>
        <w:t>possibles</w:t>
      </w:r>
      <w:r w:rsidR="00047DB4">
        <w:rPr>
          <w:noProof/>
          <w:lang w:eastAsia="fr-BE"/>
        </w:rPr>
        <w:t xml:space="preserve"> par le </w:t>
      </w:r>
      <w:r w:rsidR="00902E61">
        <w:rPr>
          <w:noProof/>
          <w:lang w:eastAsia="fr-BE"/>
        </w:rPr>
        <w:t>« </w:t>
      </w:r>
      <w:r w:rsidR="00047DB4">
        <w:rPr>
          <w:noProof/>
          <w:lang w:eastAsia="fr-BE"/>
        </w:rPr>
        <w:t>diagnostiquant</w:t>
      </w:r>
      <w:r w:rsidR="00902E61">
        <w:rPr>
          <w:noProof/>
          <w:lang w:eastAsia="fr-BE"/>
        </w:rPr>
        <w:t> »</w:t>
      </w:r>
      <w:r w:rsidR="00902E61">
        <w:rPr>
          <w:rStyle w:val="Appelnotedebasdep"/>
          <w:noProof/>
          <w:lang w:eastAsia="fr-BE"/>
        </w:rPr>
        <w:footnoteReference w:id="2"/>
      </w:r>
      <w:r w:rsidR="00047DB4">
        <w:rPr>
          <w:noProof/>
          <w:lang w:eastAsia="fr-BE"/>
        </w:rPr>
        <w:t xml:space="preserve"> (le médecin, l’éducateur/trice). </w:t>
      </w:r>
      <w:r>
        <w:rPr>
          <w:noProof/>
          <w:lang w:eastAsia="fr-BE"/>
        </w:rPr>
        <w:t xml:space="preserve">Dans le jeu Anasécas, 11 facteurs (plus « Autre ») sont </w:t>
      </w:r>
      <w:r w:rsidRPr="00B649B3">
        <w:rPr>
          <w:b/>
          <w:noProof/>
          <w:lang w:eastAsia="fr-BE"/>
        </w:rPr>
        <w:t>possibles</w:t>
      </w:r>
      <w:r>
        <w:rPr>
          <w:noProof/>
          <w:lang w:eastAsia="fr-BE"/>
        </w:rPr>
        <w:t xml:space="preserve"> comme cause sur laquelle intervenir. </w:t>
      </w:r>
      <w:r w:rsidR="00047DB4">
        <w:rPr>
          <w:noProof/>
          <w:lang w:eastAsia="fr-BE"/>
        </w:rPr>
        <w:t>Le théorème</w:t>
      </w:r>
      <w:r>
        <w:rPr>
          <w:noProof/>
          <w:lang w:eastAsia="fr-BE"/>
        </w:rPr>
        <w:t xml:space="preserve"> de Bayes</w:t>
      </w:r>
      <w:r w:rsidR="00047DB4">
        <w:rPr>
          <w:noProof/>
          <w:lang w:eastAsia="fr-BE"/>
        </w:rPr>
        <w:t xml:space="preserve"> distingue les probabilités </w:t>
      </w:r>
      <w:r w:rsidR="00047DB4" w:rsidRPr="00047DB4">
        <w:rPr>
          <w:b/>
          <w:noProof/>
          <w:lang w:eastAsia="fr-BE"/>
        </w:rPr>
        <w:t>a priori</w:t>
      </w:r>
      <w:r w:rsidR="00047DB4">
        <w:rPr>
          <w:noProof/>
          <w:lang w:eastAsia="fr-BE"/>
        </w:rPr>
        <w:t xml:space="preserve"> (AVANT information complémentaires) et les probabilités </w:t>
      </w:r>
      <w:r w:rsidR="00047DB4" w:rsidRPr="00047DB4">
        <w:rPr>
          <w:b/>
          <w:noProof/>
          <w:lang w:eastAsia="fr-BE"/>
        </w:rPr>
        <w:t>a posteriori</w:t>
      </w:r>
      <w:r w:rsidR="003F6439">
        <w:rPr>
          <w:rStyle w:val="Appelnotedebasdep"/>
          <w:b/>
          <w:noProof/>
          <w:lang w:eastAsia="fr-BE"/>
        </w:rPr>
        <w:footnoteReference w:id="3"/>
      </w:r>
      <w:r w:rsidR="00047DB4">
        <w:rPr>
          <w:noProof/>
          <w:lang w:eastAsia="fr-BE"/>
        </w:rPr>
        <w:t>, estimées APRES information. Comme les informations arrivent progressi</w:t>
      </w:r>
      <w:r w:rsidR="00902E61">
        <w:rPr>
          <w:noProof/>
          <w:lang w:eastAsia="fr-BE"/>
        </w:rPr>
        <w:t>v</w:t>
      </w:r>
      <w:r w:rsidR="00047DB4">
        <w:rPr>
          <w:noProof/>
          <w:lang w:eastAsia="fr-BE"/>
        </w:rPr>
        <w:t>e</w:t>
      </w:r>
      <w:r w:rsidR="00902E61">
        <w:rPr>
          <w:noProof/>
          <w:lang w:eastAsia="fr-BE"/>
        </w:rPr>
        <w:t>m</w:t>
      </w:r>
      <w:r w:rsidR="00047DB4">
        <w:rPr>
          <w:noProof/>
          <w:lang w:eastAsia="fr-BE"/>
        </w:rPr>
        <w:t>ent (successive</w:t>
      </w:r>
      <w:r w:rsidR="00902E61">
        <w:rPr>
          <w:noProof/>
          <w:lang w:eastAsia="fr-BE"/>
        </w:rPr>
        <w:t>m</w:t>
      </w:r>
      <w:r w:rsidR="00047DB4">
        <w:rPr>
          <w:noProof/>
          <w:lang w:eastAsia="fr-BE"/>
        </w:rPr>
        <w:t>ent</w:t>
      </w:r>
      <w:r w:rsidR="00902E61">
        <w:rPr>
          <w:noProof/>
          <w:lang w:eastAsia="fr-BE"/>
        </w:rPr>
        <w:t xml:space="preserve">), on se trouve devant </w:t>
      </w:r>
      <w:r w:rsidR="00902E61" w:rsidRPr="00902E61">
        <w:rPr>
          <w:b/>
          <w:noProof/>
          <w:lang w:eastAsia="fr-BE"/>
        </w:rPr>
        <w:t>une cascade de révision</w:t>
      </w:r>
      <w:r w:rsidR="00902E61">
        <w:rPr>
          <w:b/>
          <w:noProof/>
          <w:lang w:eastAsia="fr-BE"/>
        </w:rPr>
        <w:t>s</w:t>
      </w:r>
      <w:r w:rsidR="00902E61" w:rsidRPr="00902E61">
        <w:rPr>
          <w:b/>
          <w:noProof/>
          <w:lang w:eastAsia="fr-BE"/>
        </w:rPr>
        <w:t xml:space="preserve"> des probabilités</w:t>
      </w:r>
      <w:r w:rsidR="00902E61">
        <w:rPr>
          <w:noProof/>
          <w:lang w:eastAsia="fr-BE"/>
        </w:rPr>
        <w:t xml:space="preserve">. Le théorème ne fonctionne que quand on prend en considération TOUTES </w:t>
      </w:r>
      <w:r w:rsidR="00902E61">
        <w:rPr>
          <w:noProof/>
          <w:lang w:eastAsia="fr-BE"/>
        </w:rPr>
        <w:lastRenderedPageBreak/>
        <w:t xml:space="preserve">les possibilités, une condition facile à satisfaire : il suffit d’ahouter la possibilité « Autre », mais de lui attribuer </w:t>
      </w:r>
      <w:r w:rsidR="00902E61" w:rsidRPr="00B649B3">
        <w:rPr>
          <w:b/>
          <w:noProof/>
          <w:lang w:eastAsia="fr-BE"/>
        </w:rPr>
        <w:t>à elle aussi une probabilité</w:t>
      </w:r>
      <w:r>
        <w:rPr>
          <w:b/>
          <w:noProof/>
          <w:lang w:eastAsia="fr-BE"/>
        </w:rPr>
        <w:t>, la somme devant toujours faire 100</w:t>
      </w:r>
      <w:r>
        <w:rPr>
          <w:rStyle w:val="Appelnotedebasdep"/>
          <w:b/>
          <w:noProof/>
          <w:lang w:eastAsia="fr-BE"/>
        </w:rPr>
        <w:footnoteReference w:id="4"/>
      </w:r>
      <w:r w:rsidR="00902E61">
        <w:rPr>
          <w:noProof/>
          <w:lang w:eastAsia="fr-BE"/>
        </w:rPr>
        <w:t> !</w:t>
      </w:r>
    </w:p>
    <w:p w:rsidR="00AE4A2D" w:rsidRDefault="00AE4A2D" w:rsidP="00B649B3">
      <w:pPr>
        <w:rPr>
          <w:noProof/>
          <w:lang w:eastAsia="fr-BE"/>
        </w:rPr>
      </w:pPr>
      <w:r>
        <w:rPr>
          <w:noProof/>
          <w:lang w:eastAsia="fr-BE"/>
        </w:rPr>
        <w:t xml:space="preserve">Cette approche bayésienne demande de traiter les hypothèses en termes de probabilités (ou de pourcentages). C’est l’option que j’ai décidé de suivre depuis longtemps avec les degrés de certiude exprimés en % (Leclercq, 1975, 1982, </w:t>
      </w:r>
      <w:r w:rsidR="003269FF">
        <w:rPr>
          <w:noProof/>
          <w:lang w:eastAsia="fr-BE"/>
        </w:rPr>
        <w:t xml:space="preserve">1993, </w:t>
      </w:r>
      <w:r>
        <w:rPr>
          <w:noProof/>
          <w:lang w:eastAsia="fr-BE"/>
        </w:rPr>
        <w:t>2009) alors que la plupart du temps, pour exprimer le degré de certiude ou de doute, les diagnostiquants utilisent des mots (peu sûr, sûr, très sûr). Ce qui débouche sur une inefficacité des communications et une impasse dans la recherche, comme j’ai essayé de le montrer expérimentalement dans deux articles plus récents : «J’en suis aussi sûr que vous, mais pas avec les mêmes pourcentages » (Leclercq, 2016) et « Une mata-analyse des certiudes exprimées avec des mots » (L</w:t>
      </w:r>
      <w:r w:rsidR="00A5582B">
        <w:rPr>
          <w:noProof/>
          <w:lang w:eastAsia="fr-BE"/>
        </w:rPr>
        <w:t>e</w:t>
      </w:r>
      <w:r>
        <w:rPr>
          <w:noProof/>
          <w:lang w:eastAsia="fr-BE"/>
        </w:rPr>
        <w:t>c</w:t>
      </w:r>
      <w:r w:rsidR="00A5582B">
        <w:rPr>
          <w:noProof/>
          <w:lang w:eastAsia="fr-BE"/>
        </w:rPr>
        <w:t>l</w:t>
      </w:r>
      <w:r>
        <w:rPr>
          <w:noProof/>
          <w:lang w:eastAsia="fr-BE"/>
        </w:rPr>
        <w:t>ercq, 2017</w:t>
      </w:r>
      <w:r w:rsidR="00A5582B">
        <w:rPr>
          <w:noProof/>
          <w:lang w:eastAsia="fr-BE"/>
        </w:rPr>
        <w:t>)</w:t>
      </w:r>
      <w:r>
        <w:rPr>
          <w:noProof/>
          <w:lang w:eastAsia="fr-BE"/>
        </w:rPr>
        <w:t>.</w:t>
      </w:r>
      <w:r w:rsidR="00A5582B">
        <w:rPr>
          <w:noProof/>
          <w:lang w:eastAsia="fr-BE"/>
        </w:rPr>
        <w:t xml:space="preserve"> Les systèmes experts (ou SE), en diagnostic médical notamment, fonctionnement évidemment avec des pourcnetages, mais ce sont les experts humains qui leur ont fournis. Enfin, plusieurs recherches ont montré (Edwards, 1967, Lindley, 1971, Leclercq, 1975 et 1982</w:t>
      </w:r>
      <w:r w:rsidR="00696C12">
        <w:rPr>
          <w:noProof/>
          <w:lang w:eastAsia="fr-BE"/>
        </w:rPr>
        <w:t>, p. 257-270</w:t>
      </w:r>
      <w:r w:rsidR="00A5582B">
        <w:rPr>
          <w:noProof/>
          <w:lang w:eastAsia="fr-BE"/>
        </w:rPr>
        <w:t xml:space="preserve">) que l’humain est </w:t>
      </w:r>
      <w:r w:rsidR="00696C12">
        <w:rPr>
          <w:noProof/>
          <w:lang w:eastAsia="fr-BE"/>
        </w:rPr>
        <w:t>« </w:t>
      </w:r>
      <w:r w:rsidR="00A5582B">
        <w:rPr>
          <w:noProof/>
          <w:lang w:eastAsia="fr-BE"/>
        </w:rPr>
        <w:t>sous-bayésien</w:t>
      </w:r>
      <w:r w:rsidR="00696C12">
        <w:rPr>
          <w:noProof/>
          <w:lang w:eastAsia="fr-BE"/>
        </w:rPr>
        <w:t> »</w:t>
      </w:r>
      <w:r w:rsidR="00A5582B">
        <w:rPr>
          <w:noProof/>
          <w:lang w:eastAsia="fr-BE"/>
        </w:rPr>
        <w:t> : il a besoin de beaucoup plus d’infirmations (de données) que le SE pour arriver à la même certitude</w:t>
      </w:r>
      <w:r w:rsidR="00696C12">
        <w:rPr>
          <w:noProof/>
          <w:lang w:eastAsia="fr-BE"/>
        </w:rPr>
        <w:t xml:space="preserve"> (voir Leclercq, 1982, p. 267)</w:t>
      </w:r>
      <w:r w:rsidR="00A5582B">
        <w:rPr>
          <w:noProof/>
          <w:lang w:eastAsia="fr-BE"/>
        </w:rPr>
        <w:t xml:space="preserve">. </w:t>
      </w:r>
    </w:p>
    <w:p w:rsidR="00696C12" w:rsidRDefault="00A10BB4" w:rsidP="00B649B3">
      <w:pPr>
        <w:rPr>
          <w:b/>
          <w:noProof/>
          <w:lang w:eastAsia="fr-BE"/>
        </w:rPr>
      </w:pPr>
      <w:r>
        <w:rPr>
          <w:b/>
          <w:noProof/>
          <w:lang w:eastAsia="fr-BE"/>
        </w:rPr>
        <w:t xml:space="preserve">C. </w:t>
      </w:r>
      <w:r w:rsidR="00A5582B">
        <w:rPr>
          <w:b/>
          <w:noProof/>
          <w:lang w:eastAsia="fr-BE"/>
        </w:rPr>
        <w:t>L</w:t>
      </w:r>
      <w:r w:rsidR="00A5582B" w:rsidRPr="00047DB4">
        <w:rPr>
          <w:b/>
          <w:noProof/>
          <w:lang w:eastAsia="fr-BE"/>
        </w:rPr>
        <w:t>a théorie de l’information</w:t>
      </w:r>
    </w:p>
    <w:p w:rsidR="00EF34CF" w:rsidRDefault="00902E61" w:rsidP="00B649B3">
      <w:pPr>
        <w:rPr>
          <w:noProof/>
          <w:lang w:eastAsia="fr-BE"/>
        </w:rPr>
      </w:pPr>
      <w:r>
        <w:rPr>
          <w:noProof/>
          <w:lang w:eastAsia="fr-BE"/>
        </w:rPr>
        <w:t xml:space="preserve">Recueillir les probabilités </w:t>
      </w:r>
      <w:r w:rsidR="00B649B3">
        <w:rPr>
          <w:noProof/>
          <w:lang w:eastAsia="fr-BE"/>
        </w:rPr>
        <w:t xml:space="preserve">(en %) </w:t>
      </w:r>
      <w:r>
        <w:rPr>
          <w:noProof/>
          <w:lang w:eastAsia="fr-BE"/>
        </w:rPr>
        <w:t xml:space="preserve">à chaque étape (à chaque ouvelle information) </w:t>
      </w:r>
      <w:r w:rsidR="00B649B3">
        <w:rPr>
          <w:noProof/>
          <w:lang w:eastAsia="fr-BE"/>
        </w:rPr>
        <w:t xml:space="preserve">et pour chaque facetur </w:t>
      </w:r>
      <w:r>
        <w:rPr>
          <w:noProof/>
          <w:lang w:eastAsia="fr-BE"/>
        </w:rPr>
        <w:t>est un processu</w:t>
      </w:r>
      <w:r w:rsidR="00EF34CF">
        <w:rPr>
          <w:noProof/>
          <w:lang w:eastAsia="fr-BE"/>
        </w:rPr>
        <w:t>s</w:t>
      </w:r>
      <w:r>
        <w:rPr>
          <w:noProof/>
          <w:lang w:eastAsia="fr-BE"/>
        </w:rPr>
        <w:t xml:space="preserve"> lourd</w:t>
      </w:r>
      <w:r w:rsidR="00EF34CF">
        <w:rPr>
          <w:noProof/>
          <w:lang w:eastAsia="fr-BE"/>
        </w:rPr>
        <w:t>, relevant de la recherche de laboratoire</w:t>
      </w:r>
      <w:r w:rsidR="00B649B3">
        <w:rPr>
          <w:rStyle w:val="Appelnotedebasdep"/>
          <w:noProof/>
          <w:lang w:eastAsia="fr-BE"/>
        </w:rPr>
        <w:footnoteReference w:id="5"/>
      </w:r>
      <w:r w:rsidR="00EF34CF">
        <w:rPr>
          <w:noProof/>
          <w:lang w:eastAsia="fr-BE"/>
        </w:rPr>
        <w:t xml:space="preserve">. Or </w:t>
      </w:r>
      <w:r w:rsidR="00B649B3">
        <w:rPr>
          <w:noProof/>
          <w:lang w:eastAsia="fr-BE"/>
        </w:rPr>
        <w:t xml:space="preserve">dans la vie réelle, </w:t>
      </w:r>
      <w:r w:rsidR="00EF34CF">
        <w:rPr>
          <w:noProof/>
          <w:lang w:eastAsia="fr-BE"/>
        </w:rPr>
        <w:t>les diagnostiquant.e.s émettent de</w:t>
      </w:r>
      <w:r w:rsidR="00B649B3">
        <w:rPr>
          <w:noProof/>
          <w:lang w:eastAsia="fr-BE"/>
        </w:rPr>
        <w:t xml:space="preserve"> </w:t>
      </w:r>
      <w:r w:rsidR="00EF34CF">
        <w:rPr>
          <w:noProof/>
          <w:lang w:eastAsia="fr-BE"/>
        </w:rPr>
        <w:t>tel</w:t>
      </w:r>
      <w:r w:rsidR="00B649B3">
        <w:rPr>
          <w:noProof/>
          <w:lang w:eastAsia="fr-BE"/>
        </w:rPr>
        <w:t>les probabilités (pas en pourcen</w:t>
      </w:r>
      <w:r w:rsidR="00EF34CF">
        <w:rPr>
          <w:noProof/>
          <w:lang w:eastAsia="fr-BE"/>
        </w:rPr>
        <w:t xml:space="preserve">tages c’est vrai) et, surtout, ne les notent pas, ce qui n’en laisse aucune trace. </w:t>
      </w:r>
      <w:r w:rsidR="00B649B3">
        <w:rPr>
          <w:noProof/>
          <w:lang w:eastAsia="fr-BE"/>
        </w:rPr>
        <w:t xml:space="preserve">Ce recueil </w:t>
      </w:r>
      <w:r w:rsidR="008F37AC">
        <w:rPr>
          <w:noProof/>
          <w:lang w:eastAsia="fr-BE"/>
        </w:rPr>
        <w:t>permet</w:t>
      </w:r>
    </w:p>
    <w:p w:rsidR="00EF34CF" w:rsidRDefault="00EF34CF" w:rsidP="008F37AC">
      <w:pPr>
        <w:spacing w:after="0"/>
        <w:ind w:left="1418" w:hanging="709"/>
        <w:rPr>
          <w:noProof/>
          <w:lang w:eastAsia="fr-BE"/>
        </w:rPr>
      </w:pPr>
      <w:r>
        <w:rPr>
          <w:noProof/>
          <w:lang w:eastAsia="fr-BE"/>
        </w:rPr>
        <w:t>-</w:t>
      </w:r>
      <w:r w:rsidR="008F37AC">
        <w:rPr>
          <w:noProof/>
          <w:lang w:eastAsia="fr-BE"/>
        </w:rPr>
        <w:t xml:space="preserve">de </w:t>
      </w:r>
      <w:r>
        <w:rPr>
          <w:noProof/>
          <w:lang w:eastAsia="fr-BE"/>
        </w:rPr>
        <w:t xml:space="preserve">quantifier le pouvoir informatif d’un événement (d’une observation, de la réponse </w:t>
      </w:r>
      <w:r w:rsidR="00B649B3">
        <w:rPr>
          <w:noProof/>
          <w:lang w:eastAsia="fr-BE"/>
        </w:rPr>
        <w:t xml:space="preserve">du patient </w:t>
      </w:r>
      <w:r>
        <w:rPr>
          <w:noProof/>
          <w:lang w:eastAsia="fr-BE"/>
        </w:rPr>
        <w:t xml:space="preserve">à une question, d’un message spontané, </w:t>
      </w:r>
      <w:r w:rsidR="00B649B3">
        <w:rPr>
          <w:noProof/>
          <w:lang w:eastAsia="fr-BE"/>
        </w:rPr>
        <w:t>d’une consultation du dossier,</w:t>
      </w:r>
      <w:r>
        <w:rPr>
          <w:noProof/>
          <w:lang w:eastAsia="fr-BE"/>
        </w:rPr>
        <w:t xml:space="preserve">etc.). </w:t>
      </w:r>
    </w:p>
    <w:p w:rsidR="00EF34CF" w:rsidRDefault="00EF34CF" w:rsidP="008F37AC">
      <w:pPr>
        <w:spacing w:after="0"/>
        <w:ind w:left="1418" w:hanging="709"/>
        <w:rPr>
          <w:noProof/>
          <w:lang w:eastAsia="fr-BE"/>
        </w:rPr>
      </w:pPr>
      <w:r>
        <w:rPr>
          <w:noProof/>
          <w:lang w:eastAsia="fr-BE"/>
        </w:rPr>
        <w:t>-</w:t>
      </w:r>
      <w:r w:rsidR="008F37AC">
        <w:rPr>
          <w:noProof/>
          <w:lang w:eastAsia="fr-BE"/>
        </w:rPr>
        <w:t>d’</w:t>
      </w:r>
      <w:r>
        <w:rPr>
          <w:noProof/>
          <w:lang w:eastAsia="fr-BE"/>
        </w:rPr>
        <w:t>étudier les stratégies de recherche d’information (de questionnement), et de raisonnement cli</w:t>
      </w:r>
      <w:r w:rsidR="00B649B3">
        <w:rPr>
          <w:noProof/>
          <w:lang w:eastAsia="fr-BE"/>
        </w:rPr>
        <w:t>n</w:t>
      </w:r>
      <w:r>
        <w:rPr>
          <w:noProof/>
          <w:lang w:eastAsia="fr-BE"/>
        </w:rPr>
        <w:t>ique</w:t>
      </w:r>
    </w:p>
    <w:p w:rsidR="008F37AC" w:rsidRDefault="008F37AC" w:rsidP="008F37AC">
      <w:pPr>
        <w:spacing w:after="0"/>
        <w:rPr>
          <w:noProof/>
          <w:lang w:eastAsia="fr-BE"/>
        </w:rPr>
      </w:pPr>
      <w:r>
        <w:rPr>
          <w:noProof/>
          <w:lang w:eastAsia="fr-BE"/>
        </w:rPr>
        <w:t xml:space="preserve">dans un but de former au diagnostic. </w:t>
      </w:r>
    </w:p>
    <w:p w:rsidR="008F37AC" w:rsidRDefault="008F37AC" w:rsidP="008F37AC">
      <w:pPr>
        <w:spacing w:after="0"/>
        <w:rPr>
          <w:noProof/>
          <w:lang w:eastAsia="fr-BE"/>
        </w:rPr>
      </w:pPr>
      <w:r>
        <w:rPr>
          <w:noProof/>
          <w:lang w:eastAsia="fr-BE"/>
        </w:rPr>
        <w:t>Ici c’est la théorie de l’information (Shannon &amp; Weaver)</w:t>
      </w:r>
      <w:r>
        <w:rPr>
          <w:rStyle w:val="Appelnotedebasdep"/>
          <w:noProof/>
          <w:lang w:eastAsia="fr-BE"/>
        </w:rPr>
        <w:footnoteReference w:id="6"/>
      </w:r>
      <w:r w:rsidR="00273741">
        <w:rPr>
          <w:noProof/>
          <w:lang w:eastAsia="fr-BE"/>
        </w:rPr>
        <w:t xml:space="preserve"> qui est utile. </w:t>
      </w:r>
    </w:p>
    <w:p w:rsidR="00A10BB4" w:rsidRDefault="008D415A" w:rsidP="008F37AC">
      <w:pPr>
        <w:spacing w:after="0"/>
        <w:rPr>
          <w:noProof/>
          <w:lang w:eastAsia="fr-BE"/>
        </w:rPr>
      </w:pPr>
      <w:r>
        <w:rPr>
          <w:noProof/>
          <w:lang w:eastAsia="fr-BE"/>
        </w:rPr>
        <w:t>Shannon (1948), en effet, a défini l’information comme « ce qui réduit l’incertiude ». Il est m^me allé jusqu’à proposer une unité de mesure de l’information : le bit. Dans cetet théorie, un événement (un message par exmeple) qui réduit l’incertitude à la moitié de ce qu’elle était pèse 1 bit, à un quart pès 2 bits, à 1/8 pèse 3 bits, à 1/16 pèse 4 bits. Mon opinion est que les événements qui réduisetla certiude sont tout aussi imprtntas et je propsoe de remplacer la définition de Shannon par « L’information est ce qui modifie l’incertiude ». Encore faut-il recueillir les degrés de certitude d’une manière utilisable pour la théorie de l’information. On lira dans mon article de 2009 « La connaissance partielle</w:t>
      </w:r>
      <w:r w:rsidR="00A10BB4">
        <w:rPr>
          <w:noProof/>
          <w:lang w:eastAsia="fr-BE"/>
        </w:rPr>
        <w:t>…</w:t>
      </w:r>
      <w:r>
        <w:rPr>
          <w:noProof/>
          <w:lang w:eastAsia="fr-BE"/>
        </w:rPr>
        <w:t xml:space="preserve"> » des modalités recommandées. </w:t>
      </w:r>
    </w:p>
    <w:p w:rsidR="008D415A" w:rsidRDefault="00A10BB4" w:rsidP="008F37AC">
      <w:pPr>
        <w:spacing w:after="0"/>
        <w:rPr>
          <w:noProof/>
          <w:lang w:eastAsia="fr-BE"/>
        </w:rPr>
      </w:pPr>
      <w:r>
        <w:rPr>
          <w:noProof/>
          <w:lang w:eastAsia="fr-BE"/>
        </w:rPr>
        <w:t>Je suggère qu’un b</w:t>
      </w:r>
      <w:r w:rsidR="003269FF">
        <w:rPr>
          <w:noProof/>
          <w:lang w:eastAsia="fr-BE"/>
        </w:rPr>
        <w:t>o</w:t>
      </w:r>
      <w:r>
        <w:rPr>
          <w:noProof/>
          <w:lang w:eastAsia="fr-BE"/>
        </w:rPr>
        <w:t>n diagnostiquant est quelqu’un qui pose des questions permettant de recueillir des réponses « informatives ». Le jeu Anasécas (et les recherches qu’il permet)-est basé sur cet axiome.</w:t>
      </w:r>
      <w:r w:rsidR="008D415A">
        <w:rPr>
          <w:noProof/>
          <w:lang w:eastAsia="fr-BE"/>
        </w:rPr>
        <w:t xml:space="preserve">  </w:t>
      </w:r>
    </w:p>
    <w:p w:rsidR="008F37AC" w:rsidRDefault="008F37AC" w:rsidP="008F37AC">
      <w:pPr>
        <w:spacing w:after="0"/>
        <w:rPr>
          <w:noProof/>
          <w:lang w:eastAsia="fr-BE"/>
        </w:rPr>
      </w:pPr>
    </w:p>
    <w:p w:rsidR="00273741" w:rsidRDefault="00A10BB4">
      <w:pPr>
        <w:rPr>
          <w:b/>
          <w:noProof/>
          <w:lang w:eastAsia="fr-BE"/>
        </w:rPr>
      </w:pPr>
      <w:r>
        <w:rPr>
          <w:b/>
          <w:noProof/>
          <w:lang w:eastAsia="fr-BE"/>
        </w:rPr>
        <w:t>D</w:t>
      </w:r>
      <w:r w:rsidR="00273741">
        <w:rPr>
          <w:b/>
          <w:noProof/>
          <w:lang w:eastAsia="fr-BE"/>
        </w:rPr>
        <w:t>. Un jeu sérieux</w:t>
      </w:r>
    </w:p>
    <w:p w:rsidR="00273741" w:rsidRDefault="00273741">
      <w:pPr>
        <w:rPr>
          <w:noProof/>
          <w:lang w:eastAsia="fr-BE"/>
        </w:rPr>
      </w:pPr>
      <w:r>
        <w:rPr>
          <w:noProof/>
          <w:lang w:eastAsia="fr-BE"/>
        </w:rPr>
        <w:t xml:space="preserve">Alors que les jeux ont pour but de s’amuser, se divertir, les </w:t>
      </w:r>
      <w:r w:rsidRPr="00273741">
        <w:rPr>
          <w:noProof/>
          <w:lang w:eastAsia="fr-BE"/>
        </w:rPr>
        <w:t>« </w:t>
      </w:r>
      <w:r w:rsidRPr="00273741">
        <w:rPr>
          <w:i/>
          <w:noProof/>
          <w:lang w:eastAsia="fr-BE"/>
        </w:rPr>
        <w:t>serious games</w:t>
      </w:r>
      <w:r w:rsidRPr="00273741">
        <w:rPr>
          <w:noProof/>
          <w:lang w:eastAsia="fr-BE"/>
        </w:rPr>
        <w:t> »</w:t>
      </w:r>
      <w:r>
        <w:rPr>
          <w:noProof/>
          <w:lang w:eastAsia="fr-BE"/>
        </w:rPr>
        <w:t xml:space="preserve"> sont des moyens qui </w:t>
      </w:r>
      <w:r w:rsidRPr="00273741">
        <w:rPr>
          <w:noProof/>
          <w:lang w:eastAsia="fr-BE"/>
        </w:rPr>
        <w:t xml:space="preserve">ont </w:t>
      </w:r>
      <w:r>
        <w:rPr>
          <w:noProof/>
          <w:lang w:eastAsia="fr-BE"/>
        </w:rPr>
        <w:t xml:space="preserve">pour but de </w:t>
      </w:r>
      <w:r w:rsidRPr="00273741">
        <w:rPr>
          <w:noProof/>
          <w:lang w:eastAsia="fr-BE"/>
        </w:rPr>
        <w:t>favoris</w:t>
      </w:r>
      <w:r>
        <w:rPr>
          <w:noProof/>
          <w:lang w:eastAsia="fr-BE"/>
        </w:rPr>
        <w:t>er d</w:t>
      </w:r>
      <w:r w:rsidRPr="00273741">
        <w:rPr>
          <w:noProof/>
          <w:lang w:eastAsia="fr-BE"/>
        </w:rPr>
        <w:t>es apprentissages</w:t>
      </w:r>
      <w:r w:rsidRPr="00137A15">
        <w:rPr>
          <w:noProof/>
          <w:lang w:eastAsia="fr-BE"/>
        </w:rPr>
        <w:t xml:space="preserve">. </w:t>
      </w:r>
      <w:r w:rsidR="00137A15" w:rsidRPr="00137A15">
        <w:rPr>
          <w:noProof/>
          <w:lang w:eastAsia="fr-BE"/>
        </w:rPr>
        <w:t>On les associe souvent aux jeux vidéos. Or l</w:t>
      </w:r>
      <w:r w:rsidRPr="00137A15">
        <w:rPr>
          <w:noProof/>
          <w:lang w:eastAsia="fr-BE"/>
        </w:rPr>
        <w:t xml:space="preserve">eur </w:t>
      </w:r>
      <w:r w:rsidRPr="00137A15">
        <w:rPr>
          <w:noProof/>
          <w:lang w:eastAsia="fr-BE"/>
        </w:rPr>
        <w:lastRenderedPageBreak/>
        <w:t xml:space="preserve">intersection avec les simulations est grande, </w:t>
      </w:r>
      <w:r w:rsidR="00137A15" w:rsidRPr="00137A15">
        <w:rPr>
          <w:noProof/>
          <w:lang w:eastAsia="fr-BE"/>
        </w:rPr>
        <w:t>ainsi qu’avec les jeux de rôle</w:t>
      </w:r>
      <w:r w:rsidR="00137A15">
        <w:rPr>
          <w:noProof/>
          <w:lang w:eastAsia="fr-BE"/>
        </w:rPr>
        <w:t xml:space="preserve">. Ils ont cependant une marque distinctive : on doit trouver du plaisir à les utiliser. Ici, dans Ansécas, plaisir d’imaginer des questions dont on va pouvoir vérifier la pertinence (par le pouvoir informatif de la réponse), plaisir de vérifier (ou non) des hypothèses, plaisir de découvrir et de réfléchir sur ses stratégies de questionnement, donc de se sentir de plus en plus efficace car il s’agit ici de se former à venir en aide aux autres, tous les cas concernant des problèmes de santé. </w:t>
      </w:r>
    </w:p>
    <w:p w:rsidR="00137A15" w:rsidRDefault="00137A15">
      <w:pPr>
        <w:rPr>
          <w:noProof/>
          <w:lang w:eastAsia="fr-BE"/>
        </w:rPr>
      </w:pPr>
      <w:r>
        <w:rPr>
          <w:noProof/>
          <w:lang w:eastAsia="fr-BE"/>
        </w:rPr>
        <w:t>Alors, utiliser Anasécas sur quelques cas apporterat-il ce plaisir et ce sentiment d’avoir appris ? C’est ce que des questionnaires aux utilisateurs devraient nous apprendre. Ces utilisateurs peuevnt être précieux dans l’</w:t>
      </w:r>
      <w:r w:rsidR="00F5092B">
        <w:rPr>
          <w:noProof/>
          <w:lang w:eastAsia="fr-BE"/>
        </w:rPr>
        <w:t>é</w:t>
      </w:r>
      <w:r>
        <w:rPr>
          <w:noProof/>
          <w:lang w:eastAsia="fr-BE"/>
        </w:rPr>
        <w:t>valuation des jeux sérieux (</w:t>
      </w:r>
      <w:r w:rsidR="00F5092B">
        <w:rPr>
          <w:noProof/>
          <w:lang w:eastAsia="fr-BE"/>
        </w:rPr>
        <w:t xml:space="preserve">ic d’Anasécas), dans la suggestion et la cration de variantes et de nouvaux cas. </w:t>
      </w:r>
    </w:p>
    <w:p w:rsidR="00F5092B" w:rsidRDefault="005D37EC">
      <w:pPr>
        <w:rPr>
          <w:b/>
          <w:noProof/>
          <w:lang w:eastAsia="fr-BE"/>
        </w:rPr>
      </w:pPr>
      <w:r>
        <w:rPr>
          <w:noProof/>
          <w:lang w:eastAsia="fr-BE"/>
        </w:rPr>
        <w:drawing>
          <wp:anchor distT="0" distB="0" distL="114300" distR="114300" simplePos="0" relativeHeight="251659264" behindDoc="1" locked="0" layoutInCell="1" allowOverlap="1" wp14:anchorId="04815C66" wp14:editId="71C2612F">
            <wp:simplePos x="0" y="0"/>
            <wp:positionH relativeFrom="column">
              <wp:posOffset>2427605</wp:posOffset>
            </wp:positionH>
            <wp:positionV relativeFrom="paragraph">
              <wp:posOffset>789940</wp:posOffset>
            </wp:positionV>
            <wp:extent cx="3156585" cy="2425700"/>
            <wp:effectExtent l="0" t="0" r="5715" b="0"/>
            <wp:wrapTight wrapText="bothSides">
              <wp:wrapPolygon edited="0">
                <wp:start x="0" y="0"/>
                <wp:lineTo x="0" y="21374"/>
                <wp:lineTo x="21509" y="21374"/>
                <wp:lineTo x="2150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2935" t="16463" r="37537" b="15866"/>
                    <a:stretch/>
                  </pic:blipFill>
                  <pic:spPr bwMode="auto">
                    <a:xfrm>
                      <a:off x="0" y="0"/>
                      <a:ext cx="3156585" cy="242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92B">
        <w:rPr>
          <w:noProof/>
          <w:lang w:eastAsia="fr-BE"/>
        </w:rPr>
        <w:t xml:space="preserve">La version présentée ci-après est élémentaire informatiquement. Elle est en Excel pour que les chercheurs en psycho-pédagogie en gardent la maîtrise totale, en pouvant y apporter des modifications immédiatement. La conséquence en est leur look rébarbatif. Heureusement, il s’adresse à des professionnels habitués à l’abstraction. </w:t>
      </w:r>
    </w:p>
    <w:p w:rsidR="00273741" w:rsidRDefault="00A10BB4">
      <w:pPr>
        <w:rPr>
          <w:b/>
          <w:noProof/>
          <w:lang w:eastAsia="fr-BE"/>
        </w:rPr>
      </w:pPr>
      <w:r>
        <w:rPr>
          <w:b/>
          <w:noProof/>
          <w:lang w:eastAsia="fr-BE"/>
        </w:rPr>
        <w:t>E</w:t>
      </w:r>
      <w:r w:rsidR="005D37EC">
        <w:rPr>
          <w:b/>
          <w:noProof/>
          <w:lang w:eastAsia="fr-BE"/>
        </w:rPr>
        <w:t>. Le raisonnement clinique</w:t>
      </w:r>
    </w:p>
    <w:p w:rsidR="005D37EC" w:rsidRPr="005D37EC" w:rsidRDefault="005D37EC">
      <w:pPr>
        <w:rPr>
          <w:noProof/>
          <w:lang w:eastAsia="fr-BE"/>
        </w:rPr>
      </w:pPr>
      <w:r w:rsidRPr="005D37EC">
        <w:rPr>
          <w:noProof/>
          <w:lang w:eastAsia="fr-BE"/>
        </w:rPr>
        <w:t>Le jeu s’inspire du schéma classique</w:t>
      </w:r>
      <w:r>
        <w:rPr>
          <w:noProof/>
          <w:lang w:eastAsia="fr-BE"/>
        </w:rPr>
        <w:t xml:space="preserve">, illustré par </w:t>
      </w:r>
      <w:r w:rsidRPr="005D37EC">
        <w:rPr>
          <w:noProof/>
          <w:lang w:eastAsia="fr-BE"/>
        </w:rPr>
        <w:t> Nendaz &amp; al. (2005)</w:t>
      </w:r>
      <w:r>
        <w:rPr>
          <w:noProof/>
          <w:lang w:eastAsia="fr-BE"/>
        </w:rPr>
        <w:t xml:space="preserve">, ci-contre </w:t>
      </w:r>
    </w:p>
    <w:p w:rsidR="005D37EC" w:rsidRPr="00C43A4E" w:rsidRDefault="00C43A4E">
      <w:pPr>
        <w:rPr>
          <w:noProof/>
          <w:lang w:eastAsia="fr-BE"/>
        </w:rPr>
      </w:pPr>
      <w:r w:rsidRPr="00C43A4E">
        <w:rPr>
          <w:noProof/>
          <w:lang w:eastAsia="fr-BE"/>
        </w:rPr>
        <w:t>Selon Custers et al. (1996</w:t>
      </w:r>
      <w:r>
        <w:rPr>
          <w:noProof/>
          <w:lang w:eastAsia="fr-BE"/>
        </w:rPr>
        <w:t>, p. S 58</w:t>
      </w:r>
      <w:r w:rsidRPr="00C43A4E">
        <w:rPr>
          <w:noProof/>
          <w:lang w:eastAsia="fr-BE"/>
        </w:rPr>
        <w:t xml:space="preserve">), « Diagnostiquer revient à trouver un chemin à travers un réseau de connaissances bio-médicales et d’expériences clinqiues via (à l’aide) des signes cliniques, des symptômes et de plaintes des patients, jusqu’ua nœud (du réseau conceptuel) correspondant au </w:t>
      </w:r>
      <w:r>
        <w:rPr>
          <w:noProof/>
          <w:lang w:eastAsia="fr-BE"/>
        </w:rPr>
        <w:t xml:space="preserve">nom (label) du </w:t>
      </w:r>
      <w:r w:rsidRPr="00C43A4E">
        <w:rPr>
          <w:noProof/>
          <w:lang w:eastAsia="fr-BE"/>
        </w:rPr>
        <w:t>diagnostic.</w:t>
      </w:r>
      <w:r>
        <w:rPr>
          <w:noProof/>
          <w:lang w:eastAsia="fr-BE"/>
        </w:rPr>
        <w:t> ».</w:t>
      </w:r>
      <w:r w:rsidR="007508D5">
        <w:rPr>
          <w:noProof/>
          <w:lang w:eastAsia="fr-BE"/>
        </w:rPr>
        <w:t xml:space="preserve"> Ce chemin est souvent organisé en scripts</w:t>
      </w:r>
      <w:r w:rsidR="00F6438B">
        <w:rPr>
          <w:noProof/>
          <w:lang w:eastAsia="fr-BE"/>
        </w:rPr>
        <w:t xml:space="preserve"> (Schanck &amp; Abelson, 1975)</w:t>
      </w:r>
      <w:r w:rsidR="007508D5">
        <w:rPr>
          <w:noProof/>
          <w:lang w:eastAsia="fr-BE"/>
        </w:rPr>
        <w:t>, des connaissances et savoir faire relatifs à des compétences spécifiques à certains domaines, à certa</w:t>
      </w:r>
      <w:r w:rsidR="00F6438B">
        <w:rPr>
          <w:noProof/>
          <w:lang w:eastAsia="fr-BE"/>
        </w:rPr>
        <w:t>i</w:t>
      </w:r>
      <w:r w:rsidR="007508D5">
        <w:rPr>
          <w:noProof/>
          <w:lang w:eastAsia="fr-BE"/>
        </w:rPr>
        <w:t>ns problèmes</w:t>
      </w:r>
      <w:r w:rsidR="00F6438B">
        <w:rPr>
          <w:noProof/>
          <w:lang w:eastAsia="fr-BE"/>
        </w:rPr>
        <w:t>, notamment les diangostics médicaux, Charlin et al. 2000, 2003).</w:t>
      </w:r>
    </w:p>
    <w:p w:rsidR="005D37EC" w:rsidRPr="0076788D" w:rsidRDefault="0076788D">
      <w:pPr>
        <w:rPr>
          <w:noProof/>
          <w:lang w:eastAsia="fr-BE"/>
        </w:rPr>
      </w:pPr>
      <w:r w:rsidRPr="0076788D">
        <w:rPr>
          <w:noProof/>
          <w:lang w:eastAsia="fr-BE"/>
        </w:rPr>
        <w:t>Nendaz &amp; al. (2005</w:t>
      </w:r>
      <w:r>
        <w:rPr>
          <w:noProof/>
          <w:lang w:eastAsia="fr-BE"/>
        </w:rPr>
        <w:t>, p. 237</w:t>
      </w:r>
      <w:r w:rsidRPr="0076788D">
        <w:rPr>
          <w:noProof/>
          <w:lang w:eastAsia="fr-BE"/>
        </w:rPr>
        <w:t>) écrivent </w:t>
      </w:r>
      <w:r>
        <w:rPr>
          <w:noProof/>
          <w:lang w:eastAsia="fr-BE"/>
        </w:rPr>
        <w:t xml:space="preserve">(le gras est de moi) </w:t>
      </w:r>
      <w:r w:rsidRPr="0076788D">
        <w:rPr>
          <w:noProof/>
          <w:lang w:eastAsia="fr-BE"/>
        </w:rPr>
        <w:t xml:space="preserve">: </w:t>
      </w:r>
    </w:p>
    <w:p w:rsidR="0076788D" w:rsidRPr="00C43A4E" w:rsidRDefault="0076788D" w:rsidP="00C43A4E">
      <w:pPr>
        <w:rPr>
          <w:noProof/>
          <w:lang w:eastAsia="fr-BE"/>
        </w:rPr>
      </w:pPr>
      <w:r w:rsidRPr="00C43A4E">
        <w:rPr>
          <w:noProof/>
          <w:lang w:eastAsia="fr-BE"/>
        </w:rPr>
        <w:t xml:space="preserve">Selon Elstein et coll., la génération d’hypothèses est une nécessité psychologique, compte tenu de la complexité des situations cliniques, de l’énorme quantité de données disponibles chez le patient et de la capacité limitée de la mémoire de travail (aussi nommée « mémoire à court terme »). La génération </w:t>
      </w:r>
      <w:r w:rsidRPr="00C43A4E">
        <w:rPr>
          <w:b/>
          <w:noProof/>
          <w:lang w:eastAsia="fr-BE"/>
        </w:rPr>
        <w:t>d’un nombre limité de solutions possibles</w:t>
      </w:r>
      <w:r w:rsidRPr="00C43A4E">
        <w:rPr>
          <w:noProof/>
          <w:lang w:eastAsia="fr-BE"/>
        </w:rPr>
        <w:t xml:space="preserve"> est un moyen efficace de transformation d’un problème mal structuré en un problème mieux structuré.</w:t>
      </w:r>
    </w:p>
    <w:p w:rsidR="00097769" w:rsidRPr="00C43A4E" w:rsidRDefault="00097769" w:rsidP="00097769">
      <w:pPr>
        <w:rPr>
          <w:noProof/>
          <w:lang w:eastAsia="fr-BE"/>
        </w:rPr>
      </w:pPr>
      <w:r w:rsidRPr="00C43A4E">
        <w:rPr>
          <w:noProof/>
          <w:lang w:eastAsia="fr-BE"/>
        </w:rPr>
        <w:t xml:space="preserve">L’élaboration des hypothèses peut se faire par </w:t>
      </w:r>
    </w:p>
    <w:p w:rsidR="00097769" w:rsidRPr="00C43A4E" w:rsidRDefault="00097769" w:rsidP="00C43A4E">
      <w:pPr>
        <w:ind w:left="708"/>
        <w:rPr>
          <w:noProof/>
          <w:lang w:eastAsia="fr-BE"/>
        </w:rPr>
      </w:pPr>
      <w:r w:rsidRPr="00C43A4E">
        <w:rPr>
          <w:noProof/>
          <w:lang w:eastAsia="fr-BE"/>
        </w:rPr>
        <w:t>-</w:t>
      </w:r>
      <w:r w:rsidRPr="00C43A4E">
        <w:rPr>
          <w:b/>
          <w:noProof/>
          <w:lang w:eastAsia="fr-BE"/>
        </w:rPr>
        <w:t>chaînage avant</w:t>
      </w:r>
      <w:r w:rsidRPr="00C43A4E">
        <w:rPr>
          <w:noProof/>
          <w:lang w:eastAsia="fr-BE"/>
        </w:rPr>
        <w:t xml:space="preserve"> (partant des données vers des hypoth</w:t>
      </w:r>
      <w:r w:rsidR="003269FF" w:rsidRPr="00C43A4E">
        <w:rPr>
          <w:noProof/>
          <w:lang w:eastAsia="fr-BE"/>
        </w:rPr>
        <w:t>èses). C’est souvent la</w:t>
      </w:r>
      <w:r w:rsidRPr="00C43A4E">
        <w:rPr>
          <w:noProof/>
          <w:lang w:eastAsia="fr-BE"/>
        </w:rPr>
        <w:t xml:space="preserve"> démarche </w:t>
      </w:r>
      <w:r w:rsidR="003269FF" w:rsidRPr="00C43A4E">
        <w:rPr>
          <w:noProof/>
          <w:lang w:eastAsia="fr-BE"/>
        </w:rPr>
        <w:t xml:space="preserve">spontanée </w:t>
      </w:r>
      <w:r w:rsidRPr="00C43A4E">
        <w:rPr>
          <w:noProof/>
          <w:lang w:eastAsia="fr-BE"/>
        </w:rPr>
        <w:t xml:space="preserve">du diagnostiquant quand il rencontre le cas (pourtant présenté dans une forme floue) pour la première fois. </w:t>
      </w:r>
    </w:p>
    <w:p w:rsidR="00097769" w:rsidRPr="00C43A4E" w:rsidRDefault="00097769" w:rsidP="00C43A4E">
      <w:pPr>
        <w:ind w:left="708"/>
        <w:rPr>
          <w:noProof/>
          <w:lang w:eastAsia="fr-BE"/>
        </w:rPr>
      </w:pPr>
      <w:r w:rsidRPr="00C43A4E">
        <w:rPr>
          <w:noProof/>
          <w:lang w:eastAsia="fr-BE"/>
        </w:rPr>
        <w:t>-</w:t>
      </w:r>
      <w:r w:rsidRPr="00C43A4E">
        <w:rPr>
          <w:b/>
          <w:noProof/>
          <w:lang w:eastAsia="fr-BE"/>
        </w:rPr>
        <w:t>chaînage arrière</w:t>
      </w:r>
      <w:r w:rsidRPr="00C43A4E">
        <w:rPr>
          <w:noProof/>
          <w:lang w:eastAsia="fr-BE"/>
        </w:rPr>
        <w:t xml:space="preserve"> (de l’hypothèse formulée vers les données dont on dispose ou vers la recherche de données confirmatoires ou infirmatives)</w:t>
      </w:r>
      <w:r w:rsidR="003269FF" w:rsidRPr="00C43A4E">
        <w:rPr>
          <w:noProof/>
          <w:lang w:eastAsia="fr-BE"/>
        </w:rPr>
        <w:t xml:space="preserve"> ; c’est cette démarche qui pousse le diagnostiquant à « poser des questions », dans un ordre qui dépend de son degré </w:t>
      </w:r>
      <w:r w:rsidR="003269FF" w:rsidRPr="00C43A4E">
        <w:rPr>
          <w:noProof/>
          <w:lang w:eastAsia="fr-BE"/>
        </w:rPr>
        <w:lastRenderedPageBreak/>
        <w:t xml:space="preserve">d’incertitude quant aux hypothèses, ce que démontrent des recherches expérimentales (Leclercq &amp; Bosking, 1990).   </w:t>
      </w:r>
    </w:p>
    <w:p w:rsidR="00C43A4E" w:rsidRDefault="00E73A1F" w:rsidP="00C43A4E">
      <w:pPr>
        <w:spacing w:after="0"/>
        <w:ind w:left="708"/>
        <w:rPr>
          <w:noProof/>
          <w:lang w:eastAsia="fr-BE"/>
        </w:rPr>
      </w:pPr>
      <w:r w:rsidRPr="00C43A4E">
        <w:rPr>
          <w:noProof/>
          <w:lang w:eastAsia="fr-BE"/>
        </w:rPr>
        <w:t>-</w:t>
      </w:r>
      <w:r w:rsidRPr="00C43A4E">
        <w:rPr>
          <w:b/>
          <w:noProof/>
          <w:lang w:eastAsia="fr-BE"/>
        </w:rPr>
        <w:t>similarité avec des cas connus</w:t>
      </w:r>
      <w:r w:rsidR="00696C12" w:rsidRPr="00C43A4E">
        <w:rPr>
          <w:b/>
          <w:noProof/>
          <w:lang w:eastAsia="fr-BE"/>
        </w:rPr>
        <w:t xml:space="preserve"> </w:t>
      </w:r>
      <w:r w:rsidR="00696C12" w:rsidRPr="00C43A4E">
        <w:rPr>
          <w:noProof/>
          <w:lang w:eastAsia="fr-BE"/>
        </w:rPr>
        <w:t xml:space="preserve">(pattern recognition). </w:t>
      </w:r>
      <w:r w:rsidRPr="00C43A4E">
        <w:rPr>
          <w:noProof/>
          <w:lang w:eastAsia="fr-BE"/>
        </w:rPr>
        <w:t xml:space="preserve"> Les diagnostiquants expérimentés (qui dont de l’expérience) sont évidemment avantagés dans ce genre de démarche, mais Eva et al (2002 cité par </w:t>
      </w:r>
      <w:r w:rsidR="00696C12" w:rsidRPr="00C43A4E">
        <w:rPr>
          <w:noProof/>
          <w:lang w:eastAsia="fr-BE"/>
        </w:rPr>
        <w:t xml:space="preserve">Nendaz </w:t>
      </w:r>
      <w:r w:rsidRPr="00C43A4E">
        <w:rPr>
          <w:noProof/>
          <w:lang w:eastAsia="fr-BE"/>
        </w:rPr>
        <w:t xml:space="preserve">&amp; al. 2010, p. </w:t>
      </w:r>
      <w:r w:rsidR="00696C12" w:rsidRPr="00C43A4E">
        <w:rPr>
          <w:noProof/>
          <w:lang w:eastAsia="fr-BE"/>
        </w:rPr>
        <w:t>238</w:t>
      </w:r>
      <w:r w:rsidRPr="00C43A4E">
        <w:rPr>
          <w:noProof/>
          <w:lang w:eastAsia="fr-BE"/>
        </w:rPr>
        <w:t>) ont observé que des professionnels</w:t>
      </w:r>
      <w:r>
        <w:rPr>
          <w:sz w:val="27"/>
          <w:szCs w:val="27"/>
        </w:rPr>
        <w:t xml:space="preserve"> </w:t>
      </w:r>
      <w:r w:rsidRPr="00C43A4E">
        <w:rPr>
          <w:noProof/>
          <w:lang w:eastAsia="fr-BE"/>
        </w:rPr>
        <w:t xml:space="preserve">encore aux études (des médecins novices) recourent déjà </w:t>
      </w:r>
      <w:r w:rsidR="00696C12" w:rsidRPr="00C43A4E">
        <w:rPr>
          <w:noProof/>
          <w:lang w:eastAsia="fr-BE"/>
        </w:rPr>
        <w:t xml:space="preserve">à cette démarche. On peut faire des liens avec </w:t>
      </w:r>
      <w:r w:rsidR="00C43A4E">
        <w:rPr>
          <w:noProof/>
          <w:lang w:eastAsia="fr-BE"/>
        </w:rPr>
        <w:t xml:space="preserve">plusieurs phénomènes étudiés en psychologie : </w:t>
      </w:r>
      <w:r w:rsidR="00696C12" w:rsidRPr="00C43A4E">
        <w:rPr>
          <w:noProof/>
          <w:lang w:eastAsia="fr-BE"/>
        </w:rPr>
        <w:t>l</w:t>
      </w:r>
    </w:p>
    <w:p w:rsidR="00C43A4E" w:rsidRDefault="00C43A4E" w:rsidP="00C43A4E">
      <w:pPr>
        <w:spacing w:after="0"/>
        <w:ind w:left="2127" w:hanging="709"/>
        <w:rPr>
          <w:noProof/>
          <w:lang w:eastAsia="fr-BE"/>
        </w:rPr>
      </w:pPr>
      <w:r>
        <w:rPr>
          <w:noProof/>
          <w:lang w:eastAsia="fr-BE"/>
        </w:rPr>
        <w:t>-avec l</w:t>
      </w:r>
      <w:r w:rsidR="00696C12" w:rsidRPr="00C43A4E">
        <w:rPr>
          <w:noProof/>
          <w:lang w:eastAsia="fr-BE"/>
        </w:rPr>
        <w:t xml:space="preserve">e phénomène de « closure » (reconnaissance de formes connues) décrit par la psychologie de la Gestalt, </w:t>
      </w:r>
    </w:p>
    <w:p w:rsidR="00E73A1F" w:rsidRDefault="00C43A4E" w:rsidP="00C43A4E">
      <w:pPr>
        <w:spacing w:after="0"/>
        <w:ind w:left="2127" w:hanging="709"/>
        <w:rPr>
          <w:noProof/>
          <w:lang w:eastAsia="fr-BE"/>
        </w:rPr>
      </w:pPr>
      <w:r>
        <w:rPr>
          <w:noProof/>
          <w:lang w:eastAsia="fr-BE"/>
        </w:rPr>
        <w:t xml:space="preserve">-avec </w:t>
      </w:r>
      <w:r w:rsidR="00696C12" w:rsidRPr="00C43A4E">
        <w:rPr>
          <w:noProof/>
          <w:lang w:eastAsia="fr-BE"/>
        </w:rPr>
        <w:t>le mécanisme connu depuis Aristote de classification en « genre prochain et différences spécifiques ».</w:t>
      </w:r>
    </w:p>
    <w:p w:rsidR="00C43A4E" w:rsidRPr="00C43A4E" w:rsidRDefault="00C43A4E" w:rsidP="00C43A4E">
      <w:pPr>
        <w:ind w:left="2127" w:hanging="709"/>
        <w:rPr>
          <w:noProof/>
          <w:lang w:eastAsia="fr-BE"/>
        </w:rPr>
      </w:pPr>
      <w:r>
        <w:rPr>
          <w:noProof/>
          <w:lang w:eastAsia="fr-BE"/>
        </w:rPr>
        <w:t>-avec la création d’échelles d’évaluation descripti</w:t>
      </w:r>
      <w:r w:rsidR="007508D5">
        <w:rPr>
          <w:noProof/>
          <w:lang w:eastAsia="fr-BE"/>
        </w:rPr>
        <w:t xml:space="preserve"> </w:t>
      </w:r>
      <w:r>
        <w:rPr>
          <w:noProof/>
          <w:lang w:eastAsia="fr-BE"/>
        </w:rPr>
        <w:t>ves dont les échelons sont des « spécimens » ou prototypes.</w:t>
      </w:r>
    </w:p>
    <w:p w:rsidR="00097769" w:rsidRPr="00C43A4E" w:rsidRDefault="00097769" w:rsidP="00C43A4E">
      <w:pPr>
        <w:ind w:left="708"/>
        <w:rPr>
          <w:noProof/>
          <w:lang w:eastAsia="fr-BE"/>
        </w:rPr>
      </w:pPr>
      <w:r w:rsidRPr="00C43A4E">
        <w:rPr>
          <w:noProof/>
          <w:lang w:eastAsia="fr-BE"/>
        </w:rPr>
        <w:t xml:space="preserve">La révision des hypothèses se fait par les </w:t>
      </w:r>
      <w:r w:rsidR="00C43A4E">
        <w:rPr>
          <w:noProof/>
          <w:lang w:eastAsia="fr-BE"/>
        </w:rPr>
        <w:t>trois</w:t>
      </w:r>
      <w:r w:rsidRPr="00C43A4E">
        <w:rPr>
          <w:noProof/>
          <w:lang w:eastAsia="fr-BE"/>
        </w:rPr>
        <w:t xml:space="preserve">processus. </w:t>
      </w:r>
    </w:p>
    <w:p w:rsidR="00097769" w:rsidRPr="00C43A4E" w:rsidRDefault="00097769" w:rsidP="00C43A4E">
      <w:pPr>
        <w:ind w:left="708"/>
        <w:rPr>
          <w:noProof/>
          <w:lang w:eastAsia="fr-BE"/>
        </w:rPr>
      </w:pPr>
      <w:r w:rsidRPr="00C43A4E">
        <w:rPr>
          <w:noProof/>
          <w:lang w:eastAsia="fr-BE"/>
        </w:rPr>
        <w:t xml:space="preserve">Suivre (systématiquement) une grille comme ASCID relève du chaînage arrière. C’est ce processus que le jeu Anasécas exploite systématiquement.  </w:t>
      </w:r>
    </w:p>
    <w:p w:rsidR="002656F0" w:rsidRDefault="002656F0">
      <w:pPr>
        <w:rPr>
          <w:b/>
          <w:noProof/>
          <w:lang w:eastAsia="fr-BE"/>
        </w:rPr>
      </w:pPr>
      <w:r>
        <w:rPr>
          <w:b/>
          <w:noProof/>
          <w:lang w:eastAsia="fr-BE"/>
        </w:rPr>
        <w:br w:type="page"/>
      </w:r>
    </w:p>
    <w:p w:rsidR="00F5092B" w:rsidRDefault="00A10BB4">
      <w:pPr>
        <w:rPr>
          <w:b/>
          <w:noProof/>
          <w:lang w:eastAsia="fr-BE"/>
        </w:rPr>
      </w:pPr>
      <w:r>
        <w:rPr>
          <w:b/>
          <w:noProof/>
          <w:lang w:eastAsia="fr-BE"/>
        </w:rPr>
        <w:lastRenderedPageBreak/>
        <w:t>F</w:t>
      </w:r>
      <w:r w:rsidR="00F5092B">
        <w:rPr>
          <w:b/>
          <w:noProof/>
          <w:lang w:eastAsia="fr-BE"/>
        </w:rPr>
        <w:t xml:space="preserve">. </w:t>
      </w:r>
      <w:r w:rsidR="00F5092B" w:rsidRPr="005C3408">
        <w:rPr>
          <w:b/>
          <w:noProof/>
          <w:u w:val="single"/>
          <w:lang w:eastAsia="fr-BE"/>
        </w:rPr>
        <w:t>L</w:t>
      </w:r>
      <w:r w:rsidR="00273741" w:rsidRPr="005C3408">
        <w:rPr>
          <w:b/>
          <w:noProof/>
          <w:u w:val="single"/>
          <w:lang w:eastAsia="fr-BE"/>
        </w:rPr>
        <w:t>a p</w:t>
      </w:r>
      <w:r w:rsidR="002872DC" w:rsidRPr="005C3408">
        <w:rPr>
          <w:b/>
          <w:noProof/>
          <w:u w:val="single"/>
          <w:lang w:eastAsia="fr-BE"/>
        </w:rPr>
        <w:t>hase</w:t>
      </w:r>
      <w:r w:rsidR="000377E8" w:rsidRPr="005C3408">
        <w:rPr>
          <w:b/>
          <w:noProof/>
          <w:u w:val="single"/>
          <w:lang w:eastAsia="fr-BE"/>
        </w:rPr>
        <w:t xml:space="preserve"> 1</w:t>
      </w:r>
      <w:r w:rsidR="000377E8" w:rsidRPr="00806FF1">
        <w:rPr>
          <w:b/>
          <w:noProof/>
          <w:lang w:eastAsia="fr-BE"/>
        </w:rPr>
        <w:t> </w:t>
      </w:r>
      <w:r w:rsidR="00F5092B">
        <w:rPr>
          <w:b/>
          <w:noProof/>
          <w:lang w:eastAsia="fr-BE"/>
        </w:rPr>
        <w:t xml:space="preserve">d’Anasécas </w:t>
      </w:r>
      <w:r w:rsidR="000377E8" w:rsidRPr="00806FF1">
        <w:rPr>
          <w:b/>
          <w:noProof/>
          <w:lang w:eastAsia="fr-BE"/>
        </w:rPr>
        <w:t xml:space="preserve">: </w:t>
      </w:r>
      <w:r w:rsidR="00F5092B">
        <w:rPr>
          <w:b/>
          <w:noProof/>
          <w:lang w:eastAsia="fr-BE"/>
        </w:rPr>
        <w:t xml:space="preserve">les probabilités </w:t>
      </w:r>
      <w:r w:rsidR="002872DC">
        <w:rPr>
          <w:b/>
          <w:noProof/>
          <w:lang w:eastAsia="fr-BE"/>
        </w:rPr>
        <w:t>INTUITI</w:t>
      </w:r>
      <w:r w:rsidR="00F5092B">
        <w:rPr>
          <w:b/>
          <w:noProof/>
          <w:lang w:eastAsia="fr-BE"/>
        </w:rPr>
        <w:t>VES</w:t>
      </w:r>
    </w:p>
    <w:p w:rsidR="000377E8" w:rsidRPr="002656F0" w:rsidRDefault="00F5092B">
      <w:pPr>
        <w:rPr>
          <w:noProof/>
          <w:lang w:eastAsia="fr-BE"/>
        </w:rPr>
      </w:pPr>
      <w:r w:rsidRPr="002656F0">
        <w:rPr>
          <w:noProof/>
          <w:lang w:eastAsia="fr-BE"/>
        </w:rPr>
        <w:t>Voic</w:t>
      </w:r>
      <w:r w:rsidR="006453CB" w:rsidRPr="002656F0">
        <w:rPr>
          <w:noProof/>
          <w:lang w:eastAsia="fr-BE"/>
        </w:rPr>
        <w:t>i</w:t>
      </w:r>
      <w:r w:rsidRPr="002656F0">
        <w:rPr>
          <w:noProof/>
          <w:lang w:eastAsia="fr-BE"/>
        </w:rPr>
        <w:t xml:space="preserve"> </w:t>
      </w:r>
      <w:r w:rsidR="002656F0">
        <w:rPr>
          <w:noProof/>
          <w:lang w:eastAsia="fr-BE"/>
        </w:rPr>
        <w:t xml:space="preserve">la consigne pour </w:t>
      </w:r>
      <w:r w:rsidRPr="002656F0">
        <w:rPr>
          <w:noProof/>
          <w:lang w:eastAsia="fr-BE"/>
        </w:rPr>
        <w:t>les joueurs p</w:t>
      </w:r>
      <w:r w:rsidR="000377E8" w:rsidRPr="002656F0">
        <w:rPr>
          <w:noProof/>
          <w:lang w:eastAsia="fr-BE"/>
        </w:rPr>
        <w:t xml:space="preserve">our chacun des 3 cas : </w:t>
      </w:r>
    </w:p>
    <w:tbl>
      <w:tblPr>
        <w:tblStyle w:val="Grilledutableau"/>
        <w:tblW w:w="0" w:type="auto"/>
        <w:tblLook w:val="04A0" w:firstRow="1" w:lastRow="0" w:firstColumn="1" w:lastColumn="0" w:noHBand="0" w:noVBand="1"/>
      </w:tblPr>
      <w:tblGrid>
        <w:gridCol w:w="9062"/>
      </w:tblGrid>
      <w:tr w:rsidR="002656F0" w:rsidTr="002656F0">
        <w:tc>
          <w:tcPr>
            <w:tcW w:w="9062" w:type="dxa"/>
          </w:tcPr>
          <w:p w:rsidR="002656F0" w:rsidRDefault="002656F0" w:rsidP="002656F0">
            <w:pPr>
              <w:jc w:val="center"/>
              <w:rPr>
                <w:b/>
                <w:noProof/>
                <w:lang w:eastAsia="fr-BE"/>
              </w:rPr>
            </w:pPr>
            <w:r>
              <w:rPr>
                <w:b/>
                <w:noProof/>
                <w:lang w:eastAsia="fr-BE"/>
              </w:rPr>
              <w:t>Consigne pour la phase 1 de Anasécas</w:t>
            </w:r>
          </w:p>
          <w:p w:rsidR="002656F0" w:rsidRDefault="002656F0" w:rsidP="002656F0">
            <w:pPr>
              <w:rPr>
                <w:b/>
                <w:noProof/>
                <w:lang w:eastAsia="fr-BE"/>
              </w:rPr>
            </w:pPr>
          </w:p>
          <w:p w:rsidR="002656F0" w:rsidRDefault="002656F0" w:rsidP="002656F0">
            <w:pPr>
              <w:rPr>
                <w:b/>
                <w:noProof/>
                <w:lang w:eastAsia="fr-BE"/>
              </w:rPr>
            </w:pPr>
            <w:r>
              <w:rPr>
                <w:b/>
                <w:noProof/>
                <w:lang w:eastAsia="fr-BE"/>
              </w:rPr>
              <w:t xml:space="preserve">Dans le formulaire </w:t>
            </w:r>
            <w:r w:rsidRPr="00747139">
              <w:rPr>
                <w:b/>
                <w:noProof/>
                <w:u w:val="single"/>
                <w:lang w:eastAsia="fr-BE"/>
              </w:rPr>
              <w:t>Excel</w:t>
            </w:r>
            <w:r>
              <w:rPr>
                <w:b/>
                <w:noProof/>
                <w:lang w:eastAsia="fr-BE"/>
              </w:rPr>
              <w:t xml:space="preserve"> AnaSéCas, phase 1,</w:t>
            </w:r>
          </w:p>
          <w:p w:rsidR="002656F0" w:rsidRPr="00806FF1" w:rsidRDefault="002656F0" w:rsidP="002656F0">
            <w:pPr>
              <w:rPr>
                <w:b/>
                <w:noProof/>
                <w:lang w:eastAsia="fr-BE"/>
              </w:rPr>
            </w:pPr>
          </w:p>
          <w:p w:rsidR="002656F0" w:rsidRDefault="002656F0" w:rsidP="002656F0">
            <w:pPr>
              <w:pStyle w:val="Paragraphedeliste"/>
              <w:ind w:left="0"/>
              <w:rPr>
                <w:noProof/>
                <w:lang w:eastAsia="fr-BE"/>
              </w:rPr>
            </w:pPr>
            <w:r>
              <w:rPr>
                <w:noProof/>
                <w:lang w:eastAsia="fr-BE"/>
              </w:rPr>
              <w:t xml:space="preserve">1) Bien que les seules données de l’énoncé soient largement insuffisantes (elles seront complétées en phase 2), dans la cellule Q14, </w:t>
            </w:r>
            <w:r w:rsidRPr="00806FF1">
              <w:rPr>
                <w:b/>
                <w:noProof/>
                <w:lang w:eastAsia="fr-BE"/>
              </w:rPr>
              <w:t>écri</w:t>
            </w:r>
            <w:r>
              <w:rPr>
                <w:b/>
                <w:noProof/>
                <w:lang w:eastAsia="fr-BE"/>
              </w:rPr>
              <w:t>vez</w:t>
            </w:r>
            <w:r w:rsidRPr="00806FF1">
              <w:rPr>
                <w:b/>
                <w:noProof/>
                <w:lang w:eastAsia="fr-BE"/>
              </w:rPr>
              <w:t xml:space="preserve"> l’</w:t>
            </w:r>
            <w:r>
              <w:rPr>
                <w:b/>
                <w:noProof/>
                <w:lang w:eastAsia="fr-BE"/>
              </w:rPr>
              <w:t xml:space="preserve">(les) </w:t>
            </w:r>
            <w:r w:rsidRPr="00806FF1">
              <w:rPr>
                <w:b/>
                <w:noProof/>
                <w:lang w:eastAsia="fr-BE"/>
              </w:rPr>
              <w:t>Objectif</w:t>
            </w:r>
            <w:r>
              <w:rPr>
                <w:b/>
                <w:noProof/>
                <w:lang w:eastAsia="fr-BE"/>
              </w:rPr>
              <w:t xml:space="preserve">(s) médiateur(s) </w:t>
            </w:r>
            <w:r>
              <w:rPr>
                <w:noProof/>
                <w:lang w:eastAsia="fr-BE"/>
              </w:rPr>
              <w:t xml:space="preserve"> (après analyse des besoins éducatifs sur base du seul énoncé), sous forme «le but des interventions est que …..(la patiente ou quelqu’un d’autre) …….(ici viennent une ou plusieurs décision-actions (D) ou attitudes (A) ou….de cette personne)</w:t>
            </w:r>
          </w:p>
          <w:p w:rsidR="002656F0" w:rsidRDefault="002656F0" w:rsidP="002656F0">
            <w:pPr>
              <w:pStyle w:val="Paragraphedeliste"/>
              <w:ind w:left="0"/>
              <w:rPr>
                <w:noProof/>
                <w:lang w:eastAsia="fr-BE"/>
              </w:rPr>
            </w:pPr>
          </w:p>
          <w:p w:rsidR="002656F0" w:rsidRDefault="002656F0" w:rsidP="002656F0">
            <w:pPr>
              <w:pStyle w:val="Paragraphedeliste"/>
              <w:ind w:left="0"/>
              <w:rPr>
                <w:noProof/>
                <w:lang w:eastAsia="fr-BE"/>
              </w:rPr>
            </w:pPr>
            <w:r>
              <w:rPr>
                <w:noProof/>
                <w:lang w:eastAsia="fr-BE"/>
              </w:rPr>
              <w:t xml:space="preserve">2) Complétez les cellules B22, B23 et suivantes par les questions que vous poseriez (dans l’ordre où vous les poseriez) et (en cellules E6 à Q6) de quel facteur (un des 12 initiales plus Z = autre) elles relèvent. Les initiales que vous aurez écrites en E6 à Q6 viennet se reproduire en E22, F23, G24, etc. </w:t>
            </w:r>
          </w:p>
          <w:p w:rsidR="002656F0" w:rsidRDefault="002656F0" w:rsidP="002656F0">
            <w:pPr>
              <w:pStyle w:val="Paragraphedeliste"/>
              <w:ind w:left="0"/>
              <w:rPr>
                <w:noProof/>
                <w:lang w:eastAsia="fr-BE"/>
              </w:rPr>
            </w:pPr>
          </w:p>
          <w:p w:rsidR="002656F0" w:rsidRDefault="002656F0" w:rsidP="002656F0">
            <w:pPr>
              <w:pStyle w:val="Paragraphedeliste"/>
              <w:ind w:left="0"/>
              <w:rPr>
                <w:noProof/>
                <w:lang w:eastAsia="fr-BE"/>
              </w:rPr>
            </w:pPr>
            <w:r>
              <w:rPr>
                <w:noProof/>
                <w:lang w:eastAsia="fr-BE"/>
              </w:rPr>
              <w:t xml:space="preserve">3) Remplissez les cellules C7 à C19 (sauf C14, car la </w:t>
            </w:r>
            <w:r w:rsidRPr="002872DC">
              <w:rPr>
                <w:noProof/>
                <w:u w:val="single"/>
                <w:lang w:eastAsia="fr-BE"/>
              </w:rPr>
              <w:t>décision–action</w:t>
            </w:r>
            <w:r>
              <w:rPr>
                <w:noProof/>
                <w:lang w:eastAsia="fr-BE"/>
              </w:rPr>
              <w:t xml:space="preserve"> est </w:t>
            </w:r>
            <w:r w:rsidRPr="002872DC">
              <w:rPr>
                <w:b/>
                <w:noProof/>
                <w:lang w:eastAsia="fr-BE"/>
              </w:rPr>
              <w:t>le but</w:t>
            </w:r>
            <w:r>
              <w:rPr>
                <w:noProof/>
                <w:lang w:eastAsia="fr-BE"/>
              </w:rPr>
              <w:t xml:space="preserve"> </w:t>
            </w:r>
            <w:r w:rsidRPr="00F5092B">
              <w:rPr>
                <w:b/>
                <w:noProof/>
                <w:lang w:eastAsia="fr-BE"/>
              </w:rPr>
              <w:t xml:space="preserve">final </w:t>
            </w:r>
            <w:r>
              <w:rPr>
                <w:noProof/>
                <w:lang w:eastAsia="fr-BE"/>
              </w:rPr>
              <w:t xml:space="preserve">de la résolution du problème de CONDUITE) </w:t>
            </w:r>
            <w:r w:rsidRPr="00806FF1">
              <w:rPr>
                <w:b/>
                <w:noProof/>
                <w:lang w:eastAsia="fr-BE"/>
              </w:rPr>
              <w:t>en % des ressources</w:t>
            </w:r>
            <w:r>
              <w:rPr>
                <w:noProof/>
                <w:lang w:eastAsia="fr-BE"/>
              </w:rPr>
              <w:t xml:space="preserve"> disponibles (temps, argent…) </w:t>
            </w:r>
            <w:r w:rsidRPr="005C3408">
              <w:rPr>
                <w:b/>
                <w:noProof/>
                <w:lang w:eastAsia="fr-BE"/>
              </w:rPr>
              <w:t>à con</w:t>
            </w:r>
            <w:r>
              <w:rPr>
                <w:b/>
                <w:noProof/>
                <w:lang w:eastAsia="fr-BE"/>
              </w:rPr>
              <w:t>sacrer</w:t>
            </w:r>
            <w:r>
              <w:rPr>
                <w:noProof/>
                <w:lang w:eastAsia="fr-BE"/>
              </w:rPr>
              <w:t xml:space="preserve"> par vous (ou par d’autres intervenants) sur chacun des 11 facteurs ( +Z), la somme (en cellule C20, à ne pas modifier car elle n’est PAS à fond jaune) doit faire 100 (dans l’exemple ci-desous, cela fait 1 car il n’a été atrribué qu’1 des 100%). NB : une cellule laissée vide = 0%.  </w:t>
            </w:r>
          </w:p>
          <w:p w:rsidR="002656F0" w:rsidRDefault="002656F0">
            <w:pPr>
              <w:rPr>
                <w:b/>
                <w:noProof/>
                <w:lang w:eastAsia="fr-BE"/>
              </w:rPr>
            </w:pPr>
          </w:p>
        </w:tc>
      </w:tr>
    </w:tbl>
    <w:p w:rsidR="002656F0" w:rsidRDefault="002656F0">
      <w:pPr>
        <w:rPr>
          <w:b/>
          <w:noProof/>
          <w:lang w:eastAsia="fr-BE"/>
        </w:rPr>
      </w:pPr>
    </w:p>
    <w:p w:rsidR="00A85B00" w:rsidRPr="00A10BB4" w:rsidRDefault="003F6439">
      <w:r>
        <w:rPr>
          <w:noProof/>
          <w:lang w:eastAsia="fr-BE"/>
        </w:rPr>
        <w:drawing>
          <wp:inline distT="0" distB="0" distL="0" distR="0" wp14:anchorId="787EA76C" wp14:editId="3A226927">
            <wp:extent cx="6116282" cy="3223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98" t="21164" r="24207" b="9230"/>
                    <a:stretch/>
                  </pic:blipFill>
                  <pic:spPr bwMode="auto">
                    <a:xfrm>
                      <a:off x="0" y="0"/>
                      <a:ext cx="6127284" cy="3229058"/>
                    </a:xfrm>
                    <a:prstGeom prst="rect">
                      <a:avLst/>
                    </a:prstGeom>
                    <a:ln>
                      <a:noFill/>
                    </a:ln>
                    <a:extLst>
                      <a:ext uri="{53640926-AAD7-44D8-BBD7-CCE9431645EC}">
                        <a14:shadowObscured xmlns:a14="http://schemas.microsoft.com/office/drawing/2010/main"/>
                      </a:ext>
                    </a:extLst>
                  </pic:spPr>
                </pic:pic>
              </a:graphicData>
            </a:graphic>
          </wp:inline>
        </w:drawing>
      </w:r>
      <w:r w:rsidR="00A85B00">
        <w:rPr>
          <w:b/>
        </w:rPr>
        <w:br w:type="page"/>
      </w:r>
    </w:p>
    <w:p w:rsidR="00F76C36" w:rsidRDefault="00A10BB4">
      <w:pPr>
        <w:rPr>
          <w:b/>
        </w:rPr>
      </w:pPr>
      <w:r>
        <w:rPr>
          <w:b/>
        </w:rPr>
        <w:lastRenderedPageBreak/>
        <w:t>G</w:t>
      </w:r>
      <w:r w:rsidR="00F76C36">
        <w:rPr>
          <w:b/>
        </w:rPr>
        <w:t xml:space="preserve">. </w:t>
      </w:r>
      <w:r w:rsidR="00F76C36" w:rsidRPr="00630249">
        <w:rPr>
          <w:b/>
          <w:u w:val="single"/>
        </w:rPr>
        <w:t xml:space="preserve">La </w:t>
      </w:r>
      <w:r w:rsidR="002872DC" w:rsidRPr="00630249">
        <w:rPr>
          <w:b/>
          <w:u w:val="single"/>
        </w:rPr>
        <w:t>Phase 2</w:t>
      </w:r>
      <w:r w:rsidR="00F76C36">
        <w:rPr>
          <w:b/>
        </w:rPr>
        <w:t xml:space="preserve"> </w:t>
      </w:r>
      <w:proofErr w:type="gramStart"/>
      <w:r w:rsidR="00F76C36">
        <w:rPr>
          <w:b/>
        </w:rPr>
        <w:t>d’</w:t>
      </w:r>
      <w:proofErr w:type="spellStart"/>
      <w:r w:rsidR="00F76C36">
        <w:rPr>
          <w:b/>
        </w:rPr>
        <w:t>Anasécas</w:t>
      </w:r>
      <w:proofErr w:type="spellEnd"/>
      <w:r w:rsidR="00F76C36">
        <w:rPr>
          <w:b/>
        </w:rPr>
        <w:t xml:space="preserve"> </w:t>
      </w:r>
      <w:r w:rsidR="002872DC">
        <w:rPr>
          <w:b/>
        </w:rPr>
        <w:t> :</w:t>
      </w:r>
      <w:proofErr w:type="gramEnd"/>
      <w:r w:rsidR="002872DC">
        <w:rPr>
          <w:b/>
        </w:rPr>
        <w:t xml:space="preserve"> </w:t>
      </w:r>
      <w:r w:rsidR="00F76C36">
        <w:rPr>
          <w:b/>
        </w:rPr>
        <w:t>Les probabilités a posteriori (après information</w:t>
      </w:r>
      <w:r w:rsidR="005D37EC">
        <w:rPr>
          <w:b/>
        </w:rPr>
        <w:t xml:space="preserve"> SUPPLEMENTAIRES</w:t>
      </w:r>
      <w:r w:rsidR="00F76C36">
        <w:rPr>
          <w:b/>
        </w:rPr>
        <w:t xml:space="preserve">) </w:t>
      </w:r>
    </w:p>
    <w:p w:rsidR="00A10BB4" w:rsidRDefault="00A10BB4" w:rsidP="00630249">
      <w:pPr>
        <w:spacing w:after="0"/>
      </w:pPr>
      <w:r>
        <w:t xml:space="preserve">La démarche de la phase 2 est expliquée dans les consignes de </w:t>
      </w:r>
      <w:proofErr w:type="spellStart"/>
      <w:r>
        <w:t>ctte</w:t>
      </w:r>
      <w:proofErr w:type="spellEnd"/>
      <w:r>
        <w:t xml:space="preserve"> phase du jeu.</w:t>
      </w:r>
    </w:p>
    <w:p w:rsidR="00A10BB4" w:rsidRDefault="00A10BB4" w:rsidP="00630249">
      <w:pPr>
        <w:spacing w:after="0"/>
      </w:pPr>
    </w:p>
    <w:tbl>
      <w:tblPr>
        <w:tblStyle w:val="Grilledutableau"/>
        <w:tblW w:w="0" w:type="auto"/>
        <w:tblLook w:val="04A0" w:firstRow="1" w:lastRow="0" w:firstColumn="1" w:lastColumn="0" w:noHBand="0" w:noVBand="1"/>
      </w:tblPr>
      <w:tblGrid>
        <w:gridCol w:w="9062"/>
      </w:tblGrid>
      <w:tr w:rsidR="00A10BB4" w:rsidTr="00A10BB4">
        <w:tc>
          <w:tcPr>
            <w:tcW w:w="9062" w:type="dxa"/>
          </w:tcPr>
          <w:p w:rsidR="00A10BB4" w:rsidRPr="00A10BB4" w:rsidRDefault="00A10BB4" w:rsidP="00A10BB4">
            <w:pPr>
              <w:jc w:val="center"/>
              <w:rPr>
                <w:b/>
              </w:rPr>
            </w:pPr>
            <w:r w:rsidRPr="00A10BB4">
              <w:rPr>
                <w:b/>
              </w:rPr>
              <w:t>Consignes de la phase 2 d’</w:t>
            </w:r>
            <w:proofErr w:type="spellStart"/>
            <w:r w:rsidRPr="00A10BB4">
              <w:rPr>
                <w:b/>
              </w:rPr>
              <w:t>Anasécas</w:t>
            </w:r>
            <w:proofErr w:type="spellEnd"/>
          </w:p>
          <w:p w:rsidR="00A10BB4" w:rsidRPr="00630249" w:rsidRDefault="00A10BB4" w:rsidP="00A10BB4">
            <w:proofErr w:type="spellStart"/>
            <w:r w:rsidRPr="00630249">
              <w:t>Diagnostiquant.e</w:t>
            </w:r>
            <w:proofErr w:type="spellEnd"/>
            <w:r w:rsidRPr="00630249">
              <w:t xml:space="preserve">, ayez sous les yeux </w:t>
            </w:r>
          </w:p>
          <w:p w:rsidR="00A10BB4" w:rsidRPr="00630249" w:rsidRDefault="00A10BB4" w:rsidP="00A10BB4">
            <w:pPr>
              <w:ind w:left="708"/>
            </w:pPr>
            <w:r w:rsidRPr="00630249">
              <w:t>-La page des 12 facteurs ASCID</w:t>
            </w:r>
          </w:p>
          <w:p w:rsidR="00A10BB4" w:rsidRPr="00630249" w:rsidRDefault="00A10BB4" w:rsidP="00A10BB4">
            <w:pPr>
              <w:ind w:left="708"/>
            </w:pPr>
            <w:r w:rsidRPr="00630249">
              <w:t>-L’impression papier de l’écran Excel tel que vous l’aviez rempli dans la phase 1 (INTUITIONS)</w:t>
            </w:r>
          </w:p>
          <w:p w:rsidR="00A10BB4" w:rsidRDefault="00A10BB4" w:rsidP="00A10BB4">
            <w:r>
              <w:rPr>
                <w:b/>
              </w:rPr>
              <w:t xml:space="preserve">Dans le fichier Excel « Phase 2 », </w:t>
            </w:r>
            <w:r>
              <w:t xml:space="preserve">les cellules E6 à Q6 (et E22, F23, G24, etc.) sont vides. </w:t>
            </w:r>
          </w:p>
          <w:p w:rsidR="00A10BB4" w:rsidRDefault="00A10BB4" w:rsidP="00A10BB4">
            <w:r>
              <w:t>-Recopiez, en cellules C7 à C19, les pourcentages (%) que vous aviez fixés en phase 1 (Intuitions)</w:t>
            </w:r>
          </w:p>
          <w:p w:rsidR="00A10BB4" w:rsidRDefault="00A10BB4" w:rsidP="00A10BB4">
            <w:pPr>
              <w:ind w:left="709" w:hanging="709"/>
            </w:pPr>
            <w:r>
              <w:t xml:space="preserve">-Imaginez </w:t>
            </w:r>
            <w:r w:rsidRPr="006A3A07">
              <w:rPr>
                <w:b/>
              </w:rPr>
              <w:t>une (première) question</w:t>
            </w:r>
            <w:r>
              <w:t xml:space="preserve"> relevant d’un des 12 facteurs que vous poseriez et écrivez-la en cellule B22. En cellule E6 (rose), écrivez la lettre du facteur (ex : B pour Biologie) auquel correspond cette question.</w:t>
            </w:r>
          </w:p>
          <w:p w:rsidR="00A10BB4" w:rsidRDefault="00A10BB4" w:rsidP="00A10BB4">
            <w:pPr>
              <w:ind w:left="709" w:hanging="709"/>
            </w:pPr>
            <w:r>
              <w:t>-Apparaît alors une «</w:t>
            </w:r>
            <w:r w:rsidRPr="00F170E9">
              <w:rPr>
                <w:b/>
              </w:rPr>
              <w:t> réponse</w:t>
            </w:r>
            <w:r>
              <w:t> » à une question relative à ce facteur (en espérant que cette réponse –</w:t>
            </w:r>
            <w:proofErr w:type="spellStart"/>
            <w:r>
              <w:t>pré-enregistrée</w:t>
            </w:r>
            <w:proofErr w:type="spellEnd"/>
            <w:r>
              <w:t xml:space="preserve">) satisfasse VOTRE question). </w:t>
            </w:r>
          </w:p>
          <w:p w:rsidR="00A10BB4" w:rsidRDefault="00A10BB4" w:rsidP="00A10BB4">
            <w:pPr>
              <w:ind w:left="709" w:hanging="709"/>
            </w:pPr>
            <w:r>
              <w:t>-</w:t>
            </w:r>
            <w:r w:rsidRPr="00A10BB4">
              <w:rPr>
                <w:b/>
              </w:rPr>
              <w:t>M</w:t>
            </w:r>
            <w:r w:rsidRPr="006A3A07">
              <w:rPr>
                <w:b/>
              </w:rPr>
              <w:t>odifie</w:t>
            </w:r>
            <w:r>
              <w:rPr>
                <w:b/>
              </w:rPr>
              <w:t>z</w:t>
            </w:r>
            <w:r w:rsidRPr="006A3A07">
              <w:rPr>
                <w:b/>
              </w:rPr>
              <w:t xml:space="preserve"> </w:t>
            </w:r>
            <w:r>
              <w:t xml:space="preserve">en cellules E7 à E18 </w:t>
            </w:r>
            <w:r w:rsidRPr="006A3A07">
              <w:rPr>
                <w:b/>
              </w:rPr>
              <w:t>les %</w:t>
            </w:r>
            <w:r>
              <w:t xml:space="preserve"> (Attention, pas E14). E20 doit faire 100%).</w:t>
            </w:r>
          </w:p>
          <w:p w:rsidR="00A10BB4" w:rsidRDefault="00A10BB4" w:rsidP="00A10BB4">
            <w:pPr>
              <w:ind w:left="709" w:hanging="709"/>
            </w:pPr>
            <w:r>
              <w:t>-Rédigez (</w:t>
            </w:r>
            <w:r w:rsidRPr="00954B1E">
              <w:rPr>
                <w:color w:val="FF0000"/>
              </w:rPr>
              <w:t>optionnel</w:t>
            </w:r>
            <w:r>
              <w:t xml:space="preserve">) en cellule F22 vos </w:t>
            </w:r>
            <w:r w:rsidRPr="00DE1A9C">
              <w:rPr>
                <w:b/>
              </w:rPr>
              <w:t>réflexions</w:t>
            </w:r>
            <w:r>
              <w:t xml:space="preserve"> comme les POURQUOI des (hypothèses nouvelles, des confirmations, des étonnements, etc.) suite à cette information nouvelle (la réponse à la question).  </w:t>
            </w:r>
          </w:p>
          <w:p w:rsidR="00A10BB4" w:rsidRDefault="00A10BB4" w:rsidP="00A10BB4">
            <w:pPr>
              <w:rPr>
                <w:b/>
                <w:bCs/>
              </w:rPr>
            </w:pPr>
            <w:r>
              <w:rPr>
                <w:b/>
                <w:bCs/>
              </w:rPr>
              <w:t>Refaites 12 fois la même démarche avec les autres facteurs (dans l’ordre que vous voulez).</w:t>
            </w:r>
          </w:p>
          <w:p w:rsidR="00A10BB4" w:rsidRDefault="00A10BB4" w:rsidP="00630249">
            <w:r w:rsidRPr="00871721">
              <w:rPr>
                <w:bCs/>
              </w:rPr>
              <w:t xml:space="preserve">(Attention : Dans Excel, le saut à la ligne n’est ENTER, mais </w:t>
            </w:r>
            <w:proofErr w:type="spellStart"/>
            <w:r w:rsidRPr="00871721">
              <w:rPr>
                <w:b/>
                <w:bCs/>
              </w:rPr>
              <w:t>alt</w:t>
            </w:r>
            <w:proofErr w:type="spellEnd"/>
            <w:r>
              <w:rPr>
                <w:b/>
                <w:bCs/>
              </w:rPr>
              <w:t xml:space="preserve"> &amp;</w:t>
            </w:r>
            <w:r w:rsidRPr="00871721">
              <w:rPr>
                <w:b/>
                <w:bCs/>
              </w:rPr>
              <w:t xml:space="preserve"> ENTER</w:t>
            </w:r>
            <w:r w:rsidRPr="00871721">
              <w:rPr>
                <w:bCs/>
              </w:rPr>
              <w:t>.)</w:t>
            </w:r>
          </w:p>
        </w:tc>
      </w:tr>
    </w:tbl>
    <w:p w:rsidR="0075275F" w:rsidRDefault="0075275F">
      <w:pPr>
        <w:rPr>
          <w:bCs/>
        </w:rPr>
      </w:pPr>
    </w:p>
    <w:p w:rsidR="00A10BB4" w:rsidRPr="00BC2D35" w:rsidRDefault="00A10BB4">
      <w:pPr>
        <w:rPr>
          <w:b/>
          <w:bCs/>
        </w:rPr>
      </w:pPr>
      <w:r w:rsidRPr="00BC2D35">
        <w:rPr>
          <w:b/>
          <w:bCs/>
        </w:rPr>
        <w:t>H. Exploitations en recherche et en formation</w:t>
      </w:r>
    </w:p>
    <w:p w:rsidR="00BC2D35" w:rsidRDefault="00BC2D35" w:rsidP="00BC2D35">
      <w:pPr>
        <w:rPr>
          <w:bCs/>
        </w:rPr>
      </w:pPr>
      <w:r>
        <w:rPr>
          <w:bCs/>
        </w:rPr>
        <w:t xml:space="preserve">. Le présent document a été rédigé pour informer les </w:t>
      </w:r>
      <w:proofErr w:type="spellStart"/>
      <w:r>
        <w:rPr>
          <w:bCs/>
        </w:rPr>
        <w:t>diagnostiquants</w:t>
      </w:r>
      <w:proofErr w:type="spellEnd"/>
      <w:r>
        <w:rPr>
          <w:bCs/>
        </w:rPr>
        <w:t xml:space="preserve">-joueurs des buts, des fondements et des modalités de ce jeu sérieux. </w:t>
      </w:r>
    </w:p>
    <w:p w:rsidR="00A85B00" w:rsidRDefault="00A10BB4">
      <w:pPr>
        <w:rPr>
          <w:bCs/>
        </w:rPr>
      </w:pPr>
      <w:r>
        <w:rPr>
          <w:bCs/>
        </w:rPr>
        <w:t xml:space="preserve">La place manque ici pour développer </w:t>
      </w:r>
      <w:r w:rsidR="00BC2D35">
        <w:rPr>
          <w:bCs/>
        </w:rPr>
        <w:t>l</w:t>
      </w:r>
      <w:r>
        <w:rPr>
          <w:bCs/>
        </w:rPr>
        <w:t xml:space="preserve">es </w:t>
      </w:r>
      <w:r w:rsidR="00BC2D35">
        <w:rPr>
          <w:bCs/>
        </w:rPr>
        <w:t xml:space="preserve">(nombreuses) </w:t>
      </w:r>
      <w:r>
        <w:rPr>
          <w:bCs/>
        </w:rPr>
        <w:t>perspectives d’utilisation d’</w:t>
      </w:r>
      <w:proofErr w:type="spellStart"/>
      <w:r>
        <w:rPr>
          <w:bCs/>
        </w:rPr>
        <w:t>Anasécas</w:t>
      </w:r>
      <w:proofErr w:type="spellEnd"/>
      <w:r>
        <w:rPr>
          <w:bCs/>
        </w:rPr>
        <w:t xml:space="preserve"> en recherche et en formation</w:t>
      </w:r>
      <w:r w:rsidR="00BC2D35">
        <w:rPr>
          <w:bCs/>
        </w:rPr>
        <w:t xml:space="preserve">, car cela impliquerait de fournir des exemples et d’en discuter. D’autant plus que les informations les plus précieuses tant pour la formation que pour la recherche viendront de participants qui voudront bien s’investir dans l’une et/ou dans l’autre, et que je remercie d’avance.  </w:t>
      </w:r>
    </w:p>
    <w:p w:rsidR="00466D37" w:rsidRDefault="00466D37" w:rsidP="002656F0">
      <w:pPr>
        <w:rPr>
          <w:b/>
          <w:bCs/>
        </w:rPr>
      </w:pPr>
    </w:p>
    <w:p w:rsidR="00466D37" w:rsidRDefault="00466D37" w:rsidP="002656F0">
      <w:pPr>
        <w:rPr>
          <w:b/>
          <w:bCs/>
        </w:rPr>
      </w:pPr>
    </w:p>
    <w:p w:rsidR="00BC2D35" w:rsidRDefault="00BC2D35" w:rsidP="002656F0">
      <w:pPr>
        <w:rPr>
          <w:b/>
          <w:bCs/>
        </w:rPr>
      </w:pPr>
      <w:r w:rsidRPr="00BC2D35">
        <w:rPr>
          <w:b/>
          <w:bCs/>
        </w:rPr>
        <w:t xml:space="preserve">Dieudonné LECLERCQ   </w:t>
      </w:r>
      <w:hyperlink r:id="rId15" w:history="1">
        <w:r w:rsidR="002656F0" w:rsidRPr="00884327">
          <w:rPr>
            <w:rStyle w:val="Lienhypertexte"/>
            <w:b/>
            <w:bCs/>
          </w:rPr>
          <w:t>d.leclercq@uliege.be</w:t>
        </w:r>
      </w:hyperlink>
    </w:p>
    <w:p w:rsidR="002656F0" w:rsidRPr="002656F0" w:rsidRDefault="002656F0" w:rsidP="002656F0">
      <w:pPr>
        <w:spacing w:after="0"/>
        <w:ind w:left="708"/>
        <w:rPr>
          <w:bCs/>
        </w:rPr>
      </w:pPr>
      <w:r w:rsidRPr="002656F0">
        <w:rPr>
          <w:bCs/>
        </w:rPr>
        <w:t xml:space="preserve">Professeur émérite Université de Liège </w:t>
      </w:r>
      <w:r>
        <w:rPr>
          <w:bCs/>
        </w:rPr>
        <w:t>(</w:t>
      </w:r>
      <w:proofErr w:type="spellStart"/>
      <w:r>
        <w:rPr>
          <w:bCs/>
        </w:rPr>
        <w:t>ULiège</w:t>
      </w:r>
      <w:proofErr w:type="spellEnd"/>
      <w:r>
        <w:rPr>
          <w:bCs/>
        </w:rPr>
        <w:t>)</w:t>
      </w:r>
    </w:p>
    <w:p w:rsidR="002656F0" w:rsidRDefault="002656F0" w:rsidP="002656F0">
      <w:pPr>
        <w:spacing w:after="0"/>
        <w:ind w:left="708"/>
        <w:rPr>
          <w:bCs/>
        </w:rPr>
      </w:pPr>
      <w:r w:rsidRPr="002656F0">
        <w:rPr>
          <w:bCs/>
        </w:rPr>
        <w:t>Département Education et Formation (Faculté de Psychologie, Logopédie et Education</w:t>
      </w:r>
      <w:r>
        <w:rPr>
          <w:bCs/>
        </w:rPr>
        <w:t>)</w:t>
      </w:r>
    </w:p>
    <w:p w:rsidR="002656F0" w:rsidRDefault="002656F0" w:rsidP="002656F0">
      <w:pPr>
        <w:spacing w:after="0"/>
        <w:ind w:left="1416"/>
        <w:rPr>
          <w:bCs/>
        </w:rPr>
      </w:pPr>
      <w:r>
        <w:rPr>
          <w:bCs/>
        </w:rPr>
        <w:t>Collaborateur-enseignant au DSSP de la faculté de Médecine de l’</w:t>
      </w:r>
      <w:proofErr w:type="spellStart"/>
      <w:r>
        <w:rPr>
          <w:bCs/>
        </w:rPr>
        <w:t>ULiège</w:t>
      </w:r>
      <w:proofErr w:type="spellEnd"/>
      <w:r w:rsidRPr="002656F0">
        <w:rPr>
          <w:bCs/>
        </w:rPr>
        <w:t>-</w:t>
      </w:r>
    </w:p>
    <w:p w:rsidR="002656F0" w:rsidRPr="002656F0" w:rsidRDefault="002656F0" w:rsidP="002656F0">
      <w:pPr>
        <w:ind w:left="1416"/>
        <w:rPr>
          <w:bCs/>
        </w:rPr>
      </w:pPr>
      <w:r>
        <w:rPr>
          <w:bCs/>
        </w:rPr>
        <w:t>Collaborateur-enseignant (Chercheur associé) au LEPS Université de Paris 13</w:t>
      </w:r>
    </w:p>
    <w:p w:rsidR="002656F0" w:rsidRDefault="002656F0">
      <w:pPr>
        <w:rPr>
          <w:b/>
          <w:bCs/>
          <w:sz w:val="24"/>
        </w:rPr>
      </w:pPr>
      <w:r>
        <w:rPr>
          <w:b/>
          <w:bCs/>
          <w:sz w:val="24"/>
        </w:rPr>
        <w:br w:type="page"/>
      </w:r>
    </w:p>
    <w:p w:rsidR="00A85B00" w:rsidRPr="00787771" w:rsidRDefault="00A85B00">
      <w:pPr>
        <w:rPr>
          <w:b/>
          <w:bCs/>
          <w:sz w:val="24"/>
        </w:rPr>
      </w:pPr>
      <w:r w:rsidRPr="00787771">
        <w:rPr>
          <w:b/>
          <w:bCs/>
          <w:sz w:val="24"/>
        </w:rPr>
        <w:lastRenderedPageBreak/>
        <w:t>Référe</w:t>
      </w:r>
      <w:r w:rsidR="00A10BB4" w:rsidRPr="00787771">
        <w:rPr>
          <w:b/>
          <w:bCs/>
          <w:sz w:val="24"/>
        </w:rPr>
        <w:t>n</w:t>
      </w:r>
      <w:r w:rsidRPr="00787771">
        <w:rPr>
          <w:b/>
          <w:bCs/>
          <w:sz w:val="24"/>
        </w:rPr>
        <w:t xml:space="preserve">ces : </w:t>
      </w:r>
    </w:p>
    <w:p w:rsidR="00466D37" w:rsidRPr="00466D37" w:rsidRDefault="00466D37" w:rsidP="00466D37">
      <w:pPr>
        <w:ind w:left="709" w:hanging="709"/>
        <w:rPr>
          <w:rFonts w:ascii="Tms Rmn" w:eastAsia="Times New Roman" w:hAnsi="Tms Rmn" w:cs="Times New Roman"/>
          <w:color w:val="000000" w:themeColor="text1"/>
          <w:lang w:val="en-GB" w:eastAsia="fr-FR"/>
        </w:rPr>
      </w:pPr>
      <w:proofErr w:type="spellStart"/>
      <w:r w:rsidRPr="00787771">
        <w:rPr>
          <w:rFonts w:ascii="Tms Rmn" w:eastAsia="Times New Roman" w:hAnsi="Tms Rmn" w:cs="Times New Roman"/>
          <w:color w:val="000000" w:themeColor="text1"/>
          <w:lang w:eastAsia="fr-FR"/>
        </w:rPr>
        <w:t>Charlin</w:t>
      </w:r>
      <w:proofErr w:type="spellEnd"/>
      <w:r w:rsidRPr="00787771">
        <w:rPr>
          <w:rFonts w:ascii="Tms Rmn" w:eastAsia="Times New Roman" w:hAnsi="Tms Rmn" w:cs="Times New Roman"/>
          <w:color w:val="000000" w:themeColor="text1"/>
          <w:lang w:eastAsia="fr-FR"/>
        </w:rPr>
        <w:t xml:space="preserve"> B, Bordage G, Van der </w:t>
      </w:r>
      <w:proofErr w:type="spellStart"/>
      <w:r w:rsidRPr="00787771">
        <w:rPr>
          <w:rFonts w:ascii="Tms Rmn" w:eastAsia="Times New Roman" w:hAnsi="Tms Rmn" w:cs="Times New Roman"/>
          <w:color w:val="000000" w:themeColor="text1"/>
          <w:lang w:eastAsia="fr-FR"/>
        </w:rPr>
        <w:t>Vleuten</w:t>
      </w:r>
      <w:proofErr w:type="spellEnd"/>
      <w:r w:rsidRPr="00787771">
        <w:rPr>
          <w:rFonts w:ascii="Tms Rmn" w:eastAsia="Times New Roman" w:hAnsi="Tms Rmn" w:cs="Times New Roman"/>
          <w:color w:val="000000" w:themeColor="text1"/>
          <w:lang w:eastAsia="fr-FR"/>
        </w:rPr>
        <w:t xml:space="preserve"> C. L'évaluation du raisonnement clinique. </w:t>
      </w:r>
      <w:r w:rsidRPr="00466D37">
        <w:rPr>
          <w:rFonts w:ascii="Tms Rmn" w:eastAsia="Times New Roman" w:hAnsi="Tms Rmn" w:cs="Times New Roman"/>
          <w:color w:val="000000" w:themeColor="text1"/>
          <w:lang w:val="en-GB" w:eastAsia="fr-FR"/>
        </w:rPr>
        <w:t xml:space="preserve">Pédagogie </w:t>
      </w:r>
      <w:proofErr w:type="spellStart"/>
      <w:r w:rsidRPr="00466D37">
        <w:rPr>
          <w:rFonts w:ascii="Tms Rmn" w:eastAsia="Times New Roman" w:hAnsi="Tms Rmn" w:cs="Times New Roman"/>
          <w:color w:val="000000" w:themeColor="text1"/>
          <w:lang w:val="en-GB" w:eastAsia="fr-FR"/>
        </w:rPr>
        <w:t>Médicale</w:t>
      </w:r>
      <w:proofErr w:type="spellEnd"/>
      <w:r w:rsidRPr="00466D37">
        <w:rPr>
          <w:rFonts w:ascii="Tms Rmn" w:eastAsia="Times New Roman" w:hAnsi="Tms Rmn" w:cs="Times New Roman"/>
          <w:color w:val="000000" w:themeColor="text1"/>
          <w:lang w:val="en-GB" w:eastAsia="fr-FR"/>
        </w:rPr>
        <w:t xml:space="preserve"> 2003</w:t>
      </w:r>
      <w:proofErr w:type="gramStart"/>
      <w:r w:rsidRPr="00466D37">
        <w:rPr>
          <w:rFonts w:ascii="Tms Rmn" w:eastAsia="Times New Roman" w:hAnsi="Tms Rmn" w:cs="Times New Roman"/>
          <w:color w:val="000000" w:themeColor="text1"/>
          <w:lang w:val="en-GB" w:eastAsia="fr-FR"/>
        </w:rPr>
        <w:t>;4:42</w:t>
      </w:r>
      <w:proofErr w:type="gramEnd"/>
      <w:r w:rsidRPr="00466D37">
        <w:rPr>
          <w:rFonts w:ascii="Tms Rmn" w:eastAsia="Times New Roman" w:hAnsi="Tms Rmn" w:cs="Times New Roman"/>
          <w:color w:val="000000" w:themeColor="text1"/>
          <w:lang w:val="en-GB" w:eastAsia="fr-FR"/>
        </w:rPr>
        <w:t>-51.</w:t>
      </w:r>
    </w:p>
    <w:p w:rsidR="00466D37" w:rsidRPr="00466D37" w:rsidRDefault="00466D37" w:rsidP="00466D37">
      <w:pPr>
        <w:ind w:left="709" w:hanging="709"/>
        <w:rPr>
          <w:rFonts w:ascii="Tms Rmn" w:eastAsia="Times New Roman" w:hAnsi="Tms Rmn" w:cs="Times New Roman"/>
          <w:color w:val="000000" w:themeColor="text1"/>
          <w:lang w:val="en-GB" w:eastAsia="fr-FR"/>
        </w:rPr>
      </w:pPr>
      <w:proofErr w:type="spellStart"/>
      <w:r w:rsidRPr="00466D37">
        <w:rPr>
          <w:rFonts w:ascii="Tms Rmn" w:eastAsia="Times New Roman" w:hAnsi="Tms Rmn" w:cs="Times New Roman"/>
          <w:color w:val="000000" w:themeColor="text1"/>
          <w:lang w:val="en-GB" w:eastAsia="fr-FR"/>
        </w:rPr>
        <w:t>Charlin</w:t>
      </w:r>
      <w:proofErr w:type="spellEnd"/>
      <w:r w:rsidRPr="00466D37">
        <w:rPr>
          <w:rFonts w:ascii="Tms Rmn" w:eastAsia="Times New Roman" w:hAnsi="Tms Rmn" w:cs="Times New Roman"/>
          <w:color w:val="000000" w:themeColor="text1"/>
          <w:lang w:val="en-GB" w:eastAsia="fr-FR"/>
        </w:rPr>
        <w:t xml:space="preserve"> B, Tardif J, </w:t>
      </w:r>
      <w:proofErr w:type="spellStart"/>
      <w:r w:rsidRPr="00466D37">
        <w:rPr>
          <w:rFonts w:ascii="Tms Rmn" w:eastAsia="Times New Roman" w:hAnsi="Tms Rmn" w:cs="Times New Roman"/>
          <w:color w:val="000000" w:themeColor="text1"/>
          <w:lang w:val="en-GB" w:eastAsia="fr-FR"/>
        </w:rPr>
        <w:t>Boshuizen</w:t>
      </w:r>
      <w:proofErr w:type="spellEnd"/>
      <w:r w:rsidRPr="00466D37">
        <w:rPr>
          <w:rFonts w:ascii="Tms Rmn" w:eastAsia="Times New Roman" w:hAnsi="Tms Rmn" w:cs="Times New Roman"/>
          <w:color w:val="000000" w:themeColor="text1"/>
          <w:lang w:val="en-GB" w:eastAsia="fr-FR"/>
        </w:rPr>
        <w:t xml:space="preserve"> HPA. Scripts and Medical Diagnostic </w:t>
      </w:r>
      <w:proofErr w:type="gramStart"/>
      <w:r w:rsidRPr="00466D37">
        <w:rPr>
          <w:rFonts w:ascii="Tms Rmn" w:eastAsia="Times New Roman" w:hAnsi="Tms Rmn" w:cs="Times New Roman"/>
          <w:color w:val="000000" w:themeColor="text1"/>
          <w:lang w:val="en-GB" w:eastAsia="fr-FR"/>
        </w:rPr>
        <w:t>Knowledge :</w:t>
      </w:r>
      <w:proofErr w:type="gramEnd"/>
      <w:r w:rsidRPr="00466D37">
        <w:rPr>
          <w:rFonts w:ascii="Tms Rmn" w:eastAsia="Times New Roman" w:hAnsi="Tms Rmn" w:cs="Times New Roman"/>
          <w:color w:val="000000" w:themeColor="text1"/>
          <w:lang w:val="en-GB" w:eastAsia="fr-FR"/>
        </w:rPr>
        <w:t xml:space="preserve"> Theory and Applications for Clinical Reasoning Instruction and Research. Academic Medicine 2000</w:t>
      </w:r>
      <w:proofErr w:type="gramStart"/>
      <w:r w:rsidRPr="00466D37">
        <w:rPr>
          <w:rFonts w:ascii="Tms Rmn" w:eastAsia="Times New Roman" w:hAnsi="Tms Rmn" w:cs="Times New Roman"/>
          <w:color w:val="000000" w:themeColor="text1"/>
          <w:lang w:val="en-GB" w:eastAsia="fr-FR"/>
        </w:rPr>
        <w:t>;75:182</w:t>
      </w:r>
      <w:proofErr w:type="gramEnd"/>
      <w:r w:rsidRPr="00466D37">
        <w:rPr>
          <w:rFonts w:ascii="Tms Rmn" w:eastAsia="Times New Roman" w:hAnsi="Tms Rmn" w:cs="Times New Roman"/>
          <w:color w:val="000000" w:themeColor="text1"/>
          <w:lang w:val="en-GB" w:eastAsia="fr-FR"/>
        </w:rPr>
        <w:t>-90.</w:t>
      </w:r>
    </w:p>
    <w:p w:rsidR="007508D5" w:rsidRPr="00466D37" w:rsidRDefault="007508D5" w:rsidP="00466D37">
      <w:pPr>
        <w:ind w:left="709" w:hanging="709"/>
        <w:rPr>
          <w:rFonts w:ascii="Tms Rmn" w:eastAsia="Times New Roman" w:hAnsi="Tms Rmn" w:cs="Times New Roman"/>
          <w:color w:val="000000" w:themeColor="text1"/>
          <w:lang w:val="en-GB" w:eastAsia="fr-FR"/>
        </w:rPr>
      </w:pPr>
      <w:proofErr w:type="spellStart"/>
      <w:r w:rsidRPr="00466D37">
        <w:rPr>
          <w:rFonts w:ascii="Tms Rmn" w:eastAsia="Times New Roman" w:hAnsi="Tms Rmn" w:cs="Times New Roman"/>
          <w:color w:val="000000" w:themeColor="text1"/>
          <w:lang w:val="en-GB" w:eastAsia="fr-FR"/>
        </w:rPr>
        <w:t>Custers</w:t>
      </w:r>
      <w:proofErr w:type="spellEnd"/>
      <w:r w:rsidRPr="00466D37">
        <w:rPr>
          <w:rFonts w:ascii="Tms Rmn" w:eastAsia="Times New Roman" w:hAnsi="Tms Rmn" w:cs="Times New Roman"/>
          <w:color w:val="000000" w:themeColor="text1"/>
          <w:lang w:val="en-GB" w:eastAsia="fr-FR"/>
        </w:rPr>
        <w:t xml:space="preserve"> EJFM, </w:t>
      </w:r>
      <w:proofErr w:type="spellStart"/>
      <w:r w:rsidRPr="00466D37">
        <w:rPr>
          <w:rFonts w:ascii="Tms Rmn" w:eastAsia="Times New Roman" w:hAnsi="Tms Rmn" w:cs="Times New Roman"/>
          <w:color w:val="000000" w:themeColor="text1"/>
          <w:lang w:val="en-GB" w:eastAsia="fr-FR"/>
        </w:rPr>
        <w:t>Regehr</w:t>
      </w:r>
      <w:proofErr w:type="spellEnd"/>
      <w:r w:rsidRPr="00466D37">
        <w:rPr>
          <w:rFonts w:ascii="Tms Rmn" w:eastAsia="Times New Roman" w:hAnsi="Tms Rmn" w:cs="Times New Roman"/>
          <w:color w:val="000000" w:themeColor="text1"/>
          <w:lang w:val="en-GB" w:eastAsia="fr-FR"/>
        </w:rPr>
        <w:t xml:space="preserve"> G, Norman GR. Mental </w:t>
      </w:r>
      <w:proofErr w:type="spellStart"/>
      <w:r w:rsidRPr="00466D37">
        <w:rPr>
          <w:rFonts w:ascii="Tms Rmn" w:eastAsia="Times New Roman" w:hAnsi="Tms Rmn" w:cs="Times New Roman"/>
          <w:color w:val="000000" w:themeColor="text1"/>
          <w:lang w:val="en-GB" w:eastAsia="fr-FR"/>
        </w:rPr>
        <w:t>representationsof</w:t>
      </w:r>
      <w:proofErr w:type="spellEnd"/>
      <w:r w:rsidRPr="00466D37">
        <w:rPr>
          <w:rFonts w:ascii="Tms Rmn" w:eastAsia="Times New Roman" w:hAnsi="Tms Rmn" w:cs="Times New Roman"/>
          <w:color w:val="000000" w:themeColor="text1"/>
          <w:lang w:val="en-GB" w:eastAsia="fr-FR"/>
        </w:rPr>
        <w:t xml:space="preserve"> medical diagnostic knowledge: A review. </w:t>
      </w:r>
      <w:proofErr w:type="spellStart"/>
      <w:r w:rsidRPr="00466D37">
        <w:rPr>
          <w:rFonts w:ascii="Tms Rmn" w:eastAsia="Times New Roman" w:hAnsi="Tms Rmn" w:cs="Times New Roman"/>
          <w:color w:val="000000" w:themeColor="text1"/>
          <w:lang w:val="en-GB" w:eastAsia="fr-FR"/>
        </w:rPr>
        <w:t>Acad</w:t>
      </w:r>
      <w:proofErr w:type="spellEnd"/>
      <w:r w:rsidRPr="00466D37">
        <w:rPr>
          <w:rFonts w:ascii="Tms Rmn" w:eastAsia="Times New Roman" w:hAnsi="Tms Rmn" w:cs="Times New Roman"/>
          <w:color w:val="000000" w:themeColor="text1"/>
          <w:lang w:val="en-GB" w:eastAsia="fr-FR"/>
        </w:rPr>
        <w:t xml:space="preserve"> Med 1996</w:t>
      </w:r>
      <w:proofErr w:type="gramStart"/>
      <w:r w:rsidRPr="00466D37">
        <w:rPr>
          <w:rFonts w:ascii="Tms Rmn" w:eastAsia="Times New Roman" w:hAnsi="Tms Rmn" w:cs="Times New Roman"/>
          <w:color w:val="000000" w:themeColor="text1"/>
          <w:lang w:val="en-GB" w:eastAsia="fr-FR"/>
        </w:rPr>
        <w:t>;71</w:t>
      </w:r>
      <w:proofErr w:type="gramEnd"/>
      <w:r w:rsidRPr="00466D37">
        <w:rPr>
          <w:rFonts w:ascii="Tms Rmn" w:eastAsia="Times New Roman" w:hAnsi="Tms Rmn" w:cs="Times New Roman"/>
          <w:color w:val="000000" w:themeColor="text1"/>
          <w:lang w:val="en-GB" w:eastAsia="fr-FR"/>
        </w:rPr>
        <w:t xml:space="preserve">(10 </w:t>
      </w:r>
      <w:proofErr w:type="spellStart"/>
      <w:r w:rsidRPr="00466D37">
        <w:rPr>
          <w:rFonts w:ascii="Tms Rmn" w:eastAsia="Times New Roman" w:hAnsi="Tms Rmn" w:cs="Times New Roman"/>
          <w:color w:val="000000" w:themeColor="text1"/>
          <w:lang w:val="en-GB" w:eastAsia="fr-FR"/>
        </w:rPr>
        <w:t>suppl</w:t>
      </w:r>
      <w:proofErr w:type="spellEnd"/>
      <w:r w:rsidRPr="00466D37">
        <w:rPr>
          <w:rFonts w:ascii="Tms Rmn" w:eastAsia="Times New Roman" w:hAnsi="Tms Rmn" w:cs="Times New Roman"/>
          <w:color w:val="000000" w:themeColor="text1"/>
          <w:lang w:val="en-GB" w:eastAsia="fr-FR"/>
        </w:rPr>
        <w:t>):S 55-61</w:t>
      </w:r>
    </w:p>
    <w:p w:rsidR="00E73A1F" w:rsidRPr="002656F0" w:rsidRDefault="007508D5" w:rsidP="007508D5">
      <w:pPr>
        <w:ind w:left="709" w:hanging="709"/>
        <w:rPr>
          <w:rFonts w:ascii="Tms Rmn" w:eastAsia="Times New Roman" w:hAnsi="Tms Rmn" w:cs="Times New Roman"/>
          <w:color w:val="000000" w:themeColor="text1"/>
          <w:lang w:val="en-GB" w:eastAsia="fr-FR"/>
        </w:rPr>
      </w:pPr>
      <w:r w:rsidRPr="00466D37">
        <w:rPr>
          <w:rFonts w:ascii="Tms Rmn" w:eastAsia="Times New Roman" w:hAnsi="Tms Rmn" w:cs="Times New Roman"/>
          <w:color w:val="000000" w:themeColor="text1"/>
          <w:lang w:val="en-GB" w:eastAsia="fr-FR"/>
        </w:rPr>
        <w:t xml:space="preserve">Med 1996;71(10 </w:t>
      </w:r>
      <w:proofErr w:type="spellStart"/>
      <w:r w:rsidRPr="00466D37">
        <w:rPr>
          <w:rFonts w:ascii="Tms Rmn" w:eastAsia="Times New Roman" w:hAnsi="Tms Rmn" w:cs="Times New Roman"/>
          <w:color w:val="000000" w:themeColor="text1"/>
          <w:lang w:val="en-GB" w:eastAsia="fr-FR"/>
        </w:rPr>
        <w:t>suppl</w:t>
      </w:r>
      <w:proofErr w:type="spellEnd"/>
      <w:r w:rsidRPr="00466D37">
        <w:rPr>
          <w:rFonts w:ascii="Tms Rmn" w:eastAsia="Times New Roman" w:hAnsi="Tms Rmn" w:cs="Times New Roman"/>
          <w:color w:val="000000" w:themeColor="text1"/>
          <w:lang w:val="en-GB" w:eastAsia="fr-FR"/>
        </w:rPr>
        <w:t>):S55-61</w:t>
      </w:r>
      <w:r w:rsidR="00E73A1F" w:rsidRPr="002656F0">
        <w:rPr>
          <w:rFonts w:ascii="Tms Rmn" w:eastAsia="Times New Roman" w:hAnsi="Tms Rmn" w:cs="Times New Roman"/>
          <w:color w:val="000000" w:themeColor="text1"/>
          <w:lang w:val="en-GB" w:eastAsia="fr-FR"/>
        </w:rPr>
        <w:t xml:space="preserve">Edwards, W., (1967), Probabilistic Information processing by men and man-machine Systems, in La Simulation du </w:t>
      </w:r>
      <w:proofErr w:type="spellStart"/>
      <w:r w:rsidR="00E73A1F" w:rsidRPr="002656F0">
        <w:rPr>
          <w:rFonts w:ascii="Tms Rmn" w:eastAsia="Times New Roman" w:hAnsi="Tms Rmn" w:cs="Times New Roman"/>
          <w:color w:val="000000" w:themeColor="text1"/>
          <w:lang w:val="en-GB" w:eastAsia="fr-FR"/>
        </w:rPr>
        <w:t>comportement</w:t>
      </w:r>
      <w:proofErr w:type="spellEnd"/>
      <w:r w:rsidR="00E73A1F" w:rsidRPr="002656F0">
        <w:rPr>
          <w:rFonts w:ascii="Tms Rmn" w:eastAsia="Times New Roman" w:hAnsi="Tms Rmn" w:cs="Times New Roman"/>
          <w:color w:val="000000" w:themeColor="text1"/>
          <w:lang w:val="en-GB" w:eastAsia="fr-FR"/>
        </w:rPr>
        <w:t xml:space="preserve"> </w:t>
      </w:r>
      <w:proofErr w:type="spellStart"/>
      <w:r w:rsidR="00E73A1F" w:rsidRPr="002656F0">
        <w:rPr>
          <w:rFonts w:ascii="Tms Rmn" w:eastAsia="Times New Roman" w:hAnsi="Tms Rmn" w:cs="Times New Roman"/>
          <w:color w:val="000000" w:themeColor="text1"/>
          <w:lang w:val="en-GB" w:eastAsia="fr-FR"/>
        </w:rPr>
        <w:t>humain</w:t>
      </w:r>
      <w:proofErr w:type="spellEnd"/>
      <w:r w:rsidR="00E73A1F" w:rsidRPr="002656F0">
        <w:rPr>
          <w:rFonts w:ascii="Tms Rmn" w:eastAsia="Times New Roman" w:hAnsi="Tms Rmn" w:cs="Times New Roman"/>
          <w:color w:val="000000" w:themeColor="text1"/>
          <w:lang w:val="en-GB" w:eastAsia="fr-FR"/>
        </w:rPr>
        <w:t xml:space="preserve">, Paris, </w:t>
      </w:r>
      <w:proofErr w:type="spellStart"/>
      <w:r w:rsidR="00E73A1F" w:rsidRPr="002656F0">
        <w:rPr>
          <w:rFonts w:ascii="Tms Rmn" w:eastAsia="Times New Roman" w:hAnsi="Tms Rmn" w:cs="Times New Roman"/>
          <w:color w:val="000000" w:themeColor="text1"/>
          <w:lang w:val="en-GB" w:eastAsia="fr-FR"/>
        </w:rPr>
        <w:t>Dunod</w:t>
      </w:r>
      <w:proofErr w:type="spellEnd"/>
      <w:r w:rsidR="00E73A1F" w:rsidRPr="002656F0">
        <w:rPr>
          <w:rFonts w:ascii="Tms Rmn" w:eastAsia="Times New Roman" w:hAnsi="Tms Rmn" w:cs="Times New Roman"/>
          <w:color w:val="000000" w:themeColor="text1"/>
          <w:lang w:val="en-GB" w:eastAsia="fr-FR"/>
        </w:rPr>
        <w:t xml:space="preserve">, p. 187. </w:t>
      </w:r>
    </w:p>
    <w:p w:rsidR="0076788D" w:rsidRPr="002656F0" w:rsidRDefault="0076788D" w:rsidP="0076788D">
      <w:pPr>
        <w:ind w:left="709" w:hanging="709"/>
        <w:rPr>
          <w:rFonts w:ascii="Tms Rmn" w:eastAsia="Times New Roman" w:hAnsi="Tms Rmn" w:cs="Times New Roman"/>
          <w:color w:val="000000" w:themeColor="text1"/>
          <w:lang w:val="en-GB" w:eastAsia="fr-FR"/>
        </w:rPr>
      </w:pPr>
      <w:proofErr w:type="spellStart"/>
      <w:r w:rsidRPr="002656F0">
        <w:rPr>
          <w:rFonts w:ascii="Tms Rmn" w:eastAsia="Times New Roman" w:hAnsi="Tms Rmn" w:cs="Times New Roman"/>
          <w:color w:val="000000" w:themeColor="text1"/>
          <w:lang w:val="en-GB" w:eastAsia="fr-FR"/>
        </w:rPr>
        <w:t>Elstein</w:t>
      </w:r>
      <w:proofErr w:type="spellEnd"/>
      <w:r w:rsidRPr="002656F0">
        <w:rPr>
          <w:rFonts w:ascii="Tms Rmn" w:eastAsia="Times New Roman" w:hAnsi="Tms Rmn" w:cs="Times New Roman"/>
          <w:color w:val="000000" w:themeColor="text1"/>
          <w:lang w:val="en-GB" w:eastAsia="fr-FR"/>
        </w:rPr>
        <w:t xml:space="preserve"> AS, Shulman, LS, </w:t>
      </w:r>
      <w:proofErr w:type="spellStart"/>
      <w:r w:rsidRPr="002656F0">
        <w:rPr>
          <w:rFonts w:ascii="Tms Rmn" w:eastAsia="Times New Roman" w:hAnsi="Tms Rmn" w:cs="Times New Roman"/>
          <w:color w:val="000000" w:themeColor="text1"/>
          <w:lang w:val="en-GB" w:eastAsia="fr-FR"/>
        </w:rPr>
        <w:t>Sprafka</w:t>
      </w:r>
      <w:proofErr w:type="spellEnd"/>
      <w:r w:rsidRPr="002656F0">
        <w:rPr>
          <w:rFonts w:ascii="Tms Rmn" w:eastAsia="Times New Roman" w:hAnsi="Tms Rmn" w:cs="Times New Roman"/>
          <w:color w:val="000000" w:themeColor="text1"/>
          <w:lang w:val="en-GB" w:eastAsia="fr-FR"/>
        </w:rPr>
        <w:t xml:space="preserve"> SA. Medical </w:t>
      </w:r>
      <w:proofErr w:type="spellStart"/>
      <w:proofErr w:type="gramStart"/>
      <w:r w:rsidRPr="002656F0">
        <w:rPr>
          <w:rFonts w:ascii="Tms Rmn" w:eastAsia="Times New Roman" w:hAnsi="Tms Rmn" w:cs="Times New Roman"/>
          <w:color w:val="000000" w:themeColor="text1"/>
          <w:lang w:val="en-GB" w:eastAsia="fr-FR"/>
        </w:rPr>
        <w:t>ProblemSolving</w:t>
      </w:r>
      <w:proofErr w:type="spellEnd"/>
      <w:r w:rsidRPr="002656F0">
        <w:rPr>
          <w:rFonts w:ascii="Tms Rmn" w:eastAsia="Times New Roman" w:hAnsi="Tms Rmn" w:cs="Times New Roman"/>
          <w:color w:val="000000" w:themeColor="text1"/>
          <w:lang w:val="en-GB" w:eastAsia="fr-FR"/>
        </w:rPr>
        <w:t xml:space="preserve"> :</w:t>
      </w:r>
      <w:proofErr w:type="gramEnd"/>
      <w:r w:rsidRPr="002656F0">
        <w:rPr>
          <w:rFonts w:ascii="Tms Rmn" w:eastAsia="Times New Roman" w:hAnsi="Tms Rmn" w:cs="Times New Roman"/>
          <w:color w:val="000000" w:themeColor="text1"/>
          <w:lang w:val="en-GB" w:eastAsia="fr-FR"/>
        </w:rPr>
        <w:t xml:space="preserve"> An Analysis of Clinical </w:t>
      </w:r>
      <w:proofErr w:type="spellStart"/>
      <w:r w:rsidRPr="002656F0">
        <w:rPr>
          <w:rFonts w:ascii="Tms Rmn" w:eastAsia="Times New Roman" w:hAnsi="Tms Rmn" w:cs="Times New Roman"/>
          <w:color w:val="000000" w:themeColor="text1"/>
          <w:lang w:val="en-GB" w:eastAsia="fr-FR"/>
        </w:rPr>
        <w:t>Reasoning.Cambridge</w:t>
      </w:r>
      <w:proofErr w:type="spellEnd"/>
      <w:r w:rsidRPr="002656F0">
        <w:rPr>
          <w:rFonts w:ascii="Tms Rmn" w:eastAsia="Times New Roman" w:hAnsi="Tms Rmn" w:cs="Times New Roman"/>
          <w:color w:val="000000" w:themeColor="text1"/>
          <w:lang w:val="en-GB" w:eastAsia="fr-FR"/>
        </w:rPr>
        <w:t xml:space="preserve">(MA) : Harvard University Press ; 1978.11. </w:t>
      </w:r>
    </w:p>
    <w:p w:rsidR="0076788D" w:rsidRPr="002656F0" w:rsidRDefault="0076788D" w:rsidP="0076788D">
      <w:pPr>
        <w:ind w:left="709" w:hanging="709"/>
        <w:rPr>
          <w:rFonts w:ascii="Tms Rmn" w:eastAsia="Times New Roman" w:hAnsi="Tms Rmn" w:cs="Times New Roman"/>
          <w:color w:val="000000" w:themeColor="text1"/>
          <w:lang w:val="en-GB" w:eastAsia="fr-FR"/>
        </w:rPr>
      </w:pPr>
      <w:proofErr w:type="spellStart"/>
      <w:r w:rsidRPr="002656F0">
        <w:rPr>
          <w:rFonts w:ascii="Tms Rmn" w:eastAsia="Times New Roman" w:hAnsi="Tms Rmn" w:cs="Times New Roman"/>
          <w:color w:val="000000" w:themeColor="text1"/>
          <w:lang w:val="en-GB" w:eastAsia="fr-FR"/>
        </w:rPr>
        <w:t>Elstein</w:t>
      </w:r>
      <w:proofErr w:type="spellEnd"/>
      <w:r w:rsidRPr="002656F0">
        <w:rPr>
          <w:rFonts w:ascii="Tms Rmn" w:eastAsia="Times New Roman" w:hAnsi="Tms Rmn" w:cs="Times New Roman"/>
          <w:color w:val="000000" w:themeColor="text1"/>
          <w:lang w:val="en-GB" w:eastAsia="fr-FR"/>
        </w:rPr>
        <w:t xml:space="preserve"> AS, Shulman LS, </w:t>
      </w:r>
      <w:proofErr w:type="spellStart"/>
      <w:r w:rsidRPr="002656F0">
        <w:rPr>
          <w:rFonts w:ascii="Tms Rmn" w:eastAsia="Times New Roman" w:hAnsi="Tms Rmn" w:cs="Times New Roman"/>
          <w:color w:val="000000" w:themeColor="text1"/>
          <w:lang w:val="en-GB" w:eastAsia="fr-FR"/>
        </w:rPr>
        <w:t>Sprafka</w:t>
      </w:r>
      <w:proofErr w:type="spellEnd"/>
      <w:r w:rsidRPr="002656F0">
        <w:rPr>
          <w:rFonts w:ascii="Tms Rmn" w:eastAsia="Times New Roman" w:hAnsi="Tms Rmn" w:cs="Times New Roman"/>
          <w:color w:val="000000" w:themeColor="text1"/>
          <w:lang w:val="en-GB" w:eastAsia="fr-FR"/>
        </w:rPr>
        <w:t xml:space="preserve"> SA. Medical </w:t>
      </w:r>
      <w:proofErr w:type="spellStart"/>
      <w:r w:rsidRPr="002656F0">
        <w:rPr>
          <w:rFonts w:ascii="Tms Rmn" w:eastAsia="Times New Roman" w:hAnsi="Tms Rmn" w:cs="Times New Roman"/>
          <w:color w:val="000000" w:themeColor="text1"/>
          <w:lang w:val="en-GB" w:eastAsia="fr-FR"/>
        </w:rPr>
        <w:t>ProblemSolving</w:t>
      </w:r>
      <w:proofErr w:type="spellEnd"/>
      <w:r w:rsidRPr="002656F0">
        <w:rPr>
          <w:rFonts w:ascii="Tms Rmn" w:eastAsia="Times New Roman" w:hAnsi="Tms Rmn" w:cs="Times New Roman"/>
          <w:color w:val="000000" w:themeColor="text1"/>
          <w:lang w:val="en-GB" w:eastAsia="fr-FR"/>
        </w:rPr>
        <w:t xml:space="preserve">, a Ten-Year Retrospective. Evaluation &amp; </w:t>
      </w:r>
      <w:proofErr w:type="spellStart"/>
      <w:r w:rsidRPr="002656F0">
        <w:rPr>
          <w:rFonts w:ascii="Tms Rmn" w:eastAsia="Times New Roman" w:hAnsi="Tms Rmn" w:cs="Times New Roman"/>
          <w:color w:val="000000" w:themeColor="text1"/>
          <w:lang w:val="en-GB" w:eastAsia="fr-FR"/>
        </w:rPr>
        <w:t>TheHealth</w:t>
      </w:r>
      <w:proofErr w:type="spellEnd"/>
      <w:r w:rsidRPr="002656F0">
        <w:rPr>
          <w:rFonts w:ascii="Tms Rmn" w:eastAsia="Times New Roman" w:hAnsi="Tms Rmn" w:cs="Times New Roman"/>
          <w:color w:val="000000" w:themeColor="text1"/>
          <w:lang w:val="en-GB" w:eastAsia="fr-FR"/>
        </w:rPr>
        <w:t xml:space="preserve"> Profession 1990 ;13:5-36.</w:t>
      </w:r>
    </w:p>
    <w:p w:rsidR="00E73A1F" w:rsidRPr="002656F0" w:rsidRDefault="00E73A1F" w:rsidP="00E73A1F">
      <w:pPr>
        <w:ind w:left="709" w:hanging="709"/>
        <w:rPr>
          <w:rFonts w:ascii="Tms Rmn" w:eastAsia="Times New Roman" w:hAnsi="Tms Rmn" w:cs="Times New Roman"/>
          <w:color w:val="000000" w:themeColor="text1"/>
          <w:lang w:val="en-GB" w:eastAsia="fr-FR"/>
        </w:rPr>
      </w:pPr>
      <w:r w:rsidRPr="002656F0">
        <w:rPr>
          <w:rFonts w:ascii="Tms Rmn" w:eastAsia="Times New Roman" w:hAnsi="Tms Rmn" w:cs="Times New Roman"/>
          <w:color w:val="000000" w:themeColor="text1"/>
          <w:lang w:val="en-GB" w:eastAsia="fr-FR"/>
        </w:rPr>
        <w:t xml:space="preserve">Eva K, Brooks LR, Norman, GR. Forward reasoning as a hallmark of expertise in </w:t>
      </w:r>
      <w:proofErr w:type="gramStart"/>
      <w:r w:rsidRPr="002656F0">
        <w:rPr>
          <w:rFonts w:ascii="Tms Rmn" w:eastAsia="Times New Roman" w:hAnsi="Tms Rmn" w:cs="Times New Roman"/>
          <w:color w:val="000000" w:themeColor="text1"/>
          <w:lang w:val="en-GB" w:eastAsia="fr-FR"/>
        </w:rPr>
        <w:t>medicine :</w:t>
      </w:r>
      <w:proofErr w:type="gramEnd"/>
      <w:r w:rsidRPr="002656F0">
        <w:rPr>
          <w:rFonts w:ascii="Tms Rmn" w:eastAsia="Times New Roman" w:hAnsi="Tms Rmn" w:cs="Times New Roman"/>
          <w:color w:val="000000" w:themeColor="text1"/>
          <w:lang w:val="en-GB" w:eastAsia="fr-FR"/>
        </w:rPr>
        <w:t xml:space="preserve"> logical, psychological and </w:t>
      </w:r>
      <w:proofErr w:type="spellStart"/>
      <w:r w:rsidRPr="002656F0">
        <w:rPr>
          <w:rFonts w:ascii="Tms Rmn" w:eastAsia="Times New Roman" w:hAnsi="Tms Rmn" w:cs="Times New Roman"/>
          <w:color w:val="000000" w:themeColor="text1"/>
          <w:lang w:val="en-GB" w:eastAsia="fr-FR"/>
        </w:rPr>
        <w:t>phenomelogical</w:t>
      </w:r>
      <w:proofErr w:type="spellEnd"/>
      <w:r w:rsidRPr="002656F0">
        <w:rPr>
          <w:rFonts w:ascii="Tms Rmn" w:eastAsia="Times New Roman" w:hAnsi="Tms Rmn" w:cs="Times New Roman"/>
          <w:color w:val="000000" w:themeColor="text1"/>
          <w:lang w:val="en-GB" w:eastAsia="fr-FR"/>
        </w:rPr>
        <w:t xml:space="preserve"> inconsistencies. </w:t>
      </w:r>
      <w:proofErr w:type="gramStart"/>
      <w:r w:rsidRPr="002656F0">
        <w:rPr>
          <w:rFonts w:ascii="Tms Rmn" w:eastAsia="Times New Roman" w:hAnsi="Tms Rmn" w:cs="Times New Roman"/>
          <w:color w:val="000000" w:themeColor="text1"/>
          <w:lang w:val="en-GB" w:eastAsia="fr-FR"/>
        </w:rPr>
        <w:t>In :</w:t>
      </w:r>
      <w:proofErr w:type="gramEnd"/>
      <w:r w:rsidRPr="002656F0">
        <w:rPr>
          <w:rFonts w:ascii="Tms Rmn" w:eastAsia="Times New Roman" w:hAnsi="Tms Rmn" w:cs="Times New Roman"/>
          <w:color w:val="000000" w:themeColor="text1"/>
          <w:lang w:val="en-GB" w:eastAsia="fr-FR"/>
        </w:rPr>
        <w:t xml:space="preserve"> </w:t>
      </w:r>
      <w:proofErr w:type="spellStart"/>
      <w:r w:rsidRPr="002656F0">
        <w:rPr>
          <w:rFonts w:ascii="Tms Rmn" w:eastAsia="Times New Roman" w:hAnsi="Tms Rmn" w:cs="Times New Roman"/>
          <w:color w:val="000000" w:themeColor="text1"/>
          <w:lang w:val="en-GB" w:eastAsia="fr-FR"/>
        </w:rPr>
        <w:t>Shokov</w:t>
      </w:r>
      <w:proofErr w:type="spellEnd"/>
      <w:r w:rsidRPr="002656F0">
        <w:rPr>
          <w:rFonts w:ascii="Tms Rmn" w:eastAsia="Times New Roman" w:hAnsi="Tms Rmn" w:cs="Times New Roman"/>
          <w:color w:val="000000" w:themeColor="text1"/>
          <w:lang w:val="en-GB" w:eastAsia="fr-FR"/>
        </w:rPr>
        <w:t xml:space="preserve"> S (Ed).Advances in Psychological Research. New </w:t>
      </w:r>
      <w:proofErr w:type="gramStart"/>
      <w:r w:rsidRPr="002656F0">
        <w:rPr>
          <w:rFonts w:ascii="Tms Rmn" w:eastAsia="Times New Roman" w:hAnsi="Tms Rmn" w:cs="Times New Roman"/>
          <w:color w:val="000000" w:themeColor="text1"/>
          <w:lang w:val="en-GB" w:eastAsia="fr-FR"/>
        </w:rPr>
        <w:t>York :</w:t>
      </w:r>
      <w:proofErr w:type="gramEnd"/>
      <w:r w:rsidRPr="002656F0">
        <w:rPr>
          <w:rFonts w:ascii="Tms Rmn" w:eastAsia="Times New Roman" w:hAnsi="Tms Rmn" w:cs="Times New Roman"/>
          <w:color w:val="000000" w:themeColor="text1"/>
          <w:lang w:val="en-GB" w:eastAsia="fr-FR"/>
        </w:rPr>
        <w:t xml:space="preserve"> </w:t>
      </w:r>
      <w:proofErr w:type="spellStart"/>
      <w:r w:rsidRPr="002656F0">
        <w:rPr>
          <w:rFonts w:ascii="Tms Rmn" w:eastAsia="Times New Roman" w:hAnsi="Tms Rmn" w:cs="Times New Roman"/>
          <w:color w:val="000000" w:themeColor="text1"/>
          <w:lang w:val="en-GB" w:eastAsia="fr-FR"/>
        </w:rPr>
        <w:t>NovaScience</w:t>
      </w:r>
      <w:proofErr w:type="spellEnd"/>
      <w:r w:rsidRPr="002656F0">
        <w:rPr>
          <w:rFonts w:ascii="Tms Rmn" w:eastAsia="Times New Roman" w:hAnsi="Tms Rmn" w:cs="Times New Roman"/>
          <w:color w:val="000000" w:themeColor="text1"/>
          <w:lang w:val="en-GB" w:eastAsia="fr-FR"/>
        </w:rPr>
        <w:t xml:space="preserve"> Publishers, </w:t>
      </w:r>
      <w:proofErr w:type="spellStart"/>
      <w:r w:rsidRPr="002656F0">
        <w:rPr>
          <w:rFonts w:ascii="Tms Rmn" w:eastAsia="Times New Roman" w:hAnsi="Tms Rmn" w:cs="Times New Roman"/>
          <w:color w:val="000000" w:themeColor="text1"/>
          <w:lang w:val="en-GB" w:eastAsia="fr-FR"/>
        </w:rPr>
        <w:t>Inc</w:t>
      </w:r>
      <w:proofErr w:type="spellEnd"/>
      <w:r w:rsidRPr="002656F0">
        <w:rPr>
          <w:rFonts w:ascii="Tms Rmn" w:eastAsia="Times New Roman" w:hAnsi="Tms Rmn" w:cs="Times New Roman"/>
          <w:color w:val="000000" w:themeColor="text1"/>
          <w:lang w:val="en-GB" w:eastAsia="fr-FR"/>
        </w:rPr>
        <w:t xml:space="preserve">, 2002:41-69. </w:t>
      </w:r>
    </w:p>
    <w:p w:rsidR="003269FF" w:rsidRPr="00787771" w:rsidRDefault="003269FF" w:rsidP="00BC2D35">
      <w:pPr>
        <w:pStyle w:val="somm30"/>
        <w:rPr>
          <w:color w:val="0000CC"/>
          <w:lang w:val="en-US"/>
        </w:rPr>
      </w:pPr>
      <w:r w:rsidRPr="004B34A9">
        <w:rPr>
          <w:sz w:val="22"/>
          <w:szCs w:val="22"/>
        </w:rPr>
        <w:t>Leclercq, D. (1975), L’évaluation subjective de la probabilité d’exactitude des réponses en situation pédagogique, Thèse de doctorat en Sciences de l’Education, Université de Liège.</w:t>
      </w:r>
      <w:r w:rsidRPr="0069158F">
        <w:t xml:space="preserve"> </w:t>
      </w:r>
      <w:hyperlink r:id="rId16" w:tgtFrame="_blank" w:history="1">
        <w:r w:rsidRPr="00787771">
          <w:rPr>
            <w:rStyle w:val="Lienhypertexte"/>
            <w:color w:val="0000CC"/>
            <w:lang w:val="en-US"/>
          </w:rPr>
          <w:t>http://hdl.handle.net/2268/10119</w:t>
        </w:r>
      </w:hyperlink>
      <w:r w:rsidRPr="00787771">
        <w:rPr>
          <w:color w:val="0000CC"/>
          <w:lang w:val="en-US"/>
        </w:rPr>
        <w:t xml:space="preserve">   </w:t>
      </w:r>
    </w:p>
    <w:p w:rsidR="00BC2D35" w:rsidRPr="00787771" w:rsidRDefault="00BC2D35" w:rsidP="00BC2D35">
      <w:pPr>
        <w:pStyle w:val="somm30"/>
        <w:rPr>
          <w:color w:val="000000" w:themeColor="text1"/>
          <w:sz w:val="22"/>
          <w:szCs w:val="22"/>
          <w:lang w:val="en-GB"/>
        </w:rPr>
      </w:pPr>
      <w:r w:rsidRPr="00787771">
        <w:rPr>
          <w:color w:val="000000" w:themeColor="text1"/>
          <w:sz w:val="22"/>
          <w:szCs w:val="22"/>
          <w:lang w:val="en-GB"/>
        </w:rPr>
        <w:t xml:space="preserve">Leclercq, D. (1980), Computerised tailored </w:t>
      </w:r>
      <w:proofErr w:type="gramStart"/>
      <w:r w:rsidRPr="00787771">
        <w:rPr>
          <w:color w:val="000000" w:themeColor="text1"/>
          <w:sz w:val="22"/>
          <w:szCs w:val="22"/>
          <w:lang w:val="en-GB"/>
        </w:rPr>
        <w:t>testing :</w:t>
      </w:r>
      <w:proofErr w:type="gramEnd"/>
      <w:r w:rsidRPr="00787771">
        <w:rPr>
          <w:color w:val="000000" w:themeColor="text1"/>
          <w:sz w:val="22"/>
          <w:szCs w:val="22"/>
          <w:lang w:val="en-GB"/>
        </w:rPr>
        <w:t xml:space="preserve"> structured and calibrated item banks for summative and formative evaluation in European Journal of Education, vol. 15, n°3, 251-260.</w:t>
      </w:r>
    </w:p>
    <w:p w:rsidR="00BC2D35" w:rsidRPr="00787771" w:rsidRDefault="00BC2D35" w:rsidP="00BC2D35">
      <w:pPr>
        <w:pStyle w:val="somm30"/>
        <w:ind w:left="431" w:hanging="431"/>
        <w:rPr>
          <w:rStyle w:val="Lienhypertexte"/>
          <w:color w:val="0000CC"/>
          <w:lang w:val="fr-BE"/>
        </w:rPr>
      </w:pPr>
      <w:r w:rsidRPr="00787771">
        <w:rPr>
          <w:color w:val="000000" w:themeColor="text1"/>
          <w:lang w:val="en-US"/>
        </w:rPr>
        <w:tab/>
      </w:r>
      <w:hyperlink r:id="rId17" w:tgtFrame="_blank" w:history="1">
        <w:r w:rsidRPr="00787771">
          <w:rPr>
            <w:rStyle w:val="Lienhypertexte"/>
            <w:color w:val="0000CC"/>
            <w:lang w:val="fr-BE"/>
          </w:rPr>
          <w:t>http://hdl.handle.net/2268/18555</w:t>
        </w:r>
      </w:hyperlink>
    </w:p>
    <w:p w:rsidR="00BC2D35" w:rsidRPr="00787771" w:rsidRDefault="00BC2D35" w:rsidP="003269FF">
      <w:pPr>
        <w:spacing w:after="0"/>
        <w:ind w:left="709" w:hanging="709"/>
        <w:rPr>
          <w:rStyle w:val="Lienhypertexte"/>
          <w:color w:val="0000CC"/>
          <w:lang w:val="en-US"/>
        </w:rPr>
      </w:pPr>
      <w:r w:rsidRPr="00787771">
        <w:rPr>
          <w:color w:val="000000" w:themeColor="text1"/>
          <w:lang w:val="en-GB"/>
        </w:rPr>
        <w:t>Leclercq, D. (1982), Confidence marking, its use in testing</w:t>
      </w:r>
      <w:proofErr w:type="gramStart"/>
      <w:r w:rsidRPr="00787771">
        <w:rPr>
          <w:color w:val="000000" w:themeColor="text1"/>
          <w:lang w:val="en-GB"/>
        </w:rPr>
        <w:t>,.</w:t>
      </w:r>
      <w:proofErr w:type="gramEnd"/>
      <w:r w:rsidRPr="00787771">
        <w:rPr>
          <w:color w:val="000000" w:themeColor="text1"/>
          <w:lang w:val="en-GB"/>
        </w:rPr>
        <w:t xml:space="preserve"> </w:t>
      </w:r>
      <w:proofErr w:type="gramStart"/>
      <w:r w:rsidRPr="00787771">
        <w:rPr>
          <w:color w:val="000000" w:themeColor="text1"/>
          <w:lang w:val="en-GB"/>
        </w:rPr>
        <w:t>in</w:t>
      </w:r>
      <w:proofErr w:type="gramEnd"/>
      <w:r w:rsidRPr="00787771">
        <w:rPr>
          <w:color w:val="000000" w:themeColor="text1"/>
          <w:lang w:val="en-GB"/>
        </w:rPr>
        <w:t xml:space="preserve"> </w:t>
      </w:r>
      <w:proofErr w:type="spellStart"/>
      <w:r w:rsidRPr="00787771">
        <w:rPr>
          <w:color w:val="000000" w:themeColor="text1"/>
          <w:lang w:val="en-GB"/>
        </w:rPr>
        <w:t>Postlethwaite</w:t>
      </w:r>
      <w:proofErr w:type="spellEnd"/>
      <w:r w:rsidRPr="00787771">
        <w:rPr>
          <w:color w:val="000000" w:themeColor="text1"/>
          <w:lang w:val="en-GB"/>
        </w:rPr>
        <w:t xml:space="preserve"> &amp; </w:t>
      </w:r>
      <w:proofErr w:type="spellStart"/>
      <w:r w:rsidRPr="00787771">
        <w:rPr>
          <w:color w:val="000000" w:themeColor="text1"/>
          <w:lang w:val="en-GB"/>
        </w:rPr>
        <w:t>Choppin</w:t>
      </w:r>
      <w:proofErr w:type="spellEnd"/>
      <w:r w:rsidRPr="00787771">
        <w:rPr>
          <w:color w:val="000000" w:themeColor="text1"/>
          <w:lang w:val="en-GB"/>
        </w:rPr>
        <w:t xml:space="preserve">, Evaluation in Education, vol. 6, 161-287, Oxford : </w:t>
      </w:r>
      <w:proofErr w:type="spellStart"/>
      <w:r w:rsidRPr="00787771">
        <w:rPr>
          <w:color w:val="000000" w:themeColor="text1"/>
          <w:lang w:val="en-GB"/>
        </w:rPr>
        <w:t>Pergamon</w:t>
      </w:r>
      <w:proofErr w:type="spellEnd"/>
      <w:r w:rsidRPr="00787771">
        <w:rPr>
          <w:color w:val="000000" w:themeColor="text1"/>
          <w:lang w:val="en-GB"/>
        </w:rPr>
        <w:t xml:space="preserve"> Press. </w:t>
      </w:r>
      <w:hyperlink r:id="rId18" w:tgtFrame="_blank" w:history="1">
        <w:r w:rsidRPr="00787771">
          <w:rPr>
            <w:rStyle w:val="Lienhypertexte"/>
            <w:color w:val="0000CC"/>
            <w:lang w:val="en-US"/>
          </w:rPr>
          <w:t>http://hdl.handle.net/2268/9482</w:t>
        </w:r>
      </w:hyperlink>
    </w:p>
    <w:p w:rsidR="003269FF" w:rsidRPr="00787771" w:rsidRDefault="003269FF" w:rsidP="003269FF">
      <w:pPr>
        <w:pStyle w:val="somm30"/>
        <w:rPr>
          <w:color w:val="000000" w:themeColor="text1"/>
          <w:sz w:val="22"/>
          <w:szCs w:val="22"/>
          <w:lang w:val="en-GB"/>
        </w:rPr>
      </w:pPr>
      <w:proofErr w:type="spellStart"/>
      <w:r w:rsidRPr="00787771">
        <w:rPr>
          <w:color w:val="000000" w:themeColor="text1"/>
          <w:sz w:val="22"/>
          <w:szCs w:val="22"/>
          <w:lang w:val="en-GB"/>
        </w:rPr>
        <w:t>Leclercq</w:t>
      </w:r>
      <w:proofErr w:type="spellEnd"/>
      <w:r w:rsidRPr="00787771">
        <w:rPr>
          <w:color w:val="000000" w:themeColor="text1"/>
          <w:sz w:val="22"/>
          <w:szCs w:val="22"/>
          <w:lang w:val="en-GB"/>
        </w:rPr>
        <w:t xml:space="preserve">, D. (1985) </w:t>
      </w:r>
      <w:r w:rsidRPr="00787771">
        <w:rPr>
          <w:b/>
          <w:color w:val="000000" w:themeColor="text1"/>
          <w:sz w:val="22"/>
          <w:szCs w:val="22"/>
          <w:lang w:val="en-GB"/>
        </w:rPr>
        <w:t>Confidence Marking</w:t>
      </w:r>
      <w:r w:rsidRPr="00787771">
        <w:rPr>
          <w:color w:val="000000" w:themeColor="text1"/>
          <w:sz w:val="22"/>
          <w:szCs w:val="22"/>
          <w:lang w:val="en-GB"/>
        </w:rPr>
        <w:t xml:space="preserve">. </w:t>
      </w:r>
      <w:proofErr w:type="gramStart"/>
      <w:r w:rsidRPr="00787771">
        <w:rPr>
          <w:color w:val="000000" w:themeColor="text1"/>
          <w:sz w:val="22"/>
          <w:szCs w:val="22"/>
          <w:lang w:val="en-GB"/>
        </w:rPr>
        <w:t>in</w:t>
      </w:r>
      <w:proofErr w:type="gramEnd"/>
      <w:r w:rsidRPr="00787771">
        <w:rPr>
          <w:color w:val="000000" w:themeColor="text1"/>
          <w:sz w:val="22"/>
          <w:szCs w:val="22"/>
          <w:lang w:val="en-GB"/>
        </w:rPr>
        <w:t xml:space="preserve"> T. </w:t>
      </w:r>
      <w:proofErr w:type="spellStart"/>
      <w:r w:rsidRPr="00787771">
        <w:rPr>
          <w:color w:val="000000" w:themeColor="text1"/>
          <w:sz w:val="22"/>
          <w:szCs w:val="22"/>
          <w:lang w:val="en-GB"/>
        </w:rPr>
        <w:t>Husen</w:t>
      </w:r>
      <w:proofErr w:type="spellEnd"/>
      <w:r w:rsidRPr="00787771">
        <w:rPr>
          <w:color w:val="000000" w:themeColor="text1"/>
          <w:sz w:val="22"/>
          <w:szCs w:val="22"/>
          <w:lang w:val="en-GB"/>
        </w:rPr>
        <w:t xml:space="preserve"> &amp; T.N. </w:t>
      </w:r>
      <w:proofErr w:type="spellStart"/>
      <w:r w:rsidRPr="00787771">
        <w:rPr>
          <w:color w:val="000000" w:themeColor="text1"/>
          <w:sz w:val="22"/>
          <w:szCs w:val="22"/>
          <w:lang w:val="en-GB"/>
        </w:rPr>
        <w:t>Postlethwaite</w:t>
      </w:r>
      <w:proofErr w:type="spellEnd"/>
      <w:r w:rsidRPr="00787771">
        <w:rPr>
          <w:color w:val="000000" w:themeColor="text1"/>
          <w:sz w:val="22"/>
          <w:szCs w:val="22"/>
          <w:lang w:val="en-GB"/>
        </w:rPr>
        <w:t xml:space="preserve">. </w:t>
      </w:r>
      <w:r w:rsidRPr="00787771">
        <w:rPr>
          <w:i/>
          <w:color w:val="000000" w:themeColor="text1"/>
          <w:sz w:val="22"/>
          <w:szCs w:val="22"/>
          <w:u w:val="single"/>
          <w:lang w:val="en-GB"/>
        </w:rPr>
        <w:t xml:space="preserve">The International </w:t>
      </w:r>
      <w:proofErr w:type="spellStart"/>
      <w:r w:rsidRPr="00787771">
        <w:rPr>
          <w:i/>
          <w:color w:val="000000" w:themeColor="text1"/>
          <w:sz w:val="22"/>
          <w:szCs w:val="22"/>
          <w:u w:val="single"/>
          <w:lang w:val="en-GB"/>
        </w:rPr>
        <w:t>Encyclopedia</w:t>
      </w:r>
      <w:proofErr w:type="spellEnd"/>
      <w:r w:rsidRPr="00787771">
        <w:rPr>
          <w:i/>
          <w:color w:val="000000" w:themeColor="text1"/>
          <w:sz w:val="22"/>
          <w:szCs w:val="22"/>
          <w:u w:val="single"/>
          <w:lang w:val="en-GB"/>
        </w:rPr>
        <w:t xml:space="preserve"> of Education. Research and studies.</w:t>
      </w:r>
      <w:r w:rsidRPr="00787771">
        <w:rPr>
          <w:color w:val="000000" w:themeColor="text1"/>
          <w:sz w:val="22"/>
          <w:szCs w:val="22"/>
          <w:lang w:val="en-GB"/>
        </w:rPr>
        <w:t xml:space="preserve"> </w:t>
      </w:r>
      <w:proofErr w:type="spellStart"/>
      <w:r w:rsidRPr="00787771">
        <w:rPr>
          <w:color w:val="000000" w:themeColor="text1"/>
          <w:sz w:val="22"/>
          <w:szCs w:val="22"/>
          <w:lang w:val="en-GB"/>
        </w:rPr>
        <w:t>Pergamon</w:t>
      </w:r>
      <w:proofErr w:type="spellEnd"/>
      <w:r w:rsidRPr="00787771">
        <w:rPr>
          <w:color w:val="000000" w:themeColor="text1"/>
          <w:sz w:val="22"/>
          <w:szCs w:val="22"/>
          <w:lang w:val="en-GB"/>
        </w:rPr>
        <w:t xml:space="preserve">, Oxford. </w:t>
      </w:r>
      <w:proofErr w:type="spellStart"/>
      <w:proofErr w:type="gramStart"/>
      <w:r w:rsidRPr="00787771">
        <w:rPr>
          <w:color w:val="000000" w:themeColor="text1"/>
          <w:sz w:val="22"/>
          <w:szCs w:val="22"/>
          <w:lang w:val="en-GB"/>
        </w:rPr>
        <w:t>vol</w:t>
      </w:r>
      <w:proofErr w:type="spellEnd"/>
      <w:proofErr w:type="gramEnd"/>
      <w:r w:rsidRPr="00787771">
        <w:rPr>
          <w:color w:val="000000" w:themeColor="text1"/>
          <w:sz w:val="22"/>
          <w:szCs w:val="22"/>
          <w:lang w:val="en-GB"/>
        </w:rPr>
        <w:t xml:space="preserve"> 2 C, pp. 967-969.  </w:t>
      </w:r>
    </w:p>
    <w:p w:rsidR="003269FF" w:rsidRPr="00787771" w:rsidRDefault="003269FF" w:rsidP="003269FF">
      <w:pPr>
        <w:pStyle w:val="somm30"/>
        <w:rPr>
          <w:color w:val="0000CC"/>
          <w:sz w:val="22"/>
          <w:szCs w:val="22"/>
          <w:lang w:val="en-GB"/>
        </w:rPr>
      </w:pPr>
      <w:r w:rsidRPr="00787771">
        <w:rPr>
          <w:color w:val="000000" w:themeColor="text1"/>
          <w:lang w:val="en-US"/>
        </w:rPr>
        <w:tab/>
      </w:r>
      <w:hyperlink r:id="rId19" w:tgtFrame="_blank" w:history="1">
        <w:r w:rsidRPr="00787771">
          <w:rPr>
            <w:rStyle w:val="Lienhypertexte"/>
            <w:color w:val="0000CC"/>
            <w:lang w:val="en-US"/>
          </w:rPr>
          <w:t>http://hdl.handle.net/2268/18199</w:t>
        </w:r>
      </w:hyperlink>
    </w:p>
    <w:p w:rsidR="003269FF" w:rsidRPr="00787771" w:rsidRDefault="003269FF" w:rsidP="003269FF">
      <w:pPr>
        <w:pStyle w:val="somm30"/>
        <w:rPr>
          <w:color w:val="000000" w:themeColor="text1"/>
          <w:sz w:val="22"/>
          <w:szCs w:val="22"/>
          <w:lang w:val="en-US"/>
        </w:rPr>
      </w:pPr>
      <w:proofErr w:type="spellStart"/>
      <w:r w:rsidRPr="00787771">
        <w:rPr>
          <w:color w:val="000000" w:themeColor="text1"/>
          <w:sz w:val="22"/>
          <w:szCs w:val="22"/>
          <w:lang w:val="en-GB"/>
        </w:rPr>
        <w:t>Leclercq</w:t>
      </w:r>
      <w:proofErr w:type="spellEnd"/>
      <w:r w:rsidRPr="00787771">
        <w:rPr>
          <w:color w:val="000000" w:themeColor="text1"/>
          <w:sz w:val="22"/>
          <w:szCs w:val="22"/>
          <w:lang w:val="en-GB"/>
        </w:rPr>
        <w:t xml:space="preserve">, D. &amp; </w:t>
      </w:r>
      <w:proofErr w:type="spellStart"/>
      <w:r w:rsidRPr="00787771">
        <w:rPr>
          <w:color w:val="000000" w:themeColor="text1"/>
          <w:sz w:val="22"/>
          <w:szCs w:val="22"/>
          <w:lang w:val="en-GB"/>
        </w:rPr>
        <w:t>Boskin</w:t>
      </w:r>
      <w:proofErr w:type="spellEnd"/>
      <w:r w:rsidRPr="00787771">
        <w:rPr>
          <w:color w:val="000000" w:themeColor="text1"/>
          <w:sz w:val="22"/>
          <w:szCs w:val="22"/>
          <w:lang w:val="en-GB"/>
        </w:rPr>
        <w:t xml:space="preserve">, A. (1990), Note taking </w:t>
      </w:r>
      <w:proofErr w:type="spellStart"/>
      <w:r w:rsidRPr="00787771">
        <w:rPr>
          <w:color w:val="000000" w:themeColor="text1"/>
          <w:sz w:val="22"/>
          <w:szCs w:val="22"/>
          <w:lang w:val="en-GB"/>
        </w:rPr>
        <w:t>behavior</w:t>
      </w:r>
      <w:proofErr w:type="spellEnd"/>
      <w:r w:rsidRPr="00787771">
        <w:rPr>
          <w:color w:val="000000" w:themeColor="text1"/>
          <w:sz w:val="22"/>
          <w:szCs w:val="22"/>
          <w:lang w:val="en-GB"/>
        </w:rPr>
        <w:t xml:space="preserve"> studied with the help of hypermedia, in N. Estes, J. </w:t>
      </w:r>
      <w:proofErr w:type="spellStart"/>
      <w:r w:rsidRPr="00787771">
        <w:rPr>
          <w:color w:val="000000" w:themeColor="text1"/>
          <w:sz w:val="22"/>
          <w:szCs w:val="22"/>
          <w:lang w:val="en-GB"/>
        </w:rPr>
        <w:t>Heene</w:t>
      </w:r>
      <w:proofErr w:type="spellEnd"/>
      <w:r w:rsidRPr="00787771">
        <w:rPr>
          <w:color w:val="000000" w:themeColor="text1"/>
          <w:sz w:val="22"/>
          <w:szCs w:val="22"/>
          <w:lang w:val="en-GB"/>
        </w:rPr>
        <w:t xml:space="preserve"> &amp; D. </w:t>
      </w:r>
      <w:proofErr w:type="spellStart"/>
      <w:r w:rsidRPr="00787771">
        <w:rPr>
          <w:color w:val="000000" w:themeColor="text1"/>
          <w:sz w:val="22"/>
          <w:szCs w:val="22"/>
          <w:lang w:val="en-GB"/>
        </w:rPr>
        <w:t>Leclercq</w:t>
      </w:r>
      <w:proofErr w:type="spellEnd"/>
      <w:r w:rsidRPr="00787771">
        <w:rPr>
          <w:color w:val="000000" w:themeColor="text1"/>
          <w:sz w:val="22"/>
          <w:szCs w:val="22"/>
          <w:lang w:val="en-GB"/>
        </w:rPr>
        <w:t xml:space="preserve"> (</w:t>
      </w:r>
      <w:proofErr w:type="spellStart"/>
      <w:r w:rsidRPr="00787771">
        <w:rPr>
          <w:color w:val="000000" w:themeColor="text1"/>
          <w:sz w:val="22"/>
          <w:szCs w:val="22"/>
          <w:lang w:val="en-GB"/>
        </w:rPr>
        <w:t>Eds</w:t>
      </w:r>
      <w:proofErr w:type="spellEnd"/>
      <w:r w:rsidRPr="00787771">
        <w:rPr>
          <w:color w:val="000000" w:themeColor="text1"/>
          <w:sz w:val="22"/>
          <w:szCs w:val="22"/>
          <w:lang w:val="en-GB"/>
        </w:rPr>
        <w:t>), Proceedings of the 7</w:t>
      </w:r>
      <w:r w:rsidRPr="00787771">
        <w:rPr>
          <w:color w:val="000000" w:themeColor="text1"/>
          <w:sz w:val="22"/>
          <w:szCs w:val="22"/>
          <w:vertAlign w:val="superscript"/>
          <w:lang w:val="en-GB"/>
        </w:rPr>
        <w:t>th</w:t>
      </w:r>
      <w:r w:rsidRPr="00787771">
        <w:rPr>
          <w:color w:val="000000" w:themeColor="text1"/>
          <w:sz w:val="22"/>
          <w:szCs w:val="22"/>
          <w:lang w:val="en-GB"/>
        </w:rPr>
        <w:t xml:space="preserve"> International Conference on Technology and Education in Brussels. </w:t>
      </w:r>
      <w:proofErr w:type="gramStart"/>
      <w:r w:rsidRPr="00787771">
        <w:rPr>
          <w:color w:val="000000" w:themeColor="text1"/>
          <w:sz w:val="22"/>
          <w:szCs w:val="22"/>
          <w:lang w:val="en-US"/>
        </w:rPr>
        <w:t>Edimburgh :</w:t>
      </w:r>
      <w:proofErr w:type="gramEnd"/>
      <w:r w:rsidRPr="00787771">
        <w:rPr>
          <w:color w:val="000000" w:themeColor="text1"/>
          <w:sz w:val="22"/>
          <w:szCs w:val="22"/>
          <w:lang w:val="en-US"/>
        </w:rPr>
        <w:t xml:space="preserve"> CEP Consultants, 2, 16-19. </w:t>
      </w:r>
      <w:hyperlink r:id="rId20" w:tgtFrame="_blank" w:history="1">
        <w:r w:rsidRPr="00787771">
          <w:rPr>
            <w:rStyle w:val="Lienhypertexte"/>
            <w:color w:val="0000CC"/>
            <w:lang w:val="en-US"/>
          </w:rPr>
          <w:t>http://hdl.handle.net/2268/25478</w:t>
        </w:r>
      </w:hyperlink>
    </w:p>
    <w:p w:rsidR="003269FF" w:rsidRPr="003269FF" w:rsidRDefault="003269FF" w:rsidP="003269FF">
      <w:pPr>
        <w:pStyle w:val="somm30"/>
        <w:rPr>
          <w:color w:val="0000CC"/>
          <w:u w:val="single"/>
          <w:lang w:val="fr-BE"/>
        </w:rPr>
      </w:pPr>
      <w:r w:rsidRPr="00787771">
        <w:rPr>
          <w:color w:val="000000" w:themeColor="text1"/>
          <w:sz w:val="22"/>
          <w:szCs w:val="22"/>
          <w:lang w:val="en-GB"/>
        </w:rPr>
        <w:t>Leclercq D</w:t>
      </w:r>
      <w:proofErr w:type="gramStart"/>
      <w:r w:rsidRPr="00787771">
        <w:rPr>
          <w:color w:val="000000" w:themeColor="text1"/>
          <w:sz w:val="22"/>
          <w:szCs w:val="22"/>
          <w:lang w:val="en-GB"/>
        </w:rPr>
        <w:t>.(</w:t>
      </w:r>
      <w:proofErr w:type="gramEnd"/>
      <w:r w:rsidRPr="00787771">
        <w:rPr>
          <w:color w:val="000000" w:themeColor="text1"/>
          <w:sz w:val="22"/>
          <w:szCs w:val="22"/>
          <w:lang w:val="en-GB"/>
        </w:rPr>
        <w:t xml:space="preserve">1993). Validity, Reliability and Acuity of Self-Assessment in Educational Testing, in </w:t>
      </w:r>
      <w:proofErr w:type="spellStart"/>
      <w:r w:rsidRPr="00787771">
        <w:rPr>
          <w:color w:val="000000" w:themeColor="text1"/>
          <w:sz w:val="22"/>
          <w:szCs w:val="22"/>
          <w:lang w:val="en-GB"/>
        </w:rPr>
        <w:t>Leclercq</w:t>
      </w:r>
      <w:proofErr w:type="spellEnd"/>
      <w:r w:rsidRPr="00787771">
        <w:rPr>
          <w:color w:val="000000" w:themeColor="text1"/>
          <w:sz w:val="22"/>
          <w:szCs w:val="22"/>
          <w:lang w:val="en-GB"/>
        </w:rPr>
        <w:t xml:space="preserve"> D. &amp; Bruno J. (1993), Item Banking : Interactive Testing and Self-Assessment, NATO ASI Series, F 112, Berlin : Springer </w:t>
      </w:r>
      <w:proofErr w:type="spellStart"/>
      <w:r w:rsidRPr="00787771">
        <w:rPr>
          <w:color w:val="000000" w:themeColor="text1"/>
          <w:sz w:val="22"/>
          <w:szCs w:val="22"/>
          <w:lang w:val="en-GB"/>
        </w:rPr>
        <w:t>Verlag</w:t>
      </w:r>
      <w:proofErr w:type="spellEnd"/>
      <w:r w:rsidRPr="00787771">
        <w:rPr>
          <w:color w:val="000000" w:themeColor="text1"/>
          <w:sz w:val="22"/>
          <w:szCs w:val="22"/>
          <w:lang w:val="en-GB"/>
        </w:rPr>
        <w:t>, 114-131</w:t>
      </w:r>
      <w:r w:rsidRPr="00CD38DD">
        <w:rPr>
          <w:sz w:val="22"/>
          <w:szCs w:val="22"/>
          <w:lang w:val="en-GB"/>
        </w:rPr>
        <w:t xml:space="preserve">. </w:t>
      </w:r>
      <w:hyperlink r:id="rId21" w:tgtFrame="_blank" w:history="1">
        <w:r w:rsidRPr="003269FF">
          <w:rPr>
            <w:rStyle w:val="Lienhypertexte"/>
            <w:color w:val="0000CC"/>
            <w:lang w:val="fr-BE"/>
          </w:rPr>
          <w:t>http://hdl.handle.net/2268/18634</w:t>
        </w:r>
      </w:hyperlink>
    </w:p>
    <w:p w:rsidR="00BC2D35" w:rsidRDefault="00BC2D35" w:rsidP="00BC2D35">
      <w:pPr>
        <w:pStyle w:val="somm30"/>
        <w:ind w:left="431" w:hanging="431"/>
        <w:rPr>
          <w:szCs w:val="22"/>
        </w:rPr>
      </w:pPr>
      <w:r w:rsidRPr="0062615C">
        <w:rPr>
          <w:szCs w:val="22"/>
        </w:rPr>
        <w:t>Leclercq, D. (2009) La connaissance part</w:t>
      </w:r>
      <w:r>
        <w:rPr>
          <w:szCs w:val="22"/>
        </w:rPr>
        <w:t>i</w:t>
      </w:r>
      <w:r w:rsidRPr="0062615C">
        <w:rPr>
          <w:szCs w:val="22"/>
        </w:rPr>
        <w:t>elle chez l</w:t>
      </w:r>
      <w:r>
        <w:rPr>
          <w:szCs w:val="22"/>
        </w:rPr>
        <w:t xml:space="preserve">e patient : pourquoi et comment la mesurer. </w:t>
      </w:r>
      <w:r w:rsidRPr="0062615C">
        <w:rPr>
          <w:szCs w:val="22"/>
        </w:rPr>
        <w:t>Revue d’Education Thé</w:t>
      </w:r>
      <w:r>
        <w:rPr>
          <w:szCs w:val="22"/>
        </w:rPr>
        <w:t xml:space="preserve">rapeutique du Patient. </w:t>
      </w:r>
      <w:r w:rsidRPr="006D642A">
        <w:rPr>
          <w:szCs w:val="22"/>
        </w:rPr>
        <w:t xml:space="preserve">1 (2) pp. 201-212. </w:t>
      </w:r>
    </w:p>
    <w:p w:rsidR="00BC2D35" w:rsidRPr="005A7636" w:rsidRDefault="00BC2D35" w:rsidP="00BC2D35">
      <w:pPr>
        <w:pStyle w:val="somm30"/>
        <w:rPr>
          <w:lang w:val="fr-BE"/>
        </w:rPr>
      </w:pPr>
      <w:r>
        <w:tab/>
      </w:r>
      <w:hyperlink r:id="rId22" w:history="1">
        <w:r w:rsidRPr="00787771">
          <w:rPr>
            <w:rStyle w:val="Lienhypertexte"/>
            <w:color w:val="0000CC"/>
            <w:lang w:val="fr-BE"/>
          </w:rPr>
          <w:t>http://hdl.handle.net/2268/18728</w:t>
        </w:r>
      </w:hyperlink>
    </w:p>
    <w:p w:rsidR="00BC2D35" w:rsidRPr="00BA0FF9" w:rsidRDefault="00BC2D35" w:rsidP="003269FF">
      <w:pPr>
        <w:spacing w:after="0"/>
        <w:ind w:left="709" w:hanging="709"/>
        <w:rPr>
          <w:rFonts w:ascii="Times New Roman" w:hAnsi="Times New Roman"/>
          <w:lang w:val="en-US"/>
        </w:rPr>
      </w:pPr>
      <w:r w:rsidRPr="00D5124D">
        <w:t xml:space="preserve">Leclercq, D. (2016). </w:t>
      </w:r>
      <w:r w:rsidRPr="00CF45D7">
        <w:rPr>
          <w:rFonts w:ascii="Times New Roman" w:hAnsi="Times New Roman"/>
        </w:rPr>
        <w:t>J’en suis aussi sûr que vous, mais pas avec le même pourcentage de chances, que ce so</w:t>
      </w:r>
      <w:r>
        <w:rPr>
          <w:rFonts w:ascii="Times New Roman" w:hAnsi="Times New Roman"/>
        </w:rPr>
        <w:t xml:space="preserve">it hors contexte ou en contexte. </w:t>
      </w:r>
      <w:r w:rsidRPr="00CF45D7">
        <w:rPr>
          <w:rFonts w:ascii="Times New Roman" w:hAnsi="Times New Roman"/>
        </w:rPr>
        <w:t>Deux études sur la variabilité inter-individus des significations métriques</w:t>
      </w:r>
      <w:r>
        <w:rPr>
          <w:rFonts w:ascii="Times New Roman" w:hAnsi="Times New Roman"/>
        </w:rPr>
        <w:t xml:space="preserve"> </w:t>
      </w:r>
      <w:r w:rsidRPr="00CF45D7">
        <w:rPr>
          <w:rFonts w:ascii="Times New Roman" w:hAnsi="Times New Roman"/>
        </w:rPr>
        <w:t>données aux degrés de certitude verbaux</w:t>
      </w:r>
      <w:r>
        <w:rPr>
          <w:rFonts w:ascii="Times New Roman" w:hAnsi="Times New Roman"/>
        </w:rPr>
        <w:t xml:space="preserve">. </w:t>
      </w:r>
      <w:r w:rsidRPr="00582D43">
        <w:rPr>
          <w:rFonts w:ascii="Times New Roman" w:hAnsi="Times New Roman"/>
        </w:rPr>
        <w:t>Evaluer. Journal International de Recherche sur l’Evaluation et la Formation.</w:t>
      </w:r>
      <w:r>
        <w:rPr>
          <w:rFonts w:ascii="Times New Roman" w:hAnsi="Times New Roman"/>
        </w:rPr>
        <w:t xml:space="preserve"> </w:t>
      </w:r>
      <w:r w:rsidRPr="00BA0FF9">
        <w:rPr>
          <w:rFonts w:ascii="Times New Roman" w:hAnsi="Times New Roman"/>
          <w:lang w:val="en-US"/>
        </w:rPr>
        <w:t>(</w:t>
      </w:r>
      <w:proofErr w:type="gramStart"/>
      <w:r w:rsidRPr="00BA0FF9">
        <w:rPr>
          <w:rFonts w:ascii="Times New Roman" w:hAnsi="Times New Roman"/>
          <w:lang w:val="en-US"/>
        </w:rPr>
        <w:t>e-Jiref</w:t>
      </w:r>
      <w:proofErr w:type="gramEnd"/>
      <w:r w:rsidRPr="00BA0FF9">
        <w:rPr>
          <w:rFonts w:ascii="Times New Roman" w:hAnsi="Times New Roman"/>
          <w:lang w:val="en-US"/>
        </w:rPr>
        <w:t xml:space="preserve">). </w:t>
      </w:r>
      <w:proofErr w:type="gramStart"/>
      <w:r w:rsidRPr="00BA0FF9">
        <w:rPr>
          <w:rFonts w:ascii="Times New Roman" w:hAnsi="Times New Roman"/>
          <w:lang w:val="en-US"/>
        </w:rPr>
        <w:t>2</w:t>
      </w:r>
      <w:proofErr w:type="gramEnd"/>
      <w:r w:rsidRPr="00BA0FF9">
        <w:rPr>
          <w:rFonts w:ascii="Times New Roman" w:hAnsi="Times New Roman"/>
          <w:lang w:val="en-US"/>
        </w:rPr>
        <w:t xml:space="preserve"> (1), p. 89-125.</w:t>
      </w:r>
    </w:p>
    <w:p w:rsidR="00BC2D35" w:rsidRDefault="003269FF" w:rsidP="00BC2D35">
      <w:pPr>
        <w:pStyle w:val="somm30"/>
        <w:ind w:left="431" w:hanging="431"/>
        <w:rPr>
          <w:rStyle w:val="Lienhypertexte"/>
          <w:lang w:val="en-US"/>
        </w:rPr>
      </w:pPr>
      <w:r>
        <w:tab/>
      </w:r>
      <w:hyperlink r:id="rId23" w:history="1">
        <w:r w:rsidR="00BC2D35" w:rsidRPr="00787771">
          <w:rPr>
            <w:rStyle w:val="Lienhypertexte"/>
            <w:color w:val="0000CC"/>
            <w:lang w:val="en-US"/>
          </w:rPr>
          <w:t>http://hdl.handle.net/2268/202730</w:t>
        </w:r>
      </w:hyperlink>
    </w:p>
    <w:p w:rsidR="00BC2D35" w:rsidRPr="00BC2D35" w:rsidRDefault="00BC2D35" w:rsidP="00BC2D35">
      <w:pPr>
        <w:pStyle w:val="somm30"/>
        <w:ind w:left="431" w:hanging="431"/>
        <w:rPr>
          <w:lang w:val="en-US"/>
        </w:rPr>
      </w:pPr>
      <w:r w:rsidRPr="003269FF">
        <w:rPr>
          <w:rFonts w:ascii="Times New Roman" w:eastAsiaTheme="minorHAnsi" w:hAnsi="Times New Roman" w:cstheme="minorBidi"/>
          <w:sz w:val="22"/>
          <w:szCs w:val="22"/>
          <w:lang w:val="fr-BE" w:eastAsia="en-US"/>
        </w:rPr>
        <w:t>Leclercq, D. (2017). Une mata-analyse des degrés de certitude exprimés en mots. Evaluer. Journal International de Recherche sur l’Evaluation et la Formation. (</w:t>
      </w:r>
      <w:proofErr w:type="gramStart"/>
      <w:r w:rsidRPr="003269FF">
        <w:rPr>
          <w:rFonts w:ascii="Times New Roman" w:eastAsiaTheme="minorHAnsi" w:hAnsi="Times New Roman" w:cstheme="minorBidi"/>
          <w:sz w:val="22"/>
          <w:szCs w:val="22"/>
          <w:lang w:val="fr-BE" w:eastAsia="en-US"/>
        </w:rPr>
        <w:t>e</w:t>
      </w:r>
      <w:proofErr w:type="gramEnd"/>
      <w:r w:rsidRPr="003269FF">
        <w:rPr>
          <w:rFonts w:ascii="Times New Roman" w:eastAsiaTheme="minorHAnsi" w:hAnsi="Times New Roman" w:cstheme="minorBidi"/>
          <w:sz w:val="22"/>
          <w:szCs w:val="22"/>
          <w:lang w:val="fr-BE" w:eastAsia="en-US"/>
        </w:rPr>
        <w:t>-Jiref). 2 (3), p. 69-105</w:t>
      </w:r>
      <w:r w:rsidRPr="00BC2D35">
        <w:rPr>
          <w:rFonts w:ascii="Times New Roman" w:hAnsi="Times New Roman"/>
          <w:sz w:val="22"/>
          <w:lang w:val="en-US"/>
        </w:rPr>
        <w:t xml:space="preserve">    </w:t>
      </w:r>
      <w:hyperlink r:id="rId24" w:history="1">
        <w:r w:rsidRPr="00787771">
          <w:rPr>
            <w:rStyle w:val="Lienhypertexte"/>
            <w:color w:val="0000CC"/>
            <w:lang w:val="en-US"/>
          </w:rPr>
          <w:t>http://hdl.handle.net/2268/210317</w:t>
        </w:r>
      </w:hyperlink>
    </w:p>
    <w:p w:rsidR="0076788D" w:rsidRPr="00787771" w:rsidRDefault="0076788D" w:rsidP="003269FF">
      <w:pPr>
        <w:spacing w:after="0"/>
        <w:ind w:left="709" w:hanging="709"/>
        <w:rPr>
          <w:rFonts w:ascii="Times New Roman" w:hAnsi="Times New Roman"/>
          <w:lang w:val="en-US"/>
        </w:rPr>
      </w:pPr>
      <w:r w:rsidRPr="00787771">
        <w:rPr>
          <w:rFonts w:ascii="Times New Roman" w:hAnsi="Times New Roman"/>
          <w:lang w:val="en-US"/>
        </w:rPr>
        <w:t xml:space="preserve">Lindley, D. (1971) Making decisions, </w:t>
      </w:r>
      <w:proofErr w:type="spellStart"/>
      <w:proofErr w:type="gramStart"/>
      <w:r w:rsidRPr="00787771">
        <w:rPr>
          <w:rFonts w:ascii="Times New Roman" w:hAnsi="Times New Roman"/>
          <w:lang w:val="en-US"/>
        </w:rPr>
        <w:t>Londres</w:t>
      </w:r>
      <w:proofErr w:type="spellEnd"/>
      <w:r w:rsidRPr="00787771">
        <w:rPr>
          <w:rFonts w:ascii="Times New Roman" w:hAnsi="Times New Roman"/>
          <w:lang w:val="en-US"/>
        </w:rPr>
        <w:t> :</w:t>
      </w:r>
      <w:proofErr w:type="gramEnd"/>
      <w:r w:rsidRPr="00787771">
        <w:rPr>
          <w:rFonts w:ascii="Times New Roman" w:hAnsi="Times New Roman"/>
          <w:lang w:val="en-US"/>
        </w:rPr>
        <w:t xml:space="preserve"> Wiley </w:t>
      </w:r>
    </w:p>
    <w:p w:rsidR="00466D37" w:rsidRPr="003269FF" w:rsidRDefault="00466D37" w:rsidP="00466D37">
      <w:pPr>
        <w:spacing w:after="0"/>
        <w:ind w:left="709" w:hanging="709"/>
        <w:rPr>
          <w:rFonts w:ascii="Times New Roman" w:hAnsi="Times New Roman"/>
        </w:rPr>
      </w:pPr>
      <w:r w:rsidRPr="00466D37">
        <w:rPr>
          <w:rFonts w:ascii="Times New Roman" w:hAnsi="Times New Roman"/>
        </w:rPr>
        <w:lastRenderedPageBreak/>
        <w:t xml:space="preserve">Nendaz, M. Charlin </w:t>
      </w:r>
      <w:proofErr w:type="gramStart"/>
      <w:r w:rsidRPr="00466D37">
        <w:rPr>
          <w:rFonts w:ascii="Times New Roman" w:hAnsi="Times New Roman"/>
        </w:rPr>
        <w:t>B,  Leblanc</w:t>
      </w:r>
      <w:proofErr w:type="gramEnd"/>
      <w:r w:rsidRPr="00466D37">
        <w:rPr>
          <w:rFonts w:ascii="Times New Roman" w:hAnsi="Times New Roman"/>
        </w:rPr>
        <w:t xml:space="preserve">, N, &amp; Bordage, G. (2005). </w:t>
      </w:r>
      <w:r w:rsidRPr="003269FF">
        <w:rPr>
          <w:rFonts w:ascii="Times New Roman" w:hAnsi="Times New Roman"/>
        </w:rPr>
        <w:t xml:space="preserve">Le raisonnement clinique: données issues de la recherche et implications pour l’enseignement. </w:t>
      </w:r>
      <w:proofErr w:type="spellStart"/>
      <w:r w:rsidRPr="003269FF">
        <w:rPr>
          <w:rFonts w:ascii="Times New Roman" w:hAnsi="Times New Roman"/>
        </w:rPr>
        <w:t>Pédagigie</w:t>
      </w:r>
      <w:proofErr w:type="spellEnd"/>
      <w:r w:rsidRPr="003269FF">
        <w:rPr>
          <w:rFonts w:ascii="Times New Roman" w:hAnsi="Times New Roman"/>
        </w:rPr>
        <w:t xml:space="preserve"> Médicale, 6, 235-254.</w:t>
      </w:r>
    </w:p>
    <w:p w:rsidR="00466D37" w:rsidRPr="00466D37" w:rsidRDefault="00466D37" w:rsidP="00466D37">
      <w:pPr>
        <w:pStyle w:val="somm30"/>
        <w:ind w:left="863" w:hanging="431"/>
        <w:rPr>
          <w:rStyle w:val="Lienhypertexte"/>
          <w:lang w:val="fr-BE"/>
        </w:rPr>
      </w:pPr>
      <w:r w:rsidRPr="00466D37">
        <w:rPr>
          <w:rStyle w:val="Lienhypertexte"/>
          <w:lang w:val="fr-BE"/>
        </w:rPr>
        <w:t xml:space="preserve">http://www.pedagogie-medicale.org ou </w:t>
      </w:r>
      <w:hyperlink r:id="rId25" w:history="1">
        <w:r w:rsidRPr="00466D37">
          <w:rPr>
            <w:rStyle w:val="Lienhypertexte"/>
            <w:lang w:val="fr-BE"/>
          </w:rPr>
          <w:t>http://dx.doi.org/10.1051/pmed:2005028</w:t>
        </w:r>
      </w:hyperlink>
    </w:p>
    <w:p w:rsidR="00466D37" w:rsidRDefault="00466D37" w:rsidP="00466D37">
      <w:pPr>
        <w:spacing w:after="0"/>
        <w:ind w:left="709" w:hanging="709"/>
        <w:rPr>
          <w:rStyle w:val="Lienhypertexte"/>
          <w:rFonts w:ascii="Tms Rmn" w:hAnsi="Tms Rmn" w:cs="Times New Roman"/>
          <w:sz w:val="24"/>
          <w:szCs w:val="20"/>
        </w:rPr>
      </w:pPr>
      <w:proofErr w:type="spellStart"/>
      <w:r w:rsidRPr="00466D37">
        <w:rPr>
          <w:rFonts w:ascii="Times New Roman" w:hAnsi="Times New Roman"/>
        </w:rPr>
        <w:t>Pestiaux</w:t>
      </w:r>
      <w:proofErr w:type="spellEnd"/>
      <w:r w:rsidRPr="00466D37">
        <w:rPr>
          <w:rFonts w:ascii="Times New Roman" w:hAnsi="Times New Roman"/>
        </w:rPr>
        <w:t xml:space="preserve"> &amp; al. (2010). Raisonnement clinique et décision médicale. </w:t>
      </w:r>
      <w:r w:rsidRPr="002656F0">
        <w:rPr>
          <w:rFonts w:ascii="Times New Roman" w:hAnsi="Times New Roman"/>
        </w:rPr>
        <w:t xml:space="preserve">Le médecin du Québec, vol 45, n°5, p. 59-63  </w:t>
      </w:r>
      <w:hyperlink r:id="rId26" w:history="1">
        <w:r w:rsidRPr="00884327">
          <w:rPr>
            <w:rStyle w:val="Lienhypertexte"/>
            <w:rFonts w:ascii="Tms Rmn" w:hAnsi="Tms Rmn" w:cs="Times New Roman"/>
            <w:sz w:val="24"/>
            <w:szCs w:val="20"/>
          </w:rPr>
          <w:t>https://www.researchgate.net/publication/311114506</w:t>
        </w:r>
      </w:hyperlink>
    </w:p>
    <w:p w:rsidR="00466D37" w:rsidRPr="007508D5" w:rsidRDefault="00466D37" w:rsidP="00466D37">
      <w:pPr>
        <w:spacing w:after="0"/>
        <w:ind w:left="709" w:hanging="709"/>
        <w:rPr>
          <w:lang w:val="en-US"/>
        </w:rPr>
      </w:pPr>
      <w:r w:rsidRPr="007508D5">
        <w:rPr>
          <w:lang w:val="en-US"/>
        </w:rPr>
        <w:t>S</w:t>
      </w:r>
      <w:r>
        <w:rPr>
          <w:lang w:val="en-US"/>
        </w:rPr>
        <w:t>c</w:t>
      </w:r>
      <w:r w:rsidRPr="007508D5">
        <w:rPr>
          <w:lang w:val="en-US"/>
        </w:rPr>
        <w:t>han</w:t>
      </w:r>
      <w:r>
        <w:rPr>
          <w:lang w:val="en-US"/>
        </w:rPr>
        <w:t>k</w:t>
      </w:r>
      <w:r w:rsidRPr="007508D5">
        <w:rPr>
          <w:lang w:val="en-US"/>
        </w:rPr>
        <w:t>, R. &amp; Abelson, R. (19</w:t>
      </w:r>
      <w:r>
        <w:rPr>
          <w:lang w:val="en-US"/>
        </w:rPr>
        <w:t>75</w:t>
      </w:r>
      <w:r w:rsidRPr="007508D5">
        <w:rPr>
          <w:lang w:val="en-US"/>
        </w:rPr>
        <w:t xml:space="preserve">) Scripts, </w:t>
      </w:r>
      <w:r>
        <w:rPr>
          <w:lang w:val="en-US"/>
        </w:rPr>
        <w:t>Plans and Knowledge. IJCAI.</w:t>
      </w:r>
    </w:p>
    <w:p w:rsidR="00A85B00" w:rsidRPr="00787771" w:rsidRDefault="00A85B00" w:rsidP="003269FF">
      <w:pPr>
        <w:spacing w:after="0"/>
        <w:ind w:left="709" w:hanging="709"/>
        <w:rPr>
          <w:rFonts w:ascii="Times New Roman" w:hAnsi="Times New Roman"/>
          <w:lang w:val="en-US"/>
        </w:rPr>
      </w:pPr>
      <w:r w:rsidRPr="00787771">
        <w:rPr>
          <w:rFonts w:ascii="Times New Roman" w:hAnsi="Times New Roman"/>
          <w:lang w:val="en-US"/>
        </w:rPr>
        <w:t>Shannon, C.  (194</w:t>
      </w:r>
      <w:r w:rsidR="008D415A" w:rsidRPr="00787771">
        <w:rPr>
          <w:rFonts w:ascii="Times New Roman" w:hAnsi="Times New Roman"/>
          <w:lang w:val="en-US"/>
        </w:rPr>
        <w:t>8</w:t>
      </w:r>
      <w:r w:rsidRPr="00787771">
        <w:rPr>
          <w:rFonts w:ascii="Times New Roman" w:hAnsi="Times New Roman"/>
          <w:lang w:val="en-US"/>
        </w:rPr>
        <w:t>). “A Mathematical Theory of Communication”. Bell System Technical Journal.</w:t>
      </w:r>
    </w:p>
    <w:p w:rsidR="008D415A" w:rsidRPr="003269FF" w:rsidRDefault="008D415A" w:rsidP="003269FF">
      <w:pPr>
        <w:spacing w:after="0"/>
        <w:ind w:left="709" w:hanging="709"/>
        <w:rPr>
          <w:rFonts w:ascii="Times New Roman" w:hAnsi="Times New Roman"/>
          <w:lang w:val="en-US"/>
        </w:rPr>
      </w:pPr>
      <w:r w:rsidRPr="00787771">
        <w:rPr>
          <w:rFonts w:ascii="Times New Roman" w:hAnsi="Times New Roman"/>
          <w:lang w:val="en-US"/>
        </w:rPr>
        <w:t xml:space="preserve">Shannon, C. &amp; Weaver, W.  (1949). </w:t>
      </w:r>
      <w:proofErr w:type="gramStart"/>
      <w:r w:rsidRPr="00787771">
        <w:rPr>
          <w:rFonts w:ascii="Times New Roman" w:hAnsi="Times New Roman"/>
          <w:lang w:val="en-US"/>
        </w:rPr>
        <w:t>The</w:t>
      </w:r>
      <w:proofErr w:type="gramEnd"/>
      <w:r w:rsidRPr="00787771">
        <w:rPr>
          <w:rFonts w:ascii="Times New Roman" w:hAnsi="Times New Roman"/>
          <w:lang w:val="en-US"/>
        </w:rPr>
        <w:t xml:space="preserve"> Mathematical Theory of Communication. </w:t>
      </w:r>
      <w:r w:rsidRPr="003269FF">
        <w:rPr>
          <w:rFonts w:ascii="Times New Roman" w:hAnsi="Times New Roman"/>
          <w:lang w:val="en-US"/>
        </w:rPr>
        <w:t>University of Illinois Press.</w:t>
      </w:r>
    </w:p>
    <w:p w:rsidR="007508D5" w:rsidRPr="007508D5" w:rsidRDefault="007508D5" w:rsidP="002656F0">
      <w:pPr>
        <w:spacing w:after="0"/>
        <w:ind w:left="709" w:hanging="709"/>
        <w:rPr>
          <w:lang w:val="en-US"/>
        </w:rPr>
      </w:pPr>
    </w:p>
    <w:sectPr w:rsidR="007508D5" w:rsidRPr="007508D5">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3D" w:rsidRDefault="002B003D" w:rsidP="00C157DF">
      <w:pPr>
        <w:spacing w:after="0" w:line="240" w:lineRule="auto"/>
      </w:pPr>
      <w:r>
        <w:separator/>
      </w:r>
    </w:p>
  </w:endnote>
  <w:endnote w:type="continuationSeparator" w:id="0">
    <w:p w:rsidR="002B003D" w:rsidRDefault="002B003D" w:rsidP="00C1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260130"/>
      <w:docPartObj>
        <w:docPartGallery w:val="Page Numbers (Bottom of Page)"/>
        <w:docPartUnique/>
      </w:docPartObj>
    </w:sdtPr>
    <w:sdtEndPr/>
    <w:sdtContent>
      <w:p w:rsidR="00A10BB4" w:rsidRDefault="00A10BB4">
        <w:pPr>
          <w:pStyle w:val="Pieddepage"/>
          <w:jc w:val="right"/>
          <w:rPr>
            <w:sz w:val="18"/>
          </w:rPr>
        </w:pPr>
        <w:proofErr w:type="gramStart"/>
        <w:r w:rsidRPr="00C157DF">
          <w:rPr>
            <w:sz w:val="18"/>
          </w:rPr>
          <w:t>D .</w:t>
        </w:r>
        <w:proofErr w:type="gramEnd"/>
        <w:r w:rsidRPr="00C157DF">
          <w:rPr>
            <w:sz w:val="18"/>
          </w:rPr>
          <w:t xml:space="preserve"> Leclercq (2020) </w:t>
        </w:r>
        <w:proofErr w:type="spellStart"/>
        <w:r w:rsidRPr="00C157DF">
          <w:rPr>
            <w:sz w:val="18"/>
          </w:rPr>
          <w:t>Ana</w:t>
        </w:r>
        <w:r>
          <w:rPr>
            <w:sz w:val="18"/>
          </w:rPr>
          <w:t>sé</w:t>
        </w:r>
        <w:r w:rsidRPr="00C157DF">
          <w:rPr>
            <w:sz w:val="18"/>
          </w:rPr>
          <w:t>cas</w:t>
        </w:r>
        <w:proofErr w:type="spellEnd"/>
        <w:r w:rsidRPr="00C157DF">
          <w:rPr>
            <w:sz w:val="18"/>
          </w:rPr>
          <w:t xml:space="preserve">, un jeu sérieux </w:t>
        </w:r>
        <w:r w:rsidR="008D62D1">
          <w:rPr>
            <w:sz w:val="18"/>
          </w:rPr>
          <w:t xml:space="preserve">simulant le </w:t>
        </w:r>
        <w:r w:rsidRPr="00C157DF">
          <w:rPr>
            <w:sz w:val="18"/>
          </w:rPr>
          <w:t xml:space="preserve">diagnostic éducatif de cas de conduite </w:t>
        </w:r>
        <w:r w:rsidR="008D62D1">
          <w:rPr>
            <w:sz w:val="18"/>
          </w:rPr>
          <w:t xml:space="preserve">en </w:t>
        </w:r>
        <w:r w:rsidRPr="00C157DF">
          <w:rPr>
            <w:sz w:val="18"/>
          </w:rPr>
          <w:t>santé</w:t>
        </w:r>
        <w:r>
          <w:rPr>
            <w:sz w:val="18"/>
          </w:rPr>
          <w:t xml:space="preserve"> – </w:t>
        </w:r>
        <w:r w:rsidR="008D62D1">
          <w:rPr>
            <w:sz w:val="18"/>
          </w:rPr>
          <w:t xml:space="preserve">Avec </w:t>
        </w:r>
        <w:r>
          <w:rPr>
            <w:sz w:val="18"/>
          </w:rPr>
          <w:t xml:space="preserve">CONSIGNES </w:t>
        </w:r>
      </w:p>
      <w:p w:rsidR="00A10BB4" w:rsidRDefault="00A10BB4">
        <w:pPr>
          <w:pStyle w:val="Pieddepage"/>
          <w:jc w:val="right"/>
        </w:pPr>
        <w:r>
          <w:rPr>
            <w:sz w:val="18"/>
          </w:rPr>
          <w:t xml:space="preserve">DSSP Université de Liège </w:t>
        </w:r>
        <w:r w:rsidR="008D62D1">
          <w:rPr>
            <w:sz w:val="18"/>
          </w:rPr>
          <w:t xml:space="preserve">          </w:t>
        </w:r>
        <w:r>
          <w:rPr>
            <w:sz w:val="18"/>
          </w:rPr>
          <w:t xml:space="preserve">LEPS Université Paris 13                                                      </w:t>
        </w:r>
        <w:proofErr w:type="gramStart"/>
        <w:r>
          <w:rPr>
            <w:sz w:val="18"/>
          </w:rPr>
          <w:t xml:space="preserve">  </w:t>
        </w:r>
        <w:r>
          <w:t>.</w:t>
        </w:r>
        <w:proofErr w:type="gramEnd"/>
        <w:r>
          <w:t xml:space="preserve"> </w:t>
        </w:r>
        <w:r>
          <w:fldChar w:fldCharType="begin"/>
        </w:r>
        <w:r>
          <w:instrText>PAGE   \* MERGEFORMAT</w:instrText>
        </w:r>
        <w:r>
          <w:fldChar w:fldCharType="separate"/>
        </w:r>
        <w:r w:rsidR="00B174AE" w:rsidRPr="00B174AE">
          <w:rPr>
            <w:noProof/>
            <w:lang w:val="fr-F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3D" w:rsidRDefault="002B003D" w:rsidP="00C157DF">
      <w:pPr>
        <w:spacing w:after="0" w:line="240" w:lineRule="auto"/>
      </w:pPr>
      <w:r>
        <w:separator/>
      </w:r>
    </w:p>
  </w:footnote>
  <w:footnote w:type="continuationSeparator" w:id="0">
    <w:p w:rsidR="002B003D" w:rsidRDefault="002B003D" w:rsidP="00C157DF">
      <w:pPr>
        <w:spacing w:after="0" w:line="240" w:lineRule="auto"/>
      </w:pPr>
      <w:r>
        <w:continuationSeparator/>
      </w:r>
    </w:p>
  </w:footnote>
  <w:footnote w:id="1">
    <w:p w:rsidR="00A10BB4" w:rsidRPr="00B649B3" w:rsidRDefault="00A10BB4">
      <w:pPr>
        <w:pStyle w:val="Notedebasdepage"/>
      </w:pPr>
      <w:r>
        <w:rPr>
          <w:rStyle w:val="Appelnotedebasdep"/>
        </w:rPr>
        <w:footnoteRef/>
      </w:r>
      <w:r w:rsidRPr="00B649B3">
        <w:t xml:space="preserve"> </w:t>
      </w:r>
      <w:r>
        <w:rPr>
          <w:noProof/>
          <w:lang w:eastAsia="fr-BE"/>
        </w:rPr>
        <w:t>voir une synthèse dans</w:t>
      </w:r>
      <w:r w:rsidRPr="00B649B3">
        <w:t xml:space="preserve"> </w:t>
      </w:r>
      <w:proofErr w:type="spellStart"/>
      <w:r w:rsidRPr="00B649B3">
        <w:t>Lindley</w:t>
      </w:r>
      <w:proofErr w:type="spellEnd"/>
      <w:r w:rsidRPr="00B649B3">
        <w:t xml:space="preserve">, D. </w:t>
      </w:r>
      <w:r>
        <w:t xml:space="preserve">(1971) </w:t>
      </w:r>
      <w:proofErr w:type="spellStart"/>
      <w:r w:rsidRPr="00B649B3">
        <w:t>Making</w:t>
      </w:r>
      <w:proofErr w:type="spellEnd"/>
      <w:r w:rsidRPr="00B649B3">
        <w:t xml:space="preserve"> </w:t>
      </w:r>
      <w:proofErr w:type="spellStart"/>
      <w:r w:rsidRPr="00B649B3">
        <w:t>decisions</w:t>
      </w:r>
      <w:proofErr w:type="spellEnd"/>
      <w:r w:rsidRPr="00B649B3">
        <w:t xml:space="preserve">, Londres : </w:t>
      </w:r>
      <w:proofErr w:type="spellStart"/>
      <w:r w:rsidRPr="00B649B3">
        <w:t>Wiley</w:t>
      </w:r>
      <w:proofErr w:type="spellEnd"/>
      <w:r w:rsidRPr="00B649B3">
        <w:t>.</w:t>
      </w:r>
    </w:p>
  </w:footnote>
  <w:footnote w:id="2">
    <w:p w:rsidR="00A10BB4" w:rsidRPr="00902E61" w:rsidRDefault="00A10BB4">
      <w:pPr>
        <w:pStyle w:val="Notedebasdepage"/>
      </w:pPr>
      <w:r>
        <w:rPr>
          <w:rStyle w:val="Appelnotedebasdep"/>
        </w:rPr>
        <w:footnoteRef/>
      </w:r>
      <w:r>
        <w:t xml:space="preserve"> </w:t>
      </w:r>
      <w:r>
        <w:rPr>
          <w:lang w:val="fr-FR"/>
        </w:rPr>
        <w:t xml:space="preserve">Diagnostiquant (14 lettres) = « Celui/celle qui pose un diagnostic » (29 lettres avec espaces). Ce mot « diagnostiquant » n’est pas dans le dictionnaire. Est-il plus sage de l’y introduire ou d’attendre que l’anglais nous impose son mot, comme si souvent ? </w:t>
      </w:r>
      <w:r w:rsidRPr="00902E61">
        <w:rPr>
          <w:i/>
        </w:rPr>
        <w:t xml:space="preserve">To </w:t>
      </w:r>
      <w:proofErr w:type="spellStart"/>
      <w:r w:rsidRPr="00902E61">
        <w:rPr>
          <w:i/>
        </w:rPr>
        <w:t>be</w:t>
      </w:r>
      <w:proofErr w:type="spellEnd"/>
      <w:r w:rsidRPr="00902E61">
        <w:t xml:space="preserve"> (une langue en vie) </w:t>
      </w:r>
      <w:r w:rsidRPr="00902E61">
        <w:rPr>
          <w:i/>
        </w:rPr>
        <w:t xml:space="preserve">or not to </w:t>
      </w:r>
      <w:proofErr w:type="spellStart"/>
      <w:r w:rsidRPr="00902E61">
        <w:rPr>
          <w:i/>
        </w:rPr>
        <w:t>be</w:t>
      </w:r>
      <w:proofErr w:type="spellEnd"/>
      <w:r w:rsidRPr="00902E61">
        <w:t xml:space="preserve"> (être une langue morte)</w:t>
      </w:r>
      <w:r>
        <w:t>.</w:t>
      </w:r>
    </w:p>
  </w:footnote>
  <w:footnote w:id="3">
    <w:p w:rsidR="00A10BB4" w:rsidRPr="003F6439" w:rsidRDefault="00A10BB4">
      <w:pPr>
        <w:pStyle w:val="Notedebasdepage"/>
      </w:pPr>
      <w:r>
        <w:rPr>
          <w:rStyle w:val="Appelnotedebasdep"/>
        </w:rPr>
        <w:footnoteRef/>
      </w:r>
      <w:r>
        <w:t xml:space="preserve"> </w:t>
      </w:r>
      <w:r w:rsidRPr="003F6439">
        <w:rPr>
          <w:i/>
        </w:rPr>
        <w:t>A posteriori</w:t>
      </w:r>
      <w:r>
        <w:t xml:space="preserve"> est une expression venant du latin ; on l’utilise sans accent ni trait d’union (idem pour </w:t>
      </w:r>
      <w:r w:rsidRPr="003F6439">
        <w:rPr>
          <w:i/>
        </w:rPr>
        <w:t>a priori</w:t>
      </w:r>
      <w:r>
        <w:t xml:space="preserve">), mais écrire </w:t>
      </w:r>
      <w:r w:rsidRPr="003F6439">
        <w:rPr>
          <w:i/>
        </w:rPr>
        <w:t>à postériori</w:t>
      </w:r>
      <w:r>
        <w:t xml:space="preserve"> n’est pas un crime. Ainsi, j’écris « des médias » avec é et s (non latins). </w:t>
      </w:r>
    </w:p>
  </w:footnote>
  <w:footnote w:id="4">
    <w:p w:rsidR="00A10BB4" w:rsidRPr="00B649B3" w:rsidRDefault="00A10BB4">
      <w:pPr>
        <w:pStyle w:val="Notedebasdepage"/>
      </w:pPr>
      <w:r>
        <w:rPr>
          <w:rStyle w:val="Appelnotedebasdep"/>
        </w:rPr>
        <w:footnoteRef/>
      </w:r>
      <w:r>
        <w:t xml:space="preserve"> En fait les probabilités vont de 0 à 1, et la somme doit faire 1. Dans le jeu </w:t>
      </w:r>
      <w:proofErr w:type="spellStart"/>
      <w:r>
        <w:t>Anasécas</w:t>
      </w:r>
      <w:proofErr w:type="spellEnd"/>
      <w:r>
        <w:t xml:space="preserve">, on utilise des % (à somme 100). </w:t>
      </w:r>
    </w:p>
  </w:footnote>
  <w:footnote w:id="5">
    <w:p w:rsidR="00A10BB4" w:rsidRPr="00630249" w:rsidRDefault="00A10BB4" w:rsidP="00B649B3">
      <w:pPr>
        <w:pStyle w:val="Notedebasdepage"/>
        <w:rPr>
          <w:sz w:val="18"/>
          <w:lang w:val="fr-FR"/>
        </w:rPr>
      </w:pPr>
      <w:r>
        <w:rPr>
          <w:rStyle w:val="Appelnotedebasdep"/>
        </w:rPr>
        <w:footnoteRef/>
      </w:r>
      <w:r>
        <w:t xml:space="preserve"> </w:t>
      </w:r>
      <w:r w:rsidRPr="00630249">
        <w:rPr>
          <w:noProof/>
          <w:sz w:val="18"/>
          <w:lang w:eastAsia="fr-BE"/>
        </w:rPr>
        <w:t>La médecine a ses outils de laboratoire (souvent issus de la méthode pathologique, c’est-à-dire exploitant les cas réels) : les collections de radiographies, d’analyse sanguine, d’IRMf, d’ECG, etc.).</w:t>
      </w:r>
    </w:p>
  </w:footnote>
  <w:footnote w:id="6">
    <w:p w:rsidR="00A10BB4" w:rsidRPr="00630249" w:rsidRDefault="00A10BB4">
      <w:pPr>
        <w:pStyle w:val="Notedebasdepage"/>
        <w:rPr>
          <w:noProof/>
          <w:sz w:val="18"/>
          <w:lang w:eastAsia="fr-BE"/>
        </w:rPr>
      </w:pPr>
      <w:r w:rsidRPr="00630249">
        <w:rPr>
          <w:rStyle w:val="Appelnotedebasdep"/>
          <w:sz w:val="18"/>
        </w:rPr>
        <w:footnoteRef/>
      </w:r>
      <w:r w:rsidRPr="00630249">
        <w:rPr>
          <w:sz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63C1"/>
    <w:multiLevelType w:val="hybridMultilevel"/>
    <w:tmpl w:val="A6B4FC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F"/>
    <w:rsid w:val="000377E8"/>
    <w:rsid w:val="00047DB4"/>
    <w:rsid w:val="00097769"/>
    <w:rsid w:val="00137A15"/>
    <w:rsid w:val="00150A7F"/>
    <w:rsid w:val="002025DE"/>
    <w:rsid w:val="002656F0"/>
    <w:rsid w:val="00273741"/>
    <w:rsid w:val="002872DC"/>
    <w:rsid w:val="002B003D"/>
    <w:rsid w:val="003269FF"/>
    <w:rsid w:val="003420A8"/>
    <w:rsid w:val="00385316"/>
    <w:rsid w:val="003F6439"/>
    <w:rsid w:val="00466D37"/>
    <w:rsid w:val="004E0D4D"/>
    <w:rsid w:val="00557E2B"/>
    <w:rsid w:val="005C3408"/>
    <w:rsid w:val="005D37EC"/>
    <w:rsid w:val="00630249"/>
    <w:rsid w:val="006453CB"/>
    <w:rsid w:val="00696C12"/>
    <w:rsid w:val="006A3A07"/>
    <w:rsid w:val="00736CDD"/>
    <w:rsid w:val="00747139"/>
    <w:rsid w:val="007508D5"/>
    <w:rsid w:val="00750AAA"/>
    <w:rsid w:val="0075275F"/>
    <w:rsid w:val="0076788D"/>
    <w:rsid w:val="00787771"/>
    <w:rsid w:val="007D6E42"/>
    <w:rsid w:val="00806FF1"/>
    <w:rsid w:val="00825DE6"/>
    <w:rsid w:val="00871721"/>
    <w:rsid w:val="008D415A"/>
    <w:rsid w:val="008D62D1"/>
    <w:rsid w:val="008F37AC"/>
    <w:rsid w:val="00902E61"/>
    <w:rsid w:val="00954B1E"/>
    <w:rsid w:val="00961E0C"/>
    <w:rsid w:val="009B2756"/>
    <w:rsid w:val="00A10BB4"/>
    <w:rsid w:val="00A5582B"/>
    <w:rsid w:val="00A71948"/>
    <w:rsid w:val="00A85B00"/>
    <w:rsid w:val="00AE4A2D"/>
    <w:rsid w:val="00B174AE"/>
    <w:rsid w:val="00B649B3"/>
    <w:rsid w:val="00BC2D35"/>
    <w:rsid w:val="00BD1A77"/>
    <w:rsid w:val="00C157DF"/>
    <w:rsid w:val="00C36448"/>
    <w:rsid w:val="00C43A4E"/>
    <w:rsid w:val="00DE1A9C"/>
    <w:rsid w:val="00E73A1F"/>
    <w:rsid w:val="00ED3FB7"/>
    <w:rsid w:val="00EF34CF"/>
    <w:rsid w:val="00F170E9"/>
    <w:rsid w:val="00F22CCE"/>
    <w:rsid w:val="00F5092B"/>
    <w:rsid w:val="00F6438B"/>
    <w:rsid w:val="00F76C36"/>
    <w:rsid w:val="00F859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F101-03B9-4573-9641-BEA3573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FF1"/>
    <w:pPr>
      <w:ind w:left="720"/>
      <w:contextualSpacing/>
    </w:pPr>
  </w:style>
  <w:style w:type="paragraph" w:styleId="NormalWeb">
    <w:name w:val="Normal (Web)"/>
    <w:basedOn w:val="Normal"/>
    <w:uiPriority w:val="99"/>
    <w:semiHidden/>
    <w:unhideWhenUsed/>
    <w:rsid w:val="00747139"/>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En-tte">
    <w:name w:val="header"/>
    <w:basedOn w:val="Normal"/>
    <w:link w:val="En-tteCar"/>
    <w:uiPriority w:val="99"/>
    <w:unhideWhenUsed/>
    <w:rsid w:val="00C157DF"/>
    <w:pPr>
      <w:tabs>
        <w:tab w:val="center" w:pos="4536"/>
        <w:tab w:val="right" w:pos="9072"/>
      </w:tabs>
      <w:spacing w:after="0" w:line="240" w:lineRule="auto"/>
    </w:pPr>
  </w:style>
  <w:style w:type="character" w:customStyle="1" w:styleId="En-tteCar">
    <w:name w:val="En-tête Car"/>
    <w:basedOn w:val="Policepardfaut"/>
    <w:link w:val="En-tte"/>
    <w:uiPriority w:val="99"/>
    <w:rsid w:val="00C157DF"/>
  </w:style>
  <w:style w:type="paragraph" w:styleId="Pieddepage">
    <w:name w:val="footer"/>
    <w:basedOn w:val="Normal"/>
    <w:link w:val="PieddepageCar"/>
    <w:uiPriority w:val="99"/>
    <w:unhideWhenUsed/>
    <w:rsid w:val="00C15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7DF"/>
  </w:style>
  <w:style w:type="paragraph" w:styleId="Notedebasdepage">
    <w:name w:val="footnote text"/>
    <w:basedOn w:val="Normal"/>
    <w:link w:val="NotedebasdepageCar"/>
    <w:uiPriority w:val="99"/>
    <w:semiHidden/>
    <w:unhideWhenUsed/>
    <w:rsid w:val="00902E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2E61"/>
    <w:rPr>
      <w:sz w:val="20"/>
      <w:szCs w:val="20"/>
    </w:rPr>
  </w:style>
  <w:style w:type="character" w:styleId="Appelnotedebasdep">
    <w:name w:val="footnote reference"/>
    <w:basedOn w:val="Policepardfaut"/>
    <w:uiPriority w:val="99"/>
    <w:semiHidden/>
    <w:unhideWhenUsed/>
    <w:rsid w:val="00902E61"/>
    <w:rPr>
      <w:vertAlign w:val="superscript"/>
    </w:rPr>
  </w:style>
  <w:style w:type="character" w:styleId="Lienhypertexte">
    <w:name w:val="Hyperlink"/>
    <w:basedOn w:val="Policepardfaut"/>
    <w:uiPriority w:val="99"/>
    <w:unhideWhenUsed/>
    <w:rsid w:val="00A85B00"/>
    <w:rPr>
      <w:color w:val="0563C1" w:themeColor="hyperlink"/>
      <w:u w:val="single"/>
    </w:rPr>
  </w:style>
  <w:style w:type="character" w:styleId="Accentuation">
    <w:name w:val="Emphasis"/>
    <w:basedOn w:val="Policepardfaut"/>
    <w:uiPriority w:val="20"/>
    <w:qFormat/>
    <w:rsid w:val="00A5582B"/>
    <w:rPr>
      <w:i/>
      <w:iCs/>
    </w:rPr>
  </w:style>
  <w:style w:type="table" w:styleId="Grilledutableau">
    <w:name w:val="Table Grid"/>
    <w:basedOn w:val="TableauNormal"/>
    <w:uiPriority w:val="39"/>
    <w:rsid w:val="00A1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30">
    <w:name w:val="somm 3 0"/>
    <w:link w:val="somm30Car"/>
    <w:rsid w:val="00BC2D35"/>
    <w:pPr>
      <w:tabs>
        <w:tab w:val="left" w:pos="432"/>
      </w:tabs>
      <w:spacing w:after="0" w:line="240" w:lineRule="auto"/>
      <w:ind w:left="432" w:hanging="432"/>
      <w:jc w:val="both"/>
    </w:pPr>
    <w:rPr>
      <w:rFonts w:ascii="Tms Rmn" w:eastAsia="Times New Roman" w:hAnsi="Tms Rmn" w:cs="Times New Roman"/>
      <w:sz w:val="24"/>
      <w:szCs w:val="20"/>
      <w:lang w:val="fr-FR" w:eastAsia="fr-FR"/>
    </w:rPr>
  </w:style>
  <w:style w:type="character" w:customStyle="1" w:styleId="somm30Car">
    <w:name w:val="somm 3 0 Car"/>
    <w:link w:val="somm30"/>
    <w:rsid w:val="00BC2D35"/>
    <w:rPr>
      <w:rFonts w:ascii="Tms Rmn" w:eastAsia="Times New Roman" w:hAnsi="Tms Rmn" w:cs="Times New Roman"/>
      <w:sz w:val="24"/>
      <w:szCs w:val="20"/>
      <w:lang w:val="fr-FR" w:eastAsia="fr-FR"/>
    </w:rPr>
  </w:style>
  <w:style w:type="paragraph" w:customStyle="1" w:styleId="normal3">
    <w:name w:val="normal 3"/>
    <w:rsid w:val="00BC2D35"/>
    <w:pPr>
      <w:spacing w:after="0" w:line="240" w:lineRule="auto"/>
      <w:ind w:left="1296"/>
      <w:jc w:val="both"/>
    </w:pPr>
    <w:rPr>
      <w:rFonts w:ascii="Tms Rmn" w:eastAsia="Times New Roman" w:hAnsi="Tms Rm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523">
      <w:bodyDiv w:val="1"/>
      <w:marLeft w:val="0"/>
      <w:marRight w:val="0"/>
      <w:marTop w:val="0"/>
      <w:marBottom w:val="0"/>
      <w:divBdr>
        <w:top w:val="none" w:sz="0" w:space="0" w:color="auto"/>
        <w:left w:val="none" w:sz="0" w:space="0" w:color="auto"/>
        <w:bottom w:val="none" w:sz="0" w:space="0" w:color="auto"/>
        <w:right w:val="none" w:sz="0" w:space="0" w:color="auto"/>
      </w:divBdr>
    </w:div>
    <w:div w:id="678655941">
      <w:bodyDiv w:val="1"/>
      <w:marLeft w:val="0"/>
      <w:marRight w:val="0"/>
      <w:marTop w:val="0"/>
      <w:marBottom w:val="0"/>
      <w:divBdr>
        <w:top w:val="none" w:sz="0" w:space="0" w:color="auto"/>
        <w:left w:val="none" w:sz="0" w:space="0" w:color="auto"/>
        <w:bottom w:val="none" w:sz="0" w:space="0" w:color="auto"/>
        <w:right w:val="none" w:sz="0" w:space="0" w:color="auto"/>
      </w:divBdr>
    </w:div>
    <w:div w:id="864906081">
      <w:bodyDiv w:val="1"/>
      <w:marLeft w:val="0"/>
      <w:marRight w:val="0"/>
      <w:marTop w:val="0"/>
      <w:marBottom w:val="0"/>
      <w:divBdr>
        <w:top w:val="none" w:sz="0" w:space="0" w:color="auto"/>
        <w:left w:val="none" w:sz="0" w:space="0" w:color="auto"/>
        <w:bottom w:val="none" w:sz="0" w:space="0" w:color="auto"/>
        <w:right w:val="none" w:sz="0" w:space="0" w:color="auto"/>
      </w:divBdr>
    </w:div>
    <w:div w:id="1108768399">
      <w:bodyDiv w:val="1"/>
      <w:marLeft w:val="0"/>
      <w:marRight w:val="0"/>
      <w:marTop w:val="0"/>
      <w:marBottom w:val="0"/>
      <w:divBdr>
        <w:top w:val="none" w:sz="0" w:space="0" w:color="auto"/>
        <w:left w:val="none" w:sz="0" w:space="0" w:color="auto"/>
        <w:bottom w:val="none" w:sz="0" w:space="0" w:color="auto"/>
        <w:right w:val="none" w:sz="0" w:space="0" w:color="auto"/>
      </w:divBdr>
    </w:div>
    <w:div w:id="1625505297">
      <w:bodyDiv w:val="1"/>
      <w:marLeft w:val="0"/>
      <w:marRight w:val="0"/>
      <w:marTop w:val="0"/>
      <w:marBottom w:val="0"/>
      <w:divBdr>
        <w:top w:val="none" w:sz="0" w:space="0" w:color="auto"/>
        <w:left w:val="none" w:sz="0" w:space="0" w:color="auto"/>
        <w:bottom w:val="none" w:sz="0" w:space="0" w:color="auto"/>
        <w:right w:val="none" w:sz="0" w:space="0" w:color="auto"/>
      </w:divBdr>
    </w:div>
    <w:div w:id="20056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hdl.handle.net/2268/9482" TargetMode="External"/><Relationship Id="rId26" Type="http://schemas.openxmlformats.org/officeDocument/2006/relationships/hyperlink" Target="https://www.researchgate.net/publication/311114506" TargetMode="External"/><Relationship Id="rId3" Type="http://schemas.openxmlformats.org/officeDocument/2006/relationships/styles" Target="styles.xml"/><Relationship Id="rId21" Type="http://schemas.openxmlformats.org/officeDocument/2006/relationships/hyperlink" Target="http://hdl.handle.net/2268/1863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hdl.handle.net/2268/18555" TargetMode="External"/><Relationship Id="rId25" Type="http://schemas.openxmlformats.org/officeDocument/2006/relationships/hyperlink" Target="http://dx.doi.org/10.1051/pmed:2005028" TargetMode="External"/><Relationship Id="rId2" Type="http://schemas.openxmlformats.org/officeDocument/2006/relationships/numbering" Target="numbering.xml"/><Relationship Id="rId16" Type="http://schemas.openxmlformats.org/officeDocument/2006/relationships/hyperlink" Target="http://hdl.handle.net/2268/10119" TargetMode="External"/><Relationship Id="rId20" Type="http://schemas.openxmlformats.org/officeDocument/2006/relationships/hyperlink" Target="http://hdl.handle.net/2268/254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hdl.handle.net/2268/210317" TargetMode="External"/><Relationship Id="rId5" Type="http://schemas.openxmlformats.org/officeDocument/2006/relationships/webSettings" Target="webSettings.xml"/><Relationship Id="rId15" Type="http://schemas.openxmlformats.org/officeDocument/2006/relationships/hyperlink" Target="mailto:d.leclercq@uliege.be" TargetMode="External"/><Relationship Id="rId23" Type="http://schemas.openxmlformats.org/officeDocument/2006/relationships/hyperlink" Target="http://hdl.handle.net/2268/20273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hdl.handle.net/2268/181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hdl.handle.net/2268/18728"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B877-4B34-42C6-9124-44537FE8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8</Pages>
  <Words>2818</Words>
  <Characters>15503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d.leclercq@uliege.be</dc:creator>
  <cp:keywords/>
  <dc:description/>
  <cp:lastModifiedBy>d.leclercq@uliege.be</cp:lastModifiedBy>
  <cp:revision>16</cp:revision>
  <dcterms:created xsi:type="dcterms:W3CDTF">2020-05-07T09:36:00Z</dcterms:created>
  <dcterms:modified xsi:type="dcterms:W3CDTF">2020-05-15T15:12:00Z</dcterms:modified>
</cp:coreProperties>
</file>