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680" w:rsidRDefault="00C12680" w:rsidP="002E12A4">
      <w:pPr>
        <w:jc w:val="both"/>
        <w:rPr>
          <w:b/>
          <w:lang w:val="en-GB"/>
        </w:rPr>
      </w:pPr>
      <w:r w:rsidRPr="000101B7">
        <w:rPr>
          <w:b/>
          <w:smallCaps/>
          <w:lang w:val="en-GB"/>
        </w:rPr>
        <w:t>Casale, G.</w:t>
      </w:r>
      <w:r w:rsidRPr="000101B7">
        <w:rPr>
          <w:b/>
          <w:lang w:val="en-GB"/>
        </w:rPr>
        <w:t xml:space="preserve"> et </w:t>
      </w:r>
      <w:r w:rsidRPr="000101B7">
        <w:rPr>
          <w:b/>
          <w:smallCaps/>
          <w:lang w:val="en-GB"/>
        </w:rPr>
        <w:t>Treu, T.</w:t>
      </w:r>
      <w:r w:rsidRPr="000101B7">
        <w:rPr>
          <w:b/>
          <w:lang w:val="en-GB"/>
        </w:rPr>
        <w:t xml:space="preserve"> (éds), </w:t>
      </w:r>
      <w:r w:rsidRPr="000101B7">
        <w:rPr>
          <w:b/>
          <w:i/>
          <w:lang w:val="en-GB"/>
        </w:rPr>
        <w:t>Transformations of Work: Challenges for the Institutions and Social Actors</w:t>
      </w:r>
      <w:r w:rsidRPr="000101B7">
        <w:rPr>
          <w:b/>
          <w:lang w:val="en-GB"/>
        </w:rPr>
        <w:t>, Alphen aan den Rijn, Kluwer, 2019, 368 p.</w:t>
      </w:r>
    </w:p>
    <w:p w:rsidR="00A46B27" w:rsidRDefault="00C12680" w:rsidP="002E12A4">
      <w:pPr>
        <w:jc w:val="both"/>
      </w:pPr>
      <w:r w:rsidRPr="000101B7">
        <w:t>L’ouvrage</w:t>
      </w:r>
      <w:r>
        <w:t xml:space="preserve"> collectif</w:t>
      </w:r>
      <w:r w:rsidRPr="000101B7">
        <w:t xml:space="preserve"> ici recensé</w:t>
      </w:r>
      <w:r>
        <w:t xml:space="preserve"> réunit </w:t>
      </w:r>
      <w:r w:rsidR="00EF5CB7">
        <w:t>douze</w:t>
      </w:r>
      <w:r>
        <w:t xml:space="preserve"> contributions présentées au vingt-deuxième congrès mondial de l’International Society for Labour and Social Security Law qui s’est tenu à Turin en septembre 2018. Les transformations rapides que connaît le monde du travail à l’échelle globale, la mise en place d’un monde du travail équitable et inclusif </w:t>
      </w:r>
      <w:r w:rsidR="00EF5CB7">
        <w:t>ainsi que</w:t>
      </w:r>
      <w:r>
        <w:t xml:space="preserve"> l’influence que le multilatéralisme peut avoir sur ce monde en constituent le fil rouge. Ce fil rouge se décline en sept sujets de recherche très divers (les travailleurs informels</w:t>
      </w:r>
      <w:r w:rsidR="00EF5CB7">
        <w:t> ; l</w:t>
      </w:r>
      <w:r>
        <w:t>es travailleurs migrants</w:t>
      </w:r>
      <w:r w:rsidR="00EF5CB7">
        <w:t xml:space="preserve"> ; </w:t>
      </w:r>
      <w:r>
        <w:t>la relation entre travail et commerce global</w:t>
      </w:r>
      <w:r w:rsidR="00EF5CB7">
        <w:t> ;</w:t>
      </w:r>
      <w:r>
        <w:t xml:space="preserve"> l’organisation, la productivité et </w:t>
      </w:r>
      <w:r w:rsidR="00EF5CB7">
        <w:t xml:space="preserve">le </w:t>
      </w:r>
      <w:r>
        <w:t>bien-être au travail</w:t>
      </w:r>
      <w:r w:rsidR="00EF5CB7">
        <w:t> ; l</w:t>
      </w:r>
      <w:r>
        <w:t>es conventions collectives transnationales</w:t>
      </w:r>
      <w:r w:rsidR="00EF5CB7">
        <w:t> ; les</w:t>
      </w:r>
      <w:r>
        <w:t xml:space="preserve"> nouvelles formes de sécurité sociale</w:t>
      </w:r>
      <w:r w:rsidR="00EF5CB7">
        <w:t> ; le</w:t>
      </w:r>
      <w:r>
        <w:t xml:space="preserve"> rôle de l’</w:t>
      </w:r>
      <w:r w:rsidR="00043E11">
        <w:t>État</w:t>
      </w:r>
      <w:r>
        <w:t xml:space="preserve"> et des relations industrielles).</w:t>
      </w:r>
    </w:p>
    <w:p w:rsidR="002E12A4" w:rsidRDefault="002E12A4" w:rsidP="00C75477">
      <w:pPr>
        <w:jc w:val="both"/>
      </w:pPr>
      <w:r>
        <w:t xml:space="preserve">L’ambition et le nombre de sujets traités est donc grande, et l’on pourrait craindre une certaine hétérogénéité entre les différents chapitres. </w:t>
      </w:r>
      <w:r w:rsidR="00EF5CB7">
        <w:t>Quand bien même</w:t>
      </w:r>
      <w:r w:rsidR="00C75477">
        <w:t xml:space="preserve"> l’on aurait souhaité l’ajout d’un chapitre conclusif qui aurait synthétisé et mis en perspective</w:t>
      </w:r>
      <w:r w:rsidR="00205ECF">
        <w:t xml:space="preserve"> entre eux</w:t>
      </w:r>
      <w:r w:rsidR="00C75477">
        <w:t xml:space="preserve"> les travaux de chaque intervenant, </w:t>
      </w:r>
      <w:r w:rsidR="00A8743C">
        <w:t>il est</w:t>
      </w:r>
      <w:r>
        <w:t xml:space="preserve"> possible</w:t>
      </w:r>
      <w:r w:rsidR="00C75477">
        <w:t>,</w:t>
      </w:r>
      <w:r>
        <w:t xml:space="preserve"> </w:t>
      </w:r>
      <w:r w:rsidR="00C75477">
        <w:t xml:space="preserve">en prenant en considération les propos introductifs de Giuseppe Casale (pp.1 à 10), </w:t>
      </w:r>
      <w:r>
        <w:t>d’identifier plusieurs lignes de force</w:t>
      </w:r>
      <w:r w:rsidR="00C75477">
        <w:t xml:space="preserve"> étroitement liées</w:t>
      </w:r>
      <w:r>
        <w:t xml:space="preserve"> qui se dégagent au fil des pages</w:t>
      </w:r>
      <w:r w:rsidR="00C75477">
        <w:t>.</w:t>
      </w:r>
    </w:p>
    <w:p w:rsidR="00D07CE4" w:rsidRDefault="008545CA" w:rsidP="008C2006">
      <w:pPr>
        <w:jc w:val="both"/>
      </w:pPr>
      <w:r>
        <w:t>L’</w:t>
      </w:r>
      <w:r w:rsidR="00C12680">
        <w:t>ouvr</w:t>
      </w:r>
      <w:r w:rsidR="00746682">
        <w:t>age permet</w:t>
      </w:r>
      <w:r w:rsidR="00C12680">
        <w:t xml:space="preserve"> de se rendre compte du caractère </w:t>
      </w:r>
      <w:r w:rsidR="00291B5C">
        <w:t xml:space="preserve">de plus en plus transnational des défis auxquels sont </w:t>
      </w:r>
      <w:r w:rsidR="00291B5C" w:rsidRPr="00043E11">
        <w:t>confrontés</w:t>
      </w:r>
      <w:r w:rsidR="00291B5C" w:rsidRPr="00A60E93">
        <w:t xml:space="preserve"> </w:t>
      </w:r>
      <w:r w:rsidR="00291B5C">
        <w:t xml:space="preserve">les systèmes </w:t>
      </w:r>
      <w:r w:rsidR="00D07CE4" w:rsidRPr="00A60E93">
        <w:t>nationaux de droit du travail et de la sécurité sociale</w:t>
      </w:r>
      <w:r w:rsidR="002E12A4" w:rsidRPr="00A60E93">
        <w:t>, ainsi que le constate Tiziano Treu (pp. 11 à 40)</w:t>
      </w:r>
      <w:r w:rsidR="00C12680" w:rsidRPr="00A60E93">
        <w:t xml:space="preserve">. </w:t>
      </w:r>
      <w:r w:rsidR="00043E11">
        <w:t>Les préoccupations sociales</w:t>
      </w:r>
      <w:r w:rsidR="00582C2A">
        <w:t xml:space="preserve"> s’invitent même désormais dans les négociations commerciales menées par les États ou les organisations supranationales. Tant l’Union européenne que les États-Unis font désormais du respect des droits sociaux un élément constant de leurs relations extérieures, comme en témoigne l’analyse fascinante de l’utilisation des clauses sociales dans les accords de libre-échange conclus par ces puissances que l’on doit à Adalberto Perulli</w:t>
      </w:r>
      <w:r w:rsidR="00CA4F0A">
        <w:t xml:space="preserve"> (pp. 105-182).</w:t>
      </w:r>
      <w:r w:rsidR="00824DB6">
        <w:t xml:space="preserve"> </w:t>
      </w:r>
      <w:r w:rsidR="00EF5CB7">
        <w:t>L’Union</w:t>
      </w:r>
      <w:r w:rsidR="00EF5CB7" w:rsidRPr="00EF5CB7">
        <w:t xml:space="preserve"> </w:t>
      </w:r>
      <w:r w:rsidR="00EF5CB7">
        <w:t>européenne</w:t>
      </w:r>
      <w:r w:rsidR="00824DB6">
        <w:t xml:space="preserve"> y voit une fin en soit, tandis que les </w:t>
      </w:r>
      <w:r w:rsidR="00EF5CB7">
        <w:t xml:space="preserve">États-Unis </w:t>
      </w:r>
      <w:r w:rsidR="00824DB6">
        <w:t xml:space="preserve">cherchent surtout la mise en place d’un </w:t>
      </w:r>
      <w:r w:rsidR="00824DB6">
        <w:rPr>
          <w:i/>
        </w:rPr>
        <w:t>level playing field</w:t>
      </w:r>
      <w:r w:rsidR="00824DB6">
        <w:t xml:space="preserve"> afin d’éviter les distorsions de concurrence. </w:t>
      </w:r>
      <w:r w:rsidR="00AB2776">
        <w:t xml:space="preserve">L’auteur </w:t>
      </w:r>
      <w:r w:rsidR="00C75477">
        <w:t xml:space="preserve">n’écarte aucune des difficultés liées à ces clauses, de leur compatibilité </w:t>
      </w:r>
      <w:r w:rsidR="00EF5CB7">
        <w:t xml:space="preserve">avec le </w:t>
      </w:r>
      <w:r w:rsidR="00C75477">
        <w:t>système O</w:t>
      </w:r>
      <w:r>
        <w:t xml:space="preserve">rganisation </w:t>
      </w:r>
      <w:r w:rsidR="00C75477">
        <w:t>M</w:t>
      </w:r>
      <w:r>
        <w:t xml:space="preserve">ondiale du </w:t>
      </w:r>
      <w:r w:rsidR="00C75477">
        <w:t>C</w:t>
      </w:r>
      <w:r>
        <w:t>ommerce</w:t>
      </w:r>
      <w:r w:rsidR="00C75477">
        <w:t xml:space="preserve"> à l’efficacité des mécanismes censés assurer leur exécution. Le défi actuel, conclut-il, n’est ni de libéraliser davantage le commerce, ni de revenir aux nationalismes « antihistoriques » mais bien de rendre notre ouverture actuelle sur le commerce soutenable et compatible avec les idées de justice sociale. </w:t>
      </w:r>
      <w:r w:rsidR="00B85758">
        <w:t xml:space="preserve"> </w:t>
      </w:r>
      <w:r w:rsidR="00CA4F0A">
        <w:t xml:space="preserve">Une </w:t>
      </w:r>
      <w:r w:rsidR="00B85758">
        <w:t xml:space="preserve">contribution de Janice Bellace </w:t>
      </w:r>
      <w:r w:rsidR="00CA4F0A">
        <w:t xml:space="preserve">envisage </w:t>
      </w:r>
      <w:r w:rsidR="00B85758">
        <w:t>le même sujet dans une perspective spécifiquement américaine après l’élection de Donald Trump (pp. 183-201).</w:t>
      </w:r>
    </w:p>
    <w:p w:rsidR="00582C2A" w:rsidRDefault="008C2006" w:rsidP="008C2006">
      <w:pPr>
        <w:jc w:val="both"/>
      </w:pPr>
      <w:r>
        <w:t xml:space="preserve">S’il existe </w:t>
      </w:r>
      <w:r w:rsidR="00C75477">
        <w:t xml:space="preserve">un autre </w:t>
      </w:r>
      <w:r>
        <w:t xml:space="preserve">défi auquel on ne peut échapper lorsque l’on étudie le droit social dans une perspective internationale, c’est bien celui des travailleurs migrants et </w:t>
      </w:r>
      <w:r w:rsidR="00A60E93">
        <w:t xml:space="preserve">de </w:t>
      </w:r>
      <w:r>
        <w:t>la garantie de la protection de leurs droits. C’est pourquoi la contribution de Kübra Do</w:t>
      </w:r>
      <w:r>
        <w:rPr>
          <w:rFonts w:cstheme="minorHAnsi"/>
        </w:rPr>
        <w:t>ğ</w:t>
      </w:r>
      <w:r>
        <w:t>an Yenisey y est entièrement consacrée (pp. 227-291).</w:t>
      </w:r>
      <w:r w:rsidR="00C75477">
        <w:t xml:space="preserve"> La question de la migration</w:t>
      </w:r>
      <w:r>
        <w:t xml:space="preserve"> se trouve au carrefour du droit du travail, du droit de la migration et des droits de l’Homme. L’auteur plaide pour la mise en place d’une approche spécifique au droit du travail.</w:t>
      </w:r>
    </w:p>
    <w:p w:rsidR="00C12680" w:rsidRDefault="00746682" w:rsidP="002E12A4">
      <w:pPr>
        <w:jc w:val="both"/>
      </w:pPr>
      <w:r>
        <w:t xml:space="preserve">Cette internationalisation des défis </w:t>
      </w:r>
      <w:r w:rsidR="00043E11">
        <w:t>lanc</w:t>
      </w:r>
      <w:r>
        <w:t>és au droit du travail s’accompagne d’une démultiplication des acteurs</w:t>
      </w:r>
      <w:r w:rsidR="00C75477">
        <w:t xml:space="preserve"> concernés par celui-ci</w:t>
      </w:r>
      <w:r>
        <w:t>. Comme le souligne Jesús Cruz Villalón (pp. 293-306), l’État voit ses capacités de gestion et de gouvernance des relations de travail s’affaiblir, en raison de la globalisation toujours plus poussée de l’économie et de la complexité toujours plus grande du leadership au sein des entreprises. En témoigne l’apparition du nouvel instrument de gestion des relations de travail</w:t>
      </w:r>
      <w:r w:rsidR="0033278A">
        <w:t xml:space="preserve"> développé essentiellement par les multinationales européennes sur</w:t>
      </w:r>
      <w:r w:rsidR="00EF5CB7">
        <w:t xml:space="preserve"> une</w:t>
      </w:r>
      <w:r w:rsidR="0033278A">
        <w:t xml:space="preserve"> base volontaire en l’absence de cadre juridique contraignant susceptibles de l’encadrer :</w:t>
      </w:r>
      <w:r>
        <w:t xml:space="preserve"> la convention collective transnationale, étudiée</w:t>
      </w:r>
      <w:r w:rsidR="0033278A">
        <w:t xml:space="preserve"> avec enthousiasme</w:t>
      </w:r>
      <w:r>
        <w:t xml:space="preserve"> par </w:t>
      </w:r>
      <w:r w:rsidR="0033278A">
        <w:t xml:space="preserve">Fausta Guarriello (pp. 203-226). Certes, ce type de convention ne </w:t>
      </w:r>
      <w:r w:rsidR="0033278A">
        <w:lastRenderedPageBreak/>
        <w:t xml:space="preserve">contient que des standards minimum liés aux salaires et conditions de travail dont bénéficient depuis longtemps les travailleurs des pays industrialisés, mais ces standards sont loin d’être acquis ailleurs. Certaines problématiques jusque-là rarement envisagées ont suscité l’intérêt de l’Organisation internationale du Travail, comme la question de l’économie informelle, </w:t>
      </w:r>
      <w:r w:rsidR="00582C2A">
        <w:t>qui ne concerne pas</w:t>
      </w:r>
      <w:r w:rsidR="0033278A">
        <w:t xml:space="preserve"> moins de 61% de la population active au niveau mondial, et 25% de la popula</w:t>
      </w:r>
      <w:r w:rsidR="00582C2A">
        <w:t xml:space="preserve">tion active au niveau européen. La question fait l’objet d’un état des lieux fouillé de la part d’Humberto Villasmil Prieto (pp. 61-104), qui se livre ensuite à une analyse comparée de l’appréhension du phénomène par le droit des États d’Amérique latine. </w:t>
      </w:r>
    </w:p>
    <w:p w:rsidR="00AB2776" w:rsidRDefault="002E12A4" w:rsidP="00AB2776">
      <w:pPr>
        <w:jc w:val="both"/>
      </w:pPr>
      <w:r>
        <w:t>La figure de l’État n’est pas pour autant appelée à disparaître</w:t>
      </w:r>
      <w:r w:rsidR="008C2006">
        <w:t xml:space="preserve"> totalement</w:t>
      </w:r>
      <w:r>
        <w:t xml:space="preserve"> du champ des relations de travail, mais son rôle </w:t>
      </w:r>
      <w:r w:rsidR="000803A9">
        <w:t xml:space="preserve">devra </w:t>
      </w:r>
      <w:r>
        <w:t>évoluer.</w:t>
      </w:r>
      <w:r w:rsidR="00AB2776">
        <w:t xml:space="preserve"> Plusieurs auteurs discutent de cette évolution dans leurs contributions respectives.</w:t>
      </w:r>
      <w:r>
        <w:t xml:space="preserve"> Jezús Cruz Villalón </w:t>
      </w:r>
      <w:r w:rsidR="006533D2">
        <w:t xml:space="preserve">propose ainsi par exemple le développement d’instruments dits de </w:t>
      </w:r>
      <w:r w:rsidR="006533D2" w:rsidRPr="006533D2">
        <w:rPr>
          <w:i/>
        </w:rPr>
        <w:t>soft law</w:t>
      </w:r>
      <w:r w:rsidR="006533D2">
        <w:rPr>
          <w:i/>
        </w:rPr>
        <w:t>,</w:t>
      </w:r>
      <w:r w:rsidR="006533D2" w:rsidRPr="006533D2">
        <w:t xml:space="preserve"> </w:t>
      </w:r>
      <w:r w:rsidR="006533D2">
        <w:t xml:space="preserve">tels que des rapports de diagnostic, des prises de position, des recommandations, des instructions, des tentatives d’étendre les bonnes pratiques mises en place dans certains secteurs à d’autres secteurs, ou encore des évaluations de résultats.  Franz Marhold appelle de ses vœux la mise en place de nouvelles formes de solidarité pour faire face aux défis posés par l’émergence de nouvelles formes de travail (pp. 49-60). Il faut selon lui dépasser les modèles de Bismarck et Beveridge où l’accès à la sécurité sociale est conditionné par l’appartenance à un certain groupe et où </w:t>
      </w:r>
      <w:r w:rsidR="00EF5CB7">
        <w:t xml:space="preserve">la </w:t>
      </w:r>
      <w:r w:rsidR="006533D2">
        <w:t>protection est justifiée par le fait que l’individu contribue à un système commun de partage des risques qui protège ses membres lorsque ledit risque (social) se réalise.</w:t>
      </w:r>
      <w:r w:rsidR="006533D2" w:rsidRPr="006533D2">
        <w:t xml:space="preserve"> </w:t>
      </w:r>
      <w:r w:rsidR="006533D2">
        <w:t xml:space="preserve">L’auteur constate que l’évolution </w:t>
      </w:r>
      <w:r w:rsidR="00EF5CB7">
        <w:t>du droit</w:t>
      </w:r>
      <w:r w:rsidR="006533D2">
        <w:t xml:space="preserve"> de sécurité sociale ne va pas dans ce sens en ce </w:t>
      </w:r>
      <w:r w:rsidR="008545CA">
        <w:t>que, un</w:t>
      </w:r>
      <w:r w:rsidR="006400B2">
        <w:t xml:space="preserve"> peu partout, </w:t>
      </w:r>
      <w:r w:rsidR="00EF5CB7">
        <w:t xml:space="preserve">il </w:t>
      </w:r>
      <w:r w:rsidR="006533D2">
        <w:t>exige désormais une solidarité des bénéficiaires envers la communauté entière. L’auteur utilise cette expression pour désigner le rehaussement des conditions requises pour bénéficier des prestations de sécurité sociale : périodes de travail plus longues, départ à la retraite plus tardifs, diminution de la liste des métiers pénibles, pression sur les travailleurs afin qu’ils acceptent des métiers moins qualifiés plus rapidement. Le droit de la sécurité sociale devient ainsi un instrument de la politique d’emploi, essayant d’activer ou de réactiver les travailleurs, et non plus de favoriser une sortie sans encombre de ceux-ci du marché du travail. Thomas Kochan, lui</w:t>
      </w:r>
      <w:r w:rsidR="00043E11">
        <w:t>,</w:t>
      </w:r>
      <w:r w:rsidR="006533D2">
        <w:t xml:space="preserve"> se place dan</w:t>
      </w:r>
      <w:r w:rsidR="008C2006">
        <w:t xml:space="preserve">s une perspective américaine (pp.41-48). </w:t>
      </w:r>
      <w:r w:rsidR="00043E11">
        <w:t>Il</w:t>
      </w:r>
      <w:r w:rsidR="008C2006">
        <w:t xml:space="preserve"> propose de s’inspirer de l’esprit du New Deal (et non des solutions proposées par celui-ci, complètement dépassées à l’heure actuelle) pour établir un nouveau contrat social entre les travailleurs américains et le monde de l’entreprise, de l’éducation ainsi que le gouvernement,</w:t>
      </w:r>
      <w:r w:rsidR="008C2006" w:rsidRPr="008C2006">
        <w:t xml:space="preserve"> </w:t>
      </w:r>
      <w:r w:rsidR="008C2006">
        <w:t>afin d’établir une économie à la fois plus inclusive et plus protectrice, une prospérité largement partagée et une société plus juste. L’auteur propose pour ce faire d’identifier ce qu’il appelle les blocs de construction de base (</w:t>
      </w:r>
      <w:r w:rsidR="008C2006" w:rsidRPr="00703A3A">
        <w:rPr>
          <w:i/>
        </w:rPr>
        <w:t>basic building blocks</w:t>
      </w:r>
      <w:r w:rsidR="008C2006">
        <w:t xml:space="preserve">) des standards de travail destinés aux forces de travail actuelles. Il n’hésite pas à citer l’Europe en exemple. </w:t>
      </w:r>
      <w:r w:rsidR="00BE72D1">
        <w:t>Takashi Araki et Sylvaine Laulom (pp. 317-356) envisagent</w:t>
      </w:r>
      <w:r w:rsidR="006400B2">
        <w:t>,</w:t>
      </w:r>
      <w:r w:rsidR="00BE72D1">
        <w:t xml:space="preserve"> </w:t>
      </w:r>
      <w:r w:rsidR="00AB2776">
        <w:t>dans une perspective européenne</w:t>
      </w:r>
      <w:r w:rsidR="006400B2">
        <w:t>,</w:t>
      </w:r>
      <w:r w:rsidR="00AB2776">
        <w:t xml:space="preserve"> </w:t>
      </w:r>
      <w:r w:rsidR="00BE72D1">
        <w:t xml:space="preserve">les solutions disponibles pour assurer une protection aux travailleurs de l’économie de plateforme, généralement considérés comme indépendants ou </w:t>
      </w:r>
      <w:r w:rsidR="00BE72D1" w:rsidRPr="00BE72D1">
        <w:rPr>
          <w:i/>
        </w:rPr>
        <w:t>freelancers</w:t>
      </w:r>
      <w:r w:rsidR="00BE72D1">
        <w:t xml:space="preserve"> en vertu du critère de l’existence d’un lien de subordination. Ils envisagent également la question des réformes mises en œuvre par les États européens afin de permettre une décentralisation de la négociation collective, dont ils contestent l’utilité.</w:t>
      </w:r>
      <w:r w:rsidR="00AB2776">
        <w:t xml:space="preserve"> Nous avouons être restés sur notre faim après lecture de la contribution de Maria Katia Larcia Landaburu (pp. 307-316), intitulée </w:t>
      </w:r>
      <w:r w:rsidR="00AB2776" w:rsidRPr="00E64FF0">
        <w:rPr>
          <w:i/>
        </w:rPr>
        <w:t>The Role of State and Industrial Relations in Latin America</w:t>
      </w:r>
      <w:r w:rsidR="00AB2776">
        <w:t>. Après avoir très rapidement passé en revue les différents systèmes de négociation collective existant en Amérique latine, l’auteur se concentre sur l’impact de la globalisation et des traités de libre échange ainsi que des nouvelles technologies sur la transformation du travail dans les pays de la région. Elle conclut qu’aucun de ces paramètres nouveaux n’a eu d’impact sur ces pays à l’heure actuelle.</w:t>
      </w:r>
    </w:p>
    <w:p w:rsidR="000803A9" w:rsidRDefault="00D07CE4" w:rsidP="000803A9">
      <w:pPr>
        <w:jc w:val="both"/>
      </w:pPr>
      <w:r>
        <w:t>Bien que les contributions qui le composent soient d’une qualité inégale, l</w:t>
      </w:r>
      <w:r w:rsidR="00AB2776">
        <w:t>’ouvrage</w:t>
      </w:r>
      <w:r>
        <w:t xml:space="preserve"> recensé</w:t>
      </w:r>
      <w:r w:rsidR="00AB2776">
        <w:t xml:space="preserve"> offre un panorama de l’ensemble des défis auxquels le droit du travail actuel doit répondre</w:t>
      </w:r>
      <w:r w:rsidR="006400B2">
        <w:t xml:space="preserve"> et des</w:t>
      </w:r>
      <w:r w:rsidR="00AB2776">
        <w:t xml:space="preserve"> pistes </w:t>
      </w:r>
      <w:r w:rsidR="006400B2">
        <w:t>fort</w:t>
      </w:r>
      <w:r w:rsidR="00AB2776">
        <w:t xml:space="preserve"> </w:t>
      </w:r>
      <w:r w:rsidR="00AB2776">
        <w:lastRenderedPageBreak/>
        <w:t xml:space="preserve">utiles au chercheur qui s’intéresse de près à ces thématiques et </w:t>
      </w:r>
      <w:r w:rsidR="006400B2">
        <w:t>entend</w:t>
      </w:r>
      <w:r w:rsidR="00AB2776">
        <w:t xml:space="preserve"> approfondir ses propres réflexions en les inscrivant dans une perspective plus globale. </w:t>
      </w:r>
    </w:p>
    <w:p w:rsidR="000803A9" w:rsidRDefault="000803A9" w:rsidP="000803A9">
      <w:pPr>
        <w:jc w:val="both"/>
      </w:pPr>
      <w:r>
        <w:t>Vincent</w:t>
      </w:r>
      <w:r w:rsidRPr="00F14899">
        <w:rPr>
          <w:smallCaps/>
        </w:rPr>
        <w:t xml:space="preserve"> Février</w:t>
      </w:r>
    </w:p>
    <w:p w:rsidR="00C12680" w:rsidRPr="00C12680" w:rsidRDefault="00A60E93" w:rsidP="002E12A4">
      <w:pPr>
        <w:jc w:val="both"/>
      </w:pPr>
      <w:r>
        <w:t xml:space="preserve">Aspirant </w:t>
      </w:r>
      <w:bookmarkStart w:id="0" w:name="_GoBack"/>
      <w:bookmarkEnd w:id="0"/>
      <w:r>
        <w:t>du F.R.S.-F.N.R.S. à l’Université de Liège</w:t>
      </w:r>
    </w:p>
    <w:sectPr w:rsidR="00C12680" w:rsidRPr="00C126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4F7" w:rsidRDefault="006D04F7" w:rsidP="00EF5CB7">
      <w:pPr>
        <w:spacing w:after="0" w:line="240" w:lineRule="auto"/>
      </w:pPr>
      <w:r>
        <w:separator/>
      </w:r>
    </w:p>
  </w:endnote>
  <w:endnote w:type="continuationSeparator" w:id="0">
    <w:p w:rsidR="006D04F7" w:rsidRDefault="006D04F7" w:rsidP="00EF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4F7" w:rsidRDefault="006D04F7" w:rsidP="00EF5CB7">
      <w:pPr>
        <w:spacing w:after="0" w:line="240" w:lineRule="auto"/>
      </w:pPr>
      <w:r>
        <w:separator/>
      </w:r>
    </w:p>
  </w:footnote>
  <w:footnote w:type="continuationSeparator" w:id="0">
    <w:p w:rsidR="006D04F7" w:rsidRDefault="006D04F7" w:rsidP="00EF5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80"/>
    <w:rsid w:val="00025CC9"/>
    <w:rsid w:val="000432ED"/>
    <w:rsid w:val="00043E11"/>
    <w:rsid w:val="000803A9"/>
    <w:rsid w:val="002020B6"/>
    <w:rsid w:val="00203CE0"/>
    <w:rsid w:val="00205ECF"/>
    <w:rsid w:val="00291B5C"/>
    <w:rsid w:val="002E12A4"/>
    <w:rsid w:val="0033278A"/>
    <w:rsid w:val="00582C2A"/>
    <w:rsid w:val="006400B2"/>
    <w:rsid w:val="006533D2"/>
    <w:rsid w:val="006D04F7"/>
    <w:rsid w:val="006E4C4F"/>
    <w:rsid w:val="00746682"/>
    <w:rsid w:val="00824DB6"/>
    <w:rsid w:val="008545CA"/>
    <w:rsid w:val="008C2006"/>
    <w:rsid w:val="00A46B27"/>
    <w:rsid w:val="00A60E93"/>
    <w:rsid w:val="00A8743C"/>
    <w:rsid w:val="00A90BF9"/>
    <w:rsid w:val="00AB2776"/>
    <w:rsid w:val="00B85758"/>
    <w:rsid w:val="00BE72D1"/>
    <w:rsid w:val="00C12680"/>
    <w:rsid w:val="00C75477"/>
    <w:rsid w:val="00CA4F0A"/>
    <w:rsid w:val="00CD5F65"/>
    <w:rsid w:val="00D07CE4"/>
    <w:rsid w:val="00D27F89"/>
    <w:rsid w:val="00EF5CB7"/>
    <w:rsid w:val="00F520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9CF5"/>
  <w15:chartTrackingRefBased/>
  <w15:docId w15:val="{53E5A7C5-BC0A-4C49-AC33-92D3036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6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F5C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5CB7"/>
    <w:rPr>
      <w:rFonts w:ascii="Segoe UI" w:hAnsi="Segoe UI" w:cs="Segoe UI"/>
      <w:sz w:val="18"/>
      <w:szCs w:val="18"/>
    </w:rPr>
  </w:style>
  <w:style w:type="character" w:styleId="Marquedecommentaire">
    <w:name w:val="annotation reference"/>
    <w:basedOn w:val="Policepardfaut"/>
    <w:uiPriority w:val="99"/>
    <w:semiHidden/>
    <w:unhideWhenUsed/>
    <w:rsid w:val="00EF5CB7"/>
    <w:rPr>
      <w:sz w:val="16"/>
      <w:szCs w:val="16"/>
    </w:rPr>
  </w:style>
  <w:style w:type="paragraph" w:styleId="Commentaire">
    <w:name w:val="annotation text"/>
    <w:basedOn w:val="Normal"/>
    <w:link w:val="CommentaireCar"/>
    <w:uiPriority w:val="99"/>
    <w:semiHidden/>
    <w:unhideWhenUsed/>
    <w:rsid w:val="00EF5CB7"/>
    <w:pPr>
      <w:spacing w:line="240" w:lineRule="auto"/>
    </w:pPr>
    <w:rPr>
      <w:sz w:val="20"/>
      <w:szCs w:val="20"/>
    </w:rPr>
  </w:style>
  <w:style w:type="character" w:customStyle="1" w:styleId="CommentaireCar">
    <w:name w:val="Commentaire Car"/>
    <w:basedOn w:val="Policepardfaut"/>
    <w:link w:val="Commentaire"/>
    <w:uiPriority w:val="99"/>
    <w:semiHidden/>
    <w:rsid w:val="00EF5CB7"/>
    <w:rPr>
      <w:sz w:val="20"/>
      <w:szCs w:val="20"/>
    </w:rPr>
  </w:style>
  <w:style w:type="paragraph" w:styleId="Objetducommentaire">
    <w:name w:val="annotation subject"/>
    <w:basedOn w:val="Commentaire"/>
    <w:next w:val="Commentaire"/>
    <w:link w:val="ObjetducommentaireCar"/>
    <w:uiPriority w:val="99"/>
    <w:semiHidden/>
    <w:unhideWhenUsed/>
    <w:rsid w:val="00EF5CB7"/>
    <w:rPr>
      <w:b/>
      <w:bCs/>
    </w:rPr>
  </w:style>
  <w:style w:type="character" w:customStyle="1" w:styleId="ObjetducommentaireCar">
    <w:name w:val="Objet du commentaire Car"/>
    <w:basedOn w:val="CommentaireCar"/>
    <w:link w:val="Objetducommentaire"/>
    <w:uiPriority w:val="99"/>
    <w:semiHidden/>
    <w:rsid w:val="00EF5CB7"/>
    <w:rPr>
      <w:b/>
      <w:bCs/>
      <w:sz w:val="20"/>
      <w:szCs w:val="20"/>
    </w:rPr>
  </w:style>
  <w:style w:type="paragraph" w:styleId="Notedebasdepage">
    <w:name w:val="footnote text"/>
    <w:basedOn w:val="Normal"/>
    <w:link w:val="NotedebasdepageCar"/>
    <w:uiPriority w:val="99"/>
    <w:semiHidden/>
    <w:unhideWhenUsed/>
    <w:rsid w:val="00EF5C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F5CB7"/>
    <w:rPr>
      <w:sz w:val="20"/>
      <w:szCs w:val="20"/>
    </w:rPr>
  </w:style>
  <w:style w:type="character" w:styleId="Appelnotedebasdep">
    <w:name w:val="footnote reference"/>
    <w:basedOn w:val="Policepardfaut"/>
    <w:uiPriority w:val="99"/>
    <w:semiHidden/>
    <w:unhideWhenUsed/>
    <w:rsid w:val="00EF5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97796-D1DF-45DF-9E70-BC3598CC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7696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Février Vincent</dc:creator>
  <cp:keywords/>
  <dc:description/>
  <cp:lastModifiedBy>Février Vincent</cp:lastModifiedBy>
  <cp:revision>2</cp:revision>
  <dcterms:created xsi:type="dcterms:W3CDTF">2019-09-10T11:35:00Z</dcterms:created>
  <dcterms:modified xsi:type="dcterms:W3CDTF">2019-09-10T11:35:00Z</dcterms:modified>
</cp:coreProperties>
</file>