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58CE5" w14:textId="30880CC5" w:rsidR="000E1E99" w:rsidRPr="00B5775A" w:rsidRDefault="00500BB8" w:rsidP="004A21A3">
      <w:pPr>
        <w:jc w:val="both"/>
        <w:rPr>
          <w:rFonts w:ascii="Helvetica" w:hAnsi="Helvetica"/>
          <w:b/>
        </w:rPr>
      </w:pPr>
      <w:r w:rsidRPr="00B5775A">
        <w:rPr>
          <w:rFonts w:ascii="Helvetica" w:hAnsi="Helvetica"/>
          <w:b/>
        </w:rPr>
        <w:t>Evaluation</w:t>
      </w:r>
      <w:r w:rsidR="004921E1">
        <w:rPr>
          <w:rFonts w:ascii="Helvetica" w:hAnsi="Helvetica"/>
          <w:b/>
        </w:rPr>
        <w:t xml:space="preserve"> pilote</w:t>
      </w:r>
      <w:r w:rsidRPr="00B5775A">
        <w:rPr>
          <w:rFonts w:ascii="Helvetica" w:hAnsi="Helvetica"/>
          <w:b/>
        </w:rPr>
        <w:t xml:space="preserve"> de l’efficacité et de la sécurité du traitement méthotrexate topique délivré par MEDDROP pour le</w:t>
      </w:r>
      <w:r w:rsidR="0042278A" w:rsidRPr="00B5775A">
        <w:rPr>
          <w:rFonts w:ascii="Helvetica" w:hAnsi="Helvetica"/>
          <w:b/>
        </w:rPr>
        <w:t xml:space="preserve"> mycosis fongoïde. </w:t>
      </w:r>
      <w:r w:rsidR="0042278A" w:rsidRPr="004921E1">
        <w:rPr>
          <w:rFonts w:ascii="Helvetica" w:eastAsia="Times New Roman" w:hAnsi="Helvetica" w:cs="Times New Roman"/>
          <w:szCs w:val="20"/>
          <w:lang w:val="fr-BE"/>
        </w:rPr>
        <w:t>Eve Lebas, Arjen F. Nikkels.</w:t>
      </w:r>
      <w:r w:rsidR="0042278A" w:rsidRPr="00B5775A">
        <w:rPr>
          <w:rFonts w:ascii="Helvetica" w:eastAsia="Times New Roman" w:hAnsi="Helvetica" w:cs="Times New Roman"/>
          <w:b/>
          <w:szCs w:val="20"/>
          <w:lang w:val="fr-BE"/>
        </w:rPr>
        <w:t xml:space="preserve"> </w:t>
      </w:r>
      <w:r w:rsidR="00B06FBC" w:rsidRPr="00B5775A">
        <w:rPr>
          <w:rFonts w:ascii="Helvetica" w:eastAsia="Times New Roman" w:hAnsi="Helvetica" w:cs="Times New Roman"/>
          <w:szCs w:val="20"/>
          <w:lang w:val="fr-BE"/>
        </w:rPr>
        <w:t>Dé</w:t>
      </w:r>
      <w:r w:rsidR="000E1E99" w:rsidRPr="00B5775A">
        <w:rPr>
          <w:rFonts w:ascii="Helvetica" w:eastAsia="Times New Roman" w:hAnsi="Helvetica" w:cs="Times New Roman"/>
          <w:szCs w:val="20"/>
          <w:lang w:val="fr-BE"/>
        </w:rPr>
        <w:t>part</w:t>
      </w:r>
      <w:r w:rsidR="00B06FBC" w:rsidRPr="00B5775A">
        <w:rPr>
          <w:rFonts w:ascii="Helvetica" w:eastAsia="Times New Roman" w:hAnsi="Helvetica" w:cs="Times New Roman"/>
          <w:szCs w:val="20"/>
          <w:lang w:val="fr-BE"/>
        </w:rPr>
        <w:t>e</w:t>
      </w:r>
      <w:r w:rsidR="000E1E99" w:rsidRPr="00B5775A">
        <w:rPr>
          <w:rFonts w:ascii="Helvetica" w:eastAsia="Times New Roman" w:hAnsi="Helvetica" w:cs="Times New Roman"/>
          <w:szCs w:val="20"/>
          <w:lang w:val="fr-BE"/>
        </w:rPr>
        <w:t>ment de Dermatologie</w:t>
      </w:r>
      <w:r w:rsidR="003B72B6">
        <w:rPr>
          <w:rFonts w:ascii="Helvetica" w:eastAsia="Times New Roman" w:hAnsi="Helvetica" w:cs="Times New Roman"/>
          <w:szCs w:val="20"/>
          <w:lang w:val="fr-BE"/>
        </w:rPr>
        <w:t>, CHU du Sart Tilman, Université</w:t>
      </w:r>
      <w:r w:rsidR="000E1E99" w:rsidRPr="00B5775A">
        <w:rPr>
          <w:rFonts w:ascii="Helvetica" w:eastAsia="Times New Roman" w:hAnsi="Helvetica" w:cs="Times New Roman"/>
          <w:szCs w:val="20"/>
          <w:lang w:val="fr-BE"/>
        </w:rPr>
        <w:t xml:space="preserve"> de Liège, Belgique.</w:t>
      </w:r>
    </w:p>
    <w:p w14:paraId="52337D0D" w14:textId="77777777" w:rsidR="00F71EFC" w:rsidRPr="00B5775A" w:rsidRDefault="00F71EFC" w:rsidP="004A21A3">
      <w:pPr>
        <w:jc w:val="both"/>
        <w:rPr>
          <w:rFonts w:asciiTheme="majorHAnsi" w:hAnsiTheme="majorHAnsi"/>
        </w:rPr>
      </w:pPr>
    </w:p>
    <w:p w14:paraId="07F74C47" w14:textId="77777777" w:rsidR="00586572" w:rsidRDefault="00D3496F" w:rsidP="00586572">
      <w:pPr>
        <w:ind w:firstLine="708"/>
        <w:jc w:val="both"/>
        <w:rPr>
          <w:rFonts w:ascii="Helvetica" w:hAnsi="Helvetica"/>
          <w:b/>
        </w:rPr>
      </w:pPr>
      <w:r w:rsidRPr="00B5775A">
        <w:rPr>
          <w:rFonts w:ascii="Helvetica" w:hAnsi="Helvetica"/>
          <w:b/>
        </w:rPr>
        <w:t xml:space="preserve">Introduction </w:t>
      </w:r>
    </w:p>
    <w:p w14:paraId="4A4EAF8D" w14:textId="0B95A29E" w:rsidR="008554B0" w:rsidRDefault="00D3496F" w:rsidP="00586572">
      <w:pPr>
        <w:ind w:firstLine="708"/>
        <w:jc w:val="both"/>
        <w:rPr>
          <w:rFonts w:ascii="Helvetica" w:hAnsi="Helvetica"/>
        </w:rPr>
      </w:pPr>
      <w:r w:rsidRPr="00B5775A">
        <w:rPr>
          <w:rFonts w:ascii="Helvetica" w:hAnsi="Helvetica" w:cs="Times New Roman"/>
        </w:rPr>
        <w:t xml:space="preserve">Le mycosis fongoïde (MF) est le plus fréquent des lymphomes </w:t>
      </w:r>
      <w:r w:rsidR="005A01DA" w:rsidRPr="00B5775A">
        <w:rPr>
          <w:rFonts w:ascii="Helvetica" w:hAnsi="Helvetica" w:cs="Times New Roman"/>
        </w:rPr>
        <w:t xml:space="preserve">primitifs cutanés. </w:t>
      </w:r>
      <w:r w:rsidR="008554B0" w:rsidRPr="00B5775A">
        <w:rPr>
          <w:rFonts w:ascii="Helvetica" w:hAnsi="Helvetica" w:cs="Times New Roman"/>
        </w:rPr>
        <w:t xml:space="preserve">Dans </w:t>
      </w:r>
      <w:r w:rsidR="00B06FBC" w:rsidRPr="00B5775A">
        <w:rPr>
          <w:rFonts w:ascii="Helvetica" w:hAnsi="Helvetica" w:cs="Times New Roman"/>
        </w:rPr>
        <w:t>les stades précoces</w:t>
      </w:r>
      <w:r w:rsidR="00321AF1" w:rsidRPr="00B5775A">
        <w:rPr>
          <w:rFonts w:ascii="Helvetica" w:hAnsi="Helvetica" w:cs="Times New Roman"/>
        </w:rPr>
        <w:t xml:space="preserve">, </w:t>
      </w:r>
      <w:r w:rsidR="00500BB8" w:rsidRPr="00B5775A">
        <w:rPr>
          <w:rFonts w:ascii="Helvetica" w:hAnsi="Helvetica" w:cs="Times New Roman"/>
        </w:rPr>
        <w:t>le traitement</w:t>
      </w:r>
      <w:r w:rsidR="008554B0" w:rsidRPr="00B5775A">
        <w:rPr>
          <w:rFonts w:ascii="Helvetica" w:hAnsi="Helvetica" w:cs="Times New Roman"/>
        </w:rPr>
        <w:t xml:space="preserve"> repose sur des traitements dirigés directement contre la peau</w:t>
      </w:r>
      <w:r w:rsidR="00321AF1" w:rsidRPr="00B5775A">
        <w:rPr>
          <w:rFonts w:ascii="Helvetica" w:hAnsi="Helvetica" w:cs="Times New Roman"/>
        </w:rPr>
        <w:t xml:space="preserve">. </w:t>
      </w:r>
      <w:r w:rsidR="00500BB8" w:rsidRPr="00B5775A">
        <w:rPr>
          <w:rFonts w:ascii="Helvetica" w:hAnsi="Helvetica" w:cs="Times New Roman"/>
        </w:rPr>
        <w:t>O</w:t>
      </w:r>
      <w:r w:rsidRPr="00B5775A">
        <w:rPr>
          <w:rFonts w:ascii="Helvetica" w:hAnsi="Helvetica" w:cs="Times New Roman"/>
        </w:rPr>
        <w:t>n</w:t>
      </w:r>
      <w:r w:rsidR="00500BB8" w:rsidRPr="00B5775A">
        <w:rPr>
          <w:rFonts w:ascii="Helvetica" w:hAnsi="Helvetica" w:cs="Times New Roman"/>
        </w:rPr>
        <w:t xml:space="preserve"> y</w:t>
      </w:r>
      <w:r w:rsidRPr="00B5775A">
        <w:rPr>
          <w:rFonts w:ascii="Helvetica" w:hAnsi="Helvetica" w:cs="Times New Roman"/>
        </w:rPr>
        <w:t xml:space="preserve"> trouve les </w:t>
      </w:r>
      <w:r w:rsidR="00321AF1" w:rsidRPr="00B5775A">
        <w:rPr>
          <w:rFonts w:ascii="Helvetica" w:hAnsi="Helvetica" w:cs="Times New Roman"/>
        </w:rPr>
        <w:t>dermocortico</w:t>
      </w:r>
      <w:r w:rsidRPr="00B5775A">
        <w:rPr>
          <w:rFonts w:ascii="Helvetica" w:hAnsi="Helvetica" w:cs="Times New Roman"/>
        </w:rPr>
        <w:t>ï</w:t>
      </w:r>
      <w:r w:rsidR="004921E1">
        <w:rPr>
          <w:rFonts w:ascii="Helvetica" w:hAnsi="Helvetica" w:cs="Times New Roman"/>
        </w:rPr>
        <w:t>des,</w:t>
      </w:r>
      <w:r w:rsidRPr="00B5775A">
        <w:rPr>
          <w:rFonts w:ascii="Helvetica" w:hAnsi="Helvetica" w:cs="Times New Roman"/>
        </w:rPr>
        <w:t xml:space="preserve"> les</w:t>
      </w:r>
      <w:r w:rsidR="005A01DA" w:rsidRPr="00B5775A">
        <w:rPr>
          <w:rFonts w:ascii="Helvetica" w:hAnsi="Helvetica" w:cs="Times New Roman"/>
        </w:rPr>
        <w:t xml:space="preserve"> chimiothérapies locales (</w:t>
      </w:r>
      <w:proofErr w:type="spellStart"/>
      <w:r w:rsidR="005A01DA" w:rsidRPr="00B5775A">
        <w:rPr>
          <w:rFonts w:ascii="Helvetica" w:hAnsi="Helvetica" w:cs="Times New Roman"/>
        </w:rPr>
        <w:t>carmustine</w:t>
      </w:r>
      <w:proofErr w:type="spellEnd"/>
      <w:r w:rsidRPr="00B5775A">
        <w:rPr>
          <w:rFonts w:ascii="Helvetica" w:hAnsi="Helvetica" w:cs="Times New Roman"/>
        </w:rPr>
        <w:t xml:space="preserve">, </w:t>
      </w:r>
      <w:proofErr w:type="spellStart"/>
      <w:r w:rsidRPr="00B5775A">
        <w:rPr>
          <w:rFonts w:ascii="Helvetica" w:hAnsi="Helvetica" w:cs="Times New Roman"/>
        </w:rPr>
        <w:t>méchloréthamine</w:t>
      </w:r>
      <w:proofErr w:type="spellEnd"/>
      <w:r w:rsidRPr="00B5775A">
        <w:rPr>
          <w:rFonts w:ascii="Helvetica" w:hAnsi="Helvetica" w:cs="Times New Roman"/>
        </w:rPr>
        <w:t>), les rétinoïdes</w:t>
      </w:r>
      <w:r w:rsidR="00500BB8" w:rsidRPr="00B5775A">
        <w:rPr>
          <w:rFonts w:ascii="Helvetica" w:hAnsi="Helvetica" w:cs="Times New Roman"/>
        </w:rPr>
        <w:t xml:space="preserve"> topique</w:t>
      </w:r>
      <w:r w:rsidR="00B06FBC" w:rsidRPr="00B5775A">
        <w:rPr>
          <w:rFonts w:ascii="Helvetica" w:hAnsi="Helvetica" w:cs="Times New Roman"/>
        </w:rPr>
        <w:t>s</w:t>
      </w:r>
      <w:r w:rsidRPr="00B5775A">
        <w:rPr>
          <w:rFonts w:ascii="Helvetica" w:hAnsi="Helvetica" w:cs="Times New Roman"/>
        </w:rPr>
        <w:t>, les immunothérapies locales (</w:t>
      </w:r>
      <w:proofErr w:type="spellStart"/>
      <w:r w:rsidRPr="00B5775A">
        <w:rPr>
          <w:rFonts w:ascii="Helvetica" w:hAnsi="Helvetica" w:cs="Times New Roman"/>
        </w:rPr>
        <w:t>imiquimod</w:t>
      </w:r>
      <w:proofErr w:type="spellEnd"/>
      <w:r w:rsidRPr="00B5775A">
        <w:rPr>
          <w:rFonts w:ascii="Helvetica" w:hAnsi="Helvetica" w:cs="Times New Roman"/>
        </w:rPr>
        <w:t xml:space="preserve">, </w:t>
      </w:r>
      <w:proofErr w:type="spellStart"/>
      <w:r w:rsidRPr="00B5775A">
        <w:rPr>
          <w:rFonts w:ascii="Helvetica" w:hAnsi="Helvetica" w:cs="Times New Roman"/>
        </w:rPr>
        <w:t>résiquimod</w:t>
      </w:r>
      <w:proofErr w:type="spellEnd"/>
      <w:r w:rsidRPr="00B5775A">
        <w:rPr>
          <w:rFonts w:ascii="Helvetica" w:hAnsi="Helvetica" w:cs="Times New Roman"/>
        </w:rPr>
        <w:t>), les pho</w:t>
      </w:r>
      <w:r w:rsidR="00500BB8" w:rsidRPr="00B5775A">
        <w:rPr>
          <w:rFonts w:ascii="Helvetica" w:hAnsi="Helvetica" w:cs="Times New Roman"/>
        </w:rPr>
        <w:t xml:space="preserve">tothérapies </w:t>
      </w:r>
      <w:r w:rsidR="005A01DA" w:rsidRPr="00B5775A">
        <w:rPr>
          <w:rFonts w:ascii="Helvetica" w:hAnsi="Helvetica" w:cs="Times New Roman"/>
        </w:rPr>
        <w:t>(UVB, PUVA</w:t>
      </w:r>
      <w:r w:rsidR="00500BB8" w:rsidRPr="00B5775A">
        <w:rPr>
          <w:rFonts w:ascii="Helvetica" w:hAnsi="Helvetica" w:cs="Times New Roman"/>
        </w:rPr>
        <w:t>)</w:t>
      </w:r>
      <w:r w:rsidRPr="00B5775A">
        <w:rPr>
          <w:rFonts w:ascii="Helvetica" w:hAnsi="Helvetica" w:cs="Times New Roman"/>
        </w:rPr>
        <w:t xml:space="preserve"> et le TBEBT (</w:t>
      </w:r>
      <w:r w:rsidRPr="00B5775A">
        <w:rPr>
          <w:rFonts w:ascii="Helvetica" w:hAnsi="Helvetica" w:cs="Times New Roman"/>
          <w:i/>
        </w:rPr>
        <w:t>Total Body El</w:t>
      </w:r>
      <w:r w:rsidR="00C91B85" w:rsidRPr="00B5775A">
        <w:rPr>
          <w:rFonts w:ascii="Helvetica" w:hAnsi="Helvetica" w:cs="Times New Roman"/>
          <w:i/>
        </w:rPr>
        <w:t xml:space="preserve">ectron </w:t>
      </w:r>
      <w:proofErr w:type="spellStart"/>
      <w:r w:rsidR="00C91B85" w:rsidRPr="00B5775A">
        <w:rPr>
          <w:rFonts w:ascii="Helvetica" w:hAnsi="Helvetica" w:cs="Times New Roman"/>
          <w:i/>
        </w:rPr>
        <w:t>Beam</w:t>
      </w:r>
      <w:proofErr w:type="spellEnd"/>
      <w:r w:rsidR="00C91B85" w:rsidRPr="00B5775A">
        <w:rPr>
          <w:rFonts w:ascii="Helvetica" w:hAnsi="Helvetica" w:cs="Times New Roman"/>
          <w:i/>
        </w:rPr>
        <w:t xml:space="preserve"> </w:t>
      </w:r>
      <w:proofErr w:type="spellStart"/>
      <w:r w:rsidR="00C91B85" w:rsidRPr="00B5775A">
        <w:rPr>
          <w:rFonts w:ascii="Helvetica" w:hAnsi="Helvetica" w:cs="Times New Roman"/>
          <w:i/>
        </w:rPr>
        <w:t>Therapy</w:t>
      </w:r>
      <w:proofErr w:type="spellEnd"/>
      <w:r w:rsidR="00C91B85" w:rsidRPr="00B5775A">
        <w:rPr>
          <w:rFonts w:ascii="Helvetica" w:hAnsi="Helvetica" w:cs="Times New Roman"/>
        </w:rPr>
        <w:t>)</w:t>
      </w:r>
      <w:r w:rsidR="00150599" w:rsidRPr="00B5775A">
        <w:rPr>
          <w:rFonts w:ascii="Helvetica" w:hAnsi="Helvetica" w:cs="Times New Roman"/>
        </w:rPr>
        <w:t xml:space="preserve">. </w:t>
      </w:r>
      <w:r w:rsidR="00500BB8" w:rsidRPr="00B5775A">
        <w:rPr>
          <w:rFonts w:ascii="Helvetica" w:hAnsi="Helvetica"/>
        </w:rPr>
        <w:t>La t</w:t>
      </w:r>
      <w:r w:rsidR="00A471C4" w:rsidRPr="00B5775A">
        <w:rPr>
          <w:rFonts w:ascii="Helvetica" w:hAnsi="Helvetica"/>
        </w:rPr>
        <w:t xml:space="preserve">hérapie </w:t>
      </w:r>
      <w:proofErr w:type="spellStart"/>
      <w:r w:rsidR="00A471C4" w:rsidRPr="00B5775A">
        <w:rPr>
          <w:rFonts w:ascii="Helvetica" w:hAnsi="Helvetica"/>
        </w:rPr>
        <w:t>photodynamique</w:t>
      </w:r>
      <w:proofErr w:type="spellEnd"/>
      <w:r w:rsidR="00A471C4" w:rsidRPr="00B5775A">
        <w:rPr>
          <w:rFonts w:ascii="Helvetica" w:hAnsi="Helvetica"/>
        </w:rPr>
        <w:t xml:space="preserve">, le laser </w:t>
      </w:r>
      <w:proofErr w:type="spellStart"/>
      <w:r w:rsidR="00A471C4" w:rsidRPr="00B5775A">
        <w:rPr>
          <w:rFonts w:ascii="Helvetica" w:hAnsi="Helvetica"/>
        </w:rPr>
        <w:t>excimer</w:t>
      </w:r>
      <w:proofErr w:type="spellEnd"/>
      <w:r w:rsidR="00A471C4" w:rsidRPr="00B5775A">
        <w:rPr>
          <w:rFonts w:ascii="Helvetica" w:hAnsi="Helvetica"/>
        </w:rPr>
        <w:t xml:space="preserve">, le </w:t>
      </w:r>
      <w:r w:rsidR="004E011C">
        <w:rPr>
          <w:rFonts w:ascii="Helvetica" w:hAnsi="Helvetica"/>
        </w:rPr>
        <w:t>mé</w:t>
      </w:r>
      <w:r w:rsidR="00BA45C1" w:rsidRPr="00B5775A">
        <w:rPr>
          <w:rFonts w:ascii="Helvetica" w:hAnsi="Helvetica"/>
        </w:rPr>
        <w:t>thotrexate/</w:t>
      </w:r>
      <w:proofErr w:type="spellStart"/>
      <w:r w:rsidR="00BA45C1" w:rsidRPr="00B5775A">
        <w:rPr>
          <w:rFonts w:ascii="Helvetica" w:hAnsi="Helvetica"/>
        </w:rPr>
        <w:t>laurocapram</w:t>
      </w:r>
      <w:proofErr w:type="spellEnd"/>
      <w:r w:rsidR="008554B0" w:rsidRPr="00B5775A">
        <w:rPr>
          <w:rFonts w:ascii="Helvetica" w:hAnsi="Helvetica"/>
        </w:rPr>
        <w:t xml:space="preserve"> topique</w:t>
      </w:r>
      <w:r w:rsidR="00500BB8" w:rsidRPr="00B5775A">
        <w:rPr>
          <w:rFonts w:ascii="Helvetica" w:hAnsi="Helvetica"/>
        </w:rPr>
        <w:t xml:space="preserve">, </w:t>
      </w:r>
      <w:r w:rsidR="00A471C4" w:rsidRPr="00B5775A">
        <w:rPr>
          <w:rFonts w:ascii="Helvetica" w:hAnsi="Helvetica"/>
        </w:rPr>
        <w:t xml:space="preserve">les </w:t>
      </w:r>
      <w:r w:rsidR="008554B0" w:rsidRPr="00B5775A">
        <w:rPr>
          <w:rFonts w:ascii="Helvetica" w:hAnsi="Helvetica"/>
        </w:rPr>
        <w:t xml:space="preserve">inhibiteurs de </w:t>
      </w:r>
      <w:proofErr w:type="spellStart"/>
      <w:r w:rsidR="008554B0" w:rsidRPr="00B5775A">
        <w:rPr>
          <w:rFonts w:ascii="Helvetica" w:hAnsi="Helvetica"/>
        </w:rPr>
        <w:t>calcin</w:t>
      </w:r>
      <w:r w:rsidR="00A471C4" w:rsidRPr="00B5775A">
        <w:rPr>
          <w:rFonts w:ascii="Helvetica" w:hAnsi="Helvetica"/>
        </w:rPr>
        <w:t>eurine</w:t>
      </w:r>
      <w:proofErr w:type="spellEnd"/>
      <w:r w:rsidR="00BA45C1" w:rsidRPr="00B5775A">
        <w:rPr>
          <w:rFonts w:ascii="Helvetica" w:hAnsi="Helvetica"/>
        </w:rPr>
        <w:t xml:space="preserve"> et le </w:t>
      </w:r>
      <w:proofErr w:type="spellStart"/>
      <w:r w:rsidR="00BA45C1" w:rsidRPr="00B5775A">
        <w:rPr>
          <w:rFonts w:ascii="Helvetica" w:hAnsi="Helvetica"/>
        </w:rPr>
        <w:t>mé</w:t>
      </w:r>
      <w:r w:rsidR="00DD1DCE" w:rsidRPr="00B5775A">
        <w:rPr>
          <w:rFonts w:ascii="Helvetica" w:hAnsi="Helvetica"/>
        </w:rPr>
        <w:t>butate</w:t>
      </w:r>
      <w:proofErr w:type="spellEnd"/>
      <w:r w:rsidR="00DD1DCE" w:rsidRPr="00B5775A">
        <w:rPr>
          <w:rFonts w:ascii="Helvetica" w:hAnsi="Helvetica"/>
        </w:rPr>
        <w:t xml:space="preserve"> </w:t>
      </w:r>
      <w:r w:rsidR="00C91B85" w:rsidRPr="00B5775A">
        <w:rPr>
          <w:rFonts w:ascii="Helvetica" w:hAnsi="Helvetica"/>
        </w:rPr>
        <w:t>d’</w:t>
      </w:r>
      <w:proofErr w:type="spellStart"/>
      <w:r w:rsidR="00C91B85" w:rsidRPr="00B5775A">
        <w:rPr>
          <w:rFonts w:ascii="Helvetica" w:hAnsi="Helvetica"/>
        </w:rPr>
        <w:t>ingénol</w:t>
      </w:r>
      <w:proofErr w:type="spellEnd"/>
      <w:r w:rsidR="00BA45C1" w:rsidRPr="00B5775A">
        <w:rPr>
          <w:rFonts w:ascii="Helvetica" w:hAnsi="Helvetica"/>
        </w:rPr>
        <w:t xml:space="preserve"> ont</w:t>
      </w:r>
      <w:r w:rsidR="00500BB8" w:rsidRPr="00B5775A">
        <w:rPr>
          <w:rFonts w:ascii="Helvetica" w:hAnsi="Helvetica"/>
        </w:rPr>
        <w:t xml:space="preserve"> été évalués </w:t>
      </w:r>
      <w:r w:rsidR="00B06FBC" w:rsidRPr="00B5775A">
        <w:rPr>
          <w:rFonts w:ascii="Helvetica" w:hAnsi="Helvetica"/>
        </w:rPr>
        <w:t>dans de petites sér</w:t>
      </w:r>
      <w:r w:rsidR="005A01DA" w:rsidRPr="00B5775A">
        <w:rPr>
          <w:rFonts w:ascii="Helvetica" w:hAnsi="Helvetica"/>
        </w:rPr>
        <w:t>ies</w:t>
      </w:r>
      <w:r w:rsidR="00C91B85" w:rsidRPr="00B5775A">
        <w:rPr>
          <w:rFonts w:ascii="Helvetica" w:hAnsi="Helvetica"/>
        </w:rPr>
        <w:t xml:space="preserve">. </w:t>
      </w:r>
      <w:r w:rsidR="00500BB8" w:rsidRPr="00B5775A">
        <w:rPr>
          <w:rFonts w:ascii="Helvetica" w:hAnsi="Helvetica"/>
        </w:rPr>
        <w:t>Les tra</w:t>
      </w:r>
      <w:r w:rsidR="00BA45C1" w:rsidRPr="00B5775A">
        <w:rPr>
          <w:rFonts w:ascii="Helvetica" w:hAnsi="Helvetica"/>
        </w:rPr>
        <w:t>itements systémiques</w:t>
      </w:r>
      <w:r w:rsidR="00D513D7">
        <w:rPr>
          <w:rFonts w:ascii="Helvetica" w:hAnsi="Helvetica"/>
        </w:rPr>
        <w:t xml:space="preserve"> </w:t>
      </w:r>
      <w:r w:rsidR="003B72B6">
        <w:rPr>
          <w:rFonts w:ascii="Helvetica" w:hAnsi="Helvetica"/>
        </w:rPr>
        <w:t xml:space="preserve">(méthotrexate, </w:t>
      </w:r>
      <w:proofErr w:type="spellStart"/>
      <w:r w:rsidR="003B72B6">
        <w:rPr>
          <w:rFonts w:ascii="Helvetica" w:hAnsi="Helvetica"/>
        </w:rPr>
        <w:t>acitrétine</w:t>
      </w:r>
      <w:proofErr w:type="spellEnd"/>
      <w:r w:rsidR="003B72B6">
        <w:rPr>
          <w:rFonts w:ascii="Helvetica" w:hAnsi="Helvetica"/>
        </w:rPr>
        <w:t xml:space="preserve">, interféron, </w:t>
      </w:r>
      <w:proofErr w:type="spellStart"/>
      <w:r w:rsidR="003B72B6">
        <w:rPr>
          <w:rFonts w:ascii="Helvetica" w:hAnsi="Helvetica"/>
        </w:rPr>
        <w:t>b</w:t>
      </w:r>
      <w:r w:rsidR="00D513D7" w:rsidRPr="00B5775A">
        <w:rPr>
          <w:rFonts w:ascii="Helvetica" w:hAnsi="Helvetica"/>
        </w:rPr>
        <w:t>exarotène</w:t>
      </w:r>
      <w:proofErr w:type="spellEnd"/>
      <w:r w:rsidR="00D513D7" w:rsidRPr="00B5775A">
        <w:rPr>
          <w:rFonts w:ascii="Helvetica" w:hAnsi="Helvetica"/>
        </w:rPr>
        <w:t>)</w:t>
      </w:r>
      <w:r w:rsidR="00B06FBC" w:rsidRPr="00B5775A">
        <w:rPr>
          <w:rFonts w:ascii="Helvetica" w:hAnsi="Helvetica"/>
        </w:rPr>
        <w:t xml:space="preserve"> ne sont pas dénués d’effets indésirabl</w:t>
      </w:r>
      <w:r w:rsidR="00500BB8" w:rsidRPr="00B5775A">
        <w:rPr>
          <w:rFonts w:ascii="Helvetica" w:hAnsi="Helvetica"/>
        </w:rPr>
        <w:t>es créant un réel beso</w:t>
      </w:r>
      <w:r w:rsidR="00BA45C1" w:rsidRPr="00B5775A">
        <w:rPr>
          <w:rFonts w:ascii="Helvetica" w:hAnsi="Helvetica"/>
        </w:rPr>
        <w:t>in d’autres traitements locaux</w:t>
      </w:r>
      <w:r w:rsidR="004921E1">
        <w:rPr>
          <w:rFonts w:ascii="Helvetica" w:hAnsi="Helvetica"/>
        </w:rPr>
        <w:t xml:space="preserve">. </w:t>
      </w:r>
      <w:r w:rsidR="00500BB8" w:rsidRPr="00B5775A">
        <w:rPr>
          <w:rFonts w:ascii="Helvetica" w:hAnsi="Helvetica"/>
        </w:rPr>
        <w:t>Afin d’augmenter la perméabilité épidermique, il existe une nouvelle technique q</w:t>
      </w:r>
      <w:r w:rsidR="00B06FBC" w:rsidRPr="00B5775A">
        <w:rPr>
          <w:rFonts w:ascii="Helvetica" w:hAnsi="Helvetica"/>
        </w:rPr>
        <w:t>ui se base sur un flux pulsé</w:t>
      </w:r>
      <w:r w:rsidR="00500BB8" w:rsidRPr="00B5775A">
        <w:rPr>
          <w:rFonts w:ascii="Helvetica" w:hAnsi="Helvetica"/>
        </w:rPr>
        <w:t xml:space="preserve"> d’oxygène</w:t>
      </w:r>
      <w:r w:rsidR="00B06FBC" w:rsidRPr="00B5775A">
        <w:rPr>
          <w:rFonts w:ascii="Helvetica" w:hAnsi="Helvetica"/>
        </w:rPr>
        <w:t xml:space="preserve"> pur</w:t>
      </w:r>
      <w:r w:rsidR="00D513D7">
        <w:rPr>
          <w:rFonts w:ascii="Helvetica" w:hAnsi="Helvetica"/>
        </w:rPr>
        <w:t xml:space="preserve"> (MEDDROP). N</w:t>
      </w:r>
      <w:r w:rsidR="00500BB8" w:rsidRPr="00B5775A">
        <w:rPr>
          <w:rFonts w:ascii="Helvetica" w:hAnsi="Helvetica"/>
        </w:rPr>
        <w:t>ous avons exploré l’efficacité et la sécurité du système MEDDROP</w:t>
      </w:r>
      <w:r w:rsidR="00B06FBC" w:rsidRPr="00B5775A">
        <w:rPr>
          <w:rFonts w:ascii="Helvetica" w:hAnsi="Helvetica"/>
        </w:rPr>
        <w:t>-</w:t>
      </w:r>
      <w:r w:rsidR="005A01DA" w:rsidRPr="00B5775A">
        <w:rPr>
          <w:rFonts w:ascii="Helvetica" w:hAnsi="Helvetica"/>
        </w:rPr>
        <w:t>MTX dans une étude</w:t>
      </w:r>
      <w:r w:rsidR="00500BB8" w:rsidRPr="00B5775A">
        <w:rPr>
          <w:rFonts w:ascii="Helvetica" w:hAnsi="Helvetica"/>
        </w:rPr>
        <w:t xml:space="preserve"> pilote incluant 14 patients. </w:t>
      </w:r>
    </w:p>
    <w:p w14:paraId="1ECA6AE9" w14:textId="77777777" w:rsidR="00586572" w:rsidRPr="00B5775A" w:rsidRDefault="00586572" w:rsidP="00586572">
      <w:pPr>
        <w:ind w:firstLine="708"/>
        <w:jc w:val="both"/>
        <w:rPr>
          <w:rFonts w:ascii="Helvetica" w:hAnsi="Helvetica"/>
          <w:b/>
        </w:rPr>
      </w:pPr>
    </w:p>
    <w:p w14:paraId="76BB2FD1" w14:textId="77777777" w:rsidR="00586572" w:rsidRDefault="008554B0" w:rsidP="00586572">
      <w:pPr>
        <w:ind w:firstLine="708"/>
        <w:jc w:val="both"/>
        <w:rPr>
          <w:rFonts w:ascii="Helvetica" w:hAnsi="Helvetica" w:cs="Times New Roman"/>
          <w:b/>
        </w:rPr>
      </w:pPr>
      <w:r w:rsidRPr="00B5775A">
        <w:rPr>
          <w:rFonts w:ascii="Helvetica" w:hAnsi="Helvetica" w:cs="Times New Roman"/>
          <w:b/>
        </w:rPr>
        <w:t>Matériel et méthodes</w:t>
      </w:r>
      <w:r w:rsidR="00150599" w:rsidRPr="00B5775A">
        <w:rPr>
          <w:rFonts w:ascii="Helvetica" w:hAnsi="Helvetica" w:cs="Times New Roman"/>
          <w:b/>
        </w:rPr>
        <w:t xml:space="preserve"> </w:t>
      </w:r>
    </w:p>
    <w:p w14:paraId="0313BCEF" w14:textId="22C1D6F8" w:rsidR="008554B0" w:rsidRDefault="005119B8" w:rsidP="00586572">
      <w:pPr>
        <w:ind w:firstLine="708"/>
        <w:jc w:val="both"/>
        <w:rPr>
          <w:rFonts w:ascii="Helvetica" w:hAnsi="Helvetica" w:cs="Times New Roman"/>
        </w:rPr>
      </w:pPr>
      <w:r w:rsidRPr="00B5775A">
        <w:rPr>
          <w:rFonts w:ascii="Helvetica" w:hAnsi="Helvetica" w:cs="Times New Roman"/>
        </w:rPr>
        <w:t>Pour chaqu</w:t>
      </w:r>
      <w:r w:rsidR="00B06FBC" w:rsidRPr="00B5775A">
        <w:rPr>
          <w:rFonts w:ascii="Helvetica" w:hAnsi="Helvetica" w:cs="Times New Roman"/>
        </w:rPr>
        <w:t>e patient une lésion cible a été</w:t>
      </w:r>
      <w:r w:rsidRPr="00B5775A">
        <w:rPr>
          <w:rFonts w:ascii="Helvetica" w:hAnsi="Helvetica" w:cs="Times New Roman"/>
        </w:rPr>
        <w:t xml:space="preserve"> sélectionnée. Des photographies standardisées</w:t>
      </w:r>
      <w:r w:rsidR="00B5775A" w:rsidRPr="00B5775A">
        <w:rPr>
          <w:rFonts w:ascii="Helvetica" w:hAnsi="Helvetica" w:cs="Times New Roman"/>
        </w:rPr>
        <w:t xml:space="preserve"> et des biopsies cutanées</w:t>
      </w:r>
      <w:r w:rsidRPr="00B5775A">
        <w:rPr>
          <w:rFonts w:ascii="Helvetica" w:hAnsi="Helvetica" w:cs="Times New Roman"/>
        </w:rPr>
        <w:t xml:space="preserve"> ont été réalisées avant et après traitement</w:t>
      </w:r>
      <w:r w:rsidR="00232C4E" w:rsidRPr="00B5775A">
        <w:rPr>
          <w:rFonts w:ascii="Helvetica" w:hAnsi="Helvetica" w:cs="Times New Roman"/>
        </w:rPr>
        <w:t>.</w:t>
      </w:r>
      <w:r w:rsidR="009A5233" w:rsidRPr="00B5775A">
        <w:rPr>
          <w:rFonts w:ascii="Helvetica" w:hAnsi="Helvetica" w:cs="Times New Roman"/>
        </w:rPr>
        <w:t xml:space="preserve"> </w:t>
      </w:r>
      <w:r w:rsidRPr="00B5775A">
        <w:rPr>
          <w:rFonts w:ascii="Helvetica" w:hAnsi="Helvetica" w:cs="Times New Roman"/>
        </w:rPr>
        <w:t xml:space="preserve">Le </w:t>
      </w:r>
      <w:r w:rsidR="00B5775A" w:rsidRPr="00B5775A">
        <w:rPr>
          <w:rFonts w:ascii="Helvetica" w:hAnsi="Helvetica" w:cs="Times New Roman"/>
        </w:rPr>
        <w:t>traitement a été appliqué</w:t>
      </w:r>
      <w:r w:rsidRPr="00B5775A">
        <w:rPr>
          <w:rFonts w:ascii="Helvetica" w:hAnsi="Helvetica" w:cs="Times New Roman"/>
        </w:rPr>
        <w:t xml:space="preserve"> </w:t>
      </w:r>
      <w:r w:rsidR="005A01DA" w:rsidRPr="00B5775A">
        <w:rPr>
          <w:rFonts w:ascii="Helvetica" w:hAnsi="Helvetica" w:cs="Times New Roman"/>
        </w:rPr>
        <w:t>une fois</w:t>
      </w:r>
      <w:r w:rsidR="009A5233" w:rsidRPr="00B5775A">
        <w:rPr>
          <w:rFonts w:ascii="Helvetica" w:hAnsi="Helvetica" w:cs="Times New Roman"/>
        </w:rPr>
        <w:t xml:space="preserve"> par semaine</w:t>
      </w:r>
      <w:r w:rsidR="00B06FBC" w:rsidRPr="00B5775A">
        <w:rPr>
          <w:rFonts w:ascii="Helvetica" w:hAnsi="Helvetica" w:cs="Times New Roman"/>
        </w:rPr>
        <w:t xml:space="preserve"> durant</w:t>
      </w:r>
      <w:r w:rsidR="000E57F9">
        <w:rPr>
          <w:rFonts w:ascii="Helvetica" w:hAnsi="Helvetica" w:cs="Times New Roman"/>
        </w:rPr>
        <w:t xml:space="preserve"> 4 semaines</w:t>
      </w:r>
      <w:r w:rsidR="005A01DA" w:rsidRPr="00B5775A">
        <w:rPr>
          <w:rFonts w:ascii="Helvetica" w:hAnsi="Helvetica" w:cs="Times New Roman"/>
        </w:rPr>
        <w:t xml:space="preserve"> puis une fois</w:t>
      </w:r>
      <w:r w:rsidR="009A5233" w:rsidRPr="00B5775A">
        <w:rPr>
          <w:rFonts w:ascii="Helvetica" w:hAnsi="Helvetica" w:cs="Times New Roman"/>
        </w:rPr>
        <w:t xml:space="preserve"> par mois durant 2 </w:t>
      </w:r>
      <w:r w:rsidR="005A01DA" w:rsidRPr="00B5775A">
        <w:rPr>
          <w:rFonts w:ascii="Helvetica" w:hAnsi="Helvetica" w:cs="Times New Roman"/>
        </w:rPr>
        <w:t>mois</w:t>
      </w:r>
      <w:r w:rsidR="009A5233" w:rsidRPr="00B5775A">
        <w:rPr>
          <w:rFonts w:ascii="Helvetica" w:hAnsi="Helvetica" w:cs="Times New Roman"/>
        </w:rPr>
        <w:t>.</w:t>
      </w:r>
      <w:r w:rsidR="007A3C4D" w:rsidRPr="00B5775A">
        <w:rPr>
          <w:rFonts w:ascii="Helvetica" w:hAnsi="Helvetica" w:cs="Times New Roman"/>
        </w:rPr>
        <w:t xml:space="preserve"> </w:t>
      </w:r>
      <w:r w:rsidRPr="00B5775A">
        <w:rPr>
          <w:rFonts w:ascii="Helvetica" w:hAnsi="Helvetica" w:cs="Times New Roman"/>
        </w:rPr>
        <w:t>Pour certains patients</w:t>
      </w:r>
      <w:r w:rsidR="00B06FBC" w:rsidRPr="00B5775A">
        <w:rPr>
          <w:rFonts w:ascii="Helvetica" w:hAnsi="Helvetica" w:cs="Times New Roman"/>
        </w:rPr>
        <w:t>,</w:t>
      </w:r>
      <w:r w:rsidRPr="00B5775A">
        <w:rPr>
          <w:rFonts w:ascii="Helvetica" w:hAnsi="Helvetica" w:cs="Times New Roman"/>
        </w:rPr>
        <w:t xml:space="preserve"> d</w:t>
      </w:r>
      <w:r w:rsidR="007A3C4D" w:rsidRPr="00B5775A">
        <w:rPr>
          <w:rFonts w:ascii="Helvetica" w:hAnsi="Helvetica" w:cs="Times New Roman"/>
        </w:rPr>
        <w:t>es biologies ont été réalisées après la 1</w:t>
      </w:r>
      <w:r w:rsidR="007A3C4D" w:rsidRPr="00B5775A">
        <w:rPr>
          <w:rFonts w:ascii="Helvetica" w:hAnsi="Helvetica" w:cs="Times New Roman"/>
          <w:vertAlign w:val="superscript"/>
        </w:rPr>
        <w:t>ère</w:t>
      </w:r>
      <w:r w:rsidR="007A3C4D" w:rsidRPr="00B5775A">
        <w:rPr>
          <w:rFonts w:ascii="Helvetica" w:hAnsi="Helvetica" w:cs="Times New Roman"/>
        </w:rPr>
        <w:t xml:space="preserve"> et la 4</w:t>
      </w:r>
      <w:r w:rsidR="007A3C4D" w:rsidRPr="00B5775A">
        <w:rPr>
          <w:rFonts w:ascii="Helvetica" w:hAnsi="Helvetica" w:cs="Times New Roman"/>
          <w:vertAlign w:val="superscript"/>
        </w:rPr>
        <w:t>ème</w:t>
      </w:r>
      <w:r w:rsidR="007A3C4D" w:rsidRPr="00B5775A">
        <w:rPr>
          <w:rFonts w:ascii="Helvetica" w:hAnsi="Helvetica" w:cs="Times New Roman"/>
        </w:rPr>
        <w:t xml:space="preserve"> application</w:t>
      </w:r>
      <w:r w:rsidRPr="00B5775A">
        <w:rPr>
          <w:rFonts w:ascii="Helvetica" w:hAnsi="Helvetica" w:cs="Times New Roman"/>
        </w:rPr>
        <w:t xml:space="preserve">. </w:t>
      </w:r>
      <w:r w:rsidR="000E57F9">
        <w:rPr>
          <w:rFonts w:ascii="Helvetica" w:hAnsi="Helvetica" w:cs="Times New Roman"/>
        </w:rPr>
        <w:t>Deux</w:t>
      </w:r>
      <w:r w:rsidRPr="00B5775A">
        <w:rPr>
          <w:rFonts w:ascii="Helvetica" w:hAnsi="Helvetica" w:cs="Times New Roman"/>
        </w:rPr>
        <w:t xml:space="preserve"> patients ont été sélectionnés pour une étude PK. </w:t>
      </w:r>
      <w:r w:rsidR="000C3AD5" w:rsidRPr="00B5775A">
        <w:rPr>
          <w:rFonts w:ascii="Helvetica" w:hAnsi="Helvetica" w:cs="Times New Roman"/>
        </w:rPr>
        <w:t xml:space="preserve">Les scores </w:t>
      </w:r>
      <w:r w:rsidR="00586572">
        <w:rPr>
          <w:rFonts w:ascii="Helvetica" w:hAnsi="Helvetica" w:cs="Times New Roman"/>
        </w:rPr>
        <w:t xml:space="preserve">cliniques </w:t>
      </w:r>
      <w:r w:rsidR="000C3AD5" w:rsidRPr="00B5775A">
        <w:rPr>
          <w:rFonts w:ascii="Helvetica" w:hAnsi="Helvetica" w:cs="Times New Roman"/>
        </w:rPr>
        <w:t>CAILS</w:t>
      </w:r>
      <w:r w:rsidR="00586572">
        <w:rPr>
          <w:rFonts w:ascii="Helvetica" w:hAnsi="Helvetica" w:cs="Times New Roman"/>
        </w:rPr>
        <w:t xml:space="preserve"> </w:t>
      </w:r>
      <w:r w:rsidR="00B06FBC" w:rsidRPr="00B5775A">
        <w:rPr>
          <w:rFonts w:ascii="Helvetica" w:hAnsi="Helvetica" w:cs="Times New Roman"/>
        </w:rPr>
        <w:t>et la tolérance ont été</w:t>
      </w:r>
      <w:r w:rsidRPr="00B5775A">
        <w:rPr>
          <w:rFonts w:ascii="Helvetica" w:hAnsi="Helvetica" w:cs="Times New Roman"/>
        </w:rPr>
        <w:t xml:space="preserve"> évalués après chaque </w:t>
      </w:r>
      <w:r w:rsidR="00236B58">
        <w:rPr>
          <w:rFonts w:ascii="Helvetica" w:hAnsi="Helvetica" w:cs="Times New Roman"/>
        </w:rPr>
        <w:t>traitement. Les taux de rechute</w:t>
      </w:r>
      <w:bookmarkStart w:id="0" w:name="_GoBack"/>
      <w:bookmarkEnd w:id="0"/>
      <w:r w:rsidRPr="00B5775A">
        <w:rPr>
          <w:rFonts w:ascii="Helvetica" w:hAnsi="Helvetica" w:cs="Times New Roman"/>
        </w:rPr>
        <w:t xml:space="preserve"> ont été mesurés. </w:t>
      </w:r>
    </w:p>
    <w:p w14:paraId="56743626" w14:textId="77777777" w:rsidR="00586572" w:rsidRPr="00B5775A" w:rsidRDefault="00586572" w:rsidP="00586572">
      <w:pPr>
        <w:ind w:firstLine="708"/>
        <w:jc w:val="both"/>
        <w:rPr>
          <w:rFonts w:ascii="Helvetica" w:hAnsi="Helvetica" w:cs="Times New Roman"/>
          <w:b/>
        </w:rPr>
      </w:pPr>
    </w:p>
    <w:p w14:paraId="7027623B" w14:textId="77777777" w:rsidR="00586572" w:rsidRDefault="008554B0" w:rsidP="00586572">
      <w:pPr>
        <w:ind w:firstLine="708"/>
        <w:jc w:val="both"/>
        <w:rPr>
          <w:rFonts w:ascii="Helvetica" w:hAnsi="Helvetica" w:cs="Times New Roman"/>
          <w:b/>
        </w:rPr>
      </w:pPr>
      <w:r w:rsidRPr="00B5775A">
        <w:rPr>
          <w:rFonts w:ascii="Helvetica" w:hAnsi="Helvetica" w:cs="Times New Roman"/>
          <w:b/>
        </w:rPr>
        <w:t>Résultats</w:t>
      </w:r>
      <w:r w:rsidR="00150599" w:rsidRPr="00B5775A">
        <w:rPr>
          <w:rFonts w:ascii="Helvetica" w:hAnsi="Helvetica" w:cs="Times New Roman"/>
          <w:b/>
        </w:rPr>
        <w:t xml:space="preserve"> </w:t>
      </w:r>
    </w:p>
    <w:p w14:paraId="2575D23E" w14:textId="472C8E3F" w:rsidR="003D46BE" w:rsidRDefault="005119B8" w:rsidP="00586572">
      <w:pPr>
        <w:ind w:firstLine="708"/>
        <w:jc w:val="both"/>
        <w:rPr>
          <w:rFonts w:ascii="Helvetica" w:hAnsi="Helvetica" w:cs="Times New Roman"/>
        </w:rPr>
      </w:pPr>
      <w:r w:rsidRPr="00B5775A">
        <w:rPr>
          <w:rFonts w:ascii="Helvetica" w:hAnsi="Helvetica" w:cs="Times New Roman"/>
        </w:rPr>
        <w:t xml:space="preserve">Au démarrage, </w:t>
      </w:r>
      <w:r w:rsidR="00B06FBC" w:rsidRPr="00B5775A">
        <w:rPr>
          <w:rFonts w:ascii="Helvetica" w:hAnsi="Helvetica" w:cs="Times New Roman"/>
        </w:rPr>
        <w:t xml:space="preserve">le </w:t>
      </w:r>
      <w:r w:rsidR="004921E1">
        <w:rPr>
          <w:rFonts w:ascii="Helvetica" w:hAnsi="Helvetica" w:cs="Times New Roman"/>
        </w:rPr>
        <w:t xml:space="preserve">diagnostic histologique, </w:t>
      </w:r>
      <w:proofErr w:type="spellStart"/>
      <w:r w:rsidR="004921E1">
        <w:rPr>
          <w:rFonts w:ascii="Helvetica" w:hAnsi="Helvetica" w:cs="Times New Roman"/>
        </w:rPr>
        <w:t>immuno</w:t>
      </w:r>
      <w:r w:rsidR="00B06FBC" w:rsidRPr="00B5775A">
        <w:rPr>
          <w:rFonts w:ascii="Helvetica" w:hAnsi="Helvetica" w:cs="Times New Roman"/>
        </w:rPr>
        <w:t>histochimique</w:t>
      </w:r>
      <w:proofErr w:type="spellEnd"/>
      <w:r w:rsidR="00B06FBC" w:rsidRPr="00B5775A">
        <w:rPr>
          <w:rFonts w:ascii="Helvetica" w:hAnsi="Helvetica" w:cs="Times New Roman"/>
        </w:rPr>
        <w:t xml:space="preserve"> et par </w:t>
      </w:r>
      <w:proofErr w:type="spellStart"/>
      <w:r w:rsidR="00B06FBC" w:rsidRPr="00B5775A">
        <w:rPr>
          <w:rFonts w:ascii="Helvetica" w:hAnsi="Helvetica" w:cs="Times New Roman"/>
        </w:rPr>
        <w:t>monoclonalité</w:t>
      </w:r>
      <w:proofErr w:type="spellEnd"/>
      <w:r w:rsidR="00B06FBC" w:rsidRPr="00B5775A">
        <w:rPr>
          <w:rFonts w:ascii="Helvetica" w:hAnsi="Helvetica" w:cs="Times New Roman"/>
        </w:rPr>
        <w:t xml:space="preserve"> TCR a été confirmé chez </w:t>
      </w:r>
      <w:r w:rsidRPr="00B5775A">
        <w:rPr>
          <w:rFonts w:ascii="Helvetica" w:hAnsi="Helvetica" w:cs="Times New Roman"/>
        </w:rPr>
        <w:t xml:space="preserve">tous les </w:t>
      </w:r>
      <w:r w:rsidR="00B06FBC" w:rsidRPr="00B5775A">
        <w:rPr>
          <w:rFonts w:ascii="Helvetica" w:hAnsi="Helvetica" w:cs="Times New Roman"/>
        </w:rPr>
        <w:t>patients.</w:t>
      </w:r>
      <w:r w:rsidR="003D46BE" w:rsidRPr="00B5775A">
        <w:rPr>
          <w:rFonts w:ascii="Helvetica" w:hAnsi="Helvetica" w:cs="Times New Roman"/>
        </w:rPr>
        <w:t xml:space="preserve"> Nous avons retrouvé une réponse clinique (complète ou partielle) chez 13 patients sur 14 avec régression des lésions, amélioration significative du prurit et apparition d’une hyperpigmentation post-inflammatoire</w:t>
      </w:r>
      <w:r w:rsidR="00523214">
        <w:rPr>
          <w:rFonts w:ascii="Helvetica" w:hAnsi="Helvetica" w:cs="Times New Roman"/>
        </w:rPr>
        <w:t xml:space="preserve">, ainsi qu’en histologie </w:t>
      </w:r>
      <w:r w:rsidR="003D46BE" w:rsidRPr="00B5775A">
        <w:rPr>
          <w:rFonts w:ascii="Helvetica" w:hAnsi="Helvetica" w:cs="Times New Roman"/>
        </w:rPr>
        <w:t xml:space="preserve">une régression de </w:t>
      </w:r>
      <w:r w:rsidR="004921E1">
        <w:rPr>
          <w:rFonts w:ascii="Helvetica" w:hAnsi="Helvetica" w:cs="Times New Roman"/>
        </w:rPr>
        <w:t xml:space="preserve">l’infiltrat </w:t>
      </w:r>
      <w:r w:rsidR="005A01DA" w:rsidRPr="00B5775A">
        <w:rPr>
          <w:rFonts w:ascii="Helvetica" w:hAnsi="Helvetica" w:cs="Times New Roman"/>
        </w:rPr>
        <w:t>inflammatoire et</w:t>
      </w:r>
      <w:r w:rsidR="003D46BE" w:rsidRPr="00B5775A">
        <w:rPr>
          <w:rFonts w:ascii="Helvetica" w:hAnsi="Helvetica" w:cs="Times New Roman"/>
        </w:rPr>
        <w:t xml:space="preserve"> du nombre de lymphocytes atypiques. La tolérance a été bonne.</w:t>
      </w:r>
      <w:r w:rsidR="00150599" w:rsidRPr="00B5775A">
        <w:rPr>
          <w:rFonts w:ascii="Helvetica" w:hAnsi="Helvetica" w:cs="Times New Roman"/>
        </w:rPr>
        <w:t xml:space="preserve"> </w:t>
      </w:r>
      <w:r w:rsidR="008D70F4" w:rsidRPr="00B5775A">
        <w:rPr>
          <w:rFonts w:ascii="Helvetica" w:hAnsi="Helvetica" w:cs="Times New Roman"/>
        </w:rPr>
        <w:t>Les taux sangui</w:t>
      </w:r>
      <w:r w:rsidR="003B72B6">
        <w:rPr>
          <w:rFonts w:ascii="Helvetica" w:hAnsi="Helvetica" w:cs="Times New Roman"/>
        </w:rPr>
        <w:t>ns de méthotrexate</w:t>
      </w:r>
      <w:r w:rsidR="00523214">
        <w:rPr>
          <w:rFonts w:ascii="Helvetica" w:hAnsi="Helvetica" w:cs="Times New Roman"/>
        </w:rPr>
        <w:t xml:space="preserve"> étaient indétectables. </w:t>
      </w:r>
      <w:r w:rsidR="00523214" w:rsidRPr="00B5775A">
        <w:rPr>
          <w:rFonts w:ascii="Helvetica" w:hAnsi="Helvetica" w:cs="Times New Roman"/>
        </w:rPr>
        <w:t>Un autre traitement a du être instauré chez 6 patients après rechute.</w:t>
      </w:r>
    </w:p>
    <w:p w14:paraId="434E30E9" w14:textId="77777777" w:rsidR="00586572" w:rsidRPr="00B5775A" w:rsidRDefault="00586572" w:rsidP="00586572">
      <w:pPr>
        <w:ind w:firstLine="708"/>
        <w:jc w:val="both"/>
        <w:rPr>
          <w:rFonts w:ascii="Helvetica" w:hAnsi="Helvetica" w:cs="Times New Roman"/>
          <w:b/>
        </w:rPr>
      </w:pPr>
    </w:p>
    <w:p w14:paraId="6C87171A" w14:textId="77777777" w:rsidR="00586572" w:rsidRDefault="008554B0" w:rsidP="00586572">
      <w:pPr>
        <w:ind w:firstLine="708"/>
        <w:jc w:val="both"/>
        <w:rPr>
          <w:rFonts w:ascii="Helvetica" w:hAnsi="Helvetica" w:cs="Times New Roman"/>
          <w:b/>
        </w:rPr>
      </w:pPr>
      <w:r w:rsidRPr="00B5775A">
        <w:rPr>
          <w:rFonts w:ascii="Helvetica" w:hAnsi="Helvetica" w:cs="Times New Roman"/>
          <w:b/>
        </w:rPr>
        <w:t>Conclusion</w:t>
      </w:r>
      <w:r w:rsidR="00150599" w:rsidRPr="00B5775A">
        <w:rPr>
          <w:rFonts w:ascii="Helvetica" w:hAnsi="Helvetica" w:cs="Times New Roman"/>
          <w:b/>
        </w:rPr>
        <w:t xml:space="preserve"> </w:t>
      </w:r>
    </w:p>
    <w:p w14:paraId="6A9DB274" w14:textId="491F59B2" w:rsidR="00416AE2" w:rsidRDefault="00150599" w:rsidP="00586572">
      <w:pPr>
        <w:ind w:firstLine="708"/>
        <w:jc w:val="both"/>
        <w:rPr>
          <w:rFonts w:ascii="Helvetica" w:hAnsi="Helvetica" w:cs="Times New Roman"/>
        </w:rPr>
      </w:pPr>
      <w:r w:rsidRPr="00B5775A">
        <w:rPr>
          <w:rFonts w:ascii="Helvetica" w:hAnsi="Helvetica" w:cs="Times New Roman"/>
        </w:rPr>
        <w:t>Cette étude</w:t>
      </w:r>
      <w:r w:rsidR="004921E1">
        <w:rPr>
          <w:rFonts w:ascii="Helvetica" w:hAnsi="Helvetica" w:cs="Times New Roman"/>
        </w:rPr>
        <w:t xml:space="preserve"> pilote</w:t>
      </w:r>
      <w:r w:rsidRPr="00B5775A">
        <w:rPr>
          <w:rFonts w:ascii="Helvetica" w:hAnsi="Helvetica" w:cs="Times New Roman"/>
        </w:rPr>
        <w:t xml:space="preserve"> </w:t>
      </w:r>
      <w:r w:rsidR="008D70F4" w:rsidRPr="00B5775A">
        <w:rPr>
          <w:rFonts w:ascii="Helvetica" w:hAnsi="Helvetica" w:cs="Times New Roman"/>
        </w:rPr>
        <w:t xml:space="preserve">démontre </w:t>
      </w:r>
      <w:r w:rsidRPr="00B5775A">
        <w:rPr>
          <w:rFonts w:ascii="Helvetica" w:hAnsi="Helvetica" w:cs="Times New Roman"/>
        </w:rPr>
        <w:t xml:space="preserve">l’efficacité et la sécurité du MEDDROP-MTX sur une petite cohorte de </w:t>
      </w:r>
      <w:r w:rsidR="00C358BF" w:rsidRPr="00B5775A">
        <w:rPr>
          <w:rFonts w:ascii="Helvetica" w:hAnsi="Helvetica" w:cs="Times New Roman"/>
        </w:rPr>
        <w:t>patients-</w:t>
      </w:r>
      <w:r w:rsidR="008D70F4" w:rsidRPr="00B5775A">
        <w:rPr>
          <w:rFonts w:ascii="Helvetica" w:hAnsi="Helvetica" w:cs="Times New Roman"/>
        </w:rPr>
        <w:t>MF</w:t>
      </w:r>
      <w:r w:rsidRPr="00B5775A">
        <w:rPr>
          <w:rFonts w:ascii="Helvetica" w:hAnsi="Helvetica" w:cs="Times New Roman"/>
        </w:rPr>
        <w:t>. Cette méthode permet d’utiliser les propriétés pharmacologiques du méthotre</w:t>
      </w:r>
      <w:r w:rsidR="008D70F4" w:rsidRPr="00B5775A">
        <w:rPr>
          <w:rFonts w:ascii="Helvetica" w:hAnsi="Helvetica" w:cs="Times New Roman"/>
        </w:rPr>
        <w:t xml:space="preserve">xate </w:t>
      </w:r>
      <w:r w:rsidR="004921E1">
        <w:rPr>
          <w:rFonts w:ascii="Helvetica" w:hAnsi="Helvetica" w:cs="Times New Roman"/>
        </w:rPr>
        <w:t xml:space="preserve">tout </w:t>
      </w:r>
      <w:r w:rsidR="008D70F4" w:rsidRPr="00B5775A">
        <w:rPr>
          <w:rFonts w:ascii="Helvetica" w:hAnsi="Helvetica" w:cs="Times New Roman"/>
        </w:rPr>
        <w:t>en évitant le</w:t>
      </w:r>
      <w:r w:rsidRPr="00B5775A">
        <w:rPr>
          <w:rFonts w:ascii="Helvetica" w:hAnsi="Helvetica" w:cs="Times New Roman"/>
        </w:rPr>
        <w:t>s effets indésirables.</w:t>
      </w:r>
      <w:r w:rsidR="008D70F4" w:rsidRPr="00B5775A">
        <w:rPr>
          <w:rFonts w:ascii="Helvetica" w:hAnsi="Helvetica" w:cs="Times New Roman"/>
        </w:rPr>
        <w:t xml:space="preserve"> </w:t>
      </w:r>
      <w:r w:rsidR="004921E1">
        <w:rPr>
          <w:rFonts w:ascii="Helvetica" w:hAnsi="Helvetica" w:cs="Times New Roman"/>
        </w:rPr>
        <w:t xml:space="preserve"> </w:t>
      </w:r>
    </w:p>
    <w:p w14:paraId="3ED3EE5F" w14:textId="77777777" w:rsidR="00416AE2" w:rsidRPr="00B5775A" w:rsidRDefault="00416AE2" w:rsidP="00586572">
      <w:pPr>
        <w:ind w:firstLine="708"/>
        <w:jc w:val="both"/>
        <w:rPr>
          <w:rFonts w:ascii="Helvetica" w:hAnsi="Helvetica" w:cs="Times New Roman"/>
        </w:rPr>
      </w:pPr>
    </w:p>
    <w:p w14:paraId="08484C33" w14:textId="77777777" w:rsidR="00586572" w:rsidRDefault="008D70F4" w:rsidP="00586572">
      <w:pPr>
        <w:ind w:firstLine="708"/>
        <w:jc w:val="both"/>
        <w:rPr>
          <w:rFonts w:ascii="Helvetica" w:hAnsi="Helvetica" w:cs="Times New Roman"/>
          <w:b/>
        </w:rPr>
      </w:pPr>
      <w:r w:rsidRPr="00B5775A">
        <w:rPr>
          <w:rFonts w:ascii="Helvetica" w:hAnsi="Helvetica" w:cs="Times New Roman"/>
          <w:b/>
        </w:rPr>
        <w:t>Références</w:t>
      </w:r>
      <w:r w:rsidR="004A21A3">
        <w:rPr>
          <w:rFonts w:ascii="Helvetica" w:hAnsi="Helvetica" w:cs="Times New Roman"/>
          <w:b/>
        </w:rPr>
        <w:t xml:space="preserve"> </w:t>
      </w:r>
    </w:p>
    <w:p w14:paraId="08FC5796" w14:textId="4F08105A" w:rsidR="00586572" w:rsidRDefault="004921E1" w:rsidP="00586572">
      <w:pPr>
        <w:ind w:firstLine="708"/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Jawed S</w:t>
      </w:r>
      <w:r w:rsidR="002D4BD4" w:rsidRPr="00B5775A">
        <w:rPr>
          <w:rFonts w:ascii="Helvetica" w:hAnsi="Helvetica"/>
          <w:lang w:val="en-US"/>
        </w:rPr>
        <w:t xml:space="preserve"> </w:t>
      </w:r>
      <w:r w:rsidR="0042278A" w:rsidRPr="00B5775A">
        <w:rPr>
          <w:rFonts w:ascii="Helvetica" w:hAnsi="Helvetica"/>
          <w:lang w:val="en-US"/>
        </w:rPr>
        <w:t>et al</w:t>
      </w:r>
      <w:r w:rsidR="004A21A3">
        <w:rPr>
          <w:rFonts w:ascii="Helvetica" w:hAnsi="Helvetica"/>
          <w:lang w:val="en-US"/>
        </w:rPr>
        <w:t>,</w:t>
      </w:r>
      <w:r w:rsidR="002D4BD4" w:rsidRPr="00B5775A">
        <w:rPr>
          <w:rFonts w:ascii="Helvetica" w:hAnsi="Helvetica"/>
          <w:lang w:val="en-US"/>
        </w:rPr>
        <w:t xml:space="preserve"> Primary cutaneous T-cell lymphoma (mycosis </w:t>
      </w:r>
      <w:proofErr w:type="spellStart"/>
      <w:r w:rsidR="002D4BD4" w:rsidRPr="00B5775A">
        <w:rPr>
          <w:rFonts w:ascii="Helvetica" w:hAnsi="Helvetica"/>
          <w:lang w:val="en-US"/>
        </w:rPr>
        <w:t>fungoides</w:t>
      </w:r>
      <w:proofErr w:type="spellEnd"/>
      <w:r w:rsidR="002D4BD4" w:rsidRPr="00B5775A">
        <w:rPr>
          <w:rFonts w:ascii="Helvetica" w:hAnsi="Helvetica"/>
          <w:lang w:val="en-US"/>
        </w:rPr>
        <w:t xml:space="preserve"> and </w:t>
      </w:r>
      <w:proofErr w:type="spellStart"/>
      <w:r w:rsidR="002D4BD4" w:rsidRPr="00B5775A">
        <w:rPr>
          <w:rFonts w:ascii="Helvetica" w:hAnsi="Helvetica"/>
          <w:lang w:val="en-US"/>
        </w:rPr>
        <w:t>Sézary</w:t>
      </w:r>
      <w:proofErr w:type="spellEnd"/>
      <w:r w:rsidR="002D4BD4" w:rsidRPr="00B5775A">
        <w:rPr>
          <w:rFonts w:ascii="Helvetica" w:hAnsi="Helvetica"/>
          <w:lang w:val="en-US"/>
        </w:rPr>
        <w:t xml:space="preserve"> syndrome): Part II. </w:t>
      </w:r>
      <w:proofErr w:type="gramStart"/>
      <w:r w:rsidR="002D4BD4" w:rsidRPr="00B5775A">
        <w:rPr>
          <w:rFonts w:ascii="Helvetica" w:hAnsi="Helvetica"/>
          <w:lang w:val="en-US"/>
        </w:rPr>
        <w:t>Prognosis, ma</w:t>
      </w:r>
      <w:r>
        <w:rPr>
          <w:rFonts w:ascii="Helvetica" w:hAnsi="Helvetica"/>
          <w:lang w:val="en-US"/>
        </w:rPr>
        <w:t>nagement, and future directions.</w:t>
      </w:r>
      <w:proofErr w:type="gramEnd"/>
      <w:r w:rsidR="00AE6496">
        <w:rPr>
          <w:rFonts w:ascii="Helvetica" w:hAnsi="Helvetica"/>
          <w:lang w:val="en-US"/>
        </w:rPr>
        <w:t xml:space="preserve"> JAAD </w:t>
      </w:r>
      <w:r w:rsidR="004A21A3">
        <w:rPr>
          <w:rFonts w:ascii="Helvetica" w:hAnsi="Helvetica"/>
          <w:lang w:val="en-US"/>
        </w:rPr>
        <w:t>2014</w:t>
      </w:r>
      <w:proofErr w:type="gramStart"/>
      <w:r w:rsidR="004A21A3">
        <w:rPr>
          <w:rFonts w:ascii="Helvetica" w:hAnsi="Helvetica"/>
          <w:lang w:val="en-US"/>
        </w:rPr>
        <w:t>;70:223.e1</w:t>
      </w:r>
      <w:proofErr w:type="gramEnd"/>
      <w:r w:rsidR="004A21A3">
        <w:rPr>
          <w:rFonts w:ascii="Helvetica" w:hAnsi="Helvetica"/>
          <w:lang w:val="en-US"/>
        </w:rPr>
        <w:t xml:space="preserve">-17. </w:t>
      </w:r>
    </w:p>
    <w:p w14:paraId="3D39EB02" w14:textId="77777777" w:rsidR="00416AE2" w:rsidRDefault="004A21A3" w:rsidP="00586572">
      <w:pPr>
        <w:ind w:firstLine="708"/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lastRenderedPageBreak/>
        <w:t>Fernandez-</w:t>
      </w:r>
      <w:proofErr w:type="spellStart"/>
      <w:r>
        <w:rPr>
          <w:rFonts w:ascii="Helvetica" w:hAnsi="Helvetica"/>
          <w:lang w:val="en-US"/>
        </w:rPr>
        <w:t>Guarino</w:t>
      </w:r>
      <w:proofErr w:type="spellEnd"/>
      <w:r>
        <w:rPr>
          <w:rFonts w:ascii="Helvetica" w:hAnsi="Helvetica"/>
          <w:lang w:val="en-US"/>
        </w:rPr>
        <w:t xml:space="preserve"> M,</w:t>
      </w:r>
      <w:r w:rsidR="002D4BD4" w:rsidRPr="00B5775A">
        <w:rPr>
          <w:rFonts w:ascii="Helvetica" w:hAnsi="Helvetica"/>
          <w:lang w:val="en-US"/>
        </w:rPr>
        <w:t xml:space="preserve"> Emerging treatment opti</w:t>
      </w:r>
      <w:r>
        <w:rPr>
          <w:rFonts w:ascii="Helvetica" w:hAnsi="Helvetica"/>
          <w:lang w:val="en-US"/>
        </w:rPr>
        <w:t xml:space="preserve">ons for early mycosis </w:t>
      </w:r>
      <w:proofErr w:type="spellStart"/>
      <w:r>
        <w:rPr>
          <w:rFonts w:ascii="Helvetica" w:hAnsi="Helvetica"/>
          <w:lang w:val="en-US"/>
        </w:rPr>
        <w:t>fungoides</w:t>
      </w:r>
      <w:proofErr w:type="spellEnd"/>
      <w:r>
        <w:rPr>
          <w:rFonts w:ascii="Helvetica" w:hAnsi="Helvetica"/>
          <w:lang w:val="en-US"/>
        </w:rPr>
        <w:t>,</w:t>
      </w:r>
      <w:r w:rsidR="002D4BD4" w:rsidRPr="00B5775A">
        <w:rPr>
          <w:rFonts w:ascii="Helvetica" w:hAnsi="Helvetica"/>
          <w:lang w:val="en-US"/>
        </w:rPr>
        <w:t xml:space="preserve"> </w:t>
      </w:r>
      <w:r w:rsidR="00AE6496">
        <w:rPr>
          <w:rFonts w:ascii="Helvetica" w:hAnsi="Helvetica"/>
          <w:lang w:val="en-US"/>
        </w:rPr>
        <w:t>CCID</w:t>
      </w:r>
      <w:r>
        <w:rPr>
          <w:rFonts w:ascii="Helvetica" w:hAnsi="Helvetica"/>
          <w:lang w:val="en-US"/>
        </w:rPr>
        <w:t xml:space="preserve"> 2013</w:t>
      </w:r>
      <w:proofErr w:type="gramStart"/>
      <w:r>
        <w:rPr>
          <w:rFonts w:ascii="Helvetica" w:hAnsi="Helvetica"/>
          <w:lang w:val="en-US"/>
        </w:rPr>
        <w:t>;6:61</w:t>
      </w:r>
      <w:proofErr w:type="gramEnd"/>
      <w:r>
        <w:rPr>
          <w:rFonts w:ascii="Helvetica" w:hAnsi="Helvetica"/>
          <w:lang w:val="en-US"/>
        </w:rPr>
        <w:t xml:space="preserve">-9. </w:t>
      </w:r>
    </w:p>
    <w:p w14:paraId="11769DE3" w14:textId="7DFEACE4" w:rsidR="00416AE2" w:rsidRDefault="004A21A3" w:rsidP="00416AE2">
      <w:pPr>
        <w:ind w:firstLine="708"/>
        <w:jc w:val="both"/>
        <w:rPr>
          <w:rFonts w:ascii="Helvetica" w:hAnsi="Helvetica"/>
          <w:lang w:val="en-US"/>
        </w:rPr>
      </w:pPr>
      <w:proofErr w:type="spellStart"/>
      <w:r>
        <w:rPr>
          <w:rFonts w:ascii="Helvetica" w:hAnsi="Helvetica"/>
          <w:lang w:val="en-US"/>
        </w:rPr>
        <w:t>Weberschock</w:t>
      </w:r>
      <w:proofErr w:type="spellEnd"/>
      <w:r>
        <w:rPr>
          <w:rFonts w:ascii="Helvetica" w:hAnsi="Helvetica"/>
          <w:lang w:val="en-US"/>
        </w:rPr>
        <w:t xml:space="preserve"> T</w:t>
      </w:r>
      <w:r w:rsidR="002D4BD4" w:rsidRPr="00B5775A">
        <w:rPr>
          <w:rFonts w:ascii="Helvetica" w:hAnsi="Helvetica"/>
          <w:lang w:val="en-US"/>
        </w:rPr>
        <w:t xml:space="preserve"> </w:t>
      </w:r>
      <w:r w:rsidR="0042278A" w:rsidRPr="00B5775A">
        <w:rPr>
          <w:rFonts w:ascii="Helvetica" w:hAnsi="Helvetica"/>
          <w:lang w:val="en-US"/>
        </w:rPr>
        <w:t>et al</w:t>
      </w:r>
      <w:r>
        <w:rPr>
          <w:rFonts w:ascii="Helvetica" w:hAnsi="Helvetica"/>
          <w:lang w:val="en-US"/>
        </w:rPr>
        <w:t>,</w:t>
      </w:r>
      <w:r w:rsidR="002D4BD4" w:rsidRPr="00B5775A">
        <w:rPr>
          <w:rFonts w:ascii="Helvetica" w:hAnsi="Helvetica"/>
          <w:lang w:val="en-US"/>
        </w:rPr>
        <w:t xml:space="preserve"> Interventions for mycosis </w:t>
      </w:r>
      <w:proofErr w:type="spellStart"/>
      <w:r w:rsidR="002D4BD4" w:rsidRPr="00B5775A">
        <w:rPr>
          <w:rFonts w:ascii="Helvetica" w:hAnsi="Helvetica"/>
          <w:lang w:val="en-US"/>
        </w:rPr>
        <w:t>fungoid</w:t>
      </w:r>
      <w:r w:rsidR="004921E1">
        <w:rPr>
          <w:rFonts w:ascii="Helvetica" w:hAnsi="Helvetica"/>
          <w:lang w:val="en-US"/>
        </w:rPr>
        <w:t>es</w:t>
      </w:r>
      <w:proofErr w:type="spellEnd"/>
      <w:r w:rsidR="004921E1">
        <w:rPr>
          <w:rFonts w:ascii="Helvetica" w:hAnsi="Helvetica"/>
          <w:lang w:val="en-US"/>
        </w:rPr>
        <w:t>.</w:t>
      </w:r>
      <w:r w:rsidR="002D4BD4" w:rsidRPr="00B5775A">
        <w:rPr>
          <w:rFonts w:ascii="Helvetica" w:hAnsi="Helvetica"/>
          <w:lang w:val="en-US"/>
        </w:rPr>
        <w:t xml:space="preserve"> </w:t>
      </w:r>
      <w:r w:rsidR="00AE6496">
        <w:rPr>
          <w:rFonts w:ascii="Helvetica" w:hAnsi="Helvetica"/>
          <w:lang w:val="en-US"/>
        </w:rPr>
        <w:t>CDSR</w:t>
      </w:r>
      <w:r w:rsidR="004921E1">
        <w:rPr>
          <w:rFonts w:ascii="Helvetica" w:hAnsi="Helvetica"/>
          <w:lang w:val="en-US"/>
        </w:rPr>
        <w:t xml:space="preserve"> 2012</w:t>
      </w:r>
      <w:r w:rsidR="002D4BD4" w:rsidRPr="00B5775A">
        <w:rPr>
          <w:rFonts w:ascii="Helvetica" w:hAnsi="Helvetica"/>
          <w:lang w:val="en-US"/>
        </w:rPr>
        <w:t xml:space="preserve">:CD008946.  </w:t>
      </w:r>
    </w:p>
    <w:p w14:paraId="78B474E6" w14:textId="0D8D3DF9" w:rsidR="00416AE2" w:rsidRDefault="004A21A3" w:rsidP="00416AE2">
      <w:pPr>
        <w:ind w:firstLine="708"/>
        <w:jc w:val="both"/>
        <w:rPr>
          <w:rFonts w:ascii="Helvetica" w:hAnsi="Helvetica" w:cs="Times New Roman"/>
          <w:b/>
        </w:rPr>
      </w:pPr>
      <w:proofErr w:type="spellStart"/>
      <w:r>
        <w:rPr>
          <w:rFonts w:ascii="Helvetica" w:hAnsi="Helvetica"/>
          <w:lang w:val="en-US"/>
        </w:rPr>
        <w:t>Demierre</w:t>
      </w:r>
      <w:proofErr w:type="spellEnd"/>
      <w:r>
        <w:rPr>
          <w:rFonts w:ascii="Helvetica" w:hAnsi="Helvetica"/>
          <w:lang w:val="en-US"/>
        </w:rPr>
        <w:t xml:space="preserve"> MF</w:t>
      </w:r>
      <w:r w:rsidR="002D4BD4" w:rsidRPr="00B5775A">
        <w:rPr>
          <w:rFonts w:ascii="Helvetica" w:hAnsi="Helvetica"/>
          <w:lang w:val="en-US"/>
        </w:rPr>
        <w:t xml:space="preserve"> </w:t>
      </w:r>
      <w:r w:rsidR="0042278A" w:rsidRPr="00B5775A">
        <w:rPr>
          <w:rFonts w:ascii="Helvetica" w:hAnsi="Helvetica"/>
          <w:lang w:val="en-US"/>
        </w:rPr>
        <w:t>et al</w:t>
      </w:r>
      <w:r>
        <w:rPr>
          <w:rFonts w:ascii="Helvetica" w:hAnsi="Helvetica"/>
          <w:lang w:val="en-US"/>
        </w:rPr>
        <w:t>,</w:t>
      </w:r>
      <w:r w:rsidR="002D4BD4" w:rsidRPr="00B5775A">
        <w:rPr>
          <w:rFonts w:ascii="Helvetica" w:hAnsi="Helvetica"/>
          <w:lang w:val="en-US"/>
        </w:rPr>
        <w:t xml:space="preserve"> Phase 1/2 pilot study of methotrexate-</w:t>
      </w:r>
      <w:proofErr w:type="spellStart"/>
      <w:r w:rsidR="002D4BD4" w:rsidRPr="00B5775A">
        <w:rPr>
          <w:rFonts w:ascii="Helvetica" w:hAnsi="Helvetica"/>
          <w:lang w:val="en-US"/>
        </w:rPr>
        <w:t>laurocapram</w:t>
      </w:r>
      <w:proofErr w:type="spellEnd"/>
      <w:r w:rsidR="002D4BD4" w:rsidRPr="00B5775A">
        <w:rPr>
          <w:rFonts w:ascii="Helvetica" w:hAnsi="Helvetica"/>
          <w:lang w:val="en-US"/>
        </w:rPr>
        <w:t xml:space="preserve"> topical gel for the treatment of patients wit</w:t>
      </w:r>
      <w:r w:rsidR="004921E1">
        <w:rPr>
          <w:rFonts w:ascii="Helvetica" w:hAnsi="Helvetica"/>
          <w:lang w:val="en-US"/>
        </w:rPr>
        <w:t xml:space="preserve">h early-stage mycosis </w:t>
      </w:r>
      <w:proofErr w:type="spellStart"/>
      <w:r w:rsidR="004921E1">
        <w:rPr>
          <w:rFonts w:ascii="Helvetica" w:hAnsi="Helvetica"/>
          <w:lang w:val="en-US"/>
        </w:rPr>
        <w:t>fungoides</w:t>
      </w:r>
      <w:proofErr w:type="spellEnd"/>
      <w:r w:rsidR="004921E1">
        <w:rPr>
          <w:rFonts w:ascii="Helvetica" w:hAnsi="Helvetica"/>
          <w:lang w:val="en-US"/>
        </w:rPr>
        <w:t>.</w:t>
      </w:r>
      <w:r w:rsidR="002D4BD4" w:rsidRPr="00B5775A">
        <w:rPr>
          <w:rFonts w:ascii="Helvetica" w:hAnsi="Helvetica"/>
          <w:lang w:val="en-US"/>
        </w:rPr>
        <w:t xml:space="preserve"> </w:t>
      </w:r>
      <w:r w:rsidR="00AE6496">
        <w:rPr>
          <w:rFonts w:ascii="Helvetica" w:hAnsi="Helvetica"/>
          <w:lang w:val="en-US"/>
        </w:rPr>
        <w:t>AD</w:t>
      </w:r>
      <w:r w:rsidR="002D4BD4" w:rsidRPr="00B5775A">
        <w:rPr>
          <w:rFonts w:ascii="Helvetica" w:hAnsi="Helvetica"/>
          <w:lang w:val="en-US"/>
        </w:rPr>
        <w:t xml:space="preserve"> 2003</w:t>
      </w:r>
      <w:proofErr w:type="gramStart"/>
      <w:r w:rsidR="002D4BD4" w:rsidRPr="00B5775A">
        <w:rPr>
          <w:rFonts w:ascii="Helvetica" w:hAnsi="Helvetica"/>
          <w:lang w:val="en-US"/>
        </w:rPr>
        <w:t>;139:624</w:t>
      </w:r>
      <w:proofErr w:type="gramEnd"/>
      <w:r w:rsidR="002D4BD4" w:rsidRPr="00B5775A">
        <w:rPr>
          <w:rFonts w:ascii="Helvetica" w:hAnsi="Helvetica"/>
          <w:lang w:val="en-US"/>
        </w:rPr>
        <w:t>-8.</w:t>
      </w:r>
      <w:r>
        <w:rPr>
          <w:rFonts w:ascii="Helvetica" w:hAnsi="Helvetica" w:cs="Times New Roman"/>
          <w:b/>
        </w:rPr>
        <w:t xml:space="preserve"> </w:t>
      </w:r>
    </w:p>
    <w:p w14:paraId="31D198B1" w14:textId="77777777" w:rsidR="004921E1" w:rsidRDefault="004A21A3" w:rsidP="00416AE2">
      <w:pPr>
        <w:ind w:firstLine="708"/>
        <w:jc w:val="both"/>
        <w:rPr>
          <w:rFonts w:ascii="Helvetica" w:hAnsi="Helvetica"/>
          <w:lang w:val="en-US"/>
        </w:rPr>
      </w:pPr>
      <w:proofErr w:type="spellStart"/>
      <w:r>
        <w:rPr>
          <w:rFonts w:ascii="Helvetica" w:hAnsi="Helvetica"/>
          <w:lang w:val="en-US"/>
        </w:rPr>
        <w:t>Sidler</w:t>
      </w:r>
      <w:proofErr w:type="spellEnd"/>
      <w:r>
        <w:rPr>
          <w:rFonts w:ascii="Helvetica" w:hAnsi="Helvetica"/>
          <w:lang w:val="en-US"/>
        </w:rPr>
        <w:t xml:space="preserve"> M et al,</w:t>
      </w:r>
      <w:r w:rsidR="002D4BD4" w:rsidRPr="00B5775A">
        <w:rPr>
          <w:rFonts w:ascii="Helvetica" w:hAnsi="Helvetica"/>
          <w:lang w:val="en-US"/>
        </w:rPr>
        <w:t xml:space="preserve"> Transcutaneous treatment with </w:t>
      </w:r>
      <w:proofErr w:type="spellStart"/>
      <w:r w:rsidR="002D4BD4" w:rsidRPr="00B5775A">
        <w:rPr>
          <w:rFonts w:ascii="Helvetica" w:hAnsi="Helvetica"/>
          <w:lang w:val="en-US"/>
        </w:rPr>
        <w:t>vetdrop</w:t>
      </w:r>
      <w:proofErr w:type="spellEnd"/>
      <w:r w:rsidR="002D4BD4" w:rsidRPr="00B5775A">
        <w:rPr>
          <w:rFonts w:ascii="Helvetica" w:hAnsi="Helvetica"/>
          <w:lang w:val="en-US"/>
        </w:rPr>
        <w:t xml:space="preserve"> sustains the adjacent cartilage in a </w:t>
      </w:r>
      <w:proofErr w:type="spellStart"/>
      <w:r w:rsidR="002D4BD4" w:rsidRPr="00B5775A">
        <w:rPr>
          <w:rFonts w:ascii="Helvetica" w:hAnsi="Helvetica"/>
          <w:lang w:val="en-US"/>
        </w:rPr>
        <w:t>microfracturi</w:t>
      </w:r>
      <w:r w:rsidR="004921E1">
        <w:rPr>
          <w:rFonts w:ascii="Helvetica" w:hAnsi="Helvetica"/>
          <w:lang w:val="en-US"/>
        </w:rPr>
        <w:t>ng</w:t>
      </w:r>
      <w:proofErr w:type="spellEnd"/>
      <w:r w:rsidR="004921E1">
        <w:rPr>
          <w:rFonts w:ascii="Helvetica" w:hAnsi="Helvetica"/>
          <w:lang w:val="en-US"/>
        </w:rPr>
        <w:t xml:space="preserve"> joint defect model in sheep.</w:t>
      </w:r>
      <w:r>
        <w:rPr>
          <w:rFonts w:ascii="Helvetica" w:hAnsi="Helvetica"/>
          <w:lang w:val="en-US"/>
        </w:rPr>
        <w:t xml:space="preserve"> </w:t>
      </w:r>
      <w:r w:rsidR="00AE6496">
        <w:rPr>
          <w:rFonts w:ascii="Helvetica" w:hAnsi="Helvetica"/>
          <w:lang w:val="en-US"/>
        </w:rPr>
        <w:t>TOOJ</w:t>
      </w:r>
      <w:r w:rsidR="004921E1">
        <w:rPr>
          <w:rFonts w:ascii="Helvetica" w:hAnsi="Helvetica"/>
          <w:lang w:val="en-US"/>
        </w:rPr>
        <w:t xml:space="preserve"> </w:t>
      </w:r>
      <w:r w:rsidR="002D4BD4" w:rsidRPr="00B5775A">
        <w:rPr>
          <w:rFonts w:ascii="Helvetica" w:hAnsi="Helvetica"/>
          <w:lang w:val="en-US"/>
        </w:rPr>
        <w:t>2013</w:t>
      </w:r>
      <w:proofErr w:type="gramStart"/>
      <w:r w:rsidR="002D4BD4" w:rsidRPr="00B5775A">
        <w:rPr>
          <w:rFonts w:ascii="Helvetica" w:hAnsi="Helvetica"/>
          <w:lang w:val="en-US"/>
        </w:rPr>
        <w:t>;7:57</w:t>
      </w:r>
      <w:proofErr w:type="gramEnd"/>
      <w:r w:rsidR="002D4BD4" w:rsidRPr="00B5775A">
        <w:rPr>
          <w:rFonts w:ascii="Helvetica" w:hAnsi="Helvetica"/>
          <w:lang w:val="en-US"/>
        </w:rPr>
        <w:t>-66.</w:t>
      </w:r>
    </w:p>
    <w:p w14:paraId="48321948" w14:textId="23091F71" w:rsidR="004921E1" w:rsidRPr="00416AE2" w:rsidRDefault="004921E1" w:rsidP="00416AE2">
      <w:pPr>
        <w:ind w:firstLine="708"/>
        <w:jc w:val="both"/>
        <w:rPr>
          <w:rFonts w:ascii="Helvetica" w:hAnsi="Helvetica"/>
          <w:lang w:val="en-US"/>
        </w:rPr>
      </w:pPr>
      <w:r w:rsidRPr="0064087A">
        <w:rPr>
          <w:rFonts w:ascii="Helvetica" w:hAnsi="Helvetica"/>
        </w:rPr>
        <w:t>Lebas</w:t>
      </w:r>
      <w:r>
        <w:rPr>
          <w:rFonts w:ascii="Helvetica" w:hAnsi="Helvetica"/>
        </w:rPr>
        <w:t xml:space="preserve"> E et al</w:t>
      </w:r>
      <w:r w:rsidRPr="0064087A">
        <w:rPr>
          <w:rFonts w:ascii="Helvetica" w:hAnsi="Helvetica"/>
        </w:rPr>
        <w:t xml:space="preserve">, </w:t>
      </w:r>
      <w:r>
        <w:rPr>
          <w:rFonts w:ascii="Helvetica" w:hAnsi="Helvetica" w:cs="Times"/>
          <w:bCs/>
        </w:rPr>
        <w:t xml:space="preserve">Prospective pilot </w:t>
      </w:r>
      <w:proofErr w:type="spellStart"/>
      <w:r>
        <w:rPr>
          <w:rFonts w:ascii="Helvetica" w:hAnsi="Helvetica" w:cs="Times"/>
          <w:bCs/>
        </w:rPr>
        <w:t>evaluation</w:t>
      </w:r>
      <w:proofErr w:type="spellEnd"/>
      <w:r>
        <w:rPr>
          <w:rFonts w:ascii="Helvetica" w:hAnsi="Helvetica" w:cs="Times"/>
          <w:bCs/>
        </w:rPr>
        <w:t xml:space="preserve"> of the </w:t>
      </w:r>
      <w:proofErr w:type="spellStart"/>
      <w:r>
        <w:rPr>
          <w:rFonts w:ascii="Helvetica" w:hAnsi="Helvetica" w:cs="Times"/>
          <w:bCs/>
        </w:rPr>
        <w:t>efficacy</w:t>
      </w:r>
      <w:proofErr w:type="spellEnd"/>
      <w:r>
        <w:rPr>
          <w:rFonts w:ascii="Helvetica" w:hAnsi="Helvetica" w:cs="Times"/>
          <w:bCs/>
        </w:rPr>
        <w:t xml:space="preserve"> and </w:t>
      </w:r>
      <w:proofErr w:type="spellStart"/>
      <w:r>
        <w:rPr>
          <w:rFonts w:ascii="Helvetica" w:hAnsi="Helvetica" w:cs="Times"/>
          <w:bCs/>
        </w:rPr>
        <w:t>safety</w:t>
      </w:r>
      <w:proofErr w:type="spellEnd"/>
      <w:r>
        <w:rPr>
          <w:rFonts w:ascii="Helvetica" w:hAnsi="Helvetica" w:cs="Times"/>
          <w:bCs/>
        </w:rPr>
        <w:t xml:space="preserve"> of </w:t>
      </w:r>
      <w:proofErr w:type="spellStart"/>
      <w:r>
        <w:rPr>
          <w:rFonts w:ascii="Helvetica" w:hAnsi="Helvetica" w:cs="Times"/>
          <w:bCs/>
        </w:rPr>
        <w:t>topical</w:t>
      </w:r>
      <w:proofErr w:type="spellEnd"/>
      <w:r>
        <w:rPr>
          <w:rFonts w:ascii="Helvetica" w:hAnsi="Helvetica" w:cs="Times"/>
          <w:bCs/>
        </w:rPr>
        <w:t xml:space="preserve"> </w:t>
      </w:r>
      <w:proofErr w:type="spellStart"/>
      <w:r>
        <w:rPr>
          <w:rFonts w:ascii="Helvetica" w:hAnsi="Helvetica" w:cs="Times"/>
          <w:bCs/>
        </w:rPr>
        <w:t>ingenol</w:t>
      </w:r>
      <w:proofErr w:type="spellEnd"/>
      <w:r>
        <w:rPr>
          <w:rFonts w:ascii="Helvetica" w:hAnsi="Helvetica" w:cs="Times"/>
          <w:bCs/>
        </w:rPr>
        <w:t xml:space="preserve"> </w:t>
      </w:r>
      <w:proofErr w:type="spellStart"/>
      <w:r>
        <w:rPr>
          <w:rFonts w:ascii="Helvetica" w:hAnsi="Helvetica" w:cs="Times"/>
          <w:bCs/>
        </w:rPr>
        <w:t>mebutate</w:t>
      </w:r>
      <w:proofErr w:type="spellEnd"/>
      <w:r>
        <w:rPr>
          <w:rFonts w:ascii="Helvetica" w:hAnsi="Helvetica" w:cs="Times"/>
          <w:bCs/>
        </w:rPr>
        <w:t xml:space="preserve"> gel for </w:t>
      </w:r>
      <w:proofErr w:type="spellStart"/>
      <w:r>
        <w:rPr>
          <w:rFonts w:ascii="Helvetica" w:hAnsi="Helvetica" w:cs="Times"/>
          <w:bCs/>
        </w:rPr>
        <w:t>localized</w:t>
      </w:r>
      <w:proofErr w:type="spellEnd"/>
      <w:r>
        <w:rPr>
          <w:rFonts w:ascii="Helvetica" w:hAnsi="Helvetica" w:cs="Times"/>
          <w:bCs/>
        </w:rPr>
        <w:t xml:space="preserve"> patch/plaque stage mycosis </w:t>
      </w:r>
      <w:proofErr w:type="spellStart"/>
      <w:r>
        <w:rPr>
          <w:rFonts w:ascii="Helvetica" w:hAnsi="Helvetica" w:cs="Times"/>
          <w:bCs/>
        </w:rPr>
        <w:t>f</w:t>
      </w:r>
      <w:r w:rsidRPr="0064087A">
        <w:rPr>
          <w:rFonts w:ascii="Helvetica" w:hAnsi="Helvetica" w:cs="Times"/>
          <w:bCs/>
        </w:rPr>
        <w:t>ungoides</w:t>
      </w:r>
      <w:proofErr w:type="spellEnd"/>
      <w:r w:rsidRPr="0064087A">
        <w:rPr>
          <w:rFonts w:ascii="Helvetica" w:hAnsi="Helvetica" w:cs="Times"/>
          <w:bCs/>
        </w:rPr>
        <w:t xml:space="preserve">. The Open </w:t>
      </w:r>
      <w:proofErr w:type="spellStart"/>
      <w:r w:rsidRPr="0064087A">
        <w:rPr>
          <w:rFonts w:ascii="Helvetica" w:hAnsi="Helvetica" w:cs="Times"/>
          <w:bCs/>
        </w:rPr>
        <w:t>Dermatology</w:t>
      </w:r>
      <w:proofErr w:type="spellEnd"/>
      <w:r w:rsidRPr="0064087A">
        <w:rPr>
          <w:rFonts w:ascii="Helvetica" w:hAnsi="Helvetica" w:cs="Times"/>
          <w:bCs/>
        </w:rPr>
        <w:t xml:space="preserve"> Journal 2017:</w:t>
      </w:r>
      <w:r w:rsidRPr="0064087A">
        <w:rPr>
          <w:rFonts w:ascii="Helvetica" w:hAnsi="Helvetica" w:cs="Times"/>
          <w:bCs/>
          <w:iCs/>
        </w:rPr>
        <w:t>11</w:t>
      </w:r>
      <w:r>
        <w:rPr>
          <w:rFonts w:ascii="Helvetica" w:hAnsi="Helvetica" w:cs="Times"/>
          <w:bCs/>
        </w:rPr>
        <w:t>:</w:t>
      </w:r>
      <w:r w:rsidRPr="0064087A">
        <w:rPr>
          <w:rFonts w:ascii="Helvetica" w:hAnsi="Helvetica" w:cs="Times"/>
          <w:bCs/>
        </w:rPr>
        <w:t>3-00</w:t>
      </w:r>
      <w:r w:rsidR="00A3722B">
        <w:rPr>
          <w:rFonts w:ascii="Helvetica" w:hAnsi="Helvetica" w:cs="Times"/>
          <w:bCs/>
        </w:rPr>
        <w:t>.</w:t>
      </w:r>
    </w:p>
    <w:p w14:paraId="50162909" w14:textId="77777777" w:rsidR="00AE47EB" w:rsidRDefault="00AE47EB" w:rsidP="00D3496F">
      <w:pPr>
        <w:ind w:firstLine="708"/>
        <w:jc w:val="both"/>
        <w:rPr>
          <w:rFonts w:ascii="Helvetica" w:hAnsi="Helvetica" w:cs="Times New Roman"/>
        </w:rPr>
      </w:pPr>
    </w:p>
    <w:p w14:paraId="7D312E49" w14:textId="77777777" w:rsidR="00AE47EB" w:rsidRDefault="00AE47EB" w:rsidP="00D3496F">
      <w:pPr>
        <w:ind w:firstLine="708"/>
        <w:jc w:val="both"/>
        <w:rPr>
          <w:rFonts w:ascii="Helvetica" w:hAnsi="Helvetica" w:cs="Times New Roman"/>
        </w:rPr>
      </w:pPr>
    </w:p>
    <w:p w14:paraId="62C99590" w14:textId="77777777" w:rsidR="00AE47EB" w:rsidRDefault="00AE47EB" w:rsidP="00D3496F">
      <w:pPr>
        <w:ind w:firstLine="708"/>
        <w:jc w:val="both"/>
        <w:rPr>
          <w:rFonts w:ascii="Helvetica" w:hAnsi="Helvetica" w:cs="Times New Roman"/>
        </w:rPr>
      </w:pPr>
    </w:p>
    <w:p w14:paraId="6A7B96A4" w14:textId="77777777" w:rsidR="00AE47EB" w:rsidRDefault="00AE47EB" w:rsidP="00D3496F">
      <w:pPr>
        <w:ind w:firstLine="708"/>
        <w:jc w:val="both"/>
        <w:rPr>
          <w:rFonts w:ascii="Helvetica" w:hAnsi="Helvetica" w:cs="Times New Roman"/>
        </w:rPr>
      </w:pPr>
    </w:p>
    <w:p w14:paraId="224F0FE9" w14:textId="77777777" w:rsidR="00AE47EB" w:rsidRDefault="00AE47EB" w:rsidP="00D3496F">
      <w:pPr>
        <w:ind w:firstLine="708"/>
        <w:jc w:val="both"/>
        <w:rPr>
          <w:rFonts w:ascii="Helvetica" w:hAnsi="Helvetica" w:cs="Times New Roman"/>
        </w:rPr>
      </w:pPr>
    </w:p>
    <w:p w14:paraId="4E221A90" w14:textId="77777777" w:rsidR="00AE47EB" w:rsidRDefault="00AE47EB" w:rsidP="00D3496F">
      <w:pPr>
        <w:ind w:firstLine="708"/>
        <w:jc w:val="both"/>
        <w:rPr>
          <w:rFonts w:ascii="Helvetica" w:hAnsi="Helvetica" w:cs="Times New Roman"/>
        </w:rPr>
      </w:pPr>
    </w:p>
    <w:p w14:paraId="0D61D3A4" w14:textId="77777777" w:rsidR="00AE47EB" w:rsidRDefault="00AE47EB" w:rsidP="00D3496F">
      <w:pPr>
        <w:ind w:firstLine="708"/>
        <w:jc w:val="both"/>
        <w:rPr>
          <w:rFonts w:ascii="Helvetica" w:hAnsi="Helvetica" w:cs="Times New Roman"/>
        </w:rPr>
      </w:pPr>
    </w:p>
    <w:p w14:paraId="7D00FF6F" w14:textId="77777777" w:rsidR="00AE47EB" w:rsidRDefault="00AE47EB" w:rsidP="00D3496F">
      <w:pPr>
        <w:ind w:firstLine="708"/>
        <w:jc w:val="both"/>
        <w:rPr>
          <w:rFonts w:ascii="Helvetica" w:hAnsi="Helvetica" w:cs="Times New Roman"/>
        </w:rPr>
      </w:pPr>
    </w:p>
    <w:p w14:paraId="2A5442C1" w14:textId="77777777" w:rsidR="00AE47EB" w:rsidRDefault="00AE47EB" w:rsidP="00D3496F">
      <w:pPr>
        <w:ind w:firstLine="708"/>
        <w:jc w:val="both"/>
        <w:rPr>
          <w:rFonts w:ascii="Helvetica" w:hAnsi="Helvetica" w:cs="Times New Roman"/>
        </w:rPr>
      </w:pPr>
    </w:p>
    <w:p w14:paraId="0BB82DE9" w14:textId="77777777" w:rsidR="00AE47EB" w:rsidRDefault="00AE47EB" w:rsidP="00D3496F">
      <w:pPr>
        <w:ind w:firstLine="708"/>
        <w:jc w:val="both"/>
        <w:rPr>
          <w:rFonts w:ascii="Helvetica" w:hAnsi="Helvetica" w:cs="Times New Roman"/>
        </w:rPr>
      </w:pPr>
    </w:p>
    <w:p w14:paraId="33C609C7" w14:textId="77777777" w:rsidR="00AE47EB" w:rsidRDefault="00AE47EB" w:rsidP="00D3496F">
      <w:pPr>
        <w:ind w:firstLine="708"/>
        <w:jc w:val="both"/>
        <w:rPr>
          <w:rFonts w:ascii="Helvetica" w:hAnsi="Helvetica" w:cs="Times New Roman"/>
        </w:rPr>
      </w:pPr>
    </w:p>
    <w:p w14:paraId="58BF63F9" w14:textId="77777777" w:rsidR="00F71EFC" w:rsidRDefault="00F71EFC" w:rsidP="00F71EFC">
      <w:pPr>
        <w:tabs>
          <w:tab w:val="left" w:pos="708"/>
          <w:tab w:val="left" w:pos="1416"/>
          <w:tab w:val="left" w:pos="2124"/>
          <w:tab w:val="left" w:pos="2914"/>
        </w:tabs>
        <w:jc w:val="both"/>
        <w:rPr>
          <w:rFonts w:ascii="Helvetica" w:hAnsi="Helvetica"/>
        </w:rPr>
      </w:pPr>
    </w:p>
    <w:p w14:paraId="416B3EF8" w14:textId="77777777" w:rsidR="00F71EFC" w:rsidRDefault="00F71EFC" w:rsidP="00F71EFC">
      <w:pPr>
        <w:tabs>
          <w:tab w:val="left" w:pos="708"/>
          <w:tab w:val="left" w:pos="1416"/>
          <w:tab w:val="left" w:pos="2124"/>
          <w:tab w:val="left" w:pos="2914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</w:p>
    <w:p w14:paraId="4A5B7F11" w14:textId="77777777" w:rsidR="009B2E6A" w:rsidRDefault="009B2E6A">
      <w:pPr>
        <w:rPr>
          <w:rFonts w:asciiTheme="majorHAnsi" w:hAnsiTheme="majorHAnsi"/>
        </w:rPr>
      </w:pPr>
    </w:p>
    <w:p w14:paraId="33269A40" w14:textId="77777777" w:rsidR="009B2E6A" w:rsidRDefault="009B2E6A">
      <w:pPr>
        <w:rPr>
          <w:rFonts w:asciiTheme="majorHAnsi" w:hAnsiTheme="majorHAnsi"/>
        </w:rPr>
      </w:pPr>
    </w:p>
    <w:p w14:paraId="6AF85261" w14:textId="77777777" w:rsidR="000D0CA0" w:rsidRPr="009B2E6A" w:rsidRDefault="000D0CA0">
      <w:pPr>
        <w:rPr>
          <w:rFonts w:asciiTheme="majorHAnsi" w:hAnsiTheme="majorHAnsi"/>
        </w:rPr>
      </w:pPr>
    </w:p>
    <w:sectPr w:rsidR="000D0CA0" w:rsidRPr="009B2E6A" w:rsidSect="000D0CA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8484B"/>
    <w:multiLevelType w:val="hybridMultilevel"/>
    <w:tmpl w:val="30E2A00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6A"/>
    <w:rsid w:val="000B3952"/>
    <w:rsid w:val="000C3AD5"/>
    <w:rsid w:val="000D0CA0"/>
    <w:rsid w:val="000E1E99"/>
    <w:rsid w:val="000E57F9"/>
    <w:rsid w:val="00105B05"/>
    <w:rsid w:val="00150599"/>
    <w:rsid w:val="00232C4E"/>
    <w:rsid w:val="00236B58"/>
    <w:rsid w:val="002D4BD4"/>
    <w:rsid w:val="00321AF1"/>
    <w:rsid w:val="003B72B6"/>
    <w:rsid w:val="003D46BE"/>
    <w:rsid w:val="00416AE2"/>
    <w:rsid w:val="0042278A"/>
    <w:rsid w:val="004921E1"/>
    <w:rsid w:val="004A21A3"/>
    <w:rsid w:val="004E011C"/>
    <w:rsid w:val="00500BB8"/>
    <w:rsid w:val="005119B8"/>
    <w:rsid w:val="00523214"/>
    <w:rsid w:val="00586572"/>
    <w:rsid w:val="005A01DA"/>
    <w:rsid w:val="007A3C4D"/>
    <w:rsid w:val="008554B0"/>
    <w:rsid w:val="008D70F4"/>
    <w:rsid w:val="009A5233"/>
    <w:rsid w:val="009B2E6A"/>
    <w:rsid w:val="009E2E99"/>
    <w:rsid w:val="00A3722B"/>
    <w:rsid w:val="00A471C4"/>
    <w:rsid w:val="00A76B8D"/>
    <w:rsid w:val="00AE47EB"/>
    <w:rsid w:val="00AE6496"/>
    <w:rsid w:val="00B06FBC"/>
    <w:rsid w:val="00B5775A"/>
    <w:rsid w:val="00BA45C1"/>
    <w:rsid w:val="00C358BF"/>
    <w:rsid w:val="00C73C92"/>
    <w:rsid w:val="00C91B85"/>
    <w:rsid w:val="00D3496F"/>
    <w:rsid w:val="00D513D7"/>
    <w:rsid w:val="00DC4D54"/>
    <w:rsid w:val="00DD1DCE"/>
    <w:rsid w:val="00E14A4E"/>
    <w:rsid w:val="00ED0D17"/>
    <w:rsid w:val="00F7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D517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4BD4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4BD4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553</Words>
  <Characters>3046</Characters>
  <Application>Microsoft Macintosh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Lebas</dc:creator>
  <cp:keywords/>
  <dc:description/>
  <cp:lastModifiedBy>Eve Lebas</cp:lastModifiedBy>
  <cp:revision>7</cp:revision>
  <dcterms:created xsi:type="dcterms:W3CDTF">2017-12-19T19:26:00Z</dcterms:created>
  <dcterms:modified xsi:type="dcterms:W3CDTF">2017-12-27T17:05:00Z</dcterms:modified>
</cp:coreProperties>
</file>