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5306" w:rsidRPr="002A192F" w:rsidRDefault="000D19CF" w:rsidP="000D19CF">
      <w:pPr>
        <w:jc w:val="center"/>
        <w:rPr>
          <w:rStyle w:val="A1"/>
          <w:rFonts w:cstheme="minorHAnsi"/>
          <w:b/>
          <w:color w:val="auto"/>
          <w:sz w:val="24"/>
          <w:szCs w:val="24"/>
        </w:rPr>
      </w:pPr>
      <w:r>
        <w:rPr>
          <w:rFonts w:cstheme="minorHAnsi"/>
          <w:b/>
          <w:sz w:val="24"/>
          <w:szCs w:val="24"/>
        </w:rPr>
        <w:t>L’abus de droit comme limite à la</w:t>
      </w:r>
      <w:r w:rsidR="005E4D3B" w:rsidRPr="002A192F">
        <w:rPr>
          <w:rFonts w:cstheme="minorHAnsi"/>
          <w:b/>
          <w:sz w:val="24"/>
          <w:szCs w:val="24"/>
        </w:rPr>
        <w:t xml:space="preserve"> circulation des personnes et de leur statut dans un monde globalisé</w:t>
      </w:r>
    </w:p>
    <w:p w:rsidR="005E4D3B" w:rsidRPr="002A192F" w:rsidRDefault="00AF118B" w:rsidP="00AF118B">
      <w:pPr>
        <w:jc w:val="center"/>
        <w:rPr>
          <w:rFonts w:cstheme="minorHAnsi"/>
          <w:sz w:val="24"/>
          <w:szCs w:val="24"/>
        </w:rPr>
      </w:pPr>
      <w:r w:rsidRPr="002A192F">
        <w:rPr>
          <w:rFonts w:cstheme="minorHAnsi"/>
          <w:sz w:val="24"/>
          <w:szCs w:val="24"/>
        </w:rPr>
        <w:t>P. W</w:t>
      </w:r>
      <w:r w:rsidR="005E4D3B" w:rsidRPr="002A192F">
        <w:rPr>
          <w:rFonts w:cstheme="minorHAnsi"/>
          <w:sz w:val="24"/>
          <w:szCs w:val="24"/>
        </w:rPr>
        <w:t>autelet</w:t>
      </w:r>
      <w:r w:rsidR="000D19CF">
        <w:rPr>
          <w:rFonts w:cstheme="minorHAnsi"/>
          <w:sz w:val="24"/>
          <w:szCs w:val="24"/>
        </w:rPr>
        <w:t xml:space="preserve"> (Université de Liège)</w:t>
      </w:r>
    </w:p>
    <w:p w:rsidR="00F01718" w:rsidRPr="002A192F" w:rsidRDefault="00F01718" w:rsidP="00F01718">
      <w:pPr>
        <w:rPr>
          <w:rFonts w:cstheme="minorHAnsi"/>
          <w:sz w:val="24"/>
          <w:szCs w:val="24"/>
        </w:rPr>
      </w:pPr>
    </w:p>
    <w:p w:rsidR="00B3423B" w:rsidRDefault="00987AD4" w:rsidP="00987AD4">
      <w:pPr>
        <w:jc w:val="both"/>
        <w:rPr>
          <w:rFonts w:cstheme="minorHAnsi"/>
          <w:sz w:val="24"/>
          <w:szCs w:val="24"/>
        </w:rPr>
      </w:pPr>
      <w:r w:rsidRPr="002A192F">
        <w:rPr>
          <w:rFonts w:cstheme="minorHAnsi"/>
          <w:sz w:val="24"/>
          <w:szCs w:val="24"/>
        </w:rPr>
        <w:t>Le d</w:t>
      </w:r>
      <w:r w:rsidR="00F01718" w:rsidRPr="002A192F">
        <w:rPr>
          <w:rFonts w:cstheme="minorHAnsi"/>
          <w:sz w:val="24"/>
          <w:szCs w:val="24"/>
        </w:rPr>
        <w:t xml:space="preserve">éveloppement d’espaces harmonisés au sein desquels les personnes circulent librement, </w:t>
      </w:r>
      <w:r w:rsidR="00E8715F">
        <w:rPr>
          <w:rFonts w:cstheme="minorHAnsi"/>
          <w:sz w:val="24"/>
          <w:szCs w:val="24"/>
        </w:rPr>
        <w:t xml:space="preserve">conjugué à l’adoption de </w:t>
      </w:r>
      <w:r w:rsidR="00F01718" w:rsidRPr="002A192F">
        <w:rPr>
          <w:rFonts w:cstheme="minorHAnsi"/>
          <w:sz w:val="24"/>
          <w:szCs w:val="24"/>
        </w:rPr>
        <w:t>règles de conflit de lois harmonisées</w:t>
      </w:r>
      <w:r w:rsidR="00B3423B">
        <w:rPr>
          <w:rFonts w:cstheme="minorHAnsi"/>
          <w:sz w:val="24"/>
          <w:szCs w:val="24"/>
        </w:rPr>
        <w:t xml:space="preserve">, facilitent certainement la vie des bénéficiaires de la liberté. Les voyages et déplacements au cœur des espaces ainsi ouverts à la circulation ont perdu leur caractère d’intrépide aventure pour être aujourd’hui à la portée de tous sauf des plus modestes. </w:t>
      </w:r>
    </w:p>
    <w:p w:rsidR="00982566" w:rsidRDefault="00982566" w:rsidP="00987AD4">
      <w:pPr>
        <w:jc w:val="both"/>
        <w:rPr>
          <w:rFonts w:cstheme="minorHAnsi"/>
          <w:sz w:val="24"/>
          <w:szCs w:val="24"/>
        </w:rPr>
      </w:pPr>
      <w:r>
        <w:rPr>
          <w:rFonts w:cstheme="minorHAnsi"/>
          <w:sz w:val="24"/>
          <w:szCs w:val="24"/>
        </w:rPr>
        <w:t xml:space="preserve">Le développement d’opportunités de déplacements et d’installation dans d’autres Etats ne va pas sans susciter le risque d’une utilisation opportuniste de l’espace ainsi concédé aux citoyens. S’ils relèvent de l’anecdote plus que de la démonstration structurelle de l’existence de comportements opportunistes, on peut relever certains exemples récents qui montrent </w:t>
      </w:r>
      <w:r w:rsidR="00D61896">
        <w:rPr>
          <w:rFonts w:cstheme="minorHAnsi"/>
          <w:sz w:val="24"/>
          <w:szCs w:val="24"/>
        </w:rPr>
        <w:t>l’importance de déplacements stratégiques. Jusqu’à la récente réforme du droit du divorce en Italie, l’on sait que de nombreux italiens faisaient le détour par la Roumanie pour obtenir rapidement la dissolution de leur lien conjugal</w:t>
      </w:r>
      <w:r w:rsidR="00D61896">
        <w:rPr>
          <w:rStyle w:val="Appelnotedebasdep"/>
          <w:rFonts w:cstheme="minorHAnsi"/>
          <w:sz w:val="24"/>
          <w:szCs w:val="24"/>
        </w:rPr>
        <w:footnoteReference w:id="1"/>
      </w:r>
      <w:r w:rsidR="00D61896">
        <w:rPr>
          <w:rFonts w:cstheme="minorHAnsi"/>
          <w:sz w:val="24"/>
          <w:szCs w:val="24"/>
        </w:rPr>
        <w:t>.</w:t>
      </w:r>
      <w:r w:rsidR="00C53E44">
        <w:rPr>
          <w:rFonts w:cstheme="minorHAnsi"/>
          <w:sz w:val="24"/>
          <w:szCs w:val="24"/>
        </w:rPr>
        <w:t xml:space="preserve"> Le lien entre les époux et la Roumanie était construit sur mesure afin de permettre le divorce.</w:t>
      </w:r>
    </w:p>
    <w:p w:rsidR="00C53E44" w:rsidRDefault="00C53E44" w:rsidP="00987AD4">
      <w:pPr>
        <w:jc w:val="both"/>
        <w:rPr>
          <w:rFonts w:cstheme="minorHAnsi"/>
          <w:sz w:val="24"/>
          <w:szCs w:val="24"/>
        </w:rPr>
      </w:pPr>
      <w:r>
        <w:rPr>
          <w:rFonts w:cstheme="minorHAnsi"/>
          <w:sz w:val="24"/>
          <w:szCs w:val="24"/>
        </w:rPr>
        <w:t xml:space="preserve">A côté des relations de couple, la célèbre affaire </w:t>
      </w:r>
      <w:proofErr w:type="spellStart"/>
      <w:r w:rsidRPr="00C53E44">
        <w:rPr>
          <w:rFonts w:cstheme="minorHAnsi"/>
          <w:i/>
          <w:sz w:val="24"/>
          <w:szCs w:val="24"/>
        </w:rPr>
        <w:t>Mennesson</w:t>
      </w:r>
      <w:proofErr w:type="spellEnd"/>
      <w:r>
        <w:rPr>
          <w:rFonts w:cstheme="minorHAnsi"/>
          <w:sz w:val="24"/>
          <w:szCs w:val="24"/>
        </w:rPr>
        <w:t xml:space="preserve"> montre que des comportements stratégiques peuvent aussi concerner l’établissement d’un lien de filiation. On se réjouira certes </w:t>
      </w:r>
      <w:r w:rsidRPr="002A192F">
        <w:rPr>
          <w:rFonts w:cstheme="minorHAnsi"/>
          <w:sz w:val="24"/>
          <w:szCs w:val="24"/>
        </w:rPr>
        <w:t xml:space="preserve">de l’intervention salutaire </w:t>
      </w:r>
      <w:r>
        <w:rPr>
          <w:rFonts w:cstheme="minorHAnsi"/>
          <w:sz w:val="24"/>
          <w:szCs w:val="24"/>
        </w:rPr>
        <w:t xml:space="preserve">dans cette affaire </w:t>
      </w:r>
      <w:r w:rsidRPr="002A192F">
        <w:rPr>
          <w:rFonts w:cstheme="minorHAnsi"/>
          <w:sz w:val="24"/>
          <w:szCs w:val="24"/>
        </w:rPr>
        <w:t>de la Cour européenne des droits de l’homme qui a remis les enfants au centre du jeu</w:t>
      </w:r>
      <w:r>
        <w:rPr>
          <w:rFonts w:cstheme="minorHAnsi"/>
          <w:sz w:val="24"/>
          <w:szCs w:val="24"/>
        </w:rPr>
        <w:t xml:space="preserve"> en condamnant la France au titre de la violation de l’article 8</w:t>
      </w:r>
      <w:r>
        <w:rPr>
          <w:rStyle w:val="Appelnotedebasdep"/>
          <w:rFonts w:cstheme="minorHAnsi"/>
          <w:sz w:val="24"/>
          <w:szCs w:val="24"/>
        </w:rPr>
        <w:footnoteReference w:id="2"/>
      </w:r>
      <w:r w:rsidRPr="002A192F">
        <w:rPr>
          <w:rFonts w:cstheme="minorHAnsi"/>
          <w:sz w:val="24"/>
          <w:szCs w:val="24"/>
        </w:rPr>
        <w:t xml:space="preserve">. C’est bien évidemment leur intérêt qui doit primer. Condamner ces enfants à une vie juridique bancale, </w:t>
      </w:r>
      <w:r w:rsidR="00EA5F70">
        <w:rPr>
          <w:rFonts w:cstheme="minorHAnsi"/>
          <w:sz w:val="24"/>
          <w:szCs w:val="24"/>
        </w:rPr>
        <w:t xml:space="preserve">qui à certains égards pouvait faire penser à une réminiscence de la </w:t>
      </w:r>
      <w:r w:rsidRPr="002A192F">
        <w:rPr>
          <w:rFonts w:cstheme="minorHAnsi"/>
          <w:sz w:val="24"/>
          <w:szCs w:val="24"/>
        </w:rPr>
        <w:t>mort civile</w:t>
      </w:r>
      <w:r w:rsidR="00EA5F70">
        <w:rPr>
          <w:rFonts w:cstheme="minorHAnsi"/>
          <w:sz w:val="24"/>
          <w:szCs w:val="24"/>
        </w:rPr>
        <w:t xml:space="preserve">, aurait été </w:t>
      </w:r>
      <w:r w:rsidRPr="002A192F">
        <w:rPr>
          <w:rFonts w:cstheme="minorHAnsi"/>
          <w:sz w:val="24"/>
          <w:szCs w:val="24"/>
        </w:rPr>
        <w:t xml:space="preserve">peu compatible avec l’idée qu’une démocratie libérale </w:t>
      </w:r>
      <w:r w:rsidR="00BE03D4">
        <w:rPr>
          <w:rFonts w:cstheme="minorHAnsi"/>
          <w:sz w:val="24"/>
          <w:szCs w:val="24"/>
        </w:rPr>
        <w:t xml:space="preserve">se </w:t>
      </w:r>
      <w:r w:rsidRPr="002A192F">
        <w:rPr>
          <w:rFonts w:cstheme="minorHAnsi"/>
          <w:sz w:val="24"/>
          <w:szCs w:val="24"/>
        </w:rPr>
        <w:t xml:space="preserve">doit </w:t>
      </w:r>
      <w:r w:rsidR="00BE03D4">
        <w:rPr>
          <w:rFonts w:cstheme="minorHAnsi"/>
          <w:sz w:val="24"/>
          <w:szCs w:val="24"/>
        </w:rPr>
        <w:t xml:space="preserve">de </w:t>
      </w:r>
      <w:r w:rsidRPr="002A192F">
        <w:rPr>
          <w:rFonts w:cstheme="minorHAnsi"/>
          <w:sz w:val="24"/>
          <w:szCs w:val="24"/>
        </w:rPr>
        <w:t>protéger les plus vulnérables. Il reste que la naissance des enfants s’est faite au prix d’un déplacement</w:t>
      </w:r>
      <w:r w:rsidR="00EA5F70">
        <w:rPr>
          <w:rFonts w:cstheme="minorHAnsi"/>
          <w:sz w:val="24"/>
          <w:szCs w:val="24"/>
        </w:rPr>
        <w:t xml:space="preserve"> stratégique des parents d’intention en Californie, déplacement qui n’était dicté que par le seul souhait de </w:t>
      </w:r>
      <w:r w:rsidR="00667079">
        <w:rPr>
          <w:rFonts w:cstheme="minorHAnsi"/>
          <w:sz w:val="24"/>
          <w:szCs w:val="24"/>
        </w:rPr>
        <w:t>pouvoir faire appel aux services d’une mère porteuse.</w:t>
      </w:r>
    </w:p>
    <w:p w:rsidR="00A01DCB" w:rsidRDefault="00C53E44" w:rsidP="004B06DB">
      <w:pPr>
        <w:jc w:val="both"/>
        <w:rPr>
          <w:rFonts w:cstheme="minorHAnsi"/>
          <w:sz w:val="24"/>
          <w:szCs w:val="24"/>
        </w:rPr>
      </w:pPr>
      <w:r>
        <w:rPr>
          <w:rFonts w:cstheme="minorHAnsi"/>
          <w:sz w:val="24"/>
          <w:szCs w:val="24"/>
        </w:rPr>
        <w:t xml:space="preserve">L’affaire </w:t>
      </w:r>
      <w:proofErr w:type="spellStart"/>
      <w:r w:rsidRPr="00667079">
        <w:rPr>
          <w:rFonts w:cstheme="minorHAnsi"/>
          <w:i/>
          <w:sz w:val="24"/>
          <w:szCs w:val="24"/>
        </w:rPr>
        <w:t>Bogendorff</w:t>
      </w:r>
      <w:proofErr w:type="spellEnd"/>
      <w:r>
        <w:rPr>
          <w:rFonts w:cstheme="minorHAnsi"/>
          <w:sz w:val="24"/>
          <w:szCs w:val="24"/>
        </w:rPr>
        <w:t xml:space="preserve"> offre un dernier exemple récent</w:t>
      </w:r>
      <w:r w:rsidR="00667079">
        <w:rPr>
          <w:rFonts w:cstheme="minorHAnsi"/>
          <w:sz w:val="24"/>
          <w:szCs w:val="24"/>
        </w:rPr>
        <w:t xml:space="preserve"> d’utilisation stratégique des frontières qui séparent les ordres juridiques</w:t>
      </w:r>
      <w:r w:rsidR="00C26359">
        <w:rPr>
          <w:rStyle w:val="Appelnotedebasdep"/>
          <w:rFonts w:cstheme="minorHAnsi"/>
          <w:sz w:val="24"/>
          <w:szCs w:val="24"/>
        </w:rPr>
        <w:footnoteReference w:id="3"/>
      </w:r>
      <w:r w:rsidR="00667079">
        <w:rPr>
          <w:rFonts w:cstheme="minorHAnsi"/>
          <w:sz w:val="24"/>
          <w:szCs w:val="24"/>
        </w:rPr>
        <w:t>.</w:t>
      </w:r>
      <w:r w:rsidR="00A01DCB">
        <w:rPr>
          <w:rFonts w:cstheme="minorHAnsi"/>
          <w:sz w:val="24"/>
          <w:szCs w:val="24"/>
        </w:rPr>
        <w:t xml:space="preserve"> Les faits montrent que l’intéressé a habilement mis à profit les dispositifs existant tant en Allemagne qu’en Angleterre pour procéder à ce qu’on a pu appeler une</w:t>
      </w:r>
      <w:r w:rsidR="00A01DCB" w:rsidRPr="002A192F">
        <w:rPr>
          <w:rFonts w:cstheme="minorHAnsi"/>
          <w:sz w:val="24"/>
          <w:szCs w:val="24"/>
        </w:rPr>
        <w:t xml:space="preserve"> « chirurgie patronymique »</w:t>
      </w:r>
      <w:r w:rsidR="00ED4872">
        <w:rPr>
          <w:rStyle w:val="Appelnotedebasdep"/>
          <w:rFonts w:cstheme="minorHAnsi"/>
          <w:sz w:val="24"/>
          <w:szCs w:val="24"/>
        </w:rPr>
        <w:footnoteReference w:id="4"/>
      </w:r>
      <w:r w:rsidR="00ED4872">
        <w:rPr>
          <w:rFonts w:cstheme="minorHAnsi"/>
          <w:sz w:val="24"/>
          <w:szCs w:val="24"/>
        </w:rPr>
        <w:t xml:space="preserve">. Il est vrai que le nom initialement porté par </w:t>
      </w:r>
      <w:r w:rsidR="00ED4872" w:rsidRPr="00ED4872">
        <w:rPr>
          <w:rFonts w:cstheme="minorHAnsi"/>
          <w:sz w:val="24"/>
          <w:szCs w:val="24"/>
        </w:rPr>
        <w:t xml:space="preserve">l’intéressé, celui de </w:t>
      </w:r>
      <w:proofErr w:type="spellStart"/>
      <w:r w:rsidR="00ED4872" w:rsidRPr="00ED4872">
        <w:rPr>
          <w:rFonts w:cstheme="minorHAnsi"/>
          <w:sz w:val="24"/>
          <w:szCs w:val="24"/>
        </w:rPr>
        <w:t>Nabiel</w:t>
      </w:r>
      <w:proofErr w:type="spellEnd"/>
      <w:r w:rsidR="00ED4872" w:rsidRPr="00ED4872">
        <w:rPr>
          <w:rFonts w:cstheme="minorHAnsi"/>
          <w:sz w:val="24"/>
          <w:szCs w:val="24"/>
        </w:rPr>
        <w:t xml:space="preserve"> </w:t>
      </w:r>
      <w:proofErr w:type="spellStart"/>
      <w:r w:rsidR="00ED4872" w:rsidRPr="00ED4872">
        <w:rPr>
          <w:rFonts w:cstheme="minorHAnsi"/>
          <w:sz w:val="24"/>
          <w:szCs w:val="24"/>
        </w:rPr>
        <w:t>Bagadi</w:t>
      </w:r>
      <w:proofErr w:type="spellEnd"/>
      <w:r w:rsidR="00ED4872" w:rsidRPr="00ED4872">
        <w:rPr>
          <w:rFonts w:cstheme="minorHAnsi"/>
          <w:sz w:val="24"/>
          <w:szCs w:val="24"/>
        </w:rPr>
        <w:t xml:space="preserve">, a progressivement évolué au fil d’une procédure administrative de changement de nom conduite en Allemagne, suivie d’une adoption dans ce même pays, pour culminer avec un changement de nom en Angleterre qui a permis au ressortissant allemand devenu citoyen britannique de s’appeler ‘Peter Mark Emanuel Graf </w:t>
      </w:r>
      <w:proofErr w:type="spellStart"/>
      <w:r w:rsidR="00ED4872" w:rsidRPr="00ED4872">
        <w:rPr>
          <w:rFonts w:cstheme="minorHAnsi"/>
          <w:sz w:val="24"/>
          <w:szCs w:val="24"/>
        </w:rPr>
        <w:t>von</w:t>
      </w:r>
      <w:proofErr w:type="spellEnd"/>
      <w:r w:rsidR="00ED4872" w:rsidRPr="00ED4872">
        <w:rPr>
          <w:rFonts w:cstheme="minorHAnsi"/>
          <w:sz w:val="24"/>
          <w:szCs w:val="24"/>
        </w:rPr>
        <w:t xml:space="preserve"> </w:t>
      </w:r>
      <w:proofErr w:type="spellStart"/>
      <w:r w:rsidR="00ED4872" w:rsidRPr="00ED4872">
        <w:rPr>
          <w:rFonts w:cstheme="minorHAnsi"/>
          <w:sz w:val="24"/>
          <w:szCs w:val="24"/>
        </w:rPr>
        <w:lastRenderedPageBreak/>
        <w:t>Wolffersdorff</w:t>
      </w:r>
      <w:proofErr w:type="spellEnd"/>
      <w:r w:rsidR="00ED4872" w:rsidRPr="00ED4872">
        <w:rPr>
          <w:rFonts w:cstheme="minorHAnsi"/>
          <w:sz w:val="24"/>
          <w:szCs w:val="24"/>
        </w:rPr>
        <w:t xml:space="preserve"> Freiherr </w:t>
      </w:r>
      <w:proofErr w:type="spellStart"/>
      <w:r w:rsidR="00ED4872" w:rsidRPr="00ED4872">
        <w:rPr>
          <w:rFonts w:cstheme="minorHAnsi"/>
          <w:sz w:val="24"/>
          <w:szCs w:val="24"/>
        </w:rPr>
        <w:t>von</w:t>
      </w:r>
      <w:proofErr w:type="spellEnd"/>
      <w:r w:rsidR="00ED4872" w:rsidRPr="00ED4872">
        <w:rPr>
          <w:rFonts w:cstheme="minorHAnsi"/>
          <w:sz w:val="24"/>
          <w:szCs w:val="24"/>
        </w:rPr>
        <w:t xml:space="preserve"> </w:t>
      </w:r>
      <w:proofErr w:type="spellStart"/>
      <w:r w:rsidR="00ED4872" w:rsidRPr="00ED4872">
        <w:rPr>
          <w:rFonts w:cstheme="minorHAnsi"/>
          <w:sz w:val="24"/>
          <w:szCs w:val="24"/>
        </w:rPr>
        <w:t>Bogendorff</w:t>
      </w:r>
      <w:proofErr w:type="spellEnd"/>
      <w:r w:rsidR="00ED4872" w:rsidRPr="00ED4872">
        <w:rPr>
          <w:rFonts w:cstheme="minorHAnsi"/>
          <w:sz w:val="24"/>
          <w:szCs w:val="24"/>
        </w:rPr>
        <w:t>’.</w:t>
      </w:r>
      <w:r w:rsidR="004B06DB">
        <w:rPr>
          <w:rFonts w:cstheme="minorHAnsi"/>
          <w:sz w:val="24"/>
          <w:szCs w:val="24"/>
        </w:rPr>
        <w:t xml:space="preserve"> Un détail révèle l’esprit qui animait l’intéressé : </w:t>
      </w:r>
      <w:r w:rsidR="00A01DCB" w:rsidRPr="00ED4872">
        <w:rPr>
          <w:rFonts w:cstheme="minorHAnsi"/>
          <w:sz w:val="24"/>
          <w:szCs w:val="24"/>
        </w:rPr>
        <w:t xml:space="preserve">lors de la naissance de sa fille en Allemagne, </w:t>
      </w:r>
      <w:r w:rsidR="004B06DB">
        <w:rPr>
          <w:rFonts w:cstheme="minorHAnsi"/>
          <w:sz w:val="24"/>
          <w:szCs w:val="24"/>
        </w:rPr>
        <w:t xml:space="preserve">il a déclaré cette naissance </w:t>
      </w:r>
      <w:r w:rsidR="00A01DCB" w:rsidRPr="00ED4872">
        <w:rPr>
          <w:rFonts w:cstheme="minorHAnsi"/>
          <w:sz w:val="24"/>
          <w:szCs w:val="24"/>
        </w:rPr>
        <w:t xml:space="preserve">d’abord auprès du consulat général du Royaume-Uni en Allemagne, qui a délivré un acte de naissance, avant que cet </w:t>
      </w:r>
      <w:r w:rsidR="004B06DB">
        <w:rPr>
          <w:rFonts w:cstheme="minorHAnsi"/>
          <w:sz w:val="24"/>
          <w:szCs w:val="24"/>
        </w:rPr>
        <w:t xml:space="preserve">acte </w:t>
      </w:r>
      <w:r w:rsidR="00A01DCB" w:rsidRPr="00ED4872">
        <w:rPr>
          <w:rFonts w:cstheme="minorHAnsi"/>
          <w:sz w:val="24"/>
          <w:szCs w:val="24"/>
        </w:rPr>
        <w:t>soit présenté aux services d’état civil allemand pour transcription.</w:t>
      </w:r>
      <w:r w:rsidR="004B06DB">
        <w:rPr>
          <w:rFonts w:cstheme="minorHAnsi"/>
          <w:sz w:val="24"/>
          <w:szCs w:val="24"/>
        </w:rPr>
        <w:t xml:space="preserve"> L’ordre avait son importance, compte tenu du fait que les autorités allemandes appliquent la loi nationale pour déterminer le nom de l’intéressé.</w:t>
      </w:r>
    </w:p>
    <w:p w:rsidR="00186D7A" w:rsidRDefault="00186D7A" w:rsidP="004B06DB">
      <w:pPr>
        <w:jc w:val="both"/>
        <w:rPr>
          <w:rFonts w:cstheme="minorHAnsi"/>
          <w:sz w:val="24"/>
          <w:szCs w:val="24"/>
        </w:rPr>
      </w:pPr>
      <w:r>
        <w:rPr>
          <w:rFonts w:cstheme="minorHAnsi"/>
          <w:sz w:val="24"/>
          <w:szCs w:val="24"/>
        </w:rPr>
        <w:t>Ces quelques exemples illustrent, avec d’autres, l’intérêt de réfléchir aux limites de la portabilité des éléments du statut personnel. La figure de l’abus de droit constitue, avec d’autres mécanismes, l’un des candidats privilégiés pour limite</w:t>
      </w:r>
      <w:r w:rsidR="00A22A8F">
        <w:rPr>
          <w:rFonts w:cstheme="minorHAnsi"/>
          <w:sz w:val="24"/>
          <w:szCs w:val="24"/>
        </w:rPr>
        <w:t xml:space="preserve">r la possibilité pour une </w:t>
      </w:r>
      <w:r w:rsidR="00BE03D4">
        <w:rPr>
          <w:rFonts w:cstheme="minorHAnsi"/>
          <w:sz w:val="24"/>
          <w:szCs w:val="24"/>
        </w:rPr>
        <w:t>personne</w:t>
      </w:r>
      <w:r w:rsidR="00A22A8F">
        <w:rPr>
          <w:rFonts w:cstheme="minorHAnsi"/>
          <w:sz w:val="24"/>
          <w:szCs w:val="24"/>
        </w:rPr>
        <w:t xml:space="preserve"> de se prévaloir dans un Etat donné des effets d’un élément du statut acquis dans un autre.</w:t>
      </w:r>
    </w:p>
    <w:p w:rsidR="00A22A8F" w:rsidRPr="002A192F" w:rsidRDefault="00A22A8F" w:rsidP="00A22A8F">
      <w:pPr>
        <w:jc w:val="both"/>
        <w:rPr>
          <w:rFonts w:cstheme="minorHAnsi"/>
          <w:sz w:val="24"/>
          <w:szCs w:val="24"/>
        </w:rPr>
      </w:pPr>
      <w:r>
        <w:rPr>
          <w:rFonts w:cstheme="minorHAnsi"/>
          <w:sz w:val="24"/>
          <w:szCs w:val="24"/>
        </w:rPr>
        <w:t>Quelle place peut-on ou doit-on réserver à l’abus de droit dans ce contexte ?</w:t>
      </w:r>
      <w:r w:rsidR="00C26359">
        <w:rPr>
          <w:rFonts w:cstheme="minorHAnsi"/>
          <w:sz w:val="24"/>
          <w:szCs w:val="24"/>
        </w:rPr>
        <w:t xml:space="preserve"> De manière schématique deux interrogations méritent d’être soulevées : celle de l’opportunité d’envisager de limiter la libre circulation au moyen d’un mécanisme apparenté à l’abus de droit d’une part et la question de la définition des contours et de la substance de ce mécanisme d’autre part. </w:t>
      </w:r>
      <w:r w:rsidR="00E87FCB">
        <w:rPr>
          <w:rFonts w:cstheme="minorHAnsi"/>
          <w:sz w:val="24"/>
          <w:szCs w:val="24"/>
        </w:rPr>
        <w:t>L</w:t>
      </w:r>
      <w:r w:rsidR="00C26359">
        <w:rPr>
          <w:rFonts w:cstheme="minorHAnsi"/>
          <w:sz w:val="24"/>
          <w:szCs w:val="24"/>
        </w:rPr>
        <w:t>a première interrogation ne peut faire l’économie du cadre juridique qui constitue le fondement de la libre circulation des personnes et de leur statut.</w:t>
      </w:r>
      <w:r w:rsidR="00E87FCB">
        <w:rPr>
          <w:rFonts w:cstheme="minorHAnsi"/>
          <w:sz w:val="24"/>
          <w:szCs w:val="24"/>
        </w:rPr>
        <w:t xml:space="preserve"> La seconde pourra s’appuyer sur l’expérience acquise, dans différents domaines, pour donner corps au principe général de prohibition de l</w:t>
      </w:r>
      <w:r w:rsidR="00680325">
        <w:rPr>
          <w:rFonts w:cstheme="minorHAnsi"/>
          <w:sz w:val="24"/>
          <w:szCs w:val="24"/>
        </w:rPr>
        <w:t>’</w:t>
      </w:r>
      <w:r w:rsidR="00E87FCB">
        <w:rPr>
          <w:rFonts w:cstheme="minorHAnsi"/>
          <w:sz w:val="24"/>
          <w:szCs w:val="24"/>
        </w:rPr>
        <w:t>abus de droit.</w:t>
      </w:r>
    </w:p>
    <w:p w:rsidR="00DB4306" w:rsidRPr="002A192F" w:rsidRDefault="00DB4306" w:rsidP="005E4D3B">
      <w:pPr>
        <w:rPr>
          <w:rFonts w:cstheme="minorHAnsi"/>
          <w:sz w:val="24"/>
          <w:szCs w:val="24"/>
        </w:rPr>
      </w:pPr>
    </w:p>
    <w:p w:rsidR="00DB4306" w:rsidRPr="009805D4" w:rsidRDefault="00DB4306" w:rsidP="005E4D3B">
      <w:pPr>
        <w:rPr>
          <w:rFonts w:cstheme="minorHAnsi"/>
          <w:b/>
          <w:smallCaps/>
          <w:sz w:val="24"/>
          <w:szCs w:val="24"/>
        </w:rPr>
      </w:pPr>
      <w:r w:rsidRPr="009805D4">
        <w:rPr>
          <w:rFonts w:cstheme="minorHAnsi"/>
          <w:b/>
          <w:smallCaps/>
          <w:sz w:val="24"/>
          <w:szCs w:val="24"/>
        </w:rPr>
        <w:t>1</w:t>
      </w:r>
      <w:r w:rsidR="009805D4" w:rsidRPr="009805D4">
        <w:rPr>
          <w:rFonts w:cstheme="minorHAnsi"/>
          <w:b/>
          <w:smallCaps/>
          <w:sz w:val="24"/>
          <w:szCs w:val="24"/>
        </w:rPr>
        <w:t>.</w:t>
      </w:r>
      <w:r w:rsidR="009805D4" w:rsidRPr="009805D4">
        <w:rPr>
          <w:rFonts w:cstheme="minorHAnsi"/>
          <w:b/>
          <w:smallCaps/>
          <w:sz w:val="24"/>
          <w:szCs w:val="24"/>
        </w:rPr>
        <w:tab/>
        <w:t>L’abus de droit, un élément essentiel de la libre circulation des personnes</w:t>
      </w:r>
    </w:p>
    <w:p w:rsidR="00DB4306" w:rsidRPr="002A192F" w:rsidRDefault="00C51BC7" w:rsidP="00B517EC">
      <w:pPr>
        <w:jc w:val="both"/>
        <w:rPr>
          <w:rFonts w:cstheme="minorHAnsi"/>
          <w:sz w:val="24"/>
          <w:szCs w:val="24"/>
        </w:rPr>
      </w:pPr>
      <w:r w:rsidRPr="002A192F">
        <w:rPr>
          <w:rFonts w:cstheme="minorHAnsi"/>
          <w:sz w:val="24"/>
          <w:szCs w:val="24"/>
        </w:rPr>
        <w:t xml:space="preserve">Dans la </w:t>
      </w:r>
      <w:r w:rsidR="00211B50">
        <w:rPr>
          <w:rFonts w:cstheme="minorHAnsi"/>
          <w:sz w:val="24"/>
          <w:szCs w:val="24"/>
        </w:rPr>
        <w:t xml:space="preserve">littérature </w:t>
      </w:r>
      <w:r w:rsidRPr="002A192F">
        <w:rPr>
          <w:rFonts w:cstheme="minorHAnsi"/>
          <w:sz w:val="24"/>
          <w:szCs w:val="24"/>
        </w:rPr>
        <w:t>foisonnante consacrée à la reconnaissance comme méthode</w:t>
      </w:r>
      <w:r w:rsidR="00987AD4" w:rsidRPr="002A192F">
        <w:rPr>
          <w:rFonts w:cstheme="minorHAnsi"/>
          <w:sz w:val="24"/>
          <w:szCs w:val="24"/>
        </w:rPr>
        <w:t xml:space="preserve"> de solution</w:t>
      </w:r>
      <w:r w:rsidRPr="002A192F">
        <w:rPr>
          <w:rFonts w:cstheme="minorHAnsi"/>
          <w:sz w:val="24"/>
          <w:szCs w:val="24"/>
        </w:rPr>
        <w:t xml:space="preserve">, l’abus de droit </w:t>
      </w:r>
      <w:r w:rsidR="00E87FCB">
        <w:rPr>
          <w:rFonts w:cstheme="minorHAnsi"/>
          <w:sz w:val="24"/>
          <w:szCs w:val="24"/>
        </w:rPr>
        <w:t xml:space="preserve">comme limite potentielle à </w:t>
      </w:r>
      <w:r w:rsidR="00E87FCB" w:rsidRPr="002A192F">
        <w:rPr>
          <w:rFonts w:cstheme="minorHAnsi"/>
          <w:sz w:val="24"/>
          <w:szCs w:val="24"/>
        </w:rPr>
        <w:t xml:space="preserve">ce qu’il est convenu d’appeler la ‘portabilité’ des situations </w:t>
      </w:r>
      <w:r w:rsidR="00EC41B1" w:rsidRPr="002A192F">
        <w:rPr>
          <w:rFonts w:cstheme="minorHAnsi"/>
          <w:sz w:val="24"/>
          <w:szCs w:val="24"/>
        </w:rPr>
        <w:t>se fait pour le moins discret</w:t>
      </w:r>
      <w:r w:rsidRPr="002A192F">
        <w:rPr>
          <w:rFonts w:cstheme="minorHAnsi"/>
          <w:sz w:val="24"/>
          <w:szCs w:val="24"/>
        </w:rPr>
        <w:t>. La plupart des auteurs évoquent longuement le rôle que peut jouer l’ordre public comme limite à la reconnaissance</w:t>
      </w:r>
      <w:r w:rsidR="00987AD4" w:rsidRPr="002A192F">
        <w:rPr>
          <w:rStyle w:val="Appelnotedebasdep"/>
          <w:rFonts w:cstheme="minorHAnsi"/>
          <w:sz w:val="24"/>
          <w:szCs w:val="24"/>
        </w:rPr>
        <w:footnoteReference w:id="5"/>
      </w:r>
      <w:r w:rsidRPr="002A192F">
        <w:rPr>
          <w:rFonts w:cstheme="minorHAnsi"/>
          <w:sz w:val="24"/>
          <w:szCs w:val="24"/>
        </w:rPr>
        <w:t>, élevant même cette exception au rang d’unique limite à la portabilité</w:t>
      </w:r>
      <w:r w:rsidR="0040656B" w:rsidRPr="002A192F">
        <w:rPr>
          <w:rStyle w:val="Appelnotedebasdep"/>
          <w:rFonts w:cstheme="minorHAnsi"/>
          <w:sz w:val="24"/>
          <w:szCs w:val="24"/>
        </w:rPr>
        <w:footnoteReference w:id="6"/>
      </w:r>
      <w:r w:rsidRPr="002A192F">
        <w:rPr>
          <w:rFonts w:cstheme="minorHAnsi"/>
          <w:sz w:val="24"/>
          <w:szCs w:val="24"/>
        </w:rPr>
        <w:t xml:space="preserve">. </w:t>
      </w:r>
      <w:r w:rsidR="00680325">
        <w:rPr>
          <w:rFonts w:cstheme="minorHAnsi"/>
          <w:sz w:val="24"/>
          <w:szCs w:val="24"/>
        </w:rPr>
        <w:t>Certains reconnaissent par ailleurs une place à la fraude à la loi, même si ces contours sont dessinés de manière générale</w:t>
      </w:r>
      <w:r w:rsidR="00680325">
        <w:rPr>
          <w:rStyle w:val="Appelnotedebasdep"/>
          <w:rFonts w:cstheme="minorHAnsi"/>
          <w:sz w:val="24"/>
          <w:szCs w:val="24"/>
        </w:rPr>
        <w:footnoteReference w:id="7"/>
      </w:r>
      <w:r w:rsidR="00680325">
        <w:rPr>
          <w:rFonts w:cstheme="minorHAnsi"/>
          <w:sz w:val="24"/>
          <w:szCs w:val="24"/>
        </w:rPr>
        <w:t xml:space="preserve">. </w:t>
      </w:r>
      <w:r w:rsidRPr="002A192F">
        <w:rPr>
          <w:rFonts w:cstheme="minorHAnsi"/>
          <w:sz w:val="24"/>
          <w:szCs w:val="24"/>
        </w:rPr>
        <w:t xml:space="preserve">Par comparaison, l’abus n’est </w:t>
      </w:r>
      <w:r w:rsidR="00EC41B1" w:rsidRPr="002A192F">
        <w:rPr>
          <w:rFonts w:cstheme="minorHAnsi"/>
          <w:sz w:val="24"/>
          <w:szCs w:val="24"/>
        </w:rPr>
        <w:t>guère</w:t>
      </w:r>
      <w:r w:rsidRPr="002A192F">
        <w:rPr>
          <w:rFonts w:cstheme="minorHAnsi"/>
          <w:sz w:val="24"/>
          <w:szCs w:val="24"/>
        </w:rPr>
        <w:t xml:space="preserve"> évoqué. </w:t>
      </w:r>
    </w:p>
    <w:p w:rsidR="00DB4306" w:rsidRPr="002A192F" w:rsidRDefault="00DB4306" w:rsidP="00EC41B1">
      <w:pPr>
        <w:jc w:val="both"/>
        <w:rPr>
          <w:rFonts w:cstheme="minorHAnsi"/>
          <w:sz w:val="24"/>
          <w:szCs w:val="24"/>
        </w:rPr>
      </w:pPr>
      <w:r w:rsidRPr="002A192F">
        <w:rPr>
          <w:rFonts w:cstheme="minorHAnsi"/>
          <w:sz w:val="24"/>
          <w:szCs w:val="24"/>
        </w:rPr>
        <w:t xml:space="preserve">Pourtant </w:t>
      </w:r>
      <w:r w:rsidR="00EC41B1" w:rsidRPr="002A192F">
        <w:rPr>
          <w:rFonts w:cstheme="minorHAnsi"/>
          <w:sz w:val="24"/>
          <w:szCs w:val="24"/>
        </w:rPr>
        <w:t xml:space="preserve">le mécanisme de l’abus de droit </w:t>
      </w:r>
      <w:r w:rsidRPr="002A192F">
        <w:rPr>
          <w:rFonts w:cstheme="minorHAnsi"/>
          <w:sz w:val="24"/>
          <w:szCs w:val="24"/>
        </w:rPr>
        <w:t xml:space="preserve">paraît </w:t>
      </w:r>
      <w:r w:rsidR="00EC41B1" w:rsidRPr="002A192F">
        <w:rPr>
          <w:rFonts w:cstheme="minorHAnsi"/>
          <w:sz w:val="24"/>
          <w:szCs w:val="24"/>
        </w:rPr>
        <w:t xml:space="preserve">constituer un </w:t>
      </w:r>
      <w:r w:rsidRPr="002A192F">
        <w:rPr>
          <w:rFonts w:cstheme="minorHAnsi"/>
          <w:sz w:val="24"/>
          <w:szCs w:val="24"/>
        </w:rPr>
        <w:t xml:space="preserve">ingrédient </w:t>
      </w:r>
      <w:r w:rsidR="00EC41B1" w:rsidRPr="002A192F">
        <w:rPr>
          <w:rFonts w:cstheme="minorHAnsi"/>
          <w:sz w:val="24"/>
          <w:szCs w:val="24"/>
        </w:rPr>
        <w:t>indissociable des deux fondements les plus importants de la portabilité : la citoyenneté européenne et les libertés européennes de circulation d’une part et les droits fondamentaux d’autre part.</w:t>
      </w:r>
      <w:r w:rsidR="00211B50">
        <w:rPr>
          <w:rFonts w:cstheme="minorHAnsi"/>
          <w:sz w:val="24"/>
          <w:szCs w:val="24"/>
        </w:rPr>
        <w:t xml:space="preserve"> C’est ce que l’on tentera de montrer dans les lignes qui suivent.</w:t>
      </w:r>
    </w:p>
    <w:p w:rsidR="00EC41B1" w:rsidRPr="002A192F" w:rsidRDefault="00EC41B1" w:rsidP="00DB4306">
      <w:pPr>
        <w:rPr>
          <w:rFonts w:cstheme="minorHAnsi"/>
          <w:sz w:val="24"/>
          <w:szCs w:val="24"/>
        </w:rPr>
      </w:pPr>
    </w:p>
    <w:p w:rsidR="004A0B60" w:rsidRPr="002A192F" w:rsidRDefault="004A0B60" w:rsidP="004A0B60">
      <w:pPr>
        <w:pStyle w:val="Paragraphedeliste"/>
        <w:numPr>
          <w:ilvl w:val="1"/>
          <w:numId w:val="2"/>
        </w:numPr>
        <w:rPr>
          <w:rFonts w:cstheme="minorHAnsi"/>
          <w:b/>
          <w:sz w:val="24"/>
          <w:szCs w:val="24"/>
        </w:rPr>
      </w:pPr>
      <w:r w:rsidRPr="002A192F">
        <w:rPr>
          <w:rFonts w:cstheme="minorHAnsi"/>
          <w:b/>
          <w:sz w:val="24"/>
          <w:szCs w:val="24"/>
        </w:rPr>
        <w:lastRenderedPageBreak/>
        <w:t>L’Europe de Bruxelles : le principe général de l’abus de droit</w:t>
      </w:r>
    </w:p>
    <w:p w:rsidR="00A531C1" w:rsidRDefault="00EC41B1" w:rsidP="00C51BC7">
      <w:pPr>
        <w:jc w:val="both"/>
        <w:rPr>
          <w:rFonts w:cstheme="minorHAnsi"/>
          <w:sz w:val="24"/>
          <w:szCs w:val="24"/>
        </w:rPr>
      </w:pPr>
      <w:r w:rsidRPr="002A192F">
        <w:rPr>
          <w:rFonts w:cstheme="minorHAnsi"/>
          <w:sz w:val="24"/>
          <w:szCs w:val="24"/>
        </w:rPr>
        <w:t>L’abus de droit a très tôt trouvé sa place dans la jurisprudence de la Cour de justice</w:t>
      </w:r>
      <w:r w:rsidRPr="002A192F">
        <w:rPr>
          <w:rStyle w:val="Appelnotedebasdep"/>
          <w:rFonts w:cstheme="minorHAnsi"/>
          <w:sz w:val="24"/>
          <w:szCs w:val="24"/>
        </w:rPr>
        <w:footnoteReference w:id="8"/>
      </w:r>
      <w:r w:rsidRPr="002A192F">
        <w:rPr>
          <w:rFonts w:cstheme="minorHAnsi"/>
          <w:sz w:val="24"/>
          <w:szCs w:val="24"/>
        </w:rPr>
        <w:t xml:space="preserve">. La Cour a reconnu </w:t>
      </w:r>
      <w:r w:rsidR="00932048">
        <w:rPr>
          <w:rFonts w:cstheme="minorHAnsi"/>
          <w:sz w:val="24"/>
          <w:szCs w:val="24"/>
        </w:rPr>
        <w:t>dans les divers registres des libertés de circulation que dans des cas extrêmes, le comportement d’une personne (morale ou physique) pouvait être condamnable dans la mesure où il met à profit un droit concédé par le droit primaire européen dans un objectif soit de contourner une législation nationale, soit de profiter indûment d’un avantage déduit du droit européen</w:t>
      </w:r>
      <w:r w:rsidR="00D4341B">
        <w:rPr>
          <w:rStyle w:val="Appelnotedebasdep"/>
          <w:rFonts w:cstheme="minorHAnsi"/>
          <w:sz w:val="24"/>
          <w:szCs w:val="24"/>
        </w:rPr>
        <w:footnoteReference w:id="9"/>
      </w:r>
      <w:r w:rsidR="00932048">
        <w:rPr>
          <w:rFonts w:cstheme="minorHAnsi"/>
          <w:sz w:val="24"/>
          <w:szCs w:val="24"/>
        </w:rPr>
        <w:t>. La dominante intégrationniste de la jurisprudence de la Cour pendant les premières décennies de la construction européenne explique néanmoins que la réserve de l’abus de droit n’ait été admise par la Cour que du bout des lèvres, la Cour privilégiant la liberté et son usage par les destinataires du droit européen</w:t>
      </w:r>
      <w:r w:rsidR="00C9395A">
        <w:rPr>
          <w:rStyle w:val="Appelnotedebasdep"/>
          <w:rFonts w:cstheme="minorHAnsi"/>
          <w:sz w:val="24"/>
          <w:szCs w:val="24"/>
        </w:rPr>
        <w:footnoteReference w:id="10"/>
      </w:r>
      <w:r w:rsidR="00932048">
        <w:rPr>
          <w:rFonts w:cstheme="minorHAnsi"/>
          <w:sz w:val="24"/>
          <w:szCs w:val="24"/>
        </w:rPr>
        <w:t>.</w:t>
      </w:r>
      <w:r w:rsidR="00553B95">
        <w:rPr>
          <w:rFonts w:cstheme="minorHAnsi"/>
          <w:sz w:val="24"/>
          <w:szCs w:val="24"/>
        </w:rPr>
        <w:t xml:space="preserve"> </w:t>
      </w:r>
    </w:p>
    <w:p w:rsidR="00932048" w:rsidRDefault="00553B95" w:rsidP="00C51BC7">
      <w:pPr>
        <w:jc w:val="both"/>
        <w:rPr>
          <w:rFonts w:cstheme="minorHAnsi"/>
          <w:sz w:val="24"/>
          <w:szCs w:val="24"/>
        </w:rPr>
      </w:pPr>
      <w:r>
        <w:rPr>
          <w:rFonts w:cstheme="minorHAnsi"/>
          <w:sz w:val="24"/>
          <w:szCs w:val="24"/>
        </w:rPr>
        <w:t xml:space="preserve">Le primat de la liberté et la place réduite concédée à l’abus de droit a été singulièrement renforcé par la jurisprudence </w:t>
      </w:r>
      <w:proofErr w:type="spellStart"/>
      <w:r w:rsidRPr="00553B95">
        <w:rPr>
          <w:rFonts w:cstheme="minorHAnsi"/>
          <w:i/>
          <w:sz w:val="24"/>
          <w:szCs w:val="24"/>
        </w:rPr>
        <w:t>Centros</w:t>
      </w:r>
      <w:proofErr w:type="spellEnd"/>
      <w:r>
        <w:rPr>
          <w:rFonts w:cstheme="minorHAnsi"/>
          <w:sz w:val="24"/>
          <w:szCs w:val="24"/>
        </w:rPr>
        <w:t>, qui marque une nette rupture avec la pratique antérieure de la Cour : alors que dans sa jurisprudence antérieure, la Cour acceptait qu’un Etat membre puisse sanctionner une personne dès lors qu’il était avéré qu’elle s’est placée dans des conditions uniquement pour pouvoir bénéficier d’</w:t>
      </w:r>
      <w:r w:rsidR="003B3FE8">
        <w:rPr>
          <w:rFonts w:cstheme="minorHAnsi"/>
          <w:sz w:val="24"/>
          <w:szCs w:val="24"/>
        </w:rPr>
        <w:t xml:space="preserve">un avantage offert par le cadre européen, la Cour semble suggérer dans l’arrêt </w:t>
      </w:r>
      <w:proofErr w:type="spellStart"/>
      <w:r w:rsidR="003B3FE8" w:rsidRPr="003B3FE8">
        <w:rPr>
          <w:rFonts w:cstheme="minorHAnsi"/>
          <w:i/>
          <w:sz w:val="24"/>
          <w:szCs w:val="24"/>
        </w:rPr>
        <w:t>Centros</w:t>
      </w:r>
      <w:proofErr w:type="spellEnd"/>
      <w:r w:rsidR="003B3FE8">
        <w:rPr>
          <w:rFonts w:cstheme="minorHAnsi"/>
          <w:sz w:val="24"/>
          <w:szCs w:val="24"/>
        </w:rPr>
        <w:t xml:space="preserve"> que le fait pour une personne de se prévaloir d’une liberté européenne dans le but exclusif d’éviter les contraintes posées par le droit de son Etat membre « ne saurait constituer en soi un usage abusif » </w:t>
      </w:r>
      <w:r w:rsidR="003B3FE8">
        <w:rPr>
          <w:rStyle w:val="Appelnotedebasdep"/>
          <w:rFonts w:cstheme="minorHAnsi"/>
          <w:sz w:val="24"/>
          <w:szCs w:val="24"/>
        </w:rPr>
        <w:footnoteReference w:id="11"/>
      </w:r>
      <w:r w:rsidR="0002560C">
        <w:rPr>
          <w:rFonts w:cstheme="minorHAnsi"/>
          <w:sz w:val="24"/>
          <w:szCs w:val="24"/>
        </w:rPr>
        <w:t xml:space="preserve"> </w:t>
      </w:r>
      <w:r w:rsidR="003B3FE8">
        <w:rPr>
          <w:rFonts w:cstheme="minorHAnsi"/>
          <w:sz w:val="24"/>
          <w:szCs w:val="24"/>
        </w:rPr>
        <w:t>de la liberté européenne – en l’occurrence du droit d’établissement.</w:t>
      </w:r>
    </w:p>
    <w:p w:rsidR="00A531C1" w:rsidRDefault="003B3FE8" w:rsidP="00C51BC7">
      <w:pPr>
        <w:jc w:val="both"/>
        <w:rPr>
          <w:rFonts w:cstheme="minorHAnsi"/>
          <w:sz w:val="24"/>
          <w:szCs w:val="24"/>
        </w:rPr>
      </w:pPr>
      <w:r>
        <w:rPr>
          <w:rFonts w:cstheme="minorHAnsi"/>
          <w:sz w:val="24"/>
          <w:szCs w:val="24"/>
        </w:rPr>
        <w:t xml:space="preserve">Sans doute la spécificité du droit des sociétés </w:t>
      </w:r>
      <w:r w:rsidR="00A531C1">
        <w:rPr>
          <w:rFonts w:cstheme="minorHAnsi"/>
          <w:sz w:val="24"/>
          <w:szCs w:val="24"/>
        </w:rPr>
        <w:t xml:space="preserve">– qui a fait l’objet d’une harmonisation relativement poussée - </w:t>
      </w:r>
      <w:r>
        <w:rPr>
          <w:rFonts w:cstheme="minorHAnsi"/>
          <w:sz w:val="24"/>
          <w:szCs w:val="24"/>
        </w:rPr>
        <w:t xml:space="preserve">explique-t-il l’audace dont la Cour a fait preuve dans cette jurisprudence. </w:t>
      </w:r>
    </w:p>
    <w:p w:rsidR="003B3FE8" w:rsidRDefault="003B3FE8" w:rsidP="0002560C">
      <w:pPr>
        <w:jc w:val="both"/>
        <w:rPr>
          <w:rFonts w:cstheme="minorHAnsi"/>
          <w:sz w:val="24"/>
          <w:szCs w:val="24"/>
        </w:rPr>
      </w:pPr>
      <w:r>
        <w:rPr>
          <w:rFonts w:cstheme="minorHAnsi"/>
          <w:sz w:val="24"/>
          <w:szCs w:val="24"/>
        </w:rPr>
        <w:t xml:space="preserve">Toujours est-il que </w:t>
      </w:r>
      <w:r w:rsidR="00A531C1">
        <w:rPr>
          <w:rFonts w:cstheme="minorHAnsi"/>
          <w:sz w:val="24"/>
          <w:szCs w:val="24"/>
        </w:rPr>
        <w:t xml:space="preserve">dans ce même arrêt, la Cour a reconnu </w:t>
      </w:r>
      <w:r w:rsidR="00A531C1" w:rsidRPr="002A192F">
        <w:rPr>
          <w:rFonts w:cstheme="minorHAnsi"/>
          <w:sz w:val="24"/>
          <w:szCs w:val="24"/>
        </w:rPr>
        <w:t xml:space="preserve">la possibilité </w:t>
      </w:r>
      <w:r w:rsidR="00A531C1">
        <w:rPr>
          <w:rFonts w:cstheme="minorHAnsi"/>
          <w:sz w:val="24"/>
          <w:szCs w:val="24"/>
        </w:rPr>
        <w:t>pour les Etats membres de prendre des mesures pour empêcher les abus</w:t>
      </w:r>
      <w:r w:rsidR="00A531C1">
        <w:rPr>
          <w:rStyle w:val="Appelnotedebasdep"/>
          <w:rFonts w:cstheme="minorHAnsi"/>
          <w:sz w:val="24"/>
          <w:szCs w:val="24"/>
        </w:rPr>
        <w:footnoteReference w:id="12"/>
      </w:r>
      <w:r w:rsidR="00A531C1">
        <w:rPr>
          <w:rFonts w:cstheme="minorHAnsi"/>
          <w:sz w:val="24"/>
          <w:szCs w:val="24"/>
        </w:rPr>
        <w:t xml:space="preserve">. En outre, </w:t>
      </w:r>
      <w:r>
        <w:rPr>
          <w:rFonts w:cstheme="minorHAnsi"/>
          <w:sz w:val="24"/>
          <w:szCs w:val="24"/>
        </w:rPr>
        <w:t xml:space="preserve">l’évolution ultérieure de la doctrine de la Cour a montré qu’elle persistait à permettre </w:t>
      </w:r>
      <w:r w:rsidR="00A531C1">
        <w:rPr>
          <w:rFonts w:cstheme="minorHAnsi"/>
          <w:sz w:val="24"/>
          <w:szCs w:val="24"/>
        </w:rPr>
        <w:t>aux Etats membres de contrôler le comportement des acteurs pour sanctionner le cas échéant un abus</w:t>
      </w:r>
      <w:r>
        <w:rPr>
          <w:rFonts w:cstheme="minorHAnsi"/>
          <w:sz w:val="24"/>
          <w:szCs w:val="24"/>
        </w:rPr>
        <w:t xml:space="preserve">. Dans un arrêt </w:t>
      </w:r>
      <w:proofErr w:type="spellStart"/>
      <w:r w:rsidRPr="00A531C1">
        <w:rPr>
          <w:rFonts w:cstheme="minorHAnsi"/>
          <w:i/>
          <w:sz w:val="24"/>
          <w:szCs w:val="24"/>
        </w:rPr>
        <w:t>Bogendorff</w:t>
      </w:r>
      <w:proofErr w:type="spellEnd"/>
      <w:r>
        <w:rPr>
          <w:rFonts w:cstheme="minorHAnsi"/>
          <w:sz w:val="24"/>
          <w:szCs w:val="24"/>
        </w:rPr>
        <w:t xml:space="preserve"> qui concernait précisément la portabilité d’un élément du statut, la Cour a </w:t>
      </w:r>
      <w:r w:rsidR="00A531C1">
        <w:rPr>
          <w:rFonts w:cstheme="minorHAnsi"/>
          <w:sz w:val="24"/>
          <w:szCs w:val="24"/>
        </w:rPr>
        <w:t>rappelé</w:t>
      </w:r>
      <w:r w:rsidR="0002560C">
        <w:rPr>
          <w:rFonts w:cstheme="minorHAnsi"/>
          <w:sz w:val="24"/>
          <w:szCs w:val="24"/>
        </w:rPr>
        <w:t xml:space="preserve">, en citant </w:t>
      </w:r>
      <w:r w:rsidR="0002560C">
        <w:rPr>
          <w:rFonts w:cstheme="minorHAnsi"/>
          <w:sz w:val="24"/>
          <w:szCs w:val="24"/>
        </w:rPr>
        <w:lastRenderedPageBreak/>
        <w:t xml:space="preserve">l’arrêt </w:t>
      </w:r>
      <w:proofErr w:type="spellStart"/>
      <w:r w:rsidR="0002560C" w:rsidRPr="0002560C">
        <w:rPr>
          <w:rFonts w:cstheme="minorHAnsi"/>
          <w:i/>
          <w:sz w:val="24"/>
          <w:szCs w:val="24"/>
        </w:rPr>
        <w:t>Centros</w:t>
      </w:r>
      <w:proofErr w:type="spellEnd"/>
      <w:r w:rsidR="0002560C">
        <w:rPr>
          <w:rFonts w:cstheme="minorHAnsi"/>
          <w:sz w:val="24"/>
          <w:szCs w:val="24"/>
        </w:rPr>
        <w:t>, qu’un Etat membre est « </w:t>
      </w:r>
      <w:r w:rsidRPr="002A192F">
        <w:rPr>
          <w:rFonts w:cstheme="minorHAnsi"/>
          <w:sz w:val="24"/>
          <w:szCs w:val="24"/>
        </w:rPr>
        <w:t>en droit de prendre des mesures destinées à empêcher que, à la faveur des facilités créées en vertu du traité, certains de ses ressortissants ne tentent de se soustraire abusivement à l’emprise de leur législation nationale et que les justiciables ne sauraient abusivement ou frauduleusement se prévaloir des normes du droit</w:t>
      </w:r>
      <w:r w:rsidR="0002560C">
        <w:rPr>
          <w:rFonts w:cstheme="minorHAnsi"/>
          <w:sz w:val="24"/>
          <w:szCs w:val="24"/>
        </w:rPr>
        <w:t xml:space="preserve"> [européen] »</w:t>
      </w:r>
      <w:r w:rsidR="0002560C">
        <w:rPr>
          <w:rStyle w:val="Appelnotedebasdep"/>
          <w:rFonts w:cstheme="minorHAnsi"/>
          <w:sz w:val="24"/>
          <w:szCs w:val="24"/>
        </w:rPr>
        <w:footnoteReference w:id="13"/>
      </w:r>
      <w:r w:rsidR="0002560C">
        <w:rPr>
          <w:rFonts w:cstheme="minorHAnsi"/>
          <w:sz w:val="24"/>
          <w:szCs w:val="24"/>
        </w:rPr>
        <w:t>.</w:t>
      </w:r>
    </w:p>
    <w:p w:rsidR="00F521D6" w:rsidRDefault="0002560C" w:rsidP="00B11870">
      <w:pPr>
        <w:spacing w:after="0" w:line="240" w:lineRule="auto"/>
        <w:jc w:val="both"/>
        <w:rPr>
          <w:rFonts w:cstheme="minorHAnsi"/>
          <w:sz w:val="24"/>
          <w:szCs w:val="24"/>
        </w:rPr>
      </w:pPr>
      <w:r>
        <w:rPr>
          <w:rFonts w:cstheme="minorHAnsi"/>
          <w:sz w:val="24"/>
          <w:szCs w:val="24"/>
        </w:rPr>
        <w:t xml:space="preserve">Tel qu’il a été construit par la Cour, l’abus de droit a non seulement acquis droit de cité dans l’arsenal des dispositions européennes. Au fil de la jurisprudence, </w:t>
      </w:r>
      <w:r w:rsidR="009813C3">
        <w:rPr>
          <w:rFonts w:cstheme="minorHAnsi"/>
          <w:sz w:val="24"/>
          <w:szCs w:val="24"/>
        </w:rPr>
        <w:t>la Cour est parvenue à extraire le mécanisme du droit national, qu’elle conviait à l’origine pour fonder la sanction imposée aux acteurs dont le comportement était jugé répréhensible</w:t>
      </w:r>
      <w:r w:rsidR="009813C3">
        <w:rPr>
          <w:rStyle w:val="Appelnotedebasdep"/>
          <w:rFonts w:cstheme="minorHAnsi"/>
          <w:sz w:val="24"/>
          <w:szCs w:val="24"/>
        </w:rPr>
        <w:footnoteReference w:id="14"/>
      </w:r>
      <w:r w:rsidR="009813C3">
        <w:rPr>
          <w:rFonts w:cstheme="minorHAnsi"/>
          <w:sz w:val="24"/>
          <w:szCs w:val="24"/>
        </w:rPr>
        <w:t>.</w:t>
      </w:r>
      <w:r w:rsidR="00F521D6">
        <w:rPr>
          <w:rFonts w:cstheme="minorHAnsi"/>
          <w:sz w:val="24"/>
          <w:szCs w:val="24"/>
        </w:rPr>
        <w:t xml:space="preserve"> Pour autant, la Cour a laissé aux Etats membres et singulièrement aux juridictions nationales, le soin de mettre en œuvre ce mécanisme dont elle a tracé les contours. </w:t>
      </w:r>
    </w:p>
    <w:p w:rsidR="00F521D6" w:rsidRDefault="00F521D6" w:rsidP="00B11870">
      <w:pPr>
        <w:spacing w:after="0" w:line="240" w:lineRule="auto"/>
        <w:jc w:val="both"/>
        <w:rPr>
          <w:rFonts w:cstheme="minorHAnsi"/>
          <w:sz w:val="24"/>
          <w:szCs w:val="24"/>
        </w:rPr>
      </w:pPr>
    </w:p>
    <w:p w:rsidR="0002560C" w:rsidRDefault="00F521D6" w:rsidP="00F521D6">
      <w:pPr>
        <w:spacing w:after="0" w:line="240" w:lineRule="auto"/>
        <w:jc w:val="both"/>
        <w:rPr>
          <w:rFonts w:cstheme="minorHAnsi"/>
          <w:sz w:val="24"/>
          <w:szCs w:val="24"/>
        </w:rPr>
      </w:pPr>
      <w:r>
        <w:rPr>
          <w:rFonts w:cstheme="minorHAnsi"/>
          <w:sz w:val="24"/>
          <w:szCs w:val="24"/>
        </w:rPr>
        <w:t xml:space="preserve">Au terme de cette évolution, la Cour a reconnu à l’abus de droit le statut de </w:t>
      </w:r>
      <w:r w:rsidR="0002560C">
        <w:rPr>
          <w:rFonts w:cstheme="minorHAnsi"/>
          <w:sz w:val="24"/>
          <w:szCs w:val="24"/>
        </w:rPr>
        <w:t>principe général du droit européen</w:t>
      </w:r>
      <w:r w:rsidR="0002560C" w:rsidRPr="002A192F">
        <w:rPr>
          <w:rStyle w:val="Appelnotedebasdep"/>
          <w:rFonts w:cstheme="minorHAnsi"/>
        </w:rPr>
        <w:footnoteReference w:id="15"/>
      </w:r>
      <w:r w:rsidR="0002560C" w:rsidRPr="002A192F">
        <w:rPr>
          <w:rFonts w:cstheme="minorHAnsi"/>
        </w:rPr>
        <w:t xml:space="preserve">. </w:t>
      </w:r>
      <w:r w:rsidR="0002560C" w:rsidRPr="002A192F">
        <w:rPr>
          <w:rFonts w:cstheme="minorHAnsi"/>
          <w:sz w:val="24"/>
          <w:szCs w:val="24"/>
        </w:rPr>
        <w:t>Le mécanisme de l’abus de droit est ainsi devenu un ingrédient indispensable de la jurisprudence relative à la reconnaissance mutuelle.</w:t>
      </w:r>
    </w:p>
    <w:p w:rsidR="00F521D6" w:rsidRDefault="00F521D6" w:rsidP="00F521D6">
      <w:pPr>
        <w:spacing w:after="0" w:line="240" w:lineRule="auto"/>
        <w:jc w:val="both"/>
        <w:rPr>
          <w:rFonts w:cstheme="minorHAnsi"/>
          <w:sz w:val="24"/>
          <w:szCs w:val="24"/>
        </w:rPr>
      </w:pPr>
    </w:p>
    <w:p w:rsidR="0073586D" w:rsidRDefault="00F521D6" w:rsidP="00C51BC7">
      <w:pPr>
        <w:jc w:val="both"/>
        <w:rPr>
          <w:rFonts w:cstheme="minorHAnsi"/>
          <w:sz w:val="24"/>
          <w:szCs w:val="24"/>
        </w:rPr>
      </w:pPr>
      <w:r>
        <w:rPr>
          <w:rFonts w:cstheme="minorHAnsi"/>
          <w:sz w:val="24"/>
          <w:szCs w:val="24"/>
        </w:rPr>
        <w:t>O</w:t>
      </w:r>
      <w:r w:rsidR="004A0B60" w:rsidRPr="002A192F">
        <w:rPr>
          <w:rFonts w:cstheme="minorHAnsi"/>
          <w:sz w:val="24"/>
          <w:szCs w:val="24"/>
        </w:rPr>
        <w:t xml:space="preserve">r </w:t>
      </w:r>
      <w:r w:rsidR="0035748D">
        <w:rPr>
          <w:rFonts w:cstheme="minorHAnsi"/>
          <w:sz w:val="24"/>
          <w:szCs w:val="24"/>
        </w:rPr>
        <w:t xml:space="preserve">lorsqu’elle est confrontée à une question relative à la portabilité du statut, </w:t>
      </w:r>
      <w:r w:rsidR="004A0B60" w:rsidRPr="002A192F">
        <w:rPr>
          <w:rFonts w:cstheme="minorHAnsi"/>
          <w:sz w:val="24"/>
          <w:szCs w:val="24"/>
        </w:rPr>
        <w:t xml:space="preserve">la Cour de Luxembourg n’adopte pas une lecture </w:t>
      </w:r>
      <w:r w:rsidR="0035748D">
        <w:rPr>
          <w:rFonts w:cstheme="minorHAnsi"/>
          <w:sz w:val="24"/>
          <w:szCs w:val="24"/>
        </w:rPr>
        <w:t>particulière. Son cadre d’analyse demeure identique à celui mis en œuvre à propos d’autres situations et singulièrement des situations de libre circulation.</w:t>
      </w:r>
      <w:r w:rsidR="004A0B60" w:rsidRPr="002A192F">
        <w:rPr>
          <w:rFonts w:cstheme="minorHAnsi"/>
          <w:sz w:val="24"/>
          <w:szCs w:val="24"/>
        </w:rPr>
        <w:t xml:space="preserve"> C’est précisément ce qui </w:t>
      </w:r>
      <w:r w:rsidR="0035748D">
        <w:rPr>
          <w:rFonts w:cstheme="minorHAnsi"/>
          <w:sz w:val="24"/>
          <w:szCs w:val="24"/>
        </w:rPr>
        <w:t>a permis à la Cour, au fil de s</w:t>
      </w:r>
      <w:r w:rsidR="004A0B60" w:rsidRPr="002A192F">
        <w:rPr>
          <w:rFonts w:cstheme="minorHAnsi"/>
          <w:sz w:val="24"/>
          <w:szCs w:val="24"/>
        </w:rPr>
        <w:t xml:space="preserve">a jurisprudence </w:t>
      </w:r>
      <w:r w:rsidR="0035748D" w:rsidRPr="0035748D">
        <w:rPr>
          <w:rFonts w:cstheme="minorHAnsi"/>
          <w:i/>
          <w:sz w:val="24"/>
          <w:szCs w:val="24"/>
        </w:rPr>
        <w:t xml:space="preserve">Garcia </w:t>
      </w:r>
      <w:proofErr w:type="spellStart"/>
      <w:r w:rsidR="0035748D" w:rsidRPr="0035748D">
        <w:rPr>
          <w:rFonts w:cstheme="minorHAnsi"/>
          <w:i/>
          <w:sz w:val="24"/>
          <w:szCs w:val="24"/>
        </w:rPr>
        <w:t>Avello</w:t>
      </w:r>
      <w:proofErr w:type="spellEnd"/>
      <w:r w:rsidR="0035748D">
        <w:rPr>
          <w:rFonts w:cstheme="minorHAnsi"/>
          <w:sz w:val="24"/>
          <w:szCs w:val="24"/>
        </w:rPr>
        <w:t xml:space="preserve">, </w:t>
      </w:r>
      <w:proofErr w:type="spellStart"/>
      <w:r w:rsidR="0035748D" w:rsidRPr="0035748D">
        <w:rPr>
          <w:rFonts w:cstheme="minorHAnsi"/>
          <w:i/>
          <w:sz w:val="24"/>
          <w:szCs w:val="24"/>
        </w:rPr>
        <w:t>Grunkin</w:t>
      </w:r>
      <w:proofErr w:type="spellEnd"/>
      <w:r w:rsidR="0035748D" w:rsidRPr="0035748D">
        <w:rPr>
          <w:rFonts w:cstheme="minorHAnsi"/>
          <w:i/>
          <w:sz w:val="24"/>
          <w:szCs w:val="24"/>
        </w:rPr>
        <w:t xml:space="preserve"> Paul</w:t>
      </w:r>
      <w:r w:rsidR="0035748D">
        <w:rPr>
          <w:rFonts w:cstheme="minorHAnsi"/>
          <w:sz w:val="24"/>
          <w:szCs w:val="24"/>
        </w:rPr>
        <w:t xml:space="preserve"> et des arrêts qui ont suivi, de bouleverser le</w:t>
      </w:r>
      <w:r w:rsidR="0073586D">
        <w:rPr>
          <w:rFonts w:cstheme="minorHAnsi"/>
          <w:sz w:val="24"/>
          <w:szCs w:val="24"/>
        </w:rPr>
        <w:t>s habitudes des Etats membres, mettant à l’épreuve tantôt l’approche classique des conflits de nationalité, tantôt le rôle de la règle de conflit de lois dans l’appréciation d’une situation née à l’étranger.</w:t>
      </w:r>
    </w:p>
    <w:p w:rsidR="00E610C6" w:rsidRDefault="005E467B" w:rsidP="004D4EE0">
      <w:pPr>
        <w:jc w:val="both"/>
        <w:rPr>
          <w:rFonts w:cstheme="minorHAnsi"/>
          <w:sz w:val="24"/>
          <w:szCs w:val="24"/>
        </w:rPr>
      </w:pPr>
      <w:r>
        <w:rPr>
          <w:rFonts w:cstheme="minorHAnsi"/>
          <w:sz w:val="24"/>
          <w:szCs w:val="24"/>
        </w:rPr>
        <w:t xml:space="preserve">Il est dès lors </w:t>
      </w:r>
      <w:r w:rsidR="0053453B">
        <w:rPr>
          <w:rFonts w:cstheme="minorHAnsi"/>
          <w:sz w:val="24"/>
          <w:szCs w:val="24"/>
        </w:rPr>
        <w:t>parfaitement cohérent que le mécanisme de l’abus de droit pui</w:t>
      </w:r>
      <w:r w:rsidR="0053453B" w:rsidRPr="0053453B">
        <w:rPr>
          <w:rFonts w:cstheme="minorHAnsi"/>
          <w:sz w:val="24"/>
          <w:szCs w:val="24"/>
        </w:rPr>
        <w:t xml:space="preserve">sse trouver sa place lorsqu’est en jeu une situation de portabilité. </w:t>
      </w:r>
      <w:r w:rsidR="00EB3E17">
        <w:rPr>
          <w:rFonts w:cstheme="minorHAnsi"/>
          <w:sz w:val="24"/>
          <w:szCs w:val="24"/>
        </w:rPr>
        <w:t>L’impératif de cohérence du système européen commande que dans ce domaine comme dans d’autres, il soit permis de remettre en cause un comportement lorsqu’</w:t>
      </w:r>
      <w:r w:rsidR="00E610C6">
        <w:rPr>
          <w:rFonts w:cstheme="minorHAnsi"/>
          <w:sz w:val="24"/>
          <w:szCs w:val="24"/>
        </w:rPr>
        <w:t>il est jugé abusif.</w:t>
      </w:r>
    </w:p>
    <w:p w:rsidR="00A35A61" w:rsidRDefault="00EB3E17" w:rsidP="00A35A61">
      <w:pPr>
        <w:jc w:val="both"/>
        <w:rPr>
          <w:rFonts w:cstheme="minorHAnsi"/>
          <w:color w:val="333333"/>
          <w:sz w:val="24"/>
          <w:szCs w:val="24"/>
          <w:shd w:val="clear" w:color="auto" w:fill="FFFFFF"/>
        </w:rPr>
      </w:pPr>
      <w:r>
        <w:rPr>
          <w:rFonts w:cstheme="minorHAnsi"/>
          <w:sz w:val="24"/>
          <w:szCs w:val="24"/>
        </w:rPr>
        <w:t xml:space="preserve">Sans doute l’expérience du droit international privé européen n’est-elle pas très concluante. Malgré les appels </w:t>
      </w:r>
      <w:r w:rsidR="001E0940">
        <w:rPr>
          <w:rFonts w:cstheme="minorHAnsi"/>
          <w:sz w:val="24"/>
          <w:szCs w:val="24"/>
        </w:rPr>
        <w:t>déjà anciens d’une doctrine autorisée qui plaide pour permettre l’application du mécanisme de l’abus de droit notamment à l’égard du jeu des règles européennes de compétence</w:t>
      </w:r>
      <w:r w:rsidR="001E0940" w:rsidRPr="0053453B">
        <w:rPr>
          <w:rStyle w:val="Appelnotedebasdep"/>
          <w:rFonts w:cstheme="minorHAnsi"/>
          <w:color w:val="333333"/>
          <w:sz w:val="24"/>
          <w:szCs w:val="24"/>
          <w:shd w:val="clear" w:color="auto" w:fill="FFFFFF"/>
        </w:rPr>
        <w:footnoteReference w:id="16"/>
      </w:r>
      <w:r w:rsidR="001E0940">
        <w:rPr>
          <w:rFonts w:cstheme="minorHAnsi"/>
          <w:sz w:val="24"/>
          <w:szCs w:val="24"/>
        </w:rPr>
        <w:t xml:space="preserve"> ainsi qu’à l’égard du mécanisme européen de la </w:t>
      </w:r>
      <w:r w:rsidR="001E0940">
        <w:rPr>
          <w:rFonts w:cstheme="minorHAnsi"/>
          <w:sz w:val="24"/>
          <w:szCs w:val="24"/>
        </w:rPr>
        <w:lastRenderedPageBreak/>
        <w:t>litispendance</w:t>
      </w:r>
      <w:r w:rsidR="001E0940" w:rsidRPr="0053453B">
        <w:rPr>
          <w:rStyle w:val="Appelnotedebasdep"/>
          <w:rFonts w:cstheme="minorHAnsi"/>
          <w:color w:val="333333"/>
          <w:sz w:val="24"/>
          <w:szCs w:val="24"/>
          <w:shd w:val="clear" w:color="auto" w:fill="FFFFFF"/>
        </w:rPr>
        <w:footnoteReference w:id="17"/>
      </w:r>
      <w:r w:rsidR="001E0940">
        <w:rPr>
          <w:rFonts w:cstheme="minorHAnsi"/>
          <w:sz w:val="24"/>
          <w:szCs w:val="24"/>
        </w:rPr>
        <w:t>, la Cour n’a pour l’</w:t>
      </w:r>
      <w:r w:rsidR="00A35A61">
        <w:rPr>
          <w:rFonts w:cstheme="minorHAnsi"/>
          <w:sz w:val="24"/>
          <w:szCs w:val="24"/>
        </w:rPr>
        <w:t xml:space="preserve">instant pas ouvert la porte à une remise en cause d’un choix de for ou du bénéfice d’une saisine antérieure. Au contraire, </w:t>
      </w:r>
      <w:r w:rsidR="00A35A61">
        <w:rPr>
          <w:rFonts w:cstheme="minorHAnsi"/>
          <w:color w:val="333333"/>
          <w:sz w:val="24"/>
          <w:szCs w:val="24"/>
          <w:shd w:val="clear" w:color="auto" w:fill="FFFFFF"/>
        </w:rPr>
        <w:t>d</w:t>
      </w:r>
      <w:r w:rsidR="004D4EE0" w:rsidRPr="0053453B">
        <w:rPr>
          <w:rFonts w:cstheme="minorHAnsi"/>
          <w:color w:val="333333"/>
          <w:sz w:val="24"/>
          <w:szCs w:val="24"/>
          <w:shd w:val="clear" w:color="auto" w:fill="FFFFFF"/>
        </w:rPr>
        <w:t xml:space="preserve">ans l’arrêt </w:t>
      </w:r>
      <w:r w:rsidR="004D4EE0" w:rsidRPr="0053453B">
        <w:rPr>
          <w:rFonts w:cstheme="minorHAnsi"/>
          <w:i/>
          <w:color w:val="333333"/>
          <w:sz w:val="24"/>
          <w:szCs w:val="24"/>
          <w:shd w:val="clear" w:color="auto" w:fill="FFFFFF"/>
        </w:rPr>
        <w:t>Gasser</w:t>
      </w:r>
      <w:r w:rsidR="004D4EE0" w:rsidRPr="0053453B">
        <w:rPr>
          <w:rFonts w:cstheme="minorHAnsi"/>
          <w:color w:val="333333"/>
          <w:sz w:val="24"/>
          <w:szCs w:val="24"/>
          <w:shd w:val="clear" w:color="auto" w:fill="FFFFFF"/>
        </w:rPr>
        <w:t>, la Cour a refusé d’ouvrir la possibilité au juge second saisi de déroger a</w:t>
      </w:r>
      <w:r w:rsidR="00AC1F40" w:rsidRPr="0053453B">
        <w:rPr>
          <w:rFonts w:cstheme="minorHAnsi"/>
          <w:color w:val="333333"/>
          <w:sz w:val="24"/>
          <w:szCs w:val="24"/>
          <w:shd w:val="clear" w:color="auto" w:fill="FFFFFF"/>
        </w:rPr>
        <w:t>u</w:t>
      </w:r>
      <w:r w:rsidR="004D4EE0" w:rsidRPr="0053453B">
        <w:rPr>
          <w:rFonts w:cstheme="minorHAnsi"/>
          <w:color w:val="333333"/>
          <w:sz w:val="24"/>
          <w:szCs w:val="24"/>
          <w:shd w:val="clear" w:color="auto" w:fill="FFFFFF"/>
        </w:rPr>
        <w:t xml:space="preserve"> jeu normal de l’exception de litispendance au motif que la durée de la procédure devant la juridiction première saisie serait excessivement longue. Selon la Cour, une telle dérogation serait « manifestement contraire tant à la lettre qu’à l’économie et à la finalité » des règles de compétence européenne</w:t>
      </w:r>
      <w:r w:rsidR="004D4EE0" w:rsidRPr="0053453B">
        <w:rPr>
          <w:rStyle w:val="Appelnotedebasdep"/>
          <w:rFonts w:cstheme="minorHAnsi"/>
          <w:color w:val="333333"/>
          <w:sz w:val="24"/>
          <w:szCs w:val="24"/>
          <w:shd w:val="clear" w:color="auto" w:fill="FFFFFF"/>
        </w:rPr>
        <w:footnoteReference w:id="18"/>
      </w:r>
      <w:r w:rsidR="004D4EE0" w:rsidRPr="0053453B">
        <w:rPr>
          <w:rFonts w:cstheme="minorHAnsi"/>
          <w:color w:val="333333"/>
          <w:sz w:val="24"/>
          <w:szCs w:val="24"/>
          <w:shd w:val="clear" w:color="auto" w:fill="FFFFFF"/>
        </w:rPr>
        <w:t>.</w:t>
      </w:r>
    </w:p>
    <w:p w:rsidR="004D4EE0" w:rsidRDefault="004D4EE0" w:rsidP="00A35A61">
      <w:pPr>
        <w:jc w:val="both"/>
        <w:rPr>
          <w:rFonts w:cstheme="minorHAnsi"/>
          <w:color w:val="333333"/>
          <w:sz w:val="24"/>
          <w:szCs w:val="24"/>
          <w:shd w:val="clear" w:color="auto" w:fill="FFFFFF"/>
        </w:rPr>
      </w:pPr>
      <w:r w:rsidRPr="0053453B">
        <w:rPr>
          <w:rFonts w:cstheme="minorHAnsi"/>
          <w:color w:val="333333"/>
          <w:sz w:val="24"/>
          <w:szCs w:val="24"/>
          <w:shd w:val="clear" w:color="auto" w:fill="FFFFFF"/>
        </w:rPr>
        <w:t>Ce rejet ne permet pas toutefois de considérer que la Cour a condamné le recours au principe général de l’abus de droit</w:t>
      </w:r>
      <w:r w:rsidR="00EF5750">
        <w:rPr>
          <w:rFonts w:cstheme="minorHAnsi"/>
          <w:color w:val="333333"/>
          <w:sz w:val="24"/>
          <w:szCs w:val="24"/>
          <w:shd w:val="clear" w:color="auto" w:fill="FFFFFF"/>
        </w:rPr>
        <w:t xml:space="preserve"> dans le domaine des conflits de juridiction</w:t>
      </w:r>
      <w:r w:rsidRPr="0053453B">
        <w:rPr>
          <w:rFonts w:cstheme="minorHAnsi"/>
          <w:color w:val="333333"/>
          <w:sz w:val="24"/>
          <w:szCs w:val="24"/>
          <w:shd w:val="clear" w:color="auto" w:fill="FFFFFF"/>
        </w:rPr>
        <w:t xml:space="preserve">. </w:t>
      </w:r>
      <w:r w:rsidR="00EF5750">
        <w:rPr>
          <w:rFonts w:cstheme="minorHAnsi"/>
          <w:color w:val="333333"/>
          <w:sz w:val="24"/>
          <w:szCs w:val="24"/>
          <w:shd w:val="clear" w:color="auto" w:fill="FFFFFF"/>
        </w:rPr>
        <w:t xml:space="preserve">La question dont elle était saisie était en effet limitée à </w:t>
      </w:r>
      <w:r w:rsidRPr="0053453B">
        <w:rPr>
          <w:rFonts w:cstheme="minorHAnsi"/>
          <w:color w:val="333333"/>
          <w:sz w:val="24"/>
          <w:szCs w:val="24"/>
          <w:shd w:val="clear" w:color="auto" w:fill="FFFFFF"/>
        </w:rPr>
        <w:t>l’hypothèse particulière dans laquelle la procédure devant la juridiction première saisie est excessivement longue.</w:t>
      </w:r>
      <w:r w:rsidR="00EF5750">
        <w:rPr>
          <w:rFonts w:cstheme="minorHAnsi"/>
          <w:color w:val="333333"/>
          <w:sz w:val="24"/>
          <w:szCs w:val="24"/>
          <w:shd w:val="clear" w:color="auto" w:fill="FFFFFF"/>
        </w:rPr>
        <w:t xml:space="preserve"> Il n’est dès lors pas exclu que la Cour</w:t>
      </w:r>
      <w:r w:rsidR="00E600E1">
        <w:rPr>
          <w:rFonts w:cstheme="minorHAnsi"/>
          <w:color w:val="333333"/>
          <w:sz w:val="24"/>
          <w:szCs w:val="24"/>
          <w:shd w:val="clear" w:color="auto" w:fill="FFFFFF"/>
        </w:rPr>
        <w:t xml:space="preserve"> permette un jour de desserrer le carcan des règles européens pour sanctionner les comportements abusifs</w:t>
      </w:r>
      <w:r w:rsidR="00EF5750">
        <w:rPr>
          <w:rStyle w:val="Appelnotedebasdep"/>
          <w:rFonts w:cstheme="minorHAnsi"/>
          <w:color w:val="333333"/>
          <w:sz w:val="24"/>
          <w:szCs w:val="24"/>
          <w:shd w:val="clear" w:color="auto" w:fill="FFFFFF"/>
        </w:rPr>
        <w:footnoteReference w:id="19"/>
      </w:r>
      <w:r w:rsidR="00EF5750">
        <w:rPr>
          <w:rFonts w:cstheme="minorHAnsi"/>
          <w:color w:val="333333"/>
          <w:sz w:val="24"/>
          <w:szCs w:val="24"/>
          <w:shd w:val="clear" w:color="auto" w:fill="FFFFFF"/>
        </w:rPr>
        <w:t>.</w:t>
      </w:r>
    </w:p>
    <w:p w:rsidR="00AC1F40" w:rsidRPr="002A192F" w:rsidRDefault="00E600E1" w:rsidP="00653284">
      <w:pPr>
        <w:jc w:val="both"/>
        <w:rPr>
          <w:rFonts w:cstheme="minorHAnsi"/>
          <w:sz w:val="24"/>
          <w:szCs w:val="24"/>
        </w:rPr>
      </w:pPr>
      <w:r>
        <w:rPr>
          <w:rFonts w:cstheme="minorHAnsi"/>
          <w:color w:val="333333"/>
          <w:sz w:val="24"/>
          <w:szCs w:val="24"/>
          <w:shd w:val="clear" w:color="auto" w:fill="FFFFFF"/>
        </w:rPr>
        <w:t>S</w:t>
      </w:r>
      <w:r w:rsidR="00AC1F40" w:rsidRPr="0053453B">
        <w:rPr>
          <w:rFonts w:cstheme="minorHAnsi"/>
          <w:sz w:val="24"/>
          <w:szCs w:val="24"/>
        </w:rPr>
        <w:t>’agissant de portabilité et de reconnaissance</w:t>
      </w:r>
      <w:r>
        <w:rPr>
          <w:rFonts w:cstheme="minorHAnsi"/>
          <w:sz w:val="24"/>
          <w:szCs w:val="24"/>
        </w:rPr>
        <w:t xml:space="preserve"> de statut</w:t>
      </w:r>
      <w:r w:rsidR="00AC1F40" w:rsidRPr="0053453B">
        <w:rPr>
          <w:rFonts w:cstheme="minorHAnsi"/>
          <w:sz w:val="24"/>
          <w:szCs w:val="24"/>
        </w:rPr>
        <w:t xml:space="preserve">, des prémices plus fermes existent qui permettent de penser que la Cour a </w:t>
      </w:r>
      <w:r w:rsidR="00302AD3" w:rsidRPr="0053453B">
        <w:rPr>
          <w:rFonts w:cstheme="minorHAnsi"/>
          <w:sz w:val="24"/>
          <w:szCs w:val="24"/>
        </w:rPr>
        <w:t>déjà fait une place</w:t>
      </w:r>
      <w:r w:rsidR="00AC1F40" w:rsidRPr="0053453B">
        <w:rPr>
          <w:rFonts w:cstheme="minorHAnsi"/>
          <w:sz w:val="24"/>
          <w:szCs w:val="24"/>
        </w:rPr>
        <w:t xml:space="preserve"> à l’abus de droit. Déjà dans l’arrêt </w:t>
      </w:r>
      <w:proofErr w:type="spellStart"/>
      <w:r w:rsidR="00AC1F40" w:rsidRPr="0053453B">
        <w:rPr>
          <w:rFonts w:cstheme="minorHAnsi"/>
          <w:i/>
          <w:sz w:val="24"/>
          <w:szCs w:val="24"/>
        </w:rPr>
        <w:t>Centros</w:t>
      </w:r>
      <w:proofErr w:type="spellEnd"/>
      <w:r w:rsidR="00AC1F40" w:rsidRPr="0053453B">
        <w:rPr>
          <w:rFonts w:cstheme="minorHAnsi"/>
          <w:sz w:val="24"/>
          <w:szCs w:val="24"/>
        </w:rPr>
        <w:t xml:space="preserve">, qui </w:t>
      </w:r>
      <w:r w:rsidR="00653284">
        <w:rPr>
          <w:rFonts w:cstheme="minorHAnsi"/>
          <w:sz w:val="24"/>
          <w:szCs w:val="24"/>
        </w:rPr>
        <w:t>concerne une personne morale</w:t>
      </w:r>
      <w:r w:rsidR="008B4829">
        <w:rPr>
          <w:rFonts w:cstheme="minorHAnsi"/>
          <w:sz w:val="24"/>
          <w:szCs w:val="24"/>
        </w:rPr>
        <w:t>,</w:t>
      </w:r>
      <w:r w:rsidR="00653284">
        <w:rPr>
          <w:rFonts w:cstheme="minorHAnsi"/>
          <w:sz w:val="24"/>
          <w:szCs w:val="24"/>
        </w:rPr>
        <w:t xml:space="preserve"> mais dont l’enseignement est fondamental</w:t>
      </w:r>
      <w:r w:rsidR="00AC1F40" w:rsidRPr="0053453B">
        <w:rPr>
          <w:rFonts w:cstheme="minorHAnsi"/>
          <w:sz w:val="24"/>
          <w:szCs w:val="24"/>
        </w:rPr>
        <w:t xml:space="preserve">, la Cour avait </w:t>
      </w:r>
      <w:r>
        <w:rPr>
          <w:rFonts w:cstheme="minorHAnsi"/>
          <w:sz w:val="24"/>
          <w:szCs w:val="24"/>
        </w:rPr>
        <w:t xml:space="preserve">concédé une place à </w:t>
      </w:r>
      <w:r w:rsidR="00AC1F40" w:rsidRPr="002A192F">
        <w:rPr>
          <w:rFonts w:cstheme="minorHAnsi"/>
          <w:sz w:val="24"/>
          <w:szCs w:val="24"/>
        </w:rPr>
        <w:t>l’abus de droit.</w:t>
      </w:r>
      <w:r w:rsidR="001A4671" w:rsidRPr="002A192F">
        <w:rPr>
          <w:rFonts w:cstheme="minorHAnsi"/>
          <w:sz w:val="24"/>
          <w:szCs w:val="24"/>
        </w:rPr>
        <w:t xml:space="preserve"> </w:t>
      </w:r>
      <w:r w:rsidR="00653284">
        <w:rPr>
          <w:rFonts w:cstheme="minorHAnsi"/>
          <w:sz w:val="24"/>
          <w:szCs w:val="24"/>
        </w:rPr>
        <w:t xml:space="preserve">Après avoir fermement exclu que les motivations des époux </w:t>
      </w:r>
      <w:proofErr w:type="spellStart"/>
      <w:r w:rsidR="00653284">
        <w:rPr>
          <w:rFonts w:cstheme="minorHAnsi"/>
          <w:sz w:val="24"/>
          <w:szCs w:val="24"/>
        </w:rPr>
        <w:t>Bryde</w:t>
      </w:r>
      <w:proofErr w:type="spellEnd"/>
      <w:r w:rsidR="00653284">
        <w:rPr>
          <w:rFonts w:cstheme="minorHAnsi"/>
          <w:sz w:val="24"/>
          <w:szCs w:val="24"/>
        </w:rPr>
        <w:t>, deux ressortissants danois qui avaient constitué une société en Angleterre, puissent être pris en compte au stade de la recevabilité</w:t>
      </w:r>
      <w:r w:rsidR="00653284">
        <w:rPr>
          <w:rStyle w:val="Appelnotedebasdep"/>
          <w:rFonts w:cstheme="minorHAnsi"/>
          <w:sz w:val="24"/>
          <w:szCs w:val="24"/>
        </w:rPr>
        <w:footnoteReference w:id="20"/>
      </w:r>
      <w:r w:rsidR="00653284">
        <w:rPr>
          <w:rFonts w:cstheme="minorHAnsi"/>
          <w:sz w:val="24"/>
          <w:szCs w:val="24"/>
        </w:rPr>
        <w:t>, la Cour avait en effet reconnu qu’un Etat membre était en droit de « </w:t>
      </w:r>
      <w:r w:rsidR="00AC1F40" w:rsidRPr="002A192F">
        <w:rPr>
          <w:rFonts w:cstheme="minorHAnsi"/>
          <w:sz w:val="24"/>
          <w:szCs w:val="24"/>
        </w:rPr>
        <w:t xml:space="preserve">de prendre des mesures destinées à empêcher que, à la faveur des facilités créées en vertu du traité, certains de ses ressortissants ne tentent </w:t>
      </w:r>
      <w:r w:rsidR="00AC1F40" w:rsidRPr="002A192F">
        <w:rPr>
          <w:rFonts w:cstheme="minorHAnsi"/>
          <w:sz w:val="24"/>
          <w:szCs w:val="24"/>
        </w:rPr>
        <w:lastRenderedPageBreak/>
        <w:t>de se soustraire abusivement à l'emprise de leur législation nationale et que les justiciables ne sauraient abusivement ou frauduleusement se prévaloir des normes communautaires… »</w:t>
      </w:r>
      <w:r w:rsidR="00653284">
        <w:rPr>
          <w:rStyle w:val="Appelnotedebasdep"/>
          <w:rFonts w:cstheme="minorHAnsi"/>
          <w:sz w:val="24"/>
          <w:szCs w:val="24"/>
        </w:rPr>
        <w:footnoteReference w:id="21"/>
      </w:r>
      <w:r w:rsidR="00653284">
        <w:rPr>
          <w:rFonts w:cstheme="minorHAnsi"/>
          <w:sz w:val="24"/>
          <w:szCs w:val="24"/>
        </w:rPr>
        <w:t xml:space="preserve">. </w:t>
      </w:r>
    </w:p>
    <w:p w:rsidR="00BF0847" w:rsidRDefault="008B4829" w:rsidP="00BF0847">
      <w:pPr>
        <w:jc w:val="both"/>
        <w:rPr>
          <w:rFonts w:cstheme="minorHAnsi"/>
          <w:sz w:val="24"/>
          <w:szCs w:val="24"/>
        </w:rPr>
      </w:pPr>
      <w:r>
        <w:rPr>
          <w:rFonts w:cstheme="minorHAnsi"/>
          <w:sz w:val="24"/>
          <w:szCs w:val="24"/>
        </w:rPr>
        <w:t xml:space="preserve">C’est précisément à cet attendu que la Cour a récemment fait écho dans sa jurisprudence </w:t>
      </w:r>
      <w:proofErr w:type="spellStart"/>
      <w:r w:rsidRPr="008B4829">
        <w:rPr>
          <w:rFonts w:cstheme="minorHAnsi"/>
          <w:i/>
          <w:sz w:val="24"/>
          <w:szCs w:val="24"/>
        </w:rPr>
        <w:t>Bogendorff</w:t>
      </w:r>
      <w:proofErr w:type="spellEnd"/>
      <w:r>
        <w:rPr>
          <w:rFonts w:cstheme="minorHAnsi"/>
          <w:sz w:val="24"/>
          <w:szCs w:val="24"/>
        </w:rPr>
        <w:t>. Alors que les première décisions portant sur le thème de la portabilité n’évoquaient en aucune manière la possibilité de sanctionner un comportement abusif</w:t>
      </w:r>
      <w:r>
        <w:rPr>
          <w:rStyle w:val="Appelnotedebasdep"/>
          <w:rFonts w:cstheme="minorHAnsi"/>
          <w:sz w:val="24"/>
          <w:szCs w:val="24"/>
        </w:rPr>
        <w:footnoteReference w:id="22"/>
      </w:r>
      <w:r>
        <w:rPr>
          <w:rFonts w:cstheme="minorHAnsi"/>
          <w:sz w:val="24"/>
          <w:szCs w:val="24"/>
        </w:rPr>
        <w:t xml:space="preserve">, sans doute parce que les circonstances de fait ne se prêtaient pas à une appréciation fondée sur l’abus de droit, la Cour a dans l’arrêt </w:t>
      </w:r>
      <w:proofErr w:type="spellStart"/>
      <w:r w:rsidRPr="005B49B1">
        <w:rPr>
          <w:rFonts w:cstheme="minorHAnsi"/>
          <w:i/>
          <w:sz w:val="24"/>
          <w:szCs w:val="24"/>
        </w:rPr>
        <w:t>Bogendorff</w:t>
      </w:r>
      <w:proofErr w:type="spellEnd"/>
      <w:r>
        <w:rPr>
          <w:rFonts w:cstheme="minorHAnsi"/>
          <w:sz w:val="24"/>
          <w:szCs w:val="24"/>
        </w:rPr>
        <w:t xml:space="preserve"> confirmé qu’un Etat membre peut tenir compte du fait qu’un changement opéré par une personne dans son statut, l’a été pour contourner, à l’aide de la liberté de circulation et des droits qui en résultent, une législation nationale</w:t>
      </w:r>
      <w:r>
        <w:rPr>
          <w:rStyle w:val="Appelnotedebasdep"/>
          <w:rFonts w:cstheme="minorHAnsi"/>
          <w:sz w:val="24"/>
          <w:szCs w:val="24"/>
        </w:rPr>
        <w:footnoteReference w:id="23"/>
      </w:r>
      <w:r>
        <w:rPr>
          <w:rFonts w:cstheme="minorHAnsi"/>
          <w:sz w:val="24"/>
          <w:szCs w:val="24"/>
        </w:rPr>
        <w:t xml:space="preserve">. </w:t>
      </w:r>
    </w:p>
    <w:p w:rsidR="00AC1F40" w:rsidRPr="002A192F" w:rsidRDefault="00BF0847" w:rsidP="00BF0847">
      <w:pPr>
        <w:jc w:val="both"/>
        <w:rPr>
          <w:rFonts w:cstheme="minorHAnsi"/>
          <w:sz w:val="24"/>
          <w:szCs w:val="24"/>
        </w:rPr>
      </w:pPr>
      <w:r>
        <w:rPr>
          <w:rFonts w:cstheme="minorHAnsi"/>
          <w:sz w:val="24"/>
          <w:szCs w:val="24"/>
        </w:rPr>
        <w:t>On ne peut dès lors penser la portabilité, en tant qu’elle est fondée sur la citoyenneté européenne et les libertés dont bénéficie le citoyen, sans</w:t>
      </w:r>
      <w:r w:rsidR="00AC1F40" w:rsidRPr="002A192F">
        <w:rPr>
          <w:rFonts w:cstheme="minorHAnsi"/>
          <w:sz w:val="24"/>
          <w:szCs w:val="24"/>
        </w:rPr>
        <w:t xml:space="preserve"> </w:t>
      </w:r>
      <w:r w:rsidR="005B49B1">
        <w:rPr>
          <w:rFonts w:cstheme="minorHAnsi"/>
          <w:sz w:val="24"/>
          <w:szCs w:val="24"/>
        </w:rPr>
        <w:t>autoriser les Etats membres à sanctionner les comportements qui</w:t>
      </w:r>
      <w:r w:rsidR="00644ED5">
        <w:rPr>
          <w:rFonts w:cstheme="minorHAnsi"/>
          <w:sz w:val="24"/>
          <w:szCs w:val="24"/>
        </w:rPr>
        <w:t xml:space="preserve"> détournent la liberté à des fins</w:t>
      </w:r>
      <w:r w:rsidR="00AC1F40" w:rsidRPr="002A192F">
        <w:rPr>
          <w:rFonts w:cstheme="minorHAnsi"/>
          <w:sz w:val="24"/>
          <w:szCs w:val="24"/>
        </w:rPr>
        <w:t>.</w:t>
      </w:r>
      <w:r w:rsidR="00060111">
        <w:rPr>
          <w:rFonts w:cstheme="minorHAnsi"/>
          <w:sz w:val="24"/>
          <w:szCs w:val="24"/>
        </w:rPr>
        <w:t xml:space="preserve"> Il n’y a </w:t>
      </w:r>
      <w:r w:rsidR="00865A95">
        <w:rPr>
          <w:rFonts w:cstheme="minorHAnsi"/>
          <w:sz w:val="24"/>
          <w:szCs w:val="24"/>
        </w:rPr>
        <w:t xml:space="preserve">en effet </w:t>
      </w:r>
      <w:r w:rsidR="00060111">
        <w:rPr>
          <w:rFonts w:cstheme="minorHAnsi"/>
          <w:sz w:val="24"/>
          <w:szCs w:val="24"/>
        </w:rPr>
        <w:t>guère de raison de penser que la question de la portabilité du statut personnel s’écarterait d</w:t>
      </w:r>
      <w:r w:rsidR="00865A95">
        <w:rPr>
          <w:rFonts w:cstheme="minorHAnsi"/>
          <w:sz w:val="24"/>
          <w:szCs w:val="24"/>
        </w:rPr>
        <w:t xml:space="preserve">es </w:t>
      </w:r>
      <w:r w:rsidR="00060111">
        <w:rPr>
          <w:rFonts w:cstheme="minorHAnsi"/>
          <w:sz w:val="24"/>
          <w:szCs w:val="24"/>
        </w:rPr>
        <w:t xml:space="preserve">autres </w:t>
      </w:r>
      <w:r w:rsidR="00865A95">
        <w:rPr>
          <w:rFonts w:cstheme="minorHAnsi"/>
          <w:sz w:val="24"/>
          <w:szCs w:val="24"/>
        </w:rPr>
        <w:t xml:space="preserve">conquêtes de la libre circulation </w:t>
      </w:r>
      <w:r w:rsidR="00AD6BD7">
        <w:rPr>
          <w:rFonts w:cstheme="minorHAnsi"/>
          <w:sz w:val="24"/>
          <w:szCs w:val="24"/>
        </w:rPr>
        <w:t>au point de ne pouvoir souffrir d’une limitation fondée sur l’abus de droit.</w:t>
      </w:r>
    </w:p>
    <w:p w:rsidR="004A0B60" w:rsidRPr="002A192F" w:rsidRDefault="004A0B60" w:rsidP="00DB4306">
      <w:pPr>
        <w:rPr>
          <w:rFonts w:cstheme="minorHAnsi"/>
          <w:sz w:val="24"/>
          <w:szCs w:val="24"/>
        </w:rPr>
      </w:pPr>
    </w:p>
    <w:p w:rsidR="00302AD3" w:rsidRPr="002A192F" w:rsidRDefault="00302AD3" w:rsidP="00C263F8">
      <w:pPr>
        <w:pStyle w:val="Paragraphedeliste"/>
        <w:numPr>
          <w:ilvl w:val="1"/>
          <w:numId w:val="2"/>
        </w:numPr>
        <w:jc w:val="both"/>
        <w:rPr>
          <w:rFonts w:cstheme="minorHAnsi"/>
          <w:sz w:val="24"/>
          <w:szCs w:val="24"/>
        </w:rPr>
      </w:pPr>
      <w:r w:rsidRPr="002A192F">
        <w:rPr>
          <w:rFonts w:cstheme="minorHAnsi"/>
          <w:b/>
          <w:sz w:val="24"/>
          <w:szCs w:val="24"/>
        </w:rPr>
        <w:t>L’Eu</w:t>
      </w:r>
      <w:r w:rsidR="00B10DF8">
        <w:rPr>
          <w:rFonts w:cstheme="minorHAnsi"/>
          <w:b/>
          <w:sz w:val="24"/>
          <w:szCs w:val="24"/>
        </w:rPr>
        <w:t>rope de Strasbourg : la confi</w:t>
      </w:r>
      <w:r w:rsidR="00890FEF">
        <w:rPr>
          <w:rFonts w:cstheme="minorHAnsi"/>
          <w:b/>
          <w:sz w:val="24"/>
          <w:szCs w:val="24"/>
        </w:rPr>
        <w:t>ance légitime comme substitut à la prohibition de l’abus de droit</w:t>
      </w:r>
    </w:p>
    <w:p w:rsidR="00BA54F2" w:rsidRPr="009C0D29" w:rsidRDefault="005B49B1" w:rsidP="009C0D29">
      <w:pPr>
        <w:jc w:val="both"/>
        <w:rPr>
          <w:rFonts w:cstheme="minorHAnsi"/>
          <w:sz w:val="24"/>
          <w:szCs w:val="24"/>
        </w:rPr>
      </w:pPr>
      <w:r>
        <w:rPr>
          <w:rFonts w:cstheme="minorHAnsi"/>
          <w:sz w:val="24"/>
          <w:szCs w:val="24"/>
        </w:rPr>
        <w:t>L’abus de dro</w:t>
      </w:r>
      <w:r w:rsidRPr="009C0D29">
        <w:rPr>
          <w:rFonts w:cstheme="minorHAnsi"/>
          <w:sz w:val="24"/>
          <w:szCs w:val="24"/>
        </w:rPr>
        <w:t xml:space="preserve">it n’occupe pas, dans la jurisprudence strasbourgeoise, une place équivalente à celle qui est la sienne dans la pratique de la Cour de </w:t>
      </w:r>
      <w:r w:rsidR="00AD6BD7" w:rsidRPr="009C0D29">
        <w:rPr>
          <w:rFonts w:cstheme="minorHAnsi"/>
          <w:sz w:val="24"/>
          <w:szCs w:val="24"/>
        </w:rPr>
        <w:t>justice de l’Union européenne</w:t>
      </w:r>
      <w:r w:rsidRPr="009C0D29">
        <w:rPr>
          <w:rFonts w:cstheme="minorHAnsi"/>
          <w:sz w:val="24"/>
          <w:szCs w:val="24"/>
        </w:rPr>
        <w:t xml:space="preserve">. Si l’on met de côté les développements que la Cour consacre à l’article 17 de la Convention, </w:t>
      </w:r>
      <w:r w:rsidR="00644ED5" w:rsidRPr="009C0D29">
        <w:rPr>
          <w:rFonts w:cstheme="minorHAnsi"/>
          <w:sz w:val="24"/>
          <w:szCs w:val="24"/>
        </w:rPr>
        <w:t xml:space="preserve">qui </w:t>
      </w:r>
      <w:r w:rsidR="00BA54F2" w:rsidRPr="009C0D29">
        <w:rPr>
          <w:rFonts w:cstheme="minorHAnsi"/>
          <w:sz w:val="24"/>
          <w:szCs w:val="24"/>
        </w:rPr>
        <w:t>n’ont guère de rapport avec le champ de la libre circulation des personnes et de la portabilité de leur statut</w:t>
      </w:r>
      <w:r w:rsidR="00644ED5" w:rsidRPr="009C0D29">
        <w:rPr>
          <w:rFonts w:cstheme="minorHAnsi"/>
          <w:sz w:val="24"/>
          <w:szCs w:val="24"/>
        </w:rPr>
        <w:t>, on peine à trouver une quelconque référence à l’abus de droit dans les décisions fondatrices</w:t>
      </w:r>
      <w:r w:rsidR="009E5717" w:rsidRPr="009C0D29">
        <w:rPr>
          <w:rFonts w:cstheme="minorHAnsi"/>
          <w:sz w:val="24"/>
          <w:szCs w:val="24"/>
        </w:rPr>
        <w:t xml:space="preserve"> qui ont rythmé l’essor </w:t>
      </w:r>
      <w:r w:rsidR="009C0D29" w:rsidRPr="009C0D29">
        <w:rPr>
          <w:rFonts w:cstheme="minorHAnsi"/>
          <w:sz w:val="24"/>
          <w:szCs w:val="24"/>
        </w:rPr>
        <w:t>de ce qu’on a pu désigner comme un «  droit fondamental de la personne à la jouissance d’une situation juridique unique, telle qu’acquise dans un Etat membre »</w:t>
      </w:r>
      <w:r w:rsidR="009C0D29">
        <w:rPr>
          <w:rStyle w:val="Appelnotedebasdep"/>
          <w:rFonts w:cstheme="minorHAnsi"/>
          <w:sz w:val="24"/>
          <w:szCs w:val="24"/>
        </w:rPr>
        <w:footnoteReference w:id="24"/>
      </w:r>
      <w:r w:rsidR="00644ED5" w:rsidRPr="009C0D29">
        <w:rPr>
          <w:rFonts w:cstheme="minorHAnsi"/>
          <w:sz w:val="24"/>
          <w:szCs w:val="24"/>
        </w:rPr>
        <w:t>.</w:t>
      </w:r>
    </w:p>
    <w:p w:rsidR="005B49B1" w:rsidRDefault="00BA54F2" w:rsidP="005B49B1">
      <w:pPr>
        <w:jc w:val="both"/>
        <w:rPr>
          <w:rFonts w:cstheme="minorHAnsi"/>
          <w:sz w:val="24"/>
          <w:szCs w:val="24"/>
        </w:rPr>
      </w:pPr>
      <w:r w:rsidRPr="009C0D29">
        <w:rPr>
          <w:rFonts w:cstheme="minorHAnsi"/>
          <w:sz w:val="24"/>
          <w:szCs w:val="24"/>
        </w:rPr>
        <w:t xml:space="preserve">A lire par exemple l’arrêt </w:t>
      </w:r>
      <w:r w:rsidRPr="009C0D29">
        <w:rPr>
          <w:rFonts w:cstheme="minorHAnsi"/>
          <w:i/>
          <w:sz w:val="24"/>
          <w:szCs w:val="24"/>
        </w:rPr>
        <w:t>Wagner</w:t>
      </w:r>
      <w:r w:rsidR="00375FDB" w:rsidRPr="009C0D29">
        <w:rPr>
          <w:rStyle w:val="Appelnotedebasdep"/>
          <w:rFonts w:cstheme="minorHAnsi"/>
          <w:i/>
          <w:sz w:val="24"/>
          <w:szCs w:val="24"/>
        </w:rPr>
        <w:footnoteReference w:id="25"/>
      </w:r>
      <w:r w:rsidRPr="009C0D29">
        <w:rPr>
          <w:rFonts w:cstheme="minorHAnsi"/>
          <w:sz w:val="24"/>
          <w:szCs w:val="24"/>
        </w:rPr>
        <w:t>, qu</w:t>
      </w:r>
      <w:r w:rsidR="00375FDB" w:rsidRPr="009C0D29">
        <w:rPr>
          <w:rFonts w:cstheme="minorHAnsi"/>
          <w:sz w:val="24"/>
          <w:szCs w:val="24"/>
        </w:rPr>
        <w:t xml:space="preserve">i a joué un rôle décisif dans la révélation du rôle que peuvent jouer les droits fondamentaux comme vecteur de portabilité, on ne décèle pas une quelconque place qui serait réservée à l’abus de droit. On ne trouve pas plus de trace de cet élément dans la jurisprudence ultérieure et notamment dans les arrêts </w:t>
      </w:r>
      <w:proofErr w:type="spellStart"/>
      <w:r w:rsidR="00375FDB" w:rsidRPr="009C0D29">
        <w:rPr>
          <w:rFonts w:cstheme="minorHAnsi"/>
          <w:i/>
          <w:sz w:val="24"/>
          <w:szCs w:val="24"/>
        </w:rPr>
        <w:t>Negr</w:t>
      </w:r>
      <w:r w:rsidR="00B1473F">
        <w:rPr>
          <w:rFonts w:cstheme="minorHAnsi"/>
          <w:i/>
          <w:sz w:val="24"/>
          <w:szCs w:val="24"/>
        </w:rPr>
        <w:t>e</w:t>
      </w:r>
      <w:r w:rsidR="00375FDB" w:rsidRPr="009C0D29">
        <w:rPr>
          <w:rFonts w:cstheme="minorHAnsi"/>
          <w:i/>
          <w:sz w:val="24"/>
          <w:szCs w:val="24"/>
        </w:rPr>
        <w:t>pontis</w:t>
      </w:r>
      <w:proofErr w:type="spellEnd"/>
      <w:r w:rsidR="00375FDB" w:rsidRPr="009C0D29">
        <w:rPr>
          <w:rFonts w:cstheme="minorHAnsi"/>
          <w:sz w:val="24"/>
          <w:szCs w:val="24"/>
        </w:rPr>
        <w:t xml:space="preserve"> </w:t>
      </w:r>
      <w:r w:rsidR="00680325" w:rsidRPr="009C0D29">
        <w:rPr>
          <w:rStyle w:val="Appelnotedebasdep"/>
          <w:rFonts w:cstheme="minorHAnsi"/>
          <w:sz w:val="24"/>
          <w:szCs w:val="24"/>
        </w:rPr>
        <w:footnoteReference w:id="26"/>
      </w:r>
      <w:r w:rsidR="00680325" w:rsidRPr="009C0D29">
        <w:rPr>
          <w:rFonts w:cstheme="minorHAnsi"/>
          <w:sz w:val="24"/>
          <w:szCs w:val="24"/>
        </w:rPr>
        <w:t xml:space="preserve"> </w:t>
      </w:r>
      <w:r w:rsidR="00375FDB" w:rsidRPr="009C0D29">
        <w:rPr>
          <w:rFonts w:cstheme="minorHAnsi"/>
          <w:sz w:val="24"/>
          <w:szCs w:val="24"/>
        </w:rPr>
        <w:t>ou</w:t>
      </w:r>
      <w:r w:rsidR="004B242D" w:rsidRPr="009C0D29">
        <w:rPr>
          <w:rFonts w:cstheme="minorHAnsi"/>
          <w:sz w:val="24"/>
          <w:szCs w:val="24"/>
        </w:rPr>
        <w:t xml:space="preserve"> </w:t>
      </w:r>
      <w:r w:rsidR="004B242D" w:rsidRPr="009C0D29">
        <w:rPr>
          <w:rFonts w:cstheme="minorHAnsi"/>
          <w:i/>
          <w:sz w:val="24"/>
          <w:szCs w:val="24"/>
        </w:rPr>
        <w:t xml:space="preserve">Green et </w:t>
      </w:r>
      <w:proofErr w:type="spellStart"/>
      <w:r w:rsidR="004B242D" w:rsidRPr="009C0D29">
        <w:rPr>
          <w:rFonts w:cstheme="minorHAnsi"/>
          <w:i/>
          <w:sz w:val="24"/>
          <w:szCs w:val="24"/>
        </w:rPr>
        <w:t>Farh</w:t>
      </w:r>
      <w:r w:rsidR="004B242D" w:rsidRPr="004B242D">
        <w:rPr>
          <w:rFonts w:cstheme="minorHAnsi"/>
          <w:i/>
          <w:sz w:val="24"/>
          <w:szCs w:val="24"/>
        </w:rPr>
        <w:t>at</w:t>
      </w:r>
      <w:proofErr w:type="spellEnd"/>
      <w:r w:rsidR="004B242D">
        <w:rPr>
          <w:rStyle w:val="Appelnotedebasdep"/>
          <w:rFonts w:cstheme="minorHAnsi"/>
          <w:sz w:val="24"/>
          <w:szCs w:val="24"/>
        </w:rPr>
        <w:footnoteReference w:id="27"/>
      </w:r>
      <w:r w:rsidR="00A51EEE">
        <w:rPr>
          <w:rFonts w:cstheme="minorHAnsi"/>
          <w:sz w:val="24"/>
          <w:szCs w:val="24"/>
        </w:rPr>
        <w:t xml:space="preserve">, alors que la Cour a par ailleurs réservé la possibilité pour un Etat de faire </w:t>
      </w:r>
      <w:r w:rsidR="00A51EEE">
        <w:rPr>
          <w:rFonts w:cstheme="minorHAnsi"/>
          <w:sz w:val="24"/>
          <w:szCs w:val="24"/>
        </w:rPr>
        <w:lastRenderedPageBreak/>
        <w:t>appel au mécanisme de l’ordre public pour refuser d’accueillir au sein de son ordre juridique une situation pourtant valablement créée à l’étranger</w:t>
      </w:r>
      <w:r w:rsidR="00A51EEE">
        <w:rPr>
          <w:rStyle w:val="Appelnotedebasdep"/>
          <w:rFonts w:cstheme="minorHAnsi"/>
          <w:sz w:val="24"/>
          <w:szCs w:val="24"/>
        </w:rPr>
        <w:footnoteReference w:id="28"/>
      </w:r>
      <w:r w:rsidR="00A51EEE">
        <w:rPr>
          <w:rFonts w:cstheme="minorHAnsi"/>
          <w:sz w:val="24"/>
          <w:szCs w:val="24"/>
        </w:rPr>
        <w:t>.</w:t>
      </w:r>
    </w:p>
    <w:p w:rsidR="00B1473F" w:rsidRDefault="00680325" w:rsidP="00842E12">
      <w:pPr>
        <w:jc w:val="both"/>
        <w:rPr>
          <w:rFonts w:cstheme="minorHAnsi"/>
          <w:sz w:val="23"/>
          <w:szCs w:val="23"/>
        </w:rPr>
      </w:pPr>
      <w:r>
        <w:rPr>
          <w:rFonts w:cstheme="minorHAnsi"/>
          <w:sz w:val="24"/>
          <w:szCs w:val="24"/>
        </w:rPr>
        <w:t>Pour autant, le souci de réprimer une utilisation trop</w:t>
      </w:r>
      <w:r w:rsidR="00842E12">
        <w:rPr>
          <w:rFonts w:cstheme="minorHAnsi"/>
          <w:sz w:val="24"/>
          <w:szCs w:val="24"/>
        </w:rPr>
        <w:t xml:space="preserve"> manifestement orientée de la vie privée comme vecteur de la circulation n’est pas absent, loin s’en faut, de la jurisprudence de la Cour. Dans </w:t>
      </w:r>
      <w:r w:rsidRPr="002A192F">
        <w:rPr>
          <w:rFonts w:cstheme="minorHAnsi"/>
          <w:sz w:val="24"/>
          <w:szCs w:val="24"/>
        </w:rPr>
        <w:t xml:space="preserve">l’affaire </w:t>
      </w:r>
      <w:proofErr w:type="spellStart"/>
      <w:r w:rsidRPr="00842E12">
        <w:rPr>
          <w:rFonts w:cstheme="minorHAnsi"/>
          <w:i/>
          <w:sz w:val="24"/>
          <w:szCs w:val="24"/>
        </w:rPr>
        <w:t>Mennesson</w:t>
      </w:r>
      <w:proofErr w:type="spellEnd"/>
      <w:r w:rsidRPr="002A192F">
        <w:rPr>
          <w:rFonts w:cstheme="minorHAnsi"/>
          <w:sz w:val="24"/>
          <w:szCs w:val="24"/>
        </w:rPr>
        <w:t xml:space="preserve"> </w:t>
      </w:r>
      <w:r w:rsidR="00842E12">
        <w:rPr>
          <w:rFonts w:cstheme="minorHAnsi"/>
          <w:sz w:val="24"/>
          <w:szCs w:val="24"/>
        </w:rPr>
        <w:t xml:space="preserve">déjà évoquée, </w:t>
      </w:r>
      <w:r w:rsidRPr="002A192F">
        <w:rPr>
          <w:rFonts w:cstheme="minorHAnsi"/>
          <w:sz w:val="24"/>
          <w:szCs w:val="24"/>
        </w:rPr>
        <w:t xml:space="preserve">la Cour </w:t>
      </w:r>
      <w:r w:rsidR="00842E12">
        <w:rPr>
          <w:rFonts w:cstheme="minorHAnsi"/>
          <w:sz w:val="24"/>
          <w:szCs w:val="24"/>
        </w:rPr>
        <w:t xml:space="preserve">avait </w:t>
      </w:r>
      <w:r w:rsidRPr="002A192F">
        <w:rPr>
          <w:rFonts w:cstheme="minorHAnsi"/>
          <w:sz w:val="24"/>
          <w:szCs w:val="24"/>
        </w:rPr>
        <w:t>dit</w:t>
      </w:r>
      <w:r w:rsidR="00842E12">
        <w:rPr>
          <w:rFonts w:cstheme="minorHAnsi"/>
          <w:sz w:val="24"/>
          <w:szCs w:val="24"/>
        </w:rPr>
        <w:t xml:space="preserve"> comprendre le souhait de la France de </w:t>
      </w:r>
      <w:r w:rsidR="00B1473F">
        <w:rPr>
          <w:rFonts w:cstheme="minorHAnsi"/>
          <w:sz w:val="24"/>
          <w:szCs w:val="24"/>
        </w:rPr>
        <w:t>« </w:t>
      </w:r>
      <w:r w:rsidR="00B1473F" w:rsidRPr="002A192F">
        <w:rPr>
          <w:rFonts w:cstheme="minorHAnsi"/>
          <w:sz w:val="23"/>
          <w:szCs w:val="23"/>
        </w:rPr>
        <w:t>décourager ses ressortissants de recourir à l’étranger à une méthode de procréation qu’elle prohibe sur son territoire »</w:t>
      </w:r>
      <w:r w:rsidR="00B1473F">
        <w:rPr>
          <w:rStyle w:val="Appelnotedebasdep"/>
          <w:rFonts w:cstheme="minorHAnsi"/>
          <w:sz w:val="23"/>
          <w:szCs w:val="23"/>
        </w:rPr>
        <w:footnoteReference w:id="29"/>
      </w:r>
      <w:r w:rsidR="00B1473F">
        <w:rPr>
          <w:rFonts w:cstheme="minorHAnsi"/>
          <w:sz w:val="23"/>
          <w:szCs w:val="23"/>
        </w:rPr>
        <w:t>.</w:t>
      </w:r>
      <w:r w:rsidR="00B1473F" w:rsidRPr="002A192F">
        <w:rPr>
          <w:rFonts w:cstheme="minorHAnsi"/>
          <w:sz w:val="23"/>
          <w:szCs w:val="23"/>
        </w:rPr>
        <w:t xml:space="preserve"> </w:t>
      </w:r>
      <w:r w:rsidR="00026A0B">
        <w:rPr>
          <w:rFonts w:cstheme="minorHAnsi"/>
          <w:sz w:val="23"/>
          <w:szCs w:val="23"/>
        </w:rPr>
        <w:t>Si le vocabulaire utilisé par la Cour n’est pas celui de l’abus, ni de la fraude, il demeure qu’elle considère légitime pour un Etat de se préoccuper des effets du tourisme procréatif et singulièrement</w:t>
      </w:r>
      <w:r w:rsidR="00DC16A3">
        <w:rPr>
          <w:rFonts w:cstheme="minorHAnsi"/>
          <w:sz w:val="23"/>
          <w:szCs w:val="23"/>
        </w:rPr>
        <w:t xml:space="preserve"> de l’éventualité qu’un tel phénomène ne cache l’intention de contourner un dispositif interne d’interdiction.</w:t>
      </w:r>
      <w:r w:rsidR="00026A0B">
        <w:rPr>
          <w:rFonts w:cstheme="minorHAnsi"/>
          <w:sz w:val="23"/>
          <w:szCs w:val="23"/>
        </w:rPr>
        <w:t xml:space="preserve"> </w:t>
      </w:r>
    </w:p>
    <w:p w:rsidR="00B60C25" w:rsidRDefault="001E401C" w:rsidP="00B60C25">
      <w:pPr>
        <w:jc w:val="both"/>
        <w:rPr>
          <w:rFonts w:cstheme="minorHAnsi"/>
          <w:sz w:val="24"/>
          <w:szCs w:val="24"/>
        </w:rPr>
      </w:pPr>
      <w:r>
        <w:rPr>
          <w:rFonts w:cstheme="minorHAnsi"/>
          <w:sz w:val="24"/>
          <w:szCs w:val="24"/>
        </w:rPr>
        <w:t>Plus fondamentalement</w:t>
      </w:r>
      <w:r w:rsidR="00B60C25">
        <w:rPr>
          <w:rFonts w:cstheme="minorHAnsi"/>
          <w:sz w:val="24"/>
          <w:szCs w:val="24"/>
        </w:rPr>
        <w:t>, le fondement même de la jurisprudence de la Cour permet, au moins indirectement, de refuser d’honorer une création artificielle de situations dans un ordre juridique étranger. Au-delà du texte de l’</w:t>
      </w:r>
      <w:r w:rsidR="00B1450F">
        <w:rPr>
          <w:rFonts w:cstheme="minorHAnsi"/>
          <w:sz w:val="24"/>
          <w:szCs w:val="24"/>
        </w:rPr>
        <w:t>article 8 CE</w:t>
      </w:r>
      <w:r w:rsidR="00B60C25">
        <w:rPr>
          <w:rFonts w:cstheme="minorHAnsi"/>
          <w:sz w:val="24"/>
          <w:szCs w:val="24"/>
        </w:rPr>
        <w:t>DH, la Cour est en effet mue par le souci de respecter les attentes légitimes des parties</w:t>
      </w:r>
      <w:r w:rsidR="004929D0">
        <w:rPr>
          <w:rStyle w:val="Appelnotedebasdep"/>
          <w:rFonts w:cstheme="minorHAnsi"/>
          <w:sz w:val="24"/>
          <w:szCs w:val="24"/>
        </w:rPr>
        <w:footnoteReference w:id="30"/>
      </w:r>
      <w:r w:rsidR="00B60C25">
        <w:rPr>
          <w:rFonts w:cstheme="minorHAnsi"/>
          <w:sz w:val="24"/>
          <w:szCs w:val="24"/>
        </w:rPr>
        <w:t>.</w:t>
      </w:r>
      <w:r w:rsidR="00B1450F">
        <w:rPr>
          <w:rFonts w:cstheme="minorHAnsi"/>
          <w:sz w:val="24"/>
          <w:szCs w:val="24"/>
        </w:rPr>
        <w:t xml:space="preserve"> Dans l’arrêt </w:t>
      </w:r>
      <w:r w:rsidR="00B1450F" w:rsidRPr="00B1450F">
        <w:rPr>
          <w:rFonts w:cstheme="minorHAnsi"/>
          <w:i/>
          <w:sz w:val="24"/>
          <w:szCs w:val="24"/>
        </w:rPr>
        <w:t>Wagner</w:t>
      </w:r>
      <w:r w:rsidR="00B1450F">
        <w:rPr>
          <w:rFonts w:cstheme="minorHAnsi"/>
          <w:sz w:val="24"/>
          <w:szCs w:val="24"/>
        </w:rPr>
        <w:t>, le concept d’attente légitime a joué un rôle particulier puisque la Cour a insisté sur la circonstance qu’une pratique existait au Luxembourg qui permettait l’accueil d’adoptions plénières même lorsque l’adoptante était une mère célibataire</w:t>
      </w:r>
      <w:r w:rsidR="00B1450F">
        <w:rPr>
          <w:rStyle w:val="Appelnotedebasdep"/>
          <w:rFonts w:cstheme="minorHAnsi"/>
          <w:sz w:val="24"/>
          <w:szCs w:val="24"/>
        </w:rPr>
        <w:footnoteReference w:id="31"/>
      </w:r>
      <w:r w:rsidR="00B1450F">
        <w:rPr>
          <w:rFonts w:cstheme="minorHAnsi"/>
          <w:sz w:val="24"/>
          <w:szCs w:val="24"/>
        </w:rPr>
        <w:t>.</w:t>
      </w:r>
    </w:p>
    <w:p w:rsidR="00882365" w:rsidRDefault="00BE3A7D" w:rsidP="00B60C25">
      <w:pPr>
        <w:jc w:val="both"/>
        <w:rPr>
          <w:rFonts w:cstheme="minorHAnsi"/>
          <w:sz w:val="24"/>
          <w:szCs w:val="24"/>
        </w:rPr>
      </w:pPr>
      <w:r>
        <w:rPr>
          <w:rFonts w:cstheme="minorHAnsi"/>
          <w:sz w:val="24"/>
          <w:szCs w:val="24"/>
        </w:rPr>
        <w:t xml:space="preserve">Au-delà de la situation particulière à l’origine de la jurisprudence </w:t>
      </w:r>
      <w:r w:rsidRPr="00BE3A7D">
        <w:rPr>
          <w:rFonts w:cstheme="minorHAnsi"/>
          <w:i/>
          <w:sz w:val="24"/>
          <w:szCs w:val="24"/>
        </w:rPr>
        <w:t>Wagner</w:t>
      </w:r>
      <w:r>
        <w:rPr>
          <w:rFonts w:cstheme="minorHAnsi"/>
          <w:sz w:val="24"/>
          <w:szCs w:val="24"/>
        </w:rPr>
        <w:t>, des observateurs avisés ont montré qu’un des éléments essentiels du contrôle exercé sur le fondement de l’article 8, par la Cour a trait au « degré de légitimité de la confiance que les parties peuvent avoir dans la reconnaissance de la situation juridique valablement acquise au regard d’un ordre juridique étranger »</w:t>
      </w:r>
      <w:r>
        <w:rPr>
          <w:rStyle w:val="Appelnotedebasdep"/>
          <w:rFonts w:cstheme="minorHAnsi"/>
          <w:sz w:val="24"/>
          <w:szCs w:val="24"/>
        </w:rPr>
        <w:footnoteReference w:id="32"/>
      </w:r>
      <w:r>
        <w:rPr>
          <w:rFonts w:cstheme="minorHAnsi"/>
          <w:sz w:val="24"/>
          <w:szCs w:val="24"/>
        </w:rPr>
        <w:t>.</w:t>
      </w:r>
      <w:r w:rsidR="00FF70C6">
        <w:rPr>
          <w:rFonts w:cstheme="minorHAnsi"/>
          <w:sz w:val="24"/>
          <w:szCs w:val="24"/>
        </w:rPr>
        <w:t xml:space="preserve"> </w:t>
      </w:r>
      <w:r w:rsidR="00882365">
        <w:rPr>
          <w:rFonts w:cstheme="minorHAnsi"/>
          <w:sz w:val="24"/>
          <w:szCs w:val="24"/>
        </w:rPr>
        <w:t xml:space="preserve">Deux éléments essentiels semblent former la charpente des attentes légitimes que peuvent, ou non, nourrir certaines parties : d’une part le fait qu’une situation a été valablement créée dans l’Etat d’origine </w:t>
      </w:r>
      <w:r w:rsidR="00882365">
        <w:rPr>
          <w:rStyle w:val="Appelnotedebasdep"/>
          <w:rFonts w:cstheme="minorHAnsi"/>
          <w:sz w:val="24"/>
          <w:szCs w:val="24"/>
        </w:rPr>
        <w:footnoteReference w:id="33"/>
      </w:r>
      <w:r w:rsidR="00882365">
        <w:rPr>
          <w:rFonts w:cstheme="minorHAnsi"/>
          <w:sz w:val="24"/>
          <w:szCs w:val="24"/>
        </w:rPr>
        <w:t xml:space="preserve"> et d’autre part la circonstance que cette situation a pu s’inscrire dans le réel et être traduite concrètement pour constituer une vie familiale réelle</w:t>
      </w:r>
      <w:r w:rsidR="00882365">
        <w:rPr>
          <w:rStyle w:val="Appelnotedebasdep"/>
          <w:rFonts w:cstheme="minorHAnsi"/>
          <w:sz w:val="24"/>
          <w:szCs w:val="24"/>
        </w:rPr>
        <w:footnoteReference w:id="34"/>
      </w:r>
      <w:r w:rsidR="00882365">
        <w:rPr>
          <w:rFonts w:cstheme="minorHAnsi"/>
          <w:sz w:val="24"/>
          <w:szCs w:val="24"/>
        </w:rPr>
        <w:t>.</w:t>
      </w:r>
    </w:p>
    <w:p w:rsidR="00EB2D58" w:rsidRDefault="00EB2D58" w:rsidP="00B60C25">
      <w:pPr>
        <w:jc w:val="both"/>
        <w:rPr>
          <w:rFonts w:cstheme="minorHAnsi"/>
          <w:sz w:val="24"/>
          <w:szCs w:val="24"/>
        </w:rPr>
      </w:pPr>
      <w:r>
        <w:rPr>
          <w:rFonts w:cstheme="minorHAnsi"/>
          <w:sz w:val="24"/>
          <w:szCs w:val="24"/>
        </w:rPr>
        <w:t xml:space="preserve">Comme le note M. </w:t>
      </w:r>
      <w:proofErr w:type="spellStart"/>
      <w:r>
        <w:rPr>
          <w:rFonts w:cstheme="minorHAnsi"/>
          <w:sz w:val="24"/>
          <w:szCs w:val="24"/>
        </w:rPr>
        <w:t>Kinsch</w:t>
      </w:r>
      <w:proofErr w:type="spellEnd"/>
      <w:r>
        <w:rPr>
          <w:rFonts w:cstheme="minorHAnsi"/>
          <w:sz w:val="24"/>
          <w:szCs w:val="24"/>
        </w:rPr>
        <w:t>, une situation ne peut prétendre au qualificatif de ‘vie familiale’ qu’à la condition que les parties concernées aient légitimement confiance dans la stabilité de la situation acquise à l’étranger</w:t>
      </w:r>
      <w:r>
        <w:rPr>
          <w:rStyle w:val="Appelnotedebasdep"/>
          <w:rFonts w:cstheme="minorHAnsi"/>
          <w:sz w:val="24"/>
          <w:szCs w:val="24"/>
        </w:rPr>
        <w:footnoteReference w:id="35"/>
      </w:r>
      <w:r>
        <w:rPr>
          <w:rFonts w:cstheme="minorHAnsi"/>
          <w:sz w:val="24"/>
          <w:szCs w:val="24"/>
        </w:rPr>
        <w:t>.</w:t>
      </w:r>
      <w:r w:rsidR="004929D0">
        <w:rPr>
          <w:rFonts w:cstheme="minorHAnsi"/>
          <w:sz w:val="24"/>
          <w:szCs w:val="24"/>
        </w:rPr>
        <w:t xml:space="preserve"> Partant, le droit à la reconnaissance qui peut s’appuyer dans certaines situations sur les droits fondamentaux ne peut jouer en cas de « création artificielle </w:t>
      </w:r>
      <w:r w:rsidR="004929D0">
        <w:rPr>
          <w:rFonts w:cstheme="minorHAnsi"/>
          <w:sz w:val="24"/>
          <w:szCs w:val="24"/>
        </w:rPr>
        <w:lastRenderedPageBreak/>
        <w:t>de la situation à l’étranger par des personnes ayant la nationalité de l’Etat du for appelé à statuer sur la reconnaissance et leur domicile dans cet Etat »</w:t>
      </w:r>
      <w:r w:rsidR="004929D0">
        <w:rPr>
          <w:rStyle w:val="Appelnotedebasdep"/>
          <w:rFonts w:cstheme="minorHAnsi"/>
          <w:sz w:val="24"/>
          <w:szCs w:val="24"/>
        </w:rPr>
        <w:footnoteReference w:id="36"/>
      </w:r>
      <w:r w:rsidR="004929D0">
        <w:rPr>
          <w:rFonts w:cstheme="minorHAnsi"/>
          <w:sz w:val="24"/>
          <w:szCs w:val="24"/>
        </w:rPr>
        <w:t>.</w:t>
      </w:r>
    </w:p>
    <w:p w:rsidR="00607079" w:rsidRDefault="002842FD" w:rsidP="00607079">
      <w:pPr>
        <w:jc w:val="both"/>
        <w:rPr>
          <w:rFonts w:cstheme="minorHAnsi"/>
          <w:sz w:val="24"/>
          <w:szCs w:val="24"/>
        </w:rPr>
      </w:pPr>
      <w:r>
        <w:rPr>
          <w:rFonts w:cstheme="minorHAnsi"/>
          <w:sz w:val="24"/>
          <w:szCs w:val="24"/>
        </w:rPr>
        <w:t>A partir de ces éléments, il est possible de distinguer ce qui peut relever des attentes légitimes et ce qui n’en relève pas.</w:t>
      </w:r>
      <w:r w:rsidR="00607079">
        <w:rPr>
          <w:rFonts w:cstheme="minorHAnsi"/>
          <w:sz w:val="24"/>
          <w:szCs w:val="24"/>
        </w:rPr>
        <w:t xml:space="preserve"> Un des éléments importants à cet égard tient à l’intensité des liens qu’une situation présente avec l’Etat qui a présidé à sa création</w:t>
      </w:r>
      <w:r w:rsidR="00607079">
        <w:rPr>
          <w:rStyle w:val="Appelnotedebasdep"/>
          <w:rFonts w:cstheme="minorHAnsi"/>
          <w:sz w:val="24"/>
          <w:szCs w:val="24"/>
        </w:rPr>
        <w:footnoteReference w:id="37"/>
      </w:r>
      <w:r w:rsidR="00607079">
        <w:rPr>
          <w:rFonts w:cstheme="minorHAnsi"/>
          <w:sz w:val="24"/>
          <w:szCs w:val="24"/>
        </w:rPr>
        <w:t>.</w:t>
      </w:r>
      <w:r w:rsidR="00607079" w:rsidRPr="008E62E9">
        <w:rPr>
          <w:rFonts w:cstheme="minorHAnsi"/>
          <w:sz w:val="24"/>
          <w:szCs w:val="24"/>
        </w:rPr>
        <w:t xml:space="preserve"> </w:t>
      </w:r>
      <w:r w:rsidR="00607079">
        <w:rPr>
          <w:rFonts w:cstheme="minorHAnsi"/>
          <w:sz w:val="24"/>
          <w:szCs w:val="24"/>
        </w:rPr>
        <w:t>A ce titre, une partie ne pourrait faire valoir d’attentes légitimes lorsqu’il apparaît que les intéressés ont créé artificiellement une situation dans l’espoir de bénéficier</w:t>
      </w:r>
      <w:r w:rsidR="00FA2532">
        <w:rPr>
          <w:rFonts w:cstheme="minorHAnsi"/>
          <w:sz w:val="24"/>
          <w:szCs w:val="24"/>
        </w:rPr>
        <w:t xml:space="preserve"> de l’application d’une règle, de l’absence d’une prohibition ou d’un autre élément lié à l’environnement de l’Etat d’</w:t>
      </w:r>
      <w:r w:rsidR="006A4126">
        <w:rPr>
          <w:rFonts w:cstheme="minorHAnsi"/>
          <w:sz w:val="24"/>
          <w:szCs w:val="24"/>
        </w:rPr>
        <w:t>origine</w:t>
      </w:r>
      <w:r w:rsidR="008C0EE8">
        <w:rPr>
          <w:rFonts w:cstheme="minorHAnsi"/>
          <w:sz w:val="24"/>
          <w:szCs w:val="24"/>
        </w:rPr>
        <w:t>.</w:t>
      </w:r>
      <w:r w:rsidR="00F659CA">
        <w:rPr>
          <w:rFonts w:cstheme="minorHAnsi"/>
          <w:sz w:val="24"/>
          <w:szCs w:val="24"/>
        </w:rPr>
        <w:t xml:space="preserve"> A l’inverse, « [p]lus la situation présente des liens étroits avec l’Etat de création et des liens faibles avec l’Etat d’accueil, plus la confiance que son statut sera reconnu, sera simple à justifier dans le chef de la partie intéressés »</w:t>
      </w:r>
      <w:r w:rsidR="00F659CA">
        <w:rPr>
          <w:rStyle w:val="Appelnotedebasdep"/>
          <w:rFonts w:cstheme="minorHAnsi"/>
          <w:sz w:val="24"/>
          <w:szCs w:val="24"/>
        </w:rPr>
        <w:footnoteReference w:id="38"/>
      </w:r>
      <w:r w:rsidR="00F659CA">
        <w:rPr>
          <w:rFonts w:cstheme="minorHAnsi"/>
          <w:sz w:val="24"/>
          <w:szCs w:val="24"/>
        </w:rPr>
        <w:t>.</w:t>
      </w:r>
    </w:p>
    <w:p w:rsidR="008C0EE8" w:rsidRDefault="008C0EE8" w:rsidP="002E3B18">
      <w:pPr>
        <w:jc w:val="both"/>
        <w:rPr>
          <w:rFonts w:cstheme="minorHAnsi"/>
          <w:sz w:val="24"/>
          <w:szCs w:val="24"/>
        </w:rPr>
      </w:pPr>
      <w:r>
        <w:rPr>
          <w:rFonts w:cstheme="minorHAnsi"/>
          <w:sz w:val="24"/>
          <w:szCs w:val="24"/>
        </w:rPr>
        <w:t>On peut certainement poursuivre la réflexion sur la meilleure manière d’appréhender le caractère légitime ou non des attentes nourries par une ou plusieurs personnes à l’occasion de la création d’une situation protégée juridiquement. Il reste qu</w:t>
      </w:r>
      <w:r w:rsidR="00E80C61">
        <w:rPr>
          <w:rFonts w:cstheme="minorHAnsi"/>
          <w:sz w:val="24"/>
          <w:szCs w:val="24"/>
        </w:rPr>
        <w:t xml:space="preserve">’en réservant le bénéfice de l’article 8 de la Convention comme vecteur de portabilité aux personnes pouvant faire </w:t>
      </w:r>
      <w:r w:rsidR="0033155A">
        <w:rPr>
          <w:rFonts w:cstheme="minorHAnsi"/>
          <w:sz w:val="24"/>
          <w:szCs w:val="24"/>
        </w:rPr>
        <w:t>v</w:t>
      </w:r>
      <w:r w:rsidR="00E80C61">
        <w:rPr>
          <w:rFonts w:cstheme="minorHAnsi"/>
          <w:sz w:val="24"/>
          <w:szCs w:val="24"/>
        </w:rPr>
        <w:t>aloir des attentes légitimes,</w:t>
      </w:r>
      <w:r w:rsidR="0033155A">
        <w:rPr>
          <w:rFonts w:cstheme="minorHAnsi"/>
          <w:sz w:val="24"/>
          <w:szCs w:val="24"/>
        </w:rPr>
        <w:t xml:space="preserve"> la Cour a exclu du périmètre les situations qui n’ont pas pu engendrer une confiance légitime. Partant, </w:t>
      </w:r>
      <w:r w:rsidR="00FA1A02">
        <w:rPr>
          <w:rFonts w:cstheme="minorHAnsi"/>
          <w:sz w:val="24"/>
          <w:szCs w:val="24"/>
        </w:rPr>
        <w:t xml:space="preserve">cette jurisprudence permet d’envisager le refus des situations qui sont trop marquées par une ingénierie ou des comportements stratégiques des parties. Le refus d’accorder une protection à ces situations pourra être justifié au nom de la marge d’appréciation dont bénéficient </w:t>
      </w:r>
      <w:r w:rsidR="008A68A9">
        <w:rPr>
          <w:rFonts w:cstheme="minorHAnsi"/>
          <w:sz w:val="24"/>
          <w:szCs w:val="24"/>
        </w:rPr>
        <w:t xml:space="preserve">traditionnellement </w:t>
      </w:r>
      <w:r w:rsidR="00FA1A02">
        <w:rPr>
          <w:rFonts w:cstheme="minorHAnsi"/>
          <w:sz w:val="24"/>
          <w:szCs w:val="24"/>
        </w:rPr>
        <w:t xml:space="preserve">les Etats. </w:t>
      </w:r>
      <w:r w:rsidR="008A68A9">
        <w:rPr>
          <w:rFonts w:cstheme="minorHAnsi"/>
          <w:sz w:val="24"/>
          <w:szCs w:val="24"/>
        </w:rPr>
        <w:t xml:space="preserve">Au vrai, le résultat ne doit guère surprendre : si l’Etat </w:t>
      </w:r>
      <w:r w:rsidR="00CB15E5">
        <w:rPr>
          <w:rFonts w:cstheme="minorHAnsi"/>
          <w:sz w:val="24"/>
          <w:szCs w:val="24"/>
        </w:rPr>
        <w:t>a</w:t>
      </w:r>
      <w:r w:rsidR="008A68A9">
        <w:rPr>
          <w:rFonts w:cstheme="minorHAnsi"/>
          <w:sz w:val="24"/>
          <w:szCs w:val="24"/>
        </w:rPr>
        <w:t xml:space="preserve"> le devoir de respecter la vie privée et familiale des </w:t>
      </w:r>
      <w:r w:rsidR="00CB15E5">
        <w:rPr>
          <w:rFonts w:cstheme="minorHAnsi"/>
          <w:sz w:val="24"/>
          <w:szCs w:val="24"/>
        </w:rPr>
        <w:t xml:space="preserve">individus, même lorsque ceux-ci construisent leur vie en empruntant à plusieurs ordres juridiques différents, il est relativement aisé d’accepter que cette liberté ne peut être instrumentalisée au point d’imposer à l’Etat de s’incliner devant des situations acquises à l’étranger </w:t>
      </w:r>
      <w:r w:rsidR="002E3B18">
        <w:rPr>
          <w:rFonts w:cstheme="minorHAnsi"/>
          <w:sz w:val="24"/>
          <w:szCs w:val="24"/>
        </w:rPr>
        <w:t xml:space="preserve">d’une manière qui excède l’exercice normal de la liberté par une personne diligente. </w:t>
      </w:r>
      <w:r w:rsidR="00EF0087">
        <w:rPr>
          <w:rFonts w:cstheme="minorHAnsi"/>
          <w:sz w:val="24"/>
          <w:szCs w:val="24"/>
        </w:rPr>
        <w:t xml:space="preserve">Reste l’épineuse question </w:t>
      </w:r>
      <w:r w:rsidR="002E3B18">
        <w:rPr>
          <w:rFonts w:cstheme="minorHAnsi"/>
          <w:sz w:val="24"/>
          <w:szCs w:val="24"/>
        </w:rPr>
        <w:t>de la définition des contours de l’abus de droit comme limite</w:t>
      </w:r>
      <w:r w:rsidR="00A065AB">
        <w:rPr>
          <w:rFonts w:cstheme="minorHAnsi"/>
          <w:sz w:val="24"/>
          <w:szCs w:val="24"/>
        </w:rPr>
        <w:t xml:space="preserve"> à la portabilité des situations.</w:t>
      </w:r>
    </w:p>
    <w:p w:rsidR="007B0A4F" w:rsidRDefault="007B0A4F" w:rsidP="00B60C25">
      <w:pPr>
        <w:jc w:val="both"/>
        <w:rPr>
          <w:rFonts w:cstheme="minorHAnsi"/>
          <w:sz w:val="24"/>
          <w:szCs w:val="24"/>
        </w:rPr>
      </w:pPr>
    </w:p>
    <w:p w:rsidR="00DB4306" w:rsidRDefault="00DB4306" w:rsidP="005E4D3B">
      <w:pPr>
        <w:rPr>
          <w:rFonts w:cstheme="minorHAnsi"/>
          <w:sz w:val="24"/>
          <w:szCs w:val="24"/>
        </w:rPr>
      </w:pPr>
    </w:p>
    <w:p w:rsidR="009805D4" w:rsidRPr="009805D4" w:rsidRDefault="009805D4" w:rsidP="009805D4">
      <w:pPr>
        <w:rPr>
          <w:rFonts w:cstheme="minorHAnsi"/>
          <w:b/>
          <w:smallCaps/>
          <w:sz w:val="24"/>
          <w:szCs w:val="24"/>
        </w:rPr>
      </w:pPr>
      <w:r>
        <w:rPr>
          <w:rFonts w:cstheme="minorHAnsi"/>
          <w:b/>
          <w:smallCaps/>
          <w:sz w:val="24"/>
          <w:szCs w:val="24"/>
        </w:rPr>
        <w:t>2</w:t>
      </w:r>
      <w:r w:rsidRPr="009805D4">
        <w:rPr>
          <w:rFonts w:cstheme="minorHAnsi"/>
          <w:b/>
          <w:smallCaps/>
          <w:sz w:val="24"/>
          <w:szCs w:val="24"/>
        </w:rPr>
        <w:t>.</w:t>
      </w:r>
      <w:r w:rsidRPr="009805D4">
        <w:rPr>
          <w:rFonts w:cstheme="minorHAnsi"/>
          <w:b/>
          <w:smallCaps/>
          <w:sz w:val="24"/>
          <w:szCs w:val="24"/>
        </w:rPr>
        <w:tab/>
      </w:r>
      <w:r>
        <w:rPr>
          <w:rFonts w:cstheme="minorHAnsi"/>
          <w:b/>
          <w:smallCaps/>
          <w:sz w:val="24"/>
          <w:szCs w:val="24"/>
        </w:rPr>
        <w:t>Quel visage pour l</w:t>
      </w:r>
      <w:r w:rsidRPr="009805D4">
        <w:rPr>
          <w:rFonts w:cstheme="minorHAnsi"/>
          <w:b/>
          <w:smallCaps/>
          <w:sz w:val="24"/>
          <w:szCs w:val="24"/>
        </w:rPr>
        <w:t>’abus de droit</w:t>
      </w:r>
      <w:r>
        <w:rPr>
          <w:rFonts w:cstheme="minorHAnsi"/>
          <w:b/>
          <w:smallCaps/>
          <w:sz w:val="24"/>
          <w:szCs w:val="24"/>
        </w:rPr>
        <w:t xml:space="preserve"> dans des situations de portabilité ?</w:t>
      </w:r>
    </w:p>
    <w:p w:rsidR="009805D4" w:rsidRDefault="009805D4" w:rsidP="005E4D3B">
      <w:pPr>
        <w:rPr>
          <w:rFonts w:cstheme="minorHAnsi"/>
          <w:sz w:val="24"/>
          <w:szCs w:val="24"/>
        </w:rPr>
      </w:pPr>
    </w:p>
    <w:p w:rsidR="009805D4" w:rsidRDefault="00C51BC7" w:rsidP="00C51BC7">
      <w:pPr>
        <w:jc w:val="both"/>
        <w:rPr>
          <w:rFonts w:cstheme="minorHAnsi"/>
          <w:sz w:val="24"/>
          <w:szCs w:val="24"/>
        </w:rPr>
      </w:pPr>
      <w:r w:rsidRPr="002A192F">
        <w:rPr>
          <w:rFonts w:cstheme="minorHAnsi"/>
          <w:sz w:val="24"/>
          <w:szCs w:val="24"/>
        </w:rPr>
        <w:t>Le véritable défi n’est pas tant de s’accorder pour faire de l’abus de droit une limite à la portabilité, mais bien de s’entendre sur ce qu’il faut</w:t>
      </w:r>
      <w:r w:rsidR="009805D4">
        <w:rPr>
          <w:rFonts w:cstheme="minorHAnsi"/>
          <w:sz w:val="24"/>
          <w:szCs w:val="24"/>
        </w:rPr>
        <w:t>, ou ce que l’on peut,</w:t>
      </w:r>
      <w:r w:rsidRPr="002A192F">
        <w:rPr>
          <w:rFonts w:cstheme="minorHAnsi"/>
          <w:sz w:val="24"/>
          <w:szCs w:val="24"/>
        </w:rPr>
        <w:t xml:space="preserve"> considérer comme une situation abusive.</w:t>
      </w:r>
      <w:r w:rsidR="00211B50">
        <w:rPr>
          <w:rFonts w:cstheme="minorHAnsi"/>
          <w:sz w:val="24"/>
          <w:szCs w:val="24"/>
        </w:rPr>
        <w:t xml:space="preserve"> L’opération est délicate. La circulation et son avatar la portabilité semblent </w:t>
      </w:r>
      <w:r w:rsidR="009805D4">
        <w:rPr>
          <w:rFonts w:cstheme="minorHAnsi"/>
          <w:sz w:val="24"/>
          <w:szCs w:val="24"/>
        </w:rPr>
        <w:t xml:space="preserve">en effet </w:t>
      </w:r>
      <w:r w:rsidR="00211B50">
        <w:rPr>
          <w:rFonts w:cstheme="minorHAnsi"/>
          <w:sz w:val="24"/>
          <w:szCs w:val="24"/>
        </w:rPr>
        <w:t>récuser ou en tout cas faire reculer la possibilité d’examiner le comportement de justiciables sous l’angle de l’abus.</w:t>
      </w:r>
      <w:r w:rsidR="009805D4">
        <w:rPr>
          <w:rFonts w:cstheme="minorHAnsi"/>
          <w:sz w:val="24"/>
          <w:szCs w:val="24"/>
        </w:rPr>
        <w:t xml:space="preserve"> </w:t>
      </w:r>
    </w:p>
    <w:p w:rsidR="00C51BC7" w:rsidRDefault="009805D4" w:rsidP="00C51BC7">
      <w:pPr>
        <w:jc w:val="both"/>
        <w:rPr>
          <w:rFonts w:cstheme="minorHAnsi"/>
          <w:sz w:val="24"/>
          <w:szCs w:val="24"/>
        </w:rPr>
      </w:pPr>
      <w:r>
        <w:rPr>
          <w:rFonts w:cstheme="minorHAnsi"/>
          <w:sz w:val="24"/>
          <w:szCs w:val="24"/>
        </w:rPr>
        <w:lastRenderedPageBreak/>
        <w:t>Pour autant, la difficulté ne peut conduire à se contenter de généralités. Au-delà du recyclage des formules traditionnelles qui caractérisent l’abus de droit, que ce soit dans sa version publiciste ou privatiste, une approche convaincante de la portabilité nécessite que l’on tente de mieux cerner la ou les situations qui pourraient faire l’objet</w:t>
      </w:r>
      <w:r w:rsidR="00105922">
        <w:rPr>
          <w:rFonts w:cstheme="minorHAnsi"/>
          <w:sz w:val="24"/>
          <w:szCs w:val="24"/>
        </w:rPr>
        <w:t xml:space="preserve"> d’une sanction en raison de l’existence d’un abus.</w:t>
      </w:r>
    </w:p>
    <w:p w:rsidR="00105922" w:rsidRPr="002A192F" w:rsidRDefault="00105922" w:rsidP="00C51BC7">
      <w:pPr>
        <w:jc w:val="both"/>
        <w:rPr>
          <w:rFonts w:cstheme="minorHAnsi"/>
          <w:sz w:val="24"/>
          <w:szCs w:val="24"/>
        </w:rPr>
      </w:pPr>
      <w:r>
        <w:rPr>
          <w:rFonts w:cstheme="minorHAnsi"/>
          <w:sz w:val="24"/>
          <w:szCs w:val="24"/>
        </w:rPr>
        <w:t>Deux approches peuvent être retenues, sans exclure que d’autres soient envisageables. La première s’attache à isoler les éléments révélateurs d’un comportement abusif au départ d’une analyse de situations types. La seconde, qui emporte notre préférence, confère au juge ou à l’interprète un plus large pouvoir d’appréciation.</w:t>
      </w:r>
    </w:p>
    <w:p w:rsidR="00E73E8A" w:rsidRPr="002A192F" w:rsidRDefault="00E73E8A" w:rsidP="005E4D3B">
      <w:pPr>
        <w:rPr>
          <w:rFonts w:cstheme="minorHAnsi"/>
          <w:sz w:val="24"/>
          <w:szCs w:val="24"/>
        </w:rPr>
      </w:pPr>
    </w:p>
    <w:p w:rsidR="00E73E8A" w:rsidRPr="002A192F" w:rsidRDefault="00E73E8A" w:rsidP="005E4D3B">
      <w:pPr>
        <w:rPr>
          <w:rFonts w:cstheme="minorHAnsi"/>
          <w:b/>
          <w:i/>
          <w:sz w:val="24"/>
          <w:szCs w:val="24"/>
        </w:rPr>
      </w:pPr>
      <w:r w:rsidRPr="002A192F">
        <w:rPr>
          <w:rFonts w:cstheme="minorHAnsi"/>
          <w:b/>
          <w:i/>
          <w:sz w:val="24"/>
          <w:szCs w:val="24"/>
        </w:rPr>
        <w:t xml:space="preserve">2.1. </w:t>
      </w:r>
      <w:r w:rsidR="00105922">
        <w:rPr>
          <w:rFonts w:cstheme="minorHAnsi"/>
          <w:b/>
          <w:i/>
          <w:sz w:val="24"/>
          <w:szCs w:val="24"/>
        </w:rPr>
        <w:t>Une a</w:t>
      </w:r>
      <w:r w:rsidRPr="002A192F">
        <w:rPr>
          <w:rFonts w:cstheme="minorHAnsi"/>
          <w:b/>
          <w:i/>
          <w:sz w:val="24"/>
          <w:szCs w:val="24"/>
        </w:rPr>
        <w:t>pproche concrète</w:t>
      </w:r>
      <w:r w:rsidR="00105922">
        <w:rPr>
          <w:rFonts w:cstheme="minorHAnsi"/>
          <w:b/>
          <w:i/>
          <w:sz w:val="24"/>
          <w:szCs w:val="24"/>
        </w:rPr>
        <w:t xml:space="preserve"> de l’abus de droit</w:t>
      </w:r>
    </w:p>
    <w:p w:rsidR="00105922" w:rsidRDefault="00105922" w:rsidP="003D7E37">
      <w:pPr>
        <w:jc w:val="both"/>
        <w:rPr>
          <w:rFonts w:cstheme="minorHAnsi"/>
          <w:sz w:val="24"/>
          <w:szCs w:val="24"/>
        </w:rPr>
      </w:pPr>
      <w:r>
        <w:rPr>
          <w:rFonts w:cstheme="minorHAnsi"/>
          <w:sz w:val="24"/>
          <w:szCs w:val="24"/>
        </w:rPr>
        <w:t>L’abus de droit est un exemple de ces mécanismes juridiques qu’on a pu désigner comme des « notions à contenu variable »</w:t>
      </w:r>
      <w:r>
        <w:rPr>
          <w:rStyle w:val="Appelnotedebasdep"/>
          <w:rFonts w:cstheme="minorHAnsi"/>
          <w:sz w:val="24"/>
          <w:szCs w:val="24"/>
        </w:rPr>
        <w:footnoteReference w:id="39"/>
      </w:r>
      <w:r>
        <w:rPr>
          <w:rFonts w:cstheme="minorHAnsi"/>
          <w:sz w:val="24"/>
          <w:szCs w:val="24"/>
        </w:rPr>
        <w:t>. Insaisissable</w:t>
      </w:r>
      <w:r w:rsidR="003D7E37">
        <w:rPr>
          <w:rFonts w:cstheme="minorHAnsi"/>
          <w:sz w:val="24"/>
          <w:szCs w:val="24"/>
        </w:rPr>
        <w:t xml:space="preserve"> </w:t>
      </w:r>
      <w:r>
        <w:rPr>
          <w:rFonts w:cstheme="minorHAnsi"/>
          <w:sz w:val="24"/>
          <w:szCs w:val="24"/>
        </w:rPr>
        <w:t>et échappant à toute systématisation</w:t>
      </w:r>
      <w:r w:rsidR="003D7E37">
        <w:rPr>
          <w:rFonts w:cstheme="minorHAnsi"/>
          <w:sz w:val="24"/>
          <w:szCs w:val="24"/>
        </w:rPr>
        <w:t xml:space="preserve">, ce concept fonctionnel peut désespérer les juristes en quête d’une grille de lecture permettant de naviguer fermement les </w:t>
      </w:r>
      <w:r w:rsidR="002842FD">
        <w:rPr>
          <w:rFonts w:cstheme="minorHAnsi"/>
          <w:sz w:val="24"/>
          <w:szCs w:val="24"/>
        </w:rPr>
        <w:t xml:space="preserve">eaux parfois troubles </w:t>
      </w:r>
      <w:r w:rsidR="00B84236">
        <w:rPr>
          <w:rFonts w:cstheme="minorHAnsi"/>
          <w:sz w:val="24"/>
          <w:szCs w:val="24"/>
        </w:rPr>
        <w:t>de la libre circulation</w:t>
      </w:r>
      <w:r w:rsidR="003D7E37">
        <w:rPr>
          <w:rFonts w:cstheme="minorHAnsi"/>
          <w:sz w:val="24"/>
          <w:szCs w:val="24"/>
        </w:rPr>
        <w:t>. Le besoin de disposer d’une méthode permettant de distinguer rapidement le bon grain de l’ivraie explique que certains législateurs aient tenté, dans certains contextes, de donner un contenu concret au mécanisme.</w:t>
      </w:r>
    </w:p>
    <w:p w:rsidR="00FC06F7" w:rsidRDefault="003D7E37" w:rsidP="00FC06F7">
      <w:pPr>
        <w:jc w:val="both"/>
        <w:rPr>
          <w:rFonts w:cstheme="minorHAnsi"/>
          <w:sz w:val="24"/>
          <w:szCs w:val="24"/>
        </w:rPr>
      </w:pPr>
      <w:r>
        <w:rPr>
          <w:rFonts w:cstheme="minorHAnsi"/>
          <w:sz w:val="24"/>
          <w:szCs w:val="24"/>
        </w:rPr>
        <w:t>Plusieurs exemples de cette approche peuvent être relevés.</w:t>
      </w:r>
      <w:r w:rsidRPr="003D7E37">
        <w:rPr>
          <w:rFonts w:cstheme="minorHAnsi"/>
          <w:sz w:val="24"/>
          <w:szCs w:val="24"/>
        </w:rPr>
        <w:t xml:space="preserve"> </w:t>
      </w:r>
      <w:r>
        <w:rPr>
          <w:rFonts w:cstheme="minorHAnsi"/>
          <w:sz w:val="24"/>
          <w:szCs w:val="24"/>
        </w:rPr>
        <w:t xml:space="preserve">L’un des plus aboutis est sans conteste le § 48 de la loi introductive du Code civil allemand. Le § 48 de l’EGBGB permet </w:t>
      </w:r>
      <w:r w:rsidRPr="002A192F">
        <w:rPr>
          <w:rFonts w:cstheme="minorHAnsi"/>
          <w:sz w:val="24"/>
          <w:szCs w:val="24"/>
        </w:rPr>
        <w:t xml:space="preserve">à une personne </w:t>
      </w:r>
      <w:r>
        <w:rPr>
          <w:rFonts w:cstheme="minorHAnsi"/>
          <w:sz w:val="24"/>
          <w:szCs w:val="24"/>
        </w:rPr>
        <w:t xml:space="preserve">physique </w:t>
      </w:r>
      <w:r w:rsidRPr="002A192F">
        <w:rPr>
          <w:rFonts w:cstheme="minorHAnsi"/>
          <w:sz w:val="24"/>
          <w:szCs w:val="24"/>
        </w:rPr>
        <w:t>de se prévaloir d’un nom acquis dans un autre Etat membre</w:t>
      </w:r>
      <w:r w:rsidR="00AF68ED">
        <w:rPr>
          <w:rStyle w:val="Appelnotedebasdep"/>
          <w:rFonts w:cstheme="minorHAnsi"/>
          <w:sz w:val="24"/>
          <w:szCs w:val="24"/>
        </w:rPr>
        <w:footnoteReference w:id="40"/>
      </w:r>
      <w:r w:rsidRPr="002A192F">
        <w:rPr>
          <w:rFonts w:cstheme="minorHAnsi"/>
          <w:sz w:val="24"/>
          <w:szCs w:val="24"/>
        </w:rPr>
        <w:t xml:space="preserve">. </w:t>
      </w:r>
      <w:r>
        <w:rPr>
          <w:rFonts w:cstheme="minorHAnsi"/>
          <w:sz w:val="24"/>
          <w:szCs w:val="24"/>
        </w:rPr>
        <w:t>L’hypothèse visée est celle d’un ressortissant allemand dont le nom patronymique est selon le droit international privé allemand régi par le droit allemand</w:t>
      </w:r>
      <w:r>
        <w:rPr>
          <w:rStyle w:val="Appelnotedebasdep"/>
          <w:rFonts w:cstheme="minorHAnsi"/>
          <w:sz w:val="24"/>
          <w:szCs w:val="24"/>
        </w:rPr>
        <w:footnoteReference w:id="41"/>
      </w:r>
      <w:r>
        <w:rPr>
          <w:rFonts w:cstheme="minorHAnsi"/>
          <w:sz w:val="24"/>
          <w:szCs w:val="24"/>
        </w:rPr>
        <w:t>.</w:t>
      </w:r>
      <w:r w:rsidR="00FC06F7">
        <w:rPr>
          <w:rFonts w:cstheme="minorHAnsi"/>
          <w:sz w:val="24"/>
          <w:szCs w:val="24"/>
        </w:rPr>
        <w:t xml:space="preserve"> Lorsque cette personne acquiert un autre nom dans un Etat membre, elle peut le faire valoir dans l’ordre juridique allemand. Pour ce faire, elle devra effectuer une déclaration à l’officier d’état civil. Le § 48 invite ce dernier à vérifier, outre </w:t>
      </w:r>
      <w:r w:rsidR="00FC06F7" w:rsidRPr="002A192F">
        <w:rPr>
          <w:rFonts w:cstheme="minorHAnsi"/>
          <w:sz w:val="24"/>
          <w:szCs w:val="24"/>
        </w:rPr>
        <w:t>une éventuelle incompatibilité avec les principes essentiels du droit allemand</w:t>
      </w:r>
      <w:r w:rsidR="00FC06F7" w:rsidRPr="002A192F">
        <w:rPr>
          <w:rStyle w:val="Appelnotedebasdep"/>
          <w:rFonts w:cstheme="minorHAnsi"/>
          <w:sz w:val="24"/>
          <w:szCs w:val="24"/>
        </w:rPr>
        <w:footnoteReference w:id="42"/>
      </w:r>
      <w:r w:rsidR="00FC06F7" w:rsidRPr="002A192F">
        <w:rPr>
          <w:rFonts w:cstheme="minorHAnsi"/>
          <w:sz w:val="24"/>
          <w:szCs w:val="24"/>
        </w:rPr>
        <w:t xml:space="preserve">, </w:t>
      </w:r>
      <w:r w:rsidR="00FC06F7">
        <w:rPr>
          <w:rFonts w:cstheme="minorHAnsi"/>
          <w:sz w:val="24"/>
          <w:szCs w:val="24"/>
        </w:rPr>
        <w:t xml:space="preserve">que le nom ait été </w:t>
      </w:r>
      <w:r w:rsidR="00FC06F7" w:rsidRPr="002A192F">
        <w:rPr>
          <w:rFonts w:cstheme="minorHAnsi"/>
          <w:sz w:val="24"/>
          <w:szCs w:val="24"/>
        </w:rPr>
        <w:t xml:space="preserve">acquis dans un autre </w:t>
      </w:r>
      <w:r w:rsidR="00FC06F7">
        <w:rPr>
          <w:rFonts w:cstheme="minorHAnsi"/>
          <w:sz w:val="24"/>
          <w:szCs w:val="24"/>
        </w:rPr>
        <w:t>Etat membre au cours d’un séjour qui ne soit pas de pure convenance. Il est en effet exigé que le nom ait été acquis dans un Etat membre où l’intéressé avait établi sa résidence habituelle.</w:t>
      </w:r>
    </w:p>
    <w:p w:rsidR="00FC06F7" w:rsidRDefault="00FC06F7" w:rsidP="00FC06F7">
      <w:pPr>
        <w:jc w:val="both"/>
        <w:rPr>
          <w:rFonts w:cstheme="minorHAnsi"/>
          <w:sz w:val="24"/>
          <w:szCs w:val="24"/>
        </w:rPr>
      </w:pPr>
      <w:r>
        <w:rPr>
          <w:rFonts w:cstheme="minorHAnsi"/>
          <w:sz w:val="24"/>
          <w:szCs w:val="24"/>
        </w:rPr>
        <w:t xml:space="preserve">Comme le gouvernement allemand l’a confirmé dans l’affaire </w:t>
      </w:r>
      <w:proofErr w:type="spellStart"/>
      <w:r w:rsidRPr="00FC06F7">
        <w:rPr>
          <w:rFonts w:cstheme="minorHAnsi"/>
          <w:i/>
          <w:sz w:val="24"/>
          <w:szCs w:val="24"/>
        </w:rPr>
        <w:t>Bogendorff</w:t>
      </w:r>
      <w:proofErr w:type="spellEnd"/>
      <w:r>
        <w:rPr>
          <w:rFonts w:cstheme="minorHAnsi"/>
          <w:sz w:val="24"/>
          <w:szCs w:val="24"/>
        </w:rPr>
        <w:t xml:space="preserve">, l’objectif de cette réserve est de </w:t>
      </w:r>
      <w:r w:rsidRPr="002A192F">
        <w:rPr>
          <w:rFonts w:cstheme="minorHAnsi"/>
          <w:sz w:val="24"/>
          <w:szCs w:val="24"/>
        </w:rPr>
        <w:t xml:space="preserve">« faire obstacle à ce que des ressortissants allemands fassent, dans l’unique objectif de contourner leur droit national en matière d’état des personnes, de brefs séjours </w:t>
      </w:r>
      <w:r w:rsidRPr="002A192F">
        <w:rPr>
          <w:rFonts w:cstheme="minorHAnsi"/>
          <w:sz w:val="24"/>
          <w:szCs w:val="24"/>
        </w:rPr>
        <w:lastRenderedPageBreak/>
        <w:t>dans un autre État membre à la législation plus avantageuse afin d’acquérir le nom qu’ils désirent »</w:t>
      </w:r>
      <w:r>
        <w:rPr>
          <w:rStyle w:val="Appelnotedebasdep"/>
          <w:rFonts w:cstheme="minorHAnsi"/>
          <w:sz w:val="24"/>
          <w:szCs w:val="24"/>
        </w:rPr>
        <w:footnoteReference w:id="43"/>
      </w:r>
      <w:r w:rsidRPr="002A192F">
        <w:rPr>
          <w:rFonts w:cstheme="minorHAnsi"/>
          <w:sz w:val="24"/>
          <w:szCs w:val="24"/>
        </w:rPr>
        <w:t>.</w:t>
      </w:r>
      <w:r w:rsidR="006E05E1">
        <w:rPr>
          <w:rFonts w:cstheme="minorHAnsi"/>
          <w:sz w:val="24"/>
          <w:szCs w:val="24"/>
        </w:rPr>
        <w:t xml:space="preserve"> On ne saurait être plus clair : l’intention est bel et bien de prévenir les abus.</w:t>
      </w:r>
    </w:p>
    <w:p w:rsidR="006E05E1" w:rsidRDefault="006E05E1" w:rsidP="006E05E1">
      <w:pPr>
        <w:jc w:val="both"/>
        <w:rPr>
          <w:rFonts w:cstheme="minorHAnsi"/>
          <w:sz w:val="24"/>
          <w:szCs w:val="24"/>
        </w:rPr>
      </w:pPr>
      <w:r>
        <w:rPr>
          <w:rFonts w:cstheme="minorHAnsi"/>
          <w:sz w:val="24"/>
          <w:szCs w:val="24"/>
        </w:rPr>
        <w:t>On trouve un autre exemple dans la Convention adoptée en 200</w:t>
      </w:r>
      <w:r w:rsidR="00E25A98">
        <w:rPr>
          <w:rFonts w:cstheme="minorHAnsi"/>
          <w:sz w:val="24"/>
          <w:szCs w:val="24"/>
        </w:rPr>
        <w:t>7</w:t>
      </w:r>
      <w:r>
        <w:rPr>
          <w:rFonts w:cstheme="minorHAnsi"/>
          <w:sz w:val="24"/>
          <w:szCs w:val="24"/>
        </w:rPr>
        <w:t xml:space="preserve"> par la Commission internationale pour favoriser la reconnaissance des partenariats</w:t>
      </w:r>
      <w:r w:rsidR="00E25A98">
        <w:rPr>
          <w:rStyle w:val="Appelnotedebasdep"/>
          <w:rFonts w:cstheme="minorHAnsi"/>
          <w:sz w:val="24"/>
          <w:szCs w:val="24"/>
        </w:rPr>
        <w:footnoteReference w:id="44"/>
      </w:r>
      <w:r>
        <w:rPr>
          <w:rFonts w:cstheme="minorHAnsi"/>
          <w:sz w:val="24"/>
          <w:szCs w:val="24"/>
        </w:rPr>
        <w:t>.</w:t>
      </w:r>
      <w:r w:rsidR="00DA6E07">
        <w:rPr>
          <w:rFonts w:cstheme="minorHAnsi"/>
          <w:sz w:val="24"/>
          <w:szCs w:val="24"/>
        </w:rPr>
        <w:t xml:space="preserve"> L’article 7 de la Convention limite la possibilité pour les Etats de refuser de reconnaître un partenariat enregistré à l’étranger. Parmi les motifs possibles de refus, l’article 7, al. 5 permet à un Etat de refuser la reconnaissance d’un partenariat enregistré par l’autorité d’un Etat alors qu’aucun des partenaires ne se rattachait, par la nationalité ou la résidence habituelle, à l’Etat du lieu d’enregistrement</w:t>
      </w:r>
      <w:r w:rsidR="0070003A">
        <w:rPr>
          <w:rStyle w:val="Appelnotedebasdep"/>
          <w:rFonts w:cstheme="minorHAnsi"/>
          <w:sz w:val="24"/>
          <w:szCs w:val="24"/>
        </w:rPr>
        <w:footnoteReference w:id="45"/>
      </w:r>
      <w:r w:rsidR="00DA6E07">
        <w:rPr>
          <w:rFonts w:cstheme="minorHAnsi"/>
          <w:sz w:val="24"/>
          <w:szCs w:val="24"/>
        </w:rPr>
        <w:t>. La situation visée est atypique : elle pourrait concerner un ressortissant brésilien qui a fait enregistrer en Allemagne un partenariat avec son compagnon de nationalité française alors que les deux partenaires résident en Belgique.</w:t>
      </w:r>
    </w:p>
    <w:p w:rsidR="00330C67" w:rsidRDefault="00330C67" w:rsidP="006E05E1">
      <w:pPr>
        <w:jc w:val="both"/>
        <w:rPr>
          <w:rFonts w:cstheme="minorHAnsi"/>
          <w:sz w:val="24"/>
          <w:szCs w:val="24"/>
        </w:rPr>
      </w:pPr>
      <w:r>
        <w:rPr>
          <w:rFonts w:cstheme="minorHAnsi"/>
          <w:sz w:val="24"/>
          <w:szCs w:val="24"/>
        </w:rPr>
        <w:t xml:space="preserve">Le motif de refus prévu par l’article 7 al. 5 se rapproche de la fraude à la loi. Selon M. Goldstein et Mme </w:t>
      </w:r>
      <w:proofErr w:type="spellStart"/>
      <w:r>
        <w:rPr>
          <w:rFonts w:cstheme="minorHAnsi"/>
          <w:sz w:val="24"/>
          <w:szCs w:val="24"/>
        </w:rPr>
        <w:t>Muir</w:t>
      </w:r>
      <w:proofErr w:type="spellEnd"/>
      <w:r>
        <w:rPr>
          <w:rFonts w:cstheme="minorHAnsi"/>
          <w:sz w:val="24"/>
          <w:szCs w:val="24"/>
        </w:rPr>
        <w:t xml:space="preserve"> Watt, cette disposition « autorise l’Etat requis […] à refuser la reconnaissance du fait d’une probabilité de fraude à la loi nationale et à la loi de la résidence habituelle des partenaires »</w:t>
      </w:r>
      <w:r>
        <w:rPr>
          <w:rStyle w:val="Appelnotedebasdep"/>
          <w:rFonts w:cstheme="minorHAnsi"/>
          <w:sz w:val="24"/>
          <w:szCs w:val="24"/>
        </w:rPr>
        <w:footnoteReference w:id="46"/>
      </w:r>
      <w:r>
        <w:rPr>
          <w:rFonts w:cstheme="minorHAnsi"/>
          <w:sz w:val="24"/>
          <w:szCs w:val="24"/>
        </w:rPr>
        <w:t>.</w:t>
      </w:r>
    </w:p>
    <w:p w:rsidR="00330C67" w:rsidRDefault="00EF3714" w:rsidP="006E05E1">
      <w:pPr>
        <w:jc w:val="both"/>
        <w:rPr>
          <w:rFonts w:cstheme="minorHAnsi"/>
          <w:sz w:val="24"/>
          <w:szCs w:val="24"/>
        </w:rPr>
      </w:pPr>
      <w:r>
        <w:rPr>
          <w:rFonts w:cstheme="minorHAnsi"/>
          <w:sz w:val="24"/>
          <w:szCs w:val="24"/>
        </w:rPr>
        <w:t>Ces dispositions participent de l’effort</w:t>
      </w:r>
      <w:r w:rsidR="009135EF">
        <w:rPr>
          <w:rFonts w:cstheme="minorHAnsi"/>
          <w:sz w:val="24"/>
          <w:szCs w:val="24"/>
        </w:rPr>
        <w:t>,</w:t>
      </w:r>
      <w:r>
        <w:rPr>
          <w:rFonts w:cstheme="minorHAnsi"/>
          <w:sz w:val="24"/>
          <w:szCs w:val="24"/>
        </w:rPr>
        <w:t xml:space="preserve"> méritant</w:t>
      </w:r>
      <w:r w:rsidR="009135EF">
        <w:rPr>
          <w:rFonts w:cstheme="minorHAnsi"/>
          <w:sz w:val="24"/>
          <w:szCs w:val="24"/>
        </w:rPr>
        <w:t>,</w:t>
      </w:r>
      <w:r>
        <w:rPr>
          <w:rFonts w:cstheme="minorHAnsi"/>
          <w:sz w:val="24"/>
          <w:szCs w:val="24"/>
        </w:rPr>
        <w:t xml:space="preserve"> qui conduit les législateurs à adopter une approche concrète de notions fuyantes</w:t>
      </w:r>
      <w:r w:rsidR="008C0C8F">
        <w:rPr>
          <w:rFonts w:cstheme="minorHAnsi"/>
          <w:sz w:val="24"/>
          <w:szCs w:val="24"/>
        </w:rPr>
        <w:t>, afin d</w:t>
      </w:r>
      <w:r w:rsidR="009135EF">
        <w:rPr>
          <w:rFonts w:cstheme="minorHAnsi"/>
          <w:sz w:val="24"/>
          <w:szCs w:val="24"/>
        </w:rPr>
        <w:t>e rendre opérationnelles ces mécanismes</w:t>
      </w:r>
      <w:r w:rsidR="008C0C8F">
        <w:rPr>
          <w:rStyle w:val="Appelnotedebasdep"/>
          <w:rFonts w:cstheme="minorHAnsi"/>
          <w:sz w:val="24"/>
          <w:szCs w:val="24"/>
        </w:rPr>
        <w:footnoteReference w:id="47"/>
      </w:r>
      <w:r w:rsidR="008C0C8F">
        <w:rPr>
          <w:rFonts w:cstheme="minorHAnsi"/>
          <w:sz w:val="24"/>
          <w:szCs w:val="24"/>
        </w:rPr>
        <w:t>.</w:t>
      </w:r>
      <w:r w:rsidR="009A3F50">
        <w:rPr>
          <w:rFonts w:cstheme="minorHAnsi"/>
          <w:sz w:val="24"/>
          <w:szCs w:val="24"/>
        </w:rPr>
        <w:t xml:space="preserve"> La difficulté, évidente, que pose cette approche tient au caractère rigide des éléments retenus pour concrétiser</w:t>
      </w:r>
      <w:r w:rsidR="00955CEA">
        <w:rPr>
          <w:rFonts w:cstheme="minorHAnsi"/>
          <w:sz w:val="24"/>
          <w:szCs w:val="24"/>
        </w:rPr>
        <w:t xml:space="preserve"> le souhait de réprimer les abus. Par essence, la règle ne peut être concrète que si elle matérialise les limites posées à la libre circulation au moyen d’éléments précis. Or l’expérience apprend que cette concrétisation peut conduire à des résultats insatisfaisants.</w:t>
      </w:r>
    </w:p>
    <w:p w:rsidR="004401B6" w:rsidRDefault="00955CEA" w:rsidP="006E05E1">
      <w:pPr>
        <w:jc w:val="both"/>
        <w:rPr>
          <w:rFonts w:cstheme="minorHAnsi"/>
          <w:sz w:val="24"/>
          <w:szCs w:val="24"/>
        </w:rPr>
      </w:pPr>
      <w:r>
        <w:rPr>
          <w:rFonts w:cstheme="minorHAnsi"/>
          <w:sz w:val="24"/>
          <w:szCs w:val="24"/>
        </w:rPr>
        <w:t xml:space="preserve">Pour s’en convaincre, l’on peut se référer à l’affaire </w:t>
      </w:r>
      <w:r w:rsidRPr="00835F95">
        <w:rPr>
          <w:rFonts w:cstheme="minorHAnsi"/>
          <w:i/>
          <w:sz w:val="24"/>
          <w:szCs w:val="24"/>
        </w:rPr>
        <w:t xml:space="preserve">Florian </w:t>
      </w:r>
      <w:proofErr w:type="spellStart"/>
      <w:r w:rsidRPr="00835F95">
        <w:rPr>
          <w:rFonts w:cstheme="minorHAnsi"/>
          <w:i/>
          <w:sz w:val="24"/>
          <w:szCs w:val="24"/>
        </w:rPr>
        <w:t>Freitag</w:t>
      </w:r>
      <w:proofErr w:type="spellEnd"/>
      <w:r>
        <w:rPr>
          <w:rFonts w:cstheme="minorHAnsi"/>
          <w:sz w:val="24"/>
          <w:szCs w:val="24"/>
        </w:rPr>
        <w:t> : ce ressortissant</w:t>
      </w:r>
      <w:r w:rsidR="004401B6">
        <w:rPr>
          <w:rFonts w:cstheme="minorHAnsi"/>
          <w:sz w:val="24"/>
          <w:szCs w:val="24"/>
        </w:rPr>
        <w:t xml:space="preserve"> roumain né en Roumanie qui était devenu allemand et avait, à l’occasion de son adoption par le </w:t>
      </w:r>
      <w:r w:rsidR="004401B6">
        <w:rPr>
          <w:rFonts w:cstheme="minorHAnsi"/>
          <w:sz w:val="24"/>
          <w:szCs w:val="24"/>
        </w:rPr>
        <w:lastRenderedPageBreak/>
        <w:t>conjoint de sa mère, adopté le nom de ce dernier, souhaitait faire valoir en Allemagne son nom patronymique initial qui lui avait été attribué à sa demande par les autorités roumaines</w:t>
      </w:r>
      <w:r>
        <w:rPr>
          <w:rStyle w:val="Appelnotedebasdep"/>
          <w:rFonts w:cstheme="minorHAnsi"/>
          <w:sz w:val="24"/>
          <w:szCs w:val="24"/>
        </w:rPr>
        <w:footnoteReference w:id="48"/>
      </w:r>
      <w:r>
        <w:rPr>
          <w:rFonts w:cstheme="minorHAnsi"/>
          <w:sz w:val="24"/>
          <w:szCs w:val="24"/>
        </w:rPr>
        <w:t>.</w:t>
      </w:r>
      <w:r w:rsidR="004401B6">
        <w:rPr>
          <w:rFonts w:cstheme="minorHAnsi"/>
          <w:sz w:val="24"/>
          <w:szCs w:val="24"/>
        </w:rPr>
        <w:t xml:space="preserve"> Conformément au prescrit du § 48 de l’EGBGB, ce changement lui fut refusé par les autorités allemandes, au motif que l’intéressé résidait habituellement en Allemagne lorsque le changement de nom avait été opéré en Roumanie. Partant, il n’était pas satisfait à la condition posée par le § 48 selon laquelle le nom doit avoir été acquis dans un autre Etat membre au cours d’un séjour habituel dans cet Etat.</w:t>
      </w:r>
    </w:p>
    <w:p w:rsidR="004550CE" w:rsidRDefault="00835F95" w:rsidP="00835F95">
      <w:pPr>
        <w:jc w:val="both"/>
        <w:rPr>
          <w:rFonts w:cstheme="minorHAnsi"/>
          <w:sz w:val="24"/>
          <w:szCs w:val="24"/>
        </w:rPr>
      </w:pPr>
      <w:r>
        <w:rPr>
          <w:rFonts w:cstheme="minorHAnsi"/>
          <w:sz w:val="24"/>
          <w:szCs w:val="24"/>
        </w:rPr>
        <w:t>Comme l’a relevé la Cour de justice, l’intéressé possédait un lien sérieux avec la Roumanie : il y était né et possédait la nationalité roumaine</w:t>
      </w:r>
      <w:r>
        <w:rPr>
          <w:rStyle w:val="Appelnotedebasdep"/>
          <w:rFonts w:cstheme="minorHAnsi"/>
          <w:sz w:val="24"/>
          <w:szCs w:val="24"/>
        </w:rPr>
        <w:footnoteReference w:id="49"/>
      </w:r>
      <w:r>
        <w:rPr>
          <w:rFonts w:cstheme="minorHAnsi"/>
          <w:sz w:val="24"/>
          <w:szCs w:val="24"/>
        </w:rPr>
        <w:t>.</w:t>
      </w:r>
      <w:r w:rsidR="009A3F50">
        <w:rPr>
          <w:rFonts w:cstheme="minorHAnsi"/>
          <w:sz w:val="24"/>
          <w:szCs w:val="24"/>
        </w:rPr>
        <w:t xml:space="preserve"> </w:t>
      </w:r>
      <w:r>
        <w:rPr>
          <w:rFonts w:cstheme="minorHAnsi"/>
          <w:sz w:val="24"/>
          <w:szCs w:val="24"/>
        </w:rPr>
        <w:t xml:space="preserve">On comprend dès lors que la Cour se soit montrée critique à l’égard du mécanisme retenu par le législateur allemand. La Cour </w:t>
      </w:r>
      <w:r w:rsidRPr="002A192F">
        <w:rPr>
          <w:rFonts w:cstheme="minorHAnsi"/>
          <w:sz w:val="24"/>
          <w:szCs w:val="24"/>
        </w:rPr>
        <w:t>retient qu’en principe la restriction imposée par le § 48 EGBGB</w:t>
      </w:r>
      <w:r>
        <w:rPr>
          <w:rFonts w:cstheme="minorHAnsi"/>
          <w:sz w:val="24"/>
          <w:szCs w:val="24"/>
        </w:rPr>
        <w:t>,</w:t>
      </w:r>
      <w:r w:rsidRPr="002A192F">
        <w:rPr>
          <w:rFonts w:cstheme="minorHAnsi"/>
          <w:sz w:val="24"/>
          <w:szCs w:val="24"/>
        </w:rPr>
        <w:t xml:space="preserve"> qui ne permet</w:t>
      </w:r>
      <w:r>
        <w:rPr>
          <w:rFonts w:cstheme="minorHAnsi"/>
          <w:sz w:val="24"/>
          <w:szCs w:val="24"/>
        </w:rPr>
        <w:t>tait</w:t>
      </w:r>
      <w:r w:rsidRPr="002A192F">
        <w:rPr>
          <w:rFonts w:cstheme="minorHAnsi"/>
          <w:sz w:val="24"/>
          <w:szCs w:val="24"/>
        </w:rPr>
        <w:t xml:space="preserve"> pas </w:t>
      </w:r>
      <w:r>
        <w:rPr>
          <w:rFonts w:cstheme="minorHAnsi"/>
          <w:sz w:val="24"/>
          <w:szCs w:val="24"/>
        </w:rPr>
        <w:t xml:space="preserve">en l’espèce à l’intéressé </w:t>
      </w:r>
      <w:r w:rsidRPr="002A192F">
        <w:rPr>
          <w:rFonts w:cstheme="minorHAnsi"/>
          <w:sz w:val="24"/>
          <w:szCs w:val="24"/>
        </w:rPr>
        <w:t xml:space="preserve">de </w:t>
      </w:r>
      <w:r>
        <w:rPr>
          <w:rFonts w:cstheme="minorHAnsi"/>
          <w:sz w:val="24"/>
          <w:szCs w:val="24"/>
        </w:rPr>
        <w:t xml:space="preserve">faire </w:t>
      </w:r>
      <w:r w:rsidRPr="002A192F">
        <w:rPr>
          <w:rFonts w:cstheme="minorHAnsi"/>
          <w:sz w:val="24"/>
          <w:szCs w:val="24"/>
        </w:rPr>
        <w:t xml:space="preserve">reconnaître le nom </w:t>
      </w:r>
      <w:r>
        <w:rPr>
          <w:rFonts w:cstheme="minorHAnsi"/>
          <w:sz w:val="24"/>
          <w:szCs w:val="24"/>
        </w:rPr>
        <w:t>acquis en Roumanie</w:t>
      </w:r>
      <w:r w:rsidRPr="002A192F">
        <w:rPr>
          <w:rFonts w:cstheme="minorHAnsi"/>
          <w:sz w:val="24"/>
          <w:szCs w:val="24"/>
        </w:rPr>
        <w:t xml:space="preserve">, constitue une restriction injustifiée à la libre circulation garantie par l’article 21 TFUE. </w:t>
      </w:r>
      <w:r>
        <w:rPr>
          <w:rFonts w:cstheme="minorHAnsi"/>
          <w:sz w:val="24"/>
          <w:szCs w:val="24"/>
        </w:rPr>
        <w:t xml:space="preserve">En l’espèce, l’Allemagne ne dut son salut qu’au principe d’autonomie selon lequel il appartient à chaque Etat membre de concevoir et de mettre en œuvre les procédures nécessaires à </w:t>
      </w:r>
      <w:r w:rsidR="004550CE">
        <w:rPr>
          <w:rFonts w:cstheme="minorHAnsi"/>
          <w:sz w:val="24"/>
          <w:szCs w:val="24"/>
        </w:rPr>
        <w:t>l’effectivité des droits garantis par le droi</w:t>
      </w:r>
      <w:r>
        <w:rPr>
          <w:rFonts w:cstheme="minorHAnsi"/>
          <w:sz w:val="24"/>
          <w:szCs w:val="24"/>
        </w:rPr>
        <w:t xml:space="preserve">t européen. </w:t>
      </w:r>
      <w:r w:rsidR="004550CE">
        <w:rPr>
          <w:rFonts w:cstheme="minorHAnsi"/>
          <w:sz w:val="24"/>
          <w:szCs w:val="24"/>
        </w:rPr>
        <w:t>Or le droit allemand prévoyait une autre base juridique permettant à l’intéressé de procéder au changement de nom</w:t>
      </w:r>
      <w:r w:rsidR="00AF68ED">
        <w:rPr>
          <w:rStyle w:val="Appelnotedebasdep"/>
          <w:rFonts w:cstheme="minorHAnsi"/>
          <w:sz w:val="24"/>
          <w:szCs w:val="24"/>
        </w:rPr>
        <w:footnoteReference w:id="50"/>
      </w:r>
      <w:r w:rsidR="004550CE">
        <w:rPr>
          <w:rFonts w:cstheme="minorHAnsi"/>
          <w:sz w:val="24"/>
          <w:szCs w:val="24"/>
        </w:rPr>
        <w:t>. La Cour a accepté de</w:t>
      </w:r>
      <w:r w:rsidR="00172F49">
        <w:rPr>
          <w:rFonts w:cstheme="minorHAnsi"/>
          <w:sz w:val="24"/>
          <w:szCs w:val="24"/>
        </w:rPr>
        <w:t xml:space="preserve"> prêter crédit à cette procédure, à condition qu’elle respecte les principes d’équivalence et d’effectivité qui lui sont chers</w:t>
      </w:r>
      <w:r w:rsidR="00172F49">
        <w:rPr>
          <w:rStyle w:val="Appelnotedebasdep"/>
          <w:rFonts w:cstheme="minorHAnsi"/>
          <w:sz w:val="24"/>
          <w:szCs w:val="24"/>
        </w:rPr>
        <w:footnoteReference w:id="51"/>
      </w:r>
      <w:r w:rsidR="00172F49">
        <w:rPr>
          <w:rFonts w:cstheme="minorHAnsi"/>
          <w:sz w:val="24"/>
          <w:szCs w:val="24"/>
        </w:rPr>
        <w:t>.</w:t>
      </w:r>
    </w:p>
    <w:p w:rsidR="00821E40" w:rsidRDefault="00172F49" w:rsidP="005E33C1">
      <w:pPr>
        <w:jc w:val="both"/>
        <w:rPr>
          <w:rFonts w:cstheme="minorHAnsi"/>
          <w:sz w:val="24"/>
          <w:szCs w:val="24"/>
        </w:rPr>
      </w:pPr>
      <w:r>
        <w:rPr>
          <w:rFonts w:cstheme="minorHAnsi"/>
          <w:sz w:val="24"/>
          <w:szCs w:val="24"/>
        </w:rPr>
        <w:t xml:space="preserve">Cette décision met le doigt sur la limitation inhérente à l’approche concrète : </w:t>
      </w:r>
      <w:r w:rsidR="005E33C1">
        <w:rPr>
          <w:rFonts w:cstheme="minorHAnsi"/>
          <w:sz w:val="24"/>
          <w:szCs w:val="24"/>
        </w:rPr>
        <w:t xml:space="preserve">au plus la règle d’accueil est concrète, au plus grand est le risque qu’elle pose des limites qui pourraient s’avérer trop rigides dans certaines situations. Le tamis qui sert à séparer les situations de bonne foi des hypothèses où une personne agit </w:t>
      </w:r>
      <w:proofErr w:type="spellStart"/>
      <w:r w:rsidR="005E33C1" w:rsidRPr="005E33C1">
        <w:rPr>
          <w:rFonts w:cstheme="minorHAnsi"/>
          <w:i/>
          <w:sz w:val="24"/>
          <w:szCs w:val="24"/>
        </w:rPr>
        <w:t>mala</w:t>
      </w:r>
      <w:proofErr w:type="spellEnd"/>
      <w:r w:rsidR="005E33C1" w:rsidRPr="005E33C1">
        <w:rPr>
          <w:rFonts w:cstheme="minorHAnsi"/>
          <w:i/>
          <w:sz w:val="24"/>
          <w:szCs w:val="24"/>
        </w:rPr>
        <w:t xml:space="preserve"> </w:t>
      </w:r>
      <w:proofErr w:type="spellStart"/>
      <w:r w:rsidR="005E33C1" w:rsidRPr="005E33C1">
        <w:rPr>
          <w:rFonts w:cstheme="minorHAnsi"/>
          <w:i/>
          <w:sz w:val="24"/>
          <w:szCs w:val="24"/>
        </w:rPr>
        <w:t>fide</w:t>
      </w:r>
      <w:proofErr w:type="spellEnd"/>
      <w:r w:rsidR="005E33C1">
        <w:rPr>
          <w:rFonts w:cstheme="minorHAnsi"/>
          <w:sz w:val="24"/>
          <w:szCs w:val="24"/>
        </w:rPr>
        <w:t xml:space="preserve"> </w:t>
      </w:r>
      <w:r w:rsidR="00AF68ED">
        <w:rPr>
          <w:rFonts w:cstheme="minorHAnsi"/>
          <w:sz w:val="24"/>
          <w:szCs w:val="24"/>
        </w:rPr>
        <w:t>peut</w:t>
      </w:r>
      <w:r w:rsidR="005E33C1">
        <w:rPr>
          <w:rFonts w:cstheme="minorHAnsi"/>
          <w:sz w:val="24"/>
          <w:szCs w:val="24"/>
        </w:rPr>
        <w:t xml:space="preserve"> rév</w:t>
      </w:r>
      <w:r w:rsidR="00AF68ED">
        <w:rPr>
          <w:rFonts w:cstheme="minorHAnsi"/>
          <w:sz w:val="24"/>
          <w:szCs w:val="24"/>
        </w:rPr>
        <w:t>é</w:t>
      </w:r>
      <w:r w:rsidR="005E33C1">
        <w:rPr>
          <w:rFonts w:cstheme="minorHAnsi"/>
          <w:sz w:val="24"/>
          <w:szCs w:val="24"/>
        </w:rPr>
        <w:t>le</w:t>
      </w:r>
      <w:r w:rsidR="00AF68ED">
        <w:rPr>
          <w:rFonts w:cstheme="minorHAnsi"/>
          <w:sz w:val="24"/>
          <w:szCs w:val="24"/>
        </w:rPr>
        <w:t>r</w:t>
      </w:r>
      <w:r w:rsidR="005E33C1">
        <w:rPr>
          <w:rFonts w:cstheme="minorHAnsi"/>
          <w:sz w:val="24"/>
          <w:szCs w:val="24"/>
        </w:rPr>
        <w:t xml:space="preserve"> inadéquat.</w:t>
      </w:r>
      <w:r w:rsidR="00AF68ED">
        <w:rPr>
          <w:rFonts w:cstheme="minorHAnsi"/>
          <w:sz w:val="24"/>
          <w:szCs w:val="24"/>
        </w:rPr>
        <w:t xml:space="preserve"> C’était le cas dans l’affaire </w:t>
      </w:r>
      <w:proofErr w:type="spellStart"/>
      <w:r w:rsidR="00AF68ED" w:rsidRPr="00AF68ED">
        <w:rPr>
          <w:rFonts w:cstheme="minorHAnsi"/>
          <w:i/>
          <w:sz w:val="24"/>
          <w:szCs w:val="24"/>
        </w:rPr>
        <w:t>Freitag</w:t>
      </w:r>
      <w:proofErr w:type="spellEnd"/>
      <w:r w:rsidR="00AF68ED">
        <w:rPr>
          <w:rFonts w:cstheme="minorHAnsi"/>
          <w:sz w:val="24"/>
          <w:szCs w:val="24"/>
        </w:rPr>
        <w:t xml:space="preserve"> : l’intéressé vivait certes en Allemagne depuis longtemps. Il possédait néanmoins un lien substantiel avec la Roumanie où il était né et dont il possédait la nationalité. En outre, il souhaitait recouvrer le nom qui était initialement le sien, à savoir le nom de son père également de nationalité roumaine. Il n’était dès lors pas illégitime pour lui de </w:t>
      </w:r>
      <w:r w:rsidR="00821E40">
        <w:rPr>
          <w:rFonts w:cstheme="minorHAnsi"/>
          <w:sz w:val="24"/>
          <w:szCs w:val="24"/>
        </w:rPr>
        <w:t xml:space="preserve">sollicite les autorités roumaines, pour ensuite faire valoir le résultat en Allemagne. </w:t>
      </w:r>
    </w:p>
    <w:p w:rsidR="00821E40" w:rsidRDefault="00821E40" w:rsidP="005E33C1">
      <w:pPr>
        <w:jc w:val="both"/>
        <w:rPr>
          <w:rFonts w:cstheme="minorHAnsi"/>
          <w:sz w:val="24"/>
          <w:szCs w:val="24"/>
        </w:rPr>
      </w:pPr>
      <w:r>
        <w:rPr>
          <w:rFonts w:cstheme="minorHAnsi"/>
          <w:sz w:val="24"/>
          <w:szCs w:val="24"/>
        </w:rPr>
        <w:t>S’i</w:t>
      </w:r>
      <w:r w:rsidR="00AF68ED">
        <w:rPr>
          <w:rFonts w:cstheme="minorHAnsi"/>
          <w:sz w:val="24"/>
          <w:szCs w:val="24"/>
        </w:rPr>
        <w:t xml:space="preserve">l faut </w:t>
      </w:r>
      <w:r>
        <w:rPr>
          <w:rFonts w:cstheme="minorHAnsi"/>
          <w:sz w:val="24"/>
          <w:szCs w:val="24"/>
        </w:rPr>
        <w:t xml:space="preserve">dès lors </w:t>
      </w:r>
      <w:r w:rsidR="00AF68ED">
        <w:rPr>
          <w:rFonts w:cstheme="minorHAnsi"/>
          <w:sz w:val="24"/>
          <w:szCs w:val="24"/>
        </w:rPr>
        <w:t>reconnaître à l’approche concrète le bénéfice de la facilité de mise en œuvre</w:t>
      </w:r>
      <w:r>
        <w:rPr>
          <w:rFonts w:cstheme="minorHAnsi"/>
          <w:sz w:val="24"/>
          <w:szCs w:val="24"/>
        </w:rPr>
        <w:t>, on doit conclure que le risque demeure trop élevé qu’elle exclue des situations pourtant</w:t>
      </w:r>
      <w:r w:rsidR="00300B59">
        <w:rPr>
          <w:rFonts w:cstheme="minorHAnsi"/>
          <w:sz w:val="24"/>
          <w:szCs w:val="24"/>
        </w:rPr>
        <w:t xml:space="preserve"> dénuées d’élément abusif.</w:t>
      </w:r>
    </w:p>
    <w:p w:rsidR="00E73E8A" w:rsidRPr="002A192F" w:rsidRDefault="00E73E8A" w:rsidP="005E4D3B">
      <w:pPr>
        <w:rPr>
          <w:rFonts w:cstheme="minorHAnsi"/>
          <w:color w:val="000000"/>
          <w:sz w:val="28"/>
        </w:rPr>
      </w:pPr>
    </w:p>
    <w:p w:rsidR="00E73E8A" w:rsidRPr="002A192F" w:rsidRDefault="00E73E8A" w:rsidP="00E73E8A">
      <w:pPr>
        <w:rPr>
          <w:rFonts w:cstheme="minorHAnsi"/>
          <w:b/>
          <w:i/>
          <w:sz w:val="24"/>
          <w:szCs w:val="24"/>
        </w:rPr>
      </w:pPr>
      <w:r w:rsidRPr="002A192F">
        <w:rPr>
          <w:rFonts w:cstheme="minorHAnsi"/>
          <w:b/>
          <w:i/>
          <w:sz w:val="24"/>
          <w:szCs w:val="24"/>
        </w:rPr>
        <w:t xml:space="preserve">2.2. </w:t>
      </w:r>
      <w:r w:rsidR="00300B59">
        <w:rPr>
          <w:rFonts w:cstheme="minorHAnsi"/>
          <w:b/>
          <w:i/>
          <w:sz w:val="24"/>
          <w:szCs w:val="24"/>
        </w:rPr>
        <w:t>Au-delà de l’approche concrète : l’abus saisi par le juge</w:t>
      </w:r>
    </w:p>
    <w:p w:rsidR="00B84236" w:rsidRDefault="00300B59" w:rsidP="00300B59">
      <w:pPr>
        <w:jc w:val="both"/>
        <w:rPr>
          <w:rFonts w:cstheme="minorHAnsi"/>
          <w:sz w:val="24"/>
          <w:szCs w:val="24"/>
        </w:rPr>
      </w:pPr>
      <w:r>
        <w:rPr>
          <w:rFonts w:cstheme="minorHAnsi"/>
          <w:sz w:val="24"/>
          <w:szCs w:val="24"/>
        </w:rPr>
        <w:t xml:space="preserve">Une autre approche est possible, qui consiste à accorder au juge ou à une autre autorité un pouvoir général de contrôle de la situation. </w:t>
      </w:r>
      <w:r w:rsidR="00B84236">
        <w:rPr>
          <w:rFonts w:cstheme="minorHAnsi"/>
          <w:sz w:val="24"/>
          <w:szCs w:val="24"/>
        </w:rPr>
        <w:t xml:space="preserve">Ce pouvoir ne serait pas défini de façon abstraite en identifiant certains éléments dont la présence ou l’absence serait réputée synonyme </w:t>
      </w:r>
      <w:r w:rsidR="00B84236">
        <w:rPr>
          <w:rFonts w:cstheme="minorHAnsi"/>
          <w:sz w:val="24"/>
          <w:szCs w:val="24"/>
        </w:rPr>
        <w:lastRenderedPageBreak/>
        <w:t>d’abus. Il reviendrait au contraire au juge de s’assurer que la portabilité ne cache pas un dessein</w:t>
      </w:r>
      <w:r w:rsidR="00B75D1C">
        <w:rPr>
          <w:rFonts w:cstheme="minorHAnsi"/>
          <w:sz w:val="24"/>
          <w:szCs w:val="24"/>
        </w:rPr>
        <w:t xml:space="preserve"> inavouable en ayant égard, comme le veut la formule consacrée, à l’ensemble des circonstances de la cause.</w:t>
      </w:r>
    </w:p>
    <w:p w:rsidR="00B75D1C" w:rsidRDefault="00B75D1C" w:rsidP="00300B59">
      <w:pPr>
        <w:jc w:val="both"/>
        <w:rPr>
          <w:rFonts w:cstheme="minorHAnsi"/>
          <w:sz w:val="24"/>
          <w:szCs w:val="24"/>
        </w:rPr>
      </w:pPr>
      <w:r>
        <w:rPr>
          <w:rFonts w:cstheme="minorHAnsi"/>
          <w:sz w:val="24"/>
          <w:szCs w:val="24"/>
        </w:rPr>
        <w:t xml:space="preserve">Plutôt que d’offrir une liste de critères ou d’indices qui seraient </w:t>
      </w:r>
      <w:r w:rsidR="00985A28">
        <w:rPr>
          <w:rFonts w:cstheme="minorHAnsi"/>
          <w:sz w:val="24"/>
          <w:szCs w:val="24"/>
        </w:rPr>
        <w:t xml:space="preserve">jugés </w:t>
      </w:r>
      <w:r>
        <w:rPr>
          <w:rFonts w:cstheme="minorHAnsi"/>
          <w:sz w:val="24"/>
          <w:szCs w:val="24"/>
        </w:rPr>
        <w:t xml:space="preserve">révélateurs d’un comportement abusif, </w:t>
      </w:r>
      <w:r w:rsidR="00985A28">
        <w:rPr>
          <w:rFonts w:cstheme="minorHAnsi"/>
          <w:sz w:val="24"/>
          <w:szCs w:val="24"/>
        </w:rPr>
        <w:t xml:space="preserve">l’approche ouverte </w:t>
      </w:r>
      <w:r w:rsidR="00103E92">
        <w:rPr>
          <w:rFonts w:cstheme="minorHAnsi"/>
          <w:sz w:val="24"/>
          <w:szCs w:val="24"/>
        </w:rPr>
        <w:t xml:space="preserve">reposerait sur </w:t>
      </w:r>
      <w:r>
        <w:rPr>
          <w:rFonts w:cstheme="minorHAnsi"/>
          <w:sz w:val="24"/>
          <w:szCs w:val="24"/>
        </w:rPr>
        <w:t xml:space="preserve">une formule ouverte </w:t>
      </w:r>
      <w:r w:rsidR="00103E92">
        <w:rPr>
          <w:rFonts w:cstheme="minorHAnsi"/>
          <w:sz w:val="24"/>
          <w:szCs w:val="24"/>
        </w:rPr>
        <w:t>qui laisserait</w:t>
      </w:r>
      <w:r>
        <w:rPr>
          <w:rFonts w:cstheme="minorHAnsi"/>
          <w:sz w:val="24"/>
          <w:szCs w:val="24"/>
        </w:rPr>
        <w:t xml:space="preserve"> la possibilité au juge ou à l’interprète d’adapter les contours du mécanisme selon le domaine et les particularités de la cause.</w:t>
      </w:r>
    </w:p>
    <w:p w:rsidR="00796DED" w:rsidRPr="00EF00CC" w:rsidRDefault="00796DED" w:rsidP="00300B59">
      <w:pPr>
        <w:jc w:val="both"/>
        <w:rPr>
          <w:rFonts w:cstheme="minorHAnsi"/>
          <w:sz w:val="24"/>
          <w:szCs w:val="24"/>
        </w:rPr>
      </w:pPr>
      <w:r>
        <w:rPr>
          <w:rFonts w:cstheme="minorHAnsi"/>
          <w:sz w:val="24"/>
          <w:szCs w:val="24"/>
        </w:rPr>
        <w:t>Pour donner corps au mécanisme, l’on pourrait faire référence aux formules classiques qui sous-tendent l’abus de droit dans de nombreux ordres juridiques. Parmi ces formules, certaines lient l’existence d’un abus au constat qu’une personne a utilisé un droit d’une manière qui n’est pas conforme à l’usage qu’en ferait une personne normalement diligente. Dans d’autres domaines, c’est le différentiel entre le bénéfice qu’une personne retire de l’usage de son droit et les inconvénients auquel cet usage conduit, qui sont la référence utilisée. Ces différentes formules fournissent un catalogue intéressant dans lequel il conviendrait de puiser pour s’accorder sur une approche qui tient compte du contexte particulier qui est celui de la circulation des personnes et de leur statut.</w:t>
      </w:r>
      <w:r w:rsidR="00E450A5">
        <w:rPr>
          <w:rFonts w:cstheme="minorHAnsi"/>
          <w:sz w:val="24"/>
          <w:szCs w:val="24"/>
        </w:rPr>
        <w:t xml:space="preserve"> Sans doute le développement progressif d’une pratique jurisprudentielle permettra-t-il de repérer les </w:t>
      </w:r>
      <w:r w:rsidR="00E450A5" w:rsidRPr="00EF00CC">
        <w:rPr>
          <w:rFonts w:cstheme="minorHAnsi"/>
          <w:sz w:val="24"/>
          <w:szCs w:val="24"/>
        </w:rPr>
        <w:t xml:space="preserve">éléments </w:t>
      </w:r>
      <w:r w:rsidR="007D7E69" w:rsidRPr="00EF00CC">
        <w:rPr>
          <w:rFonts w:cstheme="minorHAnsi"/>
          <w:sz w:val="24"/>
          <w:szCs w:val="24"/>
        </w:rPr>
        <w:t>qui sont susceptibles de structurer une approche ouverte de l’abus de droit.</w:t>
      </w:r>
    </w:p>
    <w:p w:rsidR="00EF00CC" w:rsidRPr="00EF00CC" w:rsidRDefault="007D7E69" w:rsidP="00EF00CC">
      <w:pPr>
        <w:jc w:val="both"/>
        <w:rPr>
          <w:rFonts w:cstheme="minorHAnsi"/>
          <w:sz w:val="24"/>
          <w:szCs w:val="24"/>
        </w:rPr>
      </w:pPr>
      <w:r w:rsidRPr="00EF00CC">
        <w:rPr>
          <w:rFonts w:cstheme="minorHAnsi"/>
          <w:sz w:val="24"/>
          <w:szCs w:val="24"/>
        </w:rPr>
        <w:t xml:space="preserve">Parmi les éléments qui semblent </w:t>
      </w:r>
      <w:r w:rsidR="00796DED" w:rsidRPr="00EF00CC">
        <w:rPr>
          <w:rFonts w:cstheme="minorHAnsi"/>
          <w:sz w:val="24"/>
          <w:szCs w:val="24"/>
        </w:rPr>
        <w:t>indispensable</w:t>
      </w:r>
      <w:r w:rsidRPr="00EF00CC">
        <w:rPr>
          <w:rFonts w:cstheme="minorHAnsi"/>
          <w:sz w:val="24"/>
          <w:szCs w:val="24"/>
        </w:rPr>
        <w:t>s</w:t>
      </w:r>
      <w:r w:rsidR="00796DED" w:rsidRPr="00EF00CC">
        <w:rPr>
          <w:rFonts w:cstheme="minorHAnsi"/>
          <w:sz w:val="24"/>
          <w:szCs w:val="24"/>
        </w:rPr>
        <w:t xml:space="preserve"> pour l’appréciation du caractère abusif ou non d’un comportement</w:t>
      </w:r>
      <w:r w:rsidRPr="00EF00CC">
        <w:rPr>
          <w:rFonts w:cstheme="minorHAnsi"/>
          <w:sz w:val="24"/>
          <w:szCs w:val="24"/>
        </w:rPr>
        <w:t xml:space="preserve">, l’on doit mentionner </w:t>
      </w:r>
      <w:r w:rsidR="00796DED" w:rsidRPr="00EF00CC">
        <w:rPr>
          <w:rFonts w:cstheme="minorHAnsi"/>
          <w:sz w:val="24"/>
          <w:szCs w:val="24"/>
        </w:rPr>
        <w:t>l</w:t>
      </w:r>
      <w:r w:rsidR="00B84236" w:rsidRPr="00EF00CC">
        <w:rPr>
          <w:rFonts w:cstheme="minorHAnsi"/>
          <w:sz w:val="24"/>
          <w:szCs w:val="24"/>
        </w:rPr>
        <w:t>’intention des parties concernées</w:t>
      </w:r>
      <w:r w:rsidR="00796DED" w:rsidRPr="00EF00CC">
        <w:rPr>
          <w:rFonts w:cstheme="minorHAnsi"/>
          <w:sz w:val="24"/>
          <w:szCs w:val="24"/>
        </w:rPr>
        <w:t>.</w:t>
      </w:r>
      <w:r w:rsidR="00B75D1C" w:rsidRPr="00EF00CC">
        <w:rPr>
          <w:rFonts w:cstheme="minorHAnsi"/>
          <w:sz w:val="24"/>
          <w:szCs w:val="24"/>
        </w:rPr>
        <w:t xml:space="preserve"> Au-delà des faits objectifs, il faut en effet permettre au juge ou à l’interprète de s’interroger sur ce qui a pu conduire une partie à adopter tel ou tel comportement. </w:t>
      </w:r>
      <w:r w:rsidRPr="00EF00CC">
        <w:rPr>
          <w:rFonts w:cstheme="minorHAnsi"/>
          <w:sz w:val="24"/>
          <w:szCs w:val="24"/>
        </w:rPr>
        <w:t>L’élément subjectif peut jouer dans deux directions : il peut être indicatif d’une volonté d’acquérir un statut inaccessible sans déplacement stratégique, tout comme il peut au contraire être révélateur d’un enracinement dans l’Etat de création de la situation.</w:t>
      </w:r>
      <w:r w:rsidR="00EF00CC" w:rsidRPr="00EF00CC">
        <w:rPr>
          <w:rFonts w:cstheme="minorHAnsi"/>
          <w:sz w:val="24"/>
          <w:szCs w:val="24"/>
        </w:rPr>
        <w:t xml:space="preserve"> Dans l’affaire </w:t>
      </w:r>
      <w:proofErr w:type="spellStart"/>
      <w:r w:rsidR="00EF00CC" w:rsidRPr="00EF00CC">
        <w:rPr>
          <w:rFonts w:cstheme="minorHAnsi"/>
          <w:i/>
          <w:sz w:val="24"/>
          <w:szCs w:val="24"/>
        </w:rPr>
        <w:t>Bogendorff</w:t>
      </w:r>
      <w:proofErr w:type="spellEnd"/>
      <w:r w:rsidR="00EF00CC" w:rsidRPr="00EF00CC">
        <w:rPr>
          <w:rFonts w:cstheme="minorHAnsi"/>
          <w:sz w:val="24"/>
          <w:szCs w:val="24"/>
        </w:rPr>
        <w:t xml:space="preserve"> déjà évoquée, la Cour a tenu compte d’un élément subjectif : dans un attendu qui peut se lire </w:t>
      </w:r>
      <w:r w:rsidR="00EF00CC" w:rsidRPr="00EF00CC">
        <w:rPr>
          <w:rFonts w:cstheme="minorHAnsi"/>
          <w:sz w:val="24"/>
          <w:szCs w:val="24"/>
        </w:rPr>
        <w:t xml:space="preserve"> comme une « condamnation morale de la vanité qui est à l’origine de l’imbroglio auquel est confronté monsieur </w:t>
      </w:r>
      <w:proofErr w:type="spellStart"/>
      <w:r w:rsidR="00EF00CC" w:rsidRPr="00EF00CC">
        <w:rPr>
          <w:rFonts w:cstheme="minorHAnsi"/>
          <w:sz w:val="24"/>
          <w:szCs w:val="24"/>
        </w:rPr>
        <w:t>Bogendorff</w:t>
      </w:r>
      <w:proofErr w:type="spellEnd"/>
      <w:r w:rsidR="00EF00CC" w:rsidRPr="00EF00CC">
        <w:rPr>
          <w:rFonts w:cstheme="minorHAnsi"/>
          <w:sz w:val="24"/>
          <w:szCs w:val="24"/>
        </w:rPr>
        <w:t xml:space="preserve"> </w:t>
      </w:r>
      <w:proofErr w:type="spellStart"/>
      <w:r w:rsidR="00EF00CC" w:rsidRPr="00EF00CC">
        <w:rPr>
          <w:rFonts w:cstheme="minorHAnsi"/>
          <w:sz w:val="24"/>
          <w:szCs w:val="24"/>
        </w:rPr>
        <w:t>von</w:t>
      </w:r>
      <w:proofErr w:type="spellEnd"/>
      <w:r w:rsidR="00EF00CC" w:rsidRPr="00EF00CC">
        <w:rPr>
          <w:rFonts w:cstheme="minorHAnsi"/>
          <w:sz w:val="24"/>
          <w:szCs w:val="24"/>
        </w:rPr>
        <w:t xml:space="preserve"> </w:t>
      </w:r>
      <w:proofErr w:type="spellStart"/>
      <w:r w:rsidR="00EF00CC" w:rsidRPr="00EF00CC">
        <w:rPr>
          <w:rFonts w:cstheme="minorHAnsi"/>
          <w:sz w:val="24"/>
          <w:szCs w:val="24"/>
        </w:rPr>
        <w:t>Wolffersdorff</w:t>
      </w:r>
      <w:proofErr w:type="spellEnd"/>
      <w:r w:rsidR="00EF00CC" w:rsidRPr="00EF00CC">
        <w:rPr>
          <w:rFonts w:cstheme="minorHAnsi"/>
          <w:sz w:val="24"/>
          <w:szCs w:val="24"/>
        </w:rPr>
        <w:t> »</w:t>
      </w:r>
      <w:r w:rsidR="00EF00CC" w:rsidRPr="00EF00CC">
        <w:rPr>
          <w:rStyle w:val="Appelnotedebasdep"/>
          <w:rFonts w:cstheme="minorHAnsi"/>
          <w:sz w:val="24"/>
          <w:szCs w:val="24"/>
        </w:rPr>
        <w:footnoteReference w:id="52"/>
      </w:r>
      <w:r w:rsidR="00EF00CC" w:rsidRPr="00EF00CC">
        <w:rPr>
          <w:rFonts w:cstheme="minorHAnsi"/>
          <w:sz w:val="24"/>
          <w:szCs w:val="24"/>
        </w:rPr>
        <w:t>, la Cour a souligné que le changement de nom de l’intéressé reposait</w:t>
      </w:r>
      <w:r w:rsidR="00EF00CC" w:rsidRPr="00EF00CC">
        <w:rPr>
          <w:rFonts w:cstheme="minorHAnsi"/>
          <w:sz w:val="24"/>
          <w:szCs w:val="24"/>
        </w:rPr>
        <w:t xml:space="preserve"> </w:t>
      </w:r>
      <w:r w:rsidR="00EF00CC" w:rsidRPr="00EF00CC">
        <w:rPr>
          <w:rFonts w:cstheme="minorHAnsi"/>
          <w:sz w:val="24"/>
          <w:szCs w:val="24"/>
        </w:rPr>
        <w:t xml:space="preserve">«  </w:t>
      </w:r>
      <w:r w:rsidR="00EF00CC" w:rsidRPr="00EF00CC">
        <w:rPr>
          <w:rFonts w:cstheme="minorHAnsi"/>
          <w:sz w:val="24"/>
          <w:szCs w:val="24"/>
        </w:rPr>
        <w:t>sur un choix de pure convenance personnelle du requérant au principal</w:t>
      </w:r>
      <w:r w:rsidR="00EF00CC" w:rsidRPr="00EF00CC">
        <w:rPr>
          <w:rFonts w:cstheme="minorHAnsi"/>
          <w:sz w:val="24"/>
          <w:szCs w:val="24"/>
        </w:rPr>
        <w:t> », sans que la divergence de noms qui en résulte ne puisse être ramenée aux « </w:t>
      </w:r>
      <w:r w:rsidR="00EF00CC" w:rsidRPr="00EF00CC">
        <w:rPr>
          <w:rFonts w:cstheme="minorHAnsi"/>
          <w:sz w:val="24"/>
          <w:szCs w:val="24"/>
        </w:rPr>
        <w:t>circonstances de la naissance de celui-ci, ni à une adoption, ni à l’acquisition de la nationalité britannique</w:t>
      </w:r>
      <w:r w:rsidR="00EF00CC" w:rsidRPr="00EF00CC">
        <w:rPr>
          <w:rFonts w:cstheme="minorHAnsi"/>
          <w:sz w:val="24"/>
          <w:szCs w:val="24"/>
        </w:rPr>
        <w:t> »</w:t>
      </w:r>
      <w:r w:rsidR="00EF00CC">
        <w:rPr>
          <w:rStyle w:val="Appelnotedebasdep"/>
          <w:rFonts w:cstheme="minorHAnsi"/>
          <w:sz w:val="24"/>
          <w:szCs w:val="24"/>
        </w:rPr>
        <w:footnoteReference w:id="53"/>
      </w:r>
      <w:r w:rsidR="00EF00CC" w:rsidRPr="00EF00CC">
        <w:rPr>
          <w:rFonts w:cstheme="minorHAnsi"/>
          <w:sz w:val="24"/>
          <w:szCs w:val="24"/>
        </w:rPr>
        <w:t>.</w:t>
      </w:r>
    </w:p>
    <w:p w:rsidR="00B84236" w:rsidRDefault="007D7E69" w:rsidP="00300B59">
      <w:pPr>
        <w:jc w:val="both"/>
        <w:rPr>
          <w:rFonts w:cstheme="minorHAnsi"/>
          <w:sz w:val="24"/>
          <w:szCs w:val="24"/>
        </w:rPr>
      </w:pPr>
      <w:r w:rsidRPr="00EF00CC">
        <w:rPr>
          <w:rFonts w:cstheme="minorHAnsi"/>
          <w:sz w:val="24"/>
          <w:szCs w:val="24"/>
        </w:rPr>
        <w:t xml:space="preserve">Lorsque l’intention joue un rôle, on a coutume de se demander si elle doit avoir été l’élément </w:t>
      </w:r>
      <w:r w:rsidR="00B75D1C">
        <w:rPr>
          <w:rFonts w:cstheme="minorHAnsi"/>
          <w:sz w:val="24"/>
          <w:szCs w:val="24"/>
        </w:rPr>
        <w:t xml:space="preserve">exclusif ou </w:t>
      </w:r>
      <w:r>
        <w:rPr>
          <w:rFonts w:cstheme="minorHAnsi"/>
          <w:sz w:val="24"/>
          <w:szCs w:val="24"/>
        </w:rPr>
        <w:t xml:space="preserve">si on </w:t>
      </w:r>
      <w:r w:rsidR="00B75D1C">
        <w:rPr>
          <w:rFonts w:cstheme="minorHAnsi"/>
          <w:sz w:val="24"/>
          <w:szCs w:val="24"/>
        </w:rPr>
        <w:t>peut</w:t>
      </w:r>
      <w:r>
        <w:rPr>
          <w:rFonts w:cstheme="minorHAnsi"/>
          <w:sz w:val="24"/>
          <w:szCs w:val="24"/>
        </w:rPr>
        <w:t xml:space="preserve"> </w:t>
      </w:r>
      <w:r w:rsidR="00B75D1C">
        <w:rPr>
          <w:rFonts w:cstheme="minorHAnsi"/>
          <w:sz w:val="24"/>
          <w:szCs w:val="24"/>
        </w:rPr>
        <w:t xml:space="preserve">se contenter de démontrer que l’élément subjectif a été l’un des moteurs </w:t>
      </w:r>
      <w:proofErr w:type="gramStart"/>
      <w:r w:rsidR="00B75D1C">
        <w:rPr>
          <w:rFonts w:cstheme="minorHAnsi"/>
          <w:sz w:val="24"/>
          <w:szCs w:val="24"/>
        </w:rPr>
        <w:t>essentiels</w:t>
      </w:r>
      <w:proofErr w:type="gramEnd"/>
      <w:r w:rsidR="00B75D1C">
        <w:rPr>
          <w:rFonts w:cstheme="minorHAnsi"/>
          <w:sz w:val="24"/>
          <w:szCs w:val="24"/>
        </w:rPr>
        <w:t xml:space="preserve"> du comportement</w:t>
      </w:r>
      <w:r>
        <w:rPr>
          <w:rFonts w:cstheme="minorHAnsi"/>
          <w:sz w:val="24"/>
          <w:szCs w:val="24"/>
        </w:rPr>
        <w:t>.</w:t>
      </w:r>
      <w:r w:rsidR="00B75D1C">
        <w:rPr>
          <w:rFonts w:cstheme="minorHAnsi"/>
          <w:sz w:val="24"/>
          <w:szCs w:val="24"/>
        </w:rPr>
        <w:t xml:space="preserve"> L’expérience apprend que même lorsque l</w:t>
      </w:r>
      <w:r w:rsidR="004730EF">
        <w:rPr>
          <w:rFonts w:cstheme="minorHAnsi"/>
          <w:sz w:val="24"/>
          <w:szCs w:val="24"/>
        </w:rPr>
        <w:t>a démonstration est requise que les efforts des personnes concernées étaient dirigés exclusivement vers la poursuite d’un objectif</w:t>
      </w:r>
      <w:r w:rsidR="000E054C">
        <w:rPr>
          <w:rFonts w:cstheme="minorHAnsi"/>
          <w:sz w:val="24"/>
          <w:szCs w:val="24"/>
        </w:rPr>
        <w:t xml:space="preserve"> étranger à celui de l’institution en cause, la barrière des faits et la difficulté de rapporter la preuve précise d’une intention brouille la frontière entre les deux pôles.</w:t>
      </w:r>
    </w:p>
    <w:p w:rsidR="000E054C" w:rsidRPr="000E054C" w:rsidRDefault="00B75D1C" w:rsidP="000E054C">
      <w:pPr>
        <w:jc w:val="both"/>
        <w:rPr>
          <w:rFonts w:cstheme="minorHAnsi"/>
          <w:sz w:val="24"/>
          <w:szCs w:val="24"/>
        </w:rPr>
      </w:pPr>
      <w:r>
        <w:rPr>
          <w:rFonts w:cstheme="minorHAnsi"/>
          <w:sz w:val="24"/>
          <w:szCs w:val="24"/>
        </w:rPr>
        <w:lastRenderedPageBreak/>
        <w:t xml:space="preserve">On objectera que tel qu’il est esquissé </w:t>
      </w:r>
      <w:r w:rsidRPr="000E054C">
        <w:rPr>
          <w:rFonts w:cstheme="minorHAnsi"/>
          <w:sz w:val="24"/>
          <w:szCs w:val="24"/>
        </w:rPr>
        <w:t>à grands traits, ce mécanisme ouvert se rapproche singulièrement de la fraude à la loi</w:t>
      </w:r>
      <w:r w:rsidR="000E054C" w:rsidRPr="000E054C">
        <w:rPr>
          <w:rFonts w:cstheme="minorHAnsi"/>
          <w:sz w:val="24"/>
          <w:szCs w:val="24"/>
        </w:rPr>
        <w:t>, instrument on ne peut plus classique du droit international privé. La parenté ne peut être niée</w:t>
      </w:r>
      <w:r w:rsidR="007D7E69">
        <w:rPr>
          <w:rStyle w:val="Appelnotedebasdep"/>
          <w:rFonts w:cstheme="minorHAnsi"/>
          <w:sz w:val="24"/>
          <w:szCs w:val="24"/>
        </w:rPr>
        <w:footnoteReference w:id="54"/>
      </w:r>
      <w:r w:rsidR="000E054C" w:rsidRPr="000E054C">
        <w:rPr>
          <w:rFonts w:cstheme="minorHAnsi"/>
          <w:sz w:val="24"/>
          <w:szCs w:val="24"/>
        </w:rPr>
        <w:t xml:space="preserve">. Les deux mécanismes font appel </w:t>
      </w:r>
      <w:r w:rsidR="000E054C">
        <w:rPr>
          <w:rFonts w:cstheme="minorHAnsi"/>
          <w:sz w:val="24"/>
          <w:szCs w:val="24"/>
        </w:rPr>
        <w:t>à</w:t>
      </w:r>
      <w:r w:rsidR="000E054C" w:rsidRPr="000E054C">
        <w:rPr>
          <w:rFonts w:cstheme="minorHAnsi"/>
          <w:sz w:val="24"/>
          <w:szCs w:val="24"/>
        </w:rPr>
        <w:t xml:space="preserve"> un élément subjectif</w:t>
      </w:r>
      <w:r w:rsidR="000E054C">
        <w:rPr>
          <w:rFonts w:cstheme="minorHAnsi"/>
          <w:sz w:val="24"/>
          <w:szCs w:val="24"/>
        </w:rPr>
        <w:t xml:space="preserve">, </w:t>
      </w:r>
      <w:r w:rsidR="004762C1">
        <w:rPr>
          <w:rFonts w:cstheme="minorHAnsi"/>
          <w:sz w:val="24"/>
          <w:szCs w:val="24"/>
        </w:rPr>
        <w:t xml:space="preserve">qui peut être </w:t>
      </w:r>
      <w:r w:rsidR="000E054C">
        <w:rPr>
          <w:rFonts w:cstheme="minorHAnsi"/>
          <w:sz w:val="24"/>
          <w:szCs w:val="24"/>
        </w:rPr>
        <w:t>difficile à opérationnaliser. A ce titre, tant l’abus que la fraude sont des instruments délicats à manier</w:t>
      </w:r>
      <w:r w:rsidR="000E054C" w:rsidRPr="000E054C">
        <w:rPr>
          <w:rFonts w:cstheme="minorHAnsi"/>
          <w:sz w:val="24"/>
          <w:szCs w:val="24"/>
        </w:rPr>
        <w:t xml:space="preserve">. </w:t>
      </w:r>
      <w:r w:rsidR="000E054C">
        <w:rPr>
          <w:rFonts w:cstheme="minorHAnsi"/>
          <w:sz w:val="24"/>
          <w:szCs w:val="24"/>
        </w:rPr>
        <w:t>L</w:t>
      </w:r>
      <w:r w:rsidR="000E054C" w:rsidRPr="000E054C">
        <w:rPr>
          <w:rFonts w:cstheme="minorHAnsi"/>
          <w:sz w:val="24"/>
          <w:szCs w:val="24"/>
        </w:rPr>
        <w:t xml:space="preserve">a mise en œuvre d’une règle de droit peut </w:t>
      </w:r>
      <w:r w:rsidR="000E054C">
        <w:rPr>
          <w:rFonts w:cstheme="minorHAnsi"/>
          <w:sz w:val="24"/>
          <w:szCs w:val="24"/>
        </w:rPr>
        <w:t xml:space="preserve">néanmoins </w:t>
      </w:r>
      <w:r w:rsidR="000E054C" w:rsidRPr="000E054C">
        <w:rPr>
          <w:rFonts w:cstheme="minorHAnsi"/>
          <w:sz w:val="24"/>
          <w:szCs w:val="24"/>
        </w:rPr>
        <w:t xml:space="preserve">s’accommoder d’une </w:t>
      </w:r>
      <w:r w:rsidR="000E054C">
        <w:rPr>
          <w:rFonts w:cstheme="minorHAnsi"/>
          <w:sz w:val="24"/>
          <w:szCs w:val="24"/>
        </w:rPr>
        <w:t xml:space="preserve">certaine </w:t>
      </w:r>
      <w:r w:rsidR="000E054C" w:rsidRPr="000E054C">
        <w:rPr>
          <w:rFonts w:cstheme="minorHAnsi"/>
          <w:sz w:val="24"/>
          <w:szCs w:val="24"/>
        </w:rPr>
        <w:t xml:space="preserve">complexité. </w:t>
      </w:r>
      <w:r w:rsidR="000E054C">
        <w:rPr>
          <w:rFonts w:cstheme="minorHAnsi"/>
          <w:sz w:val="24"/>
          <w:szCs w:val="24"/>
        </w:rPr>
        <w:t>La</w:t>
      </w:r>
      <w:r w:rsidR="000E054C" w:rsidRPr="000E054C">
        <w:rPr>
          <w:rFonts w:cstheme="minorHAnsi"/>
          <w:sz w:val="24"/>
          <w:szCs w:val="24"/>
        </w:rPr>
        <w:t xml:space="preserve"> puissance du juge est </w:t>
      </w:r>
      <w:r w:rsidR="000E054C">
        <w:rPr>
          <w:rFonts w:cstheme="minorHAnsi"/>
          <w:sz w:val="24"/>
          <w:szCs w:val="24"/>
        </w:rPr>
        <w:t xml:space="preserve">en effet </w:t>
      </w:r>
      <w:r w:rsidR="000E054C" w:rsidRPr="000E054C">
        <w:rPr>
          <w:rFonts w:cstheme="minorHAnsi"/>
          <w:sz w:val="24"/>
          <w:szCs w:val="24"/>
        </w:rPr>
        <w:t>précisément de pouvoir appréhender des situations complexes et de mettre en balance des intérêts pour</w:t>
      </w:r>
      <w:r w:rsidR="000E054C">
        <w:rPr>
          <w:rFonts w:cstheme="minorHAnsi"/>
          <w:sz w:val="24"/>
          <w:szCs w:val="24"/>
        </w:rPr>
        <w:t xml:space="preserve"> pouvoir trancher.</w:t>
      </w:r>
    </w:p>
    <w:p w:rsidR="004762C1" w:rsidRPr="002A192F" w:rsidRDefault="000E054C" w:rsidP="004762C1">
      <w:pPr>
        <w:jc w:val="both"/>
        <w:rPr>
          <w:rFonts w:cstheme="minorHAnsi"/>
          <w:sz w:val="24"/>
          <w:szCs w:val="24"/>
        </w:rPr>
      </w:pPr>
      <w:r w:rsidRPr="000E054C">
        <w:rPr>
          <w:rFonts w:cstheme="minorHAnsi"/>
          <w:sz w:val="24"/>
          <w:szCs w:val="24"/>
        </w:rPr>
        <w:t>Pour autant, l’abus de droit présente une particularité qui le distingue de la fraude</w:t>
      </w:r>
      <w:r w:rsidR="00FA142C">
        <w:rPr>
          <w:rFonts w:cstheme="minorHAnsi"/>
          <w:sz w:val="24"/>
          <w:szCs w:val="24"/>
        </w:rPr>
        <w:t xml:space="preserve"> – et lui confère sans doute un avenir moins incertain</w:t>
      </w:r>
      <w:r w:rsidRPr="000E054C">
        <w:rPr>
          <w:rFonts w:cstheme="minorHAnsi"/>
          <w:sz w:val="24"/>
          <w:szCs w:val="24"/>
        </w:rPr>
        <w:t xml:space="preserve">. </w:t>
      </w:r>
      <w:r w:rsidR="00FA142C">
        <w:rPr>
          <w:rFonts w:cstheme="minorHAnsi"/>
          <w:sz w:val="24"/>
          <w:szCs w:val="24"/>
        </w:rPr>
        <w:t xml:space="preserve">La fraude </w:t>
      </w:r>
      <w:r>
        <w:rPr>
          <w:rFonts w:cstheme="minorHAnsi"/>
          <w:sz w:val="24"/>
          <w:szCs w:val="24"/>
        </w:rPr>
        <w:t>est en effet liée</w:t>
      </w:r>
      <w:r w:rsidRPr="000E054C">
        <w:rPr>
          <w:rFonts w:cstheme="minorHAnsi"/>
          <w:sz w:val="24"/>
          <w:szCs w:val="24"/>
        </w:rPr>
        <w:t xml:space="preserve"> au paradigme </w:t>
      </w:r>
      <w:proofErr w:type="spellStart"/>
      <w:r w:rsidRPr="000E054C">
        <w:rPr>
          <w:rFonts w:cstheme="minorHAnsi"/>
          <w:sz w:val="24"/>
          <w:szCs w:val="24"/>
        </w:rPr>
        <w:t>conf</w:t>
      </w:r>
      <w:r w:rsidR="00FA142C">
        <w:rPr>
          <w:rFonts w:cstheme="minorHAnsi"/>
          <w:sz w:val="24"/>
          <w:szCs w:val="24"/>
        </w:rPr>
        <w:t>l</w:t>
      </w:r>
      <w:r w:rsidRPr="000E054C">
        <w:rPr>
          <w:rFonts w:cstheme="minorHAnsi"/>
          <w:sz w:val="24"/>
          <w:szCs w:val="24"/>
        </w:rPr>
        <w:t>ictualiste</w:t>
      </w:r>
      <w:proofErr w:type="spellEnd"/>
      <w:r w:rsidRPr="000E054C">
        <w:rPr>
          <w:rFonts w:cstheme="minorHAnsi"/>
          <w:sz w:val="24"/>
          <w:szCs w:val="24"/>
        </w:rPr>
        <w:t xml:space="preserve">. </w:t>
      </w:r>
      <w:r>
        <w:rPr>
          <w:rFonts w:cstheme="minorHAnsi"/>
          <w:sz w:val="24"/>
          <w:szCs w:val="24"/>
        </w:rPr>
        <w:t>Dans sa représentation classique, la fraude prend la figure d’une tentative</w:t>
      </w:r>
      <w:r w:rsidRPr="000E054C">
        <w:rPr>
          <w:rFonts w:cstheme="minorHAnsi"/>
          <w:sz w:val="24"/>
          <w:szCs w:val="24"/>
        </w:rPr>
        <w:t xml:space="preserve"> de contourner la loi normalement applicable. </w:t>
      </w:r>
      <w:r w:rsidR="00C11133">
        <w:rPr>
          <w:rFonts w:cstheme="minorHAnsi"/>
          <w:sz w:val="24"/>
          <w:szCs w:val="24"/>
        </w:rPr>
        <w:t xml:space="preserve">Or le paradigme </w:t>
      </w:r>
      <w:proofErr w:type="spellStart"/>
      <w:r w:rsidR="00C11133">
        <w:rPr>
          <w:rFonts w:cstheme="minorHAnsi"/>
          <w:sz w:val="24"/>
          <w:szCs w:val="24"/>
        </w:rPr>
        <w:t>conflictualiste</w:t>
      </w:r>
      <w:proofErr w:type="spellEnd"/>
      <w:r w:rsidR="00C11133">
        <w:rPr>
          <w:rFonts w:cstheme="minorHAnsi"/>
          <w:sz w:val="24"/>
          <w:szCs w:val="24"/>
        </w:rPr>
        <w:t xml:space="preserve"> subit un ressac important – on a même parlé à cet égard d’une « érosion du paradigme </w:t>
      </w:r>
      <w:proofErr w:type="spellStart"/>
      <w:r w:rsidR="00C11133">
        <w:rPr>
          <w:rFonts w:cstheme="minorHAnsi"/>
          <w:sz w:val="24"/>
          <w:szCs w:val="24"/>
        </w:rPr>
        <w:t>conflictualiste</w:t>
      </w:r>
      <w:proofErr w:type="spellEnd"/>
      <w:r w:rsidR="00C11133">
        <w:rPr>
          <w:rFonts w:cstheme="minorHAnsi"/>
          <w:sz w:val="24"/>
          <w:szCs w:val="24"/>
        </w:rPr>
        <w:t xml:space="preserve"> » </w:t>
      </w:r>
      <w:r w:rsidR="00C11133">
        <w:rPr>
          <w:rStyle w:val="Appelnotedebasdep"/>
          <w:rFonts w:cstheme="minorHAnsi"/>
          <w:sz w:val="24"/>
          <w:szCs w:val="24"/>
        </w:rPr>
        <w:footnoteReference w:id="55"/>
      </w:r>
      <w:r w:rsidR="00C11133">
        <w:rPr>
          <w:rFonts w:cstheme="minorHAnsi"/>
          <w:sz w:val="24"/>
          <w:szCs w:val="24"/>
        </w:rPr>
        <w:t xml:space="preserve"> - qui fait surtout sentir ses effets lorsque l’on s’intéresse à la circulation des personnes et des situations.</w:t>
      </w:r>
      <w:r w:rsidR="004762C1" w:rsidRPr="004762C1">
        <w:rPr>
          <w:rFonts w:cstheme="minorHAnsi"/>
          <w:sz w:val="24"/>
          <w:szCs w:val="24"/>
        </w:rPr>
        <w:t xml:space="preserve"> </w:t>
      </w:r>
      <w:r w:rsidR="004762C1" w:rsidRPr="002A192F">
        <w:rPr>
          <w:rFonts w:cstheme="minorHAnsi"/>
          <w:sz w:val="24"/>
          <w:szCs w:val="24"/>
        </w:rPr>
        <w:t xml:space="preserve">La règle de conflit de lois est </w:t>
      </w:r>
      <w:r w:rsidR="004762C1">
        <w:rPr>
          <w:rFonts w:cstheme="minorHAnsi"/>
          <w:sz w:val="24"/>
          <w:szCs w:val="24"/>
        </w:rPr>
        <w:t xml:space="preserve">ainsi largement </w:t>
      </w:r>
      <w:r w:rsidR="004762C1" w:rsidRPr="002A192F">
        <w:rPr>
          <w:rFonts w:cstheme="minorHAnsi"/>
          <w:sz w:val="24"/>
          <w:szCs w:val="24"/>
        </w:rPr>
        <w:t xml:space="preserve">désactivée au sein de l’espace judiciaire européen : </w:t>
      </w:r>
      <w:r w:rsidR="004762C1">
        <w:rPr>
          <w:rFonts w:cstheme="minorHAnsi"/>
          <w:sz w:val="24"/>
          <w:szCs w:val="24"/>
        </w:rPr>
        <w:t xml:space="preserve">les divers </w:t>
      </w:r>
      <w:r w:rsidR="004762C1" w:rsidRPr="002A192F">
        <w:rPr>
          <w:rFonts w:cstheme="minorHAnsi"/>
          <w:sz w:val="24"/>
          <w:szCs w:val="24"/>
        </w:rPr>
        <w:t xml:space="preserve">règlements </w:t>
      </w:r>
      <w:r w:rsidR="004762C1">
        <w:rPr>
          <w:rFonts w:cstheme="minorHAnsi"/>
          <w:sz w:val="24"/>
          <w:szCs w:val="24"/>
        </w:rPr>
        <w:t xml:space="preserve">qui </w:t>
      </w:r>
      <w:r w:rsidR="004762C1" w:rsidRPr="002A192F">
        <w:rPr>
          <w:rFonts w:cstheme="minorHAnsi"/>
          <w:sz w:val="24"/>
          <w:szCs w:val="24"/>
        </w:rPr>
        <w:t>ont procédé à l’harmonisation, parfois avec une réussite approximative</w:t>
      </w:r>
      <w:r w:rsidR="004762C1">
        <w:rPr>
          <w:rFonts w:cstheme="minorHAnsi"/>
          <w:sz w:val="24"/>
          <w:szCs w:val="24"/>
        </w:rPr>
        <w:t>, des règles de conflit de lois ont fait perdre à cette dernière toute prétention à</w:t>
      </w:r>
      <w:r w:rsidR="004762C1" w:rsidRPr="002A192F">
        <w:rPr>
          <w:rFonts w:cstheme="minorHAnsi"/>
          <w:sz w:val="24"/>
          <w:szCs w:val="24"/>
        </w:rPr>
        <w:t xml:space="preserve"> </w:t>
      </w:r>
      <w:r w:rsidR="004762C1">
        <w:rPr>
          <w:rFonts w:cstheme="minorHAnsi"/>
          <w:sz w:val="24"/>
          <w:szCs w:val="24"/>
        </w:rPr>
        <w:t>jouer un rôle dans la circulation des situations. L’exemple du divorce est éclairant à cet égard. Même en tenant compte des infidélités que certains Etats ont fait au règlement Rome III, qui n’a été accepté que dans partie des Etats membres, le système mis en place par les textes contribue largement à désactiver la règle de conflit de lois au stade de la circulation. Cette tendance lourde explique d’ailleurs le souhait de certains de</w:t>
      </w:r>
      <w:r w:rsidR="004762C1" w:rsidRPr="002A192F">
        <w:rPr>
          <w:rFonts w:cstheme="minorHAnsi"/>
          <w:sz w:val="24"/>
          <w:szCs w:val="24"/>
        </w:rPr>
        <w:t xml:space="preserve"> « revaloriser la règle de conflit de lois face à l’exigence de reconnaissance »</w:t>
      </w:r>
      <w:r w:rsidR="004762C1">
        <w:rPr>
          <w:rStyle w:val="Appelnotedebasdep"/>
          <w:rFonts w:cstheme="minorHAnsi"/>
          <w:sz w:val="24"/>
          <w:szCs w:val="24"/>
        </w:rPr>
        <w:footnoteReference w:id="56"/>
      </w:r>
      <w:r w:rsidR="004762C1">
        <w:rPr>
          <w:rFonts w:cstheme="minorHAnsi"/>
          <w:sz w:val="24"/>
          <w:szCs w:val="24"/>
        </w:rPr>
        <w:t>.</w:t>
      </w:r>
    </w:p>
    <w:p w:rsidR="000E054C" w:rsidRPr="002A192F" w:rsidRDefault="0020407A" w:rsidP="000E054C">
      <w:pPr>
        <w:jc w:val="both"/>
        <w:rPr>
          <w:rFonts w:cstheme="minorHAnsi"/>
        </w:rPr>
      </w:pPr>
      <w:r>
        <w:rPr>
          <w:rFonts w:cstheme="minorHAnsi"/>
          <w:sz w:val="24"/>
          <w:szCs w:val="24"/>
        </w:rPr>
        <w:t xml:space="preserve">Dans la mesure où il n’est pas par essence lié au paradigme </w:t>
      </w:r>
      <w:proofErr w:type="spellStart"/>
      <w:r>
        <w:rPr>
          <w:rFonts w:cstheme="minorHAnsi"/>
          <w:sz w:val="24"/>
          <w:szCs w:val="24"/>
        </w:rPr>
        <w:t>conflictualiste</w:t>
      </w:r>
      <w:proofErr w:type="spellEnd"/>
      <w:r>
        <w:rPr>
          <w:rFonts w:cstheme="minorHAnsi"/>
          <w:sz w:val="24"/>
          <w:szCs w:val="24"/>
        </w:rPr>
        <w:t xml:space="preserve">, </w:t>
      </w:r>
      <w:r w:rsidR="00FA142C">
        <w:rPr>
          <w:rFonts w:cstheme="minorHAnsi"/>
          <w:sz w:val="24"/>
          <w:szCs w:val="24"/>
        </w:rPr>
        <w:t xml:space="preserve">l’abus de droit est mieux en phase avec le mouvement des idées dont l’effet est de réduire </w:t>
      </w:r>
      <w:r w:rsidR="000E054C" w:rsidRPr="002A192F">
        <w:rPr>
          <w:rFonts w:cstheme="minorHAnsi"/>
          <w:sz w:val="24"/>
          <w:szCs w:val="24"/>
        </w:rPr>
        <w:t>le poids de la règle de conflit</w:t>
      </w:r>
      <w:r w:rsidR="00FA142C">
        <w:rPr>
          <w:rFonts w:cstheme="minorHAnsi"/>
          <w:sz w:val="24"/>
          <w:szCs w:val="24"/>
        </w:rPr>
        <w:t xml:space="preserve"> de lois.</w:t>
      </w:r>
    </w:p>
    <w:p w:rsidR="00DB4306" w:rsidRDefault="00DB4306" w:rsidP="0020407A">
      <w:pPr>
        <w:jc w:val="both"/>
        <w:rPr>
          <w:rFonts w:cstheme="minorHAnsi"/>
          <w:sz w:val="24"/>
          <w:szCs w:val="24"/>
        </w:rPr>
      </w:pPr>
    </w:p>
    <w:p w:rsidR="00C8006E" w:rsidRPr="00C8006E" w:rsidRDefault="00C8006E" w:rsidP="0020407A">
      <w:pPr>
        <w:jc w:val="both"/>
        <w:rPr>
          <w:rFonts w:cstheme="minorHAnsi"/>
          <w:b/>
          <w:i/>
          <w:sz w:val="24"/>
          <w:szCs w:val="24"/>
        </w:rPr>
      </w:pPr>
      <w:r w:rsidRPr="00C8006E">
        <w:rPr>
          <w:rFonts w:cstheme="minorHAnsi"/>
          <w:b/>
          <w:i/>
          <w:sz w:val="24"/>
          <w:szCs w:val="24"/>
        </w:rPr>
        <w:t>En guise de conclusion</w:t>
      </w:r>
    </w:p>
    <w:p w:rsidR="00C8006E" w:rsidRDefault="00C8006E" w:rsidP="005E4D3B">
      <w:pPr>
        <w:rPr>
          <w:rFonts w:cstheme="minorHAnsi"/>
          <w:sz w:val="24"/>
          <w:szCs w:val="24"/>
        </w:rPr>
      </w:pPr>
    </w:p>
    <w:p w:rsidR="00C8006E" w:rsidRDefault="00C8006E" w:rsidP="00C8006E">
      <w:pPr>
        <w:jc w:val="both"/>
        <w:rPr>
          <w:rFonts w:cstheme="minorHAnsi"/>
          <w:sz w:val="24"/>
          <w:szCs w:val="24"/>
        </w:rPr>
      </w:pPr>
      <w:r>
        <w:rPr>
          <w:rFonts w:cstheme="minorHAnsi"/>
          <w:sz w:val="24"/>
          <w:szCs w:val="24"/>
        </w:rPr>
        <w:t xml:space="preserve">La portabilité des situations individuelles et familiales n’a pas vocation à être sans limite. Au-delà de l’ordre public donc l’ombre continue à planer sur la méthode de la reconnaissance, il semble inévitable de reconnaître un rôle à l’abus de droit comme élément du contrôle que peut exercer l’Etat d’accueil. Paradoxalement, le maintien d’un contrôle fondé sur la prohibition de l’abus de droit permettra sans doute d’atténuer les craintes de ceux qui voient dans la disparition du contrôle conflictuel la porte ouverte à toutes les dérives. L’inévitabilité de l’abus de droit tient aussi au fait qu’elle fait partie intégrante des deux vecteurs classiques </w:t>
      </w:r>
      <w:r>
        <w:rPr>
          <w:rFonts w:cstheme="minorHAnsi"/>
          <w:sz w:val="24"/>
          <w:szCs w:val="24"/>
        </w:rPr>
        <w:lastRenderedPageBreak/>
        <w:t>de la portabilité que so</w:t>
      </w:r>
      <w:r w:rsidR="00EF00CC">
        <w:rPr>
          <w:rFonts w:cstheme="minorHAnsi"/>
          <w:sz w:val="24"/>
          <w:szCs w:val="24"/>
        </w:rPr>
        <w:t>nt la citoyenneté européenne et, dans une moindre mesure, le droit au respect de la vie familiale.</w:t>
      </w:r>
    </w:p>
    <w:p w:rsidR="00EF00CC" w:rsidRDefault="00EF00CC" w:rsidP="00C8006E">
      <w:pPr>
        <w:jc w:val="both"/>
        <w:rPr>
          <w:rFonts w:cstheme="minorHAnsi"/>
          <w:sz w:val="24"/>
          <w:szCs w:val="24"/>
        </w:rPr>
      </w:pPr>
      <w:r>
        <w:rPr>
          <w:rFonts w:cstheme="minorHAnsi"/>
          <w:sz w:val="24"/>
          <w:szCs w:val="24"/>
        </w:rPr>
        <w:t>L’existence d’une limite fondée sur la prohibition de l’abus impose que l’on s’entende sur son visage et ses contours. Nous avons essayé de montrer les limites d’une approche trop concrète, qui lierait l’intervention de l’abus de droit à certains critères précis présélectionnés. Comme souvent il est plus facile de déconstruire que de proposer.</w:t>
      </w:r>
      <w:r w:rsidR="00E03128">
        <w:rPr>
          <w:rFonts w:cstheme="minorHAnsi"/>
          <w:sz w:val="24"/>
          <w:szCs w:val="24"/>
        </w:rPr>
        <w:t xml:space="preserve"> Pour les raisons déjà évoquées, notre préférence va à un mécanisme ouvert, susceptible de s’adapter aux différentes circonstances de la cause. Le risque éventuel pour la sécurité juridique nous paraît limité dans la mesure où le mécanisme de l’abus de droit a vocation à demeurer d’application marginale, seules les situations les plus excentriques étant visées.</w:t>
      </w:r>
    </w:p>
    <w:p w:rsidR="00F15EA3" w:rsidRPr="002A192F" w:rsidRDefault="00F15EA3" w:rsidP="004A0B60">
      <w:pPr>
        <w:rPr>
          <w:rFonts w:cstheme="minorHAnsi"/>
          <w:sz w:val="24"/>
          <w:szCs w:val="24"/>
        </w:rPr>
      </w:pPr>
      <w:bookmarkStart w:id="0" w:name="_GoBack"/>
      <w:bookmarkEnd w:id="0"/>
    </w:p>
    <w:sectPr w:rsidR="00F15EA3" w:rsidRPr="002A192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3E51" w:rsidRDefault="00563E51" w:rsidP="002A11CF">
      <w:pPr>
        <w:spacing w:after="0" w:line="240" w:lineRule="auto"/>
      </w:pPr>
      <w:r>
        <w:separator/>
      </w:r>
    </w:p>
  </w:endnote>
  <w:endnote w:type="continuationSeparator" w:id="0">
    <w:p w:rsidR="00563E51" w:rsidRDefault="00563E51" w:rsidP="002A11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Liberation Serif">
    <w:altName w:val="Times New Roman"/>
    <w:charset w:val="00"/>
    <w:family w:val="roman"/>
    <w:pitch w:val="variable"/>
  </w:font>
  <w:font w:name="Droid Sans Fallback">
    <w:charset w:val="00"/>
    <w:family w:val="auto"/>
    <w:pitch w:val="variable"/>
  </w:font>
  <w:font w:name="FreeSans">
    <w:altName w:val="Times New Roman"/>
    <w:charset w:val="00"/>
    <w:family w:val="auto"/>
    <w:pitch w:val="variable"/>
  </w:font>
  <w:font w:name="GothamBook">
    <w:altName w:val="GothamBook"/>
    <w:panose1 w:val="00000000000000000000"/>
    <w:charset w:val="00"/>
    <w:family w:val="swiss"/>
    <w:notTrueType/>
    <w:pitch w:val="default"/>
    <w:sig w:usb0="00000003" w:usb1="00000000" w:usb2="00000000" w:usb3="00000000" w:csb0="00000001" w:csb1="00000000"/>
  </w:font>
  <w:font w:name="GothamBold">
    <w:altName w:val="GothamBold"/>
    <w:panose1 w:val="00000000000000000000"/>
    <w:charset w:val="00"/>
    <w:family w:val="swiss"/>
    <w:notTrueType/>
    <w:pitch w:val="default"/>
    <w:sig w:usb0="00000003" w:usb1="00000000" w:usb2="00000000" w:usb3="00000000" w:csb0="00000001" w:csb1="00000000"/>
  </w:font>
  <w:font w:name="Noto Sans CJK SC Regular">
    <w:altName w:val="Times New Roman"/>
    <w:panose1 w:val="00000000000000000000"/>
    <w:charset w:val="00"/>
    <w:family w:val="roman"/>
    <w:notTrueType/>
    <w:pitch w:val="default"/>
  </w:font>
  <w:font w:name="DejaVu Sans">
    <w:altName w:val="Times New Roman"/>
    <w:charset w:val="00"/>
    <w:family w:val="swiss"/>
    <w:pitch w:val="variable"/>
    <w:sig w:usb0="E7002EFF" w:usb1="D200FDFF" w:usb2="0A24602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3E51" w:rsidRDefault="00563E51" w:rsidP="002A11CF">
      <w:pPr>
        <w:spacing w:after="0" w:line="240" w:lineRule="auto"/>
      </w:pPr>
      <w:r>
        <w:separator/>
      </w:r>
    </w:p>
  </w:footnote>
  <w:footnote w:type="continuationSeparator" w:id="0">
    <w:p w:rsidR="00563E51" w:rsidRDefault="00563E51" w:rsidP="002A11CF">
      <w:pPr>
        <w:spacing w:after="0" w:line="240" w:lineRule="auto"/>
      </w:pPr>
      <w:r>
        <w:continuationSeparator/>
      </w:r>
    </w:p>
  </w:footnote>
  <w:footnote w:id="1">
    <w:p w:rsidR="007D7E69" w:rsidRPr="00DB35E3" w:rsidRDefault="007D7E69" w:rsidP="00D61896">
      <w:pPr>
        <w:pStyle w:val="Notedebasdepage"/>
        <w:jc w:val="both"/>
        <w:rPr>
          <w:rFonts w:cstheme="minorHAnsi"/>
          <w:lang w:val="en-US"/>
        </w:rPr>
      </w:pPr>
      <w:r w:rsidRPr="00DB35E3">
        <w:rPr>
          <w:rStyle w:val="Appelnotedebasdep"/>
          <w:rFonts w:cstheme="minorHAnsi"/>
        </w:rPr>
        <w:footnoteRef/>
      </w:r>
      <w:r w:rsidRPr="00DB35E3">
        <w:rPr>
          <w:rFonts w:cstheme="minorHAnsi"/>
          <w:lang w:val="en-US"/>
        </w:rPr>
        <w:t xml:space="preserve"> Cf. E. </w:t>
      </w:r>
      <w:proofErr w:type="spellStart"/>
      <w:r w:rsidRPr="00DB35E3">
        <w:rPr>
          <w:rFonts w:cstheme="minorHAnsi"/>
          <w:smallCaps/>
          <w:lang w:val="en-US"/>
        </w:rPr>
        <w:t>Povoledo</w:t>
      </w:r>
      <w:proofErr w:type="spellEnd"/>
      <w:r w:rsidRPr="00DB35E3">
        <w:rPr>
          <w:rFonts w:cstheme="minorHAnsi"/>
          <w:lang w:val="en-US"/>
        </w:rPr>
        <w:t xml:space="preserve">, “Divorce Tourists Go Abroad to Quickly Dissolve Their Italian Marriages”, </w:t>
      </w:r>
      <w:proofErr w:type="spellStart"/>
      <w:r w:rsidRPr="00DB35E3">
        <w:rPr>
          <w:rFonts w:cstheme="minorHAnsi"/>
          <w:i/>
          <w:lang w:val="en-US"/>
        </w:rPr>
        <w:t>NYTimes</w:t>
      </w:r>
      <w:proofErr w:type="spellEnd"/>
      <w:r w:rsidRPr="00DB35E3">
        <w:rPr>
          <w:rFonts w:cstheme="minorHAnsi"/>
          <w:lang w:val="en-US"/>
        </w:rPr>
        <w:t xml:space="preserve">, 14 </w:t>
      </w:r>
      <w:proofErr w:type="spellStart"/>
      <w:r w:rsidRPr="00DB35E3">
        <w:rPr>
          <w:rFonts w:cstheme="minorHAnsi"/>
          <w:lang w:val="en-US"/>
        </w:rPr>
        <w:t>août</w:t>
      </w:r>
      <w:proofErr w:type="spellEnd"/>
      <w:r w:rsidRPr="00DB35E3">
        <w:rPr>
          <w:rFonts w:cstheme="minorHAnsi"/>
          <w:lang w:val="en-US"/>
        </w:rPr>
        <w:t xml:space="preserve"> 2011.</w:t>
      </w:r>
    </w:p>
  </w:footnote>
  <w:footnote w:id="2">
    <w:p w:rsidR="007D7E69" w:rsidRPr="00DB35E3" w:rsidRDefault="007D7E69" w:rsidP="00C53E44">
      <w:pPr>
        <w:pStyle w:val="Notedebasdepage"/>
        <w:rPr>
          <w:rFonts w:cstheme="minorHAnsi"/>
        </w:rPr>
      </w:pPr>
      <w:r w:rsidRPr="00DB35E3">
        <w:rPr>
          <w:rStyle w:val="Appelnotedebasdep"/>
          <w:rFonts w:cstheme="minorHAnsi"/>
        </w:rPr>
        <w:footnoteRef/>
      </w:r>
      <w:r w:rsidRPr="00DB35E3">
        <w:rPr>
          <w:rFonts w:cstheme="minorHAnsi"/>
        </w:rPr>
        <w:t xml:space="preserve"> Cour </w:t>
      </w:r>
      <w:proofErr w:type="spellStart"/>
      <w:r w:rsidRPr="00DB35E3">
        <w:rPr>
          <w:rFonts w:cstheme="minorHAnsi"/>
        </w:rPr>
        <w:t>eur</w:t>
      </w:r>
      <w:proofErr w:type="spellEnd"/>
      <w:r w:rsidRPr="00DB35E3">
        <w:rPr>
          <w:rFonts w:cstheme="minorHAnsi"/>
        </w:rPr>
        <w:t>. DH (5</w:t>
      </w:r>
      <w:r w:rsidRPr="00DB35E3">
        <w:rPr>
          <w:rFonts w:cstheme="minorHAnsi"/>
          <w:vertAlign w:val="superscript"/>
        </w:rPr>
        <w:t>ème</w:t>
      </w:r>
      <w:r w:rsidRPr="00DB35E3">
        <w:rPr>
          <w:rFonts w:cstheme="minorHAnsi"/>
        </w:rPr>
        <w:t xml:space="preserve"> section), 26 juin 2014, </w:t>
      </w:r>
      <w:proofErr w:type="spellStart"/>
      <w:r w:rsidRPr="00DB35E3">
        <w:rPr>
          <w:rFonts w:cstheme="minorHAnsi"/>
          <w:i/>
        </w:rPr>
        <w:t>Mennesson</w:t>
      </w:r>
      <w:proofErr w:type="spellEnd"/>
      <w:r w:rsidRPr="00DB35E3">
        <w:rPr>
          <w:rFonts w:cstheme="minorHAnsi"/>
          <w:i/>
        </w:rPr>
        <w:t xml:space="preserve"> c. France</w:t>
      </w:r>
      <w:r w:rsidRPr="00DB35E3">
        <w:rPr>
          <w:rFonts w:cstheme="minorHAnsi"/>
        </w:rPr>
        <w:t>, requête n° 65192/11.</w:t>
      </w:r>
    </w:p>
  </w:footnote>
  <w:footnote w:id="3">
    <w:p w:rsidR="007D7E69" w:rsidRPr="00DB35E3" w:rsidRDefault="007D7E69" w:rsidP="00C26359">
      <w:pPr>
        <w:pStyle w:val="Notedebasdepage"/>
        <w:jc w:val="both"/>
        <w:rPr>
          <w:rFonts w:cstheme="minorHAnsi"/>
        </w:rPr>
      </w:pPr>
      <w:r w:rsidRPr="00DB35E3">
        <w:rPr>
          <w:rStyle w:val="Appelnotedebasdep"/>
          <w:rFonts w:cstheme="minorHAnsi"/>
        </w:rPr>
        <w:footnoteRef/>
      </w:r>
      <w:r w:rsidRPr="00DB35E3">
        <w:rPr>
          <w:rFonts w:cstheme="minorHAnsi"/>
          <w:lang w:val="nl-NL"/>
        </w:rPr>
        <w:t xml:space="preserve"> CJUE, 2 juin 2016, </w:t>
      </w:r>
      <w:proofErr w:type="spellStart"/>
      <w:r w:rsidRPr="00DB35E3">
        <w:rPr>
          <w:rFonts w:cstheme="minorHAnsi"/>
          <w:i/>
          <w:lang w:val="nl-NL"/>
        </w:rPr>
        <w:t>Nabiel</w:t>
      </w:r>
      <w:proofErr w:type="spellEnd"/>
      <w:r w:rsidRPr="00DB35E3">
        <w:rPr>
          <w:rFonts w:cstheme="minorHAnsi"/>
          <w:i/>
          <w:lang w:val="nl-NL"/>
        </w:rPr>
        <w:t xml:space="preserve"> Peter </w:t>
      </w:r>
      <w:proofErr w:type="spellStart"/>
      <w:r w:rsidRPr="00DB35E3">
        <w:rPr>
          <w:rFonts w:cstheme="minorHAnsi"/>
          <w:i/>
          <w:lang w:val="nl-NL"/>
        </w:rPr>
        <w:t>Bogendorff</w:t>
      </w:r>
      <w:proofErr w:type="spellEnd"/>
      <w:r w:rsidRPr="00DB35E3">
        <w:rPr>
          <w:rFonts w:cstheme="minorHAnsi"/>
          <w:i/>
          <w:lang w:val="nl-NL"/>
        </w:rPr>
        <w:t xml:space="preserve"> </w:t>
      </w:r>
      <w:proofErr w:type="spellStart"/>
      <w:r w:rsidRPr="00DB35E3">
        <w:rPr>
          <w:rFonts w:cstheme="minorHAnsi"/>
          <w:i/>
          <w:lang w:val="nl-NL"/>
        </w:rPr>
        <w:t>von</w:t>
      </w:r>
      <w:proofErr w:type="spellEnd"/>
      <w:r w:rsidRPr="00DB35E3">
        <w:rPr>
          <w:rFonts w:cstheme="minorHAnsi"/>
          <w:i/>
          <w:lang w:val="nl-NL"/>
        </w:rPr>
        <w:t xml:space="preserve"> </w:t>
      </w:r>
      <w:proofErr w:type="spellStart"/>
      <w:r w:rsidRPr="00DB35E3">
        <w:rPr>
          <w:rFonts w:cstheme="minorHAnsi"/>
          <w:i/>
          <w:lang w:val="nl-NL"/>
        </w:rPr>
        <w:t>Wolffersdorff</w:t>
      </w:r>
      <w:proofErr w:type="spellEnd"/>
      <w:r w:rsidRPr="00DB35E3">
        <w:rPr>
          <w:rFonts w:cstheme="minorHAnsi"/>
          <w:i/>
          <w:lang w:val="nl-NL"/>
        </w:rPr>
        <w:t xml:space="preserve"> c. </w:t>
      </w:r>
      <w:proofErr w:type="spellStart"/>
      <w:r w:rsidRPr="00DB35E3">
        <w:rPr>
          <w:rFonts w:cstheme="minorHAnsi"/>
          <w:i/>
          <w:lang w:val="nl-NL"/>
        </w:rPr>
        <w:t>Standesamt</w:t>
      </w:r>
      <w:proofErr w:type="spellEnd"/>
      <w:r w:rsidRPr="00DB35E3">
        <w:rPr>
          <w:rFonts w:cstheme="minorHAnsi"/>
          <w:i/>
          <w:lang w:val="nl-NL"/>
        </w:rPr>
        <w:t xml:space="preserve"> der Stadt Karlsruhe</w:t>
      </w:r>
      <w:r w:rsidRPr="00DB35E3">
        <w:rPr>
          <w:rFonts w:cstheme="minorHAnsi"/>
          <w:lang w:val="nl-NL"/>
        </w:rPr>
        <w:t xml:space="preserve">, </w:t>
      </w:r>
      <w:proofErr w:type="spellStart"/>
      <w:r w:rsidRPr="00DB35E3">
        <w:rPr>
          <w:rFonts w:cstheme="minorHAnsi"/>
          <w:lang w:val="nl-NL"/>
        </w:rPr>
        <w:t>aff</w:t>
      </w:r>
      <w:proofErr w:type="spellEnd"/>
      <w:r w:rsidRPr="00DB35E3">
        <w:rPr>
          <w:rFonts w:cstheme="minorHAnsi"/>
          <w:lang w:val="nl-NL"/>
        </w:rPr>
        <w:t xml:space="preserve">. </w:t>
      </w:r>
      <w:r w:rsidRPr="00DB35E3">
        <w:rPr>
          <w:rFonts w:cstheme="minorHAnsi"/>
        </w:rPr>
        <w:t>C-438/14, ECLI :EU :C :2016 :401.</w:t>
      </w:r>
    </w:p>
  </w:footnote>
  <w:footnote w:id="4">
    <w:p w:rsidR="007D7E69" w:rsidRPr="00DB35E3" w:rsidRDefault="007D7E69" w:rsidP="00ED4872">
      <w:pPr>
        <w:pStyle w:val="Notedebasdepage"/>
        <w:jc w:val="both"/>
        <w:rPr>
          <w:rFonts w:cstheme="minorHAnsi"/>
        </w:rPr>
      </w:pPr>
      <w:r w:rsidRPr="00DB35E3">
        <w:rPr>
          <w:rStyle w:val="Appelnotedebasdep"/>
          <w:rFonts w:cstheme="minorHAnsi"/>
        </w:rPr>
        <w:footnoteRef/>
      </w:r>
      <w:r w:rsidRPr="00DB35E3">
        <w:rPr>
          <w:rFonts w:cstheme="minorHAnsi"/>
        </w:rPr>
        <w:t xml:space="preserve"> E. </w:t>
      </w:r>
      <w:proofErr w:type="spellStart"/>
      <w:r w:rsidRPr="00DB35E3">
        <w:rPr>
          <w:rFonts w:cstheme="minorHAnsi"/>
          <w:smallCaps/>
        </w:rPr>
        <w:t>Cusas</w:t>
      </w:r>
      <w:proofErr w:type="spellEnd"/>
      <w:r w:rsidRPr="00DB35E3">
        <w:rPr>
          <w:rFonts w:cstheme="minorHAnsi"/>
        </w:rPr>
        <w:t>, « Arrêt ‘</w:t>
      </w:r>
      <w:proofErr w:type="spellStart"/>
      <w:r w:rsidRPr="00DB35E3">
        <w:rPr>
          <w:rFonts w:cstheme="minorHAnsi"/>
          <w:i/>
        </w:rPr>
        <w:t>Bogendorff</w:t>
      </w:r>
      <w:proofErr w:type="spellEnd"/>
      <w:r w:rsidRPr="00DB35E3">
        <w:rPr>
          <w:rFonts w:cstheme="minorHAnsi"/>
          <w:i/>
        </w:rPr>
        <w:t xml:space="preserve"> </w:t>
      </w:r>
      <w:proofErr w:type="spellStart"/>
      <w:r w:rsidRPr="00DB35E3">
        <w:rPr>
          <w:rFonts w:cstheme="minorHAnsi"/>
          <w:i/>
        </w:rPr>
        <w:t>von</w:t>
      </w:r>
      <w:proofErr w:type="spellEnd"/>
      <w:r w:rsidRPr="00DB35E3">
        <w:rPr>
          <w:rFonts w:cstheme="minorHAnsi"/>
          <w:i/>
        </w:rPr>
        <w:t xml:space="preserve"> </w:t>
      </w:r>
      <w:proofErr w:type="spellStart"/>
      <w:r w:rsidRPr="00DB35E3">
        <w:rPr>
          <w:rFonts w:cstheme="minorHAnsi"/>
          <w:i/>
        </w:rPr>
        <w:t>Wolffersdorff</w:t>
      </w:r>
      <w:proofErr w:type="spellEnd"/>
      <w:r w:rsidRPr="00DB35E3">
        <w:rPr>
          <w:rFonts w:cstheme="minorHAnsi"/>
        </w:rPr>
        <w:t xml:space="preserve">’ : la libre circulation et les titres de noblesse ». </w:t>
      </w:r>
      <w:r w:rsidRPr="00DB35E3">
        <w:rPr>
          <w:rFonts w:cstheme="minorHAnsi"/>
          <w:i/>
        </w:rPr>
        <w:t xml:space="preserve">J. </w:t>
      </w:r>
      <w:proofErr w:type="spellStart"/>
      <w:r w:rsidRPr="00DB35E3">
        <w:rPr>
          <w:rFonts w:cstheme="minorHAnsi"/>
          <w:i/>
        </w:rPr>
        <w:t>dr</w:t>
      </w:r>
      <w:proofErr w:type="spellEnd"/>
      <w:r w:rsidRPr="00DB35E3">
        <w:rPr>
          <w:rFonts w:cstheme="minorHAnsi"/>
          <w:i/>
        </w:rPr>
        <w:t xml:space="preserve">. </w:t>
      </w:r>
      <w:proofErr w:type="spellStart"/>
      <w:r w:rsidRPr="00DB35E3">
        <w:rPr>
          <w:rFonts w:cstheme="minorHAnsi"/>
          <w:i/>
        </w:rPr>
        <w:t>eur</w:t>
      </w:r>
      <w:proofErr w:type="spellEnd"/>
      <w:r w:rsidRPr="00DB35E3">
        <w:rPr>
          <w:rFonts w:cstheme="minorHAnsi"/>
          <w:i/>
        </w:rPr>
        <w:t>.</w:t>
      </w:r>
      <w:r w:rsidRPr="00DB35E3">
        <w:rPr>
          <w:rFonts w:cstheme="minorHAnsi"/>
        </w:rPr>
        <w:t>, 2016, p. 317.</w:t>
      </w:r>
    </w:p>
  </w:footnote>
  <w:footnote w:id="5">
    <w:p w:rsidR="007D7E69" w:rsidRPr="00DB35E3" w:rsidRDefault="007D7E69" w:rsidP="00AF68ED">
      <w:pPr>
        <w:pStyle w:val="Notedebasdepage"/>
        <w:jc w:val="both"/>
        <w:rPr>
          <w:rFonts w:cstheme="minorHAnsi"/>
        </w:rPr>
      </w:pPr>
      <w:r w:rsidRPr="00DB35E3">
        <w:rPr>
          <w:rStyle w:val="Appelnotedebasdep"/>
          <w:rFonts w:cstheme="minorHAnsi"/>
        </w:rPr>
        <w:footnoteRef/>
      </w:r>
      <w:r w:rsidRPr="00DB35E3">
        <w:rPr>
          <w:rFonts w:cstheme="minorHAnsi"/>
        </w:rPr>
        <w:t xml:space="preserve"> R. </w:t>
      </w:r>
      <w:r w:rsidRPr="00DB35E3">
        <w:rPr>
          <w:rFonts w:cstheme="minorHAnsi"/>
          <w:smallCaps/>
        </w:rPr>
        <w:t>Baratta</w:t>
      </w:r>
      <w:r w:rsidRPr="00DB35E3">
        <w:rPr>
          <w:rFonts w:cstheme="minorHAnsi"/>
        </w:rPr>
        <w:t xml:space="preserve">, « La reconnaissance internationale des situations juridiques personnelles et familiales », </w:t>
      </w:r>
      <w:r w:rsidRPr="00DB35E3">
        <w:rPr>
          <w:rFonts w:cstheme="minorHAnsi"/>
          <w:i/>
        </w:rPr>
        <w:t>Rec. des cours</w:t>
      </w:r>
      <w:r w:rsidRPr="00DB35E3">
        <w:rPr>
          <w:rFonts w:cstheme="minorHAnsi"/>
        </w:rPr>
        <w:t>, t. 348, 2011, pp. 455-462, n° 177 à 180.</w:t>
      </w:r>
    </w:p>
  </w:footnote>
  <w:footnote w:id="6">
    <w:p w:rsidR="007D7E69" w:rsidRPr="00DB35E3" w:rsidRDefault="007D7E69" w:rsidP="00AF68ED">
      <w:pPr>
        <w:pStyle w:val="Notedebasdepage"/>
        <w:jc w:val="both"/>
        <w:rPr>
          <w:rFonts w:cstheme="minorHAnsi"/>
        </w:rPr>
      </w:pPr>
      <w:r w:rsidRPr="00DB35E3">
        <w:rPr>
          <w:rStyle w:val="Appelnotedebasdep"/>
          <w:rFonts w:cstheme="minorHAnsi"/>
        </w:rPr>
        <w:footnoteRef/>
      </w:r>
      <w:r w:rsidRPr="00DB35E3">
        <w:rPr>
          <w:rFonts w:cstheme="minorHAnsi"/>
        </w:rPr>
        <w:t xml:space="preserve"> Comme le fait Mme Silvia </w:t>
      </w:r>
      <w:proofErr w:type="spellStart"/>
      <w:r w:rsidRPr="00DB35E3">
        <w:rPr>
          <w:rFonts w:cstheme="minorHAnsi"/>
        </w:rPr>
        <w:t>Pfeiff</w:t>
      </w:r>
      <w:proofErr w:type="spellEnd"/>
      <w:r w:rsidRPr="00DB35E3">
        <w:rPr>
          <w:rFonts w:cstheme="minorHAnsi"/>
        </w:rPr>
        <w:t xml:space="preserve"> : </w:t>
      </w:r>
      <w:r w:rsidRPr="00DB35E3">
        <w:rPr>
          <w:rFonts w:cstheme="minorHAnsi"/>
          <w:i/>
        </w:rPr>
        <w:t>La portabilité du statut personnel dans l’espace européen</w:t>
      </w:r>
      <w:r w:rsidRPr="00DB35E3">
        <w:rPr>
          <w:rFonts w:cstheme="minorHAnsi"/>
        </w:rPr>
        <w:t>, Bruyant, 2017, p. 407, n° 417.</w:t>
      </w:r>
    </w:p>
  </w:footnote>
  <w:footnote w:id="7">
    <w:p w:rsidR="007D7E69" w:rsidRPr="00DB35E3" w:rsidRDefault="007D7E69" w:rsidP="00680325">
      <w:pPr>
        <w:pStyle w:val="Notedebasdepage"/>
        <w:jc w:val="both"/>
        <w:rPr>
          <w:rFonts w:cstheme="minorHAnsi"/>
        </w:rPr>
      </w:pPr>
      <w:r w:rsidRPr="00DB35E3">
        <w:rPr>
          <w:rStyle w:val="Appelnotedebasdep"/>
          <w:rFonts w:cstheme="minorHAnsi"/>
        </w:rPr>
        <w:footnoteRef/>
      </w:r>
      <w:r w:rsidRPr="00DB35E3">
        <w:rPr>
          <w:rFonts w:cstheme="minorHAnsi"/>
        </w:rPr>
        <w:t xml:space="preserve"> Par ex. </w:t>
      </w:r>
      <w:r w:rsidRPr="00DB35E3">
        <w:rPr>
          <w:rFonts w:cstheme="minorHAnsi"/>
          <w:smallCaps/>
        </w:rPr>
        <w:t xml:space="preserve">R. di </w:t>
      </w:r>
      <w:proofErr w:type="spellStart"/>
      <w:r w:rsidRPr="00DB35E3">
        <w:rPr>
          <w:rFonts w:cstheme="minorHAnsi"/>
          <w:smallCaps/>
        </w:rPr>
        <w:t>Noto</w:t>
      </w:r>
      <w:proofErr w:type="spellEnd"/>
      <w:r w:rsidRPr="00DB35E3">
        <w:rPr>
          <w:rFonts w:cstheme="minorHAnsi"/>
        </w:rPr>
        <w:t xml:space="preserve">, « Le droit au respect de la vie privée et familiale, nouveau paradigme en droit international privé des personnes ? », in </w:t>
      </w:r>
      <w:proofErr w:type="spellStart"/>
      <w:r w:rsidRPr="00DB35E3">
        <w:rPr>
          <w:rFonts w:cstheme="minorHAnsi"/>
          <w:i/>
        </w:rPr>
        <w:t>Human</w:t>
      </w:r>
      <w:proofErr w:type="spellEnd"/>
      <w:r w:rsidRPr="00DB35E3">
        <w:rPr>
          <w:rFonts w:cstheme="minorHAnsi"/>
          <w:i/>
        </w:rPr>
        <w:t xml:space="preserve"> </w:t>
      </w:r>
      <w:proofErr w:type="spellStart"/>
      <w:r w:rsidRPr="00DB35E3">
        <w:rPr>
          <w:rFonts w:cstheme="minorHAnsi"/>
          <w:i/>
        </w:rPr>
        <w:t>Rights</w:t>
      </w:r>
      <w:proofErr w:type="spellEnd"/>
      <w:r w:rsidRPr="00DB35E3">
        <w:rPr>
          <w:rFonts w:cstheme="minorHAnsi"/>
          <w:i/>
        </w:rPr>
        <w:t xml:space="preserve"> Abuses in the </w:t>
      </w:r>
      <w:proofErr w:type="spellStart"/>
      <w:r w:rsidRPr="00DB35E3">
        <w:rPr>
          <w:rFonts w:cstheme="minorHAnsi"/>
          <w:i/>
        </w:rPr>
        <w:t>Contemporary</w:t>
      </w:r>
      <w:proofErr w:type="spellEnd"/>
      <w:r w:rsidRPr="00DB35E3">
        <w:rPr>
          <w:rFonts w:cstheme="minorHAnsi"/>
          <w:i/>
        </w:rPr>
        <w:t xml:space="preserve"> World</w:t>
      </w:r>
      <w:r w:rsidRPr="00DB35E3">
        <w:rPr>
          <w:rFonts w:cstheme="minorHAnsi"/>
        </w:rPr>
        <w:t>,</w:t>
      </w:r>
      <w:r w:rsidRPr="00DB35E3">
        <w:rPr>
          <w:rFonts w:cstheme="minorHAnsi"/>
          <w:smallCaps/>
        </w:rPr>
        <w:t xml:space="preserve"> R. </w:t>
      </w:r>
      <w:proofErr w:type="spellStart"/>
      <w:r w:rsidRPr="00DB35E3">
        <w:rPr>
          <w:rFonts w:cstheme="minorHAnsi"/>
          <w:smallCaps/>
        </w:rPr>
        <w:t>Alleweldt</w:t>
      </w:r>
      <w:proofErr w:type="spellEnd"/>
      <w:r w:rsidRPr="00DB35E3">
        <w:rPr>
          <w:rFonts w:cstheme="minorHAnsi"/>
        </w:rPr>
        <w:t xml:space="preserve"> et al. (</w:t>
      </w:r>
      <w:proofErr w:type="spellStart"/>
      <w:proofErr w:type="gramStart"/>
      <w:r w:rsidRPr="00DB35E3">
        <w:rPr>
          <w:rFonts w:cstheme="minorHAnsi"/>
        </w:rPr>
        <w:t>éds</w:t>
      </w:r>
      <w:proofErr w:type="spellEnd"/>
      <w:proofErr w:type="gramEnd"/>
      <w:r w:rsidRPr="00DB35E3">
        <w:rPr>
          <w:rFonts w:cstheme="minorHAnsi"/>
        </w:rPr>
        <w:t>), Peter Lang, 2012, p. 145, p. 158.</w:t>
      </w:r>
    </w:p>
  </w:footnote>
  <w:footnote w:id="8">
    <w:p w:rsidR="007D7E69" w:rsidRPr="00DB35E3" w:rsidRDefault="007D7E69" w:rsidP="00AF68ED">
      <w:pPr>
        <w:pStyle w:val="Notedebasdepage"/>
        <w:jc w:val="both"/>
        <w:rPr>
          <w:rFonts w:cstheme="minorHAnsi"/>
        </w:rPr>
      </w:pPr>
      <w:r w:rsidRPr="00DB35E3">
        <w:rPr>
          <w:rStyle w:val="Appelnotedebasdep"/>
          <w:rFonts w:cstheme="minorHAnsi"/>
        </w:rPr>
        <w:footnoteRef/>
      </w:r>
      <w:r w:rsidRPr="00DB35E3">
        <w:rPr>
          <w:rFonts w:cstheme="minorHAnsi"/>
        </w:rPr>
        <w:t xml:space="preserve"> Et donné lieu à une littérature abondante, cf. par ex. </w:t>
      </w:r>
      <w:r w:rsidRPr="00DB35E3">
        <w:rPr>
          <w:rFonts w:eastAsia="Times New Roman" w:cstheme="minorHAnsi"/>
          <w:lang w:eastAsia="fr-BE"/>
        </w:rPr>
        <w:t xml:space="preserve">R. N. </w:t>
      </w:r>
      <w:proofErr w:type="spellStart"/>
      <w:r w:rsidRPr="00DB35E3">
        <w:rPr>
          <w:rFonts w:eastAsia="Times New Roman" w:cstheme="minorHAnsi"/>
          <w:lang w:eastAsia="fr-BE"/>
        </w:rPr>
        <w:t>I</w:t>
      </w:r>
      <w:r w:rsidRPr="00DB35E3">
        <w:rPr>
          <w:rFonts w:eastAsia="Times New Roman" w:cstheme="minorHAnsi"/>
          <w:smallCaps/>
          <w:lang w:eastAsia="fr-BE"/>
        </w:rPr>
        <w:t>onescu</w:t>
      </w:r>
      <w:proofErr w:type="spellEnd"/>
      <w:r w:rsidRPr="00DB35E3">
        <w:rPr>
          <w:rFonts w:eastAsia="Times New Roman" w:cstheme="minorHAnsi"/>
          <w:lang w:eastAsia="fr-BE"/>
        </w:rPr>
        <w:t xml:space="preserve">, </w:t>
      </w:r>
      <w:r w:rsidRPr="00DB35E3">
        <w:rPr>
          <w:rFonts w:eastAsia="Times New Roman" w:cstheme="minorHAnsi"/>
          <w:i/>
          <w:iCs/>
          <w:lang w:eastAsia="fr-BE"/>
        </w:rPr>
        <w:t>L’abus de droit en droit de l’Union européenne</w:t>
      </w:r>
      <w:r w:rsidRPr="00DB35E3">
        <w:rPr>
          <w:rFonts w:eastAsia="Times New Roman" w:cstheme="minorHAnsi"/>
          <w:lang w:eastAsia="fr-BE"/>
        </w:rPr>
        <w:t xml:space="preserve">, Bruxelles, </w:t>
      </w:r>
      <w:proofErr w:type="spellStart"/>
      <w:r w:rsidRPr="00DB35E3">
        <w:rPr>
          <w:rFonts w:eastAsia="Times New Roman" w:cstheme="minorHAnsi"/>
          <w:lang w:eastAsia="fr-BE"/>
        </w:rPr>
        <w:t>Bruylant</w:t>
      </w:r>
      <w:proofErr w:type="spellEnd"/>
      <w:r w:rsidRPr="00DB35E3">
        <w:rPr>
          <w:rFonts w:eastAsia="Times New Roman" w:cstheme="minorHAnsi"/>
          <w:lang w:eastAsia="fr-BE"/>
        </w:rPr>
        <w:t>, 2012.</w:t>
      </w:r>
    </w:p>
  </w:footnote>
  <w:footnote w:id="9">
    <w:p w:rsidR="007D7E69" w:rsidRPr="00DB35E3" w:rsidRDefault="007D7E69" w:rsidP="00AF68ED">
      <w:pPr>
        <w:pStyle w:val="Notedebasdepage"/>
        <w:jc w:val="both"/>
        <w:rPr>
          <w:rFonts w:cstheme="minorHAnsi"/>
        </w:rPr>
      </w:pPr>
      <w:r w:rsidRPr="00DB35E3">
        <w:rPr>
          <w:rStyle w:val="Appelnotedebasdep"/>
          <w:rFonts w:cstheme="minorHAnsi"/>
        </w:rPr>
        <w:footnoteRef/>
      </w:r>
      <w:r w:rsidRPr="00DB35E3">
        <w:rPr>
          <w:rFonts w:cstheme="minorHAnsi"/>
        </w:rPr>
        <w:t xml:space="preserve"> L’arrêt </w:t>
      </w:r>
      <w:proofErr w:type="spellStart"/>
      <w:r w:rsidRPr="00DB35E3">
        <w:rPr>
          <w:rFonts w:cstheme="minorHAnsi"/>
          <w:i/>
        </w:rPr>
        <w:t>Knoors</w:t>
      </w:r>
      <w:proofErr w:type="spellEnd"/>
      <w:r w:rsidRPr="00DB35E3">
        <w:rPr>
          <w:rFonts w:cstheme="minorHAnsi"/>
        </w:rPr>
        <w:t xml:space="preserve"> est exemplaire de cette jurisprudence : appelée à statuer sur la question de savoir si un ressortissant d’un Etat membre pouvait se prévaloir, contre l’Etat membre dont il était ressortissant, d’une directive garantissant l’accès à certaines professions par le biais de la reconnaissance des qualifications acquises dans un autre Etat membre, la Cour a d’abord souligné que la directive pouvait être invoquée par les ressortissants de tous les Etats membres et ce « même à l’égard de l’Etat dont il sont les nationaux » (point 18), avant de concéder que « On ne saurait … méconnaître l’intérêt légitime qu’un Etat membre peut avoir d’empêcher qu’à la faveur des facilités crées en vertu du Traité, certains de ses ressortissants ne tentent de se soustraire abusivement à l’emprise de leur législation nationale … » (point 25) : CJUE, 7 février 1979, </w:t>
      </w:r>
      <w:r w:rsidRPr="00DB35E3">
        <w:rPr>
          <w:rFonts w:cstheme="minorHAnsi"/>
          <w:i/>
        </w:rPr>
        <w:t xml:space="preserve">J. </w:t>
      </w:r>
      <w:proofErr w:type="spellStart"/>
      <w:r w:rsidRPr="00DB35E3">
        <w:rPr>
          <w:rFonts w:cstheme="minorHAnsi"/>
          <w:i/>
        </w:rPr>
        <w:t>Knoors</w:t>
      </w:r>
      <w:proofErr w:type="spellEnd"/>
      <w:r w:rsidRPr="00DB35E3">
        <w:rPr>
          <w:rFonts w:cstheme="minorHAnsi"/>
          <w:i/>
        </w:rPr>
        <w:t xml:space="preserve"> c. Secrétaire d’Etat aux affaires économiques</w:t>
      </w:r>
      <w:r w:rsidRPr="00DB35E3">
        <w:rPr>
          <w:rFonts w:cstheme="minorHAnsi"/>
        </w:rPr>
        <w:t xml:space="preserve">, </w:t>
      </w:r>
      <w:proofErr w:type="spellStart"/>
      <w:r w:rsidRPr="00DB35E3">
        <w:rPr>
          <w:rFonts w:cstheme="minorHAnsi"/>
        </w:rPr>
        <w:t>aff.</w:t>
      </w:r>
      <w:proofErr w:type="spellEnd"/>
      <w:r w:rsidRPr="00DB35E3">
        <w:rPr>
          <w:rFonts w:cstheme="minorHAnsi"/>
        </w:rPr>
        <w:t xml:space="preserve"> 115/78, Rec., 1979, 399.</w:t>
      </w:r>
    </w:p>
  </w:footnote>
  <w:footnote w:id="10">
    <w:p w:rsidR="007D7E69" w:rsidRPr="00DB35E3" w:rsidRDefault="007D7E69" w:rsidP="00AF68ED">
      <w:pPr>
        <w:pStyle w:val="Notedebasdepage"/>
        <w:jc w:val="both"/>
        <w:rPr>
          <w:rFonts w:cstheme="minorHAnsi"/>
        </w:rPr>
      </w:pPr>
      <w:r w:rsidRPr="00DB35E3">
        <w:rPr>
          <w:rStyle w:val="Appelnotedebasdep"/>
          <w:rFonts w:cstheme="minorHAnsi"/>
        </w:rPr>
        <w:footnoteRef/>
      </w:r>
      <w:r w:rsidRPr="00DB35E3">
        <w:rPr>
          <w:rFonts w:cstheme="minorHAnsi"/>
        </w:rPr>
        <w:t xml:space="preserve"> Par ex. CJUE, 10 janvier 1985, </w:t>
      </w:r>
      <w:r w:rsidRPr="00DB35E3">
        <w:rPr>
          <w:rFonts w:cstheme="minorHAnsi"/>
          <w:i/>
        </w:rPr>
        <w:t>Association des Centres distributeurs Edouard Leclerc et al. C. SARL ‘Au blé vert’ et al.</w:t>
      </w:r>
      <w:r w:rsidRPr="00DB35E3">
        <w:rPr>
          <w:rFonts w:cstheme="minorHAnsi"/>
        </w:rPr>
        <w:t xml:space="preserve">, </w:t>
      </w:r>
      <w:proofErr w:type="spellStart"/>
      <w:r w:rsidRPr="00DB35E3">
        <w:rPr>
          <w:rFonts w:cstheme="minorHAnsi"/>
        </w:rPr>
        <w:t>aff.</w:t>
      </w:r>
      <w:proofErr w:type="spellEnd"/>
      <w:r w:rsidRPr="00DB35E3">
        <w:rPr>
          <w:rFonts w:cstheme="minorHAnsi"/>
        </w:rPr>
        <w:t xml:space="preserve"> C-229/83, </w:t>
      </w:r>
      <w:r w:rsidRPr="00DB35E3">
        <w:rPr>
          <w:rFonts w:cstheme="minorHAnsi"/>
          <w:i/>
        </w:rPr>
        <w:t>Rec.</w:t>
      </w:r>
      <w:r w:rsidRPr="00DB35E3">
        <w:rPr>
          <w:rFonts w:cstheme="minorHAnsi"/>
        </w:rPr>
        <w:t>, 1985, I, point 27 – la Cour réserve la situation dans laquelle il est objectivement établi qu’un opérateur a exporté des marchandises pour ensuite les réimporter « dans le seul but » de contourner une législation nationale (qui fixait un prix unique pour les livres).</w:t>
      </w:r>
    </w:p>
  </w:footnote>
  <w:footnote w:id="11">
    <w:p w:rsidR="007D7E69" w:rsidRPr="00DB35E3" w:rsidRDefault="007D7E69" w:rsidP="00AF68ED">
      <w:pPr>
        <w:pStyle w:val="Notedebasdepage"/>
        <w:jc w:val="both"/>
        <w:rPr>
          <w:rFonts w:cstheme="minorHAnsi"/>
        </w:rPr>
      </w:pPr>
      <w:r w:rsidRPr="00DB35E3">
        <w:rPr>
          <w:rStyle w:val="Appelnotedebasdep"/>
          <w:rFonts w:cstheme="minorHAnsi"/>
        </w:rPr>
        <w:footnoteRef/>
      </w:r>
      <w:r w:rsidRPr="00DB35E3">
        <w:rPr>
          <w:rFonts w:cstheme="minorHAnsi"/>
        </w:rPr>
        <w:t xml:space="preserve"> CJUE, 9 mars 1999, </w:t>
      </w:r>
      <w:proofErr w:type="spellStart"/>
      <w:r w:rsidRPr="00DB35E3">
        <w:rPr>
          <w:rFonts w:cstheme="minorHAnsi"/>
          <w:i/>
        </w:rPr>
        <w:t>Centros</w:t>
      </w:r>
      <w:proofErr w:type="spellEnd"/>
      <w:r w:rsidRPr="00DB35E3">
        <w:rPr>
          <w:rFonts w:cstheme="minorHAnsi"/>
          <w:i/>
        </w:rPr>
        <w:t xml:space="preserve"> Ltd c. </w:t>
      </w:r>
      <w:proofErr w:type="spellStart"/>
      <w:r w:rsidRPr="00DB35E3">
        <w:rPr>
          <w:rFonts w:cstheme="minorHAnsi"/>
          <w:i/>
        </w:rPr>
        <w:t>Erhvervs</w:t>
      </w:r>
      <w:proofErr w:type="spellEnd"/>
      <w:r w:rsidRPr="00DB35E3">
        <w:rPr>
          <w:rFonts w:cstheme="minorHAnsi"/>
          <w:i/>
        </w:rPr>
        <w:t xml:space="preserve">- </w:t>
      </w:r>
      <w:proofErr w:type="spellStart"/>
      <w:r w:rsidRPr="00DB35E3">
        <w:rPr>
          <w:rFonts w:cstheme="minorHAnsi"/>
          <w:i/>
        </w:rPr>
        <w:t>og</w:t>
      </w:r>
      <w:proofErr w:type="spellEnd"/>
      <w:r w:rsidRPr="00DB35E3">
        <w:rPr>
          <w:rFonts w:cstheme="minorHAnsi"/>
          <w:i/>
        </w:rPr>
        <w:t xml:space="preserve"> </w:t>
      </w:r>
      <w:proofErr w:type="spellStart"/>
      <w:r w:rsidRPr="00DB35E3">
        <w:rPr>
          <w:rFonts w:cstheme="minorHAnsi"/>
          <w:i/>
        </w:rPr>
        <w:t>Selskabsstryrelsen</w:t>
      </w:r>
      <w:proofErr w:type="spellEnd"/>
      <w:r w:rsidRPr="00DB35E3">
        <w:rPr>
          <w:rFonts w:cstheme="minorHAnsi"/>
        </w:rPr>
        <w:t xml:space="preserve">, </w:t>
      </w:r>
      <w:proofErr w:type="spellStart"/>
      <w:r w:rsidRPr="00DB35E3">
        <w:rPr>
          <w:rFonts w:cstheme="minorHAnsi"/>
        </w:rPr>
        <w:t>aff.</w:t>
      </w:r>
      <w:proofErr w:type="spellEnd"/>
      <w:r w:rsidRPr="00DB35E3">
        <w:rPr>
          <w:rFonts w:cstheme="minorHAnsi"/>
        </w:rPr>
        <w:t xml:space="preserve"> C-212/97, </w:t>
      </w:r>
      <w:r w:rsidRPr="00DB35E3">
        <w:rPr>
          <w:rFonts w:cstheme="minorHAnsi"/>
          <w:i/>
        </w:rPr>
        <w:t>Rec</w:t>
      </w:r>
      <w:r w:rsidRPr="00DB35E3">
        <w:rPr>
          <w:rFonts w:cstheme="minorHAnsi"/>
        </w:rPr>
        <w:t>., 1999, I, 1459, ECLI :EU :C :1999 :126, point 27.</w:t>
      </w:r>
    </w:p>
  </w:footnote>
  <w:footnote w:id="12">
    <w:p w:rsidR="007D7E69" w:rsidRPr="00DB35E3" w:rsidRDefault="007D7E69" w:rsidP="00AF68ED">
      <w:pPr>
        <w:pStyle w:val="Notedebasdepage"/>
        <w:jc w:val="both"/>
        <w:rPr>
          <w:rFonts w:cstheme="minorHAnsi"/>
        </w:rPr>
      </w:pPr>
      <w:r w:rsidRPr="00DB35E3">
        <w:rPr>
          <w:rStyle w:val="Appelnotedebasdep"/>
          <w:rFonts w:cstheme="minorHAnsi"/>
        </w:rPr>
        <w:footnoteRef/>
      </w:r>
      <w:r w:rsidRPr="00DB35E3">
        <w:rPr>
          <w:rFonts w:cstheme="minorHAnsi"/>
        </w:rPr>
        <w:t xml:space="preserve"> Arrêt </w:t>
      </w:r>
      <w:proofErr w:type="spellStart"/>
      <w:r w:rsidRPr="00DB35E3">
        <w:rPr>
          <w:rFonts w:cstheme="minorHAnsi"/>
          <w:i/>
        </w:rPr>
        <w:t>Centros</w:t>
      </w:r>
      <w:proofErr w:type="spellEnd"/>
      <w:r w:rsidRPr="00DB35E3">
        <w:rPr>
          <w:rFonts w:cstheme="minorHAnsi"/>
        </w:rPr>
        <w:t xml:space="preserve"> précité, point 24.</w:t>
      </w:r>
    </w:p>
  </w:footnote>
  <w:footnote w:id="13">
    <w:p w:rsidR="007D7E69" w:rsidRPr="00DB35E3" w:rsidRDefault="007D7E69" w:rsidP="00AF68ED">
      <w:pPr>
        <w:pStyle w:val="Notedebasdepage"/>
        <w:jc w:val="both"/>
        <w:rPr>
          <w:rFonts w:cstheme="minorHAnsi"/>
        </w:rPr>
      </w:pPr>
      <w:r w:rsidRPr="00DB35E3">
        <w:rPr>
          <w:rStyle w:val="Appelnotedebasdep"/>
          <w:rFonts w:cstheme="minorHAnsi"/>
        </w:rPr>
        <w:footnoteRef/>
      </w:r>
      <w:r w:rsidRPr="00DB35E3">
        <w:rPr>
          <w:rFonts w:cstheme="minorHAnsi"/>
          <w:lang w:val="nl-NL"/>
        </w:rPr>
        <w:t xml:space="preserve"> CJUE, 2 juin 2016, </w:t>
      </w:r>
      <w:proofErr w:type="spellStart"/>
      <w:r w:rsidRPr="00DB35E3">
        <w:rPr>
          <w:rFonts w:cstheme="minorHAnsi"/>
          <w:i/>
          <w:lang w:val="nl-NL"/>
        </w:rPr>
        <w:t>Nabiel</w:t>
      </w:r>
      <w:proofErr w:type="spellEnd"/>
      <w:r w:rsidRPr="00DB35E3">
        <w:rPr>
          <w:rFonts w:cstheme="minorHAnsi"/>
          <w:i/>
          <w:lang w:val="nl-NL"/>
        </w:rPr>
        <w:t xml:space="preserve"> Peter </w:t>
      </w:r>
      <w:proofErr w:type="spellStart"/>
      <w:r w:rsidRPr="00DB35E3">
        <w:rPr>
          <w:rFonts w:cstheme="minorHAnsi"/>
          <w:i/>
          <w:lang w:val="nl-NL"/>
        </w:rPr>
        <w:t>Bogendorff</w:t>
      </w:r>
      <w:proofErr w:type="spellEnd"/>
      <w:r w:rsidRPr="00DB35E3">
        <w:rPr>
          <w:rFonts w:cstheme="minorHAnsi"/>
          <w:i/>
          <w:lang w:val="nl-NL"/>
        </w:rPr>
        <w:t xml:space="preserve"> </w:t>
      </w:r>
      <w:proofErr w:type="spellStart"/>
      <w:r w:rsidRPr="00DB35E3">
        <w:rPr>
          <w:rFonts w:cstheme="minorHAnsi"/>
          <w:i/>
          <w:lang w:val="nl-NL"/>
        </w:rPr>
        <w:t>von</w:t>
      </w:r>
      <w:proofErr w:type="spellEnd"/>
      <w:r w:rsidRPr="00DB35E3">
        <w:rPr>
          <w:rFonts w:cstheme="minorHAnsi"/>
          <w:i/>
          <w:lang w:val="nl-NL"/>
        </w:rPr>
        <w:t xml:space="preserve"> </w:t>
      </w:r>
      <w:proofErr w:type="spellStart"/>
      <w:r w:rsidRPr="00DB35E3">
        <w:rPr>
          <w:rFonts w:cstheme="minorHAnsi"/>
          <w:i/>
          <w:lang w:val="nl-NL"/>
        </w:rPr>
        <w:t>Wolffersdorf</w:t>
      </w:r>
      <w:proofErr w:type="spellEnd"/>
      <w:r w:rsidRPr="00DB35E3">
        <w:rPr>
          <w:rFonts w:cstheme="minorHAnsi"/>
          <w:i/>
          <w:lang w:val="nl-NL"/>
        </w:rPr>
        <w:t xml:space="preserve"> c </w:t>
      </w:r>
      <w:proofErr w:type="spellStart"/>
      <w:r w:rsidRPr="00DB35E3">
        <w:rPr>
          <w:rFonts w:cstheme="minorHAnsi"/>
          <w:i/>
          <w:lang w:val="nl-NL"/>
        </w:rPr>
        <w:t>Standesamt</w:t>
      </w:r>
      <w:proofErr w:type="spellEnd"/>
      <w:r w:rsidRPr="00DB35E3">
        <w:rPr>
          <w:rFonts w:cstheme="minorHAnsi"/>
          <w:i/>
          <w:lang w:val="nl-NL"/>
        </w:rPr>
        <w:t xml:space="preserve"> der Stadt Karlsruhe</w:t>
      </w:r>
      <w:r w:rsidRPr="00DB35E3">
        <w:rPr>
          <w:rFonts w:cstheme="minorHAnsi"/>
          <w:lang w:val="nl-NL"/>
        </w:rPr>
        <w:t xml:space="preserve">, </w:t>
      </w:r>
      <w:proofErr w:type="spellStart"/>
      <w:r w:rsidRPr="00DB35E3">
        <w:rPr>
          <w:rFonts w:cstheme="minorHAnsi"/>
          <w:lang w:val="nl-NL"/>
        </w:rPr>
        <w:t>aff</w:t>
      </w:r>
      <w:proofErr w:type="spellEnd"/>
      <w:r w:rsidRPr="00DB35E3">
        <w:rPr>
          <w:rFonts w:cstheme="minorHAnsi"/>
          <w:lang w:val="nl-NL"/>
        </w:rPr>
        <w:t xml:space="preserve">. </w:t>
      </w:r>
      <w:r w:rsidRPr="00DB35E3">
        <w:rPr>
          <w:rFonts w:cstheme="minorHAnsi"/>
        </w:rPr>
        <w:t>C-438/14, ECLI-EU :C :2016 :401.</w:t>
      </w:r>
    </w:p>
  </w:footnote>
  <w:footnote w:id="14">
    <w:p w:rsidR="007D7E69" w:rsidRPr="00DB35E3" w:rsidRDefault="007D7E69" w:rsidP="00AF68ED">
      <w:pPr>
        <w:pStyle w:val="Notedebasdepage"/>
        <w:jc w:val="both"/>
        <w:rPr>
          <w:rFonts w:cstheme="minorHAnsi"/>
        </w:rPr>
      </w:pPr>
      <w:r w:rsidRPr="00DB35E3">
        <w:rPr>
          <w:rStyle w:val="Appelnotedebasdep"/>
          <w:rFonts w:cstheme="minorHAnsi"/>
        </w:rPr>
        <w:footnoteRef/>
      </w:r>
      <w:r w:rsidRPr="00DB35E3">
        <w:rPr>
          <w:rFonts w:cstheme="minorHAnsi"/>
        </w:rPr>
        <w:t xml:space="preserve"> Sur </w:t>
      </w:r>
      <w:proofErr w:type="gramStart"/>
      <w:r w:rsidRPr="00DB35E3">
        <w:rPr>
          <w:rFonts w:cstheme="minorHAnsi"/>
        </w:rPr>
        <w:t>cette évolution cons</w:t>
      </w:r>
      <w:proofErr w:type="gramEnd"/>
      <w:r w:rsidRPr="00DB35E3">
        <w:rPr>
          <w:rFonts w:cstheme="minorHAnsi"/>
        </w:rPr>
        <w:t xml:space="preserve">. </w:t>
      </w:r>
      <w:r w:rsidRPr="00DB35E3">
        <w:rPr>
          <w:rFonts w:cstheme="minorHAnsi"/>
          <w:smallCaps/>
        </w:rPr>
        <w:t xml:space="preserve">D. </w:t>
      </w:r>
      <w:proofErr w:type="spellStart"/>
      <w:r w:rsidRPr="00DB35E3">
        <w:rPr>
          <w:rFonts w:cstheme="minorHAnsi"/>
          <w:smallCaps/>
        </w:rPr>
        <w:t>Triantafyllou</w:t>
      </w:r>
      <w:proofErr w:type="spellEnd"/>
      <w:r w:rsidRPr="00DB35E3">
        <w:rPr>
          <w:rFonts w:cstheme="minorHAnsi"/>
        </w:rPr>
        <w:t xml:space="preserve">, « L’interdiction des abus de droit en tant que principe général du droit communautaire », </w:t>
      </w:r>
      <w:r w:rsidRPr="00DB35E3">
        <w:rPr>
          <w:rFonts w:cstheme="minorHAnsi"/>
          <w:i/>
        </w:rPr>
        <w:t xml:space="preserve">C. </w:t>
      </w:r>
      <w:proofErr w:type="spellStart"/>
      <w:r w:rsidRPr="00DB35E3">
        <w:rPr>
          <w:rFonts w:cstheme="minorHAnsi"/>
          <w:i/>
        </w:rPr>
        <w:t>dr</w:t>
      </w:r>
      <w:proofErr w:type="spellEnd"/>
      <w:r w:rsidRPr="00DB35E3">
        <w:rPr>
          <w:rFonts w:cstheme="minorHAnsi"/>
          <w:i/>
        </w:rPr>
        <w:t xml:space="preserve">. </w:t>
      </w:r>
      <w:proofErr w:type="spellStart"/>
      <w:r w:rsidRPr="00DB35E3">
        <w:rPr>
          <w:rFonts w:cstheme="minorHAnsi"/>
          <w:i/>
        </w:rPr>
        <w:t>eur</w:t>
      </w:r>
      <w:proofErr w:type="spellEnd"/>
      <w:r w:rsidRPr="00DB35E3">
        <w:rPr>
          <w:rFonts w:cstheme="minorHAnsi"/>
          <w:i/>
        </w:rPr>
        <w:t>.</w:t>
      </w:r>
      <w:r w:rsidRPr="00DB35E3">
        <w:rPr>
          <w:rFonts w:cstheme="minorHAnsi"/>
        </w:rPr>
        <w:t>, 2002, 611-632.</w:t>
      </w:r>
    </w:p>
  </w:footnote>
  <w:footnote w:id="15">
    <w:p w:rsidR="007D7E69" w:rsidRPr="00DB35E3" w:rsidRDefault="007D7E69" w:rsidP="00AF68ED">
      <w:pPr>
        <w:pStyle w:val="Notedebasdepage"/>
        <w:jc w:val="both"/>
        <w:rPr>
          <w:rFonts w:cstheme="minorHAnsi"/>
        </w:rPr>
      </w:pPr>
      <w:r w:rsidRPr="00DB35E3">
        <w:rPr>
          <w:rStyle w:val="Appelnotedebasdep"/>
          <w:rFonts w:cstheme="minorHAnsi"/>
        </w:rPr>
        <w:footnoteRef/>
      </w:r>
      <w:r w:rsidRPr="00DB35E3">
        <w:rPr>
          <w:rFonts w:cstheme="minorHAnsi"/>
        </w:rPr>
        <w:t xml:space="preserve"> CJUE, 5 juillet 2007, </w:t>
      </w:r>
      <w:proofErr w:type="spellStart"/>
      <w:r w:rsidRPr="00DB35E3">
        <w:rPr>
          <w:rFonts w:cstheme="minorHAnsi"/>
          <w:i/>
        </w:rPr>
        <w:t>Kofoed</w:t>
      </w:r>
      <w:proofErr w:type="spellEnd"/>
      <w:r w:rsidRPr="00DB35E3">
        <w:rPr>
          <w:rFonts w:cstheme="minorHAnsi"/>
        </w:rPr>
        <w:t xml:space="preserve">, </w:t>
      </w:r>
      <w:proofErr w:type="spellStart"/>
      <w:r w:rsidRPr="00DB35E3">
        <w:rPr>
          <w:rFonts w:cstheme="minorHAnsi"/>
        </w:rPr>
        <w:t>aff.</w:t>
      </w:r>
      <w:proofErr w:type="spellEnd"/>
      <w:r w:rsidRPr="00DB35E3">
        <w:rPr>
          <w:rFonts w:cstheme="minorHAnsi"/>
        </w:rPr>
        <w:t xml:space="preserve"> C-321/05, ECLI :EU :C :2007 :408, point 38.</w:t>
      </w:r>
    </w:p>
  </w:footnote>
  <w:footnote w:id="16">
    <w:p w:rsidR="007D7E69" w:rsidRPr="00DB35E3" w:rsidRDefault="007D7E69" w:rsidP="00AF68ED">
      <w:pPr>
        <w:pStyle w:val="Notedebasdepage"/>
        <w:jc w:val="both"/>
        <w:rPr>
          <w:rFonts w:cstheme="minorHAnsi"/>
        </w:rPr>
      </w:pPr>
      <w:r w:rsidRPr="00DB35E3">
        <w:rPr>
          <w:rStyle w:val="Appelnotedebasdep"/>
          <w:rFonts w:cstheme="minorHAnsi"/>
        </w:rPr>
        <w:footnoteRef/>
      </w:r>
      <w:r w:rsidRPr="00DB35E3">
        <w:rPr>
          <w:rFonts w:cstheme="minorHAnsi"/>
        </w:rPr>
        <w:t xml:space="preserve"> A. </w:t>
      </w:r>
      <w:r w:rsidRPr="00DB35E3">
        <w:rPr>
          <w:rFonts w:cstheme="minorHAnsi"/>
          <w:smallCaps/>
        </w:rPr>
        <w:t>Nuyts</w:t>
      </w:r>
      <w:r w:rsidRPr="00DB35E3">
        <w:rPr>
          <w:rFonts w:cstheme="minorHAnsi"/>
        </w:rPr>
        <w:t xml:space="preserve">, « Forum shopping et abus de forum shopping dans l’espace judiciaire européen », in </w:t>
      </w:r>
      <w:r w:rsidRPr="00DB35E3">
        <w:rPr>
          <w:rFonts w:cstheme="minorHAnsi"/>
          <w:i/>
        </w:rPr>
        <w:t xml:space="preserve">Mélanges John </w:t>
      </w:r>
      <w:proofErr w:type="spellStart"/>
      <w:r w:rsidRPr="00DB35E3">
        <w:rPr>
          <w:rFonts w:cstheme="minorHAnsi"/>
          <w:i/>
        </w:rPr>
        <w:t>Kirkpatrick</w:t>
      </w:r>
      <w:proofErr w:type="spellEnd"/>
      <w:r w:rsidRPr="00DB35E3">
        <w:rPr>
          <w:rFonts w:cstheme="minorHAnsi"/>
        </w:rPr>
        <w:t xml:space="preserve">, </w:t>
      </w:r>
      <w:proofErr w:type="spellStart"/>
      <w:r w:rsidRPr="00DB35E3">
        <w:rPr>
          <w:rFonts w:cstheme="minorHAnsi"/>
        </w:rPr>
        <w:t>Bruylant</w:t>
      </w:r>
      <w:proofErr w:type="spellEnd"/>
      <w:r w:rsidRPr="00DB35E3">
        <w:rPr>
          <w:rFonts w:cstheme="minorHAnsi"/>
        </w:rPr>
        <w:t xml:space="preserve">, 2004, p. 745 </w:t>
      </w:r>
      <w:proofErr w:type="spellStart"/>
      <w:r w:rsidRPr="00DB35E3">
        <w:rPr>
          <w:rFonts w:cstheme="minorHAnsi"/>
        </w:rPr>
        <w:t>e.s</w:t>
      </w:r>
      <w:proofErr w:type="spellEnd"/>
      <w:r w:rsidRPr="00DB35E3">
        <w:rPr>
          <w:rFonts w:cstheme="minorHAnsi"/>
        </w:rPr>
        <w:t xml:space="preserve">. Selon M. Nuyts, « les principes relatifs à l’abus de droit dégagés par la Cour de justice valent aussi pour les nouveaux règlements du droit judiciaire européen » (p. 776). Cf. aussi A. </w:t>
      </w:r>
      <w:r w:rsidRPr="00DB35E3">
        <w:rPr>
          <w:rFonts w:cstheme="minorHAnsi"/>
          <w:smallCaps/>
        </w:rPr>
        <w:t>Nuyts</w:t>
      </w:r>
      <w:r w:rsidRPr="00DB35E3">
        <w:rPr>
          <w:rFonts w:cstheme="minorHAnsi"/>
        </w:rPr>
        <w:t xml:space="preserve">, « The </w:t>
      </w:r>
      <w:proofErr w:type="spellStart"/>
      <w:r w:rsidRPr="00DB35E3">
        <w:rPr>
          <w:rFonts w:cstheme="minorHAnsi"/>
        </w:rPr>
        <w:t>enforcement</w:t>
      </w:r>
      <w:proofErr w:type="spellEnd"/>
      <w:r w:rsidRPr="00DB35E3">
        <w:rPr>
          <w:rFonts w:cstheme="minorHAnsi"/>
        </w:rPr>
        <w:t xml:space="preserve"> of </w:t>
      </w:r>
      <w:proofErr w:type="spellStart"/>
      <w:r w:rsidRPr="00DB35E3">
        <w:rPr>
          <w:rFonts w:cstheme="minorHAnsi"/>
        </w:rPr>
        <w:t>jurisdiction</w:t>
      </w:r>
      <w:proofErr w:type="spellEnd"/>
      <w:r w:rsidRPr="00DB35E3">
        <w:rPr>
          <w:rFonts w:cstheme="minorHAnsi"/>
        </w:rPr>
        <w:t xml:space="preserve"> </w:t>
      </w:r>
      <w:proofErr w:type="spellStart"/>
      <w:r w:rsidRPr="00DB35E3">
        <w:rPr>
          <w:rFonts w:cstheme="minorHAnsi"/>
        </w:rPr>
        <w:t>agreements</w:t>
      </w:r>
      <w:proofErr w:type="spellEnd"/>
      <w:r w:rsidRPr="00DB35E3">
        <w:rPr>
          <w:rFonts w:cstheme="minorHAnsi"/>
        </w:rPr>
        <w:t xml:space="preserve"> </w:t>
      </w:r>
      <w:proofErr w:type="spellStart"/>
      <w:r w:rsidRPr="00DB35E3">
        <w:rPr>
          <w:rFonts w:cstheme="minorHAnsi"/>
        </w:rPr>
        <w:t>further</w:t>
      </w:r>
      <w:proofErr w:type="spellEnd"/>
      <w:r w:rsidRPr="00DB35E3">
        <w:rPr>
          <w:rFonts w:cstheme="minorHAnsi"/>
        </w:rPr>
        <w:t xml:space="preserve"> to Gasser and the </w:t>
      </w:r>
      <w:proofErr w:type="spellStart"/>
      <w:r w:rsidRPr="00DB35E3">
        <w:rPr>
          <w:rFonts w:cstheme="minorHAnsi"/>
        </w:rPr>
        <w:t>Community</w:t>
      </w:r>
      <w:proofErr w:type="spellEnd"/>
      <w:r w:rsidRPr="00DB35E3">
        <w:rPr>
          <w:rFonts w:cstheme="minorHAnsi"/>
        </w:rPr>
        <w:t xml:space="preserve"> </w:t>
      </w:r>
      <w:proofErr w:type="spellStart"/>
      <w:r w:rsidRPr="00DB35E3">
        <w:rPr>
          <w:rFonts w:cstheme="minorHAnsi"/>
        </w:rPr>
        <w:t>principle</w:t>
      </w:r>
      <w:proofErr w:type="spellEnd"/>
      <w:r w:rsidRPr="00DB35E3">
        <w:rPr>
          <w:rFonts w:cstheme="minorHAnsi"/>
        </w:rPr>
        <w:t xml:space="preserve"> of abuse of </w:t>
      </w:r>
      <w:proofErr w:type="spellStart"/>
      <w:r w:rsidRPr="00DB35E3">
        <w:rPr>
          <w:rFonts w:cstheme="minorHAnsi"/>
        </w:rPr>
        <w:t>rights</w:t>
      </w:r>
      <w:proofErr w:type="spellEnd"/>
      <w:r w:rsidRPr="00DB35E3">
        <w:rPr>
          <w:rFonts w:cstheme="minorHAnsi"/>
        </w:rPr>
        <w:t xml:space="preserve"> », in </w:t>
      </w:r>
      <w:r w:rsidRPr="00DB35E3">
        <w:rPr>
          <w:rFonts w:cstheme="minorHAnsi"/>
          <w:smallCaps/>
        </w:rPr>
        <w:t xml:space="preserve">P. de </w:t>
      </w:r>
      <w:proofErr w:type="spellStart"/>
      <w:r w:rsidRPr="00DB35E3">
        <w:rPr>
          <w:rFonts w:cstheme="minorHAnsi"/>
          <w:smallCaps/>
        </w:rPr>
        <w:t>Vareilles</w:t>
      </w:r>
      <w:proofErr w:type="spellEnd"/>
      <w:r w:rsidRPr="00DB35E3">
        <w:rPr>
          <w:rFonts w:cstheme="minorHAnsi"/>
          <w:smallCaps/>
        </w:rPr>
        <w:t>-Sommières</w:t>
      </w:r>
      <w:r w:rsidRPr="00DB35E3">
        <w:rPr>
          <w:rFonts w:cstheme="minorHAnsi"/>
        </w:rPr>
        <w:t xml:space="preserve"> (</w:t>
      </w:r>
      <w:proofErr w:type="spellStart"/>
      <w:r w:rsidRPr="00DB35E3">
        <w:rPr>
          <w:rFonts w:cstheme="minorHAnsi"/>
        </w:rPr>
        <w:t>dir</w:t>
      </w:r>
      <w:proofErr w:type="spellEnd"/>
      <w:r w:rsidRPr="00DB35E3">
        <w:rPr>
          <w:rFonts w:cstheme="minorHAnsi"/>
        </w:rPr>
        <w:t xml:space="preserve">.), </w:t>
      </w:r>
      <w:r w:rsidRPr="00DB35E3">
        <w:rPr>
          <w:rFonts w:cstheme="minorHAnsi"/>
          <w:i/>
        </w:rPr>
        <w:t xml:space="preserve">Forum shopping in the </w:t>
      </w:r>
      <w:proofErr w:type="spellStart"/>
      <w:r w:rsidRPr="00DB35E3">
        <w:rPr>
          <w:rFonts w:cstheme="minorHAnsi"/>
          <w:i/>
        </w:rPr>
        <w:t>European</w:t>
      </w:r>
      <w:proofErr w:type="spellEnd"/>
      <w:r w:rsidRPr="00DB35E3">
        <w:rPr>
          <w:rFonts w:cstheme="minorHAnsi"/>
          <w:i/>
        </w:rPr>
        <w:t xml:space="preserve"> </w:t>
      </w:r>
      <w:proofErr w:type="spellStart"/>
      <w:r w:rsidRPr="00DB35E3">
        <w:rPr>
          <w:rFonts w:cstheme="minorHAnsi"/>
          <w:i/>
        </w:rPr>
        <w:t>Judicial</w:t>
      </w:r>
      <w:proofErr w:type="spellEnd"/>
      <w:r w:rsidRPr="00DB35E3">
        <w:rPr>
          <w:rFonts w:cstheme="minorHAnsi"/>
          <w:i/>
        </w:rPr>
        <w:t xml:space="preserve"> Area</w:t>
      </w:r>
      <w:r w:rsidRPr="00DB35E3">
        <w:rPr>
          <w:rFonts w:cstheme="minorHAnsi"/>
        </w:rPr>
        <w:t xml:space="preserve">, Hart </w:t>
      </w:r>
      <w:proofErr w:type="spellStart"/>
      <w:r w:rsidRPr="00DB35E3">
        <w:rPr>
          <w:rFonts w:cstheme="minorHAnsi"/>
        </w:rPr>
        <w:t>Publishing</w:t>
      </w:r>
      <w:proofErr w:type="spellEnd"/>
      <w:r w:rsidRPr="00DB35E3">
        <w:rPr>
          <w:rFonts w:cstheme="minorHAnsi"/>
        </w:rPr>
        <w:t xml:space="preserve">, 2007, pp. 55 </w:t>
      </w:r>
      <w:proofErr w:type="spellStart"/>
      <w:r w:rsidRPr="00DB35E3">
        <w:rPr>
          <w:rFonts w:cstheme="minorHAnsi"/>
        </w:rPr>
        <w:t>e.s</w:t>
      </w:r>
      <w:proofErr w:type="spellEnd"/>
      <w:r w:rsidRPr="00DB35E3">
        <w:rPr>
          <w:rFonts w:cstheme="minorHAnsi"/>
        </w:rPr>
        <w:t>. Sur la possibilité d’opposer</w:t>
      </w:r>
      <w:r w:rsidRPr="00DB35E3">
        <w:rPr>
          <w:rFonts w:cstheme="minorHAnsi"/>
          <w:color w:val="333333"/>
          <w:shd w:val="clear" w:color="auto" w:fill="FFFFFF"/>
        </w:rPr>
        <w:t xml:space="preserve"> l’abus de droit à un choix malicieux de for, cf. </w:t>
      </w:r>
      <w:r w:rsidRPr="00DB35E3">
        <w:rPr>
          <w:rFonts w:cstheme="minorHAnsi"/>
        </w:rPr>
        <w:t xml:space="preserve">E. </w:t>
      </w:r>
      <w:proofErr w:type="spellStart"/>
      <w:r w:rsidRPr="00DB35E3">
        <w:rPr>
          <w:rFonts w:cstheme="minorHAnsi"/>
          <w:smallCaps/>
        </w:rPr>
        <w:t>Cornut</w:t>
      </w:r>
      <w:proofErr w:type="spellEnd"/>
      <w:r w:rsidRPr="00DB35E3">
        <w:rPr>
          <w:rFonts w:cstheme="minorHAnsi"/>
        </w:rPr>
        <w:t xml:space="preserve">, « Forum shopping et abus du choix de for en droit international privé », </w:t>
      </w:r>
      <w:r w:rsidRPr="00DB35E3">
        <w:rPr>
          <w:rFonts w:cstheme="minorHAnsi"/>
          <w:i/>
        </w:rPr>
        <w:t>J.D.I.</w:t>
      </w:r>
      <w:r w:rsidRPr="00DB35E3">
        <w:rPr>
          <w:rFonts w:cstheme="minorHAnsi"/>
        </w:rPr>
        <w:t xml:space="preserve">, 2007, n° 47 ; </w:t>
      </w:r>
      <w:r w:rsidRPr="00DB35E3">
        <w:rPr>
          <w:rFonts w:cstheme="minorHAnsi"/>
          <w:smallCaps/>
        </w:rPr>
        <w:t xml:space="preserve">Ch. </w:t>
      </w:r>
      <w:proofErr w:type="spellStart"/>
      <w:r w:rsidRPr="00DB35E3">
        <w:rPr>
          <w:rFonts w:cstheme="minorHAnsi"/>
          <w:smallCaps/>
        </w:rPr>
        <w:t>Chalas</w:t>
      </w:r>
      <w:proofErr w:type="spellEnd"/>
      <w:r w:rsidRPr="00DB35E3">
        <w:rPr>
          <w:rFonts w:cstheme="minorHAnsi"/>
        </w:rPr>
        <w:t xml:space="preserve">, </w:t>
      </w:r>
      <w:r w:rsidRPr="00DB35E3">
        <w:rPr>
          <w:rFonts w:eastAsia="Times New Roman" w:cstheme="minorHAnsi"/>
          <w:i/>
          <w:iCs/>
          <w:lang w:eastAsia="fr-BE"/>
        </w:rPr>
        <w:t>L'exercice discrétionnaire de la compétence juridictionnelle en droit international privé</w:t>
      </w:r>
      <w:r w:rsidRPr="00DB35E3">
        <w:rPr>
          <w:rFonts w:eastAsia="Times New Roman" w:cstheme="minorHAnsi"/>
          <w:iCs/>
          <w:lang w:eastAsia="fr-BE"/>
        </w:rPr>
        <w:t xml:space="preserve"> : PUAM, 2000, n° 551 s.</w:t>
      </w:r>
    </w:p>
  </w:footnote>
  <w:footnote w:id="17">
    <w:p w:rsidR="007D7E69" w:rsidRPr="00DB35E3" w:rsidRDefault="007D7E69" w:rsidP="00AF68ED">
      <w:pPr>
        <w:pStyle w:val="Notedebasdepage"/>
        <w:jc w:val="both"/>
        <w:rPr>
          <w:rFonts w:cstheme="minorHAnsi"/>
        </w:rPr>
      </w:pPr>
      <w:r w:rsidRPr="00DB35E3">
        <w:rPr>
          <w:rStyle w:val="Appelnotedebasdep"/>
          <w:rFonts w:cstheme="minorHAnsi"/>
        </w:rPr>
        <w:footnoteRef/>
      </w:r>
      <w:r w:rsidRPr="00DB35E3">
        <w:rPr>
          <w:rFonts w:cstheme="minorHAnsi"/>
        </w:rPr>
        <w:t xml:space="preserve"> Mme </w:t>
      </w:r>
      <w:proofErr w:type="spellStart"/>
      <w:r w:rsidRPr="00DB35E3">
        <w:rPr>
          <w:rFonts w:cstheme="minorHAnsi"/>
        </w:rPr>
        <w:t>Niboyet</w:t>
      </w:r>
      <w:proofErr w:type="spellEnd"/>
      <w:r w:rsidRPr="00DB35E3">
        <w:rPr>
          <w:rFonts w:cstheme="minorHAnsi"/>
        </w:rPr>
        <w:t xml:space="preserve"> a montré la voie à ce sujet, proposant de</w:t>
      </w:r>
      <w:r w:rsidRPr="00DB35E3">
        <w:rPr>
          <w:rFonts w:cstheme="minorHAnsi"/>
          <w:color w:val="333333"/>
          <w:shd w:val="clear" w:color="auto" w:fill="FFFFFF"/>
        </w:rPr>
        <w:t xml:space="preserve"> sanctionner l’abus de droit dans le cadre des conflits de procédures par la perte du bénéfice de la litispendance. Dénonçant les « failles » produites, selon elle, par la déficience des instruments de coopération et en particulier par la rigueur excessive de l’exception de litispendance, Mme </w:t>
      </w:r>
      <w:proofErr w:type="spellStart"/>
      <w:r w:rsidRPr="00DB35E3">
        <w:rPr>
          <w:rFonts w:cstheme="minorHAnsi"/>
          <w:color w:val="333333"/>
          <w:shd w:val="clear" w:color="auto" w:fill="FFFFFF"/>
        </w:rPr>
        <w:t>Niboyet</w:t>
      </w:r>
      <w:proofErr w:type="spellEnd"/>
      <w:r w:rsidRPr="00DB35E3">
        <w:rPr>
          <w:rFonts w:cstheme="minorHAnsi"/>
          <w:color w:val="333333"/>
          <w:shd w:val="clear" w:color="auto" w:fill="FFFFFF"/>
        </w:rPr>
        <w:t xml:space="preserve"> a plaidé déjà en 2006 pour l’application d’une exception d’abus de droit qui viendrait nuancer le jeu de l’exception de litispendance au sein de l’espace judiciaire européen</w:t>
      </w:r>
      <w:r w:rsidRPr="00DB35E3">
        <w:rPr>
          <w:rFonts w:cstheme="minorHAnsi"/>
        </w:rPr>
        <w:t xml:space="preserve"> (M.-L. </w:t>
      </w:r>
      <w:proofErr w:type="spellStart"/>
      <w:r w:rsidRPr="00DB35E3">
        <w:rPr>
          <w:rFonts w:cstheme="minorHAnsi"/>
          <w:smallCaps/>
        </w:rPr>
        <w:t>Niboyet</w:t>
      </w:r>
      <w:proofErr w:type="spellEnd"/>
      <w:r w:rsidRPr="00DB35E3">
        <w:rPr>
          <w:rFonts w:cstheme="minorHAnsi"/>
        </w:rPr>
        <w:t xml:space="preserve">, « La globalisation du procès civil international dans l’espace judiciaire européen et mondial », </w:t>
      </w:r>
      <w:r w:rsidRPr="00DB35E3">
        <w:rPr>
          <w:rFonts w:cstheme="minorHAnsi"/>
          <w:i/>
        </w:rPr>
        <w:t>J.D.I.</w:t>
      </w:r>
      <w:r w:rsidRPr="00DB35E3">
        <w:rPr>
          <w:rFonts w:cstheme="minorHAnsi"/>
        </w:rPr>
        <w:t>, 2006, p. 937, n° 18).</w:t>
      </w:r>
      <w:r w:rsidRPr="00DB35E3">
        <w:rPr>
          <w:rFonts w:cstheme="minorHAnsi"/>
          <w:color w:val="333333"/>
          <w:shd w:val="clear" w:color="auto" w:fill="FFFFFF"/>
        </w:rPr>
        <w:t xml:space="preserve"> </w:t>
      </w:r>
      <w:proofErr w:type="spellStart"/>
      <w:r w:rsidRPr="00DB35E3">
        <w:rPr>
          <w:rFonts w:cstheme="minorHAnsi"/>
          <w:color w:val="333333"/>
          <w:shd w:val="clear" w:color="auto" w:fill="FFFFFF"/>
        </w:rPr>
        <w:t>Voy</w:t>
      </w:r>
      <w:proofErr w:type="spellEnd"/>
      <w:r w:rsidRPr="00DB35E3">
        <w:rPr>
          <w:rFonts w:cstheme="minorHAnsi"/>
          <w:color w:val="333333"/>
          <w:shd w:val="clear" w:color="auto" w:fill="FFFFFF"/>
        </w:rPr>
        <w:t xml:space="preserve">. </w:t>
      </w:r>
      <w:proofErr w:type="gramStart"/>
      <w:r w:rsidRPr="00DB35E3">
        <w:rPr>
          <w:rFonts w:cstheme="minorHAnsi"/>
          <w:color w:val="333333"/>
          <w:shd w:val="clear" w:color="auto" w:fill="FFFFFF"/>
        </w:rPr>
        <w:t>plus</w:t>
      </w:r>
      <w:proofErr w:type="gramEnd"/>
      <w:r w:rsidRPr="00DB35E3">
        <w:rPr>
          <w:rFonts w:cstheme="minorHAnsi"/>
          <w:color w:val="333333"/>
          <w:shd w:val="clear" w:color="auto" w:fill="FFFFFF"/>
        </w:rPr>
        <w:t xml:space="preserve"> récemment </w:t>
      </w:r>
      <w:r w:rsidRPr="00DB35E3">
        <w:rPr>
          <w:rFonts w:cstheme="minorHAnsi"/>
          <w:smallCaps/>
        </w:rPr>
        <w:t xml:space="preserve">M.-L. </w:t>
      </w:r>
      <w:proofErr w:type="spellStart"/>
      <w:r w:rsidRPr="00DB35E3">
        <w:rPr>
          <w:rFonts w:cstheme="minorHAnsi"/>
          <w:smallCaps/>
        </w:rPr>
        <w:t>Niboyet</w:t>
      </w:r>
      <w:proofErr w:type="spellEnd"/>
      <w:r w:rsidRPr="00DB35E3">
        <w:rPr>
          <w:rFonts w:cstheme="minorHAnsi"/>
          <w:smallCaps/>
        </w:rPr>
        <w:t xml:space="preserve"> </w:t>
      </w:r>
      <w:r w:rsidRPr="00DB35E3">
        <w:rPr>
          <w:rFonts w:cstheme="minorHAnsi"/>
        </w:rPr>
        <w:t>et</w:t>
      </w:r>
      <w:r w:rsidRPr="00DB35E3">
        <w:rPr>
          <w:rFonts w:cstheme="minorHAnsi"/>
          <w:smallCaps/>
        </w:rPr>
        <w:t xml:space="preserve"> G. de </w:t>
      </w:r>
      <w:proofErr w:type="spellStart"/>
      <w:r w:rsidRPr="00DB35E3">
        <w:rPr>
          <w:rFonts w:cstheme="minorHAnsi"/>
          <w:smallCaps/>
        </w:rPr>
        <w:t>Geouffre</w:t>
      </w:r>
      <w:proofErr w:type="spellEnd"/>
      <w:r w:rsidRPr="00DB35E3">
        <w:rPr>
          <w:rFonts w:cstheme="minorHAnsi"/>
          <w:smallCaps/>
        </w:rPr>
        <w:t xml:space="preserve"> de la </w:t>
      </w:r>
      <w:proofErr w:type="spellStart"/>
      <w:r w:rsidRPr="00DB35E3">
        <w:rPr>
          <w:rFonts w:cstheme="minorHAnsi"/>
          <w:smallCaps/>
        </w:rPr>
        <w:t>Pradelle</w:t>
      </w:r>
      <w:proofErr w:type="spellEnd"/>
      <w:r w:rsidRPr="00DB35E3">
        <w:rPr>
          <w:rFonts w:cstheme="minorHAnsi"/>
        </w:rPr>
        <w:t xml:space="preserve">, </w:t>
      </w:r>
      <w:r w:rsidRPr="00DB35E3">
        <w:rPr>
          <w:rFonts w:cstheme="minorHAnsi"/>
          <w:i/>
        </w:rPr>
        <w:t>Droit international privé</w:t>
      </w:r>
      <w:r w:rsidRPr="00DB35E3">
        <w:rPr>
          <w:rFonts w:cstheme="minorHAnsi"/>
        </w:rPr>
        <w:t>, 4</w:t>
      </w:r>
      <w:r w:rsidRPr="00DB35E3">
        <w:rPr>
          <w:rFonts w:cstheme="minorHAnsi"/>
          <w:vertAlign w:val="superscript"/>
        </w:rPr>
        <w:t>ème</w:t>
      </w:r>
      <w:r w:rsidRPr="00DB35E3">
        <w:rPr>
          <w:rFonts w:cstheme="minorHAnsi"/>
        </w:rPr>
        <w:t xml:space="preserve"> éd., LGDJ, 2013, p. 410, n° 599. </w:t>
      </w:r>
      <w:r w:rsidRPr="00DB35E3">
        <w:rPr>
          <w:rFonts w:cstheme="minorHAnsi"/>
          <w:color w:val="333333"/>
          <w:shd w:val="clear" w:color="auto" w:fill="FFFFFF"/>
        </w:rPr>
        <w:t xml:space="preserve">M. Nuyts a également avancé qu’il devrait être possible de faire échec à la règle européenne de la litispendance en cas d’abus de droit : </w:t>
      </w:r>
      <w:r w:rsidRPr="00DB35E3">
        <w:rPr>
          <w:rFonts w:cstheme="minorHAnsi"/>
        </w:rPr>
        <w:t xml:space="preserve">A. </w:t>
      </w:r>
      <w:r w:rsidRPr="00DB35E3">
        <w:rPr>
          <w:rFonts w:cstheme="minorHAnsi"/>
          <w:smallCaps/>
        </w:rPr>
        <w:t>Nuyts</w:t>
      </w:r>
      <w:r w:rsidRPr="00DB35E3">
        <w:rPr>
          <w:rFonts w:cstheme="minorHAnsi"/>
        </w:rPr>
        <w:t xml:space="preserve">, « Forum shopping et abus de forum shopping dans l’espace judiciaire européen », in </w:t>
      </w:r>
      <w:r w:rsidRPr="00DB35E3">
        <w:rPr>
          <w:rFonts w:cstheme="minorHAnsi"/>
          <w:i/>
        </w:rPr>
        <w:t xml:space="preserve">Mélanges John </w:t>
      </w:r>
      <w:proofErr w:type="spellStart"/>
      <w:r w:rsidRPr="00DB35E3">
        <w:rPr>
          <w:rFonts w:cstheme="minorHAnsi"/>
          <w:i/>
        </w:rPr>
        <w:t>Kirkpatrick</w:t>
      </w:r>
      <w:proofErr w:type="spellEnd"/>
      <w:r w:rsidRPr="00DB35E3">
        <w:rPr>
          <w:rFonts w:cstheme="minorHAnsi"/>
        </w:rPr>
        <w:t xml:space="preserve">, </w:t>
      </w:r>
      <w:proofErr w:type="spellStart"/>
      <w:r w:rsidRPr="00DB35E3">
        <w:rPr>
          <w:rFonts w:cstheme="minorHAnsi"/>
        </w:rPr>
        <w:t>Bruylant</w:t>
      </w:r>
      <w:proofErr w:type="spellEnd"/>
      <w:r w:rsidRPr="00DB35E3">
        <w:rPr>
          <w:rFonts w:cstheme="minorHAnsi"/>
        </w:rPr>
        <w:t>, 2004, p. 786-787.</w:t>
      </w:r>
    </w:p>
  </w:footnote>
  <w:footnote w:id="18">
    <w:p w:rsidR="007D7E69" w:rsidRPr="00DB35E3" w:rsidRDefault="007D7E69" w:rsidP="00AF68ED">
      <w:pPr>
        <w:pStyle w:val="Notedebasdepage"/>
        <w:jc w:val="both"/>
        <w:rPr>
          <w:rFonts w:cstheme="minorHAnsi"/>
        </w:rPr>
      </w:pPr>
      <w:r w:rsidRPr="00DB35E3">
        <w:rPr>
          <w:rStyle w:val="Appelnotedebasdep"/>
          <w:rFonts w:cstheme="minorHAnsi"/>
        </w:rPr>
        <w:footnoteRef/>
      </w:r>
      <w:r w:rsidRPr="00DB35E3">
        <w:rPr>
          <w:rFonts w:cstheme="minorHAnsi"/>
        </w:rPr>
        <w:t xml:space="preserve"> CJUE, 9 décembre 2003, </w:t>
      </w:r>
      <w:proofErr w:type="spellStart"/>
      <w:r w:rsidRPr="00DB35E3">
        <w:rPr>
          <w:rFonts w:cstheme="minorHAnsi"/>
          <w:i/>
        </w:rPr>
        <w:t>Eric</w:t>
      </w:r>
      <w:proofErr w:type="spellEnd"/>
      <w:r w:rsidRPr="00DB35E3">
        <w:rPr>
          <w:rFonts w:cstheme="minorHAnsi"/>
          <w:i/>
        </w:rPr>
        <w:t xml:space="preserve"> Gasser </w:t>
      </w:r>
      <w:proofErr w:type="spellStart"/>
      <w:r w:rsidRPr="00DB35E3">
        <w:rPr>
          <w:rFonts w:cstheme="minorHAnsi"/>
          <w:i/>
        </w:rPr>
        <w:t>GmbH</w:t>
      </w:r>
      <w:proofErr w:type="spellEnd"/>
      <w:r w:rsidRPr="00DB35E3">
        <w:rPr>
          <w:rFonts w:cstheme="minorHAnsi"/>
          <w:i/>
        </w:rPr>
        <w:t xml:space="preserve"> c. MIS AT </w:t>
      </w:r>
      <w:proofErr w:type="spellStart"/>
      <w:r w:rsidRPr="00DB35E3">
        <w:rPr>
          <w:rFonts w:cstheme="minorHAnsi"/>
          <w:i/>
        </w:rPr>
        <w:t>Srl</w:t>
      </w:r>
      <w:proofErr w:type="spellEnd"/>
      <w:r w:rsidRPr="00DB35E3">
        <w:rPr>
          <w:rFonts w:cstheme="minorHAnsi"/>
        </w:rPr>
        <w:t xml:space="preserve">, </w:t>
      </w:r>
      <w:proofErr w:type="spellStart"/>
      <w:r w:rsidRPr="00DB35E3">
        <w:rPr>
          <w:rFonts w:cstheme="minorHAnsi"/>
        </w:rPr>
        <w:t>aff.</w:t>
      </w:r>
      <w:proofErr w:type="spellEnd"/>
      <w:r w:rsidRPr="00DB35E3">
        <w:rPr>
          <w:rFonts w:cstheme="minorHAnsi"/>
        </w:rPr>
        <w:t xml:space="preserve"> C-116/02, point 70.</w:t>
      </w:r>
    </w:p>
  </w:footnote>
  <w:footnote w:id="19">
    <w:p w:rsidR="007D7E69" w:rsidRPr="00DB35E3" w:rsidRDefault="007D7E69" w:rsidP="00AF68ED">
      <w:pPr>
        <w:pStyle w:val="Notedebasdepage"/>
        <w:jc w:val="both"/>
        <w:rPr>
          <w:rFonts w:cstheme="minorHAnsi"/>
        </w:rPr>
      </w:pPr>
      <w:r w:rsidRPr="00DB35E3">
        <w:rPr>
          <w:rStyle w:val="Appelnotedebasdep"/>
          <w:rFonts w:cstheme="minorHAnsi"/>
        </w:rPr>
        <w:footnoteRef/>
      </w:r>
      <w:r w:rsidRPr="00DB35E3">
        <w:rPr>
          <w:rFonts w:cstheme="minorHAnsi"/>
        </w:rPr>
        <w:t xml:space="preserve"> La jurisprudence nationale se montre pour l’instant fidèle à la rigueur de la litispendance européenne, refusant d’assouplir le mécanisme même devant des allégations d’exercice abusif. </w:t>
      </w:r>
      <w:r w:rsidRPr="00DB35E3">
        <w:rPr>
          <w:rFonts w:cstheme="minorHAnsi"/>
          <w:lang w:val="nl-NL"/>
        </w:rPr>
        <w:t xml:space="preserve">Cf. par ex. </w:t>
      </w:r>
      <w:proofErr w:type="spellStart"/>
      <w:r w:rsidRPr="00DB35E3">
        <w:rPr>
          <w:rFonts w:cstheme="minorHAnsi"/>
        </w:rPr>
        <w:t>Cass</w:t>
      </w:r>
      <w:proofErr w:type="spellEnd"/>
      <w:r w:rsidRPr="00DB35E3">
        <w:rPr>
          <w:rFonts w:cstheme="minorHAnsi"/>
        </w:rPr>
        <w:t>. Fr. (1</w:t>
      </w:r>
      <w:r w:rsidRPr="00DB35E3">
        <w:rPr>
          <w:rFonts w:cstheme="minorHAnsi"/>
          <w:vertAlign w:val="superscript"/>
        </w:rPr>
        <w:t>ère</w:t>
      </w:r>
      <w:r w:rsidRPr="00DB35E3">
        <w:rPr>
          <w:rFonts w:cstheme="minorHAnsi"/>
        </w:rPr>
        <w:t xml:space="preserve"> civ.), 28 janvier 2015, pourvoi 13-24.742, ECLI :FR</w:t>
      </w:r>
      <w:proofErr w:type="gramStart"/>
      <w:r w:rsidRPr="00DB35E3">
        <w:rPr>
          <w:rFonts w:cstheme="minorHAnsi"/>
        </w:rPr>
        <w:t> :CCASS</w:t>
      </w:r>
      <w:proofErr w:type="gramEnd"/>
      <w:r w:rsidRPr="00DB35E3">
        <w:rPr>
          <w:rFonts w:cstheme="minorHAnsi"/>
        </w:rPr>
        <w:t> :2015 :C100203.</w:t>
      </w:r>
    </w:p>
  </w:footnote>
  <w:footnote w:id="20">
    <w:p w:rsidR="007D7E69" w:rsidRPr="00DB35E3" w:rsidRDefault="007D7E69" w:rsidP="00AF68ED">
      <w:pPr>
        <w:pStyle w:val="Notedebasdepage"/>
        <w:jc w:val="both"/>
        <w:rPr>
          <w:rFonts w:cstheme="minorHAnsi"/>
        </w:rPr>
      </w:pPr>
      <w:r w:rsidRPr="00DB35E3">
        <w:rPr>
          <w:rStyle w:val="Appelnotedebasdep"/>
          <w:rFonts w:cstheme="minorHAnsi"/>
        </w:rPr>
        <w:footnoteRef/>
      </w:r>
      <w:r w:rsidRPr="00DB35E3">
        <w:rPr>
          <w:rFonts w:cstheme="minorHAnsi"/>
        </w:rPr>
        <w:t xml:space="preserve"> La Cour avait en effet relevé qu’il était « sans importance » que la société constituée par les époux </w:t>
      </w:r>
      <w:proofErr w:type="spellStart"/>
      <w:r w:rsidRPr="00DB35E3">
        <w:rPr>
          <w:rFonts w:cstheme="minorHAnsi"/>
        </w:rPr>
        <w:t>Bryde</w:t>
      </w:r>
      <w:proofErr w:type="spellEnd"/>
      <w:r w:rsidRPr="00DB35E3">
        <w:rPr>
          <w:rFonts w:cstheme="minorHAnsi"/>
        </w:rPr>
        <w:t xml:space="preserve"> ne l’avait été « qu’en vue de s’établir [au Danemark] où serait exercé l’essentiel, voire l’ensemble de ses activités économiques » (point 17). Allant plus loin encore, la Cour avait relevé que la circonstance que les époux avaient constitué la société « dans le seul but d’échapper à la législation danoise qui impose la libération d’un capital social minimum » n’excluait pas l’intervention du droit européen (point 18). Ces observations concernaient néanmoins non pas la mise en œuvre de la liberté d’établissement, mais bien la question de savoir si la situation visée relevait de cette liberté. Il importait à la Cour d’asseoir le titre du droit primaire européen à agir : la Cour entendait rejeter l’idée que ce genre de situation ne peut intéresser le droit européen parce que l’internationalité était déguisée, artificielle. Et la Cour de souligner la distinction entre deux questions : « La question de l'application [de la liberté d’établissement] est, en effet, distincte de celle de savoir si un État membre peut prendre des mesures pour empêcher que, en recourant aux possibilités offertes par le traité, certains de ses ressortissants ne tentent de se soustraire abusivement à l'emprise de leur législation nationale » (point 18).</w:t>
      </w:r>
    </w:p>
  </w:footnote>
  <w:footnote w:id="21">
    <w:p w:rsidR="007D7E69" w:rsidRPr="004929D0" w:rsidRDefault="007D7E69" w:rsidP="00AF68ED">
      <w:pPr>
        <w:pStyle w:val="Notedebasdepage"/>
        <w:jc w:val="both"/>
        <w:rPr>
          <w:rFonts w:cstheme="minorHAnsi"/>
        </w:rPr>
      </w:pPr>
      <w:r w:rsidRPr="00DB35E3">
        <w:rPr>
          <w:rStyle w:val="Appelnotedebasdep"/>
          <w:rFonts w:cstheme="minorHAnsi"/>
        </w:rPr>
        <w:footnoteRef/>
      </w:r>
      <w:r w:rsidRPr="004929D0">
        <w:rPr>
          <w:rFonts w:cstheme="minorHAnsi"/>
        </w:rPr>
        <w:t xml:space="preserve"> Arrêt </w:t>
      </w:r>
      <w:proofErr w:type="spellStart"/>
      <w:r w:rsidRPr="004929D0">
        <w:rPr>
          <w:rFonts w:cstheme="minorHAnsi"/>
          <w:i/>
        </w:rPr>
        <w:t>Centros</w:t>
      </w:r>
      <w:proofErr w:type="spellEnd"/>
      <w:r w:rsidRPr="004929D0">
        <w:rPr>
          <w:rFonts w:cstheme="minorHAnsi"/>
        </w:rPr>
        <w:t xml:space="preserve"> précité, point 24.</w:t>
      </w:r>
    </w:p>
  </w:footnote>
  <w:footnote w:id="22">
    <w:p w:rsidR="007D7E69" w:rsidRPr="00DB35E3" w:rsidRDefault="007D7E69" w:rsidP="00AF68ED">
      <w:pPr>
        <w:pStyle w:val="Notedebasdepage"/>
        <w:jc w:val="both"/>
        <w:rPr>
          <w:rFonts w:cstheme="minorHAnsi"/>
        </w:rPr>
      </w:pPr>
      <w:r w:rsidRPr="00DB35E3">
        <w:rPr>
          <w:rStyle w:val="Appelnotedebasdep"/>
          <w:rFonts w:cstheme="minorHAnsi"/>
        </w:rPr>
        <w:footnoteRef/>
      </w:r>
      <w:r w:rsidRPr="00DB35E3">
        <w:rPr>
          <w:rFonts w:cstheme="minorHAnsi"/>
        </w:rPr>
        <w:t xml:space="preserve"> Cf. CJUE, </w:t>
      </w:r>
      <w:r>
        <w:rPr>
          <w:rFonts w:cstheme="minorHAnsi"/>
          <w:color w:val="000000"/>
        </w:rPr>
        <w:t xml:space="preserve">2 </w:t>
      </w:r>
      <w:r w:rsidRPr="00DB35E3">
        <w:rPr>
          <w:rFonts w:cstheme="minorHAnsi"/>
          <w:color w:val="000000"/>
        </w:rPr>
        <w:t xml:space="preserve">octobre 2003, </w:t>
      </w:r>
      <w:r w:rsidRPr="004929D0">
        <w:rPr>
          <w:rFonts w:cstheme="minorHAnsi"/>
          <w:i/>
          <w:color w:val="000000"/>
        </w:rPr>
        <w:t xml:space="preserve">Garcia </w:t>
      </w:r>
      <w:proofErr w:type="spellStart"/>
      <w:r w:rsidRPr="004929D0">
        <w:rPr>
          <w:rFonts w:cstheme="minorHAnsi"/>
          <w:i/>
          <w:color w:val="000000"/>
        </w:rPr>
        <w:t>Avello</w:t>
      </w:r>
      <w:proofErr w:type="spellEnd"/>
      <w:r w:rsidRPr="00DB35E3">
        <w:rPr>
          <w:rFonts w:cstheme="minorHAnsi"/>
          <w:color w:val="000000"/>
        </w:rPr>
        <w:t>, C</w:t>
      </w:r>
      <w:r w:rsidRPr="00DB35E3">
        <w:rPr>
          <w:rFonts w:cstheme="minorHAnsi"/>
          <w:color w:val="000000"/>
        </w:rPr>
        <w:noBreakHyphen/>
        <w:t xml:space="preserve">148/02, </w:t>
      </w:r>
      <w:proofErr w:type="gramStart"/>
      <w:r w:rsidRPr="00DB35E3">
        <w:rPr>
          <w:rFonts w:cstheme="minorHAnsi"/>
          <w:color w:val="000000"/>
        </w:rPr>
        <w:t>EU:</w:t>
      </w:r>
      <w:proofErr w:type="gramEnd"/>
      <w:r w:rsidRPr="00DB35E3">
        <w:rPr>
          <w:rFonts w:cstheme="minorHAnsi"/>
          <w:color w:val="000000"/>
        </w:rPr>
        <w:t>C:2003:539; CJUE, 14</w:t>
      </w:r>
      <w:r>
        <w:rPr>
          <w:rFonts w:cstheme="minorHAnsi"/>
          <w:color w:val="000000"/>
        </w:rPr>
        <w:t xml:space="preserve"> </w:t>
      </w:r>
      <w:r w:rsidRPr="00DB35E3">
        <w:rPr>
          <w:rFonts w:cstheme="minorHAnsi"/>
          <w:color w:val="000000"/>
        </w:rPr>
        <w:t xml:space="preserve">octobre 2008, </w:t>
      </w:r>
      <w:proofErr w:type="spellStart"/>
      <w:r w:rsidRPr="004929D0">
        <w:rPr>
          <w:rFonts w:cstheme="minorHAnsi"/>
          <w:i/>
          <w:color w:val="000000"/>
        </w:rPr>
        <w:t>Grunkin</w:t>
      </w:r>
      <w:proofErr w:type="spellEnd"/>
      <w:r w:rsidRPr="004929D0">
        <w:rPr>
          <w:rFonts w:cstheme="minorHAnsi"/>
          <w:i/>
          <w:color w:val="000000"/>
        </w:rPr>
        <w:t xml:space="preserve"> et Paul</w:t>
      </w:r>
      <w:r w:rsidRPr="00DB35E3">
        <w:rPr>
          <w:rFonts w:cstheme="minorHAnsi"/>
          <w:color w:val="000000"/>
        </w:rPr>
        <w:t>, C</w:t>
      </w:r>
      <w:r>
        <w:rPr>
          <w:rFonts w:cstheme="minorHAnsi"/>
          <w:color w:val="000000"/>
        </w:rPr>
        <w:noBreakHyphen/>
        <w:t xml:space="preserve">353/06, EU:C:2008:559; CJUE 22 </w:t>
      </w:r>
      <w:r w:rsidRPr="00DB35E3">
        <w:rPr>
          <w:rFonts w:cstheme="minorHAnsi"/>
          <w:color w:val="000000"/>
        </w:rPr>
        <w:t xml:space="preserve">décembre 2010, </w:t>
      </w:r>
      <w:proofErr w:type="spellStart"/>
      <w:r w:rsidRPr="004929D0">
        <w:rPr>
          <w:rFonts w:cstheme="minorHAnsi"/>
          <w:i/>
          <w:color w:val="000000"/>
        </w:rPr>
        <w:t>Sayn</w:t>
      </w:r>
      <w:proofErr w:type="spellEnd"/>
      <w:r w:rsidRPr="004929D0">
        <w:rPr>
          <w:rFonts w:cstheme="minorHAnsi"/>
          <w:i/>
          <w:color w:val="000000"/>
        </w:rPr>
        <w:t>-Wittgenstein</w:t>
      </w:r>
      <w:r w:rsidRPr="00DB35E3">
        <w:rPr>
          <w:rFonts w:cstheme="minorHAnsi"/>
          <w:color w:val="000000"/>
        </w:rPr>
        <w:t>, C</w:t>
      </w:r>
      <w:r w:rsidRPr="00DB35E3">
        <w:rPr>
          <w:rFonts w:cstheme="minorHAnsi"/>
          <w:color w:val="000000"/>
        </w:rPr>
        <w:noBreakHyphen/>
        <w:t>208/09, EU:C:2010:806 et CJUE, 12</w:t>
      </w:r>
      <w:r>
        <w:rPr>
          <w:rFonts w:cstheme="minorHAnsi"/>
          <w:color w:val="000000"/>
        </w:rPr>
        <w:t xml:space="preserve"> </w:t>
      </w:r>
      <w:r w:rsidRPr="00DB35E3">
        <w:rPr>
          <w:rFonts w:cstheme="minorHAnsi"/>
          <w:color w:val="000000"/>
        </w:rPr>
        <w:t xml:space="preserve">mai 2011, </w:t>
      </w:r>
      <w:proofErr w:type="spellStart"/>
      <w:r w:rsidRPr="00DB35E3">
        <w:rPr>
          <w:rFonts w:cstheme="minorHAnsi"/>
          <w:i/>
          <w:color w:val="000000"/>
        </w:rPr>
        <w:t>Runevič-Vardyn</w:t>
      </w:r>
      <w:proofErr w:type="spellEnd"/>
      <w:r w:rsidRPr="00DB35E3">
        <w:rPr>
          <w:rFonts w:cstheme="minorHAnsi"/>
          <w:i/>
          <w:color w:val="000000"/>
        </w:rPr>
        <w:t xml:space="preserve"> et </w:t>
      </w:r>
      <w:proofErr w:type="spellStart"/>
      <w:r w:rsidRPr="00DB35E3">
        <w:rPr>
          <w:rFonts w:cstheme="minorHAnsi"/>
          <w:i/>
          <w:color w:val="000000"/>
        </w:rPr>
        <w:t>Wardyn</w:t>
      </w:r>
      <w:proofErr w:type="spellEnd"/>
      <w:r w:rsidRPr="00DB35E3">
        <w:rPr>
          <w:rFonts w:cstheme="minorHAnsi"/>
          <w:color w:val="000000"/>
        </w:rPr>
        <w:t>, C</w:t>
      </w:r>
      <w:r w:rsidRPr="00DB35E3">
        <w:rPr>
          <w:rFonts w:cstheme="minorHAnsi"/>
          <w:color w:val="000000"/>
        </w:rPr>
        <w:noBreakHyphen/>
        <w:t>391/09, EU:C:2011:291.</w:t>
      </w:r>
    </w:p>
  </w:footnote>
  <w:footnote w:id="23">
    <w:p w:rsidR="007D7E69" w:rsidRPr="00DB35E3" w:rsidRDefault="007D7E69" w:rsidP="00AF68ED">
      <w:pPr>
        <w:pStyle w:val="Notedebasdepage"/>
        <w:jc w:val="both"/>
        <w:rPr>
          <w:rFonts w:cstheme="minorHAnsi"/>
          <w:lang w:val="nl-NL"/>
        </w:rPr>
      </w:pPr>
      <w:r w:rsidRPr="00DB35E3">
        <w:rPr>
          <w:rStyle w:val="Appelnotedebasdep"/>
          <w:rFonts w:cstheme="minorHAnsi"/>
        </w:rPr>
        <w:footnoteRef/>
      </w:r>
      <w:r w:rsidRPr="00DB35E3">
        <w:rPr>
          <w:rFonts w:cstheme="minorHAnsi"/>
          <w:lang w:val="nl-NL"/>
        </w:rPr>
        <w:t xml:space="preserve"> Arrêt </w:t>
      </w:r>
      <w:proofErr w:type="spellStart"/>
      <w:r w:rsidRPr="00DB35E3">
        <w:rPr>
          <w:rFonts w:cstheme="minorHAnsi"/>
          <w:i/>
          <w:lang w:val="nl-NL"/>
        </w:rPr>
        <w:t>Bogendorff</w:t>
      </w:r>
      <w:proofErr w:type="spellEnd"/>
      <w:r w:rsidRPr="00DB35E3">
        <w:rPr>
          <w:rFonts w:cstheme="minorHAnsi"/>
          <w:lang w:val="nl-NL"/>
        </w:rPr>
        <w:t xml:space="preserve">, </w:t>
      </w:r>
      <w:proofErr w:type="spellStart"/>
      <w:r w:rsidRPr="00DB35E3">
        <w:rPr>
          <w:rFonts w:cstheme="minorHAnsi"/>
          <w:lang w:val="nl-NL"/>
        </w:rPr>
        <w:t>précité</w:t>
      </w:r>
      <w:proofErr w:type="spellEnd"/>
      <w:r w:rsidRPr="00DB35E3">
        <w:rPr>
          <w:rFonts w:cstheme="minorHAnsi"/>
          <w:lang w:val="nl-NL"/>
        </w:rPr>
        <w:t>, point 57.</w:t>
      </w:r>
    </w:p>
  </w:footnote>
  <w:footnote w:id="24">
    <w:p w:rsidR="007D7E69" w:rsidRPr="00DB35E3" w:rsidRDefault="007D7E69" w:rsidP="006E41B8">
      <w:pPr>
        <w:pStyle w:val="Notedebasdepage"/>
        <w:jc w:val="both"/>
        <w:rPr>
          <w:rFonts w:cstheme="minorHAnsi"/>
        </w:rPr>
      </w:pPr>
      <w:r w:rsidRPr="00DB35E3">
        <w:rPr>
          <w:rStyle w:val="Appelnotedebasdep"/>
          <w:rFonts w:cstheme="minorHAnsi"/>
        </w:rPr>
        <w:footnoteRef/>
      </w:r>
      <w:r w:rsidRPr="00DB35E3">
        <w:rPr>
          <w:rFonts w:cstheme="minorHAnsi"/>
        </w:rPr>
        <w:t xml:space="preserve"> A. </w:t>
      </w:r>
      <w:r w:rsidRPr="00DB35E3">
        <w:rPr>
          <w:rFonts w:cstheme="minorHAnsi"/>
          <w:smallCaps/>
        </w:rPr>
        <w:t>Bucher</w:t>
      </w:r>
      <w:r w:rsidRPr="00DB35E3">
        <w:rPr>
          <w:rFonts w:cstheme="minorHAnsi"/>
        </w:rPr>
        <w:t xml:space="preserve">, « La dimension sociale du droit international privé. Cours général », </w:t>
      </w:r>
      <w:r w:rsidRPr="00DB35E3">
        <w:rPr>
          <w:rFonts w:cstheme="minorHAnsi"/>
          <w:i/>
        </w:rPr>
        <w:t>Rec. cours</w:t>
      </w:r>
      <w:r w:rsidRPr="00DB35E3">
        <w:rPr>
          <w:rFonts w:cstheme="minorHAnsi"/>
        </w:rPr>
        <w:t>, 2009, t. 314, p. 119, n° 69.</w:t>
      </w:r>
    </w:p>
  </w:footnote>
  <w:footnote w:id="25">
    <w:p w:rsidR="007D7E69" w:rsidRPr="00DB35E3" w:rsidRDefault="007D7E69" w:rsidP="00375FDB">
      <w:pPr>
        <w:pStyle w:val="Notedebasdepage"/>
        <w:rPr>
          <w:rFonts w:cstheme="minorHAnsi"/>
        </w:rPr>
      </w:pPr>
      <w:r w:rsidRPr="00DB35E3">
        <w:rPr>
          <w:rStyle w:val="Appelnotedebasdep"/>
          <w:rFonts w:cstheme="minorHAnsi"/>
        </w:rPr>
        <w:footnoteRef/>
      </w:r>
      <w:r w:rsidRPr="00DB35E3">
        <w:rPr>
          <w:rFonts w:cstheme="minorHAnsi"/>
        </w:rPr>
        <w:t xml:space="preserve"> Cour </w:t>
      </w:r>
      <w:proofErr w:type="spellStart"/>
      <w:r w:rsidRPr="00DB35E3">
        <w:rPr>
          <w:rFonts w:cstheme="minorHAnsi"/>
        </w:rPr>
        <w:t>eur</w:t>
      </w:r>
      <w:proofErr w:type="spellEnd"/>
      <w:r w:rsidRPr="00DB35E3">
        <w:rPr>
          <w:rFonts w:cstheme="minorHAnsi"/>
        </w:rPr>
        <w:t xml:space="preserve"> DH (1</w:t>
      </w:r>
      <w:r w:rsidRPr="00DB35E3">
        <w:rPr>
          <w:rFonts w:cstheme="minorHAnsi"/>
          <w:vertAlign w:val="superscript"/>
        </w:rPr>
        <w:t>ère</w:t>
      </w:r>
      <w:r w:rsidRPr="00DB35E3">
        <w:rPr>
          <w:rFonts w:cstheme="minorHAnsi"/>
        </w:rPr>
        <w:t xml:space="preserve"> section),28 juin 2007, </w:t>
      </w:r>
      <w:r w:rsidRPr="00DB35E3">
        <w:rPr>
          <w:rFonts w:cstheme="minorHAnsi"/>
          <w:i/>
        </w:rPr>
        <w:t>Wagner c. Luxembourg</w:t>
      </w:r>
      <w:r w:rsidRPr="00DB35E3">
        <w:rPr>
          <w:rFonts w:cstheme="minorHAnsi"/>
        </w:rPr>
        <w:t xml:space="preserve">, </w:t>
      </w:r>
      <w:proofErr w:type="spellStart"/>
      <w:r w:rsidRPr="00DB35E3">
        <w:rPr>
          <w:rFonts w:cstheme="minorHAnsi"/>
        </w:rPr>
        <w:t>req</w:t>
      </w:r>
      <w:proofErr w:type="spellEnd"/>
      <w:r w:rsidRPr="00DB35E3">
        <w:rPr>
          <w:rFonts w:cstheme="minorHAnsi"/>
        </w:rPr>
        <w:t>. N° 76240/01.</w:t>
      </w:r>
    </w:p>
  </w:footnote>
  <w:footnote w:id="26">
    <w:p w:rsidR="007D7E69" w:rsidRPr="00DB35E3" w:rsidRDefault="007D7E69">
      <w:pPr>
        <w:pStyle w:val="Notedebasdepage"/>
        <w:rPr>
          <w:rFonts w:cstheme="minorHAnsi"/>
        </w:rPr>
      </w:pPr>
      <w:r w:rsidRPr="00DB35E3">
        <w:rPr>
          <w:rStyle w:val="Appelnotedebasdep"/>
          <w:rFonts w:cstheme="minorHAnsi"/>
        </w:rPr>
        <w:footnoteRef/>
      </w:r>
      <w:r w:rsidRPr="00DB35E3">
        <w:rPr>
          <w:rFonts w:cstheme="minorHAnsi"/>
        </w:rPr>
        <w:t xml:space="preserve"> Cour </w:t>
      </w:r>
      <w:proofErr w:type="spellStart"/>
      <w:r w:rsidRPr="00DB35E3">
        <w:rPr>
          <w:rFonts w:cstheme="minorHAnsi"/>
        </w:rPr>
        <w:t>eur</w:t>
      </w:r>
      <w:proofErr w:type="spellEnd"/>
      <w:r w:rsidRPr="00DB35E3">
        <w:rPr>
          <w:rFonts w:cstheme="minorHAnsi"/>
        </w:rPr>
        <w:t xml:space="preserve"> DH (1</w:t>
      </w:r>
      <w:r w:rsidRPr="00DB35E3">
        <w:rPr>
          <w:rFonts w:cstheme="minorHAnsi"/>
          <w:vertAlign w:val="superscript"/>
        </w:rPr>
        <w:t>ère</w:t>
      </w:r>
      <w:r w:rsidRPr="00DB35E3">
        <w:rPr>
          <w:rFonts w:cstheme="minorHAnsi"/>
        </w:rPr>
        <w:t xml:space="preserve"> section), 3 mai 2011, </w:t>
      </w:r>
      <w:proofErr w:type="spellStart"/>
      <w:r w:rsidRPr="00DB35E3">
        <w:rPr>
          <w:rFonts w:cstheme="minorHAnsi"/>
          <w:i/>
        </w:rPr>
        <w:t>Negrepontis-Giannisis</w:t>
      </w:r>
      <w:proofErr w:type="spellEnd"/>
      <w:r w:rsidRPr="00DB35E3">
        <w:rPr>
          <w:rFonts w:cstheme="minorHAnsi"/>
          <w:i/>
        </w:rPr>
        <w:t xml:space="preserve"> c. Grèce</w:t>
      </w:r>
      <w:r w:rsidRPr="00DB35E3">
        <w:rPr>
          <w:rFonts w:cstheme="minorHAnsi"/>
        </w:rPr>
        <w:t xml:space="preserve">, </w:t>
      </w:r>
      <w:proofErr w:type="spellStart"/>
      <w:r w:rsidRPr="00DB35E3">
        <w:rPr>
          <w:rFonts w:cstheme="minorHAnsi"/>
        </w:rPr>
        <w:t>req</w:t>
      </w:r>
      <w:proofErr w:type="spellEnd"/>
      <w:r w:rsidRPr="00DB35E3">
        <w:rPr>
          <w:rFonts w:cstheme="minorHAnsi"/>
        </w:rPr>
        <w:t>. N° 56759.</w:t>
      </w:r>
    </w:p>
  </w:footnote>
  <w:footnote w:id="27">
    <w:p w:rsidR="007D7E69" w:rsidRPr="00DB35E3" w:rsidRDefault="007D7E69" w:rsidP="00A51EEE">
      <w:pPr>
        <w:pStyle w:val="Notedebasdepage"/>
        <w:jc w:val="both"/>
        <w:rPr>
          <w:rFonts w:cstheme="minorHAnsi"/>
        </w:rPr>
      </w:pPr>
      <w:r w:rsidRPr="00DB35E3">
        <w:rPr>
          <w:rStyle w:val="Appelnotedebasdep"/>
          <w:rFonts w:cstheme="minorHAnsi"/>
        </w:rPr>
        <w:footnoteRef/>
      </w:r>
      <w:r w:rsidRPr="00DB35E3">
        <w:rPr>
          <w:rFonts w:cstheme="minorHAnsi"/>
        </w:rPr>
        <w:t xml:space="preserve"> Cour </w:t>
      </w:r>
      <w:proofErr w:type="spellStart"/>
      <w:r w:rsidRPr="00DB35E3">
        <w:rPr>
          <w:rFonts w:cstheme="minorHAnsi"/>
        </w:rPr>
        <w:t>eur</w:t>
      </w:r>
      <w:proofErr w:type="spellEnd"/>
      <w:r w:rsidRPr="00DB35E3">
        <w:rPr>
          <w:rFonts w:cstheme="minorHAnsi"/>
        </w:rPr>
        <w:t>. DH, (4</w:t>
      </w:r>
      <w:r w:rsidRPr="00DB35E3">
        <w:rPr>
          <w:rFonts w:cstheme="minorHAnsi"/>
          <w:vertAlign w:val="superscript"/>
        </w:rPr>
        <w:t>ème</w:t>
      </w:r>
      <w:r w:rsidRPr="00DB35E3">
        <w:rPr>
          <w:rFonts w:cstheme="minorHAnsi"/>
        </w:rPr>
        <w:t xml:space="preserve"> section) 6 juillet 2010, </w:t>
      </w:r>
      <w:r w:rsidRPr="00DB35E3">
        <w:rPr>
          <w:rFonts w:cstheme="minorHAnsi"/>
          <w:i/>
        </w:rPr>
        <w:t xml:space="preserve">Mary Green et Arad </w:t>
      </w:r>
      <w:proofErr w:type="spellStart"/>
      <w:r w:rsidRPr="00DB35E3">
        <w:rPr>
          <w:rFonts w:cstheme="minorHAnsi"/>
          <w:i/>
        </w:rPr>
        <w:t>Farhat</w:t>
      </w:r>
      <w:proofErr w:type="spellEnd"/>
      <w:r w:rsidRPr="00DB35E3">
        <w:rPr>
          <w:rFonts w:cstheme="minorHAnsi"/>
          <w:i/>
        </w:rPr>
        <w:t xml:space="preserve"> c. Malte</w:t>
      </w:r>
      <w:r w:rsidRPr="00DB35E3">
        <w:rPr>
          <w:rFonts w:cstheme="minorHAnsi"/>
        </w:rPr>
        <w:t xml:space="preserve">, </w:t>
      </w:r>
      <w:proofErr w:type="spellStart"/>
      <w:r w:rsidRPr="00DB35E3">
        <w:rPr>
          <w:rFonts w:cstheme="minorHAnsi"/>
        </w:rPr>
        <w:t>req</w:t>
      </w:r>
      <w:proofErr w:type="spellEnd"/>
      <w:r w:rsidRPr="00DB35E3">
        <w:rPr>
          <w:rFonts w:cstheme="minorHAnsi"/>
        </w:rPr>
        <w:t>. N° 38797/07.</w:t>
      </w:r>
    </w:p>
  </w:footnote>
  <w:footnote w:id="28">
    <w:p w:rsidR="007D7E69" w:rsidRPr="00DB35E3" w:rsidRDefault="007D7E69" w:rsidP="00F659CA">
      <w:pPr>
        <w:pStyle w:val="Notedebasdepage"/>
        <w:jc w:val="both"/>
        <w:rPr>
          <w:rFonts w:cstheme="minorHAnsi"/>
        </w:rPr>
      </w:pPr>
      <w:r w:rsidRPr="00DB35E3">
        <w:rPr>
          <w:rStyle w:val="Appelnotedebasdep"/>
          <w:rFonts w:cstheme="minorHAnsi"/>
        </w:rPr>
        <w:footnoteRef/>
      </w:r>
      <w:r w:rsidRPr="00DB35E3">
        <w:rPr>
          <w:rFonts w:cstheme="minorHAnsi"/>
        </w:rPr>
        <w:t xml:space="preserve"> Cf. par exemple la décision d’irrecevabilité dans l’affaire </w:t>
      </w:r>
      <w:r w:rsidRPr="00DB35E3">
        <w:rPr>
          <w:rFonts w:cstheme="minorHAnsi"/>
          <w:i/>
        </w:rPr>
        <w:t xml:space="preserve">Green et </w:t>
      </w:r>
      <w:proofErr w:type="spellStart"/>
      <w:r w:rsidRPr="00DB35E3">
        <w:rPr>
          <w:rFonts w:cstheme="minorHAnsi"/>
          <w:i/>
        </w:rPr>
        <w:t>Farhat</w:t>
      </w:r>
      <w:proofErr w:type="spellEnd"/>
      <w:r w:rsidRPr="00DB35E3">
        <w:rPr>
          <w:rFonts w:cstheme="minorHAnsi"/>
        </w:rPr>
        <w:t>, précitée : dans cette espèce, la Cour a concédé qu’un Etat pouvait au nom de l’ordre public exiger le respect d’un principe de monogamie.</w:t>
      </w:r>
    </w:p>
  </w:footnote>
  <w:footnote w:id="29">
    <w:p w:rsidR="007D7E69" w:rsidRPr="00DB35E3" w:rsidRDefault="007D7E69">
      <w:pPr>
        <w:pStyle w:val="Notedebasdepage"/>
        <w:rPr>
          <w:rFonts w:cstheme="minorHAnsi"/>
        </w:rPr>
      </w:pPr>
      <w:r w:rsidRPr="00DB35E3">
        <w:rPr>
          <w:rStyle w:val="Appelnotedebasdep"/>
          <w:rFonts w:cstheme="minorHAnsi"/>
        </w:rPr>
        <w:footnoteRef/>
      </w:r>
      <w:r w:rsidRPr="00DB35E3">
        <w:rPr>
          <w:rFonts w:cstheme="minorHAnsi"/>
        </w:rPr>
        <w:t xml:space="preserve"> Arrêt </w:t>
      </w:r>
      <w:proofErr w:type="spellStart"/>
      <w:r w:rsidRPr="00DB35E3">
        <w:rPr>
          <w:rFonts w:cstheme="minorHAnsi"/>
          <w:i/>
        </w:rPr>
        <w:t>Mennesson</w:t>
      </w:r>
      <w:proofErr w:type="spellEnd"/>
      <w:r w:rsidRPr="00DB35E3">
        <w:rPr>
          <w:rFonts w:cstheme="minorHAnsi"/>
        </w:rPr>
        <w:t xml:space="preserve"> précité, par. 99.</w:t>
      </w:r>
    </w:p>
  </w:footnote>
  <w:footnote w:id="30">
    <w:p w:rsidR="007D7E69" w:rsidRPr="00F659CA" w:rsidRDefault="007D7E69" w:rsidP="00F659CA">
      <w:pPr>
        <w:pStyle w:val="Notedebasdepage"/>
        <w:jc w:val="both"/>
      </w:pPr>
      <w:r>
        <w:rPr>
          <w:rStyle w:val="Appelnotedebasdep"/>
        </w:rPr>
        <w:footnoteRef/>
      </w:r>
      <w:r>
        <w:t xml:space="preserve"> Dans l’arrêt </w:t>
      </w:r>
      <w:proofErr w:type="spellStart"/>
      <w:r w:rsidRPr="004929D0">
        <w:rPr>
          <w:i/>
        </w:rPr>
        <w:t>Hussin</w:t>
      </w:r>
      <w:proofErr w:type="spellEnd"/>
      <w:r>
        <w:t xml:space="preserve">, la Cour avait noté, sans qu’il soit </w:t>
      </w:r>
      <w:r w:rsidRPr="00F659CA">
        <w:t>possible de déterminer avec précision quel poids elle attache à cet élément, que « nul ne saurait se plaindre d'une situation qu'il a lui-même pu contribuer à créer » (CEDH (1</w:t>
      </w:r>
      <w:r w:rsidRPr="00F659CA">
        <w:rPr>
          <w:vertAlign w:val="superscript"/>
        </w:rPr>
        <w:t>ère</w:t>
      </w:r>
      <w:r w:rsidRPr="00F659CA">
        <w:t xml:space="preserve"> section), 6 mai 2004, </w:t>
      </w:r>
      <w:proofErr w:type="spellStart"/>
      <w:r w:rsidRPr="00F659CA">
        <w:rPr>
          <w:i/>
        </w:rPr>
        <w:t>Hussin</w:t>
      </w:r>
      <w:proofErr w:type="spellEnd"/>
      <w:r w:rsidRPr="00F659CA">
        <w:rPr>
          <w:i/>
        </w:rPr>
        <w:t xml:space="preserve"> c. Belgique</w:t>
      </w:r>
      <w:r w:rsidRPr="00F659CA">
        <w:t xml:space="preserve">, </w:t>
      </w:r>
      <w:proofErr w:type="spellStart"/>
      <w:r w:rsidRPr="00F659CA">
        <w:t>req</w:t>
      </w:r>
      <w:proofErr w:type="spellEnd"/>
      <w:r w:rsidRPr="00F659CA">
        <w:t xml:space="preserve">. N° 70807/01). </w:t>
      </w:r>
    </w:p>
  </w:footnote>
  <w:footnote w:id="31">
    <w:p w:rsidR="007D7E69" w:rsidRPr="00F659CA" w:rsidRDefault="007D7E69" w:rsidP="00F659CA">
      <w:pPr>
        <w:pStyle w:val="Notedebasdepage"/>
        <w:jc w:val="both"/>
        <w:rPr>
          <w:rFonts w:cstheme="minorHAnsi"/>
        </w:rPr>
      </w:pPr>
      <w:r w:rsidRPr="00F659CA">
        <w:rPr>
          <w:rStyle w:val="Appelnotedebasdep"/>
          <w:rFonts w:cstheme="minorHAnsi"/>
        </w:rPr>
        <w:footnoteRef/>
      </w:r>
      <w:r w:rsidRPr="00F659CA">
        <w:rPr>
          <w:rFonts w:cstheme="minorHAnsi"/>
        </w:rPr>
        <w:t xml:space="preserve"> Arrêt </w:t>
      </w:r>
      <w:r w:rsidRPr="00F659CA">
        <w:rPr>
          <w:rFonts w:cstheme="minorHAnsi"/>
          <w:i/>
        </w:rPr>
        <w:t>Wagner</w:t>
      </w:r>
      <w:r w:rsidRPr="00F659CA">
        <w:rPr>
          <w:rFonts w:cstheme="minorHAnsi"/>
        </w:rPr>
        <w:t xml:space="preserve"> précité, par. 130.</w:t>
      </w:r>
    </w:p>
  </w:footnote>
  <w:footnote w:id="32">
    <w:p w:rsidR="007D7E69" w:rsidRPr="00F659CA" w:rsidRDefault="007D7E69" w:rsidP="00F659CA">
      <w:pPr>
        <w:pStyle w:val="Notedebasdepage"/>
        <w:jc w:val="both"/>
        <w:rPr>
          <w:rFonts w:cstheme="minorHAnsi"/>
        </w:rPr>
      </w:pPr>
      <w:r w:rsidRPr="00F659CA">
        <w:rPr>
          <w:rStyle w:val="Appelnotedebasdep"/>
          <w:rFonts w:cstheme="minorHAnsi"/>
        </w:rPr>
        <w:footnoteRef/>
      </w:r>
      <w:r w:rsidRPr="00F659CA">
        <w:rPr>
          <w:rFonts w:cstheme="minorHAnsi"/>
        </w:rPr>
        <w:t xml:space="preserve"> P. </w:t>
      </w:r>
      <w:proofErr w:type="spellStart"/>
      <w:r w:rsidRPr="00F659CA">
        <w:rPr>
          <w:rFonts w:cstheme="minorHAnsi"/>
          <w:smallCaps/>
        </w:rPr>
        <w:t>Kinsch</w:t>
      </w:r>
      <w:proofErr w:type="spellEnd"/>
      <w:r w:rsidRPr="00F659CA">
        <w:rPr>
          <w:rFonts w:cstheme="minorHAnsi"/>
        </w:rPr>
        <w:t xml:space="preserve">, “Droits de l’homme, droits fondamentaux </w:t>
      </w:r>
      <w:r w:rsidRPr="00DB35E3">
        <w:rPr>
          <w:rFonts w:cstheme="minorHAnsi"/>
        </w:rPr>
        <w:t xml:space="preserve">et droit international privé”, </w:t>
      </w:r>
      <w:r w:rsidRPr="00DB35E3">
        <w:rPr>
          <w:rFonts w:cstheme="minorHAnsi"/>
          <w:i/>
        </w:rPr>
        <w:t>Rec. cours</w:t>
      </w:r>
      <w:r w:rsidRPr="00DB35E3">
        <w:rPr>
          <w:rFonts w:cstheme="minorHAnsi"/>
        </w:rPr>
        <w:t>, 2005, vol. 318, p. 126, n° 90.</w:t>
      </w:r>
      <w:r>
        <w:rPr>
          <w:rFonts w:cstheme="minorHAnsi"/>
        </w:rPr>
        <w:t xml:space="preserve"> </w:t>
      </w:r>
      <w:proofErr w:type="spellStart"/>
      <w:r>
        <w:rPr>
          <w:rFonts w:cstheme="minorHAnsi"/>
        </w:rPr>
        <w:t>Voy</w:t>
      </w:r>
      <w:proofErr w:type="spellEnd"/>
      <w:r>
        <w:rPr>
          <w:rFonts w:cstheme="minorHAnsi"/>
        </w:rPr>
        <w:t xml:space="preserve">. </w:t>
      </w:r>
      <w:proofErr w:type="gramStart"/>
      <w:r>
        <w:rPr>
          <w:rFonts w:cstheme="minorHAnsi"/>
        </w:rPr>
        <w:t>aussi</w:t>
      </w:r>
      <w:proofErr w:type="gramEnd"/>
      <w:r>
        <w:rPr>
          <w:rFonts w:cstheme="minorHAnsi"/>
        </w:rPr>
        <w:t xml:space="preserve"> S. </w:t>
      </w:r>
      <w:proofErr w:type="spellStart"/>
      <w:r w:rsidRPr="00F659CA">
        <w:rPr>
          <w:rFonts w:cstheme="minorHAnsi"/>
          <w:smallCaps/>
        </w:rPr>
        <w:t>Pfeiff</w:t>
      </w:r>
      <w:proofErr w:type="spellEnd"/>
      <w:r>
        <w:rPr>
          <w:rFonts w:cstheme="minorHAnsi"/>
        </w:rPr>
        <w:t xml:space="preserve">, </w:t>
      </w:r>
      <w:r>
        <w:rPr>
          <w:rFonts w:cstheme="minorHAnsi"/>
          <w:i/>
        </w:rPr>
        <w:t xml:space="preserve">op. </w:t>
      </w:r>
      <w:proofErr w:type="spellStart"/>
      <w:proofErr w:type="gramStart"/>
      <w:r>
        <w:rPr>
          <w:rFonts w:cstheme="minorHAnsi"/>
          <w:i/>
        </w:rPr>
        <w:t>cit</w:t>
      </w:r>
      <w:proofErr w:type="spellEnd"/>
      <w:proofErr w:type="gramEnd"/>
      <w:r>
        <w:rPr>
          <w:rFonts w:cstheme="minorHAnsi"/>
          <w:i/>
        </w:rPr>
        <w:t>.</w:t>
      </w:r>
      <w:r>
        <w:rPr>
          <w:rFonts w:cstheme="minorHAnsi"/>
        </w:rPr>
        <w:t>, pp. 126-127, n° 123-124.</w:t>
      </w:r>
    </w:p>
  </w:footnote>
  <w:footnote w:id="33">
    <w:p w:rsidR="007D7E69" w:rsidRPr="00DB35E3" w:rsidRDefault="007D7E69">
      <w:pPr>
        <w:pStyle w:val="Notedebasdepage"/>
        <w:rPr>
          <w:rFonts w:cstheme="minorHAnsi"/>
        </w:rPr>
      </w:pPr>
      <w:r w:rsidRPr="00DB35E3">
        <w:rPr>
          <w:rStyle w:val="Appelnotedebasdep"/>
          <w:rFonts w:cstheme="minorHAnsi"/>
        </w:rPr>
        <w:footnoteRef/>
      </w:r>
      <w:r w:rsidRPr="00DB35E3">
        <w:rPr>
          <w:rFonts w:cstheme="minorHAnsi"/>
        </w:rPr>
        <w:t xml:space="preserve"> Arrêt </w:t>
      </w:r>
      <w:r w:rsidRPr="00DB35E3">
        <w:rPr>
          <w:rFonts w:cstheme="minorHAnsi"/>
          <w:i/>
        </w:rPr>
        <w:t>Wagner</w:t>
      </w:r>
      <w:r w:rsidRPr="00DB35E3">
        <w:rPr>
          <w:rFonts w:cstheme="minorHAnsi"/>
        </w:rPr>
        <w:t xml:space="preserve"> précité, par. 133 ; Arrêt </w:t>
      </w:r>
      <w:proofErr w:type="spellStart"/>
      <w:r w:rsidRPr="00DB35E3">
        <w:rPr>
          <w:rFonts w:cstheme="minorHAnsi"/>
          <w:i/>
        </w:rPr>
        <w:t>Negrepontis-Giannisis</w:t>
      </w:r>
      <w:proofErr w:type="spellEnd"/>
      <w:r w:rsidRPr="00DB35E3">
        <w:rPr>
          <w:rFonts w:cstheme="minorHAnsi"/>
        </w:rPr>
        <w:t xml:space="preserve"> précité, par. 74.</w:t>
      </w:r>
    </w:p>
  </w:footnote>
  <w:footnote w:id="34">
    <w:p w:rsidR="007D7E69" w:rsidRPr="00DB35E3" w:rsidRDefault="007D7E69">
      <w:pPr>
        <w:pStyle w:val="Notedebasdepage"/>
        <w:rPr>
          <w:rFonts w:cstheme="minorHAnsi"/>
        </w:rPr>
      </w:pPr>
      <w:r w:rsidRPr="00DB35E3">
        <w:rPr>
          <w:rStyle w:val="Appelnotedebasdep"/>
          <w:rFonts w:cstheme="minorHAnsi"/>
        </w:rPr>
        <w:footnoteRef/>
      </w:r>
      <w:r w:rsidRPr="00DB35E3">
        <w:rPr>
          <w:rFonts w:cstheme="minorHAnsi"/>
        </w:rPr>
        <w:t xml:space="preserve"> Arrêt </w:t>
      </w:r>
      <w:r w:rsidRPr="00DB35E3">
        <w:rPr>
          <w:rFonts w:cstheme="minorHAnsi"/>
          <w:i/>
        </w:rPr>
        <w:t>Wagner</w:t>
      </w:r>
      <w:r w:rsidRPr="00DB35E3">
        <w:rPr>
          <w:rFonts w:cstheme="minorHAnsi"/>
        </w:rPr>
        <w:t xml:space="preserve"> précité, par. 132 ; Arrêt </w:t>
      </w:r>
      <w:proofErr w:type="spellStart"/>
      <w:r w:rsidRPr="00DB35E3">
        <w:rPr>
          <w:rFonts w:cstheme="minorHAnsi"/>
          <w:i/>
        </w:rPr>
        <w:t>Negrepontis-Giannisis</w:t>
      </w:r>
      <w:proofErr w:type="spellEnd"/>
      <w:r w:rsidRPr="00DB35E3">
        <w:rPr>
          <w:rFonts w:cstheme="minorHAnsi"/>
        </w:rPr>
        <w:t xml:space="preserve"> précité, par. 56.</w:t>
      </w:r>
    </w:p>
  </w:footnote>
  <w:footnote w:id="35">
    <w:p w:rsidR="007D7E69" w:rsidRPr="00EB2D58" w:rsidRDefault="007D7E69" w:rsidP="00EB2D58">
      <w:pPr>
        <w:pStyle w:val="Notedebasdepage"/>
        <w:jc w:val="both"/>
      </w:pPr>
      <w:r>
        <w:rPr>
          <w:rStyle w:val="Appelnotedebasdep"/>
        </w:rPr>
        <w:footnoteRef/>
      </w:r>
      <w:r w:rsidRPr="00EB2D58">
        <w:t xml:space="preserve"> P. </w:t>
      </w:r>
      <w:proofErr w:type="spellStart"/>
      <w:r w:rsidRPr="00EB2D58">
        <w:rPr>
          <w:smallCaps/>
        </w:rPr>
        <w:t>Kinsch</w:t>
      </w:r>
      <w:proofErr w:type="spellEnd"/>
      <w:r w:rsidRPr="00EB2D58">
        <w:t xml:space="preserve">, “L’apport de la jurisprudence de la Cour européenne des droits de l’homme”, in </w:t>
      </w:r>
      <w:r>
        <w:rPr>
          <w:i/>
        </w:rPr>
        <w:t>Reconnaissance des situations en droit international privé</w:t>
      </w:r>
      <w:r>
        <w:t xml:space="preserve">, P. </w:t>
      </w:r>
      <w:r w:rsidRPr="00EB2D58">
        <w:rPr>
          <w:smallCaps/>
        </w:rPr>
        <w:t>Lagarde</w:t>
      </w:r>
      <w:r>
        <w:t xml:space="preserve"> (</w:t>
      </w:r>
      <w:proofErr w:type="spellStart"/>
      <w:r>
        <w:t>dir</w:t>
      </w:r>
      <w:proofErr w:type="spellEnd"/>
      <w:r>
        <w:t xml:space="preserve">.), </w:t>
      </w:r>
      <w:proofErr w:type="spellStart"/>
      <w:r>
        <w:t>Pedone</w:t>
      </w:r>
      <w:proofErr w:type="spellEnd"/>
      <w:r>
        <w:t>, 2013, p. 50, n° 7.</w:t>
      </w:r>
    </w:p>
  </w:footnote>
  <w:footnote w:id="36">
    <w:p w:rsidR="007D7E69" w:rsidRPr="004929D0" w:rsidRDefault="007D7E69">
      <w:pPr>
        <w:pStyle w:val="Notedebasdepage"/>
        <w:rPr>
          <w:lang w:val="en-US"/>
        </w:rPr>
      </w:pPr>
      <w:r>
        <w:rPr>
          <w:rStyle w:val="Appelnotedebasdep"/>
        </w:rPr>
        <w:footnoteRef/>
      </w:r>
      <w:r w:rsidRPr="004929D0">
        <w:rPr>
          <w:lang w:val="en-US"/>
        </w:rPr>
        <w:t xml:space="preserve"> </w:t>
      </w:r>
      <w:r>
        <w:rPr>
          <w:lang w:val="en-US"/>
        </w:rPr>
        <w:t>Id., p. 50-51.</w:t>
      </w:r>
    </w:p>
  </w:footnote>
  <w:footnote w:id="37">
    <w:p w:rsidR="007D7E69" w:rsidRPr="00DB35E3" w:rsidRDefault="007D7E69" w:rsidP="00DB35E3">
      <w:pPr>
        <w:pStyle w:val="Notedebasdepage"/>
        <w:jc w:val="both"/>
        <w:rPr>
          <w:rFonts w:cstheme="minorHAnsi"/>
          <w:lang w:val="en-US"/>
        </w:rPr>
      </w:pPr>
      <w:r w:rsidRPr="00DB35E3">
        <w:rPr>
          <w:rStyle w:val="Appelnotedebasdep"/>
          <w:rFonts w:cstheme="minorHAnsi"/>
        </w:rPr>
        <w:footnoteRef/>
      </w:r>
      <w:r w:rsidRPr="00DB35E3">
        <w:rPr>
          <w:rFonts w:cstheme="minorHAnsi"/>
          <w:lang w:val="en-US"/>
        </w:rPr>
        <w:t xml:space="preserve"> P. </w:t>
      </w:r>
      <w:proofErr w:type="spellStart"/>
      <w:r w:rsidRPr="00DB35E3">
        <w:rPr>
          <w:rFonts w:cstheme="minorHAnsi"/>
          <w:smallCaps/>
          <w:lang w:val="en-US"/>
        </w:rPr>
        <w:t>Kinsch</w:t>
      </w:r>
      <w:proofErr w:type="spellEnd"/>
      <w:r w:rsidRPr="00DB35E3">
        <w:rPr>
          <w:rFonts w:cstheme="minorHAnsi"/>
          <w:lang w:val="en-US"/>
        </w:rPr>
        <w:t xml:space="preserve">, « Recognition in the Forum of a Status Acquired Abroad – Private International Law Rules and European Human Rights Law”, in in </w:t>
      </w:r>
      <w:r w:rsidRPr="00DB35E3">
        <w:rPr>
          <w:rFonts w:cstheme="minorHAnsi"/>
          <w:i/>
          <w:iCs/>
          <w:lang w:val="en-US"/>
        </w:rPr>
        <w:t xml:space="preserve">Convergence and Divergence in Private International Law – Liber </w:t>
      </w:r>
      <w:proofErr w:type="spellStart"/>
      <w:r w:rsidRPr="00DB35E3">
        <w:rPr>
          <w:rFonts w:cstheme="minorHAnsi"/>
          <w:i/>
          <w:iCs/>
          <w:lang w:val="en-US"/>
        </w:rPr>
        <w:t>Amicorum</w:t>
      </w:r>
      <w:proofErr w:type="spellEnd"/>
      <w:r w:rsidRPr="00DB35E3">
        <w:rPr>
          <w:rFonts w:cstheme="minorHAnsi"/>
          <w:i/>
          <w:iCs/>
          <w:lang w:val="en-US"/>
        </w:rPr>
        <w:t xml:space="preserve"> Kurt </w:t>
      </w:r>
      <w:proofErr w:type="spellStart"/>
      <w:r w:rsidRPr="00DB35E3">
        <w:rPr>
          <w:rFonts w:cstheme="minorHAnsi"/>
          <w:i/>
          <w:iCs/>
          <w:lang w:val="en-US"/>
        </w:rPr>
        <w:t>Siehr</w:t>
      </w:r>
      <w:proofErr w:type="spellEnd"/>
      <w:r w:rsidRPr="00DB35E3">
        <w:rPr>
          <w:rFonts w:cstheme="minorHAnsi"/>
          <w:lang w:val="en-US"/>
        </w:rPr>
        <w:t xml:space="preserve">, </w:t>
      </w:r>
      <w:r w:rsidRPr="00DB35E3">
        <w:rPr>
          <w:rFonts w:cstheme="minorHAnsi"/>
          <w:smallCaps/>
          <w:lang w:val="en-US"/>
        </w:rPr>
        <w:t xml:space="preserve">K. </w:t>
      </w:r>
      <w:proofErr w:type="spellStart"/>
      <w:r w:rsidRPr="00DB35E3">
        <w:rPr>
          <w:rFonts w:cstheme="minorHAnsi"/>
          <w:smallCaps/>
          <w:lang w:val="en-US"/>
        </w:rPr>
        <w:t>Boele</w:t>
      </w:r>
      <w:proofErr w:type="spellEnd"/>
      <w:r w:rsidRPr="00DB35E3">
        <w:rPr>
          <w:rFonts w:cstheme="minorHAnsi"/>
          <w:smallCaps/>
          <w:lang w:val="en-US"/>
        </w:rPr>
        <w:t xml:space="preserve"> </w:t>
      </w:r>
      <w:proofErr w:type="spellStart"/>
      <w:r w:rsidRPr="00DB35E3">
        <w:rPr>
          <w:rFonts w:cstheme="minorHAnsi"/>
          <w:smallCaps/>
          <w:lang w:val="en-US"/>
        </w:rPr>
        <w:t>Woelki</w:t>
      </w:r>
      <w:proofErr w:type="spellEnd"/>
      <w:r w:rsidRPr="00DB35E3">
        <w:rPr>
          <w:rFonts w:cstheme="minorHAnsi"/>
          <w:lang w:val="en-US"/>
        </w:rPr>
        <w:t xml:space="preserve"> </w:t>
      </w:r>
      <w:r w:rsidRPr="00DB35E3">
        <w:rPr>
          <w:rFonts w:cstheme="minorHAnsi"/>
          <w:i/>
          <w:iCs/>
          <w:lang w:val="en-US"/>
        </w:rPr>
        <w:t xml:space="preserve">et </w:t>
      </w:r>
      <w:proofErr w:type="spellStart"/>
      <w:r w:rsidRPr="00DB35E3">
        <w:rPr>
          <w:rFonts w:cstheme="minorHAnsi"/>
          <w:i/>
          <w:iCs/>
          <w:lang w:val="en-US"/>
        </w:rPr>
        <w:t>alii</w:t>
      </w:r>
      <w:proofErr w:type="spellEnd"/>
      <w:r w:rsidRPr="00DB35E3">
        <w:rPr>
          <w:rFonts w:cstheme="minorHAnsi"/>
          <w:i/>
          <w:iCs/>
          <w:lang w:val="en-US"/>
        </w:rPr>
        <w:t xml:space="preserve"> </w:t>
      </w:r>
      <w:r w:rsidRPr="00DB35E3">
        <w:rPr>
          <w:rFonts w:cstheme="minorHAnsi"/>
          <w:lang w:val="en-US"/>
        </w:rPr>
        <w:t>(</w:t>
      </w:r>
      <w:proofErr w:type="spellStart"/>
      <w:r w:rsidRPr="00DB35E3">
        <w:rPr>
          <w:rFonts w:cstheme="minorHAnsi"/>
          <w:lang w:val="en-US"/>
        </w:rPr>
        <w:t>éds</w:t>
      </w:r>
      <w:proofErr w:type="spellEnd"/>
      <w:r w:rsidRPr="00DB35E3">
        <w:rPr>
          <w:rFonts w:cstheme="minorHAnsi"/>
          <w:lang w:val="en-US"/>
        </w:rPr>
        <w:t xml:space="preserve">.), La </w:t>
      </w:r>
      <w:proofErr w:type="spellStart"/>
      <w:r w:rsidRPr="00DB35E3">
        <w:rPr>
          <w:rFonts w:cstheme="minorHAnsi"/>
          <w:lang w:val="en-US"/>
        </w:rPr>
        <w:t>Haye</w:t>
      </w:r>
      <w:proofErr w:type="spellEnd"/>
      <w:r w:rsidRPr="00DB35E3">
        <w:rPr>
          <w:rFonts w:cstheme="minorHAnsi"/>
          <w:lang w:val="en-US"/>
        </w:rPr>
        <w:t xml:space="preserve">, 2010, p. 272 </w:t>
      </w:r>
      <w:r w:rsidRPr="00DB35E3">
        <w:rPr>
          <w:rFonts w:cstheme="minorHAnsi"/>
          <w:i/>
          <w:iCs/>
          <w:lang w:val="en-US"/>
        </w:rPr>
        <w:t>et seq.</w:t>
      </w:r>
      <w:r w:rsidRPr="00DB35E3">
        <w:rPr>
          <w:rFonts w:cstheme="minorHAnsi"/>
          <w:lang w:val="en-US"/>
        </w:rPr>
        <w:t>, p. 273</w:t>
      </w:r>
      <w:r>
        <w:rPr>
          <w:rFonts w:cstheme="minorHAnsi"/>
          <w:lang w:val="en-US"/>
        </w:rPr>
        <w:t>.</w:t>
      </w:r>
    </w:p>
  </w:footnote>
  <w:footnote w:id="38">
    <w:p w:rsidR="007D7E69" w:rsidRPr="00F659CA" w:rsidRDefault="007D7E69">
      <w:pPr>
        <w:pStyle w:val="Notedebasdepage"/>
        <w:rPr>
          <w:lang w:val="en-US"/>
        </w:rPr>
      </w:pPr>
      <w:r>
        <w:rPr>
          <w:rStyle w:val="Appelnotedebasdep"/>
        </w:rPr>
        <w:footnoteRef/>
      </w:r>
      <w:r w:rsidRPr="00F659CA">
        <w:rPr>
          <w:lang w:val="en-US"/>
        </w:rPr>
        <w:t xml:space="preserve"> </w:t>
      </w:r>
      <w:proofErr w:type="spellStart"/>
      <w:r w:rsidRPr="00F659CA">
        <w:rPr>
          <w:rFonts w:cstheme="minorHAnsi"/>
          <w:lang w:val="en-US"/>
        </w:rPr>
        <w:t>i</w:t>
      </w:r>
      <w:proofErr w:type="spellEnd"/>
      <w:r w:rsidRPr="00F659CA">
        <w:rPr>
          <w:rFonts w:cstheme="minorHAnsi"/>
          <w:lang w:val="en-US"/>
        </w:rPr>
        <w:t xml:space="preserve"> S. </w:t>
      </w:r>
      <w:proofErr w:type="spellStart"/>
      <w:r w:rsidRPr="00F659CA">
        <w:rPr>
          <w:rFonts w:cstheme="minorHAnsi"/>
          <w:smallCaps/>
          <w:lang w:val="en-US"/>
        </w:rPr>
        <w:t>Pfeiff</w:t>
      </w:r>
      <w:proofErr w:type="spellEnd"/>
      <w:r w:rsidRPr="00F659CA">
        <w:rPr>
          <w:rFonts w:cstheme="minorHAnsi"/>
          <w:lang w:val="en-US"/>
        </w:rPr>
        <w:t xml:space="preserve">, </w:t>
      </w:r>
      <w:r w:rsidRPr="00F659CA">
        <w:rPr>
          <w:rFonts w:cstheme="minorHAnsi"/>
          <w:i/>
          <w:lang w:val="en-US"/>
        </w:rPr>
        <w:t>op. cit.</w:t>
      </w:r>
      <w:r>
        <w:rPr>
          <w:rFonts w:cstheme="minorHAnsi"/>
          <w:lang w:val="en-US"/>
        </w:rPr>
        <w:t>, 127, n° 14.</w:t>
      </w:r>
    </w:p>
  </w:footnote>
  <w:footnote w:id="39">
    <w:p w:rsidR="007D7E69" w:rsidRPr="00DB35E3" w:rsidRDefault="007D7E69" w:rsidP="00AF68ED">
      <w:pPr>
        <w:pStyle w:val="Notedebasdepage"/>
        <w:jc w:val="both"/>
        <w:rPr>
          <w:rFonts w:cstheme="minorHAnsi"/>
        </w:rPr>
      </w:pPr>
      <w:r w:rsidRPr="00DB35E3">
        <w:rPr>
          <w:rStyle w:val="Appelnotedebasdep"/>
          <w:rFonts w:cstheme="minorHAnsi"/>
        </w:rPr>
        <w:footnoteRef/>
      </w:r>
      <w:r w:rsidRPr="00DB35E3">
        <w:rPr>
          <w:rFonts w:cstheme="minorHAnsi"/>
        </w:rPr>
        <w:t xml:space="preserve"> </w:t>
      </w:r>
      <w:r w:rsidRPr="00DB35E3">
        <w:rPr>
          <w:rFonts w:cstheme="minorHAnsi"/>
          <w:smallCaps/>
        </w:rPr>
        <w:t xml:space="preserve">Ch. </w:t>
      </w:r>
      <w:proofErr w:type="spellStart"/>
      <w:r w:rsidRPr="00DB35E3">
        <w:rPr>
          <w:rFonts w:cstheme="minorHAnsi"/>
          <w:smallCaps/>
        </w:rPr>
        <w:t>Perelman</w:t>
      </w:r>
      <w:proofErr w:type="spellEnd"/>
      <w:r w:rsidRPr="00DB35E3">
        <w:rPr>
          <w:rFonts w:cstheme="minorHAnsi"/>
        </w:rPr>
        <w:t xml:space="preserve"> et R</w:t>
      </w:r>
      <w:r w:rsidRPr="00DB35E3">
        <w:rPr>
          <w:rFonts w:cstheme="minorHAnsi"/>
          <w:smallCaps/>
        </w:rPr>
        <w:t>. Vander Elst</w:t>
      </w:r>
      <w:r w:rsidRPr="00DB35E3">
        <w:rPr>
          <w:rFonts w:cstheme="minorHAnsi"/>
        </w:rPr>
        <w:t xml:space="preserve"> (</w:t>
      </w:r>
      <w:proofErr w:type="spellStart"/>
      <w:r w:rsidRPr="00DB35E3">
        <w:rPr>
          <w:rFonts w:cstheme="minorHAnsi"/>
        </w:rPr>
        <w:t>dir</w:t>
      </w:r>
      <w:proofErr w:type="spellEnd"/>
      <w:r w:rsidRPr="00DB35E3">
        <w:rPr>
          <w:rFonts w:cstheme="minorHAnsi"/>
        </w:rPr>
        <w:t xml:space="preserve">.), </w:t>
      </w:r>
      <w:r w:rsidRPr="00DB35E3">
        <w:rPr>
          <w:rFonts w:cstheme="minorHAnsi"/>
          <w:i/>
        </w:rPr>
        <w:t xml:space="preserve">Les notions </w:t>
      </w:r>
      <w:proofErr w:type="spellStart"/>
      <w:r w:rsidRPr="00DB35E3">
        <w:rPr>
          <w:rFonts w:cstheme="minorHAnsi"/>
          <w:i/>
        </w:rPr>
        <w:t>à</w:t>
      </w:r>
      <w:proofErr w:type="spellEnd"/>
      <w:r w:rsidRPr="00DB35E3">
        <w:rPr>
          <w:rFonts w:cstheme="minorHAnsi"/>
          <w:i/>
        </w:rPr>
        <w:t xml:space="preserve"> convenu variable en droit</w:t>
      </w:r>
      <w:r w:rsidRPr="00DB35E3">
        <w:rPr>
          <w:rFonts w:cstheme="minorHAnsi"/>
        </w:rPr>
        <w:t xml:space="preserve">, </w:t>
      </w:r>
      <w:proofErr w:type="spellStart"/>
      <w:r w:rsidRPr="00DB35E3">
        <w:rPr>
          <w:rFonts w:cstheme="minorHAnsi"/>
        </w:rPr>
        <w:t>Bruylant</w:t>
      </w:r>
      <w:proofErr w:type="spellEnd"/>
      <w:r w:rsidRPr="00DB35E3">
        <w:rPr>
          <w:rFonts w:cstheme="minorHAnsi"/>
        </w:rPr>
        <w:t>, 1984, 377.</w:t>
      </w:r>
    </w:p>
  </w:footnote>
  <w:footnote w:id="40">
    <w:p w:rsidR="007D7E69" w:rsidRPr="00DB35E3" w:rsidRDefault="007D7E69" w:rsidP="00AF68ED">
      <w:pPr>
        <w:pStyle w:val="Notedebasdepage"/>
        <w:jc w:val="both"/>
        <w:rPr>
          <w:rFonts w:cstheme="minorHAnsi"/>
        </w:rPr>
      </w:pPr>
      <w:r w:rsidRPr="00DB35E3">
        <w:rPr>
          <w:rStyle w:val="Appelnotedebasdep"/>
          <w:rFonts w:cstheme="minorHAnsi"/>
        </w:rPr>
        <w:footnoteRef/>
      </w:r>
      <w:r w:rsidRPr="00DB35E3">
        <w:rPr>
          <w:rFonts w:cstheme="minorHAnsi"/>
        </w:rPr>
        <w:t xml:space="preserve"> Cette disposition a été adoptée pour donner suite à la jurisprudence </w:t>
      </w:r>
      <w:proofErr w:type="spellStart"/>
      <w:r w:rsidRPr="00DB35E3">
        <w:rPr>
          <w:rFonts w:cstheme="minorHAnsi"/>
          <w:i/>
        </w:rPr>
        <w:t>Grunkin</w:t>
      </w:r>
      <w:proofErr w:type="spellEnd"/>
      <w:r w:rsidRPr="00DB35E3">
        <w:rPr>
          <w:rFonts w:cstheme="minorHAnsi"/>
          <w:i/>
        </w:rPr>
        <w:t xml:space="preserve"> Paul</w:t>
      </w:r>
      <w:r w:rsidRPr="00DB35E3">
        <w:rPr>
          <w:rFonts w:cstheme="minorHAnsi"/>
        </w:rPr>
        <w:t xml:space="preserve"> de la Cour de justice, cons. </w:t>
      </w:r>
      <w:r w:rsidRPr="00DB35E3">
        <w:rPr>
          <w:rFonts w:cstheme="minorHAnsi"/>
          <w:smallCaps/>
          <w:lang w:val="en-US"/>
        </w:rPr>
        <w:t>Ch. Kohler</w:t>
      </w:r>
      <w:r w:rsidRPr="00DB35E3">
        <w:rPr>
          <w:rFonts w:cstheme="minorHAnsi"/>
          <w:lang w:val="en-US"/>
        </w:rPr>
        <w:t>, “</w:t>
      </w:r>
      <w:r w:rsidRPr="00DB35E3">
        <w:rPr>
          <w:rFonts w:cstheme="minorHAnsi"/>
          <w:color w:val="333333"/>
          <w:shd w:val="clear" w:color="auto" w:fill="FFFFFF"/>
          <w:lang w:val="en-US"/>
        </w:rPr>
        <w:t xml:space="preserve">Towards the Recognition of Civil Status in the European Union », </w:t>
      </w:r>
      <w:proofErr w:type="spellStart"/>
      <w:r w:rsidRPr="00DB35E3">
        <w:rPr>
          <w:rFonts w:cstheme="minorHAnsi"/>
          <w:i/>
          <w:iCs/>
          <w:color w:val="333333"/>
          <w:shd w:val="clear" w:color="auto" w:fill="FFFFFF"/>
          <w:lang w:val="en-US"/>
        </w:rPr>
        <w:t>Yearb</w:t>
      </w:r>
      <w:proofErr w:type="spellEnd"/>
      <w:r w:rsidRPr="00DB35E3">
        <w:rPr>
          <w:rFonts w:cstheme="minorHAnsi"/>
          <w:i/>
          <w:iCs/>
          <w:color w:val="333333"/>
          <w:shd w:val="clear" w:color="auto" w:fill="FFFFFF"/>
          <w:lang w:val="en-US"/>
        </w:rPr>
        <w:t xml:space="preserve">. </w:t>
      </w:r>
      <w:proofErr w:type="spellStart"/>
      <w:r w:rsidRPr="00DB35E3">
        <w:rPr>
          <w:rFonts w:cstheme="minorHAnsi"/>
          <w:i/>
          <w:iCs/>
          <w:color w:val="333333"/>
          <w:shd w:val="clear" w:color="auto" w:fill="FFFFFF"/>
        </w:rPr>
        <w:t>Priv</w:t>
      </w:r>
      <w:proofErr w:type="spellEnd"/>
      <w:r w:rsidRPr="00DB35E3">
        <w:rPr>
          <w:rFonts w:cstheme="minorHAnsi"/>
          <w:i/>
          <w:iCs/>
          <w:color w:val="333333"/>
          <w:shd w:val="clear" w:color="auto" w:fill="FFFFFF"/>
        </w:rPr>
        <w:t xml:space="preserve">. </w:t>
      </w:r>
      <w:proofErr w:type="spellStart"/>
      <w:r w:rsidRPr="00DB35E3">
        <w:rPr>
          <w:rFonts w:cstheme="minorHAnsi"/>
          <w:i/>
          <w:iCs/>
          <w:color w:val="333333"/>
          <w:shd w:val="clear" w:color="auto" w:fill="FFFFFF"/>
        </w:rPr>
        <w:t>Intl</w:t>
      </w:r>
      <w:proofErr w:type="spellEnd"/>
      <w:r w:rsidRPr="00DB35E3">
        <w:rPr>
          <w:rFonts w:cstheme="minorHAnsi"/>
          <w:i/>
          <w:iCs/>
          <w:color w:val="333333"/>
          <w:shd w:val="clear" w:color="auto" w:fill="FFFFFF"/>
        </w:rPr>
        <w:t>. L,</w:t>
      </w:r>
      <w:r w:rsidRPr="00DB35E3">
        <w:rPr>
          <w:rFonts w:cstheme="minorHAnsi"/>
          <w:color w:val="333333"/>
          <w:shd w:val="clear" w:color="auto" w:fill="FFFFFF"/>
        </w:rPr>
        <w:t xml:space="preserve"> 2013-14, pp. 13-30, </w:t>
      </w:r>
      <w:proofErr w:type="spellStart"/>
      <w:proofErr w:type="gramStart"/>
      <w:r w:rsidRPr="00DB35E3">
        <w:rPr>
          <w:rFonts w:cstheme="minorHAnsi"/>
          <w:color w:val="333333"/>
          <w:shd w:val="clear" w:color="auto" w:fill="FFFFFF"/>
        </w:rPr>
        <w:t>spéc</w:t>
      </w:r>
      <w:proofErr w:type="spellEnd"/>
      <w:r w:rsidRPr="00DB35E3">
        <w:rPr>
          <w:rFonts w:cstheme="minorHAnsi"/>
          <w:color w:val="333333"/>
          <w:shd w:val="clear" w:color="auto" w:fill="FFFFFF"/>
        </w:rPr>
        <w:t>..</w:t>
      </w:r>
      <w:proofErr w:type="gramEnd"/>
      <w:r w:rsidRPr="00DB35E3">
        <w:rPr>
          <w:rFonts w:cstheme="minorHAnsi"/>
          <w:color w:val="333333"/>
          <w:shd w:val="clear" w:color="auto" w:fill="FFFFFF"/>
        </w:rPr>
        <w:t xml:space="preserve"> 21.</w:t>
      </w:r>
    </w:p>
  </w:footnote>
  <w:footnote w:id="41">
    <w:p w:rsidR="007D7E69" w:rsidRPr="00DB35E3" w:rsidRDefault="007D7E69" w:rsidP="00AF68ED">
      <w:pPr>
        <w:pStyle w:val="Notedebasdepage"/>
        <w:jc w:val="both"/>
        <w:rPr>
          <w:rFonts w:cstheme="minorHAnsi"/>
        </w:rPr>
      </w:pPr>
      <w:r w:rsidRPr="00DB35E3">
        <w:rPr>
          <w:rStyle w:val="Appelnotedebasdep"/>
          <w:rFonts w:cstheme="minorHAnsi"/>
        </w:rPr>
        <w:footnoteRef/>
      </w:r>
      <w:r w:rsidRPr="00DB35E3">
        <w:rPr>
          <w:rFonts w:cstheme="minorHAnsi"/>
        </w:rPr>
        <w:t xml:space="preserve"> Cf. § 10 de l’EGBGB. </w:t>
      </w:r>
      <w:proofErr w:type="spellStart"/>
      <w:r w:rsidRPr="00DB35E3">
        <w:rPr>
          <w:rFonts w:cstheme="minorHAnsi"/>
        </w:rPr>
        <w:t>Voy</w:t>
      </w:r>
      <w:proofErr w:type="spellEnd"/>
      <w:r w:rsidRPr="00DB35E3">
        <w:rPr>
          <w:rFonts w:cstheme="minorHAnsi"/>
        </w:rPr>
        <w:t xml:space="preserve"> les explications de G. </w:t>
      </w:r>
      <w:proofErr w:type="spellStart"/>
      <w:r w:rsidRPr="00DB35E3">
        <w:rPr>
          <w:rFonts w:cstheme="minorHAnsi"/>
          <w:smallCaps/>
        </w:rPr>
        <w:t>Kegel</w:t>
      </w:r>
      <w:proofErr w:type="spellEnd"/>
      <w:r w:rsidRPr="00DB35E3">
        <w:rPr>
          <w:rFonts w:cstheme="minorHAnsi"/>
        </w:rPr>
        <w:t xml:space="preserve"> et K. </w:t>
      </w:r>
      <w:proofErr w:type="spellStart"/>
      <w:r w:rsidRPr="00DB35E3">
        <w:rPr>
          <w:rFonts w:cstheme="minorHAnsi"/>
          <w:smallCaps/>
        </w:rPr>
        <w:t>Schurig</w:t>
      </w:r>
      <w:proofErr w:type="spellEnd"/>
      <w:r w:rsidRPr="00DB35E3">
        <w:rPr>
          <w:rFonts w:cstheme="minorHAnsi"/>
        </w:rPr>
        <w:t xml:space="preserve">, </w:t>
      </w:r>
      <w:r w:rsidRPr="00DB35E3">
        <w:rPr>
          <w:rFonts w:cstheme="minorHAnsi"/>
          <w:i/>
        </w:rPr>
        <w:t xml:space="preserve">Internationales </w:t>
      </w:r>
      <w:proofErr w:type="spellStart"/>
      <w:r w:rsidRPr="00DB35E3">
        <w:rPr>
          <w:rFonts w:cstheme="minorHAnsi"/>
          <w:i/>
        </w:rPr>
        <w:t>Privatrecht</w:t>
      </w:r>
      <w:proofErr w:type="spellEnd"/>
      <w:r w:rsidRPr="00DB35E3">
        <w:rPr>
          <w:rFonts w:cstheme="minorHAnsi"/>
        </w:rPr>
        <w:t>, 8</w:t>
      </w:r>
      <w:r w:rsidRPr="00DB35E3">
        <w:rPr>
          <w:rFonts w:cstheme="minorHAnsi"/>
          <w:vertAlign w:val="superscript"/>
        </w:rPr>
        <w:t>ème</w:t>
      </w:r>
      <w:r w:rsidRPr="00DB35E3">
        <w:rPr>
          <w:rFonts w:cstheme="minorHAnsi"/>
        </w:rPr>
        <w:t xml:space="preserve"> éd., Beck, 2000, p.521.</w:t>
      </w:r>
    </w:p>
  </w:footnote>
  <w:footnote w:id="42">
    <w:p w:rsidR="007D7E69" w:rsidRPr="00DB35E3" w:rsidRDefault="007D7E69" w:rsidP="00AF68ED">
      <w:pPr>
        <w:pStyle w:val="Notedebasdepage"/>
        <w:jc w:val="both"/>
        <w:rPr>
          <w:rFonts w:cstheme="minorHAnsi"/>
          <w:lang w:val="nl-NL"/>
        </w:rPr>
      </w:pPr>
      <w:r w:rsidRPr="00DB35E3">
        <w:rPr>
          <w:rStyle w:val="Appelnotedebasdep"/>
          <w:rFonts w:cstheme="minorHAnsi"/>
        </w:rPr>
        <w:footnoteRef/>
      </w:r>
      <w:r w:rsidRPr="00DB35E3">
        <w:rPr>
          <w:rFonts w:cstheme="minorHAnsi"/>
          <w:lang w:val="nl-NL"/>
        </w:rPr>
        <w:t xml:space="preserve"> Le § 48 EGBGB se </w:t>
      </w:r>
      <w:proofErr w:type="spellStart"/>
      <w:r w:rsidRPr="00DB35E3">
        <w:rPr>
          <w:rFonts w:cstheme="minorHAnsi"/>
          <w:lang w:val="nl-NL"/>
        </w:rPr>
        <w:t>lit</w:t>
      </w:r>
      <w:proofErr w:type="spellEnd"/>
      <w:r w:rsidRPr="00DB35E3">
        <w:rPr>
          <w:rFonts w:cstheme="minorHAnsi"/>
          <w:lang w:val="nl-NL"/>
        </w:rPr>
        <w:t xml:space="preserve"> comme </w:t>
      </w:r>
      <w:proofErr w:type="spellStart"/>
      <w:proofErr w:type="gramStart"/>
      <w:r w:rsidRPr="00DB35E3">
        <w:rPr>
          <w:rFonts w:cstheme="minorHAnsi"/>
          <w:lang w:val="nl-NL"/>
        </w:rPr>
        <w:t>suit</w:t>
      </w:r>
      <w:proofErr w:type="spellEnd"/>
      <w:r w:rsidRPr="00DB35E3">
        <w:rPr>
          <w:rFonts w:cstheme="minorHAnsi"/>
          <w:lang w:val="nl-NL"/>
        </w:rPr>
        <w:t xml:space="preserve">  :</w:t>
      </w:r>
      <w:proofErr w:type="gramEnd"/>
      <w:r w:rsidRPr="00DB35E3">
        <w:rPr>
          <w:rFonts w:cstheme="minorHAnsi"/>
          <w:lang w:val="nl-NL"/>
        </w:rPr>
        <w:t xml:space="preserve"> “</w:t>
      </w:r>
      <w:proofErr w:type="spellStart"/>
      <w:r w:rsidRPr="00DB35E3">
        <w:rPr>
          <w:rFonts w:cstheme="minorHAnsi"/>
          <w:i/>
          <w:lang w:val="nl-NL"/>
        </w:rPr>
        <w:t>Unterliegt</w:t>
      </w:r>
      <w:proofErr w:type="spellEnd"/>
      <w:r w:rsidRPr="00DB35E3">
        <w:rPr>
          <w:rFonts w:cstheme="minorHAnsi"/>
          <w:i/>
          <w:lang w:val="nl-NL"/>
        </w:rPr>
        <w:t xml:space="preserve"> der Name </w:t>
      </w:r>
      <w:proofErr w:type="spellStart"/>
      <w:r w:rsidRPr="00DB35E3">
        <w:rPr>
          <w:rFonts w:cstheme="minorHAnsi"/>
          <w:i/>
          <w:lang w:val="nl-NL"/>
        </w:rPr>
        <w:t>einer</w:t>
      </w:r>
      <w:proofErr w:type="spellEnd"/>
      <w:r w:rsidRPr="00DB35E3">
        <w:rPr>
          <w:rFonts w:cstheme="minorHAnsi"/>
          <w:i/>
          <w:lang w:val="nl-NL"/>
        </w:rPr>
        <w:t xml:space="preserve"> Person </w:t>
      </w:r>
      <w:proofErr w:type="spellStart"/>
      <w:r w:rsidRPr="00DB35E3">
        <w:rPr>
          <w:rFonts w:cstheme="minorHAnsi"/>
          <w:i/>
          <w:lang w:val="nl-NL"/>
        </w:rPr>
        <w:t>deutschem</w:t>
      </w:r>
      <w:proofErr w:type="spellEnd"/>
      <w:r w:rsidRPr="00DB35E3">
        <w:rPr>
          <w:rFonts w:cstheme="minorHAnsi"/>
          <w:i/>
          <w:lang w:val="nl-NL"/>
        </w:rPr>
        <w:t xml:space="preserve"> Recht, </w:t>
      </w:r>
      <w:proofErr w:type="spellStart"/>
      <w:r w:rsidRPr="00DB35E3">
        <w:rPr>
          <w:rFonts w:cstheme="minorHAnsi"/>
          <w:i/>
          <w:lang w:val="nl-NL"/>
        </w:rPr>
        <w:t>so</w:t>
      </w:r>
      <w:proofErr w:type="spellEnd"/>
      <w:r w:rsidRPr="00DB35E3">
        <w:rPr>
          <w:rFonts w:cstheme="minorHAnsi"/>
          <w:i/>
          <w:lang w:val="nl-NL"/>
        </w:rPr>
        <w:t xml:space="preserve"> </w:t>
      </w:r>
      <w:proofErr w:type="spellStart"/>
      <w:r w:rsidRPr="00DB35E3">
        <w:rPr>
          <w:rFonts w:cstheme="minorHAnsi"/>
          <w:i/>
          <w:lang w:val="nl-NL"/>
        </w:rPr>
        <w:t>kann</w:t>
      </w:r>
      <w:proofErr w:type="spellEnd"/>
      <w:r w:rsidRPr="00DB35E3">
        <w:rPr>
          <w:rFonts w:cstheme="minorHAnsi"/>
          <w:i/>
          <w:lang w:val="nl-NL"/>
        </w:rPr>
        <w:t xml:space="preserve"> </w:t>
      </w:r>
      <w:proofErr w:type="spellStart"/>
      <w:r w:rsidRPr="00DB35E3">
        <w:rPr>
          <w:rFonts w:cstheme="minorHAnsi"/>
          <w:i/>
          <w:lang w:val="nl-NL"/>
        </w:rPr>
        <w:t>sie</w:t>
      </w:r>
      <w:proofErr w:type="spellEnd"/>
      <w:r w:rsidRPr="00DB35E3">
        <w:rPr>
          <w:rFonts w:cstheme="minorHAnsi"/>
          <w:i/>
          <w:lang w:val="nl-NL"/>
        </w:rPr>
        <w:t xml:space="preserve"> </w:t>
      </w:r>
      <w:proofErr w:type="spellStart"/>
      <w:r w:rsidRPr="00DB35E3">
        <w:rPr>
          <w:rFonts w:cstheme="minorHAnsi"/>
          <w:i/>
          <w:lang w:val="nl-NL"/>
        </w:rPr>
        <w:t>durch</w:t>
      </w:r>
      <w:proofErr w:type="spellEnd"/>
      <w:r w:rsidRPr="00DB35E3">
        <w:rPr>
          <w:rFonts w:cstheme="minorHAnsi"/>
          <w:i/>
          <w:lang w:val="nl-NL"/>
        </w:rPr>
        <w:t xml:space="preserve"> </w:t>
      </w:r>
      <w:proofErr w:type="spellStart"/>
      <w:r w:rsidRPr="00DB35E3">
        <w:rPr>
          <w:rFonts w:cstheme="minorHAnsi"/>
          <w:i/>
          <w:lang w:val="nl-NL"/>
        </w:rPr>
        <w:t>Erklärung</w:t>
      </w:r>
      <w:proofErr w:type="spellEnd"/>
      <w:r w:rsidRPr="00DB35E3">
        <w:rPr>
          <w:rFonts w:cstheme="minorHAnsi"/>
          <w:i/>
          <w:lang w:val="nl-NL"/>
        </w:rPr>
        <w:t xml:space="preserve"> </w:t>
      </w:r>
      <w:proofErr w:type="spellStart"/>
      <w:r w:rsidRPr="00DB35E3">
        <w:rPr>
          <w:rFonts w:cstheme="minorHAnsi"/>
          <w:i/>
          <w:lang w:val="nl-NL"/>
        </w:rPr>
        <w:t>gegenüber</w:t>
      </w:r>
      <w:proofErr w:type="spellEnd"/>
      <w:r w:rsidRPr="00DB35E3">
        <w:rPr>
          <w:rFonts w:cstheme="minorHAnsi"/>
          <w:i/>
          <w:lang w:val="nl-NL"/>
        </w:rPr>
        <w:t xml:space="preserve"> </w:t>
      </w:r>
      <w:proofErr w:type="spellStart"/>
      <w:r w:rsidRPr="00DB35E3">
        <w:rPr>
          <w:rFonts w:cstheme="minorHAnsi"/>
          <w:i/>
          <w:lang w:val="nl-NL"/>
        </w:rPr>
        <w:t>dem</w:t>
      </w:r>
      <w:proofErr w:type="spellEnd"/>
      <w:r w:rsidRPr="00DB35E3">
        <w:rPr>
          <w:rFonts w:cstheme="minorHAnsi"/>
          <w:i/>
          <w:lang w:val="nl-NL"/>
        </w:rPr>
        <w:t xml:space="preserve"> </w:t>
      </w:r>
      <w:proofErr w:type="spellStart"/>
      <w:r w:rsidRPr="00DB35E3">
        <w:rPr>
          <w:rFonts w:cstheme="minorHAnsi"/>
          <w:i/>
          <w:lang w:val="nl-NL"/>
        </w:rPr>
        <w:t>Standesamt</w:t>
      </w:r>
      <w:proofErr w:type="spellEnd"/>
      <w:r w:rsidRPr="00DB35E3">
        <w:rPr>
          <w:rFonts w:cstheme="minorHAnsi"/>
          <w:i/>
          <w:lang w:val="nl-NL"/>
        </w:rPr>
        <w:t xml:space="preserve"> den </w:t>
      </w:r>
      <w:proofErr w:type="spellStart"/>
      <w:r w:rsidRPr="00DB35E3">
        <w:rPr>
          <w:rFonts w:cstheme="minorHAnsi"/>
          <w:i/>
          <w:lang w:val="nl-NL"/>
        </w:rPr>
        <w:t>während</w:t>
      </w:r>
      <w:proofErr w:type="spellEnd"/>
      <w:r w:rsidRPr="00DB35E3">
        <w:rPr>
          <w:rFonts w:cstheme="minorHAnsi"/>
          <w:i/>
          <w:lang w:val="nl-NL"/>
        </w:rPr>
        <w:t xml:space="preserve"> </w:t>
      </w:r>
      <w:proofErr w:type="spellStart"/>
      <w:r w:rsidRPr="00DB35E3">
        <w:rPr>
          <w:rFonts w:cstheme="minorHAnsi"/>
          <w:i/>
          <w:lang w:val="nl-NL"/>
        </w:rPr>
        <w:t>eines</w:t>
      </w:r>
      <w:proofErr w:type="spellEnd"/>
      <w:r w:rsidRPr="00DB35E3">
        <w:rPr>
          <w:rFonts w:cstheme="minorHAnsi"/>
          <w:i/>
          <w:lang w:val="nl-NL"/>
        </w:rPr>
        <w:t xml:space="preserve"> </w:t>
      </w:r>
      <w:proofErr w:type="spellStart"/>
      <w:r w:rsidRPr="00DB35E3">
        <w:rPr>
          <w:rFonts w:cstheme="minorHAnsi"/>
          <w:i/>
          <w:lang w:val="nl-NL"/>
        </w:rPr>
        <w:t>gewöhnlichen</w:t>
      </w:r>
      <w:proofErr w:type="spellEnd"/>
      <w:r w:rsidRPr="00DB35E3">
        <w:rPr>
          <w:rFonts w:cstheme="minorHAnsi"/>
          <w:i/>
          <w:lang w:val="nl-NL"/>
        </w:rPr>
        <w:t xml:space="preserve"> </w:t>
      </w:r>
      <w:proofErr w:type="spellStart"/>
      <w:r w:rsidRPr="00DB35E3">
        <w:rPr>
          <w:rFonts w:cstheme="minorHAnsi"/>
          <w:i/>
          <w:lang w:val="nl-NL"/>
        </w:rPr>
        <w:t>Aufenthalts</w:t>
      </w:r>
      <w:proofErr w:type="spellEnd"/>
      <w:r w:rsidRPr="00DB35E3">
        <w:rPr>
          <w:rFonts w:cstheme="minorHAnsi"/>
          <w:i/>
          <w:lang w:val="nl-NL"/>
        </w:rPr>
        <w:t xml:space="preserve"> in </w:t>
      </w:r>
      <w:proofErr w:type="spellStart"/>
      <w:r w:rsidRPr="00DB35E3">
        <w:rPr>
          <w:rFonts w:cstheme="minorHAnsi"/>
          <w:i/>
          <w:lang w:val="nl-NL"/>
        </w:rPr>
        <w:t>einem</w:t>
      </w:r>
      <w:proofErr w:type="spellEnd"/>
      <w:r w:rsidRPr="00DB35E3">
        <w:rPr>
          <w:rFonts w:cstheme="minorHAnsi"/>
          <w:i/>
          <w:lang w:val="nl-NL"/>
        </w:rPr>
        <w:t xml:space="preserve"> anderen </w:t>
      </w:r>
      <w:proofErr w:type="spellStart"/>
      <w:r w:rsidRPr="00DB35E3">
        <w:rPr>
          <w:rFonts w:cstheme="minorHAnsi"/>
          <w:i/>
          <w:lang w:val="nl-NL"/>
        </w:rPr>
        <w:t>Mitgliedstaat</w:t>
      </w:r>
      <w:proofErr w:type="spellEnd"/>
      <w:r w:rsidRPr="00DB35E3">
        <w:rPr>
          <w:rFonts w:cstheme="minorHAnsi"/>
          <w:i/>
          <w:lang w:val="nl-NL"/>
        </w:rPr>
        <w:t xml:space="preserve"> der </w:t>
      </w:r>
      <w:proofErr w:type="spellStart"/>
      <w:r w:rsidRPr="00DB35E3">
        <w:rPr>
          <w:rFonts w:cstheme="minorHAnsi"/>
          <w:i/>
          <w:lang w:val="nl-NL"/>
        </w:rPr>
        <w:t>Europäischen</w:t>
      </w:r>
      <w:proofErr w:type="spellEnd"/>
      <w:r w:rsidRPr="00DB35E3">
        <w:rPr>
          <w:rFonts w:cstheme="minorHAnsi"/>
          <w:i/>
          <w:lang w:val="nl-NL"/>
        </w:rPr>
        <w:t xml:space="preserve"> Union </w:t>
      </w:r>
      <w:proofErr w:type="spellStart"/>
      <w:r w:rsidRPr="00DB35E3">
        <w:rPr>
          <w:rFonts w:cstheme="minorHAnsi"/>
          <w:i/>
          <w:lang w:val="nl-NL"/>
        </w:rPr>
        <w:t>erworbene</w:t>
      </w:r>
      <w:proofErr w:type="spellEnd"/>
      <w:r w:rsidRPr="00DB35E3">
        <w:rPr>
          <w:rFonts w:cstheme="minorHAnsi"/>
          <w:i/>
          <w:lang w:val="nl-NL"/>
        </w:rPr>
        <w:t xml:space="preserve"> </w:t>
      </w:r>
      <w:proofErr w:type="spellStart"/>
      <w:r w:rsidRPr="00DB35E3">
        <w:rPr>
          <w:rFonts w:cstheme="minorHAnsi"/>
          <w:i/>
          <w:lang w:val="nl-NL"/>
        </w:rPr>
        <w:t>und</w:t>
      </w:r>
      <w:proofErr w:type="spellEnd"/>
      <w:r w:rsidRPr="00DB35E3">
        <w:rPr>
          <w:rFonts w:cstheme="minorHAnsi"/>
          <w:i/>
          <w:lang w:val="nl-NL"/>
        </w:rPr>
        <w:t xml:space="preserve"> dort in </w:t>
      </w:r>
      <w:proofErr w:type="spellStart"/>
      <w:r w:rsidRPr="00DB35E3">
        <w:rPr>
          <w:rFonts w:cstheme="minorHAnsi"/>
          <w:i/>
          <w:lang w:val="nl-NL"/>
        </w:rPr>
        <w:t>ein</w:t>
      </w:r>
      <w:proofErr w:type="spellEnd"/>
      <w:r w:rsidRPr="00DB35E3">
        <w:rPr>
          <w:rFonts w:cstheme="minorHAnsi"/>
          <w:i/>
          <w:lang w:val="nl-NL"/>
        </w:rPr>
        <w:t xml:space="preserve"> </w:t>
      </w:r>
      <w:proofErr w:type="spellStart"/>
      <w:r w:rsidRPr="00DB35E3">
        <w:rPr>
          <w:rFonts w:cstheme="minorHAnsi"/>
          <w:i/>
          <w:lang w:val="nl-NL"/>
        </w:rPr>
        <w:t>Personenstandregister</w:t>
      </w:r>
      <w:proofErr w:type="spellEnd"/>
      <w:r w:rsidRPr="00DB35E3">
        <w:rPr>
          <w:rFonts w:cstheme="minorHAnsi"/>
          <w:i/>
          <w:lang w:val="nl-NL"/>
        </w:rPr>
        <w:t xml:space="preserve"> </w:t>
      </w:r>
      <w:proofErr w:type="spellStart"/>
      <w:r w:rsidRPr="00DB35E3">
        <w:rPr>
          <w:rFonts w:cstheme="minorHAnsi"/>
          <w:i/>
          <w:lang w:val="nl-NL"/>
        </w:rPr>
        <w:t>eingetragenen</w:t>
      </w:r>
      <w:proofErr w:type="spellEnd"/>
      <w:r w:rsidRPr="00DB35E3">
        <w:rPr>
          <w:rFonts w:cstheme="minorHAnsi"/>
          <w:i/>
          <w:lang w:val="nl-NL"/>
        </w:rPr>
        <w:t xml:space="preserve"> Namen </w:t>
      </w:r>
      <w:proofErr w:type="spellStart"/>
      <w:r w:rsidRPr="00DB35E3">
        <w:rPr>
          <w:rFonts w:cstheme="minorHAnsi"/>
          <w:i/>
          <w:lang w:val="nl-NL"/>
        </w:rPr>
        <w:t>wählen</w:t>
      </w:r>
      <w:proofErr w:type="spellEnd"/>
      <w:r w:rsidRPr="00DB35E3">
        <w:rPr>
          <w:rFonts w:cstheme="minorHAnsi"/>
          <w:i/>
          <w:lang w:val="nl-NL"/>
        </w:rPr>
        <w:t xml:space="preserve">, </w:t>
      </w:r>
      <w:proofErr w:type="spellStart"/>
      <w:r w:rsidRPr="00DB35E3">
        <w:rPr>
          <w:rFonts w:cstheme="minorHAnsi"/>
          <w:i/>
          <w:lang w:val="nl-NL"/>
        </w:rPr>
        <w:t>sofern</w:t>
      </w:r>
      <w:proofErr w:type="spellEnd"/>
      <w:r w:rsidRPr="00DB35E3">
        <w:rPr>
          <w:rFonts w:cstheme="minorHAnsi"/>
          <w:i/>
          <w:lang w:val="nl-NL"/>
        </w:rPr>
        <w:t xml:space="preserve"> dies nicht </w:t>
      </w:r>
      <w:proofErr w:type="spellStart"/>
      <w:r w:rsidRPr="00DB35E3">
        <w:rPr>
          <w:rFonts w:cstheme="minorHAnsi"/>
          <w:i/>
          <w:lang w:val="nl-NL"/>
        </w:rPr>
        <w:t>mit</w:t>
      </w:r>
      <w:proofErr w:type="spellEnd"/>
      <w:r w:rsidRPr="00DB35E3">
        <w:rPr>
          <w:rFonts w:cstheme="minorHAnsi"/>
          <w:i/>
          <w:lang w:val="nl-NL"/>
        </w:rPr>
        <w:t xml:space="preserve"> </w:t>
      </w:r>
      <w:proofErr w:type="spellStart"/>
      <w:r w:rsidRPr="00DB35E3">
        <w:rPr>
          <w:rFonts w:cstheme="minorHAnsi"/>
          <w:i/>
          <w:lang w:val="nl-NL"/>
        </w:rPr>
        <w:t>wesentlichen</w:t>
      </w:r>
      <w:proofErr w:type="spellEnd"/>
      <w:r w:rsidRPr="00DB35E3">
        <w:rPr>
          <w:rFonts w:cstheme="minorHAnsi"/>
          <w:i/>
          <w:lang w:val="nl-NL"/>
        </w:rPr>
        <w:t xml:space="preserve"> </w:t>
      </w:r>
      <w:proofErr w:type="spellStart"/>
      <w:r w:rsidRPr="00DB35E3">
        <w:rPr>
          <w:rFonts w:cstheme="minorHAnsi"/>
          <w:i/>
          <w:lang w:val="nl-NL"/>
        </w:rPr>
        <w:t>Grundsätzen</w:t>
      </w:r>
      <w:proofErr w:type="spellEnd"/>
      <w:r w:rsidRPr="00DB35E3">
        <w:rPr>
          <w:rFonts w:cstheme="minorHAnsi"/>
          <w:i/>
          <w:lang w:val="nl-NL"/>
        </w:rPr>
        <w:t xml:space="preserve"> des </w:t>
      </w:r>
      <w:proofErr w:type="spellStart"/>
      <w:r w:rsidRPr="00DB35E3">
        <w:rPr>
          <w:rFonts w:cstheme="minorHAnsi"/>
          <w:i/>
          <w:lang w:val="nl-NL"/>
        </w:rPr>
        <w:t>deutschen</w:t>
      </w:r>
      <w:proofErr w:type="spellEnd"/>
      <w:r w:rsidRPr="00DB35E3">
        <w:rPr>
          <w:rFonts w:cstheme="minorHAnsi"/>
          <w:i/>
          <w:lang w:val="nl-NL"/>
        </w:rPr>
        <w:t xml:space="preserve"> Rechts </w:t>
      </w:r>
      <w:proofErr w:type="spellStart"/>
      <w:r w:rsidRPr="00DB35E3">
        <w:rPr>
          <w:rFonts w:cstheme="minorHAnsi"/>
          <w:i/>
          <w:lang w:val="nl-NL"/>
        </w:rPr>
        <w:t>offensichtlicht</w:t>
      </w:r>
      <w:proofErr w:type="spellEnd"/>
      <w:r w:rsidRPr="00DB35E3">
        <w:rPr>
          <w:rFonts w:cstheme="minorHAnsi"/>
          <w:i/>
          <w:lang w:val="nl-NL"/>
        </w:rPr>
        <w:t xml:space="preserve"> </w:t>
      </w:r>
      <w:proofErr w:type="spellStart"/>
      <w:r w:rsidRPr="00DB35E3">
        <w:rPr>
          <w:rFonts w:cstheme="minorHAnsi"/>
          <w:i/>
          <w:lang w:val="nl-NL"/>
        </w:rPr>
        <w:t>unvereinbar</w:t>
      </w:r>
      <w:proofErr w:type="spellEnd"/>
      <w:r w:rsidRPr="00DB35E3">
        <w:rPr>
          <w:rFonts w:cstheme="minorHAnsi"/>
          <w:i/>
          <w:lang w:val="nl-NL"/>
        </w:rPr>
        <w:t xml:space="preserve"> </w:t>
      </w:r>
      <w:proofErr w:type="spellStart"/>
      <w:r w:rsidRPr="00DB35E3">
        <w:rPr>
          <w:rFonts w:cstheme="minorHAnsi"/>
          <w:i/>
          <w:lang w:val="nl-NL"/>
        </w:rPr>
        <w:t>ist</w:t>
      </w:r>
      <w:proofErr w:type="spellEnd"/>
      <w:r w:rsidRPr="00DB35E3">
        <w:rPr>
          <w:rFonts w:cstheme="minorHAnsi"/>
          <w:lang w:val="nl-NL"/>
        </w:rPr>
        <w:t>”.</w:t>
      </w:r>
    </w:p>
  </w:footnote>
  <w:footnote w:id="43">
    <w:p w:rsidR="007D7E69" w:rsidRPr="00DB35E3" w:rsidRDefault="007D7E69" w:rsidP="00AF68ED">
      <w:pPr>
        <w:pStyle w:val="Notedebasdepage"/>
        <w:jc w:val="both"/>
        <w:rPr>
          <w:rFonts w:cstheme="minorHAnsi"/>
        </w:rPr>
      </w:pPr>
      <w:r w:rsidRPr="00DB35E3">
        <w:rPr>
          <w:rStyle w:val="Appelnotedebasdep"/>
          <w:rFonts w:cstheme="minorHAnsi"/>
        </w:rPr>
        <w:footnoteRef/>
      </w:r>
      <w:r w:rsidRPr="00DB35E3">
        <w:rPr>
          <w:rFonts w:cstheme="minorHAnsi"/>
        </w:rPr>
        <w:t xml:space="preserve"> Arrêt </w:t>
      </w:r>
      <w:proofErr w:type="spellStart"/>
      <w:r w:rsidRPr="00DB35E3">
        <w:rPr>
          <w:rFonts w:cstheme="minorHAnsi"/>
          <w:i/>
        </w:rPr>
        <w:t>Bogendorff</w:t>
      </w:r>
      <w:proofErr w:type="spellEnd"/>
      <w:r w:rsidRPr="00DB35E3">
        <w:rPr>
          <w:rFonts w:cstheme="minorHAnsi"/>
        </w:rPr>
        <w:t>, précité, point 53.</w:t>
      </w:r>
    </w:p>
  </w:footnote>
  <w:footnote w:id="44">
    <w:p w:rsidR="007D7E69" w:rsidRPr="00DB35E3" w:rsidRDefault="007D7E69" w:rsidP="00AF68ED">
      <w:pPr>
        <w:pStyle w:val="Notedebasdepage"/>
        <w:jc w:val="both"/>
        <w:rPr>
          <w:rFonts w:cstheme="minorHAnsi"/>
        </w:rPr>
      </w:pPr>
      <w:r w:rsidRPr="00DB35E3">
        <w:rPr>
          <w:rStyle w:val="Appelnotedebasdep"/>
          <w:rFonts w:cstheme="minorHAnsi"/>
        </w:rPr>
        <w:footnoteRef/>
      </w:r>
      <w:r w:rsidRPr="00DB35E3">
        <w:rPr>
          <w:rFonts w:cstheme="minorHAnsi"/>
        </w:rPr>
        <w:t xml:space="preserve"> Convention sur la reconnaissance des partenariats enregistrés, ouverte à la signature à Munich le 5 septembre 2007.</w:t>
      </w:r>
    </w:p>
  </w:footnote>
  <w:footnote w:id="45">
    <w:p w:rsidR="007D7E69" w:rsidRPr="00DB35E3" w:rsidRDefault="007D7E69" w:rsidP="00AF68ED">
      <w:pPr>
        <w:pStyle w:val="Notedebasdepage"/>
        <w:jc w:val="both"/>
        <w:rPr>
          <w:rFonts w:cstheme="minorHAnsi"/>
          <w:lang w:val="nl-NL"/>
        </w:rPr>
      </w:pPr>
      <w:r w:rsidRPr="00DB35E3">
        <w:rPr>
          <w:rStyle w:val="Appelnotedebasdep"/>
          <w:rFonts w:cstheme="minorHAnsi"/>
        </w:rPr>
        <w:footnoteRef/>
      </w:r>
      <w:r w:rsidRPr="00DB35E3">
        <w:rPr>
          <w:rFonts w:cstheme="minorHAnsi"/>
        </w:rPr>
        <w:t xml:space="preserve"> La Convention CIEC se démarque sur ce point du modèle que constitue la Convention de La Haye du 14 mars 1978 sur la célébration et la reconnaissance de la validité des mariages. L’article 11 de cette Convention, qui nuance quelque peu le postulat de la reconnaissance posé par l’article 9, ne prévoit de motifs de refus de reconnaissance qu’en lien avec les conditions substantielles du mariage – âge minimum, degré de parenté ou encore bigamie. Aucun motif de refus n’est prévu en lien avec la compétence exercée par l’Etat de célébration. La Convention a été critiquée sur ce point, cf. par ex. H. </w:t>
      </w:r>
      <w:proofErr w:type="spellStart"/>
      <w:r w:rsidRPr="00DB35E3">
        <w:rPr>
          <w:rFonts w:cstheme="minorHAnsi"/>
        </w:rPr>
        <w:t>Batiffol</w:t>
      </w:r>
      <w:proofErr w:type="spellEnd"/>
      <w:r w:rsidRPr="00DB35E3">
        <w:rPr>
          <w:rFonts w:cstheme="minorHAnsi"/>
        </w:rPr>
        <w:t xml:space="preserve">, Débat, in </w:t>
      </w:r>
      <w:proofErr w:type="spellStart"/>
      <w:proofErr w:type="gramStart"/>
      <w:r w:rsidRPr="00DB35E3">
        <w:rPr>
          <w:rFonts w:cstheme="minorHAnsi"/>
          <w:smallCaps/>
        </w:rPr>
        <w:t>Ch.Roehrich</w:t>
      </w:r>
      <w:proofErr w:type="spellEnd"/>
      <w:proofErr w:type="gramEnd"/>
      <w:r w:rsidRPr="00DB35E3">
        <w:rPr>
          <w:rFonts w:cstheme="minorHAnsi"/>
        </w:rPr>
        <w:t>, « La Convention de La Haye du 1</w:t>
      </w:r>
      <w:r w:rsidRPr="00DB35E3">
        <w:rPr>
          <w:rFonts w:cstheme="minorHAnsi"/>
          <w:vertAlign w:val="superscript"/>
        </w:rPr>
        <w:t>er</w:t>
      </w:r>
      <w:r w:rsidRPr="00DB35E3">
        <w:rPr>
          <w:rFonts w:cstheme="minorHAnsi"/>
        </w:rPr>
        <w:t xml:space="preserve"> octobre 1977 sur la célébration et la reconnaissance de la validité des mariages », </w:t>
      </w:r>
      <w:r w:rsidRPr="00DB35E3">
        <w:rPr>
          <w:rFonts w:cstheme="minorHAnsi"/>
          <w:i/>
        </w:rPr>
        <w:t xml:space="preserve">Travaux comité </w:t>
      </w:r>
      <w:proofErr w:type="spellStart"/>
      <w:r w:rsidRPr="00DB35E3">
        <w:rPr>
          <w:rFonts w:cstheme="minorHAnsi"/>
          <w:i/>
        </w:rPr>
        <w:t>fr.</w:t>
      </w:r>
      <w:proofErr w:type="spellEnd"/>
      <w:r w:rsidRPr="00DB35E3">
        <w:rPr>
          <w:rFonts w:cstheme="minorHAnsi"/>
          <w:i/>
        </w:rPr>
        <w:t xml:space="preserve"> </w:t>
      </w:r>
      <w:proofErr w:type="spellStart"/>
      <w:r w:rsidRPr="00DB35E3">
        <w:rPr>
          <w:rFonts w:cstheme="minorHAnsi"/>
          <w:i/>
        </w:rPr>
        <w:t>dip</w:t>
      </w:r>
      <w:proofErr w:type="spellEnd"/>
      <w:r w:rsidRPr="00DB35E3">
        <w:rPr>
          <w:rFonts w:cstheme="minorHAnsi"/>
        </w:rPr>
        <w:t xml:space="preserve">, 1977, pp. 15-16. M. </w:t>
      </w:r>
      <w:proofErr w:type="spellStart"/>
      <w:r w:rsidRPr="00DB35E3">
        <w:rPr>
          <w:rFonts w:cstheme="minorHAnsi"/>
        </w:rPr>
        <w:t>Batiffol</w:t>
      </w:r>
      <w:proofErr w:type="spellEnd"/>
      <w:r w:rsidRPr="00DB35E3">
        <w:rPr>
          <w:rFonts w:cstheme="minorHAnsi"/>
        </w:rPr>
        <w:t xml:space="preserve"> évoquait dans ce contexte le fait que le lieu de célébration du mariage peut être « fortuit » et qu’il pouvait dès lors aussi être « frauduleux ». L’articulation entre les articles 9 et 11 de la Convention a donné du fil à retordre aux interprètes, qui s’interrogent toujours sur la véritable nature du mécanisme, entre règle de conflit de lois et mécanisme de reconnaissance. </w:t>
      </w:r>
      <w:r w:rsidRPr="00DB35E3">
        <w:rPr>
          <w:rFonts w:cstheme="minorHAnsi"/>
          <w:lang w:val="nl-NL"/>
        </w:rPr>
        <w:t xml:space="preserve">Cf. </w:t>
      </w:r>
      <w:proofErr w:type="spellStart"/>
      <w:r w:rsidRPr="00DB35E3">
        <w:rPr>
          <w:rFonts w:cstheme="minorHAnsi"/>
          <w:smallCaps/>
          <w:lang w:val="nl-NL"/>
        </w:rPr>
        <w:t>Ch</w:t>
      </w:r>
      <w:proofErr w:type="spellEnd"/>
      <w:r w:rsidRPr="00DB35E3">
        <w:rPr>
          <w:rFonts w:cstheme="minorHAnsi"/>
          <w:smallCaps/>
          <w:lang w:val="nl-NL"/>
        </w:rPr>
        <w:t xml:space="preserve">. </w:t>
      </w:r>
      <w:proofErr w:type="spellStart"/>
      <w:r w:rsidRPr="00DB35E3">
        <w:rPr>
          <w:rFonts w:cstheme="minorHAnsi"/>
          <w:smallCaps/>
          <w:lang w:val="nl-NL"/>
        </w:rPr>
        <w:t>von</w:t>
      </w:r>
      <w:proofErr w:type="spellEnd"/>
      <w:r w:rsidRPr="00DB35E3">
        <w:rPr>
          <w:rFonts w:cstheme="minorHAnsi"/>
          <w:smallCaps/>
          <w:lang w:val="nl-NL"/>
        </w:rPr>
        <w:t xml:space="preserve"> Bar</w:t>
      </w:r>
      <w:r w:rsidRPr="00DB35E3">
        <w:rPr>
          <w:rFonts w:cstheme="minorHAnsi"/>
          <w:lang w:val="nl-NL"/>
        </w:rPr>
        <w:t xml:space="preserve">, « Die </w:t>
      </w:r>
      <w:proofErr w:type="spellStart"/>
      <w:r w:rsidRPr="00DB35E3">
        <w:rPr>
          <w:rFonts w:cstheme="minorHAnsi"/>
          <w:lang w:val="nl-NL"/>
        </w:rPr>
        <w:t>eherechtlichen</w:t>
      </w:r>
      <w:proofErr w:type="spellEnd"/>
      <w:r w:rsidRPr="00DB35E3">
        <w:rPr>
          <w:rFonts w:cstheme="minorHAnsi"/>
          <w:lang w:val="nl-NL"/>
        </w:rPr>
        <w:t xml:space="preserve"> </w:t>
      </w:r>
      <w:proofErr w:type="spellStart"/>
      <w:r w:rsidRPr="00DB35E3">
        <w:rPr>
          <w:rFonts w:cstheme="minorHAnsi"/>
          <w:lang w:val="nl-NL"/>
        </w:rPr>
        <w:t>Koventionen</w:t>
      </w:r>
      <w:proofErr w:type="spellEnd"/>
      <w:r w:rsidRPr="00DB35E3">
        <w:rPr>
          <w:rFonts w:cstheme="minorHAnsi"/>
          <w:lang w:val="nl-NL"/>
        </w:rPr>
        <w:t xml:space="preserve"> der </w:t>
      </w:r>
      <w:proofErr w:type="spellStart"/>
      <w:r w:rsidRPr="00DB35E3">
        <w:rPr>
          <w:rFonts w:cstheme="minorHAnsi"/>
          <w:lang w:val="nl-NL"/>
        </w:rPr>
        <w:t>Haager</w:t>
      </w:r>
      <w:proofErr w:type="spellEnd"/>
      <w:r w:rsidRPr="00DB35E3">
        <w:rPr>
          <w:rFonts w:cstheme="minorHAnsi"/>
          <w:lang w:val="nl-NL"/>
        </w:rPr>
        <w:t xml:space="preserve"> </w:t>
      </w:r>
      <w:proofErr w:type="spellStart"/>
      <w:r w:rsidRPr="00DB35E3">
        <w:rPr>
          <w:rFonts w:cstheme="minorHAnsi"/>
          <w:lang w:val="nl-NL"/>
        </w:rPr>
        <w:t>Konferenz</w:t>
      </w:r>
      <w:proofErr w:type="spellEnd"/>
      <w:r w:rsidRPr="00DB35E3">
        <w:rPr>
          <w:rFonts w:cstheme="minorHAnsi"/>
          <w:lang w:val="nl-NL"/>
        </w:rPr>
        <w:t xml:space="preserve">(en) », </w:t>
      </w:r>
      <w:proofErr w:type="spellStart"/>
      <w:r w:rsidRPr="00DB35E3">
        <w:rPr>
          <w:rFonts w:cstheme="minorHAnsi"/>
          <w:i/>
          <w:lang w:val="nl-NL"/>
        </w:rPr>
        <w:t>RabelsZ</w:t>
      </w:r>
      <w:proofErr w:type="spellEnd"/>
      <w:r w:rsidRPr="00DB35E3">
        <w:rPr>
          <w:rFonts w:cstheme="minorHAnsi"/>
          <w:i/>
          <w:lang w:val="nl-NL"/>
        </w:rPr>
        <w:t>.</w:t>
      </w:r>
      <w:r w:rsidRPr="00DB35E3">
        <w:rPr>
          <w:rFonts w:cstheme="minorHAnsi"/>
          <w:lang w:val="nl-NL"/>
        </w:rPr>
        <w:t xml:space="preserve">, 1993, pp. 63-121, </w:t>
      </w:r>
      <w:proofErr w:type="spellStart"/>
      <w:r w:rsidRPr="00DB35E3">
        <w:rPr>
          <w:rFonts w:cstheme="minorHAnsi"/>
          <w:lang w:val="nl-NL"/>
        </w:rPr>
        <w:t>spéc</w:t>
      </w:r>
      <w:proofErr w:type="spellEnd"/>
      <w:r w:rsidRPr="00DB35E3">
        <w:rPr>
          <w:rFonts w:cstheme="minorHAnsi"/>
          <w:lang w:val="nl-NL"/>
        </w:rPr>
        <w:t>. pp. 104-105.</w:t>
      </w:r>
    </w:p>
  </w:footnote>
  <w:footnote w:id="46">
    <w:p w:rsidR="007D7E69" w:rsidRPr="00DB35E3" w:rsidRDefault="007D7E69" w:rsidP="00AF68ED">
      <w:pPr>
        <w:pStyle w:val="Notedebasdepage"/>
        <w:jc w:val="both"/>
        <w:rPr>
          <w:rFonts w:cstheme="minorHAnsi"/>
        </w:rPr>
      </w:pPr>
      <w:r w:rsidRPr="00DB35E3">
        <w:rPr>
          <w:rStyle w:val="Appelnotedebasdep"/>
          <w:rFonts w:cstheme="minorHAnsi"/>
        </w:rPr>
        <w:footnoteRef/>
      </w:r>
      <w:r w:rsidRPr="00DB35E3">
        <w:rPr>
          <w:rFonts w:cstheme="minorHAnsi"/>
        </w:rPr>
        <w:t xml:space="preserve"> </w:t>
      </w:r>
      <w:r w:rsidRPr="00DB35E3">
        <w:rPr>
          <w:rFonts w:cstheme="minorHAnsi"/>
          <w:smallCaps/>
        </w:rPr>
        <w:t>G. Goldstein</w:t>
      </w:r>
      <w:r w:rsidRPr="00DB35E3">
        <w:rPr>
          <w:rFonts w:cstheme="minorHAnsi"/>
        </w:rPr>
        <w:t xml:space="preserve"> et </w:t>
      </w:r>
      <w:r w:rsidRPr="00DB35E3">
        <w:rPr>
          <w:rFonts w:cstheme="minorHAnsi"/>
          <w:smallCaps/>
        </w:rPr>
        <w:t xml:space="preserve">H. </w:t>
      </w:r>
      <w:proofErr w:type="spellStart"/>
      <w:r w:rsidRPr="00DB35E3">
        <w:rPr>
          <w:rFonts w:cstheme="minorHAnsi"/>
          <w:smallCaps/>
        </w:rPr>
        <w:t>Muir</w:t>
      </w:r>
      <w:proofErr w:type="spellEnd"/>
      <w:r w:rsidRPr="00DB35E3">
        <w:rPr>
          <w:rFonts w:cstheme="minorHAnsi"/>
          <w:smallCaps/>
        </w:rPr>
        <w:t xml:space="preserve"> Watt</w:t>
      </w:r>
      <w:r w:rsidRPr="00DB35E3">
        <w:rPr>
          <w:rFonts w:cstheme="minorHAnsi"/>
        </w:rPr>
        <w:t xml:space="preserve">, « La méthode de la reconnaissance à la lueur de la Convention de Munich du 5 septembre 2007 sur la reconnaissance des partenariats enregistrés », </w:t>
      </w:r>
      <w:r w:rsidRPr="00DB35E3">
        <w:rPr>
          <w:rFonts w:cstheme="minorHAnsi"/>
          <w:i/>
        </w:rPr>
        <w:t>J.D.I.</w:t>
      </w:r>
      <w:r w:rsidRPr="00DB35E3">
        <w:rPr>
          <w:rFonts w:cstheme="minorHAnsi"/>
        </w:rPr>
        <w:t>, 2010, p. 1085, p. 1098, n° 31. Ces auteurs voient dans la règle une « règle de conflit implicite » de nature alternative, « soumettant la validité quant au fond du partenariat à la loi de la résidence habituelle ou de la nationalité de l’un des partenaires ».</w:t>
      </w:r>
    </w:p>
  </w:footnote>
  <w:footnote w:id="47">
    <w:p w:rsidR="007D7E69" w:rsidRPr="00DB35E3" w:rsidRDefault="007D7E69" w:rsidP="00AF68ED">
      <w:pPr>
        <w:spacing w:after="0"/>
        <w:jc w:val="both"/>
        <w:rPr>
          <w:rFonts w:cstheme="minorHAnsi"/>
          <w:sz w:val="20"/>
          <w:szCs w:val="20"/>
          <w:lang w:val="fr-FR"/>
        </w:rPr>
      </w:pPr>
      <w:r w:rsidRPr="00DB35E3">
        <w:rPr>
          <w:rStyle w:val="Appelnotedebasdep"/>
          <w:rFonts w:cstheme="minorHAnsi"/>
          <w:sz w:val="20"/>
          <w:szCs w:val="20"/>
        </w:rPr>
        <w:footnoteRef/>
      </w:r>
      <w:r w:rsidRPr="00DB35E3">
        <w:rPr>
          <w:rFonts w:cstheme="minorHAnsi"/>
          <w:sz w:val="20"/>
          <w:szCs w:val="20"/>
        </w:rPr>
        <w:t xml:space="preserve"> Sur les</w:t>
      </w:r>
      <w:proofErr w:type="gramStart"/>
      <w:r w:rsidRPr="00DB35E3">
        <w:rPr>
          <w:rFonts w:cstheme="minorHAnsi"/>
          <w:sz w:val="20"/>
          <w:szCs w:val="20"/>
        </w:rPr>
        <w:t xml:space="preserve"> «mécanismes</w:t>
      </w:r>
      <w:proofErr w:type="gramEnd"/>
      <w:r w:rsidRPr="00DB35E3">
        <w:rPr>
          <w:rFonts w:cstheme="minorHAnsi"/>
          <w:sz w:val="20"/>
          <w:szCs w:val="20"/>
        </w:rPr>
        <w:t xml:space="preserve"> alternatifs » mis en place pour se substituer à la fraude à la loi en matière familiale, cons. </w:t>
      </w:r>
      <w:proofErr w:type="gramStart"/>
      <w:r w:rsidRPr="00DB35E3">
        <w:rPr>
          <w:rFonts w:cstheme="minorHAnsi"/>
          <w:sz w:val="20"/>
          <w:szCs w:val="20"/>
        </w:rPr>
        <w:t>nos</w:t>
      </w:r>
      <w:proofErr w:type="gramEnd"/>
      <w:r w:rsidRPr="00DB35E3">
        <w:rPr>
          <w:rFonts w:cstheme="minorHAnsi"/>
          <w:sz w:val="20"/>
          <w:szCs w:val="20"/>
        </w:rPr>
        <w:t xml:space="preserve"> observations in </w:t>
      </w:r>
      <w:r w:rsidRPr="00DB35E3">
        <w:rPr>
          <w:rFonts w:cstheme="minorHAnsi"/>
          <w:sz w:val="20"/>
          <w:szCs w:val="20"/>
          <w:lang w:val="fr-FR"/>
        </w:rPr>
        <w:t xml:space="preserve">« Fraude et autonomie de la volonté dans les relations familiales internationales », in </w:t>
      </w:r>
      <w:r w:rsidRPr="00DB35E3">
        <w:rPr>
          <w:rFonts w:cstheme="minorHAnsi"/>
          <w:i/>
          <w:sz w:val="20"/>
          <w:szCs w:val="20"/>
          <w:lang w:val="fr-FR"/>
        </w:rPr>
        <w:t>L’autonomie de la volonté dans les relations familiales internationales</w:t>
      </w:r>
      <w:r w:rsidRPr="00DB35E3">
        <w:rPr>
          <w:rFonts w:cstheme="minorHAnsi"/>
          <w:sz w:val="20"/>
          <w:szCs w:val="20"/>
          <w:lang w:val="fr-FR"/>
        </w:rPr>
        <w:t xml:space="preserve">, H. </w:t>
      </w:r>
      <w:proofErr w:type="spellStart"/>
      <w:r w:rsidRPr="00DB35E3">
        <w:rPr>
          <w:rFonts w:cstheme="minorHAnsi"/>
          <w:smallCaps/>
          <w:sz w:val="20"/>
          <w:szCs w:val="20"/>
          <w:lang w:val="fr-FR"/>
        </w:rPr>
        <w:t>Fulchiron</w:t>
      </w:r>
      <w:proofErr w:type="spellEnd"/>
      <w:r w:rsidRPr="00DB35E3">
        <w:rPr>
          <w:rFonts w:cstheme="minorHAnsi"/>
          <w:sz w:val="20"/>
          <w:szCs w:val="20"/>
          <w:lang w:val="fr-FR"/>
        </w:rPr>
        <w:t xml:space="preserve">, A. </w:t>
      </w:r>
      <w:proofErr w:type="spellStart"/>
      <w:r w:rsidRPr="00DB35E3">
        <w:rPr>
          <w:rFonts w:cstheme="minorHAnsi"/>
          <w:smallCaps/>
          <w:sz w:val="20"/>
          <w:szCs w:val="20"/>
          <w:lang w:val="fr-FR"/>
        </w:rPr>
        <w:t>Panet</w:t>
      </w:r>
      <w:proofErr w:type="spellEnd"/>
      <w:r w:rsidRPr="00DB35E3">
        <w:rPr>
          <w:rFonts w:cstheme="minorHAnsi"/>
          <w:smallCaps/>
          <w:sz w:val="20"/>
          <w:szCs w:val="20"/>
          <w:lang w:val="fr-FR"/>
        </w:rPr>
        <w:t xml:space="preserve"> et P. Wautelet, </w:t>
      </w:r>
      <w:r w:rsidRPr="00DB35E3">
        <w:rPr>
          <w:rFonts w:cstheme="minorHAnsi"/>
          <w:sz w:val="20"/>
          <w:szCs w:val="20"/>
          <w:lang w:val="fr-FR"/>
        </w:rPr>
        <w:t>(</w:t>
      </w:r>
      <w:proofErr w:type="spellStart"/>
      <w:r w:rsidRPr="00DB35E3">
        <w:rPr>
          <w:rFonts w:cstheme="minorHAnsi"/>
          <w:sz w:val="20"/>
          <w:szCs w:val="20"/>
          <w:lang w:val="fr-FR"/>
        </w:rPr>
        <w:t>éds</w:t>
      </w:r>
      <w:proofErr w:type="spellEnd"/>
      <w:r w:rsidRPr="00DB35E3">
        <w:rPr>
          <w:rFonts w:cstheme="minorHAnsi"/>
          <w:sz w:val="20"/>
          <w:szCs w:val="20"/>
          <w:lang w:val="fr-FR"/>
        </w:rPr>
        <w:t xml:space="preserve">.), </w:t>
      </w:r>
      <w:proofErr w:type="spellStart"/>
      <w:r w:rsidRPr="00DB35E3">
        <w:rPr>
          <w:rFonts w:cstheme="minorHAnsi"/>
          <w:sz w:val="20"/>
          <w:szCs w:val="20"/>
          <w:lang w:val="fr-FR"/>
        </w:rPr>
        <w:t>Bruylant</w:t>
      </w:r>
      <w:proofErr w:type="spellEnd"/>
      <w:r w:rsidRPr="00DB35E3">
        <w:rPr>
          <w:rFonts w:cstheme="minorHAnsi"/>
          <w:sz w:val="20"/>
          <w:szCs w:val="20"/>
          <w:lang w:val="fr-FR"/>
        </w:rPr>
        <w:t xml:space="preserve">, 2017, pp. 139-168. </w:t>
      </w:r>
      <w:r w:rsidRPr="00DB35E3">
        <w:rPr>
          <w:rFonts w:cstheme="minorHAnsi"/>
          <w:sz w:val="20"/>
          <w:szCs w:val="20"/>
        </w:rPr>
        <w:t>pp. 154-167.</w:t>
      </w:r>
    </w:p>
  </w:footnote>
  <w:footnote w:id="48">
    <w:p w:rsidR="007D7E69" w:rsidRPr="00DB35E3" w:rsidRDefault="007D7E69" w:rsidP="00AF68ED">
      <w:pPr>
        <w:pStyle w:val="Notedebasdepage"/>
        <w:jc w:val="both"/>
        <w:rPr>
          <w:rFonts w:cstheme="minorHAnsi"/>
        </w:rPr>
      </w:pPr>
      <w:r w:rsidRPr="00DB35E3">
        <w:rPr>
          <w:rStyle w:val="Appelnotedebasdep"/>
          <w:rFonts w:cstheme="minorHAnsi"/>
        </w:rPr>
        <w:footnoteRef/>
      </w:r>
      <w:r w:rsidRPr="00DB35E3">
        <w:rPr>
          <w:rFonts w:cstheme="minorHAnsi"/>
        </w:rPr>
        <w:t xml:space="preserve"> CJUE, 8 juin 2017, </w:t>
      </w:r>
      <w:r w:rsidRPr="00DB35E3">
        <w:rPr>
          <w:rFonts w:cstheme="minorHAnsi"/>
          <w:i/>
        </w:rPr>
        <w:t xml:space="preserve">Mircea Florian </w:t>
      </w:r>
      <w:proofErr w:type="spellStart"/>
      <w:r w:rsidRPr="00DB35E3">
        <w:rPr>
          <w:rFonts w:cstheme="minorHAnsi"/>
          <w:i/>
        </w:rPr>
        <w:t>Freitag</w:t>
      </w:r>
      <w:proofErr w:type="spellEnd"/>
      <w:r w:rsidRPr="00DB35E3">
        <w:rPr>
          <w:rFonts w:cstheme="minorHAnsi"/>
        </w:rPr>
        <w:t xml:space="preserve">, </w:t>
      </w:r>
      <w:proofErr w:type="spellStart"/>
      <w:r w:rsidRPr="00DB35E3">
        <w:rPr>
          <w:rFonts w:cstheme="minorHAnsi"/>
        </w:rPr>
        <w:t>aff.</w:t>
      </w:r>
      <w:proofErr w:type="spellEnd"/>
      <w:r w:rsidRPr="00DB35E3">
        <w:rPr>
          <w:rFonts w:cstheme="minorHAnsi"/>
        </w:rPr>
        <w:t xml:space="preserve"> C-541/15, ECLI-EU :C :2017 :432.</w:t>
      </w:r>
    </w:p>
  </w:footnote>
  <w:footnote w:id="49">
    <w:p w:rsidR="007D7E69" w:rsidRPr="00DB35E3" w:rsidRDefault="007D7E69" w:rsidP="00AF68ED">
      <w:pPr>
        <w:pStyle w:val="Notedebasdepage"/>
        <w:jc w:val="both"/>
        <w:rPr>
          <w:rFonts w:cstheme="minorHAnsi"/>
        </w:rPr>
      </w:pPr>
      <w:r w:rsidRPr="00DB35E3">
        <w:rPr>
          <w:rStyle w:val="Appelnotedebasdep"/>
          <w:rFonts w:cstheme="minorHAnsi"/>
        </w:rPr>
        <w:footnoteRef/>
      </w:r>
      <w:r w:rsidRPr="00DB35E3">
        <w:rPr>
          <w:rFonts w:cstheme="minorHAnsi"/>
        </w:rPr>
        <w:t xml:space="preserve"> Arrêt </w:t>
      </w:r>
      <w:r w:rsidRPr="00DB35E3">
        <w:rPr>
          <w:rFonts w:cstheme="minorHAnsi"/>
          <w:i/>
        </w:rPr>
        <w:t xml:space="preserve">Florian </w:t>
      </w:r>
      <w:proofErr w:type="spellStart"/>
      <w:r w:rsidRPr="00DB35E3">
        <w:rPr>
          <w:rFonts w:cstheme="minorHAnsi"/>
          <w:i/>
        </w:rPr>
        <w:t>Freitag</w:t>
      </w:r>
      <w:proofErr w:type="spellEnd"/>
      <w:r w:rsidRPr="00DB35E3">
        <w:rPr>
          <w:rFonts w:cstheme="minorHAnsi"/>
        </w:rPr>
        <w:t>, point 46.</w:t>
      </w:r>
    </w:p>
  </w:footnote>
  <w:footnote w:id="50">
    <w:p w:rsidR="007D7E69" w:rsidRPr="00DB35E3" w:rsidRDefault="007D7E69" w:rsidP="00821E40">
      <w:pPr>
        <w:pStyle w:val="Notedebasdepage"/>
        <w:jc w:val="both"/>
        <w:rPr>
          <w:rFonts w:cstheme="minorHAnsi"/>
        </w:rPr>
      </w:pPr>
      <w:r w:rsidRPr="00DB35E3">
        <w:rPr>
          <w:rStyle w:val="Appelnotedebasdep"/>
          <w:rFonts w:cstheme="minorHAnsi"/>
        </w:rPr>
        <w:footnoteRef/>
      </w:r>
      <w:r w:rsidRPr="00DB35E3">
        <w:rPr>
          <w:rFonts w:cstheme="minorHAnsi"/>
        </w:rPr>
        <w:t xml:space="preserve"> Sur cette procédure de changement de nom dite « de droit public », cons. AG </w:t>
      </w:r>
      <w:proofErr w:type="spellStart"/>
      <w:r w:rsidRPr="00DB35E3">
        <w:rPr>
          <w:rFonts w:cstheme="minorHAnsi"/>
        </w:rPr>
        <w:t>Szpunar</w:t>
      </w:r>
      <w:proofErr w:type="spellEnd"/>
      <w:r w:rsidRPr="00DB35E3">
        <w:rPr>
          <w:rFonts w:cstheme="minorHAnsi"/>
        </w:rPr>
        <w:t xml:space="preserve">, Conclusions, </w:t>
      </w:r>
      <w:proofErr w:type="spellStart"/>
      <w:r w:rsidRPr="00DB35E3">
        <w:rPr>
          <w:rFonts w:cstheme="minorHAnsi"/>
        </w:rPr>
        <w:t>aff.</w:t>
      </w:r>
      <w:proofErr w:type="spellEnd"/>
      <w:r w:rsidRPr="00DB35E3">
        <w:rPr>
          <w:rFonts w:cstheme="minorHAnsi"/>
        </w:rPr>
        <w:t xml:space="preserve"> C-541/15, point 40.</w:t>
      </w:r>
    </w:p>
  </w:footnote>
  <w:footnote w:id="51">
    <w:p w:rsidR="007D7E69" w:rsidRPr="00DB35E3" w:rsidRDefault="007D7E69" w:rsidP="00AF68ED">
      <w:pPr>
        <w:pStyle w:val="Notedebasdepage"/>
        <w:jc w:val="both"/>
        <w:rPr>
          <w:rFonts w:cstheme="minorHAnsi"/>
        </w:rPr>
      </w:pPr>
      <w:r w:rsidRPr="00DB35E3">
        <w:rPr>
          <w:rStyle w:val="Appelnotedebasdep"/>
          <w:rFonts w:cstheme="minorHAnsi"/>
        </w:rPr>
        <w:footnoteRef/>
      </w:r>
      <w:r w:rsidRPr="00DB35E3">
        <w:rPr>
          <w:rFonts w:cstheme="minorHAnsi"/>
        </w:rPr>
        <w:t xml:space="preserve"> Arrêt </w:t>
      </w:r>
      <w:r w:rsidRPr="00DB35E3">
        <w:rPr>
          <w:rFonts w:cstheme="minorHAnsi"/>
          <w:i/>
        </w:rPr>
        <w:t xml:space="preserve">Florian </w:t>
      </w:r>
      <w:proofErr w:type="spellStart"/>
      <w:r w:rsidRPr="00DB35E3">
        <w:rPr>
          <w:rFonts w:cstheme="minorHAnsi"/>
          <w:i/>
        </w:rPr>
        <w:t>Freitag</w:t>
      </w:r>
      <w:proofErr w:type="spellEnd"/>
      <w:r w:rsidRPr="00DB35E3">
        <w:rPr>
          <w:rFonts w:cstheme="minorHAnsi"/>
        </w:rPr>
        <w:t>, point 42.</w:t>
      </w:r>
    </w:p>
  </w:footnote>
  <w:footnote w:id="52">
    <w:p w:rsidR="00EF00CC" w:rsidRDefault="00EF00CC" w:rsidP="00EF00CC">
      <w:pPr>
        <w:pStyle w:val="Notedebasdepage"/>
      </w:pPr>
      <w:r>
        <w:rPr>
          <w:rStyle w:val="Appelnotedebasdep"/>
        </w:rPr>
        <w:footnoteRef/>
      </w:r>
      <w:r>
        <w:t xml:space="preserve"> </w:t>
      </w:r>
      <w:r w:rsidRPr="00EF00CC">
        <w:rPr>
          <w:smallCaps/>
        </w:rPr>
        <w:t xml:space="preserve">E. </w:t>
      </w:r>
      <w:proofErr w:type="spellStart"/>
      <w:r w:rsidRPr="00EF00CC">
        <w:rPr>
          <w:smallCaps/>
        </w:rPr>
        <w:t>Cusas</w:t>
      </w:r>
      <w:proofErr w:type="spellEnd"/>
      <w:r>
        <w:t xml:space="preserve">, </w:t>
      </w:r>
      <w:r>
        <w:rPr>
          <w:i/>
        </w:rPr>
        <w:t xml:space="preserve">op. </w:t>
      </w:r>
      <w:proofErr w:type="spellStart"/>
      <w:proofErr w:type="gramStart"/>
      <w:r>
        <w:rPr>
          <w:i/>
        </w:rPr>
        <w:t>cit</w:t>
      </w:r>
      <w:proofErr w:type="spellEnd"/>
      <w:proofErr w:type="gramEnd"/>
      <w:r>
        <w:rPr>
          <w:i/>
        </w:rPr>
        <w:t>.</w:t>
      </w:r>
      <w:r>
        <w:t>, p. 319.</w:t>
      </w:r>
    </w:p>
  </w:footnote>
  <w:footnote w:id="53">
    <w:p w:rsidR="00EF00CC" w:rsidRDefault="00EF00CC" w:rsidP="00EF00CC">
      <w:pPr>
        <w:pStyle w:val="Notedebasdepage"/>
        <w:jc w:val="both"/>
      </w:pPr>
      <w:r>
        <w:rPr>
          <w:rStyle w:val="Appelnotedebasdep"/>
        </w:rPr>
        <w:footnoteRef/>
      </w:r>
      <w:r>
        <w:t xml:space="preserve"> Arrêt </w:t>
      </w:r>
      <w:proofErr w:type="spellStart"/>
      <w:r w:rsidRPr="00EF00CC">
        <w:rPr>
          <w:i/>
        </w:rPr>
        <w:t>Bogendorff</w:t>
      </w:r>
      <w:proofErr w:type="spellEnd"/>
      <w:r>
        <w:t xml:space="preserve"> précité, point 82.</w:t>
      </w:r>
    </w:p>
  </w:footnote>
  <w:footnote w:id="54">
    <w:p w:rsidR="007D7E69" w:rsidRPr="007D7E69" w:rsidRDefault="007D7E69" w:rsidP="007D7E69">
      <w:pPr>
        <w:pStyle w:val="Notedebasdepage"/>
        <w:jc w:val="both"/>
      </w:pPr>
      <w:r>
        <w:rPr>
          <w:rStyle w:val="Appelnotedebasdep"/>
        </w:rPr>
        <w:footnoteRef/>
      </w:r>
      <w:r>
        <w:t xml:space="preserve"> Le rapprochement est d’ailleurs fait par certains commentateurs entre les attentes légitimes et la fraude, cf. S. </w:t>
      </w:r>
      <w:proofErr w:type="spellStart"/>
      <w:r w:rsidRPr="007D7E69">
        <w:rPr>
          <w:smallCaps/>
        </w:rPr>
        <w:t>Pfeiff</w:t>
      </w:r>
      <w:proofErr w:type="spellEnd"/>
      <w:r>
        <w:t xml:space="preserve">, </w:t>
      </w:r>
      <w:r>
        <w:rPr>
          <w:i/>
        </w:rPr>
        <w:t xml:space="preserve">op. </w:t>
      </w:r>
      <w:proofErr w:type="spellStart"/>
      <w:proofErr w:type="gramStart"/>
      <w:r>
        <w:rPr>
          <w:i/>
        </w:rPr>
        <w:t>cit</w:t>
      </w:r>
      <w:proofErr w:type="spellEnd"/>
      <w:proofErr w:type="gramEnd"/>
      <w:r>
        <w:rPr>
          <w:i/>
        </w:rPr>
        <w:t>.</w:t>
      </w:r>
      <w:r>
        <w:t>, p. 129, n° 125.</w:t>
      </w:r>
    </w:p>
  </w:footnote>
  <w:footnote w:id="55">
    <w:p w:rsidR="007D7E69" w:rsidRPr="00DB35E3" w:rsidRDefault="007D7E69">
      <w:pPr>
        <w:pStyle w:val="Notedebasdepage"/>
        <w:rPr>
          <w:rFonts w:cstheme="minorHAnsi"/>
        </w:rPr>
      </w:pPr>
      <w:r w:rsidRPr="00DB35E3">
        <w:rPr>
          <w:rStyle w:val="Appelnotedebasdep"/>
          <w:rFonts w:cstheme="minorHAnsi"/>
        </w:rPr>
        <w:footnoteRef/>
      </w:r>
      <w:r w:rsidRPr="00DB35E3">
        <w:rPr>
          <w:rFonts w:cstheme="minorHAnsi"/>
        </w:rPr>
        <w:t xml:space="preserve"> Cf. </w:t>
      </w:r>
      <w:r w:rsidRPr="00DB35E3">
        <w:rPr>
          <w:rFonts w:cstheme="minorHAnsi"/>
          <w:smallCaps/>
        </w:rPr>
        <w:t xml:space="preserve">B. </w:t>
      </w:r>
      <w:proofErr w:type="spellStart"/>
      <w:r w:rsidRPr="00DB35E3">
        <w:rPr>
          <w:rFonts w:cstheme="minorHAnsi"/>
          <w:smallCaps/>
        </w:rPr>
        <w:t>Ancel</w:t>
      </w:r>
      <w:proofErr w:type="spellEnd"/>
      <w:r w:rsidRPr="00DB35E3">
        <w:rPr>
          <w:rFonts w:cstheme="minorHAnsi"/>
        </w:rPr>
        <w:t xml:space="preserve">, </w:t>
      </w:r>
      <w:r w:rsidRPr="00DB35E3">
        <w:rPr>
          <w:rFonts w:cstheme="minorHAnsi"/>
          <w:i/>
        </w:rPr>
        <w:t xml:space="preserve">Analyse critique de l’érosion du paradigme </w:t>
      </w:r>
      <w:proofErr w:type="spellStart"/>
      <w:r w:rsidRPr="00DB35E3">
        <w:rPr>
          <w:rFonts w:cstheme="minorHAnsi"/>
          <w:i/>
        </w:rPr>
        <w:t>conflictualiste</w:t>
      </w:r>
      <w:proofErr w:type="spellEnd"/>
      <w:r w:rsidRPr="00DB35E3">
        <w:rPr>
          <w:rFonts w:cstheme="minorHAnsi"/>
        </w:rPr>
        <w:t>, Paris II, 2005-2006 à 2008-2009.</w:t>
      </w:r>
    </w:p>
  </w:footnote>
  <w:footnote w:id="56">
    <w:p w:rsidR="004762C1" w:rsidRDefault="004762C1" w:rsidP="004762C1">
      <w:pPr>
        <w:pStyle w:val="Notedebasdepage"/>
        <w:jc w:val="both"/>
      </w:pPr>
      <w:r>
        <w:rPr>
          <w:rStyle w:val="Appelnotedebasdep"/>
        </w:rPr>
        <w:footnoteRef/>
      </w:r>
      <w:r>
        <w:t xml:space="preserve"> </w:t>
      </w:r>
      <w:r w:rsidRPr="004762C1">
        <w:rPr>
          <w:smallCaps/>
        </w:rPr>
        <w:t xml:space="preserve">L. </w:t>
      </w:r>
      <w:proofErr w:type="spellStart"/>
      <w:r w:rsidRPr="004762C1">
        <w:rPr>
          <w:smallCaps/>
        </w:rPr>
        <w:t>Rass</w:t>
      </w:r>
      <w:proofErr w:type="spellEnd"/>
      <w:r w:rsidRPr="004762C1">
        <w:rPr>
          <w:smallCaps/>
        </w:rPr>
        <w:t>-Masson</w:t>
      </w:r>
      <w:r>
        <w:t xml:space="preserve">, </w:t>
      </w:r>
      <w:r w:rsidRPr="004762C1">
        <w:rPr>
          <w:i/>
        </w:rPr>
        <w:t>Les fondements du droit international privé européen de la famille</w:t>
      </w:r>
      <w:r>
        <w:t>, Thèse Paris II, 2015, p. 579.</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0B1D26"/>
    <w:multiLevelType w:val="multilevel"/>
    <w:tmpl w:val="F892C27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4D295D4B"/>
    <w:multiLevelType w:val="hybridMultilevel"/>
    <w:tmpl w:val="FDFC5898"/>
    <w:lvl w:ilvl="0" w:tplc="4BC88FAC">
      <w:start w:val="1"/>
      <w:numFmt w:val="decimal"/>
      <w:lvlText w:val="%1."/>
      <w:lvlJc w:val="left"/>
      <w:pPr>
        <w:ind w:left="720" w:hanging="360"/>
      </w:pPr>
      <w:rPr>
        <w:rFonts w:ascii="Times New Roman" w:hAnsi="Times New Roman" w:cs="Times New Roman" w:hint="default"/>
        <w:b/>
        <w:i w:val="0"/>
        <w:sz w:val="24"/>
        <w:szCs w:val="24"/>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15:restartNumberingAfterBreak="0">
    <w:nsid w:val="58D659BA"/>
    <w:multiLevelType w:val="multilevel"/>
    <w:tmpl w:val="1BA28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EFD1330"/>
    <w:multiLevelType w:val="hybridMultilevel"/>
    <w:tmpl w:val="EEE6951A"/>
    <w:lvl w:ilvl="0" w:tplc="080C0011">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4D3B"/>
    <w:rsid w:val="0002560C"/>
    <w:rsid w:val="00026A0B"/>
    <w:rsid w:val="00060111"/>
    <w:rsid w:val="00076F92"/>
    <w:rsid w:val="000D19CF"/>
    <w:rsid w:val="000E054C"/>
    <w:rsid w:val="00103E92"/>
    <w:rsid w:val="00105922"/>
    <w:rsid w:val="001533CE"/>
    <w:rsid w:val="00172F49"/>
    <w:rsid w:val="00186D7A"/>
    <w:rsid w:val="00192913"/>
    <w:rsid w:val="001A4671"/>
    <w:rsid w:val="001B651B"/>
    <w:rsid w:val="001E0940"/>
    <w:rsid w:val="001E401C"/>
    <w:rsid w:val="0020407A"/>
    <w:rsid w:val="0021057C"/>
    <w:rsid w:val="00211B50"/>
    <w:rsid w:val="00224F9D"/>
    <w:rsid w:val="002373AE"/>
    <w:rsid w:val="002842FD"/>
    <w:rsid w:val="002A11CF"/>
    <w:rsid w:val="002A192F"/>
    <w:rsid w:val="002A358D"/>
    <w:rsid w:val="002A3C2C"/>
    <w:rsid w:val="002D03EC"/>
    <w:rsid w:val="002D35CD"/>
    <w:rsid w:val="002D7A0E"/>
    <w:rsid w:val="002E3B18"/>
    <w:rsid w:val="00300B59"/>
    <w:rsid w:val="00302AD3"/>
    <w:rsid w:val="00314CA6"/>
    <w:rsid w:val="00330C67"/>
    <w:rsid w:val="0033155A"/>
    <w:rsid w:val="00344679"/>
    <w:rsid w:val="00354112"/>
    <w:rsid w:val="0035748D"/>
    <w:rsid w:val="00375FDB"/>
    <w:rsid w:val="003764AC"/>
    <w:rsid w:val="003B102F"/>
    <w:rsid w:val="003B2211"/>
    <w:rsid w:val="003B3FE8"/>
    <w:rsid w:val="003D7E37"/>
    <w:rsid w:val="003E7D36"/>
    <w:rsid w:val="00404A45"/>
    <w:rsid w:val="0040656B"/>
    <w:rsid w:val="0041761F"/>
    <w:rsid w:val="004401B6"/>
    <w:rsid w:val="004550CE"/>
    <w:rsid w:val="004730EF"/>
    <w:rsid w:val="004762C1"/>
    <w:rsid w:val="004929D0"/>
    <w:rsid w:val="00492CBD"/>
    <w:rsid w:val="004A0B60"/>
    <w:rsid w:val="004B06DB"/>
    <w:rsid w:val="004B242D"/>
    <w:rsid w:val="004D4EE0"/>
    <w:rsid w:val="004F50D0"/>
    <w:rsid w:val="0053453B"/>
    <w:rsid w:val="00553B95"/>
    <w:rsid w:val="00563E51"/>
    <w:rsid w:val="005652BB"/>
    <w:rsid w:val="00585306"/>
    <w:rsid w:val="005928D4"/>
    <w:rsid w:val="005B49B1"/>
    <w:rsid w:val="005E33C1"/>
    <w:rsid w:val="005E467B"/>
    <w:rsid w:val="005E4D3B"/>
    <w:rsid w:val="005F4431"/>
    <w:rsid w:val="00607079"/>
    <w:rsid w:val="00644ED5"/>
    <w:rsid w:val="00653284"/>
    <w:rsid w:val="00667079"/>
    <w:rsid w:val="00674B95"/>
    <w:rsid w:val="00680325"/>
    <w:rsid w:val="006A3AF3"/>
    <w:rsid w:val="006A4126"/>
    <w:rsid w:val="006C60F9"/>
    <w:rsid w:val="006E05E1"/>
    <w:rsid w:val="006E41B8"/>
    <w:rsid w:val="006E6008"/>
    <w:rsid w:val="0070003A"/>
    <w:rsid w:val="007145CD"/>
    <w:rsid w:val="0073586D"/>
    <w:rsid w:val="00740DBE"/>
    <w:rsid w:val="00757DDA"/>
    <w:rsid w:val="00765A77"/>
    <w:rsid w:val="00796DED"/>
    <w:rsid w:val="007A6113"/>
    <w:rsid w:val="007B0A4F"/>
    <w:rsid w:val="007D7E69"/>
    <w:rsid w:val="00810322"/>
    <w:rsid w:val="00821E40"/>
    <w:rsid w:val="00835F95"/>
    <w:rsid w:val="00842E12"/>
    <w:rsid w:val="00860257"/>
    <w:rsid w:val="00865A95"/>
    <w:rsid w:val="00882365"/>
    <w:rsid w:val="00890FEF"/>
    <w:rsid w:val="008A68A9"/>
    <w:rsid w:val="008B4829"/>
    <w:rsid w:val="008C0C8F"/>
    <w:rsid w:val="008C0EE8"/>
    <w:rsid w:val="008E62E9"/>
    <w:rsid w:val="009135EF"/>
    <w:rsid w:val="009138A8"/>
    <w:rsid w:val="00932048"/>
    <w:rsid w:val="00955CEA"/>
    <w:rsid w:val="009805D4"/>
    <w:rsid w:val="009813C3"/>
    <w:rsid w:val="00982566"/>
    <w:rsid w:val="00985A28"/>
    <w:rsid w:val="00987AD4"/>
    <w:rsid w:val="009A3F50"/>
    <w:rsid w:val="009A5BD9"/>
    <w:rsid w:val="009C0D29"/>
    <w:rsid w:val="009D31E8"/>
    <w:rsid w:val="009E5717"/>
    <w:rsid w:val="00A01DCB"/>
    <w:rsid w:val="00A065AB"/>
    <w:rsid w:val="00A22A8F"/>
    <w:rsid w:val="00A35A61"/>
    <w:rsid w:val="00A51EEE"/>
    <w:rsid w:val="00A531C1"/>
    <w:rsid w:val="00A85141"/>
    <w:rsid w:val="00AA0EE9"/>
    <w:rsid w:val="00AC1F40"/>
    <w:rsid w:val="00AC3533"/>
    <w:rsid w:val="00AC4677"/>
    <w:rsid w:val="00AD6BD7"/>
    <w:rsid w:val="00AF118B"/>
    <w:rsid w:val="00AF68ED"/>
    <w:rsid w:val="00B10DF8"/>
    <w:rsid w:val="00B11870"/>
    <w:rsid w:val="00B1450F"/>
    <w:rsid w:val="00B1473F"/>
    <w:rsid w:val="00B3423B"/>
    <w:rsid w:val="00B517EC"/>
    <w:rsid w:val="00B60C25"/>
    <w:rsid w:val="00B75D1C"/>
    <w:rsid w:val="00B84236"/>
    <w:rsid w:val="00B87B5E"/>
    <w:rsid w:val="00BA54F2"/>
    <w:rsid w:val="00BB164D"/>
    <w:rsid w:val="00BC35F3"/>
    <w:rsid w:val="00BE03D4"/>
    <w:rsid w:val="00BE3A7D"/>
    <w:rsid w:val="00BF0847"/>
    <w:rsid w:val="00C11133"/>
    <w:rsid w:val="00C26359"/>
    <w:rsid w:val="00C263F8"/>
    <w:rsid w:val="00C51BC7"/>
    <w:rsid w:val="00C51FB4"/>
    <w:rsid w:val="00C52A8A"/>
    <w:rsid w:val="00C53E44"/>
    <w:rsid w:val="00C772CB"/>
    <w:rsid w:val="00C8006E"/>
    <w:rsid w:val="00C80AFE"/>
    <w:rsid w:val="00C9395A"/>
    <w:rsid w:val="00CB15E5"/>
    <w:rsid w:val="00CF2460"/>
    <w:rsid w:val="00D32F1B"/>
    <w:rsid w:val="00D35B30"/>
    <w:rsid w:val="00D4341B"/>
    <w:rsid w:val="00D61896"/>
    <w:rsid w:val="00D662B4"/>
    <w:rsid w:val="00DA6E07"/>
    <w:rsid w:val="00DB35E3"/>
    <w:rsid w:val="00DB4306"/>
    <w:rsid w:val="00DC16A3"/>
    <w:rsid w:val="00DE39FA"/>
    <w:rsid w:val="00E03128"/>
    <w:rsid w:val="00E25A98"/>
    <w:rsid w:val="00E450A5"/>
    <w:rsid w:val="00E5212C"/>
    <w:rsid w:val="00E600E1"/>
    <w:rsid w:val="00E610C6"/>
    <w:rsid w:val="00E73E8A"/>
    <w:rsid w:val="00E80C61"/>
    <w:rsid w:val="00E8715F"/>
    <w:rsid w:val="00E87FCB"/>
    <w:rsid w:val="00E920E6"/>
    <w:rsid w:val="00E97783"/>
    <w:rsid w:val="00EA5F70"/>
    <w:rsid w:val="00EB2D58"/>
    <w:rsid w:val="00EB3E17"/>
    <w:rsid w:val="00EC41B1"/>
    <w:rsid w:val="00ED4872"/>
    <w:rsid w:val="00EE1512"/>
    <w:rsid w:val="00EF0087"/>
    <w:rsid w:val="00EF00CC"/>
    <w:rsid w:val="00EF3714"/>
    <w:rsid w:val="00EF5750"/>
    <w:rsid w:val="00F01718"/>
    <w:rsid w:val="00F064D1"/>
    <w:rsid w:val="00F15EA3"/>
    <w:rsid w:val="00F521D6"/>
    <w:rsid w:val="00F63C25"/>
    <w:rsid w:val="00F659CA"/>
    <w:rsid w:val="00FA142C"/>
    <w:rsid w:val="00FA1A02"/>
    <w:rsid w:val="00FA2532"/>
    <w:rsid w:val="00FA2875"/>
    <w:rsid w:val="00FC06F7"/>
    <w:rsid w:val="00FF70C6"/>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40896F"/>
  <w15:chartTrackingRefBased/>
  <w15:docId w15:val="{6A1DD450-6249-488A-AF96-2A6C72665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3FE8"/>
  </w:style>
  <w:style w:type="paragraph" w:styleId="Titre1">
    <w:name w:val="heading 1"/>
    <w:basedOn w:val="Normal"/>
    <w:next w:val="Textbody"/>
    <w:link w:val="Titre1Car"/>
    <w:rsid w:val="00EF5750"/>
    <w:pPr>
      <w:keepNext/>
      <w:widowControl w:val="0"/>
      <w:suppressAutoHyphens/>
      <w:autoSpaceDN w:val="0"/>
      <w:spacing w:before="240" w:after="120" w:line="240" w:lineRule="auto"/>
      <w:textAlignment w:val="baseline"/>
      <w:outlineLvl w:val="0"/>
    </w:pPr>
    <w:rPr>
      <w:rFonts w:ascii="Liberation Serif" w:eastAsia="Droid Sans Fallback" w:hAnsi="Liberation Serif" w:cs="FreeSans"/>
      <w:b/>
      <w:bCs/>
      <w:kern w:val="3"/>
      <w:sz w:val="48"/>
      <w:szCs w:val="48"/>
      <w:lang w:val="en-US" w:eastAsia="zh-CN" w:bidi="hi-I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1">
    <w:name w:val="A1"/>
    <w:uiPriority w:val="99"/>
    <w:rsid w:val="005E4D3B"/>
    <w:rPr>
      <w:rFonts w:cs="GothamBook"/>
      <w:color w:val="000000"/>
    </w:rPr>
  </w:style>
  <w:style w:type="paragraph" w:customStyle="1" w:styleId="Pa9">
    <w:name w:val="Pa9"/>
    <w:basedOn w:val="Normal"/>
    <w:next w:val="Normal"/>
    <w:uiPriority w:val="99"/>
    <w:rsid w:val="005E4D3B"/>
    <w:pPr>
      <w:autoSpaceDE w:val="0"/>
      <w:autoSpaceDN w:val="0"/>
      <w:adjustRightInd w:val="0"/>
      <w:spacing w:after="0" w:line="601" w:lineRule="atLeast"/>
    </w:pPr>
    <w:rPr>
      <w:rFonts w:ascii="GothamBold" w:hAnsi="GothamBold"/>
      <w:sz w:val="24"/>
      <w:szCs w:val="24"/>
    </w:rPr>
  </w:style>
  <w:style w:type="character" w:customStyle="1" w:styleId="A12">
    <w:name w:val="A12"/>
    <w:uiPriority w:val="99"/>
    <w:rsid w:val="005E4D3B"/>
    <w:rPr>
      <w:rFonts w:cs="GothamBold"/>
      <w:color w:val="000000"/>
      <w:sz w:val="40"/>
      <w:szCs w:val="40"/>
    </w:rPr>
  </w:style>
  <w:style w:type="paragraph" w:styleId="Paragraphedeliste">
    <w:name w:val="List Paragraph"/>
    <w:basedOn w:val="Normal"/>
    <w:link w:val="ParagraphedelisteCar"/>
    <w:uiPriority w:val="34"/>
    <w:qFormat/>
    <w:rsid w:val="00F15EA3"/>
    <w:pPr>
      <w:ind w:left="720"/>
      <w:contextualSpacing/>
    </w:pPr>
  </w:style>
  <w:style w:type="paragraph" w:styleId="Notedebasdepage">
    <w:name w:val="footnote text"/>
    <w:basedOn w:val="Normal"/>
    <w:link w:val="NotedebasdepageCar"/>
    <w:unhideWhenUsed/>
    <w:rsid w:val="002A11CF"/>
    <w:pPr>
      <w:spacing w:after="0" w:line="240" w:lineRule="auto"/>
    </w:pPr>
    <w:rPr>
      <w:sz w:val="20"/>
      <w:szCs w:val="20"/>
    </w:rPr>
  </w:style>
  <w:style w:type="character" w:customStyle="1" w:styleId="NotedebasdepageCar">
    <w:name w:val="Note de bas de page Car"/>
    <w:basedOn w:val="Policepardfaut"/>
    <w:link w:val="Notedebasdepage"/>
    <w:rsid w:val="002A11CF"/>
    <w:rPr>
      <w:sz w:val="20"/>
      <w:szCs w:val="20"/>
    </w:rPr>
  </w:style>
  <w:style w:type="character" w:styleId="Appelnotedebasdep">
    <w:name w:val="footnote reference"/>
    <w:basedOn w:val="Policepardfaut"/>
    <w:uiPriority w:val="99"/>
    <w:unhideWhenUsed/>
    <w:rsid w:val="002A11CF"/>
    <w:rPr>
      <w:vertAlign w:val="superscript"/>
    </w:rPr>
  </w:style>
  <w:style w:type="paragraph" w:customStyle="1" w:styleId="Textbody">
    <w:name w:val="Text body"/>
    <w:basedOn w:val="Normal"/>
    <w:rsid w:val="001533CE"/>
    <w:pPr>
      <w:suppressAutoHyphens/>
      <w:autoSpaceDN w:val="0"/>
      <w:spacing w:after="140" w:line="288" w:lineRule="auto"/>
      <w:textAlignment w:val="baseline"/>
    </w:pPr>
    <w:rPr>
      <w:rFonts w:ascii="Liberation Serif" w:eastAsia="Noto Sans CJK SC Regular" w:hAnsi="Liberation Serif" w:cs="FreeSans"/>
      <w:kern w:val="3"/>
      <w:sz w:val="24"/>
      <w:szCs w:val="24"/>
      <w:lang w:val="en-US" w:eastAsia="zh-CN" w:bidi="hi-IN"/>
    </w:rPr>
  </w:style>
  <w:style w:type="character" w:styleId="lev">
    <w:name w:val="Strong"/>
    <w:basedOn w:val="Policepardfaut"/>
    <w:uiPriority w:val="22"/>
    <w:qFormat/>
    <w:rsid w:val="00E5212C"/>
    <w:rPr>
      <w:b/>
      <w:bCs/>
    </w:rPr>
  </w:style>
  <w:style w:type="character" w:styleId="Accentuation">
    <w:name w:val="Emphasis"/>
    <w:basedOn w:val="Policepardfaut"/>
    <w:uiPriority w:val="20"/>
    <w:qFormat/>
    <w:rsid w:val="00E5212C"/>
    <w:rPr>
      <w:i/>
      <w:iCs/>
    </w:rPr>
  </w:style>
  <w:style w:type="character" w:customStyle="1" w:styleId="ParagraphedelisteCar">
    <w:name w:val="Paragraphe de liste Car"/>
    <w:basedOn w:val="Policepardfaut"/>
    <w:link w:val="Paragraphedeliste"/>
    <w:uiPriority w:val="34"/>
    <w:rsid w:val="00EC41B1"/>
  </w:style>
  <w:style w:type="paragraph" w:customStyle="1" w:styleId="Standard">
    <w:name w:val="Standard"/>
    <w:rsid w:val="00E73E8A"/>
    <w:pPr>
      <w:suppressAutoHyphens/>
      <w:autoSpaceDN w:val="0"/>
      <w:spacing w:after="0" w:line="240" w:lineRule="auto"/>
      <w:textAlignment w:val="baseline"/>
    </w:pPr>
    <w:rPr>
      <w:rFonts w:ascii="Liberation Serif" w:eastAsia="Noto Sans CJK SC Regular" w:hAnsi="Liberation Serif" w:cs="FreeSans"/>
      <w:kern w:val="3"/>
      <w:sz w:val="24"/>
      <w:szCs w:val="24"/>
      <w:lang w:val="fr-FR" w:eastAsia="zh-CN" w:bidi="hi-IN"/>
    </w:rPr>
  </w:style>
  <w:style w:type="paragraph" w:styleId="NormalWeb">
    <w:name w:val="Normal (Web)"/>
    <w:basedOn w:val="Normal"/>
    <w:uiPriority w:val="99"/>
    <w:unhideWhenUsed/>
    <w:rsid w:val="00C9395A"/>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customStyle="1" w:styleId="Titre1Car">
    <w:name w:val="Titre 1 Car"/>
    <w:basedOn w:val="Policepardfaut"/>
    <w:link w:val="Titre1"/>
    <w:rsid w:val="00EF5750"/>
    <w:rPr>
      <w:rFonts w:ascii="Liberation Serif" w:eastAsia="Droid Sans Fallback" w:hAnsi="Liberation Serif" w:cs="FreeSans"/>
      <w:b/>
      <w:bCs/>
      <w:kern w:val="3"/>
      <w:sz w:val="48"/>
      <w:szCs w:val="48"/>
      <w:lang w:val="en-US" w:eastAsia="zh-CN" w:bidi="hi-IN"/>
    </w:rPr>
  </w:style>
  <w:style w:type="character" w:styleId="Lienhypertexte">
    <w:name w:val="Hyperlink"/>
    <w:basedOn w:val="Policepardfaut"/>
    <w:uiPriority w:val="99"/>
    <w:semiHidden/>
    <w:unhideWhenUsed/>
    <w:rsid w:val="00330C67"/>
    <w:rPr>
      <w:color w:val="0000FF"/>
      <w:u w:val="single"/>
    </w:rPr>
  </w:style>
  <w:style w:type="paragraph" w:styleId="Lgende">
    <w:name w:val="caption"/>
    <w:basedOn w:val="Standard"/>
    <w:rsid w:val="00955CEA"/>
    <w:pPr>
      <w:suppressLineNumbers/>
      <w:spacing w:before="120" w:after="120"/>
    </w:pPr>
    <w:rPr>
      <w:i/>
      <w:iCs/>
    </w:rPr>
  </w:style>
  <w:style w:type="paragraph" w:customStyle="1" w:styleId="c36centre">
    <w:name w:val="c36centre"/>
    <w:basedOn w:val="Normal"/>
    <w:rsid w:val="00821E40"/>
    <w:pPr>
      <w:spacing w:before="100" w:beforeAutospacing="1" w:after="100" w:afterAutospacing="1" w:line="240" w:lineRule="auto"/>
    </w:pPr>
    <w:rPr>
      <w:rFonts w:ascii="Times New Roman" w:eastAsia="Times New Roman" w:hAnsi="Times New Roman" w:cs="Times New Roman"/>
      <w:sz w:val="24"/>
      <w:szCs w:val="24"/>
      <w:lang w:eastAsia="fr-BE"/>
    </w:rPr>
  </w:style>
  <w:style w:type="paragraph" w:customStyle="1" w:styleId="c38centregrasgrandespacement">
    <w:name w:val="c38centregrasgrandespacement"/>
    <w:basedOn w:val="Normal"/>
    <w:rsid w:val="00821E40"/>
    <w:pPr>
      <w:spacing w:before="100" w:beforeAutospacing="1" w:after="100" w:afterAutospacing="1" w:line="240" w:lineRule="auto"/>
    </w:pPr>
    <w:rPr>
      <w:rFonts w:ascii="Times New Roman" w:eastAsia="Times New Roman" w:hAnsi="Times New Roman" w:cs="Times New Roman"/>
      <w:sz w:val="24"/>
      <w:szCs w:val="24"/>
      <w:lang w:eastAsia="fr-BE"/>
    </w:rPr>
  </w:style>
  <w:style w:type="paragraph" w:customStyle="1" w:styleId="c01pointaltn">
    <w:name w:val="c01pointaltn"/>
    <w:basedOn w:val="Normal"/>
    <w:rsid w:val="00821E40"/>
    <w:pPr>
      <w:spacing w:before="100" w:beforeAutospacing="1" w:after="100" w:afterAutospacing="1" w:line="240" w:lineRule="auto"/>
    </w:pPr>
    <w:rPr>
      <w:rFonts w:ascii="Times New Roman" w:eastAsia="Times New Roman" w:hAnsi="Times New Roman" w:cs="Times New Roman"/>
      <w:sz w:val="24"/>
      <w:szCs w:val="24"/>
      <w:lang w:eastAsia="fr-BE"/>
    </w:rPr>
  </w:style>
  <w:style w:type="paragraph" w:customStyle="1" w:styleId="byline-dateline">
    <w:name w:val="byline-dateline"/>
    <w:basedOn w:val="Normal"/>
    <w:rsid w:val="00D61896"/>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customStyle="1" w:styleId="byline">
    <w:name w:val="byline"/>
    <w:basedOn w:val="Policepardfaut"/>
    <w:rsid w:val="00D61896"/>
  </w:style>
  <w:style w:type="character" w:customStyle="1" w:styleId="byline-author">
    <w:name w:val="byline-author"/>
    <w:basedOn w:val="Policepardfaut"/>
    <w:rsid w:val="00D61896"/>
  </w:style>
  <w:style w:type="character" w:customStyle="1" w:styleId="sharetools-label">
    <w:name w:val="sharetools-label"/>
    <w:basedOn w:val="Policepardfaut"/>
    <w:rsid w:val="00D61896"/>
  </w:style>
  <w:style w:type="character" w:customStyle="1" w:styleId="sharetool-text">
    <w:name w:val="sharetool-text"/>
    <w:basedOn w:val="Policepardfaut"/>
    <w:rsid w:val="00D61896"/>
  </w:style>
  <w:style w:type="paragraph" w:customStyle="1" w:styleId="Default">
    <w:name w:val="Default"/>
    <w:rsid w:val="00C53E4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outputecliaff">
    <w:name w:val="outputecliaff"/>
    <w:basedOn w:val="Policepardfaut"/>
    <w:rsid w:val="003B102F"/>
  </w:style>
  <w:style w:type="paragraph" w:styleId="Corpsdetexte">
    <w:name w:val="Body Text"/>
    <w:basedOn w:val="Normal"/>
    <w:link w:val="CorpsdetexteCar"/>
    <w:rsid w:val="005652BB"/>
    <w:pPr>
      <w:widowControl w:val="0"/>
      <w:suppressAutoHyphens/>
      <w:spacing w:after="120" w:line="240" w:lineRule="auto"/>
    </w:pPr>
    <w:rPr>
      <w:rFonts w:ascii="Times New Roman" w:eastAsia="DejaVu Sans" w:hAnsi="Times New Roman" w:cs="DejaVu Sans"/>
      <w:kern w:val="1"/>
      <w:sz w:val="24"/>
      <w:szCs w:val="24"/>
      <w:lang w:val="en-US" w:eastAsia="hi-IN" w:bidi="hi-IN"/>
    </w:rPr>
  </w:style>
  <w:style w:type="character" w:customStyle="1" w:styleId="CorpsdetexteCar">
    <w:name w:val="Corps de texte Car"/>
    <w:basedOn w:val="Policepardfaut"/>
    <w:link w:val="Corpsdetexte"/>
    <w:rsid w:val="005652BB"/>
    <w:rPr>
      <w:rFonts w:ascii="Times New Roman" w:eastAsia="DejaVu Sans" w:hAnsi="Times New Roman" w:cs="DejaVu Sans"/>
      <w:kern w:val="1"/>
      <w:sz w:val="24"/>
      <w:szCs w:val="24"/>
      <w:lang w:val="en-US"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51185">
      <w:bodyDiv w:val="1"/>
      <w:marLeft w:val="0"/>
      <w:marRight w:val="0"/>
      <w:marTop w:val="0"/>
      <w:marBottom w:val="0"/>
      <w:divBdr>
        <w:top w:val="none" w:sz="0" w:space="0" w:color="auto"/>
        <w:left w:val="none" w:sz="0" w:space="0" w:color="auto"/>
        <w:bottom w:val="none" w:sz="0" w:space="0" w:color="auto"/>
        <w:right w:val="none" w:sz="0" w:space="0" w:color="auto"/>
      </w:divBdr>
      <w:divsChild>
        <w:div w:id="1873494184">
          <w:marLeft w:val="0"/>
          <w:marRight w:val="0"/>
          <w:marTop w:val="0"/>
          <w:marBottom w:val="0"/>
          <w:divBdr>
            <w:top w:val="single" w:sz="6" w:space="11" w:color="E2E2E2"/>
            <w:left w:val="none" w:sz="0" w:space="0" w:color="auto"/>
            <w:bottom w:val="single" w:sz="6" w:space="12" w:color="E2E2E2"/>
            <w:right w:val="none" w:sz="0" w:space="0" w:color="auto"/>
          </w:divBdr>
          <w:divsChild>
            <w:div w:id="911349541">
              <w:marLeft w:val="0"/>
              <w:marRight w:val="0"/>
              <w:marTop w:val="0"/>
              <w:marBottom w:val="0"/>
              <w:divBdr>
                <w:top w:val="none" w:sz="0" w:space="0" w:color="auto"/>
                <w:left w:val="none" w:sz="0" w:space="0" w:color="auto"/>
                <w:bottom w:val="none" w:sz="0" w:space="0" w:color="auto"/>
                <w:right w:val="none" w:sz="0" w:space="0" w:color="auto"/>
              </w:divBdr>
              <w:divsChild>
                <w:div w:id="185337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355249">
      <w:bodyDiv w:val="1"/>
      <w:marLeft w:val="0"/>
      <w:marRight w:val="0"/>
      <w:marTop w:val="0"/>
      <w:marBottom w:val="0"/>
      <w:divBdr>
        <w:top w:val="none" w:sz="0" w:space="0" w:color="auto"/>
        <w:left w:val="none" w:sz="0" w:space="0" w:color="auto"/>
        <w:bottom w:val="none" w:sz="0" w:space="0" w:color="auto"/>
        <w:right w:val="none" w:sz="0" w:space="0" w:color="auto"/>
      </w:divBdr>
    </w:div>
    <w:div w:id="1049886752">
      <w:bodyDiv w:val="1"/>
      <w:marLeft w:val="0"/>
      <w:marRight w:val="0"/>
      <w:marTop w:val="0"/>
      <w:marBottom w:val="0"/>
      <w:divBdr>
        <w:top w:val="none" w:sz="0" w:space="0" w:color="auto"/>
        <w:left w:val="none" w:sz="0" w:space="0" w:color="auto"/>
        <w:bottom w:val="none" w:sz="0" w:space="0" w:color="auto"/>
        <w:right w:val="none" w:sz="0" w:space="0" w:color="auto"/>
      </w:divBdr>
    </w:div>
    <w:div w:id="1116486998">
      <w:bodyDiv w:val="1"/>
      <w:marLeft w:val="0"/>
      <w:marRight w:val="0"/>
      <w:marTop w:val="0"/>
      <w:marBottom w:val="0"/>
      <w:divBdr>
        <w:top w:val="none" w:sz="0" w:space="0" w:color="auto"/>
        <w:left w:val="none" w:sz="0" w:space="0" w:color="auto"/>
        <w:bottom w:val="none" w:sz="0" w:space="0" w:color="auto"/>
        <w:right w:val="none" w:sz="0" w:space="0" w:color="auto"/>
      </w:divBdr>
    </w:div>
    <w:div w:id="1150555788">
      <w:bodyDiv w:val="1"/>
      <w:marLeft w:val="0"/>
      <w:marRight w:val="0"/>
      <w:marTop w:val="0"/>
      <w:marBottom w:val="0"/>
      <w:divBdr>
        <w:top w:val="none" w:sz="0" w:space="0" w:color="auto"/>
        <w:left w:val="none" w:sz="0" w:space="0" w:color="auto"/>
        <w:bottom w:val="none" w:sz="0" w:space="0" w:color="auto"/>
        <w:right w:val="none" w:sz="0" w:space="0" w:color="auto"/>
      </w:divBdr>
    </w:div>
    <w:div w:id="1320690481">
      <w:bodyDiv w:val="1"/>
      <w:marLeft w:val="0"/>
      <w:marRight w:val="0"/>
      <w:marTop w:val="0"/>
      <w:marBottom w:val="0"/>
      <w:divBdr>
        <w:top w:val="none" w:sz="0" w:space="0" w:color="auto"/>
        <w:left w:val="none" w:sz="0" w:space="0" w:color="auto"/>
        <w:bottom w:val="none" w:sz="0" w:space="0" w:color="auto"/>
        <w:right w:val="none" w:sz="0" w:space="0" w:color="auto"/>
      </w:divBdr>
    </w:div>
    <w:div w:id="1622491878">
      <w:bodyDiv w:val="1"/>
      <w:marLeft w:val="0"/>
      <w:marRight w:val="0"/>
      <w:marTop w:val="0"/>
      <w:marBottom w:val="0"/>
      <w:divBdr>
        <w:top w:val="none" w:sz="0" w:space="0" w:color="auto"/>
        <w:left w:val="none" w:sz="0" w:space="0" w:color="auto"/>
        <w:bottom w:val="none" w:sz="0" w:space="0" w:color="auto"/>
        <w:right w:val="none" w:sz="0" w:space="0" w:color="auto"/>
      </w:divBdr>
    </w:div>
    <w:div w:id="1652058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0AB0E-4EAF-46EC-9C84-D36BA8DBA5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5320</Words>
  <Characters>29266</Characters>
  <Application>Microsoft Office Word</Application>
  <DocSecurity>0</DocSecurity>
  <Lines>243</Lines>
  <Paragraphs>69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34517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Wautelet Patrick</dc:creator>
  <cp:keywords/>
  <dc:description/>
  <cp:lastModifiedBy>Wautelet Patrick</cp:lastModifiedBy>
  <cp:revision>2</cp:revision>
  <dcterms:created xsi:type="dcterms:W3CDTF">2019-07-03T22:54:00Z</dcterms:created>
  <dcterms:modified xsi:type="dcterms:W3CDTF">2019-07-03T22:54:00Z</dcterms:modified>
</cp:coreProperties>
</file>