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BFF4C" w14:textId="6AF18DB0" w:rsidR="006667B9" w:rsidRDefault="006667B9" w:rsidP="003D2E99">
      <w:pPr>
        <w:spacing w:line="480" w:lineRule="auto"/>
        <w:jc w:val="center"/>
        <w:rPr>
          <w:rFonts w:ascii="Arial" w:hAnsi="Arial" w:cs="Arial"/>
          <w:b/>
          <w:sz w:val="20"/>
          <w:szCs w:val="20"/>
          <w:lang w:val="en-GB"/>
        </w:rPr>
      </w:pPr>
      <w:bookmarkStart w:id="0" w:name="_Hlk520300501"/>
      <w:bookmarkStart w:id="1" w:name="_GoBack"/>
      <w:bookmarkEnd w:id="0"/>
      <w:bookmarkEnd w:id="1"/>
      <w:r>
        <w:rPr>
          <w:rFonts w:ascii="Arial" w:hAnsi="Arial" w:cs="Arial"/>
          <w:b/>
          <w:sz w:val="20"/>
          <w:szCs w:val="20"/>
          <w:lang w:val="en-GB"/>
        </w:rPr>
        <w:t>Supplementary Information</w:t>
      </w:r>
    </w:p>
    <w:p w14:paraId="2E0E0564" w14:textId="77777777" w:rsidR="006667B9" w:rsidRDefault="006667B9" w:rsidP="003D2E99">
      <w:pPr>
        <w:spacing w:line="480" w:lineRule="auto"/>
        <w:jc w:val="center"/>
        <w:rPr>
          <w:rFonts w:ascii="Arial" w:hAnsi="Arial" w:cs="Arial"/>
          <w:b/>
          <w:sz w:val="20"/>
          <w:szCs w:val="20"/>
          <w:lang w:val="en-GB"/>
        </w:rPr>
      </w:pPr>
    </w:p>
    <w:p w14:paraId="51417A07" w14:textId="77777777" w:rsidR="008E2EAF" w:rsidRPr="00A7757E" w:rsidRDefault="008E2EAF" w:rsidP="008E2EAF">
      <w:pPr>
        <w:spacing w:line="480" w:lineRule="auto"/>
        <w:jc w:val="center"/>
        <w:rPr>
          <w:rFonts w:ascii="Arial" w:hAnsi="Arial" w:cs="Arial"/>
          <w:b/>
          <w:sz w:val="20"/>
          <w:szCs w:val="20"/>
          <w:lang w:val="en-GB"/>
        </w:rPr>
      </w:pPr>
      <w:r w:rsidRPr="00A7757E">
        <w:rPr>
          <w:rFonts w:ascii="Arial" w:hAnsi="Arial" w:cs="Arial"/>
          <w:b/>
          <w:sz w:val="20"/>
          <w:szCs w:val="20"/>
          <w:lang w:val="en-GB"/>
        </w:rPr>
        <w:t>High pollutant exposure</w:t>
      </w:r>
      <w:r>
        <w:rPr>
          <w:rFonts w:ascii="Arial" w:hAnsi="Arial" w:cs="Arial"/>
          <w:b/>
          <w:sz w:val="20"/>
          <w:szCs w:val="20"/>
          <w:lang w:val="en-GB"/>
        </w:rPr>
        <w:t xml:space="preserve"> level of</w:t>
      </w:r>
      <w:r w:rsidRPr="00A7757E">
        <w:rPr>
          <w:rFonts w:ascii="Arial" w:hAnsi="Arial" w:cs="Arial"/>
          <w:b/>
          <w:sz w:val="20"/>
          <w:szCs w:val="20"/>
          <w:lang w:val="en-GB"/>
        </w:rPr>
        <w:t xml:space="preserve"> the largest European community of bottlenose dolphins in the English Channel</w:t>
      </w:r>
    </w:p>
    <w:p w14:paraId="43E8281E" w14:textId="77777777" w:rsidR="003D2E99" w:rsidRPr="00C11657" w:rsidRDefault="003D2E99" w:rsidP="003D2E99">
      <w:pPr>
        <w:spacing w:line="480" w:lineRule="auto"/>
        <w:jc w:val="center"/>
        <w:rPr>
          <w:rFonts w:ascii="Arial" w:hAnsi="Arial" w:cs="Arial"/>
          <w:sz w:val="20"/>
          <w:szCs w:val="20"/>
          <w:lang w:val="en-GB"/>
        </w:rPr>
      </w:pPr>
    </w:p>
    <w:p w14:paraId="3C57D533" w14:textId="77FD5721" w:rsidR="003D2E99" w:rsidRPr="0081145A" w:rsidRDefault="003D2E99" w:rsidP="003D2E99">
      <w:pPr>
        <w:keepNext/>
        <w:overflowPunct w:val="0"/>
        <w:autoSpaceDE w:val="0"/>
        <w:autoSpaceDN w:val="0"/>
        <w:adjustRightInd w:val="0"/>
        <w:spacing w:line="480" w:lineRule="auto"/>
        <w:jc w:val="center"/>
        <w:textAlignment w:val="baseline"/>
        <w:outlineLvl w:val="1"/>
        <w:rPr>
          <w:rFonts w:ascii="Arial" w:hAnsi="Arial" w:cs="Arial"/>
          <w:sz w:val="20"/>
          <w:szCs w:val="20"/>
          <w:vertAlign w:val="superscript"/>
          <w:lang w:val="en-GB" w:eastAsia="nl-NL"/>
        </w:rPr>
      </w:pPr>
      <w:proofErr w:type="spellStart"/>
      <w:r w:rsidRPr="0081145A">
        <w:rPr>
          <w:rFonts w:ascii="Arial" w:hAnsi="Arial" w:cs="Arial"/>
          <w:sz w:val="20"/>
          <w:szCs w:val="20"/>
          <w:lang w:val="en-GB" w:eastAsia="nl-NL"/>
        </w:rPr>
        <w:t>Cyrielle</w:t>
      </w:r>
      <w:proofErr w:type="spellEnd"/>
      <w:r w:rsidRPr="0081145A">
        <w:rPr>
          <w:rFonts w:ascii="Arial" w:hAnsi="Arial" w:cs="Arial"/>
          <w:sz w:val="20"/>
          <w:szCs w:val="20"/>
          <w:lang w:val="en-GB" w:eastAsia="nl-NL"/>
        </w:rPr>
        <w:t xml:space="preserve"> Zanuttini</w:t>
      </w:r>
      <w:r w:rsidRPr="0081145A">
        <w:rPr>
          <w:rFonts w:ascii="Arial" w:hAnsi="Arial" w:cs="Arial"/>
          <w:sz w:val="20"/>
          <w:szCs w:val="20"/>
          <w:vertAlign w:val="superscript"/>
          <w:lang w:val="en-GB" w:eastAsia="nl-NL"/>
        </w:rPr>
        <w:t>1</w:t>
      </w:r>
      <w:r w:rsidRPr="0081145A">
        <w:rPr>
          <w:rFonts w:ascii="Arial" w:hAnsi="Arial" w:cs="Arial"/>
          <w:sz w:val="20"/>
          <w:szCs w:val="20"/>
          <w:lang w:val="en-GB" w:eastAsia="nl-NL"/>
        </w:rPr>
        <w:t>, François Gally</w:t>
      </w:r>
      <w:r w:rsidRPr="0081145A">
        <w:rPr>
          <w:rFonts w:ascii="Arial" w:hAnsi="Arial" w:cs="Arial"/>
          <w:sz w:val="20"/>
          <w:szCs w:val="20"/>
          <w:vertAlign w:val="superscript"/>
          <w:lang w:val="en-GB" w:eastAsia="nl-NL"/>
        </w:rPr>
        <w:t>1</w:t>
      </w:r>
      <w:r w:rsidRPr="0081145A">
        <w:rPr>
          <w:rFonts w:ascii="Arial" w:hAnsi="Arial" w:cs="Arial"/>
          <w:sz w:val="20"/>
          <w:szCs w:val="20"/>
          <w:lang w:val="en-GB" w:eastAsia="nl-NL"/>
        </w:rPr>
        <w:t>, George</w:t>
      </w:r>
      <w:r w:rsidR="00E94DED">
        <w:rPr>
          <w:rFonts w:ascii="Arial" w:hAnsi="Arial" w:cs="Arial"/>
          <w:sz w:val="20"/>
          <w:szCs w:val="20"/>
          <w:lang w:val="en-GB" w:eastAsia="nl-NL"/>
        </w:rPr>
        <w:t>s</w:t>
      </w:r>
      <w:r w:rsidRPr="0081145A">
        <w:rPr>
          <w:rFonts w:ascii="Arial" w:hAnsi="Arial" w:cs="Arial"/>
          <w:sz w:val="20"/>
          <w:szCs w:val="20"/>
          <w:lang w:val="en-GB" w:eastAsia="nl-NL"/>
        </w:rPr>
        <w:t xml:space="preserve"> Scholl</w:t>
      </w:r>
      <w:r w:rsidRPr="0081145A">
        <w:rPr>
          <w:rFonts w:ascii="Arial" w:hAnsi="Arial" w:cs="Arial"/>
          <w:sz w:val="20"/>
          <w:szCs w:val="20"/>
          <w:vertAlign w:val="superscript"/>
          <w:lang w:val="en-GB" w:eastAsia="nl-NL"/>
        </w:rPr>
        <w:t>2</w:t>
      </w:r>
      <w:r w:rsidRPr="0081145A">
        <w:rPr>
          <w:rFonts w:ascii="Arial" w:hAnsi="Arial" w:cs="Arial"/>
          <w:sz w:val="20"/>
          <w:szCs w:val="20"/>
          <w:lang w:val="en-GB" w:eastAsia="nl-NL"/>
        </w:rPr>
        <w:t>, Jean-Pierre Thomé</w:t>
      </w:r>
      <w:r w:rsidRPr="0081145A">
        <w:rPr>
          <w:rFonts w:ascii="Arial" w:hAnsi="Arial" w:cs="Arial"/>
          <w:sz w:val="20"/>
          <w:szCs w:val="20"/>
          <w:vertAlign w:val="superscript"/>
          <w:lang w:val="en-GB" w:eastAsia="nl-NL"/>
        </w:rPr>
        <w:t>3</w:t>
      </w:r>
      <w:r w:rsidRPr="0081145A">
        <w:rPr>
          <w:rFonts w:ascii="Arial" w:hAnsi="Arial" w:cs="Arial"/>
          <w:sz w:val="20"/>
          <w:szCs w:val="20"/>
          <w:lang w:val="en-GB" w:eastAsia="nl-NL"/>
        </w:rPr>
        <w:t>,</w:t>
      </w:r>
      <w:r w:rsidRPr="0081145A">
        <w:rPr>
          <w:rFonts w:ascii="Arial" w:hAnsi="Arial" w:cs="Arial"/>
          <w:sz w:val="20"/>
          <w:szCs w:val="20"/>
          <w:vertAlign w:val="superscript"/>
          <w:lang w:val="en-GB" w:eastAsia="nl-NL"/>
        </w:rPr>
        <w:t xml:space="preserve"> </w:t>
      </w:r>
      <w:r w:rsidRPr="0081145A">
        <w:rPr>
          <w:rFonts w:ascii="Arial" w:hAnsi="Arial" w:cs="Arial"/>
          <w:sz w:val="20"/>
          <w:szCs w:val="20"/>
          <w:lang w:val="en-GB" w:eastAsia="nl-NL"/>
        </w:rPr>
        <w:t>Gauthier Eppe</w:t>
      </w:r>
      <w:r w:rsidRPr="0081145A">
        <w:rPr>
          <w:rFonts w:ascii="Arial" w:hAnsi="Arial" w:cs="Arial"/>
          <w:sz w:val="20"/>
          <w:szCs w:val="20"/>
          <w:vertAlign w:val="superscript"/>
          <w:lang w:val="en-GB" w:eastAsia="nl-NL"/>
        </w:rPr>
        <w:t>2</w:t>
      </w:r>
      <w:r w:rsidRPr="0081145A">
        <w:rPr>
          <w:rFonts w:ascii="Arial" w:hAnsi="Arial" w:cs="Arial"/>
          <w:sz w:val="20"/>
          <w:szCs w:val="20"/>
          <w:lang w:val="en-GB" w:eastAsia="nl-NL"/>
        </w:rPr>
        <w:t>, Krishna Das</w:t>
      </w:r>
      <w:r w:rsidRPr="0081145A">
        <w:rPr>
          <w:rFonts w:ascii="Arial" w:hAnsi="Arial" w:cs="Arial"/>
          <w:sz w:val="20"/>
          <w:szCs w:val="20"/>
          <w:vertAlign w:val="superscript"/>
          <w:lang w:val="en-GB" w:eastAsia="nl-NL"/>
        </w:rPr>
        <w:t>4</w:t>
      </w:r>
    </w:p>
    <w:p w14:paraId="109AD840" w14:textId="77777777" w:rsidR="003D2E99" w:rsidRPr="00FF7872" w:rsidRDefault="003D2E99" w:rsidP="003D2E99">
      <w:pPr>
        <w:keepNext/>
        <w:overflowPunct w:val="0"/>
        <w:autoSpaceDE w:val="0"/>
        <w:autoSpaceDN w:val="0"/>
        <w:adjustRightInd w:val="0"/>
        <w:spacing w:line="480" w:lineRule="auto"/>
        <w:jc w:val="both"/>
        <w:textAlignment w:val="baseline"/>
        <w:outlineLvl w:val="1"/>
        <w:rPr>
          <w:rFonts w:ascii="Arial" w:hAnsi="Arial" w:cs="Arial"/>
          <w:sz w:val="20"/>
          <w:szCs w:val="20"/>
          <w:lang w:eastAsia="nl-NL"/>
        </w:rPr>
      </w:pPr>
      <w:r w:rsidRPr="00FF7872">
        <w:rPr>
          <w:rFonts w:ascii="Arial" w:hAnsi="Arial" w:cs="Arial"/>
          <w:sz w:val="20"/>
          <w:szCs w:val="20"/>
          <w:vertAlign w:val="superscript"/>
          <w:lang w:eastAsia="nl-NL"/>
        </w:rPr>
        <w:t xml:space="preserve">1 </w:t>
      </w:r>
      <w:r w:rsidRPr="00FF7872">
        <w:rPr>
          <w:rFonts w:ascii="Arial" w:hAnsi="Arial" w:cs="Arial"/>
          <w:sz w:val="20"/>
          <w:szCs w:val="20"/>
          <w:lang w:eastAsia="nl-NL"/>
        </w:rPr>
        <w:t>Groupe d'</w:t>
      </w:r>
      <w:proofErr w:type="spellStart"/>
      <w:r w:rsidRPr="00FF7872">
        <w:rPr>
          <w:rFonts w:ascii="Arial" w:hAnsi="Arial" w:cs="Arial"/>
          <w:sz w:val="20"/>
          <w:szCs w:val="20"/>
          <w:lang w:eastAsia="nl-NL"/>
        </w:rPr>
        <w:t>Etude</w:t>
      </w:r>
      <w:proofErr w:type="spellEnd"/>
      <w:r w:rsidRPr="00FF7872">
        <w:rPr>
          <w:rFonts w:ascii="Arial" w:hAnsi="Arial" w:cs="Arial"/>
          <w:sz w:val="20"/>
          <w:szCs w:val="20"/>
          <w:lang w:eastAsia="nl-NL"/>
        </w:rPr>
        <w:t xml:space="preserve"> des Cétacés du Cotentin (GECC), Place des Justes, 50130, Cherbourg-Octeville, France</w:t>
      </w:r>
    </w:p>
    <w:p w14:paraId="1F66D71C" w14:textId="77777777" w:rsidR="003D2E99" w:rsidRPr="00C11657" w:rsidRDefault="003D2E99" w:rsidP="003D2E99">
      <w:pPr>
        <w:spacing w:line="480" w:lineRule="auto"/>
        <w:ind w:left="170" w:hanging="170"/>
        <w:rPr>
          <w:rFonts w:ascii="Arial" w:eastAsia="MS Mincho" w:hAnsi="Arial" w:cs="Arial"/>
          <w:sz w:val="20"/>
          <w:szCs w:val="20"/>
          <w:lang w:val="en-GB"/>
        </w:rPr>
      </w:pPr>
      <w:r w:rsidRPr="00C11657">
        <w:rPr>
          <w:rFonts w:ascii="Arial" w:eastAsia="MS Mincho" w:hAnsi="Arial" w:cs="Arial"/>
          <w:sz w:val="20"/>
          <w:szCs w:val="20"/>
          <w:vertAlign w:val="superscript"/>
          <w:lang w:val="en-GB"/>
        </w:rPr>
        <w:t>2</w:t>
      </w:r>
      <w:r w:rsidRPr="00C11657">
        <w:rPr>
          <w:rFonts w:ascii="Arial" w:eastAsia="MS Mincho" w:hAnsi="Arial" w:cs="Arial"/>
          <w:sz w:val="20"/>
          <w:szCs w:val="20"/>
          <w:lang w:val="en-GB"/>
        </w:rPr>
        <w:t xml:space="preserve"> CART, UR </w:t>
      </w:r>
      <w:proofErr w:type="spellStart"/>
      <w:r w:rsidRPr="00C11657">
        <w:rPr>
          <w:rFonts w:ascii="Arial" w:eastAsia="MS Mincho" w:hAnsi="Arial" w:cs="Arial"/>
          <w:sz w:val="20"/>
          <w:szCs w:val="20"/>
          <w:lang w:val="en-GB"/>
        </w:rPr>
        <w:t>MolSys</w:t>
      </w:r>
      <w:proofErr w:type="spellEnd"/>
      <w:r w:rsidRPr="00C11657">
        <w:rPr>
          <w:rFonts w:ascii="Arial" w:eastAsia="MS Mincho" w:hAnsi="Arial" w:cs="Arial"/>
          <w:sz w:val="20"/>
          <w:szCs w:val="20"/>
          <w:lang w:val="en-GB"/>
        </w:rPr>
        <w:t xml:space="preserve"> B6c, University of Liège, 4000, Liège, Belgium</w:t>
      </w:r>
    </w:p>
    <w:p w14:paraId="47570811" w14:textId="77777777" w:rsidR="003D2E99" w:rsidRPr="00C11657" w:rsidRDefault="003D2E99" w:rsidP="003D2E99">
      <w:pPr>
        <w:spacing w:line="480" w:lineRule="auto"/>
        <w:rPr>
          <w:rFonts w:ascii="Arial" w:eastAsia="MS Mincho" w:hAnsi="Arial" w:cs="Arial"/>
          <w:sz w:val="20"/>
          <w:szCs w:val="20"/>
          <w:lang w:val="en-GB"/>
        </w:rPr>
      </w:pPr>
      <w:r w:rsidRPr="00C11657">
        <w:rPr>
          <w:rFonts w:ascii="Arial" w:eastAsia="MS Mincho" w:hAnsi="Arial" w:cs="Arial"/>
          <w:sz w:val="20"/>
          <w:szCs w:val="20"/>
          <w:vertAlign w:val="superscript"/>
          <w:lang w:val="en-GB"/>
        </w:rPr>
        <w:t>3</w:t>
      </w:r>
      <w:r>
        <w:rPr>
          <w:rFonts w:ascii="Arial" w:eastAsia="MS Mincho" w:hAnsi="Arial" w:cs="Arial"/>
          <w:sz w:val="20"/>
          <w:szCs w:val="20"/>
          <w:vertAlign w:val="superscript"/>
          <w:lang w:val="en-GB"/>
        </w:rPr>
        <w:t xml:space="preserve"> </w:t>
      </w:r>
      <w:r w:rsidRPr="004B4D68">
        <w:rPr>
          <w:rFonts w:ascii="Arial" w:eastAsia="MS Mincho" w:hAnsi="Arial" w:cs="Arial"/>
          <w:sz w:val="20"/>
          <w:szCs w:val="20"/>
          <w:lang w:val="en-GB"/>
        </w:rPr>
        <w:t>CART</w:t>
      </w:r>
      <w:r>
        <w:rPr>
          <w:rFonts w:ascii="Arial" w:eastAsia="MS Mincho" w:hAnsi="Arial" w:cs="Arial"/>
          <w:iCs/>
          <w:sz w:val="20"/>
          <w:szCs w:val="20"/>
          <w:lang w:val="en-GB" w:eastAsia="nl-NL"/>
        </w:rPr>
        <w:t xml:space="preserve">-LEAE, </w:t>
      </w:r>
      <w:r w:rsidRPr="00C11657">
        <w:rPr>
          <w:rFonts w:ascii="Arial" w:eastAsia="MS Mincho" w:hAnsi="Arial" w:cs="Arial"/>
          <w:iCs/>
          <w:sz w:val="20"/>
          <w:szCs w:val="20"/>
          <w:lang w:val="en-GB" w:eastAsia="nl-NL"/>
        </w:rPr>
        <w:t xml:space="preserve">Freshwater and Oceanic sciences Unit of </w:t>
      </w:r>
      <w:proofErr w:type="spellStart"/>
      <w:r w:rsidRPr="00C11657">
        <w:rPr>
          <w:rFonts w:ascii="Arial" w:eastAsia="MS Mincho" w:hAnsi="Arial" w:cs="Arial"/>
          <w:iCs/>
          <w:sz w:val="20"/>
          <w:szCs w:val="20"/>
          <w:lang w:val="en-GB" w:eastAsia="nl-NL"/>
        </w:rPr>
        <w:t>reSearch</w:t>
      </w:r>
      <w:proofErr w:type="spellEnd"/>
      <w:r w:rsidRPr="00C11657">
        <w:rPr>
          <w:rFonts w:ascii="Arial" w:eastAsia="MS Mincho" w:hAnsi="Arial" w:cs="Arial"/>
          <w:iCs/>
          <w:sz w:val="20"/>
          <w:szCs w:val="20"/>
          <w:lang w:val="en-GB" w:eastAsia="nl-NL"/>
        </w:rPr>
        <w:t xml:space="preserve"> (FOCUS- </w:t>
      </w:r>
      <w:r w:rsidRPr="00C11657">
        <w:rPr>
          <w:rFonts w:ascii="Arial" w:eastAsia="MS Mincho" w:hAnsi="Arial" w:cs="Arial"/>
          <w:sz w:val="20"/>
          <w:szCs w:val="20"/>
          <w:lang w:val="en-GB"/>
        </w:rPr>
        <w:t>CART-LEAE)</w:t>
      </w:r>
      <w:r w:rsidRPr="00C11657">
        <w:rPr>
          <w:rFonts w:ascii="Arial" w:eastAsia="MS Mincho" w:hAnsi="Arial" w:cs="Arial"/>
          <w:sz w:val="20"/>
          <w:szCs w:val="20"/>
          <w:vertAlign w:val="superscript"/>
          <w:lang w:val="en-GB"/>
        </w:rPr>
        <w:t>3</w:t>
      </w:r>
      <w:r w:rsidRPr="00C11657">
        <w:rPr>
          <w:rFonts w:ascii="Arial" w:eastAsia="MS Mincho" w:hAnsi="Arial" w:cs="Arial"/>
          <w:sz w:val="20"/>
          <w:szCs w:val="20"/>
          <w:lang w:val="en-GB"/>
        </w:rPr>
        <w:t xml:space="preserve">, </w:t>
      </w:r>
      <w:r w:rsidRPr="00C11657">
        <w:rPr>
          <w:rFonts w:ascii="Arial" w:eastAsia="MS Mincho" w:hAnsi="Arial" w:cs="Arial"/>
          <w:iCs/>
          <w:sz w:val="20"/>
          <w:szCs w:val="20"/>
          <w:lang w:val="en-GB" w:eastAsia="nl-NL"/>
        </w:rPr>
        <w:t>B6C, University of Liège, Liège ,Belgium</w:t>
      </w:r>
    </w:p>
    <w:p w14:paraId="70DD452C" w14:textId="77777777" w:rsidR="003D2E99" w:rsidRPr="00C11657" w:rsidRDefault="003D2E99" w:rsidP="003D2E99">
      <w:pPr>
        <w:keepNext/>
        <w:overflowPunct w:val="0"/>
        <w:autoSpaceDE w:val="0"/>
        <w:autoSpaceDN w:val="0"/>
        <w:adjustRightInd w:val="0"/>
        <w:spacing w:line="480" w:lineRule="auto"/>
        <w:jc w:val="both"/>
        <w:textAlignment w:val="baseline"/>
        <w:outlineLvl w:val="1"/>
        <w:rPr>
          <w:rFonts w:ascii="Arial" w:eastAsia="MS Mincho" w:hAnsi="Arial" w:cs="Arial"/>
          <w:sz w:val="20"/>
          <w:szCs w:val="20"/>
          <w:lang w:val="en-GB" w:eastAsia="nl-NL"/>
        </w:rPr>
      </w:pPr>
      <w:r w:rsidRPr="00C11657">
        <w:rPr>
          <w:rFonts w:ascii="Arial" w:eastAsia="MS Mincho" w:hAnsi="Arial" w:cs="Arial"/>
          <w:sz w:val="20"/>
          <w:szCs w:val="20"/>
          <w:vertAlign w:val="superscript"/>
          <w:lang w:val="en-GB" w:eastAsia="nl-NL"/>
        </w:rPr>
        <w:t xml:space="preserve">4 </w:t>
      </w:r>
      <w:r w:rsidRPr="00C11657">
        <w:rPr>
          <w:rFonts w:ascii="Arial" w:eastAsia="MS Mincho" w:hAnsi="Arial" w:cs="Arial"/>
          <w:iCs/>
          <w:sz w:val="20"/>
          <w:szCs w:val="20"/>
          <w:lang w:val="en-GB" w:eastAsia="nl-NL"/>
        </w:rPr>
        <w:t xml:space="preserve">Freshwater and Oceanic sciences Unit of </w:t>
      </w:r>
      <w:proofErr w:type="spellStart"/>
      <w:r w:rsidRPr="00C11657">
        <w:rPr>
          <w:rFonts w:ascii="Arial" w:eastAsia="MS Mincho" w:hAnsi="Arial" w:cs="Arial"/>
          <w:iCs/>
          <w:sz w:val="20"/>
          <w:szCs w:val="20"/>
          <w:lang w:val="en-GB" w:eastAsia="nl-NL"/>
        </w:rPr>
        <w:t>reSearch</w:t>
      </w:r>
      <w:proofErr w:type="spellEnd"/>
      <w:r w:rsidRPr="00C11657">
        <w:rPr>
          <w:rFonts w:ascii="Arial" w:eastAsia="MS Mincho" w:hAnsi="Arial" w:cs="Arial"/>
          <w:iCs/>
          <w:sz w:val="20"/>
          <w:szCs w:val="20"/>
          <w:lang w:val="en-GB" w:eastAsia="nl-NL"/>
        </w:rPr>
        <w:t xml:space="preserve"> (FOCUS-Oceanology), B6C, University of Liège, Liège ,Belgium</w:t>
      </w:r>
      <w:r w:rsidRPr="00C11657" w:rsidDel="009B6B63">
        <w:rPr>
          <w:rFonts w:ascii="Arial" w:eastAsia="MS Mincho" w:hAnsi="Arial" w:cs="Arial"/>
          <w:iCs/>
          <w:sz w:val="20"/>
          <w:szCs w:val="20"/>
          <w:lang w:val="en-GB" w:eastAsia="nl-NL"/>
        </w:rPr>
        <w:t xml:space="preserve"> </w:t>
      </w:r>
    </w:p>
    <w:p w14:paraId="04A11C09" w14:textId="77777777" w:rsidR="009435DD" w:rsidRPr="00C11657" w:rsidRDefault="009435DD" w:rsidP="009435DD">
      <w:pPr>
        <w:spacing w:line="480" w:lineRule="auto"/>
        <w:jc w:val="both"/>
        <w:rPr>
          <w:rFonts w:ascii="Arial" w:hAnsi="Arial" w:cs="Arial"/>
          <w:sz w:val="20"/>
          <w:szCs w:val="20"/>
          <w:lang w:val="en-GB"/>
        </w:rPr>
      </w:pPr>
      <w:r w:rsidRPr="00C11657">
        <w:rPr>
          <w:rFonts w:ascii="Arial" w:hAnsi="Arial" w:cs="Arial"/>
          <w:sz w:val="20"/>
          <w:szCs w:val="20"/>
          <w:lang w:val="en-GB"/>
        </w:rPr>
        <w:t xml:space="preserve">Corresponding author: </w:t>
      </w:r>
      <w:hyperlink r:id="rId6" w:history="1">
        <w:r w:rsidRPr="00C11657">
          <w:rPr>
            <w:rStyle w:val="Lienhypertexte"/>
            <w:rFonts w:ascii="Arial" w:hAnsi="Arial" w:cs="Arial"/>
            <w:sz w:val="20"/>
            <w:szCs w:val="20"/>
            <w:lang w:val="en-GB"/>
          </w:rPr>
          <w:t>Krishna.das@uliege.be</w:t>
        </w:r>
      </w:hyperlink>
      <w:r w:rsidRPr="00C11657">
        <w:rPr>
          <w:rFonts w:ascii="Arial" w:hAnsi="Arial" w:cs="Arial"/>
          <w:sz w:val="20"/>
          <w:szCs w:val="20"/>
          <w:lang w:val="en-GB"/>
        </w:rPr>
        <w:t xml:space="preserve"> </w:t>
      </w:r>
    </w:p>
    <w:p w14:paraId="33BD2FD4" w14:textId="77777777" w:rsidR="008E218F" w:rsidRDefault="008E218F">
      <w:pPr>
        <w:rPr>
          <w:rFonts w:ascii="Arial" w:hAnsi="Arial" w:cs="Arial"/>
          <w:color w:val="1F3864" w:themeColor="accent1" w:themeShade="80"/>
          <w:sz w:val="20"/>
          <w:szCs w:val="20"/>
          <w:lang w:val="en-GB"/>
        </w:rPr>
      </w:pPr>
      <w:r>
        <w:rPr>
          <w:rFonts w:ascii="Arial" w:hAnsi="Arial" w:cs="Arial"/>
          <w:color w:val="1F3864" w:themeColor="accent1" w:themeShade="80"/>
          <w:sz w:val="20"/>
          <w:szCs w:val="20"/>
          <w:lang w:val="en-GB"/>
        </w:rPr>
        <w:br w:type="page"/>
      </w:r>
    </w:p>
    <w:p w14:paraId="7BE0B872" w14:textId="77777777" w:rsidR="009435DD" w:rsidRDefault="009435DD" w:rsidP="00802FE9">
      <w:pPr>
        <w:spacing w:line="480" w:lineRule="auto"/>
        <w:jc w:val="center"/>
        <w:rPr>
          <w:rFonts w:ascii="Arial" w:hAnsi="Arial" w:cs="Arial"/>
          <w:color w:val="1F3864" w:themeColor="accent1" w:themeShade="80"/>
          <w:sz w:val="20"/>
          <w:szCs w:val="20"/>
          <w:lang w:val="en-GB"/>
        </w:rPr>
      </w:pPr>
    </w:p>
    <w:p w14:paraId="7710E4D9" w14:textId="77777777" w:rsidR="000D7BAC" w:rsidRPr="00996D96" w:rsidRDefault="000D7BAC" w:rsidP="00802FE9">
      <w:pPr>
        <w:spacing w:line="480" w:lineRule="auto"/>
        <w:jc w:val="center"/>
        <w:rPr>
          <w:rFonts w:ascii="Arial" w:hAnsi="Arial" w:cs="Arial"/>
          <w:b/>
          <w:color w:val="000000" w:themeColor="text1"/>
          <w:sz w:val="20"/>
          <w:szCs w:val="20"/>
          <w:lang w:val="en-GB"/>
        </w:rPr>
      </w:pPr>
      <w:r w:rsidRPr="00996D96">
        <w:rPr>
          <w:rFonts w:ascii="Arial" w:hAnsi="Arial" w:cs="Arial"/>
          <w:b/>
          <w:color w:val="000000" w:themeColor="text1"/>
          <w:sz w:val="20"/>
          <w:szCs w:val="20"/>
          <w:lang w:val="en-GB"/>
        </w:rPr>
        <w:t>Table S1: Sampling description and pollutant investigations</w:t>
      </w:r>
      <w:r w:rsidR="00802FE9" w:rsidRPr="00996D96">
        <w:rPr>
          <w:rFonts w:ascii="Arial" w:hAnsi="Arial" w:cs="Arial"/>
          <w:b/>
          <w:color w:val="000000" w:themeColor="text1"/>
          <w:sz w:val="20"/>
          <w:szCs w:val="20"/>
          <w:lang w:val="en-GB"/>
        </w:rPr>
        <w:t xml:space="preserve"> per individual</w:t>
      </w:r>
    </w:p>
    <w:tbl>
      <w:tblPr>
        <w:tblW w:w="0" w:type="auto"/>
        <w:tblInd w:w="-45" w:type="dxa"/>
        <w:tblCellMar>
          <w:left w:w="70" w:type="dxa"/>
          <w:right w:w="70" w:type="dxa"/>
        </w:tblCellMar>
        <w:tblLook w:val="0000" w:firstRow="0" w:lastRow="0" w:firstColumn="0" w:lastColumn="0" w:noHBand="0" w:noVBand="0"/>
      </w:tblPr>
      <w:tblGrid>
        <w:gridCol w:w="818"/>
        <w:gridCol w:w="2258"/>
        <w:gridCol w:w="3169"/>
        <w:gridCol w:w="2087"/>
        <w:gridCol w:w="749"/>
      </w:tblGrid>
      <w:tr w:rsidR="000D7BAC" w:rsidRPr="000D7BAC" w14:paraId="09F4CE95" w14:textId="77777777" w:rsidTr="000D7BAC">
        <w:trPr>
          <w:trHeight w:val="1140"/>
        </w:trPr>
        <w:tc>
          <w:tcPr>
            <w:tcW w:w="0" w:type="auto"/>
            <w:tcBorders>
              <w:top w:val="single" w:sz="12" w:space="0" w:color="auto"/>
              <w:left w:val="single" w:sz="12" w:space="0" w:color="auto"/>
              <w:bottom w:val="single" w:sz="12" w:space="0" w:color="auto"/>
              <w:right w:val="single" w:sz="6" w:space="0" w:color="auto"/>
            </w:tcBorders>
            <w:vAlign w:val="center"/>
          </w:tcPr>
          <w:p w14:paraId="5E28475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Individual</w:t>
            </w:r>
          </w:p>
        </w:tc>
        <w:tc>
          <w:tcPr>
            <w:tcW w:w="0" w:type="auto"/>
            <w:tcBorders>
              <w:top w:val="single" w:sz="12" w:space="0" w:color="auto"/>
              <w:left w:val="single" w:sz="6" w:space="0" w:color="auto"/>
              <w:bottom w:val="single" w:sz="12" w:space="0" w:color="auto"/>
              <w:right w:val="single" w:sz="6" w:space="0" w:color="auto"/>
            </w:tcBorders>
            <w:vAlign w:val="center"/>
          </w:tcPr>
          <w:p w14:paraId="4A461E89" w14:textId="77777777" w:rsidR="00802FE9"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 xml:space="preserve">∑6PCBs, ∑PBDEs, ∑DDTs, ∑HCHs, HCB </w:t>
            </w:r>
          </w:p>
          <w:p w14:paraId="7F0E5B9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n=46</w:t>
            </w:r>
          </w:p>
        </w:tc>
        <w:tc>
          <w:tcPr>
            <w:tcW w:w="0" w:type="auto"/>
            <w:tcBorders>
              <w:top w:val="single" w:sz="12" w:space="0" w:color="auto"/>
              <w:left w:val="single" w:sz="6" w:space="0" w:color="auto"/>
              <w:bottom w:val="single" w:sz="12" w:space="0" w:color="auto"/>
              <w:right w:val="single" w:sz="6" w:space="0" w:color="auto"/>
            </w:tcBorders>
            <w:vAlign w:val="center"/>
          </w:tcPr>
          <w:p w14:paraId="64DD7AD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PCDD/Fs, PCB-DL, ∑6PCBs, ∑PBDEs, ∑DDTs, ∑HCHs, HCB</w:t>
            </w:r>
          </w:p>
          <w:p w14:paraId="1FBD633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n=12</w:t>
            </w:r>
          </w:p>
        </w:tc>
        <w:tc>
          <w:tcPr>
            <w:tcW w:w="0" w:type="auto"/>
            <w:tcBorders>
              <w:top w:val="single" w:sz="12" w:space="0" w:color="auto"/>
              <w:left w:val="single" w:sz="6" w:space="0" w:color="auto"/>
              <w:bottom w:val="single" w:sz="12" w:space="0" w:color="auto"/>
              <w:right w:val="single" w:sz="6" w:space="0" w:color="auto"/>
            </w:tcBorders>
            <w:vAlign w:val="center"/>
          </w:tcPr>
          <w:p w14:paraId="3F9507A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 xml:space="preserve">∑Chlordane, </w:t>
            </w:r>
            <w:proofErr w:type="spellStart"/>
            <w:r w:rsidRPr="000D7BAC">
              <w:rPr>
                <w:rFonts w:ascii="Arial" w:eastAsiaTheme="minorHAnsi" w:hAnsi="Arial" w:cs="Arial"/>
                <w:color w:val="000000"/>
                <w:sz w:val="16"/>
                <w:szCs w:val="16"/>
                <w:lang w:val="en-GB" w:eastAsia="en-US"/>
              </w:rPr>
              <w:t>Dieldrine</w:t>
            </w:r>
            <w:proofErr w:type="spellEnd"/>
            <w:r w:rsidRPr="000D7BAC">
              <w:rPr>
                <w:rFonts w:ascii="Arial" w:eastAsiaTheme="minorHAnsi" w:hAnsi="Arial" w:cs="Arial"/>
                <w:color w:val="000000"/>
                <w:sz w:val="16"/>
                <w:szCs w:val="16"/>
                <w:lang w:val="en-GB" w:eastAsia="en-US"/>
              </w:rPr>
              <w:t>, ∑</w:t>
            </w:r>
            <w:proofErr w:type="spellStart"/>
            <w:r w:rsidRPr="000D7BAC">
              <w:rPr>
                <w:rFonts w:ascii="Arial" w:eastAsiaTheme="minorHAnsi" w:hAnsi="Arial" w:cs="Arial"/>
                <w:color w:val="000000"/>
                <w:sz w:val="16"/>
                <w:szCs w:val="16"/>
                <w:lang w:val="en-GB" w:eastAsia="en-US"/>
              </w:rPr>
              <w:t>Endosulfan</w:t>
            </w:r>
            <w:proofErr w:type="spellEnd"/>
            <w:r w:rsidRPr="000D7BAC">
              <w:rPr>
                <w:rFonts w:ascii="Arial" w:eastAsiaTheme="minorHAnsi" w:hAnsi="Arial" w:cs="Arial"/>
                <w:color w:val="000000"/>
                <w:sz w:val="16"/>
                <w:szCs w:val="16"/>
                <w:lang w:val="en-GB" w:eastAsia="en-US"/>
              </w:rPr>
              <w:t xml:space="preserve"> </w:t>
            </w:r>
          </w:p>
          <w:p w14:paraId="53539278" w14:textId="77777777" w:rsidR="000D7BAC" w:rsidRPr="000D7BAC" w:rsidRDefault="00802FE9"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n=21</w:t>
            </w:r>
          </w:p>
          <w:p w14:paraId="4826E8A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12" w:space="0" w:color="auto"/>
              <w:left w:val="single" w:sz="6" w:space="0" w:color="auto"/>
              <w:bottom w:val="single" w:sz="12" w:space="0" w:color="auto"/>
              <w:right w:val="single" w:sz="12" w:space="0" w:color="auto"/>
            </w:tcBorders>
            <w:vAlign w:val="center"/>
          </w:tcPr>
          <w:p w14:paraId="17B8071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T-Hg</w:t>
            </w:r>
            <w:r w:rsidR="00802FE9">
              <w:rPr>
                <w:rFonts w:ascii="Arial" w:eastAsiaTheme="minorHAnsi" w:hAnsi="Arial" w:cs="Arial"/>
                <w:color w:val="000000"/>
                <w:sz w:val="16"/>
                <w:szCs w:val="16"/>
                <w:lang w:val="en-GB" w:eastAsia="en-US"/>
              </w:rPr>
              <w:t xml:space="preserve"> n=69</w:t>
            </w:r>
          </w:p>
        </w:tc>
      </w:tr>
      <w:tr w:rsidR="000D7BAC" w:rsidRPr="000D7BAC" w14:paraId="6E3C5A70" w14:textId="77777777" w:rsidTr="000D7BAC">
        <w:trPr>
          <w:trHeight w:val="280"/>
        </w:trPr>
        <w:tc>
          <w:tcPr>
            <w:tcW w:w="0" w:type="auto"/>
            <w:tcBorders>
              <w:top w:val="nil"/>
              <w:left w:val="single" w:sz="12" w:space="0" w:color="auto"/>
              <w:bottom w:val="single" w:sz="6" w:space="0" w:color="auto"/>
              <w:right w:val="single" w:sz="6" w:space="0" w:color="auto"/>
            </w:tcBorders>
            <w:vAlign w:val="center"/>
          </w:tcPr>
          <w:p w14:paraId="0FA5D9B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1</w:t>
            </w:r>
          </w:p>
        </w:tc>
        <w:tc>
          <w:tcPr>
            <w:tcW w:w="0" w:type="auto"/>
            <w:tcBorders>
              <w:top w:val="nil"/>
              <w:left w:val="single" w:sz="6" w:space="0" w:color="auto"/>
              <w:bottom w:val="single" w:sz="6" w:space="0" w:color="auto"/>
              <w:right w:val="single" w:sz="6" w:space="0" w:color="auto"/>
            </w:tcBorders>
            <w:vAlign w:val="center"/>
          </w:tcPr>
          <w:p w14:paraId="689DDBB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nil"/>
              <w:left w:val="single" w:sz="6" w:space="0" w:color="auto"/>
              <w:bottom w:val="single" w:sz="6" w:space="0" w:color="auto"/>
              <w:right w:val="single" w:sz="6" w:space="0" w:color="auto"/>
            </w:tcBorders>
            <w:vAlign w:val="center"/>
          </w:tcPr>
          <w:p w14:paraId="0B02784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nil"/>
              <w:left w:val="single" w:sz="6" w:space="0" w:color="auto"/>
              <w:bottom w:val="single" w:sz="6" w:space="0" w:color="auto"/>
              <w:right w:val="single" w:sz="6" w:space="0" w:color="auto"/>
            </w:tcBorders>
            <w:vAlign w:val="center"/>
          </w:tcPr>
          <w:p w14:paraId="78CC5D1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nil"/>
              <w:left w:val="single" w:sz="6" w:space="0" w:color="auto"/>
              <w:bottom w:val="single" w:sz="6" w:space="0" w:color="auto"/>
              <w:right w:val="single" w:sz="12" w:space="0" w:color="auto"/>
            </w:tcBorders>
            <w:vAlign w:val="center"/>
          </w:tcPr>
          <w:p w14:paraId="531BD80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37279626"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1C66743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2</w:t>
            </w:r>
          </w:p>
        </w:tc>
        <w:tc>
          <w:tcPr>
            <w:tcW w:w="0" w:type="auto"/>
            <w:tcBorders>
              <w:top w:val="single" w:sz="6" w:space="0" w:color="auto"/>
              <w:left w:val="single" w:sz="6" w:space="0" w:color="auto"/>
              <w:bottom w:val="single" w:sz="6" w:space="0" w:color="auto"/>
              <w:right w:val="single" w:sz="6" w:space="0" w:color="auto"/>
            </w:tcBorders>
            <w:vAlign w:val="center"/>
          </w:tcPr>
          <w:p w14:paraId="21857A2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18AC4D5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2520B3C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729E1F6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6608B1FC"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04B800A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3</w:t>
            </w:r>
          </w:p>
        </w:tc>
        <w:tc>
          <w:tcPr>
            <w:tcW w:w="0" w:type="auto"/>
            <w:tcBorders>
              <w:top w:val="single" w:sz="6" w:space="0" w:color="auto"/>
              <w:left w:val="single" w:sz="6" w:space="0" w:color="auto"/>
              <w:bottom w:val="single" w:sz="6" w:space="0" w:color="auto"/>
              <w:right w:val="single" w:sz="6" w:space="0" w:color="auto"/>
            </w:tcBorders>
            <w:vAlign w:val="center"/>
          </w:tcPr>
          <w:p w14:paraId="21FDE02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238C4D8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5887BB7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6A309D2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410F0920"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76A0F6D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4</w:t>
            </w:r>
          </w:p>
        </w:tc>
        <w:tc>
          <w:tcPr>
            <w:tcW w:w="0" w:type="auto"/>
            <w:tcBorders>
              <w:top w:val="single" w:sz="6" w:space="0" w:color="auto"/>
              <w:left w:val="single" w:sz="6" w:space="0" w:color="auto"/>
              <w:bottom w:val="single" w:sz="6" w:space="0" w:color="auto"/>
              <w:right w:val="single" w:sz="6" w:space="0" w:color="auto"/>
            </w:tcBorders>
            <w:vAlign w:val="center"/>
          </w:tcPr>
          <w:p w14:paraId="1829D42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7BD557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5584293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4A2D25C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1EDD21A0"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78DDF58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5</w:t>
            </w:r>
          </w:p>
        </w:tc>
        <w:tc>
          <w:tcPr>
            <w:tcW w:w="0" w:type="auto"/>
            <w:tcBorders>
              <w:top w:val="single" w:sz="6" w:space="0" w:color="auto"/>
              <w:left w:val="single" w:sz="6" w:space="0" w:color="auto"/>
              <w:bottom w:val="single" w:sz="6" w:space="0" w:color="auto"/>
              <w:right w:val="single" w:sz="6" w:space="0" w:color="auto"/>
            </w:tcBorders>
            <w:vAlign w:val="center"/>
          </w:tcPr>
          <w:p w14:paraId="762215C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14A9B74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4DE8E5C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7AC2D11C" w14:textId="77777777" w:rsidR="000D7BAC" w:rsidRPr="000D7BAC" w:rsidRDefault="00506402"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23922AB9"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75AD642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6</w:t>
            </w:r>
          </w:p>
        </w:tc>
        <w:tc>
          <w:tcPr>
            <w:tcW w:w="0" w:type="auto"/>
            <w:tcBorders>
              <w:top w:val="single" w:sz="6" w:space="0" w:color="auto"/>
              <w:left w:val="single" w:sz="6" w:space="0" w:color="auto"/>
              <w:bottom w:val="single" w:sz="6" w:space="0" w:color="auto"/>
              <w:right w:val="single" w:sz="6" w:space="0" w:color="auto"/>
            </w:tcBorders>
            <w:vAlign w:val="center"/>
          </w:tcPr>
          <w:p w14:paraId="17E71AA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7F682C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6703439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0345B08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294876C0"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397DC27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7</w:t>
            </w:r>
          </w:p>
        </w:tc>
        <w:tc>
          <w:tcPr>
            <w:tcW w:w="0" w:type="auto"/>
            <w:tcBorders>
              <w:top w:val="single" w:sz="6" w:space="0" w:color="auto"/>
              <w:left w:val="single" w:sz="6" w:space="0" w:color="auto"/>
              <w:bottom w:val="single" w:sz="6" w:space="0" w:color="auto"/>
              <w:right w:val="single" w:sz="6" w:space="0" w:color="auto"/>
            </w:tcBorders>
            <w:vAlign w:val="center"/>
          </w:tcPr>
          <w:p w14:paraId="289A361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3F1A92B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797B0EFB"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00FA9C3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6FB183D6"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5C006C2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8</w:t>
            </w:r>
          </w:p>
        </w:tc>
        <w:tc>
          <w:tcPr>
            <w:tcW w:w="0" w:type="auto"/>
            <w:tcBorders>
              <w:top w:val="single" w:sz="6" w:space="0" w:color="auto"/>
              <w:left w:val="single" w:sz="6" w:space="0" w:color="auto"/>
              <w:bottom w:val="single" w:sz="6" w:space="0" w:color="auto"/>
              <w:right w:val="single" w:sz="6" w:space="0" w:color="auto"/>
            </w:tcBorders>
            <w:vAlign w:val="center"/>
          </w:tcPr>
          <w:p w14:paraId="1741252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393B7F1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3A87967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7EA3DF1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66995B35"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081BA1E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9</w:t>
            </w:r>
          </w:p>
        </w:tc>
        <w:tc>
          <w:tcPr>
            <w:tcW w:w="0" w:type="auto"/>
            <w:tcBorders>
              <w:top w:val="single" w:sz="6" w:space="0" w:color="auto"/>
              <w:left w:val="single" w:sz="6" w:space="0" w:color="auto"/>
              <w:bottom w:val="single" w:sz="6" w:space="0" w:color="auto"/>
              <w:right w:val="single" w:sz="6" w:space="0" w:color="auto"/>
            </w:tcBorders>
            <w:vAlign w:val="center"/>
          </w:tcPr>
          <w:p w14:paraId="271EE9D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67FCDB0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6A6B8F2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3B5FD5C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70911182"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244CDC45" w14:textId="7CD46775"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1</w:t>
            </w:r>
            <w:r w:rsidR="001B2BDB">
              <w:rPr>
                <w:rFonts w:ascii="Arial" w:eastAsiaTheme="minorHAnsi" w:hAnsi="Arial" w:cs="Arial"/>
                <w:color w:val="000000"/>
                <w:sz w:val="16"/>
                <w:szCs w:val="16"/>
                <w:lang w:val="en-GB" w:eastAsia="en-US"/>
              </w:rPr>
              <w:t>0</w:t>
            </w:r>
          </w:p>
        </w:tc>
        <w:tc>
          <w:tcPr>
            <w:tcW w:w="0" w:type="auto"/>
            <w:tcBorders>
              <w:top w:val="single" w:sz="6" w:space="0" w:color="auto"/>
              <w:left w:val="single" w:sz="6" w:space="0" w:color="auto"/>
              <w:bottom w:val="single" w:sz="6" w:space="0" w:color="auto"/>
              <w:right w:val="single" w:sz="6" w:space="0" w:color="auto"/>
            </w:tcBorders>
            <w:vAlign w:val="center"/>
          </w:tcPr>
          <w:p w14:paraId="33AAF8A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4111808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577D53F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7E0A69F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0A820515"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08599926" w14:textId="261D3C82"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1</w:t>
            </w:r>
            <w:r w:rsidR="001B2BDB">
              <w:rPr>
                <w:rFonts w:ascii="Arial" w:eastAsiaTheme="minorHAnsi" w:hAnsi="Arial" w:cs="Arial"/>
                <w:color w:val="000000"/>
                <w:sz w:val="16"/>
                <w:szCs w:val="16"/>
                <w:lang w:val="en-GB" w:eastAsia="en-US"/>
              </w:rPr>
              <w:t>1</w:t>
            </w:r>
          </w:p>
        </w:tc>
        <w:tc>
          <w:tcPr>
            <w:tcW w:w="0" w:type="auto"/>
            <w:tcBorders>
              <w:top w:val="single" w:sz="6" w:space="0" w:color="auto"/>
              <w:left w:val="single" w:sz="6" w:space="0" w:color="auto"/>
              <w:bottom w:val="single" w:sz="6" w:space="0" w:color="auto"/>
              <w:right w:val="single" w:sz="6" w:space="0" w:color="auto"/>
            </w:tcBorders>
            <w:vAlign w:val="center"/>
          </w:tcPr>
          <w:p w14:paraId="7054F01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58B7F6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53A3F66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5431832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0942CD22"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39099ECB" w14:textId="0872DD70"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1</w:t>
            </w:r>
            <w:r w:rsidR="001B2BDB">
              <w:rPr>
                <w:rFonts w:ascii="Arial" w:eastAsiaTheme="minorHAnsi" w:hAnsi="Arial" w:cs="Arial"/>
                <w:color w:val="000000"/>
                <w:sz w:val="16"/>
                <w:szCs w:val="16"/>
                <w:lang w:val="en-GB" w:eastAsia="en-US"/>
              </w:rPr>
              <w:t>2</w:t>
            </w:r>
          </w:p>
        </w:tc>
        <w:tc>
          <w:tcPr>
            <w:tcW w:w="0" w:type="auto"/>
            <w:tcBorders>
              <w:top w:val="single" w:sz="6" w:space="0" w:color="auto"/>
              <w:left w:val="single" w:sz="6" w:space="0" w:color="auto"/>
              <w:bottom w:val="single" w:sz="6" w:space="0" w:color="auto"/>
              <w:right w:val="single" w:sz="6" w:space="0" w:color="auto"/>
            </w:tcBorders>
            <w:vAlign w:val="center"/>
          </w:tcPr>
          <w:p w14:paraId="411D930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269D959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680578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04AA030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1CF6E338"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62C43D8F" w14:textId="2852E4E1"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1</w:t>
            </w:r>
            <w:r w:rsidR="001B2BDB">
              <w:rPr>
                <w:rFonts w:ascii="Arial" w:eastAsiaTheme="minorHAnsi" w:hAnsi="Arial" w:cs="Arial"/>
                <w:color w:val="000000"/>
                <w:sz w:val="16"/>
                <w:szCs w:val="16"/>
                <w:lang w:val="en-GB" w:eastAsia="en-US"/>
              </w:rPr>
              <w:t>3</w:t>
            </w:r>
          </w:p>
        </w:tc>
        <w:tc>
          <w:tcPr>
            <w:tcW w:w="0" w:type="auto"/>
            <w:tcBorders>
              <w:top w:val="single" w:sz="6" w:space="0" w:color="auto"/>
              <w:left w:val="single" w:sz="6" w:space="0" w:color="auto"/>
              <w:bottom w:val="single" w:sz="6" w:space="0" w:color="auto"/>
              <w:right w:val="single" w:sz="6" w:space="0" w:color="auto"/>
            </w:tcBorders>
            <w:vAlign w:val="center"/>
          </w:tcPr>
          <w:p w14:paraId="1D7A773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7E3CFBE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499D01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1BD0311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6F71492D"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46779BDB" w14:textId="58EED39D"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1</w:t>
            </w:r>
            <w:r w:rsidR="001B2BDB">
              <w:rPr>
                <w:rFonts w:ascii="Arial" w:eastAsiaTheme="minorHAnsi" w:hAnsi="Arial" w:cs="Arial"/>
                <w:color w:val="000000"/>
                <w:sz w:val="16"/>
                <w:szCs w:val="16"/>
                <w:lang w:val="en-GB" w:eastAsia="en-US"/>
              </w:rPr>
              <w:t>4</w:t>
            </w:r>
          </w:p>
        </w:tc>
        <w:tc>
          <w:tcPr>
            <w:tcW w:w="0" w:type="auto"/>
            <w:tcBorders>
              <w:top w:val="single" w:sz="6" w:space="0" w:color="auto"/>
              <w:left w:val="single" w:sz="6" w:space="0" w:color="auto"/>
              <w:bottom w:val="single" w:sz="6" w:space="0" w:color="auto"/>
              <w:right w:val="single" w:sz="6" w:space="0" w:color="auto"/>
            </w:tcBorders>
            <w:vAlign w:val="center"/>
          </w:tcPr>
          <w:p w14:paraId="75A3097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0AAEB2B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6B0B990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36FBA83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26609B89"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68114592" w14:textId="7120A056"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1</w:t>
            </w:r>
            <w:r w:rsidR="001B2BDB">
              <w:rPr>
                <w:rFonts w:ascii="Arial" w:eastAsiaTheme="minorHAnsi" w:hAnsi="Arial" w:cs="Arial"/>
                <w:color w:val="000000"/>
                <w:sz w:val="16"/>
                <w:szCs w:val="16"/>
                <w:lang w:val="en-GB" w:eastAsia="en-US"/>
              </w:rPr>
              <w:t>5</w:t>
            </w:r>
          </w:p>
        </w:tc>
        <w:tc>
          <w:tcPr>
            <w:tcW w:w="0" w:type="auto"/>
            <w:tcBorders>
              <w:top w:val="single" w:sz="6" w:space="0" w:color="auto"/>
              <w:left w:val="single" w:sz="6" w:space="0" w:color="auto"/>
              <w:bottom w:val="single" w:sz="6" w:space="0" w:color="auto"/>
              <w:right w:val="single" w:sz="6" w:space="0" w:color="auto"/>
            </w:tcBorders>
            <w:vAlign w:val="center"/>
          </w:tcPr>
          <w:p w14:paraId="79A6E68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2E79A6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5A19FEC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324F46E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3004DB1E"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633B9B67" w14:textId="11AA988C"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1</w:t>
            </w:r>
            <w:r w:rsidR="001B2BDB">
              <w:rPr>
                <w:rFonts w:ascii="Arial" w:eastAsiaTheme="minorHAnsi" w:hAnsi="Arial" w:cs="Arial"/>
                <w:color w:val="000000"/>
                <w:sz w:val="16"/>
                <w:szCs w:val="16"/>
                <w:lang w:val="en-GB" w:eastAsia="en-US"/>
              </w:rPr>
              <w:t>6</w:t>
            </w:r>
          </w:p>
        </w:tc>
        <w:tc>
          <w:tcPr>
            <w:tcW w:w="0" w:type="auto"/>
            <w:tcBorders>
              <w:top w:val="single" w:sz="6" w:space="0" w:color="auto"/>
              <w:left w:val="single" w:sz="6" w:space="0" w:color="auto"/>
              <w:bottom w:val="single" w:sz="6" w:space="0" w:color="auto"/>
              <w:right w:val="single" w:sz="6" w:space="0" w:color="auto"/>
            </w:tcBorders>
            <w:vAlign w:val="center"/>
          </w:tcPr>
          <w:p w14:paraId="00C5A6F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39A2544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2388E54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55D0381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3213E26C"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4556E50A" w14:textId="2FCEDD5B"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1</w:t>
            </w:r>
            <w:r w:rsidR="001B2BDB">
              <w:rPr>
                <w:rFonts w:ascii="Arial" w:eastAsiaTheme="minorHAnsi" w:hAnsi="Arial" w:cs="Arial"/>
                <w:color w:val="000000"/>
                <w:sz w:val="16"/>
                <w:szCs w:val="16"/>
                <w:lang w:val="en-GB" w:eastAsia="en-US"/>
              </w:rPr>
              <w:t>7</w:t>
            </w:r>
          </w:p>
        </w:tc>
        <w:tc>
          <w:tcPr>
            <w:tcW w:w="0" w:type="auto"/>
            <w:tcBorders>
              <w:top w:val="single" w:sz="6" w:space="0" w:color="auto"/>
              <w:left w:val="single" w:sz="6" w:space="0" w:color="auto"/>
              <w:bottom w:val="single" w:sz="6" w:space="0" w:color="auto"/>
              <w:right w:val="single" w:sz="6" w:space="0" w:color="auto"/>
            </w:tcBorders>
            <w:vAlign w:val="center"/>
          </w:tcPr>
          <w:p w14:paraId="319D93F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0543253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7BF722F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530641B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6517D98C"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3FE21403" w14:textId="694B21C6"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18</w:t>
            </w:r>
          </w:p>
        </w:tc>
        <w:tc>
          <w:tcPr>
            <w:tcW w:w="0" w:type="auto"/>
            <w:tcBorders>
              <w:top w:val="single" w:sz="6" w:space="0" w:color="auto"/>
              <w:left w:val="single" w:sz="6" w:space="0" w:color="auto"/>
              <w:bottom w:val="single" w:sz="6" w:space="0" w:color="auto"/>
              <w:right w:val="single" w:sz="6" w:space="0" w:color="auto"/>
            </w:tcBorders>
            <w:vAlign w:val="center"/>
          </w:tcPr>
          <w:p w14:paraId="5F269B9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672AF9C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76BCCA3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43A67D0B"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62FB85A2"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5F01C5CC" w14:textId="69ABA827"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19</w:t>
            </w:r>
          </w:p>
        </w:tc>
        <w:tc>
          <w:tcPr>
            <w:tcW w:w="0" w:type="auto"/>
            <w:tcBorders>
              <w:top w:val="single" w:sz="6" w:space="0" w:color="auto"/>
              <w:left w:val="single" w:sz="6" w:space="0" w:color="auto"/>
              <w:bottom w:val="single" w:sz="6" w:space="0" w:color="auto"/>
              <w:right w:val="single" w:sz="6" w:space="0" w:color="auto"/>
            </w:tcBorders>
            <w:vAlign w:val="center"/>
          </w:tcPr>
          <w:p w14:paraId="620DF93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4D1E0E6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151BE02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69725A3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18BE3112"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664284A5" w14:textId="048055D0"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20</w:t>
            </w:r>
          </w:p>
        </w:tc>
        <w:tc>
          <w:tcPr>
            <w:tcW w:w="0" w:type="auto"/>
            <w:tcBorders>
              <w:top w:val="single" w:sz="6" w:space="0" w:color="auto"/>
              <w:left w:val="single" w:sz="6" w:space="0" w:color="auto"/>
              <w:bottom w:val="single" w:sz="6" w:space="0" w:color="auto"/>
              <w:right w:val="single" w:sz="6" w:space="0" w:color="auto"/>
            </w:tcBorders>
            <w:vAlign w:val="center"/>
          </w:tcPr>
          <w:p w14:paraId="20E7A44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7195242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199FF5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0BE62FA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5B327508"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536D4F00" w14:textId="2E34C179"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2</w:t>
            </w:r>
            <w:r w:rsidR="001B2BDB">
              <w:rPr>
                <w:rFonts w:ascii="Arial" w:eastAsiaTheme="minorHAnsi" w:hAnsi="Arial" w:cs="Arial"/>
                <w:color w:val="000000"/>
                <w:sz w:val="16"/>
                <w:szCs w:val="16"/>
                <w:lang w:val="en-GB" w:eastAsia="en-US"/>
              </w:rPr>
              <w:t>1</w:t>
            </w:r>
          </w:p>
        </w:tc>
        <w:tc>
          <w:tcPr>
            <w:tcW w:w="0" w:type="auto"/>
            <w:tcBorders>
              <w:top w:val="single" w:sz="6" w:space="0" w:color="auto"/>
              <w:left w:val="single" w:sz="6" w:space="0" w:color="auto"/>
              <w:bottom w:val="single" w:sz="6" w:space="0" w:color="auto"/>
              <w:right w:val="single" w:sz="6" w:space="0" w:color="auto"/>
            </w:tcBorders>
            <w:vAlign w:val="center"/>
          </w:tcPr>
          <w:p w14:paraId="237C91D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7CF30D2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34BEE7B"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6308946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1D09899E"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39C09B88" w14:textId="443BA273"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2</w:t>
            </w:r>
            <w:r w:rsidR="001B2BDB">
              <w:rPr>
                <w:rFonts w:ascii="Arial" w:eastAsiaTheme="minorHAnsi" w:hAnsi="Arial" w:cs="Arial"/>
                <w:color w:val="000000"/>
                <w:sz w:val="16"/>
                <w:szCs w:val="16"/>
                <w:lang w:val="en-GB" w:eastAsia="en-US"/>
              </w:rPr>
              <w:t>2</w:t>
            </w:r>
          </w:p>
        </w:tc>
        <w:tc>
          <w:tcPr>
            <w:tcW w:w="0" w:type="auto"/>
            <w:tcBorders>
              <w:top w:val="single" w:sz="6" w:space="0" w:color="auto"/>
              <w:left w:val="single" w:sz="6" w:space="0" w:color="auto"/>
              <w:bottom w:val="single" w:sz="6" w:space="0" w:color="auto"/>
              <w:right w:val="single" w:sz="6" w:space="0" w:color="auto"/>
            </w:tcBorders>
            <w:vAlign w:val="center"/>
          </w:tcPr>
          <w:p w14:paraId="2D1B924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5C6F6B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CF3DDA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028AAC8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51761965"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11F12C53" w14:textId="643A6AF5"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2</w:t>
            </w:r>
            <w:r w:rsidR="001B2BDB">
              <w:rPr>
                <w:rFonts w:ascii="Arial" w:eastAsiaTheme="minorHAnsi" w:hAnsi="Arial" w:cs="Arial"/>
                <w:color w:val="000000"/>
                <w:sz w:val="16"/>
                <w:szCs w:val="16"/>
                <w:lang w:val="en-GB" w:eastAsia="en-US"/>
              </w:rPr>
              <w:t>3</w:t>
            </w:r>
          </w:p>
        </w:tc>
        <w:tc>
          <w:tcPr>
            <w:tcW w:w="0" w:type="auto"/>
            <w:tcBorders>
              <w:top w:val="single" w:sz="6" w:space="0" w:color="auto"/>
              <w:left w:val="single" w:sz="6" w:space="0" w:color="auto"/>
              <w:bottom w:val="single" w:sz="6" w:space="0" w:color="auto"/>
              <w:right w:val="single" w:sz="6" w:space="0" w:color="auto"/>
            </w:tcBorders>
            <w:vAlign w:val="center"/>
          </w:tcPr>
          <w:p w14:paraId="6C3E1FE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265BB4A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272DE70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2703A24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42D01A46"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3AB92516" w14:textId="402394D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2</w:t>
            </w:r>
            <w:r w:rsidR="001B2BDB">
              <w:rPr>
                <w:rFonts w:ascii="Arial" w:eastAsiaTheme="minorHAnsi" w:hAnsi="Arial" w:cs="Arial"/>
                <w:color w:val="000000"/>
                <w:sz w:val="16"/>
                <w:szCs w:val="16"/>
                <w:lang w:val="en-GB" w:eastAsia="en-US"/>
              </w:rPr>
              <w:t>4</w:t>
            </w:r>
          </w:p>
        </w:tc>
        <w:tc>
          <w:tcPr>
            <w:tcW w:w="0" w:type="auto"/>
            <w:tcBorders>
              <w:top w:val="single" w:sz="6" w:space="0" w:color="auto"/>
              <w:left w:val="single" w:sz="6" w:space="0" w:color="auto"/>
              <w:bottom w:val="single" w:sz="6" w:space="0" w:color="auto"/>
              <w:right w:val="single" w:sz="6" w:space="0" w:color="auto"/>
            </w:tcBorders>
            <w:vAlign w:val="center"/>
          </w:tcPr>
          <w:p w14:paraId="6BD09E5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3D56AE1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4162985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7E7AA9C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r>
      <w:tr w:rsidR="000D7BAC" w:rsidRPr="000D7BAC" w14:paraId="2F042A64"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448CC752" w14:textId="57C1172B"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25</w:t>
            </w:r>
          </w:p>
        </w:tc>
        <w:tc>
          <w:tcPr>
            <w:tcW w:w="0" w:type="auto"/>
            <w:tcBorders>
              <w:top w:val="single" w:sz="6" w:space="0" w:color="auto"/>
              <w:left w:val="single" w:sz="6" w:space="0" w:color="auto"/>
              <w:bottom w:val="single" w:sz="6" w:space="0" w:color="auto"/>
              <w:right w:val="single" w:sz="6" w:space="0" w:color="auto"/>
            </w:tcBorders>
            <w:vAlign w:val="center"/>
          </w:tcPr>
          <w:p w14:paraId="67C7711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694AC3E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7449ECA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5309836F"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r>
      <w:tr w:rsidR="000D7BAC" w:rsidRPr="000D7BAC" w14:paraId="0ABDB73B"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4DDB1BD7" w14:textId="166312FA"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26</w:t>
            </w:r>
          </w:p>
        </w:tc>
        <w:tc>
          <w:tcPr>
            <w:tcW w:w="0" w:type="auto"/>
            <w:tcBorders>
              <w:top w:val="single" w:sz="6" w:space="0" w:color="auto"/>
              <w:left w:val="single" w:sz="6" w:space="0" w:color="auto"/>
              <w:bottom w:val="single" w:sz="6" w:space="0" w:color="auto"/>
              <w:right w:val="single" w:sz="6" w:space="0" w:color="auto"/>
            </w:tcBorders>
            <w:vAlign w:val="center"/>
          </w:tcPr>
          <w:p w14:paraId="69C7D4F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32418A4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762A66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3E958FE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07BCA31E"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2B2B1C04" w14:textId="0DE3B893"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27</w:t>
            </w:r>
          </w:p>
        </w:tc>
        <w:tc>
          <w:tcPr>
            <w:tcW w:w="0" w:type="auto"/>
            <w:tcBorders>
              <w:top w:val="single" w:sz="6" w:space="0" w:color="auto"/>
              <w:left w:val="single" w:sz="6" w:space="0" w:color="auto"/>
              <w:bottom w:val="single" w:sz="6" w:space="0" w:color="auto"/>
              <w:right w:val="single" w:sz="6" w:space="0" w:color="auto"/>
            </w:tcBorders>
            <w:vAlign w:val="center"/>
          </w:tcPr>
          <w:p w14:paraId="2FDE872B"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6F43B9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629DCCF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5ACD0EC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24AB97B7"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6ACA5990" w14:textId="59E0EFBB"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28</w:t>
            </w:r>
          </w:p>
        </w:tc>
        <w:tc>
          <w:tcPr>
            <w:tcW w:w="0" w:type="auto"/>
            <w:tcBorders>
              <w:top w:val="single" w:sz="6" w:space="0" w:color="auto"/>
              <w:left w:val="single" w:sz="6" w:space="0" w:color="auto"/>
              <w:bottom w:val="single" w:sz="6" w:space="0" w:color="auto"/>
              <w:right w:val="single" w:sz="6" w:space="0" w:color="auto"/>
            </w:tcBorders>
            <w:vAlign w:val="center"/>
          </w:tcPr>
          <w:p w14:paraId="6FDAD4D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3923E26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30B10FA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13B1BCFB"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04521A8F"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65E8199A" w14:textId="456B448E"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29</w:t>
            </w:r>
          </w:p>
        </w:tc>
        <w:tc>
          <w:tcPr>
            <w:tcW w:w="0" w:type="auto"/>
            <w:tcBorders>
              <w:top w:val="single" w:sz="6" w:space="0" w:color="auto"/>
              <w:left w:val="single" w:sz="6" w:space="0" w:color="auto"/>
              <w:bottom w:val="single" w:sz="6" w:space="0" w:color="auto"/>
              <w:right w:val="single" w:sz="6" w:space="0" w:color="auto"/>
            </w:tcBorders>
            <w:vAlign w:val="center"/>
          </w:tcPr>
          <w:p w14:paraId="142B05C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5189A58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289FAD5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10C8D9A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r>
      <w:tr w:rsidR="000D7BAC" w:rsidRPr="000D7BAC" w14:paraId="6C4A2285"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5CD19958" w14:textId="76BDC262"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30</w:t>
            </w:r>
          </w:p>
        </w:tc>
        <w:tc>
          <w:tcPr>
            <w:tcW w:w="0" w:type="auto"/>
            <w:tcBorders>
              <w:top w:val="single" w:sz="6" w:space="0" w:color="auto"/>
              <w:left w:val="single" w:sz="6" w:space="0" w:color="auto"/>
              <w:bottom w:val="single" w:sz="6" w:space="0" w:color="auto"/>
              <w:right w:val="single" w:sz="6" w:space="0" w:color="auto"/>
            </w:tcBorders>
            <w:vAlign w:val="center"/>
          </w:tcPr>
          <w:p w14:paraId="6FF4A40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174673D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4D604C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2180FBD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683BFB43"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731B4A17" w14:textId="41170405"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31</w:t>
            </w:r>
          </w:p>
        </w:tc>
        <w:tc>
          <w:tcPr>
            <w:tcW w:w="0" w:type="auto"/>
            <w:tcBorders>
              <w:top w:val="single" w:sz="6" w:space="0" w:color="auto"/>
              <w:left w:val="single" w:sz="6" w:space="0" w:color="auto"/>
              <w:bottom w:val="single" w:sz="6" w:space="0" w:color="auto"/>
              <w:right w:val="single" w:sz="6" w:space="0" w:color="auto"/>
            </w:tcBorders>
            <w:vAlign w:val="center"/>
          </w:tcPr>
          <w:p w14:paraId="78F6454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ACC5E1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2D42026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5862FAC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39285B75"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6023180C" w14:textId="1F1912F1" w:rsidR="001B2BDB"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32</w:t>
            </w:r>
          </w:p>
        </w:tc>
        <w:tc>
          <w:tcPr>
            <w:tcW w:w="0" w:type="auto"/>
            <w:tcBorders>
              <w:top w:val="single" w:sz="6" w:space="0" w:color="auto"/>
              <w:left w:val="single" w:sz="6" w:space="0" w:color="auto"/>
              <w:bottom w:val="single" w:sz="6" w:space="0" w:color="auto"/>
              <w:right w:val="single" w:sz="6" w:space="0" w:color="auto"/>
            </w:tcBorders>
            <w:vAlign w:val="center"/>
          </w:tcPr>
          <w:p w14:paraId="3D5E74F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6BBA74E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6B22E8A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3545285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522B5592"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5C495B8A" w14:textId="36B4E837"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33</w:t>
            </w:r>
          </w:p>
        </w:tc>
        <w:tc>
          <w:tcPr>
            <w:tcW w:w="0" w:type="auto"/>
            <w:tcBorders>
              <w:top w:val="single" w:sz="6" w:space="0" w:color="auto"/>
              <w:left w:val="single" w:sz="6" w:space="0" w:color="auto"/>
              <w:bottom w:val="single" w:sz="6" w:space="0" w:color="auto"/>
              <w:right w:val="single" w:sz="6" w:space="0" w:color="auto"/>
            </w:tcBorders>
            <w:vAlign w:val="center"/>
          </w:tcPr>
          <w:p w14:paraId="0549944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72CA24C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4FF2075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130F6F3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4CCFBAAB"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637E96C8" w14:textId="3E114CEE"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34</w:t>
            </w:r>
          </w:p>
        </w:tc>
        <w:tc>
          <w:tcPr>
            <w:tcW w:w="0" w:type="auto"/>
            <w:tcBorders>
              <w:top w:val="single" w:sz="6" w:space="0" w:color="auto"/>
              <w:left w:val="single" w:sz="6" w:space="0" w:color="auto"/>
              <w:bottom w:val="single" w:sz="6" w:space="0" w:color="auto"/>
              <w:right w:val="single" w:sz="6" w:space="0" w:color="auto"/>
            </w:tcBorders>
            <w:vAlign w:val="center"/>
          </w:tcPr>
          <w:p w14:paraId="0A6B613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547CECF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579BC13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0D4FE34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3A32644C"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583906B7" w14:textId="32430825"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35</w:t>
            </w:r>
          </w:p>
        </w:tc>
        <w:tc>
          <w:tcPr>
            <w:tcW w:w="0" w:type="auto"/>
            <w:tcBorders>
              <w:top w:val="single" w:sz="6" w:space="0" w:color="auto"/>
              <w:left w:val="single" w:sz="6" w:space="0" w:color="auto"/>
              <w:bottom w:val="single" w:sz="6" w:space="0" w:color="auto"/>
              <w:right w:val="single" w:sz="6" w:space="0" w:color="auto"/>
            </w:tcBorders>
            <w:vAlign w:val="center"/>
          </w:tcPr>
          <w:p w14:paraId="1EC3771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4BBC9AA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D86B93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547C28B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5B53B3B2"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3A3E8875" w14:textId="6532A26B"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36</w:t>
            </w:r>
          </w:p>
        </w:tc>
        <w:tc>
          <w:tcPr>
            <w:tcW w:w="0" w:type="auto"/>
            <w:tcBorders>
              <w:top w:val="single" w:sz="6" w:space="0" w:color="auto"/>
              <w:left w:val="single" w:sz="6" w:space="0" w:color="auto"/>
              <w:bottom w:val="single" w:sz="6" w:space="0" w:color="auto"/>
              <w:right w:val="single" w:sz="6" w:space="0" w:color="auto"/>
            </w:tcBorders>
            <w:vAlign w:val="center"/>
          </w:tcPr>
          <w:p w14:paraId="0C05C9F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5522044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50B528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6E695E4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232099CA"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35219A18" w14:textId="07C800CF"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37</w:t>
            </w:r>
          </w:p>
        </w:tc>
        <w:tc>
          <w:tcPr>
            <w:tcW w:w="0" w:type="auto"/>
            <w:tcBorders>
              <w:top w:val="single" w:sz="6" w:space="0" w:color="auto"/>
              <w:left w:val="single" w:sz="6" w:space="0" w:color="auto"/>
              <w:bottom w:val="single" w:sz="6" w:space="0" w:color="auto"/>
              <w:right w:val="single" w:sz="6" w:space="0" w:color="auto"/>
            </w:tcBorders>
            <w:vAlign w:val="center"/>
          </w:tcPr>
          <w:p w14:paraId="652149C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491961C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6DC9692F"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62D5120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482DC752"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34B8A3AA" w14:textId="49E529B7"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38</w:t>
            </w:r>
          </w:p>
        </w:tc>
        <w:tc>
          <w:tcPr>
            <w:tcW w:w="0" w:type="auto"/>
            <w:tcBorders>
              <w:top w:val="single" w:sz="6" w:space="0" w:color="auto"/>
              <w:left w:val="single" w:sz="6" w:space="0" w:color="auto"/>
              <w:bottom w:val="single" w:sz="6" w:space="0" w:color="auto"/>
              <w:right w:val="single" w:sz="6" w:space="0" w:color="auto"/>
            </w:tcBorders>
            <w:vAlign w:val="center"/>
          </w:tcPr>
          <w:p w14:paraId="2A6B7CF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78A5B8C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8AF0BE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3E6873C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6DBA8422"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1F447992" w14:textId="3BD5E14A"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39</w:t>
            </w:r>
          </w:p>
        </w:tc>
        <w:tc>
          <w:tcPr>
            <w:tcW w:w="0" w:type="auto"/>
            <w:tcBorders>
              <w:top w:val="single" w:sz="6" w:space="0" w:color="auto"/>
              <w:left w:val="single" w:sz="6" w:space="0" w:color="auto"/>
              <w:bottom w:val="single" w:sz="6" w:space="0" w:color="auto"/>
              <w:right w:val="single" w:sz="6" w:space="0" w:color="auto"/>
            </w:tcBorders>
            <w:vAlign w:val="center"/>
          </w:tcPr>
          <w:p w14:paraId="20F8954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7B83AA5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529EA5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34103B2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76B9C527"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276C104D" w14:textId="7C5AFDAB"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40</w:t>
            </w:r>
          </w:p>
        </w:tc>
        <w:tc>
          <w:tcPr>
            <w:tcW w:w="0" w:type="auto"/>
            <w:tcBorders>
              <w:top w:val="single" w:sz="6" w:space="0" w:color="auto"/>
              <w:left w:val="single" w:sz="6" w:space="0" w:color="auto"/>
              <w:bottom w:val="single" w:sz="6" w:space="0" w:color="auto"/>
              <w:right w:val="single" w:sz="6" w:space="0" w:color="auto"/>
            </w:tcBorders>
            <w:vAlign w:val="center"/>
          </w:tcPr>
          <w:p w14:paraId="77BA2ED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3CA4CCC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9507E6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400E114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0F741722"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4FCD6CBE" w14:textId="473D8559"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lastRenderedPageBreak/>
              <w:t>4</w:t>
            </w:r>
            <w:r w:rsidR="000D7BAC" w:rsidRPr="000D7BAC">
              <w:rPr>
                <w:rFonts w:ascii="Arial" w:eastAsiaTheme="minorHAnsi" w:hAnsi="Arial" w:cs="Arial"/>
                <w:color w:val="000000"/>
                <w:sz w:val="16"/>
                <w:szCs w:val="16"/>
                <w:lang w:val="en-GB" w:eastAsia="en-US"/>
              </w:rPr>
              <w:t>1</w:t>
            </w:r>
          </w:p>
        </w:tc>
        <w:tc>
          <w:tcPr>
            <w:tcW w:w="0" w:type="auto"/>
            <w:tcBorders>
              <w:top w:val="single" w:sz="6" w:space="0" w:color="auto"/>
              <w:left w:val="single" w:sz="6" w:space="0" w:color="auto"/>
              <w:bottom w:val="single" w:sz="6" w:space="0" w:color="auto"/>
              <w:right w:val="single" w:sz="6" w:space="0" w:color="auto"/>
            </w:tcBorders>
            <w:vAlign w:val="center"/>
          </w:tcPr>
          <w:p w14:paraId="16D18D5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029088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41399B9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5A1269D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34442438"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73A830A4" w14:textId="0C1D3918"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42</w:t>
            </w:r>
          </w:p>
        </w:tc>
        <w:tc>
          <w:tcPr>
            <w:tcW w:w="0" w:type="auto"/>
            <w:tcBorders>
              <w:top w:val="single" w:sz="6" w:space="0" w:color="auto"/>
              <w:left w:val="single" w:sz="6" w:space="0" w:color="auto"/>
              <w:bottom w:val="single" w:sz="6" w:space="0" w:color="auto"/>
              <w:right w:val="single" w:sz="6" w:space="0" w:color="auto"/>
            </w:tcBorders>
            <w:vAlign w:val="center"/>
          </w:tcPr>
          <w:p w14:paraId="165EF3C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53B9BD1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797882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2B4FED0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4FE21507"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352E3E8D" w14:textId="6396E972"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43</w:t>
            </w:r>
          </w:p>
        </w:tc>
        <w:tc>
          <w:tcPr>
            <w:tcW w:w="0" w:type="auto"/>
            <w:tcBorders>
              <w:top w:val="single" w:sz="6" w:space="0" w:color="auto"/>
              <w:left w:val="single" w:sz="6" w:space="0" w:color="auto"/>
              <w:bottom w:val="single" w:sz="6" w:space="0" w:color="auto"/>
              <w:right w:val="single" w:sz="6" w:space="0" w:color="auto"/>
            </w:tcBorders>
            <w:vAlign w:val="center"/>
          </w:tcPr>
          <w:p w14:paraId="4A2288A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29E0676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20EC796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2AF9E56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0E0E8806"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2F4D965E" w14:textId="0C99C953"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44</w:t>
            </w:r>
          </w:p>
        </w:tc>
        <w:tc>
          <w:tcPr>
            <w:tcW w:w="0" w:type="auto"/>
            <w:tcBorders>
              <w:top w:val="single" w:sz="6" w:space="0" w:color="auto"/>
              <w:left w:val="single" w:sz="6" w:space="0" w:color="auto"/>
              <w:bottom w:val="single" w:sz="6" w:space="0" w:color="auto"/>
              <w:right w:val="single" w:sz="6" w:space="0" w:color="auto"/>
            </w:tcBorders>
            <w:vAlign w:val="center"/>
          </w:tcPr>
          <w:p w14:paraId="4E8E726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49C7ECF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5DA191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6B00858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0A4F97C9"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5E84FFDB" w14:textId="7158A543"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45</w:t>
            </w:r>
          </w:p>
        </w:tc>
        <w:tc>
          <w:tcPr>
            <w:tcW w:w="0" w:type="auto"/>
            <w:tcBorders>
              <w:top w:val="single" w:sz="6" w:space="0" w:color="auto"/>
              <w:left w:val="single" w:sz="6" w:space="0" w:color="auto"/>
              <w:bottom w:val="single" w:sz="6" w:space="0" w:color="auto"/>
              <w:right w:val="single" w:sz="6" w:space="0" w:color="auto"/>
            </w:tcBorders>
            <w:vAlign w:val="center"/>
          </w:tcPr>
          <w:p w14:paraId="2F585ECF"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6C39F46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661FF0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78810FFF"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2A8FEED5"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2A7EAE19" w14:textId="1D4BBC20"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46</w:t>
            </w:r>
          </w:p>
        </w:tc>
        <w:tc>
          <w:tcPr>
            <w:tcW w:w="0" w:type="auto"/>
            <w:tcBorders>
              <w:top w:val="single" w:sz="6" w:space="0" w:color="auto"/>
              <w:left w:val="single" w:sz="6" w:space="0" w:color="auto"/>
              <w:bottom w:val="single" w:sz="6" w:space="0" w:color="auto"/>
              <w:right w:val="single" w:sz="6" w:space="0" w:color="auto"/>
            </w:tcBorders>
            <w:vAlign w:val="center"/>
          </w:tcPr>
          <w:p w14:paraId="58E9B1C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1855D7B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304158B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55F4C75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4312ADFC"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6ECA2AE2" w14:textId="43CB6AAB"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47</w:t>
            </w:r>
          </w:p>
        </w:tc>
        <w:tc>
          <w:tcPr>
            <w:tcW w:w="0" w:type="auto"/>
            <w:tcBorders>
              <w:top w:val="single" w:sz="6" w:space="0" w:color="auto"/>
              <w:left w:val="single" w:sz="6" w:space="0" w:color="auto"/>
              <w:bottom w:val="single" w:sz="6" w:space="0" w:color="auto"/>
              <w:right w:val="single" w:sz="6" w:space="0" w:color="auto"/>
            </w:tcBorders>
            <w:vAlign w:val="center"/>
          </w:tcPr>
          <w:p w14:paraId="5CDC013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7F2737A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1E8FD77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0F4AC92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5FC8A520"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3EA982D3" w14:textId="4DE2CF5E"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48</w:t>
            </w:r>
          </w:p>
        </w:tc>
        <w:tc>
          <w:tcPr>
            <w:tcW w:w="0" w:type="auto"/>
            <w:tcBorders>
              <w:top w:val="single" w:sz="6" w:space="0" w:color="auto"/>
              <w:left w:val="single" w:sz="6" w:space="0" w:color="auto"/>
              <w:bottom w:val="single" w:sz="6" w:space="0" w:color="auto"/>
              <w:right w:val="single" w:sz="6" w:space="0" w:color="auto"/>
            </w:tcBorders>
            <w:vAlign w:val="center"/>
          </w:tcPr>
          <w:p w14:paraId="080CB02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69CF417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4F0EE53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097B71C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0850CBA0"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2F73A18E" w14:textId="4296729F"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49</w:t>
            </w:r>
          </w:p>
        </w:tc>
        <w:tc>
          <w:tcPr>
            <w:tcW w:w="0" w:type="auto"/>
            <w:tcBorders>
              <w:top w:val="single" w:sz="6" w:space="0" w:color="auto"/>
              <w:left w:val="single" w:sz="6" w:space="0" w:color="auto"/>
              <w:bottom w:val="single" w:sz="6" w:space="0" w:color="auto"/>
              <w:right w:val="single" w:sz="6" w:space="0" w:color="auto"/>
            </w:tcBorders>
            <w:vAlign w:val="center"/>
          </w:tcPr>
          <w:p w14:paraId="020991C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4429C32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12F81F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6698A07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r>
      <w:tr w:rsidR="000D7BAC" w:rsidRPr="000D7BAC" w14:paraId="729559E5"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1EA07D2A" w14:textId="0B4E6E4D"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50</w:t>
            </w:r>
          </w:p>
        </w:tc>
        <w:tc>
          <w:tcPr>
            <w:tcW w:w="0" w:type="auto"/>
            <w:tcBorders>
              <w:top w:val="single" w:sz="6" w:space="0" w:color="auto"/>
              <w:left w:val="single" w:sz="6" w:space="0" w:color="auto"/>
              <w:bottom w:val="single" w:sz="6" w:space="0" w:color="auto"/>
              <w:right w:val="single" w:sz="6" w:space="0" w:color="auto"/>
            </w:tcBorders>
            <w:vAlign w:val="center"/>
          </w:tcPr>
          <w:p w14:paraId="0DEE650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DA6EDA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57F6E76B"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3618DAF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658F5555"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66A6A56B" w14:textId="5745719E"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51</w:t>
            </w:r>
          </w:p>
        </w:tc>
        <w:tc>
          <w:tcPr>
            <w:tcW w:w="0" w:type="auto"/>
            <w:tcBorders>
              <w:top w:val="single" w:sz="6" w:space="0" w:color="auto"/>
              <w:left w:val="single" w:sz="6" w:space="0" w:color="auto"/>
              <w:bottom w:val="single" w:sz="6" w:space="0" w:color="auto"/>
              <w:right w:val="single" w:sz="6" w:space="0" w:color="auto"/>
            </w:tcBorders>
            <w:vAlign w:val="center"/>
          </w:tcPr>
          <w:p w14:paraId="2224E43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7C53225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C5924B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22E27AD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1BF40CC3"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46C985CE" w14:textId="018E9EFE"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52</w:t>
            </w:r>
          </w:p>
        </w:tc>
        <w:tc>
          <w:tcPr>
            <w:tcW w:w="0" w:type="auto"/>
            <w:tcBorders>
              <w:top w:val="single" w:sz="6" w:space="0" w:color="auto"/>
              <w:left w:val="single" w:sz="6" w:space="0" w:color="auto"/>
              <w:bottom w:val="single" w:sz="6" w:space="0" w:color="auto"/>
              <w:right w:val="single" w:sz="6" w:space="0" w:color="auto"/>
            </w:tcBorders>
            <w:vAlign w:val="center"/>
          </w:tcPr>
          <w:p w14:paraId="3C1F073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0D6427C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5657385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6B183D4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6F0C26CF"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7C9A5666" w14:textId="5796A708"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53</w:t>
            </w:r>
          </w:p>
        </w:tc>
        <w:tc>
          <w:tcPr>
            <w:tcW w:w="0" w:type="auto"/>
            <w:tcBorders>
              <w:top w:val="single" w:sz="6" w:space="0" w:color="auto"/>
              <w:left w:val="single" w:sz="6" w:space="0" w:color="auto"/>
              <w:bottom w:val="single" w:sz="6" w:space="0" w:color="auto"/>
              <w:right w:val="single" w:sz="6" w:space="0" w:color="auto"/>
            </w:tcBorders>
            <w:vAlign w:val="center"/>
          </w:tcPr>
          <w:p w14:paraId="47F184C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77FE51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2083930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72ACECF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61B92E3C"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4039B3EF" w14:textId="306323F7"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54</w:t>
            </w:r>
          </w:p>
        </w:tc>
        <w:tc>
          <w:tcPr>
            <w:tcW w:w="0" w:type="auto"/>
            <w:tcBorders>
              <w:top w:val="single" w:sz="6" w:space="0" w:color="auto"/>
              <w:left w:val="single" w:sz="6" w:space="0" w:color="auto"/>
              <w:bottom w:val="single" w:sz="6" w:space="0" w:color="auto"/>
              <w:right w:val="single" w:sz="6" w:space="0" w:color="auto"/>
            </w:tcBorders>
            <w:vAlign w:val="center"/>
          </w:tcPr>
          <w:p w14:paraId="00B89E7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45A4B98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5B6EA95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3F635B7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r>
      <w:tr w:rsidR="000D7BAC" w:rsidRPr="000D7BAC" w14:paraId="1344491F"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182FA89D" w14:textId="2D70E596"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55</w:t>
            </w:r>
          </w:p>
        </w:tc>
        <w:tc>
          <w:tcPr>
            <w:tcW w:w="0" w:type="auto"/>
            <w:tcBorders>
              <w:top w:val="single" w:sz="6" w:space="0" w:color="auto"/>
              <w:left w:val="single" w:sz="6" w:space="0" w:color="auto"/>
              <w:bottom w:val="single" w:sz="6" w:space="0" w:color="auto"/>
              <w:right w:val="single" w:sz="6" w:space="0" w:color="auto"/>
            </w:tcBorders>
            <w:vAlign w:val="center"/>
          </w:tcPr>
          <w:p w14:paraId="7764495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5D5E017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7A6C20D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2135427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2A4A74ED"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3DB5D4F9" w14:textId="78AA9875"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56</w:t>
            </w:r>
          </w:p>
        </w:tc>
        <w:tc>
          <w:tcPr>
            <w:tcW w:w="0" w:type="auto"/>
            <w:tcBorders>
              <w:top w:val="single" w:sz="6" w:space="0" w:color="auto"/>
              <w:left w:val="single" w:sz="6" w:space="0" w:color="auto"/>
              <w:bottom w:val="single" w:sz="6" w:space="0" w:color="auto"/>
              <w:right w:val="single" w:sz="6" w:space="0" w:color="auto"/>
            </w:tcBorders>
            <w:vAlign w:val="center"/>
          </w:tcPr>
          <w:p w14:paraId="03B81C7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4928CA0F"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3CDC909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74A2F2D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r>
      <w:tr w:rsidR="000D7BAC" w:rsidRPr="000D7BAC" w14:paraId="5EEFAF31"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05746DB6" w14:textId="2A409D19"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57</w:t>
            </w:r>
          </w:p>
        </w:tc>
        <w:tc>
          <w:tcPr>
            <w:tcW w:w="0" w:type="auto"/>
            <w:tcBorders>
              <w:top w:val="single" w:sz="6" w:space="0" w:color="auto"/>
              <w:left w:val="single" w:sz="6" w:space="0" w:color="auto"/>
              <w:bottom w:val="single" w:sz="6" w:space="0" w:color="auto"/>
              <w:right w:val="single" w:sz="6" w:space="0" w:color="auto"/>
            </w:tcBorders>
            <w:vAlign w:val="center"/>
          </w:tcPr>
          <w:p w14:paraId="5EA188C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760913D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554AAE8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2D16CE2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44278139"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2C20E2C3" w14:textId="2E65AC62"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58</w:t>
            </w:r>
          </w:p>
        </w:tc>
        <w:tc>
          <w:tcPr>
            <w:tcW w:w="0" w:type="auto"/>
            <w:tcBorders>
              <w:top w:val="single" w:sz="6" w:space="0" w:color="auto"/>
              <w:left w:val="single" w:sz="6" w:space="0" w:color="auto"/>
              <w:bottom w:val="single" w:sz="6" w:space="0" w:color="auto"/>
              <w:right w:val="single" w:sz="6" w:space="0" w:color="auto"/>
            </w:tcBorders>
            <w:vAlign w:val="center"/>
          </w:tcPr>
          <w:p w14:paraId="04A8254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41AA4DB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3D73245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054506E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287B5CAC"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3A953A5B" w14:textId="4BCF78A4" w:rsidR="000D7BAC" w:rsidRPr="000D7BAC" w:rsidRDefault="001B2BDB"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59</w:t>
            </w:r>
          </w:p>
        </w:tc>
        <w:tc>
          <w:tcPr>
            <w:tcW w:w="0" w:type="auto"/>
            <w:tcBorders>
              <w:top w:val="single" w:sz="6" w:space="0" w:color="auto"/>
              <w:left w:val="single" w:sz="6" w:space="0" w:color="auto"/>
              <w:bottom w:val="single" w:sz="6" w:space="0" w:color="auto"/>
              <w:right w:val="single" w:sz="6" w:space="0" w:color="auto"/>
            </w:tcBorders>
            <w:vAlign w:val="center"/>
          </w:tcPr>
          <w:p w14:paraId="09EC75F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4F75AA4B"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7012CFD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1CBD629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3A283248"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1F9EFFF6" w14:textId="514CC3CB"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60</w:t>
            </w:r>
          </w:p>
        </w:tc>
        <w:tc>
          <w:tcPr>
            <w:tcW w:w="0" w:type="auto"/>
            <w:tcBorders>
              <w:top w:val="single" w:sz="6" w:space="0" w:color="auto"/>
              <w:left w:val="single" w:sz="6" w:space="0" w:color="auto"/>
              <w:bottom w:val="single" w:sz="6" w:space="0" w:color="auto"/>
              <w:right w:val="single" w:sz="6" w:space="0" w:color="auto"/>
            </w:tcBorders>
            <w:vAlign w:val="center"/>
          </w:tcPr>
          <w:p w14:paraId="31CE532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5359411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22229FC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2557F39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3783EB00"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331DD2DE" w14:textId="090036D0"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61</w:t>
            </w:r>
          </w:p>
        </w:tc>
        <w:tc>
          <w:tcPr>
            <w:tcW w:w="0" w:type="auto"/>
            <w:tcBorders>
              <w:top w:val="single" w:sz="6" w:space="0" w:color="auto"/>
              <w:left w:val="single" w:sz="6" w:space="0" w:color="auto"/>
              <w:bottom w:val="single" w:sz="6" w:space="0" w:color="auto"/>
              <w:right w:val="single" w:sz="6" w:space="0" w:color="auto"/>
            </w:tcBorders>
            <w:vAlign w:val="center"/>
          </w:tcPr>
          <w:p w14:paraId="1A2F58E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25726FF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323ED6C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2FC1C3D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25C37BD5"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5ADB2030" w14:textId="5E1B3EEE" w:rsidR="00B25FC8"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62</w:t>
            </w:r>
          </w:p>
        </w:tc>
        <w:tc>
          <w:tcPr>
            <w:tcW w:w="0" w:type="auto"/>
            <w:tcBorders>
              <w:top w:val="single" w:sz="6" w:space="0" w:color="auto"/>
              <w:left w:val="single" w:sz="6" w:space="0" w:color="auto"/>
              <w:bottom w:val="single" w:sz="6" w:space="0" w:color="auto"/>
              <w:right w:val="single" w:sz="6" w:space="0" w:color="auto"/>
            </w:tcBorders>
            <w:vAlign w:val="center"/>
          </w:tcPr>
          <w:p w14:paraId="236EAC5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67D5D2A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10FF3D1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2AD76ED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r>
      <w:tr w:rsidR="000D7BAC" w:rsidRPr="000D7BAC" w14:paraId="0992CE0C"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5772526D" w14:textId="564A0820"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63</w:t>
            </w:r>
          </w:p>
        </w:tc>
        <w:tc>
          <w:tcPr>
            <w:tcW w:w="0" w:type="auto"/>
            <w:tcBorders>
              <w:top w:val="single" w:sz="6" w:space="0" w:color="auto"/>
              <w:left w:val="single" w:sz="6" w:space="0" w:color="auto"/>
              <w:bottom w:val="single" w:sz="6" w:space="0" w:color="auto"/>
              <w:right w:val="single" w:sz="6" w:space="0" w:color="auto"/>
            </w:tcBorders>
            <w:vAlign w:val="center"/>
          </w:tcPr>
          <w:p w14:paraId="57D0F45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063A982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0EBF54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472C4D0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r>
      <w:tr w:rsidR="000D7BAC" w:rsidRPr="000D7BAC" w14:paraId="7EFB455A"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5FF75C0D" w14:textId="7126A164"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64</w:t>
            </w:r>
          </w:p>
        </w:tc>
        <w:tc>
          <w:tcPr>
            <w:tcW w:w="0" w:type="auto"/>
            <w:tcBorders>
              <w:top w:val="single" w:sz="6" w:space="0" w:color="auto"/>
              <w:left w:val="single" w:sz="6" w:space="0" w:color="auto"/>
              <w:bottom w:val="single" w:sz="6" w:space="0" w:color="auto"/>
              <w:right w:val="single" w:sz="6" w:space="0" w:color="auto"/>
            </w:tcBorders>
            <w:vAlign w:val="center"/>
          </w:tcPr>
          <w:p w14:paraId="2F9359A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42E444D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4A31199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58B0500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r>
      <w:tr w:rsidR="000D7BAC" w:rsidRPr="000D7BAC" w14:paraId="52DDDA9D"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08A096F8" w14:textId="720A7D80"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65</w:t>
            </w:r>
          </w:p>
        </w:tc>
        <w:tc>
          <w:tcPr>
            <w:tcW w:w="0" w:type="auto"/>
            <w:tcBorders>
              <w:top w:val="single" w:sz="6" w:space="0" w:color="auto"/>
              <w:left w:val="single" w:sz="6" w:space="0" w:color="auto"/>
              <w:bottom w:val="single" w:sz="6" w:space="0" w:color="auto"/>
              <w:right w:val="single" w:sz="6" w:space="0" w:color="auto"/>
            </w:tcBorders>
            <w:vAlign w:val="center"/>
          </w:tcPr>
          <w:p w14:paraId="13CC529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2088D13B"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3BCF99A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26457D1F"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52FEB6FB"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24189666" w14:textId="177D813A"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66</w:t>
            </w:r>
          </w:p>
        </w:tc>
        <w:tc>
          <w:tcPr>
            <w:tcW w:w="0" w:type="auto"/>
            <w:tcBorders>
              <w:top w:val="single" w:sz="6" w:space="0" w:color="auto"/>
              <w:left w:val="single" w:sz="6" w:space="0" w:color="auto"/>
              <w:bottom w:val="single" w:sz="6" w:space="0" w:color="auto"/>
              <w:right w:val="single" w:sz="6" w:space="0" w:color="auto"/>
            </w:tcBorders>
            <w:vAlign w:val="center"/>
          </w:tcPr>
          <w:p w14:paraId="5E4E86F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59CAF9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6709D38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7F03E1E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23DDE84F"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10BEA775" w14:textId="44D34CEF"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67</w:t>
            </w:r>
          </w:p>
        </w:tc>
        <w:tc>
          <w:tcPr>
            <w:tcW w:w="0" w:type="auto"/>
            <w:tcBorders>
              <w:top w:val="single" w:sz="6" w:space="0" w:color="auto"/>
              <w:left w:val="single" w:sz="6" w:space="0" w:color="auto"/>
              <w:bottom w:val="single" w:sz="6" w:space="0" w:color="auto"/>
              <w:right w:val="single" w:sz="6" w:space="0" w:color="auto"/>
            </w:tcBorders>
            <w:vAlign w:val="center"/>
          </w:tcPr>
          <w:p w14:paraId="7D2AF90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74A0BDAF"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5599E6A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0C33375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r>
      <w:tr w:rsidR="000D7BAC" w:rsidRPr="000D7BAC" w14:paraId="4947A5FD"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1325D5ED" w14:textId="793B55DF"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68</w:t>
            </w:r>
          </w:p>
        </w:tc>
        <w:tc>
          <w:tcPr>
            <w:tcW w:w="0" w:type="auto"/>
            <w:tcBorders>
              <w:top w:val="single" w:sz="6" w:space="0" w:color="auto"/>
              <w:left w:val="single" w:sz="6" w:space="0" w:color="auto"/>
              <w:bottom w:val="single" w:sz="6" w:space="0" w:color="auto"/>
              <w:right w:val="single" w:sz="6" w:space="0" w:color="auto"/>
            </w:tcBorders>
            <w:vAlign w:val="center"/>
          </w:tcPr>
          <w:p w14:paraId="2D8C938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50579B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3E1C289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594F10E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69F91CB7"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5CB7A65D" w14:textId="745A3F2C"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69</w:t>
            </w:r>
          </w:p>
        </w:tc>
        <w:tc>
          <w:tcPr>
            <w:tcW w:w="0" w:type="auto"/>
            <w:tcBorders>
              <w:top w:val="single" w:sz="6" w:space="0" w:color="auto"/>
              <w:left w:val="single" w:sz="6" w:space="0" w:color="auto"/>
              <w:bottom w:val="single" w:sz="6" w:space="0" w:color="auto"/>
              <w:right w:val="single" w:sz="6" w:space="0" w:color="auto"/>
            </w:tcBorders>
            <w:vAlign w:val="center"/>
          </w:tcPr>
          <w:p w14:paraId="0C761442"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28F3CC9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2BFD9C6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3B66989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02BFA014"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14CF9158" w14:textId="4536823B"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70</w:t>
            </w:r>
          </w:p>
        </w:tc>
        <w:tc>
          <w:tcPr>
            <w:tcW w:w="0" w:type="auto"/>
            <w:tcBorders>
              <w:top w:val="single" w:sz="6" w:space="0" w:color="auto"/>
              <w:left w:val="single" w:sz="6" w:space="0" w:color="auto"/>
              <w:bottom w:val="single" w:sz="6" w:space="0" w:color="auto"/>
              <w:right w:val="single" w:sz="6" w:space="0" w:color="auto"/>
            </w:tcBorders>
            <w:vAlign w:val="center"/>
          </w:tcPr>
          <w:p w14:paraId="7A078FEB"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F2917FF"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368A3B3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700ECC4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22A5B5C6"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0C6CE27B" w14:textId="572EE607"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71</w:t>
            </w:r>
          </w:p>
        </w:tc>
        <w:tc>
          <w:tcPr>
            <w:tcW w:w="0" w:type="auto"/>
            <w:tcBorders>
              <w:top w:val="single" w:sz="6" w:space="0" w:color="auto"/>
              <w:left w:val="single" w:sz="6" w:space="0" w:color="auto"/>
              <w:bottom w:val="single" w:sz="6" w:space="0" w:color="auto"/>
              <w:right w:val="single" w:sz="6" w:space="0" w:color="auto"/>
            </w:tcBorders>
            <w:vAlign w:val="center"/>
          </w:tcPr>
          <w:p w14:paraId="4839398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56613E1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6B97B02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354E948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1E829DA8"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4A3B2A85" w14:textId="3D3B7728"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72</w:t>
            </w:r>
          </w:p>
        </w:tc>
        <w:tc>
          <w:tcPr>
            <w:tcW w:w="0" w:type="auto"/>
            <w:tcBorders>
              <w:top w:val="single" w:sz="6" w:space="0" w:color="auto"/>
              <w:left w:val="single" w:sz="6" w:space="0" w:color="auto"/>
              <w:bottom w:val="single" w:sz="6" w:space="0" w:color="auto"/>
              <w:right w:val="single" w:sz="6" w:space="0" w:color="auto"/>
            </w:tcBorders>
            <w:vAlign w:val="center"/>
          </w:tcPr>
          <w:p w14:paraId="5ADB15F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21E79DC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4D9C690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04752E6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5C8F5C36"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13E70742" w14:textId="2D57007D"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73</w:t>
            </w:r>
          </w:p>
        </w:tc>
        <w:tc>
          <w:tcPr>
            <w:tcW w:w="0" w:type="auto"/>
            <w:tcBorders>
              <w:top w:val="single" w:sz="6" w:space="0" w:color="auto"/>
              <w:left w:val="single" w:sz="6" w:space="0" w:color="auto"/>
              <w:bottom w:val="single" w:sz="6" w:space="0" w:color="auto"/>
              <w:right w:val="single" w:sz="6" w:space="0" w:color="auto"/>
            </w:tcBorders>
            <w:vAlign w:val="center"/>
          </w:tcPr>
          <w:p w14:paraId="210E1E8F"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35B7148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4B9BBBA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307A3D5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7F0C3044"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02D17344" w14:textId="7DBA95C5"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74</w:t>
            </w:r>
          </w:p>
        </w:tc>
        <w:tc>
          <w:tcPr>
            <w:tcW w:w="0" w:type="auto"/>
            <w:tcBorders>
              <w:top w:val="single" w:sz="6" w:space="0" w:color="auto"/>
              <w:left w:val="single" w:sz="6" w:space="0" w:color="auto"/>
              <w:bottom w:val="single" w:sz="6" w:space="0" w:color="auto"/>
              <w:right w:val="single" w:sz="6" w:space="0" w:color="auto"/>
            </w:tcBorders>
            <w:vAlign w:val="center"/>
          </w:tcPr>
          <w:p w14:paraId="383F9D8B"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7B8BACEB"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3875B8E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12" w:space="0" w:color="auto"/>
            </w:tcBorders>
            <w:vAlign w:val="center"/>
          </w:tcPr>
          <w:p w14:paraId="1742F70B"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r>
      <w:tr w:rsidR="000D7BAC" w:rsidRPr="000D7BAC" w14:paraId="5933A8BC"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11A4A7A7" w14:textId="7A10A903"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75</w:t>
            </w:r>
          </w:p>
        </w:tc>
        <w:tc>
          <w:tcPr>
            <w:tcW w:w="0" w:type="auto"/>
            <w:tcBorders>
              <w:top w:val="single" w:sz="6" w:space="0" w:color="auto"/>
              <w:left w:val="single" w:sz="6" w:space="0" w:color="auto"/>
              <w:bottom w:val="single" w:sz="6" w:space="0" w:color="auto"/>
              <w:right w:val="single" w:sz="6" w:space="0" w:color="auto"/>
            </w:tcBorders>
            <w:vAlign w:val="center"/>
          </w:tcPr>
          <w:p w14:paraId="74C06A6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14BE451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626C3C4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6D510B8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60F77F59"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2DDD0FC9" w14:textId="6C30E16E"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76</w:t>
            </w:r>
          </w:p>
        </w:tc>
        <w:tc>
          <w:tcPr>
            <w:tcW w:w="0" w:type="auto"/>
            <w:tcBorders>
              <w:top w:val="single" w:sz="6" w:space="0" w:color="auto"/>
              <w:left w:val="single" w:sz="6" w:space="0" w:color="auto"/>
              <w:bottom w:val="single" w:sz="6" w:space="0" w:color="auto"/>
              <w:right w:val="single" w:sz="6" w:space="0" w:color="auto"/>
            </w:tcBorders>
            <w:vAlign w:val="center"/>
          </w:tcPr>
          <w:p w14:paraId="14B3638B"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40FE96F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1F1BEC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322F7064"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4B9B00AB"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11DD7411" w14:textId="2A453737"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77</w:t>
            </w:r>
          </w:p>
        </w:tc>
        <w:tc>
          <w:tcPr>
            <w:tcW w:w="0" w:type="auto"/>
            <w:tcBorders>
              <w:top w:val="single" w:sz="6" w:space="0" w:color="auto"/>
              <w:left w:val="single" w:sz="6" w:space="0" w:color="auto"/>
              <w:bottom w:val="single" w:sz="6" w:space="0" w:color="auto"/>
              <w:right w:val="single" w:sz="6" w:space="0" w:color="auto"/>
            </w:tcBorders>
            <w:vAlign w:val="center"/>
          </w:tcPr>
          <w:p w14:paraId="77BA77E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4795EC6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5D9BC47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3BCD3C9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r>
      <w:tr w:rsidR="000D7BAC" w:rsidRPr="000D7BAC" w14:paraId="258D42A5"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14756B5A" w14:textId="3C64155E"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78</w:t>
            </w:r>
          </w:p>
        </w:tc>
        <w:tc>
          <w:tcPr>
            <w:tcW w:w="0" w:type="auto"/>
            <w:tcBorders>
              <w:top w:val="single" w:sz="6" w:space="0" w:color="auto"/>
              <w:left w:val="single" w:sz="6" w:space="0" w:color="auto"/>
              <w:bottom w:val="single" w:sz="6" w:space="0" w:color="auto"/>
              <w:right w:val="single" w:sz="6" w:space="0" w:color="auto"/>
            </w:tcBorders>
            <w:vAlign w:val="center"/>
          </w:tcPr>
          <w:p w14:paraId="77A41D41"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6E034457"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E61B60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55908D6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r>
      <w:tr w:rsidR="000D7BAC" w:rsidRPr="000D7BAC" w14:paraId="64F31D8E"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37427D72" w14:textId="66948F90"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79</w:t>
            </w:r>
          </w:p>
        </w:tc>
        <w:tc>
          <w:tcPr>
            <w:tcW w:w="0" w:type="auto"/>
            <w:tcBorders>
              <w:top w:val="single" w:sz="6" w:space="0" w:color="auto"/>
              <w:left w:val="single" w:sz="6" w:space="0" w:color="auto"/>
              <w:bottom w:val="single" w:sz="6" w:space="0" w:color="auto"/>
              <w:right w:val="single" w:sz="6" w:space="0" w:color="auto"/>
            </w:tcBorders>
            <w:vAlign w:val="center"/>
          </w:tcPr>
          <w:p w14:paraId="0CD35F8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24045AB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5619F44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3CBE208A"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626B53FB"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5DC1BF1B" w14:textId="6C546E09"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80</w:t>
            </w:r>
          </w:p>
        </w:tc>
        <w:tc>
          <w:tcPr>
            <w:tcW w:w="0" w:type="auto"/>
            <w:tcBorders>
              <w:top w:val="single" w:sz="6" w:space="0" w:color="auto"/>
              <w:left w:val="single" w:sz="6" w:space="0" w:color="auto"/>
              <w:bottom w:val="single" w:sz="6" w:space="0" w:color="auto"/>
              <w:right w:val="single" w:sz="6" w:space="0" w:color="auto"/>
            </w:tcBorders>
            <w:vAlign w:val="center"/>
          </w:tcPr>
          <w:p w14:paraId="6CCD4593"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19F2FF48"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1A382FC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788D5E65"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2D2BFA44" w14:textId="77777777" w:rsidTr="000D7BAC">
        <w:trPr>
          <w:trHeight w:val="280"/>
        </w:trPr>
        <w:tc>
          <w:tcPr>
            <w:tcW w:w="0" w:type="auto"/>
            <w:tcBorders>
              <w:top w:val="single" w:sz="6" w:space="0" w:color="auto"/>
              <w:left w:val="single" w:sz="12" w:space="0" w:color="auto"/>
              <w:bottom w:val="single" w:sz="6" w:space="0" w:color="auto"/>
              <w:right w:val="single" w:sz="6" w:space="0" w:color="auto"/>
            </w:tcBorders>
            <w:vAlign w:val="center"/>
          </w:tcPr>
          <w:p w14:paraId="4A81B7CC" w14:textId="7E0E5098"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81</w:t>
            </w:r>
          </w:p>
        </w:tc>
        <w:tc>
          <w:tcPr>
            <w:tcW w:w="0" w:type="auto"/>
            <w:tcBorders>
              <w:top w:val="single" w:sz="6" w:space="0" w:color="auto"/>
              <w:left w:val="single" w:sz="6" w:space="0" w:color="auto"/>
              <w:bottom w:val="single" w:sz="6" w:space="0" w:color="auto"/>
              <w:right w:val="single" w:sz="6" w:space="0" w:color="auto"/>
            </w:tcBorders>
            <w:vAlign w:val="center"/>
          </w:tcPr>
          <w:p w14:paraId="6D74F15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6" w:space="0" w:color="auto"/>
              <w:right w:val="single" w:sz="6" w:space="0" w:color="auto"/>
            </w:tcBorders>
            <w:vAlign w:val="center"/>
          </w:tcPr>
          <w:p w14:paraId="3A5C57F9"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6" w:space="0" w:color="auto"/>
            </w:tcBorders>
            <w:vAlign w:val="center"/>
          </w:tcPr>
          <w:p w14:paraId="03A7C78C"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6" w:space="0" w:color="auto"/>
              <w:right w:val="single" w:sz="12" w:space="0" w:color="auto"/>
            </w:tcBorders>
            <w:vAlign w:val="center"/>
          </w:tcPr>
          <w:p w14:paraId="569F026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r w:rsidR="000D7BAC" w:rsidRPr="000D7BAC" w14:paraId="6F54E727" w14:textId="77777777" w:rsidTr="000D7BAC">
        <w:trPr>
          <w:trHeight w:val="300"/>
        </w:trPr>
        <w:tc>
          <w:tcPr>
            <w:tcW w:w="0" w:type="auto"/>
            <w:tcBorders>
              <w:top w:val="single" w:sz="6" w:space="0" w:color="auto"/>
              <w:left w:val="single" w:sz="12" w:space="0" w:color="auto"/>
              <w:bottom w:val="single" w:sz="12" w:space="0" w:color="auto"/>
              <w:right w:val="single" w:sz="6" w:space="0" w:color="auto"/>
            </w:tcBorders>
            <w:vAlign w:val="center"/>
          </w:tcPr>
          <w:p w14:paraId="0B2CDC2C" w14:textId="0636C4D8" w:rsidR="000D7BAC" w:rsidRPr="000D7BAC" w:rsidRDefault="00B25FC8" w:rsidP="000D7BAC">
            <w:pPr>
              <w:autoSpaceDE w:val="0"/>
              <w:autoSpaceDN w:val="0"/>
              <w:adjustRightInd w:val="0"/>
              <w:jc w:val="center"/>
              <w:rPr>
                <w:rFonts w:ascii="Arial" w:eastAsiaTheme="minorHAnsi" w:hAnsi="Arial" w:cs="Arial"/>
                <w:color w:val="000000"/>
                <w:sz w:val="16"/>
                <w:szCs w:val="16"/>
                <w:lang w:val="en-GB" w:eastAsia="en-US"/>
              </w:rPr>
            </w:pPr>
            <w:r>
              <w:rPr>
                <w:rFonts w:ascii="Arial" w:eastAsiaTheme="minorHAnsi" w:hAnsi="Arial" w:cs="Arial"/>
                <w:color w:val="000000"/>
                <w:sz w:val="16"/>
                <w:szCs w:val="16"/>
                <w:lang w:val="en-GB" w:eastAsia="en-US"/>
              </w:rPr>
              <w:t>82</w:t>
            </w:r>
          </w:p>
        </w:tc>
        <w:tc>
          <w:tcPr>
            <w:tcW w:w="0" w:type="auto"/>
            <w:tcBorders>
              <w:top w:val="single" w:sz="6" w:space="0" w:color="auto"/>
              <w:left w:val="single" w:sz="6" w:space="0" w:color="auto"/>
              <w:bottom w:val="single" w:sz="12" w:space="0" w:color="auto"/>
              <w:right w:val="single" w:sz="6" w:space="0" w:color="auto"/>
            </w:tcBorders>
            <w:vAlign w:val="center"/>
          </w:tcPr>
          <w:p w14:paraId="530732D0"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c>
          <w:tcPr>
            <w:tcW w:w="0" w:type="auto"/>
            <w:tcBorders>
              <w:top w:val="single" w:sz="6" w:space="0" w:color="auto"/>
              <w:left w:val="single" w:sz="6" w:space="0" w:color="auto"/>
              <w:bottom w:val="single" w:sz="12" w:space="0" w:color="auto"/>
              <w:right w:val="single" w:sz="6" w:space="0" w:color="auto"/>
            </w:tcBorders>
            <w:vAlign w:val="center"/>
          </w:tcPr>
          <w:p w14:paraId="5635438E"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12" w:space="0" w:color="auto"/>
              <w:right w:val="single" w:sz="6" w:space="0" w:color="auto"/>
            </w:tcBorders>
            <w:vAlign w:val="center"/>
          </w:tcPr>
          <w:p w14:paraId="546D914D"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p>
        </w:tc>
        <w:tc>
          <w:tcPr>
            <w:tcW w:w="0" w:type="auto"/>
            <w:tcBorders>
              <w:top w:val="single" w:sz="6" w:space="0" w:color="auto"/>
              <w:left w:val="single" w:sz="6" w:space="0" w:color="auto"/>
              <w:bottom w:val="single" w:sz="12" w:space="0" w:color="auto"/>
              <w:right w:val="single" w:sz="12" w:space="0" w:color="auto"/>
            </w:tcBorders>
            <w:vAlign w:val="center"/>
          </w:tcPr>
          <w:p w14:paraId="0A6C1456" w14:textId="77777777" w:rsidR="000D7BAC" w:rsidRPr="000D7BAC" w:rsidRDefault="000D7BAC" w:rsidP="000D7BAC">
            <w:pPr>
              <w:autoSpaceDE w:val="0"/>
              <w:autoSpaceDN w:val="0"/>
              <w:adjustRightInd w:val="0"/>
              <w:jc w:val="center"/>
              <w:rPr>
                <w:rFonts w:ascii="Arial" w:eastAsiaTheme="minorHAnsi" w:hAnsi="Arial" w:cs="Arial"/>
                <w:color w:val="000000"/>
                <w:sz w:val="16"/>
                <w:szCs w:val="16"/>
                <w:lang w:val="en-GB" w:eastAsia="en-US"/>
              </w:rPr>
            </w:pPr>
            <w:r w:rsidRPr="000D7BAC">
              <w:rPr>
                <w:rFonts w:ascii="Arial" w:eastAsiaTheme="minorHAnsi" w:hAnsi="Arial" w:cs="Arial"/>
                <w:color w:val="000000"/>
                <w:sz w:val="16"/>
                <w:szCs w:val="16"/>
                <w:lang w:val="en-GB" w:eastAsia="en-US"/>
              </w:rPr>
              <w:t>X</w:t>
            </w:r>
          </w:p>
        </w:tc>
      </w:tr>
    </w:tbl>
    <w:p w14:paraId="2734C10D" w14:textId="77777777" w:rsidR="00235E90" w:rsidRDefault="00235E90">
      <w:pPr>
        <w:rPr>
          <w:lang w:val="en-GB"/>
        </w:rPr>
      </w:pPr>
    </w:p>
    <w:p w14:paraId="2DDEC932" w14:textId="77777777" w:rsidR="006D0B9F" w:rsidRDefault="006D0B9F">
      <w:pPr>
        <w:rPr>
          <w:lang w:val="en-GB"/>
        </w:rPr>
      </w:pPr>
    </w:p>
    <w:p w14:paraId="56D942DA" w14:textId="77777777" w:rsidR="006D0B9F" w:rsidRDefault="006D0B9F">
      <w:pPr>
        <w:rPr>
          <w:lang w:val="en-GB"/>
        </w:rPr>
      </w:pPr>
    </w:p>
    <w:p w14:paraId="67E68E2B" w14:textId="77777777" w:rsidR="006D0B9F" w:rsidRDefault="006D0B9F">
      <w:pPr>
        <w:rPr>
          <w:lang w:val="en-GB"/>
        </w:rPr>
      </w:pPr>
    </w:p>
    <w:p w14:paraId="79B20540" w14:textId="77777777" w:rsidR="001B2BDB" w:rsidRDefault="001B2BDB" w:rsidP="00AE1786">
      <w:pPr>
        <w:pStyle w:val="Sansinterligne"/>
        <w:jc w:val="both"/>
        <w:rPr>
          <w:rFonts w:ascii="Arial" w:hAnsi="Arial" w:cs="Arial"/>
          <w:sz w:val="20"/>
          <w:szCs w:val="20"/>
          <w:lang w:val="en-GB"/>
        </w:rPr>
      </w:pPr>
    </w:p>
    <w:p w14:paraId="12E8F3D2" w14:textId="77777777" w:rsidR="00AE1786" w:rsidRPr="00996D96" w:rsidRDefault="00AE1786" w:rsidP="00AE1786">
      <w:pPr>
        <w:pStyle w:val="Sansinterligne"/>
        <w:jc w:val="both"/>
        <w:rPr>
          <w:rFonts w:ascii="Arial" w:hAnsi="Arial" w:cs="Arial"/>
          <w:sz w:val="20"/>
          <w:szCs w:val="20"/>
          <w:lang w:val="en-GB"/>
        </w:rPr>
      </w:pPr>
      <w:r w:rsidRPr="00996D96">
        <w:rPr>
          <w:rFonts w:ascii="Arial" w:hAnsi="Arial" w:cs="Arial"/>
          <w:sz w:val="20"/>
          <w:szCs w:val="20"/>
          <w:lang w:val="en-GB"/>
        </w:rPr>
        <w:lastRenderedPageBreak/>
        <w:t>Table S2</w:t>
      </w:r>
      <w:r w:rsidR="00996D96">
        <w:rPr>
          <w:rFonts w:ascii="Arial" w:hAnsi="Arial" w:cs="Arial"/>
          <w:sz w:val="20"/>
          <w:szCs w:val="20"/>
          <w:lang w:val="en-GB"/>
        </w:rPr>
        <w:t xml:space="preserve">: </w:t>
      </w:r>
      <w:r w:rsidRPr="00996D96">
        <w:rPr>
          <w:rFonts w:ascii="Arial" w:hAnsi="Arial" w:cs="Arial"/>
          <w:sz w:val="20"/>
          <w:szCs w:val="20"/>
          <w:lang w:val="en-GB"/>
        </w:rPr>
        <w:t>PCDD/Fs and DL-PCBs concentrations (pg.g</w:t>
      </w:r>
      <w:r w:rsidRPr="00996D96">
        <w:rPr>
          <w:rFonts w:ascii="Arial" w:hAnsi="Arial" w:cs="Arial"/>
          <w:sz w:val="20"/>
          <w:szCs w:val="20"/>
          <w:vertAlign w:val="superscript"/>
          <w:lang w:val="en-GB"/>
        </w:rPr>
        <w:t>-1</w:t>
      </w:r>
      <w:r w:rsidRPr="00996D96">
        <w:rPr>
          <w:rFonts w:ascii="Arial" w:hAnsi="Arial" w:cs="Arial"/>
          <w:sz w:val="20"/>
          <w:szCs w:val="20"/>
          <w:lang w:val="en-GB"/>
        </w:rPr>
        <w:t xml:space="preserve"> lipids) </w:t>
      </w:r>
      <w:r w:rsidR="00802FE9" w:rsidRPr="00996D96">
        <w:rPr>
          <w:rFonts w:ascii="Arial" w:hAnsi="Arial" w:cs="Arial"/>
          <w:sz w:val="20"/>
          <w:szCs w:val="20"/>
          <w:lang w:val="en-GB"/>
        </w:rPr>
        <w:t>in male (n =9) and female (n=3)</w:t>
      </w:r>
      <w:r w:rsidRPr="00996D96">
        <w:rPr>
          <w:rFonts w:ascii="Arial" w:hAnsi="Arial" w:cs="Arial"/>
          <w:sz w:val="20"/>
          <w:szCs w:val="20"/>
          <w:lang w:val="en-GB"/>
        </w:rPr>
        <w:t xml:space="preserve"> bottlenose dolphins from </w:t>
      </w:r>
      <w:r w:rsidR="00055AAE" w:rsidRPr="00996D96">
        <w:rPr>
          <w:rFonts w:ascii="Arial" w:hAnsi="Arial" w:cs="Arial"/>
          <w:sz w:val="20"/>
          <w:szCs w:val="20"/>
          <w:lang w:val="en-GB"/>
        </w:rPr>
        <w:t>Normanno-Breton G</w:t>
      </w:r>
      <w:r w:rsidR="00802FE9" w:rsidRPr="00996D96">
        <w:rPr>
          <w:rFonts w:ascii="Arial" w:hAnsi="Arial" w:cs="Arial"/>
          <w:sz w:val="20"/>
          <w:szCs w:val="20"/>
          <w:lang w:val="en-GB"/>
        </w:rPr>
        <w:t>ulf</w:t>
      </w:r>
      <w:r w:rsidRPr="00996D96">
        <w:rPr>
          <w:rFonts w:ascii="Arial" w:hAnsi="Arial" w:cs="Arial"/>
          <w:sz w:val="20"/>
          <w:szCs w:val="20"/>
          <w:lang w:val="en-GB"/>
        </w:rPr>
        <w:t>. Data are showed as mean concentrations, TEF (toxic equivalency factor) and TEQ (toxicity equivalent) (pg.g-1 lipids) and p-value (p&lt;0.05).</w:t>
      </w:r>
      <w:r w:rsidRPr="00996D96">
        <w:rPr>
          <w:rFonts w:ascii="Arial" w:hAnsi="Arial" w:cs="Arial"/>
          <w:b/>
          <w:sz w:val="20"/>
          <w:szCs w:val="20"/>
          <w:lang w:val="en-GB"/>
        </w:rPr>
        <w:t xml:space="preserve"> </w:t>
      </w:r>
      <w:r w:rsidRPr="00996D96">
        <w:rPr>
          <w:rFonts w:ascii="Arial" w:hAnsi="Arial" w:cs="Arial"/>
          <w:sz w:val="20"/>
          <w:szCs w:val="20"/>
          <w:lang w:val="en-GB"/>
        </w:rPr>
        <w:t>Significant differences for TEQ values are shown in bold.</w:t>
      </w:r>
    </w:p>
    <w:p w14:paraId="0DDE7DDC" w14:textId="77777777" w:rsidR="00AE1786" w:rsidRDefault="00AE1786" w:rsidP="00AE1786">
      <w:pPr>
        <w:pStyle w:val="Lgende"/>
        <w:keepNext/>
        <w:jc w:val="center"/>
        <w:rPr>
          <w:rFonts w:cs="Times New Roman"/>
          <w:b/>
          <w:color w:val="auto"/>
          <w:lang w:val="en-GB"/>
        </w:rPr>
      </w:pPr>
    </w:p>
    <w:tbl>
      <w:tblPr>
        <w:tblStyle w:val="Grilledutableau"/>
        <w:tblW w:w="932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
        <w:gridCol w:w="2565"/>
        <w:gridCol w:w="1134"/>
        <w:gridCol w:w="1417"/>
        <w:gridCol w:w="851"/>
        <w:gridCol w:w="1134"/>
        <w:gridCol w:w="992"/>
        <w:gridCol w:w="992"/>
      </w:tblGrid>
      <w:tr w:rsidR="00AE1786" w14:paraId="3B9E943F" w14:textId="77777777" w:rsidTr="00996D96">
        <w:trPr>
          <w:trHeight w:val="287"/>
        </w:trPr>
        <w:tc>
          <w:tcPr>
            <w:tcW w:w="2802" w:type="dxa"/>
            <w:gridSpan w:val="2"/>
            <w:tcBorders>
              <w:top w:val="single" w:sz="12" w:space="0" w:color="auto"/>
              <w:left w:val="nil"/>
              <w:bottom w:val="single" w:sz="12" w:space="0" w:color="auto"/>
              <w:right w:val="nil"/>
            </w:tcBorders>
            <w:vAlign w:val="center"/>
            <w:hideMark/>
          </w:tcPr>
          <w:p w14:paraId="2B8F07BC" w14:textId="77777777" w:rsidR="00AE1786" w:rsidRDefault="00AE1786" w:rsidP="00996D96">
            <w:pPr>
              <w:pStyle w:val="Sansinterligne"/>
            </w:pPr>
            <w:r>
              <w:rPr>
                <w:lang w:val="en-US"/>
              </w:rPr>
              <w:t>Congener</w:t>
            </w:r>
          </w:p>
        </w:tc>
        <w:tc>
          <w:tcPr>
            <w:tcW w:w="2551" w:type="dxa"/>
            <w:gridSpan w:val="2"/>
            <w:tcBorders>
              <w:top w:val="single" w:sz="12" w:space="0" w:color="auto"/>
              <w:left w:val="nil"/>
              <w:bottom w:val="single" w:sz="12" w:space="0" w:color="auto"/>
              <w:right w:val="nil"/>
            </w:tcBorders>
            <w:vAlign w:val="center"/>
            <w:hideMark/>
          </w:tcPr>
          <w:p w14:paraId="29289496" w14:textId="77777777" w:rsidR="00AE1786" w:rsidRDefault="00AE1786" w:rsidP="00996D96">
            <w:pPr>
              <w:pStyle w:val="Sansinterligne"/>
            </w:pPr>
            <w:proofErr w:type="spellStart"/>
            <w:r>
              <w:t>Mean</w:t>
            </w:r>
            <w:proofErr w:type="spellEnd"/>
            <w:r>
              <w:t xml:space="preserve"> concentrations</w:t>
            </w:r>
          </w:p>
        </w:tc>
        <w:tc>
          <w:tcPr>
            <w:tcW w:w="851" w:type="dxa"/>
            <w:tcBorders>
              <w:top w:val="single" w:sz="12" w:space="0" w:color="auto"/>
              <w:left w:val="nil"/>
              <w:bottom w:val="single" w:sz="12" w:space="0" w:color="auto"/>
              <w:right w:val="nil"/>
            </w:tcBorders>
            <w:vAlign w:val="center"/>
            <w:hideMark/>
          </w:tcPr>
          <w:p w14:paraId="14D8F771" w14:textId="77777777" w:rsidR="00AE1786" w:rsidRDefault="00AE1786" w:rsidP="00996D96">
            <w:pPr>
              <w:pStyle w:val="Sansinterligne"/>
            </w:pPr>
            <w:r>
              <w:t>TEF</w:t>
            </w:r>
          </w:p>
        </w:tc>
        <w:tc>
          <w:tcPr>
            <w:tcW w:w="2126" w:type="dxa"/>
            <w:gridSpan w:val="2"/>
            <w:tcBorders>
              <w:top w:val="single" w:sz="12" w:space="0" w:color="auto"/>
              <w:left w:val="nil"/>
              <w:bottom w:val="single" w:sz="12" w:space="0" w:color="auto"/>
              <w:right w:val="nil"/>
            </w:tcBorders>
            <w:vAlign w:val="center"/>
            <w:hideMark/>
          </w:tcPr>
          <w:p w14:paraId="62995F53" w14:textId="77777777" w:rsidR="00AE1786" w:rsidRDefault="00AE1786" w:rsidP="00996D96">
            <w:pPr>
              <w:pStyle w:val="Sansinterligne"/>
            </w:pPr>
            <w:r>
              <w:t xml:space="preserve">          TEQ</w:t>
            </w:r>
          </w:p>
        </w:tc>
        <w:tc>
          <w:tcPr>
            <w:tcW w:w="992" w:type="dxa"/>
            <w:tcBorders>
              <w:top w:val="single" w:sz="12" w:space="0" w:color="auto"/>
              <w:left w:val="nil"/>
              <w:bottom w:val="single" w:sz="12" w:space="0" w:color="auto"/>
              <w:right w:val="nil"/>
            </w:tcBorders>
            <w:vAlign w:val="center"/>
            <w:hideMark/>
          </w:tcPr>
          <w:p w14:paraId="30EAD29D" w14:textId="77777777" w:rsidR="00AE1786" w:rsidRDefault="00AE1786" w:rsidP="00996D96">
            <w:pPr>
              <w:pStyle w:val="Sansinterligne"/>
            </w:pPr>
            <w:r>
              <w:t>p-value</w:t>
            </w:r>
          </w:p>
        </w:tc>
      </w:tr>
      <w:tr w:rsidR="00AE1786" w14:paraId="174A2482" w14:textId="77777777" w:rsidTr="00996D96">
        <w:trPr>
          <w:trHeight w:val="250"/>
        </w:trPr>
        <w:tc>
          <w:tcPr>
            <w:tcW w:w="2802" w:type="dxa"/>
            <w:gridSpan w:val="2"/>
            <w:tcBorders>
              <w:top w:val="single" w:sz="12" w:space="0" w:color="auto"/>
              <w:left w:val="nil"/>
              <w:bottom w:val="nil"/>
              <w:right w:val="nil"/>
            </w:tcBorders>
            <w:vAlign w:val="center"/>
          </w:tcPr>
          <w:p w14:paraId="4DAA0C1A" w14:textId="77777777" w:rsidR="00AE1786" w:rsidRDefault="00AE1786" w:rsidP="00996D96">
            <w:pPr>
              <w:pStyle w:val="Sansinterligne"/>
              <w:rPr>
                <w:i/>
                <w:lang w:val="en-US"/>
              </w:rPr>
            </w:pPr>
          </w:p>
        </w:tc>
        <w:tc>
          <w:tcPr>
            <w:tcW w:w="1134" w:type="dxa"/>
            <w:tcBorders>
              <w:top w:val="single" w:sz="12" w:space="0" w:color="auto"/>
              <w:left w:val="nil"/>
              <w:bottom w:val="nil"/>
              <w:right w:val="nil"/>
            </w:tcBorders>
            <w:vAlign w:val="bottom"/>
            <w:hideMark/>
          </w:tcPr>
          <w:p w14:paraId="0F9F2BC6" w14:textId="77777777" w:rsidR="00AE1786" w:rsidRDefault="00AE1786" w:rsidP="00996D96">
            <w:pPr>
              <w:pStyle w:val="Sansinterligne"/>
              <w:rPr>
                <w:i/>
              </w:rPr>
            </w:pPr>
            <w:r>
              <w:rPr>
                <w:i/>
              </w:rPr>
              <w:t>males</w:t>
            </w:r>
          </w:p>
        </w:tc>
        <w:tc>
          <w:tcPr>
            <w:tcW w:w="1417" w:type="dxa"/>
            <w:tcBorders>
              <w:top w:val="single" w:sz="12" w:space="0" w:color="auto"/>
              <w:left w:val="nil"/>
              <w:bottom w:val="nil"/>
              <w:right w:val="nil"/>
            </w:tcBorders>
            <w:vAlign w:val="bottom"/>
            <w:hideMark/>
          </w:tcPr>
          <w:p w14:paraId="685EF4BD" w14:textId="77777777" w:rsidR="00AE1786" w:rsidRDefault="00AE1786" w:rsidP="00996D96">
            <w:pPr>
              <w:pStyle w:val="Sansinterligne"/>
              <w:rPr>
                <w:i/>
              </w:rPr>
            </w:pPr>
            <w:proofErr w:type="spellStart"/>
            <w:r>
              <w:rPr>
                <w:i/>
              </w:rPr>
              <w:t>females</w:t>
            </w:r>
            <w:proofErr w:type="spellEnd"/>
          </w:p>
        </w:tc>
        <w:tc>
          <w:tcPr>
            <w:tcW w:w="851" w:type="dxa"/>
            <w:tcBorders>
              <w:top w:val="single" w:sz="12" w:space="0" w:color="auto"/>
              <w:left w:val="nil"/>
              <w:bottom w:val="nil"/>
              <w:right w:val="nil"/>
            </w:tcBorders>
            <w:vAlign w:val="bottom"/>
          </w:tcPr>
          <w:p w14:paraId="1DDFDE23" w14:textId="77777777" w:rsidR="00AE1786" w:rsidRDefault="00AE1786" w:rsidP="00996D96">
            <w:pPr>
              <w:pStyle w:val="Sansinterligne"/>
              <w:rPr>
                <w:i/>
              </w:rPr>
            </w:pPr>
          </w:p>
        </w:tc>
        <w:tc>
          <w:tcPr>
            <w:tcW w:w="1134" w:type="dxa"/>
            <w:tcBorders>
              <w:top w:val="single" w:sz="12" w:space="0" w:color="auto"/>
              <w:left w:val="nil"/>
              <w:bottom w:val="nil"/>
              <w:right w:val="nil"/>
            </w:tcBorders>
            <w:vAlign w:val="bottom"/>
            <w:hideMark/>
          </w:tcPr>
          <w:p w14:paraId="3059B8A3" w14:textId="77777777" w:rsidR="00AE1786" w:rsidRDefault="00AE1786" w:rsidP="00996D96">
            <w:pPr>
              <w:pStyle w:val="Sansinterligne"/>
              <w:rPr>
                <w:i/>
              </w:rPr>
            </w:pPr>
            <w:r>
              <w:rPr>
                <w:i/>
              </w:rPr>
              <w:t>males</w:t>
            </w:r>
          </w:p>
        </w:tc>
        <w:tc>
          <w:tcPr>
            <w:tcW w:w="992" w:type="dxa"/>
            <w:tcBorders>
              <w:top w:val="single" w:sz="12" w:space="0" w:color="auto"/>
              <w:left w:val="nil"/>
              <w:bottom w:val="nil"/>
              <w:right w:val="nil"/>
            </w:tcBorders>
            <w:vAlign w:val="bottom"/>
            <w:hideMark/>
          </w:tcPr>
          <w:p w14:paraId="7D0D0979" w14:textId="77777777" w:rsidR="00AE1786" w:rsidRDefault="00AE1786" w:rsidP="00996D96">
            <w:pPr>
              <w:pStyle w:val="Sansinterligne"/>
              <w:rPr>
                <w:i/>
              </w:rPr>
            </w:pPr>
            <w:proofErr w:type="spellStart"/>
            <w:r>
              <w:rPr>
                <w:i/>
              </w:rPr>
              <w:t>females</w:t>
            </w:r>
            <w:proofErr w:type="spellEnd"/>
          </w:p>
        </w:tc>
        <w:tc>
          <w:tcPr>
            <w:tcW w:w="992" w:type="dxa"/>
            <w:tcBorders>
              <w:top w:val="single" w:sz="12" w:space="0" w:color="auto"/>
              <w:left w:val="nil"/>
              <w:bottom w:val="nil"/>
              <w:right w:val="nil"/>
            </w:tcBorders>
          </w:tcPr>
          <w:p w14:paraId="78315300" w14:textId="77777777" w:rsidR="00AE1786" w:rsidRDefault="00AE1786" w:rsidP="00996D96">
            <w:pPr>
              <w:pStyle w:val="Sansinterligne"/>
              <w:rPr>
                <w:i/>
              </w:rPr>
            </w:pPr>
          </w:p>
        </w:tc>
      </w:tr>
      <w:tr w:rsidR="00AE1786" w14:paraId="5E1B125E" w14:textId="77777777" w:rsidTr="00996D96">
        <w:trPr>
          <w:trHeight w:val="384"/>
        </w:trPr>
        <w:tc>
          <w:tcPr>
            <w:tcW w:w="2802" w:type="dxa"/>
            <w:gridSpan w:val="2"/>
            <w:tcBorders>
              <w:top w:val="nil"/>
              <w:left w:val="nil"/>
              <w:bottom w:val="nil"/>
              <w:right w:val="nil"/>
            </w:tcBorders>
            <w:vAlign w:val="center"/>
            <w:hideMark/>
          </w:tcPr>
          <w:p w14:paraId="12674C4C" w14:textId="77777777" w:rsidR="00AE1786" w:rsidRDefault="00AE1786" w:rsidP="00996D96">
            <w:pPr>
              <w:pStyle w:val="Sansinterligne"/>
            </w:pPr>
            <w:proofErr w:type="spellStart"/>
            <w:r>
              <w:t>PCDDs</w:t>
            </w:r>
            <w:proofErr w:type="spellEnd"/>
          </w:p>
        </w:tc>
        <w:tc>
          <w:tcPr>
            <w:tcW w:w="1134" w:type="dxa"/>
            <w:tcBorders>
              <w:top w:val="nil"/>
              <w:left w:val="nil"/>
              <w:bottom w:val="nil"/>
              <w:right w:val="nil"/>
            </w:tcBorders>
            <w:vAlign w:val="center"/>
          </w:tcPr>
          <w:p w14:paraId="1FE6B483" w14:textId="77777777" w:rsidR="00AE1786" w:rsidRDefault="00AE1786" w:rsidP="00996D96">
            <w:pPr>
              <w:pStyle w:val="Sansinterligne"/>
              <w:rPr>
                <w:sz w:val="18"/>
                <w:szCs w:val="18"/>
              </w:rPr>
            </w:pPr>
          </w:p>
        </w:tc>
        <w:tc>
          <w:tcPr>
            <w:tcW w:w="1417" w:type="dxa"/>
            <w:tcBorders>
              <w:top w:val="nil"/>
              <w:left w:val="nil"/>
              <w:bottom w:val="nil"/>
              <w:right w:val="nil"/>
            </w:tcBorders>
            <w:vAlign w:val="center"/>
          </w:tcPr>
          <w:p w14:paraId="70A7C234" w14:textId="77777777" w:rsidR="00AE1786" w:rsidRDefault="00AE1786" w:rsidP="00996D96">
            <w:pPr>
              <w:pStyle w:val="Sansinterligne"/>
              <w:rPr>
                <w:sz w:val="18"/>
                <w:szCs w:val="18"/>
              </w:rPr>
            </w:pPr>
          </w:p>
        </w:tc>
        <w:tc>
          <w:tcPr>
            <w:tcW w:w="851" w:type="dxa"/>
            <w:tcBorders>
              <w:top w:val="nil"/>
              <w:left w:val="nil"/>
              <w:bottom w:val="nil"/>
              <w:right w:val="nil"/>
            </w:tcBorders>
            <w:vAlign w:val="center"/>
          </w:tcPr>
          <w:p w14:paraId="6ED24311" w14:textId="77777777" w:rsidR="00AE1786" w:rsidRDefault="00AE1786" w:rsidP="00996D96">
            <w:pPr>
              <w:pStyle w:val="Sansinterligne"/>
              <w:rPr>
                <w:sz w:val="18"/>
                <w:szCs w:val="18"/>
              </w:rPr>
            </w:pPr>
          </w:p>
        </w:tc>
        <w:tc>
          <w:tcPr>
            <w:tcW w:w="1134" w:type="dxa"/>
            <w:tcBorders>
              <w:top w:val="nil"/>
              <w:left w:val="nil"/>
              <w:bottom w:val="nil"/>
              <w:right w:val="nil"/>
            </w:tcBorders>
            <w:vAlign w:val="center"/>
          </w:tcPr>
          <w:p w14:paraId="1363DEE3" w14:textId="77777777" w:rsidR="00AE1786" w:rsidRDefault="00AE1786" w:rsidP="00996D96">
            <w:pPr>
              <w:pStyle w:val="Sansinterligne"/>
              <w:rPr>
                <w:sz w:val="18"/>
                <w:szCs w:val="18"/>
              </w:rPr>
            </w:pPr>
          </w:p>
        </w:tc>
        <w:tc>
          <w:tcPr>
            <w:tcW w:w="992" w:type="dxa"/>
            <w:tcBorders>
              <w:top w:val="nil"/>
              <w:left w:val="nil"/>
              <w:bottom w:val="nil"/>
              <w:right w:val="nil"/>
            </w:tcBorders>
            <w:vAlign w:val="center"/>
          </w:tcPr>
          <w:p w14:paraId="796A59BE" w14:textId="77777777" w:rsidR="00AE1786" w:rsidRDefault="00AE1786" w:rsidP="00996D96">
            <w:pPr>
              <w:pStyle w:val="Sansinterligne"/>
              <w:rPr>
                <w:sz w:val="18"/>
                <w:szCs w:val="18"/>
              </w:rPr>
            </w:pPr>
          </w:p>
        </w:tc>
        <w:tc>
          <w:tcPr>
            <w:tcW w:w="992" w:type="dxa"/>
            <w:tcBorders>
              <w:top w:val="nil"/>
              <w:left w:val="nil"/>
              <w:bottom w:val="nil"/>
              <w:right w:val="nil"/>
            </w:tcBorders>
          </w:tcPr>
          <w:p w14:paraId="0001BF78" w14:textId="77777777" w:rsidR="00AE1786" w:rsidRDefault="00AE1786" w:rsidP="00996D96">
            <w:pPr>
              <w:pStyle w:val="Sansinterligne"/>
              <w:rPr>
                <w:sz w:val="18"/>
                <w:szCs w:val="18"/>
              </w:rPr>
            </w:pPr>
          </w:p>
        </w:tc>
      </w:tr>
      <w:tr w:rsidR="00AE1786" w14:paraId="581A0024" w14:textId="77777777" w:rsidTr="00996D96">
        <w:tc>
          <w:tcPr>
            <w:tcW w:w="237" w:type="dxa"/>
            <w:tcBorders>
              <w:top w:val="nil"/>
              <w:left w:val="nil"/>
              <w:bottom w:val="nil"/>
              <w:right w:val="nil"/>
            </w:tcBorders>
            <w:vAlign w:val="center"/>
          </w:tcPr>
          <w:p w14:paraId="4F9C8DB2" w14:textId="77777777" w:rsidR="00AE1786" w:rsidRDefault="00AE1786" w:rsidP="00996D96">
            <w:pPr>
              <w:pStyle w:val="Sansinterligne"/>
              <w:rPr>
                <w:sz w:val="18"/>
                <w:szCs w:val="18"/>
              </w:rPr>
            </w:pPr>
          </w:p>
        </w:tc>
        <w:tc>
          <w:tcPr>
            <w:tcW w:w="2565" w:type="dxa"/>
            <w:tcBorders>
              <w:top w:val="nil"/>
              <w:left w:val="nil"/>
              <w:bottom w:val="nil"/>
              <w:right w:val="nil"/>
            </w:tcBorders>
            <w:vAlign w:val="center"/>
            <w:hideMark/>
          </w:tcPr>
          <w:p w14:paraId="43F4BC6E" w14:textId="77777777" w:rsidR="00AE1786" w:rsidRDefault="00AE1786" w:rsidP="00996D96">
            <w:pPr>
              <w:pStyle w:val="Sansinterligne"/>
              <w:rPr>
                <w:sz w:val="18"/>
                <w:szCs w:val="18"/>
              </w:rPr>
            </w:pPr>
            <w:r>
              <w:rPr>
                <w:sz w:val="18"/>
                <w:szCs w:val="18"/>
              </w:rPr>
              <w:t xml:space="preserve">2, 3, 7, 8 - </w:t>
            </w:r>
            <w:proofErr w:type="spellStart"/>
            <w:r>
              <w:rPr>
                <w:sz w:val="18"/>
                <w:szCs w:val="18"/>
              </w:rPr>
              <w:t>TetraCDD</w:t>
            </w:r>
            <w:proofErr w:type="spellEnd"/>
          </w:p>
        </w:tc>
        <w:tc>
          <w:tcPr>
            <w:tcW w:w="1134" w:type="dxa"/>
            <w:tcBorders>
              <w:top w:val="nil"/>
              <w:left w:val="nil"/>
              <w:bottom w:val="nil"/>
              <w:right w:val="nil"/>
            </w:tcBorders>
            <w:vAlign w:val="center"/>
            <w:hideMark/>
          </w:tcPr>
          <w:p w14:paraId="1EEDAED7" w14:textId="77777777" w:rsidR="00AE1786" w:rsidRPr="0054358D" w:rsidRDefault="0054358D" w:rsidP="00996D96">
            <w:pPr>
              <w:pStyle w:val="Sansinterligne"/>
              <w:rPr>
                <w:color w:val="000000"/>
                <w:sz w:val="18"/>
                <w:szCs w:val="18"/>
              </w:rPr>
            </w:pPr>
            <w:r>
              <w:rPr>
                <w:color w:val="000000"/>
                <w:sz w:val="18"/>
                <w:szCs w:val="18"/>
              </w:rPr>
              <w:t>0.18</w:t>
            </w:r>
            <w:r w:rsidR="00AE1786" w:rsidRPr="0054358D">
              <w:rPr>
                <w:color w:val="000000"/>
                <w:sz w:val="18"/>
                <w:szCs w:val="18"/>
              </w:rPr>
              <w:t>*</w:t>
            </w:r>
          </w:p>
        </w:tc>
        <w:tc>
          <w:tcPr>
            <w:tcW w:w="1417" w:type="dxa"/>
            <w:tcBorders>
              <w:top w:val="nil"/>
              <w:left w:val="nil"/>
              <w:bottom w:val="nil"/>
              <w:right w:val="nil"/>
            </w:tcBorders>
            <w:vAlign w:val="center"/>
            <w:hideMark/>
          </w:tcPr>
          <w:p w14:paraId="1F5930A5" w14:textId="77777777" w:rsidR="00AE1786" w:rsidRPr="0054358D" w:rsidRDefault="0054358D" w:rsidP="00996D96">
            <w:pPr>
              <w:pStyle w:val="Sansinterligne"/>
              <w:rPr>
                <w:color w:val="000000"/>
                <w:sz w:val="18"/>
                <w:szCs w:val="18"/>
              </w:rPr>
            </w:pPr>
            <w:r>
              <w:rPr>
                <w:color w:val="000000"/>
                <w:sz w:val="18"/>
                <w:szCs w:val="18"/>
              </w:rPr>
              <w:t>0.18</w:t>
            </w:r>
            <w:r w:rsidR="00AE1786" w:rsidRPr="0054358D">
              <w:rPr>
                <w:color w:val="000000"/>
                <w:sz w:val="18"/>
                <w:szCs w:val="18"/>
              </w:rPr>
              <w:t>*</w:t>
            </w:r>
          </w:p>
        </w:tc>
        <w:tc>
          <w:tcPr>
            <w:tcW w:w="851" w:type="dxa"/>
            <w:tcBorders>
              <w:top w:val="nil"/>
              <w:left w:val="nil"/>
              <w:bottom w:val="nil"/>
              <w:right w:val="nil"/>
            </w:tcBorders>
            <w:vAlign w:val="center"/>
            <w:hideMark/>
          </w:tcPr>
          <w:p w14:paraId="3BABE8CF" w14:textId="77777777" w:rsidR="00AE1786" w:rsidRPr="0054358D" w:rsidRDefault="00AE1786" w:rsidP="00996D96">
            <w:pPr>
              <w:pStyle w:val="Sansinterligne"/>
              <w:rPr>
                <w:sz w:val="18"/>
                <w:szCs w:val="18"/>
              </w:rPr>
            </w:pPr>
            <w:r w:rsidRPr="0054358D">
              <w:rPr>
                <w:sz w:val="18"/>
                <w:szCs w:val="18"/>
              </w:rPr>
              <w:t>1</w:t>
            </w:r>
          </w:p>
        </w:tc>
        <w:tc>
          <w:tcPr>
            <w:tcW w:w="1134" w:type="dxa"/>
            <w:tcBorders>
              <w:top w:val="nil"/>
              <w:left w:val="nil"/>
              <w:bottom w:val="nil"/>
              <w:right w:val="nil"/>
            </w:tcBorders>
            <w:vAlign w:val="bottom"/>
            <w:hideMark/>
          </w:tcPr>
          <w:p w14:paraId="4D0F0FE3" w14:textId="77777777" w:rsidR="00AE1786" w:rsidRPr="0054358D" w:rsidRDefault="0054358D" w:rsidP="00996D96">
            <w:pPr>
              <w:pStyle w:val="Sansinterligne"/>
              <w:rPr>
                <w:color w:val="000000"/>
                <w:sz w:val="18"/>
                <w:szCs w:val="18"/>
              </w:rPr>
            </w:pPr>
            <w:r>
              <w:rPr>
                <w:color w:val="000000"/>
                <w:sz w:val="18"/>
                <w:szCs w:val="18"/>
              </w:rPr>
              <w:t>0.18</w:t>
            </w:r>
          </w:p>
        </w:tc>
        <w:tc>
          <w:tcPr>
            <w:tcW w:w="992" w:type="dxa"/>
            <w:tcBorders>
              <w:top w:val="nil"/>
              <w:left w:val="nil"/>
              <w:bottom w:val="nil"/>
              <w:right w:val="nil"/>
            </w:tcBorders>
            <w:vAlign w:val="bottom"/>
            <w:hideMark/>
          </w:tcPr>
          <w:p w14:paraId="55E14444" w14:textId="77777777" w:rsidR="00AE1786" w:rsidRPr="0054358D" w:rsidRDefault="0054358D" w:rsidP="00996D96">
            <w:pPr>
              <w:pStyle w:val="Sansinterligne"/>
              <w:rPr>
                <w:color w:val="000000"/>
                <w:sz w:val="18"/>
                <w:szCs w:val="18"/>
              </w:rPr>
            </w:pPr>
            <w:r>
              <w:rPr>
                <w:color w:val="000000"/>
                <w:sz w:val="18"/>
                <w:szCs w:val="18"/>
              </w:rPr>
              <w:t>0.18</w:t>
            </w:r>
          </w:p>
        </w:tc>
        <w:tc>
          <w:tcPr>
            <w:tcW w:w="992" w:type="dxa"/>
            <w:tcBorders>
              <w:top w:val="nil"/>
              <w:left w:val="nil"/>
              <w:bottom w:val="nil"/>
              <w:right w:val="nil"/>
            </w:tcBorders>
            <w:hideMark/>
          </w:tcPr>
          <w:p w14:paraId="3E04C583" w14:textId="77777777" w:rsidR="00AE1786" w:rsidRDefault="00AE1786" w:rsidP="00996D96">
            <w:pPr>
              <w:pStyle w:val="Sansinterligne"/>
              <w:rPr>
                <w:color w:val="000000"/>
                <w:sz w:val="18"/>
                <w:szCs w:val="18"/>
              </w:rPr>
            </w:pPr>
            <w:r>
              <w:rPr>
                <w:color w:val="000000"/>
                <w:sz w:val="18"/>
                <w:szCs w:val="18"/>
              </w:rPr>
              <w:t>1.00</w:t>
            </w:r>
          </w:p>
        </w:tc>
      </w:tr>
      <w:tr w:rsidR="0054358D" w14:paraId="62444C5A" w14:textId="77777777" w:rsidTr="00996D96">
        <w:tc>
          <w:tcPr>
            <w:tcW w:w="237" w:type="dxa"/>
            <w:tcBorders>
              <w:top w:val="nil"/>
              <w:left w:val="nil"/>
              <w:bottom w:val="nil"/>
              <w:right w:val="nil"/>
            </w:tcBorders>
            <w:vAlign w:val="center"/>
          </w:tcPr>
          <w:p w14:paraId="78843ED7"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046BAF2D" w14:textId="77777777" w:rsidR="0054358D" w:rsidRDefault="0054358D" w:rsidP="00996D96">
            <w:pPr>
              <w:pStyle w:val="Sansinterligne"/>
              <w:rPr>
                <w:sz w:val="18"/>
                <w:szCs w:val="18"/>
              </w:rPr>
            </w:pPr>
            <w:r>
              <w:rPr>
                <w:sz w:val="18"/>
                <w:szCs w:val="18"/>
              </w:rPr>
              <w:t xml:space="preserve">1, 2, 3, 7, 8 – </w:t>
            </w:r>
            <w:proofErr w:type="spellStart"/>
            <w:r>
              <w:rPr>
                <w:sz w:val="18"/>
                <w:szCs w:val="18"/>
              </w:rPr>
              <w:t>PentaCDD</w:t>
            </w:r>
            <w:proofErr w:type="spellEnd"/>
          </w:p>
        </w:tc>
        <w:tc>
          <w:tcPr>
            <w:tcW w:w="1134" w:type="dxa"/>
            <w:tcBorders>
              <w:top w:val="nil"/>
              <w:left w:val="nil"/>
              <w:bottom w:val="nil"/>
              <w:right w:val="nil"/>
            </w:tcBorders>
            <w:vAlign w:val="center"/>
            <w:hideMark/>
          </w:tcPr>
          <w:p w14:paraId="322C0892" w14:textId="77777777" w:rsidR="0054358D" w:rsidRPr="0054358D" w:rsidRDefault="0054358D" w:rsidP="00B25FC8">
            <w:pPr>
              <w:pStyle w:val="Sansinterligne"/>
              <w:rPr>
                <w:color w:val="000000"/>
                <w:sz w:val="18"/>
                <w:szCs w:val="18"/>
              </w:rPr>
            </w:pPr>
            <w:r>
              <w:rPr>
                <w:color w:val="000000"/>
                <w:sz w:val="18"/>
                <w:szCs w:val="18"/>
              </w:rPr>
              <w:t>0.18</w:t>
            </w:r>
            <w:r w:rsidRPr="0054358D">
              <w:rPr>
                <w:color w:val="000000"/>
                <w:sz w:val="18"/>
                <w:szCs w:val="18"/>
              </w:rPr>
              <w:t>*</w:t>
            </w:r>
          </w:p>
        </w:tc>
        <w:tc>
          <w:tcPr>
            <w:tcW w:w="1417" w:type="dxa"/>
            <w:tcBorders>
              <w:top w:val="nil"/>
              <w:left w:val="nil"/>
              <w:bottom w:val="nil"/>
              <w:right w:val="nil"/>
            </w:tcBorders>
            <w:vAlign w:val="center"/>
            <w:hideMark/>
          </w:tcPr>
          <w:p w14:paraId="5E519DDB" w14:textId="77777777" w:rsidR="0054358D" w:rsidRPr="0054358D" w:rsidRDefault="0054358D" w:rsidP="00B25FC8">
            <w:pPr>
              <w:pStyle w:val="Sansinterligne"/>
              <w:rPr>
                <w:color w:val="000000"/>
                <w:sz w:val="18"/>
                <w:szCs w:val="18"/>
              </w:rPr>
            </w:pPr>
            <w:r>
              <w:rPr>
                <w:color w:val="000000"/>
                <w:sz w:val="18"/>
                <w:szCs w:val="18"/>
              </w:rPr>
              <w:t>0.18</w:t>
            </w:r>
            <w:r w:rsidRPr="0054358D">
              <w:rPr>
                <w:color w:val="000000"/>
                <w:sz w:val="18"/>
                <w:szCs w:val="18"/>
              </w:rPr>
              <w:t>*</w:t>
            </w:r>
          </w:p>
        </w:tc>
        <w:tc>
          <w:tcPr>
            <w:tcW w:w="851" w:type="dxa"/>
            <w:tcBorders>
              <w:top w:val="nil"/>
              <w:left w:val="nil"/>
              <w:bottom w:val="nil"/>
              <w:right w:val="nil"/>
            </w:tcBorders>
            <w:vAlign w:val="center"/>
            <w:hideMark/>
          </w:tcPr>
          <w:p w14:paraId="7C21CC12" w14:textId="77777777" w:rsidR="0054358D" w:rsidRPr="0054358D" w:rsidRDefault="0054358D" w:rsidP="00996D96">
            <w:pPr>
              <w:pStyle w:val="Sansinterligne"/>
              <w:rPr>
                <w:sz w:val="18"/>
                <w:szCs w:val="18"/>
              </w:rPr>
            </w:pPr>
            <w:r w:rsidRPr="0054358D">
              <w:rPr>
                <w:sz w:val="18"/>
                <w:szCs w:val="18"/>
              </w:rPr>
              <w:t>1</w:t>
            </w:r>
          </w:p>
        </w:tc>
        <w:tc>
          <w:tcPr>
            <w:tcW w:w="1134" w:type="dxa"/>
            <w:tcBorders>
              <w:top w:val="nil"/>
              <w:left w:val="nil"/>
              <w:bottom w:val="nil"/>
              <w:right w:val="nil"/>
            </w:tcBorders>
            <w:vAlign w:val="bottom"/>
            <w:hideMark/>
          </w:tcPr>
          <w:p w14:paraId="379ED5DC" w14:textId="77777777" w:rsidR="0054358D" w:rsidRPr="0054358D" w:rsidRDefault="0054358D" w:rsidP="00B25FC8">
            <w:pPr>
              <w:pStyle w:val="Sansinterligne"/>
              <w:rPr>
                <w:color w:val="000000"/>
                <w:sz w:val="18"/>
                <w:szCs w:val="18"/>
              </w:rPr>
            </w:pPr>
            <w:r>
              <w:rPr>
                <w:color w:val="000000"/>
                <w:sz w:val="18"/>
                <w:szCs w:val="18"/>
              </w:rPr>
              <w:t>0.18</w:t>
            </w:r>
          </w:p>
        </w:tc>
        <w:tc>
          <w:tcPr>
            <w:tcW w:w="992" w:type="dxa"/>
            <w:tcBorders>
              <w:top w:val="nil"/>
              <w:left w:val="nil"/>
              <w:bottom w:val="nil"/>
              <w:right w:val="nil"/>
            </w:tcBorders>
            <w:vAlign w:val="bottom"/>
            <w:hideMark/>
          </w:tcPr>
          <w:p w14:paraId="637F348F" w14:textId="77777777" w:rsidR="0054358D" w:rsidRPr="0054358D" w:rsidRDefault="0054358D" w:rsidP="00B25FC8">
            <w:pPr>
              <w:pStyle w:val="Sansinterligne"/>
              <w:rPr>
                <w:color w:val="000000"/>
                <w:sz w:val="18"/>
                <w:szCs w:val="18"/>
              </w:rPr>
            </w:pPr>
            <w:r>
              <w:rPr>
                <w:color w:val="000000"/>
                <w:sz w:val="18"/>
                <w:szCs w:val="18"/>
              </w:rPr>
              <w:t>0.18</w:t>
            </w:r>
          </w:p>
        </w:tc>
        <w:tc>
          <w:tcPr>
            <w:tcW w:w="992" w:type="dxa"/>
            <w:tcBorders>
              <w:top w:val="nil"/>
              <w:left w:val="nil"/>
              <w:bottom w:val="nil"/>
              <w:right w:val="nil"/>
            </w:tcBorders>
            <w:hideMark/>
          </w:tcPr>
          <w:p w14:paraId="22103169" w14:textId="77777777" w:rsidR="0054358D" w:rsidRDefault="0054358D" w:rsidP="00996D96">
            <w:pPr>
              <w:pStyle w:val="Sansinterligne"/>
              <w:rPr>
                <w:color w:val="000000"/>
                <w:sz w:val="18"/>
                <w:szCs w:val="18"/>
              </w:rPr>
            </w:pPr>
            <w:r>
              <w:rPr>
                <w:color w:val="000000"/>
                <w:sz w:val="18"/>
                <w:szCs w:val="18"/>
              </w:rPr>
              <w:t>1.00</w:t>
            </w:r>
          </w:p>
        </w:tc>
      </w:tr>
      <w:tr w:rsidR="0054358D" w14:paraId="0BE5D24F" w14:textId="77777777" w:rsidTr="00996D96">
        <w:tc>
          <w:tcPr>
            <w:tcW w:w="237" w:type="dxa"/>
            <w:tcBorders>
              <w:top w:val="nil"/>
              <w:left w:val="nil"/>
              <w:bottom w:val="nil"/>
              <w:right w:val="nil"/>
            </w:tcBorders>
            <w:vAlign w:val="center"/>
          </w:tcPr>
          <w:p w14:paraId="71321646"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298D65C1" w14:textId="77777777" w:rsidR="0054358D" w:rsidRDefault="0054358D" w:rsidP="00996D96">
            <w:pPr>
              <w:pStyle w:val="Sansinterligne"/>
              <w:rPr>
                <w:sz w:val="18"/>
                <w:szCs w:val="18"/>
              </w:rPr>
            </w:pPr>
            <w:r>
              <w:rPr>
                <w:sz w:val="18"/>
                <w:szCs w:val="18"/>
              </w:rPr>
              <w:t xml:space="preserve">1, 2, 3, 4, 7, 8 – </w:t>
            </w:r>
            <w:proofErr w:type="spellStart"/>
            <w:r>
              <w:rPr>
                <w:sz w:val="18"/>
                <w:szCs w:val="18"/>
              </w:rPr>
              <w:t>HexaCDD</w:t>
            </w:r>
            <w:proofErr w:type="spellEnd"/>
          </w:p>
        </w:tc>
        <w:tc>
          <w:tcPr>
            <w:tcW w:w="1134" w:type="dxa"/>
            <w:tcBorders>
              <w:top w:val="nil"/>
              <w:left w:val="nil"/>
              <w:bottom w:val="nil"/>
              <w:right w:val="nil"/>
            </w:tcBorders>
            <w:vAlign w:val="center"/>
            <w:hideMark/>
          </w:tcPr>
          <w:p w14:paraId="30856D5D" w14:textId="77777777" w:rsidR="0054358D" w:rsidRPr="0054358D" w:rsidRDefault="0054358D" w:rsidP="00B25FC8">
            <w:pPr>
              <w:pStyle w:val="Sansinterligne"/>
              <w:rPr>
                <w:color w:val="000000"/>
                <w:sz w:val="18"/>
                <w:szCs w:val="18"/>
              </w:rPr>
            </w:pPr>
            <w:r>
              <w:rPr>
                <w:color w:val="000000"/>
                <w:sz w:val="18"/>
                <w:szCs w:val="18"/>
              </w:rPr>
              <w:t>0.18</w:t>
            </w:r>
            <w:r w:rsidRPr="0054358D">
              <w:rPr>
                <w:color w:val="000000"/>
                <w:sz w:val="18"/>
                <w:szCs w:val="18"/>
              </w:rPr>
              <w:t>*</w:t>
            </w:r>
          </w:p>
        </w:tc>
        <w:tc>
          <w:tcPr>
            <w:tcW w:w="1417" w:type="dxa"/>
            <w:tcBorders>
              <w:top w:val="nil"/>
              <w:left w:val="nil"/>
              <w:bottom w:val="nil"/>
              <w:right w:val="nil"/>
            </w:tcBorders>
            <w:vAlign w:val="center"/>
            <w:hideMark/>
          </w:tcPr>
          <w:p w14:paraId="09C150DF" w14:textId="77777777" w:rsidR="0054358D" w:rsidRPr="0054358D" w:rsidRDefault="0054358D" w:rsidP="00B25FC8">
            <w:pPr>
              <w:pStyle w:val="Sansinterligne"/>
              <w:rPr>
                <w:color w:val="000000"/>
                <w:sz w:val="18"/>
                <w:szCs w:val="18"/>
              </w:rPr>
            </w:pPr>
            <w:r>
              <w:rPr>
                <w:color w:val="000000"/>
                <w:sz w:val="18"/>
                <w:szCs w:val="18"/>
              </w:rPr>
              <w:t>0.18</w:t>
            </w:r>
            <w:r w:rsidRPr="0054358D">
              <w:rPr>
                <w:color w:val="000000"/>
                <w:sz w:val="18"/>
                <w:szCs w:val="18"/>
              </w:rPr>
              <w:t>*</w:t>
            </w:r>
          </w:p>
        </w:tc>
        <w:tc>
          <w:tcPr>
            <w:tcW w:w="851" w:type="dxa"/>
            <w:tcBorders>
              <w:top w:val="nil"/>
              <w:left w:val="nil"/>
              <w:bottom w:val="nil"/>
              <w:right w:val="nil"/>
            </w:tcBorders>
            <w:vAlign w:val="center"/>
            <w:hideMark/>
          </w:tcPr>
          <w:p w14:paraId="58482472" w14:textId="77777777" w:rsidR="0054358D" w:rsidRPr="0054358D" w:rsidRDefault="0054358D" w:rsidP="00996D96">
            <w:pPr>
              <w:pStyle w:val="Sansinterligne"/>
              <w:rPr>
                <w:sz w:val="18"/>
                <w:szCs w:val="18"/>
              </w:rPr>
            </w:pPr>
            <w:r w:rsidRPr="0054358D">
              <w:rPr>
                <w:sz w:val="18"/>
                <w:szCs w:val="18"/>
              </w:rPr>
              <w:t>0.1</w:t>
            </w:r>
          </w:p>
        </w:tc>
        <w:tc>
          <w:tcPr>
            <w:tcW w:w="1134" w:type="dxa"/>
            <w:tcBorders>
              <w:top w:val="nil"/>
              <w:left w:val="nil"/>
              <w:bottom w:val="nil"/>
              <w:right w:val="nil"/>
            </w:tcBorders>
            <w:vAlign w:val="bottom"/>
            <w:hideMark/>
          </w:tcPr>
          <w:p w14:paraId="62AB1469" w14:textId="77777777" w:rsidR="0054358D" w:rsidRPr="0054358D" w:rsidRDefault="0054358D" w:rsidP="0054358D">
            <w:pPr>
              <w:pStyle w:val="Sansinterligne"/>
              <w:rPr>
                <w:color w:val="000000"/>
                <w:sz w:val="18"/>
                <w:szCs w:val="18"/>
              </w:rPr>
            </w:pPr>
            <w:r>
              <w:rPr>
                <w:color w:val="000000"/>
                <w:sz w:val="18"/>
                <w:szCs w:val="18"/>
              </w:rPr>
              <w:t>0.02</w:t>
            </w:r>
          </w:p>
        </w:tc>
        <w:tc>
          <w:tcPr>
            <w:tcW w:w="992" w:type="dxa"/>
            <w:tcBorders>
              <w:top w:val="nil"/>
              <w:left w:val="nil"/>
              <w:bottom w:val="nil"/>
              <w:right w:val="nil"/>
            </w:tcBorders>
            <w:vAlign w:val="bottom"/>
            <w:hideMark/>
          </w:tcPr>
          <w:p w14:paraId="583AE8AB" w14:textId="77777777" w:rsidR="0054358D" w:rsidRPr="0054358D" w:rsidRDefault="0054358D" w:rsidP="0054358D">
            <w:pPr>
              <w:pStyle w:val="Sansinterligne"/>
              <w:rPr>
                <w:color w:val="000000"/>
                <w:sz w:val="18"/>
                <w:szCs w:val="18"/>
              </w:rPr>
            </w:pPr>
            <w:r>
              <w:rPr>
                <w:color w:val="000000"/>
                <w:sz w:val="18"/>
                <w:szCs w:val="18"/>
              </w:rPr>
              <w:t>0.02</w:t>
            </w:r>
          </w:p>
        </w:tc>
        <w:tc>
          <w:tcPr>
            <w:tcW w:w="992" w:type="dxa"/>
            <w:tcBorders>
              <w:top w:val="nil"/>
              <w:left w:val="nil"/>
              <w:bottom w:val="nil"/>
              <w:right w:val="nil"/>
            </w:tcBorders>
            <w:hideMark/>
          </w:tcPr>
          <w:p w14:paraId="66FCD0DE" w14:textId="77777777" w:rsidR="0054358D" w:rsidRDefault="0054358D" w:rsidP="00996D96">
            <w:pPr>
              <w:pStyle w:val="Sansinterligne"/>
              <w:rPr>
                <w:color w:val="000000"/>
                <w:sz w:val="18"/>
                <w:szCs w:val="18"/>
              </w:rPr>
            </w:pPr>
            <w:r>
              <w:rPr>
                <w:color w:val="000000"/>
                <w:sz w:val="18"/>
                <w:szCs w:val="18"/>
              </w:rPr>
              <w:t>1.00</w:t>
            </w:r>
          </w:p>
        </w:tc>
      </w:tr>
      <w:tr w:rsidR="0054358D" w14:paraId="03658AF6" w14:textId="77777777" w:rsidTr="00996D96">
        <w:tc>
          <w:tcPr>
            <w:tcW w:w="237" w:type="dxa"/>
            <w:tcBorders>
              <w:top w:val="nil"/>
              <w:left w:val="nil"/>
              <w:bottom w:val="nil"/>
              <w:right w:val="nil"/>
            </w:tcBorders>
            <w:vAlign w:val="center"/>
          </w:tcPr>
          <w:p w14:paraId="0AC1C545"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46B98DC1" w14:textId="77777777" w:rsidR="0054358D" w:rsidRDefault="0054358D" w:rsidP="00996D96">
            <w:pPr>
              <w:pStyle w:val="Sansinterligne"/>
              <w:rPr>
                <w:sz w:val="18"/>
                <w:szCs w:val="18"/>
              </w:rPr>
            </w:pPr>
            <w:r>
              <w:rPr>
                <w:sz w:val="18"/>
                <w:szCs w:val="18"/>
              </w:rPr>
              <w:t xml:space="preserve">1, 2, 3, 6, 7, 8 – </w:t>
            </w:r>
            <w:proofErr w:type="spellStart"/>
            <w:r>
              <w:rPr>
                <w:sz w:val="18"/>
                <w:szCs w:val="18"/>
              </w:rPr>
              <w:t>HexaCDD</w:t>
            </w:r>
            <w:proofErr w:type="spellEnd"/>
          </w:p>
        </w:tc>
        <w:tc>
          <w:tcPr>
            <w:tcW w:w="1134" w:type="dxa"/>
            <w:tcBorders>
              <w:top w:val="nil"/>
              <w:left w:val="nil"/>
              <w:bottom w:val="nil"/>
              <w:right w:val="nil"/>
            </w:tcBorders>
            <w:vAlign w:val="center"/>
            <w:hideMark/>
          </w:tcPr>
          <w:p w14:paraId="57800CF6" w14:textId="77777777" w:rsidR="0054358D" w:rsidRPr="0054358D" w:rsidRDefault="0054358D" w:rsidP="00976F24">
            <w:pPr>
              <w:pStyle w:val="Sansinterligne"/>
              <w:rPr>
                <w:color w:val="000000"/>
                <w:sz w:val="18"/>
                <w:szCs w:val="18"/>
              </w:rPr>
            </w:pPr>
            <w:r>
              <w:rPr>
                <w:color w:val="000000"/>
                <w:sz w:val="18"/>
                <w:szCs w:val="18"/>
              </w:rPr>
              <w:t>2.83</w:t>
            </w:r>
          </w:p>
        </w:tc>
        <w:tc>
          <w:tcPr>
            <w:tcW w:w="1417" w:type="dxa"/>
            <w:tcBorders>
              <w:top w:val="nil"/>
              <w:left w:val="nil"/>
              <w:bottom w:val="nil"/>
              <w:right w:val="nil"/>
            </w:tcBorders>
            <w:vAlign w:val="center"/>
            <w:hideMark/>
          </w:tcPr>
          <w:p w14:paraId="667E3020" w14:textId="77777777" w:rsidR="0054358D" w:rsidRPr="0054358D" w:rsidRDefault="0054358D" w:rsidP="00976F24">
            <w:pPr>
              <w:pStyle w:val="Sansinterligne"/>
              <w:rPr>
                <w:color w:val="000000"/>
                <w:sz w:val="18"/>
                <w:szCs w:val="18"/>
              </w:rPr>
            </w:pPr>
            <w:r>
              <w:rPr>
                <w:color w:val="000000"/>
                <w:sz w:val="18"/>
                <w:szCs w:val="18"/>
              </w:rPr>
              <w:t>2.99</w:t>
            </w:r>
          </w:p>
        </w:tc>
        <w:tc>
          <w:tcPr>
            <w:tcW w:w="851" w:type="dxa"/>
            <w:tcBorders>
              <w:top w:val="nil"/>
              <w:left w:val="nil"/>
              <w:bottom w:val="nil"/>
              <w:right w:val="nil"/>
            </w:tcBorders>
            <w:vAlign w:val="center"/>
            <w:hideMark/>
          </w:tcPr>
          <w:p w14:paraId="12093802" w14:textId="77777777" w:rsidR="0054358D" w:rsidRPr="0054358D" w:rsidRDefault="0054358D" w:rsidP="00996D96">
            <w:pPr>
              <w:pStyle w:val="Sansinterligne"/>
              <w:rPr>
                <w:sz w:val="18"/>
                <w:szCs w:val="18"/>
              </w:rPr>
            </w:pPr>
            <w:r w:rsidRPr="0054358D">
              <w:rPr>
                <w:sz w:val="18"/>
                <w:szCs w:val="18"/>
              </w:rPr>
              <w:t>0.1</w:t>
            </w:r>
          </w:p>
        </w:tc>
        <w:tc>
          <w:tcPr>
            <w:tcW w:w="1134" w:type="dxa"/>
            <w:tcBorders>
              <w:top w:val="nil"/>
              <w:left w:val="nil"/>
              <w:bottom w:val="nil"/>
              <w:right w:val="nil"/>
            </w:tcBorders>
            <w:vAlign w:val="bottom"/>
            <w:hideMark/>
          </w:tcPr>
          <w:p w14:paraId="06B66C49" w14:textId="77777777" w:rsidR="0054358D" w:rsidRPr="0054358D" w:rsidRDefault="0054358D" w:rsidP="0054358D">
            <w:pPr>
              <w:pStyle w:val="Sansinterligne"/>
              <w:rPr>
                <w:color w:val="000000"/>
                <w:sz w:val="18"/>
                <w:szCs w:val="18"/>
              </w:rPr>
            </w:pPr>
            <w:r w:rsidRPr="0054358D">
              <w:rPr>
                <w:color w:val="000000"/>
                <w:sz w:val="18"/>
                <w:szCs w:val="18"/>
              </w:rPr>
              <w:t>0.</w:t>
            </w:r>
            <w:r>
              <w:rPr>
                <w:color w:val="000000"/>
                <w:sz w:val="18"/>
                <w:szCs w:val="18"/>
              </w:rPr>
              <w:t>28</w:t>
            </w:r>
          </w:p>
        </w:tc>
        <w:tc>
          <w:tcPr>
            <w:tcW w:w="992" w:type="dxa"/>
            <w:tcBorders>
              <w:top w:val="nil"/>
              <w:left w:val="nil"/>
              <w:bottom w:val="nil"/>
              <w:right w:val="nil"/>
            </w:tcBorders>
            <w:vAlign w:val="bottom"/>
            <w:hideMark/>
          </w:tcPr>
          <w:p w14:paraId="1F64F1E8" w14:textId="77777777" w:rsidR="0054358D" w:rsidRPr="0054358D" w:rsidRDefault="0054358D" w:rsidP="0054358D">
            <w:pPr>
              <w:pStyle w:val="Sansinterligne"/>
              <w:rPr>
                <w:color w:val="000000"/>
                <w:sz w:val="18"/>
                <w:szCs w:val="18"/>
              </w:rPr>
            </w:pPr>
            <w:r>
              <w:rPr>
                <w:color w:val="000000"/>
                <w:sz w:val="18"/>
                <w:szCs w:val="18"/>
              </w:rPr>
              <w:t>0.3</w:t>
            </w:r>
          </w:p>
        </w:tc>
        <w:tc>
          <w:tcPr>
            <w:tcW w:w="992" w:type="dxa"/>
            <w:tcBorders>
              <w:top w:val="nil"/>
              <w:left w:val="nil"/>
              <w:bottom w:val="nil"/>
              <w:right w:val="nil"/>
            </w:tcBorders>
            <w:hideMark/>
          </w:tcPr>
          <w:p w14:paraId="7EA10C65" w14:textId="77777777" w:rsidR="0054358D" w:rsidRDefault="00976F24" w:rsidP="00996D96">
            <w:pPr>
              <w:pStyle w:val="Sansinterligne"/>
              <w:rPr>
                <w:color w:val="000000"/>
                <w:sz w:val="18"/>
                <w:szCs w:val="18"/>
              </w:rPr>
            </w:pPr>
            <w:r>
              <w:rPr>
                <w:color w:val="000000"/>
                <w:sz w:val="18"/>
                <w:szCs w:val="18"/>
              </w:rPr>
              <w:t>0.864</w:t>
            </w:r>
          </w:p>
        </w:tc>
      </w:tr>
      <w:tr w:rsidR="0054358D" w14:paraId="7A8487D4" w14:textId="77777777" w:rsidTr="00996D96">
        <w:tc>
          <w:tcPr>
            <w:tcW w:w="237" w:type="dxa"/>
            <w:tcBorders>
              <w:top w:val="nil"/>
              <w:left w:val="nil"/>
              <w:bottom w:val="nil"/>
              <w:right w:val="nil"/>
            </w:tcBorders>
            <w:vAlign w:val="center"/>
          </w:tcPr>
          <w:p w14:paraId="6990B40A"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6F57D812" w14:textId="77777777" w:rsidR="0054358D" w:rsidRDefault="0054358D" w:rsidP="00996D96">
            <w:pPr>
              <w:pStyle w:val="Sansinterligne"/>
              <w:rPr>
                <w:sz w:val="18"/>
                <w:szCs w:val="18"/>
              </w:rPr>
            </w:pPr>
            <w:r>
              <w:rPr>
                <w:sz w:val="18"/>
                <w:szCs w:val="18"/>
              </w:rPr>
              <w:t xml:space="preserve">1, 2, 3, 7, 8, 9 - </w:t>
            </w:r>
            <w:proofErr w:type="spellStart"/>
            <w:r>
              <w:rPr>
                <w:sz w:val="18"/>
                <w:szCs w:val="18"/>
              </w:rPr>
              <w:t>HexaCDD</w:t>
            </w:r>
            <w:proofErr w:type="spellEnd"/>
          </w:p>
        </w:tc>
        <w:tc>
          <w:tcPr>
            <w:tcW w:w="1134" w:type="dxa"/>
            <w:tcBorders>
              <w:top w:val="nil"/>
              <w:left w:val="nil"/>
              <w:bottom w:val="nil"/>
              <w:right w:val="nil"/>
            </w:tcBorders>
            <w:vAlign w:val="center"/>
            <w:hideMark/>
          </w:tcPr>
          <w:p w14:paraId="18090EB9" w14:textId="77777777" w:rsidR="0054358D" w:rsidRPr="0054358D" w:rsidRDefault="0054358D" w:rsidP="00976F24">
            <w:pPr>
              <w:pStyle w:val="Sansinterligne"/>
              <w:rPr>
                <w:color w:val="000000"/>
                <w:sz w:val="18"/>
                <w:szCs w:val="18"/>
              </w:rPr>
            </w:pPr>
            <w:r>
              <w:rPr>
                <w:color w:val="000000"/>
                <w:sz w:val="18"/>
                <w:szCs w:val="18"/>
              </w:rPr>
              <w:t>1.52</w:t>
            </w:r>
          </w:p>
        </w:tc>
        <w:tc>
          <w:tcPr>
            <w:tcW w:w="1417" w:type="dxa"/>
            <w:tcBorders>
              <w:top w:val="nil"/>
              <w:left w:val="nil"/>
              <w:bottom w:val="nil"/>
              <w:right w:val="nil"/>
            </w:tcBorders>
            <w:vAlign w:val="center"/>
            <w:hideMark/>
          </w:tcPr>
          <w:p w14:paraId="2E867D24" w14:textId="77777777" w:rsidR="0054358D" w:rsidRPr="0054358D" w:rsidRDefault="0054358D" w:rsidP="00976F24">
            <w:pPr>
              <w:pStyle w:val="Sansinterligne"/>
              <w:rPr>
                <w:color w:val="000000"/>
                <w:sz w:val="18"/>
                <w:szCs w:val="18"/>
              </w:rPr>
            </w:pPr>
            <w:r>
              <w:rPr>
                <w:color w:val="000000"/>
                <w:sz w:val="18"/>
                <w:szCs w:val="18"/>
              </w:rPr>
              <w:t>1.28</w:t>
            </w:r>
          </w:p>
        </w:tc>
        <w:tc>
          <w:tcPr>
            <w:tcW w:w="851" w:type="dxa"/>
            <w:tcBorders>
              <w:top w:val="nil"/>
              <w:left w:val="nil"/>
              <w:bottom w:val="nil"/>
              <w:right w:val="nil"/>
            </w:tcBorders>
            <w:vAlign w:val="center"/>
            <w:hideMark/>
          </w:tcPr>
          <w:p w14:paraId="787B8ED0" w14:textId="77777777" w:rsidR="0054358D" w:rsidRPr="0054358D" w:rsidRDefault="0054358D" w:rsidP="00996D96">
            <w:pPr>
              <w:pStyle w:val="Sansinterligne"/>
              <w:rPr>
                <w:sz w:val="18"/>
                <w:szCs w:val="18"/>
              </w:rPr>
            </w:pPr>
            <w:r w:rsidRPr="0054358D">
              <w:rPr>
                <w:sz w:val="18"/>
                <w:szCs w:val="18"/>
              </w:rPr>
              <w:t>0.1</w:t>
            </w:r>
          </w:p>
        </w:tc>
        <w:tc>
          <w:tcPr>
            <w:tcW w:w="1134" w:type="dxa"/>
            <w:tcBorders>
              <w:top w:val="nil"/>
              <w:left w:val="nil"/>
              <w:bottom w:val="nil"/>
              <w:right w:val="nil"/>
            </w:tcBorders>
            <w:vAlign w:val="bottom"/>
            <w:hideMark/>
          </w:tcPr>
          <w:p w14:paraId="3722BF5E" w14:textId="77777777" w:rsidR="0054358D" w:rsidRPr="0054358D" w:rsidRDefault="0054358D" w:rsidP="0054358D">
            <w:pPr>
              <w:pStyle w:val="Sansinterligne"/>
              <w:rPr>
                <w:color w:val="000000"/>
                <w:sz w:val="18"/>
                <w:szCs w:val="18"/>
              </w:rPr>
            </w:pPr>
            <w:r w:rsidRPr="0054358D">
              <w:rPr>
                <w:color w:val="000000"/>
                <w:sz w:val="18"/>
                <w:szCs w:val="18"/>
              </w:rPr>
              <w:t>0.</w:t>
            </w:r>
            <w:r>
              <w:rPr>
                <w:color w:val="000000"/>
                <w:sz w:val="18"/>
                <w:szCs w:val="18"/>
              </w:rPr>
              <w:t>15</w:t>
            </w:r>
          </w:p>
        </w:tc>
        <w:tc>
          <w:tcPr>
            <w:tcW w:w="992" w:type="dxa"/>
            <w:tcBorders>
              <w:top w:val="nil"/>
              <w:left w:val="nil"/>
              <w:bottom w:val="nil"/>
              <w:right w:val="nil"/>
            </w:tcBorders>
            <w:vAlign w:val="bottom"/>
            <w:hideMark/>
          </w:tcPr>
          <w:p w14:paraId="4B145217" w14:textId="77777777" w:rsidR="0054358D" w:rsidRPr="0054358D" w:rsidRDefault="0054358D" w:rsidP="0054358D">
            <w:pPr>
              <w:pStyle w:val="Sansinterligne"/>
              <w:rPr>
                <w:color w:val="000000"/>
                <w:sz w:val="18"/>
                <w:szCs w:val="18"/>
              </w:rPr>
            </w:pPr>
            <w:r w:rsidRPr="0054358D">
              <w:rPr>
                <w:color w:val="000000"/>
                <w:sz w:val="18"/>
                <w:szCs w:val="18"/>
              </w:rPr>
              <w:t>0.</w:t>
            </w:r>
            <w:r>
              <w:rPr>
                <w:color w:val="000000"/>
                <w:sz w:val="18"/>
                <w:szCs w:val="18"/>
              </w:rPr>
              <w:t>13</w:t>
            </w:r>
          </w:p>
        </w:tc>
        <w:tc>
          <w:tcPr>
            <w:tcW w:w="992" w:type="dxa"/>
            <w:tcBorders>
              <w:top w:val="nil"/>
              <w:left w:val="nil"/>
              <w:bottom w:val="nil"/>
              <w:right w:val="nil"/>
            </w:tcBorders>
            <w:hideMark/>
          </w:tcPr>
          <w:p w14:paraId="659E0722" w14:textId="77777777" w:rsidR="0054358D" w:rsidRDefault="0054358D" w:rsidP="00996D96">
            <w:pPr>
              <w:pStyle w:val="Sansinterligne"/>
              <w:rPr>
                <w:color w:val="000000"/>
                <w:sz w:val="18"/>
                <w:szCs w:val="18"/>
              </w:rPr>
            </w:pPr>
            <w:r>
              <w:rPr>
                <w:color w:val="000000"/>
                <w:sz w:val="18"/>
                <w:szCs w:val="18"/>
              </w:rPr>
              <w:t>1.00</w:t>
            </w:r>
          </w:p>
        </w:tc>
      </w:tr>
      <w:tr w:rsidR="0054358D" w14:paraId="3DEAF91C" w14:textId="77777777" w:rsidTr="00996D96">
        <w:tc>
          <w:tcPr>
            <w:tcW w:w="237" w:type="dxa"/>
            <w:tcBorders>
              <w:top w:val="nil"/>
              <w:left w:val="nil"/>
              <w:bottom w:val="nil"/>
              <w:right w:val="nil"/>
            </w:tcBorders>
            <w:vAlign w:val="center"/>
          </w:tcPr>
          <w:p w14:paraId="495BC01C"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5FE5C1D2" w14:textId="77777777" w:rsidR="0054358D" w:rsidRDefault="0054358D" w:rsidP="00996D96">
            <w:pPr>
              <w:pStyle w:val="Sansinterligne"/>
              <w:rPr>
                <w:sz w:val="18"/>
                <w:szCs w:val="18"/>
              </w:rPr>
            </w:pPr>
            <w:r>
              <w:rPr>
                <w:sz w:val="18"/>
                <w:szCs w:val="18"/>
              </w:rPr>
              <w:t xml:space="preserve">1, 2, 3, 4, 6, 7, 8 - </w:t>
            </w:r>
            <w:proofErr w:type="spellStart"/>
            <w:r>
              <w:rPr>
                <w:sz w:val="18"/>
                <w:szCs w:val="18"/>
              </w:rPr>
              <w:t>HeptaCDD</w:t>
            </w:r>
            <w:proofErr w:type="spellEnd"/>
          </w:p>
        </w:tc>
        <w:tc>
          <w:tcPr>
            <w:tcW w:w="1134" w:type="dxa"/>
            <w:tcBorders>
              <w:top w:val="nil"/>
              <w:left w:val="nil"/>
              <w:bottom w:val="nil"/>
              <w:right w:val="nil"/>
            </w:tcBorders>
            <w:vAlign w:val="center"/>
            <w:hideMark/>
          </w:tcPr>
          <w:p w14:paraId="0C49725A" w14:textId="77777777" w:rsidR="0054358D" w:rsidRPr="0054358D" w:rsidRDefault="0054358D" w:rsidP="00996D96">
            <w:pPr>
              <w:pStyle w:val="Sansinterligne"/>
              <w:rPr>
                <w:color w:val="000000"/>
                <w:sz w:val="18"/>
                <w:szCs w:val="18"/>
              </w:rPr>
            </w:pPr>
            <w:r>
              <w:rPr>
                <w:color w:val="000000"/>
                <w:sz w:val="18"/>
                <w:szCs w:val="18"/>
              </w:rPr>
              <w:t>17.6</w:t>
            </w:r>
          </w:p>
        </w:tc>
        <w:tc>
          <w:tcPr>
            <w:tcW w:w="1417" w:type="dxa"/>
            <w:tcBorders>
              <w:top w:val="nil"/>
              <w:left w:val="nil"/>
              <w:bottom w:val="nil"/>
              <w:right w:val="nil"/>
            </w:tcBorders>
            <w:vAlign w:val="center"/>
            <w:hideMark/>
          </w:tcPr>
          <w:p w14:paraId="78B4B119" w14:textId="77777777" w:rsidR="0054358D" w:rsidRPr="0054358D" w:rsidRDefault="0054358D" w:rsidP="00996D96">
            <w:pPr>
              <w:pStyle w:val="Sansinterligne"/>
              <w:rPr>
                <w:color w:val="000000"/>
                <w:sz w:val="18"/>
                <w:szCs w:val="18"/>
              </w:rPr>
            </w:pPr>
            <w:r>
              <w:rPr>
                <w:color w:val="000000"/>
                <w:sz w:val="18"/>
                <w:szCs w:val="18"/>
              </w:rPr>
              <w:t>14.2</w:t>
            </w:r>
          </w:p>
        </w:tc>
        <w:tc>
          <w:tcPr>
            <w:tcW w:w="851" w:type="dxa"/>
            <w:tcBorders>
              <w:top w:val="nil"/>
              <w:left w:val="nil"/>
              <w:bottom w:val="nil"/>
              <w:right w:val="nil"/>
            </w:tcBorders>
            <w:vAlign w:val="center"/>
            <w:hideMark/>
          </w:tcPr>
          <w:p w14:paraId="46FAF415" w14:textId="77777777" w:rsidR="0054358D" w:rsidRPr="0054358D" w:rsidRDefault="0054358D" w:rsidP="00996D96">
            <w:pPr>
              <w:pStyle w:val="Sansinterligne"/>
              <w:rPr>
                <w:sz w:val="18"/>
                <w:szCs w:val="18"/>
              </w:rPr>
            </w:pPr>
            <w:r w:rsidRPr="0054358D">
              <w:rPr>
                <w:sz w:val="18"/>
                <w:szCs w:val="18"/>
              </w:rPr>
              <w:t>0.01</w:t>
            </w:r>
          </w:p>
        </w:tc>
        <w:tc>
          <w:tcPr>
            <w:tcW w:w="1134" w:type="dxa"/>
            <w:tcBorders>
              <w:top w:val="nil"/>
              <w:left w:val="nil"/>
              <w:bottom w:val="nil"/>
              <w:right w:val="nil"/>
            </w:tcBorders>
            <w:vAlign w:val="center"/>
            <w:hideMark/>
          </w:tcPr>
          <w:p w14:paraId="2472A7F7" w14:textId="77777777" w:rsidR="0054358D" w:rsidRPr="0054358D" w:rsidRDefault="0054358D" w:rsidP="0054358D">
            <w:pPr>
              <w:pStyle w:val="Sansinterligne"/>
              <w:rPr>
                <w:color w:val="000000"/>
                <w:sz w:val="18"/>
                <w:szCs w:val="18"/>
              </w:rPr>
            </w:pPr>
            <w:r w:rsidRPr="0054358D">
              <w:rPr>
                <w:color w:val="000000"/>
                <w:sz w:val="18"/>
                <w:szCs w:val="18"/>
              </w:rPr>
              <w:t>0.</w:t>
            </w:r>
            <w:r>
              <w:rPr>
                <w:color w:val="000000"/>
                <w:sz w:val="18"/>
                <w:szCs w:val="18"/>
              </w:rPr>
              <w:t>17</w:t>
            </w:r>
          </w:p>
        </w:tc>
        <w:tc>
          <w:tcPr>
            <w:tcW w:w="992" w:type="dxa"/>
            <w:tcBorders>
              <w:top w:val="nil"/>
              <w:left w:val="nil"/>
              <w:bottom w:val="nil"/>
              <w:right w:val="nil"/>
            </w:tcBorders>
            <w:vAlign w:val="center"/>
            <w:hideMark/>
          </w:tcPr>
          <w:p w14:paraId="5DA27C81" w14:textId="77777777" w:rsidR="0054358D" w:rsidRPr="0054358D" w:rsidRDefault="0054358D" w:rsidP="0054358D">
            <w:pPr>
              <w:pStyle w:val="Sansinterligne"/>
              <w:rPr>
                <w:color w:val="000000"/>
                <w:sz w:val="18"/>
                <w:szCs w:val="18"/>
              </w:rPr>
            </w:pPr>
            <w:r w:rsidRPr="0054358D">
              <w:rPr>
                <w:color w:val="000000"/>
                <w:sz w:val="18"/>
                <w:szCs w:val="18"/>
              </w:rPr>
              <w:t>0.1</w:t>
            </w:r>
            <w:r>
              <w:rPr>
                <w:color w:val="000000"/>
                <w:sz w:val="18"/>
                <w:szCs w:val="18"/>
              </w:rPr>
              <w:t>4</w:t>
            </w:r>
          </w:p>
        </w:tc>
        <w:tc>
          <w:tcPr>
            <w:tcW w:w="992" w:type="dxa"/>
            <w:tcBorders>
              <w:top w:val="nil"/>
              <w:left w:val="nil"/>
              <w:bottom w:val="nil"/>
              <w:right w:val="nil"/>
            </w:tcBorders>
            <w:hideMark/>
          </w:tcPr>
          <w:p w14:paraId="3D8F4F88" w14:textId="77777777" w:rsidR="0054358D" w:rsidRDefault="0054358D" w:rsidP="00976F24">
            <w:pPr>
              <w:pStyle w:val="Sansinterligne"/>
              <w:rPr>
                <w:color w:val="000000"/>
                <w:sz w:val="18"/>
                <w:szCs w:val="18"/>
              </w:rPr>
            </w:pPr>
            <w:r>
              <w:rPr>
                <w:color w:val="000000"/>
                <w:sz w:val="18"/>
                <w:szCs w:val="18"/>
              </w:rPr>
              <w:t>0.</w:t>
            </w:r>
            <w:r w:rsidR="00976F24">
              <w:rPr>
                <w:color w:val="000000"/>
                <w:sz w:val="18"/>
                <w:szCs w:val="18"/>
              </w:rPr>
              <w:t>921</w:t>
            </w:r>
          </w:p>
        </w:tc>
      </w:tr>
      <w:tr w:rsidR="0054358D" w14:paraId="2359DAFB" w14:textId="77777777" w:rsidTr="00996D96">
        <w:tc>
          <w:tcPr>
            <w:tcW w:w="237" w:type="dxa"/>
            <w:tcBorders>
              <w:top w:val="nil"/>
              <w:left w:val="nil"/>
              <w:bottom w:val="nil"/>
              <w:right w:val="nil"/>
            </w:tcBorders>
            <w:vAlign w:val="center"/>
          </w:tcPr>
          <w:p w14:paraId="7A6385CE"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5711197C" w14:textId="77777777" w:rsidR="0054358D" w:rsidRDefault="0054358D" w:rsidP="00996D96">
            <w:pPr>
              <w:pStyle w:val="Sansinterligne"/>
              <w:rPr>
                <w:sz w:val="18"/>
                <w:szCs w:val="18"/>
              </w:rPr>
            </w:pPr>
            <w:proofErr w:type="spellStart"/>
            <w:r>
              <w:rPr>
                <w:sz w:val="18"/>
                <w:szCs w:val="18"/>
              </w:rPr>
              <w:t>OctaCDD</w:t>
            </w:r>
            <w:proofErr w:type="spellEnd"/>
            <w:r>
              <w:rPr>
                <w:sz w:val="18"/>
                <w:szCs w:val="18"/>
              </w:rPr>
              <w:t xml:space="preserve"> (OCDD)</w:t>
            </w:r>
          </w:p>
        </w:tc>
        <w:tc>
          <w:tcPr>
            <w:tcW w:w="1134" w:type="dxa"/>
            <w:tcBorders>
              <w:top w:val="nil"/>
              <w:left w:val="nil"/>
              <w:bottom w:val="nil"/>
              <w:right w:val="nil"/>
            </w:tcBorders>
            <w:vAlign w:val="center"/>
            <w:hideMark/>
          </w:tcPr>
          <w:p w14:paraId="460B8862" w14:textId="77777777" w:rsidR="0054358D" w:rsidRPr="0054358D" w:rsidRDefault="0054358D" w:rsidP="0054358D">
            <w:pPr>
              <w:pStyle w:val="Sansinterligne"/>
              <w:rPr>
                <w:color w:val="000000"/>
                <w:sz w:val="18"/>
                <w:szCs w:val="18"/>
              </w:rPr>
            </w:pPr>
            <w:r>
              <w:rPr>
                <w:color w:val="000000"/>
                <w:sz w:val="18"/>
                <w:szCs w:val="18"/>
              </w:rPr>
              <w:t>37.8</w:t>
            </w:r>
          </w:p>
        </w:tc>
        <w:tc>
          <w:tcPr>
            <w:tcW w:w="1417" w:type="dxa"/>
            <w:tcBorders>
              <w:top w:val="nil"/>
              <w:left w:val="nil"/>
              <w:bottom w:val="nil"/>
              <w:right w:val="nil"/>
            </w:tcBorders>
            <w:vAlign w:val="center"/>
            <w:hideMark/>
          </w:tcPr>
          <w:p w14:paraId="437BE561" w14:textId="77777777" w:rsidR="0054358D" w:rsidRPr="0054358D" w:rsidRDefault="00764E75" w:rsidP="00996D96">
            <w:pPr>
              <w:pStyle w:val="Sansinterligne"/>
              <w:rPr>
                <w:color w:val="000000"/>
                <w:sz w:val="18"/>
                <w:szCs w:val="18"/>
              </w:rPr>
            </w:pPr>
            <w:r>
              <w:rPr>
                <w:color w:val="000000"/>
                <w:sz w:val="18"/>
                <w:szCs w:val="18"/>
              </w:rPr>
              <w:t>32.5</w:t>
            </w:r>
          </w:p>
        </w:tc>
        <w:tc>
          <w:tcPr>
            <w:tcW w:w="851" w:type="dxa"/>
            <w:tcBorders>
              <w:top w:val="nil"/>
              <w:left w:val="nil"/>
              <w:bottom w:val="nil"/>
              <w:right w:val="nil"/>
            </w:tcBorders>
            <w:vAlign w:val="center"/>
            <w:hideMark/>
          </w:tcPr>
          <w:p w14:paraId="031B828C" w14:textId="77777777" w:rsidR="0054358D" w:rsidRPr="0054358D" w:rsidRDefault="0054358D" w:rsidP="00996D96">
            <w:pPr>
              <w:pStyle w:val="Sansinterligne"/>
              <w:rPr>
                <w:sz w:val="18"/>
                <w:szCs w:val="18"/>
              </w:rPr>
            </w:pPr>
            <w:r w:rsidRPr="0054358D">
              <w:rPr>
                <w:sz w:val="18"/>
                <w:szCs w:val="18"/>
              </w:rPr>
              <w:t>0.0003</w:t>
            </w:r>
          </w:p>
        </w:tc>
        <w:tc>
          <w:tcPr>
            <w:tcW w:w="1134" w:type="dxa"/>
            <w:tcBorders>
              <w:top w:val="nil"/>
              <w:left w:val="nil"/>
              <w:bottom w:val="nil"/>
              <w:right w:val="nil"/>
            </w:tcBorders>
            <w:vAlign w:val="center"/>
            <w:hideMark/>
          </w:tcPr>
          <w:p w14:paraId="516BF333" w14:textId="77777777" w:rsidR="0054358D" w:rsidRPr="0054358D" w:rsidRDefault="00764E75" w:rsidP="00996D96">
            <w:pPr>
              <w:pStyle w:val="Sansinterligne"/>
              <w:rPr>
                <w:color w:val="000000"/>
                <w:sz w:val="18"/>
                <w:szCs w:val="18"/>
              </w:rPr>
            </w:pPr>
            <w:r>
              <w:rPr>
                <w:color w:val="000000"/>
                <w:sz w:val="18"/>
                <w:szCs w:val="18"/>
              </w:rPr>
              <w:t>0.01</w:t>
            </w:r>
          </w:p>
        </w:tc>
        <w:tc>
          <w:tcPr>
            <w:tcW w:w="992" w:type="dxa"/>
            <w:tcBorders>
              <w:top w:val="nil"/>
              <w:left w:val="nil"/>
              <w:bottom w:val="nil"/>
              <w:right w:val="nil"/>
            </w:tcBorders>
            <w:vAlign w:val="center"/>
            <w:hideMark/>
          </w:tcPr>
          <w:p w14:paraId="355DCA2A" w14:textId="77777777" w:rsidR="0054358D" w:rsidRPr="0054358D" w:rsidRDefault="00764E75" w:rsidP="00996D96">
            <w:pPr>
              <w:pStyle w:val="Sansinterligne"/>
              <w:rPr>
                <w:color w:val="000000"/>
                <w:sz w:val="18"/>
                <w:szCs w:val="18"/>
              </w:rPr>
            </w:pPr>
            <w:r>
              <w:rPr>
                <w:color w:val="000000"/>
                <w:sz w:val="18"/>
                <w:szCs w:val="18"/>
              </w:rPr>
              <w:t>0.01</w:t>
            </w:r>
          </w:p>
        </w:tc>
        <w:tc>
          <w:tcPr>
            <w:tcW w:w="992" w:type="dxa"/>
            <w:tcBorders>
              <w:top w:val="nil"/>
              <w:left w:val="nil"/>
              <w:bottom w:val="nil"/>
              <w:right w:val="nil"/>
            </w:tcBorders>
            <w:hideMark/>
          </w:tcPr>
          <w:p w14:paraId="6A21878B" w14:textId="77777777" w:rsidR="0054358D" w:rsidRDefault="0054358D" w:rsidP="00976F24">
            <w:pPr>
              <w:pStyle w:val="Sansinterligne"/>
              <w:rPr>
                <w:color w:val="000000"/>
                <w:sz w:val="18"/>
                <w:szCs w:val="18"/>
              </w:rPr>
            </w:pPr>
            <w:r>
              <w:rPr>
                <w:color w:val="000000"/>
                <w:sz w:val="18"/>
                <w:szCs w:val="18"/>
              </w:rPr>
              <w:t>0.</w:t>
            </w:r>
            <w:r w:rsidR="00976F24">
              <w:rPr>
                <w:color w:val="000000"/>
                <w:sz w:val="18"/>
                <w:szCs w:val="18"/>
              </w:rPr>
              <w:t>925</w:t>
            </w:r>
          </w:p>
        </w:tc>
      </w:tr>
      <w:tr w:rsidR="0054358D" w14:paraId="71ADEEBC" w14:textId="77777777" w:rsidTr="00996D96">
        <w:trPr>
          <w:trHeight w:val="384"/>
        </w:trPr>
        <w:tc>
          <w:tcPr>
            <w:tcW w:w="2802" w:type="dxa"/>
            <w:gridSpan w:val="2"/>
            <w:tcBorders>
              <w:top w:val="nil"/>
              <w:left w:val="nil"/>
              <w:bottom w:val="nil"/>
              <w:right w:val="nil"/>
            </w:tcBorders>
            <w:vAlign w:val="center"/>
            <w:hideMark/>
          </w:tcPr>
          <w:p w14:paraId="49328FD9" w14:textId="77777777" w:rsidR="0054358D" w:rsidRDefault="0054358D" w:rsidP="00996D96">
            <w:pPr>
              <w:pStyle w:val="Sansinterligne"/>
            </w:pPr>
            <w:proofErr w:type="spellStart"/>
            <w:r>
              <w:t>PCDFs</w:t>
            </w:r>
            <w:proofErr w:type="spellEnd"/>
          </w:p>
        </w:tc>
        <w:tc>
          <w:tcPr>
            <w:tcW w:w="1134" w:type="dxa"/>
            <w:tcBorders>
              <w:top w:val="nil"/>
              <w:left w:val="nil"/>
              <w:bottom w:val="nil"/>
              <w:right w:val="nil"/>
            </w:tcBorders>
            <w:vAlign w:val="center"/>
          </w:tcPr>
          <w:p w14:paraId="33C5484E" w14:textId="77777777" w:rsidR="0054358D" w:rsidRPr="00F71AF0" w:rsidRDefault="0054358D" w:rsidP="00996D96">
            <w:pPr>
              <w:pStyle w:val="Sansinterligne"/>
              <w:rPr>
                <w:sz w:val="18"/>
                <w:szCs w:val="18"/>
                <w:highlight w:val="yellow"/>
              </w:rPr>
            </w:pPr>
          </w:p>
        </w:tc>
        <w:tc>
          <w:tcPr>
            <w:tcW w:w="1417" w:type="dxa"/>
            <w:tcBorders>
              <w:top w:val="nil"/>
              <w:left w:val="nil"/>
              <w:bottom w:val="nil"/>
              <w:right w:val="nil"/>
            </w:tcBorders>
            <w:vAlign w:val="center"/>
          </w:tcPr>
          <w:p w14:paraId="3273B553" w14:textId="77777777" w:rsidR="0054358D" w:rsidRPr="00F71AF0" w:rsidRDefault="0054358D" w:rsidP="00996D96">
            <w:pPr>
              <w:pStyle w:val="Sansinterligne"/>
              <w:rPr>
                <w:sz w:val="18"/>
                <w:szCs w:val="18"/>
                <w:highlight w:val="yellow"/>
              </w:rPr>
            </w:pPr>
          </w:p>
        </w:tc>
        <w:tc>
          <w:tcPr>
            <w:tcW w:w="851" w:type="dxa"/>
            <w:tcBorders>
              <w:top w:val="nil"/>
              <w:left w:val="nil"/>
              <w:bottom w:val="nil"/>
              <w:right w:val="nil"/>
            </w:tcBorders>
            <w:vAlign w:val="center"/>
          </w:tcPr>
          <w:p w14:paraId="1BFFF497" w14:textId="77777777" w:rsidR="0054358D" w:rsidRDefault="0054358D" w:rsidP="00996D96">
            <w:pPr>
              <w:pStyle w:val="Sansinterligne"/>
              <w:rPr>
                <w:sz w:val="18"/>
                <w:szCs w:val="18"/>
              </w:rPr>
            </w:pPr>
          </w:p>
        </w:tc>
        <w:tc>
          <w:tcPr>
            <w:tcW w:w="1134" w:type="dxa"/>
            <w:tcBorders>
              <w:top w:val="nil"/>
              <w:left w:val="nil"/>
              <w:bottom w:val="nil"/>
              <w:right w:val="nil"/>
            </w:tcBorders>
            <w:vAlign w:val="center"/>
          </w:tcPr>
          <w:p w14:paraId="45570A9D" w14:textId="77777777" w:rsidR="0054358D" w:rsidRPr="00F71AF0" w:rsidRDefault="0054358D" w:rsidP="00996D96">
            <w:pPr>
              <w:pStyle w:val="Sansinterligne"/>
              <w:rPr>
                <w:sz w:val="18"/>
                <w:szCs w:val="18"/>
                <w:highlight w:val="yellow"/>
              </w:rPr>
            </w:pPr>
          </w:p>
        </w:tc>
        <w:tc>
          <w:tcPr>
            <w:tcW w:w="992" w:type="dxa"/>
            <w:tcBorders>
              <w:top w:val="nil"/>
              <w:left w:val="nil"/>
              <w:bottom w:val="nil"/>
              <w:right w:val="nil"/>
            </w:tcBorders>
            <w:vAlign w:val="center"/>
          </w:tcPr>
          <w:p w14:paraId="373F06FF" w14:textId="77777777" w:rsidR="0054358D" w:rsidRPr="00F71AF0" w:rsidRDefault="0054358D" w:rsidP="00996D96">
            <w:pPr>
              <w:pStyle w:val="Sansinterligne"/>
              <w:rPr>
                <w:sz w:val="18"/>
                <w:szCs w:val="18"/>
                <w:highlight w:val="yellow"/>
              </w:rPr>
            </w:pPr>
          </w:p>
        </w:tc>
        <w:tc>
          <w:tcPr>
            <w:tcW w:w="992" w:type="dxa"/>
            <w:tcBorders>
              <w:top w:val="nil"/>
              <w:left w:val="nil"/>
              <w:bottom w:val="nil"/>
              <w:right w:val="nil"/>
            </w:tcBorders>
          </w:tcPr>
          <w:p w14:paraId="07FC35F0" w14:textId="77777777" w:rsidR="0054358D" w:rsidRDefault="0054358D" w:rsidP="00996D96">
            <w:pPr>
              <w:pStyle w:val="Sansinterligne"/>
              <w:rPr>
                <w:sz w:val="18"/>
                <w:szCs w:val="18"/>
              </w:rPr>
            </w:pPr>
          </w:p>
        </w:tc>
      </w:tr>
      <w:tr w:rsidR="0054358D" w14:paraId="3708C319" w14:textId="77777777" w:rsidTr="00996D96">
        <w:tc>
          <w:tcPr>
            <w:tcW w:w="237" w:type="dxa"/>
            <w:tcBorders>
              <w:top w:val="nil"/>
              <w:left w:val="nil"/>
              <w:bottom w:val="nil"/>
              <w:right w:val="nil"/>
            </w:tcBorders>
            <w:vAlign w:val="center"/>
          </w:tcPr>
          <w:p w14:paraId="38AC8521"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4D7C0CF1" w14:textId="77777777" w:rsidR="0054358D" w:rsidRDefault="0054358D" w:rsidP="00996D96">
            <w:pPr>
              <w:pStyle w:val="Sansinterligne"/>
              <w:rPr>
                <w:sz w:val="18"/>
                <w:szCs w:val="18"/>
              </w:rPr>
            </w:pPr>
            <w:r>
              <w:rPr>
                <w:sz w:val="18"/>
                <w:szCs w:val="18"/>
              </w:rPr>
              <w:t xml:space="preserve">2, 3, 7, 8 – </w:t>
            </w:r>
            <w:proofErr w:type="spellStart"/>
            <w:r>
              <w:rPr>
                <w:sz w:val="18"/>
                <w:szCs w:val="18"/>
              </w:rPr>
              <w:t>TetraCDF</w:t>
            </w:r>
            <w:proofErr w:type="spellEnd"/>
          </w:p>
        </w:tc>
        <w:tc>
          <w:tcPr>
            <w:tcW w:w="1134" w:type="dxa"/>
            <w:tcBorders>
              <w:top w:val="nil"/>
              <w:left w:val="nil"/>
              <w:bottom w:val="nil"/>
              <w:right w:val="nil"/>
            </w:tcBorders>
            <w:vAlign w:val="center"/>
            <w:hideMark/>
          </w:tcPr>
          <w:p w14:paraId="2B095E1B" w14:textId="77777777" w:rsidR="0054358D" w:rsidRPr="005C264A" w:rsidRDefault="00764E75" w:rsidP="00996D96">
            <w:pPr>
              <w:pStyle w:val="Sansinterligne"/>
              <w:rPr>
                <w:color w:val="000000"/>
                <w:sz w:val="18"/>
                <w:szCs w:val="18"/>
              </w:rPr>
            </w:pPr>
            <w:r w:rsidRPr="005C264A">
              <w:rPr>
                <w:color w:val="000000"/>
                <w:sz w:val="18"/>
                <w:szCs w:val="18"/>
              </w:rPr>
              <w:t>1.62</w:t>
            </w:r>
          </w:p>
        </w:tc>
        <w:tc>
          <w:tcPr>
            <w:tcW w:w="1417" w:type="dxa"/>
            <w:tcBorders>
              <w:top w:val="nil"/>
              <w:left w:val="nil"/>
              <w:bottom w:val="nil"/>
              <w:right w:val="nil"/>
            </w:tcBorders>
            <w:vAlign w:val="center"/>
            <w:hideMark/>
          </w:tcPr>
          <w:p w14:paraId="216C0282" w14:textId="77777777" w:rsidR="0054358D" w:rsidRPr="005C264A" w:rsidRDefault="00764E75" w:rsidP="00996D96">
            <w:pPr>
              <w:pStyle w:val="Sansinterligne"/>
              <w:rPr>
                <w:color w:val="000000"/>
                <w:sz w:val="18"/>
                <w:szCs w:val="18"/>
              </w:rPr>
            </w:pPr>
            <w:r w:rsidRPr="005C264A">
              <w:rPr>
                <w:color w:val="000000"/>
                <w:sz w:val="18"/>
                <w:szCs w:val="18"/>
              </w:rPr>
              <w:t>10.44</w:t>
            </w:r>
          </w:p>
        </w:tc>
        <w:tc>
          <w:tcPr>
            <w:tcW w:w="851" w:type="dxa"/>
            <w:tcBorders>
              <w:top w:val="nil"/>
              <w:left w:val="nil"/>
              <w:bottom w:val="nil"/>
              <w:right w:val="nil"/>
            </w:tcBorders>
            <w:vAlign w:val="center"/>
            <w:hideMark/>
          </w:tcPr>
          <w:p w14:paraId="47A900C1" w14:textId="77777777" w:rsidR="0054358D" w:rsidRPr="005C264A" w:rsidRDefault="0054358D" w:rsidP="00996D96">
            <w:pPr>
              <w:pStyle w:val="Sansinterligne"/>
              <w:rPr>
                <w:sz w:val="18"/>
                <w:szCs w:val="18"/>
              </w:rPr>
            </w:pPr>
            <w:r w:rsidRPr="005C264A">
              <w:rPr>
                <w:sz w:val="18"/>
                <w:szCs w:val="18"/>
              </w:rPr>
              <w:t>0.1</w:t>
            </w:r>
          </w:p>
        </w:tc>
        <w:tc>
          <w:tcPr>
            <w:tcW w:w="1134" w:type="dxa"/>
            <w:tcBorders>
              <w:top w:val="nil"/>
              <w:left w:val="nil"/>
              <w:bottom w:val="nil"/>
              <w:right w:val="nil"/>
            </w:tcBorders>
            <w:vAlign w:val="center"/>
            <w:hideMark/>
          </w:tcPr>
          <w:p w14:paraId="398EC98D" w14:textId="77777777" w:rsidR="0054358D" w:rsidRPr="005C264A" w:rsidRDefault="0054358D" w:rsidP="00764E75">
            <w:pPr>
              <w:pStyle w:val="Sansinterligne"/>
              <w:rPr>
                <w:color w:val="000000"/>
                <w:sz w:val="18"/>
                <w:szCs w:val="18"/>
              </w:rPr>
            </w:pPr>
            <w:r w:rsidRPr="005C264A">
              <w:rPr>
                <w:color w:val="000000"/>
                <w:sz w:val="18"/>
                <w:szCs w:val="18"/>
              </w:rPr>
              <w:t>0.</w:t>
            </w:r>
            <w:r w:rsidR="00764E75" w:rsidRPr="005C264A">
              <w:rPr>
                <w:color w:val="000000"/>
                <w:sz w:val="18"/>
                <w:szCs w:val="18"/>
              </w:rPr>
              <w:t>16</w:t>
            </w:r>
          </w:p>
        </w:tc>
        <w:tc>
          <w:tcPr>
            <w:tcW w:w="992" w:type="dxa"/>
            <w:tcBorders>
              <w:top w:val="nil"/>
              <w:left w:val="nil"/>
              <w:bottom w:val="nil"/>
              <w:right w:val="nil"/>
            </w:tcBorders>
            <w:vAlign w:val="center"/>
            <w:hideMark/>
          </w:tcPr>
          <w:p w14:paraId="35D6ED1B" w14:textId="77777777" w:rsidR="0054358D" w:rsidRPr="005C264A" w:rsidRDefault="00764E75" w:rsidP="00764E75">
            <w:pPr>
              <w:pStyle w:val="Sansinterligne"/>
              <w:rPr>
                <w:color w:val="000000"/>
                <w:sz w:val="18"/>
                <w:szCs w:val="18"/>
              </w:rPr>
            </w:pPr>
            <w:r w:rsidRPr="005C264A">
              <w:rPr>
                <w:color w:val="000000"/>
                <w:sz w:val="18"/>
                <w:szCs w:val="18"/>
              </w:rPr>
              <w:t>1.04</w:t>
            </w:r>
          </w:p>
        </w:tc>
        <w:tc>
          <w:tcPr>
            <w:tcW w:w="992" w:type="dxa"/>
            <w:tcBorders>
              <w:top w:val="nil"/>
              <w:left w:val="nil"/>
              <w:bottom w:val="nil"/>
              <w:right w:val="nil"/>
            </w:tcBorders>
            <w:hideMark/>
          </w:tcPr>
          <w:p w14:paraId="1152F835" w14:textId="77777777" w:rsidR="0054358D" w:rsidRPr="000B7A8E" w:rsidRDefault="0054358D" w:rsidP="00976F24">
            <w:pPr>
              <w:pStyle w:val="Sansinterligne"/>
              <w:rPr>
                <w:b/>
                <w:color w:val="000000"/>
                <w:sz w:val="18"/>
                <w:szCs w:val="18"/>
              </w:rPr>
            </w:pPr>
            <w:r w:rsidRPr="000B7A8E">
              <w:rPr>
                <w:b/>
                <w:color w:val="000000"/>
                <w:sz w:val="18"/>
                <w:szCs w:val="18"/>
              </w:rPr>
              <w:t>0.</w:t>
            </w:r>
            <w:r w:rsidR="00976F24" w:rsidRPr="000B7A8E">
              <w:rPr>
                <w:b/>
                <w:color w:val="000000"/>
                <w:sz w:val="18"/>
                <w:szCs w:val="18"/>
              </w:rPr>
              <w:t>038</w:t>
            </w:r>
          </w:p>
        </w:tc>
      </w:tr>
      <w:tr w:rsidR="0054358D" w14:paraId="70B56864" w14:textId="77777777" w:rsidTr="00996D96">
        <w:tc>
          <w:tcPr>
            <w:tcW w:w="237" w:type="dxa"/>
            <w:tcBorders>
              <w:top w:val="nil"/>
              <w:left w:val="nil"/>
              <w:bottom w:val="nil"/>
              <w:right w:val="nil"/>
            </w:tcBorders>
            <w:vAlign w:val="center"/>
          </w:tcPr>
          <w:p w14:paraId="6631789C"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12ECF368" w14:textId="77777777" w:rsidR="0054358D" w:rsidRDefault="0054358D" w:rsidP="00996D96">
            <w:pPr>
              <w:pStyle w:val="Sansinterligne"/>
              <w:rPr>
                <w:sz w:val="18"/>
                <w:szCs w:val="18"/>
              </w:rPr>
            </w:pPr>
            <w:r>
              <w:rPr>
                <w:sz w:val="18"/>
                <w:szCs w:val="18"/>
              </w:rPr>
              <w:t xml:space="preserve">1, 2, 3, 7, 8 – </w:t>
            </w:r>
            <w:proofErr w:type="spellStart"/>
            <w:r>
              <w:rPr>
                <w:sz w:val="18"/>
                <w:szCs w:val="18"/>
              </w:rPr>
              <w:t>PentaCDF</w:t>
            </w:r>
            <w:proofErr w:type="spellEnd"/>
          </w:p>
        </w:tc>
        <w:tc>
          <w:tcPr>
            <w:tcW w:w="1134" w:type="dxa"/>
            <w:tcBorders>
              <w:top w:val="nil"/>
              <w:left w:val="nil"/>
              <w:bottom w:val="nil"/>
              <w:right w:val="nil"/>
            </w:tcBorders>
            <w:vAlign w:val="center"/>
            <w:hideMark/>
          </w:tcPr>
          <w:p w14:paraId="2742A47D" w14:textId="77777777" w:rsidR="0054358D" w:rsidRPr="005C264A" w:rsidRDefault="00764E75" w:rsidP="00996D96">
            <w:pPr>
              <w:pStyle w:val="Sansinterligne"/>
              <w:rPr>
                <w:color w:val="000000"/>
                <w:sz w:val="18"/>
                <w:szCs w:val="18"/>
              </w:rPr>
            </w:pPr>
            <w:r w:rsidRPr="005C264A">
              <w:rPr>
                <w:color w:val="000000"/>
                <w:sz w:val="18"/>
                <w:szCs w:val="18"/>
              </w:rPr>
              <w:t>3.41</w:t>
            </w:r>
          </w:p>
        </w:tc>
        <w:tc>
          <w:tcPr>
            <w:tcW w:w="1417" w:type="dxa"/>
            <w:tcBorders>
              <w:top w:val="nil"/>
              <w:left w:val="nil"/>
              <w:bottom w:val="nil"/>
              <w:right w:val="nil"/>
            </w:tcBorders>
            <w:vAlign w:val="center"/>
            <w:hideMark/>
          </w:tcPr>
          <w:p w14:paraId="42AD22BB" w14:textId="77777777" w:rsidR="0054358D" w:rsidRPr="005C264A" w:rsidRDefault="00764E75" w:rsidP="00996D96">
            <w:pPr>
              <w:pStyle w:val="Sansinterligne"/>
              <w:rPr>
                <w:sz w:val="18"/>
                <w:szCs w:val="18"/>
              </w:rPr>
            </w:pPr>
            <w:r w:rsidRPr="005C264A">
              <w:rPr>
                <w:sz w:val="18"/>
                <w:szCs w:val="18"/>
              </w:rPr>
              <w:t>1.64</w:t>
            </w:r>
          </w:p>
        </w:tc>
        <w:tc>
          <w:tcPr>
            <w:tcW w:w="851" w:type="dxa"/>
            <w:tcBorders>
              <w:top w:val="nil"/>
              <w:left w:val="nil"/>
              <w:bottom w:val="nil"/>
              <w:right w:val="nil"/>
            </w:tcBorders>
            <w:vAlign w:val="center"/>
            <w:hideMark/>
          </w:tcPr>
          <w:p w14:paraId="071A392D" w14:textId="77777777" w:rsidR="0054358D" w:rsidRPr="005C264A" w:rsidRDefault="0054358D" w:rsidP="00996D96">
            <w:pPr>
              <w:pStyle w:val="Sansinterligne"/>
              <w:rPr>
                <w:sz w:val="18"/>
                <w:szCs w:val="18"/>
              </w:rPr>
            </w:pPr>
            <w:r w:rsidRPr="005C264A">
              <w:rPr>
                <w:sz w:val="18"/>
                <w:szCs w:val="18"/>
              </w:rPr>
              <w:t>0.03</w:t>
            </w:r>
          </w:p>
        </w:tc>
        <w:tc>
          <w:tcPr>
            <w:tcW w:w="1134" w:type="dxa"/>
            <w:tcBorders>
              <w:top w:val="nil"/>
              <w:left w:val="nil"/>
              <w:bottom w:val="nil"/>
              <w:right w:val="nil"/>
            </w:tcBorders>
            <w:vAlign w:val="center"/>
            <w:hideMark/>
          </w:tcPr>
          <w:p w14:paraId="141033A4" w14:textId="77777777" w:rsidR="0054358D" w:rsidRPr="005C264A" w:rsidRDefault="0054358D" w:rsidP="005C264A">
            <w:pPr>
              <w:pStyle w:val="Sansinterligne"/>
              <w:rPr>
                <w:color w:val="000000"/>
                <w:sz w:val="18"/>
                <w:szCs w:val="18"/>
              </w:rPr>
            </w:pPr>
            <w:r w:rsidRPr="005C264A">
              <w:rPr>
                <w:color w:val="000000"/>
                <w:sz w:val="18"/>
                <w:szCs w:val="18"/>
              </w:rPr>
              <w:t>0.1</w:t>
            </w:r>
          </w:p>
        </w:tc>
        <w:tc>
          <w:tcPr>
            <w:tcW w:w="992" w:type="dxa"/>
            <w:tcBorders>
              <w:top w:val="nil"/>
              <w:left w:val="nil"/>
              <w:bottom w:val="nil"/>
              <w:right w:val="nil"/>
            </w:tcBorders>
            <w:vAlign w:val="center"/>
            <w:hideMark/>
          </w:tcPr>
          <w:p w14:paraId="4C99C836" w14:textId="77777777" w:rsidR="0054358D" w:rsidRPr="005C264A" w:rsidRDefault="0054358D" w:rsidP="005C264A">
            <w:pPr>
              <w:pStyle w:val="Sansinterligne"/>
              <w:rPr>
                <w:color w:val="000000"/>
                <w:sz w:val="18"/>
                <w:szCs w:val="18"/>
              </w:rPr>
            </w:pPr>
            <w:r w:rsidRPr="005C264A">
              <w:rPr>
                <w:color w:val="000000"/>
                <w:sz w:val="18"/>
                <w:szCs w:val="18"/>
              </w:rPr>
              <w:t>0.</w:t>
            </w:r>
            <w:r w:rsidR="005C264A" w:rsidRPr="005C264A">
              <w:rPr>
                <w:color w:val="000000"/>
                <w:sz w:val="18"/>
                <w:szCs w:val="18"/>
              </w:rPr>
              <w:t>05</w:t>
            </w:r>
          </w:p>
        </w:tc>
        <w:tc>
          <w:tcPr>
            <w:tcW w:w="992" w:type="dxa"/>
            <w:tcBorders>
              <w:top w:val="nil"/>
              <w:left w:val="nil"/>
              <w:bottom w:val="nil"/>
              <w:right w:val="nil"/>
            </w:tcBorders>
            <w:hideMark/>
          </w:tcPr>
          <w:p w14:paraId="42A28AD8" w14:textId="77777777" w:rsidR="0054358D" w:rsidRPr="000B7A8E" w:rsidRDefault="0054358D" w:rsidP="00976F24">
            <w:pPr>
              <w:pStyle w:val="Sansinterligne"/>
              <w:rPr>
                <w:b/>
                <w:color w:val="000000"/>
                <w:sz w:val="18"/>
                <w:szCs w:val="18"/>
              </w:rPr>
            </w:pPr>
            <w:r w:rsidRPr="000B7A8E">
              <w:rPr>
                <w:b/>
                <w:color w:val="000000"/>
                <w:sz w:val="18"/>
                <w:szCs w:val="18"/>
              </w:rPr>
              <w:t>0.</w:t>
            </w:r>
            <w:r w:rsidR="00976F24" w:rsidRPr="000B7A8E">
              <w:rPr>
                <w:b/>
                <w:color w:val="000000"/>
                <w:sz w:val="18"/>
                <w:szCs w:val="18"/>
              </w:rPr>
              <w:t>036</w:t>
            </w:r>
          </w:p>
        </w:tc>
      </w:tr>
      <w:tr w:rsidR="0054358D" w14:paraId="7E8D98A0" w14:textId="77777777" w:rsidTr="00996D96">
        <w:tc>
          <w:tcPr>
            <w:tcW w:w="237" w:type="dxa"/>
            <w:tcBorders>
              <w:top w:val="nil"/>
              <w:left w:val="nil"/>
              <w:bottom w:val="nil"/>
              <w:right w:val="nil"/>
            </w:tcBorders>
            <w:vAlign w:val="center"/>
          </w:tcPr>
          <w:p w14:paraId="7A72C20E"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1F8B8B7F" w14:textId="77777777" w:rsidR="0054358D" w:rsidRDefault="0054358D" w:rsidP="00996D96">
            <w:pPr>
              <w:pStyle w:val="Sansinterligne"/>
              <w:rPr>
                <w:sz w:val="18"/>
                <w:szCs w:val="18"/>
              </w:rPr>
            </w:pPr>
            <w:r>
              <w:rPr>
                <w:sz w:val="18"/>
                <w:szCs w:val="18"/>
              </w:rPr>
              <w:t xml:space="preserve">2, 3, 4, 7, 8 - </w:t>
            </w:r>
            <w:proofErr w:type="spellStart"/>
            <w:r>
              <w:rPr>
                <w:sz w:val="18"/>
                <w:szCs w:val="18"/>
              </w:rPr>
              <w:t>PentaCDF</w:t>
            </w:r>
            <w:proofErr w:type="spellEnd"/>
          </w:p>
        </w:tc>
        <w:tc>
          <w:tcPr>
            <w:tcW w:w="1134" w:type="dxa"/>
            <w:tcBorders>
              <w:top w:val="nil"/>
              <w:left w:val="nil"/>
              <w:bottom w:val="nil"/>
              <w:right w:val="nil"/>
            </w:tcBorders>
            <w:vAlign w:val="center"/>
            <w:hideMark/>
          </w:tcPr>
          <w:p w14:paraId="47735D14" w14:textId="77777777" w:rsidR="0054358D" w:rsidRPr="005C264A" w:rsidRDefault="005C264A" w:rsidP="005C264A">
            <w:pPr>
              <w:pStyle w:val="Sansinterligne"/>
              <w:rPr>
                <w:color w:val="000000"/>
                <w:sz w:val="18"/>
                <w:szCs w:val="18"/>
              </w:rPr>
            </w:pPr>
            <w:r w:rsidRPr="005C264A">
              <w:rPr>
                <w:color w:val="000000"/>
                <w:sz w:val="18"/>
                <w:szCs w:val="18"/>
              </w:rPr>
              <w:t>4.85</w:t>
            </w:r>
          </w:p>
        </w:tc>
        <w:tc>
          <w:tcPr>
            <w:tcW w:w="1417" w:type="dxa"/>
            <w:tcBorders>
              <w:top w:val="nil"/>
              <w:left w:val="nil"/>
              <w:bottom w:val="nil"/>
              <w:right w:val="nil"/>
            </w:tcBorders>
            <w:vAlign w:val="center"/>
            <w:hideMark/>
          </w:tcPr>
          <w:p w14:paraId="2FC6AF38" w14:textId="77777777" w:rsidR="0054358D" w:rsidRPr="005C264A" w:rsidRDefault="005C264A" w:rsidP="00996D96">
            <w:pPr>
              <w:pStyle w:val="Sansinterligne"/>
              <w:rPr>
                <w:sz w:val="18"/>
                <w:szCs w:val="18"/>
              </w:rPr>
            </w:pPr>
            <w:r w:rsidRPr="005C264A">
              <w:rPr>
                <w:sz w:val="18"/>
                <w:szCs w:val="18"/>
              </w:rPr>
              <w:t>3.65</w:t>
            </w:r>
          </w:p>
        </w:tc>
        <w:tc>
          <w:tcPr>
            <w:tcW w:w="851" w:type="dxa"/>
            <w:tcBorders>
              <w:top w:val="nil"/>
              <w:left w:val="nil"/>
              <w:bottom w:val="nil"/>
              <w:right w:val="nil"/>
            </w:tcBorders>
            <w:vAlign w:val="center"/>
            <w:hideMark/>
          </w:tcPr>
          <w:p w14:paraId="743CC0D8" w14:textId="77777777" w:rsidR="0054358D" w:rsidRPr="005C264A" w:rsidRDefault="0054358D" w:rsidP="00996D96">
            <w:pPr>
              <w:pStyle w:val="Sansinterligne"/>
              <w:rPr>
                <w:sz w:val="18"/>
                <w:szCs w:val="18"/>
              </w:rPr>
            </w:pPr>
            <w:r w:rsidRPr="005C264A">
              <w:rPr>
                <w:sz w:val="18"/>
                <w:szCs w:val="18"/>
              </w:rPr>
              <w:t>0.3</w:t>
            </w:r>
          </w:p>
        </w:tc>
        <w:tc>
          <w:tcPr>
            <w:tcW w:w="1134" w:type="dxa"/>
            <w:tcBorders>
              <w:top w:val="nil"/>
              <w:left w:val="nil"/>
              <w:bottom w:val="nil"/>
              <w:right w:val="nil"/>
            </w:tcBorders>
            <w:vAlign w:val="center"/>
            <w:hideMark/>
          </w:tcPr>
          <w:p w14:paraId="59BF25F0" w14:textId="77777777" w:rsidR="0054358D" w:rsidRPr="005C264A" w:rsidRDefault="0054358D" w:rsidP="005C264A">
            <w:pPr>
              <w:pStyle w:val="Sansinterligne"/>
              <w:rPr>
                <w:color w:val="000000"/>
                <w:sz w:val="18"/>
                <w:szCs w:val="18"/>
              </w:rPr>
            </w:pPr>
            <w:r w:rsidRPr="005C264A">
              <w:rPr>
                <w:color w:val="000000"/>
                <w:sz w:val="18"/>
                <w:szCs w:val="18"/>
              </w:rPr>
              <w:t>1.</w:t>
            </w:r>
            <w:r w:rsidR="005C264A" w:rsidRPr="005C264A">
              <w:rPr>
                <w:color w:val="000000"/>
                <w:sz w:val="18"/>
                <w:szCs w:val="18"/>
              </w:rPr>
              <w:t>45</w:t>
            </w:r>
          </w:p>
        </w:tc>
        <w:tc>
          <w:tcPr>
            <w:tcW w:w="992" w:type="dxa"/>
            <w:tcBorders>
              <w:top w:val="nil"/>
              <w:left w:val="nil"/>
              <w:bottom w:val="nil"/>
              <w:right w:val="nil"/>
            </w:tcBorders>
            <w:vAlign w:val="center"/>
            <w:hideMark/>
          </w:tcPr>
          <w:p w14:paraId="151F519D" w14:textId="77777777" w:rsidR="0054358D" w:rsidRPr="005C264A" w:rsidRDefault="005C264A" w:rsidP="00996D96">
            <w:pPr>
              <w:pStyle w:val="Sansinterligne"/>
              <w:rPr>
                <w:color w:val="000000"/>
                <w:sz w:val="18"/>
                <w:szCs w:val="18"/>
              </w:rPr>
            </w:pPr>
            <w:r w:rsidRPr="005C264A">
              <w:rPr>
                <w:color w:val="000000"/>
                <w:sz w:val="18"/>
                <w:szCs w:val="18"/>
              </w:rPr>
              <w:t>1.09</w:t>
            </w:r>
          </w:p>
        </w:tc>
        <w:tc>
          <w:tcPr>
            <w:tcW w:w="992" w:type="dxa"/>
            <w:tcBorders>
              <w:top w:val="nil"/>
              <w:left w:val="nil"/>
              <w:bottom w:val="nil"/>
              <w:right w:val="nil"/>
            </w:tcBorders>
            <w:hideMark/>
          </w:tcPr>
          <w:p w14:paraId="6D8ABD50" w14:textId="77777777" w:rsidR="0054358D" w:rsidRDefault="0054358D" w:rsidP="00976F24">
            <w:pPr>
              <w:pStyle w:val="Sansinterligne"/>
              <w:rPr>
                <w:color w:val="000000"/>
                <w:sz w:val="18"/>
                <w:szCs w:val="18"/>
              </w:rPr>
            </w:pPr>
            <w:r>
              <w:rPr>
                <w:color w:val="000000"/>
                <w:sz w:val="18"/>
                <w:szCs w:val="18"/>
              </w:rPr>
              <w:t>0.</w:t>
            </w:r>
            <w:r w:rsidR="00976F24">
              <w:rPr>
                <w:color w:val="000000"/>
                <w:sz w:val="18"/>
                <w:szCs w:val="18"/>
              </w:rPr>
              <w:t>373</w:t>
            </w:r>
          </w:p>
        </w:tc>
      </w:tr>
      <w:tr w:rsidR="0054358D" w14:paraId="7BB47838" w14:textId="77777777" w:rsidTr="00996D96">
        <w:tc>
          <w:tcPr>
            <w:tcW w:w="237" w:type="dxa"/>
            <w:tcBorders>
              <w:top w:val="nil"/>
              <w:left w:val="nil"/>
              <w:bottom w:val="nil"/>
              <w:right w:val="nil"/>
            </w:tcBorders>
            <w:vAlign w:val="center"/>
          </w:tcPr>
          <w:p w14:paraId="192527FD"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417BE41C" w14:textId="77777777" w:rsidR="0054358D" w:rsidRDefault="0054358D" w:rsidP="00996D96">
            <w:pPr>
              <w:pStyle w:val="Sansinterligne"/>
              <w:rPr>
                <w:sz w:val="18"/>
                <w:szCs w:val="18"/>
              </w:rPr>
            </w:pPr>
            <w:r>
              <w:rPr>
                <w:sz w:val="18"/>
                <w:szCs w:val="18"/>
              </w:rPr>
              <w:t xml:space="preserve">1, 2, 3, 4, 7, 8 - </w:t>
            </w:r>
            <w:proofErr w:type="spellStart"/>
            <w:r>
              <w:rPr>
                <w:sz w:val="18"/>
                <w:szCs w:val="18"/>
              </w:rPr>
              <w:t>HexaCDF</w:t>
            </w:r>
            <w:proofErr w:type="spellEnd"/>
          </w:p>
        </w:tc>
        <w:tc>
          <w:tcPr>
            <w:tcW w:w="1134" w:type="dxa"/>
            <w:tcBorders>
              <w:top w:val="nil"/>
              <w:left w:val="nil"/>
              <w:bottom w:val="nil"/>
              <w:right w:val="nil"/>
            </w:tcBorders>
            <w:vAlign w:val="center"/>
            <w:hideMark/>
          </w:tcPr>
          <w:p w14:paraId="48EADFC9" w14:textId="77777777" w:rsidR="0054358D" w:rsidRPr="005C264A" w:rsidRDefault="005C264A" w:rsidP="005C264A">
            <w:pPr>
              <w:pStyle w:val="Sansinterligne"/>
              <w:rPr>
                <w:color w:val="000000"/>
                <w:sz w:val="18"/>
                <w:szCs w:val="18"/>
              </w:rPr>
            </w:pPr>
            <w:r w:rsidRPr="005C264A">
              <w:rPr>
                <w:color w:val="000000"/>
                <w:sz w:val="18"/>
                <w:szCs w:val="18"/>
              </w:rPr>
              <w:t>12.3</w:t>
            </w:r>
          </w:p>
        </w:tc>
        <w:tc>
          <w:tcPr>
            <w:tcW w:w="1417" w:type="dxa"/>
            <w:tcBorders>
              <w:top w:val="nil"/>
              <w:left w:val="nil"/>
              <w:bottom w:val="nil"/>
              <w:right w:val="nil"/>
            </w:tcBorders>
            <w:vAlign w:val="center"/>
            <w:hideMark/>
          </w:tcPr>
          <w:p w14:paraId="75980526" w14:textId="77777777" w:rsidR="0054358D" w:rsidRPr="005C264A" w:rsidRDefault="005C264A" w:rsidP="00996D96">
            <w:pPr>
              <w:pStyle w:val="Sansinterligne"/>
              <w:rPr>
                <w:sz w:val="18"/>
                <w:szCs w:val="18"/>
              </w:rPr>
            </w:pPr>
            <w:r w:rsidRPr="005C264A">
              <w:rPr>
                <w:sz w:val="18"/>
                <w:szCs w:val="18"/>
              </w:rPr>
              <w:t>3.82</w:t>
            </w:r>
          </w:p>
        </w:tc>
        <w:tc>
          <w:tcPr>
            <w:tcW w:w="851" w:type="dxa"/>
            <w:tcBorders>
              <w:top w:val="nil"/>
              <w:left w:val="nil"/>
              <w:bottom w:val="nil"/>
              <w:right w:val="nil"/>
            </w:tcBorders>
            <w:vAlign w:val="center"/>
            <w:hideMark/>
          </w:tcPr>
          <w:p w14:paraId="640A688E" w14:textId="77777777" w:rsidR="0054358D" w:rsidRPr="005C264A" w:rsidRDefault="0054358D" w:rsidP="00996D96">
            <w:pPr>
              <w:pStyle w:val="Sansinterligne"/>
              <w:rPr>
                <w:sz w:val="18"/>
                <w:szCs w:val="18"/>
              </w:rPr>
            </w:pPr>
            <w:r w:rsidRPr="005C264A">
              <w:rPr>
                <w:sz w:val="18"/>
                <w:szCs w:val="18"/>
              </w:rPr>
              <w:t>0.1</w:t>
            </w:r>
          </w:p>
        </w:tc>
        <w:tc>
          <w:tcPr>
            <w:tcW w:w="1134" w:type="dxa"/>
            <w:tcBorders>
              <w:top w:val="nil"/>
              <w:left w:val="nil"/>
              <w:bottom w:val="nil"/>
              <w:right w:val="nil"/>
            </w:tcBorders>
            <w:vAlign w:val="center"/>
            <w:hideMark/>
          </w:tcPr>
          <w:p w14:paraId="7E5A0332" w14:textId="77777777" w:rsidR="0054358D" w:rsidRPr="005C264A" w:rsidRDefault="005C264A" w:rsidP="00996D96">
            <w:pPr>
              <w:pStyle w:val="Sansinterligne"/>
              <w:rPr>
                <w:color w:val="000000"/>
                <w:sz w:val="18"/>
                <w:szCs w:val="18"/>
              </w:rPr>
            </w:pPr>
            <w:r w:rsidRPr="005C264A">
              <w:rPr>
                <w:color w:val="000000"/>
                <w:sz w:val="18"/>
                <w:szCs w:val="18"/>
              </w:rPr>
              <w:t>1.23</w:t>
            </w:r>
          </w:p>
        </w:tc>
        <w:tc>
          <w:tcPr>
            <w:tcW w:w="992" w:type="dxa"/>
            <w:tcBorders>
              <w:top w:val="nil"/>
              <w:left w:val="nil"/>
              <w:bottom w:val="nil"/>
              <w:right w:val="nil"/>
            </w:tcBorders>
            <w:vAlign w:val="center"/>
            <w:hideMark/>
          </w:tcPr>
          <w:p w14:paraId="5E399FC8" w14:textId="77777777" w:rsidR="0054358D" w:rsidRPr="005C264A" w:rsidRDefault="005C264A" w:rsidP="00996D96">
            <w:pPr>
              <w:pStyle w:val="Sansinterligne"/>
              <w:rPr>
                <w:color w:val="000000"/>
                <w:sz w:val="18"/>
                <w:szCs w:val="18"/>
              </w:rPr>
            </w:pPr>
            <w:r w:rsidRPr="005C264A">
              <w:rPr>
                <w:color w:val="000000"/>
                <w:sz w:val="18"/>
                <w:szCs w:val="18"/>
              </w:rPr>
              <w:t>0.38</w:t>
            </w:r>
          </w:p>
        </w:tc>
        <w:tc>
          <w:tcPr>
            <w:tcW w:w="992" w:type="dxa"/>
            <w:tcBorders>
              <w:top w:val="nil"/>
              <w:left w:val="nil"/>
              <w:bottom w:val="nil"/>
              <w:right w:val="nil"/>
            </w:tcBorders>
            <w:hideMark/>
          </w:tcPr>
          <w:p w14:paraId="63B396FE" w14:textId="77777777" w:rsidR="0054358D" w:rsidRPr="000B7A8E" w:rsidRDefault="0054358D" w:rsidP="00976F24">
            <w:pPr>
              <w:pStyle w:val="Sansinterligne"/>
              <w:rPr>
                <w:b/>
                <w:color w:val="000000"/>
                <w:sz w:val="18"/>
                <w:szCs w:val="18"/>
              </w:rPr>
            </w:pPr>
            <w:r w:rsidRPr="000B7A8E">
              <w:rPr>
                <w:b/>
                <w:color w:val="000000"/>
                <w:sz w:val="18"/>
                <w:szCs w:val="18"/>
              </w:rPr>
              <w:t>0.</w:t>
            </w:r>
            <w:r w:rsidR="00976F24" w:rsidRPr="000B7A8E">
              <w:rPr>
                <w:b/>
                <w:color w:val="000000"/>
                <w:sz w:val="18"/>
                <w:szCs w:val="18"/>
              </w:rPr>
              <w:t>009</w:t>
            </w:r>
          </w:p>
        </w:tc>
      </w:tr>
      <w:tr w:rsidR="0054358D" w14:paraId="15DC6089" w14:textId="77777777" w:rsidTr="00996D96">
        <w:tc>
          <w:tcPr>
            <w:tcW w:w="237" w:type="dxa"/>
            <w:tcBorders>
              <w:top w:val="nil"/>
              <w:left w:val="nil"/>
              <w:bottom w:val="nil"/>
              <w:right w:val="nil"/>
            </w:tcBorders>
            <w:vAlign w:val="center"/>
          </w:tcPr>
          <w:p w14:paraId="5574F667"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031DA337" w14:textId="77777777" w:rsidR="0054358D" w:rsidRDefault="0054358D" w:rsidP="00996D96">
            <w:pPr>
              <w:pStyle w:val="Sansinterligne"/>
              <w:rPr>
                <w:sz w:val="18"/>
                <w:szCs w:val="18"/>
              </w:rPr>
            </w:pPr>
            <w:r>
              <w:rPr>
                <w:sz w:val="18"/>
                <w:szCs w:val="18"/>
              </w:rPr>
              <w:t xml:space="preserve">1, 2, 3, 6, 7, 8 – </w:t>
            </w:r>
            <w:proofErr w:type="spellStart"/>
            <w:r>
              <w:rPr>
                <w:sz w:val="18"/>
                <w:szCs w:val="18"/>
              </w:rPr>
              <w:t>HexaCDF</w:t>
            </w:r>
            <w:proofErr w:type="spellEnd"/>
          </w:p>
        </w:tc>
        <w:tc>
          <w:tcPr>
            <w:tcW w:w="1134" w:type="dxa"/>
            <w:tcBorders>
              <w:top w:val="nil"/>
              <w:left w:val="nil"/>
              <w:bottom w:val="nil"/>
              <w:right w:val="nil"/>
            </w:tcBorders>
            <w:vAlign w:val="center"/>
            <w:hideMark/>
          </w:tcPr>
          <w:p w14:paraId="230B27A2" w14:textId="77777777" w:rsidR="0054358D" w:rsidRPr="005C264A" w:rsidRDefault="005C264A" w:rsidP="00996D96">
            <w:pPr>
              <w:pStyle w:val="Sansinterligne"/>
              <w:rPr>
                <w:color w:val="000000"/>
                <w:sz w:val="18"/>
                <w:szCs w:val="18"/>
              </w:rPr>
            </w:pPr>
            <w:r w:rsidRPr="005C264A">
              <w:rPr>
                <w:color w:val="000000"/>
                <w:sz w:val="18"/>
                <w:szCs w:val="18"/>
              </w:rPr>
              <w:t>1.00</w:t>
            </w:r>
          </w:p>
        </w:tc>
        <w:tc>
          <w:tcPr>
            <w:tcW w:w="1417" w:type="dxa"/>
            <w:tcBorders>
              <w:top w:val="nil"/>
              <w:left w:val="nil"/>
              <w:bottom w:val="nil"/>
              <w:right w:val="nil"/>
            </w:tcBorders>
            <w:vAlign w:val="center"/>
            <w:hideMark/>
          </w:tcPr>
          <w:p w14:paraId="7DFC4399" w14:textId="77777777" w:rsidR="0054358D" w:rsidRPr="005C264A" w:rsidRDefault="005C264A" w:rsidP="005C264A">
            <w:pPr>
              <w:pStyle w:val="Sansinterligne"/>
              <w:rPr>
                <w:sz w:val="18"/>
                <w:szCs w:val="18"/>
              </w:rPr>
            </w:pPr>
            <w:r w:rsidRPr="005C264A">
              <w:rPr>
                <w:sz w:val="18"/>
                <w:szCs w:val="18"/>
              </w:rPr>
              <w:t>1.03</w:t>
            </w:r>
          </w:p>
        </w:tc>
        <w:tc>
          <w:tcPr>
            <w:tcW w:w="851" w:type="dxa"/>
            <w:tcBorders>
              <w:top w:val="nil"/>
              <w:left w:val="nil"/>
              <w:bottom w:val="nil"/>
              <w:right w:val="nil"/>
            </w:tcBorders>
            <w:vAlign w:val="center"/>
            <w:hideMark/>
          </w:tcPr>
          <w:p w14:paraId="51BA3BF1" w14:textId="77777777" w:rsidR="0054358D" w:rsidRPr="005C264A" w:rsidRDefault="0054358D" w:rsidP="00996D96">
            <w:pPr>
              <w:pStyle w:val="Sansinterligne"/>
              <w:rPr>
                <w:sz w:val="18"/>
                <w:szCs w:val="18"/>
              </w:rPr>
            </w:pPr>
            <w:r w:rsidRPr="005C264A">
              <w:rPr>
                <w:sz w:val="18"/>
                <w:szCs w:val="18"/>
              </w:rPr>
              <w:t>0.1</w:t>
            </w:r>
          </w:p>
        </w:tc>
        <w:tc>
          <w:tcPr>
            <w:tcW w:w="1134" w:type="dxa"/>
            <w:tcBorders>
              <w:top w:val="nil"/>
              <w:left w:val="nil"/>
              <w:bottom w:val="nil"/>
              <w:right w:val="nil"/>
            </w:tcBorders>
            <w:vAlign w:val="center"/>
            <w:hideMark/>
          </w:tcPr>
          <w:p w14:paraId="709A7406" w14:textId="77777777" w:rsidR="0054358D" w:rsidRPr="005C264A" w:rsidRDefault="005C264A" w:rsidP="00996D96">
            <w:pPr>
              <w:pStyle w:val="Sansinterligne"/>
              <w:rPr>
                <w:color w:val="000000"/>
                <w:sz w:val="18"/>
                <w:szCs w:val="18"/>
              </w:rPr>
            </w:pPr>
            <w:r w:rsidRPr="005C264A">
              <w:rPr>
                <w:color w:val="000000"/>
                <w:sz w:val="18"/>
                <w:szCs w:val="18"/>
              </w:rPr>
              <w:t>0.1</w:t>
            </w:r>
          </w:p>
        </w:tc>
        <w:tc>
          <w:tcPr>
            <w:tcW w:w="992" w:type="dxa"/>
            <w:tcBorders>
              <w:top w:val="nil"/>
              <w:left w:val="nil"/>
              <w:bottom w:val="nil"/>
              <w:right w:val="nil"/>
            </w:tcBorders>
            <w:vAlign w:val="center"/>
            <w:hideMark/>
          </w:tcPr>
          <w:p w14:paraId="70620476" w14:textId="77777777" w:rsidR="0054358D" w:rsidRPr="005C264A" w:rsidRDefault="005C264A" w:rsidP="00996D96">
            <w:pPr>
              <w:pStyle w:val="Sansinterligne"/>
              <w:rPr>
                <w:color w:val="000000"/>
                <w:sz w:val="18"/>
                <w:szCs w:val="18"/>
              </w:rPr>
            </w:pPr>
            <w:r w:rsidRPr="005C264A">
              <w:rPr>
                <w:color w:val="000000"/>
                <w:sz w:val="18"/>
                <w:szCs w:val="18"/>
              </w:rPr>
              <w:t>0.1</w:t>
            </w:r>
          </w:p>
        </w:tc>
        <w:tc>
          <w:tcPr>
            <w:tcW w:w="992" w:type="dxa"/>
            <w:tcBorders>
              <w:top w:val="nil"/>
              <w:left w:val="nil"/>
              <w:bottom w:val="nil"/>
              <w:right w:val="nil"/>
            </w:tcBorders>
            <w:hideMark/>
          </w:tcPr>
          <w:p w14:paraId="7B520D7D" w14:textId="77777777" w:rsidR="0054358D" w:rsidRDefault="0054358D" w:rsidP="00976F24">
            <w:pPr>
              <w:pStyle w:val="Sansinterligne"/>
              <w:rPr>
                <w:color w:val="000000"/>
                <w:sz w:val="18"/>
                <w:szCs w:val="18"/>
              </w:rPr>
            </w:pPr>
            <w:r>
              <w:rPr>
                <w:color w:val="000000"/>
                <w:sz w:val="18"/>
                <w:szCs w:val="18"/>
              </w:rPr>
              <w:t>0.</w:t>
            </w:r>
            <w:r w:rsidR="00976F24">
              <w:rPr>
                <w:color w:val="000000"/>
                <w:sz w:val="18"/>
                <w:szCs w:val="18"/>
              </w:rPr>
              <w:t>565</w:t>
            </w:r>
          </w:p>
        </w:tc>
      </w:tr>
      <w:tr w:rsidR="0054358D" w14:paraId="3BC253B9" w14:textId="77777777" w:rsidTr="00996D96">
        <w:tc>
          <w:tcPr>
            <w:tcW w:w="237" w:type="dxa"/>
            <w:tcBorders>
              <w:top w:val="nil"/>
              <w:left w:val="nil"/>
              <w:bottom w:val="nil"/>
              <w:right w:val="nil"/>
            </w:tcBorders>
            <w:vAlign w:val="center"/>
          </w:tcPr>
          <w:p w14:paraId="42701F71"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62730A51" w14:textId="77777777" w:rsidR="0054358D" w:rsidRDefault="0054358D" w:rsidP="00996D96">
            <w:pPr>
              <w:pStyle w:val="Sansinterligne"/>
              <w:rPr>
                <w:sz w:val="18"/>
                <w:szCs w:val="18"/>
              </w:rPr>
            </w:pPr>
            <w:r>
              <w:rPr>
                <w:sz w:val="18"/>
                <w:szCs w:val="18"/>
              </w:rPr>
              <w:t xml:space="preserve">1, 2, 3, 7, 8, 9 - </w:t>
            </w:r>
            <w:proofErr w:type="spellStart"/>
            <w:r>
              <w:rPr>
                <w:sz w:val="18"/>
                <w:szCs w:val="18"/>
              </w:rPr>
              <w:t>HexaCDF</w:t>
            </w:r>
            <w:proofErr w:type="spellEnd"/>
          </w:p>
        </w:tc>
        <w:tc>
          <w:tcPr>
            <w:tcW w:w="1134" w:type="dxa"/>
            <w:tcBorders>
              <w:top w:val="nil"/>
              <w:left w:val="nil"/>
              <w:bottom w:val="nil"/>
              <w:right w:val="nil"/>
            </w:tcBorders>
            <w:vAlign w:val="center"/>
            <w:hideMark/>
          </w:tcPr>
          <w:p w14:paraId="725F9E37" w14:textId="77777777" w:rsidR="0054358D" w:rsidRPr="005C264A" w:rsidRDefault="005C264A" w:rsidP="00996D96">
            <w:pPr>
              <w:pStyle w:val="Sansinterligne"/>
              <w:rPr>
                <w:color w:val="000000"/>
                <w:sz w:val="18"/>
                <w:szCs w:val="18"/>
              </w:rPr>
            </w:pPr>
            <w:r w:rsidRPr="005C264A">
              <w:rPr>
                <w:color w:val="000000"/>
                <w:sz w:val="18"/>
                <w:szCs w:val="18"/>
              </w:rPr>
              <w:t>206.8</w:t>
            </w:r>
          </w:p>
        </w:tc>
        <w:tc>
          <w:tcPr>
            <w:tcW w:w="1417" w:type="dxa"/>
            <w:tcBorders>
              <w:top w:val="nil"/>
              <w:left w:val="nil"/>
              <w:bottom w:val="nil"/>
              <w:right w:val="nil"/>
            </w:tcBorders>
            <w:vAlign w:val="center"/>
            <w:hideMark/>
          </w:tcPr>
          <w:p w14:paraId="5945872F" w14:textId="77777777" w:rsidR="0054358D" w:rsidRPr="005C264A" w:rsidRDefault="005C264A" w:rsidP="00996D96">
            <w:pPr>
              <w:pStyle w:val="Sansinterligne"/>
              <w:rPr>
                <w:sz w:val="18"/>
                <w:szCs w:val="18"/>
              </w:rPr>
            </w:pPr>
            <w:r w:rsidRPr="005C264A">
              <w:rPr>
                <w:sz w:val="18"/>
                <w:szCs w:val="18"/>
              </w:rPr>
              <w:t>41.8</w:t>
            </w:r>
          </w:p>
        </w:tc>
        <w:tc>
          <w:tcPr>
            <w:tcW w:w="851" w:type="dxa"/>
            <w:tcBorders>
              <w:top w:val="nil"/>
              <w:left w:val="nil"/>
              <w:bottom w:val="nil"/>
              <w:right w:val="nil"/>
            </w:tcBorders>
            <w:vAlign w:val="center"/>
            <w:hideMark/>
          </w:tcPr>
          <w:p w14:paraId="5B6002CB" w14:textId="77777777" w:rsidR="0054358D" w:rsidRPr="005C264A" w:rsidRDefault="0054358D" w:rsidP="00996D96">
            <w:pPr>
              <w:pStyle w:val="Sansinterligne"/>
              <w:rPr>
                <w:sz w:val="18"/>
                <w:szCs w:val="18"/>
              </w:rPr>
            </w:pPr>
            <w:r w:rsidRPr="005C264A">
              <w:rPr>
                <w:sz w:val="18"/>
                <w:szCs w:val="18"/>
              </w:rPr>
              <w:t>0.1</w:t>
            </w:r>
          </w:p>
        </w:tc>
        <w:tc>
          <w:tcPr>
            <w:tcW w:w="1134" w:type="dxa"/>
            <w:tcBorders>
              <w:top w:val="nil"/>
              <w:left w:val="nil"/>
              <w:bottom w:val="nil"/>
              <w:right w:val="nil"/>
            </w:tcBorders>
            <w:vAlign w:val="center"/>
            <w:hideMark/>
          </w:tcPr>
          <w:p w14:paraId="0D581518" w14:textId="77777777" w:rsidR="0054358D" w:rsidRPr="005C264A" w:rsidRDefault="005C264A" w:rsidP="00996D96">
            <w:pPr>
              <w:pStyle w:val="Sansinterligne"/>
              <w:rPr>
                <w:color w:val="000000"/>
                <w:sz w:val="18"/>
                <w:szCs w:val="18"/>
              </w:rPr>
            </w:pPr>
            <w:r w:rsidRPr="005C264A">
              <w:rPr>
                <w:color w:val="000000"/>
                <w:sz w:val="18"/>
                <w:szCs w:val="18"/>
              </w:rPr>
              <w:t>20.7</w:t>
            </w:r>
          </w:p>
        </w:tc>
        <w:tc>
          <w:tcPr>
            <w:tcW w:w="992" w:type="dxa"/>
            <w:tcBorders>
              <w:top w:val="nil"/>
              <w:left w:val="nil"/>
              <w:bottom w:val="nil"/>
              <w:right w:val="nil"/>
            </w:tcBorders>
            <w:vAlign w:val="center"/>
            <w:hideMark/>
          </w:tcPr>
          <w:p w14:paraId="072DEA0D" w14:textId="77777777" w:rsidR="0054358D" w:rsidRPr="005C264A" w:rsidRDefault="005C264A" w:rsidP="00996D96">
            <w:pPr>
              <w:pStyle w:val="Sansinterligne"/>
              <w:rPr>
                <w:color w:val="000000"/>
                <w:sz w:val="18"/>
                <w:szCs w:val="18"/>
              </w:rPr>
            </w:pPr>
            <w:r w:rsidRPr="005C264A">
              <w:rPr>
                <w:color w:val="000000"/>
                <w:sz w:val="18"/>
                <w:szCs w:val="18"/>
              </w:rPr>
              <w:t>4.18</w:t>
            </w:r>
          </w:p>
        </w:tc>
        <w:tc>
          <w:tcPr>
            <w:tcW w:w="992" w:type="dxa"/>
            <w:tcBorders>
              <w:top w:val="nil"/>
              <w:left w:val="nil"/>
              <w:bottom w:val="nil"/>
              <w:right w:val="nil"/>
            </w:tcBorders>
            <w:hideMark/>
          </w:tcPr>
          <w:p w14:paraId="0778AE45" w14:textId="77777777" w:rsidR="0054358D" w:rsidRPr="000B7A8E" w:rsidRDefault="0054358D" w:rsidP="00976F24">
            <w:pPr>
              <w:pStyle w:val="Sansinterligne"/>
              <w:rPr>
                <w:b/>
                <w:color w:val="000000"/>
                <w:sz w:val="18"/>
                <w:szCs w:val="18"/>
              </w:rPr>
            </w:pPr>
            <w:r w:rsidRPr="000B7A8E">
              <w:rPr>
                <w:b/>
                <w:color w:val="000000"/>
                <w:sz w:val="18"/>
                <w:szCs w:val="18"/>
              </w:rPr>
              <w:t>0.</w:t>
            </w:r>
            <w:r w:rsidR="00976F24" w:rsidRPr="000B7A8E">
              <w:rPr>
                <w:b/>
                <w:color w:val="000000"/>
                <w:sz w:val="18"/>
                <w:szCs w:val="18"/>
              </w:rPr>
              <w:t>009</w:t>
            </w:r>
          </w:p>
        </w:tc>
      </w:tr>
      <w:tr w:rsidR="0054358D" w14:paraId="2F4FDA41" w14:textId="77777777" w:rsidTr="00996D96">
        <w:tc>
          <w:tcPr>
            <w:tcW w:w="237" w:type="dxa"/>
            <w:tcBorders>
              <w:top w:val="nil"/>
              <w:left w:val="nil"/>
              <w:bottom w:val="nil"/>
              <w:right w:val="nil"/>
            </w:tcBorders>
            <w:vAlign w:val="center"/>
          </w:tcPr>
          <w:p w14:paraId="2912C510"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501EBD05" w14:textId="77777777" w:rsidR="0054358D" w:rsidRDefault="0054358D" w:rsidP="00996D96">
            <w:pPr>
              <w:pStyle w:val="Sansinterligne"/>
              <w:rPr>
                <w:sz w:val="18"/>
                <w:szCs w:val="18"/>
              </w:rPr>
            </w:pPr>
            <w:r>
              <w:rPr>
                <w:sz w:val="18"/>
                <w:szCs w:val="18"/>
              </w:rPr>
              <w:t xml:space="preserve">2, 3, 4, 6, 7, 8 - </w:t>
            </w:r>
            <w:proofErr w:type="spellStart"/>
            <w:r>
              <w:rPr>
                <w:sz w:val="18"/>
                <w:szCs w:val="18"/>
              </w:rPr>
              <w:t>HexaCDF</w:t>
            </w:r>
            <w:proofErr w:type="spellEnd"/>
          </w:p>
        </w:tc>
        <w:tc>
          <w:tcPr>
            <w:tcW w:w="1134" w:type="dxa"/>
            <w:tcBorders>
              <w:top w:val="nil"/>
              <w:left w:val="nil"/>
              <w:bottom w:val="nil"/>
              <w:right w:val="nil"/>
            </w:tcBorders>
            <w:vAlign w:val="center"/>
            <w:hideMark/>
          </w:tcPr>
          <w:p w14:paraId="46464A39" w14:textId="77777777" w:rsidR="0054358D" w:rsidRPr="005C264A" w:rsidRDefault="005C264A" w:rsidP="00996D96">
            <w:pPr>
              <w:pStyle w:val="Sansinterligne"/>
              <w:rPr>
                <w:color w:val="000000"/>
                <w:sz w:val="18"/>
                <w:szCs w:val="18"/>
              </w:rPr>
            </w:pPr>
            <w:r w:rsidRPr="005C264A">
              <w:rPr>
                <w:color w:val="000000"/>
                <w:sz w:val="18"/>
                <w:szCs w:val="18"/>
              </w:rPr>
              <w:t>17.3</w:t>
            </w:r>
          </w:p>
        </w:tc>
        <w:tc>
          <w:tcPr>
            <w:tcW w:w="1417" w:type="dxa"/>
            <w:tcBorders>
              <w:top w:val="nil"/>
              <w:left w:val="nil"/>
              <w:bottom w:val="nil"/>
              <w:right w:val="nil"/>
            </w:tcBorders>
            <w:vAlign w:val="center"/>
            <w:hideMark/>
          </w:tcPr>
          <w:p w14:paraId="119A4BA5" w14:textId="77777777" w:rsidR="0054358D" w:rsidRPr="005C264A" w:rsidRDefault="005C264A" w:rsidP="00996D96">
            <w:pPr>
              <w:pStyle w:val="Sansinterligne"/>
              <w:rPr>
                <w:sz w:val="18"/>
                <w:szCs w:val="18"/>
              </w:rPr>
            </w:pPr>
            <w:r w:rsidRPr="005C264A">
              <w:rPr>
                <w:sz w:val="18"/>
                <w:szCs w:val="18"/>
              </w:rPr>
              <w:t>6.81</w:t>
            </w:r>
          </w:p>
        </w:tc>
        <w:tc>
          <w:tcPr>
            <w:tcW w:w="851" w:type="dxa"/>
            <w:tcBorders>
              <w:top w:val="nil"/>
              <w:left w:val="nil"/>
              <w:bottom w:val="nil"/>
              <w:right w:val="nil"/>
            </w:tcBorders>
            <w:vAlign w:val="center"/>
            <w:hideMark/>
          </w:tcPr>
          <w:p w14:paraId="6754B1BC" w14:textId="77777777" w:rsidR="0054358D" w:rsidRPr="005C264A" w:rsidRDefault="0054358D" w:rsidP="00996D96">
            <w:pPr>
              <w:pStyle w:val="Sansinterligne"/>
              <w:rPr>
                <w:sz w:val="18"/>
                <w:szCs w:val="18"/>
              </w:rPr>
            </w:pPr>
            <w:r w:rsidRPr="005C264A">
              <w:rPr>
                <w:sz w:val="18"/>
                <w:szCs w:val="18"/>
              </w:rPr>
              <w:t>0.1</w:t>
            </w:r>
          </w:p>
        </w:tc>
        <w:tc>
          <w:tcPr>
            <w:tcW w:w="1134" w:type="dxa"/>
            <w:tcBorders>
              <w:top w:val="nil"/>
              <w:left w:val="nil"/>
              <w:bottom w:val="nil"/>
              <w:right w:val="nil"/>
            </w:tcBorders>
            <w:vAlign w:val="center"/>
            <w:hideMark/>
          </w:tcPr>
          <w:p w14:paraId="37336D5D" w14:textId="77777777" w:rsidR="0054358D" w:rsidRPr="005C264A" w:rsidRDefault="005C264A" w:rsidP="00996D96">
            <w:pPr>
              <w:pStyle w:val="Sansinterligne"/>
              <w:rPr>
                <w:color w:val="000000"/>
                <w:sz w:val="18"/>
                <w:szCs w:val="18"/>
              </w:rPr>
            </w:pPr>
            <w:r w:rsidRPr="005C264A">
              <w:rPr>
                <w:color w:val="000000"/>
                <w:sz w:val="18"/>
                <w:szCs w:val="18"/>
              </w:rPr>
              <w:t>1.73</w:t>
            </w:r>
          </w:p>
        </w:tc>
        <w:tc>
          <w:tcPr>
            <w:tcW w:w="992" w:type="dxa"/>
            <w:tcBorders>
              <w:top w:val="nil"/>
              <w:left w:val="nil"/>
              <w:bottom w:val="nil"/>
              <w:right w:val="nil"/>
            </w:tcBorders>
            <w:vAlign w:val="center"/>
            <w:hideMark/>
          </w:tcPr>
          <w:p w14:paraId="4AF74A1F" w14:textId="77777777" w:rsidR="0054358D" w:rsidRPr="005C264A" w:rsidRDefault="005C264A" w:rsidP="00996D96">
            <w:pPr>
              <w:pStyle w:val="Sansinterligne"/>
              <w:rPr>
                <w:color w:val="000000"/>
                <w:sz w:val="18"/>
                <w:szCs w:val="18"/>
              </w:rPr>
            </w:pPr>
            <w:r w:rsidRPr="005C264A">
              <w:rPr>
                <w:color w:val="000000"/>
                <w:sz w:val="18"/>
                <w:szCs w:val="18"/>
              </w:rPr>
              <w:t>0.68</w:t>
            </w:r>
          </w:p>
        </w:tc>
        <w:tc>
          <w:tcPr>
            <w:tcW w:w="992" w:type="dxa"/>
            <w:tcBorders>
              <w:top w:val="nil"/>
              <w:left w:val="nil"/>
              <w:bottom w:val="nil"/>
              <w:right w:val="nil"/>
            </w:tcBorders>
            <w:hideMark/>
          </w:tcPr>
          <w:p w14:paraId="0BE37017" w14:textId="77777777" w:rsidR="0054358D" w:rsidRDefault="0054358D" w:rsidP="00976F24">
            <w:pPr>
              <w:pStyle w:val="Sansinterligne"/>
              <w:rPr>
                <w:color w:val="000000"/>
                <w:sz w:val="18"/>
                <w:szCs w:val="18"/>
              </w:rPr>
            </w:pPr>
            <w:r>
              <w:rPr>
                <w:color w:val="000000"/>
                <w:sz w:val="18"/>
                <w:szCs w:val="18"/>
              </w:rPr>
              <w:t>0.</w:t>
            </w:r>
            <w:r w:rsidR="00976F24">
              <w:rPr>
                <w:color w:val="000000"/>
                <w:sz w:val="18"/>
                <w:szCs w:val="18"/>
              </w:rPr>
              <w:t>100</w:t>
            </w:r>
          </w:p>
        </w:tc>
      </w:tr>
      <w:tr w:rsidR="0054358D" w14:paraId="6F9F55BA" w14:textId="77777777" w:rsidTr="00996D96">
        <w:tc>
          <w:tcPr>
            <w:tcW w:w="237" w:type="dxa"/>
            <w:tcBorders>
              <w:top w:val="nil"/>
              <w:left w:val="nil"/>
              <w:bottom w:val="nil"/>
              <w:right w:val="nil"/>
            </w:tcBorders>
            <w:vAlign w:val="center"/>
          </w:tcPr>
          <w:p w14:paraId="2574B66C"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098719AA" w14:textId="77777777" w:rsidR="0054358D" w:rsidRDefault="0054358D" w:rsidP="00996D96">
            <w:pPr>
              <w:pStyle w:val="Sansinterligne"/>
              <w:rPr>
                <w:sz w:val="18"/>
                <w:szCs w:val="18"/>
              </w:rPr>
            </w:pPr>
            <w:r>
              <w:rPr>
                <w:sz w:val="18"/>
                <w:szCs w:val="18"/>
              </w:rPr>
              <w:t xml:space="preserve">1, 2, 3, 4, 6, 7, 8 - </w:t>
            </w:r>
            <w:proofErr w:type="spellStart"/>
            <w:r>
              <w:rPr>
                <w:sz w:val="18"/>
                <w:szCs w:val="18"/>
              </w:rPr>
              <w:t>HeptaCDF</w:t>
            </w:r>
            <w:proofErr w:type="spellEnd"/>
          </w:p>
        </w:tc>
        <w:tc>
          <w:tcPr>
            <w:tcW w:w="1134" w:type="dxa"/>
            <w:tcBorders>
              <w:top w:val="nil"/>
              <w:left w:val="nil"/>
              <w:bottom w:val="nil"/>
              <w:right w:val="nil"/>
            </w:tcBorders>
            <w:vAlign w:val="center"/>
            <w:hideMark/>
          </w:tcPr>
          <w:p w14:paraId="1EF04CBA" w14:textId="77777777" w:rsidR="0054358D" w:rsidRPr="005C264A" w:rsidRDefault="005C264A" w:rsidP="00996D96">
            <w:pPr>
              <w:pStyle w:val="Sansinterligne"/>
              <w:rPr>
                <w:color w:val="000000"/>
                <w:sz w:val="18"/>
                <w:szCs w:val="18"/>
              </w:rPr>
            </w:pPr>
            <w:r w:rsidRPr="005C264A">
              <w:rPr>
                <w:color w:val="000000"/>
                <w:sz w:val="18"/>
                <w:szCs w:val="18"/>
              </w:rPr>
              <w:t>17.8</w:t>
            </w:r>
          </w:p>
        </w:tc>
        <w:tc>
          <w:tcPr>
            <w:tcW w:w="1417" w:type="dxa"/>
            <w:tcBorders>
              <w:top w:val="nil"/>
              <w:left w:val="nil"/>
              <w:bottom w:val="nil"/>
              <w:right w:val="nil"/>
            </w:tcBorders>
            <w:vAlign w:val="center"/>
            <w:hideMark/>
          </w:tcPr>
          <w:p w14:paraId="03BC375E" w14:textId="77777777" w:rsidR="0054358D" w:rsidRPr="005C264A" w:rsidRDefault="005C264A" w:rsidP="00996D96">
            <w:pPr>
              <w:pStyle w:val="Sansinterligne"/>
              <w:rPr>
                <w:sz w:val="18"/>
                <w:szCs w:val="18"/>
              </w:rPr>
            </w:pPr>
            <w:r w:rsidRPr="005C264A">
              <w:rPr>
                <w:sz w:val="18"/>
                <w:szCs w:val="18"/>
              </w:rPr>
              <w:t>18.6</w:t>
            </w:r>
          </w:p>
        </w:tc>
        <w:tc>
          <w:tcPr>
            <w:tcW w:w="851" w:type="dxa"/>
            <w:tcBorders>
              <w:top w:val="nil"/>
              <w:left w:val="nil"/>
              <w:bottom w:val="nil"/>
              <w:right w:val="nil"/>
            </w:tcBorders>
            <w:vAlign w:val="center"/>
            <w:hideMark/>
          </w:tcPr>
          <w:p w14:paraId="66A4C2AD" w14:textId="77777777" w:rsidR="0054358D" w:rsidRPr="005C264A" w:rsidRDefault="0054358D" w:rsidP="00996D96">
            <w:pPr>
              <w:pStyle w:val="Sansinterligne"/>
              <w:rPr>
                <w:sz w:val="18"/>
                <w:szCs w:val="18"/>
              </w:rPr>
            </w:pPr>
            <w:r w:rsidRPr="005C264A">
              <w:rPr>
                <w:sz w:val="18"/>
                <w:szCs w:val="18"/>
              </w:rPr>
              <w:t>0.01</w:t>
            </w:r>
          </w:p>
        </w:tc>
        <w:tc>
          <w:tcPr>
            <w:tcW w:w="1134" w:type="dxa"/>
            <w:tcBorders>
              <w:top w:val="nil"/>
              <w:left w:val="nil"/>
              <w:bottom w:val="nil"/>
              <w:right w:val="nil"/>
            </w:tcBorders>
            <w:vAlign w:val="center"/>
            <w:hideMark/>
          </w:tcPr>
          <w:p w14:paraId="59CD4328" w14:textId="77777777" w:rsidR="0054358D" w:rsidRPr="005C264A" w:rsidRDefault="0054358D" w:rsidP="00996D96">
            <w:pPr>
              <w:pStyle w:val="Sansinterligne"/>
              <w:rPr>
                <w:color w:val="000000"/>
                <w:sz w:val="18"/>
                <w:szCs w:val="18"/>
              </w:rPr>
            </w:pPr>
            <w:r w:rsidRPr="005C264A">
              <w:rPr>
                <w:color w:val="000000"/>
                <w:sz w:val="18"/>
                <w:szCs w:val="18"/>
              </w:rPr>
              <w:t>0.18</w:t>
            </w:r>
          </w:p>
        </w:tc>
        <w:tc>
          <w:tcPr>
            <w:tcW w:w="992" w:type="dxa"/>
            <w:tcBorders>
              <w:top w:val="nil"/>
              <w:left w:val="nil"/>
              <w:bottom w:val="nil"/>
              <w:right w:val="nil"/>
            </w:tcBorders>
            <w:vAlign w:val="center"/>
            <w:hideMark/>
          </w:tcPr>
          <w:p w14:paraId="32964D58" w14:textId="77777777" w:rsidR="0054358D" w:rsidRPr="005C264A" w:rsidRDefault="0054358D" w:rsidP="005C264A">
            <w:pPr>
              <w:pStyle w:val="Sansinterligne"/>
              <w:rPr>
                <w:color w:val="000000"/>
                <w:sz w:val="18"/>
                <w:szCs w:val="18"/>
              </w:rPr>
            </w:pPr>
            <w:r w:rsidRPr="005C264A">
              <w:rPr>
                <w:color w:val="000000"/>
                <w:sz w:val="18"/>
                <w:szCs w:val="18"/>
              </w:rPr>
              <w:t>0.1</w:t>
            </w:r>
            <w:r w:rsidR="005C264A" w:rsidRPr="005C264A">
              <w:rPr>
                <w:color w:val="000000"/>
                <w:sz w:val="18"/>
                <w:szCs w:val="18"/>
              </w:rPr>
              <w:t>8</w:t>
            </w:r>
          </w:p>
        </w:tc>
        <w:tc>
          <w:tcPr>
            <w:tcW w:w="992" w:type="dxa"/>
            <w:tcBorders>
              <w:top w:val="nil"/>
              <w:left w:val="nil"/>
              <w:bottom w:val="nil"/>
              <w:right w:val="nil"/>
            </w:tcBorders>
            <w:hideMark/>
          </w:tcPr>
          <w:p w14:paraId="4B21ED74" w14:textId="77777777" w:rsidR="0054358D" w:rsidRDefault="0054358D" w:rsidP="00976F24">
            <w:pPr>
              <w:pStyle w:val="Sansinterligne"/>
              <w:rPr>
                <w:color w:val="000000"/>
                <w:sz w:val="18"/>
                <w:szCs w:val="18"/>
              </w:rPr>
            </w:pPr>
            <w:r>
              <w:rPr>
                <w:color w:val="000000"/>
                <w:sz w:val="18"/>
                <w:szCs w:val="18"/>
              </w:rPr>
              <w:t>0.</w:t>
            </w:r>
            <w:r w:rsidR="00976F24">
              <w:rPr>
                <w:color w:val="000000"/>
                <w:sz w:val="18"/>
                <w:szCs w:val="18"/>
              </w:rPr>
              <w:t>576</w:t>
            </w:r>
          </w:p>
        </w:tc>
      </w:tr>
      <w:tr w:rsidR="0054358D" w14:paraId="7C9FBAD1" w14:textId="77777777" w:rsidTr="00996D96">
        <w:tc>
          <w:tcPr>
            <w:tcW w:w="237" w:type="dxa"/>
            <w:tcBorders>
              <w:top w:val="nil"/>
              <w:left w:val="nil"/>
              <w:bottom w:val="nil"/>
              <w:right w:val="nil"/>
            </w:tcBorders>
            <w:vAlign w:val="center"/>
          </w:tcPr>
          <w:p w14:paraId="4EA8B190"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38B0B7DB" w14:textId="77777777" w:rsidR="0054358D" w:rsidRDefault="0054358D" w:rsidP="00996D96">
            <w:pPr>
              <w:pStyle w:val="Sansinterligne"/>
              <w:rPr>
                <w:sz w:val="18"/>
                <w:szCs w:val="18"/>
              </w:rPr>
            </w:pPr>
            <w:r>
              <w:rPr>
                <w:sz w:val="18"/>
                <w:szCs w:val="18"/>
              </w:rPr>
              <w:t xml:space="preserve">1, 2, 3, 4, 7, 8, 9 - </w:t>
            </w:r>
            <w:proofErr w:type="spellStart"/>
            <w:r>
              <w:rPr>
                <w:sz w:val="18"/>
                <w:szCs w:val="18"/>
              </w:rPr>
              <w:t>HeptaCDF</w:t>
            </w:r>
            <w:proofErr w:type="spellEnd"/>
          </w:p>
        </w:tc>
        <w:tc>
          <w:tcPr>
            <w:tcW w:w="1134" w:type="dxa"/>
            <w:tcBorders>
              <w:top w:val="nil"/>
              <w:left w:val="nil"/>
              <w:bottom w:val="nil"/>
              <w:right w:val="nil"/>
            </w:tcBorders>
            <w:vAlign w:val="center"/>
            <w:hideMark/>
          </w:tcPr>
          <w:p w14:paraId="6E8A1E87" w14:textId="77777777" w:rsidR="0054358D" w:rsidRPr="00CD38A0" w:rsidRDefault="005C264A" w:rsidP="00996D96">
            <w:pPr>
              <w:pStyle w:val="Sansinterligne"/>
              <w:rPr>
                <w:color w:val="000000"/>
                <w:sz w:val="18"/>
                <w:szCs w:val="18"/>
              </w:rPr>
            </w:pPr>
            <w:r w:rsidRPr="00CD38A0">
              <w:rPr>
                <w:color w:val="000000"/>
                <w:sz w:val="18"/>
                <w:szCs w:val="18"/>
              </w:rPr>
              <w:t>0.91</w:t>
            </w:r>
          </w:p>
        </w:tc>
        <w:tc>
          <w:tcPr>
            <w:tcW w:w="1417" w:type="dxa"/>
            <w:tcBorders>
              <w:top w:val="nil"/>
              <w:left w:val="nil"/>
              <w:bottom w:val="nil"/>
              <w:right w:val="nil"/>
            </w:tcBorders>
            <w:vAlign w:val="center"/>
            <w:hideMark/>
          </w:tcPr>
          <w:p w14:paraId="43C2164E" w14:textId="77777777" w:rsidR="0054358D" w:rsidRPr="00CD38A0" w:rsidRDefault="005C264A" w:rsidP="005C264A">
            <w:pPr>
              <w:pStyle w:val="Sansinterligne"/>
              <w:rPr>
                <w:sz w:val="18"/>
                <w:szCs w:val="18"/>
              </w:rPr>
            </w:pPr>
            <w:r w:rsidRPr="00CD38A0">
              <w:rPr>
                <w:sz w:val="18"/>
                <w:szCs w:val="18"/>
              </w:rPr>
              <w:t>0.18</w:t>
            </w:r>
            <w:r w:rsidR="0054358D" w:rsidRPr="00CD38A0">
              <w:rPr>
                <w:sz w:val="18"/>
                <w:szCs w:val="18"/>
              </w:rPr>
              <w:t>*</w:t>
            </w:r>
          </w:p>
        </w:tc>
        <w:tc>
          <w:tcPr>
            <w:tcW w:w="851" w:type="dxa"/>
            <w:tcBorders>
              <w:top w:val="nil"/>
              <w:left w:val="nil"/>
              <w:bottom w:val="nil"/>
              <w:right w:val="nil"/>
            </w:tcBorders>
            <w:vAlign w:val="center"/>
            <w:hideMark/>
          </w:tcPr>
          <w:p w14:paraId="07DE9285" w14:textId="77777777" w:rsidR="0054358D" w:rsidRPr="00CD38A0" w:rsidRDefault="0054358D" w:rsidP="00996D96">
            <w:pPr>
              <w:pStyle w:val="Sansinterligne"/>
              <w:rPr>
                <w:sz w:val="18"/>
                <w:szCs w:val="18"/>
              </w:rPr>
            </w:pPr>
            <w:r w:rsidRPr="00CD38A0">
              <w:rPr>
                <w:sz w:val="18"/>
                <w:szCs w:val="18"/>
              </w:rPr>
              <w:t>0.01</w:t>
            </w:r>
          </w:p>
        </w:tc>
        <w:tc>
          <w:tcPr>
            <w:tcW w:w="1134" w:type="dxa"/>
            <w:tcBorders>
              <w:top w:val="nil"/>
              <w:left w:val="nil"/>
              <w:bottom w:val="nil"/>
              <w:right w:val="nil"/>
            </w:tcBorders>
            <w:vAlign w:val="center"/>
            <w:hideMark/>
          </w:tcPr>
          <w:p w14:paraId="00A7A62D" w14:textId="77777777" w:rsidR="0054358D" w:rsidRPr="00CD38A0" w:rsidRDefault="005C264A" w:rsidP="00996D96">
            <w:pPr>
              <w:pStyle w:val="Sansinterligne"/>
              <w:rPr>
                <w:color w:val="000000"/>
                <w:sz w:val="18"/>
                <w:szCs w:val="18"/>
              </w:rPr>
            </w:pPr>
            <w:r w:rsidRPr="00CD38A0">
              <w:rPr>
                <w:color w:val="000000"/>
                <w:sz w:val="18"/>
                <w:szCs w:val="18"/>
              </w:rPr>
              <w:t>0.009</w:t>
            </w:r>
          </w:p>
        </w:tc>
        <w:tc>
          <w:tcPr>
            <w:tcW w:w="992" w:type="dxa"/>
            <w:tcBorders>
              <w:top w:val="nil"/>
              <w:left w:val="nil"/>
              <w:bottom w:val="nil"/>
              <w:right w:val="nil"/>
            </w:tcBorders>
            <w:vAlign w:val="center"/>
            <w:hideMark/>
          </w:tcPr>
          <w:p w14:paraId="3A9EC61E" w14:textId="77777777" w:rsidR="0054358D" w:rsidRPr="00CD38A0" w:rsidRDefault="0054358D" w:rsidP="005C264A">
            <w:pPr>
              <w:pStyle w:val="Sansinterligne"/>
              <w:rPr>
                <w:color w:val="000000"/>
                <w:sz w:val="18"/>
                <w:szCs w:val="18"/>
              </w:rPr>
            </w:pPr>
            <w:r w:rsidRPr="00CD38A0">
              <w:rPr>
                <w:color w:val="000000"/>
                <w:sz w:val="18"/>
                <w:szCs w:val="18"/>
              </w:rPr>
              <w:t>0.0</w:t>
            </w:r>
            <w:r w:rsidR="005C264A" w:rsidRPr="00CD38A0">
              <w:rPr>
                <w:color w:val="000000"/>
                <w:sz w:val="18"/>
                <w:szCs w:val="18"/>
              </w:rPr>
              <w:t>02</w:t>
            </w:r>
          </w:p>
        </w:tc>
        <w:tc>
          <w:tcPr>
            <w:tcW w:w="992" w:type="dxa"/>
            <w:tcBorders>
              <w:top w:val="nil"/>
              <w:left w:val="nil"/>
              <w:bottom w:val="nil"/>
              <w:right w:val="nil"/>
            </w:tcBorders>
            <w:hideMark/>
          </w:tcPr>
          <w:p w14:paraId="78234875" w14:textId="77777777" w:rsidR="0054358D" w:rsidRDefault="0054358D" w:rsidP="00976F24">
            <w:pPr>
              <w:pStyle w:val="Sansinterligne"/>
              <w:rPr>
                <w:color w:val="000000"/>
                <w:sz w:val="18"/>
                <w:szCs w:val="18"/>
              </w:rPr>
            </w:pPr>
            <w:r>
              <w:rPr>
                <w:color w:val="000000"/>
                <w:sz w:val="18"/>
                <w:szCs w:val="18"/>
              </w:rPr>
              <w:t>0.</w:t>
            </w:r>
            <w:r w:rsidR="00976F24">
              <w:rPr>
                <w:color w:val="000000"/>
                <w:sz w:val="18"/>
                <w:szCs w:val="18"/>
              </w:rPr>
              <w:t>700</w:t>
            </w:r>
          </w:p>
        </w:tc>
      </w:tr>
      <w:tr w:rsidR="0054358D" w14:paraId="2A3C61C1" w14:textId="77777777" w:rsidTr="00996D96">
        <w:tc>
          <w:tcPr>
            <w:tcW w:w="237" w:type="dxa"/>
            <w:tcBorders>
              <w:top w:val="nil"/>
              <w:left w:val="nil"/>
              <w:bottom w:val="nil"/>
              <w:right w:val="nil"/>
            </w:tcBorders>
            <w:vAlign w:val="center"/>
          </w:tcPr>
          <w:p w14:paraId="16CEF01F"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1BDE830C" w14:textId="77777777" w:rsidR="0054358D" w:rsidRDefault="0054358D" w:rsidP="00996D96">
            <w:pPr>
              <w:pStyle w:val="Sansinterligne"/>
              <w:rPr>
                <w:sz w:val="18"/>
                <w:szCs w:val="18"/>
              </w:rPr>
            </w:pPr>
            <w:proofErr w:type="spellStart"/>
            <w:r>
              <w:rPr>
                <w:sz w:val="18"/>
                <w:szCs w:val="18"/>
              </w:rPr>
              <w:t>OctaCDF</w:t>
            </w:r>
            <w:proofErr w:type="spellEnd"/>
            <w:r>
              <w:rPr>
                <w:sz w:val="18"/>
                <w:szCs w:val="18"/>
              </w:rPr>
              <w:t xml:space="preserve"> (OCDF)</w:t>
            </w:r>
          </w:p>
        </w:tc>
        <w:tc>
          <w:tcPr>
            <w:tcW w:w="1134" w:type="dxa"/>
            <w:tcBorders>
              <w:top w:val="nil"/>
              <w:left w:val="nil"/>
              <w:bottom w:val="nil"/>
              <w:right w:val="nil"/>
            </w:tcBorders>
            <w:vAlign w:val="center"/>
            <w:hideMark/>
          </w:tcPr>
          <w:p w14:paraId="42561629" w14:textId="77777777" w:rsidR="0054358D" w:rsidRPr="00CD38A0" w:rsidRDefault="005C264A" w:rsidP="00996D96">
            <w:pPr>
              <w:pStyle w:val="Sansinterligne"/>
              <w:rPr>
                <w:color w:val="000000"/>
                <w:sz w:val="18"/>
                <w:szCs w:val="18"/>
              </w:rPr>
            </w:pPr>
            <w:r w:rsidRPr="00CD38A0">
              <w:rPr>
                <w:color w:val="000000"/>
                <w:sz w:val="18"/>
                <w:szCs w:val="18"/>
              </w:rPr>
              <w:t>15.8</w:t>
            </w:r>
          </w:p>
        </w:tc>
        <w:tc>
          <w:tcPr>
            <w:tcW w:w="1417" w:type="dxa"/>
            <w:tcBorders>
              <w:top w:val="nil"/>
              <w:left w:val="nil"/>
              <w:bottom w:val="nil"/>
              <w:right w:val="nil"/>
            </w:tcBorders>
            <w:vAlign w:val="center"/>
            <w:hideMark/>
          </w:tcPr>
          <w:p w14:paraId="7B9D0293" w14:textId="77777777" w:rsidR="0054358D" w:rsidRPr="00CD38A0" w:rsidRDefault="005C264A" w:rsidP="00996D96">
            <w:pPr>
              <w:pStyle w:val="Sansinterligne"/>
              <w:rPr>
                <w:sz w:val="18"/>
                <w:szCs w:val="18"/>
              </w:rPr>
            </w:pPr>
            <w:r w:rsidRPr="00CD38A0">
              <w:rPr>
                <w:sz w:val="18"/>
                <w:szCs w:val="18"/>
              </w:rPr>
              <w:t>14.3</w:t>
            </w:r>
          </w:p>
        </w:tc>
        <w:tc>
          <w:tcPr>
            <w:tcW w:w="851" w:type="dxa"/>
            <w:tcBorders>
              <w:top w:val="nil"/>
              <w:left w:val="nil"/>
              <w:bottom w:val="nil"/>
              <w:right w:val="nil"/>
            </w:tcBorders>
            <w:vAlign w:val="center"/>
            <w:hideMark/>
          </w:tcPr>
          <w:p w14:paraId="5178BFE1" w14:textId="77777777" w:rsidR="0054358D" w:rsidRPr="00CD38A0" w:rsidRDefault="0054358D" w:rsidP="00996D96">
            <w:pPr>
              <w:pStyle w:val="Sansinterligne"/>
              <w:rPr>
                <w:sz w:val="18"/>
                <w:szCs w:val="18"/>
              </w:rPr>
            </w:pPr>
            <w:r w:rsidRPr="00CD38A0">
              <w:rPr>
                <w:sz w:val="18"/>
                <w:szCs w:val="18"/>
              </w:rPr>
              <w:t>0.0003</w:t>
            </w:r>
          </w:p>
        </w:tc>
        <w:tc>
          <w:tcPr>
            <w:tcW w:w="1134" w:type="dxa"/>
            <w:tcBorders>
              <w:top w:val="nil"/>
              <w:left w:val="nil"/>
              <w:bottom w:val="nil"/>
              <w:right w:val="nil"/>
            </w:tcBorders>
            <w:vAlign w:val="center"/>
            <w:hideMark/>
          </w:tcPr>
          <w:p w14:paraId="20660BF5" w14:textId="77777777" w:rsidR="0054358D" w:rsidRPr="00CD38A0" w:rsidRDefault="0054358D" w:rsidP="005C264A">
            <w:pPr>
              <w:pStyle w:val="Sansinterligne"/>
              <w:rPr>
                <w:color w:val="000000"/>
                <w:sz w:val="18"/>
                <w:szCs w:val="18"/>
              </w:rPr>
            </w:pPr>
            <w:r w:rsidRPr="00CD38A0">
              <w:rPr>
                <w:color w:val="000000"/>
                <w:sz w:val="18"/>
                <w:szCs w:val="18"/>
              </w:rPr>
              <w:t>0.00</w:t>
            </w:r>
            <w:r w:rsidR="005C264A" w:rsidRPr="00CD38A0">
              <w:rPr>
                <w:color w:val="000000"/>
                <w:sz w:val="18"/>
                <w:szCs w:val="18"/>
              </w:rPr>
              <w:t>5</w:t>
            </w:r>
          </w:p>
        </w:tc>
        <w:tc>
          <w:tcPr>
            <w:tcW w:w="992" w:type="dxa"/>
            <w:tcBorders>
              <w:top w:val="nil"/>
              <w:left w:val="nil"/>
              <w:bottom w:val="nil"/>
              <w:right w:val="nil"/>
            </w:tcBorders>
            <w:vAlign w:val="center"/>
            <w:hideMark/>
          </w:tcPr>
          <w:p w14:paraId="05E57B17" w14:textId="77777777" w:rsidR="0054358D" w:rsidRPr="00CD38A0" w:rsidRDefault="00CD38A0" w:rsidP="00996D96">
            <w:pPr>
              <w:pStyle w:val="Sansinterligne"/>
              <w:rPr>
                <w:color w:val="000000"/>
                <w:sz w:val="18"/>
                <w:szCs w:val="18"/>
              </w:rPr>
            </w:pPr>
            <w:r w:rsidRPr="00CD38A0">
              <w:rPr>
                <w:color w:val="000000"/>
                <w:sz w:val="18"/>
                <w:szCs w:val="18"/>
              </w:rPr>
              <w:t>0.004</w:t>
            </w:r>
          </w:p>
        </w:tc>
        <w:tc>
          <w:tcPr>
            <w:tcW w:w="992" w:type="dxa"/>
            <w:tcBorders>
              <w:top w:val="nil"/>
              <w:left w:val="nil"/>
              <w:bottom w:val="nil"/>
              <w:right w:val="nil"/>
            </w:tcBorders>
            <w:hideMark/>
          </w:tcPr>
          <w:p w14:paraId="4FAFE6F7" w14:textId="77777777" w:rsidR="0054358D" w:rsidRDefault="00976F24" w:rsidP="00996D96">
            <w:pPr>
              <w:pStyle w:val="Sansinterligne"/>
              <w:rPr>
                <w:color w:val="000000"/>
                <w:sz w:val="18"/>
                <w:szCs w:val="18"/>
              </w:rPr>
            </w:pPr>
            <w:r>
              <w:rPr>
                <w:color w:val="000000"/>
                <w:sz w:val="18"/>
                <w:szCs w:val="18"/>
              </w:rPr>
              <w:t>1.00</w:t>
            </w:r>
          </w:p>
        </w:tc>
      </w:tr>
      <w:tr w:rsidR="0054358D" w14:paraId="034F4D7F" w14:textId="77777777" w:rsidTr="00996D96">
        <w:trPr>
          <w:trHeight w:val="414"/>
        </w:trPr>
        <w:tc>
          <w:tcPr>
            <w:tcW w:w="2802" w:type="dxa"/>
            <w:gridSpan w:val="2"/>
            <w:tcBorders>
              <w:top w:val="nil"/>
              <w:left w:val="nil"/>
              <w:bottom w:val="nil"/>
              <w:right w:val="nil"/>
            </w:tcBorders>
            <w:vAlign w:val="center"/>
            <w:hideMark/>
          </w:tcPr>
          <w:p w14:paraId="697F02A6" w14:textId="77777777" w:rsidR="0054358D" w:rsidRPr="00802FE9" w:rsidRDefault="0054358D" w:rsidP="00996D96">
            <w:pPr>
              <w:pStyle w:val="Sansinterligne"/>
              <w:rPr>
                <w:b/>
              </w:rPr>
            </w:pPr>
            <w:r w:rsidRPr="00802FE9">
              <w:rPr>
                <w:b/>
              </w:rPr>
              <w:t>∑ PCDD/</w:t>
            </w:r>
            <w:proofErr w:type="spellStart"/>
            <w:r w:rsidRPr="00802FE9">
              <w:rPr>
                <w:b/>
              </w:rPr>
              <w:t>Fs</w:t>
            </w:r>
            <w:proofErr w:type="spellEnd"/>
          </w:p>
        </w:tc>
        <w:tc>
          <w:tcPr>
            <w:tcW w:w="1134" w:type="dxa"/>
            <w:tcBorders>
              <w:top w:val="nil"/>
              <w:left w:val="nil"/>
              <w:bottom w:val="nil"/>
              <w:right w:val="nil"/>
            </w:tcBorders>
            <w:vAlign w:val="center"/>
            <w:hideMark/>
          </w:tcPr>
          <w:p w14:paraId="48959CD4" w14:textId="77777777" w:rsidR="0054358D" w:rsidRPr="00CD38A0" w:rsidRDefault="00CD38A0" w:rsidP="00996D96">
            <w:pPr>
              <w:pStyle w:val="Sansinterligne"/>
              <w:rPr>
                <w:b/>
                <w:color w:val="000000"/>
                <w:sz w:val="18"/>
                <w:szCs w:val="18"/>
              </w:rPr>
            </w:pPr>
            <w:r w:rsidRPr="00CD38A0">
              <w:rPr>
                <w:b/>
                <w:color w:val="000000"/>
                <w:sz w:val="18"/>
                <w:szCs w:val="18"/>
              </w:rPr>
              <w:t>342</w:t>
            </w:r>
          </w:p>
        </w:tc>
        <w:tc>
          <w:tcPr>
            <w:tcW w:w="1417" w:type="dxa"/>
            <w:tcBorders>
              <w:top w:val="nil"/>
              <w:left w:val="nil"/>
              <w:bottom w:val="nil"/>
              <w:right w:val="nil"/>
            </w:tcBorders>
            <w:vAlign w:val="center"/>
            <w:hideMark/>
          </w:tcPr>
          <w:p w14:paraId="2EAE5AE4" w14:textId="77777777" w:rsidR="0054358D" w:rsidRPr="00CD38A0" w:rsidRDefault="00CD38A0" w:rsidP="00996D96">
            <w:pPr>
              <w:pStyle w:val="Sansinterligne"/>
              <w:rPr>
                <w:b/>
                <w:sz w:val="18"/>
                <w:szCs w:val="18"/>
              </w:rPr>
            </w:pPr>
            <w:r w:rsidRPr="00CD38A0">
              <w:rPr>
                <w:b/>
                <w:sz w:val="18"/>
                <w:szCs w:val="18"/>
              </w:rPr>
              <w:t>154</w:t>
            </w:r>
          </w:p>
        </w:tc>
        <w:tc>
          <w:tcPr>
            <w:tcW w:w="851" w:type="dxa"/>
            <w:tcBorders>
              <w:top w:val="nil"/>
              <w:left w:val="nil"/>
              <w:bottom w:val="nil"/>
              <w:right w:val="nil"/>
            </w:tcBorders>
            <w:vAlign w:val="center"/>
          </w:tcPr>
          <w:p w14:paraId="71E1A98D" w14:textId="77777777" w:rsidR="0054358D" w:rsidRPr="00CD38A0" w:rsidRDefault="0054358D" w:rsidP="00996D96">
            <w:pPr>
              <w:pStyle w:val="Sansinterligne"/>
              <w:rPr>
                <w:b/>
                <w:color w:val="000000"/>
                <w:sz w:val="18"/>
                <w:szCs w:val="18"/>
              </w:rPr>
            </w:pPr>
          </w:p>
        </w:tc>
        <w:tc>
          <w:tcPr>
            <w:tcW w:w="1134" w:type="dxa"/>
            <w:tcBorders>
              <w:top w:val="nil"/>
              <w:left w:val="nil"/>
              <w:bottom w:val="nil"/>
              <w:right w:val="nil"/>
            </w:tcBorders>
            <w:vAlign w:val="center"/>
            <w:hideMark/>
          </w:tcPr>
          <w:p w14:paraId="7932866C" w14:textId="77777777" w:rsidR="0054358D" w:rsidRPr="00CD38A0" w:rsidRDefault="00CD38A0" w:rsidP="00996D96">
            <w:pPr>
              <w:pStyle w:val="Sansinterligne"/>
              <w:rPr>
                <w:b/>
                <w:sz w:val="18"/>
                <w:szCs w:val="18"/>
              </w:rPr>
            </w:pPr>
            <w:r w:rsidRPr="00CD38A0">
              <w:rPr>
                <w:b/>
                <w:sz w:val="18"/>
                <w:szCs w:val="18"/>
              </w:rPr>
              <w:t>26.7</w:t>
            </w:r>
          </w:p>
        </w:tc>
        <w:tc>
          <w:tcPr>
            <w:tcW w:w="992" w:type="dxa"/>
            <w:tcBorders>
              <w:top w:val="nil"/>
              <w:left w:val="nil"/>
              <w:bottom w:val="nil"/>
              <w:right w:val="nil"/>
            </w:tcBorders>
            <w:vAlign w:val="center"/>
            <w:hideMark/>
          </w:tcPr>
          <w:p w14:paraId="225BD559" w14:textId="77777777" w:rsidR="0054358D" w:rsidRPr="00CD38A0" w:rsidRDefault="00CD38A0" w:rsidP="00996D96">
            <w:pPr>
              <w:pStyle w:val="Sansinterligne"/>
              <w:rPr>
                <w:b/>
                <w:sz w:val="18"/>
                <w:szCs w:val="18"/>
              </w:rPr>
            </w:pPr>
            <w:r w:rsidRPr="00CD38A0">
              <w:rPr>
                <w:b/>
                <w:sz w:val="18"/>
                <w:szCs w:val="18"/>
              </w:rPr>
              <w:t>8.68</w:t>
            </w:r>
          </w:p>
        </w:tc>
        <w:tc>
          <w:tcPr>
            <w:tcW w:w="992" w:type="dxa"/>
            <w:tcBorders>
              <w:top w:val="nil"/>
              <w:left w:val="nil"/>
              <w:bottom w:val="nil"/>
              <w:right w:val="nil"/>
            </w:tcBorders>
            <w:vAlign w:val="center"/>
            <w:hideMark/>
          </w:tcPr>
          <w:p w14:paraId="38147167" w14:textId="77777777" w:rsidR="0054358D" w:rsidRPr="000B7A8E" w:rsidRDefault="00976F24" w:rsidP="00996D96">
            <w:pPr>
              <w:pStyle w:val="Sansinterligne"/>
              <w:rPr>
                <w:b/>
                <w:sz w:val="18"/>
                <w:szCs w:val="18"/>
              </w:rPr>
            </w:pPr>
            <w:r w:rsidRPr="000B7A8E">
              <w:rPr>
                <w:b/>
                <w:sz w:val="18"/>
                <w:szCs w:val="18"/>
              </w:rPr>
              <w:t>0.018</w:t>
            </w:r>
          </w:p>
        </w:tc>
      </w:tr>
      <w:tr w:rsidR="0054358D" w14:paraId="1ED6E9DE" w14:textId="77777777" w:rsidTr="00996D96">
        <w:trPr>
          <w:trHeight w:val="414"/>
        </w:trPr>
        <w:tc>
          <w:tcPr>
            <w:tcW w:w="2802" w:type="dxa"/>
            <w:gridSpan w:val="2"/>
            <w:tcBorders>
              <w:top w:val="nil"/>
              <w:left w:val="nil"/>
              <w:bottom w:val="nil"/>
              <w:right w:val="nil"/>
            </w:tcBorders>
            <w:vAlign w:val="center"/>
            <w:hideMark/>
          </w:tcPr>
          <w:p w14:paraId="145CA2C8" w14:textId="77777777" w:rsidR="0054358D" w:rsidRDefault="0054358D" w:rsidP="00996D96">
            <w:pPr>
              <w:pStyle w:val="Sansinterligne"/>
            </w:pPr>
            <w:r>
              <w:t xml:space="preserve">Non-ortho </w:t>
            </w:r>
            <w:proofErr w:type="spellStart"/>
            <w:r>
              <w:t>PCBs</w:t>
            </w:r>
            <w:proofErr w:type="spellEnd"/>
          </w:p>
        </w:tc>
        <w:tc>
          <w:tcPr>
            <w:tcW w:w="1134" w:type="dxa"/>
            <w:tcBorders>
              <w:top w:val="nil"/>
              <w:left w:val="nil"/>
              <w:bottom w:val="nil"/>
              <w:right w:val="nil"/>
            </w:tcBorders>
            <w:vAlign w:val="center"/>
          </w:tcPr>
          <w:p w14:paraId="40DD9B7D" w14:textId="77777777" w:rsidR="0054358D" w:rsidRPr="00F71AF0" w:rsidRDefault="0054358D" w:rsidP="00996D96">
            <w:pPr>
              <w:pStyle w:val="Sansinterligne"/>
              <w:rPr>
                <w:sz w:val="18"/>
                <w:szCs w:val="18"/>
                <w:highlight w:val="yellow"/>
              </w:rPr>
            </w:pPr>
          </w:p>
        </w:tc>
        <w:tc>
          <w:tcPr>
            <w:tcW w:w="1417" w:type="dxa"/>
            <w:tcBorders>
              <w:top w:val="nil"/>
              <w:left w:val="nil"/>
              <w:bottom w:val="nil"/>
              <w:right w:val="nil"/>
            </w:tcBorders>
            <w:vAlign w:val="center"/>
          </w:tcPr>
          <w:p w14:paraId="10A2EA2C" w14:textId="77777777" w:rsidR="0054358D" w:rsidRPr="00F71AF0" w:rsidRDefault="0054358D" w:rsidP="00996D96">
            <w:pPr>
              <w:pStyle w:val="Sansinterligne"/>
              <w:rPr>
                <w:sz w:val="18"/>
                <w:szCs w:val="18"/>
                <w:highlight w:val="yellow"/>
              </w:rPr>
            </w:pPr>
          </w:p>
        </w:tc>
        <w:tc>
          <w:tcPr>
            <w:tcW w:w="851" w:type="dxa"/>
            <w:tcBorders>
              <w:top w:val="nil"/>
              <w:left w:val="nil"/>
              <w:bottom w:val="nil"/>
              <w:right w:val="nil"/>
            </w:tcBorders>
            <w:vAlign w:val="center"/>
          </w:tcPr>
          <w:p w14:paraId="54FE52B4" w14:textId="77777777" w:rsidR="0054358D" w:rsidRDefault="0054358D" w:rsidP="00996D96">
            <w:pPr>
              <w:pStyle w:val="Sansinterligne"/>
              <w:rPr>
                <w:sz w:val="18"/>
                <w:szCs w:val="18"/>
              </w:rPr>
            </w:pPr>
          </w:p>
        </w:tc>
        <w:tc>
          <w:tcPr>
            <w:tcW w:w="1134" w:type="dxa"/>
            <w:tcBorders>
              <w:top w:val="nil"/>
              <w:left w:val="nil"/>
              <w:bottom w:val="nil"/>
              <w:right w:val="nil"/>
            </w:tcBorders>
            <w:vAlign w:val="center"/>
          </w:tcPr>
          <w:p w14:paraId="3BB7B07D" w14:textId="77777777" w:rsidR="0054358D" w:rsidRDefault="0054358D" w:rsidP="00996D96">
            <w:pPr>
              <w:pStyle w:val="Sansinterligne"/>
              <w:rPr>
                <w:sz w:val="18"/>
                <w:szCs w:val="18"/>
              </w:rPr>
            </w:pPr>
          </w:p>
        </w:tc>
        <w:tc>
          <w:tcPr>
            <w:tcW w:w="992" w:type="dxa"/>
            <w:tcBorders>
              <w:top w:val="nil"/>
              <w:left w:val="nil"/>
              <w:bottom w:val="nil"/>
              <w:right w:val="nil"/>
            </w:tcBorders>
            <w:vAlign w:val="center"/>
          </w:tcPr>
          <w:p w14:paraId="10FA70DF" w14:textId="77777777" w:rsidR="0054358D" w:rsidRDefault="0054358D" w:rsidP="00996D96">
            <w:pPr>
              <w:pStyle w:val="Sansinterligne"/>
              <w:rPr>
                <w:sz w:val="18"/>
                <w:szCs w:val="18"/>
              </w:rPr>
            </w:pPr>
          </w:p>
        </w:tc>
        <w:tc>
          <w:tcPr>
            <w:tcW w:w="992" w:type="dxa"/>
            <w:tcBorders>
              <w:top w:val="nil"/>
              <w:left w:val="nil"/>
              <w:bottom w:val="nil"/>
              <w:right w:val="nil"/>
            </w:tcBorders>
          </w:tcPr>
          <w:p w14:paraId="72C8DD18" w14:textId="77777777" w:rsidR="0054358D" w:rsidRDefault="0054358D" w:rsidP="00996D96">
            <w:pPr>
              <w:pStyle w:val="Sansinterligne"/>
              <w:rPr>
                <w:sz w:val="18"/>
                <w:szCs w:val="18"/>
              </w:rPr>
            </w:pPr>
          </w:p>
        </w:tc>
      </w:tr>
      <w:tr w:rsidR="0054358D" w14:paraId="76B534F9" w14:textId="77777777" w:rsidTr="00996D96">
        <w:tc>
          <w:tcPr>
            <w:tcW w:w="237" w:type="dxa"/>
            <w:tcBorders>
              <w:top w:val="nil"/>
              <w:left w:val="nil"/>
              <w:bottom w:val="nil"/>
              <w:right w:val="nil"/>
            </w:tcBorders>
            <w:vAlign w:val="center"/>
          </w:tcPr>
          <w:p w14:paraId="35D69EC6"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0595E375" w14:textId="77777777" w:rsidR="0054358D" w:rsidRDefault="0054358D" w:rsidP="00996D96">
            <w:pPr>
              <w:pStyle w:val="Sansinterligne"/>
              <w:rPr>
                <w:sz w:val="18"/>
                <w:szCs w:val="18"/>
              </w:rPr>
            </w:pPr>
            <w:r>
              <w:rPr>
                <w:sz w:val="18"/>
                <w:szCs w:val="18"/>
              </w:rPr>
              <w:t>PCB 77</w:t>
            </w:r>
          </w:p>
        </w:tc>
        <w:tc>
          <w:tcPr>
            <w:tcW w:w="1134" w:type="dxa"/>
            <w:tcBorders>
              <w:top w:val="nil"/>
              <w:left w:val="nil"/>
              <w:bottom w:val="nil"/>
              <w:right w:val="nil"/>
            </w:tcBorders>
            <w:vAlign w:val="center"/>
            <w:hideMark/>
          </w:tcPr>
          <w:p w14:paraId="6243A497" w14:textId="77777777" w:rsidR="0054358D" w:rsidRPr="00CD38A0" w:rsidRDefault="00CD38A0" w:rsidP="00996D96">
            <w:pPr>
              <w:pStyle w:val="Sansinterligne"/>
              <w:rPr>
                <w:color w:val="000000"/>
                <w:sz w:val="18"/>
                <w:szCs w:val="18"/>
              </w:rPr>
            </w:pPr>
            <w:r w:rsidRPr="00CD38A0">
              <w:rPr>
                <w:color w:val="000000"/>
                <w:sz w:val="18"/>
                <w:szCs w:val="18"/>
              </w:rPr>
              <w:t>2077</w:t>
            </w:r>
          </w:p>
        </w:tc>
        <w:tc>
          <w:tcPr>
            <w:tcW w:w="1417" w:type="dxa"/>
            <w:tcBorders>
              <w:top w:val="nil"/>
              <w:left w:val="nil"/>
              <w:bottom w:val="nil"/>
              <w:right w:val="nil"/>
            </w:tcBorders>
            <w:vAlign w:val="center"/>
            <w:hideMark/>
          </w:tcPr>
          <w:p w14:paraId="580E31AF" w14:textId="77777777" w:rsidR="0054358D" w:rsidRPr="00CD38A0" w:rsidRDefault="00CD38A0" w:rsidP="00996D96">
            <w:pPr>
              <w:pStyle w:val="Sansinterligne"/>
              <w:rPr>
                <w:color w:val="000000"/>
                <w:sz w:val="18"/>
                <w:szCs w:val="18"/>
              </w:rPr>
            </w:pPr>
            <w:r w:rsidRPr="00CD38A0">
              <w:rPr>
                <w:color w:val="000000"/>
                <w:sz w:val="18"/>
                <w:szCs w:val="18"/>
              </w:rPr>
              <w:t>2202</w:t>
            </w:r>
          </w:p>
        </w:tc>
        <w:tc>
          <w:tcPr>
            <w:tcW w:w="851" w:type="dxa"/>
            <w:tcBorders>
              <w:top w:val="nil"/>
              <w:left w:val="nil"/>
              <w:bottom w:val="nil"/>
              <w:right w:val="nil"/>
            </w:tcBorders>
            <w:vAlign w:val="center"/>
            <w:hideMark/>
          </w:tcPr>
          <w:p w14:paraId="3394F7F1" w14:textId="77777777" w:rsidR="0054358D" w:rsidRPr="00CD38A0" w:rsidRDefault="0054358D" w:rsidP="00996D96">
            <w:pPr>
              <w:pStyle w:val="Sansinterligne"/>
              <w:rPr>
                <w:sz w:val="18"/>
                <w:szCs w:val="18"/>
              </w:rPr>
            </w:pPr>
            <w:r w:rsidRPr="00CD38A0">
              <w:rPr>
                <w:sz w:val="18"/>
                <w:szCs w:val="18"/>
              </w:rPr>
              <w:t>0.0001</w:t>
            </w:r>
          </w:p>
        </w:tc>
        <w:tc>
          <w:tcPr>
            <w:tcW w:w="1134" w:type="dxa"/>
            <w:tcBorders>
              <w:top w:val="nil"/>
              <w:left w:val="nil"/>
              <w:bottom w:val="nil"/>
              <w:right w:val="nil"/>
            </w:tcBorders>
            <w:vAlign w:val="center"/>
            <w:hideMark/>
          </w:tcPr>
          <w:p w14:paraId="74F8AB92" w14:textId="77777777" w:rsidR="0054358D" w:rsidRPr="00CD38A0" w:rsidRDefault="00CD38A0" w:rsidP="00CD38A0">
            <w:pPr>
              <w:pStyle w:val="Sansinterligne"/>
              <w:rPr>
                <w:color w:val="000000"/>
                <w:sz w:val="18"/>
                <w:szCs w:val="18"/>
              </w:rPr>
            </w:pPr>
            <w:r w:rsidRPr="00CD38A0">
              <w:rPr>
                <w:color w:val="000000"/>
                <w:sz w:val="18"/>
                <w:szCs w:val="18"/>
              </w:rPr>
              <w:t>0.21</w:t>
            </w:r>
          </w:p>
        </w:tc>
        <w:tc>
          <w:tcPr>
            <w:tcW w:w="992" w:type="dxa"/>
            <w:tcBorders>
              <w:top w:val="nil"/>
              <w:left w:val="nil"/>
              <w:bottom w:val="nil"/>
              <w:right w:val="nil"/>
            </w:tcBorders>
            <w:vAlign w:val="center"/>
            <w:hideMark/>
          </w:tcPr>
          <w:p w14:paraId="02DAE3C6" w14:textId="77777777" w:rsidR="0054358D" w:rsidRPr="00CD38A0" w:rsidRDefault="0054358D" w:rsidP="00CD38A0">
            <w:pPr>
              <w:pStyle w:val="Sansinterligne"/>
              <w:rPr>
                <w:color w:val="000000"/>
                <w:sz w:val="18"/>
                <w:szCs w:val="18"/>
              </w:rPr>
            </w:pPr>
            <w:r w:rsidRPr="00CD38A0">
              <w:rPr>
                <w:color w:val="000000"/>
                <w:sz w:val="18"/>
                <w:szCs w:val="18"/>
              </w:rPr>
              <w:t>0.</w:t>
            </w:r>
            <w:r w:rsidR="00CD38A0" w:rsidRPr="00CD38A0">
              <w:rPr>
                <w:color w:val="000000"/>
                <w:sz w:val="18"/>
                <w:szCs w:val="18"/>
              </w:rPr>
              <w:t>22</w:t>
            </w:r>
          </w:p>
        </w:tc>
        <w:tc>
          <w:tcPr>
            <w:tcW w:w="992" w:type="dxa"/>
            <w:tcBorders>
              <w:top w:val="nil"/>
              <w:left w:val="nil"/>
              <w:bottom w:val="nil"/>
              <w:right w:val="nil"/>
            </w:tcBorders>
            <w:hideMark/>
          </w:tcPr>
          <w:p w14:paraId="2260CD6B" w14:textId="77777777" w:rsidR="0054358D" w:rsidRDefault="0054358D" w:rsidP="00976F24">
            <w:pPr>
              <w:pStyle w:val="Sansinterligne"/>
              <w:rPr>
                <w:color w:val="000000"/>
                <w:sz w:val="18"/>
                <w:szCs w:val="18"/>
              </w:rPr>
            </w:pPr>
            <w:r>
              <w:rPr>
                <w:color w:val="000000"/>
                <w:sz w:val="18"/>
                <w:szCs w:val="18"/>
              </w:rPr>
              <w:t>0.7</w:t>
            </w:r>
            <w:r w:rsidR="00976F24">
              <w:rPr>
                <w:color w:val="000000"/>
                <w:sz w:val="18"/>
                <w:szCs w:val="18"/>
              </w:rPr>
              <w:t>27</w:t>
            </w:r>
          </w:p>
        </w:tc>
      </w:tr>
      <w:tr w:rsidR="0054358D" w14:paraId="5EF5CEB0" w14:textId="77777777" w:rsidTr="00996D96">
        <w:tc>
          <w:tcPr>
            <w:tcW w:w="237" w:type="dxa"/>
            <w:tcBorders>
              <w:top w:val="nil"/>
              <w:left w:val="nil"/>
              <w:bottom w:val="nil"/>
              <w:right w:val="nil"/>
            </w:tcBorders>
            <w:vAlign w:val="center"/>
          </w:tcPr>
          <w:p w14:paraId="20BE20A8"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38F78B99" w14:textId="77777777" w:rsidR="0054358D" w:rsidRDefault="0054358D" w:rsidP="00996D96">
            <w:pPr>
              <w:pStyle w:val="Sansinterligne"/>
              <w:rPr>
                <w:sz w:val="18"/>
                <w:szCs w:val="18"/>
              </w:rPr>
            </w:pPr>
            <w:r>
              <w:rPr>
                <w:sz w:val="18"/>
                <w:szCs w:val="18"/>
              </w:rPr>
              <w:t>PCB 81</w:t>
            </w:r>
          </w:p>
        </w:tc>
        <w:tc>
          <w:tcPr>
            <w:tcW w:w="1134" w:type="dxa"/>
            <w:tcBorders>
              <w:top w:val="nil"/>
              <w:left w:val="nil"/>
              <w:bottom w:val="nil"/>
              <w:right w:val="nil"/>
            </w:tcBorders>
            <w:vAlign w:val="center"/>
            <w:hideMark/>
          </w:tcPr>
          <w:p w14:paraId="0BB339C3" w14:textId="77777777" w:rsidR="0054358D" w:rsidRPr="00CD38A0" w:rsidRDefault="00CD38A0" w:rsidP="00996D96">
            <w:pPr>
              <w:pStyle w:val="Sansinterligne"/>
              <w:rPr>
                <w:color w:val="000000"/>
                <w:sz w:val="18"/>
                <w:szCs w:val="18"/>
              </w:rPr>
            </w:pPr>
            <w:r w:rsidRPr="00CD38A0">
              <w:rPr>
                <w:color w:val="000000"/>
                <w:sz w:val="18"/>
                <w:szCs w:val="18"/>
              </w:rPr>
              <w:t>273</w:t>
            </w:r>
          </w:p>
        </w:tc>
        <w:tc>
          <w:tcPr>
            <w:tcW w:w="1417" w:type="dxa"/>
            <w:tcBorders>
              <w:top w:val="nil"/>
              <w:left w:val="nil"/>
              <w:bottom w:val="nil"/>
              <w:right w:val="nil"/>
            </w:tcBorders>
            <w:vAlign w:val="center"/>
            <w:hideMark/>
          </w:tcPr>
          <w:p w14:paraId="75BBA4C2" w14:textId="77777777" w:rsidR="0054358D" w:rsidRPr="00CD38A0" w:rsidRDefault="00CD38A0" w:rsidP="00996D96">
            <w:pPr>
              <w:pStyle w:val="Sansinterligne"/>
              <w:rPr>
                <w:color w:val="000000"/>
                <w:sz w:val="18"/>
                <w:szCs w:val="18"/>
              </w:rPr>
            </w:pPr>
            <w:r w:rsidRPr="00CD38A0">
              <w:rPr>
                <w:color w:val="000000"/>
                <w:sz w:val="18"/>
                <w:szCs w:val="18"/>
              </w:rPr>
              <w:t>274</w:t>
            </w:r>
          </w:p>
        </w:tc>
        <w:tc>
          <w:tcPr>
            <w:tcW w:w="851" w:type="dxa"/>
            <w:tcBorders>
              <w:top w:val="nil"/>
              <w:left w:val="nil"/>
              <w:bottom w:val="nil"/>
              <w:right w:val="nil"/>
            </w:tcBorders>
            <w:vAlign w:val="center"/>
            <w:hideMark/>
          </w:tcPr>
          <w:p w14:paraId="3AACAC26" w14:textId="77777777" w:rsidR="0054358D" w:rsidRPr="00CD38A0" w:rsidRDefault="0054358D" w:rsidP="00996D96">
            <w:pPr>
              <w:pStyle w:val="Sansinterligne"/>
              <w:rPr>
                <w:sz w:val="18"/>
                <w:szCs w:val="18"/>
              </w:rPr>
            </w:pPr>
            <w:r w:rsidRPr="00CD38A0">
              <w:rPr>
                <w:sz w:val="18"/>
                <w:szCs w:val="18"/>
              </w:rPr>
              <w:t>0.0003</w:t>
            </w:r>
          </w:p>
        </w:tc>
        <w:tc>
          <w:tcPr>
            <w:tcW w:w="1134" w:type="dxa"/>
            <w:tcBorders>
              <w:top w:val="nil"/>
              <w:left w:val="nil"/>
              <w:bottom w:val="nil"/>
              <w:right w:val="nil"/>
            </w:tcBorders>
            <w:vAlign w:val="center"/>
            <w:hideMark/>
          </w:tcPr>
          <w:p w14:paraId="0D550972" w14:textId="77777777" w:rsidR="0054358D" w:rsidRPr="00CD38A0" w:rsidRDefault="00CD38A0" w:rsidP="00996D96">
            <w:pPr>
              <w:pStyle w:val="Sansinterligne"/>
              <w:rPr>
                <w:color w:val="000000"/>
                <w:sz w:val="18"/>
                <w:szCs w:val="18"/>
              </w:rPr>
            </w:pPr>
            <w:r w:rsidRPr="00CD38A0">
              <w:rPr>
                <w:color w:val="000000"/>
                <w:sz w:val="18"/>
                <w:szCs w:val="18"/>
              </w:rPr>
              <w:t>0.08</w:t>
            </w:r>
          </w:p>
        </w:tc>
        <w:tc>
          <w:tcPr>
            <w:tcW w:w="992" w:type="dxa"/>
            <w:tcBorders>
              <w:top w:val="nil"/>
              <w:left w:val="nil"/>
              <w:bottom w:val="nil"/>
              <w:right w:val="nil"/>
            </w:tcBorders>
            <w:vAlign w:val="center"/>
            <w:hideMark/>
          </w:tcPr>
          <w:p w14:paraId="12581383" w14:textId="77777777" w:rsidR="0054358D" w:rsidRPr="00CD38A0" w:rsidRDefault="00CD38A0" w:rsidP="00CD38A0">
            <w:pPr>
              <w:pStyle w:val="Sansinterligne"/>
              <w:rPr>
                <w:color w:val="000000"/>
                <w:sz w:val="18"/>
                <w:szCs w:val="18"/>
              </w:rPr>
            </w:pPr>
            <w:r w:rsidRPr="00CD38A0">
              <w:rPr>
                <w:color w:val="000000"/>
                <w:sz w:val="18"/>
                <w:szCs w:val="18"/>
              </w:rPr>
              <w:t>0.09</w:t>
            </w:r>
          </w:p>
        </w:tc>
        <w:tc>
          <w:tcPr>
            <w:tcW w:w="992" w:type="dxa"/>
            <w:tcBorders>
              <w:top w:val="nil"/>
              <w:left w:val="nil"/>
              <w:bottom w:val="nil"/>
              <w:right w:val="nil"/>
            </w:tcBorders>
            <w:hideMark/>
          </w:tcPr>
          <w:p w14:paraId="57F14BCD" w14:textId="77777777" w:rsidR="0054358D" w:rsidRDefault="0054358D" w:rsidP="00976F24">
            <w:pPr>
              <w:pStyle w:val="Sansinterligne"/>
              <w:rPr>
                <w:color w:val="000000"/>
                <w:sz w:val="18"/>
                <w:szCs w:val="18"/>
              </w:rPr>
            </w:pPr>
            <w:r>
              <w:rPr>
                <w:color w:val="000000"/>
                <w:sz w:val="18"/>
                <w:szCs w:val="18"/>
              </w:rPr>
              <w:t>0.</w:t>
            </w:r>
            <w:r w:rsidR="00976F24">
              <w:rPr>
                <w:color w:val="000000"/>
                <w:sz w:val="18"/>
                <w:szCs w:val="18"/>
              </w:rPr>
              <w:t>864</w:t>
            </w:r>
          </w:p>
        </w:tc>
      </w:tr>
      <w:tr w:rsidR="0054358D" w14:paraId="5562CE31" w14:textId="77777777" w:rsidTr="00996D96">
        <w:tc>
          <w:tcPr>
            <w:tcW w:w="237" w:type="dxa"/>
            <w:tcBorders>
              <w:top w:val="nil"/>
              <w:left w:val="nil"/>
              <w:bottom w:val="nil"/>
              <w:right w:val="nil"/>
            </w:tcBorders>
            <w:vAlign w:val="center"/>
          </w:tcPr>
          <w:p w14:paraId="17072043"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076D7A84" w14:textId="77777777" w:rsidR="0054358D" w:rsidRDefault="0054358D" w:rsidP="00996D96">
            <w:pPr>
              <w:pStyle w:val="Sansinterligne"/>
              <w:rPr>
                <w:sz w:val="18"/>
                <w:szCs w:val="18"/>
              </w:rPr>
            </w:pPr>
            <w:r>
              <w:rPr>
                <w:sz w:val="18"/>
                <w:szCs w:val="18"/>
              </w:rPr>
              <w:t>PCB 126</w:t>
            </w:r>
          </w:p>
        </w:tc>
        <w:tc>
          <w:tcPr>
            <w:tcW w:w="1134" w:type="dxa"/>
            <w:tcBorders>
              <w:top w:val="nil"/>
              <w:left w:val="nil"/>
              <w:bottom w:val="nil"/>
              <w:right w:val="nil"/>
            </w:tcBorders>
            <w:vAlign w:val="center"/>
            <w:hideMark/>
          </w:tcPr>
          <w:p w14:paraId="0E01DB12" w14:textId="77777777" w:rsidR="0054358D" w:rsidRPr="00CD38A0" w:rsidRDefault="00CD38A0" w:rsidP="00996D96">
            <w:pPr>
              <w:pStyle w:val="Sansinterligne"/>
              <w:rPr>
                <w:color w:val="000000"/>
                <w:sz w:val="18"/>
                <w:szCs w:val="18"/>
              </w:rPr>
            </w:pPr>
            <w:r w:rsidRPr="00CD38A0">
              <w:rPr>
                <w:color w:val="000000"/>
                <w:sz w:val="18"/>
                <w:szCs w:val="18"/>
              </w:rPr>
              <w:t>1724</w:t>
            </w:r>
          </w:p>
        </w:tc>
        <w:tc>
          <w:tcPr>
            <w:tcW w:w="1417" w:type="dxa"/>
            <w:tcBorders>
              <w:top w:val="nil"/>
              <w:left w:val="nil"/>
              <w:bottom w:val="nil"/>
              <w:right w:val="nil"/>
            </w:tcBorders>
            <w:vAlign w:val="center"/>
            <w:hideMark/>
          </w:tcPr>
          <w:p w14:paraId="783DEF18" w14:textId="77777777" w:rsidR="0054358D" w:rsidRPr="00CD38A0" w:rsidRDefault="00CD38A0" w:rsidP="00996D96">
            <w:pPr>
              <w:pStyle w:val="Sansinterligne"/>
              <w:rPr>
                <w:color w:val="000000"/>
                <w:sz w:val="18"/>
                <w:szCs w:val="18"/>
              </w:rPr>
            </w:pPr>
            <w:r w:rsidRPr="00CD38A0">
              <w:rPr>
                <w:color w:val="000000"/>
                <w:sz w:val="18"/>
                <w:szCs w:val="18"/>
              </w:rPr>
              <w:t>738</w:t>
            </w:r>
          </w:p>
        </w:tc>
        <w:tc>
          <w:tcPr>
            <w:tcW w:w="851" w:type="dxa"/>
            <w:tcBorders>
              <w:top w:val="nil"/>
              <w:left w:val="nil"/>
              <w:bottom w:val="nil"/>
              <w:right w:val="nil"/>
            </w:tcBorders>
            <w:vAlign w:val="center"/>
            <w:hideMark/>
          </w:tcPr>
          <w:p w14:paraId="7B0A5657" w14:textId="77777777" w:rsidR="0054358D" w:rsidRPr="00CD38A0" w:rsidRDefault="0054358D" w:rsidP="00996D96">
            <w:pPr>
              <w:pStyle w:val="Sansinterligne"/>
              <w:rPr>
                <w:sz w:val="18"/>
                <w:szCs w:val="18"/>
              </w:rPr>
            </w:pPr>
            <w:r w:rsidRPr="00CD38A0">
              <w:rPr>
                <w:sz w:val="18"/>
                <w:szCs w:val="18"/>
              </w:rPr>
              <w:t>0.1</w:t>
            </w:r>
          </w:p>
        </w:tc>
        <w:tc>
          <w:tcPr>
            <w:tcW w:w="1134" w:type="dxa"/>
            <w:tcBorders>
              <w:top w:val="nil"/>
              <w:left w:val="nil"/>
              <w:bottom w:val="nil"/>
              <w:right w:val="nil"/>
            </w:tcBorders>
            <w:vAlign w:val="center"/>
            <w:hideMark/>
          </w:tcPr>
          <w:p w14:paraId="569F33BA" w14:textId="77777777" w:rsidR="0054358D" w:rsidRPr="00CD38A0" w:rsidRDefault="00CD38A0" w:rsidP="00996D96">
            <w:pPr>
              <w:pStyle w:val="Sansinterligne"/>
              <w:rPr>
                <w:color w:val="000000"/>
                <w:sz w:val="18"/>
                <w:szCs w:val="18"/>
              </w:rPr>
            </w:pPr>
            <w:r w:rsidRPr="00CD38A0">
              <w:rPr>
                <w:color w:val="000000"/>
                <w:sz w:val="18"/>
                <w:szCs w:val="18"/>
              </w:rPr>
              <w:t>172</w:t>
            </w:r>
          </w:p>
        </w:tc>
        <w:tc>
          <w:tcPr>
            <w:tcW w:w="992" w:type="dxa"/>
            <w:tcBorders>
              <w:top w:val="nil"/>
              <w:left w:val="nil"/>
              <w:bottom w:val="nil"/>
              <w:right w:val="nil"/>
            </w:tcBorders>
            <w:vAlign w:val="center"/>
            <w:hideMark/>
          </w:tcPr>
          <w:p w14:paraId="3490449B" w14:textId="77777777" w:rsidR="0054358D" w:rsidRPr="00CD38A0" w:rsidRDefault="00CD38A0" w:rsidP="00996D96">
            <w:pPr>
              <w:pStyle w:val="Sansinterligne"/>
              <w:rPr>
                <w:color w:val="000000"/>
                <w:sz w:val="18"/>
                <w:szCs w:val="18"/>
              </w:rPr>
            </w:pPr>
            <w:r w:rsidRPr="00CD38A0">
              <w:rPr>
                <w:color w:val="000000"/>
                <w:sz w:val="18"/>
                <w:szCs w:val="18"/>
              </w:rPr>
              <w:t>73.8</w:t>
            </w:r>
          </w:p>
        </w:tc>
        <w:tc>
          <w:tcPr>
            <w:tcW w:w="992" w:type="dxa"/>
            <w:tcBorders>
              <w:top w:val="nil"/>
              <w:left w:val="nil"/>
              <w:bottom w:val="nil"/>
              <w:right w:val="nil"/>
            </w:tcBorders>
            <w:hideMark/>
          </w:tcPr>
          <w:p w14:paraId="1DA4C694" w14:textId="77777777" w:rsidR="0054358D" w:rsidRDefault="0054358D" w:rsidP="00976F24">
            <w:pPr>
              <w:pStyle w:val="Sansinterligne"/>
              <w:rPr>
                <w:color w:val="000000"/>
                <w:sz w:val="18"/>
                <w:szCs w:val="18"/>
              </w:rPr>
            </w:pPr>
            <w:r>
              <w:rPr>
                <w:color w:val="000000"/>
                <w:sz w:val="18"/>
                <w:szCs w:val="18"/>
              </w:rPr>
              <w:t>0.</w:t>
            </w:r>
            <w:r w:rsidR="00976F24">
              <w:rPr>
                <w:color w:val="000000"/>
                <w:sz w:val="18"/>
                <w:szCs w:val="18"/>
              </w:rPr>
              <w:t>064</w:t>
            </w:r>
          </w:p>
        </w:tc>
      </w:tr>
      <w:tr w:rsidR="0054358D" w14:paraId="388F274B" w14:textId="77777777" w:rsidTr="00996D96">
        <w:tc>
          <w:tcPr>
            <w:tcW w:w="237" w:type="dxa"/>
            <w:tcBorders>
              <w:top w:val="nil"/>
              <w:left w:val="nil"/>
              <w:bottom w:val="nil"/>
              <w:right w:val="nil"/>
            </w:tcBorders>
            <w:vAlign w:val="center"/>
          </w:tcPr>
          <w:p w14:paraId="4A8D1101"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20D24016" w14:textId="77777777" w:rsidR="0054358D" w:rsidRDefault="0054358D" w:rsidP="00996D96">
            <w:pPr>
              <w:pStyle w:val="Sansinterligne"/>
              <w:rPr>
                <w:sz w:val="18"/>
                <w:szCs w:val="18"/>
              </w:rPr>
            </w:pPr>
            <w:r>
              <w:rPr>
                <w:sz w:val="18"/>
                <w:szCs w:val="18"/>
              </w:rPr>
              <w:t>PCB 169</w:t>
            </w:r>
          </w:p>
        </w:tc>
        <w:tc>
          <w:tcPr>
            <w:tcW w:w="1134" w:type="dxa"/>
            <w:tcBorders>
              <w:top w:val="nil"/>
              <w:left w:val="nil"/>
              <w:bottom w:val="nil"/>
              <w:right w:val="nil"/>
            </w:tcBorders>
            <w:vAlign w:val="center"/>
            <w:hideMark/>
          </w:tcPr>
          <w:p w14:paraId="3CF154F9" w14:textId="77777777" w:rsidR="0054358D" w:rsidRPr="00CD38A0" w:rsidRDefault="00CD38A0" w:rsidP="00996D96">
            <w:pPr>
              <w:pStyle w:val="Sansinterligne"/>
              <w:rPr>
                <w:color w:val="000000"/>
                <w:sz w:val="18"/>
                <w:szCs w:val="18"/>
              </w:rPr>
            </w:pPr>
            <w:r w:rsidRPr="00CD38A0">
              <w:rPr>
                <w:color w:val="000000"/>
                <w:sz w:val="18"/>
                <w:szCs w:val="18"/>
              </w:rPr>
              <w:t>335</w:t>
            </w:r>
          </w:p>
        </w:tc>
        <w:tc>
          <w:tcPr>
            <w:tcW w:w="1417" w:type="dxa"/>
            <w:tcBorders>
              <w:top w:val="nil"/>
              <w:left w:val="nil"/>
              <w:bottom w:val="nil"/>
              <w:right w:val="nil"/>
            </w:tcBorders>
            <w:vAlign w:val="center"/>
            <w:hideMark/>
          </w:tcPr>
          <w:p w14:paraId="1155AB27" w14:textId="77777777" w:rsidR="0054358D" w:rsidRPr="00CD38A0" w:rsidRDefault="00CD38A0" w:rsidP="00CD38A0">
            <w:pPr>
              <w:pStyle w:val="Sansinterligne"/>
              <w:rPr>
                <w:color w:val="000000"/>
                <w:sz w:val="18"/>
                <w:szCs w:val="18"/>
              </w:rPr>
            </w:pPr>
            <w:r w:rsidRPr="00CD38A0">
              <w:rPr>
                <w:color w:val="000000"/>
                <w:sz w:val="18"/>
                <w:szCs w:val="18"/>
              </w:rPr>
              <w:t>337</w:t>
            </w:r>
          </w:p>
        </w:tc>
        <w:tc>
          <w:tcPr>
            <w:tcW w:w="851" w:type="dxa"/>
            <w:tcBorders>
              <w:top w:val="nil"/>
              <w:left w:val="nil"/>
              <w:bottom w:val="nil"/>
              <w:right w:val="nil"/>
            </w:tcBorders>
            <w:vAlign w:val="center"/>
            <w:hideMark/>
          </w:tcPr>
          <w:p w14:paraId="1E93B0B7" w14:textId="77777777" w:rsidR="0054358D" w:rsidRPr="00CD38A0" w:rsidRDefault="0054358D" w:rsidP="00996D96">
            <w:pPr>
              <w:pStyle w:val="Sansinterligne"/>
              <w:rPr>
                <w:sz w:val="18"/>
                <w:szCs w:val="18"/>
              </w:rPr>
            </w:pPr>
            <w:r w:rsidRPr="00CD38A0">
              <w:rPr>
                <w:sz w:val="18"/>
                <w:szCs w:val="18"/>
              </w:rPr>
              <w:t>0.03</w:t>
            </w:r>
          </w:p>
        </w:tc>
        <w:tc>
          <w:tcPr>
            <w:tcW w:w="1134" w:type="dxa"/>
            <w:tcBorders>
              <w:top w:val="nil"/>
              <w:left w:val="nil"/>
              <w:bottom w:val="nil"/>
              <w:right w:val="nil"/>
            </w:tcBorders>
            <w:vAlign w:val="center"/>
            <w:hideMark/>
          </w:tcPr>
          <w:p w14:paraId="22EF2324" w14:textId="77777777" w:rsidR="0054358D" w:rsidRPr="00CD38A0" w:rsidRDefault="00CD38A0" w:rsidP="00996D96">
            <w:pPr>
              <w:pStyle w:val="Sansinterligne"/>
              <w:rPr>
                <w:color w:val="000000"/>
                <w:sz w:val="18"/>
                <w:szCs w:val="18"/>
              </w:rPr>
            </w:pPr>
            <w:r w:rsidRPr="00CD38A0">
              <w:rPr>
                <w:color w:val="000000"/>
                <w:sz w:val="18"/>
                <w:szCs w:val="18"/>
              </w:rPr>
              <w:t>10.0</w:t>
            </w:r>
          </w:p>
        </w:tc>
        <w:tc>
          <w:tcPr>
            <w:tcW w:w="992" w:type="dxa"/>
            <w:tcBorders>
              <w:top w:val="nil"/>
              <w:left w:val="nil"/>
              <w:bottom w:val="nil"/>
              <w:right w:val="nil"/>
            </w:tcBorders>
            <w:vAlign w:val="center"/>
            <w:hideMark/>
          </w:tcPr>
          <w:p w14:paraId="4B23DA91" w14:textId="77777777" w:rsidR="0054358D" w:rsidRPr="00CD38A0" w:rsidRDefault="00CD38A0" w:rsidP="00996D96">
            <w:pPr>
              <w:pStyle w:val="Sansinterligne"/>
              <w:rPr>
                <w:color w:val="000000"/>
                <w:sz w:val="18"/>
                <w:szCs w:val="18"/>
              </w:rPr>
            </w:pPr>
            <w:r w:rsidRPr="00CD38A0">
              <w:rPr>
                <w:color w:val="000000"/>
                <w:sz w:val="18"/>
                <w:szCs w:val="18"/>
              </w:rPr>
              <w:t>10.1</w:t>
            </w:r>
          </w:p>
        </w:tc>
        <w:tc>
          <w:tcPr>
            <w:tcW w:w="992" w:type="dxa"/>
            <w:tcBorders>
              <w:top w:val="nil"/>
              <w:left w:val="nil"/>
              <w:bottom w:val="nil"/>
              <w:right w:val="nil"/>
            </w:tcBorders>
            <w:hideMark/>
          </w:tcPr>
          <w:p w14:paraId="3984D93F" w14:textId="77777777" w:rsidR="0054358D" w:rsidRDefault="0054358D" w:rsidP="00976F24">
            <w:pPr>
              <w:pStyle w:val="Sansinterligne"/>
              <w:rPr>
                <w:color w:val="000000"/>
                <w:sz w:val="18"/>
                <w:szCs w:val="18"/>
              </w:rPr>
            </w:pPr>
            <w:r>
              <w:rPr>
                <w:color w:val="000000"/>
                <w:sz w:val="18"/>
                <w:szCs w:val="18"/>
              </w:rPr>
              <w:t>0.</w:t>
            </w:r>
            <w:r w:rsidR="00976F24">
              <w:rPr>
                <w:color w:val="000000"/>
                <w:sz w:val="18"/>
                <w:szCs w:val="18"/>
              </w:rPr>
              <w:t>482</w:t>
            </w:r>
          </w:p>
        </w:tc>
      </w:tr>
      <w:tr w:rsidR="0054358D" w14:paraId="6D2351FB" w14:textId="77777777" w:rsidTr="00996D96">
        <w:trPr>
          <w:trHeight w:val="404"/>
        </w:trPr>
        <w:tc>
          <w:tcPr>
            <w:tcW w:w="2802" w:type="dxa"/>
            <w:gridSpan w:val="2"/>
            <w:tcBorders>
              <w:top w:val="nil"/>
              <w:left w:val="nil"/>
              <w:bottom w:val="nil"/>
              <w:right w:val="nil"/>
            </w:tcBorders>
            <w:vAlign w:val="center"/>
            <w:hideMark/>
          </w:tcPr>
          <w:p w14:paraId="66E3472E" w14:textId="77777777" w:rsidR="0054358D" w:rsidRDefault="0054358D" w:rsidP="00996D96">
            <w:pPr>
              <w:pStyle w:val="Sansinterligne"/>
            </w:pPr>
            <w:r>
              <w:t xml:space="preserve">Mono-ortho </w:t>
            </w:r>
            <w:proofErr w:type="spellStart"/>
            <w:r>
              <w:t>PCBs</w:t>
            </w:r>
            <w:proofErr w:type="spellEnd"/>
          </w:p>
        </w:tc>
        <w:tc>
          <w:tcPr>
            <w:tcW w:w="1134" w:type="dxa"/>
            <w:tcBorders>
              <w:top w:val="nil"/>
              <w:left w:val="nil"/>
              <w:bottom w:val="nil"/>
              <w:right w:val="nil"/>
            </w:tcBorders>
            <w:vAlign w:val="center"/>
          </w:tcPr>
          <w:p w14:paraId="382E8EDF" w14:textId="77777777" w:rsidR="0054358D" w:rsidRPr="00F71AF0" w:rsidRDefault="0054358D" w:rsidP="00996D96">
            <w:pPr>
              <w:pStyle w:val="Sansinterligne"/>
              <w:rPr>
                <w:sz w:val="18"/>
                <w:szCs w:val="18"/>
                <w:highlight w:val="yellow"/>
              </w:rPr>
            </w:pPr>
          </w:p>
        </w:tc>
        <w:tc>
          <w:tcPr>
            <w:tcW w:w="1417" w:type="dxa"/>
            <w:tcBorders>
              <w:top w:val="nil"/>
              <w:left w:val="nil"/>
              <w:bottom w:val="nil"/>
              <w:right w:val="nil"/>
            </w:tcBorders>
            <w:vAlign w:val="center"/>
          </w:tcPr>
          <w:p w14:paraId="6D2BCEB6" w14:textId="77777777" w:rsidR="0054358D" w:rsidRPr="00F71AF0" w:rsidRDefault="0054358D" w:rsidP="00996D96">
            <w:pPr>
              <w:pStyle w:val="Sansinterligne"/>
              <w:rPr>
                <w:sz w:val="18"/>
                <w:szCs w:val="18"/>
                <w:highlight w:val="yellow"/>
              </w:rPr>
            </w:pPr>
          </w:p>
        </w:tc>
        <w:tc>
          <w:tcPr>
            <w:tcW w:w="851" w:type="dxa"/>
            <w:tcBorders>
              <w:top w:val="nil"/>
              <w:left w:val="nil"/>
              <w:bottom w:val="nil"/>
              <w:right w:val="nil"/>
            </w:tcBorders>
            <w:vAlign w:val="center"/>
          </w:tcPr>
          <w:p w14:paraId="44A603D1" w14:textId="77777777" w:rsidR="0054358D" w:rsidRDefault="0054358D" w:rsidP="00996D96">
            <w:pPr>
              <w:pStyle w:val="Sansinterligne"/>
              <w:rPr>
                <w:sz w:val="18"/>
                <w:szCs w:val="18"/>
              </w:rPr>
            </w:pPr>
          </w:p>
        </w:tc>
        <w:tc>
          <w:tcPr>
            <w:tcW w:w="1134" w:type="dxa"/>
            <w:tcBorders>
              <w:top w:val="nil"/>
              <w:left w:val="nil"/>
              <w:bottom w:val="nil"/>
              <w:right w:val="nil"/>
            </w:tcBorders>
            <w:vAlign w:val="center"/>
          </w:tcPr>
          <w:p w14:paraId="2FED51C0" w14:textId="77777777" w:rsidR="0054358D" w:rsidRPr="00F71AF0" w:rsidRDefault="0054358D" w:rsidP="00996D96">
            <w:pPr>
              <w:pStyle w:val="Sansinterligne"/>
              <w:rPr>
                <w:sz w:val="18"/>
                <w:szCs w:val="18"/>
                <w:highlight w:val="yellow"/>
              </w:rPr>
            </w:pPr>
          </w:p>
        </w:tc>
        <w:tc>
          <w:tcPr>
            <w:tcW w:w="992" w:type="dxa"/>
            <w:tcBorders>
              <w:top w:val="nil"/>
              <w:left w:val="nil"/>
              <w:bottom w:val="nil"/>
              <w:right w:val="nil"/>
            </w:tcBorders>
            <w:vAlign w:val="center"/>
          </w:tcPr>
          <w:p w14:paraId="3E661103" w14:textId="77777777" w:rsidR="0054358D" w:rsidRPr="00F71AF0" w:rsidRDefault="0054358D" w:rsidP="00996D96">
            <w:pPr>
              <w:pStyle w:val="Sansinterligne"/>
              <w:rPr>
                <w:sz w:val="18"/>
                <w:szCs w:val="18"/>
                <w:highlight w:val="yellow"/>
              </w:rPr>
            </w:pPr>
          </w:p>
        </w:tc>
        <w:tc>
          <w:tcPr>
            <w:tcW w:w="992" w:type="dxa"/>
            <w:tcBorders>
              <w:top w:val="nil"/>
              <w:left w:val="nil"/>
              <w:bottom w:val="nil"/>
              <w:right w:val="nil"/>
            </w:tcBorders>
          </w:tcPr>
          <w:p w14:paraId="6CA766E5" w14:textId="77777777" w:rsidR="0054358D" w:rsidRDefault="0054358D" w:rsidP="00996D96">
            <w:pPr>
              <w:pStyle w:val="Sansinterligne"/>
              <w:rPr>
                <w:sz w:val="18"/>
                <w:szCs w:val="18"/>
              </w:rPr>
            </w:pPr>
          </w:p>
        </w:tc>
      </w:tr>
      <w:tr w:rsidR="0054358D" w14:paraId="4E93551F" w14:textId="77777777" w:rsidTr="00996D96">
        <w:tc>
          <w:tcPr>
            <w:tcW w:w="237" w:type="dxa"/>
            <w:tcBorders>
              <w:top w:val="nil"/>
              <w:left w:val="nil"/>
              <w:bottom w:val="nil"/>
              <w:right w:val="nil"/>
            </w:tcBorders>
            <w:vAlign w:val="center"/>
          </w:tcPr>
          <w:p w14:paraId="7F0CEE82"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2E26F9D2" w14:textId="77777777" w:rsidR="0054358D" w:rsidRDefault="0054358D" w:rsidP="00996D96">
            <w:pPr>
              <w:pStyle w:val="Sansinterligne"/>
              <w:rPr>
                <w:sz w:val="18"/>
                <w:szCs w:val="18"/>
              </w:rPr>
            </w:pPr>
            <w:r>
              <w:rPr>
                <w:sz w:val="18"/>
                <w:szCs w:val="18"/>
              </w:rPr>
              <w:t>PCB 105</w:t>
            </w:r>
          </w:p>
        </w:tc>
        <w:tc>
          <w:tcPr>
            <w:tcW w:w="1134" w:type="dxa"/>
            <w:tcBorders>
              <w:top w:val="nil"/>
              <w:left w:val="nil"/>
              <w:bottom w:val="nil"/>
              <w:right w:val="nil"/>
            </w:tcBorders>
            <w:vAlign w:val="center"/>
            <w:hideMark/>
          </w:tcPr>
          <w:p w14:paraId="284ACC3A" w14:textId="77777777" w:rsidR="0054358D" w:rsidRPr="00F71AF0" w:rsidRDefault="00C41317" w:rsidP="00996D96">
            <w:pPr>
              <w:pStyle w:val="Sansinterligne"/>
              <w:rPr>
                <w:color w:val="000000"/>
                <w:sz w:val="18"/>
                <w:szCs w:val="18"/>
                <w:highlight w:val="yellow"/>
              </w:rPr>
            </w:pPr>
            <w:r w:rsidRPr="00C41317">
              <w:rPr>
                <w:color w:val="000000"/>
                <w:sz w:val="18"/>
                <w:szCs w:val="18"/>
              </w:rPr>
              <w:t>1225632</w:t>
            </w:r>
          </w:p>
        </w:tc>
        <w:tc>
          <w:tcPr>
            <w:tcW w:w="1417" w:type="dxa"/>
            <w:tcBorders>
              <w:top w:val="nil"/>
              <w:left w:val="nil"/>
              <w:bottom w:val="nil"/>
              <w:right w:val="nil"/>
            </w:tcBorders>
            <w:vAlign w:val="center"/>
            <w:hideMark/>
          </w:tcPr>
          <w:p w14:paraId="588985DD" w14:textId="77777777" w:rsidR="0054358D" w:rsidRPr="00F71AF0" w:rsidRDefault="00C41317" w:rsidP="00996D96">
            <w:pPr>
              <w:pStyle w:val="Sansinterligne"/>
              <w:rPr>
                <w:color w:val="000000"/>
                <w:sz w:val="18"/>
                <w:szCs w:val="18"/>
                <w:highlight w:val="yellow"/>
              </w:rPr>
            </w:pPr>
            <w:r w:rsidRPr="00C41317">
              <w:rPr>
                <w:color w:val="000000"/>
                <w:sz w:val="18"/>
                <w:szCs w:val="18"/>
              </w:rPr>
              <w:t>416126</w:t>
            </w:r>
          </w:p>
        </w:tc>
        <w:tc>
          <w:tcPr>
            <w:tcW w:w="851" w:type="dxa"/>
            <w:tcBorders>
              <w:top w:val="nil"/>
              <w:left w:val="nil"/>
              <w:bottom w:val="nil"/>
              <w:right w:val="nil"/>
            </w:tcBorders>
            <w:vAlign w:val="center"/>
            <w:hideMark/>
          </w:tcPr>
          <w:p w14:paraId="2EE1635A" w14:textId="77777777" w:rsidR="0054358D" w:rsidRDefault="0054358D" w:rsidP="00996D96">
            <w:pPr>
              <w:pStyle w:val="Sansinterligne"/>
              <w:rPr>
                <w:sz w:val="18"/>
                <w:szCs w:val="18"/>
              </w:rPr>
            </w:pPr>
            <w:r>
              <w:rPr>
                <w:sz w:val="18"/>
                <w:szCs w:val="18"/>
              </w:rPr>
              <w:t>0.00003</w:t>
            </w:r>
          </w:p>
        </w:tc>
        <w:tc>
          <w:tcPr>
            <w:tcW w:w="1134" w:type="dxa"/>
            <w:tcBorders>
              <w:top w:val="nil"/>
              <w:left w:val="nil"/>
              <w:bottom w:val="nil"/>
              <w:right w:val="nil"/>
            </w:tcBorders>
            <w:vAlign w:val="center"/>
            <w:hideMark/>
          </w:tcPr>
          <w:p w14:paraId="17AD3509" w14:textId="77777777" w:rsidR="0054358D" w:rsidRPr="00F71AF0" w:rsidRDefault="00C41317" w:rsidP="00996D96">
            <w:pPr>
              <w:pStyle w:val="Sansinterligne"/>
              <w:rPr>
                <w:color w:val="000000"/>
                <w:sz w:val="18"/>
                <w:szCs w:val="18"/>
                <w:highlight w:val="yellow"/>
              </w:rPr>
            </w:pPr>
            <w:r>
              <w:rPr>
                <w:color w:val="000000"/>
                <w:sz w:val="18"/>
                <w:szCs w:val="18"/>
              </w:rPr>
              <w:t>36,8</w:t>
            </w:r>
          </w:p>
        </w:tc>
        <w:tc>
          <w:tcPr>
            <w:tcW w:w="992" w:type="dxa"/>
            <w:tcBorders>
              <w:top w:val="nil"/>
              <w:left w:val="nil"/>
              <w:bottom w:val="nil"/>
              <w:right w:val="nil"/>
            </w:tcBorders>
            <w:vAlign w:val="center"/>
            <w:hideMark/>
          </w:tcPr>
          <w:p w14:paraId="6AD85CBB" w14:textId="77777777" w:rsidR="0054358D" w:rsidRPr="00F71AF0" w:rsidRDefault="00C41317" w:rsidP="00996D96">
            <w:pPr>
              <w:pStyle w:val="Sansinterligne"/>
              <w:rPr>
                <w:color w:val="000000"/>
                <w:sz w:val="18"/>
                <w:szCs w:val="18"/>
                <w:highlight w:val="yellow"/>
              </w:rPr>
            </w:pPr>
            <w:r w:rsidRPr="00C41317">
              <w:rPr>
                <w:color w:val="000000"/>
                <w:sz w:val="18"/>
                <w:szCs w:val="18"/>
              </w:rPr>
              <w:t>12,48</w:t>
            </w:r>
          </w:p>
        </w:tc>
        <w:tc>
          <w:tcPr>
            <w:tcW w:w="992" w:type="dxa"/>
            <w:tcBorders>
              <w:top w:val="nil"/>
              <w:left w:val="nil"/>
              <w:bottom w:val="nil"/>
              <w:right w:val="nil"/>
            </w:tcBorders>
            <w:hideMark/>
          </w:tcPr>
          <w:p w14:paraId="096A5032" w14:textId="77777777" w:rsidR="0054358D" w:rsidRPr="000B7A8E" w:rsidRDefault="0054358D" w:rsidP="0008024F">
            <w:pPr>
              <w:pStyle w:val="Sansinterligne"/>
              <w:rPr>
                <w:b/>
                <w:sz w:val="18"/>
                <w:szCs w:val="18"/>
              </w:rPr>
            </w:pPr>
            <w:r>
              <w:rPr>
                <w:b/>
                <w:sz w:val="18"/>
                <w:szCs w:val="18"/>
              </w:rPr>
              <w:t>0.00</w:t>
            </w:r>
            <w:r w:rsidR="0008024F">
              <w:rPr>
                <w:b/>
                <w:sz w:val="18"/>
                <w:szCs w:val="18"/>
              </w:rPr>
              <w:t>9</w:t>
            </w:r>
          </w:p>
        </w:tc>
      </w:tr>
      <w:tr w:rsidR="0054358D" w14:paraId="77466D5C" w14:textId="77777777" w:rsidTr="00996D96">
        <w:tc>
          <w:tcPr>
            <w:tcW w:w="237" w:type="dxa"/>
            <w:tcBorders>
              <w:top w:val="nil"/>
              <w:left w:val="nil"/>
              <w:bottom w:val="nil"/>
              <w:right w:val="nil"/>
            </w:tcBorders>
            <w:vAlign w:val="center"/>
          </w:tcPr>
          <w:p w14:paraId="053560A1"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6BC8B636" w14:textId="77777777" w:rsidR="0054358D" w:rsidRDefault="0054358D" w:rsidP="00996D96">
            <w:pPr>
              <w:pStyle w:val="Sansinterligne"/>
              <w:rPr>
                <w:sz w:val="18"/>
                <w:szCs w:val="18"/>
              </w:rPr>
            </w:pPr>
            <w:r>
              <w:rPr>
                <w:sz w:val="18"/>
                <w:szCs w:val="18"/>
              </w:rPr>
              <w:t>PCB 114</w:t>
            </w:r>
          </w:p>
        </w:tc>
        <w:tc>
          <w:tcPr>
            <w:tcW w:w="1134" w:type="dxa"/>
            <w:tcBorders>
              <w:top w:val="nil"/>
              <w:left w:val="nil"/>
              <w:bottom w:val="nil"/>
              <w:right w:val="nil"/>
            </w:tcBorders>
            <w:vAlign w:val="center"/>
            <w:hideMark/>
          </w:tcPr>
          <w:p w14:paraId="0E031887" w14:textId="77777777" w:rsidR="0054358D" w:rsidRPr="00F71AF0" w:rsidRDefault="00C41317" w:rsidP="00996D96">
            <w:pPr>
              <w:pStyle w:val="Sansinterligne"/>
              <w:rPr>
                <w:color w:val="000000"/>
                <w:sz w:val="18"/>
                <w:szCs w:val="18"/>
                <w:highlight w:val="yellow"/>
              </w:rPr>
            </w:pPr>
            <w:r w:rsidRPr="00C41317">
              <w:rPr>
                <w:color w:val="000000"/>
                <w:sz w:val="18"/>
                <w:szCs w:val="18"/>
              </w:rPr>
              <w:t>33266</w:t>
            </w:r>
          </w:p>
        </w:tc>
        <w:tc>
          <w:tcPr>
            <w:tcW w:w="1417" w:type="dxa"/>
            <w:tcBorders>
              <w:top w:val="nil"/>
              <w:left w:val="nil"/>
              <w:bottom w:val="nil"/>
              <w:right w:val="nil"/>
            </w:tcBorders>
            <w:vAlign w:val="center"/>
            <w:hideMark/>
          </w:tcPr>
          <w:p w14:paraId="27D09D87" w14:textId="77777777" w:rsidR="0054358D" w:rsidRPr="00F71AF0" w:rsidRDefault="00C41317" w:rsidP="00996D96">
            <w:pPr>
              <w:pStyle w:val="Sansinterligne"/>
              <w:rPr>
                <w:color w:val="000000"/>
                <w:sz w:val="18"/>
                <w:szCs w:val="18"/>
                <w:highlight w:val="yellow"/>
              </w:rPr>
            </w:pPr>
            <w:r w:rsidRPr="00C41317">
              <w:rPr>
                <w:color w:val="000000"/>
                <w:sz w:val="18"/>
                <w:szCs w:val="18"/>
              </w:rPr>
              <w:t>9472</w:t>
            </w:r>
          </w:p>
        </w:tc>
        <w:tc>
          <w:tcPr>
            <w:tcW w:w="851" w:type="dxa"/>
            <w:tcBorders>
              <w:top w:val="nil"/>
              <w:left w:val="nil"/>
              <w:bottom w:val="nil"/>
              <w:right w:val="nil"/>
            </w:tcBorders>
            <w:vAlign w:val="center"/>
            <w:hideMark/>
          </w:tcPr>
          <w:p w14:paraId="09381D83" w14:textId="77777777" w:rsidR="0054358D" w:rsidRDefault="0054358D" w:rsidP="00996D96">
            <w:pPr>
              <w:pStyle w:val="Sansinterligne"/>
              <w:rPr>
                <w:sz w:val="18"/>
                <w:szCs w:val="18"/>
              </w:rPr>
            </w:pPr>
            <w:r>
              <w:rPr>
                <w:sz w:val="18"/>
                <w:szCs w:val="18"/>
              </w:rPr>
              <w:t>0.00003</w:t>
            </w:r>
          </w:p>
        </w:tc>
        <w:tc>
          <w:tcPr>
            <w:tcW w:w="1134" w:type="dxa"/>
            <w:tcBorders>
              <w:top w:val="nil"/>
              <w:left w:val="nil"/>
              <w:bottom w:val="nil"/>
              <w:right w:val="nil"/>
            </w:tcBorders>
            <w:vAlign w:val="center"/>
            <w:hideMark/>
          </w:tcPr>
          <w:p w14:paraId="48D0D96B" w14:textId="77777777" w:rsidR="0054358D" w:rsidRPr="00F71AF0" w:rsidRDefault="00C41317" w:rsidP="00996D96">
            <w:pPr>
              <w:pStyle w:val="Sansinterligne"/>
              <w:rPr>
                <w:color w:val="000000"/>
                <w:sz w:val="18"/>
                <w:szCs w:val="18"/>
                <w:highlight w:val="yellow"/>
              </w:rPr>
            </w:pPr>
            <w:r w:rsidRPr="00C41317">
              <w:rPr>
                <w:color w:val="000000"/>
                <w:sz w:val="18"/>
                <w:szCs w:val="18"/>
              </w:rPr>
              <w:t>1,00</w:t>
            </w:r>
          </w:p>
        </w:tc>
        <w:tc>
          <w:tcPr>
            <w:tcW w:w="992" w:type="dxa"/>
            <w:tcBorders>
              <w:top w:val="nil"/>
              <w:left w:val="nil"/>
              <w:bottom w:val="nil"/>
              <w:right w:val="nil"/>
            </w:tcBorders>
            <w:vAlign w:val="center"/>
            <w:hideMark/>
          </w:tcPr>
          <w:p w14:paraId="0F31CBDE" w14:textId="77777777" w:rsidR="0054358D" w:rsidRPr="00F71AF0" w:rsidRDefault="00C41317" w:rsidP="00996D96">
            <w:pPr>
              <w:pStyle w:val="Sansinterligne"/>
              <w:rPr>
                <w:color w:val="000000"/>
                <w:sz w:val="18"/>
                <w:szCs w:val="18"/>
                <w:highlight w:val="yellow"/>
              </w:rPr>
            </w:pPr>
            <w:r w:rsidRPr="00C41317">
              <w:rPr>
                <w:color w:val="000000"/>
                <w:sz w:val="18"/>
                <w:szCs w:val="18"/>
              </w:rPr>
              <w:t>0,28</w:t>
            </w:r>
          </w:p>
        </w:tc>
        <w:tc>
          <w:tcPr>
            <w:tcW w:w="992" w:type="dxa"/>
            <w:tcBorders>
              <w:top w:val="nil"/>
              <w:left w:val="nil"/>
              <w:bottom w:val="nil"/>
              <w:right w:val="nil"/>
            </w:tcBorders>
            <w:hideMark/>
          </w:tcPr>
          <w:p w14:paraId="0466D001" w14:textId="77777777" w:rsidR="0054358D" w:rsidRPr="000B7A8E" w:rsidRDefault="0054358D" w:rsidP="0008024F">
            <w:pPr>
              <w:pStyle w:val="Sansinterligne"/>
              <w:rPr>
                <w:b/>
                <w:color w:val="000000"/>
                <w:sz w:val="18"/>
                <w:szCs w:val="18"/>
              </w:rPr>
            </w:pPr>
            <w:r w:rsidRPr="000B7A8E">
              <w:rPr>
                <w:b/>
                <w:color w:val="000000"/>
                <w:sz w:val="18"/>
                <w:szCs w:val="18"/>
              </w:rPr>
              <w:t>0.</w:t>
            </w:r>
            <w:r w:rsidR="0008024F" w:rsidRPr="000B7A8E">
              <w:rPr>
                <w:b/>
                <w:color w:val="000000"/>
                <w:sz w:val="18"/>
                <w:szCs w:val="18"/>
              </w:rPr>
              <w:t>009</w:t>
            </w:r>
          </w:p>
        </w:tc>
      </w:tr>
      <w:tr w:rsidR="0054358D" w14:paraId="673EE1EC" w14:textId="77777777" w:rsidTr="00996D96">
        <w:tc>
          <w:tcPr>
            <w:tcW w:w="237" w:type="dxa"/>
            <w:tcBorders>
              <w:top w:val="nil"/>
              <w:left w:val="nil"/>
              <w:bottom w:val="nil"/>
              <w:right w:val="nil"/>
            </w:tcBorders>
            <w:vAlign w:val="center"/>
          </w:tcPr>
          <w:p w14:paraId="63DE48B2"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6197D29E" w14:textId="77777777" w:rsidR="0054358D" w:rsidRDefault="0054358D" w:rsidP="00996D96">
            <w:pPr>
              <w:pStyle w:val="Sansinterligne"/>
              <w:rPr>
                <w:sz w:val="18"/>
                <w:szCs w:val="18"/>
              </w:rPr>
            </w:pPr>
            <w:r>
              <w:rPr>
                <w:sz w:val="18"/>
                <w:szCs w:val="18"/>
              </w:rPr>
              <w:t>PCB 118</w:t>
            </w:r>
          </w:p>
        </w:tc>
        <w:tc>
          <w:tcPr>
            <w:tcW w:w="1134" w:type="dxa"/>
            <w:tcBorders>
              <w:top w:val="nil"/>
              <w:left w:val="nil"/>
              <w:bottom w:val="nil"/>
              <w:right w:val="nil"/>
            </w:tcBorders>
            <w:vAlign w:val="center"/>
            <w:hideMark/>
          </w:tcPr>
          <w:p w14:paraId="1877DE34" w14:textId="77777777" w:rsidR="0054358D" w:rsidRPr="00F71AF0" w:rsidRDefault="00C41317" w:rsidP="00996D96">
            <w:pPr>
              <w:pStyle w:val="Sansinterligne"/>
              <w:rPr>
                <w:color w:val="000000"/>
                <w:sz w:val="18"/>
                <w:szCs w:val="18"/>
                <w:highlight w:val="yellow"/>
              </w:rPr>
            </w:pPr>
            <w:r w:rsidRPr="00C41317">
              <w:rPr>
                <w:color w:val="000000"/>
                <w:sz w:val="18"/>
                <w:szCs w:val="18"/>
              </w:rPr>
              <w:t>4499539</w:t>
            </w:r>
          </w:p>
        </w:tc>
        <w:tc>
          <w:tcPr>
            <w:tcW w:w="1417" w:type="dxa"/>
            <w:tcBorders>
              <w:top w:val="nil"/>
              <w:left w:val="nil"/>
              <w:bottom w:val="nil"/>
              <w:right w:val="nil"/>
            </w:tcBorders>
            <w:vAlign w:val="center"/>
            <w:hideMark/>
          </w:tcPr>
          <w:p w14:paraId="49942C75" w14:textId="77777777" w:rsidR="0054358D" w:rsidRPr="00F71AF0" w:rsidRDefault="00C41317" w:rsidP="00996D96">
            <w:pPr>
              <w:pStyle w:val="Sansinterligne"/>
              <w:rPr>
                <w:color w:val="000000"/>
                <w:sz w:val="18"/>
                <w:szCs w:val="18"/>
                <w:highlight w:val="yellow"/>
              </w:rPr>
            </w:pPr>
            <w:r w:rsidRPr="00C41317">
              <w:rPr>
                <w:color w:val="000000"/>
                <w:sz w:val="18"/>
                <w:szCs w:val="18"/>
              </w:rPr>
              <w:t>1500232</w:t>
            </w:r>
          </w:p>
        </w:tc>
        <w:tc>
          <w:tcPr>
            <w:tcW w:w="851" w:type="dxa"/>
            <w:tcBorders>
              <w:top w:val="nil"/>
              <w:left w:val="nil"/>
              <w:bottom w:val="nil"/>
              <w:right w:val="nil"/>
            </w:tcBorders>
            <w:vAlign w:val="center"/>
            <w:hideMark/>
          </w:tcPr>
          <w:p w14:paraId="547A6DDA" w14:textId="77777777" w:rsidR="0054358D" w:rsidRDefault="0054358D" w:rsidP="00996D96">
            <w:pPr>
              <w:pStyle w:val="Sansinterligne"/>
              <w:rPr>
                <w:sz w:val="18"/>
                <w:szCs w:val="18"/>
              </w:rPr>
            </w:pPr>
            <w:r>
              <w:rPr>
                <w:sz w:val="18"/>
                <w:szCs w:val="18"/>
              </w:rPr>
              <w:t>0.00003</w:t>
            </w:r>
          </w:p>
        </w:tc>
        <w:tc>
          <w:tcPr>
            <w:tcW w:w="1134" w:type="dxa"/>
            <w:tcBorders>
              <w:top w:val="nil"/>
              <w:left w:val="nil"/>
              <w:bottom w:val="nil"/>
              <w:right w:val="nil"/>
            </w:tcBorders>
            <w:vAlign w:val="center"/>
            <w:hideMark/>
          </w:tcPr>
          <w:p w14:paraId="77D52CDE" w14:textId="77777777" w:rsidR="0054358D" w:rsidRPr="00F71AF0" w:rsidRDefault="00C41317" w:rsidP="00996D96">
            <w:pPr>
              <w:pStyle w:val="Sansinterligne"/>
              <w:rPr>
                <w:color w:val="000000"/>
                <w:sz w:val="18"/>
                <w:szCs w:val="18"/>
                <w:highlight w:val="yellow"/>
              </w:rPr>
            </w:pPr>
            <w:r>
              <w:rPr>
                <w:color w:val="000000"/>
                <w:sz w:val="18"/>
                <w:szCs w:val="18"/>
              </w:rPr>
              <w:t>135</w:t>
            </w:r>
          </w:p>
        </w:tc>
        <w:tc>
          <w:tcPr>
            <w:tcW w:w="992" w:type="dxa"/>
            <w:tcBorders>
              <w:top w:val="nil"/>
              <w:left w:val="nil"/>
              <w:bottom w:val="nil"/>
              <w:right w:val="nil"/>
            </w:tcBorders>
            <w:vAlign w:val="center"/>
            <w:hideMark/>
          </w:tcPr>
          <w:p w14:paraId="48273756" w14:textId="77777777" w:rsidR="0054358D" w:rsidRPr="00F71AF0" w:rsidRDefault="00C41317" w:rsidP="00996D96">
            <w:pPr>
              <w:pStyle w:val="Sansinterligne"/>
              <w:rPr>
                <w:color w:val="000000"/>
                <w:sz w:val="18"/>
                <w:szCs w:val="18"/>
                <w:highlight w:val="yellow"/>
              </w:rPr>
            </w:pPr>
            <w:r>
              <w:rPr>
                <w:color w:val="000000"/>
                <w:sz w:val="18"/>
                <w:szCs w:val="18"/>
              </w:rPr>
              <w:t>45,0</w:t>
            </w:r>
          </w:p>
        </w:tc>
        <w:tc>
          <w:tcPr>
            <w:tcW w:w="992" w:type="dxa"/>
            <w:tcBorders>
              <w:top w:val="nil"/>
              <w:left w:val="nil"/>
              <w:bottom w:val="nil"/>
              <w:right w:val="nil"/>
            </w:tcBorders>
            <w:hideMark/>
          </w:tcPr>
          <w:p w14:paraId="2382AD4B" w14:textId="77777777" w:rsidR="0054358D" w:rsidRPr="000B7A8E" w:rsidRDefault="0054358D" w:rsidP="0008024F">
            <w:pPr>
              <w:pStyle w:val="Sansinterligne"/>
              <w:rPr>
                <w:b/>
                <w:sz w:val="18"/>
                <w:szCs w:val="18"/>
              </w:rPr>
            </w:pPr>
            <w:r w:rsidRPr="000B7A8E">
              <w:rPr>
                <w:b/>
                <w:sz w:val="18"/>
                <w:szCs w:val="18"/>
              </w:rPr>
              <w:t>0.00</w:t>
            </w:r>
            <w:r w:rsidR="0008024F" w:rsidRPr="000B7A8E">
              <w:rPr>
                <w:b/>
                <w:sz w:val="18"/>
                <w:szCs w:val="18"/>
              </w:rPr>
              <w:t>9</w:t>
            </w:r>
          </w:p>
        </w:tc>
      </w:tr>
      <w:tr w:rsidR="0054358D" w14:paraId="47635E6B" w14:textId="77777777" w:rsidTr="00996D96">
        <w:tc>
          <w:tcPr>
            <w:tcW w:w="237" w:type="dxa"/>
            <w:tcBorders>
              <w:top w:val="nil"/>
              <w:left w:val="nil"/>
              <w:bottom w:val="nil"/>
              <w:right w:val="nil"/>
            </w:tcBorders>
            <w:vAlign w:val="center"/>
          </w:tcPr>
          <w:p w14:paraId="726E061B"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01ED1ED1" w14:textId="77777777" w:rsidR="0054358D" w:rsidRDefault="0054358D" w:rsidP="00996D96">
            <w:pPr>
              <w:pStyle w:val="Sansinterligne"/>
              <w:rPr>
                <w:sz w:val="18"/>
                <w:szCs w:val="18"/>
              </w:rPr>
            </w:pPr>
            <w:r>
              <w:rPr>
                <w:sz w:val="18"/>
                <w:szCs w:val="18"/>
              </w:rPr>
              <w:t>PCB 123</w:t>
            </w:r>
          </w:p>
        </w:tc>
        <w:tc>
          <w:tcPr>
            <w:tcW w:w="1134" w:type="dxa"/>
            <w:tcBorders>
              <w:top w:val="nil"/>
              <w:left w:val="nil"/>
              <w:bottom w:val="nil"/>
              <w:right w:val="nil"/>
            </w:tcBorders>
            <w:vAlign w:val="center"/>
            <w:hideMark/>
          </w:tcPr>
          <w:p w14:paraId="00C3E5B6" w14:textId="77777777" w:rsidR="0054358D" w:rsidRPr="00F71AF0" w:rsidRDefault="00C41317" w:rsidP="00996D96">
            <w:pPr>
              <w:pStyle w:val="Sansinterligne"/>
              <w:rPr>
                <w:color w:val="000000"/>
                <w:sz w:val="18"/>
                <w:szCs w:val="18"/>
                <w:highlight w:val="yellow"/>
              </w:rPr>
            </w:pPr>
            <w:r w:rsidRPr="00C41317">
              <w:rPr>
                <w:color w:val="000000"/>
                <w:sz w:val="18"/>
                <w:szCs w:val="18"/>
              </w:rPr>
              <w:t>21055</w:t>
            </w:r>
          </w:p>
        </w:tc>
        <w:tc>
          <w:tcPr>
            <w:tcW w:w="1417" w:type="dxa"/>
            <w:tcBorders>
              <w:top w:val="nil"/>
              <w:left w:val="nil"/>
              <w:bottom w:val="nil"/>
              <w:right w:val="nil"/>
            </w:tcBorders>
            <w:vAlign w:val="center"/>
            <w:hideMark/>
          </w:tcPr>
          <w:p w14:paraId="765029EB" w14:textId="77777777" w:rsidR="0054358D" w:rsidRPr="00F71AF0" w:rsidRDefault="00C41317" w:rsidP="00996D96">
            <w:pPr>
              <w:pStyle w:val="Sansinterligne"/>
              <w:rPr>
                <w:color w:val="000000"/>
                <w:sz w:val="18"/>
                <w:szCs w:val="18"/>
                <w:highlight w:val="yellow"/>
              </w:rPr>
            </w:pPr>
            <w:r w:rsidRPr="00C41317">
              <w:rPr>
                <w:color w:val="000000"/>
                <w:sz w:val="18"/>
                <w:szCs w:val="18"/>
              </w:rPr>
              <w:t>7635</w:t>
            </w:r>
          </w:p>
        </w:tc>
        <w:tc>
          <w:tcPr>
            <w:tcW w:w="851" w:type="dxa"/>
            <w:tcBorders>
              <w:top w:val="nil"/>
              <w:left w:val="nil"/>
              <w:bottom w:val="nil"/>
              <w:right w:val="nil"/>
            </w:tcBorders>
            <w:vAlign w:val="center"/>
            <w:hideMark/>
          </w:tcPr>
          <w:p w14:paraId="7C65130C" w14:textId="77777777" w:rsidR="0054358D" w:rsidRDefault="0054358D" w:rsidP="00996D96">
            <w:pPr>
              <w:pStyle w:val="Sansinterligne"/>
              <w:rPr>
                <w:sz w:val="18"/>
                <w:szCs w:val="18"/>
              </w:rPr>
            </w:pPr>
            <w:r>
              <w:rPr>
                <w:sz w:val="18"/>
                <w:szCs w:val="18"/>
              </w:rPr>
              <w:t>0.00003</w:t>
            </w:r>
          </w:p>
        </w:tc>
        <w:tc>
          <w:tcPr>
            <w:tcW w:w="1134" w:type="dxa"/>
            <w:tcBorders>
              <w:top w:val="nil"/>
              <w:left w:val="nil"/>
              <w:bottom w:val="nil"/>
              <w:right w:val="nil"/>
            </w:tcBorders>
            <w:vAlign w:val="center"/>
            <w:hideMark/>
          </w:tcPr>
          <w:p w14:paraId="4C98BC1A" w14:textId="77777777" w:rsidR="0054358D" w:rsidRPr="00F71AF0" w:rsidRDefault="00C41317" w:rsidP="00996D96">
            <w:pPr>
              <w:pStyle w:val="Sansinterligne"/>
              <w:rPr>
                <w:color w:val="000000"/>
                <w:sz w:val="18"/>
                <w:szCs w:val="18"/>
                <w:highlight w:val="yellow"/>
              </w:rPr>
            </w:pPr>
            <w:r w:rsidRPr="00C41317">
              <w:rPr>
                <w:color w:val="000000"/>
                <w:sz w:val="18"/>
                <w:szCs w:val="18"/>
              </w:rPr>
              <w:t>0,63</w:t>
            </w:r>
          </w:p>
        </w:tc>
        <w:tc>
          <w:tcPr>
            <w:tcW w:w="992" w:type="dxa"/>
            <w:tcBorders>
              <w:top w:val="nil"/>
              <w:left w:val="nil"/>
              <w:bottom w:val="nil"/>
              <w:right w:val="nil"/>
            </w:tcBorders>
            <w:vAlign w:val="center"/>
            <w:hideMark/>
          </w:tcPr>
          <w:p w14:paraId="1A751E52" w14:textId="77777777" w:rsidR="0054358D" w:rsidRPr="00F71AF0" w:rsidRDefault="00C41317" w:rsidP="00996D96">
            <w:pPr>
              <w:pStyle w:val="Sansinterligne"/>
              <w:rPr>
                <w:color w:val="000000"/>
                <w:sz w:val="18"/>
                <w:szCs w:val="18"/>
                <w:highlight w:val="yellow"/>
              </w:rPr>
            </w:pPr>
            <w:r w:rsidRPr="00C41317">
              <w:rPr>
                <w:color w:val="000000"/>
                <w:sz w:val="18"/>
                <w:szCs w:val="18"/>
              </w:rPr>
              <w:t>0,23</w:t>
            </w:r>
          </w:p>
        </w:tc>
        <w:tc>
          <w:tcPr>
            <w:tcW w:w="992" w:type="dxa"/>
            <w:tcBorders>
              <w:top w:val="nil"/>
              <w:left w:val="nil"/>
              <w:bottom w:val="nil"/>
              <w:right w:val="nil"/>
            </w:tcBorders>
            <w:hideMark/>
          </w:tcPr>
          <w:p w14:paraId="1A18E058" w14:textId="77777777" w:rsidR="0054358D" w:rsidRPr="000B7A8E" w:rsidRDefault="0054358D" w:rsidP="0008024F">
            <w:pPr>
              <w:pStyle w:val="Sansinterligne"/>
              <w:rPr>
                <w:b/>
                <w:sz w:val="18"/>
                <w:szCs w:val="18"/>
              </w:rPr>
            </w:pPr>
            <w:r w:rsidRPr="000B7A8E">
              <w:rPr>
                <w:b/>
                <w:sz w:val="18"/>
                <w:szCs w:val="18"/>
              </w:rPr>
              <w:t>0.00</w:t>
            </w:r>
            <w:r w:rsidR="0008024F" w:rsidRPr="000B7A8E">
              <w:rPr>
                <w:b/>
                <w:sz w:val="18"/>
                <w:szCs w:val="18"/>
              </w:rPr>
              <w:t>9</w:t>
            </w:r>
          </w:p>
        </w:tc>
      </w:tr>
      <w:tr w:rsidR="0054358D" w14:paraId="02907AED" w14:textId="77777777" w:rsidTr="00996D96">
        <w:tc>
          <w:tcPr>
            <w:tcW w:w="237" w:type="dxa"/>
            <w:tcBorders>
              <w:top w:val="nil"/>
              <w:left w:val="nil"/>
              <w:bottom w:val="nil"/>
              <w:right w:val="nil"/>
            </w:tcBorders>
            <w:vAlign w:val="center"/>
          </w:tcPr>
          <w:p w14:paraId="4A2A0F87"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4AA29405" w14:textId="77777777" w:rsidR="0054358D" w:rsidRDefault="0054358D" w:rsidP="00996D96">
            <w:pPr>
              <w:pStyle w:val="Sansinterligne"/>
              <w:rPr>
                <w:sz w:val="18"/>
                <w:szCs w:val="18"/>
              </w:rPr>
            </w:pPr>
            <w:r>
              <w:rPr>
                <w:sz w:val="18"/>
                <w:szCs w:val="18"/>
              </w:rPr>
              <w:t>PCB 156</w:t>
            </w:r>
          </w:p>
        </w:tc>
        <w:tc>
          <w:tcPr>
            <w:tcW w:w="1134" w:type="dxa"/>
            <w:tcBorders>
              <w:top w:val="nil"/>
              <w:left w:val="nil"/>
              <w:bottom w:val="nil"/>
              <w:right w:val="nil"/>
            </w:tcBorders>
            <w:vAlign w:val="center"/>
            <w:hideMark/>
          </w:tcPr>
          <w:p w14:paraId="5A1565D2" w14:textId="77777777" w:rsidR="0054358D" w:rsidRPr="00F71AF0" w:rsidRDefault="00C41317" w:rsidP="00996D96">
            <w:pPr>
              <w:pStyle w:val="Sansinterligne"/>
              <w:rPr>
                <w:color w:val="000000"/>
                <w:sz w:val="18"/>
                <w:szCs w:val="18"/>
                <w:highlight w:val="yellow"/>
              </w:rPr>
            </w:pPr>
            <w:r w:rsidRPr="00C41317">
              <w:rPr>
                <w:color w:val="000000"/>
                <w:sz w:val="18"/>
                <w:szCs w:val="18"/>
              </w:rPr>
              <w:t>680270</w:t>
            </w:r>
          </w:p>
        </w:tc>
        <w:tc>
          <w:tcPr>
            <w:tcW w:w="1417" w:type="dxa"/>
            <w:tcBorders>
              <w:top w:val="nil"/>
              <w:left w:val="nil"/>
              <w:bottom w:val="nil"/>
              <w:right w:val="nil"/>
            </w:tcBorders>
            <w:vAlign w:val="center"/>
            <w:hideMark/>
          </w:tcPr>
          <w:p w14:paraId="01F0199C" w14:textId="77777777" w:rsidR="0054358D" w:rsidRPr="00F71AF0" w:rsidRDefault="00C41317" w:rsidP="00996D96">
            <w:pPr>
              <w:pStyle w:val="Sansinterligne"/>
              <w:rPr>
                <w:color w:val="000000"/>
                <w:sz w:val="18"/>
                <w:szCs w:val="18"/>
                <w:highlight w:val="yellow"/>
              </w:rPr>
            </w:pPr>
            <w:r w:rsidRPr="00C41317">
              <w:rPr>
                <w:color w:val="000000"/>
                <w:sz w:val="18"/>
                <w:szCs w:val="18"/>
              </w:rPr>
              <w:t>231615</w:t>
            </w:r>
          </w:p>
        </w:tc>
        <w:tc>
          <w:tcPr>
            <w:tcW w:w="851" w:type="dxa"/>
            <w:tcBorders>
              <w:top w:val="nil"/>
              <w:left w:val="nil"/>
              <w:bottom w:val="nil"/>
              <w:right w:val="nil"/>
            </w:tcBorders>
            <w:vAlign w:val="center"/>
            <w:hideMark/>
          </w:tcPr>
          <w:p w14:paraId="731333DC" w14:textId="77777777" w:rsidR="0054358D" w:rsidRDefault="0054358D" w:rsidP="00996D96">
            <w:pPr>
              <w:pStyle w:val="Sansinterligne"/>
              <w:rPr>
                <w:sz w:val="18"/>
                <w:szCs w:val="18"/>
              </w:rPr>
            </w:pPr>
            <w:r>
              <w:rPr>
                <w:sz w:val="18"/>
                <w:szCs w:val="18"/>
              </w:rPr>
              <w:t>0.00003</w:t>
            </w:r>
          </w:p>
        </w:tc>
        <w:tc>
          <w:tcPr>
            <w:tcW w:w="1134" w:type="dxa"/>
            <w:tcBorders>
              <w:top w:val="nil"/>
              <w:left w:val="nil"/>
              <w:bottom w:val="nil"/>
              <w:right w:val="nil"/>
            </w:tcBorders>
            <w:vAlign w:val="center"/>
            <w:hideMark/>
          </w:tcPr>
          <w:p w14:paraId="42B975FC" w14:textId="77777777" w:rsidR="0054358D" w:rsidRPr="00F71AF0" w:rsidRDefault="00C41317" w:rsidP="00996D96">
            <w:pPr>
              <w:pStyle w:val="Sansinterligne"/>
              <w:rPr>
                <w:color w:val="000000"/>
                <w:sz w:val="18"/>
                <w:szCs w:val="18"/>
                <w:highlight w:val="yellow"/>
              </w:rPr>
            </w:pPr>
            <w:r>
              <w:rPr>
                <w:color w:val="000000"/>
                <w:sz w:val="18"/>
                <w:szCs w:val="18"/>
              </w:rPr>
              <w:t>20,4</w:t>
            </w:r>
          </w:p>
        </w:tc>
        <w:tc>
          <w:tcPr>
            <w:tcW w:w="992" w:type="dxa"/>
            <w:tcBorders>
              <w:top w:val="nil"/>
              <w:left w:val="nil"/>
              <w:bottom w:val="nil"/>
              <w:right w:val="nil"/>
            </w:tcBorders>
            <w:vAlign w:val="center"/>
            <w:hideMark/>
          </w:tcPr>
          <w:p w14:paraId="5FF02713" w14:textId="77777777" w:rsidR="0054358D" w:rsidRPr="00F71AF0" w:rsidRDefault="00C41317" w:rsidP="00996D96">
            <w:pPr>
              <w:pStyle w:val="Sansinterligne"/>
              <w:rPr>
                <w:color w:val="000000"/>
                <w:sz w:val="18"/>
                <w:szCs w:val="18"/>
                <w:highlight w:val="yellow"/>
              </w:rPr>
            </w:pPr>
            <w:r w:rsidRPr="00C41317">
              <w:rPr>
                <w:color w:val="000000"/>
                <w:sz w:val="18"/>
                <w:szCs w:val="18"/>
              </w:rPr>
              <w:t>6,95</w:t>
            </w:r>
          </w:p>
        </w:tc>
        <w:tc>
          <w:tcPr>
            <w:tcW w:w="992" w:type="dxa"/>
            <w:tcBorders>
              <w:top w:val="nil"/>
              <w:left w:val="nil"/>
              <w:bottom w:val="nil"/>
              <w:right w:val="nil"/>
            </w:tcBorders>
            <w:hideMark/>
          </w:tcPr>
          <w:p w14:paraId="1B17FEA3" w14:textId="77777777" w:rsidR="0054358D" w:rsidRPr="000B7A8E" w:rsidRDefault="0054358D" w:rsidP="0008024F">
            <w:pPr>
              <w:pStyle w:val="Sansinterligne"/>
              <w:rPr>
                <w:b/>
                <w:sz w:val="18"/>
                <w:szCs w:val="18"/>
              </w:rPr>
            </w:pPr>
            <w:r w:rsidRPr="000B7A8E">
              <w:rPr>
                <w:b/>
                <w:sz w:val="18"/>
                <w:szCs w:val="18"/>
              </w:rPr>
              <w:t>0.00</w:t>
            </w:r>
            <w:r w:rsidR="0008024F" w:rsidRPr="000B7A8E">
              <w:rPr>
                <w:b/>
                <w:sz w:val="18"/>
                <w:szCs w:val="18"/>
              </w:rPr>
              <w:t>9</w:t>
            </w:r>
          </w:p>
        </w:tc>
      </w:tr>
      <w:tr w:rsidR="0054358D" w14:paraId="6EA8A8E1" w14:textId="77777777" w:rsidTr="00996D96">
        <w:tc>
          <w:tcPr>
            <w:tcW w:w="237" w:type="dxa"/>
            <w:tcBorders>
              <w:top w:val="nil"/>
              <w:left w:val="nil"/>
              <w:bottom w:val="nil"/>
              <w:right w:val="nil"/>
            </w:tcBorders>
            <w:vAlign w:val="center"/>
          </w:tcPr>
          <w:p w14:paraId="7BC8830D"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56588954" w14:textId="77777777" w:rsidR="0054358D" w:rsidRDefault="0054358D" w:rsidP="00996D96">
            <w:pPr>
              <w:pStyle w:val="Sansinterligne"/>
              <w:rPr>
                <w:sz w:val="18"/>
                <w:szCs w:val="18"/>
              </w:rPr>
            </w:pPr>
            <w:r>
              <w:rPr>
                <w:sz w:val="18"/>
                <w:szCs w:val="18"/>
              </w:rPr>
              <w:t>PCB 157</w:t>
            </w:r>
          </w:p>
        </w:tc>
        <w:tc>
          <w:tcPr>
            <w:tcW w:w="1134" w:type="dxa"/>
            <w:tcBorders>
              <w:top w:val="nil"/>
              <w:left w:val="nil"/>
              <w:bottom w:val="nil"/>
              <w:right w:val="nil"/>
            </w:tcBorders>
            <w:vAlign w:val="center"/>
            <w:hideMark/>
          </w:tcPr>
          <w:p w14:paraId="1D9932CF" w14:textId="77777777" w:rsidR="0054358D" w:rsidRPr="00F71AF0" w:rsidRDefault="00C41317" w:rsidP="00996D96">
            <w:pPr>
              <w:pStyle w:val="Sansinterligne"/>
              <w:rPr>
                <w:color w:val="000000"/>
                <w:sz w:val="18"/>
                <w:szCs w:val="18"/>
                <w:highlight w:val="yellow"/>
              </w:rPr>
            </w:pPr>
            <w:r w:rsidRPr="00C41317">
              <w:rPr>
                <w:color w:val="000000"/>
                <w:sz w:val="18"/>
                <w:szCs w:val="18"/>
              </w:rPr>
              <w:t>337779</w:t>
            </w:r>
          </w:p>
        </w:tc>
        <w:tc>
          <w:tcPr>
            <w:tcW w:w="1417" w:type="dxa"/>
            <w:tcBorders>
              <w:top w:val="nil"/>
              <w:left w:val="nil"/>
              <w:bottom w:val="nil"/>
              <w:right w:val="nil"/>
            </w:tcBorders>
            <w:vAlign w:val="center"/>
            <w:hideMark/>
          </w:tcPr>
          <w:p w14:paraId="193EFA21" w14:textId="77777777" w:rsidR="0054358D" w:rsidRPr="00F71AF0" w:rsidRDefault="00C41317" w:rsidP="00996D96">
            <w:pPr>
              <w:pStyle w:val="Sansinterligne"/>
              <w:rPr>
                <w:color w:val="000000"/>
                <w:sz w:val="18"/>
                <w:szCs w:val="18"/>
                <w:highlight w:val="yellow"/>
              </w:rPr>
            </w:pPr>
            <w:r w:rsidRPr="00C41317">
              <w:rPr>
                <w:color w:val="000000"/>
                <w:sz w:val="18"/>
                <w:szCs w:val="18"/>
              </w:rPr>
              <w:t>87466</w:t>
            </w:r>
          </w:p>
        </w:tc>
        <w:tc>
          <w:tcPr>
            <w:tcW w:w="851" w:type="dxa"/>
            <w:tcBorders>
              <w:top w:val="nil"/>
              <w:left w:val="nil"/>
              <w:bottom w:val="nil"/>
              <w:right w:val="nil"/>
            </w:tcBorders>
            <w:vAlign w:val="center"/>
            <w:hideMark/>
          </w:tcPr>
          <w:p w14:paraId="200E900B" w14:textId="77777777" w:rsidR="0054358D" w:rsidRDefault="0054358D" w:rsidP="00996D96">
            <w:pPr>
              <w:pStyle w:val="Sansinterligne"/>
              <w:rPr>
                <w:sz w:val="18"/>
                <w:szCs w:val="18"/>
              </w:rPr>
            </w:pPr>
            <w:r>
              <w:rPr>
                <w:sz w:val="18"/>
                <w:szCs w:val="18"/>
              </w:rPr>
              <w:t>0.00003</w:t>
            </w:r>
          </w:p>
        </w:tc>
        <w:tc>
          <w:tcPr>
            <w:tcW w:w="1134" w:type="dxa"/>
            <w:tcBorders>
              <w:top w:val="nil"/>
              <w:left w:val="nil"/>
              <w:bottom w:val="nil"/>
              <w:right w:val="nil"/>
            </w:tcBorders>
            <w:vAlign w:val="center"/>
            <w:hideMark/>
          </w:tcPr>
          <w:p w14:paraId="69B8B77B" w14:textId="77777777" w:rsidR="0054358D" w:rsidRPr="00F71AF0" w:rsidRDefault="00C41317" w:rsidP="00996D96">
            <w:pPr>
              <w:pStyle w:val="Sansinterligne"/>
              <w:rPr>
                <w:color w:val="000000"/>
                <w:sz w:val="18"/>
                <w:szCs w:val="18"/>
                <w:highlight w:val="yellow"/>
              </w:rPr>
            </w:pPr>
            <w:r>
              <w:rPr>
                <w:color w:val="000000"/>
                <w:sz w:val="18"/>
                <w:szCs w:val="18"/>
              </w:rPr>
              <w:t>10,1</w:t>
            </w:r>
          </w:p>
        </w:tc>
        <w:tc>
          <w:tcPr>
            <w:tcW w:w="992" w:type="dxa"/>
            <w:tcBorders>
              <w:top w:val="nil"/>
              <w:left w:val="nil"/>
              <w:bottom w:val="nil"/>
              <w:right w:val="nil"/>
            </w:tcBorders>
            <w:vAlign w:val="center"/>
            <w:hideMark/>
          </w:tcPr>
          <w:p w14:paraId="6E63E071" w14:textId="77777777" w:rsidR="0054358D" w:rsidRPr="00F71AF0" w:rsidRDefault="00C41317" w:rsidP="00996D96">
            <w:pPr>
              <w:pStyle w:val="Sansinterligne"/>
              <w:rPr>
                <w:color w:val="000000"/>
                <w:sz w:val="18"/>
                <w:szCs w:val="18"/>
                <w:highlight w:val="yellow"/>
              </w:rPr>
            </w:pPr>
            <w:r w:rsidRPr="00C41317">
              <w:rPr>
                <w:color w:val="000000"/>
                <w:sz w:val="18"/>
                <w:szCs w:val="18"/>
              </w:rPr>
              <w:t>2,62</w:t>
            </w:r>
          </w:p>
        </w:tc>
        <w:tc>
          <w:tcPr>
            <w:tcW w:w="992" w:type="dxa"/>
            <w:tcBorders>
              <w:top w:val="nil"/>
              <w:left w:val="nil"/>
              <w:bottom w:val="nil"/>
              <w:right w:val="nil"/>
            </w:tcBorders>
            <w:hideMark/>
          </w:tcPr>
          <w:p w14:paraId="08A64B6F" w14:textId="77777777" w:rsidR="0054358D" w:rsidRPr="000B7A8E" w:rsidRDefault="0054358D" w:rsidP="0008024F">
            <w:pPr>
              <w:pStyle w:val="Sansinterligne"/>
              <w:rPr>
                <w:b/>
                <w:color w:val="000000"/>
                <w:sz w:val="18"/>
                <w:szCs w:val="18"/>
              </w:rPr>
            </w:pPr>
            <w:r w:rsidRPr="000B7A8E">
              <w:rPr>
                <w:b/>
                <w:color w:val="000000"/>
                <w:sz w:val="18"/>
                <w:szCs w:val="18"/>
              </w:rPr>
              <w:t>0.0</w:t>
            </w:r>
            <w:r w:rsidR="0008024F" w:rsidRPr="000B7A8E">
              <w:rPr>
                <w:b/>
                <w:color w:val="000000"/>
                <w:sz w:val="18"/>
                <w:szCs w:val="18"/>
              </w:rPr>
              <w:t>09</w:t>
            </w:r>
          </w:p>
        </w:tc>
      </w:tr>
      <w:tr w:rsidR="0054358D" w14:paraId="12911E08" w14:textId="77777777" w:rsidTr="00996D96">
        <w:tc>
          <w:tcPr>
            <w:tcW w:w="237" w:type="dxa"/>
            <w:tcBorders>
              <w:top w:val="nil"/>
              <w:left w:val="nil"/>
              <w:bottom w:val="nil"/>
              <w:right w:val="nil"/>
            </w:tcBorders>
            <w:vAlign w:val="center"/>
          </w:tcPr>
          <w:p w14:paraId="5763AB7C"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25B695AE" w14:textId="77777777" w:rsidR="0054358D" w:rsidRDefault="0054358D" w:rsidP="00996D96">
            <w:pPr>
              <w:pStyle w:val="Sansinterligne"/>
              <w:rPr>
                <w:sz w:val="18"/>
                <w:szCs w:val="18"/>
              </w:rPr>
            </w:pPr>
            <w:r>
              <w:rPr>
                <w:sz w:val="18"/>
                <w:szCs w:val="18"/>
              </w:rPr>
              <w:t>PCB 167</w:t>
            </w:r>
          </w:p>
        </w:tc>
        <w:tc>
          <w:tcPr>
            <w:tcW w:w="1134" w:type="dxa"/>
            <w:tcBorders>
              <w:top w:val="nil"/>
              <w:left w:val="nil"/>
              <w:bottom w:val="nil"/>
              <w:right w:val="nil"/>
            </w:tcBorders>
            <w:vAlign w:val="center"/>
            <w:hideMark/>
          </w:tcPr>
          <w:p w14:paraId="689901AF" w14:textId="77777777" w:rsidR="0054358D" w:rsidRPr="00F71AF0" w:rsidRDefault="00C41317" w:rsidP="00996D96">
            <w:pPr>
              <w:pStyle w:val="Sansinterligne"/>
              <w:rPr>
                <w:color w:val="000000"/>
                <w:sz w:val="18"/>
                <w:szCs w:val="18"/>
                <w:highlight w:val="yellow"/>
              </w:rPr>
            </w:pPr>
            <w:r w:rsidRPr="00C41317">
              <w:rPr>
                <w:color w:val="000000"/>
                <w:sz w:val="18"/>
                <w:szCs w:val="18"/>
              </w:rPr>
              <w:t>889783</w:t>
            </w:r>
          </w:p>
        </w:tc>
        <w:tc>
          <w:tcPr>
            <w:tcW w:w="1417" w:type="dxa"/>
            <w:tcBorders>
              <w:top w:val="nil"/>
              <w:left w:val="nil"/>
              <w:bottom w:val="nil"/>
              <w:right w:val="nil"/>
            </w:tcBorders>
            <w:vAlign w:val="center"/>
            <w:hideMark/>
          </w:tcPr>
          <w:p w14:paraId="50E28FBC" w14:textId="77777777" w:rsidR="0054358D" w:rsidRPr="00F71AF0" w:rsidRDefault="00C41317" w:rsidP="00996D96">
            <w:pPr>
              <w:pStyle w:val="Sansinterligne"/>
              <w:rPr>
                <w:color w:val="000000"/>
                <w:sz w:val="18"/>
                <w:szCs w:val="18"/>
                <w:highlight w:val="yellow"/>
              </w:rPr>
            </w:pPr>
            <w:r w:rsidRPr="00C41317">
              <w:rPr>
                <w:color w:val="000000"/>
                <w:sz w:val="18"/>
                <w:szCs w:val="18"/>
              </w:rPr>
              <w:t>257795</w:t>
            </w:r>
          </w:p>
        </w:tc>
        <w:tc>
          <w:tcPr>
            <w:tcW w:w="851" w:type="dxa"/>
            <w:tcBorders>
              <w:top w:val="nil"/>
              <w:left w:val="nil"/>
              <w:bottom w:val="nil"/>
              <w:right w:val="nil"/>
            </w:tcBorders>
            <w:vAlign w:val="center"/>
            <w:hideMark/>
          </w:tcPr>
          <w:p w14:paraId="1EB0EE20" w14:textId="77777777" w:rsidR="0054358D" w:rsidRDefault="0054358D" w:rsidP="00996D96">
            <w:pPr>
              <w:pStyle w:val="Sansinterligne"/>
              <w:rPr>
                <w:sz w:val="18"/>
                <w:szCs w:val="18"/>
              </w:rPr>
            </w:pPr>
            <w:r>
              <w:rPr>
                <w:sz w:val="18"/>
                <w:szCs w:val="18"/>
              </w:rPr>
              <w:t>0.00003</w:t>
            </w:r>
          </w:p>
        </w:tc>
        <w:tc>
          <w:tcPr>
            <w:tcW w:w="1134" w:type="dxa"/>
            <w:tcBorders>
              <w:top w:val="nil"/>
              <w:left w:val="nil"/>
              <w:bottom w:val="nil"/>
              <w:right w:val="nil"/>
            </w:tcBorders>
            <w:vAlign w:val="center"/>
            <w:hideMark/>
          </w:tcPr>
          <w:p w14:paraId="04ABF867" w14:textId="77777777" w:rsidR="0054358D" w:rsidRPr="00F71AF0" w:rsidRDefault="00C41317" w:rsidP="00996D96">
            <w:pPr>
              <w:pStyle w:val="Sansinterligne"/>
              <w:rPr>
                <w:color w:val="000000"/>
                <w:sz w:val="18"/>
                <w:szCs w:val="18"/>
                <w:highlight w:val="yellow"/>
              </w:rPr>
            </w:pPr>
            <w:r>
              <w:rPr>
                <w:color w:val="000000"/>
                <w:sz w:val="18"/>
                <w:szCs w:val="18"/>
              </w:rPr>
              <w:t>26,7</w:t>
            </w:r>
          </w:p>
        </w:tc>
        <w:tc>
          <w:tcPr>
            <w:tcW w:w="992" w:type="dxa"/>
            <w:tcBorders>
              <w:top w:val="nil"/>
              <w:left w:val="nil"/>
              <w:bottom w:val="nil"/>
              <w:right w:val="nil"/>
            </w:tcBorders>
            <w:vAlign w:val="center"/>
            <w:hideMark/>
          </w:tcPr>
          <w:p w14:paraId="5465326D" w14:textId="77777777" w:rsidR="0054358D" w:rsidRPr="00F71AF0" w:rsidRDefault="00C41317" w:rsidP="00996D96">
            <w:pPr>
              <w:pStyle w:val="Sansinterligne"/>
              <w:rPr>
                <w:color w:val="000000"/>
                <w:sz w:val="18"/>
                <w:szCs w:val="18"/>
                <w:highlight w:val="yellow"/>
              </w:rPr>
            </w:pPr>
            <w:r w:rsidRPr="00C41317">
              <w:rPr>
                <w:color w:val="000000"/>
                <w:sz w:val="18"/>
                <w:szCs w:val="18"/>
              </w:rPr>
              <w:t>7,73</w:t>
            </w:r>
          </w:p>
        </w:tc>
        <w:tc>
          <w:tcPr>
            <w:tcW w:w="992" w:type="dxa"/>
            <w:tcBorders>
              <w:top w:val="nil"/>
              <w:left w:val="nil"/>
              <w:bottom w:val="nil"/>
              <w:right w:val="nil"/>
            </w:tcBorders>
            <w:hideMark/>
          </w:tcPr>
          <w:p w14:paraId="494C637A" w14:textId="77777777" w:rsidR="0054358D" w:rsidRPr="000B7A8E" w:rsidRDefault="0054358D" w:rsidP="0008024F">
            <w:pPr>
              <w:pStyle w:val="Sansinterligne"/>
              <w:rPr>
                <w:b/>
                <w:sz w:val="18"/>
                <w:szCs w:val="18"/>
              </w:rPr>
            </w:pPr>
            <w:r w:rsidRPr="000B7A8E">
              <w:rPr>
                <w:b/>
                <w:sz w:val="18"/>
                <w:szCs w:val="18"/>
              </w:rPr>
              <w:t>0.00</w:t>
            </w:r>
            <w:r w:rsidR="0008024F" w:rsidRPr="000B7A8E">
              <w:rPr>
                <w:b/>
                <w:sz w:val="18"/>
                <w:szCs w:val="18"/>
              </w:rPr>
              <w:t>9</w:t>
            </w:r>
          </w:p>
        </w:tc>
      </w:tr>
      <w:tr w:rsidR="0054358D" w14:paraId="16F1ACD0" w14:textId="77777777" w:rsidTr="00976F24">
        <w:trPr>
          <w:trHeight w:val="80"/>
        </w:trPr>
        <w:tc>
          <w:tcPr>
            <w:tcW w:w="237" w:type="dxa"/>
            <w:tcBorders>
              <w:top w:val="nil"/>
              <w:left w:val="nil"/>
              <w:bottom w:val="nil"/>
              <w:right w:val="nil"/>
            </w:tcBorders>
            <w:vAlign w:val="center"/>
          </w:tcPr>
          <w:p w14:paraId="6439E329" w14:textId="77777777" w:rsidR="0054358D" w:rsidRDefault="0054358D" w:rsidP="00996D96">
            <w:pPr>
              <w:pStyle w:val="Sansinterligne"/>
              <w:rPr>
                <w:sz w:val="18"/>
                <w:szCs w:val="18"/>
              </w:rPr>
            </w:pPr>
          </w:p>
        </w:tc>
        <w:tc>
          <w:tcPr>
            <w:tcW w:w="2565" w:type="dxa"/>
            <w:tcBorders>
              <w:top w:val="nil"/>
              <w:left w:val="nil"/>
              <w:bottom w:val="nil"/>
              <w:right w:val="nil"/>
            </w:tcBorders>
            <w:vAlign w:val="center"/>
            <w:hideMark/>
          </w:tcPr>
          <w:p w14:paraId="1BCC75F6" w14:textId="77777777" w:rsidR="0054358D" w:rsidRDefault="0054358D" w:rsidP="00996D96">
            <w:pPr>
              <w:pStyle w:val="Sansinterligne"/>
              <w:rPr>
                <w:sz w:val="18"/>
                <w:szCs w:val="18"/>
              </w:rPr>
            </w:pPr>
            <w:r>
              <w:rPr>
                <w:sz w:val="18"/>
                <w:szCs w:val="18"/>
              </w:rPr>
              <w:t>PCB 189</w:t>
            </w:r>
          </w:p>
        </w:tc>
        <w:tc>
          <w:tcPr>
            <w:tcW w:w="1134" w:type="dxa"/>
            <w:tcBorders>
              <w:top w:val="nil"/>
              <w:left w:val="nil"/>
              <w:bottom w:val="nil"/>
              <w:right w:val="nil"/>
            </w:tcBorders>
            <w:vAlign w:val="center"/>
            <w:hideMark/>
          </w:tcPr>
          <w:p w14:paraId="0DD61E96" w14:textId="77777777" w:rsidR="0054358D" w:rsidRPr="00F71AF0" w:rsidRDefault="00C41317" w:rsidP="00996D96">
            <w:pPr>
              <w:pStyle w:val="Sansinterligne"/>
              <w:rPr>
                <w:color w:val="000000"/>
                <w:sz w:val="18"/>
                <w:szCs w:val="18"/>
                <w:highlight w:val="yellow"/>
              </w:rPr>
            </w:pPr>
            <w:r w:rsidRPr="00C41317">
              <w:rPr>
                <w:color w:val="000000"/>
                <w:sz w:val="18"/>
                <w:szCs w:val="18"/>
              </w:rPr>
              <w:t>364275</w:t>
            </w:r>
          </w:p>
        </w:tc>
        <w:tc>
          <w:tcPr>
            <w:tcW w:w="1417" w:type="dxa"/>
            <w:tcBorders>
              <w:top w:val="nil"/>
              <w:left w:val="nil"/>
              <w:bottom w:val="nil"/>
              <w:right w:val="nil"/>
            </w:tcBorders>
            <w:vAlign w:val="center"/>
            <w:hideMark/>
          </w:tcPr>
          <w:p w14:paraId="6A600727" w14:textId="77777777" w:rsidR="0054358D" w:rsidRPr="00F71AF0" w:rsidRDefault="00C41317" w:rsidP="00996D96">
            <w:pPr>
              <w:pStyle w:val="Sansinterligne"/>
              <w:rPr>
                <w:color w:val="000000"/>
                <w:sz w:val="18"/>
                <w:szCs w:val="18"/>
                <w:highlight w:val="yellow"/>
              </w:rPr>
            </w:pPr>
            <w:r w:rsidRPr="00C41317">
              <w:rPr>
                <w:color w:val="000000"/>
                <w:sz w:val="18"/>
                <w:szCs w:val="18"/>
              </w:rPr>
              <w:t>102574</w:t>
            </w:r>
          </w:p>
        </w:tc>
        <w:tc>
          <w:tcPr>
            <w:tcW w:w="851" w:type="dxa"/>
            <w:tcBorders>
              <w:top w:val="nil"/>
              <w:left w:val="nil"/>
              <w:bottom w:val="nil"/>
              <w:right w:val="nil"/>
            </w:tcBorders>
            <w:vAlign w:val="center"/>
            <w:hideMark/>
          </w:tcPr>
          <w:p w14:paraId="00FF58E2" w14:textId="77777777" w:rsidR="0054358D" w:rsidRDefault="0054358D" w:rsidP="00996D96">
            <w:pPr>
              <w:pStyle w:val="Sansinterligne"/>
              <w:rPr>
                <w:color w:val="000000"/>
                <w:sz w:val="18"/>
                <w:szCs w:val="18"/>
              </w:rPr>
            </w:pPr>
            <w:r>
              <w:rPr>
                <w:color w:val="000000"/>
                <w:sz w:val="18"/>
                <w:szCs w:val="18"/>
              </w:rPr>
              <w:t>0.00003</w:t>
            </w:r>
          </w:p>
        </w:tc>
        <w:tc>
          <w:tcPr>
            <w:tcW w:w="1134" w:type="dxa"/>
            <w:tcBorders>
              <w:top w:val="nil"/>
              <w:left w:val="nil"/>
              <w:bottom w:val="nil"/>
              <w:right w:val="nil"/>
            </w:tcBorders>
            <w:vAlign w:val="center"/>
            <w:hideMark/>
          </w:tcPr>
          <w:p w14:paraId="5F01974A" w14:textId="77777777" w:rsidR="0054358D" w:rsidRPr="00F71AF0" w:rsidRDefault="00C41317" w:rsidP="00996D96">
            <w:pPr>
              <w:pStyle w:val="Sansinterligne"/>
              <w:rPr>
                <w:color w:val="000000"/>
                <w:sz w:val="18"/>
                <w:szCs w:val="18"/>
                <w:highlight w:val="yellow"/>
              </w:rPr>
            </w:pPr>
            <w:r>
              <w:rPr>
                <w:color w:val="000000"/>
                <w:sz w:val="18"/>
                <w:szCs w:val="18"/>
              </w:rPr>
              <w:t>10,9</w:t>
            </w:r>
          </w:p>
        </w:tc>
        <w:tc>
          <w:tcPr>
            <w:tcW w:w="992" w:type="dxa"/>
            <w:tcBorders>
              <w:top w:val="nil"/>
              <w:left w:val="nil"/>
              <w:bottom w:val="nil"/>
              <w:right w:val="nil"/>
            </w:tcBorders>
            <w:vAlign w:val="center"/>
            <w:hideMark/>
          </w:tcPr>
          <w:p w14:paraId="5B15CCC5" w14:textId="77777777" w:rsidR="0054358D" w:rsidRPr="00F71AF0" w:rsidRDefault="00C41317" w:rsidP="00996D96">
            <w:pPr>
              <w:pStyle w:val="Sansinterligne"/>
              <w:rPr>
                <w:color w:val="000000"/>
                <w:sz w:val="18"/>
                <w:szCs w:val="18"/>
                <w:highlight w:val="yellow"/>
              </w:rPr>
            </w:pPr>
            <w:r w:rsidRPr="00C41317">
              <w:rPr>
                <w:color w:val="000000"/>
                <w:sz w:val="18"/>
                <w:szCs w:val="18"/>
              </w:rPr>
              <w:t>3,08</w:t>
            </w:r>
          </w:p>
        </w:tc>
        <w:tc>
          <w:tcPr>
            <w:tcW w:w="992" w:type="dxa"/>
            <w:tcBorders>
              <w:top w:val="nil"/>
              <w:left w:val="nil"/>
              <w:bottom w:val="nil"/>
              <w:right w:val="nil"/>
            </w:tcBorders>
            <w:hideMark/>
          </w:tcPr>
          <w:p w14:paraId="6E5D9388" w14:textId="77777777" w:rsidR="0054358D" w:rsidRPr="000B7A8E" w:rsidRDefault="0054358D" w:rsidP="0008024F">
            <w:pPr>
              <w:pStyle w:val="Sansinterligne"/>
              <w:rPr>
                <w:b/>
                <w:color w:val="000000"/>
                <w:sz w:val="18"/>
                <w:szCs w:val="18"/>
              </w:rPr>
            </w:pPr>
            <w:r w:rsidRPr="000B7A8E">
              <w:rPr>
                <w:b/>
                <w:color w:val="000000"/>
                <w:sz w:val="18"/>
                <w:szCs w:val="18"/>
              </w:rPr>
              <w:t>0.0</w:t>
            </w:r>
            <w:r w:rsidR="0008024F" w:rsidRPr="000B7A8E">
              <w:rPr>
                <w:b/>
                <w:color w:val="000000"/>
                <w:sz w:val="18"/>
                <w:szCs w:val="18"/>
              </w:rPr>
              <w:t>09</w:t>
            </w:r>
          </w:p>
        </w:tc>
      </w:tr>
      <w:tr w:rsidR="0054358D" w14:paraId="30F8878A" w14:textId="77777777" w:rsidTr="00996D96">
        <w:trPr>
          <w:trHeight w:val="375"/>
        </w:trPr>
        <w:tc>
          <w:tcPr>
            <w:tcW w:w="2802" w:type="dxa"/>
            <w:gridSpan w:val="2"/>
            <w:tcBorders>
              <w:top w:val="nil"/>
              <w:left w:val="nil"/>
              <w:bottom w:val="nil"/>
              <w:right w:val="nil"/>
            </w:tcBorders>
            <w:vAlign w:val="center"/>
            <w:hideMark/>
          </w:tcPr>
          <w:p w14:paraId="507F6A53" w14:textId="77777777" w:rsidR="0054358D" w:rsidRPr="00802FE9" w:rsidRDefault="0054358D" w:rsidP="00996D96">
            <w:pPr>
              <w:pStyle w:val="Sansinterligne"/>
              <w:rPr>
                <w:b/>
                <w:lang w:val="en-GB"/>
              </w:rPr>
            </w:pPr>
            <w:r w:rsidRPr="00802FE9">
              <w:rPr>
                <w:b/>
                <w:lang w:val="en-GB"/>
              </w:rPr>
              <w:t xml:space="preserve">∑ DL-PCBs </w:t>
            </w:r>
            <w:r w:rsidRPr="00802FE9">
              <w:rPr>
                <w:b/>
                <w:sz w:val="18"/>
                <w:szCs w:val="18"/>
                <w:lang w:val="en-GB"/>
              </w:rPr>
              <w:t>(non-ortho PCBs and mono-ortho PCBs)</w:t>
            </w:r>
          </w:p>
        </w:tc>
        <w:tc>
          <w:tcPr>
            <w:tcW w:w="1134" w:type="dxa"/>
            <w:tcBorders>
              <w:top w:val="nil"/>
              <w:left w:val="nil"/>
              <w:bottom w:val="nil"/>
              <w:right w:val="nil"/>
            </w:tcBorders>
            <w:vAlign w:val="center"/>
            <w:hideMark/>
          </w:tcPr>
          <w:p w14:paraId="431EC5EC" w14:textId="77777777" w:rsidR="0054358D" w:rsidRPr="00F71AF0" w:rsidRDefault="00C41317" w:rsidP="00996D96">
            <w:pPr>
              <w:pStyle w:val="Sansinterligne"/>
              <w:rPr>
                <w:b/>
                <w:color w:val="000000"/>
                <w:sz w:val="18"/>
                <w:szCs w:val="18"/>
                <w:highlight w:val="yellow"/>
              </w:rPr>
            </w:pPr>
            <w:r w:rsidRPr="00C41317">
              <w:rPr>
                <w:b/>
                <w:color w:val="000000"/>
                <w:sz w:val="18"/>
                <w:szCs w:val="18"/>
              </w:rPr>
              <w:t>8056008</w:t>
            </w:r>
          </w:p>
        </w:tc>
        <w:tc>
          <w:tcPr>
            <w:tcW w:w="1417" w:type="dxa"/>
            <w:tcBorders>
              <w:top w:val="nil"/>
              <w:left w:val="nil"/>
              <w:bottom w:val="nil"/>
              <w:right w:val="nil"/>
            </w:tcBorders>
            <w:vAlign w:val="center"/>
            <w:hideMark/>
          </w:tcPr>
          <w:p w14:paraId="0E9BCB6D" w14:textId="77777777" w:rsidR="0054358D" w:rsidRPr="00F71AF0" w:rsidRDefault="00C41317" w:rsidP="00996D96">
            <w:pPr>
              <w:pStyle w:val="Sansinterligne"/>
              <w:rPr>
                <w:b/>
                <w:color w:val="000000"/>
                <w:sz w:val="18"/>
                <w:szCs w:val="18"/>
                <w:highlight w:val="yellow"/>
              </w:rPr>
            </w:pPr>
            <w:r w:rsidRPr="00C41317">
              <w:rPr>
                <w:b/>
                <w:color w:val="000000"/>
                <w:sz w:val="18"/>
                <w:szCs w:val="18"/>
              </w:rPr>
              <w:t>2616467</w:t>
            </w:r>
          </w:p>
        </w:tc>
        <w:tc>
          <w:tcPr>
            <w:tcW w:w="851" w:type="dxa"/>
            <w:tcBorders>
              <w:top w:val="nil"/>
              <w:left w:val="nil"/>
              <w:bottom w:val="nil"/>
              <w:right w:val="nil"/>
            </w:tcBorders>
            <w:vAlign w:val="center"/>
          </w:tcPr>
          <w:p w14:paraId="09D7BC2A" w14:textId="77777777" w:rsidR="0054358D" w:rsidRPr="00802FE9" w:rsidRDefault="0054358D" w:rsidP="00996D96">
            <w:pPr>
              <w:pStyle w:val="Sansinterligne"/>
              <w:rPr>
                <w:b/>
                <w:color w:val="000000"/>
                <w:sz w:val="18"/>
                <w:szCs w:val="18"/>
              </w:rPr>
            </w:pPr>
          </w:p>
        </w:tc>
        <w:tc>
          <w:tcPr>
            <w:tcW w:w="1134" w:type="dxa"/>
            <w:tcBorders>
              <w:top w:val="nil"/>
              <w:left w:val="nil"/>
              <w:bottom w:val="nil"/>
              <w:right w:val="nil"/>
            </w:tcBorders>
            <w:vAlign w:val="center"/>
            <w:hideMark/>
          </w:tcPr>
          <w:p w14:paraId="345A4723" w14:textId="77777777" w:rsidR="0054358D" w:rsidRPr="00F71AF0" w:rsidRDefault="00C41317" w:rsidP="00996D96">
            <w:pPr>
              <w:pStyle w:val="Sansinterligne"/>
              <w:rPr>
                <w:b/>
                <w:sz w:val="18"/>
                <w:szCs w:val="18"/>
                <w:highlight w:val="yellow"/>
              </w:rPr>
            </w:pPr>
            <w:r>
              <w:rPr>
                <w:b/>
                <w:sz w:val="18"/>
                <w:szCs w:val="18"/>
              </w:rPr>
              <w:t>424</w:t>
            </w:r>
          </w:p>
        </w:tc>
        <w:tc>
          <w:tcPr>
            <w:tcW w:w="992" w:type="dxa"/>
            <w:tcBorders>
              <w:top w:val="nil"/>
              <w:left w:val="nil"/>
              <w:bottom w:val="nil"/>
              <w:right w:val="nil"/>
            </w:tcBorders>
            <w:vAlign w:val="center"/>
            <w:hideMark/>
          </w:tcPr>
          <w:p w14:paraId="0667E62E" w14:textId="77777777" w:rsidR="0054358D" w:rsidRPr="00F71AF0" w:rsidRDefault="00C41317" w:rsidP="00AE1D30">
            <w:pPr>
              <w:pStyle w:val="Sansinterligne"/>
              <w:rPr>
                <w:b/>
                <w:color w:val="000000"/>
                <w:sz w:val="18"/>
                <w:szCs w:val="18"/>
                <w:highlight w:val="yellow"/>
              </w:rPr>
            </w:pPr>
            <w:r>
              <w:rPr>
                <w:b/>
                <w:color w:val="000000"/>
                <w:sz w:val="18"/>
                <w:szCs w:val="18"/>
              </w:rPr>
              <w:t>16</w:t>
            </w:r>
            <w:r w:rsidR="00AE1D30">
              <w:rPr>
                <w:b/>
                <w:color w:val="000000"/>
                <w:sz w:val="18"/>
                <w:szCs w:val="18"/>
              </w:rPr>
              <w:t>2.6</w:t>
            </w:r>
          </w:p>
        </w:tc>
        <w:tc>
          <w:tcPr>
            <w:tcW w:w="992" w:type="dxa"/>
            <w:tcBorders>
              <w:top w:val="nil"/>
              <w:left w:val="nil"/>
              <w:bottom w:val="nil"/>
              <w:right w:val="nil"/>
            </w:tcBorders>
            <w:vAlign w:val="center"/>
            <w:hideMark/>
          </w:tcPr>
          <w:p w14:paraId="5AF62BBB" w14:textId="77777777" w:rsidR="0054358D" w:rsidRPr="00802FE9" w:rsidRDefault="0054358D" w:rsidP="0008024F">
            <w:pPr>
              <w:pStyle w:val="Sansinterligne"/>
              <w:rPr>
                <w:b/>
                <w:sz w:val="18"/>
                <w:szCs w:val="18"/>
              </w:rPr>
            </w:pPr>
            <w:r w:rsidRPr="00802FE9">
              <w:rPr>
                <w:b/>
                <w:sz w:val="18"/>
                <w:szCs w:val="18"/>
              </w:rPr>
              <w:t>0.00</w:t>
            </w:r>
            <w:r w:rsidR="0008024F">
              <w:rPr>
                <w:b/>
                <w:sz w:val="18"/>
                <w:szCs w:val="18"/>
              </w:rPr>
              <w:t>9</w:t>
            </w:r>
          </w:p>
        </w:tc>
      </w:tr>
      <w:tr w:rsidR="0054358D" w14:paraId="1494954C" w14:textId="77777777" w:rsidTr="00996D96">
        <w:trPr>
          <w:trHeight w:val="423"/>
        </w:trPr>
        <w:tc>
          <w:tcPr>
            <w:tcW w:w="2802" w:type="dxa"/>
            <w:gridSpan w:val="2"/>
            <w:tcBorders>
              <w:top w:val="nil"/>
              <w:left w:val="nil"/>
              <w:bottom w:val="single" w:sz="12" w:space="0" w:color="auto"/>
              <w:right w:val="nil"/>
            </w:tcBorders>
            <w:vAlign w:val="center"/>
            <w:hideMark/>
          </w:tcPr>
          <w:p w14:paraId="49749478" w14:textId="77777777" w:rsidR="0054358D" w:rsidRDefault="0054358D" w:rsidP="00996D96">
            <w:pPr>
              <w:pStyle w:val="Sansinterligne"/>
              <w:rPr>
                <w:b/>
                <w:lang w:val="en-GB"/>
              </w:rPr>
            </w:pPr>
            <w:r>
              <w:rPr>
                <w:b/>
                <w:lang w:val="en-GB"/>
              </w:rPr>
              <w:t>∑ PCDD/Fs and DL-PCBs</w:t>
            </w:r>
          </w:p>
        </w:tc>
        <w:tc>
          <w:tcPr>
            <w:tcW w:w="1134" w:type="dxa"/>
            <w:tcBorders>
              <w:top w:val="nil"/>
              <w:left w:val="nil"/>
              <w:bottom w:val="single" w:sz="12" w:space="0" w:color="auto"/>
              <w:right w:val="nil"/>
            </w:tcBorders>
            <w:vAlign w:val="center"/>
            <w:hideMark/>
          </w:tcPr>
          <w:p w14:paraId="1870A98C" w14:textId="77777777" w:rsidR="0054358D" w:rsidRPr="00F71AF0" w:rsidRDefault="00C41317" w:rsidP="00996D96">
            <w:pPr>
              <w:pStyle w:val="Sansinterligne"/>
              <w:rPr>
                <w:b/>
                <w:color w:val="000000"/>
                <w:sz w:val="18"/>
                <w:szCs w:val="18"/>
                <w:highlight w:val="yellow"/>
              </w:rPr>
            </w:pPr>
            <w:r w:rsidRPr="00C41317">
              <w:rPr>
                <w:b/>
                <w:color w:val="000000"/>
                <w:sz w:val="18"/>
                <w:szCs w:val="18"/>
              </w:rPr>
              <w:t>8056350</w:t>
            </w:r>
          </w:p>
        </w:tc>
        <w:tc>
          <w:tcPr>
            <w:tcW w:w="1417" w:type="dxa"/>
            <w:tcBorders>
              <w:top w:val="nil"/>
              <w:left w:val="nil"/>
              <w:bottom w:val="single" w:sz="12" w:space="0" w:color="auto"/>
              <w:right w:val="nil"/>
            </w:tcBorders>
            <w:vAlign w:val="center"/>
            <w:hideMark/>
          </w:tcPr>
          <w:p w14:paraId="35250D31" w14:textId="77777777" w:rsidR="0054358D" w:rsidRPr="00F71AF0" w:rsidRDefault="00C41317" w:rsidP="00996D96">
            <w:pPr>
              <w:pStyle w:val="Sansinterligne"/>
              <w:rPr>
                <w:b/>
                <w:color w:val="000000"/>
                <w:sz w:val="18"/>
                <w:szCs w:val="18"/>
                <w:highlight w:val="yellow"/>
              </w:rPr>
            </w:pPr>
            <w:r w:rsidRPr="00C41317">
              <w:rPr>
                <w:b/>
                <w:color w:val="000000"/>
                <w:sz w:val="18"/>
                <w:szCs w:val="18"/>
              </w:rPr>
              <w:t>2616620</w:t>
            </w:r>
          </w:p>
        </w:tc>
        <w:tc>
          <w:tcPr>
            <w:tcW w:w="851" w:type="dxa"/>
            <w:tcBorders>
              <w:top w:val="nil"/>
              <w:left w:val="nil"/>
              <w:bottom w:val="single" w:sz="12" w:space="0" w:color="auto"/>
              <w:right w:val="nil"/>
            </w:tcBorders>
            <w:vAlign w:val="center"/>
          </w:tcPr>
          <w:p w14:paraId="6977E684" w14:textId="77777777" w:rsidR="0054358D" w:rsidRPr="00AE1D30" w:rsidRDefault="0054358D" w:rsidP="00996D96">
            <w:pPr>
              <w:pStyle w:val="Sansinterligne"/>
              <w:rPr>
                <w:b/>
                <w:color w:val="000000"/>
                <w:sz w:val="18"/>
                <w:szCs w:val="18"/>
              </w:rPr>
            </w:pPr>
          </w:p>
        </w:tc>
        <w:tc>
          <w:tcPr>
            <w:tcW w:w="1134" w:type="dxa"/>
            <w:tcBorders>
              <w:top w:val="nil"/>
              <w:left w:val="nil"/>
              <w:bottom w:val="single" w:sz="12" w:space="0" w:color="auto"/>
              <w:right w:val="nil"/>
            </w:tcBorders>
            <w:vAlign w:val="center"/>
            <w:hideMark/>
          </w:tcPr>
          <w:p w14:paraId="37D34E5D" w14:textId="77777777" w:rsidR="0054358D" w:rsidRPr="00AE1D30" w:rsidRDefault="00C41317" w:rsidP="00996D96">
            <w:pPr>
              <w:pStyle w:val="Sansinterligne"/>
              <w:rPr>
                <w:b/>
                <w:sz w:val="18"/>
                <w:szCs w:val="18"/>
              </w:rPr>
            </w:pPr>
            <w:r w:rsidRPr="00AE1D30">
              <w:rPr>
                <w:b/>
                <w:sz w:val="18"/>
                <w:szCs w:val="18"/>
              </w:rPr>
              <w:t>451</w:t>
            </w:r>
          </w:p>
        </w:tc>
        <w:tc>
          <w:tcPr>
            <w:tcW w:w="992" w:type="dxa"/>
            <w:tcBorders>
              <w:top w:val="nil"/>
              <w:left w:val="nil"/>
              <w:bottom w:val="single" w:sz="12" w:space="0" w:color="auto"/>
              <w:right w:val="nil"/>
            </w:tcBorders>
            <w:vAlign w:val="center"/>
            <w:hideMark/>
          </w:tcPr>
          <w:p w14:paraId="40721BA7" w14:textId="77777777" w:rsidR="0054358D" w:rsidRPr="00AE1D30" w:rsidRDefault="00C41317" w:rsidP="00996D96">
            <w:pPr>
              <w:pStyle w:val="Sansinterligne"/>
              <w:rPr>
                <w:b/>
                <w:color w:val="000000"/>
                <w:sz w:val="18"/>
                <w:szCs w:val="18"/>
              </w:rPr>
            </w:pPr>
            <w:r w:rsidRPr="00AE1D30">
              <w:rPr>
                <w:b/>
                <w:color w:val="000000"/>
                <w:sz w:val="18"/>
                <w:szCs w:val="18"/>
              </w:rPr>
              <w:t>171</w:t>
            </w:r>
          </w:p>
        </w:tc>
        <w:tc>
          <w:tcPr>
            <w:tcW w:w="992" w:type="dxa"/>
            <w:tcBorders>
              <w:top w:val="nil"/>
              <w:left w:val="nil"/>
              <w:bottom w:val="single" w:sz="12" w:space="0" w:color="auto"/>
              <w:right w:val="nil"/>
            </w:tcBorders>
            <w:vAlign w:val="center"/>
            <w:hideMark/>
          </w:tcPr>
          <w:p w14:paraId="749BB5A6" w14:textId="77777777" w:rsidR="0054358D" w:rsidRPr="00AE1D30" w:rsidRDefault="0054358D" w:rsidP="0008024F">
            <w:pPr>
              <w:pStyle w:val="Sansinterligne"/>
              <w:rPr>
                <w:b/>
                <w:sz w:val="18"/>
                <w:szCs w:val="18"/>
              </w:rPr>
            </w:pPr>
            <w:r w:rsidRPr="00AE1D30">
              <w:rPr>
                <w:b/>
                <w:sz w:val="18"/>
                <w:szCs w:val="18"/>
              </w:rPr>
              <w:t>0.00</w:t>
            </w:r>
            <w:r w:rsidR="0008024F">
              <w:rPr>
                <w:b/>
                <w:sz w:val="18"/>
                <w:szCs w:val="18"/>
              </w:rPr>
              <w:t>9</w:t>
            </w:r>
          </w:p>
        </w:tc>
      </w:tr>
    </w:tbl>
    <w:p w14:paraId="23303EFB" w14:textId="77777777" w:rsidR="00AE1786" w:rsidRDefault="00AE1786" w:rsidP="00AE1786">
      <w:pPr>
        <w:pStyle w:val="Sansinterligne"/>
        <w:rPr>
          <w:rFonts w:cs="Times New Roman"/>
          <w:sz w:val="18"/>
          <w:szCs w:val="18"/>
          <w:lang w:val="en-GB"/>
        </w:rPr>
      </w:pPr>
      <w:r>
        <w:rPr>
          <w:rFonts w:cs="Times New Roman"/>
          <w:sz w:val="18"/>
          <w:szCs w:val="18"/>
          <w:lang w:val="en-GB"/>
        </w:rPr>
        <w:t>*Data determined on the basis of LOQ</w:t>
      </w:r>
    </w:p>
    <w:p w14:paraId="0CECE9C5" w14:textId="77777777" w:rsidR="006D0B9F" w:rsidRDefault="006D0B9F">
      <w:pPr>
        <w:rPr>
          <w:lang w:val="en-GB"/>
        </w:rPr>
      </w:pPr>
    </w:p>
    <w:p w14:paraId="77D0E216" w14:textId="77777777" w:rsidR="009435DD" w:rsidRDefault="009435DD" w:rsidP="009435DD">
      <w:pPr>
        <w:pStyle w:val="Titre1"/>
        <w:numPr>
          <w:ilvl w:val="0"/>
          <w:numId w:val="0"/>
        </w:numPr>
        <w:spacing w:before="0" w:line="480" w:lineRule="auto"/>
        <w:rPr>
          <w:rFonts w:ascii="Arial" w:hAnsi="Arial" w:cs="Arial"/>
          <w:b/>
          <w:color w:val="1F3864" w:themeColor="accent1" w:themeShade="80"/>
          <w:sz w:val="20"/>
          <w:szCs w:val="20"/>
          <w:lang w:val="en-GB"/>
        </w:rPr>
      </w:pPr>
    </w:p>
    <w:p w14:paraId="237E56B0" w14:textId="77777777" w:rsidR="00F71AF0" w:rsidRDefault="00F71AF0">
      <w:pPr>
        <w:rPr>
          <w:rFonts w:ascii="Arial" w:eastAsiaTheme="majorEastAsia" w:hAnsi="Arial" w:cs="Arial"/>
          <w:b/>
          <w:color w:val="1F3864" w:themeColor="accent1" w:themeShade="80"/>
          <w:sz w:val="20"/>
          <w:szCs w:val="20"/>
          <w:lang w:val="en-GB" w:eastAsia="en-US"/>
        </w:rPr>
      </w:pPr>
      <w:r>
        <w:rPr>
          <w:rFonts w:ascii="Arial" w:hAnsi="Arial" w:cs="Arial"/>
          <w:b/>
          <w:color w:val="1F3864" w:themeColor="accent1" w:themeShade="80"/>
          <w:sz w:val="20"/>
          <w:szCs w:val="20"/>
          <w:lang w:val="en-GB"/>
        </w:rPr>
        <w:br w:type="page"/>
      </w:r>
    </w:p>
    <w:p w14:paraId="40D0589B" w14:textId="77777777" w:rsidR="00996D96" w:rsidRPr="00474F4A" w:rsidRDefault="00996D96" w:rsidP="00996D96">
      <w:pPr>
        <w:rPr>
          <w:lang w:val="en-US"/>
        </w:rPr>
      </w:pPr>
    </w:p>
    <w:p w14:paraId="13E414C4" w14:textId="77777777" w:rsidR="00996D96" w:rsidRPr="00996D96" w:rsidRDefault="00996D96" w:rsidP="009435DD">
      <w:pPr>
        <w:pStyle w:val="Titre1"/>
        <w:numPr>
          <w:ilvl w:val="0"/>
          <w:numId w:val="0"/>
        </w:numPr>
        <w:spacing w:before="0" w:line="480" w:lineRule="auto"/>
        <w:rPr>
          <w:rFonts w:ascii="Arial" w:hAnsi="Arial" w:cs="Arial"/>
          <w:b/>
          <w:color w:val="000000" w:themeColor="text1"/>
          <w:sz w:val="20"/>
          <w:szCs w:val="20"/>
          <w:lang w:val="en-US"/>
        </w:rPr>
      </w:pPr>
      <w:r w:rsidRPr="00996D96">
        <w:rPr>
          <w:rFonts w:ascii="Arial" w:hAnsi="Arial" w:cs="Arial"/>
          <w:b/>
          <w:color w:val="000000" w:themeColor="text1"/>
          <w:sz w:val="20"/>
          <w:szCs w:val="20"/>
          <w:lang w:val="en-US"/>
        </w:rPr>
        <w:t>Table S3: Total mercury concentrations (</w:t>
      </w:r>
      <w:proofErr w:type="spellStart"/>
      <w:r w:rsidRPr="00996D96">
        <w:rPr>
          <w:rFonts w:ascii="Arial" w:hAnsi="Arial" w:cs="Arial"/>
          <w:b/>
          <w:color w:val="000000" w:themeColor="text1"/>
          <w:sz w:val="20"/>
          <w:szCs w:val="20"/>
          <w:lang w:val="en-US"/>
        </w:rPr>
        <w:t>ng.g</w:t>
      </w:r>
      <w:proofErr w:type="spellEnd"/>
      <w:r w:rsidRPr="00996D96">
        <w:rPr>
          <w:rFonts w:ascii="Arial" w:hAnsi="Arial" w:cs="Arial"/>
          <w:b/>
          <w:color w:val="000000" w:themeColor="text1"/>
          <w:sz w:val="20"/>
          <w:szCs w:val="20"/>
          <w:lang w:val="en-US"/>
        </w:rPr>
        <w:t xml:space="preserve"> </w:t>
      </w:r>
      <w:proofErr w:type="spellStart"/>
      <w:r w:rsidRPr="00996D96">
        <w:rPr>
          <w:rFonts w:ascii="Arial" w:hAnsi="Arial" w:cs="Arial"/>
          <w:b/>
          <w:color w:val="000000" w:themeColor="text1"/>
          <w:sz w:val="20"/>
          <w:szCs w:val="20"/>
          <w:lang w:val="en-US"/>
        </w:rPr>
        <w:t>dw</w:t>
      </w:r>
      <w:proofErr w:type="spellEnd"/>
      <w:r w:rsidRPr="00996D96">
        <w:rPr>
          <w:rFonts w:ascii="Arial" w:hAnsi="Arial" w:cs="Arial"/>
          <w:b/>
          <w:color w:val="000000" w:themeColor="text1"/>
          <w:sz w:val="20"/>
          <w:szCs w:val="20"/>
          <w:lang w:val="en-US"/>
        </w:rPr>
        <w:t xml:space="preserve">) in skin of bottlenose dolphins in literature (adapted from </w:t>
      </w:r>
      <w:proofErr w:type="spellStart"/>
      <w:r w:rsidRPr="00996D96">
        <w:rPr>
          <w:rFonts w:ascii="Arial" w:hAnsi="Arial" w:cs="Arial"/>
          <w:b/>
          <w:color w:val="000000" w:themeColor="text1"/>
          <w:sz w:val="20"/>
          <w:szCs w:val="20"/>
          <w:lang w:val="en-US"/>
        </w:rPr>
        <w:t>Damseaux</w:t>
      </w:r>
      <w:proofErr w:type="spellEnd"/>
      <w:r w:rsidRPr="00996D96">
        <w:rPr>
          <w:rFonts w:ascii="Arial" w:hAnsi="Arial" w:cs="Arial"/>
          <w:b/>
          <w:color w:val="000000" w:themeColor="text1"/>
          <w:sz w:val="20"/>
          <w:szCs w:val="20"/>
          <w:lang w:val="en-US"/>
        </w:rPr>
        <w:t xml:space="preserve"> et al. 2016, Supplementary data)</w:t>
      </w:r>
    </w:p>
    <w:tbl>
      <w:tblPr>
        <w:tblStyle w:val="Grilledutableau"/>
        <w:tblW w:w="3564"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987"/>
        <w:gridCol w:w="1157"/>
        <w:gridCol w:w="636"/>
        <w:gridCol w:w="396"/>
        <w:gridCol w:w="683"/>
        <w:gridCol w:w="787"/>
        <w:gridCol w:w="760"/>
        <w:gridCol w:w="1056"/>
      </w:tblGrid>
      <w:tr w:rsidR="00FC6B5E" w:rsidRPr="00C55D22" w14:paraId="7F8DADE6" w14:textId="77777777" w:rsidTr="00E81EC7">
        <w:trPr>
          <w:jc w:val="center"/>
        </w:trPr>
        <w:tc>
          <w:tcPr>
            <w:tcW w:w="746" w:type="pct"/>
            <w:vAlign w:val="center"/>
          </w:tcPr>
          <w:p w14:paraId="2FFD709B" w14:textId="77777777" w:rsidR="00C55D22" w:rsidRPr="00C55D22" w:rsidRDefault="00C55D22" w:rsidP="00996D96">
            <w:pPr>
              <w:rPr>
                <w:b/>
                <w:sz w:val="18"/>
                <w:szCs w:val="18"/>
                <w:lang w:val="en-GB"/>
              </w:rPr>
            </w:pPr>
          </w:p>
        </w:tc>
        <w:tc>
          <w:tcPr>
            <w:tcW w:w="874" w:type="pct"/>
            <w:vAlign w:val="center"/>
          </w:tcPr>
          <w:p w14:paraId="28D5B623" w14:textId="77777777" w:rsidR="00C55D22" w:rsidRPr="00C55D22" w:rsidRDefault="00C55D22" w:rsidP="00996D96">
            <w:pPr>
              <w:jc w:val="center"/>
              <w:rPr>
                <w:b/>
                <w:sz w:val="18"/>
                <w:szCs w:val="18"/>
                <w:lang w:val="en-GB"/>
              </w:rPr>
            </w:pPr>
            <w:r w:rsidRPr="00C55D22">
              <w:rPr>
                <w:b/>
                <w:sz w:val="18"/>
                <w:szCs w:val="18"/>
                <w:lang w:val="en-GB"/>
              </w:rPr>
              <w:t>Localisation</w:t>
            </w:r>
          </w:p>
        </w:tc>
        <w:tc>
          <w:tcPr>
            <w:tcW w:w="481" w:type="pct"/>
            <w:vAlign w:val="center"/>
          </w:tcPr>
          <w:p w14:paraId="29B92FAA" w14:textId="77777777" w:rsidR="00C55D22" w:rsidRPr="00C55D22" w:rsidRDefault="00C55D22" w:rsidP="00996D96">
            <w:pPr>
              <w:jc w:val="center"/>
              <w:rPr>
                <w:b/>
                <w:sz w:val="18"/>
                <w:szCs w:val="18"/>
                <w:lang w:val="en-GB"/>
              </w:rPr>
            </w:pPr>
            <w:r w:rsidRPr="00C55D22">
              <w:rPr>
                <w:b/>
                <w:sz w:val="18"/>
                <w:szCs w:val="18"/>
                <w:lang w:val="en-GB"/>
              </w:rPr>
              <w:t>Date</w:t>
            </w:r>
          </w:p>
        </w:tc>
        <w:tc>
          <w:tcPr>
            <w:tcW w:w="299" w:type="pct"/>
            <w:vAlign w:val="center"/>
          </w:tcPr>
          <w:p w14:paraId="40664328" w14:textId="77777777" w:rsidR="00C55D22" w:rsidRPr="00C55D22" w:rsidRDefault="00C55D22" w:rsidP="00996D96">
            <w:pPr>
              <w:jc w:val="center"/>
              <w:rPr>
                <w:b/>
                <w:sz w:val="18"/>
                <w:szCs w:val="18"/>
                <w:lang w:val="en-GB"/>
              </w:rPr>
            </w:pPr>
            <w:r w:rsidRPr="00C55D22">
              <w:rPr>
                <w:b/>
                <w:sz w:val="18"/>
                <w:szCs w:val="18"/>
                <w:lang w:val="en-GB"/>
              </w:rPr>
              <w:t>n</w:t>
            </w:r>
          </w:p>
        </w:tc>
        <w:tc>
          <w:tcPr>
            <w:tcW w:w="574" w:type="pct"/>
            <w:vAlign w:val="center"/>
          </w:tcPr>
          <w:p w14:paraId="2E2B2A6D" w14:textId="77777777" w:rsidR="00C55D22" w:rsidRPr="00C55D22" w:rsidRDefault="00C55D22" w:rsidP="00996D96">
            <w:pPr>
              <w:jc w:val="center"/>
              <w:rPr>
                <w:b/>
                <w:sz w:val="18"/>
                <w:szCs w:val="18"/>
                <w:lang w:val="en-GB"/>
              </w:rPr>
            </w:pPr>
            <w:r w:rsidRPr="00C55D22">
              <w:rPr>
                <w:b/>
                <w:sz w:val="18"/>
                <w:szCs w:val="18"/>
                <w:lang w:val="en-GB"/>
              </w:rPr>
              <w:t>Mean ± SD</w:t>
            </w:r>
          </w:p>
        </w:tc>
        <w:tc>
          <w:tcPr>
            <w:tcW w:w="595" w:type="pct"/>
            <w:vAlign w:val="center"/>
          </w:tcPr>
          <w:p w14:paraId="490769B8" w14:textId="77777777" w:rsidR="00C55D22" w:rsidRPr="00C55D22" w:rsidRDefault="00C55D22" w:rsidP="00996D96">
            <w:pPr>
              <w:jc w:val="center"/>
              <w:rPr>
                <w:b/>
                <w:sz w:val="18"/>
                <w:szCs w:val="18"/>
                <w:lang w:val="en-GB"/>
              </w:rPr>
            </w:pPr>
            <w:r w:rsidRPr="00C55D22">
              <w:rPr>
                <w:b/>
                <w:sz w:val="18"/>
                <w:szCs w:val="18"/>
                <w:lang w:val="en-GB"/>
              </w:rPr>
              <w:t>median</w:t>
            </w:r>
          </w:p>
        </w:tc>
        <w:tc>
          <w:tcPr>
            <w:tcW w:w="633" w:type="pct"/>
            <w:vAlign w:val="center"/>
          </w:tcPr>
          <w:p w14:paraId="3C6F94AE" w14:textId="77777777" w:rsidR="00C55D22" w:rsidRPr="00C55D22" w:rsidRDefault="00C55D22" w:rsidP="00996D96">
            <w:pPr>
              <w:jc w:val="center"/>
              <w:rPr>
                <w:b/>
                <w:sz w:val="18"/>
                <w:szCs w:val="18"/>
                <w:lang w:val="en-GB"/>
              </w:rPr>
            </w:pPr>
            <w:r w:rsidRPr="00C55D22">
              <w:rPr>
                <w:b/>
                <w:sz w:val="18"/>
                <w:szCs w:val="18"/>
                <w:lang w:val="en-GB"/>
              </w:rPr>
              <w:t>Min-max</w:t>
            </w:r>
          </w:p>
        </w:tc>
        <w:tc>
          <w:tcPr>
            <w:tcW w:w="798" w:type="pct"/>
            <w:vAlign w:val="center"/>
          </w:tcPr>
          <w:p w14:paraId="1FA7B313" w14:textId="77777777" w:rsidR="00C55D22" w:rsidRPr="00C55D22" w:rsidRDefault="00C55D22" w:rsidP="00996D96">
            <w:pPr>
              <w:jc w:val="center"/>
              <w:rPr>
                <w:b/>
                <w:sz w:val="18"/>
                <w:szCs w:val="18"/>
                <w:lang w:val="en-GB"/>
              </w:rPr>
            </w:pPr>
            <w:r w:rsidRPr="00C55D22">
              <w:rPr>
                <w:b/>
                <w:sz w:val="18"/>
                <w:szCs w:val="18"/>
                <w:lang w:val="en-GB"/>
              </w:rPr>
              <w:t>References</w:t>
            </w:r>
          </w:p>
        </w:tc>
      </w:tr>
      <w:tr w:rsidR="00FC6B5E" w:rsidRPr="00C55D22" w14:paraId="0DB1637E" w14:textId="77777777" w:rsidTr="00E81EC7">
        <w:trPr>
          <w:jc w:val="center"/>
        </w:trPr>
        <w:tc>
          <w:tcPr>
            <w:tcW w:w="746" w:type="pct"/>
            <w:vAlign w:val="center"/>
          </w:tcPr>
          <w:p w14:paraId="79555420" w14:textId="77777777" w:rsidR="00C55D22" w:rsidRPr="00921573" w:rsidRDefault="00C55D22" w:rsidP="00996D96">
            <w:pPr>
              <w:rPr>
                <w:b/>
                <w:color w:val="0070C0"/>
                <w:sz w:val="18"/>
                <w:szCs w:val="18"/>
                <w:lang w:val="en-GB"/>
              </w:rPr>
            </w:pPr>
            <w:r w:rsidRPr="00921573">
              <w:rPr>
                <w:b/>
                <w:color w:val="0070C0"/>
                <w:sz w:val="18"/>
                <w:szCs w:val="18"/>
                <w:lang w:val="en-GB"/>
              </w:rPr>
              <w:t>Biopsies</w:t>
            </w:r>
          </w:p>
        </w:tc>
        <w:tc>
          <w:tcPr>
            <w:tcW w:w="874" w:type="pct"/>
            <w:vAlign w:val="center"/>
          </w:tcPr>
          <w:p w14:paraId="59894E54" w14:textId="77777777" w:rsidR="00C55D22" w:rsidRPr="00921573" w:rsidRDefault="00C55D22" w:rsidP="00996D96">
            <w:pPr>
              <w:jc w:val="center"/>
              <w:rPr>
                <w:b/>
                <w:color w:val="0070C0"/>
                <w:sz w:val="18"/>
                <w:szCs w:val="18"/>
                <w:lang w:val="en-GB"/>
              </w:rPr>
            </w:pPr>
            <w:r w:rsidRPr="00921573">
              <w:rPr>
                <w:b/>
                <w:color w:val="0070C0"/>
                <w:sz w:val="18"/>
                <w:szCs w:val="18"/>
                <w:lang w:val="en-GB"/>
              </w:rPr>
              <w:t>English Channel</w:t>
            </w:r>
          </w:p>
        </w:tc>
        <w:tc>
          <w:tcPr>
            <w:tcW w:w="481" w:type="pct"/>
            <w:vAlign w:val="center"/>
          </w:tcPr>
          <w:p w14:paraId="038ECC5A" w14:textId="77777777" w:rsidR="00C55D22" w:rsidRPr="00921573" w:rsidRDefault="00C55D22" w:rsidP="00996D96">
            <w:pPr>
              <w:jc w:val="center"/>
              <w:rPr>
                <w:b/>
                <w:color w:val="0070C0"/>
                <w:sz w:val="18"/>
                <w:szCs w:val="18"/>
                <w:lang w:val="en-GB"/>
              </w:rPr>
            </w:pPr>
            <w:r w:rsidRPr="00921573">
              <w:rPr>
                <w:b/>
                <w:color w:val="0070C0"/>
                <w:sz w:val="18"/>
                <w:szCs w:val="18"/>
                <w:lang w:val="en-GB"/>
              </w:rPr>
              <w:t>2010-2012</w:t>
            </w:r>
          </w:p>
        </w:tc>
        <w:tc>
          <w:tcPr>
            <w:tcW w:w="299" w:type="pct"/>
            <w:vAlign w:val="center"/>
          </w:tcPr>
          <w:p w14:paraId="18425863" w14:textId="77777777" w:rsidR="00C55D22" w:rsidRPr="00921573" w:rsidRDefault="00C55D22" w:rsidP="00996D96">
            <w:pPr>
              <w:jc w:val="center"/>
              <w:rPr>
                <w:b/>
                <w:color w:val="0070C0"/>
                <w:sz w:val="18"/>
                <w:szCs w:val="18"/>
                <w:lang w:val="en-GB"/>
              </w:rPr>
            </w:pPr>
            <w:r w:rsidRPr="00921573">
              <w:rPr>
                <w:b/>
                <w:color w:val="0070C0"/>
                <w:sz w:val="18"/>
                <w:szCs w:val="18"/>
                <w:lang w:val="en-GB"/>
              </w:rPr>
              <w:t>69</w:t>
            </w:r>
          </w:p>
        </w:tc>
        <w:tc>
          <w:tcPr>
            <w:tcW w:w="574" w:type="pct"/>
            <w:vAlign w:val="center"/>
          </w:tcPr>
          <w:p w14:paraId="44459093" w14:textId="77777777" w:rsidR="00C55D22" w:rsidRPr="00921573" w:rsidRDefault="00C55D22" w:rsidP="00996D96">
            <w:pPr>
              <w:jc w:val="center"/>
              <w:rPr>
                <w:b/>
                <w:color w:val="0070C0"/>
                <w:sz w:val="18"/>
                <w:szCs w:val="18"/>
                <w:lang w:val="en-GB"/>
              </w:rPr>
            </w:pPr>
            <w:r w:rsidRPr="00921573">
              <w:rPr>
                <w:b/>
                <w:color w:val="0070C0"/>
                <w:sz w:val="18"/>
                <w:szCs w:val="18"/>
                <w:lang w:val="en-GB"/>
              </w:rPr>
              <w:t>9923</w:t>
            </w:r>
            <w:r w:rsidR="004E3F65" w:rsidRPr="00921573">
              <w:rPr>
                <w:b/>
                <w:color w:val="0070C0"/>
                <w:sz w:val="18"/>
                <w:szCs w:val="18"/>
                <w:lang w:val="en-GB"/>
              </w:rPr>
              <w:t xml:space="preserve"> </w:t>
            </w:r>
            <w:r w:rsidRPr="00921573">
              <w:rPr>
                <w:b/>
                <w:color w:val="0070C0"/>
                <w:sz w:val="18"/>
                <w:szCs w:val="18"/>
                <w:lang w:val="en-GB"/>
              </w:rPr>
              <w:t>±</w:t>
            </w:r>
            <w:r w:rsidR="004E3F65" w:rsidRPr="00921573">
              <w:rPr>
                <w:b/>
                <w:color w:val="0070C0"/>
                <w:sz w:val="18"/>
                <w:szCs w:val="18"/>
                <w:lang w:val="en-GB"/>
              </w:rPr>
              <w:t xml:space="preserve"> </w:t>
            </w:r>
            <w:r w:rsidRPr="00921573">
              <w:rPr>
                <w:b/>
                <w:color w:val="0070C0"/>
                <w:sz w:val="18"/>
                <w:szCs w:val="18"/>
                <w:lang w:val="en-GB"/>
              </w:rPr>
              <w:t>4300</w:t>
            </w:r>
          </w:p>
        </w:tc>
        <w:tc>
          <w:tcPr>
            <w:tcW w:w="595" w:type="pct"/>
            <w:vAlign w:val="center"/>
          </w:tcPr>
          <w:p w14:paraId="3BC84399" w14:textId="77777777" w:rsidR="00C55D22" w:rsidRPr="00921573" w:rsidRDefault="00C55D22" w:rsidP="00996D96">
            <w:pPr>
              <w:jc w:val="center"/>
              <w:rPr>
                <w:b/>
                <w:color w:val="0070C0"/>
                <w:sz w:val="18"/>
                <w:szCs w:val="18"/>
                <w:lang w:val="en-GB"/>
              </w:rPr>
            </w:pPr>
            <w:r w:rsidRPr="00921573">
              <w:rPr>
                <w:b/>
                <w:color w:val="0070C0"/>
                <w:sz w:val="18"/>
                <w:szCs w:val="18"/>
                <w:lang w:val="en-GB"/>
              </w:rPr>
              <w:t>9319</w:t>
            </w:r>
          </w:p>
        </w:tc>
        <w:tc>
          <w:tcPr>
            <w:tcW w:w="633" w:type="pct"/>
            <w:vAlign w:val="center"/>
          </w:tcPr>
          <w:p w14:paraId="0CD62984" w14:textId="77777777" w:rsidR="00C55D22" w:rsidRPr="00921573" w:rsidRDefault="00C55D22" w:rsidP="00996D96">
            <w:pPr>
              <w:jc w:val="center"/>
              <w:rPr>
                <w:b/>
                <w:color w:val="0070C0"/>
                <w:sz w:val="18"/>
                <w:szCs w:val="18"/>
                <w:lang w:val="en-GB"/>
              </w:rPr>
            </w:pPr>
            <w:r w:rsidRPr="00921573">
              <w:rPr>
                <w:b/>
                <w:color w:val="0070C0"/>
                <w:sz w:val="18"/>
                <w:szCs w:val="18"/>
                <w:lang w:val="en-GB"/>
              </w:rPr>
              <w:t>2452-21,293</w:t>
            </w:r>
          </w:p>
        </w:tc>
        <w:tc>
          <w:tcPr>
            <w:tcW w:w="798" w:type="pct"/>
            <w:vAlign w:val="center"/>
          </w:tcPr>
          <w:p w14:paraId="0F0353C5" w14:textId="77777777" w:rsidR="00C55D22" w:rsidRPr="00921573" w:rsidRDefault="00C55D22" w:rsidP="00996D96">
            <w:pPr>
              <w:jc w:val="center"/>
              <w:rPr>
                <w:b/>
                <w:color w:val="0070C0"/>
                <w:sz w:val="18"/>
                <w:szCs w:val="18"/>
                <w:lang w:val="en-GB"/>
              </w:rPr>
            </w:pPr>
            <w:r w:rsidRPr="00921573">
              <w:rPr>
                <w:b/>
                <w:color w:val="0070C0"/>
                <w:sz w:val="18"/>
                <w:szCs w:val="18"/>
                <w:lang w:val="en-GB"/>
              </w:rPr>
              <w:t>Present work</w:t>
            </w:r>
          </w:p>
        </w:tc>
      </w:tr>
      <w:tr w:rsidR="00FC6B5E" w:rsidRPr="00996D96" w14:paraId="45E5A77D" w14:textId="77777777" w:rsidTr="00E81EC7">
        <w:trPr>
          <w:jc w:val="center"/>
        </w:trPr>
        <w:tc>
          <w:tcPr>
            <w:tcW w:w="746" w:type="pct"/>
            <w:vAlign w:val="center"/>
          </w:tcPr>
          <w:p w14:paraId="694291B7" w14:textId="77777777" w:rsidR="004E3F65" w:rsidRPr="00996D96" w:rsidRDefault="004E3F65" w:rsidP="00996D96">
            <w:pPr>
              <w:rPr>
                <w:sz w:val="18"/>
                <w:szCs w:val="18"/>
                <w:lang w:val="en-GB"/>
              </w:rPr>
            </w:pPr>
            <w:r>
              <w:rPr>
                <w:sz w:val="18"/>
                <w:szCs w:val="18"/>
                <w:lang w:val="en-GB"/>
              </w:rPr>
              <w:t>Strandings or bycatch</w:t>
            </w:r>
          </w:p>
        </w:tc>
        <w:tc>
          <w:tcPr>
            <w:tcW w:w="874" w:type="pct"/>
            <w:vAlign w:val="center"/>
          </w:tcPr>
          <w:p w14:paraId="39DD1B7B" w14:textId="77777777" w:rsidR="004E3F65" w:rsidRPr="00996D96" w:rsidRDefault="004E3F65" w:rsidP="00996D96">
            <w:pPr>
              <w:jc w:val="center"/>
              <w:rPr>
                <w:sz w:val="18"/>
                <w:szCs w:val="18"/>
                <w:lang w:val="en-GB"/>
              </w:rPr>
            </w:pPr>
            <w:r>
              <w:rPr>
                <w:sz w:val="18"/>
                <w:szCs w:val="18"/>
                <w:lang w:val="en-GB"/>
              </w:rPr>
              <w:t>Northeast Atlantic</w:t>
            </w:r>
          </w:p>
        </w:tc>
        <w:tc>
          <w:tcPr>
            <w:tcW w:w="481" w:type="pct"/>
            <w:vAlign w:val="center"/>
          </w:tcPr>
          <w:p w14:paraId="72741D24" w14:textId="77777777" w:rsidR="004E3F65" w:rsidRPr="00996D96" w:rsidRDefault="004E3F65" w:rsidP="00996D96">
            <w:pPr>
              <w:jc w:val="center"/>
              <w:rPr>
                <w:sz w:val="18"/>
                <w:szCs w:val="18"/>
                <w:lang w:val="en-GB"/>
              </w:rPr>
            </w:pPr>
            <w:r>
              <w:rPr>
                <w:sz w:val="18"/>
                <w:szCs w:val="18"/>
                <w:lang w:val="en-GB"/>
              </w:rPr>
              <w:t>2001-2008</w:t>
            </w:r>
          </w:p>
        </w:tc>
        <w:tc>
          <w:tcPr>
            <w:tcW w:w="299" w:type="pct"/>
            <w:vAlign w:val="center"/>
          </w:tcPr>
          <w:p w14:paraId="6B8ED7A6" w14:textId="77777777" w:rsidR="004E3F65" w:rsidRPr="00996D96" w:rsidRDefault="004E3F65" w:rsidP="00996D96">
            <w:pPr>
              <w:jc w:val="center"/>
              <w:rPr>
                <w:sz w:val="18"/>
                <w:szCs w:val="18"/>
                <w:lang w:val="en-GB"/>
              </w:rPr>
            </w:pPr>
            <w:r>
              <w:rPr>
                <w:sz w:val="18"/>
                <w:szCs w:val="18"/>
                <w:lang w:val="en-GB"/>
              </w:rPr>
              <w:t>16</w:t>
            </w:r>
          </w:p>
        </w:tc>
        <w:tc>
          <w:tcPr>
            <w:tcW w:w="574" w:type="pct"/>
            <w:vAlign w:val="center"/>
          </w:tcPr>
          <w:p w14:paraId="61F3F8F5" w14:textId="77777777" w:rsidR="004E3F65" w:rsidRPr="00E81EC7" w:rsidRDefault="004E3F65" w:rsidP="00996D96">
            <w:pPr>
              <w:jc w:val="center"/>
              <w:rPr>
                <w:sz w:val="18"/>
                <w:szCs w:val="18"/>
                <w:lang w:val="en-GB"/>
              </w:rPr>
            </w:pPr>
            <w:r w:rsidRPr="00E81EC7">
              <w:rPr>
                <w:color w:val="000000" w:themeColor="text1"/>
                <w:sz w:val="18"/>
                <w:szCs w:val="18"/>
                <w:lang w:val="en-GB"/>
              </w:rPr>
              <w:t>5700 ± 2900</w:t>
            </w:r>
          </w:p>
        </w:tc>
        <w:tc>
          <w:tcPr>
            <w:tcW w:w="595" w:type="pct"/>
            <w:vAlign w:val="center"/>
          </w:tcPr>
          <w:p w14:paraId="67A2C05E" w14:textId="77777777" w:rsidR="004E3F65" w:rsidRPr="00996D96" w:rsidRDefault="004E3F65" w:rsidP="00996D96">
            <w:pPr>
              <w:jc w:val="center"/>
              <w:rPr>
                <w:sz w:val="18"/>
                <w:szCs w:val="18"/>
                <w:lang w:val="en-GB"/>
              </w:rPr>
            </w:pPr>
          </w:p>
        </w:tc>
        <w:tc>
          <w:tcPr>
            <w:tcW w:w="633" w:type="pct"/>
            <w:vAlign w:val="center"/>
          </w:tcPr>
          <w:p w14:paraId="69BACF88" w14:textId="77777777" w:rsidR="004E3F65" w:rsidRPr="00996D96" w:rsidRDefault="004E3F65" w:rsidP="00996D96">
            <w:pPr>
              <w:jc w:val="center"/>
              <w:rPr>
                <w:sz w:val="18"/>
                <w:szCs w:val="18"/>
                <w:lang w:val="en-GB"/>
              </w:rPr>
            </w:pPr>
            <w:r>
              <w:rPr>
                <w:sz w:val="18"/>
                <w:szCs w:val="18"/>
                <w:lang w:val="en-GB"/>
              </w:rPr>
              <w:t>2200-14,400</w:t>
            </w:r>
          </w:p>
        </w:tc>
        <w:tc>
          <w:tcPr>
            <w:tcW w:w="798" w:type="pct"/>
            <w:vAlign w:val="center"/>
          </w:tcPr>
          <w:p w14:paraId="3EB87823" w14:textId="3B4227C3" w:rsidR="004E3F65" w:rsidRPr="001B2BDB" w:rsidRDefault="00FC6B5E" w:rsidP="00996D96">
            <w:pPr>
              <w:jc w:val="center"/>
              <w:rPr>
                <w:sz w:val="18"/>
                <w:szCs w:val="18"/>
                <w:lang w:val="fr-FR"/>
              </w:rPr>
            </w:pPr>
            <w:r>
              <w:rPr>
                <w:sz w:val="18"/>
                <w:szCs w:val="18"/>
                <w:lang w:val="fr-FR"/>
              </w:rPr>
              <w:fldChar w:fldCharType="begin" w:fldLock="1"/>
            </w:r>
            <w:r>
              <w:rPr>
                <w:sz w:val="18"/>
                <w:szCs w:val="18"/>
                <w:lang w:val="fr-FR"/>
              </w:rPr>
              <w:instrText>ADDIN CSL_CITATION {"citationItems":[{"id":"ITEM-1","itemData":{"DOI":"10.1016/j.marpolbul.2013.09.008","ISSN":"0025326X","PMID":"24064373","abstract":"In order to evaluate the use of biopsy samples as non-destructive tool for assessing trace element concentrations in small cetaceans, the concentrations of 14 trace elements were determined in skin, blubber, liver and kidneys of four species of small cetaceans (i.e. common dolphin Delphinus delphis, harbour porpoise Phocoena phocoena, bottlenose dolphin Tursiops truncatus and striped dolphin Stenella coeruleolba), stranded and/or by-caught along the NE Atlantic Ocean coast between 2001 and 2008. Only Cu, Fe, Hg, Mn, Ni and Zn were above the detection limit of the instruments and showed recoveries satisfactory enough to be interpreted. Among these trace elements, Hg was the only one showing a significant correlation between concentrations in and those in liver and kidneys. In consequence skin and blubber can only be used as non-invasive monitoring tissues to investigate Hg bioaccumulation in internal tissues for cetacean populations. © 2013 Elsevier Ltd.","author":[{"dropping-particle":"","family":"Aubail","given":"A.","non-dropping-particle":"","parse-names":false,"suffix":""},{"dropping-particle":"","family":"Méndez-Fernandez","given":"P.","non-dropping-particle":"","parse-names":false,"suffix":""},{"dropping-particle":"","family":"Bustamante","given":"P.","non-dropping-particle":"","parse-names":false,"suffix":""},{"dropping-particle":"","family":"Churlaud","given":"C.","non-dropping-particle":"","parse-names":false,"suffix":""},{"dropping-particle":"","family":"Ferreira","given":"M.","non-dropping-particle":"","parse-names":false,"suffix":""},{"dropping-particle":"V.","family":"Vingada","given":"J.V.","non-dropping-particle":"","parse-names":false,"suffix":""},{"dropping-particle":"","family":"Caurant","given":"F.","non-dropping-particle":"","parse-names":false,"suffix":""}],"container-title":"Marine Pollution Bulletin","id":"ITEM-1","issue":"1-2","issued":{"date-parts":[["2013","11","15"]]},"note":"From Duplicate 1 (Use of skin and blubber tissues of small cetaceans to assess the trace element content of internal organs - Aubail, A.; Méndez-Fernandez, P.; Bustamante, P.; Churlaud, C.; Ferreira, M.; Vingada, J. V.; Caurant, F.)\n\nFrom Duplicate 2 (Use of skin and blubber tissues of small cetaceans to assess the trace element content of internal organs. - Aubail, A; Méndez-Fernandez, P; Bustamante, P; Churlaud, C; Ferreira, M; Vingada, J V; Caurant, F)\n\nIn order to evaluate the use of biopsy samples as non-destructive tool for assessing trace element concentrations in small cetaceans, the concentrations of 14 trace elements were determined in skin, blubber, liver and kidneys of four species of small cetaceans (i.e. common dolphin Delphinus delphis, harbour porpoise Phocoena phocoena, bottlenose dolphin Tursiops truncatus and striped dolphin Stenella coeruleolba), stranded and/or by-caught along the NE Atlantic Ocean coast between 2001 and 2008. Only Cu, Fe, Hg, Mn, Ni and Zn were above the detection limit of the instruments and showed recoveries satisfactory enough to be interpreted. Among these trace elements, Hg was the only one showing a significant correlation between concentrations in and those in liver and kidneys. In consequence skin and blubber can only be used as non-invasive monitoring tissues to investigate Hg bioaccumulation in internal tissues for cetacean populations.","page":"158-169","publisher":"Elsevier Ltd","title":"Use of skin and blubber tissues of small cetaceans to assess the trace element content of internal organs","type":"article-journal","volume":"76"},"uris":["http://www.mendeley.com/documents/?uuid=01366d98-080d-4e74-a4e2-2d15f1541e14"]}],"mendeley":{"formattedCitation":"&lt;sup&gt;1&lt;/sup&gt;","plainTextFormattedCitation":"1","previouslyFormattedCitation":"&lt;sup&gt;1&lt;/sup&gt;"},"properties":{"noteIndex":0},"schema":"https://github.com/citation-style-language/schema/raw/master/csl-citation.json"}</w:instrText>
            </w:r>
            <w:r>
              <w:rPr>
                <w:sz w:val="18"/>
                <w:szCs w:val="18"/>
                <w:lang w:val="fr-FR"/>
              </w:rPr>
              <w:fldChar w:fldCharType="separate"/>
            </w:r>
            <w:r w:rsidRPr="00FC6B5E">
              <w:rPr>
                <w:noProof/>
                <w:sz w:val="18"/>
                <w:szCs w:val="18"/>
                <w:vertAlign w:val="superscript"/>
                <w:lang w:val="fr-FR"/>
              </w:rPr>
              <w:t>1</w:t>
            </w:r>
            <w:r>
              <w:rPr>
                <w:sz w:val="18"/>
                <w:szCs w:val="18"/>
                <w:lang w:val="fr-FR"/>
              </w:rPr>
              <w:fldChar w:fldCharType="end"/>
            </w:r>
          </w:p>
        </w:tc>
      </w:tr>
      <w:tr w:rsidR="00FC6B5E" w:rsidRPr="00996D96" w14:paraId="5BD0347D" w14:textId="77777777" w:rsidTr="00E81EC7">
        <w:trPr>
          <w:jc w:val="center"/>
        </w:trPr>
        <w:tc>
          <w:tcPr>
            <w:tcW w:w="746" w:type="pct"/>
            <w:vAlign w:val="center"/>
          </w:tcPr>
          <w:p w14:paraId="165738E9" w14:textId="77777777" w:rsidR="00506402" w:rsidRPr="004E3F65" w:rsidRDefault="00506402" w:rsidP="00996D96">
            <w:pPr>
              <w:rPr>
                <w:sz w:val="18"/>
                <w:szCs w:val="18"/>
                <w:lang w:val="fr-FR"/>
              </w:rPr>
            </w:pPr>
            <w:r>
              <w:rPr>
                <w:sz w:val="18"/>
                <w:szCs w:val="18"/>
                <w:lang w:val="en-US"/>
              </w:rPr>
              <w:t>Strandings</w:t>
            </w:r>
          </w:p>
        </w:tc>
        <w:tc>
          <w:tcPr>
            <w:tcW w:w="874" w:type="pct"/>
            <w:vAlign w:val="center"/>
          </w:tcPr>
          <w:p w14:paraId="2B2EF599" w14:textId="77777777" w:rsidR="00506402" w:rsidRPr="004E3F65" w:rsidRDefault="00506402" w:rsidP="00996D96">
            <w:pPr>
              <w:jc w:val="center"/>
              <w:rPr>
                <w:sz w:val="18"/>
                <w:szCs w:val="18"/>
                <w:lang w:val="fr-FR"/>
              </w:rPr>
            </w:pPr>
            <w:r w:rsidRPr="00474F4A">
              <w:rPr>
                <w:sz w:val="18"/>
                <w:szCs w:val="18"/>
                <w:lang w:val="en-US"/>
              </w:rPr>
              <w:t>Cors</w:t>
            </w:r>
            <w:r>
              <w:rPr>
                <w:sz w:val="18"/>
                <w:szCs w:val="18"/>
                <w:lang w:val="en-US"/>
              </w:rPr>
              <w:t>ica</w:t>
            </w:r>
          </w:p>
        </w:tc>
        <w:tc>
          <w:tcPr>
            <w:tcW w:w="481" w:type="pct"/>
            <w:vAlign w:val="center"/>
          </w:tcPr>
          <w:p w14:paraId="4390B5D7" w14:textId="77777777" w:rsidR="00506402" w:rsidRPr="004E3F65" w:rsidRDefault="00506402" w:rsidP="00996D96">
            <w:pPr>
              <w:jc w:val="center"/>
              <w:rPr>
                <w:sz w:val="18"/>
                <w:szCs w:val="18"/>
                <w:lang w:val="fr-FR"/>
              </w:rPr>
            </w:pPr>
            <w:r w:rsidRPr="00474F4A">
              <w:rPr>
                <w:sz w:val="18"/>
                <w:szCs w:val="18"/>
                <w:lang w:val="en-US"/>
              </w:rPr>
              <w:t>1997</w:t>
            </w:r>
          </w:p>
        </w:tc>
        <w:tc>
          <w:tcPr>
            <w:tcW w:w="299" w:type="pct"/>
            <w:vAlign w:val="center"/>
          </w:tcPr>
          <w:p w14:paraId="219CC8FB" w14:textId="77777777" w:rsidR="00506402" w:rsidRPr="004E3F65" w:rsidRDefault="00506402" w:rsidP="00996D96">
            <w:pPr>
              <w:jc w:val="center"/>
              <w:rPr>
                <w:sz w:val="18"/>
                <w:szCs w:val="18"/>
                <w:lang w:val="fr-FR"/>
              </w:rPr>
            </w:pPr>
            <w:r w:rsidRPr="00474F4A">
              <w:rPr>
                <w:sz w:val="18"/>
                <w:szCs w:val="18"/>
                <w:lang w:val="en-US"/>
              </w:rPr>
              <w:t>1</w:t>
            </w:r>
          </w:p>
        </w:tc>
        <w:tc>
          <w:tcPr>
            <w:tcW w:w="574" w:type="pct"/>
            <w:vAlign w:val="center"/>
          </w:tcPr>
          <w:p w14:paraId="16D710CA" w14:textId="77777777" w:rsidR="00506402" w:rsidRPr="004E3F65" w:rsidRDefault="00506402" w:rsidP="00996D96">
            <w:pPr>
              <w:jc w:val="center"/>
              <w:rPr>
                <w:sz w:val="18"/>
                <w:szCs w:val="18"/>
                <w:lang w:val="fr-FR"/>
              </w:rPr>
            </w:pPr>
            <w:r w:rsidRPr="00474F4A">
              <w:rPr>
                <w:sz w:val="18"/>
                <w:szCs w:val="18"/>
                <w:lang w:val="en-US"/>
              </w:rPr>
              <w:t xml:space="preserve">15000 ± 900 </w:t>
            </w:r>
          </w:p>
        </w:tc>
        <w:tc>
          <w:tcPr>
            <w:tcW w:w="595" w:type="pct"/>
            <w:vAlign w:val="center"/>
          </w:tcPr>
          <w:p w14:paraId="53ABD36C" w14:textId="77777777" w:rsidR="00506402" w:rsidRPr="004E3F65" w:rsidRDefault="00506402" w:rsidP="00996D96">
            <w:pPr>
              <w:jc w:val="center"/>
              <w:rPr>
                <w:sz w:val="18"/>
                <w:szCs w:val="18"/>
                <w:lang w:val="fr-FR"/>
              </w:rPr>
            </w:pPr>
          </w:p>
        </w:tc>
        <w:tc>
          <w:tcPr>
            <w:tcW w:w="633" w:type="pct"/>
            <w:vAlign w:val="center"/>
          </w:tcPr>
          <w:p w14:paraId="01DABF5D" w14:textId="77777777" w:rsidR="00506402" w:rsidRPr="004E3F65" w:rsidRDefault="00506402" w:rsidP="00996D96">
            <w:pPr>
              <w:jc w:val="center"/>
              <w:rPr>
                <w:sz w:val="18"/>
                <w:szCs w:val="18"/>
                <w:lang w:val="fr-FR"/>
              </w:rPr>
            </w:pPr>
          </w:p>
        </w:tc>
        <w:tc>
          <w:tcPr>
            <w:tcW w:w="798" w:type="pct"/>
            <w:vAlign w:val="center"/>
          </w:tcPr>
          <w:p w14:paraId="3FEC0031" w14:textId="6C4C1FB5" w:rsidR="00506402" w:rsidRPr="004E3F65" w:rsidRDefault="00506402" w:rsidP="00996D96">
            <w:pPr>
              <w:jc w:val="center"/>
              <w:rPr>
                <w:sz w:val="18"/>
                <w:szCs w:val="18"/>
                <w:lang w:val="fr-FR"/>
              </w:rPr>
            </w:pPr>
            <w:r w:rsidRPr="00474F4A">
              <w:rPr>
                <w:sz w:val="18"/>
                <w:szCs w:val="18"/>
                <w:lang w:val="en-US"/>
              </w:rPr>
              <w:fldChar w:fldCharType="begin" w:fldLock="1"/>
            </w:r>
            <w:r w:rsidR="00FC6B5E">
              <w:rPr>
                <w:sz w:val="18"/>
                <w:szCs w:val="18"/>
                <w:lang w:val="en-US"/>
              </w:rPr>
              <w:instrText>ADDIN CSL_CITATION {"citationItems":[{"id":"ITEM-1","itemData":{"abstract":"Metal concentrations measured in the organs of beached whales are published regularly. Few of these, however, describe metal levels in nursing females. In the present study, mercury, lead, copper and zinc levels were measured in the milk and tissues of a female Bottlenose dolphin. Results reveal that metal pollutants pass from the tissue into the milk.","author":[{"dropping-particle":"","family":"Frodello","given":"J P","non-dropping-particle":"","parse-names":false,"suffix":""},{"dropping-particle":"","family":"Viale","given":"D","non-dropping-particle":"","parse-names":false,"suffix":""},{"dropping-particle":"","family":"Marchand","given":"B","non-dropping-particle":"","parse-names":false,"suffix":""}],"container-title":"Marine Pollution Bulletin","id":"ITEM-1","issue":"6","issued":{"date-parts":[["2002"]]},"page":"551-576","title":"Metal concentrations in the milk and tissues of a nursing Tursiops truncatus female","type":"article-journal","volume":"44"},"uris":["http://www.mendeley.com/documents/?uuid=29ad0903-1b78-4b3a-8eff-991b720585e0"]}],"mendeley":{"formattedCitation":"&lt;sup&gt;2&lt;/sup&gt;","plainTextFormattedCitation":"2","previouslyFormattedCitation":"&lt;sup&gt;2&lt;/sup&gt;"},"properties":{"noteIndex":0},"schema":"https://github.com/citation-style-language/schema/raw/master/csl-citation.json"}</w:instrText>
            </w:r>
            <w:r w:rsidRPr="00474F4A">
              <w:rPr>
                <w:sz w:val="18"/>
                <w:szCs w:val="18"/>
                <w:lang w:val="en-US"/>
              </w:rPr>
              <w:fldChar w:fldCharType="separate"/>
            </w:r>
            <w:r w:rsidR="00FC6B5E" w:rsidRPr="00FC6B5E">
              <w:rPr>
                <w:noProof/>
                <w:sz w:val="18"/>
                <w:szCs w:val="18"/>
                <w:vertAlign w:val="superscript"/>
              </w:rPr>
              <w:t>2</w:t>
            </w:r>
            <w:r w:rsidRPr="00474F4A">
              <w:rPr>
                <w:sz w:val="18"/>
                <w:szCs w:val="18"/>
                <w:lang w:val="en-US"/>
              </w:rPr>
              <w:fldChar w:fldCharType="end"/>
            </w:r>
          </w:p>
        </w:tc>
      </w:tr>
      <w:tr w:rsidR="00FC6B5E" w:rsidRPr="00996D96" w14:paraId="2BBBBF4A" w14:textId="77777777" w:rsidTr="00E81EC7">
        <w:trPr>
          <w:jc w:val="center"/>
        </w:trPr>
        <w:tc>
          <w:tcPr>
            <w:tcW w:w="746" w:type="pct"/>
            <w:vAlign w:val="center"/>
          </w:tcPr>
          <w:p w14:paraId="5D7A8456" w14:textId="77777777" w:rsidR="00506402" w:rsidRPr="004E3F65" w:rsidRDefault="00506402" w:rsidP="00996D96">
            <w:pPr>
              <w:rPr>
                <w:i/>
                <w:sz w:val="18"/>
                <w:szCs w:val="18"/>
                <w:lang w:val="fr-FR"/>
              </w:rPr>
            </w:pPr>
            <w:r w:rsidRPr="004E3F65">
              <w:rPr>
                <w:sz w:val="18"/>
                <w:szCs w:val="18"/>
                <w:lang w:val="fr-FR"/>
              </w:rPr>
              <w:t>Biopsies</w:t>
            </w:r>
          </w:p>
        </w:tc>
        <w:tc>
          <w:tcPr>
            <w:tcW w:w="874" w:type="pct"/>
            <w:vAlign w:val="center"/>
          </w:tcPr>
          <w:p w14:paraId="4033CAC8" w14:textId="77777777" w:rsidR="00506402" w:rsidRPr="004E3F65" w:rsidRDefault="00506402" w:rsidP="00996D96">
            <w:pPr>
              <w:jc w:val="center"/>
              <w:rPr>
                <w:sz w:val="18"/>
                <w:szCs w:val="18"/>
                <w:lang w:val="fr-FR"/>
              </w:rPr>
            </w:pPr>
            <w:r w:rsidRPr="004E3F65">
              <w:rPr>
                <w:sz w:val="18"/>
                <w:szCs w:val="18"/>
                <w:lang w:val="fr-FR"/>
              </w:rPr>
              <w:t>Florida –</w:t>
            </w:r>
          </w:p>
          <w:p w14:paraId="1DF737F2" w14:textId="77777777" w:rsidR="00506402" w:rsidRPr="004E3F65" w:rsidRDefault="00506402" w:rsidP="00996D96">
            <w:pPr>
              <w:jc w:val="center"/>
              <w:rPr>
                <w:sz w:val="18"/>
                <w:szCs w:val="18"/>
                <w:lang w:val="fr-FR"/>
              </w:rPr>
            </w:pPr>
            <w:r w:rsidRPr="004E3F65">
              <w:rPr>
                <w:sz w:val="18"/>
                <w:szCs w:val="18"/>
                <w:lang w:val="fr-FR"/>
              </w:rPr>
              <w:t>LFK</w:t>
            </w:r>
          </w:p>
        </w:tc>
        <w:tc>
          <w:tcPr>
            <w:tcW w:w="481" w:type="pct"/>
            <w:vAlign w:val="center"/>
          </w:tcPr>
          <w:p w14:paraId="3029F7DC" w14:textId="77777777" w:rsidR="00506402" w:rsidRPr="004E3F65" w:rsidRDefault="00506402" w:rsidP="00996D96">
            <w:pPr>
              <w:jc w:val="center"/>
              <w:rPr>
                <w:sz w:val="18"/>
                <w:szCs w:val="18"/>
                <w:lang w:val="fr-FR"/>
              </w:rPr>
            </w:pPr>
            <w:r w:rsidRPr="004E3F65">
              <w:rPr>
                <w:sz w:val="18"/>
                <w:szCs w:val="18"/>
                <w:lang w:val="fr-FR"/>
              </w:rPr>
              <w:t>2008</w:t>
            </w:r>
          </w:p>
        </w:tc>
        <w:tc>
          <w:tcPr>
            <w:tcW w:w="299" w:type="pct"/>
            <w:vAlign w:val="center"/>
          </w:tcPr>
          <w:p w14:paraId="55168E8F" w14:textId="77777777" w:rsidR="00506402" w:rsidRPr="004E3F65" w:rsidRDefault="00506402" w:rsidP="00996D96">
            <w:pPr>
              <w:jc w:val="center"/>
              <w:rPr>
                <w:sz w:val="18"/>
                <w:szCs w:val="18"/>
                <w:lang w:val="fr-FR"/>
              </w:rPr>
            </w:pPr>
            <w:r w:rsidRPr="004E3F65">
              <w:rPr>
                <w:sz w:val="18"/>
                <w:szCs w:val="18"/>
                <w:lang w:val="fr-FR"/>
              </w:rPr>
              <w:t>10</w:t>
            </w:r>
          </w:p>
        </w:tc>
        <w:tc>
          <w:tcPr>
            <w:tcW w:w="574" w:type="pct"/>
            <w:vAlign w:val="center"/>
          </w:tcPr>
          <w:p w14:paraId="5D67E368" w14:textId="77777777" w:rsidR="00506402" w:rsidRPr="004E3F65" w:rsidRDefault="00506402" w:rsidP="00996D96">
            <w:pPr>
              <w:jc w:val="center"/>
              <w:rPr>
                <w:sz w:val="18"/>
                <w:szCs w:val="18"/>
                <w:lang w:val="fr-FR"/>
              </w:rPr>
            </w:pPr>
            <w:r w:rsidRPr="004E3F65">
              <w:rPr>
                <w:sz w:val="18"/>
                <w:szCs w:val="18"/>
                <w:lang w:val="fr-FR"/>
              </w:rPr>
              <w:t>2779 ± 2025</w:t>
            </w:r>
          </w:p>
        </w:tc>
        <w:tc>
          <w:tcPr>
            <w:tcW w:w="595" w:type="pct"/>
            <w:vAlign w:val="center"/>
          </w:tcPr>
          <w:p w14:paraId="758BF65A" w14:textId="77777777" w:rsidR="00506402" w:rsidRPr="004E3F65" w:rsidRDefault="00506402" w:rsidP="00996D96">
            <w:pPr>
              <w:jc w:val="center"/>
              <w:rPr>
                <w:sz w:val="18"/>
                <w:szCs w:val="18"/>
                <w:lang w:val="fr-FR"/>
              </w:rPr>
            </w:pPr>
            <w:r w:rsidRPr="004E3F65">
              <w:rPr>
                <w:sz w:val="18"/>
                <w:szCs w:val="18"/>
                <w:lang w:val="fr-FR"/>
              </w:rPr>
              <w:t>2941</w:t>
            </w:r>
          </w:p>
        </w:tc>
        <w:tc>
          <w:tcPr>
            <w:tcW w:w="633" w:type="pct"/>
            <w:vAlign w:val="center"/>
          </w:tcPr>
          <w:p w14:paraId="1576D847" w14:textId="77777777" w:rsidR="00506402" w:rsidRPr="004E3F65" w:rsidRDefault="00506402" w:rsidP="00996D96">
            <w:pPr>
              <w:jc w:val="center"/>
              <w:rPr>
                <w:sz w:val="18"/>
                <w:szCs w:val="18"/>
                <w:lang w:val="fr-FR"/>
              </w:rPr>
            </w:pPr>
            <w:r w:rsidRPr="004E3F65">
              <w:rPr>
                <w:sz w:val="18"/>
                <w:szCs w:val="18"/>
                <w:lang w:val="fr-FR"/>
              </w:rPr>
              <w:t>294 – 5713</w:t>
            </w:r>
          </w:p>
        </w:tc>
        <w:tc>
          <w:tcPr>
            <w:tcW w:w="798" w:type="pct"/>
            <w:vAlign w:val="center"/>
          </w:tcPr>
          <w:p w14:paraId="0B53DFC2" w14:textId="295E1A82" w:rsidR="00506402" w:rsidRPr="004E3F65" w:rsidRDefault="00FC6B5E" w:rsidP="00996D96">
            <w:pPr>
              <w:jc w:val="center"/>
              <w:rPr>
                <w:sz w:val="18"/>
                <w:szCs w:val="18"/>
                <w:lang w:val="fr-FR"/>
              </w:rPr>
            </w:pPr>
            <w:r>
              <w:rPr>
                <w:sz w:val="18"/>
                <w:szCs w:val="18"/>
                <w:lang w:val="fr-FR"/>
              </w:rPr>
              <w:fldChar w:fldCharType="begin" w:fldLock="1"/>
            </w:r>
            <w:r>
              <w:rPr>
                <w:sz w:val="18"/>
                <w:szCs w:val="18"/>
                <w:lang w:val="fr-FR"/>
              </w:rPr>
              <w:instrText>ADDIN CSL_CITATION {"citationItems":[{"id":"ITEM-1","itemData":{"DOI":"10.1016/j.envpol.2016.10.005","ISSN":"18736424","abstract":"The bottlenose dolphin (Tursiops truncatus) is an upper trophic level predator and the most common cetacean species found in nearshore waters of southern Florida, including the Lower Florida Keys (LFK) and the Florida Coastal Everglades (FCE). The objective of this study was to assess contamination levels of total mercury (T-Hg) in skin and persistent organic pollutants (PCBs, PBDEs, DDXs, HCHs, HCB, Σ PCDD/Fs and Σ DL-PCBs) in blubber samples of bottlenose dolphins from LFK (n = 27) and FCE (n = 24). PCBs were the major class of compounds found in bottlenose dolphin blubber and were higher in individuals from LFK (Σ 6 PCBs LFK males: 13,421 ± 7730 ng g−1lipids, Σ 6 PCBs LFK females: 9683 ± 19,007 ng g−1lipids) than from FCE (Σ 6 PCBs FCE males: 5638 ng g−1± 3627 lipids, Σ 6 PCBs FCE females: 1427 ± 908 ng g−1lipids). These levels were lower than previously published data from the southeastern USA. The Σ DL-PCBs were the most prevalent pollutants of dioxin and dioxin like compounds (Σ DL-PCBs LFK: 739 ng g−1lipids, Σ DL-PCBs FCE: 183 ng g−1lipids) since PCDD/F concentrations were low for both locations (mean 0.1 ng g−1lipids for LFK and FCE dolphins). The toxicity equivalences of PCDD/Fs and DL-PCBs expressed as TEQ in LFK and FCE dolphins is mainly expressed by DL-PCBs (81% LFK - 65% FCE). T-Hg concentrations in skin were significantly higher in FCE (FCE median 9314 ng g−1dw) compared to LFK dolphins (LFK median 2941 ng g−1dw). These concentrations are the highest recorded in bottlenose dolphins in the southeastern USA, and may be explained, at least partially, by the biogeochemistry of the Everglades and mangrove sedimentary habitats that create favourable conditions for the retention of mercury and make it available at high concentrations for aquatic predators.","author":[{"dropping-particle":"","family":"Damseaux","given":"France","non-dropping-particle":"","parse-names":false,"suffix":""},{"dropping-particle":"","family":"Kiszka","given":"Jeremy J.","non-dropping-particle":"","parse-names":false,"suffix":""},{"dropping-particle":"","family":"Heithaus","given":"Michael R.","non-dropping-particle":"","parse-names":false,"suffix":""},{"dropping-particle":"","family":"Scholl","given":"George","non-dropping-particle":"","parse-names":false,"suffix":""},{"dropping-particle":"","family":"Eppe","given":"Gauthier","non-dropping-particle":"","parse-names":false,"suffix":""},{"dropping-particle":"","family":"Thomé","given":"Jean-Pierre Pierre","non-dropping-particle":"","parse-names":false,"suffix":""},{"dropping-particle":"","family":"Lewis","given":"Jennifer","non-dropping-particle":"","parse-names":false,"suffix":""},{"dropping-particle":"","family":"Hao","given":"Wensi","non-dropping-particle":"","parse-names":false,"suffix":""},{"dropping-particle":"","family":"Fontaine","given":"Michaël C.","non-dropping-particle":"","parse-names":false,"suffix":""},{"dropping-particle":"","family":"Das","given":"Krishna","non-dropping-particle":"","parse-names":false,"suffix":""}],"container-title":"Environmental Pollution","id":"ITEM-1","issued":{"date-parts":[["2017","1"]]},"page":"577-587","title":"Spatial variation in the accumulation of POPs and mercury in bottlenose dolphins of the Lower Florida Keys and the coastal Everglades (South Florida)","type":"article-journal","volume":"220"},"uris":["http://www.mendeley.com/documents/?uuid=4a3be193-edb6-4d57-8f9f-3da83624c7a1"]}],"mendeley":{"formattedCitation":"&lt;sup&gt;3&lt;/sup&gt;","plainTextFormattedCitation":"3","previouslyFormattedCitation":"&lt;sup&gt;3&lt;/sup&gt;"},"properties":{"noteIndex":0},"schema":"https://github.com/citation-style-language/schema/raw/master/csl-citation.json"}</w:instrText>
            </w:r>
            <w:r>
              <w:rPr>
                <w:sz w:val="18"/>
                <w:szCs w:val="18"/>
                <w:lang w:val="fr-FR"/>
              </w:rPr>
              <w:fldChar w:fldCharType="separate"/>
            </w:r>
            <w:r w:rsidRPr="00FC6B5E">
              <w:rPr>
                <w:noProof/>
                <w:sz w:val="18"/>
                <w:szCs w:val="18"/>
                <w:vertAlign w:val="superscript"/>
                <w:lang w:val="fr-FR"/>
              </w:rPr>
              <w:t>3</w:t>
            </w:r>
            <w:r>
              <w:rPr>
                <w:sz w:val="18"/>
                <w:szCs w:val="18"/>
                <w:lang w:val="fr-FR"/>
              </w:rPr>
              <w:fldChar w:fldCharType="end"/>
            </w:r>
          </w:p>
        </w:tc>
      </w:tr>
      <w:tr w:rsidR="00FC6B5E" w:rsidRPr="00996D96" w14:paraId="037D3948" w14:textId="77777777" w:rsidTr="00E81EC7">
        <w:trPr>
          <w:jc w:val="center"/>
        </w:trPr>
        <w:tc>
          <w:tcPr>
            <w:tcW w:w="746" w:type="pct"/>
            <w:vAlign w:val="center"/>
          </w:tcPr>
          <w:p w14:paraId="5CA63AFE" w14:textId="77777777" w:rsidR="00506402" w:rsidRPr="001B2BDB" w:rsidRDefault="00506402" w:rsidP="00996D96">
            <w:pPr>
              <w:rPr>
                <w:i/>
                <w:sz w:val="18"/>
                <w:szCs w:val="18"/>
                <w:lang w:val="fr-FR"/>
              </w:rPr>
            </w:pPr>
            <w:r w:rsidRPr="001B2BDB">
              <w:rPr>
                <w:sz w:val="18"/>
                <w:szCs w:val="18"/>
                <w:lang w:val="fr-FR"/>
              </w:rPr>
              <w:t>Biopsies</w:t>
            </w:r>
          </w:p>
        </w:tc>
        <w:tc>
          <w:tcPr>
            <w:tcW w:w="874" w:type="pct"/>
            <w:vAlign w:val="center"/>
          </w:tcPr>
          <w:p w14:paraId="70321C8E" w14:textId="77777777" w:rsidR="00506402" w:rsidRPr="001B2BDB" w:rsidRDefault="00506402" w:rsidP="00996D96">
            <w:pPr>
              <w:jc w:val="center"/>
              <w:rPr>
                <w:sz w:val="18"/>
                <w:szCs w:val="18"/>
                <w:lang w:val="fr-FR"/>
              </w:rPr>
            </w:pPr>
            <w:r w:rsidRPr="001B2BDB">
              <w:rPr>
                <w:sz w:val="18"/>
                <w:szCs w:val="18"/>
                <w:lang w:val="fr-FR"/>
              </w:rPr>
              <w:t>Florida –</w:t>
            </w:r>
          </w:p>
          <w:p w14:paraId="4D7E5E35" w14:textId="77777777" w:rsidR="00506402" w:rsidRPr="001B2BDB" w:rsidRDefault="00506402" w:rsidP="00996D96">
            <w:pPr>
              <w:jc w:val="center"/>
              <w:rPr>
                <w:sz w:val="18"/>
                <w:szCs w:val="18"/>
                <w:lang w:val="fr-FR"/>
              </w:rPr>
            </w:pPr>
            <w:r w:rsidRPr="001B2BDB">
              <w:rPr>
                <w:sz w:val="18"/>
                <w:szCs w:val="18"/>
                <w:lang w:val="fr-FR"/>
              </w:rPr>
              <w:t>FCE</w:t>
            </w:r>
          </w:p>
        </w:tc>
        <w:tc>
          <w:tcPr>
            <w:tcW w:w="481" w:type="pct"/>
            <w:vAlign w:val="center"/>
          </w:tcPr>
          <w:p w14:paraId="03F10361" w14:textId="77777777" w:rsidR="00506402" w:rsidRPr="001B2BDB" w:rsidRDefault="00506402" w:rsidP="00996D96">
            <w:pPr>
              <w:jc w:val="center"/>
              <w:rPr>
                <w:sz w:val="18"/>
                <w:szCs w:val="18"/>
                <w:lang w:val="fr-FR"/>
              </w:rPr>
            </w:pPr>
            <w:r w:rsidRPr="001B2BDB">
              <w:rPr>
                <w:sz w:val="18"/>
                <w:szCs w:val="18"/>
                <w:lang w:val="fr-FR"/>
              </w:rPr>
              <w:t>2013</w:t>
            </w:r>
          </w:p>
        </w:tc>
        <w:tc>
          <w:tcPr>
            <w:tcW w:w="299" w:type="pct"/>
            <w:vAlign w:val="center"/>
          </w:tcPr>
          <w:p w14:paraId="501B57D6" w14:textId="77777777" w:rsidR="00506402" w:rsidRPr="001B2BDB" w:rsidRDefault="00506402" w:rsidP="00996D96">
            <w:pPr>
              <w:jc w:val="center"/>
              <w:rPr>
                <w:sz w:val="18"/>
                <w:szCs w:val="18"/>
                <w:lang w:val="fr-FR"/>
              </w:rPr>
            </w:pPr>
            <w:r w:rsidRPr="001B2BDB">
              <w:rPr>
                <w:sz w:val="18"/>
                <w:szCs w:val="18"/>
                <w:lang w:val="fr-FR"/>
              </w:rPr>
              <w:t>24</w:t>
            </w:r>
          </w:p>
        </w:tc>
        <w:tc>
          <w:tcPr>
            <w:tcW w:w="574" w:type="pct"/>
            <w:vAlign w:val="center"/>
          </w:tcPr>
          <w:p w14:paraId="44057E0A" w14:textId="77777777" w:rsidR="00506402" w:rsidRPr="001B2BDB" w:rsidRDefault="00506402" w:rsidP="00996D96">
            <w:pPr>
              <w:jc w:val="center"/>
              <w:rPr>
                <w:sz w:val="18"/>
                <w:szCs w:val="18"/>
              </w:rPr>
            </w:pPr>
            <w:r w:rsidRPr="001B2BDB">
              <w:rPr>
                <w:sz w:val="18"/>
                <w:szCs w:val="18"/>
                <w:lang w:val="fr-FR"/>
              </w:rPr>
              <w:t>1</w:t>
            </w:r>
            <w:r w:rsidRPr="001B2BDB">
              <w:rPr>
                <w:sz w:val="18"/>
                <w:szCs w:val="18"/>
              </w:rPr>
              <w:t>0916  ± 7507</w:t>
            </w:r>
          </w:p>
        </w:tc>
        <w:tc>
          <w:tcPr>
            <w:tcW w:w="595" w:type="pct"/>
            <w:vAlign w:val="center"/>
          </w:tcPr>
          <w:p w14:paraId="21C1228C" w14:textId="77777777" w:rsidR="00506402" w:rsidRPr="001B2BDB" w:rsidRDefault="00506402" w:rsidP="00996D96">
            <w:pPr>
              <w:jc w:val="center"/>
              <w:rPr>
                <w:sz w:val="18"/>
                <w:szCs w:val="18"/>
              </w:rPr>
            </w:pPr>
            <w:r w:rsidRPr="001B2BDB">
              <w:rPr>
                <w:sz w:val="18"/>
                <w:szCs w:val="18"/>
              </w:rPr>
              <w:t>9314</w:t>
            </w:r>
          </w:p>
        </w:tc>
        <w:tc>
          <w:tcPr>
            <w:tcW w:w="633" w:type="pct"/>
            <w:vAlign w:val="center"/>
          </w:tcPr>
          <w:p w14:paraId="09571155" w14:textId="77777777" w:rsidR="00506402" w:rsidRPr="001B2BDB" w:rsidRDefault="00506402" w:rsidP="00996D96">
            <w:pPr>
              <w:jc w:val="center"/>
              <w:rPr>
                <w:sz w:val="18"/>
                <w:szCs w:val="18"/>
              </w:rPr>
            </w:pPr>
            <w:r w:rsidRPr="001B2BDB">
              <w:rPr>
                <w:sz w:val="18"/>
                <w:szCs w:val="18"/>
              </w:rPr>
              <w:t>2221 – 29125</w:t>
            </w:r>
          </w:p>
        </w:tc>
        <w:tc>
          <w:tcPr>
            <w:tcW w:w="798" w:type="pct"/>
            <w:vAlign w:val="center"/>
          </w:tcPr>
          <w:p w14:paraId="6C408D64" w14:textId="14830E3A" w:rsidR="00506402" w:rsidRPr="00996D96" w:rsidRDefault="00FC6B5E" w:rsidP="00996D96">
            <w:pPr>
              <w:jc w:val="center"/>
              <w:rPr>
                <w:sz w:val="18"/>
                <w:szCs w:val="18"/>
              </w:rPr>
            </w:pPr>
            <w:r>
              <w:rPr>
                <w:sz w:val="18"/>
                <w:szCs w:val="18"/>
              </w:rPr>
              <w:fldChar w:fldCharType="begin" w:fldLock="1"/>
            </w:r>
            <w:r>
              <w:rPr>
                <w:sz w:val="18"/>
                <w:szCs w:val="18"/>
              </w:rPr>
              <w:instrText>ADDIN CSL_CITATION {"citationItems":[{"id":"ITEM-1","itemData":{"DOI":"10.1016/j.envpol.2016.10.005","ISSN":"18736424","abstract":"The bottlenose dolphin (Tursiops truncatus) is an upper trophic level predator and the most common cetacean species found in nearshore waters of southern Florida, including the Lower Florida Keys (LFK) and the Florida Coastal Everglades (FCE). The objective of this study was to assess contamination levels of total mercury (T-Hg) in skin and persistent organic pollutants (PCBs, PBDEs, DDXs, HCHs, HCB, Σ PCDD/Fs and Σ DL-PCBs) in blubber samples of bottlenose dolphins from LFK (n = 27) and FCE (n = 24). PCBs were the major class of compounds found in bottlenose dolphin blubber and were higher in individuals from LFK (Σ 6 PCBs LFK males: 13,421 ± 7730 ng g−1lipids, Σ 6 PCBs LFK females: 9683 ± 19,007 ng g−1lipids) than from FCE (Σ 6 PCBs FCE males: 5638 ng g−1± 3627 lipids, Σ 6 PCBs FCE females: 1427 ± 908 ng g−1lipids). These levels were lower than previously published data from the southeastern USA. The Σ DL-PCBs were the most prevalent pollutants of dioxin and dioxin like compounds (Σ DL-PCBs LFK: 739 ng g−1lipids, Σ DL-PCBs FCE: 183 ng g−1lipids) since PCDD/F concentrations were low for both locations (mean 0.1 ng g−1lipids for LFK and FCE dolphins). The toxicity equivalences of PCDD/Fs and DL-PCBs expressed as TEQ in LFK and FCE dolphins is mainly expressed by DL-PCBs (81% LFK - 65% FCE). T-Hg concentrations in skin were significantly higher in FCE (FCE median 9314 ng g−1dw) compared to LFK dolphins (LFK median 2941 ng g−1dw). These concentrations are the highest recorded in bottlenose dolphins in the southeastern USA, and may be explained, at least partially, by the biogeochemistry of the Everglades and mangrove sedimentary habitats that create favourable conditions for the retention of mercury and make it available at high concentrations for aquatic predators.","author":[{"dropping-particle":"","family":"Damseaux","given":"France","non-dropping-particle":"","parse-names":false,"suffix":""},{"dropping-particle":"","family":"Kiszka","given":"Jeremy J.","non-dropping-particle":"","parse-names":false,"suffix":""},{"dropping-particle":"","family":"Heithaus","given":"Michael R.","non-dropping-particle":"","parse-names":false,"suffix":""},{"dropping-particle":"","family":"Scholl","given":"George","non-dropping-particle":"","parse-names":false,"suffix":""},{"dropping-particle":"","family":"Eppe","given":"Gauthier","non-dropping-particle":"","parse-names":false,"suffix":""},{"dropping-particle":"","family":"Thomé","given":"Jean-Pierre Pierre","non-dropping-particle":"","parse-names":false,"suffix":""},{"dropping-particle":"","family":"Lewis","given":"Jennifer","non-dropping-particle":"","parse-names":false,"suffix":""},{"dropping-particle":"","family":"Hao","given":"Wensi","non-dropping-particle":"","parse-names":false,"suffix":""},{"dropping-particle":"","family":"Fontaine","given":"Michaël C.","non-dropping-particle":"","parse-names":false,"suffix":""},{"dropping-particle":"","family":"Das","given":"Krishna","non-dropping-particle":"","parse-names":false,"suffix":""}],"container-title":"Environmental Pollution","id":"ITEM-1","issued":{"date-parts":[["2017","1"]]},"page":"577-587","title":"Spatial variation in the accumulation of POPs and mercury in bottlenose dolphins of the Lower Florida Keys and the coastal Everglades (South Florida)","type":"article-journal","volume":"220"},"uris":["http://www.mendeley.com/documents/?uuid=4a3be193-edb6-4d57-8f9f-3da83624c7a1"]}],"mendeley":{"formattedCitation":"&lt;sup&gt;3&lt;/sup&gt;","plainTextFormattedCitation":"3","previouslyFormattedCitation":"&lt;sup&gt;3&lt;/sup&gt;"},"properties":{"noteIndex":0},"schema":"https://github.com/citation-style-language/schema/raw/master/csl-citation.json"}</w:instrText>
            </w:r>
            <w:r>
              <w:rPr>
                <w:sz w:val="18"/>
                <w:szCs w:val="18"/>
              </w:rPr>
              <w:fldChar w:fldCharType="separate"/>
            </w:r>
            <w:r w:rsidRPr="00FC6B5E">
              <w:rPr>
                <w:noProof/>
                <w:sz w:val="18"/>
                <w:szCs w:val="18"/>
                <w:vertAlign w:val="superscript"/>
              </w:rPr>
              <w:t>3</w:t>
            </w:r>
            <w:r>
              <w:rPr>
                <w:sz w:val="18"/>
                <w:szCs w:val="18"/>
              </w:rPr>
              <w:fldChar w:fldCharType="end"/>
            </w:r>
          </w:p>
        </w:tc>
      </w:tr>
      <w:tr w:rsidR="00FC6B5E" w:rsidRPr="00474F4A" w14:paraId="0E2D0DCE" w14:textId="77777777" w:rsidTr="00E81EC7">
        <w:trPr>
          <w:jc w:val="center"/>
        </w:trPr>
        <w:tc>
          <w:tcPr>
            <w:tcW w:w="746" w:type="pct"/>
            <w:vAlign w:val="center"/>
          </w:tcPr>
          <w:p w14:paraId="760B2DAF" w14:textId="77777777" w:rsidR="00506402" w:rsidRPr="00996D96" w:rsidRDefault="00506402" w:rsidP="00996D96">
            <w:pPr>
              <w:rPr>
                <w:i/>
                <w:sz w:val="18"/>
                <w:szCs w:val="18"/>
              </w:rPr>
            </w:pPr>
            <w:r w:rsidRPr="00996D96">
              <w:rPr>
                <w:sz w:val="18"/>
                <w:szCs w:val="18"/>
              </w:rPr>
              <w:t>Strandings</w:t>
            </w:r>
          </w:p>
        </w:tc>
        <w:tc>
          <w:tcPr>
            <w:tcW w:w="874" w:type="pct"/>
            <w:vAlign w:val="center"/>
          </w:tcPr>
          <w:p w14:paraId="25E48B10" w14:textId="77777777" w:rsidR="00506402" w:rsidRPr="00996D96" w:rsidRDefault="00506402" w:rsidP="00996D96">
            <w:pPr>
              <w:jc w:val="center"/>
              <w:rPr>
                <w:sz w:val="18"/>
                <w:szCs w:val="18"/>
              </w:rPr>
            </w:pPr>
            <w:r w:rsidRPr="00996D96">
              <w:rPr>
                <w:sz w:val="18"/>
                <w:szCs w:val="18"/>
              </w:rPr>
              <w:t xml:space="preserve">Florida - </w:t>
            </w:r>
            <w:proofErr w:type="spellStart"/>
            <w:r w:rsidRPr="00996D96">
              <w:rPr>
                <w:sz w:val="18"/>
                <w:szCs w:val="18"/>
              </w:rPr>
              <w:t>Indian</w:t>
            </w:r>
            <w:proofErr w:type="spellEnd"/>
            <w:r w:rsidRPr="00996D96">
              <w:rPr>
                <w:sz w:val="18"/>
                <w:szCs w:val="18"/>
              </w:rPr>
              <w:t xml:space="preserve"> River </w:t>
            </w:r>
            <w:proofErr w:type="spellStart"/>
            <w:r w:rsidRPr="00996D96">
              <w:rPr>
                <w:sz w:val="18"/>
                <w:szCs w:val="18"/>
              </w:rPr>
              <w:t>Lagoon</w:t>
            </w:r>
            <w:proofErr w:type="spellEnd"/>
          </w:p>
        </w:tc>
        <w:tc>
          <w:tcPr>
            <w:tcW w:w="481" w:type="pct"/>
            <w:vAlign w:val="center"/>
          </w:tcPr>
          <w:p w14:paraId="4BB79B49" w14:textId="77777777" w:rsidR="00506402" w:rsidRPr="00996D96" w:rsidRDefault="00506402" w:rsidP="00996D96">
            <w:pPr>
              <w:jc w:val="center"/>
              <w:rPr>
                <w:sz w:val="18"/>
                <w:szCs w:val="18"/>
              </w:rPr>
            </w:pPr>
            <w:r w:rsidRPr="00996D96">
              <w:rPr>
                <w:sz w:val="18"/>
                <w:szCs w:val="18"/>
              </w:rPr>
              <w:t>2000-2008</w:t>
            </w:r>
          </w:p>
        </w:tc>
        <w:tc>
          <w:tcPr>
            <w:tcW w:w="299" w:type="pct"/>
            <w:vAlign w:val="center"/>
          </w:tcPr>
          <w:p w14:paraId="5DCD1B61" w14:textId="77777777" w:rsidR="00506402" w:rsidRPr="00996D96" w:rsidRDefault="00506402" w:rsidP="00996D96">
            <w:pPr>
              <w:jc w:val="center"/>
              <w:rPr>
                <w:sz w:val="18"/>
                <w:szCs w:val="18"/>
              </w:rPr>
            </w:pPr>
            <w:r w:rsidRPr="00996D96">
              <w:rPr>
                <w:sz w:val="18"/>
                <w:szCs w:val="18"/>
              </w:rPr>
              <w:t>15</w:t>
            </w:r>
          </w:p>
        </w:tc>
        <w:tc>
          <w:tcPr>
            <w:tcW w:w="574" w:type="pct"/>
            <w:vAlign w:val="center"/>
          </w:tcPr>
          <w:p w14:paraId="20A04C9B" w14:textId="77777777" w:rsidR="00506402" w:rsidRPr="00996D96" w:rsidRDefault="00506402" w:rsidP="00996D96">
            <w:pPr>
              <w:jc w:val="center"/>
              <w:rPr>
                <w:sz w:val="18"/>
                <w:szCs w:val="18"/>
              </w:rPr>
            </w:pPr>
            <w:r w:rsidRPr="00996D96">
              <w:rPr>
                <w:sz w:val="18"/>
                <w:szCs w:val="18"/>
              </w:rPr>
              <w:t>8570 ± 7040</w:t>
            </w:r>
          </w:p>
        </w:tc>
        <w:tc>
          <w:tcPr>
            <w:tcW w:w="595" w:type="pct"/>
            <w:vAlign w:val="center"/>
          </w:tcPr>
          <w:p w14:paraId="40A78D28" w14:textId="77777777" w:rsidR="00506402" w:rsidRPr="00996D96" w:rsidRDefault="00506402" w:rsidP="00996D96">
            <w:pPr>
              <w:jc w:val="center"/>
              <w:rPr>
                <w:sz w:val="18"/>
                <w:szCs w:val="18"/>
              </w:rPr>
            </w:pPr>
          </w:p>
        </w:tc>
        <w:tc>
          <w:tcPr>
            <w:tcW w:w="633" w:type="pct"/>
            <w:vAlign w:val="center"/>
          </w:tcPr>
          <w:p w14:paraId="76DF0FDE" w14:textId="77777777" w:rsidR="00506402" w:rsidRPr="00996D96" w:rsidRDefault="00506402" w:rsidP="00996D96">
            <w:pPr>
              <w:jc w:val="center"/>
              <w:rPr>
                <w:sz w:val="18"/>
                <w:szCs w:val="18"/>
              </w:rPr>
            </w:pPr>
            <w:r w:rsidRPr="00996D96">
              <w:rPr>
                <w:sz w:val="18"/>
                <w:szCs w:val="18"/>
              </w:rPr>
              <w:t>1520 - 22600</w:t>
            </w:r>
          </w:p>
        </w:tc>
        <w:tc>
          <w:tcPr>
            <w:tcW w:w="798" w:type="pct"/>
            <w:vAlign w:val="center"/>
          </w:tcPr>
          <w:p w14:paraId="6670BDC5" w14:textId="2E0DF96C" w:rsidR="00506402" w:rsidRPr="00474F4A" w:rsidRDefault="00506402" w:rsidP="00996D96">
            <w:pPr>
              <w:jc w:val="center"/>
              <w:rPr>
                <w:sz w:val="18"/>
                <w:szCs w:val="18"/>
                <w:lang w:val="en-US"/>
              </w:rPr>
            </w:pPr>
            <w:r w:rsidRPr="00474F4A">
              <w:rPr>
                <w:sz w:val="18"/>
                <w:szCs w:val="18"/>
                <w:lang w:val="en-US"/>
              </w:rPr>
              <w:fldChar w:fldCharType="begin" w:fldLock="1"/>
            </w:r>
            <w:r w:rsidR="00FC6B5E">
              <w:rPr>
                <w:sz w:val="18"/>
                <w:szCs w:val="18"/>
              </w:rPr>
              <w:instrText>ADDIN CSL_CITATION {"citationItems":[{"id":"ITEM-1","itemData":{"DOI":"10.1016/j.chemosphere.2010.11.019","ISBN":"0045-6535","abstract":"The significance of metal concentrations in marine mammals is not well understood and relating concentrations between stranded and free-ranging populations has been difficult. In order to predict liver concentrations in free-ranging dolphins, we examined concentrations of trace elements (Al, As, Ba, Be, Cd, Co, Cu, Fe, Li, Mn, Ni, Pb, Sb, Se, Sn, total Hg (THg), V, Zn) in skin and liver of stranded bottlenose dolphins (Tursiops truncatus) from the South Carolina (SC) coast and the Indian River Lagoon, Florida (FL) during 2000–2008. Significantly higher concentrations of Zn, Fe, Se, Al, Cu and THg were found in skin while liver exhibited significantly higher Cu, Fe, Mn and THg concentrations for both study sites. Mean skin concentrations of Cu and Mn were significantly higher in SC dolphins while higher concentrations of THg and V were found in FL dolphins. In addition, liver tissues in SC dolphins exhibited significantly higher As concentrations while higher Fe, Pb, Se, THg, and V levels were found in FL dolphins. Two elements (Cu and THg) showed significant age-related correlations with skin concentration while five elements (Cu, Se, THg, Zn and V) showed age-related correlations with liver concentrations. Geographic location influenced age-related accumulation of several trace elements and age-related accumulation of THg in hepatic tissue was observed for both sites to have the highest correlations (r² = 0.90SC; r² = 0.69FL). Mean THg concentration in liver was about 10 times higher in FL dolphins (330 μg.g−1 dw) than those samples from SC dolphins (34.3 μg.g−1 dw). The mean molar ratio of Hg to Se was 0.93 ± 0.32 and 1.08 ± 0.38 for SC and FL dolphins, respectively. However, the Hg:Se ratio varied with age as much lower ratios (0.2–0.4) were found in younger animals. Of the 18 measured elements, only THg was significantly correlated in skin and liver of stranded dolphins and skin of free-ranging dolphins from both sites suggesting that skin may be useful in predicting Hg concentrations in liver tissue of free-ranging dolphins. Results indicate that 33% of the stranded and 15% of the free-ranging dolphins from FL exceed the minimum 100 μg.g−1 wet weight (ww) (~400 dw) Hg threshold for hepatic damage while none from SC reached this level. Hepatic concentrations of As in SC dolphins and V in FL dolphins were also highly correlated with skin concentrations which may have some regional specificity predictive value. The present study provides the first app…","author":[{"dropping-particle":"","family":"Stavros","given":"Hui-Chen W","non-dropping-particle":"","parse-names":false,"suffix":""},{"dropping-particle":"","family":"Stolen","given":"Megan","non-dropping-particle":"","parse-names":false,"suffix":""},{"dropping-particle":"","family":"Durden","given":"Wendy Noke","non-dropping-particle":"","parse-names":false,"suffix":""},{"dropping-particle":"","family":"McFee","given":"Wayne","non-dropping-particle":"","parse-names":false,"suffix":""},{"dropping-particle":"","family":"Bossart","given":"Gregory D","non-dropping-particle":"","parse-names":false,"suffix":""},{"dropping-particle":"","family":"Fair","given":"Patricia A","non-dropping-particle":"","parse-names":false,"suffix":""}],"container-title":"Chemosphere","id":"ITEM-1","issue":"11","issued":{"date-parts":[["2011"]]},"page":"1649-1661","title":"Correlation and toxicological inference of trace elements in tissues from stranded and free-ranging bottlenose dolphins (Tursiops truncatus)","type":"article-journal","volume":"82"},"uris":["http://www.mendeley.com/documents/?uuid=a3cb0a06-bc66-4aee-9bab-61fb9dd018a1"]}],"mendeley":{"formattedCitation":"&lt;sup&gt;4&lt;/sup&gt;","plainTextFormattedCitation":"4","previouslyFormattedCitation":"&lt;sup&gt;4&lt;/sup&gt;"},"properties":{"noteIndex":0},"schema":"https://github.com/citation-style-language/schema/raw/master/csl-citation.json"}</w:instrText>
            </w:r>
            <w:r w:rsidRPr="00474F4A">
              <w:rPr>
                <w:sz w:val="18"/>
                <w:szCs w:val="18"/>
                <w:lang w:val="en-US"/>
              </w:rPr>
              <w:fldChar w:fldCharType="separate"/>
            </w:r>
            <w:r w:rsidR="00FC6B5E" w:rsidRPr="00FC6B5E">
              <w:rPr>
                <w:noProof/>
                <w:sz w:val="18"/>
                <w:szCs w:val="18"/>
                <w:vertAlign w:val="superscript"/>
                <w:lang w:val="en-US"/>
              </w:rPr>
              <w:t>4</w:t>
            </w:r>
            <w:r w:rsidRPr="00474F4A">
              <w:rPr>
                <w:sz w:val="18"/>
                <w:szCs w:val="18"/>
                <w:lang w:val="en-US"/>
              </w:rPr>
              <w:fldChar w:fldCharType="end"/>
            </w:r>
          </w:p>
        </w:tc>
      </w:tr>
      <w:tr w:rsidR="00FC6B5E" w:rsidRPr="00474F4A" w14:paraId="19EFCB57" w14:textId="77777777" w:rsidTr="00E81EC7">
        <w:trPr>
          <w:jc w:val="center"/>
        </w:trPr>
        <w:tc>
          <w:tcPr>
            <w:tcW w:w="746" w:type="pct"/>
            <w:vAlign w:val="center"/>
          </w:tcPr>
          <w:p w14:paraId="71774624" w14:textId="77777777" w:rsidR="00506402" w:rsidRPr="00474F4A" w:rsidRDefault="00506402" w:rsidP="00996D96">
            <w:pPr>
              <w:rPr>
                <w:i/>
                <w:sz w:val="18"/>
                <w:szCs w:val="18"/>
                <w:lang w:val="en-US"/>
              </w:rPr>
            </w:pPr>
            <w:r w:rsidRPr="00474F4A">
              <w:rPr>
                <w:sz w:val="18"/>
                <w:szCs w:val="18"/>
                <w:lang w:val="en-US"/>
              </w:rPr>
              <w:t>Biopsies</w:t>
            </w:r>
          </w:p>
        </w:tc>
        <w:tc>
          <w:tcPr>
            <w:tcW w:w="874" w:type="pct"/>
            <w:vAlign w:val="center"/>
          </w:tcPr>
          <w:p w14:paraId="07CAB6A9" w14:textId="77777777" w:rsidR="00506402" w:rsidRPr="00474F4A" w:rsidRDefault="00506402" w:rsidP="00996D96">
            <w:pPr>
              <w:jc w:val="center"/>
              <w:rPr>
                <w:sz w:val="18"/>
                <w:szCs w:val="18"/>
                <w:lang w:val="en-US"/>
              </w:rPr>
            </w:pPr>
            <w:r w:rsidRPr="00474F4A">
              <w:rPr>
                <w:sz w:val="18"/>
                <w:szCs w:val="18"/>
                <w:lang w:val="en-US"/>
              </w:rPr>
              <w:t>Florida</w:t>
            </w:r>
          </w:p>
          <w:p w14:paraId="06CE344F" w14:textId="77777777" w:rsidR="00506402" w:rsidRPr="00474F4A" w:rsidRDefault="00506402" w:rsidP="00996D96">
            <w:pPr>
              <w:jc w:val="center"/>
              <w:rPr>
                <w:sz w:val="18"/>
                <w:szCs w:val="18"/>
                <w:lang w:val="en-US"/>
              </w:rPr>
            </w:pPr>
            <w:r w:rsidRPr="00474F4A">
              <w:rPr>
                <w:sz w:val="18"/>
                <w:szCs w:val="18"/>
                <w:lang w:val="en-US"/>
              </w:rPr>
              <w:t>Sarasota Bay</w:t>
            </w:r>
          </w:p>
        </w:tc>
        <w:tc>
          <w:tcPr>
            <w:tcW w:w="481" w:type="pct"/>
            <w:vAlign w:val="center"/>
          </w:tcPr>
          <w:p w14:paraId="2FB9760B" w14:textId="77777777" w:rsidR="00506402" w:rsidRPr="00474F4A" w:rsidRDefault="00506402" w:rsidP="00996D96">
            <w:pPr>
              <w:jc w:val="center"/>
              <w:rPr>
                <w:sz w:val="18"/>
                <w:szCs w:val="18"/>
                <w:lang w:val="en-US"/>
              </w:rPr>
            </w:pPr>
            <w:r w:rsidRPr="00474F4A">
              <w:rPr>
                <w:sz w:val="18"/>
                <w:szCs w:val="18"/>
                <w:lang w:val="en-US"/>
              </w:rPr>
              <w:t>2003-2005</w:t>
            </w:r>
          </w:p>
        </w:tc>
        <w:tc>
          <w:tcPr>
            <w:tcW w:w="299" w:type="pct"/>
            <w:vAlign w:val="center"/>
          </w:tcPr>
          <w:p w14:paraId="78F25870" w14:textId="77777777" w:rsidR="00506402" w:rsidRPr="00474F4A" w:rsidRDefault="00506402" w:rsidP="00996D96">
            <w:pPr>
              <w:jc w:val="center"/>
              <w:rPr>
                <w:sz w:val="18"/>
                <w:szCs w:val="18"/>
                <w:lang w:val="en-US"/>
              </w:rPr>
            </w:pPr>
            <w:r w:rsidRPr="00474F4A">
              <w:rPr>
                <w:sz w:val="18"/>
                <w:szCs w:val="18"/>
                <w:lang w:val="en-US"/>
              </w:rPr>
              <w:t>54</w:t>
            </w:r>
          </w:p>
        </w:tc>
        <w:tc>
          <w:tcPr>
            <w:tcW w:w="574" w:type="pct"/>
            <w:vAlign w:val="center"/>
          </w:tcPr>
          <w:p w14:paraId="0437B5BB" w14:textId="77777777" w:rsidR="00506402" w:rsidRPr="00474F4A" w:rsidRDefault="00506402" w:rsidP="00996D96">
            <w:pPr>
              <w:jc w:val="center"/>
              <w:rPr>
                <w:sz w:val="18"/>
                <w:szCs w:val="18"/>
                <w:lang w:val="en-US"/>
              </w:rPr>
            </w:pPr>
            <w:r w:rsidRPr="00474F4A">
              <w:rPr>
                <w:sz w:val="18"/>
                <w:szCs w:val="18"/>
                <w:lang w:val="en-US"/>
              </w:rPr>
              <w:t>2152 ± 1680</w:t>
            </w:r>
          </w:p>
        </w:tc>
        <w:tc>
          <w:tcPr>
            <w:tcW w:w="595" w:type="pct"/>
            <w:vAlign w:val="center"/>
          </w:tcPr>
          <w:p w14:paraId="68436FEB" w14:textId="77777777" w:rsidR="00506402" w:rsidRPr="00474F4A" w:rsidRDefault="00506402" w:rsidP="00996D96">
            <w:pPr>
              <w:jc w:val="center"/>
              <w:rPr>
                <w:sz w:val="18"/>
                <w:szCs w:val="18"/>
                <w:lang w:val="en-US"/>
              </w:rPr>
            </w:pPr>
          </w:p>
        </w:tc>
        <w:tc>
          <w:tcPr>
            <w:tcW w:w="633" w:type="pct"/>
            <w:vAlign w:val="center"/>
          </w:tcPr>
          <w:p w14:paraId="7E2971EB" w14:textId="77777777" w:rsidR="00506402" w:rsidRPr="00474F4A" w:rsidRDefault="00506402" w:rsidP="00996D96">
            <w:pPr>
              <w:jc w:val="center"/>
              <w:rPr>
                <w:sz w:val="18"/>
                <w:szCs w:val="18"/>
                <w:lang w:val="en-US"/>
              </w:rPr>
            </w:pPr>
            <w:r w:rsidRPr="00474F4A">
              <w:rPr>
                <w:sz w:val="18"/>
                <w:szCs w:val="18"/>
                <w:lang w:val="en-US"/>
              </w:rPr>
              <w:t>321.5 - 7685</w:t>
            </w:r>
          </w:p>
        </w:tc>
        <w:tc>
          <w:tcPr>
            <w:tcW w:w="798" w:type="pct"/>
            <w:vAlign w:val="center"/>
          </w:tcPr>
          <w:p w14:paraId="170445A0" w14:textId="3A15E668" w:rsidR="00506402" w:rsidRPr="00474F4A" w:rsidRDefault="00506402" w:rsidP="00996D96">
            <w:pPr>
              <w:jc w:val="center"/>
              <w:rPr>
                <w:sz w:val="18"/>
                <w:szCs w:val="18"/>
                <w:lang w:val="en-US"/>
              </w:rPr>
            </w:pPr>
            <w:r w:rsidRPr="00474F4A">
              <w:rPr>
                <w:sz w:val="18"/>
                <w:szCs w:val="18"/>
                <w:lang w:val="en-US"/>
              </w:rPr>
              <w:fldChar w:fldCharType="begin" w:fldLock="1"/>
            </w:r>
            <w:r w:rsidR="00FC6B5E">
              <w:rPr>
                <w:sz w:val="18"/>
                <w:szCs w:val="18"/>
                <w:lang w:val="en-US"/>
              </w:rPr>
              <w:instrText>ADDIN CSL_CITATION {"citationItems":[{"id":"ITEM-1","itemData":{"author":[{"dropping-particle":"","family":"Woshner","given":"V","non-dropping-particle":"","parse-names":false,"suffix":""},{"dropping-particle":"","family":"Knott","given":"K","non-dropping-particle":"","parse-names":false,"suffix":""},{"dropping-particle":"","family":"Wells","given":"R","non-dropping-particle":"","parse-names":false,"suffix":""},{"dropping-particle":"","family":"Willetto","given":"C","non-dropping-particle":"","parse-names":false,"suffix":""},{"dropping-particle":"","family":"Swor","given":"R","non-dropping-particle":"","parse-names":false,"suffix":""},{"dropping-particle":"","family":"O'Hara","given":"T","non-dropping-particle":"","parse-names":false,"suffix":""}],"container-title":"EcoHealth","id":"ITEM-1","issued":{"date-parts":[["2008"]]},"page":"360-370","title":"Mercury and selenium in blood and epidermis of bottlenose dolphins (Tursiops truncatus) from sarasota bay, FL: Interaction and relevance to life history and hematologic parameters","type":"article-journal","volume":"5"},"uris":["http://www.mendeley.com/documents/?uuid=c66b3a00-5f08-464f-a5dd-b088bc558c2d","http://www.mendeley.com/documents/?uuid=253aed31-ac18-45b3-980f-83d532a4bf08"]}],"mendeley":{"formattedCitation":"&lt;sup&gt;5&lt;/sup&gt;","plainTextFormattedCitation":"5","previouslyFormattedCitation":"&lt;sup&gt;5&lt;/sup&gt;"},"properties":{"noteIndex":0},"schema":"https://github.com/citation-style-language/schema/raw/master/csl-citation.json"}</w:instrText>
            </w:r>
            <w:r w:rsidRPr="00474F4A">
              <w:rPr>
                <w:sz w:val="18"/>
                <w:szCs w:val="18"/>
                <w:lang w:val="en-US"/>
              </w:rPr>
              <w:fldChar w:fldCharType="separate"/>
            </w:r>
            <w:r w:rsidR="00FC6B5E" w:rsidRPr="00FC6B5E">
              <w:rPr>
                <w:noProof/>
                <w:sz w:val="18"/>
                <w:szCs w:val="18"/>
                <w:vertAlign w:val="superscript"/>
                <w:lang w:val="en-US"/>
              </w:rPr>
              <w:t>5</w:t>
            </w:r>
            <w:r w:rsidRPr="00474F4A">
              <w:rPr>
                <w:sz w:val="18"/>
                <w:szCs w:val="18"/>
                <w:lang w:val="en-US"/>
              </w:rPr>
              <w:fldChar w:fldCharType="end"/>
            </w:r>
          </w:p>
        </w:tc>
      </w:tr>
      <w:tr w:rsidR="00FC6B5E" w:rsidRPr="00474F4A" w14:paraId="6F735E6E" w14:textId="77777777" w:rsidTr="00E81EC7">
        <w:trPr>
          <w:jc w:val="center"/>
        </w:trPr>
        <w:tc>
          <w:tcPr>
            <w:tcW w:w="746" w:type="pct"/>
            <w:vAlign w:val="center"/>
          </w:tcPr>
          <w:p w14:paraId="1F5895A2" w14:textId="77777777" w:rsidR="00506402" w:rsidRPr="00474F4A" w:rsidRDefault="00506402" w:rsidP="00996D96">
            <w:pPr>
              <w:rPr>
                <w:i/>
                <w:sz w:val="18"/>
                <w:szCs w:val="18"/>
                <w:lang w:val="en-US"/>
              </w:rPr>
            </w:pPr>
            <w:r>
              <w:rPr>
                <w:sz w:val="18"/>
                <w:szCs w:val="18"/>
                <w:lang w:val="en-US"/>
              </w:rPr>
              <w:t>Strandings</w:t>
            </w:r>
          </w:p>
        </w:tc>
        <w:tc>
          <w:tcPr>
            <w:tcW w:w="874" w:type="pct"/>
            <w:vAlign w:val="center"/>
          </w:tcPr>
          <w:p w14:paraId="24713734" w14:textId="77777777" w:rsidR="00506402" w:rsidRPr="00474F4A" w:rsidRDefault="00506402" w:rsidP="00996D96">
            <w:pPr>
              <w:jc w:val="center"/>
              <w:rPr>
                <w:sz w:val="18"/>
                <w:szCs w:val="18"/>
              </w:rPr>
            </w:pPr>
            <w:r w:rsidRPr="00474F4A">
              <w:rPr>
                <w:sz w:val="18"/>
                <w:szCs w:val="18"/>
              </w:rPr>
              <w:t xml:space="preserve">South Carolina </w:t>
            </w:r>
          </w:p>
        </w:tc>
        <w:tc>
          <w:tcPr>
            <w:tcW w:w="481" w:type="pct"/>
            <w:vAlign w:val="center"/>
          </w:tcPr>
          <w:p w14:paraId="265F8715" w14:textId="77777777" w:rsidR="00506402" w:rsidRPr="00474F4A" w:rsidRDefault="00506402" w:rsidP="00996D96">
            <w:pPr>
              <w:jc w:val="center"/>
              <w:rPr>
                <w:sz w:val="18"/>
                <w:szCs w:val="18"/>
                <w:lang w:val="en-US"/>
              </w:rPr>
            </w:pPr>
            <w:r w:rsidRPr="00474F4A">
              <w:rPr>
                <w:sz w:val="18"/>
                <w:szCs w:val="18"/>
                <w:lang w:val="en-US"/>
              </w:rPr>
              <w:t>2000-2008</w:t>
            </w:r>
          </w:p>
        </w:tc>
        <w:tc>
          <w:tcPr>
            <w:tcW w:w="299" w:type="pct"/>
            <w:vAlign w:val="center"/>
          </w:tcPr>
          <w:p w14:paraId="39CDE528" w14:textId="77777777" w:rsidR="00506402" w:rsidRPr="00474F4A" w:rsidRDefault="00506402" w:rsidP="00996D96">
            <w:pPr>
              <w:jc w:val="center"/>
              <w:rPr>
                <w:sz w:val="18"/>
                <w:szCs w:val="18"/>
                <w:lang w:val="en-US"/>
              </w:rPr>
            </w:pPr>
            <w:r w:rsidRPr="00474F4A">
              <w:rPr>
                <w:sz w:val="18"/>
                <w:szCs w:val="18"/>
                <w:lang w:val="en-US"/>
              </w:rPr>
              <w:t>12</w:t>
            </w:r>
          </w:p>
        </w:tc>
        <w:tc>
          <w:tcPr>
            <w:tcW w:w="574" w:type="pct"/>
            <w:vAlign w:val="center"/>
          </w:tcPr>
          <w:p w14:paraId="2ADCEFAC" w14:textId="77777777" w:rsidR="00506402" w:rsidRPr="00474F4A" w:rsidRDefault="00506402" w:rsidP="00996D96">
            <w:pPr>
              <w:jc w:val="center"/>
              <w:rPr>
                <w:sz w:val="18"/>
                <w:szCs w:val="18"/>
                <w:lang w:val="en-US"/>
              </w:rPr>
            </w:pPr>
            <w:r w:rsidRPr="00474F4A">
              <w:rPr>
                <w:sz w:val="18"/>
                <w:szCs w:val="18"/>
                <w:lang w:val="en-US"/>
              </w:rPr>
              <w:t>1810 ± 1810</w:t>
            </w:r>
          </w:p>
        </w:tc>
        <w:tc>
          <w:tcPr>
            <w:tcW w:w="595" w:type="pct"/>
            <w:vAlign w:val="center"/>
          </w:tcPr>
          <w:p w14:paraId="78E35F8A" w14:textId="77777777" w:rsidR="00506402" w:rsidRPr="00474F4A" w:rsidRDefault="00506402" w:rsidP="00996D96">
            <w:pPr>
              <w:jc w:val="center"/>
              <w:rPr>
                <w:sz w:val="18"/>
                <w:szCs w:val="18"/>
                <w:lang w:val="en-US"/>
              </w:rPr>
            </w:pPr>
          </w:p>
        </w:tc>
        <w:tc>
          <w:tcPr>
            <w:tcW w:w="633" w:type="pct"/>
            <w:vAlign w:val="center"/>
          </w:tcPr>
          <w:p w14:paraId="45D52AF7" w14:textId="77777777" w:rsidR="00506402" w:rsidRPr="00474F4A" w:rsidRDefault="00506402" w:rsidP="00996D96">
            <w:pPr>
              <w:jc w:val="center"/>
              <w:rPr>
                <w:sz w:val="18"/>
                <w:szCs w:val="18"/>
                <w:lang w:val="en-US"/>
              </w:rPr>
            </w:pPr>
            <w:r w:rsidRPr="00474F4A">
              <w:rPr>
                <w:sz w:val="18"/>
                <w:szCs w:val="18"/>
                <w:lang w:val="en-US"/>
              </w:rPr>
              <w:t>169 - 5650</w:t>
            </w:r>
          </w:p>
        </w:tc>
        <w:tc>
          <w:tcPr>
            <w:tcW w:w="798" w:type="pct"/>
            <w:vAlign w:val="center"/>
          </w:tcPr>
          <w:p w14:paraId="1DDE2D0F" w14:textId="0207BC6F" w:rsidR="00506402" w:rsidRPr="00474F4A" w:rsidRDefault="00506402" w:rsidP="00996D96">
            <w:pPr>
              <w:jc w:val="center"/>
              <w:rPr>
                <w:sz w:val="18"/>
                <w:szCs w:val="18"/>
                <w:lang w:val="en-US"/>
              </w:rPr>
            </w:pPr>
            <w:r w:rsidRPr="00474F4A">
              <w:rPr>
                <w:sz w:val="18"/>
                <w:szCs w:val="18"/>
                <w:lang w:val="en-US"/>
              </w:rPr>
              <w:fldChar w:fldCharType="begin" w:fldLock="1"/>
            </w:r>
            <w:r w:rsidR="00FC6B5E">
              <w:rPr>
                <w:sz w:val="18"/>
                <w:szCs w:val="18"/>
                <w:lang w:val="en-US"/>
              </w:rPr>
              <w:instrText>ADDIN CSL_CITATION {"citationItems":[{"id":"ITEM-1","itemData":{"DOI":"10.1016/j.chemosphere.2010.11.019","ISBN":"0045-6535","abstract":"The significance of metal concentrations in marine mammals is not well understood and relating concentrations between stranded and free-ranging populations has been difficult. In order to predict liver concentrations in free-ranging dolphins, we examined concentrations of trace elements (Al, As, Ba, Be, Cd, Co, Cu, Fe, Li, Mn, Ni, Pb, Sb, Se, Sn, total Hg (THg), V, Zn) in skin and liver of stranded bottlenose dolphins (Tursiops truncatus) from the South Carolina (SC) coast and the Indian River Lagoon, Florida (FL) during 2000–2008. Significantly higher concentrations of Zn, Fe, Se, Al, Cu and THg were found in skin while liver exhibited significantly higher Cu, Fe, Mn and THg concentrations for both study sites. Mean skin concentrations of Cu and Mn were significantly higher in SC dolphins while higher concentrations of THg and V were found in FL dolphins. In addition, liver tissues in SC dolphins exhibited significantly higher As concentrations while higher Fe, Pb, Se, THg, and V levels were found in FL dolphins. Two elements (Cu and THg) showed significant age-related correlations with skin concentration while five elements (Cu, Se, THg, Zn and V) showed age-related correlations with liver concentrations. Geographic location influenced age-related accumulation of several trace elements and age-related accumulation of THg in hepatic tissue was observed for both sites to have the highest correlations (r² = 0.90SC; r² = 0.69FL). Mean THg concentration in liver was about 10 times higher in FL dolphins (330 μg.g−1 dw) than those samples from SC dolphins (34.3 μg.g−1 dw). The mean molar ratio of Hg to Se was 0.93 ± 0.32 and 1.08 ± 0.38 for SC and FL dolphins, respectively. However, the Hg:Se ratio varied with age as much lower ratios (0.2–0.4) were found in younger animals. Of the 18 measured elements, only THg was significantly correlated in skin and liver of stranded dolphins and skin of free-ranging dolphins from both sites suggesting that skin may be useful in predicting Hg concentrations in liver tissue of free-ranging dolphins. Results indicate that 33% of the stranded and 15% of the free-ranging dolphins from FL exceed the minimum 100 μg.g−1 wet weight (ww) (~400 dw) Hg threshold for hepatic damage while none from SC reached this level. Hepatic concentrations of As in SC dolphins and V in FL dolphins were also highly correlated with skin concentrations which may have some regional specificity predictive value. The present study provides the first app…","author":[{"dropping-particle":"","family":"Stavros","given":"Hui-Chen W","non-dropping-particle":"","parse-names":false,"suffix":""},{"dropping-particle":"","family":"Stolen","given":"Megan","non-dropping-particle":"","parse-names":false,"suffix":""},{"dropping-particle":"","family":"Durden","given":"Wendy Noke","non-dropping-particle":"","parse-names":false,"suffix":""},{"dropping-particle":"","family":"McFee","given":"Wayne","non-dropping-particle":"","parse-names":false,"suffix":""},{"dropping-particle":"","family":"Bossart","given":"Gregory D","non-dropping-particle":"","parse-names":false,"suffix":""},{"dropping-particle":"","family":"Fair","given":"Patricia A","non-dropping-particle":"","parse-names":false,"suffix":""}],"container-title":"Chemosphere","id":"ITEM-1","issue":"11","issued":{"date-parts":[["2011"]]},"page":"1649-1661","title":"Correlation and toxicological inference of trace elements in tissues from stranded and free-ranging bottlenose dolphins (Tursiops truncatus)","type":"article-journal","volume":"82"},"uris":["http://www.mendeley.com/documents/?uuid=a3cb0a06-bc66-4aee-9bab-61fb9dd018a1"]}],"mendeley":{"formattedCitation":"&lt;sup&gt;4&lt;/sup&gt;","plainTextFormattedCitation":"4","previouslyFormattedCitation":"&lt;sup&gt;4&lt;/sup&gt;"},"properties":{"noteIndex":0},"schema":"https://github.com/citation-style-language/schema/raw/master/csl-citation.json"}</w:instrText>
            </w:r>
            <w:r w:rsidRPr="00474F4A">
              <w:rPr>
                <w:sz w:val="18"/>
                <w:szCs w:val="18"/>
                <w:lang w:val="en-US"/>
              </w:rPr>
              <w:fldChar w:fldCharType="separate"/>
            </w:r>
            <w:r w:rsidR="00FC6B5E" w:rsidRPr="00FC6B5E">
              <w:rPr>
                <w:noProof/>
                <w:sz w:val="18"/>
                <w:szCs w:val="18"/>
                <w:vertAlign w:val="superscript"/>
                <w:lang w:val="en-US"/>
              </w:rPr>
              <w:t>4</w:t>
            </w:r>
            <w:r w:rsidRPr="00474F4A">
              <w:rPr>
                <w:sz w:val="18"/>
                <w:szCs w:val="18"/>
                <w:lang w:val="en-US"/>
              </w:rPr>
              <w:fldChar w:fldCharType="end"/>
            </w:r>
          </w:p>
        </w:tc>
      </w:tr>
      <w:tr w:rsidR="00FC6B5E" w:rsidRPr="00474F4A" w14:paraId="5B463663" w14:textId="77777777" w:rsidTr="00E81EC7">
        <w:trPr>
          <w:jc w:val="center"/>
        </w:trPr>
        <w:tc>
          <w:tcPr>
            <w:tcW w:w="746" w:type="pct"/>
            <w:vAlign w:val="center"/>
          </w:tcPr>
          <w:p w14:paraId="37FA94D4" w14:textId="77777777" w:rsidR="00506402" w:rsidRPr="00474F4A" w:rsidRDefault="00506402" w:rsidP="00996D96">
            <w:pPr>
              <w:rPr>
                <w:i/>
                <w:sz w:val="18"/>
                <w:szCs w:val="18"/>
                <w:lang w:val="en-US"/>
              </w:rPr>
            </w:pPr>
            <w:r>
              <w:rPr>
                <w:sz w:val="18"/>
                <w:szCs w:val="18"/>
              </w:rPr>
              <w:t xml:space="preserve">Strandings or </w:t>
            </w:r>
            <w:proofErr w:type="spellStart"/>
            <w:r>
              <w:rPr>
                <w:sz w:val="18"/>
                <w:szCs w:val="18"/>
              </w:rPr>
              <w:t>bycatch</w:t>
            </w:r>
            <w:proofErr w:type="spellEnd"/>
          </w:p>
        </w:tc>
        <w:tc>
          <w:tcPr>
            <w:tcW w:w="874" w:type="pct"/>
            <w:vAlign w:val="center"/>
          </w:tcPr>
          <w:p w14:paraId="232C4E07" w14:textId="77777777" w:rsidR="00506402" w:rsidRPr="00474F4A" w:rsidRDefault="00506402" w:rsidP="00996D96">
            <w:pPr>
              <w:jc w:val="center"/>
              <w:rPr>
                <w:sz w:val="18"/>
                <w:szCs w:val="18"/>
                <w:lang w:val="en-US"/>
              </w:rPr>
            </w:pPr>
            <w:r w:rsidRPr="00474F4A">
              <w:rPr>
                <w:sz w:val="18"/>
                <w:szCs w:val="18"/>
                <w:lang w:val="en-US"/>
              </w:rPr>
              <w:t xml:space="preserve">Southeast </w:t>
            </w:r>
            <w:r>
              <w:rPr>
                <w:sz w:val="18"/>
                <w:szCs w:val="18"/>
                <w:lang w:val="en-US"/>
              </w:rPr>
              <w:t>A</w:t>
            </w:r>
            <w:r w:rsidRPr="00474F4A">
              <w:rPr>
                <w:sz w:val="18"/>
                <w:szCs w:val="18"/>
                <w:lang w:val="en-US"/>
              </w:rPr>
              <w:t xml:space="preserve">tlantic </w:t>
            </w:r>
          </w:p>
        </w:tc>
        <w:tc>
          <w:tcPr>
            <w:tcW w:w="481" w:type="pct"/>
            <w:vAlign w:val="center"/>
          </w:tcPr>
          <w:p w14:paraId="75BA212E" w14:textId="77777777" w:rsidR="00506402" w:rsidRPr="00474F4A" w:rsidRDefault="00506402" w:rsidP="00996D96">
            <w:pPr>
              <w:jc w:val="center"/>
              <w:rPr>
                <w:sz w:val="18"/>
                <w:szCs w:val="18"/>
                <w:lang w:val="en-US"/>
              </w:rPr>
            </w:pPr>
            <w:r w:rsidRPr="00474F4A">
              <w:rPr>
                <w:sz w:val="18"/>
                <w:szCs w:val="18"/>
                <w:lang w:val="en-US"/>
              </w:rPr>
              <w:t>2003-2005</w:t>
            </w:r>
          </w:p>
        </w:tc>
        <w:tc>
          <w:tcPr>
            <w:tcW w:w="299" w:type="pct"/>
            <w:vAlign w:val="center"/>
          </w:tcPr>
          <w:p w14:paraId="0097DC39" w14:textId="77777777" w:rsidR="00506402" w:rsidRPr="00474F4A" w:rsidRDefault="00506402" w:rsidP="00996D96">
            <w:pPr>
              <w:jc w:val="center"/>
              <w:rPr>
                <w:sz w:val="18"/>
                <w:szCs w:val="18"/>
                <w:lang w:val="en-US"/>
              </w:rPr>
            </w:pPr>
            <w:r w:rsidRPr="00474F4A">
              <w:rPr>
                <w:sz w:val="18"/>
                <w:szCs w:val="18"/>
                <w:lang w:val="en-US"/>
              </w:rPr>
              <w:t>74</w:t>
            </w:r>
          </w:p>
        </w:tc>
        <w:tc>
          <w:tcPr>
            <w:tcW w:w="574" w:type="pct"/>
            <w:vAlign w:val="center"/>
          </w:tcPr>
          <w:p w14:paraId="5CE82995" w14:textId="77777777" w:rsidR="00506402" w:rsidRPr="00474F4A" w:rsidRDefault="00506402" w:rsidP="00996D96">
            <w:pPr>
              <w:jc w:val="center"/>
              <w:rPr>
                <w:sz w:val="18"/>
                <w:szCs w:val="18"/>
                <w:lang w:val="en-US"/>
              </w:rPr>
            </w:pPr>
            <w:r w:rsidRPr="00474F4A">
              <w:rPr>
                <w:sz w:val="18"/>
                <w:szCs w:val="18"/>
                <w:lang w:val="en-US"/>
              </w:rPr>
              <w:t>1700 ± 920</w:t>
            </w:r>
          </w:p>
        </w:tc>
        <w:tc>
          <w:tcPr>
            <w:tcW w:w="595" w:type="pct"/>
            <w:vAlign w:val="center"/>
          </w:tcPr>
          <w:p w14:paraId="51901FC8" w14:textId="77777777" w:rsidR="00506402" w:rsidRPr="00474F4A" w:rsidRDefault="00506402" w:rsidP="00996D96">
            <w:pPr>
              <w:jc w:val="center"/>
              <w:rPr>
                <w:sz w:val="18"/>
                <w:szCs w:val="18"/>
                <w:lang w:val="en-US"/>
              </w:rPr>
            </w:pPr>
          </w:p>
        </w:tc>
        <w:tc>
          <w:tcPr>
            <w:tcW w:w="633" w:type="pct"/>
            <w:vAlign w:val="center"/>
          </w:tcPr>
          <w:p w14:paraId="21201B1E" w14:textId="77777777" w:rsidR="00506402" w:rsidRPr="00474F4A" w:rsidRDefault="00506402" w:rsidP="00996D96">
            <w:pPr>
              <w:jc w:val="center"/>
              <w:rPr>
                <w:sz w:val="18"/>
                <w:szCs w:val="18"/>
                <w:lang w:val="en-US"/>
              </w:rPr>
            </w:pPr>
            <w:r w:rsidRPr="00474F4A">
              <w:rPr>
                <w:sz w:val="18"/>
                <w:szCs w:val="18"/>
                <w:lang w:val="en-US"/>
              </w:rPr>
              <w:t>650 - 4900</w:t>
            </w:r>
          </w:p>
        </w:tc>
        <w:tc>
          <w:tcPr>
            <w:tcW w:w="798" w:type="pct"/>
            <w:vAlign w:val="center"/>
          </w:tcPr>
          <w:p w14:paraId="67BD111B" w14:textId="7D9D04C5" w:rsidR="00506402" w:rsidRPr="00474F4A" w:rsidRDefault="00506402" w:rsidP="00996D96">
            <w:pPr>
              <w:jc w:val="center"/>
              <w:rPr>
                <w:sz w:val="18"/>
                <w:szCs w:val="18"/>
                <w:lang w:val="en-US"/>
              </w:rPr>
            </w:pPr>
            <w:r w:rsidRPr="00474F4A">
              <w:rPr>
                <w:sz w:val="18"/>
                <w:szCs w:val="18"/>
                <w:lang w:val="en-US"/>
              </w:rPr>
              <w:fldChar w:fldCharType="begin" w:fldLock="1"/>
            </w:r>
            <w:r w:rsidR="00FC6B5E">
              <w:rPr>
                <w:sz w:val="18"/>
                <w:szCs w:val="18"/>
                <w:lang w:val="en-US"/>
              </w:rPr>
              <w:instrText>ADDIN CSL_CITATION {"citationItems":[{"id":"ITEM-1","itemData":{"DOI":"10.1016/j.scitotenv.2007.07.030","ISBN":"0048-9697","abstract":"Concentrations of trace elements (Al, As, Ba, Be, Cd, Co, Cr, Cu, Fe, Li, Mn, Ni, Pb, Sb, Se, Sn, Tl, U, V, Zn) and total mercury (THg) were determined in skin samples collected from free-ranging bottlenose dolphin (Tursiops truncatus) populations. Dolphins were captured in the estuarine waters of Charleston (CHS), South Carolina (n=74) and the Indian River Lagoon (IRL), Florida (n=75) during 2003, 2004 and 2005. A subset of the skin tissue samples were used to determine methylmercury (MeHg) levels in CHS (n=17) and IRL (n=8) bottlenose dolphins. Distributions of trace element concentrations by age (adult vs. juvenile), gender (male vs. female) and study area (CHS vs. IRL) were examined. In general, higher elemental skin concentrations were found in CHS adult males than those of IRL adult males, except for THg and MeHg. For CHS dolphins, adult females showed significantly higher THg levels than juvenile females while higher Mn levels were found in juvenile females. For IRL dolphins, adult males showed significantly higher As concentrations than that in juvenile males and females while higher Co and V levels were found in juvenile males than adult males. Of all elements measured in this study, significantly higher levels of Fe, Se and Zn concentrations in skin tissue of both dolphin populations were similar to other studies reported previously. Percentage of MeHg/THg in skin tissue of CHS and IRL dolphin was about 72% and 73%, respectively. Dietary levels of trace elements may play an important role in contributing to concentration differences for As, Co, Mn, Sb, Se, THg and Tl between CHS and IRL dolphins. Total Hg concentrations were significantly correlated with the age of CHS dolphins, while an inverse relationship was detected for Cu, Mn, Pb, U and Zn. The only significant correlation found between trace element concentration and IRL dolphins' age was Mn. Geographic differences in several trace element concentrations (As, Co, Mn, Sb, Se, THg and Tl) in skin tissue may be potentially useful to discriminate between dolphin populations and is a possibility that warrants further investigation.","author":[{"dropping-particle":"","family":"Stavros","given":"Hui-Chen W","non-dropping-particle":"","parse-names":false,"suffix":""},{"dropping-particle":"","family":"Bossart","given":"Gregory D","non-dropping-particle":"","parse-names":false,"suffix":""},{"dropping-particle":"","family":"Hulsey","given":"Thomas C","non-dropping-particle":"","parse-names":false,"suffix":""},{"dropping-particle":"","family":"Fair","given":"Patricia A","non-dropping-particle":"","parse-names":false,"suffix":""}],"container-title":"Science of the Total Environment","id":"ITEM-1","issue":"1-3","issued":{"date-parts":[["2007"]]},"page":"300-315","title":"Trace element concentrations in skin of free-ranging bottlenose dolphins (Tursiops truncatus) from the southeast Atlantic coast","type":"article-journal","volume":"388"},"uris":["http://www.mendeley.com/documents/?uuid=72fec55f-e6f5-4921-b043-dcf6eba91584"]}],"mendeley":{"formattedCitation":"&lt;sup&gt;6&lt;/sup&gt;","plainTextFormattedCitation":"6","previouslyFormattedCitation":"&lt;sup&gt;6&lt;/sup&gt;"},"properties":{"noteIndex":0},"schema":"https://github.com/citation-style-language/schema/raw/master/csl-citation.json"}</w:instrText>
            </w:r>
            <w:r w:rsidRPr="00474F4A">
              <w:rPr>
                <w:sz w:val="18"/>
                <w:szCs w:val="18"/>
                <w:lang w:val="en-US"/>
              </w:rPr>
              <w:fldChar w:fldCharType="separate"/>
            </w:r>
            <w:r w:rsidR="00FC6B5E" w:rsidRPr="00FC6B5E">
              <w:rPr>
                <w:noProof/>
                <w:sz w:val="18"/>
                <w:szCs w:val="18"/>
                <w:vertAlign w:val="superscript"/>
                <w:lang w:val="en-US"/>
              </w:rPr>
              <w:t>6</w:t>
            </w:r>
            <w:r w:rsidRPr="00474F4A">
              <w:rPr>
                <w:sz w:val="18"/>
                <w:szCs w:val="18"/>
                <w:lang w:val="en-US"/>
              </w:rPr>
              <w:fldChar w:fldCharType="end"/>
            </w:r>
          </w:p>
        </w:tc>
      </w:tr>
      <w:tr w:rsidR="00FC6B5E" w:rsidRPr="00474F4A" w14:paraId="6A95FE80" w14:textId="77777777" w:rsidTr="00E81EC7">
        <w:trPr>
          <w:jc w:val="center"/>
        </w:trPr>
        <w:tc>
          <w:tcPr>
            <w:tcW w:w="746" w:type="pct"/>
            <w:vAlign w:val="center"/>
          </w:tcPr>
          <w:p w14:paraId="2FA15E4A" w14:textId="3D806C80" w:rsidR="00506402" w:rsidRPr="00474F4A" w:rsidRDefault="00506402" w:rsidP="00996D96">
            <w:pPr>
              <w:rPr>
                <w:i/>
                <w:sz w:val="18"/>
                <w:szCs w:val="18"/>
                <w:lang w:val="en-US"/>
              </w:rPr>
            </w:pPr>
          </w:p>
        </w:tc>
        <w:tc>
          <w:tcPr>
            <w:tcW w:w="874" w:type="pct"/>
            <w:vAlign w:val="center"/>
          </w:tcPr>
          <w:p w14:paraId="5CAB0D0E" w14:textId="622D69EB" w:rsidR="00506402" w:rsidRPr="00474F4A" w:rsidRDefault="00506402" w:rsidP="00996D96">
            <w:pPr>
              <w:jc w:val="center"/>
              <w:rPr>
                <w:sz w:val="18"/>
                <w:szCs w:val="18"/>
                <w:lang w:val="en-US"/>
              </w:rPr>
            </w:pPr>
          </w:p>
        </w:tc>
        <w:tc>
          <w:tcPr>
            <w:tcW w:w="481" w:type="pct"/>
            <w:vAlign w:val="center"/>
          </w:tcPr>
          <w:p w14:paraId="2920B990" w14:textId="03453AB6" w:rsidR="00506402" w:rsidRPr="00474F4A" w:rsidRDefault="00506402" w:rsidP="00996D96">
            <w:pPr>
              <w:jc w:val="center"/>
              <w:rPr>
                <w:sz w:val="18"/>
                <w:szCs w:val="18"/>
                <w:lang w:val="en-US"/>
              </w:rPr>
            </w:pPr>
          </w:p>
        </w:tc>
        <w:tc>
          <w:tcPr>
            <w:tcW w:w="299" w:type="pct"/>
            <w:vAlign w:val="center"/>
          </w:tcPr>
          <w:p w14:paraId="677B9D3B" w14:textId="11EA1689" w:rsidR="00506402" w:rsidRPr="00474F4A" w:rsidRDefault="00506402" w:rsidP="00996D96">
            <w:pPr>
              <w:jc w:val="center"/>
              <w:rPr>
                <w:sz w:val="18"/>
                <w:szCs w:val="18"/>
                <w:lang w:val="en-US"/>
              </w:rPr>
            </w:pPr>
          </w:p>
        </w:tc>
        <w:tc>
          <w:tcPr>
            <w:tcW w:w="574" w:type="pct"/>
            <w:vAlign w:val="center"/>
          </w:tcPr>
          <w:p w14:paraId="0C4BCB0F" w14:textId="5C6F4503" w:rsidR="00506402" w:rsidRPr="00474F4A" w:rsidRDefault="00506402" w:rsidP="00996D96">
            <w:pPr>
              <w:jc w:val="center"/>
              <w:rPr>
                <w:sz w:val="18"/>
                <w:szCs w:val="18"/>
                <w:lang w:val="en-US"/>
              </w:rPr>
            </w:pPr>
          </w:p>
        </w:tc>
        <w:tc>
          <w:tcPr>
            <w:tcW w:w="595" w:type="pct"/>
            <w:vAlign w:val="center"/>
          </w:tcPr>
          <w:p w14:paraId="52B9C422" w14:textId="77777777" w:rsidR="00506402" w:rsidRPr="00474F4A" w:rsidRDefault="00506402" w:rsidP="00996D96">
            <w:pPr>
              <w:jc w:val="center"/>
              <w:rPr>
                <w:sz w:val="18"/>
                <w:szCs w:val="18"/>
                <w:lang w:val="en-US"/>
              </w:rPr>
            </w:pPr>
          </w:p>
        </w:tc>
        <w:tc>
          <w:tcPr>
            <w:tcW w:w="633" w:type="pct"/>
            <w:vAlign w:val="center"/>
          </w:tcPr>
          <w:p w14:paraId="3BA62358" w14:textId="77777777" w:rsidR="00506402" w:rsidRPr="00474F4A" w:rsidRDefault="00506402" w:rsidP="00996D96">
            <w:pPr>
              <w:jc w:val="center"/>
              <w:rPr>
                <w:sz w:val="18"/>
                <w:szCs w:val="18"/>
                <w:lang w:val="en-US"/>
              </w:rPr>
            </w:pPr>
          </w:p>
        </w:tc>
        <w:tc>
          <w:tcPr>
            <w:tcW w:w="798" w:type="pct"/>
            <w:vAlign w:val="center"/>
          </w:tcPr>
          <w:p w14:paraId="6FA6BC62" w14:textId="33B75A42" w:rsidR="00506402" w:rsidRPr="00474F4A" w:rsidRDefault="00506402" w:rsidP="00996D96">
            <w:pPr>
              <w:jc w:val="center"/>
              <w:rPr>
                <w:sz w:val="18"/>
                <w:szCs w:val="18"/>
                <w:lang w:val="en-US"/>
              </w:rPr>
            </w:pPr>
          </w:p>
        </w:tc>
      </w:tr>
      <w:tr w:rsidR="00FC6B5E" w:rsidRPr="00474F4A" w14:paraId="747C562D" w14:textId="77777777" w:rsidTr="00E81EC7">
        <w:trPr>
          <w:jc w:val="center"/>
        </w:trPr>
        <w:tc>
          <w:tcPr>
            <w:tcW w:w="746" w:type="pct"/>
            <w:vAlign w:val="center"/>
          </w:tcPr>
          <w:p w14:paraId="17515AEE" w14:textId="77777777" w:rsidR="00506402" w:rsidRPr="00474F4A" w:rsidRDefault="00506402" w:rsidP="00996D96">
            <w:pPr>
              <w:rPr>
                <w:i/>
                <w:sz w:val="18"/>
                <w:szCs w:val="18"/>
                <w:lang w:val="en-US"/>
              </w:rPr>
            </w:pPr>
            <w:r>
              <w:rPr>
                <w:sz w:val="18"/>
                <w:szCs w:val="18"/>
                <w:lang w:val="en-US"/>
              </w:rPr>
              <w:t>Captive animals</w:t>
            </w:r>
          </w:p>
        </w:tc>
        <w:tc>
          <w:tcPr>
            <w:tcW w:w="874" w:type="pct"/>
            <w:vAlign w:val="center"/>
          </w:tcPr>
          <w:p w14:paraId="271A1B8D" w14:textId="77777777" w:rsidR="00506402" w:rsidRPr="00474F4A" w:rsidRDefault="00506402" w:rsidP="00996D96">
            <w:pPr>
              <w:autoSpaceDE w:val="0"/>
              <w:autoSpaceDN w:val="0"/>
              <w:adjustRightInd w:val="0"/>
              <w:jc w:val="center"/>
              <w:rPr>
                <w:sz w:val="18"/>
                <w:szCs w:val="18"/>
                <w:lang w:val="en-US"/>
              </w:rPr>
            </w:pPr>
            <w:r w:rsidRPr="00474F4A">
              <w:rPr>
                <w:sz w:val="18"/>
                <w:szCs w:val="18"/>
                <w:lang w:val="en-US"/>
              </w:rPr>
              <w:t>Baltimore National Aquarium</w:t>
            </w:r>
          </w:p>
        </w:tc>
        <w:tc>
          <w:tcPr>
            <w:tcW w:w="481" w:type="pct"/>
            <w:vAlign w:val="center"/>
          </w:tcPr>
          <w:p w14:paraId="2F9FC7D1" w14:textId="77777777" w:rsidR="00506402" w:rsidRPr="00474F4A" w:rsidRDefault="00506402" w:rsidP="00996D96">
            <w:pPr>
              <w:jc w:val="center"/>
              <w:rPr>
                <w:sz w:val="18"/>
                <w:szCs w:val="18"/>
                <w:lang w:val="en-US"/>
              </w:rPr>
            </w:pPr>
            <w:r w:rsidRPr="00474F4A">
              <w:rPr>
                <w:sz w:val="18"/>
                <w:szCs w:val="18"/>
                <w:lang w:val="en-US"/>
              </w:rPr>
              <w:t>2010</w:t>
            </w:r>
          </w:p>
        </w:tc>
        <w:tc>
          <w:tcPr>
            <w:tcW w:w="299" w:type="pct"/>
            <w:vAlign w:val="center"/>
          </w:tcPr>
          <w:p w14:paraId="1FC15D5E" w14:textId="77777777" w:rsidR="00506402" w:rsidRPr="00474F4A" w:rsidRDefault="00506402" w:rsidP="00996D96">
            <w:pPr>
              <w:jc w:val="center"/>
              <w:rPr>
                <w:sz w:val="18"/>
                <w:szCs w:val="18"/>
                <w:lang w:val="en-US"/>
              </w:rPr>
            </w:pPr>
            <w:r w:rsidRPr="00474F4A">
              <w:rPr>
                <w:sz w:val="18"/>
                <w:szCs w:val="18"/>
                <w:lang w:val="en-US"/>
              </w:rPr>
              <w:t>1</w:t>
            </w:r>
          </w:p>
        </w:tc>
        <w:tc>
          <w:tcPr>
            <w:tcW w:w="574" w:type="pct"/>
            <w:vAlign w:val="center"/>
          </w:tcPr>
          <w:p w14:paraId="58279AB7" w14:textId="77777777" w:rsidR="00506402" w:rsidRPr="00474F4A" w:rsidRDefault="00506402" w:rsidP="00996D96">
            <w:pPr>
              <w:jc w:val="center"/>
              <w:rPr>
                <w:sz w:val="18"/>
                <w:szCs w:val="18"/>
                <w:lang w:val="en-US"/>
              </w:rPr>
            </w:pPr>
            <w:r w:rsidRPr="00474F4A">
              <w:rPr>
                <w:sz w:val="18"/>
                <w:szCs w:val="18"/>
                <w:lang w:val="en-US"/>
              </w:rPr>
              <w:t>825 ± 380</w:t>
            </w:r>
          </w:p>
        </w:tc>
        <w:tc>
          <w:tcPr>
            <w:tcW w:w="595" w:type="pct"/>
            <w:vAlign w:val="center"/>
          </w:tcPr>
          <w:p w14:paraId="026747D5" w14:textId="77777777" w:rsidR="00506402" w:rsidRPr="00474F4A" w:rsidRDefault="00506402" w:rsidP="00996D96">
            <w:pPr>
              <w:jc w:val="center"/>
              <w:rPr>
                <w:sz w:val="18"/>
                <w:szCs w:val="18"/>
                <w:lang w:val="en-US"/>
              </w:rPr>
            </w:pPr>
          </w:p>
        </w:tc>
        <w:tc>
          <w:tcPr>
            <w:tcW w:w="633" w:type="pct"/>
            <w:vAlign w:val="center"/>
          </w:tcPr>
          <w:p w14:paraId="4F3B78B1" w14:textId="77777777" w:rsidR="00506402" w:rsidRPr="00474F4A" w:rsidRDefault="00506402" w:rsidP="00996D96">
            <w:pPr>
              <w:jc w:val="center"/>
              <w:rPr>
                <w:sz w:val="18"/>
                <w:szCs w:val="18"/>
                <w:lang w:val="en-US"/>
              </w:rPr>
            </w:pPr>
          </w:p>
        </w:tc>
        <w:tc>
          <w:tcPr>
            <w:tcW w:w="798" w:type="pct"/>
            <w:vAlign w:val="center"/>
          </w:tcPr>
          <w:p w14:paraId="3791EEA1" w14:textId="5CDEB857" w:rsidR="00506402" w:rsidRPr="00474F4A" w:rsidRDefault="00506402" w:rsidP="00996D96">
            <w:pPr>
              <w:jc w:val="center"/>
              <w:rPr>
                <w:sz w:val="18"/>
                <w:szCs w:val="18"/>
                <w:lang w:val="en-US"/>
              </w:rPr>
            </w:pPr>
            <w:r w:rsidRPr="00474F4A">
              <w:rPr>
                <w:sz w:val="18"/>
                <w:szCs w:val="18"/>
                <w:lang w:val="en-US"/>
              </w:rPr>
              <w:fldChar w:fldCharType="begin" w:fldLock="1"/>
            </w:r>
            <w:r w:rsidR="00FC6B5E">
              <w:rPr>
                <w:sz w:val="18"/>
                <w:szCs w:val="18"/>
                <w:lang w:val="en-US"/>
              </w:rPr>
              <w:instrText>ADDIN CSL_CITATION {"citationItems":[{"id":"ITEM-1","itemData":{"DOI":"10.1016/j.scitotenv.2011.11.021","ISSN":"1879-1026","PMID":"22137650","abstract":"Concentrations of total mercury (Hg) and selenium (Se) were determined in diet fish and whole blood and tissue samples from seven bottlenose dolphins (Tursiops truncatus) housed at the National Aquarium Baltimore (NAB). In addition, concentrations of monomethylmercury (CH(3)Hg(+)) were determined in diet fish and dolphins' tissue samples. The data were compared with the values found in wild populations to better understand how the dietary Hg and Se uptake rates affect the Hg and Se levels in dolphins. The diet fish total Hg concentrations ranged between 14 and 47 ng g(-1) and were markedly lower than for similar fish found in Florida, South Carolina, and other aquaria. CH(3)Hg(+) accounted for 85 to 91% of the total Hg found in diet fish. The diet fish Se concentrations ranged between 270 and 800 ng g(-1), indicating excess molar concentrations of Se over Hg. The Hg concentration range in the blood of NAB dolphins was 27-117 ng g(-1) and the concentrations were about one order of magnitude and several factors lower than the concentrations found in the blood of wild bottlenose dolphins in Florida and in South Carolina, respectively. The total Hg and CH(3)Hg(+) in tissue samples were also significantly lower than the reported values obtained from wild populations of bottlenose dolphins. The differences in the Hg concentrations in the dolphins' blood may be due to the different levels of Hg atmospheric deposition in the area where the dolphins' diet fish were found. The Se concentration range in the blood of NAB dolphins was 221-297 ng g(-1) which was two factors lower than the values found in wild populations. The lower Hg levels, as well as higher Se:Hg molar ratios in the blood of NAB dolphins, suggest that NAB dolphins may be less susceptible to the potential neurotoxicity from the CH(3)Hg(+) in their blood.","author":[{"dropping-particle":"","family":"Hong","given":"Yong Seok","non-dropping-particle":"","parse-names":false,"suffix":""},{"dropping-particle":"","family":"Hunter","given":"Sue","non-dropping-particle":"","parse-names":false,"suffix":""},{"dropping-particle":"","family":"Clayton","given":"Leigh a","non-dropping-particle":"","parse-names":false,"suffix":""},{"dropping-particle":"","family":"Rifkin","given":"Erik","non-dropping-particle":"","parse-names":false,"suffix":""},{"dropping-particle":"","family":"Bouwer","given":"Edward J","non-dropping-particle":"","parse-names":false,"suffix":""}],"container-title":"The Science of the total environment","id":"ITEM-1","issued":{"date-parts":[["2012","1"]]},"page":"220-6","publisher":"Elsevier B.V.","title":"Assessment of mercury and selenium concentrations in captive bottlenose dolphin's (Tursiops truncatus) diet fish, blood, and tissue.","type":"article-journal","volume":"414"},"uris":["http://www.mendeley.com/documents/?uuid=43e7c856-7d7a-494e-a541-72bda953886f","http://www.mendeley.com/documents/?uuid=1d8a1980-905d-42e7-a4ad-1992f2b764da"]}],"mendeley":{"formattedCitation":"&lt;sup&gt;7&lt;/sup&gt;","plainTextFormattedCitation":"7","previouslyFormattedCitation":"&lt;sup&gt;7&lt;/sup&gt;"},"properties":{"noteIndex":0},"schema":"https://github.com/citation-style-language/schema/raw/master/csl-citation.json"}</w:instrText>
            </w:r>
            <w:r w:rsidRPr="00474F4A">
              <w:rPr>
                <w:sz w:val="18"/>
                <w:szCs w:val="18"/>
                <w:lang w:val="en-US"/>
              </w:rPr>
              <w:fldChar w:fldCharType="separate"/>
            </w:r>
            <w:r w:rsidR="00FC6B5E" w:rsidRPr="00FC6B5E">
              <w:rPr>
                <w:noProof/>
                <w:sz w:val="18"/>
                <w:szCs w:val="18"/>
                <w:vertAlign w:val="superscript"/>
                <w:lang w:val="en-US"/>
              </w:rPr>
              <w:t>7</w:t>
            </w:r>
            <w:r w:rsidRPr="00474F4A">
              <w:rPr>
                <w:sz w:val="18"/>
                <w:szCs w:val="18"/>
                <w:lang w:val="en-US"/>
              </w:rPr>
              <w:fldChar w:fldCharType="end"/>
            </w:r>
          </w:p>
        </w:tc>
      </w:tr>
      <w:tr w:rsidR="00FC6B5E" w:rsidRPr="00474F4A" w14:paraId="2098F8B3" w14:textId="77777777" w:rsidTr="00E81EC7">
        <w:trPr>
          <w:jc w:val="center"/>
        </w:trPr>
        <w:tc>
          <w:tcPr>
            <w:tcW w:w="746" w:type="pct"/>
            <w:vAlign w:val="center"/>
          </w:tcPr>
          <w:p w14:paraId="6102E552" w14:textId="77777777" w:rsidR="00506402" w:rsidRPr="00474F4A" w:rsidRDefault="00506402" w:rsidP="00996D96">
            <w:pPr>
              <w:rPr>
                <w:sz w:val="18"/>
                <w:szCs w:val="18"/>
                <w:lang w:val="en-US"/>
              </w:rPr>
            </w:pPr>
            <w:r>
              <w:rPr>
                <w:sz w:val="18"/>
                <w:szCs w:val="18"/>
              </w:rPr>
              <w:t>Live captures</w:t>
            </w:r>
          </w:p>
        </w:tc>
        <w:tc>
          <w:tcPr>
            <w:tcW w:w="874" w:type="pct"/>
            <w:vAlign w:val="center"/>
          </w:tcPr>
          <w:p w14:paraId="4724670F" w14:textId="77777777" w:rsidR="00506402" w:rsidRPr="00474F4A" w:rsidRDefault="00506402" w:rsidP="00996D96">
            <w:pPr>
              <w:autoSpaceDE w:val="0"/>
              <w:autoSpaceDN w:val="0"/>
              <w:adjustRightInd w:val="0"/>
              <w:jc w:val="center"/>
              <w:rPr>
                <w:sz w:val="18"/>
                <w:szCs w:val="18"/>
                <w:lang w:val="en-US"/>
              </w:rPr>
            </w:pPr>
            <w:r w:rsidRPr="00474F4A">
              <w:rPr>
                <w:sz w:val="18"/>
                <w:szCs w:val="18"/>
                <w:lang w:val="en-US"/>
              </w:rPr>
              <w:t>Japan</w:t>
            </w:r>
          </w:p>
        </w:tc>
        <w:tc>
          <w:tcPr>
            <w:tcW w:w="481" w:type="pct"/>
            <w:vAlign w:val="center"/>
          </w:tcPr>
          <w:p w14:paraId="5A929658" w14:textId="77777777" w:rsidR="00506402" w:rsidRPr="00474F4A" w:rsidRDefault="00506402" w:rsidP="00996D96">
            <w:pPr>
              <w:jc w:val="center"/>
              <w:rPr>
                <w:sz w:val="18"/>
                <w:szCs w:val="18"/>
                <w:lang w:val="en-US"/>
              </w:rPr>
            </w:pPr>
            <w:r w:rsidRPr="00474F4A">
              <w:rPr>
                <w:sz w:val="18"/>
                <w:szCs w:val="18"/>
                <w:lang w:val="en-US"/>
              </w:rPr>
              <w:t>2007-2008</w:t>
            </w:r>
          </w:p>
        </w:tc>
        <w:tc>
          <w:tcPr>
            <w:tcW w:w="299" w:type="pct"/>
            <w:vAlign w:val="center"/>
          </w:tcPr>
          <w:p w14:paraId="449E9D63" w14:textId="77777777" w:rsidR="00506402" w:rsidRPr="00474F4A" w:rsidRDefault="00506402" w:rsidP="00996D96">
            <w:pPr>
              <w:jc w:val="center"/>
              <w:rPr>
                <w:sz w:val="18"/>
                <w:szCs w:val="18"/>
                <w:lang w:val="en-US"/>
              </w:rPr>
            </w:pPr>
            <w:r w:rsidRPr="00474F4A">
              <w:rPr>
                <w:sz w:val="18"/>
                <w:szCs w:val="18"/>
                <w:lang w:val="en-US"/>
              </w:rPr>
              <w:t>31</w:t>
            </w:r>
          </w:p>
        </w:tc>
        <w:tc>
          <w:tcPr>
            <w:tcW w:w="574" w:type="pct"/>
            <w:vAlign w:val="center"/>
          </w:tcPr>
          <w:p w14:paraId="1408BCA1" w14:textId="77777777" w:rsidR="00506402" w:rsidRPr="00474F4A" w:rsidRDefault="00506402" w:rsidP="00996D96">
            <w:pPr>
              <w:jc w:val="center"/>
              <w:rPr>
                <w:sz w:val="18"/>
                <w:szCs w:val="18"/>
                <w:lang w:val="en-US"/>
              </w:rPr>
            </w:pPr>
          </w:p>
        </w:tc>
        <w:tc>
          <w:tcPr>
            <w:tcW w:w="595" w:type="pct"/>
            <w:vAlign w:val="center"/>
          </w:tcPr>
          <w:p w14:paraId="2E3921EA" w14:textId="77777777" w:rsidR="00506402" w:rsidRPr="00474F4A" w:rsidRDefault="00506402" w:rsidP="00996D96">
            <w:pPr>
              <w:jc w:val="center"/>
              <w:rPr>
                <w:sz w:val="18"/>
                <w:szCs w:val="18"/>
                <w:lang w:val="en-US"/>
              </w:rPr>
            </w:pPr>
            <w:r w:rsidRPr="00474F4A">
              <w:rPr>
                <w:sz w:val="18"/>
                <w:szCs w:val="18"/>
                <w:lang w:val="en-US"/>
              </w:rPr>
              <w:t>29960</w:t>
            </w:r>
          </w:p>
        </w:tc>
        <w:tc>
          <w:tcPr>
            <w:tcW w:w="633" w:type="pct"/>
            <w:vAlign w:val="center"/>
          </w:tcPr>
          <w:p w14:paraId="60D6D50A" w14:textId="77777777" w:rsidR="00506402" w:rsidRPr="00474F4A" w:rsidRDefault="00506402" w:rsidP="00996D96">
            <w:pPr>
              <w:jc w:val="center"/>
              <w:rPr>
                <w:sz w:val="18"/>
                <w:szCs w:val="18"/>
                <w:lang w:val="en-US"/>
              </w:rPr>
            </w:pPr>
          </w:p>
        </w:tc>
        <w:tc>
          <w:tcPr>
            <w:tcW w:w="798" w:type="pct"/>
            <w:vAlign w:val="center"/>
          </w:tcPr>
          <w:p w14:paraId="2CB7C1F7" w14:textId="3BF9A816" w:rsidR="00506402" w:rsidRPr="00474F4A" w:rsidRDefault="00506402" w:rsidP="00996D96">
            <w:pPr>
              <w:jc w:val="center"/>
              <w:rPr>
                <w:sz w:val="18"/>
                <w:szCs w:val="18"/>
                <w:lang w:val="en-US"/>
              </w:rPr>
            </w:pPr>
            <w:r w:rsidRPr="00474F4A">
              <w:rPr>
                <w:sz w:val="18"/>
                <w:szCs w:val="18"/>
                <w:lang w:val="en-US"/>
              </w:rPr>
              <w:fldChar w:fldCharType="begin" w:fldLock="1"/>
            </w:r>
            <w:r w:rsidR="00FC6B5E">
              <w:rPr>
                <w:sz w:val="18"/>
                <w:szCs w:val="18"/>
                <w:lang w:val="en-US"/>
              </w:rPr>
              <w:instrText>ADDIN CSL_CITATION {"citationItems":[{"id":"ITEM-1","itemData":{"DOI":"10.1016/j.envres.2015.09.010","ISSN":"10960953","PMID":"26436307","abstract":"Mercury accumulates at high levels in marine mammal tissues. However, its speciation is poorly understood. The main goal of this investigation was to establish the relationships among mercury species and selenium (Se) concentrations in toothed-whale muscles at different mercury levels. The concentrations of total mercury (T-Hg), methylmercury (MeHg), inorganic mercury (I-Hg) and Se were determined in the muscles of four toothed-whale species: bottlenose dolphins (n=31), Risso's dolphins (n=30), striped dolphins (n=29), and short-finned pilot whales (n=30). In each species, the MeHg concentration increased with increasing T-Hg concentration, tending to reach a plateau. In contrast, the proportion of MeHg in T-Hg decreased from 90-100% to 20-40%. The levels of T-Hg and Se showed strong positive correlations. Se/I-Hg molar ratios rapidly decreased with the increase of I-Hg and reached almost 1 in all species. These results suggested that the demethylated MeHg immediately formed Se/I-Hg equimolar complex of mercury selenide (HgSe) in their muscles. In addition, an X-ray absorption fine structure analysis (XAFS) of a bottlenose dolphin muscle confirmed that the dominant chemical form of the Se/I-Hg equimolar complex was HgSe. HgSe was mainly localized in cells near the endomysium using electron probe microanalysis (EPMA). These results suggested that the demethylated MeHg finally deposits within muscle cells of bottlenose dolphin as an inert HgSe.","author":[{"dropping-particle":"","family":"Sakamoto","given":"Mineshi","non-dropping-particle":"","parse-names":false,"suffix":""},{"dropping-particle":"","family":"Itai","given":"Takaaki","non-dropping-particle":"","parse-names":false,"suffix":""},{"dropping-particle":"","family":"Yasutake","given":"Akira","non-dropping-particle":"","parse-names":false,"suffix":""},{"dropping-particle":"","family":"Iwasaki","given":"Toshihide","non-dropping-particle":"","parse-names":false,"suffix":""},{"dropping-particle":"","family":"Yasunaga","given":"Genta","non-dropping-particle":"","parse-names":false,"suffix":""},{"dropping-particle":"","family":"Fujise","given":"Yoshihiro","non-dropping-particle":"","parse-names":false,"suffix":""},{"dropping-particle":"","family":"Nakamura","given":"Masaaki","non-dropping-particle":"","parse-names":false,"suffix":""},{"dropping-particle":"","family":"Murata","given":"Katsuyuki","non-dropping-particle":"","parse-names":false,"suffix":""},{"dropping-particle":"","family":"Man Chan","given":"Hing","non-dropping-particle":"","parse-names":false,"suffix":""},{"dropping-particle":"","family":"Domingo","given":"José L.","non-dropping-particle":"","parse-names":false,"suffix":""},{"dropping-particle":"","family":"Marumoto","given":"Masumi","non-dropping-particle":"","parse-names":false,"suffix":""}],"container-title":"Environmental Research","id":"ITEM-1","issued":{"date-parts":[["2015"]]},"page":"55-61","publisher":"Elsevier","title":"Mercury speciation and selenium in toothed-whale muscles","type":"article-journal","volume":"143"},"uris":["http://www.mendeley.com/documents/?uuid=16656267-2d4a-4403-af41-44517e9472a8"]}],"mendeley":{"formattedCitation":"&lt;sup&gt;8&lt;/sup&gt;","plainTextFormattedCitation":"8","previouslyFormattedCitation":"&lt;sup&gt;8&lt;/sup&gt;"},"properties":{"noteIndex":0},"schema":"https://github.com/citation-style-language/schema/raw/master/csl-citation.json"}</w:instrText>
            </w:r>
            <w:r w:rsidRPr="00474F4A">
              <w:rPr>
                <w:sz w:val="18"/>
                <w:szCs w:val="18"/>
                <w:lang w:val="en-US"/>
              </w:rPr>
              <w:fldChar w:fldCharType="separate"/>
            </w:r>
            <w:r w:rsidR="00FC6B5E" w:rsidRPr="00FC6B5E">
              <w:rPr>
                <w:noProof/>
                <w:sz w:val="18"/>
                <w:szCs w:val="18"/>
                <w:vertAlign w:val="superscript"/>
                <w:lang w:val="en-US"/>
              </w:rPr>
              <w:t>8</w:t>
            </w:r>
            <w:r w:rsidRPr="00474F4A">
              <w:rPr>
                <w:sz w:val="18"/>
                <w:szCs w:val="18"/>
                <w:lang w:val="en-US"/>
              </w:rPr>
              <w:fldChar w:fldCharType="end"/>
            </w:r>
          </w:p>
        </w:tc>
      </w:tr>
      <w:tr w:rsidR="00FC6B5E" w:rsidRPr="00C11884" w14:paraId="2432B649" w14:textId="77777777" w:rsidTr="00E81EC7">
        <w:trPr>
          <w:jc w:val="center"/>
        </w:trPr>
        <w:tc>
          <w:tcPr>
            <w:tcW w:w="746" w:type="pct"/>
            <w:vAlign w:val="center"/>
          </w:tcPr>
          <w:p w14:paraId="2789A7F2" w14:textId="77777777" w:rsidR="00506402" w:rsidRPr="00474F4A" w:rsidRDefault="00506402" w:rsidP="00996D96">
            <w:pPr>
              <w:rPr>
                <w:sz w:val="18"/>
                <w:szCs w:val="18"/>
                <w:lang w:val="en-GB"/>
              </w:rPr>
            </w:pPr>
            <w:r w:rsidRPr="00474F4A">
              <w:rPr>
                <w:sz w:val="18"/>
                <w:szCs w:val="18"/>
                <w:lang w:val="en-GB"/>
              </w:rPr>
              <w:t xml:space="preserve">Biopsies </w:t>
            </w:r>
          </w:p>
        </w:tc>
        <w:tc>
          <w:tcPr>
            <w:tcW w:w="874" w:type="pct"/>
            <w:vAlign w:val="center"/>
          </w:tcPr>
          <w:p w14:paraId="66FCBC3D" w14:textId="77777777" w:rsidR="00506402" w:rsidRPr="00474F4A" w:rsidRDefault="00506402" w:rsidP="00996D96">
            <w:pPr>
              <w:jc w:val="center"/>
              <w:rPr>
                <w:sz w:val="18"/>
                <w:szCs w:val="18"/>
                <w:lang w:val="en-GB"/>
              </w:rPr>
            </w:pPr>
            <w:r w:rsidRPr="00474F4A">
              <w:rPr>
                <w:sz w:val="18"/>
                <w:szCs w:val="18"/>
                <w:lang w:val="en-GB"/>
              </w:rPr>
              <w:t>La Réunion</w:t>
            </w:r>
          </w:p>
        </w:tc>
        <w:tc>
          <w:tcPr>
            <w:tcW w:w="481" w:type="pct"/>
            <w:vAlign w:val="center"/>
          </w:tcPr>
          <w:p w14:paraId="08CE5B63" w14:textId="77777777" w:rsidR="00506402" w:rsidRPr="00474F4A" w:rsidRDefault="00506402" w:rsidP="00996D96">
            <w:pPr>
              <w:jc w:val="center"/>
              <w:rPr>
                <w:sz w:val="18"/>
                <w:szCs w:val="18"/>
                <w:lang w:val="en-GB"/>
              </w:rPr>
            </w:pPr>
            <w:r w:rsidRPr="00474F4A">
              <w:rPr>
                <w:sz w:val="18"/>
                <w:szCs w:val="18"/>
                <w:lang w:val="en-GB"/>
              </w:rPr>
              <w:t>2010-2011</w:t>
            </w:r>
          </w:p>
        </w:tc>
        <w:tc>
          <w:tcPr>
            <w:tcW w:w="299" w:type="pct"/>
            <w:vAlign w:val="center"/>
          </w:tcPr>
          <w:p w14:paraId="6F9495AA" w14:textId="77777777" w:rsidR="00506402" w:rsidRPr="00474F4A" w:rsidRDefault="00506402" w:rsidP="00996D96">
            <w:pPr>
              <w:jc w:val="center"/>
              <w:rPr>
                <w:sz w:val="18"/>
                <w:szCs w:val="18"/>
                <w:lang w:val="en-GB"/>
              </w:rPr>
            </w:pPr>
            <w:r w:rsidRPr="00474F4A">
              <w:rPr>
                <w:sz w:val="18"/>
                <w:szCs w:val="18"/>
                <w:lang w:val="en-GB"/>
              </w:rPr>
              <w:t>32</w:t>
            </w:r>
          </w:p>
        </w:tc>
        <w:tc>
          <w:tcPr>
            <w:tcW w:w="574" w:type="pct"/>
            <w:vAlign w:val="center"/>
          </w:tcPr>
          <w:p w14:paraId="323E9D82" w14:textId="77777777" w:rsidR="00506402" w:rsidRPr="00474F4A" w:rsidRDefault="00506402" w:rsidP="00996D96">
            <w:pPr>
              <w:jc w:val="center"/>
              <w:rPr>
                <w:sz w:val="18"/>
                <w:szCs w:val="18"/>
                <w:lang w:val="en-GB"/>
              </w:rPr>
            </w:pPr>
          </w:p>
        </w:tc>
        <w:tc>
          <w:tcPr>
            <w:tcW w:w="595" w:type="pct"/>
            <w:vAlign w:val="center"/>
          </w:tcPr>
          <w:p w14:paraId="272D5CB8" w14:textId="77777777" w:rsidR="00506402" w:rsidRPr="00474F4A" w:rsidRDefault="00506402" w:rsidP="00996D96">
            <w:pPr>
              <w:jc w:val="center"/>
              <w:rPr>
                <w:sz w:val="18"/>
                <w:szCs w:val="18"/>
                <w:lang w:val="en-GB"/>
              </w:rPr>
            </w:pPr>
            <w:r w:rsidRPr="00474F4A">
              <w:rPr>
                <w:sz w:val="18"/>
                <w:szCs w:val="18"/>
                <w:lang w:val="en-GB"/>
              </w:rPr>
              <w:t>2850</w:t>
            </w:r>
          </w:p>
        </w:tc>
        <w:tc>
          <w:tcPr>
            <w:tcW w:w="633" w:type="pct"/>
            <w:vAlign w:val="center"/>
          </w:tcPr>
          <w:p w14:paraId="124AC62E" w14:textId="77777777" w:rsidR="00506402" w:rsidRPr="00474F4A" w:rsidRDefault="00506402" w:rsidP="00996D96">
            <w:pPr>
              <w:jc w:val="center"/>
              <w:rPr>
                <w:sz w:val="18"/>
                <w:szCs w:val="18"/>
                <w:lang w:val="en-GB"/>
              </w:rPr>
            </w:pPr>
            <w:r w:rsidRPr="00474F4A">
              <w:rPr>
                <w:sz w:val="18"/>
                <w:szCs w:val="18"/>
                <w:lang w:val="en-GB"/>
              </w:rPr>
              <w:t>723 - 6520</w:t>
            </w:r>
          </w:p>
        </w:tc>
        <w:tc>
          <w:tcPr>
            <w:tcW w:w="798" w:type="pct"/>
            <w:vAlign w:val="center"/>
          </w:tcPr>
          <w:p w14:paraId="59A18330" w14:textId="39E81975" w:rsidR="00506402" w:rsidRPr="00474F4A" w:rsidRDefault="00506402" w:rsidP="00996D96">
            <w:pPr>
              <w:jc w:val="center"/>
              <w:rPr>
                <w:sz w:val="18"/>
                <w:szCs w:val="18"/>
                <w:lang w:val="en-GB"/>
              </w:rPr>
            </w:pPr>
            <w:r w:rsidRPr="00474F4A">
              <w:rPr>
                <w:sz w:val="18"/>
                <w:szCs w:val="18"/>
              </w:rPr>
              <w:fldChar w:fldCharType="begin" w:fldLock="1"/>
            </w:r>
            <w:r w:rsidR="00FC6B5E">
              <w:rPr>
                <w:sz w:val="18"/>
                <w:szCs w:val="18"/>
              </w:rPr>
              <w:instrText>ADDIN CSL_CITATION {"citationItems":[{"id":"ITEM-1","itemData":{"DOI":"10.1016/j.envres.2016.01.006","ISSN":"00139351","abstract":"Due to their high trophic position and long life span, small cetaceans are considered as suitable bioindicators to monitor the presence of contaminants in marine ecosystems. Here, we document the contamination with persistent organic pollutants (POPs) and total mercury (T-Hg) of spinner (Stenella longirostris, n =21) and Indo-Pacific bottlenose dolphins (Tursiops aduncus, n=32) sampled from the coastal waters of La Réunion (south-western Indian Ocean). In addition, seven co-occurring teleost fish species were sampled and analyzed as well. Blubber samples from living dolphins and muscle from teleosts were analyzed for polychlorinated biphenyls (PCBs), DDT and metabolites (DDTs), chlordanes (CHLs), hexachlorocyclohexanes (HCHs), hexachlorobenzene (HCB), and polybrominated diphenyl ethers (PBDEs). Methoxylated PBDEs (MeO-PBDEs), reported as having a natural origin, were also analyzed. T-Hg levels were measured in blubber and skin biopsies of the two dolphin species. Stable isotopes δ13C and δ15N values were determined in skin of the dolphins and in the muscle of teleosts. For PCBs, HCHs and T-Hg, concentrations were significantly higher in T. aduncus than in S. longirostris. For other POP levels, intra-species variability was high. MeO-PBDEs were the dominant compounds (55% of the total POPs) in S. longirostris, while PCBs dominated (50% contribution) in T. aduncus. Other contaminants showed similar profiles between the two species. Given the different patterns of POPs and T-Hg contamination and the δ15N values observed among analyzed teleosts, dietary and foraging habitat preferences most likely explain the contrasted contaminant profiles observed in the two dolphin species. Levels of each class of contaminants were significantly higher in males than females. Despite their spatial and temporal overlap in the waters of La Réunion, S. longirostris and T. aduncus are differently exposed to contaminant accumulation.","author":[{"dropping-particle":"","family":"Dirtu","given":"Alin C.","non-dropping-particle":"","parse-names":false,"suffix":""</w:instrText>
            </w:r>
            <w:r w:rsidR="00FC6B5E" w:rsidRPr="00FC6B5E">
              <w:rPr>
                <w:sz w:val="18"/>
                <w:szCs w:val="18"/>
                <w:lang w:val="en-US"/>
              </w:rPr>
              <w:instrText>},{"dropping-particle":"","family":"Malarvannan","given":"Govindan","non-dropping-particle":"","parse-names":false,"suffix":""},{"dropping-particle":"","family":"Das","given":"Krishna","non-dropping-particle":"","parse-names":false,"suffix":""},{"dropping-particle":"","family":"Dulau-Drouot","given":"Violaine","non-dropping-particle":"","parse-names":false,"suffix":""},{"dropping-particle":"","family":"Kiszka","given":"Jeremy J.","non-dropping-particle":"","parse-names":false,"suffix":""},{"dropping-particle":"","family":"Lepoint","given":"Gilles","non-dropping-particle":"","parse-names":false,"suffix":""},{"dropping-particle":"","family":"Mongin","given":"Philippe","non-dropping-particle":"","parse-names":false,"suffix":""},{"dropping-particle":"","family":"Covaci","given":"Adrian","non-dropping-particle":"","parse-names":false,"suffix":""}],"container-title":"Environmental Research","id":"ITEM-1","issued":{"date-parts":[["2016","4"]]},"page":"263-273","title":"Contrasted accumulation patterns of persistent organic pollutants and mercury in sympatric tropical dolphins from the south-western Indian Ocean","type":"article-journal","volume":"146"},"uris":["http://www.mendeley.com/documents/?uuid=1c849c7d-521f-4957-b7e2-e16d3df89e50"]}],"mendeley":{"formattedCitation":"&lt;sup&gt;9&lt;/sup&gt;","plainTextFormattedCitation":"9","previouslyFormattedCitation":"&lt;sup&gt;9&lt;/sup&gt;"},"properties":{"noteIndex":0},"schema":"https://github.com/citation-style-language/schema/raw/master/csl-citation.json"}</w:instrText>
            </w:r>
            <w:r w:rsidRPr="00474F4A">
              <w:rPr>
                <w:sz w:val="18"/>
                <w:szCs w:val="18"/>
              </w:rPr>
              <w:fldChar w:fldCharType="separate"/>
            </w:r>
            <w:r w:rsidR="00FC6B5E" w:rsidRPr="00FC6B5E">
              <w:rPr>
                <w:noProof/>
                <w:sz w:val="18"/>
                <w:szCs w:val="18"/>
                <w:vertAlign w:val="superscript"/>
                <w:lang w:val="en-GB"/>
              </w:rPr>
              <w:t>9</w:t>
            </w:r>
            <w:r w:rsidRPr="00474F4A">
              <w:rPr>
                <w:sz w:val="18"/>
                <w:szCs w:val="18"/>
              </w:rPr>
              <w:fldChar w:fldCharType="end"/>
            </w:r>
          </w:p>
        </w:tc>
      </w:tr>
    </w:tbl>
    <w:p w14:paraId="4887CCEF" w14:textId="0D26B545" w:rsidR="00996D96" w:rsidRDefault="00E81EC7" w:rsidP="009435DD">
      <w:pPr>
        <w:pStyle w:val="Titre1"/>
        <w:numPr>
          <w:ilvl w:val="0"/>
          <w:numId w:val="0"/>
        </w:numPr>
        <w:spacing w:before="0" w:line="480" w:lineRule="auto"/>
        <w:rPr>
          <w:rFonts w:ascii="Arial" w:hAnsi="Arial" w:cs="Arial"/>
          <w:b/>
          <w:color w:val="1F3864" w:themeColor="accent1" w:themeShade="80"/>
          <w:sz w:val="20"/>
          <w:szCs w:val="20"/>
          <w:lang w:val="en-GB"/>
        </w:rPr>
      </w:pPr>
      <w:r>
        <w:rPr>
          <w:rFonts w:ascii="Arial" w:hAnsi="Arial" w:cs="Arial"/>
          <w:b/>
          <w:color w:val="1F3864" w:themeColor="accent1" w:themeShade="80"/>
          <w:sz w:val="20"/>
          <w:szCs w:val="20"/>
          <w:lang w:val="en-GB"/>
        </w:rPr>
        <w:lastRenderedPageBreak/>
        <w:t>A</w:t>
      </w:r>
    </w:p>
    <w:p w14:paraId="7BD98E57" w14:textId="77777777" w:rsidR="00E81EC7" w:rsidRPr="00200642" w:rsidRDefault="00E81EC7" w:rsidP="00E81EC7">
      <w:pPr>
        <w:jc w:val="center"/>
        <w:rPr>
          <w:lang w:val="en-US"/>
        </w:rPr>
      </w:pPr>
      <w:r>
        <w:rPr>
          <w:noProof/>
          <w:lang w:val="fr-FR"/>
        </w:rPr>
        <w:drawing>
          <wp:inline distT="0" distB="0" distL="0" distR="0" wp14:anchorId="56B4F438" wp14:editId="7709F49D">
            <wp:extent cx="4729164" cy="3228975"/>
            <wp:effectExtent l="0" t="0" r="14605"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368ECC" w14:textId="2104D50F" w:rsidR="00E81EC7" w:rsidRPr="00200642" w:rsidRDefault="00E81EC7" w:rsidP="00E81EC7">
      <w:pPr>
        <w:rPr>
          <w:b/>
          <w:lang w:val="en-US"/>
        </w:rPr>
      </w:pPr>
      <w:r w:rsidRPr="00200642">
        <w:rPr>
          <w:b/>
          <w:lang w:val="en-US"/>
        </w:rPr>
        <w:t>B</w:t>
      </w:r>
    </w:p>
    <w:p w14:paraId="1C11173B" w14:textId="77777777" w:rsidR="00E81EC7" w:rsidRPr="00200642" w:rsidRDefault="00E81EC7" w:rsidP="00E81EC7">
      <w:pPr>
        <w:jc w:val="center"/>
        <w:rPr>
          <w:lang w:val="en-US"/>
        </w:rPr>
      </w:pPr>
      <w:r>
        <w:rPr>
          <w:noProof/>
          <w:lang w:val="fr-FR"/>
        </w:rPr>
        <w:drawing>
          <wp:inline distT="0" distB="0" distL="0" distR="0" wp14:anchorId="53FA16EE" wp14:editId="3C4E97E1">
            <wp:extent cx="4762500" cy="3219451"/>
            <wp:effectExtent l="0" t="0" r="19050" b="1905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CDD26E" w14:textId="77777777" w:rsidR="00996D96" w:rsidRDefault="00996D96" w:rsidP="009435DD">
      <w:pPr>
        <w:pStyle w:val="Titre1"/>
        <w:numPr>
          <w:ilvl w:val="0"/>
          <w:numId w:val="0"/>
        </w:numPr>
        <w:spacing w:before="0" w:line="480" w:lineRule="auto"/>
        <w:rPr>
          <w:rFonts w:ascii="Arial" w:hAnsi="Arial" w:cs="Arial"/>
          <w:b/>
          <w:color w:val="1F3864" w:themeColor="accent1" w:themeShade="80"/>
          <w:sz w:val="20"/>
          <w:szCs w:val="20"/>
          <w:lang w:val="en-GB"/>
        </w:rPr>
      </w:pPr>
    </w:p>
    <w:p w14:paraId="516E74BE" w14:textId="0735B710" w:rsidR="00E81EC7" w:rsidRPr="00E81EC7" w:rsidRDefault="00E81EC7" w:rsidP="00E81EC7">
      <w:pPr>
        <w:jc w:val="center"/>
        <w:rPr>
          <w:b/>
          <w:lang w:val="en-GB" w:eastAsia="en-US"/>
        </w:rPr>
      </w:pPr>
      <w:r w:rsidRPr="00E81EC7">
        <w:rPr>
          <w:b/>
          <w:lang w:val="en-GB" w:eastAsia="en-US"/>
        </w:rPr>
        <w:t>Fi</w:t>
      </w:r>
      <w:r>
        <w:rPr>
          <w:b/>
          <w:lang w:val="en-GB" w:eastAsia="en-US"/>
        </w:rPr>
        <w:t xml:space="preserve">gure S1: Relationships between </w:t>
      </w:r>
      <w:r w:rsidRPr="00993860">
        <w:rPr>
          <w:rFonts w:ascii="Symbol" w:hAnsi="Symbol"/>
          <w:b/>
          <w:lang w:val="en-GB" w:eastAsia="en-US"/>
        </w:rPr>
        <w:t></w:t>
      </w:r>
      <w:r w:rsidRPr="00E81EC7">
        <w:rPr>
          <w:b/>
          <w:vertAlign w:val="superscript"/>
          <w:lang w:val="en-GB" w:eastAsia="en-US"/>
        </w:rPr>
        <w:t>13</w:t>
      </w:r>
      <w:r>
        <w:rPr>
          <w:b/>
          <w:lang w:val="en-GB" w:eastAsia="en-US"/>
        </w:rPr>
        <w:t xml:space="preserve">C and </w:t>
      </w:r>
      <w:r w:rsidR="00993860" w:rsidRPr="00993860">
        <w:rPr>
          <w:rFonts w:ascii="Symbol" w:hAnsi="Symbol"/>
          <w:b/>
          <w:lang w:val="en-GB" w:eastAsia="en-US"/>
        </w:rPr>
        <w:t></w:t>
      </w:r>
      <w:r w:rsidR="00993860" w:rsidRPr="00E81EC7">
        <w:rPr>
          <w:b/>
          <w:vertAlign w:val="superscript"/>
          <w:lang w:val="en-GB" w:eastAsia="en-US"/>
        </w:rPr>
        <w:t xml:space="preserve"> </w:t>
      </w:r>
      <w:r w:rsidRPr="00E81EC7">
        <w:rPr>
          <w:b/>
          <w:vertAlign w:val="superscript"/>
          <w:lang w:val="en-GB" w:eastAsia="en-US"/>
        </w:rPr>
        <w:t>15</w:t>
      </w:r>
      <w:r>
        <w:rPr>
          <w:b/>
          <w:lang w:val="en-GB" w:eastAsia="en-US"/>
        </w:rPr>
        <w:t>N</w:t>
      </w:r>
      <w:r w:rsidRPr="00E81EC7">
        <w:rPr>
          <w:b/>
          <w:lang w:val="en-GB" w:eastAsia="en-US"/>
        </w:rPr>
        <w:t xml:space="preserve"> values and mercury concentration in skin</w:t>
      </w:r>
      <w:r w:rsidR="00993860">
        <w:rPr>
          <w:b/>
          <w:lang w:val="en-GB" w:eastAsia="en-US"/>
        </w:rPr>
        <w:t xml:space="preserve"> of bottlenose dolphins from the Normanno-Breton Gulf</w:t>
      </w:r>
    </w:p>
    <w:p w14:paraId="24B69711" w14:textId="77777777" w:rsidR="00E81EC7" w:rsidRDefault="00E81EC7" w:rsidP="009435DD">
      <w:pPr>
        <w:pStyle w:val="Titre1"/>
        <w:numPr>
          <w:ilvl w:val="0"/>
          <w:numId w:val="0"/>
        </w:numPr>
        <w:spacing w:before="0" w:line="480" w:lineRule="auto"/>
        <w:rPr>
          <w:rFonts w:ascii="Arial" w:hAnsi="Arial" w:cs="Arial"/>
          <w:b/>
          <w:color w:val="1F3864" w:themeColor="accent1" w:themeShade="80"/>
          <w:sz w:val="20"/>
          <w:szCs w:val="20"/>
          <w:lang w:val="en-GB"/>
        </w:rPr>
      </w:pPr>
    </w:p>
    <w:p w14:paraId="1F0E8521" w14:textId="77777777" w:rsidR="00802FE9" w:rsidRPr="009435DD" w:rsidRDefault="00802FE9" w:rsidP="009435DD">
      <w:pPr>
        <w:pStyle w:val="Titre1"/>
        <w:numPr>
          <w:ilvl w:val="0"/>
          <w:numId w:val="0"/>
        </w:numPr>
        <w:spacing w:before="0" w:line="480" w:lineRule="auto"/>
        <w:rPr>
          <w:rFonts w:ascii="Arial" w:hAnsi="Arial" w:cs="Arial"/>
          <w:b/>
          <w:color w:val="1F3864" w:themeColor="accent1" w:themeShade="80"/>
          <w:sz w:val="20"/>
          <w:szCs w:val="20"/>
          <w:lang w:val="en-GB"/>
        </w:rPr>
      </w:pPr>
      <w:r w:rsidRPr="000D7BAC">
        <w:rPr>
          <w:rFonts w:ascii="Arial" w:hAnsi="Arial" w:cs="Arial"/>
          <w:b/>
          <w:color w:val="1F3864" w:themeColor="accent1" w:themeShade="80"/>
          <w:sz w:val="20"/>
          <w:szCs w:val="20"/>
          <w:lang w:val="en-GB"/>
        </w:rPr>
        <w:t>Materials and methods</w:t>
      </w:r>
    </w:p>
    <w:p w14:paraId="0B15FB30" w14:textId="77777777" w:rsidR="00802FE9" w:rsidRPr="00802FE9" w:rsidRDefault="00802FE9" w:rsidP="00802FE9">
      <w:pPr>
        <w:pStyle w:val="Titre2"/>
        <w:numPr>
          <w:ilvl w:val="0"/>
          <w:numId w:val="0"/>
        </w:numPr>
        <w:spacing w:before="0" w:line="480" w:lineRule="auto"/>
        <w:rPr>
          <w:rFonts w:ascii="Arial" w:hAnsi="Arial" w:cs="Arial"/>
          <w:b/>
          <w:color w:val="000000" w:themeColor="text1"/>
          <w:sz w:val="20"/>
          <w:szCs w:val="20"/>
          <w:lang w:val="en-GB"/>
        </w:rPr>
      </w:pPr>
      <w:r w:rsidRPr="00802FE9">
        <w:rPr>
          <w:rFonts w:ascii="Arial" w:hAnsi="Arial" w:cs="Arial"/>
          <w:b/>
          <w:color w:val="000000" w:themeColor="text1"/>
          <w:sz w:val="20"/>
          <w:szCs w:val="20"/>
          <w:lang w:val="en-GB"/>
        </w:rPr>
        <w:t>Biopsy sample collection</w:t>
      </w:r>
    </w:p>
    <w:p w14:paraId="65521CC1" w14:textId="77777777" w:rsidR="00802FE9" w:rsidRPr="000D7BAC" w:rsidRDefault="00802FE9" w:rsidP="00802FE9">
      <w:pPr>
        <w:spacing w:line="480" w:lineRule="auto"/>
        <w:jc w:val="both"/>
        <w:rPr>
          <w:rFonts w:ascii="Arial" w:hAnsi="Arial" w:cs="Arial"/>
          <w:sz w:val="20"/>
          <w:szCs w:val="20"/>
          <w:lang w:val="en-GB"/>
        </w:rPr>
      </w:pPr>
      <w:r w:rsidRPr="000D7BAC">
        <w:rPr>
          <w:rFonts w:ascii="Arial" w:hAnsi="Arial" w:cs="Arial"/>
          <w:sz w:val="20"/>
          <w:szCs w:val="20"/>
          <w:lang w:val="en-GB"/>
        </w:rPr>
        <w:t>Biopsy samples from individual bottlenose dolphins were collected during boat surveys in the Norman</w:t>
      </w:r>
      <w:r>
        <w:rPr>
          <w:rFonts w:ascii="Arial" w:hAnsi="Arial" w:cs="Arial"/>
          <w:sz w:val="20"/>
          <w:szCs w:val="20"/>
          <w:lang w:val="en-GB"/>
        </w:rPr>
        <w:t>no</w:t>
      </w:r>
      <w:r w:rsidRPr="000D7BAC">
        <w:rPr>
          <w:rFonts w:ascii="Arial" w:hAnsi="Arial" w:cs="Arial"/>
          <w:sz w:val="20"/>
          <w:szCs w:val="20"/>
          <w:lang w:val="en-GB"/>
        </w:rPr>
        <w:t xml:space="preserve">-Breton gulf from 2010 to 2012 (French ministry permit No. 09/115/DEROG). </w:t>
      </w:r>
    </w:p>
    <w:p w14:paraId="1A25FA6C" w14:textId="4B2D1A1A" w:rsidR="00802FE9" w:rsidRPr="000D7BAC" w:rsidRDefault="00802FE9" w:rsidP="00802FE9">
      <w:pPr>
        <w:spacing w:line="480" w:lineRule="auto"/>
        <w:jc w:val="both"/>
        <w:rPr>
          <w:rFonts w:ascii="Arial" w:hAnsi="Arial" w:cs="Arial"/>
          <w:sz w:val="20"/>
          <w:szCs w:val="20"/>
          <w:lang w:val="en-GB"/>
        </w:rPr>
      </w:pPr>
      <w:r w:rsidRPr="000D7BAC">
        <w:rPr>
          <w:rFonts w:ascii="Arial" w:hAnsi="Arial" w:cs="Arial"/>
          <w:sz w:val="20"/>
          <w:szCs w:val="20"/>
          <w:lang w:val="en-GB"/>
        </w:rPr>
        <w:t>Skin and blubber biopsies were obtained using a crossbow (Panzer Barnett 5), tips and arrows made by Finn Larsen (Danish Institute for Fisheries Research). Each individual biopsied was photo-identified using the natural marks on their dorsal fins. When a biopsy was successfully achieved, the skin was removed from the blubber and frozen at -20°C for mercury analysis, sex determination and stable isotope analysis. The remaining blubber was wrapped in aluminium foil inside a glass jar and stored at -80°C for POPs analysis. At the end, from a total of 8</w:t>
      </w:r>
      <w:r w:rsidR="0081145A">
        <w:rPr>
          <w:rFonts w:ascii="Arial" w:hAnsi="Arial" w:cs="Arial"/>
          <w:sz w:val="20"/>
          <w:szCs w:val="20"/>
          <w:lang w:val="en-GB"/>
        </w:rPr>
        <w:t>2</w:t>
      </w:r>
      <w:r w:rsidRPr="000D7BAC">
        <w:rPr>
          <w:rFonts w:ascii="Arial" w:hAnsi="Arial" w:cs="Arial"/>
          <w:sz w:val="20"/>
          <w:szCs w:val="20"/>
          <w:lang w:val="en-GB"/>
        </w:rPr>
        <w:t xml:space="preserve"> bottlenose dolphins biopsied, we obtained for this study 79 blubber biopsies and 69 skin biopsies (</w:t>
      </w:r>
      <w:r w:rsidRPr="000D7BAC">
        <w:rPr>
          <w:rFonts w:ascii="Arial" w:hAnsi="Arial" w:cs="Arial"/>
          <w:color w:val="0432FF"/>
          <w:sz w:val="20"/>
          <w:szCs w:val="20"/>
          <w:lang w:val="en-GB"/>
        </w:rPr>
        <w:t>Table S1, in Supporting information</w:t>
      </w:r>
      <w:r w:rsidRPr="000D7BAC">
        <w:rPr>
          <w:rFonts w:ascii="Arial" w:hAnsi="Arial" w:cs="Arial"/>
          <w:color w:val="414FF8"/>
          <w:sz w:val="20"/>
          <w:szCs w:val="20"/>
          <w:lang w:val="en-GB"/>
        </w:rPr>
        <w:t>)</w:t>
      </w:r>
      <w:r w:rsidRPr="000D7BAC">
        <w:rPr>
          <w:rFonts w:ascii="Arial" w:hAnsi="Arial" w:cs="Arial"/>
          <w:sz w:val="20"/>
          <w:szCs w:val="20"/>
          <w:lang w:val="en-GB"/>
        </w:rPr>
        <w:t>.</w:t>
      </w:r>
    </w:p>
    <w:p w14:paraId="3E04C0B3" w14:textId="77777777" w:rsidR="00802FE9" w:rsidRPr="000D7BAC" w:rsidRDefault="00802FE9" w:rsidP="00802FE9">
      <w:pPr>
        <w:spacing w:line="480" w:lineRule="auto"/>
        <w:jc w:val="both"/>
        <w:rPr>
          <w:rFonts w:ascii="Arial" w:hAnsi="Arial" w:cs="Arial"/>
          <w:sz w:val="20"/>
          <w:szCs w:val="20"/>
          <w:lang w:val="en-GB"/>
        </w:rPr>
      </w:pPr>
    </w:p>
    <w:p w14:paraId="57616719" w14:textId="77777777" w:rsidR="00802FE9" w:rsidRPr="00802FE9" w:rsidRDefault="00802FE9" w:rsidP="00802FE9">
      <w:pPr>
        <w:pStyle w:val="Titre2"/>
        <w:numPr>
          <w:ilvl w:val="0"/>
          <w:numId w:val="0"/>
        </w:numPr>
        <w:spacing w:before="0" w:line="480" w:lineRule="auto"/>
        <w:rPr>
          <w:rFonts w:ascii="Arial" w:hAnsi="Arial" w:cs="Arial"/>
          <w:b/>
          <w:color w:val="000000" w:themeColor="text1"/>
          <w:sz w:val="20"/>
          <w:szCs w:val="20"/>
          <w:lang w:val="en-GB"/>
        </w:rPr>
      </w:pPr>
      <w:r w:rsidRPr="00802FE9">
        <w:rPr>
          <w:rFonts w:ascii="Arial" w:hAnsi="Arial" w:cs="Arial"/>
          <w:b/>
          <w:color w:val="000000" w:themeColor="text1"/>
          <w:sz w:val="20"/>
          <w:szCs w:val="20"/>
          <w:lang w:val="en-GB"/>
        </w:rPr>
        <w:t>Gender identification and age class</w:t>
      </w:r>
    </w:p>
    <w:p w14:paraId="4EBCFC47" w14:textId="2B6F8D1D" w:rsidR="00802FE9" w:rsidRPr="000D7BAC" w:rsidRDefault="00802FE9" w:rsidP="00802FE9">
      <w:pPr>
        <w:spacing w:line="480" w:lineRule="auto"/>
        <w:jc w:val="both"/>
        <w:rPr>
          <w:rFonts w:ascii="Arial" w:hAnsi="Arial" w:cs="Arial"/>
          <w:sz w:val="20"/>
          <w:szCs w:val="20"/>
          <w:lang w:val="en-GB"/>
        </w:rPr>
      </w:pPr>
      <w:r w:rsidRPr="000D7BAC">
        <w:rPr>
          <w:rFonts w:ascii="Arial" w:hAnsi="Arial" w:cs="Arial"/>
          <w:sz w:val="20"/>
          <w:szCs w:val="20"/>
          <w:lang w:val="en-GB"/>
        </w:rPr>
        <w:t xml:space="preserve">The gender of each individual biopsied was determined in a previous study </w:t>
      </w:r>
      <w:r w:rsidR="00506A53">
        <w:rPr>
          <w:rFonts w:ascii="Arial" w:hAnsi="Arial" w:cs="Arial"/>
          <w:sz w:val="20"/>
          <w:szCs w:val="20"/>
          <w:lang w:val="en-GB"/>
        </w:rPr>
        <w:fldChar w:fldCharType="begin" w:fldLock="1"/>
      </w:r>
      <w:r w:rsidR="00506A53">
        <w:rPr>
          <w:rFonts w:ascii="Arial" w:hAnsi="Arial" w:cs="Arial"/>
          <w:sz w:val="20"/>
          <w:szCs w:val="20"/>
          <w:lang w:val="en-GB"/>
        </w:rPr>
        <w:instrText>ADDIN CSL_CITATION {"citationItems":[{"id":"ITEM-1","itemData":{"DOI":"10.1111/mec.12653","ISBN":"1365-294X","ISSN":"09621083","PMID":"24383934","abstract":"Despite no obvious barrier to gene flow, historical environmental processes and ecological specializations can lead to genetic differentiation in highly mobile animals. Ecotypes emerged in several large mammal species as a result of niche specializations and/or social organization. In the North-West Atlantic, two distinct bottlenose dolphin (Tursiops truncatus) ecotypes (i.e. 'coastal' and 'pelagic') have been identified. Here, we investigated the genetic population structure of North-East Atlantic (NEA) bottlenose dolphins on a large scale through the analysis of 381 biopsy-sampled or stranded animals using 25 microsatellites and a 682-bp portion of the mitochondrial control region. We shed light on the likely origin of stranded animals using a carcass drift prediction model. We showed, for the first time, that coastal and pelagic bottlenose dolphins were highly differentiated in the NEA. Finer-scale population structure was found within the two groups. We suggest that distinct founding events followed by parallel adaptation may have occurred independently from a large Atlantic pelagic population in the two sides of the basin. Divergence could be maintained by philopatry possibly as a result of foraging specializations and social organization. As coastal environments are under increasing anthropogenic pressures, small and isolated populations might be at risk and require appropriate conservation policies to preserve their habitats. While genetics can be a powerful first step to delineate ecotypes in protected and difficult to access taxa, ecotype distinction should be further documented through diet studies and the examination of cranial skull features associated with feeding.","author":[{"dropping-particle":"","family":"Louis","given":"Marie","non-dropping-particle":"","parse-names":false,"suffix":""},{"dropping-particle":"","family":"Viricel","given":"Amélia","non-dropping-particle":"","parse-names":false,"suffix":""},{"dropping-particle":"","family":"Lucas","given":"Tamara","non-dropping-particle":"","parse-names":false,"suffix":""},{"dropping-particle":"","family":"Peltier","given":"Hélène","non-dropping-particle":"","parse-names":false,"suffix":""},{"dropping-particle":"","family":"Alfonsi","given":"Eric","non-dropping-particle":"","parse-names":false,"suffix":""},{"dropping-particle":"","family":"Berrow","given":"Simon","non-dropping-particle":"","parse-names":false,"suffix":""},{"dropping-particle":"","family":"Brownlow","given":"Andrew","non-dropping-particle":"","parse-names":false,"suffix":""},{"dropping-particle":"","family":"Covelo","given":"Pablo","non-dropping-particle":"","parse-names":false,"suffix":""},{"dropping-particle":"","family":"Dabin","given":"Willy","non-dropping-particle":"","parse-names":false,"suffix":""},{"dropping-particle":"","family":"Deaville","given":"Rob","non-dropping-particle":"","parse-names":false,"suffix":""},{"dropping-particle":"","family":"Stephanis","given":"Renaud","non-dropping-particle":"De","parse-names":false,"suffix":""},{"dropping-particle":"","family":"Gally","given":"François","non-dropping-particle":"","parse-names":false,"suffix":""},{"dropping-particle":"","family":"Gauffier","given":"Pauline","non-dropping-particle":"","parse-names":false,"suffix":""},{"dropping-particle":"","family":"Penrose","given":"Rod","non-dropping-particle":"","parse-names":false,"suffix":""},{"dropping-particle":"","family":"Silva","given":"Monica A.","non-dropping-particle":"","parse-names":false,"suffix":""},{"dropping-particle":"","family":"Guinet","given":"Christophe","non-dropping-particle":"","parse-names":false,"suffix":""},{"dropping-particle":"","family":"Simon-Bouhet","given":"Benoit","non-dropping-particle":"","parse-names":false,"suffix":""}],"container-title":"Molecular Ecology","id":"ITEM-1","issue":"4","issued":{"date-parts":[["2014"]]},"page":"857-874","title":"Habitat-driven population structure of bottlenose dolphins, Tursiops truncatus, in the North-East Atlantic","type":"article-journal","volume":"23"},"uris":["http://www.mendeley.com/documents/?uuid=7c1f4f5a-13c5-4da2-b391-38c4d54c86c3"]}],"mendeley":{"formattedCitation":"&lt;sup&gt;10&lt;/sup&gt;","plainTextFormattedCitation":"10","previouslyFormattedCitation":"&lt;sup&gt;10&lt;/sup&gt;"},"properties":{"noteIndex":0},"schema":"https://github.com/citation-style-language/schema/raw/master/csl-citation.json"}</w:instrText>
      </w:r>
      <w:r w:rsidR="00506A53">
        <w:rPr>
          <w:rFonts w:ascii="Arial" w:hAnsi="Arial" w:cs="Arial"/>
          <w:sz w:val="20"/>
          <w:szCs w:val="20"/>
          <w:lang w:val="en-GB"/>
        </w:rPr>
        <w:fldChar w:fldCharType="separate"/>
      </w:r>
      <w:r w:rsidR="00506A53" w:rsidRPr="00506A53">
        <w:rPr>
          <w:rFonts w:ascii="Arial" w:hAnsi="Arial" w:cs="Arial"/>
          <w:noProof/>
          <w:sz w:val="20"/>
          <w:szCs w:val="20"/>
          <w:vertAlign w:val="superscript"/>
          <w:lang w:val="en-GB"/>
        </w:rPr>
        <w:t>10</w:t>
      </w:r>
      <w:r w:rsidR="00506A53">
        <w:rPr>
          <w:rFonts w:ascii="Arial" w:hAnsi="Arial" w:cs="Arial"/>
          <w:sz w:val="20"/>
          <w:szCs w:val="20"/>
          <w:lang w:val="en-GB"/>
        </w:rPr>
        <w:fldChar w:fldCharType="end"/>
      </w:r>
      <w:r w:rsidRPr="000D7BAC">
        <w:rPr>
          <w:rFonts w:ascii="Arial" w:hAnsi="Arial" w:cs="Arial"/>
          <w:sz w:val="20"/>
          <w:szCs w:val="20"/>
          <w:lang w:val="en-GB"/>
        </w:rPr>
        <w:t xml:space="preserve">. Briefly, DNA was extracted from the skin of the biopsy using </w:t>
      </w:r>
      <w:proofErr w:type="spellStart"/>
      <w:r w:rsidRPr="000D7BAC">
        <w:rPr>
          <w:rFonts w:ascii="Arial" w:hAnsi="Arial" w:cs="Arial"/>
          <w:sz w:val="20"/>
          <w:szCs w:val="20"/>
          <w:lang w:val="en-GB"/>
        </w:rPr>
        <w:t>NucleoSpin</w:t>
      </w:r>
      <w:proofErr w:type="spellEnd"/>
      <w:r w:rsidRPr="000D7BAC">
        <w:rPr>
          <w:rFonts w:ascii="Arial" w:hAnsi="Arial" w:cs="Arial"/>
          <w:sz w:val="20"/>
          <w:szCs w:val="20"/>
          <w:lang w:val="en-GB"/>
        </w:rPr>
        <w:t xml:space="preserve"> Tissue kits (</w:t>
      </w:r>
      <w:proofErr w:type="spellStart"/>
      <w:r w:rsidRPr="000D7BAC">
        <w:rPr>
          <w:rFonts w:ascii="Arial" w:hAnsi="Arial" w:cs="Arial"/>
          <w:sz w:val="20"/>
          <w:szCs w:val="20"/>
          <w:lang w:val="en-GB"/>
        </w:rPr>
        <w:t>Macherey</w:t>
      </w:r>
      <w:proofErr w:type="spellEnd"/>
      <w:r w:rsidRPr="000D7BAC">
        <w:rPr>
          <w:rFonts w:ascii="Arial" w:hAnsi="Arial" w:cs="Arial"/>
          <w:sz w:val="20"/>
          <w:szCs w:val="20"/>
          <w:lang w:val="en-GB"/>
        </w:rPr>
        <w:t xml:space="preserve">-Nagel) and following the manufacturer’s protocol. Then, individuals were sexed by the amplification of the SRY and ZFX/ZFY gene fragments </w:t>
      </w:r>
      <w:r w:rsidR="00506A53">
        <w:rPr>
          <w:rFonts w:ascii="Arial" w:hAnsi="Arial" w:cs="Arial"/>
          <w:sz w:val="20"/>
          <w:szCs w:val="20"/>
          <w:lang w:val="en-GB"/>
        </w:rPr>
        <w:fldChar w:fldCharType="begin" w:fldLock="1"/>
      </w:r>
      <w:r w:rsidR="00506A53">
        <w:rPr>
          <w:rFonts w:ascii="Arial" w:hAnsi="Arial" w:cs="Arial"/>
          <w:sz w:val="20"/>
          <w:szCs w:val="20"/>
          <w:lang w:val="en-GB"/>
        </w:rPr>
        <w:instrText>ADDIN CSL_CITATION {"citationItems":[{"id":"ITEM-1","itemData":{"DOI":"10.1023/A:1025666212967","ISSN":"1572-9737","author":[{"dropping-particle":"","family":"Rosel","given":"Patricia E","non-dropping-particle":"","parse-names":false,"suffix":""}],"container-title":"Conservation Genetics","id":"ITEM-1","issue":"5","issued":{"date-parts":[["2003"]]},"page":"647-649","title":"PCR-based sex determination in Odontocete cetaceans","type":"article-journal","volume":"4"},"uris":["http://www.mendeley.com/documents/?uuid=bad03f6a-953b-4006-970c-84b19a8c2c3b"]}],"mendeley":{"formattedCitation":"&lt;sup&gt;11&lt;/sup&gt;","plainTextFormattedCitation":"11","previouslyFormattedCitation":"&lt;sup&gt;11&lt;/sup&gt;"},"properties":{"noteIndex":0},"schema":"https://github.com/citation-style-language/schema/raw/master/csl-citation.json"}</w:instrText>
      </w:r>
      <w:r w:rsidR="00506A53">
        <w:rPr>
          <w:rFonts w:ascii="Arial" w:hAnsi="Arial" w:cs="Arial"/>
          <w:sz w:val="20"/>
          <w:szCs w:val="20"/>
          <w:lang w:val="en-GB"/>
        </w:rPr>
        <w:fldChar w:fldCharType="separate"/>
      </w:r>
      <w:r w:rsidR="00506A53" w:rsidRPr="00506A53">
        <w:rPr>
          <w:rFonts w:ascii="Arial" w:hAnsi="Arial" w:cs="Arial"/>
          <w:noProof/>
          <w:sz w:val="20"/>
          <w:szCs w:val="20"/>
          <w:vertAlign w:val="superscript"/>
          <w:lang w:val="en-GB"/>
        </w:rPr>
        <w:t>11</w:t>
      </w:r>
      <w:r w:rsidR="00506A53">
        <w:rPr>
          <w:rFonts w:ascii="Arial" w:hAnsi="Arial" w:cs="Arial"/>
          <w:sz w:val="20"/>
          <w:szCs w:val="20"/>
          <w:lang w:val="en-GB"/>
        </w:rPr>
        <w:fldChar w:fldCharType="end"/>
      </w:r>
      <w:r w:rsidRPr="000D7BAC">
        <w:rPr>
          <w:rFonts w:ascii="Arial" w:hAnsi="Arial" w:cs="Arial"/>
          <w:sz w:val="20"/>
          <w:szCs w:val="20"/>
          <w:lang w:val="en-GB"/>
        </w:rPr>
        <w:t xml:space="preserve">. </w:t>
      </w:r>
    </w:p>
    <w:p w14:paraId="43271399" w14:textId="5521069F" w:rsidR="00802FE9" w:rsidRPr="000D7BAC" w:rsidRDefault="00802FE9" w:rsidP="00802FE9">
      <w:pPr>
        <w:spacing w:line="480" w:lineRule="auto"/>
        <w:jc w:val="both"/>
        <w:rPr>
          <w:rFonts w:ascii="Arial" w:hAnsi="Arial" w:cs="Arial"/>
          <w:sz w:val="20"/>
          <w:szCs w:val="20"/>
          <w:lang w:val="en-GB"/>
        </w:rPr>
      </w:pPr>
      <w:r w:rsidRPr="000D7BAC">
        <w:rPr>
          <w:rFonts w:ascii="Arial" w:hAnsi="Arial" w:cs="Arial"/>
          <w:sz w:val="20"/>
          <w:szCs w:val="20"/>
          <w:lang w:val="en-GB"/>
        </w:rPr>
        <w:t xml:space="preserve">Photographs of individuals provided information about the dolphin’s status of maturity, adult or sub-adult, accordingly to morphological characteristics and dorsal fin marks </w:t>
      </w:r>
      <w:r w:rsidR="00506A53">
        <w:rPr>
          <w:rFonts w:ascii="Arial" w:hAnsi="Arial" w:cs="Arial"/>
          <w:sz w:val="20"/>
          <w:szCs w:val="20"/>
          <w:lang w:val="en-GB"/>
        </w:rPr>
        <w:fldChar w:fldCharType="begin" w:fldLock="1"/>
      </w:r>
      <w:r w:rsidR="00506A53">
        <w:rPr>
          <w:rFonts w:ascii="Arial" w:hAnsi="Arial" w:cs="Arial"/>
          <w:sz w:val="20"/>
          <w:szCs w:val="20"/>
          <w:lang w:val="en-GB"/>
        </w:rPr>
        <w:instrText>ADDIN CSL_CITATION {"citationItems":[{"id":"ITEM-1","itemData":{"DOI":"10.1890/1051-0761(1999)009[0288:ESAATI]2.0.CO;2","ISBN":"1051-0761","ISSN":"10510761","abstract":"We used a case study of a coastal bottlenose dolphin population to present a framework for determining the number of individuals present and assessing the likely time scale over which trends in abundance may be determined. Such a framework is appropriate for animal species that possess natural markings sufficient for individual recognition, and may be valuable in the development and implementation of management and monitoring programs for vulnerable populations. Population abundance was estimated using mark–recapture methods applied to photoidentification data. This experiment was designed to minimize violation of method assumptions so as to allow use of the most parsimonious model for analysis. The data were examined critically to investigate mark–recapture assumptions, while analytical methods and data were selected to minimize and, where necessary, account for violations. The estimated number of animals with long-lasting marks from left and right side estimates were 73 6 12 and 80 6 11 individuals, respectively (means 6 1 SE). When divided by the estimated proportion of such animals in the population (0.57 6 0.043 and 0.61 6 0.035, respectively) and averaged, weighted by inverse variance, a total population size of 129 6 15 individual animals was estimated (95% CI 5 110–174 animals). Data on calves observed and carcasses recovered suggest that the population could be increasing or decreasing at an annual rate of up to 5%. A power analysis, undertaken to investigate the length of monitoring program required to detect changes in population abundance at a 90% level of certainty, showed that detection of a trend could only occur following .8 yr of research effort. Biennial sampling has power similar to that of annual sampling, but savings in resources are offset by the loss of data on the reproductive histories of individuals.","author":[{"dropping-particle":"","family":"Wilson","given":"Ben","non-dropping-particle":"","parse-names":false,"suffix":""},{"dropping-particle":"","family":"Hammond","given":"Philip S.","non-dropping-particle":"","parse-names":false,"suffix":""},{"dropping-particle":"","family":"Thompson","given":"Paul M.","non-dropping-particle":"","parse-names":false,"suffix":""}],"container-title":"Ecological Applications","id":"ITEM-1","issue":"1","issued":{"date-parts":[["1999"]]},"page":"288-300","title":"Estimating size and assessing trends in a coastal bottlenose dolphin population","type":"article-journal","volume":"9"},"uris":["http://www.mendeley.com/documents/?uuid=1ddc356d-72e6-45f6-9e33-da17030b6a8c"]},{"id":"ITEM-2","itemData":{"DOI":"https://doi.org/10.1016/j.anbehav.2008.01.022","ISSN":"0003-3472","abstract":"The fission–fusion society of bottlenose dolphins seems particularly well suited to balancing the costs and benefits of grouping. Here, we examined four nonmutually exclusive hypotheses regarding the causes and/or functions of calf grouping patterns when with and away from the mother: maternal influence, same-sex bond formation, protection and social skill development. We evaluated the role of calf (calf sex, age and separation from their mothers) and maternal characteristics (foraging time and sociality) in shaping the size and composition of mother–calf groups using focal observations of 49 mothers and 89 calves. Mother–calf groups were biased towards association with females of all ages and with male calves, but contained relatively few juvenile and adult males. Although there was some support for all of the hypotheses, the social skills hypothesis best explained male calf social patterns, and maternal influence better explained female calf social patterns. While maternal sociality influenced calves of both sexes, daughters mirrored the mother during separations, whereas sons did the opposite, seeking more social contact if their mothers were solitary and seeking less social contact if their mothers were sociable. During mother–calf separations, calves of both sexes preferentially associated with immatures over adults, but male calves preferred juvenile and adult male associates, which female calves, like their mothers, avoided. Calf social patterns illustrate the specific social and ecological challenges that they face in relation to and independent of their mothers.","author":[{"dropping-particle":"","family":"Gibson","given":"Quincy A","non-dropping-particle":"","parse-names":false,"suffix":""},{"dropping-particle":"","family":"Mann","given":"Janet","non-dropping-particle":"","parse-names":false,"suffix":""}],"container-title":"Animal Behaviour","id":"ITEM-2","issue":"2","issued":{"date-parts":[["2008"]]},"page":"389-405","title":"The size, composition and function of wild bottlenose dolphin (Tursiops sp.) mother–calf groups in Shark Bay, Australia","type":"article-journal","volume":"76"},"uris":["http://www.mendeley.com/documents/?uuid=a4690f05-0ab6-4925-8f48-9b86bfdcb8d5"]}],"mendeley":{"formattedCitation":"&lt;sup&gt;12,13&lt;/sup&gt;","plainTextFormattedCitation":"12,13","previouslyFormattedCitation":"&lt;sup&gt;12,13&lt;/sup&gt;"},"properties":{"noteIndex":0},"schema":"https://github.com/citation-style-language/schema/raw/master/csl-citation.json"}</w:instrText>
      </w:r>
      <w:r w:rsidR="00506A53">
        <w:rPr>
          <w:rFonts w:ascii="Arial" w:hAnsi="Arial" w:cs="Arial"/>
          <w:sz w:val="20"/>
          <w:szCs w:val="20"/>
          <w:lang w:val="en-GB"/>
        </w:rPr>
        <w:fldChar w:fldCharType="separate"/>
      </w:r>
      <w:r w:rsidR="00506A53" w:rsidRPr="00506A53">
        <w:rPr>
          <w:rFonts w:ascii="Arial" w:hAnsi="Arial" w:cs="Arial"/>
          <w:noProof/>
          <w:sz w:val="20"/>
          <w:szCs w:val="20"/>
          <w:vertAlign w:val="superscript"/>
          <w:lang w:val="en-GB"/>
        </w:rPr>
        <w:t>12,13</w:t>
      </w:r>
      <w:r w:rsidR="00506A53">
        <w:rPr>
          <w:rFonts w:ascii="Arial" w:hAnsi="Arial" w:cs="Arial"/>
          <w:sz w:val="20"/>
          <w:szCs w:val="20"/>
          <w:lang w:val="en-GB"/>
        </w:rPr>
        <w:fldChar w:fldCharType="end"/>
      </w:r>
      <w:r w:rsidRPr="000D7BAC">
        <w:rPr>
          <w:rFonts w:ascii="Arial" w:hAnsi="Arial" w:cs="Arial"/>
          <w:sz w:val="20"/>
          <w:szCs w:val="20"/>
          <w:lang w:val="en-GB"/>
        </w:rPr>
        <w:t xml:space="preserve">. The three classes were defined as sub-adult, adult female and adult male. </w:t>
      </w:r>
    </w:p>
    <w:p w14:paraId="4D27AC53" w14:textId="77777777" w:rsidR="00802FE9" w:rsidRDefault="00802FE9" w:rsidP="00802FE9">
      <w:pPr>
        <w:pStyle w:val="Titre2"/>
        <w:numPr>
          <w:ilvl w:val="0"/>
          <w:numId w:val="0"/>
        </w:numPr>
        <w:spacing w:before="0" w:line="480" w:lineRule="auto"/>
        <w:rPr>
          <w:rFonts w:ascii="Arial" w:hAnsi="Arial" w:cs="Arial"/>
          <w:color w:val="000000" w:themeColor="text1"/>
          <w:sz w:val="20"/>
          <w:szCs w:val="20"/>
          <w:lang w:val="en-GB"/>
        </w:rPr>
      </w:pPr>
    </w:p>
    <w:p w14:paraId="060ABA88" w14:textId="77777777" w:rsidR="00802FE9" w:rsidRPr="00802FE9" w:rsidRDefault="00802FE9" w:rsidP="00802FE9">
      <w:pPr>
        <w:pStyle w:val="Titre2"/>
        <w:numPr>
          <w:ilvl w:val="0"/>
          <w:numId w:val="0"/>
        </w:numPr>
        <w:spacing w:before="0" w:line="480" w:lineRule="auto"/>
        <w:rPr>
          <w:rFonts w:ascii="Arial" w:hAnsi="Arial" w:cs="Arial"/>
          <w:b/>
          <w:color w:val="000000" w:themeColor="text1"/>
          <w:sz w:val="20"/>
          <w:szCs w:val="20"/>
          <w:lang w:val="en-GB"/>
        </w:rPr>
      </w:pPr>
      <w:r w:rsidRPr="00802FE9">
        <w:rPr>
          <w:rFonts w:ascii="Arial" w:hAnsi="Arial" w:cs="Arial"/>
          <w:b/>
          <w:color w:val="000000" w:themeColor="text1"/>
          <w:sz w:val="20"/>
          <w:szCs w:val="20"/>
          <w:lang w:val="en-GB"/>
        </w:rPr>
        <w:t>Stable isotope analysis</w:t>
      </w:r>
    </w:p>
    <w:p w14:paraId="64A2A6BB" w14:textId="5C472DB5" w:rsidR="00802FE9" w:rsidRPr="000D7BAC" w:rsidRDefault="00802FE9" w:rsidP="00802FE9">
      <w:pPr>
        <w:spacing w:line="480" w:lineRule="auto"/>
        <w:jc w:val="both"/>
        <w:rPr>
          <w:rFonts w:ascii="Arial" w:hAnsi="Arial" w:cs="Arial"/>
          <w:sz w:val="20"/>
          <w:szCs w:val="20"/>
          <w:lang w:val="en-GB"/>
        </w:rPr>
      </w:pPr>
      <w:r w:rsidRPr="000D7BAC">
        <w:rPr>
          <w:rFonts w:ascii="Arial" w:hAnsi="Arial" w:cs="Arial"/>
          <w:sz w:val="20"/>
          <w:szCs w:val="20"/>
          <w:lang w:val="en-GB"/>
        </w:rPr>
        <w:sym w:font="Symbol" w:char="F064"/>
      </w:r>
      <w:r w:rsidRPr="000D7BAC">
        <w:rPr>
          <w:rFonts w:ascii="Arial" w:hAnsi="Arial" w:cs="Arial"/>
          <w:sz w:val="20"/>
          <w:szCs w:val="20"/>
          <w:vertAlign w:val="superscript"/>
          <w:lang w:val="en-GB"/>
        </w:rPr>
        <w:t>13</w:t>
      </w:r>
      <w:r w:rsidRPr="000D7BAC">
        <w:rPr>
          <w:rFonts w:ascii="Arial" w:hAnsi="Arial" w:cs="Arial"/>
          <w:sz w:val="20"/>
          <w:szCs w:val="20"/>
          <w:lang w:val="en-GB"/>
        </w:rPr>
        <w:t xml:space="preserve">C and </w:t>
      </w:r>
      <w:r w:rsidRPr="000D7BAC">
        <w:rPr>
          <w:rFonts w:ascii="Arial" w:hAnsi="Arial" w:cs="Arial"/>
          <w:sz w:val="20"/>
          <w:szCs w:val="20"/>
          <w:lang w:val="en-GB"/>
        </w:rPr>
        <w:sym w:font="Symbol" w:char="F064"/>
      </w:r>
      <w:r w:rsidRPr="000D7BAC">
        <w:rPr>
          <w:rFonts w:ascii="Arial" w:hAnsi="Arial" w:cs="Arial"/>
          <w:sz w:val="20"/>
          <w:szCs w:val="20"/>
          <w:vertAlign w:val="superscript"/>
          <w:lang w:val="en-GB"/>
        </w:rPr>
        <w:t>15</w:t>
      </w:r>
      <w:r w:rsidRPr="000D7BAC">
        <w:rPr>
          <w:rFonts w:ascii="Arial" w:hAnsi="Arial" w:cs="Arial"/>
          <w:sz w:val="20"/>
          <w:szCs w:val="20"/>
          <w:lang w:val="en-GB"/>
        </w:rPr>
        <w:t>N val</w:t>
      </w:r>
      <w:r w:rsidR="00506A53">
        <w:rPr>
          <w:rFonts w:ascii="Arial" w:hAnsi="Arial" w:cs="Arial"/>
          <w:sz w:val="20"/>
          <w:szCs w:val="20"/>
          <w:lang w:val="en-GB"/>
        </w:rPr>
        <w:t>ues analysed previously</w:t>
      </w:r>
      <w:r w:rsidRPr="000D7BAC">
        <w:rPr>
          <w:rFonts w:ascii="Arial" w:hAnsi="Arial" w:cs="Arial"/>
          <w:sz w:val="20"/>
          <w:szCs w:val="20"/>
          <w:lang w:val="en-GB"/>
        </w:rPr>
        <w:t xml:space="preserve"> were integrated in the present manuscript</w:t>
      </w:r>
      <w:r w:rsidR="00506A53">
        <w:rPr>
          <w:rFonts w:ascii="Arial" w:hAnsi="Arial" w:cs="Arial"/>
          <w:sz w:val="20"/>
          <w:szCs w:val="20"/>
          <w:lang w:val="en-GB"/>
        </w:rPr>
        <w:t xml:space="preserve"> </w:t>
      </w:r>
      <w:r w:rsidR="00506A53">
        <w:rPr>
          <w:rFonts w:ascii="Arial" w:hAnsi="Arial" w:cs="Arial"/>
          <w:sz w:val="20"/>
          <w:szCs w:val="20"/>
          <w:lang w:val="en-GB"/>
        </w:rPr>
        <w:fldChar w:fldCharType="begin" w:fldLock="1"/>
      </w:r>
      <w:r w:rsidR="00506A53">
        <w:rPr>
          <w:rFonts w:ascii="Arial" w:hAnsi="Arial" w:cs="Arial"/>
          <w:sz w:val="20"/>
          <w:szCs w:val="20"/>
          <w:lang w:val="en-GB"/>
        </w:rPr>
        <w:instrText>ADDIN CSL_CITATION {"citationItems":[{"id":"ITEM-1","itemData":{"DOI":"10.1098/rspb.2014.1558","abstract":"Environmental conditions can shape genetic and morphological divergence. Release of new habitats during historical environmental changes was a major driver of evolutionary diversification. Here, forces shaping population structure and ecotype differentiation (‘pelagic’ and ‘coastal’) of bottlenose dolphins in the North-east Atlantic were investigated using complementary evolutionary and ecological approaches. Inference of population demographic history using approximate Bayesian computation indicated that coastal populations were likely founded by the Atlantic pelagic population after the Last Glacial Maxima probably as a result of newly available coastal ecological niches. Pelagic dolphins from the Atlantic and the Mediterranean Sea likely diverged during a period of high productivity in the Mediterranean Sea. Genetic differentiation between coastal and pelagic ecotypes may be maintained by niche specializations, as indicated by stable isotope and stomach content analyses, and social behaviour. The two ecotypes were only weakly morphologically segregated in contrast to other parts of the World Ocean. This may be linked to weak contrasts between coastal and pelagic habitats and/or a relatively recent divergence. We suggest that ecological opportunity to specialize is a major driver of genetic and morphological divergence. Combining genetic, ecological and morphological approaches is essential to understanding the population structure of mobile and cryptic species.","author":[{"dropping-particle":"","family":"Louis","given":"Marie","non-dropping-particle":"","parse-names":false,"suffix":""},{"dropping-particle":"","family":"Fontaine","given":"Michael C","non-dropping-particle":"","parse-names":false,"suffix":""},{"dropping-particle":"","family":"Spitz","given":"Jérôme","non-dropping-particle":"","parse-names":false,"suffix":""},{"dropping-particle":"","family":"Schlund","given":"Erika","non-dropping-particle":"","parse-names":false,"suffix":""},{"dropping-particle":"","family":"Dabin","given":"Willy","non-dropping-particle":"","parse-names":false,"suffix":""},{"dropping-particle":"","family":"Deaville","given":"Rob","non-dropping-particle":"","parse-names":false,"suffix":""},{"dropping-particle":"","family":"Caurant","given":"Florence","non-dropping-particle":"","parse-names":false,"suffix":""},{"dropping-particle":"","family":"Cherel","given":"Yves","non-dropping-particle":"","parse-names":false,"suffix":""},{"dropping-particle":"","family":"Guinet","given":"Christophe","non-dropping-particle":"","parse-names":false,"suffix":""},{"dropping-particle":"","family":"Simon-Bouhet","given":"Benoit","non-dropping-particle":"","parse-names":false,"suffix":""}],"container-title":"Proceedings of the Royal Society B: Biological Sciences","id":"ITEM-1","issue":"1795","issued":{"date-parts":[["2014"]]},"title":"Ecological opportunities and specializations shaped genetic divergence in a highly mobile marine top predator","type":"article-journal","volume":"281"},"uris":["http://www.mendeley.com/documents/?uuid=33b14a98-f61d-4cb5-be78-4cd95babb82b"]}],"mendeley":{"formattedCitation":"&lt;sup&gt;14&lt;/sup&gt;","plainTextFormattedCitation":"14"},"properties":{"noteIndex":0},"schema":"https://github.com/citation-style-language/schema/raw/master/csl-citation.json"}</w:instrText>
      </w:r>
      <w:r w:rsidR="00506A53">
        <w:rPr>
          <w:rFonts w:ascii="Arial" w:hAnsi="Arial" w:cs="Arial"/>
          <w:sz w:val="20"/>
          <w:szCs w:val="20"/>
          <w:lang w:val="en-GB"/>
        </w:rPr>
        <w:fldChar w:fldCharType="separate"/>
      </w:r>
      <w:r w:rsidR="00506A53" w:rsidRPr="00506A53">
        <w:rPr>
          <w:rFonts w:ascii="Arial" w:hAnsi="Arial" w:cs="Arial"/>
          <w:noProof/>
          <w:sz w:val="20"/>
          <w:szCs w:val="20"/>
          <w:vertAlign w:val="superscript"/>
          <w:lang w:val="en-GB"/>
        </w:rPr>
        <w:t>14</w:t>
      </w:r>
      <w:r w:rsidR="00506A53">
        <w:rPr>
          <w:rFonts w:ascii="Arial" w:hAnsi="Arial" w:cs="Arial"/>
          <w:sz w:val="20"/>
          <w:szCs w:val="20"/>
          <w:lang w:val="en-GB"/>
        </w:rPr>
        <w:fldChar w:fldCharType="end"/>
      </w:r>
      <w:r w:rsidRPr="000D7BAC">
        <w:rPr>
          <w:rFonts w:ascii="Arial" w:hAnsi="Arial" w:cs="Arial"/>
          <w:sz w:val="20"/>
          <w:szCs w:val="20"/>
          <w:lang w:val="en-GB"/>
        </w:rPr>
        <w:t xml:space="preserve">. Shortly, skin of each individual biopsied were dried at 45 °C for 48 h. After lipid extraction, </w:t>
      </w:r>
      <w:r w:rsidRPr="000D7BAC">
        <w:rPr>
          <w:rFonts w:ascii="Arial" w:hAnsi="Arial" w:cs="Arial"/>
          <w:sz w:val="20"/>
          <w:szCs w:val="20"/>
          <w:lang w:val="en-GB"/>
        </w:rPr>
        <w:sym w:font="Symbol" w:char="F064"/>
      </w:r>
      <w:r w:rsidRPr="000D7BAC">
        <w:rPr>
          <w:rFonts w:ascii="Arial" w:hAnsi="Arial" w:cs="Arial"/>
          <w:sz w:val="20"/>
          <w:szCs w:val="20"/>
          <w:vertAlign w:val="superscript"/>
          <w:lang w:val="en-GB"/>
        </w:rPr>
        <w:t>13</w:t>
      </w:r>
      <w:r w:rsidRPr="000D7BAC">
        <w:rPr>
          <w:rFonts w:ascii="Arial" w:hAnsi="Arial" w:cs="Arial"/>
          <w:sz w:val="20"/>
          <w:szCs w:val="20"/>
          <w:lang w:val="en-GB"/>
        </w:rPr>
        <w:t xml:space="preserve">C and </w:t>
      </w:r>
      <w:r w:rsidRPr="000D7BAC">
        <w:rPr>
          <w:rFonts w:ascii="Arial" w:hAnsi="Arial" w:cs="Arial"/>
          <w:sz w:val="20"/>
          <w:szCs w:val="20"/>
          <w:lang w:val="en-GB"/>
        </w:rPr>
        <w:sym w:font="Symbol" w:char="F064"/>
      </w:r>
      <w:r w:rsidRPr="000D7BAC">
        <w:rPr>
          <w:rFonts w:ascii="Arial" w:hAnsi="Arial" w:cs="Arial"/>
          <w:sz w:val="20"/>
          <w:szCs w:val="20"/>
          <w:vertAlign w:val="superscript"/>
          <w:lang w:val="en-GB"/>
        </w:rPr>
        <w:t>15</w:t>
      </w:r>
      <w:r w:rsidRPr="000D7BAC">
        <w:rPr>
          <w:rFonts w:ascii="Arial" w:hAnsi="Arial" w:cs="Arial"/>
          <w:sz w:val="20"/>
          <w:szCs w:val="20"/>
          <w:lang w:val="en-GB"/>
        </w:rPr>
        <w:t>N values were measured by a continuous flow mass spectrometer (</w:t>
      </w:r>
      <w:proofErr w:type="spellStart"/>
      <w:r w:rsidRPr="000D7BAC">
        <w:rPr>
          <w:rFonts w:ascii="Arial" w:hAnsi="Arial" w:cs="Arial"/>
          <w:sz w:val="20"/>
          <w:szCs w:val="20"/>
          <w:lang w:val="en-GB"/>
        </w:rPr>
        <w:t>Thermo</w:t>
      </w:r>
      <w:proofErr w:type="spellEnd"/>
      <w:r w:rsidRPr="000D7BAC">
        <w:rPr>
          <w:rFonts w:ascii="Arial" w:hAnsi="Arial" w:cs="Arial"/>
          <w:sz w:val="20"/>
          <w:szCs w:val="20"/>
          <w:lang w:val="en-GB"/>
        </w:rPr>
        <w:t xml:space="preserve"> Scientific, Delta V Advantage) coupled to an elemental analyser (</w:t>
      </w:r>
      <w:proofErr w:type="spellStart"/>
      <w:r w:rsidRPr="000D7BAC">
        <w:rPr>
          <w:rFonts w:ascii="Arial" w:hAnsi="Arial" w:cs="Arial"/>
          <w:sz w:val="20"/>
          <w:szCs w:val="20"/>
          <w:lang w:val="en-GB"/>
        </w:rPr>
        <w:t>Thermo</w:t>
      </w:r>
      <w:proofErr w:type="spellEnd"/>
      <w:r w:rsidRPr="000D7BAC">
        <w:rPr>
          <w:rFonts w:ascii="Arial" w:hAnsi="Arial" w:cs="Arial"/>
          <w:sz w:val="20"/>
          <w:szCs w:val="20"/>
          <w:lang w:val="en-GB"/>
        </w:rPr>
        <w:t xml:space="preserve"> Scientific, Flash EA 1112). Carbon and nitrogen isotopic ratios are expressed in the conventional δ notation (noted as δ</w:t>
      </w:r>
      <w:r w:rsidRPr="000D7BAC">
        <w:rPr>
          <w:rFonts w:ascii="Arial" w:hAnsi="Arial" w:cs="Arial"/>
          <w:sz w:val="20"/>
          <w:szCs w:val="20"/>
          <w:vertAlign w:val="superscript"/>
          <w:lang w:val="en-GB"/>
        </w:rPr>
        <w:t>13</w:t>
      </w:r>
      <w:r w:rsidRPr="000D7BAC">
        <w:rPr>
          <w:rFonts w:ascii="Arial" w:hAnsi="Arial" w:cs="Arial"/>
          <w:sz w:val="20"/>
          <w:szCs w:val="20"/>
          <w:lang w:val="en-GB"/>
        </w:rPr>
        <w:t>C and δ</w:t>
      </w:r>
      <w:r w:rsidRPr="000D7BAC">
        <w:rPr>
          <w:rFonts w:ascii="Arial" w:hAnsi="Arial" w:cs="Arial"/>
          <w:sz w:val="20"/>
          <w:szCs w:val="20"/>
          <w:vertAlign w:val="superscript"/>
          <w:lang w:val="en-GB"/>
        </w:rPr>
        <w:t>15</w:t>
      </w:r>
      <w:r w:rsidRPr="000D7BAC">
        <w:rPr>
          <w:rFonts w:ascii="Arial" w:hAnsi="Arial" w:cs="Arial"/>
          <w:sz w:val="20"/>
          <w:szCs w:val="20"/>
          <w:lang w:val="en-GB"/>
        </w:rPr>
        <w:t>N respectively) in parts per thousand (‰) using Vienna Pee Dee Belemnite for δ</w:t>
      </w:r>
      <w:r w:rsidRPr="000D7BAC">
        <w:rPr>
          <w:rFonts w:ascii="Arial" w:hAnsi="Arial" w:cs="Arial"/>
          <w:sz w:val="20"/>
          <w:szCs w:val="20"/>
          <w:vertAlign w:val="superscript"/>
          <w:lang w:val="en-GB"/>
        </w:rPr>
        <w:t>13</w:t>
      </w:r>
      <w:r w:rsidRPr="000D7BAC">
        <w:rPr>
          <w:rFonts w:ascii="Arial" w:hAnsi="Arial" w:cs="Arial"/>
          <w:sz w:val="20"/>
          <w:szCs w:val="20"/>
          <w:lang w:val="en-GB"/>
        </w:rPr>
        <w:t>C values and atmospheric N</w:t>
      </w:r>
      <w:r w:rsidRPr="000D7BAC">
        <w:rPr>
          <w:rFonts w:ascii="Arial" w:hAnsi="Arial" w:cs="Arial"/>
          <w:sz w:val="20"/>
          <w:szCs w:val="20"/>
          <w:vertAlign w:val="subscript"/>
          <w:lang w:val="en-GB"/>
        </w:rPr>
        <w:t>2</w:t>
      </w:r>
      <w:r w:rsidRPr="000D7BAC">
        <w:rPr>
          <w:rFonts w:ascii="Arial" w:hAnsi="Arial" w:cs="Arial"/>
          <w:sz w:val="20"/>
          <w:szCs w:val="20"/>
          <w:lang w:val="en-GB"/>
        </w:rPr>
        <w:t xml:space="preserve"> for δ</w:t>
      </w:r>
      <w:r w:rsidRPr="000D7BAC">
        <w:rPr>
          <w:rFonts w:ascii="Arial" w:hAnsi="Arial" w:cs="Arial"/>
          <w:sz w:val="20"/>
          <w:szCs w:val="20"/>
          <w:vertAlign w:val="superscript"/>
          <w:lang w:val="en-GB"/>
        </w:rPr>
        <w:t>15</w:t>
      </w:r>
      <w:r w:rsidRPr="000D7BAC">
        <w:rPr>
          <w:rFonts w:ascii="Arial" w:hAnsi="Arial" w:cs="Arial"/>
          <w:sz w:val="20"/>
          <w:szCs w:val="20"/>
          <w:lang w:val="en-GB"/>
        </w:rPr>
        <w:t>N values as international standard (IAEA, Vienna, Austria).</w:t>
      </w:r>
    </w:p>
    <w:p w14:paraId="4EE33E08" w14:textId="77777777" w:rsidR="00802FE9" w:rsidRPr="000D7BAC" w:rsidRDefault="00802FE9" w:rsidP="00802FE9">
      <w:pPr>
        <w:spacing w:line="480" w:lineRule="auto"/>
        <w:jc w:val="both"/>
        <w:rPr>
          <w:rFonts w:ascii="Arial" w:hAnsi="Arial" w:cs="Arial"/>
          <w:sz w:val="20"/>
          <w:szCs w:val="20"/>
          <w:lang w:val="en-GB"/>
        </w:rPr>
      </w:pPr>
    </w:p>
    <w:p w14:paraId="7ECF9A89" w14:textId="77777777" w:rsidR="00802FE9" w:rsidRPr="00802FE9" w:rsidRDefault="00802FE9" w:rsidP="00802FE9">
      <w:pPr>
        <w:pStyle w:val="Titre2"/>
        <w:numPr>
          <w:ilvl w:val="0"/>
          <w:numId w:val="0"/>
        </w:numPr>
        <w:spacing w:before="0" w:line="480" w:lineRule="auto"/>
        <w:rPr>
          <w:rFonts w:ascii="Arial" w:hAnsi="Arial" w:cs="Arial"/>
          <w:b/>
          <w:color w:val="000000" w:themeColor="text1"/>
          <w:sz w:val="20"/>
          <w:szCs w:val="20"/>
          <w:lang w:val="en-GB"/>
        </w:rPr>
      </w:pPr>
      <w:r w:rsidRPr="00802FE9">
        <w:rPr>
          <w:rFonts w:ascii="Arial" w:hAnsi="Arial" w:cs="Arial"/>
          <w:b/>
          <w:color w:val="000000" w:themeColor="text1"/>
          <w:sz w:val="20"/>
          <w:szCs w:val="20"/>
          <w:lang w:val="en-GB"/>
        </w:rPr>
        <w:t>Persistent organic pollutants (POPs)</w:t>
      </w:r>
    </w:p>
    <w:p w14:paraId="7D686D9B" w14:textId="77777777" w:rsidR="00802FE9" w:rsidRPr="000D7BAC" w:rsidRDefault="00802FE9" w:rsidP="00802FE9">
      <w:pPr>
        <w:spacing w:line="480" w:lineRule="auto"/>
        <w:jc w:val="both"/>
        <w:rPr>
          <w:rFonts w:ascii="Arial" w:hAnsi="Arial" w:cs="Arial"/>
          <w:sz w:val="20"/>
          <w:szCs w:val="20"/>
          <w:lang w:val="en-GB"/>
        </w:rPr>
      </w:pPr>
      <w:r w:rsidRPr="000D7BAC">
        <w:rPr>
          <w:rFonts w:ascii="Arial" w:hAnsi="Arial" w:cs="Arial"/>
          <w:sz w:val="20"/>
          <w:szCs w:val="20"/>
          <w:lang w:val="en-GB"/>
        </w:rPr>
        <w:t>Blubber samples were analysed for non-dioxins like (NDL) PCB congeners (no 28; 52; 101; 138; 153 and 180), dioxins-like (DL) PCBs congeners (no 77; 81; 105; 114; 118; 123; 126; 156; 157; 167; 169 and 189), 17 WHO PCDD/Fs, PBDEs (no 28; 47; 66; 85; 99; 100; 153; 154 and 183) and organochlorinated pesticides (ΣDDXs, cis-chlordane and trans-chlordane; α-</w:t>
      </w:r>
      <w:proofErr w:type="spellStart"/>
      <w:r w:rsidRPr="000D7BAC">
        <w:rPr>
          <w:rFonts w:ascii="Arial" w:hAnsi="Arial" w:cs="Arial"/>
          <w:sz w:val="20"/>
          <w:szCs w:val="20"/>
          <w:lang w:val="en-GB"/>
        </w:rPr>
        <w:t>Endosulfan</w:t>
      </w:r>
      <w:proofErr w:type="spellEnd"/>
      <w:r w:rsidRPr="000D7BAC">
        <w:rPr>
          <w:rFonts w:ascii="Arial" w:hAnsi="Arial" w:cs="Arial"/>
          <w:sz w:val="20"/>
          <w:szCs w:val="20"/>
          <w:lang w:val="en-GB"/>
        </w:rPr>
        <w:t>, β-</w:t>
      </w:r>
      <w:proofErr w:type="spellStart"/>
      <w:r w:rsidRPr="000D7BAC">
        <w:rPr>
          <w:rFonts w:ascii="Arial" w:hAnsi="Arial" w:cs="Arial"/>
          <w:sz w:val="20"/>
          <w:szCs w:val="20"/>
          <w:lang w:val="en-GB"/>
        </w:rPr>
        <w:t>Endosulfan</w:t>
      </w:r>
      <w:proofErr w:type="spellEnd"/>
      <w:r w:rsidRPr="000D7BAC">
        <w:rPr>
          <w:rFonts w:ascii="Arial" w:hAnsi="Arial" w:cs="Arial"/>
          <w:sz w:val="20"/>
          <w:szCs w:val="20"/>
          <w:lang w:val="en-GB"/>
        </w:rPr>
        <w:t xml:space="preserve"> and </w:t>
      </w:r>
      <w:proofErr w:type="spellStart"/>
      <w:r w:rsidRPr="000D7BAC">
        <w:rPr>
          <w:rFonts w:ascii="Arial" w:hAnsi="Arial" w:cs="Arial"/>
          <w:sz w:val="20"/>
          <w:szCs w:val="20"/>
          <w:lang w:val="en-GB"/>
        </w:rPr>
        <w:t>Endosulfan-sulfate</w:t>
      </w:r>
      <w:proofErr w:type="spellEnd"/>
      <w:r w:rsidRPr="000D7BAC">
        <w:rPr>
          <w:rFonts w:ascii="Arial" w:hAnsi="Arial" w:cs="Arial"/>
          <w:sz w:val="20"/>
          <w:szCs w:val="20"/>
          <w:lang w:val="en-GB"/>
        </w:rPr>
        <w:t>; dieldrin; HCB; α-HCH, β-HCH and γ-HCH) (</w:t>
      </w:r>
      <w:r w:rsidRPr="000D7BAC">
        <w:rPr>
          <w:rFonts w:ascii="Arial" w:hAnsi="Arial" w:cs="Arial"/>
          <w:color w:val="0432FF"/>
          <w:sz w:val="20"/>
          <w:szCs w:val="20"/>
          <w:lang w:val="en-GB"/>
        </w:rPr>
        <w:t>Table S1</w:t>
      </w:r>
      <w:r w:rsidRPr="000D7BAC">
        <w:rPr>
          <w:rFonts w:ascii="Arial" w:hAnsi="Arial" w:cs="Arial"/>
          <w:sz w:val="20"/>
          <w:szCs w:val="20"/>
          <w:lang w:val="en-GB"/>
        </w:rPr>
        <w:t xml:space="preserve">). </w:t>
      </w:r>
    </w:p>
    <w:p w14:paraId="2A41CC9F" w14:textId="4C7DDEB5" w:rsidR="00802FE9" w:rsidRPr="000D7BAC" w:rsidRDefault="00802FE9" w:rsidP="00802FE9">
      <w:pPr>
        <w:spacing w:line="480" w:lineRule="auto"/>
        <w:jc w:val="both"/>
        <w:rPr>
          <w:rFonts w:ascii="Arial" w:hAnsi="Arial" w:cs="Arial"/>
          <w:sz w:val="20"/>
          <w:szCs w:val="20"/>
          <w:lang w:val="en-GB"/>
        </w:rPr>
      </w:pPr>
      <w:r w:rsidRPr="000D7BAC">
        <w:rPr>
          <w:rFonts w:ascii="Arial" w:hAnsi="Arial" w:cs="Arial"/>
          <w:sz w:val="20"/>
          <w:szCs w:val="20"/>
          <w:lang w:val="en-GB"/>
        </w:rPr>
        <w:t xml:space="preserve">The quantification of PCDD/Fs, DL-PCBs, NDL-PCBs, PBDEs, DDXs, HCB and HCHs was performed by the isotope dilution technique using </w:t>
      </w:r>
      <w:r w:rsidRPr="000D7BAC">
        <w:rPr>
          <w:rFonts w:ascii="Arial" w:hAnsi="Arial" w:cs="Arial"/>
          <w:sz w:val="20"/>
          <w:szCs w:val="20"/>
          <w:vertAlign w:val="superscript"/>
          <w:lang w:val="en-GB"/>
        </w:rPr>
        <w:t>13</w:t>
      </w:r>
      <w:r w:rsidRPr="000D7BAC">
        <w:rPr>
          <w:rFonts w:ascii="Arial" w:hAnsi="Arial" w:cs="Arial"/>
          <w:sz w:val="20"/>
          <w:szCs w:val="20"/>
          <w:lang w:val="en-GB"/>
        </w:rPr>
        <w:t>C labelled ana</w:t>
      </w:r>
      <w:r w:rsidR="00FC6B5E">
        <w:rPr>
          <w:rFonts w:ascii="Arial" w:hAnsi="Arial" w:cs="Arial"/>
          <w:sz w:val="20"/>
          <w:szCs w:val="20"/>
          <w:lang w:val="en-GB"/>
        </w:rPr>
        <w:t xml:space="preserve">logues </w:t>
      </w:r>
      <w:r w:rsidR="00FC6B5E">
        <w:rPr>
          <w:rFonts w:ascii="Arial" w:hAnsi="Arial" w:cs="Arial"/>
          <w:sz w:val="20"/>
          <w:szCs w:val="20"/>
          <w:lang w:val="en-GB"/>
        </w:rPr>
        <w:fldChar w:fldCharType="begin" w:fldLock="1"/>
      </w:r>
      <w:r w:rsidR="00506A53">
        <w:rPr>
          <w:rFonts w:ascii="Arial" w:hAnsi="Arial" w:cs="Arial"/>
          <w:sz w:val="20"/>
          <w:szCs w:val="20"/>
          <w:lang w:val="en-GB"/>
        </w:rPr>
        <w:instrText>ADDIN CSL_CITATION {"citationItems":[{"id":"ITEM-1","itemData":{"DOI":"10.1016/S0021-9673(01)01047-0","ISBN":"0021-9673","ISSN":"00219673","PMID":"11519807","abstract":"A fast clean-up procedure for the low level analysis of polychlorinated dibenzo-p-dioxins, polychlorinated dibenzofurans and coplanar polychlorinated biphenyls in highly fatty biological matrices using high capacity disposable multi-layer silica columns is presented. Results were compared with gel permeation chromatography for removal of lipids. Analytical criteria such as recovery rates, repeatability, reproducibility and robustness are evaluated through a broad range of biological matrices and reference materials analysis. The final proposed procedure for the complete analysis, including pressurized liquid extraction, Power-Prep system clean-up and GC-high-resolution MS analysis requires only 48 h, and allows the simultaneous preparation of up to 10 samples. Copyright © 2001 Elsevier Science B.V.","author":[{"dropping-particle":"","family":"Focant","given":"Jean François","non-dropping-particle":"","parse-names":false,"suffix":""},{"dropping-particle":"","family":"Eppe","given":"Gauthier","non-dropping-particle":"","parse-names":false,"suffix":""},{"dropping-particle":"","family":"Pirard","given":"Catherine","non-dropping-particle":"","parse-names":false,"suffix":""},{"dropping-particle":"","family":"Pauw","given":"Edwin","non-dropping-particle":"De","parse-names":false,"suffix":""}],"container-title":"Journal of Chromatography A","id":"ITEM-1","issue":"1-2","issued":{"date-parts":[["2001"]]},"page":"207-221","title":"Fast clean-up for polychlorinated dibenzo-p-dioxins, dibenzofurans and coplanar polychlorinated biphenyls analysis of high-fat-content biological samples","type":"article-journal","volume":"925"},"uris":["http://www.mendeley.com/documents/?uuid=c8531b7c-93f8-4bcc-87b0-8e9b202dbef3"]},{"id":"ITEM-2","itemData":{"DOI":"10.1016/j.envpol.2016.10.005","ISSN":"18736424","abstract":"The bottlenose dolphin (Tursiops truncatus) is an upper trophic level predator and the most common cetacean species found in nearshore waters of southern Florida, including the Lower Florida Keys (LFK) and the Florida Coastal Everglades (FCE). The objective of this study was to assess contamination levels of total mercury (T-Hg) in skin and persistent organic pollutants (PCBs, PBDEs, DDXs, HCHs, HCB, Σ PCDD/Fs and Σ DL-PCBs) in blubber samples of bottlenose dolphins from LFK (n = 27) and FCE (n = 24). PCBs were the major class of compounds found in bottlenose dolphin blubber and were higher in individuals from LFK (Σ 6 PCBs LFK males: 13,421 ± 7730 ng g−1lipids, Σ 6 PCBs LFK females: 9683 ± 19,007 ng g−1lipids) than from FCE (Σ 6 PCBs FCE males: 5638 ng g−1± 3627 lipids, Σ 6 PCBs FCE females: 1427 ± 908 ng g−1lipids). These levels were lower than previously published data from the southeastern USA. The Σ DL-PCBs were the most prevalent pollutants of dioxin and dioxin like compounds (Σ DL-PCBs LFK: 739 ng g−1lipids, Σ DL-PCBs FCE: 183 ng g−1lipids) since PCDD/F concentrations were low for both locations (mean 0.1 ng g−1lipids for LFK and FCE dolphins). The toxicity equivalences of PCDD/Fs and DL-PCBs expressed as TEQ in LFK and FCE dolphins is mainly expressed by DL-PCBs (81% LFK - 65% FCE). T-Hg concentrations in skin were significantly higher in FCE (FCE median 9314 ng g−1dw) compared to LFK dolphins (LFK median 2941 ng g−1dw). These concentrations are the highest recorded in bottlenose dolphins in the southeastern USA, and may be explained, at least partially, by the biogeochemistry of the Everglades and mangrove sedimentary habitats that create favourable conditions for the retention of mercury and make it available at high concentrations for aquatic predators.","author":[{"dropping-particle":"","family":"Damseaux","given":"France","non-dropping-particle":"","parse-names":false,"suffix":""},{"dropping-particle":"","family":"Kiszka","given":"Jeremy J.","non-dropping-particle":"","parse-names":false,"suffix":""},{"dropping-particle":"","family":"Heithaus","given":"Michael R.","non-dropping-particle":"","parse-names":false,"suffix":""},{"dropping-particle":"","family":"Scholl","given":"George","non-dropping-particle":"","parse-names":false,"suffix":""},{"dropping-particle":"","family":"Eppe","given":"Gauthier","non-dropping-particle":"","parse-names":false,"suffix":""},{"dropping-particle":"","family":"Thomé","given":"Jean-Pierre Pierre","non-dropping-particle":"","parse-names":false,"suffix":""},{"dropping-particle":"","family":"Lewis","given":"Jennifer","non-dropping-particle":"","parse-names":false,"suffix":""},{"dropping-particle":"","family":"Hao","given":"Wensi","non-dropping-particle":"","parse-names":false,"suffix":""},{"dropping-particle":"","family":"Fontaine","given":"Michaël C.","non-dropping-particle":"","parse-names":false,"suffix":""},{"dropping-particle":"","family":"Das","given":"Krishna","non-dropping-particle":"","parse-names":false,"suffix":""}],"container-title":"Environmental Pollution","id":"ITEM-2","issued":{"date-parts":[["2017","1"]]},"page":"577-587","title":"Spatial variation in the accumulation of POPs and mercury in bottlenose dolphins of the Lower Florida Keys and the coastal Everglades (South Florida)","type":"article-journal","volume":"220"},"uris":["http://www.mendeley.com/documents/?uuid=4a3be193-edb6-4d57-8f9f-3da83624c7a1"]}],"mendeley":{"formattedCitation":"&lt;sup&gt;3,15&lt;/sup&gt;","plainTextFormattedCitation":"3,15","previouslyFormattedCitation":"&lt;sup&gt;3,14&lt;/sup&gt;"},"properties":{"noteIndex":0},"schema":"https://github.com/citation-style-language/schema/raw/master/csl-citation.json"}</w:instrText>
      </w:r>
      <w:r w:rsidR="00FC6B5E">
        <w:rPr>
          <w:rFonts w:ascii="Arial" w:hAnsi="Arial" w:cs="Arial"/>
          <w:sz w:val="20"/>
          <w:szCs w:val="20"/>
          <w:lang w:val="en-GB"/>
        </w:rPr>
        <w:fldChar w:fldCharType="separate"/>
      </w:r>
      <w:r w:rsidR="00506A53" w:rsidRPr="00506A53">
        <w:rPr>
          <w:rFonts w:ascii="Arial" w:hAnsi="Arial" w:cs="Arial"/>
          <w:noProof/>
          <w:sz w:val="20"/>
          <w:szCs w:val="20"/>
          <w:vertAlign w:val="superscript"/>
          <w:lang w:val="en-GB"/>
        </w:rPr>
        <w:t>3,15</w:t>
      </w:r>
      <w:r w:rsidR="00FC6B5E">
        <w:rPr>
          <w:rFonts w:ascii="Arial" w:hAnsi="Arial" w:cs="Arial"/>
          <w:sz w:val="20"/>
          <w:szCs w:val="20"/>
          <w:lang w:val="en-GB"/>
        </w:rPr>
        <w:fldChar w:fldCharType="end"/>
      </w:r>
      <w:r w:rsidRPr="000D7BAC">
        <w:rPr>
          <w:rFonts w:ascii="Arial" w:hAnsi="Arial" w:cs="Arial"/>
          <w:sz w:val="20"/>
          <w:szCs w:val="20"/>
          <w:lang w:val="en-GB"/>
        </w:rPr>
        <w:t xml:space="preserve">. Prior to the extraction, a known concentrations of </w:t>
      </w:r>
      <w:r w:rsidRPr="000D7BAC">
        <w:rPr>
          <w:rFonts w:ascii="Arial" w:hAnsi="Arial" w:cs="Arial"/>
          <w:sz w:val="20"/>
          <w:szCs w:val="20"/>
          <w:vertAlign w:val="superscript"/>
          <w:lang w:val="en-GB"/>
        </w:rPr>
        <w:t>13</w:t>
      </w:r>
      <w:r w:rsidRPr="000D7BAC">
        <w:rPr>
          <w:rFonts w:ascii="Arial" w:hAnsi="Arial" w:cs="Arial"/>
          <w:sz w:val="20"/>
          <w:szCs w:val="20"/>
          <w:lang w:val="en-GB"/>
        </w:rPr>
        <w:t xml:space="preserve">C labelled version of the compounds of interest are added to each sample as internal standard. Then, the lipid fraction of the blubber was extracted via the Accelerated Solvent Extraction </w:t>
      </w:r>
      <w:r w:rsidRPr="000D7BAC">
        <w:rPr>
          <w:rFonts w:ascii="Arial" w:hAnsi="Arial" w:cs="Arial"/>
          <w:color w:val="000000" w:themeColor="text1"/>
          <w:sz w:val="20"/>
          <w:szCs w:val="20"/>
          <w:lang w:val="en-GB"/>
        </w:rPr>
        <w:t xml:space="preserve">(ASE, </w:t>
      </w:r>
      <w:proofErr w:type="spellStart"/>
      <w:r w:rsidRPr="000D7BAC">
        <w:rPr>
          <w:rFonts w:ascii="Arial" w:hAnsi="Arial" w:cs="Arial"/>
          <w:color w:val="000000" w:themeColor="text1"/>
          <w:sz w:val="20"/>
          <w:szCs w:val="20"/>
          <w:lang w:val="en-GB"/>
        </w:rPr>
        <w:t>Dionex</w:t>
      </w:r>
      <w:proofErr w:type="spellEnd"/>
      <w:r w:rsidRPr="000D7BAC">
        <w:rPr>
          <w:rFonts w:ascii="Arial" w:hAnsi="Arial" w:cs="Arial"/>
          <w:color w:val="000000" w:themeColor="text1"/>
          <w:sz w:val="20"/>
          <w:szCs w:val="20"/>
          <w:lang w:val="en-GB"/>
        </w:rPr>
        <w:t xml:space="preserve"> </w:t>
      </w:r>
      <w:r w:rsidR="0053262E">
        <w:rPr>
          <w:rFonts w:ascii="Arial" w:hAnsi="Arial" w:cs="Arial"/>
          <w:color w:val="000000" w:themeColor="text1"/>
          <w:sz w:val="20"/>
          <w:szCs w:val="20"/>
          <w:lang w:val="en-GB"/>
        </w:rPr>
        <w:t>200</w:t>
      </w:r>
      <w:r w:rsidRPr="000D7BAC">
        <w:rPr>
          <w:rFonts w:ascii="Arial" w:hAnsi="Arial" w:cs="Arial"/>
          <w:color w:val="000000" w:themeColor="text1"/>
          <w:sz w:val="20"/>
          <w:szCs w:val="20"/>
          <w:lang w:val="en-GB"/>
        </w:rPr>
        <w:t xml:space="preserve">, </w:t>
      </w:r>
      <w:proofErr w:type="spellStart"/>
      <w:r w:rsidRPr="000D7BAC">
        <w:rPr>
          <w:rFonts w:ascii="Arial" w:hAnsi="Arial" w:cs="Arial"/>
          <w:color w:val="000000" w:themeColor="text1"/>
          <w:sz w:val="20"/>
          <w:szCs w:val="20"/>
          <w:lang w:val="en-GB"/>
        </w:rPr>
        <w:t>Thermo</w:t>
      </w:r>
      <w:proofErr w:type="spellEnd"/>
      <w:r w:rsidRPr="000D7BAC">
        <w:rPr>
          <w:rFonts w:ascii="Arial" w:hAnsi="Arial" w:cs="Arial"/>
          <w:color w:val="000000" w:themeColor="text1"/>
          <w:sz w:val="20"/>
          <w:szCs w:val="20"/>
          <w:lang w:val="en-GB"/>
        </w:rPr>
        <w:t xml:space="preserve">, USA) </w:t>
      </w:r>
      <w:r w:rsidRPr="0081145A">
        <w:rPr>
          <w:rFonts w:ascii="Arial" w:hAnsi="Arial" w:cs="Arial"/>
          <w:sz w:val="20"/>
          <w:szCs w:val="20"/>
          <w:lang w:val="en-GB"/>
        </w:rPr>
        <w:t>using dichloromethane</w:t>
      </w:r>
      <w:r w:rsidRPr="000D7BAC">
        <w:rPr>
          <w:rFonts w:ascii="Arial" w:hAnsi="Arial" w:cs="Arial"/>
          <w:sz w:val="20"/>
          <w:szCs w:val="20"/>
          <w:lang w:val="en-GB"/>
        </w:rPr>
        <w:t xml:space="preserve"> as organic solvent. The extracted compounds were filtered with Na</w:t>
      </w:r>
      <w:r w:rsidRPr="000D7BAC">
        <w:rPr>
          <w:rFonts w:ascii="Arial" w:hAnsi="Arial" w:cs="Arial"/>
          <w:sz w:val="20"/>
          <w:szCs w:val="20"/>
          <w:vertAlign w:val="subscript"/>
          <w:lang w:val="en-GB"/>
        </w:rPr>
        <w:t>2</w:t>
      </w:r>
      <w:r w:rsidRPr="000D7BAC">
        <w:rPr>
          <w:rFonts w:ascii="Arial" w:hAnsi="Arial" w:cs="Arial"/>
          <w:sz w:val="20"/>
          <w:szCs w:val="20"/>
          <w:lang w:val="en-GB"/>
        </w:rPr>
        <w:t>SO</w:t>
      </w:r>
      <w:r w:rsidRPr="000D7BAC">
        <w:rPr>
          <w:rFonts w:ascii="Arial" w:hAnsi="Arial" w:cs="Arial"/>
          <w:sz w:val="20"/>
          <w:szCs w:val="20"/>
          <w:vertAlign w:val="subscript"/>
          <w:lang w:val="en-GB"/>
        </w:rPr>
        <w:t>4</w:t>
      </w:r>
      <w:r w:rsidRPr="000D7BAC">
        <w:rPr>
          <w:rFonts w:ascii="Arial" w:hAnsi="Arial" w:cs="Arial"/>
          <w:sz w:val="20"/>
          <w:szCs w:val="20"/>
          <w:lang w:val="en-GB"/>
        </w:rPr>
        <w:t xml:space="preserve"> and the solvent was evaporated until dryness under nitrogen flux. Lipids contents were then determined gravimetrically until constant weight. After, several clean up stages were performed using a multicolumn liquid-solid chromatography with an automated purification system, Power </w:t>
      </w:r>
      <w:proofErr w:type="spellStart"/>
      <w:r w:rsidRPr="000D7BAC">
        <w:rPr>
          <w:rFonts w:ascii="Arial" w:hAnsi="Arial" w:cs="Arial"/>
          <w:sz w:val="20"/>
          <w:szCs w:val="20"/>
          <w:lang w:val="en-GB"/>
        </w:rPr>
        <w:t>Prep</w:t>
      </w:r>
      <w:r w:rsidRPr="000D7BAC">
        <w:rPr>
          <w:rFonts w:ascii="Arial" w:hAnsi="Arial" w:cs="Arial"/>
          <w:sz w:val="20"/>
          <w:szCs w:val="20"/>
          <w:vertAlign w:val="superscript"/>
          <w:lang w:val="en-GB"/>
        </w:rPr>
        <w:t>TM</w:t>
      </w:r>
      <w:proofErr w:type="spellEnd"/>
      <w:r w:rsidRPr="000D7BAC">
        <w:rPr>
          <w:rFonts w:ascii="Arial" w:hAnsi="Arial" w:cs="Arial"/>
          <w:sz w:val="20"/>
          <w:szCs w:val="20"/>
          <w:lang w:val="en-GB"/>
        </w:rPr>
        <w:t xml:space="preserve"> (FMS, Waltham, USA). This system removes major matrix interferences from the extracts and separates the mono-ortho fraction from the dioxin like compounds fraction. At the end of the purification process, recovery standards were added into the different fractions prior to GC-HRMS analysis using an </w:t>
      </w:r>
      <w:proofErr w:type="spellStart"/>
      <w:r w:rsidRPr="000D7BAC">
        <w:rPr>
          <w:rFonts w:ascii="Arial" w:hAnsi="Arial" w:cs="Arial"/>
          <w:sz w:val="20"/>
          <w:szCs w:val="20"/>
          <w:lang w:val="en-GB"/>
        </w:rPr>
        <w:t>Autospec</w:t>
      </w:r>
      <w:proofErr w:type="spellEnd"/>
      <w:r w:rsidRPr="000D7BAC">
        <w:rPr>
          <w:rFonts w:ascii="Arial" w:hAnsi="Arial" w:cs="Arial"/>
          <w:sz w:val="20"/>
          <w:szCs w:val="20"/>
          <w:lang w:val="en-GB"/>
        </w:rPr>
        <w:t xml:space="preserve"> Ultima High Res Mass Spectrometer coupled to an Agilent 6890 GC. The injection was carried out in </w:t>
      </w:r>
      <w:proofErr w:type="spellStart"/>
      <w:r w:rsidRPr="000D7BAC">
        <w:rPr>
          <w:rFonts w:ascii="Arial" w:hAnsi="Arial" w:cs="Arial"/>
          <w:sz w:val="20"/>
          <w:szCs w:val="20"/>
          <w:lang w:val="en-GB"/>
        </w:rPr>
        <w:t>splitless</w:t>
      </w:r>
      <w:proofErr w:type="spellEnd"/>
      <w:r w:rsidRPr="000D7BAC">
        <w:rPr>
          <w:rFonts w:ascii="Arial" w:hAnsi="Arial" w:cs="Arial"/>
          <w:sz w:val="20"/>
          <w:szCs w:val="20"/>
          <w:lang w:val="en-GB"/>
        </w:rPr>
        <w:t xml:space="preserve"> mode and the mass spectrometry via electron ionization (40 eV) using a selected ion-monitoring (SIM) mode. The samples having a lipid percentage lower than 2% were excluded from this study in order to express the concentrations on lipid weight (</w:t>
      </w:r>
      <w:proofErr w:type="spellStart"/>
      <w:r w:rsidRPr="000D7BAC">
        <w:rPr>
          <w:rFonts w:ascii="Arial" w:hAnsi="Arial" w:cs="Arial"/>
          <w:sz w:val="20"/>
          <w:szCs w:val="20"/>
          <w:lang w:val="en-GB"/>
        </w:rPr>
        <w:t>lw</w:t>
      </w:r>
      <w:proofErr w:type="spellEnd"/>
      <w:r w:rsidRPr="000D7BAC">
        <w:rPr>
          <w:rFonts w:ascii="Arial" w:hAnsi="Arial" w:cs="Arial"/>
          <w:sz w:val="20"/>
          <w:szCs w:val="20"/>
          <w:lang w:val="en-GB"/>
        </w:rPr>
        <w:t>) basis. Thus, POP concentrations are expressed in ng.g</w:t>
      </w:r>
      <w:r w:rsidRPr="000D7BAC">
        <w:rPr>
          <w:rFonts w:ascii="Arial" w:hAnsi="Arial" w:cs="Arial"/>
          <w:sz w:val="20"/>
          <w:szCs w:val="20"/>
          <w:vertAlign w:val="superscript"/>
          <w:lang w:val="en-GB"/>
        </w:rPr>
        <w:t>-1</w:t>
      </w:r>
      <w:r w:rsidRPr="000D7BAC">
        <w:rPr>
          <w:rFonts w:ascii="Arial" w:hAnsi="Arial" w:cs="Arial"/>
          <w:sz w:val="20"/>
          <w:szCs w:val="20"/>
          <w:lang w:val="en-GB"/>
        </w:rPr>
        <w:t xml:space="preserve"> </w:t>
      </w:r>
      <w:proofErr w:type="spellStart"/>
      <w:r w:rsidRPr="000D7BAC">
        <w:rPr>
          <w:rFonts w:ascii="Arial" w:hAnsi="Arial" w:cs="Arial"/>
          <w:sz w:val="20"/>
          <w:szCs w:val="20"/>
          <w:lang w:val="en-GB"/>
        </w:rPr>
        <w:t>lw</w:t>
      </w:r>
      <w:proofErr w:type="spellEnd"/>
      <w:r w:rsidRPr="000D7BAC">
        <w:rPr>
          <w:rFonts w:ascii="Arial" w:hAnsi="Arial" w:cs="Arial"/>
          <w:sz w:val="20"/>
          <w:szCs w:val="20"/>
          <w:lang w:val="en-GB"/>
        </w:rPr>
        <w:t>.</w:t>
      </w:r>
    </w:p>
    <w:p w14:paraId="3953A63C" w14:textId="7E6BE14A" w:rsidR="00802FE9" w:rsidRPr="000D7BAC" w:rsidRDefault="00802FE9" w:rsidP="00802FE9">
      <w:pPr>
        <w:spacing w:line="480" w:lineRule="auto"/>
        <w:jc w:val="both"/>
        <w:rPr>
          <w:rFonts w:ascii="Arial" w:hAnsi="Arial" w:cs="Arial"/>
          <w:sz w:val="20"/>
          <w:szCs w:val="20"/>
          <w:lang w:val="en-GB"/>
        </w:rPr>
      </w:pPr>
      <w:r w:rsidRPr="000D7BAC">
        <w:rPr>
          <w:rFonts w:ascii="Arial" w:hAnsi="Arial" w:cs="Arial"/>
          <w:sz w:val="20"/>
          <w:szCs w:val="20"/>
          <w:lang w:val="en-GB"/>
        </w:rPr>
        <w:t xml:space="preserve">The toxic equivalent quantity (TEQ) for PCDD/Fs and DL-PCB was calculated to assess their toxic potency in the bottlenose dolphin’s blubber. Thus, the concentrations of each dioxin like compound was multiplied by their corresponding toxic equivalency factor (TEF) recommended by the World Health Organization </w:t>
      </w:r>
      <w:r w:rsidR="00FC6B5E">
        <w:rPr>
          <w:rFonts w:ascii="Arial" w:hAnsi="Arial" w:cs="Arial"/>
          <w:sz w:val="20"/>
          <w:szCs w:val="20"/>
          <w:lang w:val="en-GB"/>
        </w:rPr>
        <w:fldChar w:fldCharType="begin" w:fldLock="1"/>
      </w:r>
      <w:r w:rsidR="00506A53">
        <w:rPr>
          <w:rFonts w:ascii="Arial" w:hAnsi="Arial" w:cs="Arial"/>
          <w:sz w:val="20"/>
          <w:szCs w:val="20"/>
          <w:lang w:val="en-GB"/>
        </w:rPr>
        <w:instrText>ADDIN CSL_CITATION {"citationItems":[{"id":"ITEM-1","itemData":{"DOI":"10.1093/toxsci/kfl055","ISBN":"1096-6080 (Print)\\r1096-0929 (Linking)","ISSN":"10966080","PMID":"16829543","abstract":"In June 2005 a WHO-IPCS expert meeting was held in Geneva during which the toxic equivalency factors (TEFs) for dioxin like compounds, including some polychlorinated biphenyls (PCBs), were re-evaluated. For this re-evaluation process the refined TEF database recently published by Haws and coworkers (Toxicol. Sci. 2006, 89:4-30) was used as a starting point. Decisions about a TEF value were made based on a combination of unweighted relative effect potency (REP) distributions from this database, expert judgement and point estimates. Previous TEFs were assigned in increments of 0.01, 0.05, 0.1, etc., but for this re-evaluation it was decided to use half order of magnitude increments on a logarithmic scale of 0.03, 0.1, 0.3 etc. Changes were decided by the expert panel for 2,3,4,7,8-pentachlorodibenzofuran (PeCDF) (TEF=0.3), 1,2,3,7,8-pentachlorodibenzofuran (PeCDF) (TEF=0.03), octachlorodibenzo-p-dioxin (OCDD) and octachlorodibenzofuran (OCDF) (TEFs=0.0003), 3,4,4',5-tetrachlorbiphenyl (PCB 81) (TEF=0.0003), 3,3',4,4',5,5'-hexachlorobiphenyl (PCB 169) (TEF=0.03) and a single TEF value (0.00003) for all relevant mono-ortho substituted PCBs. Additivity, an important prerequisite of the TEF concept was again confirmed by results from recent in vivo mixture studies. Some experimental evidence shows that nondioxin-like aryl hydrocarbon receptor (AhR) agonists/antagonists are able to impact the overall toxic potency of 2,3,7,8-tetrachlorodibenzo-p-dioxin (TCDD) and related compounds and this needs to be investigated further. Certain individual and groups of compounds were identified for possible future inclusion in the TEF concept, including 3,4,4'-TCB (PCB 37), polybrominated dibenzo-p-dioxins (PBDDs) and dibenzofurans (PBDFs), mixed polyhalogenated dibenzo-p-dioxins and dibenzofurans, polyhalogenated naphthalenes and polybrominated biphenyls (PBBs). Concern was expressed about direct application of the TEF/TEQ approach to abiotic matrices such as soil, sediment etc., for direct application in human risk assessment. This is problematic, as the present TEF scheme and TEQ methodology is primarily intended for estimating exposure and risks via oral ingestion (e.g., by dietary intake). A number of future approaches to determine alternative or additional TEFs were also identified. These included the use of a probabilistic methodology to determine TEFs that better describe the associated levels of uncertainty and 'systemic' TEFs for blood and adipose tissue and total…","author":[{"dropping-particle":"","family":"Berg","given":"Martin","non-dropping-particle":"Van den","parse-names":false,"suffix":""},{"dropping-particle":"","family":"Birnbaum","given":"Linda S.","non-dropping-particle":"","parse-names":false,"suffix":""},{"dropping-particle":"","family":"Denison","given":"Michael","non-dropping-particle":"","parse-names":false,"suffix":""},{"dropping-particle":"","family":"Vito","given":"Mike","non-dropping-particle":"De","parse-names":false,"suffix":""},{"dropping-particle":"","family":"Farland","given":"William","non-dropping-particle":"","parse-names":false,"suffix":""},{"dropping-particle":"","family":"Feeley","given":"Mark","non-dropping-particle":"","parse-names":false,"suffix":""},{"dropping-particle":"","family":"Fiedler","given":"Heidelore","non-dropping-particle":"","parse-names":false,"suffix":""},{"dropping-particle":"","family":"Hakansson","given":"Helen","non-dropping-particle":"","parse-names":false,"suffix":""},{"dropping-particle":"","family":"Hanberg","given":"Annika","non-dropping-particle":"","parse-names":false,"suffix":""},{"dropping-particle":"","family":"Haws","given":"Laurie","non-dropping-particle":"","parse-names":false,"suffix":""},{"dropping-particle":"","family":"Rose","given":"Martin","non-dropping-particle":"","parse-names":false,"suffix":""},{"dropping-particle":"","family":"Safe","given":"Stephen","non-dropping-particle":"","parse-names":false,"suffix":""},{"dropping-particle":"","family":"Schrenk","given":"Dieter","non-dropping-particle":"","parse-names":false,"suffix":""},{"dropping-particle":"","family":"Tohyama","given":"Chiharu","non-dropping-particle":"","parse-names":false,"suffix":""},{"dropping-particle":"","family":"Tritscher","given":"Angelika","non-dropping-particle":"","parse-names":false,"suffix":""},{"dropping-particle":"","family":"Tuomisto","given":"Jouko","non-dropping-particle":"","parse-names":false,"suffix":""},{"dropping-particle":"","family":"Tysklind","given":"Mats","non-dropping-particle":"","parse-names":false,"suffix":""},{"dropping-particle":"","family":"Walker","given":"Nigel","non-dropping-particle":"","parse-names":false,"suffix":""},{"dropping-particle":"","family":"Peterson","given":"Richard E.","non-dropping-particle":"","parse-names":false,"suffix":""}],"container-title":"Toxicological Sciences","id":"ITEM-1","issue":"2","issued":{"date-parts":[["2006"]]},"page":"223-241","title":"The 2005 World Health Organization reevaluation of human and mammalian toxic equivalency factors for dioxins and dioxin-like compounds","type":"article-journal","volume":"93"},"uris":["http://www.mendeley.com/documents/?uuid=978fb370-bce8-4196-8257-efd3c0593a35"]}],"mendeley":{"formattedCitation":"&lt;sup&gt;16&lt;/sup&gt;","plainTextFormattedCitation":"16","previouslyFormattedCitation":"&lt;sup&gt;15&lt;/sup&gt;"},"properties":{"noteIndex":0},"schema":"https://github.com/citation-style-language/schema/raw/master/csl-citation.json"}</w:instrText>
      </w:r>
      <w:r w:rsidR="00FC6B5E">
        <w:rPr>
          <w:rFonts w:ascii="Arial" w:hAnsi="Arial" w:cs="Arial"/>
          <w:sz w:val="20"/>
          <w:szCs w:val="20"/>
          <w:lang w:val="en-GB"/>
        </w:rPr>
        <w:fldChar w:fldCharType="separate"/>
      </w:r>
      <w:r w:rsidR="00506A53" w:rsidRPr="00506A53">
        <w:rPr>
          <w:rFonts w:ascii="Arial" w:hAnsi="Arial" w:cs="Arial"/>
          <w:noProof/>
          <w:sz w:val="20"/>
          <w:szCs w:val="20"/>
          <w:vertAlign w:val="superscript"/>
          <w:lang w:val="en-GB"/>
        </w:rPr>
        <w:t>16</w:t>
      </w:r>
      <w:r w:rsidR="00FC6B5E">
        <w:rPr>
          <w:rFonts w:ascii="Arial" w:hAnsi="Arial" w:cs="Arial"/>
          <w:sz w:val="20"/>
          <w:szCs w:val="20"/>
          <w:lang w:val="en-GB"/>
        </w:rPr>
        <w:fldChar w:fldCharType="end"/>
      </w:r>
      <w:r w:rsidRPr="000D7BAC">
        <w:rPr>
          <w:rFonts w:ascii="Arial" w:hAnsi="Arial" w:cs="Arial"/>
          <w:sz w:val="20"/>
          <w:szCs w:val="20"/>
          <w:lang w:val="en-GB"/>
        </w:rPr>
        <w:t xml:space="preserve">. The TEQ is expressed in </w:t>
      </w:r>
      <w:proofErr w:type="spellStart"/>
      <w:r w:rsidRPr="000D7BAC">
        <w:rPr>
          <w:rFonts w:ascii="Arial" w:hAnsi="Arial" w:cs="Arial"/>
          <w:sz w:val="20"/>
          <w:szCs w:val="20"/>
          <w:lang w:val="en-GB"/>
        </w:rPr>
        <w:t>pg</w:t>
      </w:r>
      <w:proofErr w:type="spellEnd"/>
      <w:r w:rsidRPr="000D7BAC">
        <w:rPr>
          <w:rFonts w:ascii="Arial" w:hAnsi="Arial" w:cs="Arial"/>
          <w:sz w:val="20"/>
          <w:szCs w:val="20"/>
          <w:lang w:val="en-GB"/>
        </w:rPr>
        <w:t xml:space="preserve"> WHO-</w:t>
      </w:r>
      <w:proofErr w:type="spellStart"/>
      <w:r w:rsidRPr="000D7BAC">
        <w:rPr>
          <w:rFonts w:ascii="Arial" w:hAnsi="Arial" w:cs="Arial"/>
          <w:sz w:val="20"/>
          <w:szCs w:val="20"/>
          <w:lang w:val="en-GB"/>
        </w:rPr>
        <w:t>TEQ.g</w:t>
      </w:r>
      <w:proofErr w:type="spellEnd"/>
      <w:r w:rsidRPr="000D7BAC">
        <w:rPr>
          <w:rFonts w:ascii="Arial" w:hAnsi="Arial" w:cs="Arial"/>
          <w:sz w:val="20"/>
          <w:szCs w:val="20"/>
          <w:lang w:val="en-GB"/>
        </w:rPr>
        <w:t xml:space="preserve"> </w:t>
      </w:r>
      <w:proofErr w:type="spellStart"/>
      <w:r w:rsidRPr="000D7BAC">
        <w:rPr>
          <w:rFonts w:ascii="Arial" w:hAnsi="Arial" w:cs="Arial"/>
          <w:sz w:val="20"/>
          <w:szCs w:val="20"/>
          <w:lang w:val="en-GB"/>
        </w:rPr>
        <w:t>lw</w:t>
      </w:r>
      <w:proofErr w:type="spellEnd"/>
      <w:r w:rsidRPr="000D7BAC">
        <w:rPr>
          <w:rFonts w:ascii="Arial" w:hAnsi="Arial" w:cs="Arial"/>
          <w:sz w:val="20"/>
          <w:szCs w:val="20"/>
          <w:lang w:val="en-GB"/>
        </w:rPr>
        <w:t>.</w:t>
      </w:r>
    </w:p>
    <w:p w14:paraId="591D27A8" w14:textId="77777777" w:rsidR="00802FE9" w:rsidRPr="000D7BAC" w:rsidRDefault="00802FE9" w:rsidP="00802FE9">
      <w:pPr>
        <w:spacing w:line="480" w:lineRule="auto"/>
        <w:jc w:val="both"/>
        <w:rPr>
          <w:rFonts w:ascii="Arial" w:hAnsi="Arial" w:cs="Arial"/>
          <w:sz w:val="20"/>
          <w:szCs w:val="20"/>
          <w:lang w:val="en-GB"/>
        </w:rPr>
      </w:pPr>
    </w:p>
    <w:p w14:paraId="4E874C65" w14:textId="13D59661" w:rsidR="00802FE9" w:rsidRPr="000D7BAC" w:rsidRDefault="00802FE9" w:rsidP="00802FE9">
      <w:pPr>
        <w:spacing w:line="480" w:lineRule="auto"/>
        <w:jc w:val="both"/>
        <w:rPr>
          <w:rFonts w:ascii="Arial" w:hAnsi="Arial" w:cs="Arial"/>
          <w:sz w:val="20"/>
          <w:szCs w:val="20"/>
          <w:lang w:val="en-GB"/>
        </w:rPr>
      </w:pPr>
      <w:r w:rsidRPr="000D7BAC">
        <w:rPr>
          <w:rFonts w:ascii="Arial" w:hAnsi="Arial" w:cs="Arial"/>
          <w:sz w:val="20"/>
          <w:szCs w:val="20"/>
          <w:lang w:val="en-GB"/>
        </w:rPr>
        <w:t>21 blubber biopsies were selected for the analysis of chlorinated pesticides Cis-Chlordane, Trans-Chlordane, α-</w:t>
      </w:r>
      <w:proofErr w:type="spellStart"/>
      <w:r w:rsidRPr="000D7BAC">
        <w:rPr>
          <w:rFonts w:ascii="Arial" w:hAnsi="Arial" w:cs="Arial"/>
          <w:sz w:val="20"/>
          <w:szCs w:val="20"/>
          <w:lang w:val="en-GB"/>
        </w:rPr>
        <w:t>Endosulfan</w:t>
      </w:r>
      <w:proofErr w:type="spellEnd"/>
      <w:r w:rsidRPr="000D7BAC">
        <w:rPr>
          <w:rFonts w:ascii="Arial" w:hAnsi="Arial" w:cs="Arial"/>
          <w:sz w:val="20"/>
          <w:szCs w:val="20"/>
          <w:lang w:val="en-GB"/>
        </w:rPr>
        <w:t>, β-</w:t>
      </w:r>
      <w:proofErr w:type="spellStart"/>
      <w:r w:rsidRPr="000D7BAC">
        <w:rPr>
          <w:rFonts w:ascii="Arial" w:hAnsi="Arial" w:cs="Arial"/>
          <w:sz w:val="20"/>
          <w:szCs w:val="20"/>
          <w:lang w:val="en-GB"/>
        </w:rPr>
        <w:t>Endosulfan</w:t>
      </w:r>
      <w:proofErr w:type="spellEnd"/>
      <w:r w:rsidRPr="000D7BAC">
        <w:rPr>
          <w:rFonts w:ascii="Arial" w:hAnsi="Arial" w:cs="Arial"/>
          <w:sz w:val="20"/>
          <w:szCs w:val="20"/>
          <w:lang w:val="en-GB"/>
        </w:rPr>
        <w:t xml:space="preserve">, </w:t>
      </w:r>
      <w:proofErr w:type="spellStart"/>
      <w:r w:rsidRPr="000D7BAC">
        <w:rPr>
          <w:rFonts w:ascii="Arial" w:hAnsi="Arial" w:cs="Arial"/>
          <w:sz w:val="20"/>
          <w:szCs w:val="20"/>
          <w:lang w:val="en-GB"/>
        </w:rPr>
        <w:t>Endosulfan-sulfate</w:t>
      </w:r>
      <w:proofErr w:type="spellEnd"/>
      <w:r w:rsidRPr="000D7BAC">
        <w:rPr>
          <w:rFonts w:ascii="Arial" w:hAnsi="Arial" w:cs="Arial"/>
          <w:sz w:val="20"/>
          <w:szCs w:val="20"/>
          <w:lang w:val="en-GB"/>
        </w:rPr>
        <w:t xml:space="preserve">; and Dieldrin. Pesticides extraction and </w:t>
      </w:r>
      <w:r w:rsidRPr="0081145A">
        <w:rPr>
          <w:rFonts w:ascii="Arial" w:hAnsi="Arial" w:cs="Arial"/>
          <w:sz w:val="20"/>
          <w:szCs w:val="20"/>
          <w:lang w:val="en-GB"/>
        </w:rPr>
        <w:lastRenderedPageBreak/>
        <w:t xml:space="preserve">clean-up were performed by an appropriate method to preserve the acid sensitive organochlorine pesticides. The lipid fraction of the blubber was extracted by means of an Accelerated Solvent Extraction </w:t>
      </w:r>
      <w:r w:rsidRPr="0081145A">
        <w:rPr>
          <w:rFonts w:ascii="Arial" w:hAnsi="Arial" w:cs="Arial"/>
          <w:color w:val="000000" w:themeColor="text1"/>
          <w:sz w:val="20"/>
          <w:szCs w:val="20"/>
          <w:lang w:val="en-GB"/>
        </w:rPr>
        <w:t xml:space="preserve">(ASE, </w:t>
      </w:r>
      <w:proofErr w:type="spellStart"/>
      <w:r w:rsidRPr="0081145A">
        <w:rPr>
          <w:rFonts w:ascii="Arial" w:hAnsi="Arial" w:cs="Arial"/>
          <w:color w:val="000000" w:themeColor="text1"/>
          <w:sz w:val="20"/>
          <w:szCs w:val="20"/>
          <w:lang w:val="en-GB"/>
        </w:rPr>
        <w:t>Dionex</w:t>
      </w:r>
      <w:proofErr w:type="spellEnd"/>
      <w:r w:rsidRPr="0081145A">
        <w:rPr>
          <w:rFonts w:ascii="Arial" w:hAnsi="Arial" w:cs="Arial"/>
          <w:color w:val="000000" w:themeColor="text1"/>
          <w:sz w:val="20"/>
          <w:szCs w:val="20"/>
          <w:lang w:val="en-GB"/>
        </w:rPr>
        <w:t xml:space="preserve"> 200, </w:t>
      </w:r>
      <w:proofErr w:type="spellStart"/>
      <w:r w:rsidRPr="0081145A">
        <w:rPr>
          <w:rFonts w:ascii="Arial" w:hAnsi="Arial" w:cs="Arial"/>
          <w:color w:val="000000" w:themeColor="text1"/>
          <w:sz w:val="20"/>
          <w:szCs w:val="20"/>
          <w:lang w:val="en-GB"/>
        </w:rPr>
        <w:t>Thermo</w:t>
      </w:r>
      <w:proofErr w:type="spellEnd"/>
      <w:r w:rsidRPr="0081145A">
        <w:rPr>
          <w:rFonts w:ascii="Arial" w:hAnsi="Arial" w:cs="Arial"/>
          <w:color w:val="000000" w:themeColor="text1"/>
          <w:sz w:val="20"/>
          <w:szCs w:val="20"/>
          <w:lang w:val="en-GB"/>
        </w:rPr>
        <w:t xml:space="preserve">, USA) </w:t>
      </w:r>
      <w:r w:rsidRPr="0081145A">
        <w:rPr>
          <w:rFonts w:ascii="Arial" w:hAnsi="Arial" w:cs="Arial"/>
          <w:sz w:val="20"/>
          <w:szCs w:val="20"/>
          <w:lang w:val="en-GB"/>
        </w:rPr>
        <w:t xml:space="preserve">on 100 to 200 mg wet weight of blubber using a mixture of </w:t>
      </w:r>
      <w:proofErr w:type="spellStart"/>
      <w:r w:rsidRPr="0081145A">
        <w:rPr>
          <w:rFonts w:ascii="Arial" w:hAnsi="Arial" w:cs="Arial"/>
          <w:sz w:val="20"/>
          <w:szCs w:val="20"/>
          <w:lang w:val="en-GB"/>
        </w:rPr>
        <w:t>hexane:acetone</w:t>
      </w:r>
      <w:proofErr w:type="spellEnd"/>
      <w:r w:rsidRPr="0081145A">
        <w:rPr>
          <w:rFonts w:ascii="Arial" w:hAnsi="Arial" w:cs="Arial"/>
          <w:sz w:val="20"/>
          <w:szCs w:val="20"/>
          <w:lang w:val="en-GB"/>
        </w:rPr>
        <w:t xml:space="preserve"> (50:50; V:V)</w:t>
      </w:r>
      <w:r w:rsidRPr="000D7BAC">
        <w:rPr>
          <w:rFonts w:ascii="Arial" w:hAnsi="Arial" w:cs="Arial"/>
          <w:sz w:val="20"/>
          <w:szCs w:val="20"/>
          <w:lang w:val="en-GB"/>
        </w:rPr>
        <w:t xml:space="preserve"> at 125°C and 1.304.10</w:t>
      </w:r>
      <w:r w:rsidRPr="000D7BAC">
        <w:rPr>
          <w:rFonts w:ascii="Arial" w:hAnsi="Arial" w:cs="Arial"/>
          <w:sz w:val="20"/>
          <w:szCs w:val="20"/>
          <w:vertAlign w:val="superscript"/>
          <w:lang w:val="en-GB"/>
        </w:rPr>
        <w:t>7</w:t>
      </w:r>
      <w:r w:rsidRPr="000D7BAC">
        <w:rPr>
          <w:rFonts w:ascii="Arial" w:hAnsi="Arial" w:cs="Arial"/>
          <w:sz w:val="20"/>
          <w:szCs w:val="20"/>
          <w:lang w:val="en-GB"/>
        </w:rPr>
        <w:t xml:space="preserve"> Pa. Prior to the extraction, 50µL of a </w:t>
      </w:r>
      <w:proofErr w:type="spellStart"/>
      <w:r w:rsidRPr="000D7BAC">
        <w:rPr>
          <w:rFonts w:ascii="Arial" w:hAnsi="Arial" w:cs="Arial"/>
          <w:sz w:val="20"/>
          <w:szCs w:val="20"/>
          <w:lang w:val="en-GB"/>
        </w:rPr>
        <w:t>hexanic</w:t>
      </w:r>
      <w:proofErr w:type="spellEnd"/>
      <w:r w:rsidRPr="000D7BAC">
        <w:rPr>
          <w:rFonts w:ascii="Arial" w:hAnsi="Arial" w:cs="Arial"/>
          <w:sz w:val="20"/>
          <w:szCs w:val="20"/>
          <w:lang w:val="en-GB"/>
        </w:rPr>
        <w:t xml:space="preserve"> solution of PCB congener 112 (</w:t>
      </w:r>
      <w:proofErr w:type="spellStart"/>
      <w:r w:rsidRPr="000D7BAC">
        <w:rPr>
          <w:rFonts w:ascii="Arial" w:hAnsi="Arial" w:cs="Arial"/>
          <w:sz w:val="20"/>
          <w:szCs w:val="20"/>
          <w:lang w:val="en-GB"/>
        </w:rPr>
        <w:t>Dr.</w:t>
      </w:r>
      <w:proofErr w:type="spellEnd"/>
      <w:r w:rsidRPr="000D7BAC">
        <w:rPr>
          <w:rFonts w:ascii="Arial" w:hAnsi="Arial" w:cs="Arial"/>
          <w:sz w:val="20"/>
          <w:szCs w:val="20"/>
          <w:lang w:val="en-GB"/>
        </w:rPr>
        <w:t xml:space="preserve"> </w:t>
      </w:r>
      <w:proofErr w:type="spellStart"/>
      <w:r w:rsidRPr="000D7BAC">
        <w:rPr>
          <w:rFonts w:ascii="Arial" w:hAnsi="Arial" w:cs="Arial"/>
          <w:sz w:val="20"/>
          <w:szCs w:val="20"/>
          <w:lang w:val="en-GB"/>
        </w:rPr>
        <w:t>Ehrenstorfer</w:t>
      </w:r>
      <w:proofErr w:type="spellEnd"/>
      <w:r w:rsidRPr="000D7BAC">
        <w:rPr>
          <w:rFonts w:ascii="Arial" w:hAnsi="Arial" w:cs="Arial"/>
          <w:sz w:val="20"/>
          <w:szCs w:val="20"/>
          <w:lang w:val="en-GB"/>
        </w:rPr>
        <w:t xml:space="preserve">®, Augsburg, Germany) at 100 </w:t>
      </w:r>
      <w:proofErr w:type="spellStart"/>
      <w:r w:rsidRPr="000D7BAC">
        <w:rPr>
          <w:rFonts w:ascii="Arial" w:hAnsi="Arial" w:cs="Arial"/>
          <w:sz w:val="20"/>
          <w:szCs w:val="20"/>
          <w:lang w:val="en-GB"/>
        </w:rPr>
        <w:t>pg</w:t>
      </w:r>
      <w:proofErr w:type="spellEnd"/>
      <w:r w:rsidRPr="000D7BAC">
        <w:rPr>
          <w:rFonts w:ascii="Arial" w:hAnsi="Arial" w:cs="Arial"/>
          <w:sz w:val="20"/>
          <w:szCs w:val="20"/>
          <w:lang w:val="en-GB"/>
        </w:rPr>
        <w:t xml:space="preserve"> µL</w:t>
      </w:r>
      <w:r w:rsidRPr="000D7BAC">
        <w:rPr>
          <w:rFonts w:ascii="Arial" w:hAnsi="Arial" w:cs="Arial"/>
          <w:sz w:val="20"/>
          <w:szCs w:val="20"/>
          <w:vertAlign w:val="superscript"/>
          <w:lang w:val="en-GB"/>
        </w:rPr>
        <w:t>-1</w:t>
      </w:r>
      <w:r w:rsidRPr="000D7BAC">
        <w:rPr>
          <w:rFonts w:ascii="Arial" w:hAnsi="Arial" w:cs="Arial"/>
          <w:sz w:val="20"/>
          <w:szCs w:val="20"/>
          <w:lang w:val="en-GB"/>
        </w:rPr>
        <w:t xml:space="preserve">was added to the samples as a surrogate internal standard used to measure the recovery efficiency. The fat content was determined gravimetrically after solvent evaporation with a </w:t>
      </w:r>
      <w:proofErr w:type="spellStart"/>
      <w:r w:rsidRPr="000D7BAC">
        <w:rPr>
          <w:rFonts w:ascii="Arial" w:hAnsi="Arial" w:cs="Arial"/>
          <w:sz w:val="20"/>
          <w:szCs w:val="20"/>
          <w:lang w:val="en-GB"/>
        </w:rPr>
        <w:t>TurboVap</w:t>
      </w:r>
      <w:proofErr w:type="spellEnd"/>
      <w:r w:rsidRPr="000D7BAC">
        <w:rPr>
          <w:rFonts w:ascii="Arial" w:hAnsi="Arial" w:cs="Arial"/>
          <w:sz w:val="20"/>
          <w:szCs w:val="20"/>
          <w:lang w:val="en-GB"/>
        </w:rPr>
        <w:t xml:space="preserve"> LV concentration Evaporator workstation (</w:t>
      </w:r>
      <w:proofErr w:type="spellStart"/>
      <w:r w:rsidRPr="000D7BAC">
        <w:rPr>
          <w:rFonts w:ascii="Arial" w:hAnsi="Arial" w:cs="Arial"/>
          <w:sz w:val="20"/>
          <w:szCs w:val="20"/>
          <w:lang w:val="en-GB"/>
        </w:rPr>
        <w:t>Zymark</w:t>
      </w:r>
      <w:proofErr w:type="spellEnd"/>
      <w:r w:rsidRPr="000D7BAC">
        <w:rPr>
          <w:rFonts w:ascii="Arial" w:hAnsi="Arial" w:cs="Arial"/>
          <w:sz w:val="20"/>
          <w:szCs w:val="20"/>
          <w:lang w:val="en-GB"/>
        </w:rPr>
        <w:t xml:space="preserve"> </w:t>
      </w:r>
      <w:proofErr w:type="spellStart"/>
      <w:r w:rsidRPr="000D7BAC">
        <w:rPr>
          <w:rFonts w:ascii="Arial" w:hAnsi="Arial" w:cs="Arial"/>
          <w:sz w:val="20"/>
          <w:szCs w:val="20"/>
          <w:lang w:val="en-GB"/>
        </w:rPr>
        <w:t>TurboVap®LV</w:t>
      </w:r>
      <w:proofErr w:type="spellEnd"/>
      <w:r w:rsidRPr="000D7BAC">
        <w:rPr>
          <w:rFonts w:ascii="Arial" w:hAnsi="Arial" w:cs="Arial"/>
          <w:sz w:val="20"/>
          <w:szCs w:val="20"/>
          <w:lang w:val="en-GB"/>
        </w:rPr>
        <w:t xml:space="preserve">, Charlotte, USA). The lipid extract was resuspended in 1 mL n-Hexane . 1 mL of a solution of Acetonitrile: Dichloromethane (95:5; V:V) was added to the lipid </w:t>
      </w:r>
      <w:proofErr w:type="spellStart"/>
      <w:r w:rsidRPr="000D7BAC">
        <w:rPr>
          <w:rFonts w:ascii="Arial" w:hAnsi="Arial" w:cs="Arial"/>
          <w:sz w:val="20"/>
          <w:szCs w:val="20"/>
          <w:lang w:val="en-GB"/>
        </w:rPr>
        <w:t>hexanic</w:t>
      </w:r>
      <w:proofErr w:type="spellEnd"/>
      <w:r w:rsidRPr="000D7BAC">
        <w:rPr>
          <w:rFonts w:ascii="Arial" w:hAnsi="Arial" w:cs="Arial"/>
          <w:sz w:val="20"/>
          <w:szCs w:val="20"/>
          <w:lang w:val="en-GB"/>
        </w:rPr>
        <w:t xml:space="preserve"> extract. After mixing, the </w:t>
      </w:r>
      <w:proofErr w:type="spellStart"/>
      <w:r w:rsidRPr="000D7BAC">
        <w:rPr>
          <w:rFonts w:ascii="Arial" w:hAnsi="Arial" w:cs="Arial"/>
          <w:sz w:val="20"/>
          <w:szCs w:val="20"/>
          <w:lang w:val="en-GB"/>
        </w:rPr>
        <w:t>acetonitrile:dichloromethane</w:t>
      </w:r>
      <w:proofErr w:type="spellEnd"/>
      <w:r w:rsidRPr="000D7BAC">
        <w:rPr>
          <w:rFonts w:ascii="Arial" w:hAnsi="Arial" w:cs="Arial"/>
          <w:sz w:val="20"/>
          <w:szCs w:val="20"/>
          <w:lang w:val="en-GB"/>
        </w:rPr>
        <w:t xml:space="preserve"> phase was recovered and placed at the top of the C</w:t>
      </w:r>
      <w:r w:rsidRPr="000D7BAC">
        <w:rPr>
          <w:rFonts w:ascii="Arial" w:hAnsi="Arial" w:cs="Arial"/>
          <w:sz w:val="20"/>
          <w:szCs w:val="20"/>
          <w:vertAlign w:val="subscript"/>
          <w:lang w:val="en-GB"/>
        </w:rPr>
        <w:t>18</w:t>
      </w:r>
      <w:r w:rsidRPr="000D7BAC">
        <w:rPr>
          <w:rFonts w:ascii="Arial" w:hAnsi="Arial" w:cs="Arial"/>
          <w:sz w:val="20"/>
          <w:szCs w:val="20"/>
          <w:lang w:val="en-GB"/>
        </w:rPr>
        <w:t xml:space="preserve"> </w:t>
      </w:r>
      <w:proofErr w:type="spellStart"/>
      <w:r w:rsidRPr="000D7BAC">
        <w:rPr>
          <w:rFonts w:ascii="Arial" w:hAnsi="Arial" w:cs="Arial"/>
          <w:sz w:val="20"/>
          <w:szCs w:val="20"/>
          <w:lang w:val="en-GB"/>
        </w:rPr>
        <w:t>microcartridge</w:t>
      </w:r>
      <w:proofErr w:type="spellEnd"/>
      <w:r w:rsidR="0080181D">
        <w:rPr>
          <w:rFonts w:ascii="Arial" w:hAnsi="Arial" w:cs="Arial"/>
          <w:sz w:val="20"/>
          <w:szCs w:val="20"/>
          <w:lang w:val="en-GB"/>
        </w:rPr>
        <w:t xml:space="preserve"> (SUPELCO, Sigma-Aldrich, </w:t>
      </w:r>
      <w:proofErr w:type="spellStart"/>
      <w:r w:rsidR="0080181D">
        <w:rPr>
          <w:rFonts w:ascii="Arial" w:hAnsi="Arial" w:cs="Arial"/>
          <w:sz w:val="20"/>
          <w:szCs w:val="20"/>
          <w:lang w:val="en-GB"/>
        </w:rPr>
        <w:t>Overijse</w:t>
      </w:r>
      <w:proofErr w:type="spellEnd"/>
      <w:r w:rsidR="0080181D">
        <w:rPr>
          <w:rFonts w:ascii="Arial" w:hAnsi="Arial" w:cs="Arial"/>
          <w:sz w:val="20"/>
          <w:szCs w:val="20"/>
          <w:lang w:val="en-GB"/>
        </w:rPr>
        <w:t>, Belgium)</w:t>
      </w:r>
      <w:r w:rsidR="0080181D" w:rsidRPr="000D7BAC">
        <w:rPr>
          <w:rFonts w:ascii="Arial" w:hAnsi="Arial" w:cs="Arial"/>
          <w:sz w:val="20"/>
          <w:szCs w:val="20"/>
          <w:lang w:val="en-GB"/>
        </w:rPr>
        <w:t>.</w:t>
      </w:r>
      <w:r w:rsidRPr="000D7BAC">
        <w:rPr>
          <w:rFonts w:ascii="Arial" w:hAnsi="Arial" w:cs="Arial"/>
          <w:sz w:val="20"/>
          <w:szCs w:val="20"/>
          <w:lang w:val="en-GB"/>
        </w:rPr>
        <w:t xml:space="preserve">. The compounds of interest were eluted with 5 mL of acetonitrile: dichloromethane (95:5; V:V) and the extract was evaporated under a gentle stream of nitrogen to a final volume of 500 µL. 1 mL of n-Hexane was added to the extract which was placed at the top of the </w:t>
      </w:r>
      <w:proofErr w:type="spellStart"/>
      <w:r w:rsidRPr="000D7BAC">
        <w:rPr>
          <w:rFonts w:ascii="Arial" w:hAnsi="Arial" w:cs="Arial"/>
          <w:sz w:val="20"/>
          <w:szCs w:val="20"/>
          <w:lang w:val="en-GB"/>
        </w:rPr>
        <w:t>Envi-Florisil</w:t>
      </w:r>
      <w:proofErr w:type="spellEnd"/>
      <w:r w:rsidRPr="000D7BAC">
        <w:rPr>
          <w:rFonts w:ascii="Arial" w:hAnsi="Arial" w:cs="Arial"/>
          <w:sz w:val="20"/>
          <w:szCs w:val="20"/>
          <w:lang w:val="en-GB"/>
        </w:rPr>
        <w:t xml:space="preserve"> </w:t>
      </w:r>
      <w:proofErr w:type="spellStart"/>
      <w:r w:rsidRPr="000D7BAC">
        <w:rPr>
          <w:rFonts w:ascii="Arial" w:hAnsi="Arial" w:cs="Arial"/>
          <w:sz w:val="20"/>
          <w:szCs w:val="20"/>
          <w:lang w:val="en-GB"/>
        </w:rPr>
        <w:t>microcartridge</w:t>
      </w:r>
      <w:proofErr w:type="spellEnd"/>
      <w:r w:rsidR="0080181D">
        <w:rPr>
          <w:rFonts w:ascii="Arial" w:hAnsi="Arial" w:cs="Arial"/>
          <w:sz w:val="20"/>
          <w:szCs w:val="20"/>
          <w:lang w:val="en-GB"/>
        </w:rPr>
        <w:t xml:space="preserve"> (SUPELCO, Sigma-Aldrich, </w:t>
      </w:r>
      <w:proofErr w:type="spellStart"/>
      <w:r w:rsidR="0080181D">
        <w:rPr>
          <w:rFonts w:ascii="Arial" w:hAnsi="Arial" w:cs="Arial"/>
          <w:sz w:val="20"/>
          <w:szCs w:val="20"/>
          <w:lang w:val="en-GB"/>
        </w:rPr>
        <w:t>Overijse</w:t>
      </w:r>
      <w:proofErr w:type="spellEnd"/>
      <w:r w:rsidR="0080181D">
        <w:rPr>
          <w:rFonts w:ascii="Arial" w:hAnsi="Arial" w:cs="Arial"/>
          <w:sz w:val="20"/>
          <w:szCs w:val="20"/>
          <w:lang w:val="en-GB"/>
        </w:rPr>
        <w:t>, Belgium)</w:t>
      </w:r>
      <w:r w:rsidRPr="000D7BAC">
        <w:rPr>
          <w:rFonts w:ascii="Arial" w:hAnsi="Arial" w:cs="Arial"/>
          <w:sz w:val="20"/>
          <w:szCs w:val="20"/>
          <w:lang w:val="en-GB"/>
        </w:rPr>
        <w:t xml:space="preserve">. The organochlorine pesticides analysed by this method were eluted with 10 mL of </w:t>
      </w:r>
      <w:proofErr w:type="spellStart"/>
      <w:r w:rsidRPr="000D7BAC">
        <w:rPr>
          <w:rFonts w:ascii="Arial" w:hAnsi="Arial" w:cs="Arial"/>
          <w:sz w:val="20"/>
          <w:szCs w:val="20"/>
          <w:lang w:val="en-GB"/>
        </w:rPr>
        <w:t>hexane:acetone</w:t>
      </w:r>
      <w:proofErr w:type="spellEnd"/>
      <w:r w:rsidRPr="000D7BAC">
        <w:rPr>
          <w:rFonts w:ascii="Arial" w:hAnsi="Arial" w:cs="Arial"/>
          <w:sz w:val="20"/>
          <w:szCs w:val="20"/>
          <w:lang w:val="en-GB"/>
        </w:rPr>
        <w:t xml:space="preserve"> (90:10; V:V). Five µL of </w:t>
      </w:r>
      <w:proofErr w:type="spellStart"/>
      <w:r w:rsidRPr="000D7BAC">
        <w:rPr>
          <w:rFonts w:ascii="Arial" w:hAnsi="Arial" w:cs="Arial"/>
          <w:sz w:val="20"/>
          <w:szCs w:val="20"/>
          <w:lang w:val="en-GB"/>
        </w:rPr>
        <w:t>nonane</w:t>
      </w:r>
      <w:proofErr w:type="spellEnd"/>
      <w:r w:rsidRPr="000D7BAC">
        <w:rPr>
          <w:rFonts w:ascii="Arial" w:hAnsi="Arial" w:cs="Arial"/>
          <w:sz w:val="20"/>
          <w:szCs w:val="20"/>
          <w:lang w:val="en-GB"/>
        </w:rPr>
        <w:t xml:space="preserve"> were added as a keeper to the purified extract. Each extract was evaporated under a gentle stream of nitrogen till just the keeper remains in the vial. The final extract was reconstituted with 45 µL of n-hexane and 50 µL of PCB80 (100 </w:t>
      </w:r>
      <w:proofErr w:type="spellStart"/>
      <w:r w:rsidRPr="000D7BAC">
        <w:rPr>
          <w:rFonts w:ascii="Arial" w:hAnsi="Arial" w:cs="Arial"/>
          <w:sz w:val="20"/>
          <w:szCs w:val="20"/>
          <w:lang w:val="en-GB"/>
        </w:rPr>
        <w:t>pg</w:t>
      </w:r>
      <w:proofErr w:type="spellEnd"/>
      <w:r w:rsidRPr="000D7BAC">
        <w:rPr>
          <w:rFonts w:ascii="Arial" w:hAnsi="Arial" w:cs="Arial"/>
          <w:sz w:val="20"/>
          <w:szCs w:val="20"/>
          <w:lang w:val="en-GB"/>
        </w:rPr>
        <w:t xml:space="preserve"> µL</w:t>
      </w:r>
      <w:r w:rsidRPr="000D7BAC">
        <w:rPr>
          <w:rFonts w:ascii="Arial" w:hAnsi="Arial" w:cs="Arial"/>
          <w:sz w:val="20"/>
          <w:szCs w:val="20"/>
          <w:vertAlign w:val="superscript"/>
          <w:lang w:val="en-GB"/>
        </w:rPr>
        <w:t>-1</w:t>
      </w:r>
      <w:r w:rsidRPr="000D7BAC">
        <w:rPr>
          <w:rFonts w:ascii="Arial" w:hAnsi="Arial" w:cs="Arial"/>
          <w:sz w:val="20"/>
          <w:szCs w:val="20"/>
          <w:lang w:val="en-GB"/>
        </w:rPr>
        <w:t xml:space="preserve"> in hexane) as injection volume internal standard (</w:t>
      </w:r>
      <w:proofErr w:type="spellStart"/>
      <w:r w:rsidRPr="000D7BAC">
        <w:rPr>
          <w:rFonts w:ascii="Arial" w:hAnsi="Arial" w:cs="Arial"/>
          <w:sz w:val="20"/>
          <w:szCs w:val="20"/>
          <w:lang w:val="en-GB"/>
        </w:rPr>
        <w:t>Dr.</w:t>
      </w:r>
      <w:proofErr w:type="spellEnd"/>
      <w:r w:rsidRPr="000D7BAC">
        <w:rPr>
          <w:rFonts w:ascii="Arial" w:hAnsi="Arial" w:cs="Arial"/>
          <w:sz w:val="20"/>
          <w:szCs w:val="20"/>
          <w:lang w:val="en-GB"/>
        </w:rPr>
        <w:t xml:space="preserve"> </w:t>
      </w:r>
      <w:proofErr w:type="spellStart"/>
      <w:r w:rsidRPr="000D7BAC">
        <w:rPr>
          <w:rFonts w:ascii="Arial" w:hAnsi="Arial" w:cs="Arial"/>
          <w:sz w:val="20"/>
          <w:szCs w:val="20"/>
          <w:lang w:val="en-GB"/>
        </w:rPr>
        <w:t>Erhenstorfer</w:t>
      </w:r>
      <w:proofErr w:type="spellEnd"/>
      <w:r w:rsidRPr="000D7BAC">
        <w:rPr>
          <w:rFonts w:ascii="Arial" w:hAnsi="Arial" w:cs="Arial"/>
          <w:sz w:val="20"/>
          <w:szCs w:val="20"/>
          <w:lang w:val="en-GB"/>
        </w:rPr>
        <w:t xml:space="preserve">® GmbH, Augsburg, Germany). This compound such as PCB112 were never detected in such samples from these locations during pre-test analysis. The quantification was performed by means of the internal standard method. A calibration curve (1.5 - 250 </w:t>
      </w:r>
      <w:proofErr w:type="spellStart"/>
      <w:r w:rsidRPr="000D7BAC">
        <w:rPr>
          <w:rFonts w:ascii="Arial" w:hAnsi="Arial" w:cs="Arial"/>
          <w:sz w:val="20"/>
          <w:szCs w:val="20"/>
          <w:lang w:val="en-GB"/>
        </w:rPr>
        <w:t>pg</w:t>
      </w:r>
      <w:proofErr w:type="spellEnd"/>
      <w:r w:rsidRPr="000D7BAC">
        <w:rPr>
          <w:rFonts w:ascii="Arial" w:hAnsi="Arial" w:cs="Arial"/>
          <w:sz w:val="20"/>
          <w:szCs w:val="20"/>
          <w:lang w:val="en-GB"/>
        </w:rPr>
        <w:t xml:space="preserve"> µL</w:t>
      </w:r>
      <w:r w:rsidRPr="000D7BAC">
        <w:rPr>
          <w:rFonts w:ascii="Arial" w:hAnsi="Arial" w:cs="Arial"/>
          <w:sz w:val="20"/>
          <w:szCs w:val="20"/>
          <w:vertAlign w:val="superscript"/>
          <w:lang w:val="en-GB"/>
        </w:rPr>
        <w:t>-1</w:t>
      </w:r>
      <w:r w:rsidRPr="000D7BAC">
        <w:rPr>
          <w:rFonts w:ascii="Arial" w:hAnsi="Arial" w:cs="Arial"/>
          <w:sz w:val="20"/>
          <w:szCs w:val="20"/>
          <w:lang w:val="en-GB"/>
        </w:rPr>
        <w:t xml:space="preserve">) was established for each compound of interest. The final extracts were analysed by high resolution gas chromatograph coupled to an ion trap mass spectrometer (Trace GC Ultra and ITQ 1100 from </w:t>
      </w:r>
      <w:proofErr w:type="spellStart"/>
      <w:r w:rsidRPr="000D7BAC">
        <w:rPr>
          <w:rFonts w:ascii="Arial" w:hAnsi="Arial" w:cs="Arial"/>
          <w:sz w:val="20"/>
          <w:szCs w:val="20"/>
          <w:lang w:val="en-GB"/>
        </w:rPr>
        <w:t>ThermoQuest</w:t>
      </w:r>
      <w:proofErr w:type="spellEnd"/>
      <w:r w:rsidRPr="000D7BAC">
        <w:rPr>
          <w:rFonts w:ascii="Arial" w:hAnsi="Arial" w:cs="Arial"/>
          <w:sz w:val="20"/>
          <w:szCs w:val="20"/>
          <w:lang w:val="en-GB"/>
        </w:rPr>
        <w:t xml:space="preserve">) using a 30 m x 0.25 mm (0.25 mm film) DB5 </w:t>
      </w:r>
      <w:proofErr w:type="spellStart"/>
      <w:r w:rsidRPr="000D7BAC">
        <w:rPr>
          <w:rFonts w:ascii="Arial" w:hAnsi="Arial" w:cs="Arial"/>
          <w:sz w:val="20"/>
          <w:szCs w:val="20"/>
          <w:lang w:val="en-GB"/>
        </w:rPr>
        <w:t>ms</w:t>
      </w:r>
      <w:proofErr w:type="spellEnd"/>
      <w:r w:rsidRPr="000D7BAC">
        <w:rPr>
          <w:rFonts w:ascii="Arial" w:hAnsi="Arial" w:cs="Arial"/>
          <w:sz w:val="20"/>
          <w:szCs w:val="20"/>
          <w:lang w:val="en-GB"/>
        </w:rPr>
        <w:t xml:space="preserve"> capillary column (J&amp;W Scientific, USA). The chromatographic conditions were described elsewhere </w:t>
      </w:r>
      <w:r w:rsidR="003D2E99">
        <w:rPr>
          <w:rFonts w:ascii="Arial" w:hAnsi="Arial" w:cs="Arial"/>
          <w:sz w:val="20"/>
          <w:szCs w:val="20"/>
          <w:lang w:val="en-GB"/>
        </w:rPr>
        <w:fldChar w:fldCharType="begin" w:fldLock="1"/>
      </w:r>
      <w:r w:rsidR="00506A53">
        <w:rPr>
          <w:rFonts w:ascii="Arial" w:hAnsi="Arial" w:cs="Arial"/>
          <w:sz w:val="20"/>
          <w:szCs w:val="20"/>
          <w:lang w:val="en-GB"/>
        </w:rPr>
        <w:instrText>ADDIN CSL_CITATION {"citationItems":[{"id":"ITEM-1","itemData":{"DOI":"10.3354/meps247249","ISBN":"0171-8630","abstract":"The composition of the PCB mixture which is transferred from mother to pup in grey seals Halichoerus grypus throughout lactation was measured in the successive compartments of transfer: maternal blubber, maternal serum, milk and pup serum. Mother-pup pairs were captured regularly between birth and weaning on the Isle of May, Scotland. The PCB profiles of the different compartments of transfer consisted mainly of congeners 153, 138, 180, 187, 170 and 101, which made up 85% of the total PCB burden. Outer blubber contained higher relative concentrations (R153) of hepta-, octa-, and nona-chlorinated congeners (higher chlorinated congeners) than inner blubber, at both early (≤5 d) and late (≥11 d) lactation. The change in the composition of the outer blubber layer between early and late lactation, while in the inner blubber, there was a slight increase in the R153 of higher chlorinated congeners at late lactation. In maternal serum, profiles changed towards having a higher proportion of higher chlorinated congeners as lactation progressed, but in milk, the PCB pattern stayed constant throughout lactation. Surprisingly, in pup serum profiles also changed towards higher R153 of higher chlorinated congeners at late lactation compared to early lactation, which was different to the pattern observed in milk. In all body compartments, higher proportions of higher chlorinated congeners were associated with higher concentrations of total PCBs. Maternal blubber and pup serum contained a higher R153 of higher chlorinated congeners than milk and, to a lesser extent, maternal serum. Thus biomagnification of the higher chlorinated congeners was recorded in pup serum.","author":[{"dropping-particle":"","family":"Debier","given":"Cathy","non-dropping-particle":"","parse-names":false,"suffix":""},{"dropping-particle":"","family":"Pomeroy","given":"Paddy P","non-dropping-particle":"","parse-names":false,"suffix":""},{"dropping-particle":"","family":"Dupont","given":"Cédric","non-dropping-particle":"","parse-names":false,"suffix":""},{"dropping-particle":"","family":"Joiris","given":"Claude","non-dropping-particle":"","parse-names":false,"suffix":""},{"dropping-particle":"","family":"Comblin","given":"Vinciane","non-dropping-particle":"","parse-names":false,"suffix":""},{"dropping-particle":"","family":"Boulenge","given":"E","non-dropping-particle":"Le","parse-names":false,"suffix":""},{"dropping-particle":"","family":"Larondelle","given":"Yvan","non-dropping-particle":"","parse-names":false,"suffix":""},{"dropping-particle":"","family":"Thome","given":"J P","non-dropping-particle":"","parse-names":false,"suffix":""},{"dropping-particle":"","family":"Boulengé","given":"Eric","non-dropping-particle":"Le","parse-names":false,"suffix":""},{"dropping-particle":"","family":"Thomé","given":"Jean-Pierre","non-dropping-particle":"","parse-names":false,"suffix":""}],"container-title":"Marine Ecology-Progress Series","id":"ITEM-1","issued":{"date-parts":[["2003"]]},"note":"From Duplicate 2 ( \n\nDynamics of PCB transfer from mother to pup during lactation in UK grey seals Halichoerus grypus: differences in PCB profile between compartments of transfer and changes during the lactation period\n\n- Debier, C; Pomeroy, P P; Dupont, C; Joiris, C; Comblin, V; Le Boulenge, E; Larondelle, Y; Thome, J P )\n\n\n\nversion papier farde D","page":"249-256","title":"Dynamics of PCB transfer from mother to pup during lactation in UK grey seals Halichoerus grypus: differences in PCB profile between compartments of transfer and changes during the lactation period","type":"article-journal","volume":"247"},"uris":["http://www.mendeley.com/documents/?uuid=0514dd30-7c24-43f9-abb0-eba9fa10950b"]}],"mendeley":{"formattedCitation":"&lt;sup&gt;17&lt;/sup&gt;","plainTextFormattedCitation":"17","previouslyFormattedCitation":"&lt;sup&gt;16&lt;/sup&gt;"},"properties":{"noteIndex":0},"schema":"https://github.com/citation-style-language/schema/raw/master/csl-citation.json"}</w:instrText>
      </w:r>
      <w:r w:rsidR="003D2E99">
        <w:rPr>
          <w:rFonts w:ascii="Arial" w:hAnsi="Arial" w:cs="Arial"/>
          <w:sz w:val="20"/>
          <w:szCs w:val="20"/>
          <w:lang w:val="en-GB"/>
        </w:rPr>
        <w:fldChar w:fldCharType="separate"/>
      </w:r>
      <w:r w:rsidR="00506A53" w:rsidRPr="00506A53">
        <w:rPr>
          <w:rFonts w:ascii="Arial" w:hAnsi="Arial" w:cs="Arial"/>
          <w:noProof/>
          <w:sz w:val="20"/>
          <w:szCs w:val="20"/>
          <w:vertAlign w:val="superscript"/>
          <w:lang w:val="en-GB"/>
        </w:rPr>
        <w:t>17</w:t>
      </w:r>
      <w:r w:rsidR="003D2E99">
        <w:rPr>
          <w:rFonts w:ascii="Arial" w:hAnsi="Arial" w:cs="Arial"/>
          <w:sz w:val="20"/>
          <w:szCs w:val="20"/>
          <w:lang w:val="en-GB"/>
        </w:rPr>
        <w:fldChar w:fldCharType="end"/>
      </w:r>
      <w:r w:rsidRPr="000D7BAC">
        <w:rPr>
          <w:rFonts w:ascii="Arial" w:hAnsi="Arial" w:cs="Arial"/>
          <w:sz w:val="20"/>
          <w:szCs w:val="20"/>
          <w:lang w:val="en-GB"/>
        </w:rPr>
        <w:t>. The transfer line temperature was kept at 290°C and the ion trap temperature was set at 250°C. The electron ionization (EI) was performed at 70 eV and the ion trap was operating in MS/MS mode. The quality control (QC) was commercial pork fat, free of the compounds of interest. The pork fat was spiked with nominal concentrations of organochlorine pesticides of 5 ng g</w:t>
      </w:r>
      <w:r w:rsidRPr="000D7BAC">
        <w:rPr>
          <w:rFonts w:ascii="Arial" w:hAnsi="Arial" w:cs="Arial"/>
          <w:sz w:val="20"/>
          <w:szCs w:val="20"/>
          <w:vertAlign w:val="superscript"/>
          <w:lang w:val="en-GB"/>
        </w:rPr>
        <w:t>-1</w:t>
      </w:r>
      <w:r w:rsidRPr="000D7BAC">
        <w:rPr>
          <w:rFonts w:ascii="Arial" w:hAnsi="Arial" w:cs="Arial"/>
          <w:sz w:val="20"/>
          <w:szCs w:val="20"/>
          <w:lang w:val="en-GB"/>
        </w:rPr>
        <w:t xml:space="preserve"> lipid weight forming the QC. The pesticide concentrations in each sample and in the QC were corrected for initial sample weight, and the percentage recovery of the </w:t>
      </w:r>
      <w:r w:rsidRPr="000D7BAC">
        <w:rPr>
          <w:rFonts w:ascii="Arial" w:hAnsi="Arial" w:cs="Arial"/>
          <w:sz w:val="20"/>
          <w:szCs w:val="20"/>
          <w:lang w:val="en-GB"/>
        </w:rPr>
        <w:lastRenderedPageBreak/>
        <w:t>surrogate PCB 112. Recovery rates ranged between 83% ± 12% and 116% ± 5% according to the pesticide in the QC. These values are in good agreement with the requirements of SANCO: 70 to 130 % of recovery (SANCO, 2014). The limit of detection (LOD) was 0.02 ng.g</w:t>
      </w:r>
      <w:r w:rsidRPr="000D7BAC">
        <w:rPr>
          <w:rFonts w:ascii="Arial" w:hAnsi="Arial" w:cs="Arial"/>
          <w:sz w:val="20"/>
          <w:szCs w:val="20"/>
          <w:vertAlign w:val="superscript"/>
          <w:lang w:val="en-GB"/>
        </w:rPr>
        <w:t>-1</w:t>
      </w:r>
      <w:r w:rsidRPr="000D7BAC">
        <w:rPr>
          <w:rFonts w:ascii="Arial" w:hAnsi="Arial" w:cs="Arial"/>
          <w:sz w:val="20"/>
          <w:szCs w:val="20"/>
          <w:lang w:val="en-GB"/>
        </w:rPr>
        <w:t xml:space="preserve"> lipid weight and the measured limit of quantification (LOQ) determined with pesticide spiked pork fat was 0.07ng.g</w:t>
      </w:r>
      <w:r w:rsidRPr="000D7BAC">
        <w:rPr>
          <w:rFonts w:ascii="Arial" w:hAnsi="Arial" w:cs="Arial"/>
          <w:sz w:val="20"/>
          <w:szCs w:val="20"/>
          <w:vertAlign w:val="superscript"/>
          <w:lang w:val="en-GB"/>
        </w:rPr>
        <w:t>-1</w:t>
      </w:r>
      <w:r w:rsidRPr="000D7BAC">
        <w:rPr>
          <w:rFonts w:ascii="Arial" w:hAnsi="Arial" w:cs="Arial"/>
          <w:sz w:val="20"/>
          <w:szCs w:val="20"/>
          <w:lang w:val="en-GB"/>
        </w:rPr>
        <w:t xml:space="preserve"> lipid weight.</w:t>
      </w:r>
    </w:p>
    <w:p w14:paraId="378A9BE7" w14:textId="77777777" w:rsidR="00802FE9" w:rsidRPr="000D7BAC" w:rsidRDefault="00802FE9" w:rsidP="00802FE9">
      <w:pPr>
        <w:spacing w:line="480" w:lineRule="auto"/>
        <w:jc w:val="both"/>
        <w:rPr>
          <w:rFonts w:ascii="Arial" w:hAnsi="Arial" w:cs="Arial"/>
          <w:sz w:val="20"/>
          <w:szCs w:val="20"/>
          <w:lang w:val="en-GB"/>
        </w:rPr>
      </w:pPr>
    </w:p>
    <w:p w14:paraId="5B8BC542" w14:textId="77777777" w:rsidR="00802FE9" w:rsidRPr="009435DD" w:rsidRDefault="00802FE9" w:rsidP="00802FE9">
      <w:pPr>
        <w:pStyle w:val="Titre3"/>
        <w:numPr>
          <w:ilvl w:val="0"/>
          <w:numId w:val="0"/>
        </w:numPr>
        <w:spacing w:before="0" w:line="480" w:lineRule="auto"/>
        <w:rPr>
          <w:rFonts w:ascii="Arial" w:hAnsi="Arial" w:cs="Arial"/>
          <w:b/>
          <w:color w:val="000000" w:themeColor="text1"/>
          <w:sz w:val="20"/>
          <w:szCs w:val="20"/>
          <w:lang w:val="en-GB"/>
        </w:rPr>
      </w:pPr>
      <w:r w:rsidRPr="009435DD">
        <w:rPr>
          <w:rFonts w:ascii="Arial" w:hAnsi="Arial" w:cs="Arial"/>
          <w:b/>
          <w:color w:val="000000" w:themeColor="text1"/>
          <w:sz w:val="20"/>
          <w:szCs w:val="20"/>
          <w:lang w:val="en-GB"/>
        </w:rPr>
        <w:t>Total mercury (T-Hg)</w:t>
      </w:r>
    </w:p>
    <w:p w14:paraId="1C1B54BD" w14:textId="73261A92" w:rsidR="00802FE9" w:rsidRPr="000D7BAC" w:rsidRDefault="00802FE9" w:rsidP="00802FE9">
      <w:pPr>
        <w:autoSpaceDE w:val="0"/>
        <w:autoSpaceDN w:val="0"/>
        <w:adjustRightInd w:val="0"/>
        <w:spacing w:line="480" w:lineRule="auto"/>
        <w:jc w:val="both"/>
        <w:rPr>
          <w:rFonts w:ascii="Arial" w:hAnsi="Arial" w:cs="Arial"/>
          <w:color w:val="000000" w:themeColor="text1"/>
          <w:sz w:val="20"/>
          <w:szCs w:val="20"/>
          <w:lang w:val="en-GB"/>
        </w:rPr>
      </w:pPr>
      <w:r w:rsidRPr="000D7BAC">
        <w:rPr>
          <w:rFonts w:ascii="Arial" w:hAnsi="Arial" w:cs="Arial"/>
          <w:color w:val="000000" w:themeColor="text1"/>
          <w:sz w:val="20"/>
          <w:szCs w:val="20"/>
          <w:lang w:val="en-GB"/>
        </w:rPr>
        <w:t xml:space="preserve">Total mercury analysis were performed on skin samples from 69 bottlenose dolphins as previously </w:t>
      </w:r>
      <w:r w:rsidR="003D2E99">
        <w:rPr>
          <w:rFonts w:ascii="Arial" w:hAnsi="Arial" w:cs="Arial"/>
          <w:color w:val="000000" w:themeColor="text1"/>
          <w:sz w:val="20"/>
          <w:szCs w:val="20"/>
          <w:lang w:val="en-GB"/>
        </w:rPr>
        <w:t xml:space="preserve">described </w:t>
      </w:r>
      <w:r w:rsidR="003D2E99">
        <w:rPr>
          <w:rFonts w:ascii="Arial" w:hAnsi="Arial" w:cs="Arial"/>
          <w:color w:val="000000" w:themeColor="text1"/>
          <w:sz w:val="20"/>
          <w:szCs w:val="20"/>
          <w:lang w:val="en-GB"/>
        </w:rPr>
        <w:fldChar w:fldCharType="begin" w:fldLock="1"/>
      </w:r>
      <w:r w:rsidR="00FC6B5E">
        <w:rPr>
          <w:rFonts w:ascii="Arial" w:hAnsi="Arial" w:cs="Arial"/>
          <w:color w:val="000000" w:themeColor="text1"/>
          <w:sz w:val="20"/>
          <w:szCs w:val="20"/>
          <w:lang w:val="en-GB"/>
        </w:rPr>
        <w:instrText>ADDIN CSL_CITATION {"citationItems":[{"id":"ITEM-1","itemData":{"DOI":"10.1016/j.envpol.2016.10.005","ISSN":"18736424","abstract":"The bottlenose dolphin (Tursiops truncatus) is an upper trophic level predator and the most common cetacean species found in nearshore waters of southern Florida, including the Lower Florida Keys (LFK) and the Florida Coastal Everglades (FCE). The objective of this study was to assess contamination levels of total mercury (T-Hg) in skin and persistent organic pollutants (PCBs, PBDEs, DDXs, HCHs, HCB, Σ PCDD/Fs and Σ DL-PCBs) in blubber samples of bottlenose dolphins from LFK (n = 27) and FCE (n = 24). PCBs were the major class of compounds found in bottlenose dolphin blubber and were higher in individuals from LFK (Σ 6 PCBs LFK males: 13,421 ± 7730 ng g−1lipids, Σ 6 PCBs LFK females: 9683 ± 19,007 ng g−1lipids) than from FCE (Σ 6 PCBs FCE males: 5638 ng g−1± 3627 lipids, Σ 6 PCBs FCE females: 1427 ± 908 ng g−1lipids). These levels were lower than previously published data from the southeastern USA. The Σ DL-PCBs were the most prevalent pollutants of dioxin and dioxin like compounds (Σ DL-PCBs LFK: 739 ng g−1lipids, Σ DL-PCBs FCE: 183 ng g−1lipids) since PCDD/F concentrations were low for both locations (mean 0.1 ng g−1lipids for LFK and FCE dolphins). The toxicity equivalences of PCDD/Fs and DL-PCBs expressed as TEQ in LFK and FCE dolphins is mainly expressed by DL-PCBs (81% LFK - 65% FCE). T-Hg concentrations in skin were significantly higher in FCE (FCE median 9314 ng g−1dw) compared to LFK dolphins (LFK median 2941 ng g−1dw). These concentrations are the highest recorded in bottlenose dolphins in the southeastern USA, and may be explained, at least partially, by the biogeochemistry of the Everglades and mangrove sedimentary habitats that create favourable conditions for the retention of mercury and make it available at high concentrations for aquatic predators.","author":[{"dropping-particle":"","family":"Damseaux","given":"France","non-dropping-particle":"","parse-names":false,"suffix":""},{"dropping-particle":"","family":"Kiszka","given":"Jeremy J.","non-dropping-particle":"","parse-names":false,"suffix":""},{"dropping-particle":"","family":"Heithaus","given":"Michael R.","non-dropping-particle":"","parse-names":false,"suffix":""},{"dropping-particle":"","family":"Scholl","given":"George","non-dropping-particle":"","parse-names":false,"suffix":""},{"dropping-particle":"","family":"Eppe","given":"Gauthier","non-dropping-particle":"","parse-names":false,"suffix":""},{"dropping-particle":"","family":"Thomé","given":"Jean-Pierre Pierre","non-dropping-particle":"","parse-names":false,"suffix":""},{"dropping-particle":"","family":"Lewis","given":"Jennifer","non-dropping-particle":"","parse-names":false,"suffix":""},{"dropping-particle":"","family":"Hao","given":"Wensi","non-dropping-particle":"","parse-names":false,"suffix":""},{"dropping-particle":"","family":"Fontaine","given":"Michaël C.","non-dropping-particle":"","parse-names":false,"suffix":""},{"dropping-particle":"","family":"Das","given":"Krishna","non-dropping-particle":"","parse-names":false,"suffix":""}],"container-title":"Environmental Pollution","id":"ITEM-1","issued":{"date-parts":[["2017","1"]]},"page":"577-587","title":"Spatial variation in the accumulation of POPs and mercury in bottlenose dolphins of the Lower Florida Keys and the coastal Everglades (South Florida)","type":"article-journal","volume":"220"},"uris":["http://www.mendeley.com/documents/?uuid=4a3be193-edb6-4d57-8f9f-3da83624c7a1"]}],"mendeley":{"formattedCitation":"&lt;sup&gt;3&lt;/sup&gt;","plainTextFormattedCitation":"3","previouslyFormattedCitation":"&lt;sup&gt;3&lt;/sup&gt;"},"properties":{"noteIndex":0},"schema":"https://github.com/citation-style-language/schema/raw/master/csl-citation.json"}</w:instrText>
      </w:r>
      <w:r w:rsidR="003D2E99">
        <w:rPr>
          <w:rFonts w:ascii="Arial" w:hAnsi="Arial" w:cs="Arial"/>
          <w:color w:val="000000" w:themeColor="text1"/>
          <w:sz w:val="20"/>
          <w:szCs w:val="20"/>
          <w:lang w:val="en-GB"/>
        </w:rPr>
        <w:fldChar w:fldCharType="separate"/>
      </w:r>
      <w:r w:rsidR="00FC6B5E" w:rsidRPr="00FC6B5E">
        <w:rPr>
          <w:rFonts w:ascii="Arial" w:hAnsi="Arial" w:cs="Arial"/>
          <w:noProof/>
          <w:color w:val="000000" w:themeColor="text1"/>
          <w:sz w:val="20"/>
          <w:szCs w:val="20"/>
          <w:vertAlign w:val="superscript"/>
          <w:lang w:val="en-GB"/>
        </w:rPr>
        <w:t>3</w:t>
      </w:r>
      <w:r w:rsidR="003D2E99">
        <w:rPr>
          <w:rFonts w:ascii="Arial" w:hAnsi="Arial" w:cs="Arial"/>
          <w:color w:val="000000" w:themeColor="text1"/>
          <w:sz w:val="20"/>
          <w:szCs w:val="20"/>
          <w:lang w:val="en-GB"/>
        </w:rPr>
        <w:fldChar w:fldCharType="end"/>
      </w:r>
      <w:r w:rsidRPr="000D7BAC">
        <w:rPr>
          <w:rFonts w:ascii="Arial" w:hAnsi="Arial" w:cs="Arial"/>
          <w:color w:val="000000" w:themeColor="text1"/>
          <w:sz w:val="20"/>
          <w:szCs w:val="20"/>
          <w:lang w:val="en-GB"/>
        </w:rPr>
        <w:t>. Briefly, T-Hg concentrations were measured by atomic absorption spectroscopy (AAS, Direct Mercury Analyzer DMA-80 Milestone) according to the US EPA standard method 7473. T-Hg concentrations are expressed in ng.g</w:t>
      </w:r>
      <w:r w:rsidRPr="000D7BAC">
        <w:rPr>
          <w:rFonts w:ascii="Arial" w:hAnsi="Arial" w:cs="Arial"/>
          <w:color w:val="000000" w:themeColor="text1"/>
          <w:sz w:val="20"/>
          <w:szCs w:val="20"/>
          <w:vertAlign w:val="superscript"/>
          <w:lang w:val="en-GB"/>
        </w:rPr>
        <w:t>-1</w:t>
      </w:r>
      <w:r w:rsidRPr="000D7BAC">
        <w:rPr>
          <w:rFonts w:ascii="Arial" w:hAnsi="Arial" w:cs="Arial"/>
          <w:color w:val="000000" w:themeColor="text1"/>
          <w:sz w:val="20"/>
          <w:szCs w:val="20"/>
          <w:lang w:val="en-GB"/>
        </w:rPr>
        <w:t xml:space="preserve"> dry weight</w:t>
      </w:r>
      <w:r w:rsidR="00C84FD1">
        <w:rPr>
          <w:rFonts w:ascii="Arial" w:hAnsi="Arial" w:cs="Arial"/>
          <w:color w:val="000000" w:themeColor="text1"/>
          <w:sz w:val="20"/>
          <w:szCs w:val="20"/>
          <w:lang w:val="en-GB"/>
        </w:rPr>
        <w:t xml:space="preserve"> (dw)</w:t>
      </w:r>
      <w:r w:rsidRPr="000D7BAC">
        <w:rPr>
          <w:rFonts w:ascii="Arial" w:hAnsi="Arial" w:cs="Arial"/>
          <w:color w:val="000000" w:themeColor="text1"/>
          <w:sz w:val="20"/>
          <w:szCs w:val="20"/>
          <w:lang w:val="en-GB"/>
        </w:rPr>
        <w:t>.</w:t>
      </w:r>
    </w:p>
    <w:p w14:paraId="5F8E8F61" w14:textId="77777777" w:rsidR="00802FE9" w:rsidRPr="000D7BAC" w:rsidRDefault="00802FE9" w:rsidP="00802FE9">
      <w:pPr>
        <w:spacing w:line="480" w:lineRule="auto"/>
        <w:jc w:val="both"/>
        <w:rPr>
          <w:rFonts w:ascii="Arial" w:hAnsi="Arial" w:cs="Arial"/>
          <w:sz w:val="20"/>
          <w:szCs w:val="20"/>
          <w:lang w:val="en-GB"/>
        </w:rPr>
      </w:pPr>
    </w:p>
    <w:p w14:paraId="7B1F6955" w14:textId="77777777" w:rsidR="00802FE9" w:rsidRPr="009435DD" w:rsidRDefault="00802FE9" w:rsidP="00802FE9">
      <w:pPr>
        <w:pStyle w:val="Titre2"/>
        <w:numPr>
          <w:ilvl w:val="0"/>
          <w:numId w:val="0"/>
        </w:numPr>
        <w:spacing w:before="0" w:line="480" w:lineRule="auto"/>
        <w:rPr>
          <w:rFonts w:ascii="Arial" w:hAnsi="Arial" w:cs="Arial"/>
          <w:b/>
          <w:color w:val="000000" w:themeColor="text1"/>
          <w:sz w:val="20"/>
          <w:szCs w:val="20"/>
          <w:lang w:val="en-GB"/>
        </w:rPr>
      </w:pPr>
      <w:r w:rsidRPr="009435DD">
        <w:rPr>
          <w:rFonts w:ascii="Arial" w:hAnsi="Arial" w:cs="Arial"/>
          <w:b/>
          <w:color w:val="000000" w:themeColor="text1"/>
          <w:sz w:val="20"/>
          <w:szCs w:val="20"/>
          <w:lang w:val="en-GB"/>
        </w:rPr>
        <w:t>Statistical analysis</w:t>
      </w:r>
    </w:p>
    <w:p w14:paraId="7F18CDB2" w14:textId="77777777" w:rsidR="00802FE9" w:rsidRDefault="00802FE9" w:rsidP="009435DD">
      <w:pPr>
        <w:spacing w:line="480" w:lineRule="auto"/>
        <w:jc w:val="both"/>
        <w:rPr>
          <w:rFonts w:ascii="Arial" w:hAnsi="Arial" w:cs="Arial"/>
          <w:sz w:val="20"/>
          <w:szCs w:val="20"/>
          <w:lang w:val="en-GB"/>
        </w:rPr>
      </w:pPr>
      <w:r w:rsidRPr="000D7BAC">
        <w:rPr>
          <w:rFonts w:ascii="Arial" w:hAnsi="Arial" w:cs="Arial"/>
          <w:sz w:val="20"/>
          <w:szCs w:val="20"/>
          <w:lang w:val="en-GB"/>
        </w:rPr>
        <w:t xml:space="preserve">Non-parametric statistics were used because the assumptions of normality (Shapiro test) and homoscedasticity (Bartlett test) of the data were not met, even after a log-transformation. Significant differences between contaminant concentrations in sex and marking level were assessed using Mann-Whitney </w:t>
      </w:r>
      <w:r w:rsidRPr="000D7BAC">
        <w:rPr>
          <w:rFonts w:ascii="Arial" w:hAnsi="Arial" w:cs="Arial"/>
          <w:i/>
          <w:sz w:val="20"/>
          <w:szCs w:val="20"/>
          <w:lang w:val="en-GB"/>
        </w:rPr>
        <w:t>U</w:t>
      </w:r>
      <w:r w:rsidRPr="000D7BAC">
        <w:rPr>
          <w:rFonts w:ascii="Arial" w:hAnsi="Arial" w:cs="Arial"/>
          <w:sz w:val="20"/>
          <w:szCs w:val="20"/>
          <w:lang w:val="en-GB"/>
        </w:rPr>
        <w:t xml:space="preserve"> test for comparison of two categories and Kruskal-Wallis test for greater than two categories. If a significant difference was found, the post hoc </w:t>
      </w:r>
      <w:proofErr w:type="spellStart"/>
      <w:r w:rsidRPr="000D7BAC">
        <w:rPr>
          <w:rFonts w:ascii="Arial" w:hAnsi="Arial" w:cs="Arial"/>
          <w:sz w:val="20"/>
          <w:szCs w:val="20"/>
          <w:lang w:val="en-GB"/>
        </w:rPr>
        <w:t>Nemenyi’s</w:t>
      </w:r>
      <w:proofErr w:type="spellEnd"/>
      <w:r w:rsidRPr="000D7BAC">
        <w:rPr>
          <w:rFonts w:ascii="Arial" w:hAnsi="Arial" w:cs="Arial"/>
          <w:sz w:val="20"/>
          <w:szCs w:val="20"/>
          <w:lang w:val="en-GB"/>
        </w:rPr>
        <w:t xml:space="preserve"> test was performed to identify which group is significantly different. Spearman rank correlation tests were performed to examine the potential linear association between contaminants and stable isotopes. A statistical significance level of 0.05 was applied for all tests. Statistical analyses were conducted with R studio software (version 3.2.3).</w:t>
      </w:r>
    </w:p>
    <w:p w14:paraId="7598348D" w14:textId="77777777" w:rsidR="0069649F" w:rsidRDefault="0069649F" w:rsidP="009435DD">
      <w:pPr>
        <w:spacing w:line="480" w:lineRule="auto"/>
        <w:jc w:val="both"/>
        <w:rPr>
          <w:rFonts w:ascii="Arial" w:hAnsi="Arial" w:cs="Arial"/>
          <w:sz w:val="20"/>
          <w:szCs w:val="20"/>
          <w:lang w:val="en-GB"/>
        </w:rPr>
      </w:pPr>
    </w:p>
    <w:p w14:paraId="6B24EE0C" w14:textId="77777777" w:rsidR="0069649F" w:rsidRPr="00921573" w:rsidRDefault="0069649F" w:rsidP="009435DD">
      <w:pPr>
        <w:spacing w:line="480" w:lineRule="auto"/>
        <w:jc w:val="both"/>
        <w:rPr>
          <w:rFonts w:ascii="Arial" w:hAnsi="Arial" w:cs="Arial"/>
          <w:b/>
          <w:sz w:val="20"/>
          <w:szCs w:val="20"/>
          <w:lang w:val="en-GB"/>
        </w:rPr>
      </w:pPr>
      <w:r w:rsidRPr="00921573">
        <w:rPr>
          <w:rFonts w:ascii="Arial" w:hAnsi="Arial" w:cs="Arial"/>
          <w:b/>
          <w:sz w:val="20"/>
          <w:szCs w:val="20"/>
          <w:lang w:val="en-GB"/>
        </w:rPr>
        <w:t>References</w:t>
      </w:r>
    </w:p>
    <w:p w14:paraId="20CC9F61" w14:textId="079251D4" w:rsidR="00506A53" w:rsidRPr="0053262E" w:rsidRDefault="00921573" w:rsidP="00506A53">
      <w:pPr>
        <w:widowControl w:val="0"/>
        <w:autoSpaceDE w:val="0"/>
        <w:autoSpaceDN w:val="0"/>
        <w:adjustRightInd w:val="0"/>
        <w:spacing w:line="480" w:lineRule="auto"/>
        <w:ind w:left="640" w:hanging="640"/>
        <w:rPr>
          <w:rFonts w:ascii="Arial" w:hAnsi="Arial" w:cs="Arial"/>
          <w:noProof/>
          <w:sz w:val="20"/>
          <w:lang w:val="en-US"/>
        </w:rPr>
      </w:pPr>
      <w:r>
        <w:rPr>
          <w:rFonts w:ascii="Arial" w:hAnsi="Arial" w:cs="Arial"/>
          <w:sz w:val="20"/>
          <w:szCs w:val="20"/>
          <w:lang w:val="en-GB"/>
        </w:rPr>
        <w:fldChar w:fldCharType="begin" w:fldLock="1"/>
      </w:r>
      <w:r>
        <w:rPr>
          <w:rFonts w:ascii="Arial" w:hAnsi="Arial" w:cs="Arial"/>
          <w:sz w:val="20"/>
          <w:szCs w:val="20"/>
          <w:lang w:val="en-GB"/>
        </w:rPr>
        <w:instrText xml:space="preserve">ADDIN Mendeley Bibliography CSL_BIBLIOGRAPHY </w:instrText>
      </w:r>
      <w:r>
        <w:rPr>
          <w:rFonts w:ascii="Arial" w:hAnsi="Arial" w:cs="Arial"/>
          <w:sz w:val="20"/>
          <w:szCs w:val="20"/>
          <w:lang w:val="en-GB"/>
        </w:rPr>
        <w:fldChar w:fldCharType="separate"/>
      </w:r>
      <w:r w:rsidR="00506A53" w:rsidRPr="0053262E">
        <w:rPr>
          <w:rFonts w:ascii="Arial" w:hAnsi="Arial" w:cs="Arial"/>
          <w:noProof/>
          <w:sz w:val="20"/>
          <w:lang w:val="en-US"/>
        </w:rPr>
        <w:t>1.</w:t>
      </w:r>
      <w:r w:rsidR="00506A53" w:rsidRPr="0053262E">
        <w:rPr>
          <w:rFonts w:ascii="Arial" w:hAnsi="Arial" w:cs="Arial"/>
          <w:noProof/>
          <w:sz w:val="20"/>
          <w:lang w:val="en-US"/>
        </w:rPr>
        <w:tab/>
        <w:t xml:space="preserve">Aubail, A. </w:t>
      </w:r>
      <w:r w:rsidR="00506A53" w:rsidRPr="0053262E">
        <w:rPr>
          <w:rFonts w:ascii="Arial" w:hAnsi="Arial" w:cs="Arial"/>
          <w:i/>
          <w:iCs/>
          <w:noProof/>
          <w:sz w:val="20"/>
          <w:lang w:val="en-US"/>
        </w:rPr>
        <w:t>et al.</w:t>
      </w:r>
      <w:r w:rsidR="00506A53" w:rsidRPr="0053262E">
        <w:rPr>
          <w:rFonts w:ascii="Arial" w:hAnsi="Arial" w:cs="Arial"/>
          <w:noProof/>
          <w:sz w:val="20"/>
          <w:lang w:val="en-US"/>
        </w:rPr>
        <w:t xml:space="preserve"> Use of skin and blubber tissues of small cetaceans to assess the trace element content of internal organs. </w:t>
      </w:r>
      <w:r w:rsidR="00506A53" w:rsidRPr="0053262E">
        <w:rPr>
          <w:rFonts w:ascii="Arial" w:hAnsi="Arial" w:cs="Arial"/>
          <w:i/>
          <w:iCs/>
          <w:noProof/>
          <w:sz w:val="20"/>
          <w:lang w:val="en-US"/>
        </w:rPr>
        <w:t>Mar. Pollut. Bull.</w:t>
      </w:r>
      <w:r w:rsidR="00506A53" w:rsidRPr="0053262E">
        <w:rPr>
          <w:rFonts w:ascii="Arial" w:hAnsi="Arial" w:cs="Arial"/>
          <w:noProof/>
          <w:sz w:val="20"/>
          <w:lang w:val="en-US"/>
        </w:rPr>
        <w:t xml:space="preserve"> </w:t>
      </w:r>
      <w:r w:rsidR="00506A53" w:rsidRPr="0053262E">
        <w:rPr>
          <w:rFonts w:ascii="Arial" w:hAnsi="Arial" w:cs="Arial"/>
          <w:b/>
          <w:bCs/>
          <w:noProof/>
          <w:sz w:val="20"/>
          <w:lang w:val="en-US"/>
        </w:rPr>
        <w:t>76,</w:t>
      </w:r>
      <w:r w:rsidR="00506A53" w:rsidRPr="0053262E">
        <w:rPr>
          <w:rFonts w:ascii="Arial" w:hAnsi="Arial" w:cs="Arial"/>
          <w:noProof/>
          <w:sz w:val="20"/>
          <w:lang w:val="en-US"/>
        </w:rPr>
        <w:t xml:space="preserve"> 158–169 (2013).</w:t>
      </w:r>
    </w:p>
    <w:p w14:paraId="650B185D" w14:textId="77777777" w:rsidR="00506A53" w:rsidRPr="0053262E" w:rsidRDefault="00506A53" w:rsidP="00506A53">
      <w:pPr>
        <w:widowControl w:val="0"/>
        <w:autoSpaceDE w:val="0"/>
        <w:autoSpaceDN w:val="0"/>
        <w:adjustRightInd w:val="0"/>
        <w:spacing w:line="480" w:lineRule="auto"/>
        <w:ind w:left="640" w:hanging="640"/>
        <w:rPr>
          <w:rFonts w:ascii="Arial" w:hAnsi="Arial" w:cs="Arial"/>
          <w:noProof/>
          <w:sz w:val="20"/>
          <w:lang w:val="en-US"/>
        </w:rPr>
      </w:pPr>
      <w:r w:rsidRPr="0053262E">
        <w:rPr>
          <w:rFonts w:ascii="Arial" w:hAnsi="Arial" w:cs="Arial"/>
          <w:noProof/>
          <w:sz w:val="20"/>
          <w:lang w:val="en-US"/>
        </w:rPr>
        <w:t>2.</w:t>
      </w:r>
      <w:r w:rsidRPr="0053262E">
        <w:rPr>
          <w:rFonts w:ascii="Arial" w:hAnsi="Arial" w:cs="Arial"/>
          <w:noProof/>
          <w:sz w:val="20"/>
          <w:lang w:val="en-US"/>
        </w:rPr>
        <w:tab/>
        <w:t xml:space="preserve">Frodello, J. P., Viale, D. &amp; Marchand, B. Metal concentrations in the milk and tissues of a nursing Tursiops truncatus female. </w:t>
      </w:r>
      <w:r w:rsidRPr="0053262E">
        <w:rPr>
          <w:rFonts w:ascii="Arial" w:hAnsi="Arial" w:cs="Arial"/>
          <w:i/>
          <w:iCs/>
          <w:noProof/>
          <w:sz w:val="20"/>
          <w:lang w:val="en-US"/>
        </w:rPr>
        <w:t>Mar. Pollut. Bull.</w:t>
      </w:r>
      <w:r w:rsidRPr="0053262E">
        <w:rPr>
          <w:rFonts w:ascii="Arial" w:hAnsi="Arial" w:cs="Arial"/>
          <w:noProof/>
          <w:sz w:val="20"/>
          <w:lang w:val="en-US"/>
        </w:rPr>
        <w:t xml:space="preserve"> </w:t>
      </w:r>
      <w:r w:rsidRPr="0053262E">
        <w:rPr>
          <w:rFonts w:ascii="Arial" w:hAnsi="Arial" w:cs="Arial"/>
          <w:b/>
          <w:bCs/>
          <w:noProof/>
          <w:sz w:val="20"/>
          <w:lang w:val="en-US"/>
        </w:rPr>
        <w:t>44,</w:t>
      </w:r>
      <w:r w:rsidRPr="0053262E">
        <w:rPr>
          <w:rFonts w:ascii="Arial" w:hAnsi="Arial" w:cs="Arial"/>
          <w:noProof/>
          <w:sz w:val="20"/>
          <w:lang w:val="en-US"/>
        </w:rPr>
        <w:t xml:space="preserve"> 551–576 (2002).</w:t>
      </w:r>
    </w:p>
    <w:p w14:paraId="75B2969A" w14:textId="77777777" w:rsidR="00506A53" w:rsidRPr="0053262E" w:rsidRDefault="00506A53" w:rsidP="00506A53">
      <w:pPr>
        <w:widowControl w:val="0"/>
        <w:autoSpaceDE w:val="0"/>
        <w:autoSpaceDN w:val="0"/>
        <w:adjustRightInd w:val="0"/>
        <w:spacing w:line="480" w:lineRule="auto"/>
        <w:ind w:left="640" w:hanging="640"/>
        <w:rPr>
          <w:rFonts w:ascii="Arial" w:hAnsi="Arial" w:cs="Arial"/>
          <w:noProof/>
          <w:sz w:val="20"/>
          <w:lang w:val="en-US"/>
        </w:rPr>
      </w:pPr>
      <w:r w:rsidRPr="0053262E">
        <w:rPr>
          <w:rFonts w:ascii="Arial" w:hAnsi="Arial" w:cs="Arial"/>
          <w:noProof/>
          <w:sz w:val="20"/>
          <w:lang w:val="en-US"/>
        </w:rPr>
        <w:t>3.</w:t>
      </w:r>
      <w:r w:rsidRPr="0053262E">
        <w:rPr>
          <w:rFonts w:ascii="Arial" w:hAnsi="Arial" w:cs="Arial"/>
          <w:noProof/>
          <w:sz w:val="20"/>
          <w:lang w:val="en-US"/>
        </w:rPr>
        <w:tab/>
        <w:t xml:space="preserve">Damseaux, F. </w:t>
      </w:r>
      <w:r w:rsidRPr="0053262E">
        <w:rPr>
          <w:rFonts w:ascii="Arial" w:hAnsi="Arial" w:cs="Arial"/>
          <w:i/>
          <w:iCs/>
          <w:noProof/>
          <w:sz w:val="20"/>
          <w:lang w:val="en-US"/>
        </w:rPr>
        <w:t>et al.</w:t>
      </w:r>
      <w:r w:rsidRPr="0053262E">
        <w:rPr>
          <w:rFonts w:ascii="Arial" w:hAnsi="Arial" w:cs="Arial"/>
          <w:noProof/>
          <w:sz w:val="20"/>
          <w:lang w:val="en-US"/>
        </w:rPr>
        <w:t xml:space="preserve"> Spatial variation in the accumulation of POPs and mercury in bottlenose dolphins of the Lower Florida Keys and the coastal Everglades (South Florida). </w:t>
      </w:r>
      <w:r w:rsidRPr="0053262E">
        <w:rPr>
          <w:rFonts w:ascii="Arial" w:hAnsi="Arial" w:cs="Arial"/>
          <w:i/>
          <w:iCs/>
          <w:noProof/>
          <w:sz w:val="20"/>
          <w:lang w:val="en-US"/>
        </w:rPr>
        <w:t>Environ. Pollut.</w:t>
      </w:r>
      <w:r w:rsidRPr="0053262E">
        <w:rPr>
          <w:rFonts w:ascii="Arial" w:hAnsi="Arial" w:cs="Arial"/>
          <w:noProof/>
          <w:sz w:val="20"/>
          <w:lang w:val="en-US"/>
        </w:rPr>
        <w:t xml:space="preserve"> </w:t>
      </w:r>
      <w:r w:rsidRPr="0053262E">
        <w:rPr>
          <w:rFonts w:ascii="Arial" w:hAnsi="Arial" w:cs="Arial"/>
          <w:b/>
          <w:bCs/>
          <w:noProof/>
          <w:sz w:val="20"/>
          <w:lang w:val="en-US"/>
        </w:rPr>
        <w:t>220,</w:t>
      </w:r>
      <w:r w:rsidRPr="0053262E">
        <w:rPr>
          <w:rFonts w:ascii="Arial" w:hAnsi="Arial" w:cs="Arial"/>
          <w:noProof/>
          <w:sz w:val="20"/>
          <w:lang w:val="en-US"/>
        </w:rPr>
        <w:t xml:space="preserve"> 577–587 (2017).</w:t>
      </w:r>
    </w:p>
    <w:p w14:paraId="5F488496" w14:textId="77777777" w:rsidR="00506A53" w:rsidRPr="0053262E" w:rsidRDefault="00506A53" w:rsidP="00506A53">
      <w:pPr>
        <w:widowControl w:val="0"/>
        <w:autoSpaceDE w:val="0"/>
        <w:autoSpaceDN w:val="0"/>
        <w:adjustRightInd w:val="0"/>
        <w:spacing w:line="480" w:lineRule="auto"/>
        <w:ind w:left="640" w:hanging="640"/>
        <w:rPr>
          <w:rFonts w:ascii="Arial" w:hAnsi="Arial" w:cs="Arial"/>
          <w:noProof/>
          <w:sz w:val="20"/>
          <w:lang w:val="en-US"/>
        </w:rPr>
      </w:pPr>
      <w:r w:rsidRPr="0053262E">
        <w:rPr>
          <w:rFonts w:ascii="Arial" w:hAnsi="Arial" w:cs="Arial"/>
          <w:noProof/>
          <w:sz w:val="20"/>
          <w:lang w:val="en-US"/>
        </w:rPr>
        <w:lastRenderedPageBreak/>
        <w:t>4.</w:t>
      </w:r>
      <w:r w:rsidRPr="0053262E">
        <w:rPr>
          <w:rFonts w:ascii="Arial" w:hAnsi="Arial" w:cs="Arial"/>
          <w:noProof/>
          <w:sz w:val="20"/>
          <w:lang w:val="en-US"/>
        </w:rPr>
        <w:tab/>
        <w:t xml:space="preserve">Stavros, H.-C. W. </w:t>
      </w:r>
      <w:r w:rsidRPr="0053262E">
        <w:rPr>
          <w:rFonts w:ascii="Arial" w:hAnsi="Arial" w:cs="Arial"/>
          <w:i/>
          <w:iCs/>
          <w:noProof/>
          <w:sz w:val="20"/>
          <w:lang w:val="en-US"/>
        </w:rPr>
        <w:t>et al.</w:t>
      </w:r>
      <w:r w:rsidRPr="0053262E">
        <w:rPr>
          <w:rFonts w:ascii="Arial" w:hAnsi="Arial" w:cs="Arial"/>
          <w:noProof/>
          <w:sz w:val="20"/>
          <w:lang w:val="en-US"/>
        </w:rPr>
        <w:t xml:space="preserve"> Correlation and toxicological inference of trace elements in tissues from stranded and free-ranging bottlenose dolphins (Tursiops truncatus). </w:t>
      </w:r>
      <w:r w:rsidRPr="0053262E">
        <w:rPr>
          <w:rFonts w:ascii="Arial" w:hAnsi="Arial" w:cs="Arial"/>
          <w:i/>
          <w:iCs/>
          <w:noProof/>
          <w:sz w:val="20"/>
          <w:lang w:val="en-US"/>
        </w:rPr>
        <w:t>Chemosphere</w:t>
      </w:r>
      <w:r w:rsidRPr="0053262E">
        <w:rPr>
          <w:rFonts w:ascii="Arial" w:hAnsi="Arial" w:cs="Arial"/>
          <w:noProof/>
          <w:sz w:val="20"/>
          <w:lang w:val="en-US"/>
        </w:rPr>
        <w:t xml:space="preserve"> </w:t>
      </w:r>
      <w:r w:rsidRPr="0053262E">
        <w:rPr>
          <w:rFonts w:ascii="Arial" w:hAnsi="Arial" w:cs="Arial"/>
          <w:b/>
          <w:bCs/>
          <w:noProof/>
          <w:sz w:val="20"/>
          <w:lang w:val="en-US"/>
        </w:rPr>
        <w:t>82,</w:t>
      </w:r>
      <w:r w:rsidRPr="0053262E">
        <w:rPr>
          <w:rFonts w:ascii="Arial" w:hAnsi="Arial" w:cs="Arial"/>
          <w:noProof/>
          <w:sz w:val="20"/>
          <w:lang w:val="en-US"/>
        </w:rPr>
        <w:t xml:space="preserve"> 1649–1661 (2011).</w:t>
      </w:r>
    </w:p>
    <w:p w14:paraId="7C134508" w14:textId="77777777" w:rsidR="00506A53" w:rsidRPr="0053262E" w:rsidRDefault="00506A53" w:rsidP="00506A53">
      <w:pPr>
        <w:widowControl w:val="0"/>
        <w:autoSpaceDE w:val="0"/>
        <w:autoSpaceDN w:val="0"/>
        <w:adjustRightInd w:val="0"/>
        <w:spacing w:line="480" w:lineRule="auto"/>
        <w:ind w:left="640" w:hanging="640"/>
        <w:rPr>
          <w:rFonts w:ascii="Arial" w:hAnsi="Arial" w:cs="Arial"/>
          <w:noProof/>
          <w:sz w:val="20"/>
          <w:lang w:val="en-US"/>
        </w:rPr>
      </w:pPr>
      <w:r w:rsidRPr="0053262E">
        <w:rPr>
          <w:rFonts w:ascii="Arial" w:hAnsi="Arial" w:cs="Arial"/>
          <w:noProof/>
          <w:sz w:val="20"/>
          <w:lang w:val="en-US"/>
        </w:rPr>
        <w:t>5.</w:t>
      </w:r>
      <w:r w:rsidRPr="0053262E">
        <w:rPr>
          <w:rFonts w:ascii="Arial" w:hAnsi="Arial" w:cs="Arial"/>
          <w:noProof/>
          <w:sz w:val="20"/>
          <w:lang w:val="en-US"/>
        </w:rPr>
        <w:tab/>
        <w:t xml:space="preserve">Woshner, V. </w:t>
      </w:r>
      <w:r w:rsidRPr="0053262E">
        <w:rPr>
          <w:rFonts w:ascii="Arial" w:hAnsi="Arial" w:cs="Arial"/>
          <w:i/>
          <w:iCs/>
          <w:noProof/>
          <w:sz w:val="20"/>
          <w:lang w:val="en-US"/>
        </w:rPr>
        <w:t>et al.</w:t>
      </w:r>
      <w:r w:rsidRPr="0053262E">
        <w:rPr>
          <w:rFonts w:ascii="Arial" w:hAnsi="Arial" w:cs="Arial"/>
          <w:noProof/>
          <w:sz w:val="20"/>
          <w:lang w:val="en-US"/>
        </w:rPr>
        <w:t xml:space="preserve"> Mercury and selenium in blood and epidermis of bottlenose dolphins (Tursiops truncatus) from sarasota bay, FL: Interaction and relevance to life history and hematologic parameters. </w:t>
      </w:r>
      <w:r w:rsidRPr="0053262E">
        <w:rPr>
          <w:rFonts w:ascii="Arial" w:hAnsi="Arial" w:cs="Arial"/>
          <w:i/>
          <w:iCs/>
          <w:noProof/>
          <w:sz w:val="20"/>
          <w:lang w:val="en-US"/>
        </w:rPr>
        <w:t>Ecohealth</w:t>
      </w:r>
      <w:r w:rsidRPr="0053262E">
        <w:rPr>
          <w:rFonts w:ascii="Arial" w:hAnsi="Arial" w:cs="Arial"/>
          <w:noProof/>
          <w:sz w:val="20"/>
          <w:lang w:val="en-US"/>
        </w:rPr>
        <w:t xml:space="preserve"> </w:t>
      </w:r>
      <w:r w:rsidRPr="0053262E">
        <w:rPr>
          <w:rFonts w:ascii="Arial" w:hAnsi="Arial" w:cs="Arial"/>
          <w:b/>
          <w:bCs/>
          <w:noProof/>
          <w:sz w:val="20"/>
          <w:lang w:val="en-US"/>
        </w:rPr>
        <w:t>5,</w:t>
      </w:r>
      <w:r w:rsidRPr="0053262E">
        <w:rPr>
          <w:rFonts w:ascii="Arial" w:hAnsi="Arial" w:cs="Arial"/>
          <w:noProof/>
          <w:sz w:val="20"/>
          <w:lang w:val="en-US"/>
        </w:rPr>
        <w:t xml:space="preserve"> 360–370 (2008).</w:t>
      </w:r>
    </w:p>
    <w:p w14:paraId="0A4C3C3F" w14:textId="77777777" w:rsidR="00506A53" w:rsidRPr="0053262E" w:rsidRDefault="00506A53" w:rsidP="00506A53">
      <w:pPr>
        <w:widowControl w:val="0"/>
        <w:autoSpaceDE w:val="0"/>
        <w:autoSpaceDN w:val="0"/>
        <w:adjustRightInd w:val="0"/>
        <w:spacing w:line="480" w:lineRule="auto"/>
        <w:ind w:left="640" w:hanging="640"/>
        <w:rPr>
          <w:rFonts w:ascii="Arial" w:hAnsi="Arial" w:cs="Arial"/>
          <w:noProof/>
          <w:sz w:val="20"/>
          <w:lang w:val="en-US"/>
        </w:rPr>
      </w:pPr>
      <w:r w:rsidRPr="0053262E">
        <w:rPr>
          <w:rFonts w:ascii="Arial" w:hAnsi="Arial" w:cs="Arial"/>
          <w:noProof/>
          <w:sz w:val="20"/>
          <w:lang w:val="en-US"/>
        </w:rPr>
        <w:t>6.</w:t>
      </w:r>
      <w:r w:rsidRPr="0053262E">
        <w:rPr>
          <w:rFonts w:ascii="Arial" w:hAnsi="Arial" w:cs="Arial"/>
          <w:noProof/>
          <w:sz w:val="20"/>
          <w:lang w:val="en-US"/>
        </w:rPr>
        <w:tab/>
        <w:t xml:space="preserve">Stavros, H.-C. W., Bossart, G. D., Hulsey, T. C. &amp; Fair, P. A. Trace element concentrations in skin of free-ranging bottlenose dolphins (Tursiops truncatus) from the southeast Atlantic coast. </w:t>
      </w:r>
      <w:r w:rsidRPr="0053262E">
        <w:rPr>
          <w:rFonts w:ascii="Arial" w:hAnsi="Arial" w:cs="Arial"/>
          <w:i/>
          <w:iCs/>
          <w:noProof/>
          <w:sz w:val="20"/>
          <w:lang w:val="en-US"/>
        </w:rPr>
        <w:t>Sci. Total Environ.</w:t>
      </w:r>
      <w:r w:rsidRPr="0053262E">
        <w:rPr>
          <w:rFonts w:ascii="Arial" w:hAnsi="Arial" w:cs="Arial"/>
          <w:noProof/>
          <w:sz w:val="20"/>
          <w:lang w:val="en-US"/>
        </w:rPr>
        <w:t xml:space="preserve"> </w:t>
      </w:r>
      <w:r w:rsidRPr="0053262E">
        <w:rPr>
          <w:rFonts w:ascii="Arial" w:hAnsi="Arial" w:cs="Arial"/>
          <w:b/>
          <w:bCs/>
          <w:noProof/>
          <w:sz w:val="20"/>
          <w:lang w:val="en-US"/>
        </w:rPr>
        <w:t>388,</w:t>
      </w:r>
      <w:r w:rsidRPr="0053262E">
        <w:rPr>
          <w:rFonts w:ascii="Arial" w:hAnsi="Arial" w:cs="Arial"/>
          <w:noProof/>
          <w:sz w:val="20"/>
          <w:lang w:val="en-US"/>
        </w:rPr>
        <w:t xml:space="preserve"> 300–315 (2007).</w:t>
      </w:r>
    </w:p>
    <w:p w14:paraId="29AFE593" w14:textId="77777777" w:rsidR="00506A53" w:rsidRPr="0053262E" w:rsidRDefault="00506A53" w:rsidP="00506A53">
      <w:pPr>
        <w:widowControl w:val="0"/>
        <w:autoSpaceDE w:val="0"/>
        <w:autoSpaceDN w:val="0"/>
        <w:adjustRightInd w:val="0"/>
        <w:spacing w:line="480" w:lineRule="auto"/>
        <w:ind w:left="640" w:hanging="640"/>
        <w:rPr>
          <w:rFonts w:ascii="Arial" w:hAnsi="Arial" w:cs="Arial"/>
          <w:noProof/>
          <w:sz w:val="20"/>
          <w:lang w:val="en-US"/>
        </w:rPr>
      </w:pPr>
      <w:r w:rsidRPr="0053262E">
        <w:rPr>
          <w:rFonts w:ascii="Arial" w:hAnsi="Arial" w:cs="Arial"/>
          <w:noProof/>
          <w:sz w:val="20"/>
          <w:lang w:val="en-US"/>
        </w:rPr>
        <w:t>7.</w:t>
      </w:r>
      <w:r w:rsidRPr="0053262E">
        <w:rPr>
          <w:rFonts w:ascii="Arial" w:hAnsi="Arial" w:cs="Arial"/>
          <w:noProof/>
          <w:sz w:val="20"/>
          <w:lang w:val="en-US"/>
        </w:rPr>
        <w:tab/>
        <w:t xml:space="preserve">Hong, Y. S., Hunter, S., Clayton, L. a, Rifkin, E. &amp; Bouwer, E. J. Assessment of mercury and selenium concentrations in captive bottlenose dolphin’s (Tursiops truncatus) diet fish, blood, and tissue. </w:t>
      </w:r>
      <w:r w:rsidRPr="0053262E">
        <w:rPr>
          <w:rFonts w:ascii="Arial" w:hAnsi="Arial" w:cs="Arial"/>
          <w:i/>
          <w:iCs/>
          <w:noProof/>
          <w:sz w:val="20"/>
          <w:lang w:val="en-US"/>
        </w:rPr>
        <w:t>Sci. Total Environ.</w:t>
      </w:r>
      <w:r w:rsidRPr="0053262E">
        <w:rPr>
          <w:rFonts w:ascii="Arial" w:hAnsi="Arial" w:cs="Arial"/>
          <w:noProof/>
          <w:sz w:val="20"/>
          <w:lang w:val="en-US"/>
        </w:rPr>
        <w:t xml:space="preserve"> </w:t>
      </w:r>
      <w:r w:rsidRPr="0053262E">
        <w:rPr>
          <w:rFonts w:ascii="Arial" w:hAnsi="Arial" w:cs="Arial"/>
          <w:b/>
          <w:bCs/>
          <w:noProof/>
          <w:sz w:val="20"/>
          <w:lang w:val="en-US"/>
        </w:rPr>
        <w:t>414,</w:t>
      </w:r>
      <w:r w:rsidRPr="0053262E">
        <w:rPr>
          <w:rFonts w:ascii="Arial" w:hAnsi="Arial" w:cs="Arial"/>
          <w:noProof/>
          <w:sz w:val="20"/>
          <w:lang w:val="en-US"/>
        </w:rPr>
        <w:t xml:space="preserve"> 220–6 (2012).</w:t>
      </w:r>
    </w:p>
    <w:p w14:paraId="5C070414" w14:textId="77777777" w:rsidR="00506A53" w:rsidRPr="0053262E" w:rsidRDefault="00506A53" w:rsidP="00506A53">
      <w:pPr>
        <w:widowControl w:val="0"/>
        <w:autoSpaceDE w:val="0"/>
        <w:autoSpaceDN w:val="0"/>
        <w:adjustRightInd w:val="0"/>
        <w:spacing w:line="480" w:lineRule="auto"/>
        <w:ind w:left="640" w:hanging="640"/>
        <w:rPr>
          <w:rFonts w:ascii="Arial" w:hAnsi="Arial" w:cs="Arial"/>
          <w:noProof/>
          <w:sz w:val="20"/>
          <w:lang w:val="en-US"/>
        </w:rPr>
      </w:pPr>
      <w:r w:rsidRPr="0053262E">
        <w:rPr>
          <w:rFonts w:ascii="Arial" w:hAnsi="Arial" w:cs="Arial"/>
          <w:noProof/>
          <w:sz w:val="20"/>
          <w:lang w:val="en-US"/>
        </w:rPr>
        <w:t>8.</w:t>
      </w:r>
      <w:r w:rsidRPr="0053262E">
        <w:rPr>
          <w:rFonts w:ascii="Arial" w:hAnsi="Arial" w:cs="Arial"/>
          <w:noProof/>
          <w:sz w:val="20"/>
          <w:lang w:val="en-US"/>
        </w:rPr>
        <w:tab/>
        <w:t xml:space="preserve">Sakamoto, M. </w:t>
      </w:r>
      <w:r w:rsidRPr="0053262E">
        <w:rPr>
          <w:rFonts w:ascii="Arial" w:hAnsi="Arial" w:cs="Arial"/>
          <w:i/>
          <w:iCs/>
          <w:noProof/>
          <w:sz w:val="20"/>
          <w:lang w:val="en-US"/>
        </w:rPr>
        <w:t>et al.</w:t>
      </w:r>
      <w:r w:rsidRPr="0053262E">
        <w:rPr>
          <w:rFonts w:ascii="Arial" w:hAnsi="Arial" w:cs="Arial"/>
          <w:noProof/>
          <w:sz w:val="20"/>
          <w:lang w:val="en-US"/>
        </w:rPr>
        <w:t xml:space="preserve"> Mercury speciation and selenium in toothed-whale muscles. </w:t>
      </w:r>
      <w:r w:rsidRPr="0053262E">
        <w:rPr>
          <w:rFonts w:ascii="Arial" w:hAnsi="Arial" w:cs="Arial"/>
          <w:i/>
          <w:iCs/>
          <w:noProof/>
          <w:sz w:val="20"/>
          <w:lang w:val="en-US"/>
        </w:rPr>
        <w:t>Environ. Res.</w:t>
      </w:r>
      <w:r w:rsidRPr="0053262E">
        <w:rPr>
          <w:rFonts w:ascii="Arial" w:hAnsi="Arial" w:cs="Arial"/>
          <w:noProof/>
          <w:sz w:val="20"/>
          <w:lang w:val="en-US"/>
        </w:rPr>
        <w:t xml:space="preserve"> </w:t>
      </w:r>
      <w:r w:rsidRPr="0053262E">
        <w:rPr>
          <w:rFonts w:ascii="Arial" w:hAnsi="Arial" w:cs="Arial"/>
          <w:b/>
          <w:bCs/>
          <w:noProof/>
          <w:sz w:val="20"/>
          <w:lang w:val="en-US"/>
        </w:rPr>
        <w:t>143,</w:t>
      </w:r>
      <w:r w:rsidRPr="0053262E">
        <w:rPr>
          <w:rFonts w:ascii="Arial" w:hAnsi="Arial" w:cs="Arial"/>
          <w:noProof/>
          <w:sz w:val="20"/>
          <w:lang w:val="en-US"/>
        </w:rPr>
        <w:t xml:space="preserve"> 55–61 (2015).</w:t>
      </w:r>
    </w:p>
    <w:p w14:paraId="14345EA4" w14:textId="77777777" w:rsidR="00506A53" w:rsidRPr="0053262E" w:rsidRDefault="00506A53" w:rsidP="00506A53">
      <w:pPr>
        <w:widowControl w:val="0"/>
        <w:autoSpaceDE w:val="0"/>
        <w:autoSpaceDN w:val="0"/>
        <w:adjustRightInd w:val="0"/>
        <w:spacing w:line="480" w:lineRule="auto"/>
        <w:ind w:left="640" w:hanging="640"/>
        <w:rPr>
          <w:rFonts w:ascii="Arial" w:hAnsi="Arial" w:cs="Arial"/>
          <w:noProof/>
          <w:sz w:val="20"/>
          <w:lang w:val="en-US"/>
        </w:rPr>
      </w:pPr>
      <w:r w:rsidRPr="0053262E">
        <w:rPr>
          <w:rFonts w:ascii="Arial" w:hAnsi="Arial" w:cs="Arial"/>
          <w:noProof/>
          <w:sz w:val="20"/>
          <w:lang w:val="en-US"/>
        </w:rPr>
        <w:t>9.</w:t>
      </w:r>
      <w:r w:rsidRPr="0053262E">
        <w:rPr>
          <w:rFonts w:ascii="Arial" w:hAnsi="Arial" w:cs="Arial"/>
          <w:noProof/>
          <w:sz w:val="20"/>
          <w:lang w:val="en-US"/>
        </w:rPr>
        <w:tab/>
        <w:t xml:space="preserve">Dirtu, A. C. </w:t>
      </w:r>
      <w:r w:rsidRPr="0053262E">
        <w:rPr>
          <w:rFonts w:ascii="Arial" w:hAnsi="Arial" w:cs="Arial"/>
          <w:i/>
          <w:iCs/>
          <w:noProof/>
          <w:sz w:val="20"/>
          <w:lang w:val="en-US"/>
        </w:rPr>
        <w:t>et al.</w:t>
      </w:r>
      <w:r w:rsidRPr="0053262E">
        <w:rPr>
          <w:rFonts w:ascii="Arial" w:hAnsi="Arial" w:cs="Arial"/>
          <w:noProof/>
          <w:sz w:val="20"/>
          <w:lang w:val="en-US"/>
        </w:rPr>
        <w:t xml:space="preserve"> Contrasted accumulation patterns of persistent organic pollutants and mercury in sympatric tropical dolphins from the south-western Indian Ocean. </w:t>
      </w:r>
      <w:r w:rsidRPr="0053262E">
        <w:rPr>
          <w:rFonts w:ascii="Arial" w:hAnsi="Arial" w:cs="Arial"/>
          <w:i/>
          <w:iCs/>
          <w:noProof/>
          <w:sz w:val="20"/>
          <w:lang w:val="en-US"/>
        </w:rPr>
        <w:t>Environ. Res.</w:t>
      </w:r>
      <w:r w:rsidRPr="0053262E">
        <w:rPr>
          <w:rFonts w:ascii="Arial" w:hAnsi="Arial" w:cs="Arial"/>
          <w:noProof/>
          <w:sz w:val="20"/>
          <w:lang w:val="en-US"/>
        </w:rPr>
        <w:t xml:space="preserve"> </w:t>
      </w:r>
      <w:r w:rsidRPr="0053262E">
        <w:rPr>
          <w:rFonts w:ascii="Arial" w:hAnsi="Arial" w:cs="Arial"/>
          <w:b/>
          <w:bCs/>
          <w:noProof/>
          <w:sz w:val="20"/>
          <w:lang w:val="en-US"/>
        </w:rPr>
        <w:t>146,</w:t>
      </w:r>
      <w:r w:rsidRPr="0053262E">
        <w:rPr>
          <w:rFonts w:ascii="Arial" w:hAnsi="Arial" w:cs="Arial"/>
          <w:noProof/>
          <w:sz w:val="20"/>
          <w:lang w:val="en-US"/>
        </w:rPr>
        <w:t xml:space="preserve"> 263–273 (2016).</w:t>
      </w:r>
    </w:p>
    <w:p w14:paraId="381F7838" w14:textId="77777777" w:rsidR="00506A53" w:rsidRPr="0053262E" w:rsidRDefault="00506A53" w:rsidP="00506A53">
      <w:pPr>
        <w:widowControl w:val="0"/>
        <w:autoSpaceDE w:val="0"/>
        <w:autoSpaceDN w:val="0"/>
        <w:adjustRightInd w:val="0"/>
        <w:spacing w:line="480" w:lineRule="auto"/>
        <w:ind w:left="640" w:hanging="640"/>
        <w:rPr>
          <w:rFonts w:ascii="Arial" w:hAnsi="Arial" w:cs="Arial"/>
          <w:noProof/>
          <w:sz w:val="20"/>
          <w:lang w:val="en-US"/>
        </w:rPr>
      </w:pPr>
      <w:r w:rsidRPr="0053262E">
        <w:rPr>
          <w:rFonts w:ascii="Arial" w:hAnsi="Arial" w:cs="Arial"/>
          <w:noProof/>
          <w:sz w:val="20"/>
          <w:lang w:val="en-US"/>
        </w:rPr>
        <w:t>10.</w:t>
      </w:r>
      <w:r w:rsidRPr="0053262E">
        <w:rPr>
          <w:rFonts w:ascii="Arial" w:hAnsi="Arial" w:cs="Arial"/>
          <w:noProof/>
          <w:sz w:val="20"/>
          <w:lang w:val="en-US"/>
        </w:rPr>
        <w:tab/>
        <w:t xml:space="preserve">Louis, M. </w:t>
      </w:r>
      <w:r w:rsidRPr="0053262E">
        <w:rPr>
          <w:rFonts w:ascii="Arial" w:hAnsi="Arial" w:cs="Arial"/>
          <w:i/>
          <w:iCs/>
          <w:noProof/>
          <w:sz w:val="20"/>
          <w:lang w:val="en-US"/>
        </w:rPr>
        <w:t>et al.</w:t>
      </w:r>
      <w:r w:rsidRPr="0053262E">
        <w:rPr>
          <w:rFonts w:ascii="Arial" w:hAnsi="Arial" w:cs="Arial"/>
          <w:noProof/>
          <w:sz w:val="20"/>
          <w:lang w:val="en-US"/>
        </w:rPr>
        <w:t xml:space="preserve"> Habitat-driven population structure of bottlenose dolphins, Tursiops truncatus, in the North-East Atlantic. </w:t>
      </w:r>
      <w:r w:rsidRPr="0053262E">
        <w:rPr>
          <w:rFonts w:ascii="Arial" w:hAnsi="Arial" w:cs="Arial"/>
          <w:i/>
          <w:iCs/>
          <w:noProof/>
          <w:sz w:val="20"/>
          <w:lang w:val="en-US"/>
        </w:rPr>
        <w:t>Mol. Ecol.</w:t>
      </w:r>
      <w:r w:rsidRPr="0053262E">
        <w:rPr>
          <w:rFonts w:ascii="Arial" w:hAnsi="Arial" w:cs="Arial"/>
          <w:noProof/>
          <w:sz w:val="20"/>
          <w:lang w:val="en-US"/>
        </w:rPr>
        <w:t xml:space="preserve"> </w:t>
      </w:r>
      <w:r w:rsidRPr="0053262E">
        <w:rPr>
          <w:rFonts w:ascii="Arial" w:hAnsi="Arial" w:cs="Arial"/>
          <w:b/>
          <w:bCs/>
          <w:noProof/>
          <w:sz w:val="20"/>
          <w:lang w:val="en-US"/>
        </w:rPr>
        <w:t>23,</w:t>
      </w:r>
      <w:r w:rsidRPr="0053262E">
        <w:rPr>
          <w:rFonts w:ascii="Arial" w:hAnsi="Arial" w:cs="Arial"/>
          <w:noProof/>
          <w:sz w:val="20"/>
          <w:lang w:val="en-US"/>
        </w:rPr>
        <w:t xml:space="preserve"> 857–874 (2014).</w:t>
      </w:r>
    </w:p>
    <w:p w14:paraId="2A53D07D" w14:textId="77777777" w:rsidR="00506A53" w:rsidRPr="0053262E" w:rsidRDefault="00506A53" w:rsidP="00506A53">
      <w:pPr>
        <w:widowControl w:val="0"/>
        <w:autoSpaceDE w:val="0"/>
        <w:autoSpaceDN w:val="0"/>
        <w:adjustRightInd w:val="0"/>
        <w:spacing w:line="480" w:lineRule="auto"/>
        <w:ind w:left="640" w:hanging="640"/>
        <w:rPr>
          <w:rFonts w:ascii="Arial" w:hAnsi="Arial" w:cs="Arial"/>
          <w:noProof/>
          <w:sz w:val="20"/>
          <w:lang w:val="en-US"/>
        </w:rPr>
      </w:pPr>
      <w:r w:rsidRPr="0053262E">
        <w:rPr>
          <w:rFonts w:ascii="Arial" w:hAnsi="Arial" w:cs="Arial"/>
          <w:noProof/>
          <w:sz w:val="20"/>
          <w:lang w:val="en-US"/>
        </w:rPr>
        <w:t>11.</w:t>
      </w:r>
      <w:r w:rsidRPr="0053262E">
        <w:rPr>
          <w:rFonts w:ascii="Arial" w:hAnsi="Arial" w:cs="Arial"/>
          <w:noProof/>
          <w:sz w:val="20"/>
          <w:lang w:val="en-US"/>
        </w:rPr>
        <w:tab/>
        <w:t xml:space="preserve">Rosel, P. E. PCR-based sex determination in Odontocete cetaceans. </w:t>
      </w:r>
      <w:r w:rsidRPr="0053262E">
        <w:rPr>
          <w:rFonts w:ascii="Arial" w:hAnsi="Arial" w:cs="Arial"/>
          <w:i/>
          <w:iCs/>
          <w:noProof/>
          <w:sz w:val="20"/>
          <w:lang w:val="en-US"/>
        </w:rPr>
        <w:t>Conserv. Genet.</w:t>
      </w:r>
      <w:r w:rsidRPr="0053262E">
        <w:rPr>
          <w:rFonts w:ascii="Arial" w:hAnsi="Arial" w:cs="Arial"/>
          <w:noProof/>
          <w:sz w:val="20"/>
          <w:lang w:val="en-US"/>
        </w:rPr>
        <w:t xml:space="preserve"> </w:t>
      </w:r>
      <w:r w:rsidRPr="0053262E">
        <w:rPr>
          <w:rFonts w:ascii="Arial" w:hAnsi="Arial" w:cs="Arial"/>
          <w:b/>
          <w:bCs/>
          <w:noProof/>
          <w:sz w:val="20"/>
          <w:lang w:val="en-US"/>
        </w:rPr>
        <w:t>4,</w:t>
      </w:r>
      <w:r w:rsidRPr="0053262E">
        <w:rPr>
          <w:rFonts w:ascii="Arial" w:hAnsi="Arial" w:cs="Arial"/>
          <w:noProof/>
          <w:sz w:val="20"/>
          <w:lang w:val="en-US"/>
        </w:rPr>
        <w:t xml:space="preserve"> 647–649 (2003).</w:t>
      </w:r>
    </w:p>
    <w:p w14:paraId="6C722493" w14:textId="77777777" w:rsidR="00506A53" w:rsidRPr="0053262E" w:rsidRDefault="00506A53" w:rsidP="00506A53">
      <w:pPr>
        <w:widowControl w:val="0"/>
        <w:autoSpaceDE w:val="0"/>
        <w:autoSpaceDN w:val="0"/>
        <w:adjustRightInd w:val="0"/>
        <w:spacing w:line="480" w:lineRule="auto"/>
        <w:ind w:left="640" w:hanging="640"/>
        <w:rPr>
          <w:rFonts w:ascii="Arial" w:hAnsi="Arial" w:cs="Arial"/>
          <w:noProof/>
          <w:sz w:val="20"/>
          <w:lang w:val="en-US"/>
        </w:rPr>
      </w:pPr>
      <w:r w:rsidRPr="0053262E">
        <w:rPr>
          <w:rFonts w:ascii="Arial" w:hAnsi="Arial" w:cs="Arial"/>
          <w:noProof/>
          <w:sz w:val="20"/>
          <w:lang w:val="en-US"/>
        </w:rPr>
        <w:t>12.</w:t>
      </w:r>
      <w:r w:rsidRPr="0053262E">
        <w:rPr>
          <w:rFonts w:ascii="Arial" w:hAnsi="Arial" w:cs="Arial"/>
          <w:noProof/>
          <w:sz w:val="20"/>
          <w:lang w:val="en-US"/>
        </w:rPr>
        <w:tab/>
        <w:t xml:space="preserve">Wilson, B., Hammond, P. S. &amp; Thompson, P. M. Estimating size and assessing trends in a coastal bottlenose dolphin population. </w:t>
      </w:r>
      <w:r w:rsidRPr="0053262E">
        <w:rPr>
          <w:rFonts w:ascii="Arial" w:hAnsi="Arial" w:cs="Arial"/>
          <w:i/>
          <w:iCs/>
          <w:noProof/>
          <w:sz w:val="20"/>
          <w:lang w:val="en-US"/>
        </w:rPr>
        <w:t>Ecol. Appl.</w:t>
      </w:r>
      <w:r w:rsidRPr="0053262E">
        <w:rPr>
          <w:rFonts w:ascii="Arial" w:hAnsi="Arial" w:cs="Arial"/>
          <w:noProof/>
          <w:sz w:val="20"/>
          <w:lang w:val="en-US"/>
        </w:rPr>
        <w:t xml:space="preserve"> </w:t>
      </w:r>
      <w:r w:rsidRPr="0053262E">
        <w:rPr>
          <w:rFonts w:ascii="Arial" w:hAnsi="Arial" w:cs="Arial"/>
          <w:b/>
          <w:bCs/>
          <w:noProof/>
          <w:sz w:val="20"/>
          <w:lang w:val="en-US"/>
        </w:rPr>
        <w:t>9,</w:t>
      </w:r>
      <w:r w:rsidRPr="0053262E">
        <w:rPr>
          <w:rFonts w:ascii="Arial" w:hAnsi="Arial" w:cs="Arial"/>
          <w:noProof/>
          <w:sz w:val="20"/>
          <w:lang w:val="en-US"/>
        </w:rPr>
        <w:t xml:space="preserve"> 288–300 (1999).</w:t>
      </w:r>
    </w:p>
    <w:p w14:paraId="71F1FB15" w14:textId="77777777" w:rsidR="00506A53" w:rsidRPr="0053262E" w:rsidRDefault="00506A53" w:rsidP="00506A53">
      <w:pPr>
        <w:widowControl w:val="0"/>
        <w:autoSpaceDE w:val="0"/>
        <w:autoSpaceDN w:val="0"/>
        <w:adjustRightInd w:val="0"/>
        <w:spacing w:line="480" w:lineRule="auto"/>
        <w:ind w:left="640" w:hanging="640"/>
        <w:rPr>
          <w:rFonts w:ascii="Arial" w:hAnsi="Arial" w:cs="Arial"/>
          <w:noProof/>
          <w:sz w:val="20"/>
          <w:lang w:val="en-US"/>
        </w:rPr>
      </w:pPr>
      <w:r w:rsidRPr="0053262E">
        <w:rPr>
          <w:rFonts w:ascii="Arial" w:hAnsi="Arial" w:cs="Arial"/>
          <w:noProof/>
          <w:sz w:val="20"/>
          <w:lang w:val="en-US"/>
        </w:rPr>
        <w:t>13.</w:t>
      </w:r>
      <w:r w:rsidRPr="0053262E">
        <w:rPr>
          <w:rFonts w:ascii="Arial" w:hAnsi="Arial" w:cs="Arial"/>
          <w:noProof/>
          <w:sz w:val="20"/>
          <w:lang w:val="en-US"/>
        </w:rPr>
        <w:tab/>
        <w:t xml:space="preserve">Gibson, Q. A. &amp; Mann, J. The size, composition and function of wild bottlenose dolphin (Tursiops sp.) mother–calf groups in Shark Bay, Australia. </w:t>
      </w:r>
      <w:r w:rsidRPr="0053262E">
        <w:rPr>
          <w:rFonts w:ascii="Arial" w:hAnsi="Arial" w:cs="Arial"/>
          <w:i/>
          <w:iCs/>
          <w:noProof/>
          <w:sz w:val="20"/>
          <w:lang w:val="en-US"/>
        </w:rPr>
        <w:t>Anim. Behav.</w:t>
      </w:r>
      <w:r w:rsidRPr="0053262E">
        <w:rPr>
          <w:rFonts w:ascii="Arial" w:hAnsi="Arial" w:cs="Arial"/>
          <w:noProof/>
          <w:sz w:val="20"/>
          <w:lang w:val="en-US"/>
        </w:rPr>
        <w:t xml:space="preserve"> </w:t>
      </w:r>
      <w:r w:rsidRPr="0053262E">
        <w:rPr>
          <w:rFonts w:ascii="Arial" w:hAnsi="Arial" w:cs="Arial"/>
          <w:b/>
          <w:bCs/>
          <w:noProof/>
          <w:sz w:val="20"/>
          <w:lang w:val="en-US"/>
        </w:rPr>
        <w:t>76,</w:t>
      </w:r>
      <w:r w:rsidRPr="0053262E">
        <w:rPr>
          <w:rFonts w:ascii="Arial" w:hAnsi="Arial" w:cs="Arial"/>
          <w:noProof/>
          <w:sz w:val="20"/>
          <w:lang w:val="en-US"/>
        </w:rPr>
        <w:t xml:space="preserve"> 389–405 (2008).</w:t>
      </w:r>
    </w:p>
    <w:p w14:paraId="6B3A532E" w14:textId="77777777" w:rsidR="00506A53" w:rsidRPr="0053262E" w:rsidRDefault="00506A53" w:rsidP="00506A53">
      <w:pPr>
        <w:widowControl w:val="0"/>
        <w:autoSpaceDE w:val="0"/>
        <w:autoSpaceDN w:val="0"/>
        <w:adjustRightInd w:val="0"/>
        <w:spacing w:line="480" w:lineRule="auto"/>
        <w:ind w:left="640" w:hanging="640"/>
        <w:rPr>
          <w:rFonts w:ascii="Arial" w:hAnsi="Arial" w:cs="Arial"/>
          <w:noProof/>
          <w:sz w:val="20"/>
          <w:lang w:val="en-US"/>
        </w:rPr>
      </w:pPr>
      <w:r w:rsidRPr="0053262E">
        <w:rPr>
          <w:rFonts w:ascii="Arial" w:hAnsi="Arial" w:cs="Arial"/>
          <w:noProof/>
          <w:sz w:val="20"/>
          <w:lang w:val="en-US"/>
        </w:rPr>
        <w:t>14.</w:t>
      </w:r>
      <w:r w:rsidRPr="0053262E">
        <w:rPr>
          <w:rFonts w:ascii="Arial" w:hAnsi="Arial" w:cs="Arial"/>
          <w:noProof/>
          <w:sz w:val="20"/>
          <w:lang w:val="en-US"/>
        </w:rPr>
        <w:tab/>
        <w:t xml:space="preserve">Louis, M. </w:t>
      </w:r>
      <w:r w:rsidRPr="0053262E">
        <w:rPr>
          <w:rFonts w:ascii="Arial" w:hAnsi="Arial" w:cs="Arial"/>
          <w:i/>
          <w:iCs/>
          <w:noProof/>
          <w:sz w:val="20"/>
          <w:lang w:val="en-US"/>
        </w:rPr>
        <w:t>et al.</w:t>
      </w:r>
      <w:r w:rsidRPr="0053262E">
        <w:rPr>
          <w:rFonts w:ascii="Arial" w:hAnsi="Arial" w:cs="Arial"/>
          <w:noProof/>
          <w:sz w:val="20"/>
          <w:lang w:val="en-US"/>
        </w:rPr>
        <w:t xml:space="preserve"> Ecological opportunities and specializations shaped genetic divergence in a highly mobile marine top predator. </w:t>
      </w:r>
      <w:r w:rsidRPr="0053262E">
        <w:rPr>
          <w:rFonts w:ascii="Arial" w:hAnsi="Arial" w:cs="Arial"/>
          <w:i/>
          <w:iCs/>
          <w:noProof/>
          <w:sz w:val="20"/>
          <w:lang w:val="en-US"/>
        </w:rPr>
        <w:t>Proc. R. Soc. B Biol. Sci.</w:t>
      </w:r>
      <w:r w:rsidRPr="0053262E">
        <w:rPr>
          <w:rFonts w:ascii="Arial" w:hAnsi="Arial" w:cs="Arial"/>
          <w:noProof/>
          <w:sz w:val="20"/>
          <w:lang w:val="en-US"/>
        </w:rPr>
        <w:t xml:space="preserve"> </w:t>
      </w:r>
      <w:r w:rsidRPr="0053262E">
        <w:rPr>
          <w:rFonts w:ascii="Arial" w:hAnsi="Arial" w:cs="Arial"/>
          <w:b/>
          <w:bCs/>
          <w:noProof/>
          <w:sz w:val="20"/>
          <w:lang w:val="en-US"/>
        </w:rPr>
        <w:t>281,</w:t>
      </w:r>
      <w:r w:rsidRPr="0053262E">
        <w:rPr>
          <w:rFonts w:ascii="Arial" w:hAnsi="Arial" w:cs="Arial"/>
          <w:noProof/>
          <w:sz w:val="20"/>
          <w:lang w:val="en-US"/>
        </w:rPr>
        <w:t xml:space="preserve"> (2014).</w:t>
      </w:r>
    </w:p>
    <w:p w14:paraId="379603F9" w14:textId="77777777" w:rsidR="00506A53" w:rsidRPr="0053262E" w:rsidRDefault="00506A53" w:rsidP="00506A53">
      <w:pPr>
        <w:widowControl w:val="0"/>
        <w:autoSpaceDE w:val="0"/>
        <w:autoSpaceDN w:val="0"/>
        <w:adjustRightInd w:val="0"/>
        <w:spacing w:line="480" w:lineRule="auto"/>
        <w:ind w:left="640" w:hanging="640"/>
        <w:rPr>
          <w:rFonts w:ascii="Arial" w:hAnsi="Arial" w:cs="Arial"/>
          <w:noProof/>
          <w:sz w:val="20"/>
          <w:lang w:val="en-US"/>
        </w:rPr>
      </w:pPr>
      <w:r w:rsidRPr="0053262E">
        <w:rPr>
          <w:rFonts w:ascii="Arial" w:hAnsi="Arial" w:cs="Arial"/>
          <w:noProof/>
          <w:sz w:val="20"/>
          <w:lang w:val="en-US"/>
        </w:rPr>
        <w:t>15.</w:t>
      </w:r>
      <w:r w:rsidRPr="0053262E">
        <w:rPr>
          <w:rFonts w:ascii="Arial" w:hAnsi="Arial" w:cs="Arial"/>
          <w:noProof/>
          <w:sz w:val="20"/>
          <w:lang w:val="en-US"/>
        </w:rPr>
        <w:tab/>
        <w:t xml:space="preserve">Focant, J. F., Eppe, G., Pirard, C. &amp; De Pauw, E. Fast clean-up for polychlorinated dibenzo-p-dioxins, dibenzofurans and coplanar polychlorinated biphenyls analysis of high-fat-content biological samples. </w:t>
      </w:r>
      <w:r w:rsidRPr="0053262E">
        <w:rPr>
          <w:rFonts w:ascii="Arial" w:hAnsi="Arial" w:cs="Arial"/>
          <w:i/>
          <w:iCs/>
          <w:noProof/>
          <w:sz w:val="20"/>
          <w:lang w:val="en-US"/>
        </w:rPr>
        <w:t>J. Chromatogr. A</w:t>
      </w:r>
      <w:r w:rsidRPr="0053262E">
        <w:rPr>
          <w:rFonts w:ascii="Arial" w:hAnsi="Arial" w:cs="Arial"/>
          <w:noProof/>
          <w:sz w:val="20"/>
          <w:lang w:val="en-US"/>
        </w:rPr>
        <w:t xml:space="preserve"> </w:t>
      </w:r>
      <w:r w:rsidRPr="0053262E">
        <w:rPr>
          <w:rFonts w:ascii="Arial" w:hAnsi="Arial" w:cs="Arial"/>
          <w:b/>
          <w:bCs/>
          <w:noProof/>
          <w:sz w:val="20"/>
          <w:lang w:val="en-US"/>
        </w:rPr>
        <w:t>925,</w:t>
      </w:r>
      <w:r w:rsidRPr="0053262E">
        <w:rPr>
          <w:rFonts w:ascii="Arial" w:hAnsi="Arial" w:cs="Arial"/>
          <w:noProof/>
          <w:sz w:val="20"/>
          <w:lang w:val="en-US"/>
        </w:rPr>
        <w:t xml:space="preserve"> 207–221 (2001).</w:t>
      </w:r>
    </w:p>
    <w:p w14:paraId="11232F77" w14:textId="77777777" w:rsidR="00506A53" w:rsidRPr="0053262E" w:rsidRDefault="00506A53" w:rsidP="00506A53">
      <w:pPr>
        <w:widowControl w:val="0"/>
        <w:autoSpaceDE w:val="0"/>
        <w:autoSpaceDN w:val="0"/>
        <w:adjustRightInd w:val="0"/>
        <w:spacing w:line="480" w:lineRule="auto"/>
        <w:ind w:left="640" w:hanging="640"/>
        <w:rPr>
          <w:rFonts w:ascii="Arial" w:hAnsi="Arial" w:cs="Arial"/>
          <w:noProof/>
          <w:sz w:val="20"/>
          <w:lang w:val="en-US"/>
        </w:rPr>
      </w:pPr>
      <w:r w:rsidRPr="0053262E">
        <w:rPr>
          <w:rFonts w:ascii="Arial" w:hAnsi="Arial" w:cs="Arial"/>
          <w:noProof/>
          <w:sz w:val="20"/>
          <w:lang w:val="en-US"/>
        </w:rPr>
        <w:lastRenderedPageBreak/>
        <w:t>16.</w:t>
      </w:r>
      <w:r w:rsidRPr="0053262E">
        <w:rPr>
          <w:rFonts w:ascii="Arial" w:hAnsi="Arial" w:cs="Arial"/>
          <w:noProof/>
          <w:sz w:val="20"/>
          <w:lang w:val="en-US"/>
        </w:rPr>
        <w:tab/>
        <w:t xml:space="preserve">Van den Berg, M. </w:t>
      </w:r>
      <w:r w:rsidRPr="0053262E">
        <w:rPr>
          <w:rFonts w:ascii="Arial" w:hAnsi="Arial" w:cs="Arial"/>
          <w:i/>
          <w:iCs/>
          <w:noProof/>
          <w:sz w:val="20"/>
          <w:lang w:val="en-US"/>
        </w:rPr>
        <w:t>et al.</w:t>
      </w:r>
      <w:r w:rsidRPr="0053262E">
        <w:rPr>
          <w:rFonts w:ascii="Arial" w:hAnsi="Arial" w:cs="Arial"/>
          <w:noProof/>
          <w:sz w:val="20"/>
          <w:lang w:val="en-US"/>
        </w:rPr>
        <w:t xml:space="preserve"> The 2005 World Health Organization reevaluation of human and mammalian toxic equivalency factors for dioxins and dioxin-like compounds. </w:t>
      </w:r>
      <w:r w:rsidRPr="0053262E">
        <w:rPr>
          <w:rFonts w:ascii="Arial" w:hAnsi="Arial" w:cs="Arial"/>
          <w:i/>
          <w:iCs/>
          <w:noProof/>
          <w:sz w:val="20"/>
          <w:lang w:val="en-US"/>
        </w:rPr>
        <w:t>Toxicol. Sci.</w:t>
      </w:r>
      <w:r w:rsidRPr="0053262E">
        <w:rPr>
          <w:rFonts w:ascii="Arial" w:hAnsi="Arial" w:cs="Arial"/>
          <w:noProof/>
          <w:sz w:val="20"/>
          <w:lang w:val="en-US"/>
        </w:rPr>
        <w:t xml:space="preserve"> </w:t>
      </w:r>
      <w:r w:rsidRPr="0053262E">
        <w:rPr>
          <w:rFonts w:ascii="Arial" w:hAnsi="Arial" w:cs="Arial"/>
          <w:b/>
          <w:bCs/>
          <w:noProof/>
          <w:sz w:val="20"/>
          <w:lang w:val="en-US"/>
        </w:rPr>
        <w:t>93,</w:t>
      </w:r>
      <w:r w:rsidRPr="0053262E">
        <w:rPr>
          <w:rFonts w:ascii="Arial" w:hAnsi="Arial" w:cs="Arial"/>
          <w:noProof/>
          <w:sz w:val="20"/>
          <w:lang w:val="en-US"/>
        </w:rPr>
        <w:t xml:space="preserve"> 223–241 (2006).</w:t>
      </w:r>
    </w:p>
    <w:p w14:paraId="0DE0B110" w14:textId="77777777" w:rsidR="00506A53" w:rsidRPr="00506A53" w:rsidRDefault="00506A53" w:rsidP="00506A53">
      <w:pPr>
        <w:widowControl w:val="0"/>
        <w:autoSpaceDE w:val="0"/>
        <w:autoSpaceDN w:val="0"/>
        <w:adjustRightInd w:val="0"/>
        <w:spacing w:line="480" w:lineRule="auto"/>
        <w:ind w:left="640" w:hanging="640"/>
        <w:rPr>
          <w:rFonts w:ascii="Arial" w:hAnsi="Arial" w:cs="Arial"/>
          <w:noProof/>
          <w:sz w:val="20"/>
        </w:rPr>
      </w:pPr>
      <w:r w:rsidRPr="0053262E">
        <w:rPr>
          <w:rFonts w:ascii="Arial" w:hAnsi="Arial" w:cs="Arial"/>
          <w:noProof/>
          <w:sz w:val="20"/>
          <w:lang w:val="en-US"/>
        </w:rPr>
        <w:t>17.</w:t>
      </w:r>
      <w:r w:rsidRPr="0053262E">
        <w:rPr>
          <w:rFonts w:ascii="Arial" w:hAnsi="Arial" w:cs="Arial"/>
          <w:noProof/>
          <w:sz w:val="20"/>
          <w:lang w:val="en-US"/>
        </w:rPr>
        <w:tab/>
        <w:t xml:space="preserve">Debier, C. </w:t>
      </w:r>
      <w:r w:rsidRPr="0053262E">
        <w:rPr>
          <w:rFonts w:ascii="Arial" w:hAnsi="Arial" w:cs="Arial"/>
          <w:i/>
          <w:iCs/>
          <w:noProof/>
          <w:sz w:val="20"/>
          <w:lang w:val="en-US"/>
        </w:rPr>
        <w:t>et al.</w:t>
      </w:r>
      <w:r w:rsidRPr="0053262E">
        <w:rPr>
          <w:rFonts w:ascii="Arial" w:hAnsi="Arial" w:cs="Arial"/>
          <w:noProof/>
          <w:sz w:val="20"/>
          <w:lang w:val="en-US"/>
        </w:rPr>
        <w:t xml:space="preserve"> Dynamics of PCB transfer from mother to pup during lactation in UK grey seals Halichoerus grypus: differences in PCB profile between compartments of transfer and changes during the lactation period. </w:t>
      </w:r>
      <w:r w:rsidRPr="00506A53">
        <w:rPr>
          <w:rFonts w:ascii="Arial" w:hAnsi="Arial" w:cs="Arial"/>
          <w:i/>
          <w:iCs/>
          <w:noProof/>
          <w:sz w:val="20"/>
          <w:lang w:val="fr-FR"/>
        </w:rPr>
        <w:t>Mar. Ecol. Ser.</w:t>
      </w:r>
      <w:r w:rsidRPr="00506A53">
        <w:rPr>
          <w:rFonts w:ascii="Arial" w:hAnsi="Arial" w:cs="Arial"/>
          <w:noProof/>
          <w:sz w:val="20"/>
          <w:lang w:val="fr-FR"/>
        </w:rPr>
        <w:t xml:space="preserve"> </w:t>
      </w:r>
      <w:r w:rsidRPr="00506A53">
        <w:rPr>
          <w:rFonts w:ascii="Arial" w:hAnsi="Arial" w:cs="Arial"/>
          <w:b/>
          <w:bCs/>
          <w:noProof/>
          <w:sz w:val="20"/>
          <w:lang w:val="fr-FR"/>
        </w:rPr>
        <w:t>247,</w:t>
      </w:r>
      <w:r w:rsidRPr="00506A53">
        <w:rPr>
          <w:rFonts w:ascii="Arial" w:hAnsi="Arial" w:cs="Arial"/>
          <w:noProof/>
          <w:sz w:val="20"/>
          <w:lang w:val="fr-FR"/>
        </w:rPr>
        <w:t xml:space="preserve"> 249–256 (2003).</w:t>
      </w:r>
    </w:p>
    <w:p w14:paraId="02CD20B3" w14:textId="7E6F91AF" w:rsidR="0069649F" w:rsidRPr="009435DD" w:rsidRDefault="00921573" w:rsidP="00506A53">
      <w:pPr>
        <w:widowControl w:val="0"/>
        <w:autoSpaceDE w:val="0"/>
        <w:autoSpaceDN w:val="0"/>
        <w:adjustRightInd w:val="0"/>
        <w:spacing w:line="480" w:lineRule="auto"/>
        <w:ind w:left="640" w:hanging="640"/>
        <w:rPr>
          <w:rFonts w:ascii="Arial" w:hAnsi="Arial" w:cs="Arial"/>
          <w:sz w:val="20"/>
          <w:szCs w:val="20"/>
          <w:lang w:val="en-GB"/>
        </w:rPr>
      </w:pPr>
      <w:r>
        <w:rPr>
          <w:rFonts w:ascii="Arial" w:hAnsi="Arial" w:cs="Arial"/>
          <w:sz w:val="20"/>
          <w:szCs w:val="20"/>
          <w:lang w:val="en-GB"/>
        </w:rPr>
        <w:fldChar w:fldCharType="end"/>
      </w:r>
    </w:p>
    <w:sectPr w:rsidR="0069649F" w:rsidRPr="009435DD" w:rsidSect="00AF4C7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70535"/>
    <w:multiLevelType w:val="multilevel"/>
    <w:tmpl w:val="E3167F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4F547F"/>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6F72414F"/>
    <w:multiLevelType w:val="multilevel"/>
    <w:tmpl w:val="72386D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5E"/>
    <w:rsid w:val="00027067"/>
    <w:rsid w:val="00055AAE"/>
    <w:rsid w:val="0008024F"/>
    <w:rsid w:val="000B7A8E"/>
    <w:rsid w:val="000D7BAC"/>
    <w:rsid w:val="00171E77"/>
    <w:rsid w:val="001B2BDB"/>
    <w:rsid w:val="00200642"/>
    <w:rsid w:val="00235E90"/>
    <w:rsid w:val="00264130"/>
    <w:rsid w:val="003D2E99"/>
    <w:rsid w:val="004E3F65"/>
    <w:rsid w:val="00506402"/>
    <w:rsid w:val="00506A53"/>
    <w:rsid w:val="0053262E"/>
    <w:rsid w:val="005423B5"/>
    <w:rsid w:val="0054358D"/>
    <w:rsid w:val="005C264A"/>
    <w:rsid w:val="006667B9"/>
    <w:rsid w:val="0069649F"/>
    <w:rsid w:val="006D0B9F"/>
    <w:rsid w:val="0071049D"/>
    <w:rsid w:val="00764E75"/>
    <w:rsid w:val="007C5308"/>
    <w:rsid w:val="0080181D"/>
    <w:rsid w:val="00802FE9"/>
    <w:rsid w:val="0081145A"/>
    <w:rsid w:val="008E218F"/>
    <w:rsid w:val="008E2EAF"/>
    <w:rsid w:val="00916BAC"/>
    <w:rsid w:val="00921573"/>
    <w:rsid w:val="00923721"/>
    <w:rsid w:val="009435DD"/>
    <w:rsid w:val="009707C5"/>
    <w:rsid w:val="00976F24"/>
    <w:rsid w:val="00993860"/>
    <w:rsid w:val="00996D96"/>
    <w:rsid w:val="009A045E"/>
    <w:rsid w:val="00A92875"/>
    <w:rsid w:val="00AE1786"/>
    <w:rsid w:val="00AE1D30"/>
    <w:rsid w:val="00AF4C72"/>
    <w:rsid w:val="00B25FC8"/>
    <w:rsid w:val="00B44505"/>
    <w:rsid w:val="00BE7BFA"/>
    <w:rsid w:val="00C11884"/>
    <w:rsid w:val="00C41317"/>
    <w:rsid w:val="00C55D22"/>
    <w:rsid w:val="00C84FD1"/>
    <w:rsid w:val="00CC072D"/>
    <w:rsid w:val="00CD38A0"/>
    <w:rsid w:val="00DA3E46"/>
    <w:rsid w:val="00DF068A"/>
    <w:rsid w:val="00E44612"/>
    <w:rsid w:val="00E81EC7"/>
    <w:rsid w:val="00E94DED"/>
    <w:rsid w:val="00F71AF0"/>
    <w:rsid w:val="00F906F9"/>
    <w:rsid w:val="00FC6B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9397"/>
  <w15:docId w15:val="{E3A56C9D-7F4C-2F45-AD1A-435162D2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067"/>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027067"/>
    <w:pPr>
      <w:keepNext/>
      <w:keepLines/>
      <w:numPr>
        <w:numId w:val="1"/>
      </w:numPr>
      <w:spacing w:before="240" w:line="259" w:lineRule="auto"/>
      <w:outlineLvl w:val="0"/>
    </w:pPr>
    <w:rPr>
      <w:rFonts w:asciiTheme="majorHAnsi" w:eastAsiaTheme="majorEastAsia" w:hAnsiTheme="majorHAnsi" w:cstheme="majorBidi"/>
      <w:color w:val="2F5496" w:themeColor="accent1" w:themeShade="BF"/>
      <w:sz w:val="32"/>
      <w:szCs w:val="32"/>
      <w:lang w:val="fr-FR" w:eastAsia="en-US"/>
    </w:rPr>
  </w:style>
  <w:style w:type="paragraph" w:styleId="Titre2">
    <w:name w:val="heading 2"/>
    <w:basedOn w:val="Normal"/>
    <w:next w:val="Normal"/>
    <w:link w:val="Titre2Car"/>
    <w:uiPriority w:val="9"/>
    <w:unhideWhenUsed/>
    <w:qFormat/>
    <w:rsid w:val="00027067"/>
    <w:pPr>
      <w:keepNext/>
      <w:keepLines/>
      <w:numPr>
        <w:ilvl w:val="1"/>
        <w:numId w:val="1"/>
      </w:numPr>
      <w:spacing w:before="40" w:line="259" w:lineRule="auto"/>
      <w:outlineLvl w:val="1"/>
    </w:pPr>
    <w:rPr>
      <w:rFonts w:asciiTheme="majorHAnsi" w:eastAsiaTheme="majorEastAsia" w:hAnsiTheme="majorHAnsi" w:cstheme="majorBidi"/>
      <w:color w:val="2F5496" w:themeColor="accent1" w:themeShade="BF"/>
      <w:sz w:val="26"/>
      <w:szCs w:val="26"/>
      <w:lang w:val="fr-FR" w:eastAsia="en-US"/>
    </w:rPr>
  </w:style>
  <w:style w:type="paragraph" w:styleId="Titre3">
    <w:name w:val="heading 3"/>
    <w:basedOn w:val="Normal"/>
    <w:next w:val="Normal"/>
    <w:link w:val="Titre3Car"/>
    <w:uiPriority w:val="9"/>
    <w:unhideWhenUsed/>
    <w:qFormat/>
    <w:rsid w:val="00027067"/>
    <w:pPr>
      <w:keepNext/>
      <w:keepLines/>
      <w:numPr>
        <w:ilvl w:val="2"/>
        <w:numId w:val="1"/>
      </w:numPr>
      <w:spacing w:before="40" w:line="259" w:lineRule="auto"/>
      <w:outlineLvl w:val="2"/>
    </w:pPr>
    <w:rPr>
      <w:rFonts w:asciiTheme="majorHAnsi" w:eastAsiaTheme="majorEastAsia" w:hAnsiTheme="majorHAnsi" w:cstheme="majorBidi"/>
      <w:color w:val="1F3763" w:themeColor="accent1" w:themeShade="7F"/>
      <w:lang w:val="fr-FR" w:eastAsia="en-US"/>
    </w:rPr>
  </w:style>
  <w:style w:type="paragraph" w:styleId="Titre4">
    <w:name w:val="heading 4"/>
    <w:basedOn w:val="Normal"/>
    <w:next w:val="Normal"/>
    <w:link w:val="Titre4Car"/>
    <w:uiPriority w:val="9"/>
    <w:unhideWhenUsed/>
    <w:qFormat/>
    <w:rsid w:val="00027067"/>
    <w:pPr>
      <w:keepNext/>
      <w:keepLines/>
      <w:numPr>
        <w:ilvl w:val="3"/>
        <w:numId w:val="1"/>
      </w:numPr>
      <w:spacing w:before="40" w:line="259" w:lineRule="auto"/>
      <w:outlineLvl w:val="3"/>
    </w:pPr>
    <w:rPr>
      <w:rFonts w:asciiTheme="majorHAnsi" w:eastAsiaTheme="majorEastAsia" w:hAnsiTheme="majorHAnsi" w:cstheme="majorBidi"/>
      <w:i/>
      <w:iCs/>
      <w:color w:val="2F5496" w:themeColor="accent1" w:themeShade="BF"/>
      <w:sz w:val="22"/>
      <w:szCs w:val="22"/>
      <w:lang w:val="fr-FR" w:eastAsia="en-US"/>
    </w:rPr>
  </w:style>
  <w:style w:type="paragraph" w:styleId="Titre5">
    <w:name w:val="heading 5"/>
    <w:basedOn w:val="Normal"/>
    <w:next w:val="Normal"/>
    <w:link w:val="Titre5Car"/>
    <w:uiPriority w:val="9"/>
    <w:semiHidden/>
    <w:unhideWhenUsed/>
    <w:qFormat/>
    <w:rsid w:val="00027067"/>
    <w:pPr>
      <w:keepNext/>
      <w:keepLines/>
      <w:numPr>
        <w:ilvl w:val="4"/>
        <w:numId w:val="1"/>
      </w:numPr>
      <w:spacing w:before="40" w:line="259" w:lineRule="auto"/>
      <w:outlineLvl w:val="4"/>
    </w:pPr>
    <w:rPr>
      <w:rFonts w:asciiTheme="majorHAnsi" w:eastAsiaTheme="majorEastAsia" w:hAnsiTheme="majorHAnsi" w:cstheme="majorBidi"/>
      <w:color w:val="2F5496" w:themeColor="accent1" w:themeShade="BF"/>
      <w:sz w:val="22"/>
      <w:szCs w:val="22"/>
      <w:lang w:val="fr-FR" w:eastAsia="en-US"/>
    </w:rPr>
  </w:style>
  <w:style w:type="paragraph" w:styleId="Titre6">
    <w:name w:val="heading 6"/>
    <w:basedOn w:val="Normal"/>
    <w:next w:val="Normal"/>
    <w:link w:val="Titre6Car"/>
    <w:uiPriority w:val="9"/>
    <w:semiHidden/>
    <w:unhideWhenUsed/>
    <w:qFormat/>
    <w:rsid w:val="0002706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02706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02706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2706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7067"/>
    <w:rPr>
      <w:rFonts w:asciiTheme="majorHAnsi" w:eastAsiaTheme="majorEastAsia" w:hAnsiTheme="majorHAnsi" w:cstheme="majorBidi"/>
      <w:color w:val="2F5496" w:themeColor="accent1" w:themeShade="BF"/>
      <w:sz w:val="32"/>
      <w:szCs w:val="32"/>
      <w:lang w:val="fr-FR"/>
    </w:rPr>
  </w:style>
  <w:style w:type="character" w:customStyle="1" w:styleId="Titre2Car">
    <w:name w:val="Titre 2 Car"/>
    <w:basedOn w:val="Policepardfaut"/>
    <w:link w:val="Titre2"/>
    <w:uiPriority w:val="9"/>
    <w:rsid w:val="00027067"/>
    <w:rPr>
      <w:rFonts w:asciiTheme="majorHAnsi" w:eastAsiaTheme="majorEastAsia" w:hAnsiTheme="majorHAnsi" w:cstheme="majorBidi"/>
      <w:color w:val="2F5496" w:themeColor="accent1" w:themeShade="BF"/>
      <w:sz w:val="26"/>
      <w:szCs w:val="26"/>
      <w:lang w:val="fr-FR"/>
    </w:rPr>
  </w:style>
  <w:style w:type="character" w:customStyle="1" w:styleId="Titre3Car">
    <w:name w:val="Titre 3 Car"/>
    <w:basedOn w:val="Policepardfaut"/>
    <w:link w:val="Titre3"/>
    <w:uiPriority w:val="9"/>
    <w:rsid w:val="00027067"/>
    <w:rPr>
      <w:rFonts w:asciiTheme="majorHAnsi" w:eastAsiaTheme="majorEastAsia" w:hAnsiTheme="majorHAnsi" w:cstheme="majorBidi"/>
      <w:color w:val="1F3763" w:themeColor="accent1" w:themeShade="7F"/>
      <w:lang w:val="fr-FR"/>
    </w:rPr>
  </w:style>
  <w:style w:type="character" w:customStyle="1" w:styleId="Titre4Car">
    <w:name w:val="Titre 4 Car"/>
    <w:basedOn w:val="Policepardfaut"/>
    <w:link w:val="Titre4"/>
    <w:uiPriority w:val="9"/>
    <w:rsid w:val="00027067"/>
    <w:rPr>
      <w:rFonts w:asciiTheme="majorHAnsi" w:eastAsiaTheme="majorEastAsia" w:hAnsiTheme="majorHAnsi" w:cstheme="majorBidi"/>
      <w:i/>
      <w:iCs/>
      <w:color w:val="2F5496" w:themeColor="accent1" w:themeShade="BF"/>
      <w:sz w:val="22"/>
      <w:szCs w:val="22"/>
      <w:lang w:val="fr-FR"/>
    </w:rPr>
  </w:style>
  <w:style w:type="character" w:customStyle="1" w:styleId="Titre5Car">
    <w:name w:val="Titre 5 Car"/>
    <w:basedOn w:val="Policepardfaut"/>
    <w:link w:val="Titre5"/>
    <w:uiPriority w:val="9"/>
    <w:semiHidden/>
    <w:rsid w:val="00027067"/>
    <w:rPr>
      <w:rFonts w:asciiTheme="majorHAnsi" w:eastAsiaTheme="majorEastAsia" w:hAnsiTheme="majorHAnsi" w:cstheme="majorBidi"/>
      <w:color w:val="2F5496" w:themeColor="accent1" w:themeShade="BF"/>
      <w:sz w:val="22"/>
      <w:szCs w:val="22"/>
      <w:lang w:val="fr-FR"/>
    </w:rPr>
  </w:style>
  <w:style w:type="character" w:customStyle="1" w:styleId="Titre6Car">
    <w:name w:val="Titre 6 Car"/>
    <w:basedOn w:val="Policepardfaut"/>
    <w:link w:val="Titre6"/>
    <w:uiPriority w:val="9"/>
    <w:semiHidden/>
    <w:rsid w:val="00027067"/>
    <w:rPr>
      <w:rFonts w:asciiTheme="majorHAnsi" w:eastAsiaTheme="majorEastAsia" w:hAnsiTheme="majorHAnsi" w:cstheme="majorBidi"/>
      <w:color w:val="1F3763" w:themeColor="accent1" w:themeShade="7F"/>
      <w:lang w:eastAsia="fr-FR"/>
    </w:rPr>
  </w:style>
  <w:style w:type="character" w:customStyle="1" w:styleId="Titre7Car">
    <w:name w:val="Titre 7 Car"/>
    <w:basedOn w:val="Policepardfaut"/>
    <w:link w:val="Titre7"/>
    <w:uiPriority w:val="9"/>
    <w:semiHidden/>
    <w:rsid w:val="00027067"/>
    <w:rPr>
      <w:rFonts w:asciiTheme="majorHAnsi" w:eastAsiaTheme="majorEastAsia" w:hAnsiTheme="majorHAnsi" w:cstheme="majorBidi"/>
      <w:i/>
      <w:iCs/>
      <w:color w:val="1F3763" w:themeColor="accent1" w:themeShade="7F"/>
      <w:lang w:eastAsia="fr-FR"/>
    </w:rPr>
  </w:style>
  <w:style w:type="character" w:customStyle="1" w:styleId="Titre8Car">
    <w:name w:val="Titre 8 Car"/>
    <w:basedOn w:val="Policepardfaut"/>
    <w:link w:val="Titre8"/>
    <w:uiPriority w:val="9"/>
    <w:semiHidden/>
    <w:rsid w:val="00027067"/>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027067"/>
    <w:rPr>
      <w:rFonts w:asciiTheme="majorHAnsi" w:eastAsiaTheme="majorEastAsia" w:hAnsiTheme="majorHAnsi" w:cstheme="majorBidi"/>
      <w:i/>
      <w:iCs/>
      <w:color w:val="272727" w:themeColor="text1" w:themeTint="D8"/>
      <w:sz w:val="21"/>
      <w:szCs w:val="21"/>
      <w:lang w:eastAsia="fr-FR"/>
    </w:rPr>
  </w:style>
  <w:style w:type="paragraph" w:styleId="Lgende">
    <w:name w:val="caption"/>
    <w:basedOn w:val="Normal"/>
    <w:next w:val="Normal"/>
    <w:uiPriority w:val="35"/>
    <w:unhideWhenUsed/>
    <w:qFormat/>
    <w:rsid w:val="00027067"/>
    <w:pPr>
      <w:spacing w:after="200"/>
    </w:pPr>
    <w:rPr>
      <w:rFonts w:asciiTheme="minorHAnsi" w:eastAsiaTheme="minorHAnsi" w:hAnsiTheme="minorHAnsi" w:cstheme="minorBidi"/>
      <w:i/>
      <w:iCs/>
      <w:color w:val="44546A" w:themeColor="text2"/>
      <w:sz w:val="18"/>
      <w:szCs w:val="18"/>
      <w:lang w:val="fr-FR" w:eastAsia="en-US"/>
    </w:rPr>
  </w:style>
  <w:style w:type="paragraph" w:styleId="NormalWeb">
    <w:name w:val="Normal (Web)"/>
    <w:basedOn w:val="Normal"/>
    <w:uiPriority w:val="99"/>
    <w:semiHidden/>
    <w:unhideWhenUsed/>
    <w:rsid w:val="00027067"/>
    <w:pPr>
      <w:spacing w:before="100" w:beforeAutospacing="1" w:after="100" w:afterAutospacing="1"/>
    </w:pPr>
    <w:rPr>
      <w:rFonts w:eastAsiaTheme="minorEastAsia"/>
      <w:lang w:val="fr-FR"/>
    </w:rPr>
  </w:style>
  <w:style w:type="paragraph" w:styleId="Paragraphedeliste">
    <w:name w:val="List Paragraph"/>
    <w:basedOn w:val="Normal"/>
    <w:uiPriority w:val="34"/>
    <w:qFormat/>
    <w:rsid w:val="00027067"/>
    <w:pPr>
      <w:ind w:left="720"/>
      <w:contextualSpacing/>
    </w:pPr>
  </w:style>
  <w:style w:type="paragraph" w:styleId="Sansinterligne">
    <w:name w:val="No Spacing"/>
    <w:link w:val="SansinterligneCar"/>
    <w:uiPriority w:val="1"/>
    <w:qFormat/>
    <w:rsid w:val="00AE1786"/>
    <w:rPr>
      <w:sz w:val="22"/>
      <w:szCs w:val="22"/>
    </w:rPr>
  </w:style>
  <w:style w:type="character" w:customStyle="1" w:styleId="SansinterligneCar">
    <w:name w:val="Sans interligne Car"/>
    <w:basedOn w:val="Policepardfaut"/>
    <w:link w:val="Sansinterligne"/>
    <w:uiPriority w:val="1"/>
    <w:rsid w:val="00AE1786"/>
    <w:rPr>
      <w:sz w:val="22"/>
      <w:szCs w:val="22"/>
    </w:rPr>
  </w:style>
  <w:style w:type="table" w:styleId="Grilledutableau">
    <w:name w:val="Table Grid"/>
    <w:basedOn w:val="TableauNormal"/>
    <w:uiPriority w:val="59"/>
    <w:rsid w:val="00AE17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435DD"/>
    <w:rPr>
      <w:color w:val="0563C1" w:themeColor="hyperlink"/>
      <w:u w:val="single"/>
    </w:rPr>
  </w:style>
  <w:style w:type="paragraph" w:styleId="Textedebulles">
    <w:name w:val="Balloon Text"/>
    <w:basedOn w:val="Normal"/>
    <w:link w:val="TextedebullesCar"/>
    <w:uiPriority w:val="99"/>
    <w:semiHidden/>
    <w:unhideWhenUsed/>
    <w:rsid w:val="004E3F65"/>
    <w:rPr>
      <w:rFonts w:ascii="Tahoma" w:hAnsi="Tahoma" w:cs="Tahoma"/>
      <w:sz w:val="16"/>
      <w:szCs w:val="16"/>
    </w:rPr>
  </w:style>
  <w:style w:type="character" w:customStyle="1" w:styleId="TextedebullesCar">
    <w:name w:val="Texte de bulles Car"/>
    <w:basedOn w:val="Policepardfaut"/>
    <w:link w:val="Textedebulles"/>
    <w:uiPriority w:val="99"/>
    <w:semiHidden/>
    <w:rsid w:val="004E3F65"/>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506402"/>
    <w:rPr>
      <w:sz w:val="16"/>
      <w:szCs w:val="16"/>
    </w:rPr>
  </w:style>
  <w:style w:type="paragraph" w:styleId="Commentaire">
    <w:name w:val="annotation text"/>
    <w:basedOn w:val="Normal"/>
    <w:link w:val="CommentaireCar"/>
    <w:uiPriority w:val="99"/>
    <w:semiHidden/>
    <w:unhideWhenUsed/>
    <w:rsid w:val="00506402"/>
    <w:rPr>
      <w:sz w:val="20"/>
      <w:szCs w:val="20"/>
    </w:rPr>
  </w:style>
  <w:style w:type="character" w:customStyle="1" w:styleId="CommentaireCar">
    <w:name w:val="Commentaire Car"/>
    <w:basedOn w:val="Policepardfaut"/>
    <w:link w:val="Commentaire"/>
    <w:uiPriority w:val="99"/>
    <w:semiHidden/>
    <w:rsid w:val="0050640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06402"/>
    <w:rPr>
      <w:b/>
      <w:bCs/>
    </w:rPr>
  </w:style>
  <w:style w:type="character" w:customStyle="1" w:styleId="ObjetducommentaireCar">
    <w:name w:val="Objet du commentaire Car"/>
    <w:basedOn w:val="CommentaireCar"/>
    <w:link w:val="Objetducommentaire"/>
    <w:uiPriority w:val="99"/>
    <w:semiHidden/>
    <w:rsid w:val="00506402"/>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ishna.das@uliege.b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xlsx"/></Relationships>
</file>

<file path=word/charts/_rels/chart2.xml.rels><?xml version="1.0" encoding="UTF-8" standalone="yes"?>
<Relationships xmlns="http://schemas.openxmlformats.org/package/2006/relationships"><Relationship Id="rId1" Type="http://schemas.openxmlformats.org/officeDocument/2006/relationships/oleObject" Target="file:////E:\Cyrielle\Publication%20Cyrielle\Article%20biopsies\Analyse%20mercure%20Li&#232;ge%20-%20Statistiques%20article%20biopsies.x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17461352577326"/>
          <c:y val="5.128205128205128E-2"/>
          <c:w val="0.77832128469217809"/>
          <c:h val="0.76863278453829631"/>
        </c:manualLayout>
      </c:layout>
      <c:scatterChart>
        <c:scatterStyle val="lineMarker"/>
        <c:varyColors val="0"/>
        <c:ser>
          <c:idx val="0"/>
          <c:order val="0"/>
          <c:spPr>
            <a:ln w="25400" cap="rnd">
              <a:noFill/>
              <a:round/>
            </a:ln>
            <a:effectLst/>
          </c:spPr>
          <c:marker>
            <c:symbol val="circle"/>
            <c:size val="4"/>
            <c:spPr>
              <a:solidFill>
                <a:schemeClr val="accent1"/>
              </a:solidFill>
              <a:ln w="9525">
                <a:solidFill>
                  <a:schemeClr val="accent1"/>
                </a:solidFill>
              </a:ln>
              <a:effectLst/>
            </c:spPr>
          </c:marker>
          <c:xVal>
            <c:numRef>
              <c:f>('Hg isotope'!$M$4:$M$23;'Hg isotope'!$M$26:$M$74)</c:f>
              <c:numCache>
                <c:formatCode>0.000</c:formatCode>
                <c:ptCount val="69"/>
                <c:pt idx="0">
                  <c:v>-17.937000000000001</c:v>
                </c:pt>
                <c:pt idx="1">
                  <c:v>-17.521999999999998</c:v>
                </c:pt>
                <c:pt idx="2">
                  <c:v>-17.635999999999999</c:v>
                </c:pt>
                <c:pt idx="3">
                  <c:v>-17.292000000000002</c:v>
                </c:pt>
                <c:pt idx="4">
                  <c:v>-17.010000000000002</c:v>
                </c:pt>
                <c:pt idx="5" formatCode="0.00">
                  <c:v>-16.251999999999999</c:v>
                </c:pt>
                <c:pt idx="6">
                  <c:v>-16.734000000000002</c:v>
                </c:pt>
                <c:pt idx="7">
                  <c:v>-16.97</c:v>
                </c:pt>
                <c:pt idx="8">
                  <c:v>-16.917000000000002</c:v>
                </c:pt>
                <c:pt idx="9">
                  <c:v>-16.393999999999998</c:v>
                </c:pt>
                <c:pt idx="10">
                  <c:v>-17.454999999999998</c:v>
                </c:pt>
                <c:pt idx="11">
                  <c:v>-17.401</c:v>
                </c:pt>
                <c:pt idx="12">
                  <c:v>-16.780999999999999</c:v>
                </c:pt>
                <c:pt idx="13">
                  <c:v>-17.879000000000001</c:v>
                </c:pt>
                <c:pt idx="14">
                  <c:v>-18.073</c:v>
                </c:pt>
                <c:pt idx="15" formatCode="0.00">
                  <c:v>-17.332000000000001</c:v>
                </c:pt>
                <c:pt idx="16">
                  <c:v>-16.585999999999999</c:v>
                </c:pt>
                <c:pt idx="17" formatCode="0.00">
                  <c:v>-16.969000000000001</c:v>
                </c:pt>
                <c:pt idx="18">
                  <c:v>-17.567</c:v>
                </c:pt>
                <c:pt idx="19" formatCode="0.00">
                  <c:v>-16.966999999999999</c:v>
                </c:pt>
                <c:pt idx="20">
                  <c:v>-16.219000000000001</c:v>
                </c:pt>
                <c:pt idx="21">
                  <c:v>-17.538</c:v>
                </c:pt>
                <c:pt idx="22">
                  <c:v>-17.14</c:v>
                </c:pt>
                <c:pt idx="23">
                  <c:v>-17.465</c:v>
                </c:pt>
                <c:pt idx="24">
                  <c:v>-17.713999999999999</c:v>
                </c:pt>
                <c:pt idx="25">
                  <c:v>-17.388999999999999</c:v>
                </c:pt>
                <c:pt idx="26">
                  <c:v>-17.268999999999998</c:v>
                </c:pt>
                <c:pt idx="27">
                  <c:v>-17.422999999999998</c:v>
                </c:pt>
                <c:pt idx="28">
                  <c:v>-17.021999999999998</c:v>
                </c:pt>
                <c:pt idx="29">
                  <c:v>-16.628</c:v>
                </c:pt>
                <c:pt idx="30">
                  <c:v>-17.148</c:v>
                </c:pt>
                <c:pt idx="31">
                  <c:v>-17.254999999999999</c:v>
                </c:pt>
                <c:pt idx="32">
                  <c:v>-17.462</c:v>
                </c:pt>
                <c:pt idx="33">
                  <c:v>-16.899999999999999</c:v>
                </c:pt>
                <c:pt idx="34">
                  <c:v>-16.577000000000002</c:v>
                </c:pt>
                <c:pt idx="35">
                  <c:v>-17.643999999999998</c:v>
                </c:pt>
                <c:pt idx="36">
                  <c:v>-17.094000000000001</c:v>
                </c:pt>
                <c:pt idx="37">
                  <c:v>-16.858000000000001</c:v>
                </c:pt>
                <c:pt idx="38">
                  <c:v>-15.981999999999999</c:v>
                </c:pt>
                <c:pt idx="39">
                  <c:v>-17.501999999999999</c:v>
                </c:pt>
                <c:pt idx="40">
                  <c:v>-17.378</c:v>
                </c:pt>
                <c:pt idx="41">
                  <c:v>-17.786000000000001</c:v>
                </c:pt>
                <c:pt idx="42">
                  <c:v>-17.481000000000002</c:v>
                </c:pt>
                <c:pt idx="43">
                  <c:v>-16.712</c:v>
                </c:pt>
                <c:pt idx="44">
                  <c:v>-16.504000000000001</c:v>
                </c:pt>
                <c:pt idx="45">
                  <c:v>-17.167999999999999</c:v>
                </c:pt>
                <c:pt idx="46">
                  <c:v>-17.373000000000001</c:v>
                </c:pt>
                <c:pt idx="47">
                  <c:v>-16.338999999999999</c:v>
                </c:pt>
                <c:pt idx="48" formatCode="0.00">
                  <c:v>-16.457999999999998</c:v>
                </c:pt>
                <c:pt idx="49" formatCode="0.00">
                  <c:v>-16.747</c:v>
                </c:pt>
                <c:pt idx="50">
                  <c:v>-16.995999999999999</c:v>
                </c:pt>
                <c:pt idx="51">
                  <c:v>-17.553000000000001</c:v>
                </c:pt>
                <c:pt idx="52">
                  <c:v>-17.137</c:v>
                </c:pt>
                <c:pt idx="53">
                  <c:v>-17.263999999999999</c:v>
                </c:pt>
                <c:pt idx="54">
                  <c:v>-17.065000000000001</c:v>
                </c:pt>
                <c:pt idx="55">
                  <c:v>-17.753</c:v>
                </c:pt>
                <c:pt idx="56">
                  <c:v>-17.856999999999999</c:v>
                </c:pt>
                <c:pt idx="57" formatCode="0.00">
                  <c:v>-17.222000000000001</c:v>
                </c:pt>
                <c:pt idx="58">
                  <c:v>-17.437999999999999</c:v>
                </c:pt>
                <c:pt idx="59">
                  <c:v>-17.792999999999999</c:v>
                </c:pt>
                <c:pt idx="60">
                  <c:v>-17</c:v>
                </c:pt>
                <c:pt idx="61">
                  <c:v>-17.683</c:v>
                </c:pt>
                <c:pt idx="62">
                  <c:v>-17.727</c:v>
                </c:pt>
                <c:pt idx="63">
                  <c:v>-16.802</c:v>
                </c:pt>
                <c:pt idx="64">
                  <c:v>-17.256</c:v>
                </c:pt>
                <c:pt idx="65">
                  <c:v>-17.878</c:v>
                </c:pt>
                <c:pt idx="66">
                  <c:v>-16.478000000000002</c:v>
                </c:pt>
                <c:pt idx="67">
                  <c:v>-17.533000000000001</c:v>
                </c:pt>
                <c:pt idx="68">
                  <c:v>-17.885000000000002</c:v>
                </c:pt>
              </c:numCache>
            </c:numRef>
          </c:xVal>
          <c:yVal>
            <c:numRef>
              <c:f>('Hg isotope'!$C$4:$C$23;'Hg isotope'!$C$26:$C$74)</c:f>
              <c:numCache>
                <c:formatCode>0.00</c:formatCode>
                <c:ptCount val="69"/>
                <c:pt idx="0">
                  <c:v>9026.67</c:v>
                </c:pt>
                <c:pt idx="1">
                  <c:v>6829.8</c:v>
                </c:pt>
                <c:pt idx="2">
                  <c:v>8533.8799999999992</c:v>
                </c:pt>
                <c:pt idx="3">
                  <c:v>12866.6</c:v>
                </c:pt>
                <c:pt idx="4">
                  <c:v>18614.52</c:v>
                </c:pt>
                <c:pt idx="5">
                  <c:v>20132.09</c:v>
                </c:pt>
                <c:pt idx="6">
                  <c:v>15565.2</c:v>
                </c:pt>
                <c:pt idx="7">
                  <c:v>10932.779999999999</c:v>
                </c:pt>
                <c:pt idx="8">
                  <c:v>8052.39</c:v>
                </c:pt>
                <c:pt idx="9">
                  <c:v>21293.014999999999</c:v>
                </c:pt>
                <c:pt idx="10">
                  <c:v>8405.76</c:v>
                </c:pt>
                <c:pt idx="11">
                  <c:v>5921.89</c:v>
                </c:pt>
                <c:pt idx="12">
                  <c:v>16559.82</c:v>
                </c:pt>
                <c:pt idx="13">
                  <c:v>3034.4827586206902</c:v>
                </c:pt>
                <c:pt idx="14">
                  <c:v>6533.81</c:v>
                </c:pt>
                <c:pt idx="15">
                  <c:v>3623.645</c:v>
                </c:pt>
                <c:pt idx="16">
                  <c:v>18683.539999999997</c:v>
                </c:pt>
                <c:pt idx="17">
                  <c:v>14092.69</c:v>
                </c:pt>
                <c:pt idx="18">
                  <c:v>5031.29</c:v>
                </c:pt>
                <c:pt idx="19">
                  <c:v>9445.65</c:v>
                </c:pt>
                <c:pt idx="20">
                  <c:v>5695.34</c:v>
                </c:pt>
                <c:pt idx="21">
                  <c:v>12094.278250179286</c:v>
                </c:pt>
                <c:pt idx="22">
                  <c:v>10912.25</c:v>
                </c:pt>
                <c:pt idx="23">
                  <c:v>7773.4029095509159</c:v>
                </c:pt>
                <c:pt idx="24">
                  <c:v>8399.8033333333315</c:v>
                </c:pt>
                <c:pt idx="25">
                  <c:v>9033.65</c:v>
                </c:pt>
                <c:pt idx="26">
                  <c:v>11406.09</c:v>
                </c:pt>
                <c:pt idx="27">
                  <c:v>7044.38</c:v>
                </c:pt>
                <c:pt idx="28">
                  <c:v>9865.56</c:v>
                </c:pt>
                <c:pt idx="29">
                  <c:v>13344.715</c:v>
                </c:pt>
                <c:pt idx="30">
                  <c:v>12332.09</c:v>
                </c:pt>
                <c:pt idx="31">
                  <c:v>10268.799999999999</c:v>
                </c:pt>
                <c:pt idx="32">
                  <c:v>10268.867924528302</c:v>
                </c:pt>
                <c:pt idx="33">
                  <c:v>13040.229885057472</c:v>
                </c:pt>
                <c:pt idx="34">
                  <c:v>16914.565000000002</c:v>
                </c:pt>
                <c:pt idx="35">
                  <c:v>9223.0215827338143</c:v>
                </c:pt>
                <c:pt idx="36">
                  <c:v>12434.365</c:v>
                </c:pt>
                <c:pt idx="37">
                  <c:v>15639.43</c:v>
                </c:pt>
                <c:pt idx="38">
                  <c:v>14426.04</c:v>
                </c:pt>
                <c:pt idx="39">
                  <c:v>11013.78</c:v>
                </c:pt>
                <c:pt idx="40">
                  <c:v>9477.1200000000008</c:v>
                </c:pt>
                <c:pt idx="41">
                  <c:v>6246.9135802469136</c:v>
                </c:pt>
                <c:pt idx="42">
                  <c:v>9302.1</c:v>
                </c:pt>
                <c:pt idx="43">
                  <c:v>8137.36</c:v>
                </c:pt>
                <c:pt idx="44">
                  <c:v>17441.04</c:v>
                </c:pt>
                <c:pt idx="45">
                  <c:v>9521.61</c:v>
                </c:pt>
                <c:pt idx="46">
                  <c:v>8593</c:v>
                </c:pt>
                <c:pt idx="47">
                  <c:v>9203.83</c:v>
                </c:pt>
                <c:pt idx="48">
                  <c:v>11218.744999999999</c:v>
                </c:pt>
                <c:pt idx="49">
                  <c:v>10455.39</c:v>
                </c:pt>
                <c:pt idx="50">
                  <c:v>5409.4</c:v>
                </c:pt>
                <c:pt idx="51">
                  <c:v>4994.25</c:v>
                </c:pt>
                <c:pt idx="52">
                  <c:v>7866.8050000000003</c:v>
                </c:pt>
                <c:pt idx="53">
                  <c:v>6470.46</c:v>
                </c:pt>
                <c:pt idx="54">
                  <c:v>13505.46</c:v>
                </c:pt>
                <c:pt idx="55">
                  <c:v>6645.7630634541101</c:v>
                </c:pt>
                <c:pt idx="56">
                  <c:v>5554.29</c:v>
                </c:pt>
                <c:pt idx="57">
                  <c:v>8247.23</c:v>
                </c:pt>
                <c:pt idx="58">
                  <c:v>11566.143333333333</c:v>
                </c:pt>
                <c:pt idx="59">
                  <c:v>10727.57</c:v>
                </c:pt>
                <c:pt idx="60">
                  <c:v>6531.03</c:v>
                </c:pt>
                <c:pt idx="61">
                  <c:v>2504.94</c:v>
                </c:pt>
                <c:pt idx="62">
                  <c:v>3176.09</c:v>
                </c:pt>
                <c:pt idx="63">
                  <c:v>14537.09</c:v>
                </c:pt>
                <c:pt idx="64">
                  <c:v>10453.513333333334</c:v>
                </c:pt>
                <c:pt idx="65">
                  <c:v>2451.8518518518517</c:v>
                </c:pt>
                <c:pt idx="66">
                  <c:v>9318.619999999999</c:v>
                </c:pt>
                <c:pt idx="67">
                  <c:v>8085.86</c:v>
                </c:pt>
                <c:pt idx="68">
                  <c:v>2738.3829846127992</c:v>
                </c:pt>
              </c:numCache>
            </c:numRef>
          </c:yVal>
          <c:smooth val="0"/>
          <c:extLst>
            <c:ext xmlns:c16="http://schemas.microsoft.com/office/drawing/2014/chart" uri="{C3380CC4-5D6E-409C-BE32-E72D297353CC}">
              <c16:uniqueId val="{00000000-D62C-C346-BF20-87F247A9C007}"/>
            </c:ext>
          </c:extLst>
        </c:ser>
        <c:dLbls>
          <c:showLegendKey val="0"/>
          <c:showVal val="0"/>
          <c:showCatName val="0"/>
          <c:showSerName val="0"/>
          <c:showPercent val="0"/>
          <c:showBubbleSize val="0"/>
        </c:dLbls>
        <c:axId val="117707136"/>
        <c:axId val="117709440"/>
      </c:scatterChart>
      <c:valAx>
        <c:axId val="117707136"/>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defRPr sz="1100"/>
                </a:pPr>
                <a:r>
                  <a:rPr lang="el-GR" sz="1100">
                    <a:latin typeface="Times New Roman"/>
                    <a:cs typeface="Times New Roman"/>
                  </a:rPr>
                  <a:t>δ</a:t>
                </a:r>
                <a:r>
                  <a:rPr lang="fr-FR" sz="1100" baseline="30000">
                    <a:latin typeface="Times New Roman"/>
                    <a:cs typeface="Times New Roman"/>
                  </a:rPr>
                  <a:t>13</a:t>
                </a:r>
                <a:r>
                  <a:rPr lang="fr-FR" sz="1100">
                    <a:latin typeface="Times New Roman"/>
                    <a:cs typeface="Times New Roman"/>
                  </a:rPr>
                  <a:t>C</a:t>
                </a:r>
                <a:endParaRPr lang="fr-FR" sz="1100"/>
              </a:p>
            </c:rich>
          </c:tx>
          <c:layout>
            <c:manualLayout>
              <c:xMode val="edge"/>
              <c:yMode val="edge"/>
              <c:x val="0.47758115106687798"/>
              <c:y val="0.90941724941724944"/>
            </c:manualLayout>
          </c:layout>
          <c:overlay val="0"/>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7709440"/>
        <c:crosses val="autoZero"/>
        <c:crossBetween val="midCat"/>
      </c:valAx>
      <c:valAx>
        <c:axId val="117709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100" b="0">
                    <a:solidFill>
                      <a:schemeClr val="tx1">
                        <a:lumMod val="85000"/>
                        <a:lumOff val="15000"/>
                      </a:schemeClr>
                    </a:solidFill>
                  </a:defRPr>
                </a:pPr>
                <a:r>
                  <a:rPr lang="fr-FR" sz="1100" b="0">
                    <a:solidFill>
                      <a:schemeClr val="tx1">
                        <a:lumMod val="85000"/>
                        <a:lumOff val="15000"/>
                      </a:schemeClr>
                    </a:solidFill>
                  </a:rPr>
                  <a:t>Total mercury concentrations   </a:t>
                </a:r>
                <a:r>
                  <a:rPr lang="fr-FR" sz="1100" b="0" baseline="0">
                    <a:solidFill>
                      <a:schemeClr val="tx1">
                        <a:lumMod val="85000"/>
                        <a:lumOff val="15000"/>
                      </a:schemeClr>
                    </a:solidFill>
                  </a:rPr>
                  <a:t>(µg.kg</a:t>
                </a:r>
                <a:r>
                  <a:rPr lang="fr-FR" sz="1100" b="0" baseline="30000">
                    <a:solidFill>
                      <a:schemeClr val="tx1">
                        <a:lumMod val="85000"/>
                        <a:lumOff val="15000"/>
                      </a:schemeClr>
                    </a:solidFill>
                  </a:rPr>
                  <a:t>-1</a:t>
                </a:r>
                <a:r>
                  <a:rPr lang="fr-FR" sz="1100" b="0" baseline="0">
                    <a:solidFill>
                      <a:schemeClr val="tx1">
                        <a:lumMod val="85000"/>
                        <a:lumOff val="15000"/>
                      </a:schemeClr>
                    </a:solidFill>
                  </a:rPr>
                  <a:t> dw)</a:t>
                </a:r>
                <a:endParaRPr lang="fr-FR" sz="1100" b="0">
                  <a:solidFill>
                    <a:schemeClr val="tx1">
                      <a:lumMod val="85000"/>
                      <a:lumOff val="15000"/>
                    </a:schemeClr>
                  </a:solidFill>
                </a:endParaRPr>
              </a:p>
            </c:rich>
          </c:tx>
          <c:layout>
            <c:manualLayout>
              <c:xMode val="edge"/>
              <c:yMode val="edge"/>
              <c:x val="1.8726988533279879E-2"/>
              <c:y val="5.6791086954838609E-2"/>
            </c:manualLayout>
          </c:layout>
          <c:overlay val="0"/>
        </c:title>
        <c:numFmt formatCode="0" sourceLinked="0"/>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77071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13562221726333"/>
          <c:y val="5.1400554097404488E-2"/>
          <c:w val="0.76941141466628415"/>
          <c:h val="0.74729549431321085"/>
        </c:manualLayout>
      </c:layout>
      <c:scatterChart>
        <c:scatterStyle val="lineMarker"/>
        <c:varyColors val="0"/>
        <c:ser>
          <c:idx val="0"/>
          <c:order val="0"/>
          <c:spPr>
            <a:ln w="25400" cap="rnd">
              <a:noFill/>
              <a:round/>
            </a:ln>
            <a:effectLst/>
          </c:spPr>
          <c:marker>
            <c:symbol val="circle"/>
            <c:size val="4"/>
            <c:spPr>
              <a:solidFill>
                <a:schemeClr val="accent1"/>
              </a:solidFill>
              <a:ln w="9525">
                <a:solidFill>
                  <a:schemeClr val="accent1"/>
                </a:solidFill>
              </a:ln>
              <a:effectLst/>
            </c:spPr>
          </c:marker>
          <c:xVal>
            <c:numRef>
              <c:f>('Hg isotope'!$N$4:$N$23,'Hg isotope'!$N$26:$N$74)</c:f>
              <c:numCache>
                <c:formatCode>0.00</c:formatCode>
                <c:ptCount val="69"/>
                <c:pt idx="0">
                  <c:v>13.887</c:v>
                </c:pt>
                <c:pt idx="1">
                  <c:v>13.968999999999999</c:v>
                </c:pt>
                <c:pt idx="2">
                  <c:v>14.375999999999999</c:v>
                </c:pt>
                <c:pt idx="3">
                  <c:v>14.928000000000001</c:v>
                </c:pt>
                <c:pt idx="4">
                  <c:v>15.28</c:v>
                </c:pt>
                <c:pt idx="5">
                  <c:v>15.349</c:v>
                </c:pt>
                <c:pt idx="6">
                  <c:v>15.43</c:v>
                </c:pt>
                <c:pt idx="7">
                  <c:v>15.047000000000001</c:v>
                </c:pt>
                <c:pt idx="8">
                  <c:v>15.257999999999999</c:v>
                </c:pt>
                <c:pt idx="9">
                  <c:v>15.519</c:v>
                </c:pt>
                <c:pt idx="10">
                  <c:v>14.513</c:v>
                </c:pt>
                <c:pt idx="11">
                  <c:v>14.596</c:v>
                </c:pt>
                <c:pt idx="12">
                  <c:v>15.582000000000001</c:v>
                </c:pt>
                <c:pt idx="13">
                  <c:v>14.167999999999999</c:v>
                </c:pt>
                <c:pt idx="14">
                  <c:v>14.436</c:v>
                </c:pt>
                <c:pt idx="15">
                  <c:v>14.532</c:v>
                </c:pt>
                <c:pt idx="16">
                  <c:v>15.887</c:v>
                </c:pt>
                <c:pt idx="17">
                  <c:v>14.317887071498596</c:v>
                </c:pt>
                <c:pt idx="18">
                  <c:v>14.39</c:v>
                </c:pt>
                <c:pt idx="19">
                  <c:v>14.576000000000001</c:v>
                </c:pt>
                <c:pt idx="20">
                  <c:v>14.811999999999999</c:v>
                </c:pt>
                <c:pt idx="21">
                  <c:v>14.84</c:v>
                </c:pt>
                <c:pt idx="22">
                  <c:v>14.692</c:v>
                </c:pt>
                <c:pt idx="23">
                  <c:v>15.253</c:v>
                </c:pt>
                <c:pt idx="24">
                  <c:v>15.545999999999999</c:v>
                </c:pt>
                <c:pt idx="25">
                  <c:v>14.446999999999999</c:v>
                </c:pt>
                <c:pt idx="26">
                  <c:v>15.103</c:v>
                </c:pt>
                <c:pt idx="27">
                  <c:v>14.275</c:v>
                </c:pt>
                <c:pt idx="28">
                  <c:v>15.257</c:v>
                </c:pt>
                <c:pt idx="29">
                  <c:v>15.175000000000001</c:v>
                </c:pt>
                <c:pt idx="30">
                  <c:v>14.504</c:v>
                </c:pt>
                <c:pt idx="31">
                  <c:v>14.234999999999999</c:v>
                </c:pt>
                <c:pt idx="32">
                  <c:v>13.968</c:v>
                </c:pt>
                <c:pt idx="33">
                  <c:v>14.731</c:v>
                </c:pt>
                <c:pt idx="34">
                  <c:v>15.558999999999999</c:v>
                </c:pt>
                <c:pt idx="35">
                  <c:v>14.416</c:v>
                </c:pt>
                <c:pt idx="36">
                  <c:v>14.401999999999999</c:v>
                </c:pt>
                <c:pt idx="37">
                  <c:v>15.231</c:v>
                </c:pt>
                <c:pt idx="38">
                  <c:v>15.243</c:v>
                </c:pt>
                <c:pt idx="39">
                  <c:v>14.532999999999999</c:v>
                </c:pt>
                <c:pt idx="40">
                  <c:v>14.603</c:v>
                </c:pt>
                <c:pt idx="41">
                  <c:v>14.47</c:v>
                </c:pt>
                <c:pt idx="42">
                  <c:v>14.523</c:v>
                </c:pt>
                <c:pt idx="43">
                  <c:v>15.327</c:v>
                </c:pt>
                <c:pt idx="44">
                  <c:v>15.561999999999999</c:v>
                </c:pt>
                <c:pt idx="45">
                  <c:v>15.323</c:v>
                </c:pt>
                <c:pt idx="46">
                  <c:v>15.462</c:v>
                </c:pt>
                <c:pt idx="47">
                  <c:v>15.317</c:v>
                </c:pt>
                <c:pt idx="48">
                  <c:v>14.989000000000001</c:v>
                </c:pt>
                <c:pt idx="49">
                  <c:v>15.66</c:v>
                </c:pt>
                <c:pt idx="50">
                  <c:v>15.007999999999999</c:v>
                </c:pt>
                <c:pt idx="51">
                  <c:v>14.878</c:v>
                </c:pt>
                <c:pt idx="52">
                  <c:v>14.595000000000001</c:v>
                </c:pt>
                <c:pt idx="53">
                  <c:v>14.927</c:v>
                </c:pt>
                <c:pt idx="54">
                  <c:v>15.164999999999999</c:v>
                </c:pt>
                <c:pt idx="55">
                  <c:v>15.45</c:v>
                </c:pt>
                <c:pt idx="56">
                  <c:v>14.737</c:v>
                </c:pt>
                <c:pt idx="57">
                  <c:v>14.396000000000001</c:v>
                </c:pt>
                <c:pt idx="58">
                  <c:v>13.919</c:v>
                </c:pt>
                <c:pt idx="59">
                  <c:v>15.516</c:v>
                </c:pt>
                <c:pt idx="60">
                  <c:v>14.967000000000001</c:v>
                </c:pt>
                <c:pt idx="61">
                  <c:v>14.686</c:v>
                </c:pt>
                <c:pt idx="62">
                  <c:v>14.920999999999999</c:v>
                </c:pt>
                <c:pt idx="63">
                  <c:v>15.318</c:v>
                </c:pt>
                <c:pt idx="64">
                  <c:v>14.946999999999999</c:v>
                </c:pt>
                <c:pt idx="65">
                  <c:v>14.436</c:v>
                </c:pt>
                <c:pt idx="66">
                  <c:v>15.407999999999999</c:v>
                </c:pt>
                <c:pt idx="67">
                  <c:v>14.319000000000001</c:v>
                </c:pt>
                <c:pt idx="68">
                  <c:v>14.359</c:v>
                </c:pt>
              </c:numCache>
            </c:numRef>
          </c:xVal>
          <c:yVal>
            <c:numRef>
              <c:f>('Hg isotope'!$C$4:$C$23,'Hg isotope'!$C$26:$C$74)</c:f>
              <c:numCache>
                <c:formatCode>0.00</c:formatCode>
                <c:ptCount val="69"/>
                <c:pt idx="0">
                  <c:v>9026.67</c:v>
                </c:pt>
                <c:pt idx="1">
                  <c:v>6829.8</c:v>
                </c:pt>
                <c:pt idx="2">
                  <c:v>8533.8799999999992</c:v>
                </c:pt>
                <c:pt idx="3">
                  <c:v>12866.6</c:v>
                </c:pt>
                <c:pt idx="4">
                  <c:v>18614.52</c:v>
                </c:pt>
                <c:pt idx="5">
                  <c:v>20132.09</c:v>
                </c:pt>
                <c:pt idx="6">
                  <c:v>15565.2</c:v>
                </c:pt>
                <c:pt idx="7">
                  <c:v>10932.779999999999</c:v>
                </c:pt>
                <c:pt idx="8">
                  <c:v>8052.39</c:v>
                </c:pt>
                <c:pt idx="9">
                  <c:v>21293.014999999999</c:v>
                </c:pt>
                <c:pt idx="10">
                  <c:v>8405.76</c:v>
                </c:pt>
                <c:pt idx="11">
                  <c:v>5921.89</c:v>
                </c:pt>
                <c:pt idx="12">
                  <c:v>16559.82</c:v>
                </c:pt>
                <c:pt idx="13">
                  <c:v>3034.4827586206902</c:v>
                </c:pt>
                <c:pt idx="14">
                  <c:v>6533.81</c:v>
                </c:pt>
                <c:pt idx="15">
                  <c:v>3623.645</c:v>
                </c:pt>
                <c:pt idx="16">
                  <c:v>18683.539999999997</c:v>
                </c:pt>
                <c:pt idx="17">
                  <c:v>14092.69</c:v>
                </c:pt>
                <c:pt idx="18">
                  <c:v>5031.29</c:v>
                </c:pt>
                <c:pt idx="19">
                  <c:v>9445.65</c:v>
                </c:pt>
                <c:pt idx="20">
                  <c:v>5695.34</c:v>
                </c:pt>
                <c:pt idx="21">
                  <c:v>12094.278250179286</c:v>
                </c:pt>
                <c:pt idx="22">
                  <c:v>10912.25</c:v>
                </c:pt>
                <c:pt idx="23">
                  <c:v>7773.4029095509159</c:v>
                </c:pt>
                <c:pt idx="24">
                  <c:v>8399.8033333333315</c:v>
                </c:pt>
                <c:pt idx="25">
                  <c:v>9033.65</c:v>
                </c:pt>
                <c:pt idx="26">
                  <c:v>11406.09</c:v>
                </c:pt>
                <c:pt idx="27">
                  <c:v>7044.38</c:v>
                </c:pt>
                <c:pt idx="28">
                  <c:v>9865.56</c:v>
                </c:pt>
                <c:pt idx="29">
                  <c:v>13344.715</c:v>
                </c:pt>
                <c:pt idx="30">
                  <c:v>12332.09</c:v>
                </c:pt>
                <c:pt idx="31">
                  <c:v>10268.799999999999</c:v>
                </c:pt>
                <c:pt idx="32">
                  <c:v>10268.867924528302</c:v>
                </c:pt>
                <c:pt idx="33">
                  <c:v>13040.229885057472</c:v>
                </c:pt>
                <c:pt idx="34">
                  <c:v>16914.565000000002</c:v>
                </c:pt>
                <c:pt idx="35">
                  <c:v>9223.0215827338143</c:v>
                </c:pt>
                <c:pt idx="36">
                  <c:v>12434.365</c:v>
                </c:pt>
                <c:pt idx="37">
                  <c:v>15639.43</c:v>
                </c:pt>
                <c:pt idx="38">
                  <c:v>14426.04</c:v>
                </c:pt>
                <c:pt idx="39">
                  <c:v>11013.78</c:v>
                </c:pt>
                <c:pt idx="40">
                  <c:v>9477.1200000000008</c:v>
                </c:pt>
                <c:pt idx="41">
                  <c:v>6246.9135802469136</c:v>
                </c:pt>
                <c:pt idx="42">
                  <c:v>9302.1</c:v>
                </c:pt>
                <c:pt idx="43">
                  <c:v>8137.36</c:v>
                </c:pt>
                <c:pt idx="44">
                  <c:v>17441.04</c:v>
                </c:pt>
                <c:pt idx="45">
                  <c:v>9521.61</c:v>
                </c:pt>
                <c:pt idx="46">
                  <c:v>8593</c:v>
                </c:pt>
                <c:pt idx="47">
                  <c:v>9203.83</c:v>
                </c:pt>
                <c:pt idx="48">
                  <c:v>11218.744999999999</c:v>
                </c:pt>
                <c:pt idx="49">
                  <c:v>10455.39</c:v>
                </c:pt>
                <c:pt idx="50">
                  <c:v>5409.4</c:v>
                </c:pt>
                <c:pt idx="51">
                  <c:v>4994.25</c:v>
                </c:pt>
                <c:pt idx="52">
                  <c:v>7866.8050000000003</c:v>
                </c:pt>
                <c:pt idx="53">
                  <c:v>6470.46</c:v>
                </c:pt>
                <c:pt idx="54">
                  <c:v>13505.46</c:v>
                </c:pt>
                <c:pt idx="55">
                  <c:v>6645.7630634541101</c:v>
                </c:pt>
                <c:pt idx="56">
                  <c:v>5554.29</c:v>
                </c:pt>
                <c:pt idx="57">
                  <c:v>8247.23</c:v>
                </c:pt>
                <c:pt idx="58">
                  <c:v>11566.143333333333</c:v>
                </c:pt>
                <c:pt idx="59">
                  <c:v>10727.57</c:v>
                </c:pt>
                <c:pt idx="60">
                  <c:v>6531.03</c:v>
                </c:pt>
                <c:pt idx="61">
                  <c:v>2504.94</c:v>
                </c:pt>
                <c:pt idx="62">
                  <c:v>3176.09</c:v>
                </c:pt>
                <c:pt idx="63">
                  <c:v>14537.09</c:v>
                </c:pt>
                <c:pt idx="64">
                  <c:v>10453.513333333334</c:v>
                </c:pt>
                <c:pt idx="65">
                  <c:v>2451.8518518518517</c:v>
                </c:pt>
                <c:pt idx="66">
                  <c:v>9318.619999999999</c:v>
                </c:pt>
                <c:pt idx="67">
                  <c:v>8085.86</c:v>
                </c:pt>
                <c:pt idx="68">
                  <c:v>2738.3829846127992</c:v>
                </c:pt>
              </c:numCache>
            </c:numRef>
          </c:yVal>
          <c:smooth val="0"/>
          <c:extLst>
            <c:ext xmlns:c16="http://schemas.microsoft.com/office/drawing/2014/chart" uri="{C3380CC4-5D6E-409C-BE32-E72D297353CC}">
              <c16:uniqueId val="{00000000-E2D8-9549-BE8A-21DD34A00A74}"/>
            </c:ext>
          </c:extLst>
        </c:ser>
        <c:dLbls>
          <c:showLegendKey val="0"/>
          <c:showVal val="0"/>
          <c:showCatName val="0"/>
          <c:showSerName val="0"/>
          <c:showPercent val="0"/>
          <c:showBubbleSize val="0"/>
        </c:dLbls>
        <c:axId val="131262720"/>
        <c:axId val="131539712"/>
      </c:scatterChart>
      <c:valAx>
        <c:axId val="131262720"/>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defRPr sz="1100">
                    <a:solidFill>
                      <a:schemeClr val="tx1">
                        <a:lumMod val="85000"/>
                        <a:lumOff val="15000"/>
                      </a:schemeClr>
                    </a:solidFill>
                  </a:defRPr>
                </a:pPr>
                <a:r>
                  <a:rPr lang="el-GR" sz="1100">
                    <a:solidFill>
                      <a:schemeClr val="tx1">
                        <a:lumMod val="85000"/>
                        <a:lumOff val="15000"/>
                      </a:schemeClr>
                    </a:solidFill>
                    <a:latin typeface="Times New Roman"/>
                    <a:cs typeface="Times New Roman"/>
                  </a:rPr>
                  <a:t>δ</a:t>
                </a:r>
                <a:r>
                  <a:rPr lang="fr-FR" sz="1100" baseline="30000">
                    <a:solidFill>
                      <a:schemeClr val="tx1">
                        <a:lumMod val="85000"/>
                        <a:lumOff val="15000"/>
                      </a:schemeClr>
                    </a:solidFill>
                    <a:latin typeface="Times New Roman"/>
                    <a:cs typeface="Times New Roman"/>
                  </a:rPr>
                  <a:t>15</a:t>
                </a:r>
                <a:r>
                  <a:rPr lang="fr-FR" sz="1100">
                    <a:solidFill>
                      <a:schemeClr val="tx1">
                        <a:lumMod val="85000"/>
                        <a:lumOff val="15000"/>
                      </a:schemeClr>
                    </a:solidFill>
                    <a:latin typeface="Times New Roman"/>
                    <a:cs typeface="Times New Roman"/>
                  </a:rPr>
                  <a:t>N</a:t>
                </a:r>
                <a:endParaRPr lang="fr-FR" sz="1100">
                  <a:solidFill>
                    <a:schemeClr val="tx1">
                      <a:lumMod val="85000"/>
                      <a:lumOff val="15000"/>
                    </a:schemeClr>
                  </a:solidFill>
                </a:endParaRPr>
              </a:p>
            </c:rich>
          </c:tx>
          <c:layout>
            <c:manualLayout>
              <c:xMode val="edge"/>
              <c:yMode val="edge"/>
              <c:x val="0.47230674905794257"/>
              <c:y val="0.89615740740740746"/>
            </c:manualLayout>
          </c:layout>
          <c:overlay val="0"/>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131539712"/>
        <c:crosses val="autoZero"/>
        <c:crossBetween val="midCat"/>
      </c:valAx>
      <c:valAx>
        <c:axId val="131539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100" b="0">
                    <a:solidFill>
                      <a:schemeClr val="tx1">
                        <a:lumMod val="85000"/>
                        <a:lumOff val="15000"/>
                      </a:schemeClr>
                    </a:solidFill>
                  </a:defRPr>
                </a:pPr>
                <a:r>
                  <a:rPr lang="fr-FR" sz="1100" b="0">
                    <a:solidFill>
                      <a:schemeClr val="tx1">
                        <a:lumMod val="85000"/>
                        <a:lumOff val="15000"/>
                      </a:schemeClr>
                    </a:solidFill>
                  </a:rPr>
                  <a:t>Total mercury concentrations  (µg.kg</a:t>
                </a:r>
                <a:r>
                  <a:rPr lang="fr-FR" sz="1100" b="0" baseline="30000">
                    <a:solidFill>
                      <a:schemeClr val="tx1">
                        <a:lumMod val="85000"/>
                        <a:lumOff val="15000"/>
                      </a:schemeClr>
                    </a:solidFill>
                  </a:rPr>
                  <a:t>-1</a:t>
                </a:r>
                <a:r>
                  <a:rPr lang="fr-FR" sz="1100" b="0">
                    <a:solidFill>
                      <a:schemeClr val="tx1">
                        <a:lumMod val="85000"/>
                        <a:lumOff val="15000"/>
                      </a:schemeClr>
                    </a:solidFill>
                  </a:rPr>
                  <a:t> dw)</a:t>
                </a:r>
              </a:p>
            </c:rich>
          </c:tx>
          <c:layout>
            <c:manualLayout>
              <c:xMode val="edge"/>
              <c:yMode val="edge"/>
              <c:x val="1.9396431721338477E-2"/>
              <c:y val="6.3746854652018056E-2"/>
            </c:manualLayout>
          </c:layout>
          <c:overlay val="0"/>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12627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35460-539A-8B44-85C1-4E08B4A5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13488</Words>
  <Characters>74190</Characters>
  <Application>Microsoft Office Word</Application>
  <DocSecurity>0</DocSecurity>
  <Lines>618</Lines>
  <Paragraphs>175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Microsoft Office</dc:creator>
  <cp:lastModifiedBy>Utilisateur Microsoft Office</cp:lastModifiedBy>
  <cp:revision>2</cp:revision>
  <cp:lastPrinted>2018-09-21T11:27:00Z</cp:lastPrinted>
  <dcterms:created xsi:type="dcterms:W3CDTF">2019-04-29T09:34:00Z</dcterms:created>
  <dcterms:modified xsi:type="dcterms:W3CDTF">2019-04-29T09:34:00Z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16th edition (author-date)</vt:lpwstr>
  </property>
  <property fmtid="{D5CDD505-2E9C-101B-9397-08002B2CF9AE}" pid="4" name="Mendeley Recent Style Id 1_1">
    <vt:lpwstr>http://www.zotero.org/styles/endangered-species-research</vt:lpwstr>
  </property>
  <property fmtid="{D5CDD505-2E9C-101B-9397-08002B2CF9AE}" pid="5" name="Mendeley Recent Style Name 1_1">
    <vt:lpwstr>Endangered Species Research</vt:lpwstr>
  </property>
  <property fmtid="{D5CDD505-2E9C-101B-9397-08002B2CF9AE}" pid="6" name="Mendeley Recent Style Id 2_1">
    <vt:lpwstr>http://www.zotero.org/styles/environmental-science-and-technology</vt:lpwstr>
  </property>
  <property fmtid="{D5CDD505-2E9C-101B-9397-08002B2CF9AE}" pid="7" name="Mendeley Recent Style Name 2_1">
    <vt:lpwstr>Environmental Science &amp; Technology</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http://www.zotero.org/styles/journal-of-trace-elements-in-medicine-and-biology</vt:lpwstr>
  </property>
  <property fmtid="{D5CDD505-2E9C-101B-9397-08002B2CF9AE}" pid="11" name="Mendeley Recent Style Name 4_1">
    <vt:lpwstr>Journal of Trace Elements in Medicine and Biology</vt:lpwstr>
  </property>
  <property fmtid="{D5CDD505-2E9C-101B-9397-08002B2CF9AE}" pid="12" name="Mendeley Recent Style Id 5_1">
    <vt:lpwstr>http://www.zotero.org/styles/marine-ecology-progress-series</vt:lpwstr>
  </property>
  <property fmtid="{D5CDD505-2E9C-101B-9397-08002B2CF9AE}" pid="13" name="Mendeley Recent Style Name 5_1">
    <vt:lpwstr>Marine Ecology Progress Series</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http://www.zotero.org/styles/proceedings-of-the-royal-society-b</vt:lpwstr>
  </property>
  <property fmtid="{D5CDD505-2E9C-101B-9397-08002B2CF9AE}" pid="17" name="Mendeley Recent Style Name 7_1">
    <vt:lpwstr>Proceedings of the Royal Society B</vt:lpwstr>
  </property>
  <property fmtid="{D5CDD505-2E9C-101B-9397-08002B2CF9AE}" pid="18" name="Mendeley Recent Style Id 8_1">
    <vt:lpwstr>http://www.zotero.org/styles/rapid-communications-in-mass-spectrometry</vt:lpwstr>
  </property>
  <property fmtid="{D5CDD505-2E9C-101B-9397-08002B2CF9AE}" pid="19" name="Mendeley Recent Style Name 8_1">
    <vt:lpwstr>Rapid Communications in Mass Spectrometry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5417f3b6-5a11-39dd-a492-2fc347c49626</vt:lpwstr>
  </property>
  <property fmtid="{D5CDD505-2E9C-101B-9397-08002B2CF9AE}" pid="24" name="Mendeley Citation Style_1">
    <vt:lpwstr>http://www.zotero.org/styles/nature</vt:lpwstr>
  </property>
</Properties>
</file>