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F57928" w14:textId="6D0644D4" w:rsidR="003829B7" w:rsidRDefault="00B62B6B" w:rsidP="00B62B6B">
      <w:pPr>
        <w:pStyle w:val="Style1"/>
        <w:jc w:val="center"/>
        <w:rPr>
          <w:color w:val="000000" w:themeColor="text1"/>
          <w:u w:val="none"/>
        </w:rPr>
      </w:pPr>
      <w:r w:rsidRPr="00070972">
        <w:rPr>
          <w:color w:val="000000" w:themeColor="text1"/>
          <w:u w:val="none"/>
        </w:rPr>
        <w:t xml:space="preserve">Carence en vitamine B12 : </w:t>
      </w:r>
      <w:r w:rsidR="00093BA1">
        <w:rPr>
          <w:color w:val="000000" w:themeColor="text1"/>
          <w:u w:val="none"/>
        </w:rPr>
        <w:t xml:space="preserve">diagnostic et </w:t>
      </w:r>
      <w:r w:rsidRPr="00070972">
        <w:rPr>
          <w:color w:val="000000" w:themeColor="text1"/>
          <w:u w:val="none"/>
        </w:rPr>
        <w:t>prise en charge</w:t>
      </w:r>
    </w:p>
    <w:p w14:paraId="46236A7E" w14:textId="77777777" w:rsidR="00BB5832" w:rsidRDefault="00BB5832" w:rsidP="00B62B6B">
      <w:pPr>
        <w:pStyle w:val="Style1"/>
        <w:jc w:val="center"/>
        <w:rPr>
          <w:color w:val="000000" w:themeColor="text1"/>
          <w:u w:val="none"/>
        </w:rPr>
      </w:pPr>
    </w:p>
    <w:p w14:paraId="57B93140" w14:textId="77777777" w:rsidR="00BB5832" w:rsidRDefault="00BB5832" w:rsidP="00B62B6B">
      <w:pPr>
        <w:pStyle w:val="Style1"/>
        <w:jc w:val="center"/>
        <w:rPr>
          <w:color w:val="000000" w:themeColor="text1"/>
          <w:u w:val="none"/>
        </w:rPr>
      </w:pPr>
    </w:p>
    <w:p w14:paraId="2D2418DD" w14:textId="77777777" w:rsidR="00BB5832" w:rsidRDefault="00BB5832" w:rsidP="00B62B6B">
      <w:pPr>
        <w:pStyle w:val="Style1"/>
        <w:jc w:val="center"/>
        <w:rPr>
          <w:color w:val="000000" w:themeColor="text1"/>
          <w:u w:val="none"/>
        </w:rPr>
      </w:pPr>
    </w:p>
    <w:p w14:paraId="63CF7B85" w14:textId="72C86523" w:rsidR="00BB5832" w:rsidRDefault="002D7EF7" w:rsidP="00BB5832">
      <w:pPr>
        <w:pStyle w:val="Style1"/>
        <w:rPr>
          <w:b w:val="0"/>
          <w:color w:val="000000" w:themeColor="text1"/>
          <w:u w:val="none"/>
        </w:rPr>
      </w:pPr>
      <w:r>
        <w:rPr>
          <w:color w:val="000000" w:themeColor="text1"/>
          <w:u w:val="none"/>
        </w:rPr>
        <w:t>1-</w:t>
      </w:r>
      <w:r w:rsidR="00BB5832" w:rsidRPr="002D7EF7">
        <w:rPr>
          <w:color w:val="000000" w:themeColor="text1"/>
          <w:u w:val="none"/>
        </w:rPr>
        <w:t>Dr Pauline Delannoy</w:t>
      </w:r>
      <w:r w:rsidR="00BB5832" w:rsidRPr="00BB5832">
        <w:rPr>
          <w:b w:val="0"/>
          <w:color w:val="000000" w:themeColor="text1"/>
          <w:u w:val="none"/>
        </w:rPr>
        <w:t>, Service d’Endocrinologie. CHU de Liège</w:t>
      </w:r>
    </w:p>
    <w:p w14:paraId="2D2ABE19" w14:textId="027CDEF4" w:rsidR="00BB5832" w:rsidRDefault="002D7EF7" w:rsidP="00BB5832">
      <w:pPr>
        <w:pStyle w:val="Style1"/>
        <w:rPr>
          <w:b w:val="0"/>
          <w:color w:val="000000" w:themeColor="text1"/>
          <w:u w:val="none"/>
        </w:rPr>
      </w:pPr>
      <w:r>
        <w:rPr>
          <w:color w:val="000000" w:themeColor="text1"/>
          <w:u w:val="none"/>
        </w:rPr>
        <w:t>2-</w:t>
      </w:r>
      <w:r w:rsidR="00BB5832" w:rsidRPr="002D7EF7">
        <w:rPr>
          <w:color w:val="000000" w:themeColor="text1"/>
          <w:u w:val="none"/>
        </w:rPr>
        <w:t xml:space="preserve">Dr Laura </w:t>
      </w:r>
      <w:r w:rsidR="00AE1533" w:rsidRPr="002D7EF7">
        <w:rPr>
          <w:color w:val="000000" w:themeColor="text1"/>
          <w:u w:val="none"/>
        </w:rPr>
        <w:t>Vranken</w:t>
      </w:r>
      <w:r w:rsidR="00AE1533" w:rsidRPr="00BB5832">
        <w:rPr>
          <w:b w:val="0"/>
          <w:color w:val="000000" w:themeColor="text1"/>
          <w:u w:val="none"/>
        </w:rPr>
        <w:t>,</w:t>
      </w:r>
      <w:r w:rsidR="00BB5832" w:rsidRPr="00BB5832">
        <w:rPr>
          <w:b w:val="0"/>
          <w:color w:val="000000" w:themeColor="text1"/>
          <w:u w:val="none"/>
        </w:rPr>
        <w:t xml:space="preserve"> Service de </w:t>
      </w:r>
      <w:r w:rsidR="00920459">
        <w:rPr>
          <w:b w:val="0"/>
          <w:color w:val="000000" w:themeColor="text1"/>
          <w:u w:val="none"/>
        </w:rPr>
        <w:t>Chimie Médicale</w:t>
      </w:r>
      <w:r w:rsidR="00BB5832" w:rsidRPr="00BB5832">
        <w:rPr>
          <w:b w:val="0"/>
          <w:color w:val="000000" w:themeColor="text1"/>
          <w:u w:val="none"/>
        </w:rPr>
        <w:t>,</w:t>
      </w:r>
      <w:r w:rsidR="00BB5832" w:rsidRPr="00BB5832">
        <w:t xml:space="preserve"> </w:t>
      </w:r>
      <w:r w:rsidR="00BB5832" w:rsidRPr="00BB5832">
        <w:rPr>
          <w:b w:val="0"/>
          <w:color w:val="000000" w:themeColor="text1"/>
          <w:u w:val="none"/>
        </w:rPr>
        <w:t>CHU de Liège</w:t>
      </w:r>
    </w:p>
    <w:p w14:paraId="0B07F466" w14:textId="28363EF3" w:rsidR="002D7EF7" w:rsidRDefault="002D7EF7" w:rsidP="00BB5832">
      <w:pPr>
        <w:pStyle w:val="Style1"/>
        <w:rPr>
          <w:b w:val="0"/>
          <w:color w:val="000000" w:themeColor="text1"/>
          <w:u w:val="none"/>
        </w:rPr>
      </w:pPr>
      <w:r>
        <w:rPr>
          <w:color w:val="000000" w:themeColor="text1"/>
          <w:u w:val="none"/>
        </w:rPr>
        <w:t>3-</w:t>
      </w:r>
      <w:r w:rsidRPr="002D7EF7">
        <w:rPr>
          <w:color w:val="000000" w:themeColor="text1"/>
          <w:u w:val="none"/>
        </w:rPr>
        <w:t xml:space="preserve">Dr </w:t>
      </w:r>
      <w:r w:rsidR="00BB5832" w:rsidRPr="002D7EF7">
        <w:rPr>
          <w:color w:val="000000" w:themeColor="text1"/>
          <w:u w:val="none"/>
        </w:rPr>
        <w:t>Etienne Cavalier</w:t>
      </w:r>
      <w:r w:rsidR="00BB5832" w:rsidRPr="00BB5832">
        <w:rPr>
          <w:b w:val="0"/>
          <w:color w:val="000000" w:themeColor="text1"/>
          <w:u w:val="none"/>
        </w:rPr>
        <w:t xml:space="preserve">, </w:t>
      </w:r>
      <w:r>
        <w:rPr>
          <w:b w:val="0"/>
          <w:color w:val="000000" w:themeColor="text1"/>
          <w:u w:val="none"/>
        </w:rPr>
        <w:t xml:space="preserve">Professeur (Ulg), </w:t>
      </w:r>
      <w:r w:rsidRPr="002D7EF7">
        <w:rPr>
          <w:b w:val="0"/>
          <w:color w:val="000000" w:themeColor="text1"/>
          <w:u w:val="none"/>
        </w:rPr>
        <w:t xml:space="preserve">Service de </w:t>
      </w:r>
      <w:r w:rsidR="001A16D4">
        <w:rPr>
          <w:b w:val="0"/>
          <w:color w:val="000000" w:themeColor="text1"/>
          <w:u w:val="none"/>
        </w:rPr>
        <w:t>Chim</w:t>
      </w:r>
      <w:bookmarkStart w:id="0" w:name="_GoBack"/>
      <w:bookmarkEnd w:id="0"/>
      <w:r w:rsidR="00920459">
        <w:rPr>
          <w:b w:val="0"/>
          <w:color w:val="000000" w:themeColor="text1"/>
          <w:u w:val="none"/>
        </w:rPr>
        <w:t>ie Médicale</w:t>
      </w:r>
      <w:r w:rsidRPr="002D7EF7">
        <w:rPr>
          <w:b w:val="0"/>
          <w:color w:val="000000" w:themeColor="text1"/>
          <w:u w:val="none"/>
        </w:rPr>
        <w:t>, CHU de Liège</w:t>
      </w:r>
    </w:p>
    <w:p w14:paraId="3B137AFC" w14:textId="1005B3FB" w:rsidR="002D7EF7" w:rsidRDefault="002D7EF7" w:rsidP="00BB5832">
      <w:pPr>
        <w:pStyle w:val="Style1"/>
        <w:rPr>
          <w:b w:val="0"/>
          <w:color w:val="000000" w:themeColor="text1"/>
          <w:u w:val="none"/>
        </w:rPr>
      </w:pPr>
      <w:r>
        <w:rPr>
          <w:color w:val="000000" w:themeColor="text1"/>
          <w:u w:val="none"/>
        </w:rPr>
        <w:t>4-</w:t>
      </w:r>
      <w:r w:rsidR="00BB5832" w:rsidRPr="002D7EF7">
        <w:rPr>
          <w:color w:val="000000" w:themeColor="text1"/>
          <w:u w:val="none"/>
        </w:rPr>
        <w:t>Dr Hernan Valdes-Socin</w:t>
      </w:r>
      <w:r>
        <w:rPr>
          <w:b w:val="0"/>
          <w:color w:val="000000" w:themeColor="text1"/>
          <w:u w:val="none"/>
        </w:rPr>
        <w:t xml:space="preserve">, Chargé de Cours adjoint (Ulg), </w:t>
      </w:r>
      <w:r w:rsidR="00BB5832">
        <w:rPr>
          <w:b w:val="0"/>
          <w:color w:val="000000" w:themeColor="text1"/>
          <w:u w:val="none"/>
        </w:rPr>
        <w:t>Service d’Endocrinologie.</w:t>
      </w:r>
    </w:p>
    <w:p w14:paraId="76A3370B" w14:textId="7561F321" w:rsidR="00BB5832" w:rsidRDefault="00BB5832" w:rsidP="00BB5832">
      <w:pPr>
        <w:pStyle w:val="Style1"/>
        <w:rPr>
          <w:b w:val="0"/>
          <w:color w:val="000000" w:themeColor="text1"/>
          <w:u w:val="none"/>
        </w:rPr>
      </w:pPr>
      <w:r>
        <w:rPr>
          <w:b w:val="0"/>
          <w:color w:val="000000" w:themeColor="text1"/>
          <w:u w:val="none"/>
        </w:rPr>
        <w:t xml:space="preserve"> CHU de Liège</w:t>
      </w:r>
    </w:p>
    <w:p w14:paraId="0DE3A3FA" w14:textId="77777777" w:rsidR="002D7EF7" w:rsidRDefault="002D7EF7" w:rsidP="00BB5832">
      <w:pPr>
        <w:pStyle w:val="Style1"/>
        <w:rPr>
          <w:b w:val="0"/>
          <w:color w:val="000000" w:themeColor="text1"/>
          <w:u w:val="none"/>
        </w:rPr>
      </w:pPr>
    </w:p>
    <w:p w14:paraId="711658FA" w14:textId="5B309B73" w:rsidR="002D7EF7" w:rsidRDefault="002D7EF7" w:rsidP="00BB5832">
      <w:pPr>
        <w:pStyle w:val="Style1"/>
        <w:rPr>
          <w:b w:val="0"/>
          <w:color w:val="000000" w:themeColor="text1"/>
          <w:u w:val="none"/>
        </w:rPr>
      </w:pPr>
      <w:r w:rsidRPr="002D7EF7">
        <w:rPr>
          <w:color w:val="000000" w:themeColor="text1"/>
          <w:u w:val="none"/>
        </w:rPr>
        <w:t>Contact :</w:t>
      </w:r>
      <w:r>
        <w:rPr>
          <w:b w:val="0"/>
          <w:color w:val="000000" w:themeColor="text1"/>
          <w:u w:val="none"/>
        </w:rPr>
        <w:t xml:space="preserve"> hg.valdessocin@chuliege.be</w:t>
      </w:r>
    </w:p>
    <w:p w14:paraId="7335C7AC" w14:textId="77777777" w:rsidR="00B62B6B" w:rsidRDefault="00B62B6B" w:rsidP="00B62B6B">
      <w:pPr>
        <w:pStyle w:val="Sansinterligne"/>
      </w:pPr>
    </w:p>
    <w:p w14:paraId="713A1102" w14:textId="77777777" w:rsidR="00380390" w:rsidRDefault="00380390" w:rsidP="00B62B6B">
      <w:pPr>
        <w:pStyle w:val="Sansinterligne"/>
      </w:pPr>
    </w:p>
    <w:p w14:paraId="5BAB7FEC" w14:textId="77777777" w:rsidR="00380390" w:rsidRPr="00B002AC" w:rsidRDefault="00380390" w:rsidP="00B62B6B">
      <w:pPr>
        <w:pStyle w:val="Sansinterligne"/>
        <w:rPr>
          <w:lang w:val="fr-FR"/>
        </w:rPr>
      </w:pPr>
    </w:p>
    <w:p w14:paraId="5D5766DC" w14:textId="77777777" w:rsidR="00B62B6B" w:rsidRPr="00B002AC" w:rsidRDefault="00070972" w:rsidP="00B62B6B">
      <w:pPr>
        <w:pStyle w:val="Style2"/>
        <w:rPr>
          <w:color w:val="000000" w:themeColor="text1"/>
          <w:u w:val="none"/>
          <w:lang w:val="fr-FR"/>
        </w:rPr>
      </w:pPr>
      <w:r w:rsidRPr="00B002AC">
        <w:rPr>
          <w:color w:val="000000" w:themeColor="text1"/>
          <w:u w:val="none"/>
          <w:lang w:val="fr-FR"/>
        </w:rPr>
        <w:t>Introduction</w:t>
      </w:r>
    </w:p>
    <w:p w14:paraId="7D11F5DD" w14:textId="77777777" w:rsidR="00A26BF8" w:rsidRPr="00B002AC" w:rsidRDefault="00A26BF8" w:rsidP="00B62B6B">
      <w:pPr>
        <w:pStyle w:val="Sansinterligne"/>
        <w:rPr>
          <w:lang w:val="fr-FR"/>
        </w:rPr>
      </w:pPr>
    </w:p>
    <w:p w14:paraId="3512075D" w14:textId="178A82D0" w:rsidR="00B04578" w:rsidRPr="00B002AC" w:rsidRDefault="00B62B6B" w:rsidP="00070972">
      <w:pPr>
        <w:pStyle w:val="Sansinterligne"/>
        <w:jc w:val="both"/>
        <w:rPr>
          <w:lang w:val="fr-FR"/>
        </w:rPr>
      </w:pPr>
      <w:r w:rsidRPr="00B002AC">
        <w:rPr>
          <w:lang w:val="fr-FR"/>
        </w:rPr>
        <w:t>Les seuls êtres vivants capables de synthétiser la vitamine B</w:t>
      </w:r>
      <w:r w:rsidRPr="00B002AC">
        <w:rPr>
          <w:vertAlign w:val="subscript"/>
          <w:lang w:val="fr-FR"/>
        </w:rPr>
        <w:t xml:space="preserve">12 </w:t>
      </w:r>
      <w:r w:rsidRPr="00B002AC">
        <w:rPr>
          <w:lang w:val="fr-FR"/>
        </w:rPr>
        <w:t>(ou cobalamine)</w:t>
      </w:r>
      <w:r w:rsidR="001C27A9" w:rsidRPr="00B002AC">
        <w:rPr>
          <w:lang w:val="fr-FR"/>
        </w:rPr>
        <w:t xml:space="preserve"> </w:t>
      </w:r>
      <w:r w:rsidRPr="00B002AC">
        <w:rPr>
          <w:lang w:val="fr-FR"/>
        </w:rPr>
        <w:t xml:space="preserve">sont des bactéries filogénétiquement très anciennes, appelées </w:t>
      </w:r>
      <w:r w:rsidR="00835CFB" w:rsidRPr="00B002AC">
        <w:rPr>
          <w:lang w:val="fr-FR"/>
        </w:rPr>
        <w:t>archéobactéries</w:t>
      </w:r>
      <w:r w:rsidRPr="00B002AC">
        <w:rPr>
          <w:lang w:val="fr-FR"/>
        </w:rPr>
        <w:t xml:space="preserve">. La cobalamine est pourtant essentielle </w:t>
      </w:r>
      <w:r w:rsidR="00B002AC" w:rsidRPr="00B002AC">
        <w:rPr>
          <w:lang w:val="fr-FR"/>
        </w:rPr>
        <w:t>pour l’homme. En effet,</w:t>
      </w:r>
      <w:r w:rsidRPr="00B002AC">
        <w:rPr>
          <w:lang w:val="fr-FR"/>
        </w:rPr>
        <w:t xml:space="preserve"> elle intervient en tant que coenzyme dans deux voies c</w:t>
      </w:r>
      <w:r w:rsidR="00B04578" w:rsidRPr="00B002AC">
        <w:rPr>
          <w:lang w:val="fr-FR"/>
        </w:rPr>
        <w:t>lés du métabolisme cellulaire aboutissant à la synthèse de l’ADN et de la méthionine</w:t>
      </w:r>
      <w:r w:rsidR="00070972" w:rsidRPr="00B002AC">
        <w:rPr>
          <w:lang w:val="fr-FR"/>
        </w:rPr>
        <w:t>,</w:t>
      </w:r>
      <w:r w:rsidR="00B04578" w:rsidRPr="00B002AC">
        <w:rPr>
          <w:lang w:val="fr-FR"/>
        </w:rPr>
        <w:t xml:space="preserve"> à partir de l’homocystéine </w:t>
      </w:r>
      <w:sdt>
        <w:sdtPr>
          <w:rPr>
            <w:lang w:val="fr-FR"/>
          </w:rPr>
          <w:id w:val="-1933983118"/>
          <w:citation/>
        </w:sdtPr>
        <w:sdtEndPr/>
        <w:sdtContent>
          <w:r w:rsidR="00380AD8" w:rsidRPr="00B002AC">
            <w:rPr>
              <w:lang w:val="fr-FR"/>
            </w:rPr>
            <w:fldChar w:fldCharType="begin"/>
          </w:r>
          <w:r w:rsidR="00380AD8" w:rsidRPr="00B002AC">
            <w:rPr>
              <w:lang w:val="fr-FR"/>
            </w:rPr>
            <w:instrText xml:space="preserve"> CITATION Sca06 \l 2060 </w:instrText>
          </w:r>
          <w:r w:rsidR="00380AD8" w:rsidRPr="00B002AC">
            <w:rPr>
              <w:lang w:val="fr-FR"/>
            </w:rPr>
            <w:fldChar w:fldCharType="separate"/>
          </w:r>
          <w:r w:rsidR="008F07A7" w:rsidRPr="00B002AC">
            <w:rPr>
              <w:noProof/>
              <w:lang w:val="fr-FR"/>
            </w:rPr>
            <w:t>(1)</w:t>
          </w:r>
          <w:r w:rsidR="00380AD8" w:rsidRPr="00B002AC">
            <w:rPr>
              <w:noProof/>
              <w:lang w:val="fr-FR"/>
            </w:rPr>
            <w:fldChar w:fldCharType="end"/>
          </w:r>
        </w:sdtContent>
      </w:sdt>
      <w:r w:rsidR="00B04578" w:rsidRPr="00B002AC">
        <w:rPr>
          <w:lang w:val="fr-FR"/>
        </w:rPr>
        <w:t xml:space="preserve">. </w:t>
      </w:r>
    </w:p>
    <w:p w14:paraId="0FB139CE" w14:textId="77777777" w:rsidR="00B04578" w:rsidRPr="00B002AC" w:rsidRDefault="00B04578" w:rsidP="00070972">
      <w:pPr>
        <w:pStyle w:val="Sansinterligne"/>
        <w:jc w:val="both"/>
        <w:rPr>
          <w:lang w:val="fr-FR"/>
        </w:rPr>
      </w:pPr>
    </w:p>
    <w:p w14:paraId="1D033E19" w14:textId="68AC01FE" w:rsidR="00B62B6B" w:rsidRPr="00B002AC" w:rsidRDefault="00AE1533" w:rsidP="00382F74">
      <w:pPr>
        <w:pStyle w:val="Sansinterligne"/>
        <w:jc w:val="both"/>
        <w:rPr>
          <w:lang w:val="fr-FR"/>
        </w:rPr>
      </w:pPr>
      <w:r>
        <w:rPr>
          <w:lang w:val="fr-FR"/>
        </w:rPr>
        <w:t>L’homme se procure la vitamine B12</w:t>
      </w:r>
      <w:r w:rsidR="001C27A9" w:rsidRPr="00B002AC">
        <w:rPr>
          <w:vertAlign w:val="subscript"/>
          <w:lang w:val="fr-FR"/>
        </w:rPr>
        <w:t xml:space="preserve"> </w:t>
      </w:r>
      <w:r w:rsidR="00B62B6B" w:rsidRPr="00B002AC">
        <w:rPr>
          <w:lang w:val="fr-FR"/>
        </w:rPr>
        <w:t>en consommant de la viande et des œufs essentiellement. Les végétaliens sont donc une population à risque pour une carence en B</w:t>
      </w:r>
      <w:r w:rsidR="00B62B6B" w:rsidRPr="00B002AC">
        <w:rPr>
          <w:vertAlign w:val="subscript"/>
          <w:lang w:val="fr-FR"/>
        </w:rPr>
        <w:t>12</w:t>
      </w:r>
      <w:r w:rsidR="00B62B6B" w:rsidRPr="00B002AC">
        <w:rPr>
          <w:lang w:val="fr-FR"/>
        </w:rPr>
        <w:t>. Selon le régime alimentaire, l’apport quotidien de B</w:t>
      </w:r>
      <w:r w:rsidR="00B62B6B" w:rsidRPr="00B002AC">
        <w:rPr>
          <w:vertAlign w:val="subscript"/>
          <w:lang w:val="fr-FR"/>
        </w:rPr>
        <w:t>12</w:t>
      </w:r>
      <w:r w:rsidR="005E3EB6">
        <w:rPr>
          <w:vertAlign w:val="subscript"/>
          <w:lang w:val="fr-FR"/>
        </w:rPr>
        <w:t xml:space="preserve"> </w:t>
      </w:r>
      <w:r w:rsidR="00B62B6B" w:rsidRPr="00B002AC">
        <w:rPr>
          <w:lang w:val="fr-FR"/>
        </w:rPr>
        <w:t>varie entre 5 et 7 μg, pour une dose recommandée de 2</w:t>
      </w:r>
      <w:r w:rsidR="001C27A9" w:rsidRPr="00B002AC">
        <w:rPr>
          <w:lang w:val="fr-FR"/>
        </w:rPr>
        <w:t>.4</w:t>
      </w:r>
      <w:r w:rsidR="00B62B6B" w:rsidRPr="00B002AC">
        <w:rPr>
          <w:lang w:val="fr-FR"/>
        </w:rPr>
        <w:t xml:space="preserve"> μg/j</w:t>
      </w:r>
      <w:sdt>
        <w:sdtPr>
          <w:rPr>
            <w:lang w:val="fr-FR"/>
          </w:rPr>
          <w:id w:val="1598048391"/>
          <w:citation/>
        </w:sdtPr>
        <w:sdtEndPr/>
        <w:sdtContent>
          <w:r w:rsidR="00380AD8" w:rsidRPr="00B002AC">
            <w:rPr>
              <w:lang w:val="fr-FR"/>
            </w:rPr>
            <w:fldChar w:fldCharType="begin"/>
          </w:r>
          <w:r w:rsidR="00380AD8" w:rsidRPr="00B002AC">
            <w:rPr>
              <w:lang w:val="fr-FR"/>
            </w:rPr>
            <w:instrText xml:space="preserve"> CITATION And08 \l 2060 </w:instrText>
          </w:r>
          <w:r w:rsidR="00380AD8" w:rsidRPr="00B002AC">
            <w:rPr>
              <w:lang w:val="fr-FR"/>
            </w:rPr>
            <w:fldChar w:fldCharType="separate"/>
          </w:r>
          <w:r w:rsidR="008F07A7" w:rsidRPr="00B002AC">
            <w:rPr>
              <w:noProof/>
              <w:lang w:val="fr-FR"/>
            </w:rPr>
            <w:t xml:space="preserve"> (2)</w:t>
          </w:r>
          <w:r w:rsidR="00380AD8" w:rsidRPr="00B002AC">
            <w:rPr>
              <w:noProof/>
              <w:lang w:val="fr-FR"/>
            </w:rPr>
            <w:fldChar w:fldCharType="end"/>
          </w:r>
        </w:sdtContent>
      </w:sdt>
      <w:r w:rsidR="00B62B6B" w:rsidRPr="00B002AC">
        <w:rPr>
          <w:lang w:val="fr-FR"/>
        </w:rPr>
        <w:t>. La cobalamine est principalement stockée dans le foie</w:t>
      </w:r>
      <w:r w:rsidR="00835CFB">
        <w:rPr>
          <w:lang w:val="fr-FR"/>
        </w:rPr>
        <w:t>. En effet</w:t>
      </w:r>
      <w:r w:rsidR="00B62B6B" w:rsidRPr="00B002AC">
        <w:rPr>
          <w:lang w:val="fr-FR"/>
        </w:rPr>
        <w:t>, les hépatopathies chroniques perturbent le métabolisme de la cyanocobalamine</w:t>
      </w:r>
      <w:r w:rsidR="00835CFB">
        <w:rPr>
          <w:lang w:val="fr-FR"/>
        </w:rPr>
        <w:t xml:space="preserve"> (L</w:t>
      </w:r>
      <w:r w:rsidR="00835CFB" w:rsidRPr="00835CFB">
        <w:rPr>
          <w:lang w:val="fr-FR"/>
        </w:rPr>
        <w:t xml:space="preserve">e préfixe </w:t>
      </w:r>
      <w:r w:rsidR="00835CFB">
        <w:rPr>
          <w:lang w:val="fr-FR"/>
        </w:rPr>
        <w:t xml:space="preserve">« cyano » </w:t>
      </w:r>
      <w:r w:rsidR="00835CFB" w:rsidRPr="00835CFB">
        <w:rPr>
          <w:lang w:val="fr-FR"/>
        </w:rPr>
        <w:t xml:space="preserve">désigne </w:t>
      </w:r>
      <w:r w:rsidR="00835CFB">
        <w:rPr>
          <w:lang w:val="fr-FR"/>
        </w:rPr>
        <w:t xml:space="preserve">un dérivé ayant un groupement </w:t>
      </w:r>
      <w:hyperlink r:id="rId8" w:tooltip="cyanure" w:history="1">
        <w:r w:rsidR="00835CFB" w:rsidRPr="00D264CE">
          <w:rPr>
            <w:rStyle w:val="Lienhypertexte"/>
            <w:color w:val="000000" w:themeColor="text1"/>
            <w:u w:val="none"/>
            <w:lang w:val="fr-FR"/>
          </w:rPr>
          <w:t>cyanure</w:t>
        </w:r>
      </w:hyperlink>
      <w:r w:rsidR="00835CFB">
        <w:rPr>
          <w:lang w:val="fr-FR"/>
        </w:rPr>
        <w:t>)</w:t>
      </w:r>
      <w:r w:rsidR="00B62B6B" w:rsidRPr="00B002AC">
        <w:rPr>
          <w:lang w:val="fr-FR"/>
        </w:rPr>
        <w:t>. On estime les réserves de B12 entre 2 et 5 mg : ceci correspond à environ à 1000 jours d'apport</w:t>
      </w:r>
      <w:r w:rsidR="003D20F2" w:rsidRPr="00B002AC">
        <w:rPr>
          <w:lang w:val="fr-FR"/>
        </w:rPr>
        <w:t xml:space="preserve"> </w:t>
      </w:r>
      <w:sdt>
        <w:sdtPr>
          <w:rPr>
            <w:lang w:val="fr-FR"/>
          </w:rPr>
          <w:id w:val="-1933983124"/>
          <w:citation/>
        </w:sdtPr>
        <w:sdtEndPr/>
        <w:sdtContent>
          <w:r w:rsidR="00380AD8" w:rsidRPr="00B002AC">
            <w:rPr>
              <w:lang w:val="fr-FR"/>
            </w:rPr>
            <w:fldChar w:fldCharType="begin"/>
          </w:r>
          <w:r w:rsidR="00380AD8" w:rsidRPr="00B002AC">
            <w:rPr>
              <w:lang w:val="fr-FR"/>
            </w:rPr>
            <w:instrText xml:space="preserve"> CITATION Ruf081 \l 2060 </w:instrText>
          </w:r>
          <w:r w:rsidR="00380AD8" w:rsidRPr="00B002AC">
            <w:rPr>
              <w:lang w:val="fr-FR"/>
            </w:rPr>
            <w:fldChar w:fldCharType="separate"/>
          </w:r>
          <w:r w:rsidR="008F07A7" w:rsidRPr="00B002AC">
            <w:rPr>
              <w:noProof/>
              <w:lang w:val="fr-FR"/>
            </w:rPr>
            <w:t>(3)</w:t>
          </w:r>
          <w:r w:rsidR="00380AD8" w:rsidRPr="00B002AC">
            <w:rPr>
              <w:noProof/>
              <w:lang w:val="fr-FR"/>
            </w:rPr>
            <w:fldChar w:fldCharType="end"/>
          </w:r>
        </w:sdtContent>
      </w:sdt>
      <w:r w:rsidR="00B62B6B" w:rsidRPr="00B002AC">
        <w:rPr>
          <w:lang w:val="fr-FR"/>
        </w:rPr>
        <w:t>.</w:t>
      </w:r>
      <w:r w:rsidR="00382F74" w:rsidRPr="00B002AC">
        <w:rPr>
          <w:lang w:val="fr-FR"/>
        </w:rPr>
        <w:t xml:space="preserve"> Compte tenu des réserves </w:t>
      </w:r>
      <w:r w:rsidR="00B002AC" w:rsidRPr="00B002AC">
        <w:rPr>
          <w:lang w:val="fr-FR"/>
        </w:rPr>
        <w:t>importantes, une</w:t>
      </w:r>
      <w:r w:rsidR="00382F74" w:rsidRPr="00B002AC">
        <w:rPr>
          <w:lang w:val="fr-FR"/>
        </w:rPr>
        <w:t xml:space="preserve"> carence en vitamine B12 n'aura de retentissement sur l'hématopoïèse</w:t>
      </w:r>
      <w:r w:rsidR="005E3EB6">
        <w:rPr>
          <w:lang w:val="fr-FR"/>
        </w:rPr>
        <w:t xml:space="preserve"> </w:t>
      </w:r>
      <w:r w:rsidR="00382F74" w:rsidRPr="00B002AC">
        <w:rPr>
          <w:lang w:val="fr-FR"/>
        </w:rPr>
        <w:t>que plusieurs mois ou années après son installation</w:t>
      </w:r>
      <w:r w:rsidR="005E3EB6">
        <w:rPr>
          <w:lang w:val="fr-FR"/>
        </w:rPr>
        <w:t>.</w:t>
      </w:r>
    </w:p>
    <w:p w14:paraId="207209A5" w14:textId="77777777" w:rsidR="00B62B6B" w:rsidRPr="00B002AC" w:rsidRDefault="00B62B6B" w:rsidP="00070972">
      <w:pPr>
        <w:pStyle w:val="Sansinterligne"/>
        <w:jc w:val="both"/>
        <w:rPr>
          <w:lang w:val="fr-FR"/>
        </w:rPr>
      </w:pPr>
    </w:p>
    <w:p w14:paraId="51E8BA22" w14:textId="77777777" w:rsidR="00B62B6B" w:rsidRPr="00B002AC" w:rsidRDefault="00B62B6B" w:rsidP="00070972">
      <w:pPr>
        <w:pStyle w:val="Sansinterligne"/>
        <w:jc w:val="both"/>
        <w:rPr>
          <w:lang w:val="fr-FR"/>
        </w:rPr>
      </w:pPr>
      <w:r w:rsidRPr="00B002AC">
        <w:rPr>
          <w:lang w:val="fr-FR"/>
        </w:rPr>
        <w:t>La vitamine B12 ingérée est liée à des protéines alimentaires. La cobalamine se détache dans l'estomac sous l'action du suc gastrique et de la pepsine, pour se lier à des protéines de transport appelée haptocorrines, sécrétées notamment par les glandes salivaires</w:t>
      </w:r>
      <w:r w:rsidR="003D20F2" w:rsidRPr="00B002AC">
        <w:rPr>
          <w:lang w:val="fr-FR"/>
        </w:rPr>
        <w:t xml:space="preserve"> </w:t>
      </w:r>
      <w:sdt>
        <w:sdtPr>
          <w:rPr>
            <w:lang w:val="fr-FR"/>
          </w:rPr>
          <w:id w:val="-1933983123"/>
          <w:citation/>
        </w:sdtPr>
        <w:sdtEndPr/>
        <w:sdtContent>
          <w:r w:rsidR="00380AD8" w:rsidRPr="00B002AC">
            <w:rPr>
              <w:lang w:val="fr-FR"/>
            </w:rPr>
            <w:fldChar w:fldCharType="begin"/>
          </w:r>
          <w:r w:rsidR="00380AD8" w:rsidRPr="00B002AC">
            <w:rPr>
              <w:lang w:val="fr-FR"/>
            </w:rPr>
            <w:instrText xml:space="preserve"> CITATION Ruf081 \l 2060 </w:instrText>
          </w:r>
          <w:r w:rsidR="00380AD8" w:rsidRPr="00B002AC">
            <w:rPr>
              <w:lang w:val="fr-FR"/>
            </w:rPr>
            <w:fldChar w:fldCharType="separate"/>
          </w:r>
          <w:r w:rsidR="008F07A7" w:rsidRPr="00B002AC">
            <w:rPr>
              <w:noProof/>
              <w:lang w:val="fr-FR"/>
            </w:rPr>
            <w:t>(3)</w:t>
          </w:r>
          <w:r w:rsidR="00380AD8" w:rsidRPr="00B002AC">
            <w:rPr>
              <w:noProof/>
              <w:lang w:val="fr-FR"/>
            </w:rPr>
            <w:fldChar w:fldCharType="end"/>
          </w:r>
        </w:sdtContent>
      </w:sdt>
      <w:r w:rsidR="003D20F2" w:rsidRPr="00B002AC">
        <w:rPr>
          <w:lang w:val="fr-FR"/>
        </w:rPr>
        <w:t xml:space="preserve"> </w:t>
      </w:r>
      <w:sdt>
        <w:sdtPr>
          <w:rPr>
            <w:lang w:val="fr-FR"/>
          </w:rPr>
          <w:id w:val="-1933983122"/>
          <w:citation/>
        </w:sdtPr>
        <w:sdtEndPr/>
        <w:sdtContent>
          <w:r w:rsidR="00380AD8" w:rsidRPr="00B002AC">
            <w:rPr>
              <w:lang w:val="fr-FR"/>
            </w:rPr>
            <w:fldChar w:fldCharType="begin"/>
          </w:r>
          <w:r w:rsidR="00380AD8" w:rsidRPr="00B002AC">
            <w:rPr>
              <w:lang w:val="fr-FR"/>
            </w:rPr>
            <w:instrText xml:space="preserve"> CITATION Nic94 \l 2060 </w:instrText>
          </w:r>
          <w:r w:rsidR="00380AD8" w:rsidRPr="00B002AC">
            <w:rPr>
              <w:lang w:val="fr-FR"/>
            </w:rPr>
            <w:fldChar w:fldCharType="separate"/>
          </w:r>
          <w:r w:rsidR="008F07A7" w:rsidRPr="00B002AC">
            <w:rPr>
              <w:noProof/>
              <w:lang w:val="fr-FR"/>
            </w:rPr>
            <w:t>(4)</w:t>
          </w:r>
          <w:r w:rsidR="00380AD8" w:rsidRPr="00B002AC">
            <w:rPr>
              <w:noProof/>
              <w:lang w:val="fr-FR"/>
            </w:rPr>
            <w:fldChar w:fldCharType="end"/>
          </w:r>
        </w:sdtContent>
      </w:sdt>
      <w:r w:rsidRPr="00B002AC">
        <w:rPr>
          <w:lang w:val="fr-FR"/>
        </w:rPr>
        <w:t xml:space="preserve">. </w:t>
      </w:r>
    </w:p>
    <w:p w14:paraId="68399738" w14:textId="77777777" w:rsidR="00B62B6B" w:rsidRPr="00B002AC" w:rsidRDefault="00B62B6B" w:rsidP="00382F74">
      <w:pPr>
        <w:pStyle w:val="Sansinterligne"/>
        <w:jc w:val="both"/>
        <w:rPr>
          <w:lang w:val="fr-FR"/>
        </w:rPr>
      </w:pPr>
      <w:r w:rsidRPr="00B002AC">
        <w:rPr>
          <w:lang w:val="fr-FR"/>
        </w:rPr>
        <w:t>Ce complexe haptocorrine-vitamine B12 est lysé au contact des sécrétions biliaires et pancréatiques dans le duodénum, permettant la fixation de la vitamine B12 au Facteur Intrinsèque (FI)</w:t>
      </w:r>
      <w:r w:rsidR="00382F74" w:rsidRPr="00B002AC">
        <w:rPr>
          <w:lang w:val="fr-FR"/>
        </w:rPr>
        <w:t>,</w:t>
      </w:r>
      <w:r w:rsidRPr="00B002AC">
        <w:rPr>
          <w:lang w:val="fr-FR"/>
        </w:rPr>
        <w:t xml:space="preserve"> </w:t>
      </w:r>
      <w:r w:rsidR="00382F74" w:rsidRPr="00B002AC">
        <w:rPr>
          <w:lang w:val="fr-FR"/>
        </w:rPr>
        <w:t xml:space="preserve">glycoprotéine synthétisée par les cellules pariétales </w:t>
      </w:r>
      <w:r w:rsidRPr="00B002AC">
        <w:rPr>
          <w:lang w:val="fr-FR"/>
        </w:rPr>
        <w:t xml:space="preserve">gastriques. </w:t>
      </w:r>
    </w:p>
    <w:p w14:paraId="046B3CA1" w14:textId="7CDFAD1F" w:rsidR="00B62B6B" w:rsidRPr="00B002AC" w:rsidRDefault="005E3EB6" w:rsidP="00070972">
      <w:pPr>
        <w:pStyle w:val="Sansinterligne"/>
        <w:jc w:val="both"/>
        <w:rPr>
          <w:lang w:val="fr-FR"/>
        </w:rPr>
      </w:pPr>
      <w:r>
        <w:rPr>
          <w:lang w:val="fr-FR"/>
        </w:rPr>
        <w:t>La formation de ce</w:t>
      </w:r>
      <w:r w:rsidRPr="00B002AC">
        <w:rPr>
          <w:lang w:val="fr-FR"/>
        </w:rPr>
        <w:t xml:space="preserve"> </w:t>
      </w:r>
      <w:r w:rsidR="00B62B6B" w:rsidRPr="00B002AC">
        <w:rPr>
          <w:lang w:val="fr-FR"/>
        </w:rPr>
        <w:t xml:space="preserve">complexe vitamine B12-FI, protège la cobalamine du catabolisme bactérien iléal et se lie à un récepteur </w:t>
      </w:r>
      <w:r>
        <w:rPr>
          <w:lang w:val="fr-FR"/>
        </w:rPr>
        <w:t xml:space="preserve">spécifique </w:t>
      </w:r>
      <w:r w:rsidR="00B62B6B" w:rsidRPr="00B002AC">
        <w:rPr>
          <w:lang w:val="fr-FR"/>
        </w:rPr>
        <w:t>situé au niveau de l’iléon terminal, appelé cubuline</w:t>
      </w:r>
      <w:r w:rsidR="003D20F2" w:rsidRPr="00B002AC">
        <w:rPr>
          <w:lang w:val="fr-FR"/>
        </w:rPr>
        <w:t xml:space="preserve"> </w:t>
      </w:r>
      <w:sdt>
        <w:sdtPr>
          <w:rPr>
            <w:lang w:val="fr-FR"/>
          </w:rPr>
          <w:id w:val="-1933983121"/>
          <w:citation/>
        </w:sdtPr>
        <w:sdtEndPr/>
        <w:sdtContent>
          <w:r w:rsidR="00380AD8" w:rsidRPr="00B002AC">
            <w:rPr>
              <w:lang w:val="fr-FR"/>
            </w:rPr>
            <w:fldChar w:fldCharType="begin"/>
          </w:r>
          <w:r w:rsidR="00380AD8" w:rsidRPr="00B002AC">
            <w:rPr>
              <w:lang w:val="fr-FR"/>
            </w:rPr>
            <w:instrText xml:space="preserve"> CITATION Ruf081 \l 2060 </w:instrText>
          </w:r>
          <w:r w:rsidR="00380AD8" w:rsidRPr="00B002AC">
            <w:rPr>
              <w:lang w:val="fr-FR"/>
            </w:rPr>
            <w:fldChar w:fldCharType="separate"/>
          </w:r>
          <w:r w:rsidR="008F07A7" w:rsidRPr="00B002AC">
            <w:rPr>
              <w:noProof/>
              <w:lang w:val="fr-FR"/>
            </w:rPr>
            <w:t>(3)</w:t>
          </w:r>
          <w:r w:rsidR="00380AD8" w:rsidRPr="00B002AC">
            <w:rPr>
              <w:noProof/>
              <w:lang w:val="fr-FR"/>
            </w:rPr>
            <w:fldChar w:fldCharType="end"/>
          </w:r>
        </w:sdtContent>
      </w:sdt>
      <w:sdt>
        <w:sdtPr>
          <w:rPr>
            <w:lang w:val="fr-FR"/>
          </w:rPr>
          <w:id w:val="-1933983120"/>
          <w:citation/>
        </w:sdtPr>
        <w:sdtEndPr/>
        <w:sdtContent>
          <w:r w:rsidR="00380AD8" w:rsidRPr="00B002AC">
            <w:rPr>
              <w:lang w:val="fr-FR"/>
            </w:rPr>
            <w:fldChar w:fldCharType="begin"/>
          </w:r>
          <w:r w:rsidR="00380AD8" w:rsidRPr="00B002AC">
            <w:rPr>
              <w:lang w:val="fr-FR"/>
            </w:rPr>
            <w:instrText xml:space="preserve"> CITATION Nic94 \l 2060 </w:instrText>
          </w:r>
          <w:r w:rsidR="00380AD8" w:rsidRPr="00B002AC">
            <w:rPr>
              <w:lang w:val="fr-FR"/>
            </w:rPr>
            <w:fldChar w:fldCharType="separate"/>
          </w:r>
          <w:r w:rsidR="008F07A7" w:rsidRPr="00B002AC">
            <w:rPr>
              <w:noProof/>
              <w:lang w:val="fr-FR"/>
            </w:rPr>
            <w:t xml:space="preserve"> (4)</w:t>
          </w:r>
          <w:r w:rsidR="00380AD8" w:rsidRPr="00B002AC">
            <w:rPr>
              <w:noProof/>
              <w:lang w:val="fr-FR"/>
            </w:rPr>
            <w:fldChar w:fldCharType="end"/>
          </w:r>
        </w:sdtContent>
      </w:sdt>
      <w:r w:rsidR="00B62B6B" w:rsidRPr="00B002AC">
        <w:rPr>
          <w:lang w:val="fr-FR"/>
        </w:rPr>
        <w:t xml:space="preserve">. S'ensuit un mécanisme d’endocytose calcium-dépendant du complexe FI-B12. Il s’agit d’un mécanisme saturable. </w:t>
      </w:r>
    </w:p>
    <w:p w14:paraId="21019494" w14:textId="77777777" w:rsidR="00B62B6B" w:rsidRPr="00B002AC" w:rsidRDefault="00B62B6B" w:rsidP="00070972">
      <w:pPr>
        <w:pStyle w:val="Sansinterligne"/>
        <w:jc w:val="both"/>
        <w:rPr>
          <w:lang w:val="fr-FR"/>
        </w:rPr>
      </w:pPr>
    </w:p>
    <w:p w14:paraId="54ADAC0F" w14:textId="77777777" w:rsidR="00B62B6B" w:rsidRPr="00B002AC" w:rsidRDefault="00B62B6B" w:rsidP="00070972">
      <w:pPr>
        <w:pStyle w:val="Sansinterligne"/>
        <w:jc w:val="both"/>
        <w:rPr>
          <w:lang w:val="fr-FR"/>
        </w:rPr>
      </w:pPr>
      <w:r w:rsidRPr="00B002AC">
        <w:rPr>
          <w:lang w:val="fr-FR"/>
        </w:rPr>
        <w:t>Outre cette absorption active, une partie de l’incorporation de la vitamine B12 se fait par simple diffusion</w:t>
      </w:r>
      <w:r w:rsidR="003D20F2" w:rsidRPr="00B002AC">
        <w:rPr>
          <w:lang w:val="fr-FR"/>
        </w:rPr>
        <w:t xml:space="preserve"> </w:t>
      </w:r>
      <w:sdt>
        <w:sdtPr>
          <w:rPr>
            <w:lang w:val="fr-FR"/>
          </w:rPr>
          <w:id w:val="-1933983119"/>
          <w:citation/>
        </w:sdtPr>
        <w:sdtEndPr/>
        <w:sdtContent>
          <w:r w:rsidR="00380AD8" w:rsidRPr="00B002AC">
            <w:rPr>
              <w:lang w:val="fr-FR"/>
            </w:rPr>
            <w:fldChar w:fldCharType="begin"/>
          </w:r>
          <w:r w:rsidR="00380AD8" w:rsidRPr="00B002AC">
            <w:rPr>
              <w:lang w:val="fr-FR"/>
            </w:rPr>
            <w:instrText xml:space="preserve"> CITATION Ruf081 \l 2060 </w:instrText>
          </w:r>
          <w:r w:rsidR="00380AD8" w:rsidRPr="00B002AC">
            <w:rPr>
              <w:lang w:val="fr-FR"/>
            </w:rPr>
            <w:fldChar w:fldCharType="separate"/>
          </w:r>
          <w:r w:rsidR="008F07A7" w:rsidRPr="00B002AC">
            <w:rPr>
              <w:noProof/>
              <w:lang w:val="fr-FR"/>
            </w:rPr>
            <w:t>(3)</w:t>
          </w:r>
          <w:r w:rsidR="00380AD8" w:rsidRPr="00B002AC">
            <w:rPr>
              <w:noProof/>
              <w:lang w:val="fr-FR"/>
            </w:rPr>
            <w:fldChar w:fldCharType="end"/>
          </w:r>
        </w:sdtContent>
      </w:sdt>
      <w:r w:rsidRPr="00B002AC">
        <w:rPr>
          <w:lang w:val="fr-FR"/>
        </w:rPr>
        <w:t>. Ce dernier mécanisme intervient pour 1% à 5% de la dose ingérée de vitamine B</w:t>
      </w:r>
      <w:r w:rsidRPr="00B002AC">
        <w:rPr>
          <w:vertAlign w:val="subscript"/>
          <w:lang w:val="fr-FR"/>
        </w:rPr>
        <w:t>12</w:t>
      </w:r>
      <w:r w:rsidR="00445E77">
        <w:rPr>
          <w:vertAlign w:val="subscript"/>
          <w:lang w:val="fr-FR"/>
        </w:rPr>
        <w:t xml:space="preserve"> </w:t>
      </w:r>
      <w:r w:rsidRPr="00B002AC">
        <w:rPr>
          <w:lang w:val="fr-FR"/>
        </w:rPr>
        <w:t>et est insuffisant pour apporter à l'organisme la dose quotidienne nécessaire lors d'un régime alimentaire équilibré, mais il est non saturable, ce qui explique la possibilité de la substitution orale. Celle-ci est efficace dans la mesure où on administre per os des doses massives de B</w:t>
      </w:r>
      <w:r w:rsidRPr="00B002AC">
        <w:rPr>
          <w:vertAlign w:val="subscript"/>
          <w:lang w:val="fr-FR"/>
        </w:rPr>
        <w:t>12</w:t>
      </w:r>
      <w:r w:rsidRPr="00B002AC">
        <w:rPr>
          <w:lang w:val="fr-FR"/>
        </w:rPr>
        <w:t xml:space="preserve"> (entre 500 et 1000µg/J).</w:t>
      </w:r>
    </w:p>
    <w:p w14:paraId="25AEA16E" w14:textId="77777777" w:rsidR="00B53D05" w:rsidRPr="00B002AC" w:rsidRDefault="00B53D05" w:rsidP="00070972">
      <w:pPr>
        <w:pStyle w:val="Sansinterligne"/>
        <w:jc w:val="both"/>
        <w:rPr>
          <w:lang w:val="fr-FR"/>
        </w:rPr>
      </w:pPr>
    </w:p>
    <w:p w14:paraId="3773B49B" w14:textId="5142F7C6" w:rsidR="00B53D05" w:rsidRPr="00B002AC" w:rsidRDefault="00B53D05" w:rsidP="00070972">
      <w:pPr>
        <w:spacing w:after="0" w:line="240" w:lineRule="auto"/>
        <w:jc w:val="both"/>
        <w:rPr>
          <w:rFonts w:ascii="Times New Roman" w:eastAsia="Times New Roman" w:hAnsi="Times New Roman" w:cs="Times New Roman"/>
          <w:sz w:val="24"/>
          <w:lang w:val="fr-FR" w:eastAsia="fr-BE"/>
        </w:rPr>
      </w:pPr>
      <w:r w:rsidRPr="00B002AC">
        <w:rPr>
          <w:rFonts w:ascii="Times New Roman" w:eastAsia="Times New Roman" w:hAnsi="Times New Roman" w:cs="Times New Roman"/>
          <w:sz w:val="24"/>
          <w:lang w:val="fr-FR" w:eastAsia="fr-BE"/>
        </w:rPr>
        <w:lastRenderedPageBreak/>
        <w:t xml:space="preserve">La vitamine B12 est ensuite exportée vers la circulation sanguine via la </w:t>
      </w:r>
      <w:r w:rsidR="00B002AC" w:rsidRPr="00B002AC">
        <w:rPr>
          <w:rFonts w:ascii="Times New Roman" w:eastAsia="Times New Roman" w:hAnsi="Times New Roman" w:cs="Times New Roman"/>
          <w:sz w:val="24"/>
          <w:lang w:val="fr-FR" w:eastAsia="fr-BE"/>
        </w:rPr>
        <w:t>protéine transporteuse d’anions organiques MRP1 (</w:t>
      </w:r>
      <w:r w:rsidR="00B002AC" w:rsidRPr="007B1C31">
        <w:rPr>
          <w:rFonts w:ascii="Times New Roman" w:eastAsia="Times New Roman" w:hAnsi="Times New Roman" w:cs="Times New Roman"/>
          <w:i/>
          <w:sz w:val="24"/>
          <w:lang w:val="fr-FR" w:eastAsia="fr-BE"/>
        </w:rPr>
        <w:t>Multi Drug resistance-associated protein 1</w:t>
      </w:r>
      <w:r w:rsidR="00B002AC" w:rsidRPr="00B002AC">
        <w:rPr>
          <w:rFonts w:ascii="Times New Roman" w:eastAsia="Times New Roman" w:hAnsi="Times New Roman" w:cs="Times New Roman"/>
          <w:sz w:val="24"/>
          <w:lang w:val="fr-FR" w:eastAsia="fr-BE"/>
        </w:rPr>
        <w:t>)</w:t>
      </w:r>
      <w:sdt>
        <w:sdtPr>
          <w:rPr>
            <w:rFonts w:ascii="Times New Roman" w:eastAsia="Times New Roman" w:hAnsi="Times New Roman" w:cs="Times New Roman"/>
            <w:sz w:val="24"/>
            <w:lang w:val="fr-FR" w:eastAsia="fr-BE"/>
          </w:rPr>
          <w:id w:val="1814471189"/>
          <w:citation/>
        </w:sdtPr>
        <w:sdtEndPr/>
        <w:sdtContent>
          <w:r w:rsidR="00A42C99" w:rsidRPr="00B002AC">
            <w:rPr>
              <w:rFonts w:ascii="Times New Roman" w:eastAsia="Times New Roman" w:hAnsi="Times New Roman" w:cs="Times New Roman"/>
              <w:sz w:val="24"/>
              <w:lang w:val="fr-FR" w:eastAsia="fr-BE"/>
            </w:rPr>
            <w:fldChar w:fldCharType="begin"/>
          </w:r>
          <w:r w:rsidRPr="00B002AC">
            <w:rPr>
              <w:rFonts w:ascii="Times New Roman" w:eastAsia="Times New Roman" w:hAnsi="Times New Roman" w:cs="Times New Roman"/>
              <w:sz w:val="24"/>
              <w:lang w:val="fr-FR" w:eastAsia="fr-BE"/>
            </w:rPr>
            <w:instrText xml:space="preserve"> CITATION Bee10 \l 2060 </w:instrText>
          </w:r>
          <w:r w:rsidR="00A42C99" w:rsidRPr="00B002AC">
            <w:rPr>
              <w:rFonts w:ascii="Times New Roman" w:eastAsia="Times New Roman" w:hAnsi="Times New Roman" w:cs="Times New Roman"/>
              <w:sz w:val="24"/>
              <w:lang w:val="fr-FR" w:eastAsia="fr-BE"/>
            </w:rPr>
            <w:fldChar w:fldCharType="separate"/>
          </w:r>
          <w:r w:rsidR="008F07A7" w:rsidRPr="00B002AC">
            <w:rPr>
              <w:rFonts w:ascii="Times New Roman" w:eastAsia="Times New Roman" w:hAnsi="Times New Roman" w:cs="Times New Roman"/>
              <w:noProof/>
              <w:sz w:val="24"/>
              <w:lang w:val="fr-FR" w:eastAsia="fr-BE"/>
            </w:rPr>
            <w:t xml:space="preserve"> (5)</w:t>
          </w:r>
          <w:r w:rsidR="00A42C99" w:rsidRPr="00B002AC">
            <w:rPr>
              <w:rFonts w:ascii="Times New Roman" w:eastAsia="Times New Roman" w:hAnsi="Times New Roman" w:cs="Times New Roman"/>
              <w:noProof/>
              <w:sz w:val="24"/>
              <w:lang w:val="fr-FR" w:eastAsia="fr-BE"/>
            </w:rPr>
            <w:fldChar w:fldCharType="end"/>
          </w:r>
        </w:sdtContent>
      </w:sdt>
      <w:r w:rsidRPr="00B002AC">
        <w:rPr>
          <w:rFonts w:ascii="Times New Roman" w:eastAsia="Times New Roman" w:hAnsi="Times New Roman" w:cs="Times New Roman"/>
          <w:sz w:val="24"/>
          <w:lang w:val="fr-FR" w:eastAsia="fr-BE"/>
        </w:rPr>
        <w:t>.</w:t>
      </w:r>
      <w:r w:rsidR="00070972" w:rsidRPr="00B002AC">
        <w:rPr>
          <w:rFonts w:ascii="Times New Roman" w:eastAsia="Times New Roman" w:hAnsi="Times New Roman" w:cs="Times New Roman"/>
          <w:sz w:val="24"/>
          <w:lang w:val="fr-FR" w:eastAsia="fr-BE"/>
        </w:rPr>
        <w:t xml:space="preserve"> </w:t>
      </w:r>
      <w:r w:rsidRPr="00B002AC">
        <w:rPr>
          <w:rFonts w:ascii="Times New Roman" w:eastAsia="Times New Roman" w:hAnsi="Times New Roman" w:cs="Times New Roman"/>
          <w:sz w:val="24"/>
          <w:lang w:val="fr-FR" w:eastAsia="fr-BE"/>
        </w:rPr>
        <w:t xml:space="preserve">La physiologie de la phase </w:t>
      </w:r>
      <w:r w:rsidR="000E5B4D" w:rsidRPr="00B002AC">
        <w:rPr>
          <w:rFonts w:ascii="Times New Roman" w:eastAsia="Times New Roman" w:hAnsi="Times New Roman" w:cs="Times New Roman"/>
          <w:sz w:val="24"/>
          <w:lang w:val="fr-FR" w:eastAsia="fr-BE"/>
        </w:rPr>
        <w:t>sanguine</w:t>
      </w:r>
      <w:r w:rsidRPr="00B002AC">
        <w:rPr>
          <w:rFonts w:ascii="Times New Roman" w:eastAsia="Times New Roman" w:hAnsi="Times New Roman" w:cs="Times New Roman"/>
          <w:sz w:val="24"/>
          <w:lang w:val="fr-FR" w:eastAsia="fr-BE"/>
        </w:rPr>
        <w:t xml:space="preserve"> reste partiellement incomprise.</w:t>
      </w:r>
      <w:r w:rsidR="00B002AC" w:rsidRPr="00B002AC">
        <w:rPr>
          <w:rFonts w:ascii="Times New Roman" w:eastAsia="Times New Roman" w:hAnsi="Times New Roman" w:cs="Times New Roman"/>
          <w:sz w:val="24"/>
          <w:lang w:val="fr-FR" w:eastAsia="fr-BE"/>
        </w:rPr>
        <w:t xml:space="preserve"> </w:t>
      </w:r>
      <w:r w:rsidRPr="00B002AC">
        <w:rPr>
          <w:rFonts w:ascii="Times New Roman" w:eastAsia="Times New Roman" w:hAnsi="Times New Roman" w:cs="Times New Roman"/>
          <w:sz w:val="24"/>
          <w:lang w:val="fr-FR" w:eastAsia="fr-BE"/>
        </w:rPr>
        <w:t xml:space="preserve">Trois transporteurs sériques sont impliqués : les </w:t>
      </w:r>
      <w:r w:rsidR="00B002AC" w:rsidRPr="00B002AC">
        <w:rPr>
          <w:rFonts w:ascii="Times New Roman" w:eastAsia="Times New Roman" w:hAnsi="Times New Roman" w:cs="Times New Roman"/>
          <w:sz w:val="24"/>
          <w:lang w:val="fr-FR" w:eastAsia="fr-BE"/>
        </w:rPr>
        <w:t>Transcobalamines</w:t>
      </w:r>
      <w:r w:rsidRPr="00B002AC">
        <w:rPr>
          <w:rFonts w:ascii="Times New Roman" w:eastAsia="Times New Roman" w:hAnsi="Times New Roman" w:cs="Times New Roman"/>
          <w:sz w:val="24"/>
          <w:lang w:val="fr-FR" w:eastAsia="fr-BE"/>
        </w:rPr>
        <w:t xml:space="preserve"> (TC I-II</w:t>
      </w:r>
      <w:r w:rsidR="007B1C31">
        <w:rPr>
          <w:rFonts w:ascii="Times New Roman" w:eastAsia="Times New Roman" w:hAnsi="Times New Roman" w:cs="Times New Roman"/>
          <w:sz w:val="24"/>
          <w:lang w:val="fr-FR" w:eastAsia="fr-BE"/>
        </w:rPr>
        <w:t xml:space="preserve"> et II</w:t>
      </w:r>
      <w:r w:rsidRPr="00B002AC">
        <w:rPr>
          <w:rFonts w:ascii="Times New Roman" w:eastAsia="Times New Roman" w:hAnsi="Times New Roman" w:cs="Times New Roman"/>
          <w:sz w:val="24"/>
          <w:lang w:val="fr-FR" w:eastAsia="fr-BE"/>
        </w:rPr>
        <w:t>I).</w:t>
      </w:r>
      <w:r w:rsidR="00070972" w:rsidRPr="00B002AC">
        <w:rPr>
          <w:rFonts w:ascii="Times New Roman" w:eastAsia="Times New Roman" w:hAnsi="Times New Roman" w:cs="Times New Roman"/>
          <w:sz w:val="24"/>
          <w:lang w:val="fr-FR" w:eastAsia="fr-BE"/>
        </w:rPr>
        <w:t xml:space="preserve"> </w:t>
      </w:r>
      <w:r w:rsidRPr="00B002AC">
        <w:rPr>
          <w:rFonts w:ascii="Times New Roman" w:eastAsia="Times New Roman" w:hAnsi="Times New Roman" w:cs="Times New Roman"/>
          <w:sz w:val="24"/>
          <w:lang w:val="fr-FR" w:eastAsia="fr-BE"/>
        </w:rPr>
        <w:t>Cependant, seule la vitamine B12 liée à TC II (ou holotranscobalamine)</w:t>
      </w:r>
      <w:r w:rsidR="00A26BF8" w:rsidRPr="00B002AC">
        <w:rPr>
          <w:rFonts w:ascii="Times New Roman" w:eastAsia="Times New Roman" w:hAnsi="Times New Roman" w:cs="Times New Roman"/>
          <w:sz w:val="24"/>
          <w:lang w:val="fr-FR" w:eastAsia="fr-BE"/>
        </w:rPr>
        <w:t xml:space="preserve"> </w:t>
      </w:r>
      <w:r w:rsidRPr="00B002AC">
        <w:rPr>
          <w:rFonts w:ascii="Times New Roman" w:eastAsia="Times New Roman" w:hAnsi="Times New Roman" w:cs="Times New Roman"/>
          <w:sz w:val="24"/>
          <w:lang w:val="fr-FR" w:eastAsia="fr-BE"/>
        </w:rPr>
        <w:t xml:space="preserve">est </w:t>
      </w:r>
      <w:r w:rsidR="00B002AC" w:rsidRPr="00B002AC">
        <w:rPr>
          <w:rFonts w:ascii="Times New Roman" w:eastAsia="Times New Roman" w:hAnsi="Times New Roman" w:cs="Times New Roman"/>
          <w:sz w:val="24"/>
          <w:lang w:val="fr-FR" w:eastAsia="fr-BE"/>
        </w:rPr>
        <w:t>bio disponible</w:t>
      </w:r>
      <w:r w:rsidRPr="00B002AC">
        <w:rPr>
          <w:rFonts w:ascii="Times New Roman" w:eastAsia="Times New Roman" w:hAnsi="Times New Roman" w:cs="Times New Roman"/>
          <w:sz w:val="24"/>
          <w:lang w:val="fr-FR" w:eastAsia="fr-BE"/>
        </w:rPr>
        <w:t xml:space="preserve"> et donc biologiquement active</w:t>
      </w:r>
      <w:r w:rsidR="007B1C31">
        <w:rPr>
          <w:rFonts w:ascii="Times New Roman" w:eastAsia="Times New Roman" w:hAnsi="Times New Roman" w:cs="Times New Roman"/>
          <w:sz w:val="24"/>
          <w:lang w:val="fr-FR" w:eastAsia="fr-BE"/>
        </w:rPr>
        <w:t xml:space="preserve"> (voir figure 1)</w:t>
      </w:r>
      <w:r w:rsidRPr="00B002AC">
        <w:rPr>
          <w:rFonts w:ascii="Times New Roman" w:eastAsia="Times New Roman" w:hAnsi="Times New Roman" w:cs="Times New Roman"/>
          <w:sz w:val="24"/>
          <w:lang w:val="fr-FR" w:eastAsia="fr-BE"/>
        </w:rPr>
        <w:t>.</w:t>
      </w:r>
    </w:p>
    <w:p w14:paraId="6CE46843" w14:textId="77777777" w:rsidR="00B53D05" w:rsidRPr="00B002AC" w:rsidRDefault="00B53D05" w:rsidP="00070972">
      <w:pPr>
        <w:spacing w:after="0" w:line="240" w:lineRule="auto"/>
        <w:jc w:val="both"/>
        <w:rPr>
          <w:rFonts w:ascii="Times New Roman" w:eastAsia="Times New Roman" w:hAnsi="Times New Roman" w:cs="Times New Roman"/>
          <w:sz w:val="24"/>
          <w:lang w:val="fr-FR" w:eastAsia="fr-BE"/>
        </w:rPr>
      </w:pPr>
    </w:p>
    <w:p w14:paraId="1180B6E6" w14:textId="3A18167E" w:rsidR="00B53D05" w:rsidRPr="00B002AC" w:rsidRDefault="00216429" w:rsidP="00070972">
      <w:pPr>
        <w:spacing w:after="0" w:line="240" w:lineRule="auto"/>
        <w:jc w:val="both"/>
        <w:rPr>
          <w:rFonts w:ascii="Times New Roman" w:eastAsia="Times New Roman" w:hAnsi="Times New Roman" w:cs="Times New Roman"/>
          <w:sz w:val="24"/>
          <w:lang w:val="fr-FR" w:eastAsia="fr-BE"/>
        </w:rPr>
      </w:pPr>
      <w:r>
        <w:rPr>
          <w:rFonts w:ascii="Times New Roman" w:eastAsia="Times New Roman" w:hAnsi="Times New Roman" w:cs="Times New Roman"/>
          <w:sz w:val="24"/>
          <w:lang w:val="fr-FR" w:eastAsia="fr-BE"/>
        </w:rPr>
        <w:t xml:space="preserve">La </w:t>
      </w:r>
      <w:r w:rsidR="00B53D05" w:rsidRPr="00B002AC">
        <w:rPr>
          <w:rFonts w:ascii="Times New Roman" w:eastAsia="Times New Roman" w:hAnsi="Times New Roman" w:cs="Times New Roman"/>
          <w:sz w:val="24"/>
          <w:lang w:val="fr-FR" w:eastAsia="fr-BE"/>
        </w:rPr>
        <w:t xml:space="preserve">holotranscobalamine ou vitamine B12 </w:t>
      </w:r>
      <w:r>
        <w:rPr>
          <w:rFonts w:ascii="Times New Roman" w:eastAsia="Times New Roman" w:hAnsi="Times New Roman" w:cs="Times New Roman"/>
          <w:sz w:val="24"/>
          <w:lang w:val="fr-FR" w:eastAsia="fr-BE"/>
        </w:rPr>
        <w:t>« </w:t>
      </w:r>
      <w:r w:rsidR="00B53D05" w:rsidRPr="00B002AC">
        <w:rPr>
          <w:rFonts w:ascii="Times New Roman" w:eastAsia="Times New Roman" w:hAnsi="Times New Roman" w:cs="Times New Roman"/>
          <w:sz w:val="24"/>
          <w:lang w:val="fr-FR" w:eastAsia="fr-BE"/>
        </w:rPr>
        <w:t>active</w:t>
      </w:r>
      <w:r>
        <w:rPr>
          <w:rFonts w:ascii="Times New Roman" w:eastAsia="Times New Roman" w:hAnsi="Times New Roman" w:cs="Times New Roman"/>
          <w:sz w:val="24"/>
          <w:lang w:val="fr-FR" w:eastAsia="fr-BE"/>
        </w:rPr>
        <w:t> »</w:t>
      </w:r>
      <w:r w:rsidR="00B53D05" w:rsidRPr="00B002AC">
        <w:rPr>
          <w:rFonts w:ascii="Times New Roman" w:eastAsia="Times New Roman" w:hAnsi="Times New Roman" w:cs="Times New Roman"/>
          <w:sz w:val="24"/>
          <w:lang w:val="fr-FR" w:eastAsia="fr-BE"/>
        </w:rPr>
        <w:t xml:space="preserve"> est capable de lier 20% de la B12 circulante. Ses concentrations normales sont de 40 à 150 pmol/L. </w:t>
      </w:r>
      <w:r w:rsidR="00C05171">
        <w:rPr>
          <w:rFonts w:ascii="Times New Roman" w:eastAsia="Times New Roman" w:hAnsi="Times New Roman" w:cs="Times New Roman"/>
          <w:sz w:val="24"/>
          <w:lang w:val="fr-FR" w:eastAsia="fr-BE"/>
        </w:rPr>
        <w:t>E</w:t>
      </w:r>
      <w:r w:rsidR="00B53D05" w:rsidRPr="00B002AC">
        <w:rPr>
          <w:rFonts w:ascii="Times New Roman" w:eastAsia="Times New Roman" w:hAnsi="Times New Roman" w:cs="Times New Roman"/>
          <w:sz w:val="24"/>
          <w:lang w:val="fr-FR" w:eastAsia="fr-BE"/>
        </w:rPr>
        <w:t xml:space="preserve">lle est capable de transporter 4 mmol/jour de B12 vers toutes les cellules du corps (en dehors du foie). La TCII filtre au niveau rénal et </w:t>
      </w:r>
      <w:r w:rsidR="003D20F2" w:rsidRPr="00B002AC">
        <w:rPr>
          <w:rFonts w:ascii="Times New Roman" w:eastAsia="Times New Roman" w:hAnsi="Times New Roman" w:cs="Times New Roman"/>
          <w:sz w:val="24"/>
          <w:lang w:val="fr-FR" w:eastAsia="fr-BE"/>
        </w:rPr>
        <w:t>est réabsorbée via sa liaison avec un</w:t>
      </w:r>
      <w:r w:rsidR="00B53D05" w:rsidRPr="00B002AC">
        <w:rPr>
          <w:rFonts w:ascii="Times New Roman" w:eastAsia="Times New Roman" w:hAnsi="Times New Roman" w:cs="Times New Roman"/>
          <w:sz w:val="24"/>
          <w:lang w:val="fr-FR" w:eastAsia="fr-BE"/>
        </w:rPr>
        <w:t xml:space="preserve"> récepteur </w:t>
      </w:r>
      <w:r w:rsidR="003D20F2" w:rsidRPr="00B002AC">
        <w:rPr>
          <w:rFonts w:ascii="Times New Roman" w:eastAsia="Times New Roman" w:hAnsi="Times New Roman" w:cs="Times New Roman"/>
          <w:sz w:val="24"/>
          <w:lang w:val="fr-FR" w:eastAsia="fr-BE"/>
        </w:rPr>
        <w:t>situé au niveau du tubule proximal rénale, la mé</w:t>
      </w:r>
      <w:r w:rsidR="00B53D05" w:rsidRPr="00B002AC">
        <w:rPr>
          <w:rFonts w:ascii="Times New Roman" w:eastAsia="Times New Roman" w:hAnsi="Times New Roman" w:cs="Times New Roman"/>
          <w:sz w:val="24"/>
          <w:lang w:val="fr-FR" w:eastAsia="fr-BE"/>
        </w:rPr>
        <w:t>galin</w:t>
      </w:r>
      <w:r w:rsidR="003D20F2" w:rsidRPr="00B002AC">
        <w:rPr>
          <w:rFonts w:ascii="Times New Roman" w:eastAsia="Times New Roman" w:hAnsi="Times New Roman" w:cs="Times New Roman"/>
          <w:sz w:val="24"/>
          <w:lang w:val="fr-FR" w:eastAsia="fr-BE"/>
        </w:rPr>
        <w:t>e</w:t>
      </w:r>
      <w:r w:rsidR="00B53D05" w:rsidRPr="00B002AC">
        <w:rPr>
          <w:rFonts w:ascii="Times New Roman" w:eastAsia="Times New Roman" w:hAnsi="Times New Roman" w:cs="Times New Roman"/>
          <w:sz w:val="24"/>
          <w:lang w:val="fr-FR" w:eastAsia="fr-BE"/>
        </w:rPr>
        <w:t>.</w:t>
      </w:r>
    </w:p>
    <w:p w14:paraId="11F5400B" w14:textId="77777777" w:rsidR="00B53D05" w:rsidRPr="00B002AC" w:rsidRDefault="00B53D05" w:rsidP="00070972">
      <w:pPr>
        <w:spacing w:after="0" w:line="240" w:lineRule="auto"/>
        <w:jc w:val="both"/>
        <w:rPr>
          <w:rFonts w:ascii="Times New Roman" w:eastAsia="Times New Roman" w:hAnsi="Times New Roman" w:cs="Times New Roman"/>
          <w:sz w:val="24"/>
          <w:lang w:val="fr-FR" w:eastAsia="fr-BE"/>
        </w:rPr>
      </w:pPr>
    </w:p>
    <w:p w14:paraId="08A6991A" w14:textId="4E7B88EE" w:rsidR="00B53D05" w:rsidRPr="00B002AC" w:rsidRDefault="00B53D05" w:rsidP="00070972">
      <w:pPr>
        <w:spacing w:after="0" w:line="240" w:lineRule="auto"/>
        <w:jc w:val="both"/>
        <w:rPr>
          <w:rFonts w:ascii="Times New Roman" w:eastAsia="Times New Roman" w:hAnsi="Times New Roman" w:cs="Times New Roman"/>
          <w:sz w:val="24"/>
          <w:lang w:val="fr-FR" w:eastAsia="fr-BE"/>
        </w:rPr>
      </w:pPr>
      <w:r w:rsidRPr="00B002AC">
        <w:rPr>
          <w:rFonts w:ascii="Times New Roman" w:eastAsia="Times New Roman" w:hAnsi="Times New Roman" w:cs="Times New Roman"/>
          <w:sz w:val="24"/>
          <w:lang w:val="fr-FR" w:eastAsia="fr-BE"/>
        </w:rPr>
        <w:t>Les TC I et III lient 80% de la B12 circulante. Elles transportent uniquement 0,1 mmol/L de B12/jour avec comme seule destination le foie en se liant à leur récepteur</w:t>
      </w:r>
      <w:r w:rsidR="00C05171">
        <w:rPr>
          <w:rFonts w:ascii="Times New Roman" w:eastAsia="Times New Roman" w:hAnsi="Times New Roman" w:cs="Times New Roman"/>
          <w:sz w:val="24"/>
          <w:lang w:val="fr-FR" w:eastAsia="fr-BE"/>
        </w:rPr>
        <w:t>, une</w:t>
      </w:r>
      <w:r w:rsidRPr="00B002AC">
        <w:rPr>
          <w:rFonts w:ascii="Times New Roman" w:eastAsia="Times New Roman" w:hAnsi="Times New Roman" w:cs="Times New Roman"/>
          <w:sz w:val="24"/>
          <w:lang w:val="fr-FR" w:eastAsia="fr-BE"/>
        </w:rPr>
        <w:t xml:space="preserve"> asyaloglycoprotéine. Le dosage sérique de la holotranscobalamine, </w:t>
      </w:r>
      <w:r w:rsidR="002F4842" w:rsidRPr="00B002AC">
        <w:rPr>
          <w:rFonts w:ascii="Times New Roman" w:eastAsia="Times New Roman" w:hAnsi="Times New Roman" w:cs="Times New Roman"/>
          <w:sz w:val="24"/>
          <w:lang w:val="fr-FR" w:eastAsia="fr-BE"/>
        </w:rPr>
        <w:t>dans notre expérience et dans celles d’autres auteurs, semble plus sensible et spécifique,</w:t>
      </w:r>
      <w:r w:rsidRPr="00B002AC">
        <w:rPr>
          <w:rFonts w:ascii="Times New Roman" w:eastAsia="Times New Roman" w:hAnsi="Times New Roman" w:cs="Times New Roman"/>
          <w:sz w:val="24"/>
          <w:lang w:val="fr-FR" w:eastAsia="fr-BE"/>
        </w:rPr>
        <w:t xml:space="preserve"> que celui de la vitamine B</w:t>
      </w:r>
      <w:r w:rsidRPr="00B002AC">
        <w:rPr>
          <w:rFonts w:ascii="Times New Roman" w:eastAsia="Times New Roman" w:hAnsi="Times New Roman" w:cs="Times New Roman"/>
          <w:sz w:val="24"/>
          <w:vertAlign w:val="subscript"/>
          <w:lang w:val="fr-FR" w:eastAsia="fr-BE"/>
        </w:rPr>
        <w:t>12</w:t>
      </w:r>
      <w:r w:rsidR="000E5B4D" w:rsidRPr="00B002AC">
        <w:rPr>
          <w:rFonts w:ascii="Times New Roman" w:eastAsia="Times New Roman" w:hAnsi="Times New Roman" w:cs="Times New Roman"/>
          <w:sz w:val="24"/>
          <w:vertAlign w:val="subscript"/>
          <w:lang w:val="fr-FR" w:eastAsia="fr-BE"/>
        </w:rPr>
        <w:t xml:space="preserve"> </w:t>
      </w:r>
      <w:r w:rsidRPr="00B002AC">
        <w:rPr>
          <w:rFonts w:ascii="Times New Roman" w:eastAsia="Times New Roman" w:hAnsi="Times New Roman" w:cs="Times New Roman"/>
          <w:sz w:val="24"/>
          <w:lang w:val="fr-FR" w:eastAsia="fr-BE"/>
        </w:rPr>
        <w:t xml:space="preserve">totale qui </w:t>
      </w:r>
      <w:r w:rsidR="000E5B4D" w:rsidRPr="00B002AC">
        <w:rPr>
          <w:rFonts w:ascii="Times New Roman" w:eastAsia="Times New Roman" w:hAnsi="Times New Roman" w:cs="Times New Roman"/>
          <w:sz w:val="24"/>
          <w:lang w:val="fr-FR" w:eastAsia="fr-BE"/>
        </w:rPr>
        <w:t>elle</w:t>
      </w:r>
      <w:r w:rsidRPr="00B002AC">
        <w:rPr>
          <w:rFonts w:ascii="Times New Roman" w:eastAsia="Times New Roman" w:hAnsi="Times New Roman" w:cs="Times New Roman"/>
          <w:sz w:val="24"/>
          <w:lang w:val="fr-FR" w:eastAsia="fr-BE"/>
        </w:rPr>
        <w:t>, représente la cobalamine liée aux trois transporteurs</w:t>
      </w:r>
      <w:r w:rsidR="00D264CE">
        <w:rPr>
          <w:rFonts w:ascii="Times New Roman" w:eastAsia="Times New Roman" w:hAnsi="Times New Roman" w:cs="Times New Roman"/>
          <w:sz w:val="24"/>
          <w:lang w:val="fr-FR" w:eastAsia="fr-BE"/>
        </w:rPr>
        <w:t xml:space="preserve"> (39,40)</w:t>
      </w:r>
      <w:r w:rsidRPr="00B002AC">
        <w:rPr>
          <w:rFonts w:ascii="Times New Roman" w:eastAsia="Times New Roman" w:hAnsi="Times New Roman" w:cs="Times New Roman"/>
          <w:sz w:val="24"/>
          <w:lang w:val="fr-FR" w:eastAsia="fr-BE"/>
        </w:rPr>
        <w:t xml:space="preserve">. </w:t>
      </w:r>
    </w:p>
    <w:p w14:paraId="7A4C2946" w14:textId="77777777" w:rsidR="00B53D05" w:rsidRPr="00B002AC" w:rsidRDefault="00B53D05" w:rsidP="00070972">
      <w:pPr>
        <w:pStyle w:val="Sansinterligne"/>
        <w:jc w:val="both"/>
        <w:rPr>
          <w:lang w:val="fr-FR"/>
        </w:rPr>
      </w:pPr>
    </w:p>
    <w:p w14:paraId="56D8506C" w14:textId="77777777" w:rsidR="00B62B6B" w:rsidRPr="00B002AC" w:rsidRDefault="00B62B6B" w:rsidP="00070972">
      <w:pPr>
        <w:pStyle w:val="Sansinterligne"/>
        <w:jc w:val="both"/>
        <w:rPr>
          <w:lang w:val="fr-FR"/>
        </w:rPr>
      </w:pPr>
    </w:p>
    <w:p w14:paraId="439231F3" w14:textId="77777777" w:rsidR="003829B7" w:rsidRPr="00B002AC" w:rsidRDefault="0032237D" w:rsidP="00070972">
      <w:pPr>
        <w:pStyle w:val="Style2"/>
        <w:jc w:val="both"/>
        <w:rPr>
          <w:color w:val="000000" w:themeColor="text1"/>
          <w:u w:val="none"/>
          <w:lang w:val="fr-FR"/>
        </w:rPr>
      </w:pPr>
      <w:r w:rsidRPr="00B002AC">
        <w:rPr>
          <w:color w:val="000000" w:themeColor="text1"/>
          <w:u w:val="none"/>
          <w:lang w:val="fr-FR"/>
        </w:rPr>
        <w:t>D</w:t>
      </w:r>
      <w:r w:rsidR="003829B7" w:rsidRPr="00B002AC">
        <w:rPr>
          <w:color w:val="000000" w:themeColor="text1"/>
          <w:u w:val="none"/>
          <w:lang w:val="fr-FR"/>
        </w:rPr>
        <w:t xml:space="preserve">éfinition </w:t>
      </w:r>
      <w:r w:rsidR="00EB7191" w:rsidRPr="00B002AC">
        <w:rPr>
          <w:color w:val="000000" w:themeColor="text1"/>
          <w:u w:val="none"/>
          <w:lang w:val="fr-FR"/>
        </w:rPr>
        <w:t xml:space="preserve">et diagnostic </w:t>
      </w:r>
      <w:r w:rsidR="002F4842" w:rsidRPr="00B002AC">
        <w:rPr>
          <w:color w:val="000000" w:themeColor="text1"/>
          <w:u w:val="none"/>
          <w:lang w:val="fr-FR"/>
        </w:rPr>
        <w:t>du déficit</w:t>
      </w:r>
      <w:r w:rsidR="003829B7" w:rsidRPr="00B002AC">
        <w:rPr>
          <w:color w:val="000000" w:themeColor="text1"/>
          <w:u w:val="none"/>
          <w:lang w:val="fr-FR"/>
        </w:rPr>
        <w:t xml:space="preserve"> en vitamine B12 </w:t>
      </w:r>
      <w:sdt>
        <w:sdtPr>
          <w:rPr>
            <w:color w:val="000000" w:themeColor="text1"/>
            <w:u w:val="none"/>
            <w:lang w:val="fr-FR"/>
          </w:rPr>
          <w:id w:val="-2098891405"/>
          <w:citation/>
        </w:sdtPr>
        <w:sdtEndPr/>
        <w:sdtContent>
          <w:r w:rsidR="00380AD8" w:rsidRPr="00B002AC">
            <w:rPr>
              <w:color w:val="000000" w:themeColor="text1"/>
              <w:u w:val="none"/>
              <w:lang w:val="fr-FR"/>
            </w:rPr>
            <w:fldChar w:fldCharType="begin"/>
          </w:r>
          <w:r w:rsidR="00380AD8" w:rsidRPr="00B002AC">
            <w:rPr>
              <w:color w:val="000000" w:themeColor="text1"/>
              <w:u w:val="none"/>
              <w:lang w:val="fr-FR"/>
            </w:rPr>
            <w:instrText xml:space="preserve"> CITATION And05 \l 2060 </w:instrText>
          </w:r>
          <w:r w:rsidR="00380AD8" w:rsidRPr="00B002AC">
            <w:rPr>
              <w:color w:val="000000" w:themeColor="text1"/>
              <w:u w:val="none"/>
              <w:lang w:val="fr-FR"/>
            </w:rPr>
            <w:fldChar w:fldCharType="separate"/>
          </w:r>
          <w:r w:rsidR="008F07A7" w:rsidRPr="00B002AC">
            <w:rPr>
              <w:noProof/>
              <w:color w:val="000000" w:themeColor="text1"/>
              <w:u w:val="none"/>
              <w:lang w:val="fr-FR"/>
            </w:rPr>
            <w:t>(6)</w:t>
          </w:r>
          <w:r w:rsidR="00380AD8" w:rsidRPr="00B002AC">
            <w:rPr>
              <w:noProof/>
              <w:color w:val="000000" w:themeColor="text1"/>
              <w:u w:val="none"/>
              <w:lang w:val="fr-FR"/>
            </w:rPr>
            <w:fldChar w:fldCharType="end"/>
          </w:r>
        </w:sdtContent>
      </w:sdt>
      <w:r w:rsidR="003829B7" w:rsidRPr="00B002AC">
        <w:rPr>
          <w:color w:val="000000" w:themeColor="text1"/>
          <w:u w:val="none"/>
          <w:lang w:val="fr-FR"/>
        </w:rPr>
        <w:t>:</w:t>
      </w:r>
    </w:p>
    <w:p w14:paraId="5A9314A3" w14:textId="77777777" w:rsidR="00B53D05" w:rsidRPr="00B002AC" w:rsidRDefault="00B53D05" w:rsidP="00070972">
      <w:pPr>
        <w:pStyle w:val="Sansinterligne"/>
        <w:jc w:val="both"/>
        <w:rPr>
          <w:lang w:val="fr-FR"/>
        </w:rPr>
      </w:pPr>
    </w:p>
    <w:p w14:paraId="578B977E" w14:textId="060F912D" w:rsidR="003829B7" w:rsidRPr="00B002AC" w:rsidRDefault="003829B7" w:rsidP="00070972">
      <w:pPr>
        <w:pStyle w:val="Sansinterligne"/>
        <w:numPr>
          <w:ilvl w:val="0"/>
          <w:numId w:val="7"/>
        </w:numPr>
        <w:jc w:val="both"/>
        <w:rPr>
          <w:lang w:val="fr-FR"/>
        </w:rPr>
      </w:pPr>
      <w:r w:rsidRPr="00B002AC">
        <w:rPr>
          <w:lang w:val="fr-FR"/>
        </w:rPr>
        <w:t xml:space="preserve">Taux sérique de vitamine B12 </w:t>
      </w:r>
      <w:r w:rsidR="002F4842" w:rsidRPr="00B002AC">
        <w:rPr>
          <w:lang w:val="fr-FR"/>
        </w:rPr>
        <w:t xml:space="preserve">totale </w:t>
      </w:r>
      <w:r w:rsidR="00EB7191" w:rsidRPr="00B002AC">
        <w:rPr>
          <w:lang w:val="fr-FR"/>
        </w:rPr>
        <w:t xml:space="preserve">(cyanocobalamine) </w:t>
      </w:r>
      <w:r w:rsidRPr="00B002AC">
        <w:rPr>
          <w:lang w:val="fr-FR"/>
        </w:rPr>
        <w:t>à deux reprises inférieur à 200 pg/mL (ou 150 pmol/L)</w:t>
      </w:r>
      <w:r w:rsidR="00EE25E4" w:rsidRPr="00B002AC">
        <w:rPr>
          <w:lang w:val="fr-FR"/>
        </w:rPr>
        <w:t xml:space="preserve"> (spécificité 95%)</w:t>
      </w:r>
      <w:r w:rsidR="00835CFB">
        <w:rPr>
          <w:lang w:val="fr-FR"/>
        </w:rPr>
        <w:t>. En Belgique, ce dosage est seulement remboursé une fois par an.</w:t>
      </w:r>
    </w:p>
    <w:p w14:paraId="213F944B" w14:textId="77777777" w:rsidR="003829B7" w:rsidRPr="00B002AC" w:rsidRDefault="003829B7" w:rsidP="00070972">
      <w:pPr>
        <w:pStyle w:val="Sansinterligne"/>
        <w:numPr>
          <w:ilvl w:val="0"/>
          <w:numId w:val="7"/>
        </w:numPr>
        <w:jc w:val="both"/>
        <w:rPr>
          <w:lang w:val="fr-FR"/>
        </w:rPr>
      </w:pPr>
      <w:r w:rsidRPr="00B002AC">
        <w:rPr>
          <w:lang w:val="fr-FR"/>
        </w:rPr>
        <w:t xml:space="preserve">Taux sérique de vitamine B12 </w:t>
      </w:r>
      <w:r w:rsidR="002F4842" w:rsidRPr="00B002AC">
        <w:rPr>
          <w:lang w:val="fr-FR"/>
        </w:rPr>
        <w:t xml:space="preserve">totale </w:t>
      </w:r>
      <w:r w:rsidRPr="00B002AC">
        <w:rPr>
          <w:lang w:val="fr-FR"/>
        </w:rPr>
        <w:t>inférieur à 160 pg/mL</w:t>
      </w:r>
      <w:r w:rsidR="00C05171">
        <w:rPr>
          <w:lang w:val="fr-FR"/>
        </w:rPr>
        <w:t xml:space="preserve"> dès le premier prélèvement</w:t>
      </w:r>
    </w:p>
    <w:p w14:paraId="1F28BAB8" w14:textId="7440F045" w:rsidR="003829B7" w:rsidRPr="00B002AC" w:rsidRDefault="003829B7" w:rsidP="008A7EA3">
      <w:pPr>
        <w:pStyle w:val="Sansinterligne"/>
        <w:numPr>
          <w:ilvl w:val="0"/>
          <w:numId w:val="7"/>
        </w:numPr>
        <w:jc w:val="both"/>
        <w:rPr>
          <w:lang w:val="fr-FR"/>
        </w:rPr>
      </w:pPr>
      <w:r w:rsidRPr="00B002AC">
        <w:rPr>
          <w:lang w:val="fr-FR"/>
        </w:rPr>
        <w:t>Taux sérique de vitamine B12 inférieur à 200 pg/mL + homocystéine totale sérique supérieur à 13 µmol/L ou acide méthyl malonique supérieur à</w:t>
      </w:r>
      <w:r w:rsidR="00EE25E4" w:rsidRPr="00B002AC">
        <w:rPr>
          <w:lang w:val="fr-FR"/>
        </w:rPr>
        <w:t xml:space="preserve"> </w:t>
      </w:r>
      <w:r w:rsidRPr="00B002AC">
        <w:rPr>
          <w:lang w:val="fr-FR"/>
        </w:rPr>
        <w:t>0,4</w:t>
      </w:r>
      <w:r w:rsidR="00C05171">
        <w:rPr>
          <w:lang w:val="fr-FR"/>
        </w:rPr>
        <w:t xml:space="preserve"> </w:t>
      </w:r>
      <w:r w:rsidRPr="00B002AC">
        <w:rPr>
          <w:lang w:val="fr-FR"/>
        </w:rPr>
        <w:t>µmol/L (sans insuffisance rénale ni déficit en folates et vitamine B6</w:t>
      </w:r>
      <w:r w:rsidR="00C05171">
        <w:rPr>
          <w:lang w:val="fr-FR"/>
        </w:rPr>
        <w:t>,</w:t>
      </w:r>
      <w:r w:rsidRPr="00B002AC">
        <w:rPr>
          <w:lang w:val="fr-FR"/>
        </w:rPr>
        <w:t xml:space="preserve"> ni présence d’un mutant de la </w:t>
      </w:r>
      <w:r w:rsidR="008A7EA3" w:rsidRPr="008A7EA3">
        <w:rPr>
          <w:lang w:val="fr-FR"/>
        </w:rPr>
        <w:t xml:space="preserve">Methylenetetrahydrofolate reductase </w:t>
      </w:r>
      <w:r w:rsidR="008A7EA3">
        <w:rPr>
          <w:lang w:val="fr-FR"/>
        </w:rPr>
        <w:t>(</w:t>
      </w:r>
      <w:r w:rsidRPr="00B002AC">
        <w:rPr>
          <w:lang w:val="fr-FR"/>
        </w:rPr>
        <w:t>MTHFR)</w:t>
      </w:r>
      <w:r w:rsidR="00D264CE">
        <w:rPr>
          <w:lang w:val="fr-FR"/>
        </w:rPr>
        <w:t>.</w:t>
      </w:r>
    </w:p>
    <w:p w14:paraId="788FE488" w14:textId="77777777" w:rsidR="00B62B6B" w:rsidRPr="00B002AC" w:rsidRDefault="000B4EA0" w:rsidP="00070972">
      <w:pPr>
        <w:pStyle w:val="Sansinterligne"/>
        <w:jc w:val="both"/>
        <w:rPr>
          <w:lang w:val="fr-FR"/>
        </w:rPr>
      </w:pPr>
      <w:r w:rsidRPr="00B002AC">
        <w:rPr>
          <w:lang w:val="fr-FR"/>
        </w:rPr>
        <w:t>Ces critères sont toutefo</w:t>
      </w:r>
      <w:r w:rsidR="006D56C2" w:rsidRPr="00B002AC">
        <w:rPr>
          <w:lang w:val="fr-FR"/>
        </w:rPr>
        <w:t xml:space="preserve">is non </w:t>
      </w:r>
      <w:r w:rsidR="002F4842" w:rsidRPr="00B002AC">
        <w:rPr>
          <w:lang w:val="fr-FR"/>
        </w:rPr>
        <w:t>applicables</w:t>
      </w:r>
      <w:r w:rsidR="006D56C2" w:rsidRPr="00B002AC">
        <w:rPr>
          <w:lang w:val="fr-FR"/>
        </w:rPr>
        <w:t xml:space="preserve"> à la personne </w:t>
      </w:r>
      <w:r w:rsidR="002F4842" w:rsidRPr="00B002AC">
        <w:rPr>
          <w:lang w:val="fr-FR"/>
        </w:rPr>
        <w:t>âgée</w:t>
      </w:r>
      <w:r w:rsidRPr="00B002AC">
        <w:rPr>
          <w:lang w:val="fr-FR"/>
        </w:rPr>
        <w:t>.</w:t>
      </w:r>
    </w:p>
    <w:p w14:paraId="433F1E62" w14:textId="77777777" w:rsidR="003D20F2" w:rsidRPr="00B002AC" w:rsidRDefault="003D20F2" w:rsidP="00070972">
      <w:pPr>
        <w:pStyle w:val="Sansinterligne"/>
        <w:jc w:val="both"/>
        <w:rPr>
          <w:lang w:val="fr-FR"/>
        </w:rPr>
      </w:pPr>
    </w:p>
    <w:p w14:paraId="677D5B82" w14:textId="77777777" w:rsidR="00EB7191" w:rsidRPr="00B002AC" w:rsidRDefault="002F4842" w:rsidP="00070972">
      <w:pPr>
        <w:pStyle w:val="Sansinterligne"/>
        <w:jc w:val="both"/>
        <w:rPr>
          <w:lang w:val="fr-FR"/>
        </w:rPr>
      </w:pPr>
      <w:r w:rsidRPr="00B002AC">
        <w:rPr>
          <w:lang w:val="fr-FR"/>
        </w:rPr>
        <w:t>L</w:t>
      </w:r>
      <w:r w:rsidR="00EB7191" w:rsidRPr="00B002AC">
        <w:rPr>
          <w:lang w:val="fr-FR"/>
        </w:rPr>
        <w:t>e dosage de l’</w:t>
      </w:r>
      <w:r w:rsidR="0029453D" w:rsidRPr="00B002AC">
        <w:rPr>
          <w:lang w:val="fr-FR"/>
        </w:rPr>
        <w:t>homocystéine est cons</w:t>
      </w:r>
      <w:r w:rsidR="00EB7191" w:rsidRPr="00B002AC">
        <w:rPr>
          <w:lang w:val="fr-FR"/>
        </w:rPr>
        <w:t>idéré comme plus sensible que le dosage de la cyanocobalamine. La spécificité demeure toutefois faible avec de nombreux faux positifs en cas d’insuffisance rénale, tabagisme actif, consommation d’alcool ou de café.</w:t>
      </w:r>
    </w:p>
    <w:p w14:paraId="4F2C761F" w14:textId="77777777" w:rsidR="0029453D" w:rsidRPr="00B002AC" w:rsidRDefault="0029453D" w:rsidP="00070972">
      <w:pPr>
        <w:pStyle w:val="Sansinterligne"/>
        <w:jc w:val="both"/>
        <w:rPr>
          <w:lang w:val="fr-FR"/>
        </w:rPr>
      </w:pPr>
      <w:r w:rsidRPr="00B002AC">
        <w:rPr>
          <w:lang w:val="fr-FR"/>
        </w:rPr>
        <w:t xml:space="preserve">Le dosage de l’acide </w:t>
      </w:r>
      <w:r w:rsidR="00B002AC" w:rsidRPr="00B002AC">
        <w:rPr>
          <w:lang w:val="fr-FR"/>
        </w:rPr>
        <w:t>méthyl malonique</w:t>
      </w:r>
      <w:r w:rsidRPr="00B002AC">
        <w:rPr>
          <w:lang w:val="fr-FR"/>
        </w:rPr>
        <w:t xml:space="preserve"> (MMA) est également plus sensible que la cyanocobalamine avec une spécificité faible (majoration en cas d’insuffisance rénale).</w:t>
      </w:r>
    </w:p>
    <w:p w14:paraId="77BC72AD" w14:textId="60E69DAD" w:rsidR="0029453D" w:rsidRDefault="0029453D" w:rsidP="00070972">
      <w:pPr>
        <w:pStyle w:val="Sansinterligne"/>
        <w:jc w:val="both"/>
        <w:rPr>
          <w:lang w:val="fr-FR"/>
        </w:rPr>
      </w:pPr>
      <w:r w:rsidRPr="00B002AC">
        <w:rPr>
          <w:lang w:val="fr-FR"/>
        </w:rPr>
        <w:t>Le dosage de la holotranscobalamine</w:t>
      </w:r>
      <w:r w:rsidR="00835CFB">
        <w:rPr>
          <w:lang w:val="fr-FR"/>
        </w:rPr>
        <w:t xml:space="preserve"> (dosage sans remboursement en Belgique à l’heure actuelle)</w:t>
      </w:r>
      <w:r w:rsidR="002F4842" w:rsidRPr="00B002AC">
        <w:rPr>
          <w:lang w:val="fr-FR"/>
        </w:rPr>
        <w:t xml:space="preserve">, à son tour, </w:t>
      </w:r>
      <w:r w:rsidRPr="00B002AC">
        <w:rPr>
          <w:lang w:val="fr-FR"/>
        </w:rPr>
        <w:t xml:space="preserve">semble présenter une meilleure sensibilité avec spécificité similaire </w:t>
      </w:r>
      <w:r w:rsidR="004C4577" w:rsidRPr="00B002AC">
        <w:rPr>
          <w:lang w:val="fr-FR"/>
        </w:rPr>
        <w:t>à</w:t>
      </w:r>
      <w:r w:rsidRPr="00B002AC">
        <w:rPr>
          <w:lang w:val="fr-FR"/>
        </w:rPr>
        <w:t xml:space="preserve"> la cyanocobalamine</w:t>
      </w:r>
      <w:r w:rsidR="002F4842" w:rsidRPr="00B002AC">
        <w:rPr>
          <w:lang w:val="fr-FR"/>
        </w:rPr>
        <w:t>,</w:t>
      </w:r>
      <w:r w:rsidR="004C4577" w:rsidRPr="00B002AC">
        <w:rPr>
          <w:lang w:val="fr-FR"/>
        </w:rPr>
        <w:t xml:space="preserve"> </w:t>
      </w:r>
      <w:r w:rsidRPr="00B002AC">
        <w:rPr>
          <w:lang w:val="fr-FR"/>
        </w:rPr>
        <w:t>chez des patients sans insuffisance rénale.</w:t>
      </w:r>
    </w:p>
    <w:p w14:paraId="5B24BF9D" w14:textId="77777777" w:rsidR="0098744C" w:rsidRDefault="0098744C" w:rsidP="00070972">
      <w:pPr>
        <w:pStyle w:val="Sansinterligne"/>
        <w:jc w:val="both"/>
        <w:rPr>
          <w:lang w:val="fr-FR"/>
        </w:rPr>
      </w:pPr>
    </w:p>
    <w:p w14:paraId="2BD7C7C6" w14:textId="0A3BD3BD" w:rsidR="0098744C" w:rsidRPr="00B002AC" w:rsidRDefault="0098744C" w:rsidP="00070972">
      <w:pPr>
        <w:pStyle w:val="Sansinterligne"/>
        <w:jc w:val="both"/>
        <w:rPr>
          <w:lang w:val="fr-FR"/>
        </w:rPr>
      </w:pPr>
      <w:r>
        <w:rPr>
          <w:lang w:val="fr-FR"/>
        </w:rPr>
        <w:t>Les résultats de ces tests biologiques doivent être intégrés dans une approche diagnostique globale</w:t>
      </w:r>
      <w:r w:rsidR="00835CFB">
        <w:rPr>
          <w:lang w:val="fr-FR"/>
        </w:rPr>
        <w:t>,</w:t>
      </w:r>
      <w:r>
        <w:rPr>
          <w:lang w:val="fr-FR"/>
        </w:rPr>
        <w:t xml:space="preserve"> qui comprend également les anomalies hématologiques, la notion de population à risque et la réponse au traitement.</w:t>
      </w:r>
    </w:p>
    <w:p w14:paraId="13885AE0" w14:textId="77777777" w:rsidR="0029453D" w:rsidRPr="00B002AC" w:rsidRDefault="0029453D" w:rsidP="00070972">
      <w:pPr>
        <w:pStyle w:val="Sansinterligne"/>
        <w:jc w:val="both"/>
        <w:rPr>
          <w:lang w:val="fr-FR"/>
        </w:rPr>
      </w:pPr>
    </w:p>
    <w:p w14:paraId="7112F8F2" w14:textId="77777777" w:rsidR="00B53D05" w:rsidRPr="00B002AC" w:rsidRDefault="00B53D05" w:rsidP="00070972">
      <w:pPr>
        <w:pStyle w:val="Style2"/>
        <w:jc w:val="both"/>
        <w:rPr>
          <w:color w:val="000000" w:themeColor="text1"/>
          <w:u w:val="none"/>
          <w:lang w:val="fr-FR"/>
        </w:rPr>
      </w:pPr>
      <w:r w:rsidRPr="00B002AC">
        <w:rPr>
          <w:color w:val="000000" w:themeColor="text1"/>
          <w:u w:val="none"/>
          <w:lang w:val="fr-FR"/>
        </w:rPr>
        <w:t xml:space="preserve">Epidémiologie </w:t>
      </w:r>
      <w:r w:rsidR="00380390" w:rsidRPr="00B002AC">
        <w:rPr>
          <w:color w:val="000000" w:themeColor="text1"/>
          <w:u w:val="none"/>
          <w:lang w:val="fr-FR"/>
        </w:rPr>
        <w:t>du déficit</w:t>
      </w:r>
      <w:r w:rsidRPr="00B002AC">
        <w:rPr>
          <w:color w:val="000000" w:themeColor="text1"/>
          <w:u w:val="none"/>
          <w:lang w:val="fr-FR"/>
        </w:rPr>
        <w:t xml:space="preserve"> en vitamine B12</w:t>
      </w:r>
    </w:p>
    <w:p w14:paraId="7FE5573E" w14:textId="77777777" w:rsidR="00B53D05" w:rsidRPr="00B002AC" w:rsidRDefault="00B53D05" w:rsidP="00070972">
      <w:pPr>
        <w:pStyle w:val="Sansinterligne"/>
        <w:jc w:val="both"/>
        <w:rPr>
          <w:lang w:val="fr-FR"/>
        </w:rPr>
      </w:pPr>
    </w:p>
    <w:p w14:paraId="1C50E521" w14:textId="75CE63D3" w:rsidR="00B53D05" w:rsidRDefault="00B53D05" w:rsidP="00070972">
      <w:pPr>
        <w:pStyle w:val="Sansinterligne"/>
        <w:jc w:val="both"/>
        <w:rPr>
          <w:lang w:val="fr-FR"/>
        </w:rPr>
      </w:pPr>
      <w:r w:rsidRPr="00B002AC">
        <w:rPr>
          <w:lang w:val="fr-FR"/>
        </w:rPr>
        <w:t xml:space="preserve">La prévalence est évaluée à 20 % dans la population générale des pays industrialisés ; elle s’élèverait entre 30 et 40% chez les sujets âgés et/ou institutionnalisés </w:t>
      </w:r>
      <w:sdt>
        <w:sdtPr>
          <w:rPr>
            <w:lang w:val="fr-FR"/>
          </w:rPr>
          <w:id w:val="-1933983138"/>
          <w:citation/>
        </w:sdtPr>
        <w:sdtEndPr/>
        <w:sdtContent>
          <w:r w:rsidR="00380AD8" w:rsidRPr="00B002AC">
            <w:rPr>
              <w:lang w:val="fr-FR"/>
            </w:rPr>
            <w:fldChar w:fldCharType="begin"/>
          </w:r>
          <w:r w:rsidR="00380AD8" w:rsidRPr="00B002AC">
            <w:rPr>
              <w:lang w:val="fr-FR"/>
            </w:rPr>
            <w:instrText xml:space="preserve"> CITATION Pau99 \l 2060 </w:instrText>
          </w:r>
          <w:r w:rsidR="00380AD8" w:rsidRPr="00B002AC">
            <w:rPr>
              <w:lang w:val="fr-FR"/>
            </w:rPr>
            <w:fldChar w:fldCharType="separate"/>
          </w:r>
          <w:r w:rsidR="008F07A7" w:rsidRPr="00B002AC">
            <w:rPr>
              <w:noProof/>
              <w:lang w:val="fr-FR"/>
            </w:rPr>
            <w:t>(7)</w:t>
          </w:r>
          <w:r w:rsidR="00380AD8" w:rsidRPr="00B002AC">
            <w:rPr>
              <w:noProof/>
              <w:lang w:val="fr-FR"/>
            </w:rPr>
            <w:fldChar w:fldCharType="end"/>
          </w:r>
        </w:sdtContent>
      </w:sdt>
      <w:sdt>
        <w:sdtPr>
          <w:rPr>
            <w:lang w:val="fr-FR"/>
          </w:rPr>
          <w:id w:val="-1933983137"/>
          <w:citation/>
        </w:sdtPr>
        <w:sdtEndPr/>
        <w:sdtContent>
          <w:r w:rsidR="00380AD8" w:rsidRPr="00B002AC">
            <w:rPr>
              <w:lang w:val="fr-FR"/>
            </w:rPr>
            <w:fldChar w:fldCharType="begin"/>
          </w:r>
          <w:r w:rsidR="00380AD8" w:rsidRPr="00B002AC">
            <w:rPr>
              <w:lang w:val="fr-FR"/>
            </w:rPr>
            <w:instrText xml:space="preserve"> CITATION Van05 \l 2060 </w:instrText>
          </w:r>
          <w:r w:rsidR="00380AD8" w:rsidRPr="00B002AC">
            <w:rPr>
              <w:lang w:val="fr-FR"/>
            </w:rPr>
            <w:fldChar w:fldCharType="separate"/>
          </w:r>
          <w:r w:rsidR="008F07A7" w:rsidRPr="00B002AC">
            <w:rPr>
              <w:noProof/>
              <w:lang w:val="fr-FR"/>
            </w:rPr>
            <w:t xml:space="preserve"> (8)</w:t>
          </w:r>
          <w:r w:rsidR="00380AD8" w:rsidRPr="00B002AC">
            <w:rPr>
              <w:noProof/>
              <w:lang w:val="fr-FR"/>
            </w:rPr>
            <w:fldChar w:fldCharType="end"/>
          </w:r>
        </w:sdtContent>
      </w:sdt>
      <w:r w:rsidR="00DB2E11">
        <w:rPr>
          <w:lang w:val="fr-FR"/>
        </w:rPr>
        <w:t>.</w:t>
      </w:r>
    </w:p>
    <w:p w14:paraId="45D6532A" w14:textId="77777777" w:rsidR="002D7EF7" w:rsidRPr="00B002AC" w:rsidRDefault="002D7EF7" w:rsidP="00070972">
      <w:pPr>
        <w:pStyle w:val="Sansinterligne"/>
        <w:jc w:val="both"/>
        <w:rPr>
          <w:lang w:val="fr-FR"/>
        </w:rPr>
      </w:pPr>
    </w:p>
    <w:p w14:paraId="6672E35A" w14:textId="77777777" w:rsidR="00B53D05" w:rsidRPr="00B002AC" w:rsidRDefault="00B53D05" w:rsidP="00070972">
      <w:pPr>
        <w:pStyle w:val="Sansinterligne"/>
        <w:jc w:val="both"/>
        <w:rPr>
          <w:lang w:val="fr-FR"/>
        </w:rPr>
      </w:pPr>
    </w:p>
    <w:p w14:paraId="6088CEA8" w14:textId="030EDF19" w:rsidR="00B62B6B" w:rsidRPr="00B002AC" w:rsidRDefault="00B62B6B" w:rsidP="00070972">
      <w:pPr>
        <w:pStyle w:val="Style2"/>
        <w:jc w:val="both"/>
        <w:rPr>
          <w:color w:val="000000" w:themeColor="text1"/>
          <w:u w:val="none"/>
          <w:lang w:val="fr-FR"/>
        </w:rPr>
      </w:pPr>
      <w:r w:rsidRPr="00B002AC">
        <w:rPr>
          <w:color w:val="000000" w:themeColor="text1"/>
          <w:u w:val="none"/>
          <w:lang w:val="fr-FR"/>
        </w:rPr>
        <w:lastRenderedPageBreak/>
        <w:t xml:space="preserve">Étiologies </w:t>
      </w:r>
      <w:r w:rsidR="00380390" w:rsidRPr="00B002AC">
        <w:rPr>
          <w:color w:val="000000" w:themeColor="text1"/>
          <w:u w:val="none"/>
          <w:lang w:val="fr-FR"/>
        </w:rPr>
        <w:t>du déficit</w:t>
      </w:r>
      <w:r w:rsidR="00DB2E11">
        <w:rPr>
          <w:color w:val="000000" w:themeColor="text1"/>
          <w:u w:val="none"/>
          <w:lang w:val="fr-FR"/>
        </w:rPr>
        <w:t xml:space="preserve"> en vitamine B12</w:t>
      </w:r>
    </w:p>
    <w:p w14:paraId="7B6CF080" w14:textId="77777777" w:rsidR="004C4577" w:rsidRPr="00B002AC" w:rsidRDefault="004C4577" w:rsidP="00070972">
      <w:pPr>
        <w:pStyle w:val="Sansinterligne"/>
        <w:jc w:val="both"/>
        <w:rPr>
          <w:lang w:val="fr-FR"/>
        </w:rPr>
      </w:pPr>
    </w:p>
    <w:p w14:paraId="1D5346CD" w14:textId="4EEB9B66" w:rsidR="00B62B6B" w:rsidRPr="00B002AC" w:rsidRDefault="00B62B6B" w:rsidP="00070972">
      <w:pPr>
        <w:pStyle w:val="Sansinterligne"/>
        <w:jc w:val="both"/>
        <w:rPr>
          <w:lang w:val="fr-FR"/>
        </w:rPr>
      </w:pPr>
      <w:r w:rsidRPr="00B002AC">
        <w:rPr>
          <w:lang w:val="fr-FR"/>
        </w:rPr>
        <w:t xml:space="preserve">Les étiologies </w:t>
      </w:r>
      <w:r w:rsidR="00380390" w:rsidRPr="00B002AC">
        <w:rPr>
          <w:lang w:val="fr-FR"/>
        </w:rPr>
        <w:t>du déficit</w:t>
      </w:r>
      <w:r w:rsidRPr="00B002AC">
        <w:rPr>
          <w:lang w:val="fr-FR"/>
        </w:rPr>
        <w:t xml:space="preserve"> en vitamine B12 sont étroitement liées aux étapes de la digestion</w:t>
      </w:r>
      <w:r w:rsidR="00E91393" w:rsidRPr="00B002AC">
        <w:rPr>
          <w:lang w:val="fr-FR"/>
        </w:rPr>
        <w:t xml:space="preserve"> et d’</w:t>
      </w:r>
      <w:r w:rsidR="00B002AC" w:rsidRPr="00B002AC">
        <w:rPr>
          <w:lang w:val="fr-FR"/>
        </w:rPr>
        <w:t>absorption. La</w:t>
      </w:r>
      <w:r w:rsidR="00AE1533">
        <w:rPr>
          <w:lang w:val="fr-FR"/>
        </w:rPr>
        <w:t xml:space="preserve"> majorité des déficits en vitamine B12</w:t>
      </w:r>
      <w:r w:rsidRPr="00B002AC">
        <w:rPr>
          <w:vertAlign w:val="subscript"/>
          <w:lang w:val="fr-FR"/>
        </w:rPr>
        <w:t xml:space="preserve"> </w:t>
      </w:r>
      <w:r w:rsidRPr="00B002AC">
        <w:rPr>
          <w:lang w:val="fr-FR"/>
        </w:rPr>
        <w:t>dépend de la non-dissociation de la vitamine B</w:t>
      </w:r>
      <w:r w:rsidRPr="00B002AC">
        <w:rPr>
          <w:vertAlign w:val="subscript"/>
          <w:lang w:val="fr-FR"/>
        </w:rPr>
        <w:t>12</w:t>
      </w:r>
      <w:r w:rsidRPr="00B002AC">
        <w:rPr>
          <w:lang w:val="fr-FR"/>
        </w:rPr>
        <w:t xml:space="preserve"> de ses protéines porteuses (alimentaires et haptocorrines)</w:t>
      </w:r>
      <w:r w:rsidR="009E5081" w:rsidRPr="00B002AC">
        <w:rPr>
          <w:lang w:val="fr-FR"/>
        </w:rPr>
        <w:t xml:space="preserve"> </w:t>
      </w:r>
      <w:sdt>
        <w:sdtPr>
          <w:rPr>
            <w:lang w:val="fr-FR"/>
          </w:rPr>
          <w:id w:val="-1875073702"/>
          <w:citation/>
        </w:sdtPr>
        <w:sdtEndPr/>
        <w:sdtContent>
          <w:r w:rsidR="00380AD8" w:rsidRPr="00B002AC">
            <w:rPr>
              <w:lang w:val="fr-FR"/>
            </w:rPr>
            <w:fldChar w:fldCharType="begin"/>
          </w:r>
          <w:r w:rsidR="00380AD8" w:rsidRPr="00B002AC">
            <w:rPr>
              <w:lang w:val="fr-FR"/>
            </w:rPr>
            <w:instrText xml:space="preserve"> CITATION And05 \l 2060 </w:instrText>
          </w:r>
          <w:r w:rsidR="00380AD8" w:rsidRPr="00B002AC">
            <w:rPr>
              <w:lang w:val="fr-FR"/>
            </w:rPr>
            <w:fldChar w:fldCharType="separate"/>
          </w:r>
          <w:r w:rsidR="008F07A7" w:rsidRPr="00B002AC">
            <w:rPr>
              <w:noProof/>
              <w:lang w:val="fr-FR"/>
            </w:rPr>
            <w:t>(6)</w:t>
          </w:r>
          <w:r w:rsidR="00380AD8" w:rsidRPr="00B002AC">
            <w:rPr>
              <w:noProof/>
              <w:lang w:val="fr-FR"/>
            </w:rPr>
            <w:fldChar w:fldCharType="end"/>
          </w:r>
        </w:sdtContent>
      </w:sdt>
      <w:sdt>
        <w:sdtPr>
          <w:rPr>
            <w:lang w:val="fr-FR"/>
          </w:rPr>
          <w:id w:val="-1875073701"/>
          <w:citation/>
        </w:sdtPr>
        <w:sdtEndPr/>
        <w:sdtContent>
          <w:r w:rsidR="00380AD8" w:rsidRPr="00B002AC">
            <w:rPr>
              <w:lang w:val="fr-FR"/>
            </w:rPr>
            <w:fldChar w:fldCharType="begin"/>
          </w:r>
          <w:r w:rsidR="00380AD8" w:rsidRPr="00B002AC">
            <w:rPr>
              <w:lang w:val="fr-FR"/>
            </w:rPr>
            <w:instrText xml:space="preserve"> CITATION Car95 \l 2060  </w:instrText>
          </w:r>
          <w:r w:rsidR="00380AD8" w:rsidRPr="00B002AC">
            <w:rPr>
              <w:lang w:val="fr-FR"/>
            </w:rPr>
            <w:fldChar w:fldCharType="separate"/>
          </w:r>
          <w:r w:rsidR="008F07A7" w:rsidRPr="00B002AC">
            <w:rPr>
              <w:noProof/>
              <w:lang w:val="fr-FR"/>
            </w:rPr>
            <w:t xml:space="preserve"> (9)</w:t>
          </w:r>
          <w:r w:rsidR="00380AD8" w:rsidRPr="00B002AC">
            <w:rPr>
              <w:noProof/>
              <w:lang w:val="fr-FR"/>
            </w:rPr>
            <w:fldChar w:fldCharType="end"/>
          </w:r>
        </w:sdtContent>
      </w:sdt>
      <w:r w:rsidRPr="00B002AC">
        <w:rPr>
          <w:lang w:val="fr-FR"/>
        </w:rPr>
        <w:t xml:space="preserve">. </w:t>
      </w:r>
    </w:p>
    <w:p w14:paraId="1ECFFA52" w14:textId="4D5B4905" w:rsidR="007D3B8A" w:rsidRPr="00B002AC" w:rsidRDefault="00B62B6B" w:rsidP="00070972">
      <w:pPr>
        <w:pStyle w:val="Sansinterligne"/>
        <w:jc w:val="both"/>
        <w:rPr>
          <w:lang w:val="fr-FR"/>
        </w:rPr>
      </w:pPr>
      <w:r w:rsidRPr="00B002AC">
        <w:rPr>
          <w:lang w:val="fr-FR"/>
        </w:rPr>
        <w:t xml:space="preserve">C’est le cas de la gastrite à </w:t>
      </w:r>
      <w:r w:rsidRPr="00B002AC">
        <w:rPr>
          <w:i/>
          <w:lang w:val="fr-FR"/>
        </w:rPr>
        <w:t>Helicobacter Pylori</w:t>
      </w:r>
      <w:r w:rsidRPr="00B002AC">
        <w:rPr>
          <w:lang w:val="fr-FR"/>
        </w:rPr>
        <w:t>, de l’insuffisance pancréatique ainsi que lors de l’utilisation de ce</w:t>
      </w:r>
      <w:r w:rsidR="007D3B8A" w:rsidRPr="00B002AC">
        <w:rPr>
          <w:lang w:val="fr-FR"/>
        </w:rPr>
        <w:t>rtains médicaments tels que la M</w:t>
      </w:r>
      <w:r w:rsidRPr="00B002AC">
        <w:rPr>
          <w:lang w:val="fr-FR"/>
        </w:rPr>
        <w:t>etformine et les I</w:t>
      </w:r>
      <w:r w:rsidR="00B30439">
        <w:rPr>
          <w:lang w:val="fr-FR"/>
        </w:rPr>
        <w:t xml:space="preserve">nhibiteurs de la pompe à protons </w:t>
      </w:r>
      <w:r w:rsidRPr="00B002AC">
        <w:rPr>
          <w:lang w:val="fr-FR"/>
        </w:rPr>
        <w:t>ou</w:t>
      </w:r>
      <w:r w:rsidR="00B30439">
        <w:rPr>
          <w:lang w:val="fr-FR"/>
        </w:rPr>
        <w:t xml:space="preserve"> bien les antiacides </w:t>
      </w:r>
      <w:r w:rsidRPr="00B002AC">
        <w:rPr>
          <w:lang w:val="fr-FR"/>
        </w:rPr>
        <w:t>anti</w:t>
      </w:r>
      <w:r w:rsidR="00343411">
        <w:rPr>
          <w:lang w:val="fr-FR"/>
        </w:rPr>
        <w:t>-</w:t>
      </w:r>
      <w:r w:rsidRPr="00B002AC">
        <w:rPr>
          <w:lang w:val="fr-FR"/>
        </w:rPr>
        <w:t>H2</w:t>
      </w:r>
      <w:r w:rsidR="00E91393" w:rsidRPr="00B002AC">
        <w:rPr>
          <w:lang w:val="fr-FR"/>
        </w:rPr>
        <w:t xml:space="preserve"> </w:t>
      </w:r>
      <w:sdt>
        <w:sdtPr>
          <w:rPr>
            <w:lang w:val="fr-FR"/>
          </w:rPr>
          <w:id w:val="-1875073698"/>
          <w:citation/>
        </w:sdtPr>
        <w:sdtEndPr/>
        <w:sdtContent>
          <w:r w:rsidR="00380AD8" w:rsidRPr="00B002AC">
            <w:rPr>
              <w:lang w:val="fr-FR"/>
            </w:rPr>
            <w:fldChar w:fldCharType="begin"/>
          </w:r>
          <w:r w:rsidR="00380AD8" w:rsidRPr="00B002AC">
            <w:rPr>
              <w:lang w:val="fr-FR"/>
            </w:rPr>
            <w:instrText xml:space="preserve"> CITATION Kap00 \l 2060 </w:instrText>
          </w:r>
          <w:r w:rsidR="00380AD8" w:rsidRPr="00B002AC">
            <w:rPr>
              <w:lang w:val="fr-FR"/>
            </w:rPr>
            <w:fldChar w:fldCharType="separate"/>
          </w:r>
          <w:r w:rsidR="008F07A7" w:rsidRPr="00B002AC">
            <w:rPr>
              <w:noProof/>
              <w:lang w:val="fr-FR"/>
            </w:rPr>
            <w:t>(10)</w:t>
          </w:r>
          <w:r w:rsidR="00380AD8" w:rsidRPr="00B002AC">
            <w:rPr>
              <w:noProof/>
              <w:lang w:val="fr-FR"/>
            </w:rPr>
            <w:fldChar w:fldCharType="end"/>
          </w:r>
        </w:sdtContent>
      </w:sdt>
      <w:sdt>
        <w:sdtPr>
          <w:rPr>
            <w:lang w:val="fr-FR"/>
          </w:rPr>
          <w:id w:val="-1875073697"/>
          <w:citation/>
        </w:sdtPr>
        <w:sdtEndPr/>
        <w:sdtContent>
          <w:r w:rsidR="00380AD8" w:rsidRPr="00B002AC">
            <w:rPr>
              <w:lang w:val="fr-FR"/>
            </w:rPr>
            <w:fldChar w:fldCharType="begin"/>
          </w:r>
          <w:r w:rsidR="00380AD8" w:rsidRPr="00B002AC">
            <w:rPr>
              <w:lang w:val="fr-FR"/>
            </w:rPr>
            <w:instrText xml:space="preserve"> CITATION Car95 \l 2060 </w:instrText>
          </w:r>
          <w:r w:rsidR="00380AD8" w:rsidRPr="00B002AC">
            <w:rPr>
              <w:lang w:val="fr-FR"/>
            </w:rPr>
            <w:fldChar w:fldCharType="separate"/>
          </w:r>
          <w:r w:rsidR="008F07A7" w:rsidRPr="00B002AC">
            <w:rPr>
              <w:noProof/>
              <w:lang w:val="fr-FR"/>
            </w:rPr>
            <w:t xml:space="preserve"> (9)</w:t>
          </w:r>
          <w:r w:rsidR="00380AD8" w:rsidRPr="00B002AC">
            <w:rPr>
              <w:noProof/>
              <w:lang w:val="fr-FR"/>
            </w:rPr>
            <w:fldChar w:fldCharType="end"/>
          </w:r>
        </w:sdtContent>
      </w:sdt>
      <w:sdt>
        <w:sdtPr>
          <w:rPr>
            <w:lang w:val="fr-FR"/>
          </w:rPr>
          <w:id w:val="-1875073696"/>
          <w:citation/>
        </w:sdtPr>
        <w:sdtEndPr/>
        <w:sdtContent>
          <w:r w:rsidR="00380AD8" w:rsidRPr="00B002AC">
            <w:rPr>
              <w:lang w:val="fr-FR"/>
            </w:rPr>
            <w:fldChar w:fldCharType="begin"/>
          </w:r>
          <w:r w:rsidR="00380AD8" w:rsidRPr="00B002AC">
            <w:rPr>
              <w:lang w:val="fr-FR"/>
            </w:rPr>
            <w:instrText xml:space="preserve"> CITATION And03 \l 2060 </w:instrText>
          </w:r>
          <w:r w:rsidR="00380AD8" w:rsidRPr="00B002AC">
            <w:rPr>
              <w:lang w:val="fr-FR"/>
            </w:rPr>
            <w:fldChar w:fldCharType="separate"/>
          </w:r>
          <w:r w:rsidR="008F07A7" w:rsidRPr="00B002AC">
            <w:rPr>
              <w:noProof/>
              <w:lang w:val="fr-FR"/>
            </w:rPr>
            <w:t xml:space="preserve"> (11)</w:t>
          </w:r>
          <w:r w:rsidR="00380AD8" w:rsidRPr="00B002AC">
            <w:rPr>
              <w:noProof/>
              <w:lang w:val="fr-FR"/>
            </w:rPr>
            <w:fldChar w:fldCharType="end"/>
          </w:r>
        </w:sdtContent>
      </w:sdt>
      <w:r w:rsidRPr="00B002AC">
        <w:rPr>
          <w:lang w:val="fr-FR"/>
        </w:rPr>
        <w:t xml:space="preserve">. </w:t>
      </w:r>
    </w:p>
    <w:p w14:paraId="2BC2D915" w14:textId="580C83F7" w:rsidR="007D3B8A" w:rsidRPr="00B002AC" w:rsidRDefault="007D3B8A" w:rsidP="00070972">
      <w:pPr>
        <w:pStyle w:val="Sansinterligne"/>
        <w:jc w:val="both"/>
        <w:rPr>
          <w:lang w:val="fr-FR"/>
        </w:rPr>
      </w:pPr>
      <w:r w:rsidRPr="00B002AC">
        <w:rPr>
          <w:lang w:val="fr-FR"/>
        </w:rPr>
        <w:t xml:space="preserve">Le risque </w:t>
      </w:r>
      <w:r w:rsidR="00380390" w:rsidRPr="00B002AC">
        <w:rPr>
          <w:lang w:val="fr-FR"/>
        </w:rPr>
        <w:t>de déficit</w:t>
      </w:r>
      <w:r w:rsidRPr="00B002AC">
        <w:rPr>
          <w:lang w:val="fr-FR"/>
        </w:rPr>
        <w:t xml:space="preserve"> en vitamine B12 en lien avec la prise </w:t>
      </w:r>
      <w:r w:rsidR="000E5B4D" w:rsidRPr="00B002AC">
        <w:rPr>
          <w:lang w:val="fr-FR"/>
        </w:rPr>
        <w:t xml:space="preserve">chronique </w:t>
      </w:r>
      <w:r w:rsidRPr="00B002AC">
        <w:rPr>
          <w:lang w:val="fr-FR"/>
        </w:rPr>
        <w:t>de Metformine n’apparait que pour une dose moye</w:t>
      </w:r>
      <w:r w:rsidR="0008462F" w:rsidRPr="00B002AC">
        <w:rPr>
          <w:lang w:val="fr-FR"/>
        </w:rPr>
        <w:t xml:space="preserve">nne de 2g/j et après une durée </w:t>
      </w:r>
      <w:r w:rsidRPr="00B002AC">
        <w:rPr>
          <w:lang w:val="fr-FR"/>
        </w:rPr>
        <w:t xml:space="preserve">moyenne de 4 ans de traitement </w:t>
      </w:r>
      <w:sdt>
        <w:sdtPr>
          <w:rPr>
            <w:lang w:val="fr-FR"/>
          </w:rPr>
          <w:id w:val="-1875073694"/>
          <w:citation/>
        </w:sdtPr>
        <w:sdtEndPr/>
        <w:sdtContent>
          <w:r w:rsidR="00380AD8" w:rsidRPr="00B002AC">
            <w:rPr>
              <w:lang w:val="fr-FR"/>
            </w:rPr>
            <w:fldChar w:fldCharType="begin"/>
          </w:r>
          <w:r w:rsidR="00380AD8" w:rsidRPr="00B002AC">
            <w:rPr>
              <w:lang w:val="fr-FR"/>
            </w:rPr>
            <w:instrText xml:space="preserve"> CITATION Tin06 \l 2060 </w:instrText>
          </w:r>
          <w:r w:rsidR="00380AD8" w:rsidRPr="00B002AC">
            <w:rPr>
              <w:lang w:val="fr-FR"/>
            </w:rPr>
            <w:fldChar w:fldCharType="separate"/>
          </w:r>
          <w:r w:rsidR="008F07A7" w:rsidRPr="00B002AC">
            <w:rPr>
              <w:noProof/>
              <w:lang w:val="fr-FR"/>
            </w:rPr>
            <w:t>(12)</w:t>
          </w:r>
          <w:r w:rsidR="00380AD8" w:rsidRPr="00B002AC">
            <w:rPr>
              <w:noProof/>
              <w:lang w:val="fr-FR"/>
            </w:rPr>
            <w:fldChar w:fldCharType="end"/>
          </w:r>
        </w:sdtContent>
      </w:sdt>
      <w:r w:rsidRPr="00B002AC">
        <w:rPr>
          <w:lang w:val="fr-FR"/>
        </w:rPr>
        <w:t>.</w:t>
      </w:r>
      <w:r w:rsidR="00BC549C" w:rsidRPr="00B002AC">
        <w:rPr>
          <w:lang w:val="fr-FR"/>
        </w:rPr>
        <w:t xml:space="preserve"> La Metformine confère  une charge positive à la membrane des cellules pariétales de l’iléon avec pour conséquence une inhibition de l’endocytose calcium dépendante du complexe vitamine B12-FI. Un apport calcique </w:t>
      </w:r>
      <w:r w:rsidR="00380390" w:rsidRPr="00B002AC">
        <w:rPr>
          <w:lang w:val="fr-FR"/>
        </w:rPr>
        <w:t xml:space="preserve">suffisant </w:t>
      </w:r>
      <w:r w:rsidR="00BC549C" w:rsidRPr="00B002AC">
        <w:rPr>
          <w:lang w:val="fr-FR"/>
        </w:rPr>
        <w:t>contrecarrerait cet inhibition</w:t>
      </w:r>
      <w:r w:rsidR="002C0FAE" w:rsidRPr="00B002AC">
        <w:rPr>
          <w:lang w:val="fr-FR"/>
        </w:rPr>
        <w:t xml:space="preserve"> </w:t>
      </w:r>
      <w:sdt>
        <w:sdtPr>
          <w:rPr>
            <w:lang w:val="fr-FR"/>
          </w:rPr>
          <w:id w:val="-1875073693"/>
          <w:citation/>
        </w:sdtPr>
        <w:sdtEndPr/>
        <w:sdtContent>
          <w:r w:rsidR="00380AD8" w:rsidRPr="00B002AC">
            <w:rPr>
              <w:lang w:val="fr-FR"/>
            </w:rPr>
            <w:fldChar w:fldCharType="begin"/>
          </w:r>
          <w:r w:rsidR="00380AD8" w:rsidRPr="00B002AC">
            <w:rPr>
              <w:lang w:val="fr-FR"/>
            </w:rPr>
            <w:instrText xml:space="preserve"> CITATION WAB00 \l 2060 </w:instrText>
          </w:r>
          <w:r w:rsidR="00380AD8" w:rsidRPr="00B002AC">
            <w:rPr>
              <w:lang w:val="fr-FR"/>
            </w:rPr>
            <w:fldChar w:fldCharType="separate"/>
          </w:r>
          <w:r w:rsidR="008F07A7" w:rsidRPr="00B002AC">
            <w:rPr>
              <w:noProof/>
              <w:lang w:val="fr-FR"/>
            </w:rPr>
            <w:t>(13)</w:t>
          </w:r>
          <w:r w:rsidR="00380AD8" w:rsidRPr="00B002AC">
            <w:rPr>
              <w:noProof/>
              <w:lang w:val="fr-FR"/>
            </w:rPr>
            <w:fldChar w:fldCharType="end"/>
          </w:r>
        </w:sdtContent>
      </w:sdt>
      <w:r w:rsidR="00BC549C" w:rsidRPr="00B002AC">
        <w:rPr>
          <w:lang w:val="fr-FR"/>
        </w:rPr>
        <w:t>.</w:t>
      </w:r>
      <w:r w:rsidR="00380390" w:rsidRPr="00B002AC">
        <w:rPr>
          <w:lang w:val="fr-FR"/>
        </w:rPr>
        <w:t xml:space="preserve"> Les perturbations du microbiote intestinal par la metformine ont également été évoquées comme cause d’un déficit absortif de la vit</w:t>
      </w:r>
      <w:r w:rsidR="00F500BC">
        <w:rPr>
          <w:lang w:val="fr-FR"/>
        </w:rPr>
        <w:t>amine</w:t>
      </w:r>
      <w:r w:rsidR="00380390" w:rsidRPr="00B002AC">
        <w:rPr>
          <w:lang w:val="fr-FR"/>
        </w:rPr>
        <w:t xml:space="preserve"> B12.</w:t>
      </w:r>
    </w:p>
    <w:p w14:paraId="6D0EC46E" w14:textId="739DB75A" w:rsidR="00B62B6B" w:rsidRPr="00B002AC" w:rsidRDefault="00B62B6B" w:rsidP="00070972">
      <w:pPr>
        <w:pStyle w:val="Sansinterligne"/>
        <w:jc w:val="both"/>
        <w:rPr>
          <w:lang w:val="fr-FR"/>
        </w:rPr>
      </w:pPr>
      <w:r w:rsidRPr="00B002AC">
        <w:rPr>
          <w:lang w:val="fr-FR"/>
        </w:rPr>
        <w:t>Les tableaux cliniques</w:t>
      </w:r>
      <w:r w:rsidR="007D3B8A" w:rsidRPr="00B002AC">
        <w:rPr>
          <w:lang w:val="fr-FR"/>
        </w:rPr>
        <w:t xml:space="preserve"> et hématologiques associés à des phénomènes de non dissociation</w:t>
      </w:r>
      <w:r w:rsidRPr="00B002AC">
        <w:rPr>
          <w:lang w:val="fr-FR"/>
        </w:rPr>
        <w:t xml:space="preserve"> sont souvent moins graves</w:t>
      </w:r>
      <w:r w:rsidR="007D3B8A" w:rsidRPr="00B002AC">
        <w:rPr>
          <w:lang w:val="fr-FR"/>
        </w:rPr>
        <w:t xml:space="preserve"> que dans l'anémie pernicieuse </w:t>
      </w:r>
      <w:r w:rsidRPr="00B002AC">
        <w:rPr>
          <w:lang w:val="fr-FR"/>
        </w:rPr>
        <w:t>ou il y a un déficit de la sécrétion acide et un déficit en FI simultanément</w:t>
      </w:r>
      <w:r w:rsidR="007D3B8A" w:rsidRPr="00B002AC">
        <w:rPr>
          <w:lang w:val="fr-FR"/>
        </w:rPr>
        <w:t xml:space="preserve"> en lien avec la destruction de la muqueuse gastrique</w:t>
      </w:r>
      <w:sdt>
        <w:sdtPr>
          <w:rPr>
            <w:lang w:val="fr-FR"/>
          </w:rPr>
          <w:id w:val="-1875073695"/>
          <w:citation/>
        </w:sdtPr>
        <w:sdtEndPr/>
        <w:sdtContent>
          <w:r w:rsidR="00380AD8" w:rsidRPr="00B002AC">
            <w:rPr>
              <w:lang w:val="fr-FR"/>
            </w:rPr>
            <w:fldChar w:fldCharType="begin"/>
          </w:r>
          <w:r w:rsidR="00380AD8" w:rsidRPr="00B002AC">
            <w:rPr>
              <w:lang w:val="fr-FR"/>
            </w:rPr>
            <w:instrText xml:space="preserve"> CITATION Toh97 \l 2060 </w:instrText>
          </w:r>
          <w:r w:rsidR="00380AD8" w:rsidRPr="00B002AC">
            <w:rPr>
              <w:lang w:val="fr-FR"/>
            </w:rPr>
            <w:fldChar w:fldCharType="separate"/>
          </w:r>
          <w:r w:rsidR="008F07A7" w:rsidRPr="00B002AC">
            <w:rPr>
              <w:noProof/>
              <w:lang w:val="fr-FR"/>
            </w:rPr>
            <w:t xml:space="preserve"> (14)</w:t>
          </w:r>
          <w:r w:rsidR="00380AD8" w:rsidRPr="00B002AC">
            <w:rPr>
              <w:noProof/>
              <w:lang w:val="fr-FR"/>
            </w:rPr>
            <w:fldChar w:fldCharType="end"/>
          </w:r>
        </w:sdtContent>
      </w:sdt>
      <w:r w:rsidRPr="00B002AC">
        <w:rPr>
          <w:lang w:val="fr-FR"/>
        </w:rPr>
        <w:t xml:space="preserve">. </w:t>
      </w:r>
      <w:r w:rsidR="008A7EA3">
        <w:rPr>
          <w:lang w:val="fr-FR"/>
        </w:rPr>
        <w:t xml:space="preserve">Dans notre pratique la gastrite </w:t>
      </w:r>
      <w:r w:rsidR="009D4D20">
        <w:rPr>
          <w:lang w:val="fr-FR"/>
        </w:rPr>
        <w:t>auto-immune</w:t>
      </w:r>
      <w:r w:rsidR="008A7EA3">
        <w:rPr>
          <w:lang w:val="fr-FR"/>
        </w:rPr>
        <w:t xml:space="preserve"> (</w:t>
      </w:r>
      <w:r w:rsidR="00D264CE">
        <w:rPr>
          <w:lang w:val="fr-FR"/>
        </w:rPr>
        <w:t>39)</w:t>
      </w:r>
      <w:r w:rsidR="008A7EA3">
        <w:rPr>
          <w:lang w:val="fr-FR"/>
        </w:rPr>
        <w:t xml:space="preserve"> est fréquemment retrouvée en association </w:t>
      </w:r>
      <w:r w:rsidR="00D264CE">
        <w:rPr>
          <w:lang w:val="fr-FR"/>
        </w:rPr>
        <w:t>aux thyroïdites</w:t>
      </w:r>
      <w:r w:rsidR="008A7EA3">
        <w:rPr>
          <w:lang w:val="fr-FR"/>
        </w:rPr>
        <w:t xml:space="preserve"> </w:t>
      </w:r>
      <w:r w:rsidR="009D4D20">
        <w:rPr>
          <w:lang w:val="fr-FR"/>
        </w:rPr>
        <w:t>auto-immunes</w:t>
      </w:r>
      <w:r w:rsidR="008A7EA3">
        <w:rPr>
          <w:lang w:val="fr-FR"/>
        </w:rPr>
        <w:t xml:space="preserve">, dans le cadre du syndrome thyrogastrique </w:t>
      </w:r>
      <w:r w:rsidR="009D4D20">
        <w:rPr>
          <w:lang w:val="fr-FR"/>
        </w:rPr>
        <w:t>auto-immun</w:t>
      </w:r>
      <w:r w:rsidR="008A7EA3">
        <w:rPr>
          <w:lang w:val="fr-FR"/>
        </w:rPr>
        <w:t xml:space="preserve"> ou </w:t>
      </w:r>
      <w:r w:rsidR="00343411">
        <w:rPr>
          <w:lang w:val="fr-FR"/>
        </w:rPr>
        <w:t xml:space="preserve">de la </w:t>
      </w:r>
      <w:r w:rsidR="008A7EA3">
        <w:rPr>
          <w:lang w:val="fr-FR"/>
        </w:rPr>
        <w:t xml:space="preserve">polyendocrinopathie </w:t>
      </w:r>
      <w:r w:rsidR="009D4D20">
        <w:rPr>
          <w:lang w:val="fr-FR"/>
        </w:rPr>
        <w:t>auto-immune</w:t>
      </w:r>
      <w:r w:rsidR="008A7EA3">
        <w:rPr>
          <w:lang w:val="fr-FR"/>
        </w:rPr>
        <w:t xml:space="preserve"> de type III. (</w:t>
      </w:r>
      <w:r w:rsidR="00D264CE">
        <w:rPr>
          <w:lang w:val="fr-FR"/>
        </w:rPr>
        <w:t>40)</w:t>
      </w:r>
      <w:r w:rsidR="00362E49">
        <w:rPr>
          <w:lang w:val="fr-FR"/>
        </w:rPr>
        <w:t xml:space="preserve">. Une malabsorption de B12 est caractéristique après chirurgie de bypass gastrique, et en </w:t>
      </w:r>
      <w:r w:rsidR="00E709D6">
        <w:rPr>
          <w:lang w:val="fr-FR"/>
        </w:rPr>
        <w:t>association</w:t>
      </w:r>
      <w:r w:rsidR="00362E49">
        <w:rPr>
          <w:lang w:val="fr-FR"/>
        </w:rPr>
        <w:t xml:space="preserve"> avec le</w:t>
      </w:r>
      <w:r w:rsidR="00E709D6">
        <w:rPr>
          <w:lang w:val="fr-FR"/>
        </w:rPr>
        <w:t>s</w:t>
      </w:r>
      <w:r w:rsidR="00362E49">
        <w:rPr>
          <w:lang w:val="fr-FR"/>
        </w:rPr>
        <w:t xml:space="preserve"> </w:t>
      </w:r>
      <w:r w:rsidR="00E709D6">
        <w:rPr>
          <w:lang w:val="fr-FR"/>
        </w:rPr>
        <w:t>maladies</w:t>
      </w:r>
      <w:r w:rsidR="00362E49">
        <w:rPr>
          <w:lang w:val="fr-FR"/>
        </w:rPr>
        <w:t xml:space="preserve"> inflammatoires </w:t>
      </w:r>
      <w:r w:rsidR="00E709D6">
        <w:rPr>
          <w:lang w:val="fr-FR"/>
        </w:rPr>
        <w:t>intestinales</w:t>
      </w:r>
      <w:r w:rsidR="00362E49">
        <w:rPr>
          <w:lang w:val="fr-FR"/>
        </w:rPr>
        <w:t xml:space="preserve"> </w:t>
      </w:r>
      <w:r w:rsidR="00E709D6">
        <w:rPr>
          <w:lang w:val="fr-FR"/>
        </w:rPr>
        <w:t>pouvant affecter</w:t>
      </w:r>
      <w:r w:rsidR="00362E49">
        <w:rPr>
          <w:lang w:val="fr-FR"/>
        </w:rPr>
        <w:t xml:space="preserve"> l’</w:t>
      </w:r>
      <w:r w:rsidR="00E709D6">
        <w:rPr>
          <w:lang w:val="fr-FR"/>
        </w:rPr>
        <w:t>intestin grêle</w:t>
      </w:r>
      <w:r w:rsidR="00362E49">
        <w:rPr>
          <w:lang w:val="fr-FR"/>
        </w:rPr>
        <w:t xml:space="preserve"> (Maladie de Chron, </w:t>
      </w:r>
      <w:r w:rsidR="00E709D6">
        <w:rPr>
          <w:lang w:val="fr-FR"/>
        </w:rPr>
        <w:t xml:space="preserve">maladie cœliaque, </w:t>
      </w:r>
      <w:r w:rsidR="00362E49">
        <w:rPr>
          <w:lang w:val="fr-FR"/>
        </w:rPr>
        <w:t>etc).</w:t>
      </w:r>
    </w:p>
    <w:p w14:paraId="6A92ACF0" w14:textId="6AB4C778" w:rsidR="00E91393" w:rsidRPr="00B002AC" w:rsidRDefault="00E91393" w:rsidP="00AB3107">
      <w:pPr>
        <w:pStyle w:val="Sansinterligne"/>
        <w:jc w:val="both"/>
        <w:rPr>
          <w:lang w:val="fr-FR"/>
        </w:rPr>
      </w:pPr>
      <w:r w:rsidRPr="00B002AC">
        <w:rPr>
          <w:lang w:val="fr-FR"/>
        </w:rPr>
        <w:t>Il existe quelques rare</w:t>
      </w:r>
      <w:r w:rsidR="000E5B4D" w:rsidRPr="00B002AC">
        <w:rPr>
          <w:lang w:val="fr-FR"/>
        </w:rPr>
        <w:t>s</w:t>
      </w:r>
      <w:r w:rsidRPr="00B002AC">
        <w:rPr>
          <w:lang w:val="fr-FR"/>
        </w:rPr>
        <w:t xml:space="preserve"> syndrome</w:t>
      </w:r>
      <w:r w:rsidR="000E5B4D" w:rsidRPr="00B002AC">
        <w:rPr>
          <w:lang w:val="fr-FR"/>
        </w:rPr>
        <w:t>s</w:t>
      </w:r>
      <w:r w:rsidRPr="00B002AC">
        <w:rPr>
          <w:lang w:val="fr-FR"/>
        </w:rPr>
        <w:t xml:space="preserve"> congénitaux </w:t>
      </w:r>
      <w:r w:rsidR="006217BC">
        <w:rPr>
          <w:lang w:val="fr-FR"/>
        </w:rPr>
        <w:t xml:space="preserve">pouvant toucher les nouveaux nés, </w:t>
      </w:r>
      <w:r w:rsidRPr="00B002AC">
        <w:rPr>
          <w:lang w:val="fr-FR"/>
        </w:rPr>
        <w:t xml:space="preserve">associés à une carence en vitamine B12 en lien avec un déficit enzymatique, en transporteur ou une anomalie d’un récepteur </w:t>
      </w:r>
      <w:sdt>
        <w:sdtPr>
          <w:rPr>
            <w:lang w:val="fr-FR"/>
          </w:rPr>
          <w:id w:val="-1875073699"/>
          <w:citation/>
        </w:sdtPr>
        <w:sdtEndPr/>
        <w:sdtContent>
          <w:r w:rsidR="00380AD8" w:rsidRPr="00B002AC">
            <w:rPr>
              <w:lang w:val="fr-FR"/>
            </w:rPr>
            <w:fldChar w:fldCharType="begin"/>
          </w:r>
          <w:r w:rsidR="00380AD8" w:rsidRPr="00B002AC">
            <w:rPr>
              <w:lang w:val="fr-FR"/>
            </w:rPr>
            <w:instrText xml:space="preserve"> CITATION RGr06 \l 2060 </w:instrText>
          </w:r>
          <w:r w:rsidR="00380AD8" w:rsidRPr="00B002AC">
            <w:rPr>
              <w:lang w:val="fr-FR"/>
            </w:rPr>
            <w:fldChar w:fldCharType="separate"/>
          </w:r>
          <w:r w:rsidR="008F07A7" w:rsidRPr="00B002AC">
            <w:rPr>
              <w:noProof/>
              <w:lang w:val="fr-FR"/>
            </w:rPr>
            <w:t>(15)</w:t>
          </w:r>
          <w:r w:rsidR="00380AD8" w:rsidRPr="00B002AC">
            <w:rPr>
              <w:noProof/>
              <w:lang w:val="fr-FR"/>
            </w:rPr>
            <w:fldChar w:fldCharType="end"/>
          </w:r>
        </w:sdtContent>
      </w:sdt>
      <w:r w:rsidRPr="00B002AC">
        <w:rPr>
          <w:lang w:val="fr-FR"/>
        </w:rPr>
        <w:t>.</w:t>
      </w:r>
      <w:r w:rsidR="00AB3107" w:rsidRPr="00B002AC">
        <w:rPr>
          <w:lang w:val="fr-FR"/>
        </w:rPr>
        <w:t xml:space="preserve"> P</w:t>
      </w:r>
      <w:r w:rsidR="00B002AC" w:rsidRPr="00B002AC">
        <w:rPr>
          <w:lang w:val="fr-FR"/>
        </w:rPr>
        <w:t>a</w:t>
      </w:r>
      <w:r w:rsidR="00AB3107" w:rsidRPr="00B002AC">
        <w:rPr>
          <w:lang w:val="fr-FR"/>
        </w:rPr>
        <w:t>r exemple, dans la maladie d’Imerslund-Gräsbeck, il existe un déficit de production en cub</w:t>
      </w:r>
      <w:r w:rsidR="00343411">
        <w:rPr>
          <w:lang w:val="fr-FR"/>
        </w:rPr>
        <w:t>u</w:t>
      </w:r>
      <w:r w:rsidR="00AB3107" w:rsidRPr="00B002AC">
        <w:rPr>
          <w:lang w:val="fr-FR"/>
        </w:rPr>
        <w:t>line.</w:t>
      </w:r>
      <w:r w:rsidR="00D239DF" w:rsidRPr="00B002AC">
        <w:rPr>
          <w:lang w:val="fr-FR"/>
        </w:rPr>
        <w:t xml:space="preserve"> Cette maladie autosomique récessive s</w:t>
      </w:r>
      <w:r w:rsidR="00AB3107" w:rsidRPr="00B002AC">
        <w:rPr>
          <w:lang w:val="fr-FR"/>
        </w:rPr>
        <w:t>’accompagne d’un défaut sélectif de l’absorption de la vitamine</w:t>
      </w:r>
      <w:r w:rsidR="00D239DF" w:rsidRPr="00B002AC">
        <w:rPr>
          <w:lang w:val="fr-FR"/>
        </w:rPr>
        <w:t xml:space="preserve"> </w:t>
      </w:r>
      <w:r w:rsidR="00AB3107" w:rsidRPr="00B002AC">
        <w:rPr>
          <w:lang w:val="fr-FR"/>
        </w:rPr>
        <w:t>B12 et d’une protéinurie tubulaire par défaut d’expression du récepteur</w:t>
      </w:r>
      <w:r w:rsidR="00D239DF" w:rsidRPr="00B002AC">
        <w:rPr>
          <w:lang w:val="fr-FR"/>
        </w:rPr>
        <w:t xml:space="preserve"> </w:t>
      </w:r>
      <w:r w:rsidR="00AB3107" w:rsidRPr="00B002AC">
        <w:rPr>
          <w:lang w:val="fr-FR"/>
        </w:rPr>
        <w:t>(</w:t>
      </w:r>
      <w:r w:rsidR="00D239DF" w:rsidRPr="00B002AC">
        <w:rPr>
          <w:lang w:val="fr-FR"/>
        </w:rPr>
        <w:t xml:space="preserve">la </w:t>
      </w:r>
      <w:r w:rsidR="00AB3107" w:rsidRPr="00B002AC">
        <w:rPr>
          <w:lang w:val="fr-FR"/>
        </w:rPr>
        <w:t>cubuline) et d’un cofacteur produit du gène AMN à la surface de l’entérocyte</w:t>
      </w:r>
      <w:r w:rsidR="00B002AC" w:rsidRPr="00B002AC">
        <w:rPr>
          <w:lang w:val="fr-FR"/>
        </w:rPr>
        <w:t xml:space="preserve"> </w:t>
      </w:r>
      <w:r w:rsidR="00AB3107" w:rsidRPr="00B002AC">
        <w:rPr>
          <w:lang w:val="fr-FR"/>
        </w:rPr>
        <w:t>et du tubule rénal par anomalie de structure</w:t>
      </w:r>
      <w:r w:rsidR="00B002AC" w:rsidRPr="00B002AC">
        <w:rPr>
          <w:lang w:val="fr-FR"/>
        </w:rPr>
        <w:t>.</w:t>
      </w:r>
    </w:p>
    <w:p w14:paraId="1801727E" w14:textId="77777777" w:rsidR="002C0FAE" w:rsidRPr="00B002AC" w:rsidRDefault="002C0FAE" w:rsidP="00070972">
      <w:pPr>
        <w:pStyle w:val="Sansinterligne"/>
        <w:jc w:val="both"/>
        <w:rPr>
          <w:lang w:val="fr-FR"/>
        </w:rPr>
      </w:pPr>
      <w:r w:rsidRPr="00B002AC">
        <w:rPr>
          <w:lang w:val="fr-FR"/>
        </w:rPr>
        <w:t>La carence en lien avec un apport insuffisant est rare dans les pays industrialisés (prévalence évaluée à 5% sur base d’une étude Stras</w:t>
      </w:r>
      <w:r w:rsidR="008A7EA3">
        <w:rPr>
          <w:lang w:val="fr-FR"/>
        </w:rPr>
        <w:t>s</w:t>
      </w:r>
      <w:r w:rsidRPr="00B002AC">
        <w:rPr>
          <w:lang w:val="fr-FR"/>
        </w:rPr>
        <w:t xml:space="preserve">bourgoise) </w:t>
      </w:r>
      <w:sdt>
        <w:sdtPr>
          <w:rPr>
            <w:lang w:val="fr-FR"/>
          </w:rPr>
          <w:id w:val="-1875073692"/>
          <w:citation/>
        </w:sdtPr>
        <w:sdtEndPr/>
        <w:sdtContent>
          <w:r w:rsidR="00380AD8" w:rsidRPr="00B002AC">
            <w:rPr>
              <w:lang w:val="fr-FR"/>
            </w:rPr>
            <w:fldChar w:fldCharType="begin"/>
          </w:r>
          <w:r w:rsidR="00380AD8" w:rsidRPr="00B002AC">
            <w:rPr>
              <w:lang w:val="fr-FR"/>
            </w:rPr>
            <w:instrText xml:space="preserve"> CITATION And00 \l 2060 </w:instrText>
          </w:r>
          <w:r w:rsidR="00380AD8" w:rsidRPr="00B002AC">
            <w:rPr>
              <w:lang w:val="fr-FR"/>
            </w:rPr>
            <w:fldChar w:fldCharType="separate"/>
          </w:r>
          <w:r w:rsidR="008F07A7" w:rsidRPr="00B002AC">
            <w:rPr>
              <w:noProof/>
              <w:lang w:val="fr-FR"/>
            </w:rPr>
            <w:t>(16)</w:t>
          </w:r>
          <w:r w:rsidR="00380AD8" w:rsidRPr="00B002AC">
            <w:rPr>
              <w:noProof/>
              <w:lang w:val="fr-FR"/>
            </w:rPr>
            <w:fldChar w:fldCharType="end"/>
          </w:r>
        </w:sdtContent>
      </w:sdt>
      <w:sdt>
        <w:sdtPr>
          <w:rPr>
            <w:lang w:val="fr-FR"/>
          </w:rPr>
          <w:id w:val="-1875073691"/>
          <w:citation/>
        </w:sdtPr>
        <w:sdtEndPr/>
        <w:sdtContent>
          <w:r w:rsidR="00380AD8" w:rsidRPr="00B002AC">
            <w:rPr>
              <w:lang w:val="fr-FR"/>
            </w:rPr>
            <w:fldChar w:fldCharType="begin"/>
          </w:r>
          <w:r w:rsidR="00380AD8" w:rsidRPr="00B002AC">
            <w:rPr>
              <w:lang w:val="fr-FR"/>
            </w:rPr>
            <w:instrText xml:space="preserve"> CITATION And031 \l 2060 </w:instrText>
          </w:r>
          <w:r w:rsidR="00380AD8" w:rsidRPr="00B002AC">
            <w:rPr>
              <w:lang w:val="fr-FR"/>
            </w:rPr>
            <w:fldChar w:fldCharType="separate"/>
          </w:r>
          <w:r w:rsidR="008F07A7" w:rsidRPr="00B002AC">
            <w:rPr>
              <w:noProof/>
              <w:lang w:val="fr-FR"/>
            </w:rPr>
            <w:t xml:space="preserve"> (17)</w:t>
          </w:r>
          <w:r w:rsidR="00380AD8" w:rsidRPr="00B002AC">
            <w:rPr>
              <w:noProof/>
              <w:lang w:val="fr-FR"/>
            </w:rPr>
            <w:fldChar w:fldCharType="end"/>
          </w:r>
        </w:sdtContent>
      </w:sdt>
      <w:r w:rsidRPr="00B002AC">
        <w:rPr>
          <w:lang w:val="fr-FR"/>
        </w:rPr>
        <w:t xml:space="preserve"> et est essentiellement associée à un régime végétarien </w:t>
      </w:r>
      <w:sdt>
        <w:sdtPr>
          <w:rPr>
            <w:lang w:val="fr-FR"/>
          </w:rPr>
          <w:id w:val="-1875073690"/>
          <w:citation/>
        </w:sdtPr>
        <w:sdtEndPr/>
        <w:sdtContent>
          <w:r w:rsidR="00380AD8" w:rsidRPr="00B002AC">
            <w:rPr>
              <w:lang w:val="fr-FR"/>
            </w:rPr>
            <w:fldChar w:fldCharType="begin"/>
          </w:r>
          <w:r w:rsidR="00380AD8" w:rsidRPr="00B002AC">
            <w:rPr>
              <w:lang w:val="fr-FR"/>
            </w:rPr>
            <w:instrText xml:space="preserve"> CITATION Her94 \l 2060  </w:instrText>
          </w:r>
          <w:r w:rsidR="00380AD8" w:rsidRPr="00B002AC">
            <w:rPr>
              <w:lang w:val="fr-FR"/>
            </w:rPr>
            <w:fldChar w:fldCharType="separate"/>
          </w:r>
          <w:r w:rsidR="008F07A7" w:rsidRPr="00B002AC">
            <w:rPr>
              <w:noProof/>
              <w:lang w:val="fr-FR"/>
            </w:rPr>
            <w:t>(18)</w:t>
          </w:r>
          <w:r w:rsidR="00380AD8" w:rsidRPr="00B002AC">
            <w:rPr>
              <w:noProof/>
              <w:lang w:val="fr-FR"/>
            </w:rPr>
            <w:fldChar w:fldCharType="end"/>
          </w:r>
        </w:sdtContent>
      </w:sdt>
      <w:r w:rsidR="00AC6661" w:rsidRPr="00B002AC">
        <w:rPr>
          <w:lang w:val="fr-FR"/>
        </w:rPr>
        <w:t>.</w:t>
      </w:r>
    </w:p>
    <w:p w14:paraId="0A92168E" w14:textId="77777777" w:rsidR="00AC6661" w:rsidRPr="00B002AC" w:rsidRDefault="00AC6661" w:rsidP="00070972">
      <w:pPr>
        <w:pStyle w:val="Sansinterligne"/>
        <w:jc w:val="both"/>
        <w:rPr>
          <w:lang w:val="fr-FR"/>
        </w:rPr>
      </w:pPr>
    </w:p>
    <w:p w14:paraId="217803B4" w14:textId="77777777" w:rsidR="00B62B6B" w:rsidRPr="00B002AC" w:rsidRDefault="00B62B6B" w:rsidP="00070972">
      <w:pPr>
        <w:pStyle w:val="Style2"/>
        <w:jc w:val="both"/>
        <w:rPr>
          <w:color w:val="000000" w:themeColor="text1"/>
          <w:u w:val="none"/>
          <w:lang w:val="fr-FR"/>
        </w:rPr>
      </w:pPr>
      <w:r w:rsidRPr="00B002AC">
        <w:rPr>
          <w:color w:val="000000" w:themeColor="text1"/>
          <w:u w:val="none"/>
          <w:lang w:val="fr-FR"/>
        </w:rPr>
        <w:t>Symptomatologie de la carence en vitamine B12</w:t>
      </w:r>
    </w:p>
    <w:p w14:paraId="1432DA20" w14:textId="77777777" w:rsidR="00755C1F" w:rsidRPr="00B002AC" w:rsidRDefault="00755C1F" w:rsidP="00070972">
      <w:pPr>
        <w:pStyle w:val="Sansinterligne"/>
        <w:jc w:val="both"/>
        <w:rPr>
          <w:lang w:val="fr-FR"/>
        </w:rPr>
      </w:pPr>
    </w:p>
    <w:p w14:paraId="7DE6A6E8" w14:textId="248B7673" w:rsidR="003829B7" w:rsidRPr="00B002AC" w:rsidRDefault="00755C1F" w:rsidP="00070972">
      <w:pPr>
        <w:pStyle w:val="Sansinterligne"/>
        <w:jc w:val="both"/>
        <w:rPr>
          <w:lang w:val="fr-FR"/>
        </w:rPr>
      </w:pPr>
      <w:r w:rsidRPr="00B002AC">
        <w:rPr>
          <w:lang w:val="fr-FR"/>
        </w:rPr>
        <w:t>Les manifestations sont principalement hématologique</w:t>
      </w:r>
      <w:r w:rsidR="00380390" w:rsidRPr="00B002AC">
        <w:rPr>
          <w:lang w:val="fr-FR"/>
        </w:rPr>
        <w:t>s</w:t>
      </w:r>
      <w:r w:rsidRPr="00B002AC">
        <w:rPr>
          <w:lang w:val="fr-FR"/>
        </w:rPr>
        <w:t>, neurologique</w:t>
      </w:r>
      <w:r w:rsidR="00380390" w:rsidRPr="00B002AC">
        <w:rPr>
          <w:lang w:val="fr-FR"/>
        </w:rPr>
        <w:t>s</w:t>
      </w:r>
      <w:r w:rsidRPr="00B002AC">
        <w:rPr>
          <w:lang w:val="fr-FR"/>
        </w:rPr>
        <w:t xml:space="preserve"> et psychiatrique</w:t>
      </w:r>
      <w:r w:rsidR="00380390" w:rsidRPr="00B002AC">
        <w:rPr>
          <w:lang w:val="fr-FR"/>
        </w:rPr>
        <w:t>s</w:t>
      </w:r>
      <w:r w:rsidR="004C4577" w:rsidRPr="00B002AC">
        <w:rPr>
          <w:lang w:val="fr-FR"/>
        </w:rPr>
        <w:t xml:space="preserve">, initialement frustres </w:t>
      </w:r>
      <w:r w:rsidR="000B4EA0" w:rsidRPr="00B002AC">
        <w:rPr>
          <w:lang w:val="fr-FR"/>
        </w:rPr>
        <w:t>et d’installation insidieuse</w:t>
      </w:r>
      <w:r w:rsidR="00093BA1">
        <w:rPr>
          <w:lang w:val="fr-FR"/>
        </w:rPr>
        <w:t xml:space="preserve"> (</w:t>
      </w:r>
      <w:r w:rsidR="00093BA1" w:rsidRPr="00093BA1">
        <w:rPr>
          <w:b/>
          <w:lang w:val="fr-FR"/>
        </w:rPr>
        <w:t>table 1</w:t>
      </w:r>
      <w:r w:rsidR="00093BA1">
        <w:rPr>
          <w:lang w:val="fr-FR"/>
        </w:rPr>
        <w:t>)</w:t>
      </w:r>
      <w:r w:rsidR="000B4EA0" w:rsidRPr="00B002AC">
        <w:rPr>
          <w:lang w:val="fr-FR"/>
        </w:rPr>
        <w:t>.</w:t>
      </w:r>
      <w:r w:rsidR="00380390" w:rsidRPr="00B002AC">
        <w:rPr>
          <w:lang w:val="fr-FR"/>
        </w:rPr>
        <w:t xml:space="preserve"> </w:t>
      </w:r>
      <w:r w:rsidR="003829B7" w:rsidRPr="00B002AC">
        <w:rPr>
          <w:lang w:val="fr-FR"/>
        </w:rPr>
        <w:t>La symptomatologie découle de l’implication métabolique de la vitamine B12</w:t>
      </w:r>
      <w:r w:rsidR="000B4EA0" w:rsidRPr="00B002AC">
        <w:rPr>
          <w:lang w:val="fr-FR"/>
        </w:rPr>
        <w:t xml:space="preserve"> dans la synthèse de l’ADN et de méthionine </w:t>
      </w:r>
      <w:r w:rsidR="003829B7" w:rsidRPr="00B002AC">
        <w:rPr>
          <w:lang w:val="fr-FR"/>
        </w:rPr>
        <w:t>à partir de l’homocystéine</w:t>
      </w:r>
      <w:r w:rsidR="000B4EA0" w:rsidRPr="00B002AC">
        <w:rPr>
          <w:lang w:val="fr-FR"/>
        </w:rPr>
        <w:t>, tel que explicité précédemment</w:t>
      </w:r>
      <w:sdt>
        <w:sdtPr>
          <w:rPr>
            <w:lang w:val="fr-FR"/>
          </w:rPr>
          <w:id w:val="-2098891401"/>
          <w:citation/>
        </w:sdtPr>
        <w:sdtEndPr/>
        <w:sdtContent>
          <w:r w:rsidR="00380AD8" w:rsidRPr="00B002AC">
            <w:rPr>
              <w:lang w:val="fr-FR"/>
            </w:rPr>
            <w:fldChar w:fldCharType="begin"/>
          </w:r>
          <w:r w:rsidR="00380AD8" w:rsidRPr="00B002AC">
            <w:rPr>
              <w:lang w:val="fr-FR"/>
            </w:rPr>
            <w:instrText xml:space="preserve"> CITATION Sol071 \l 2060 </w:instrText>
          </w:r>
          <w:r w:rsidR="00380AD8" w:rsidRPr="00B002AC">
            <w:rPr>
              <w:lang w:val="fr-FR"/>
            </w:rPr>
            <w:fldChar w:fldCharType="separate"/>
          </w:r>
          <w:r w:rsidR="008F07A7" w:rsidRPr="00B002AC">
            <w:rPr>
              <w:noProof/>
              <w:lang w:val="fr-FR"/>
            </w:rPr>
            <w:t xml:space="preserve"> (19)</w:t>
          </w:r>
          <w:r w:rsidR="00380AD8" w:rsidRPr="00B002AC">
            <w:rPr>
              <w:noProof/>
              <w:lang w:val="fr-FR"/>
            </w:rPr>
            <w:fldChar w:fldCharType="end"/>
          </w:r>
        </w:sdtContent>
      </w:sdt>
      <w:r w:rsidR="003829B7" w:rsidRPr="00B002AC">
        <w:rPr>
          <w:lang w:val="fr-FR"/>
        </w:rPr>
        <w:t>.</w:t>
      </w:r>
    </w:p>
    <w:p w14:paraId="149E15B5" w14:textId="77777777" w:rsidR="00C4022C" w:rsidRPr="00B002AC" w:rsidRDefault="00382F74" w:rsidP="00070972">
      <w:pPr>
        <w:pStyle w:val="Sansinterligne"/>
        <w:jc w:val="both"/>
        <w:rPr>
          <w:lang w:val="fr-FR"/>
        </w:rPr>
      </w:pPr>
      <w:r w:rsidRPr="00B002AC">
        <w:rPr>
          <w:lang w:val="fr-FR"/>
        </w:rPr>
        <w:t>Un déficit en B12</w:t>
      </w:r>
      <w:r w:rsidR="00995439" w:rsidRPr="00B002AC">
        <w:rPr>
          <w:lang w:val="fr-FR"/>
        </w:rPr>
        <w:t xml:space="preserve"> ent</w:t>
      </w:r>
      <w:r w:rsidRPr="00B002AC">
        <w:rPr>
          <w:lang w:val="fr-FR"/>
        </w:rPr>
        <w:t xml:space="preserve">raine un blocage de maturation cellulaire </w:t>
      </w:r>
      <w:r w:rsidR="00995439" w:rsidRPr="00B002AC">
        <w:rPr>
          <w:lang w:val="fr-FR"/>
        </w:rPr>
        <w:t>affectant essentiellement les cellules à multiplication rapide, tel</w:t>
      </w:r>
      <w:r w:rsidR="00E767D1" w:rsidRPr="00B002AC">
        <w:rPr>
          <w:lang w:val="fr-FR"/>
        </w:rPr>
        <w:t xml:space="preserve"> que</w:t>
      </w:r>
      <w:r w:rsidR="00995439" w:rsidRPr="00B002AC">
        <w:rPr>
          <w:lang w:val="fr-FR"/>
        </w:rPr>
        <w:t xml:space="preserve"> les cellules hématopoïétiques</w:t>
      </w:r>
      <w:r w:rsidR="00380390" w:rsidRPr="00B002AC">
        <w:rPr>
          <w:lang w:val="fr-FR"/>
        </w:rPr>
        <w:t xml:space="preserve"> </w:t>
      </w:r>
      <w:r w:rsidRPr="00B002AC">
        <w:rPr>
          <w:lang w:val="fr-FR"/>
        </w:rPr>
        <w:t xml:space="preserve">mais aussi </w:t>
      </w:r>
      <w:r w:rsidR="00380390" w:rsidRPr="00B002AC">
        <w:rPr>
          <w:lang w:val="fr-FR"/>
        </w:rPr>
        <w:t xml:space="preserve">la synthèse de </w:t>
      </w:r>
      <w:r w:rsidRPr="00B002AC">
        <w:rPr>
          <w:lang w:val="fr-FR"/>
        </w:rPr>
        <w:t>la myéline des nerfs de la moelle épinière</w:t>
      </w:r>
      <w:r w:rsidR="00995439" w:rsidRPr="00B002AC">
        <w:rPr>
          <w:lang w:val="fr-FR"/>
        </w:rPr>
        <w:t>.</w:t>
      </w:r>
    </w:p>
    <w:p w14:paraId="0FB38B50" w14:textId="77777777" w:rsidR="00AC6661" w:rsidRPr="00B002AC" w:rsidRDefault="00AC6661" w:rsidP="00070972">
      <w:pPr>
        <w:pStyle w:val="Sansinterligne"/>
        <w:jc w:val="both"/>
        <w:rPr>
          <w:lang w:val="fr-FR"/>
        </w:rPr>
      </w:pPr>
    </w:p>
    <w:p w14:paraId="75F42545" w14:textId="77777777" w:rsidR="00AC6661" w:rsidRPr="00B002AC" w:rsidRDefault="00AC6661" w:rsidP="00070972">
      <w:pPr>
        <w:pStyle w:val="Sansinterligne"/>
        <w:jc w:val="both"/>
        <w:rPr>
          <w:b/>
          <w:lang w:val="fr-FR"/>
        </w:rPr>
      </w:pPr>
      <w:r w:rsidRPr="00B002AC">
        <w:rPr>
          <w:b/>
          <w:lang w:val="fr-FR"/>
        </w:rPr>
        <w:t>Anomalies hématologiques</w:t>
      </w:r>
    </w:p>
    <w:p w14:paraId="3246C486" w14:textId="1C9274C2" w:rsidR="00995439" w:rsidRPr="00B002AC" w:rsidRDefault="00995439" w:rsidP="00070972">
      <w:pPr>
        <w:pStyle w:val="Sansinterligne"/>
        <w:jc w:val="both"/>
        <w:rPr>
          <w:lang w:val="fr-FR"/>
        </w:rPr>
      </w:pPr>
      <w:r w:rsidRPr="00B002AC">
        <w:rPr>
          <w:lang w:val="fr-FR"/>
        </w:rPr>
        <w:t>On observe une</w:t>
      </w:r>
      <w:r w:rsidR="00F249D4" w:rsidRPr="00B002AC">
        <w:rPr>
          <w:lang w:val="fr-FR"/>
        </w:rPr>
        <w:t xml:space="preserve"> </w:t>
      </w:r>
      <w:r w:rsidR="00343411">
        <w:rPr>
          <w:lang w:val="fr-FR"/>
        </w:rPr>
        <w:t>destruction</w:t>
      </w:r>
      <w:r w:rsidR="00F249D4" w:rsidRPr="00B002AC">
        <w:rPr>
          <w:lang w:val="fr-FR"/>
        </w:rPr>
        <w:t xml:space="preserve"> intramédullaire</w:t>
      </w:r>
      <w:r w:rsidRPr="00B002AC">
        <w:rPr>
          <w:lang w:val="fr-FR"/>
        </w:rPr>
        <w:t xml:space="preserve"> en lien avec une hématopoïèse inefficace </w:t>
      </w:r>
      <w:r w:rsidR="00E767D1" w:rsidRPr="00B002AC">
        <w:rPr>
          <w:lang w:val="fr-FR"/>
        </w:rPr>
        <w:t xml:space="preserve"> entrainant  une </w:t>
      </w:r>
      <w:r w:rsidR="00343411">
        <w:rPr>
          <w:lang w:val="fr-FR"/>
        </w:rPr>
        <w:t>pan</w:t>
      </w:r>
      <w:r w:rsidR="00E767D1" w:rsidRPr="00B002AC">
        <w:rPr>
          <w:lang w:val="fr-FR"/>
        </w:rPr>
        <w:t xml:space="preserve">cytopénie </w:t>
      </w:r>
      <w:r w:rsidRPr="00B002AC">
        <w:rPr>
          <w:lang w:val="fr-FR"/>
        </w:rPr>
        <w:t>accompagné</w:t>
      </w:r>
      <w:r w:rsidR="00343411">
        <w:rPr>
          <w:lang w:val="fr-FR"/>
        </w:rPr>
        <w:t>e</w:t>
      </w:r>
      <w:r w:rsidRPr="00B002AC">
        <w:rPr>
          <w:lang w:val="fr-FR"/>
        </w:rPr>
        <w:t xml:space="preserve"> d’une mégaloblastose </w:t>
      </w:r>
      <w:sdt>
        <w:sdtPr>
          <w:rPr>
            <w:lang w:val="fr-FR"/>
          </w:rPr>
          <w:id w:val="-2098891400"/>
          <w:citation/>
        </w:sdtPr>
        <w:sdtEndPr/>
        <w:sdtContent>
          <w:r w:rsidR="00380AD8" w:rsidRPr="00B002AC">
            <w:rPr>
              <w:lang w:val="fr-FR"/>
            </w:rPr>
            <w:fldChar w:fldCharType="begin"/>
          </w:r>
          <w:r w:rsidR="00380AD8" w:rsidRPr="00B002AC">
            <w:rPr>
              <w:lang w:val="fr-FR"/>
            </w:rPr>
            <w:instrText xml:space="preserve"> CITATION Fed07 \l 2060  </w:instrText>
          </w:r>
          <w:r w:rsidR="00380AD8" w:rsidRPr="00B002AC">
            <w:rPr>
              <w:lang w:val="fr-FR"/>
            </w:rPr>
            <w:fldChar w:fldCharType="separate"/>
          </w:r>
          <w:r w:rsidR="008F07A7" w:rsidRPr="00B002AC">
            <w:rPr>
              <w:noProof/>
              <w:lang w:val="fr-FR"/>
            </w:rPr>
            <w:t>(20)</w:t>
          </w:r>
          <w:r w:rsidR="00380AD8" w:rsidRPr="00B002AC">
            <w:rPr>
              <w:noProof/>
              <w:lang w:val="fr-FR"/>
            </w:rPr>
            <w:fldChar w:fldCharType="end"/>
          </w:r>
        </w:sdtContent>
      </w:sdt>
      <w:r w:rsidRPr="00B002AC">
        <w:rPr>
          <w:lang w:val="fr-FR"/>
        </w:rPr>
        <w:t>.</w:t>
      </w:r>
    </w:p>
    <w:p w14:paraId="5FEE1747" w14:textId="6C9184B1" w:rsidR="0083218E" w:rsidRPr="00B002AC" w:rsidRDefault="00E767D1" w:rsidP="00070972">
      <w:pPr>
        <w:pStyle w:val="Sansinterligne"/>
        <w:jc w:val="both"/>
        <w:rPr>
          <w:lang w:val="fr-FR"/>
        </w:rPr>
      </w:pPr>
      <w:r w:rsidRPr="00B002AC">
        <w:rPr>
          <w:lang w:val="fr-FR"/>
        </w:rPr>
        <w:t xml:space="preserve">Il existe </w:t>
      </w:r>
      <w:r w:rsidR="0083218E" w:rsidRPr="00B002AC">
        <w:rPr>
          <w:lang w:val="fr-FR"/>
        </w:rPr>
        <w:t>fréquemment</w:t>
      </w:r>
      <w:r w:rsidRPr="00B002AC">
        <w:rPr>
          <w:lang w:val="fr-FR"/>
        </w:rPr>
        <w:t xml:space="preserve"> une </w:t>
      </w:r>
      <w:r w:rsidR="00B002AC" w:rsidRPr="00B002AC">
        <w:rPr>
          <w:lang w:val="fr-FR"/>
        </w:rPr>
        <w:t>hypersegmentation</w:t>
      </w:r>
      <w:r w:rsidRPr="00B002AC">
        <w:rPr>
          <w:lang w:val="fr-FR"/>
        </w:rPr>
        <w:t xml:space="preserve"> des neutrophiles</w:t>
      </w:r>
      <w:r w:rsidR="00343411">
        <w:rPr>
          <w:lang w:val="fr-FR"/>
        </w:rPr>
        <w:t xml:space="preserve"> qui sont également de taille supérieure à la normale</w:t>
      </w:r>
      <w:r w:rsidRPr="00B002AC">
        <w:rPr>
          <w:lang w:val="fr-FR"/>
        </w:rPr>
        <w:t xml:space="preserve"> (déviation vers la droite de la formule d’Arneth)</w:t>
      </w:r>
      <w:r w:rsidR="00DB2E11">
        <w:rPr>
          <w:lang w:val="fr-FR"/>
        </w:rPr>
        <w:t xml:space="preserve"> (</w:t>
      </w:r>
      <w:r w:rsidR="00DB2E11" w:rsidRPr="003924FB">
        <w:rPr>
          <w:b/>
          <w:lang w:val="fr-FR"/>
        </w:rPr>
        <w:t>figure 3</w:t>
      </w:r>
      <w:r w:rsidR="00DB2E11">
        <w:rPr>
          <w:lang w:val="fr-FR"/>
        </w:rPr>
        <w:t>)</w:t>
      </w:r>
      <w:r w:rsidR="0083218E" w:rsidRPr="00B002AC">
        <w:rPr>
          <w:lang w:val="fr-FR"/>
        </w:rPr>
        <w:t>.</w:t>
      </w:r>
      <w:r w:rsidR="00343411">
        <w:rPr>
          <w:lang w:val="fr-FR"/>
        </w:rPr>
        <w:t xml:space="preserve"> </w:t>
      </w:r>
      <w:r w:rsidR="0083218E" w:rsidRPr="00B002AC">
        <w:rPr>
          <w:lang w:val="fr-FR"/>
        </w:rPr>
        <w:lastRenderedPageBreak/>
        <w:t xml:space="preserve">Cliniquement, le syndrome anémique s’associe à un subictère en lien avec la composante </w:t>
      </w:r>
      <w:r w:rsidR="00B002AC" w:rsidRPr="00B002AC">
        <w:rPr>
          <w:lang w:val="fr-FR"/>
        </w:rPr>
        <w:t>hémolytique. On</w:t>
      </w:r>
      <w:r w:rsidR="0083218E" w:rsidRPr="00B002AC">
        <w:rPr>
          <w:lang w:val="fr-FR"/>
        </w:rPr>
        <w:t xml:space="preserve"> peut observer </w:t>
      </w:r>
      <w:r w:rsidR="003C29FB" w:rsidRPr="00B002AC">
        <w:rPr>
          <w:lang w:val="fr-FR"/>
        </w:rPr>
        <w:t>un</w:t>
      </w:r>
      <w:r w:rsidR="0083218E" w:rsidRPr="00B002AC">
        <w:rPr>
          <w:lang w:val="fr-FR"/>
        </w:rPr>
        <w:t xml:space="preserve"> véritable syndrome hémolytique (avec augmentation de la bilirubine et des LDH et baisse de l’haptoglobine) voire</w:t>
      </w:r>
      <w:r w:rsidR="003C29FB" w:rsidRPr="00B002AC">
        <w:rPr>
          <w:lang w:val="fr-FR"/>
        </w:rPr>
        <w:t>,</w:t>
      </w:r>
      <w:r w:rsidR="0083218E" w:rsidRPr="00B002AC">
        <w:rPr>
          <w:lang w:val="fr-FR"/>
        </w:rPr>
        <w:t xml:space="preserve"> dans certains cas</w:t>
      </w:r>
      <w:r w:rsidR="003C29FB" w:rsidRPr="00B002AC">
        <w:rPr>
          <w:lang w:val="fr-FR"/>
        </w:rPr>
        <w:t>,</w:t>
      </w:r>
      <w:r w:rsidR="0083218E" w:rsidRPr="00B002AC">
        <w:rPr>
          <w:lang w:val="fr-FR"/>
        </w:rPr>
        <w:t xml:space="preserve"> un syndrome simulant une </w:t>
      </w:r>
      <w:r w:rsidR="00B002AC" w:rsidRPr="00B002AC">
        <w:rPr>
          <w:lang w:val="fr-FR"/>
        </w:rPr>
        <w:t>micro angiopathie</w:t>
      </w:r>
      <w:r w:rsidR="0083218E" w:rsidRPr="00B002AC">
        <w:rPr>
          <w:lang w:val="fr-FR"/>
        </w:rPr>
        <w:t xml:space="preserve"> thrombotique </w:t>
      </w:r>
      <w:sdt>
        <w:sdtPr>
          <w:rPr>
            <w:lang w:val="fr-FR"/>
          </w:rPr>
          <w:id w:val="-2098891398"/>
          <w:citation/>
        </w:sdtPr>
        <w:sdtEndPr/>
        <w:sdtContent>
          <w:r w:rsidR="00380AD8" w:rsidRPr="00B002AC">
            <w:rPr>
              <w:lang w:val="fr-FR"/>
            </w:rPr>
            <w:fldChar w:fldCharType="begin"/>
          </w:r>
          <w:r w:rsidR="00380AD8" w:rsidRPr="00B002AC">
            <w:rPr>
              <w:lang w:val="fr-FR"/>
            </w:rPr>
            <w:instrText xml:space="preserve"> CITATION Fed07 \l 2060 </w:instrText>
          </w:r>
          <w:r w:rsidR="00380AD8" w:rsidRPr="00B002AC">
            <w:rPr>
              <w:lang w:val="fr-FR"/>
            </w:rPr>
            <w:fldChar w:fldCharType="separate"/>
          </w:r>
          <w:r w:rsidR="008F07A7" w:rsidRPr="00B002AC">
            <w:rPr>
              <w:noProof/>
              <w:lang w:val="fr-FR"/>
            </w:rPr>
            <w:t>(20)</w:t>
          </w:r>
          <w:r w:rsidR="00380AD8" w:rsidRPr="00B002AC">
            <w:rPr>
              <w:noProof/>
              <w:lang w:val="fr-FR"/>
            </w:rPr>
            <w:fldChar w:fldCharType="end"/>
          </w:r>
        </w:sdtContent>
      </w:sdt>
      <w:r w:rsidR="0083218E" w:rsidRPr="00B002AC">
        <w:rPr>
          <w:lang w:val="fr-FR"/>
        </w:rPr>
        <w:t>.</w:t>
      </w:r>
    </w:p>
    <w:p w14:paraId="4BFFED63" w14:textId="77777777" w:rsidR="00995439" w:rsidRPr="00B002AC" w:rsidRDefault="00995439" w:rsidP="00070972">
      <w:pPr>
        <w:pStyle w:val="Sansinterligne"/>
        <w:jc w:val="both"/>
        <w:rPr>
          <w:lang w:val="fr-FR"/>
        </w:rPr>
      </w:pPr>
    </w:p>
    <w:p w14:paraId="3442CCB4" w14:textId="77777777" w:rsidR="00AC6661" w:rsidRPr="00B002AC" w:rsidRDefault="009C537F" w:rsidP="00070972">
      <w:pPr>
        <w:pStyle w:val="Sansinterligne"/>
        <w:jc w:val="both"/>
        <w:rPr>
          <w:b/>
          <w:lang w:val="fr-FR"/>
        </w:rPr>
      </w:pPr>
      <w:r w:rsidRPr="00B002AC">
        <w:rPr>
          <w:b/>
          <w:lang w:val="fr-FR"/>
        </w:rPr>
        <w:t>Manifestations neuropsychiatriques</w:t>
      </w:r>
    </w:p>
    <w:p w14:paraId="01B3D1C9" w14:textId="77777777" w:rsidR="00995439" w:rsidRPr="00B002AC" w:rsidRDefault="00F249D4" w:rsidP="00070972">
      <w:pPr>
        <w:pStyle w:val="Sansinterligne"/>
        <w:jc w:val="both"/>
        <w:rPr>
          <w:lang w:val="fr-FR"/>
        </w:rPr>
      </w:pPr>
      <w:r w:rsidRPr="00B002AC">
        <w:rPr>
          <w:lang w:val="fr-FR"/>
        </w:rPr>
        <w:t xml:space="preserve">Les troubles neurologiques en lien avec la carence en vitamine B12 sont polymorphes et </w:t>
      </w:r>
      <w:r w:rsidR="009C537F" w:rsidRPr="00B002AC">
        <w:rPr>
          <w:lang w:val="fr-FR"/>
        </w:rPr>
        <w:t xml:space="preserve">ils peuvent survenir de manière isolée sans aucune perturbation de l’hémogramme </w:t>
      </w:r>
      <w:sdt>
        <w:sdtPr>
          <w:rPr>
            <w:lang w:val="fr-FR"/>
          </w:rPr>
          <w:id w:val="-1875073689"/>
          <w:citation/>
        </w:sdtPr>
        <w:sdtEndPr/>
        <w:sdtContent>
          <w:r w:rsidR="00380AD8" w:rsidRPr="00B002AC">
            <w:rPr>
              <w:lang w:val="fr-FR"/>
            </w:rPr>
            <w:fldChar w:fldCharType="begin"/>
          </w:r>
          <w:r w:rsidR="00380AD8" w:rsidRPr="00B002AC">
            <w:rPr>
              <w:lang w:val="fr-FR"/>
            </w:rPr>
            <w:instrText xml:space="preserve"> CITATION Lin88 \l 2060 </w:instrText>
          </w:r>
          <w:r w:rsidR="00380AD8" w:rsidRPr="00B002AC">
            <w:rPr>
              <w:lang w:val="fr-FR"/>
            </w:rPr>
            <w:fldChar w:fldCharType="separate"/>
          </w:r>
          <w:r w:rsidR="008F07A7" w:rsidRPr="00B002AC">
            <w:rPr>
              <w:noProof/>
              <w:lang w:val="fr-FR"/>
            </w:rPr>
            <w:t>(21)</w:t>
          </w:r>
          <w:r w:rsidR="00380AD8" w:rsidRPr="00B002AC">
            <w:rPr>
              <w:noProof/>
              <w:lang w:val="fr-FR"/>
            </w:rPr>
            <w:fldChar w:fldCharType="end"/>
          </w:r>
        </w:sdtContent>
      </w:sdt>
      <w:r w:rsidR="009C537F" w:rsidRPr="00B002AC">
        <w:rPr>
          <w:lang w:val="fr-FR"/>
        </w:rPr>
        <w:t>. L</w:t>
      </w:r>
      <w:r w:rsidRPr="00B002AC">
        <w:rPr>
          <w:lang w:val="fr-FR"/>
        </w:rPr>
        <w:t xml:space="preserve">eur mécanisme étiologique </w:t>
      </w:r>
      <w:r w:rsidR="00995439" w:rsidRPr="00B002AC">
        <w:rPr>
          <w:lang w:val="fr-FR"/>
        </w:rPr>
        <w:t>demeure imparfaitement compris</w:t>
      </w:r>
      <w:r w:rsidR="00E31666" w:rsidRPr="00B002AC">
        <w:rPr>
          <w:lang w:val="fr-FR"/>
        </w:rPr>
        <w:t>.</w:t>
      </w:r>
      <w:r w:rsidR="003C29FB" w:rsidRPr="00B002AC">
        <w:rPr>
          <w:lang w:val="fr-FR"/>
        </w:rPr>
        <w:t xml:space="preserve"> </w:t>
      </w:r>
      <w:r w:rsidR="00E31666" w:rsidRPr="00B002AC">
        <w:rPr>
          <w:lang w:val="fr-FR"/>
        </w:rPr>
        <w:t>L’hypothèse principale est une altération de synthèse de la protéine basique de la myéline en lien avec l’altération de synthèse de la méthionine.</w:t>
      </w:r>
    </w:p>
    <w:p w14:paraId="6A83CEEE" w14:textId="79D6110E" w:rsidR="00995439" w:rsidRPr="00B002AC" w:rsidRDefault="00E31666" w:rsidP="00070972">
      <w:pPr>
        <w:pStyle w:val="Sansinterligne"/>
        <w:jc w:val="both"/>
        <w:rPr>
          <w:lang w:val="fr-FR"/>
        </w:rPr>
      </w:pPr>
      <w:r w:rsidRPr="00B002AC">
        <w:rPr>
          <w:lang w:val="fr-FR"/>
        </w:rPr>
        <w:t>La vitamine B12 serait également impliquée dans la régulation de la synthèse et de l’activité de certains cytokines neurotoxiques tel</w:t>
      </w:r>
      <w:r w:rsidR="00A207A2">
        <w:rPr>
          <w:lang w:val="fr-FR"/>
        </w:rPr>
        <w:t>les que le</w:t>
      </w:r>
      <w:r w:rsidRPr="00B002AC">
        <w:rPr>
          <w:lang w:val="fr-FR"/>
        </w:rPr>
        <w:t xml:space="preserve"> </w:t>
      </w:r>
      <w:r w:rsidR="00A207A2" w:rsidRPr="00A207A2">
        <w:rPr>
          <w:i/>
          <w:lang w:val="fr-FR"/>
        </w:rPr>
        <w:t>tumor ne</w:t>
      </w:r>
      <w:r w:rsidR="00F249D4" w:rsidRPr="00A207A2">
        <w:rPr>
          <w:i/>
          <w:lang w:val="fr-FR"/>
        </w:rPr>
        <w:t>crosis factor</w:t>
      </w:r>
      <w:r w:rsidR="00343411">
        <w:rPr>
          <w:i/>
          <w:lang w:val="fr-FR"/>
        </w:rPr>
        <w:t xml:space="preserve"> alpha</w:t>
      </w:r>
      <w:r w:rsidR="00F249D4" w:rsidRPr="00B002AC">
        <w:rPr>
          <w:lang w:val="fr-FR"/>
        </w:rPr>
        <w:t xml:space="preserve"> (</w:t>
      </w:r>
      <w:r w:rsidRPr="00B002AC">
        <w:rPr>
          <w:lang w:val="fr-FR"/>
        </w:rPr>
        <w:t>TNF alpha</w:t>
      </w:r>
      <w:r w:rsidR="00343411">
        <w:rPr>
          <w:lang w:val="fr-FR"/>
        </w:rPr>
        <w:t>)</w:t>
      </w:r>
      <w:r w:rsidRPr="00B002AC">
        <w:rPr>
          <w:lang w:val="fr-FR"/>
        </w:rPr>
        <w:t xml:space="preserve"> et </w:t>
      </w:r>
      <w:r w:rsidR="00A207A2">
        <w:rPr>
          <w:lang w:val="fr-FR"/>
        </w:rPr>
        <w:t xml:space="preserve">le </w:t>
      </w:r>
      <w:r w:rsidRPr="00A207A2">
        <w:rPr>
          <w:i/>
          <w:lang w:val="fr-FR"/>
        </w:rPr>
        <w:t>nerve growth factor</w:t>
      </w:r>
      <w:r w:rsidRPr="00B002AC">
        <w:rPr>
          <w:lang w:val="fr-FR"/>
        </w:rPr>
        <w:t xml:space="preserve"> (NGF) avec baisse concomitante de cytokines neurotrophiques </w:t>
      </w:r>
      <w:sdt>
        <w:sdtPr>
          <w:rPr>
            <w:lang w:val="fr-FR"/>
          </w:rPr>
          <w:id w:val="-2098891399"/>
          <w:citation/>
        </w:sdtPr>
        <w:sdtEndPr/>
        <w:sdtContent>
          <w:r w:rsidR="00380AD8" w:rsidRPr="00B002AC">
            <w:rPr>
              <w:lang w:val="fr-FR"/>
            </w:rPr>
            <w:fldChar w:fldCharType="begin"/>
          </w:r>
          <w:r w:rsidR="00380AD8" w:rsidRPr="00B002AC">
            <w:rPr>
              <w:lang w:val="fr-FR"/>
            </w:rPr>
            <w:instrText xml:space="preserve"> CITATION Sca07 \l 2060 </w:instrText>
          </w:r>
          <w:r w:rsidR="00380AD8" w:rsidRPr="00B002AC">
            <w:rPr>
              <w:lang w:val="fr-FR"/>
            </w:rPr>
            <w:fldChar w:fldCharType="separate"/>
          </w:r>
          <w:r w:rsidR="008F07A7" w:rsidRPr="00B002AC">
            <w:rPr>
              <w:noProof/>
              <w:lang w:val="fr-FR"/>
            </w:rPr>
            <w:t>(22)</w:t>
          </w:r>
          <w:r w:rsidR="00380AD8" w:rsidRPr="00B002AC">
            <w:rPr>
              <w:noProof/>
              <w:lang w:val="fr-FR"/>
            </w:rPr>
            <w:fldChar w:fldCharType="end"/>
          </w:r>
        </w:sdtContent>
      </w:sdt>
      <w:r w:rsidRPr="00B002AC">
        <w:rPr>
          <w:lang w:val="fr-FR"/>
        </w:rPr>
        <w:t>.</w:t>
      </w:r>
    </w:p>
    <w:p w14:paraId="5DA6622B" w14:textId="77777777" w:rsidR="00F249D4" w:rsidRPr="00B002AC" w:rsidRDefault="00485EA1" w:rsidP="00070972">
      <w:pPr>
        <w:pStyle w:val="Sansinterligne"/>
        <w:jc w:val="both"/>
        <w:rPr>
          <w:lang w:val="fr-FR"/>
        </w:rPr>
      </w:pPr>
      <w:r w:rsidRPr="00B002AC">
        <w:rPr>
          <w:lang w:val="fr-FR"/>
        </w:rPr>
        <w:t>On obse</w:t>
      </w:r>
      <w:r w:rsidR="00A207A2">
        <w:rPr>
          <w:lang w:val="fr-FR"/>
        </w:rPr>
        <w:t xml:space="preserve">rve de façon prépondérante des </w:t>
      </w:r>
      <w:r w:rsidRPr="00B002AC">
        <w:rPr>
          <w:lang w:val="fr-FR"/>
        </w:rPr>
        <w:t>anomalies de</w:t>
      </w:r>
      <w:r w:rsidR="000E5B4D" w:rsidRPr="00B002AC">
        <w:rPr>
          <w:lang w:val="fr-FR"/>
        </w:rPr>
        <w:t>s olygodendrocytes de</w:t>
      </w:r>
      <w:r w:rsidRPr="00B002AC">
        <w:rPr>
          <w:lang w:val="fr-FR"/>
        </w:rPr>
        <w:t xml:space="preserve"> la substance blanche</w:t>
      </w:r>
      <w:r w:rsidR="000E5B4D" w:rsidRPr="00B002AC">
        <w:rPr>
          <w:lang w:val="fr-FR"/>
        </w:rPr>
        <w:t>. Ces anomalies, aspécifiques, rende</w:t>
      </w:r>
      <w:r w:rsidRPr="00B002AC">
        <w:rPr>
          <w:lang w:val="fr-FR"/>
        </w:rPr>
        <w:t>nt parfois difficile le diagnostic différentiel avec des maladie</w:t>
      </w:r>
      <w:r w:rsidR="004858AD" w:rsidRPr="00B002AC">
        <w:rPr>
          <w:lang w:val="fr-FR"/>
        </w:rPr>
        <w:t>s</w:t>
      </w:r>
      <w:r w:rsidRPr="00B002AC">
        <w:rPr>
          <w:lang w:val="fr-FR"/>
        </w:rPr>
        <w:t xml:space="preserve"> dégénérative</w:t>
      </w:r>
      <w:r w:rsidR="004858AD" w:rsidRPr="00B002AC">
        <w:rPr>
          <w:lang w:val="fr-FR"/>
        </w:rPr>
        <w:t>s</w:t>
      </w:r>
      <w:r w:rsidRPr="00B002AC">
        <w:rPr>
          <w:lang w:val="fr-FR"/>
        </w:rPr>
        <w:t xml:space="preserve"> démyélinisante</w:t>
      </w:r>
      <w:r w:rsidR="004858AD" w:rsidRPr="00B002AC">
        <w:rPr>
          <w:lang w:val="fr-FR"/>
        </w:rPr>
        <w:t>s.</w:t>
      </w:r>
      <w:r w:rsidR="000E5B4D" w:rsidRPr="00B002AC">
        <w:rPr>
          <w:lang w:val="fr-FR"/>
        </w:rPr>
        <w:t xml:space="preserve"> </w:t>
      </w:r>
      <w:r w:rsidR="00F249D4" w:rsidRPr="00B002AC">
        <w:rPr>
          <w:lang w:val="fr-FR"/>
        </w:rPr>
        <w:t>Les manifestations neurologiques les plus fréquentes sont les polynévrites, l’ataxie et les paresthésies.</w:t>
      </w:r>
      <w:r w:rsidR="00137C8A" w:rsidRPr="00B002AC">
        <w:rPr>
          <w:lang w:val="fr-FR"/>
        </w:rPr>
        <w:t xml:space="preserve"> L’atteinte est typiquement symétrique et </w:t>
      </w:r>
      <w:r w:rsidR="00A92D30" w:rsidRPr="00B002AC">
        <w:rPr>
          <w:lang w:val="fr-FR"/>
        </w:rPr>
        <w:t>plus marquée au niveau des membres inférieurs que des membres supérieurs.</w:t>
      </w:r>
    </w:p>
    <w:p w14:paraId="5310F711" w14:textId="77E33DC8" w:rsidR="00995439" w:rsidRPr="00B002AC" w:rsidRDefault="00C63E59" w:rsidP="00070972">
      <w:pPr>
        <w:pStyle w:val="Sansinterligne"/>
        <w:jc w:val="both"/>
        <w:rPr>
          <w:lang w:val="fr-FR"/>
        </w:rPr>
      </w:pPr>
      <w:r w:rsidRPr="00B002AC">
        <w:rPr>
          <w:lang w:val="fr-FR"/>
        </w:rPr>
        <w:t>La sclérose combinée de la moelle épinière, associant un syn</w:t>
      </w:r>
      <w:r w:rsidR="00A92D30" w:rsidRPr="00B002AC">
        <w:rPr>
          <w:lang w:val="fr-FR"/>
        </w:rPr>
        <w:t>drome cordonal postérieur et un</w:t>
      </w:r>
      <w:r w:rsidRPr="00B002AC">
        <w:rPr>
          <w:lang w:val="fr-FR"/>
        </w:rPr>
        <w:t xml:space="preserve"> syndrome pyramidal, est </w:t>
      </w:r>
      <w:r w:rsidR="00DB2E11">
        <w:rPr>
          <w:lang w:val="fr-FR"/>
        </w:rPr>
        <w:t xml:space="preserve">caractéristique. Ce dernier peut être suspecté en faisant le test de Romberg </w:t>
      </w:r>
      <w:r w:rsidR="00DB2E11" w:rsidRPr="00DB2E11">
        <w:rPr>
          <w:lang w:val="fr-FR"/>
        </w:rPr>
        <w:t>et avec l’aide d’un diapason pour rechercher des troubles de la pallesthésie</w:t>
      </w:r>
      <w:r w:rsidR="00DB2E11">
        <w:rPr>
          <w:lang w:val="fr-FR"/>
        </w:rPr>
        <w:t xml:space="preserve">. Le test de Romberg évalue la proprioception. </w:t>
      </w:r>
      <w:r w:rsidR="00DB2E11" w:rsidRPr="00DB2E11">
        <w:rPr>
          <w:lang w:val="fr-FR"/>
        </w:rPr>
        <w:t>Le patient doit se tenir debout, talons joints, bras tendus, puis fermer les yeux</w:t>
      </w:r>
      <w:r w:rsidR="00DB2E11">
        <w:rPr>
          <w:lang w:val="fr-FR"/>
        </w:rPr>
        <w:t xml:space="preserve"> : le déficit en B12 se traduit par des troubles évidents de </w:t>
      </w:r>
      <w:r w:rsidR="0005362A">
        <w:rPr>
          <w:lang w:val="fr-FR"/>
        </w:rPr>
        <w:t xml:space="preserve">la posture et de </w:t>
      </w:r>
      <w:r w:rsidR="00DB2E11">
        <w:rPr>
          <w:lang w:val="fr-FR"/>
        </w:rPr>
        <w:t xml:space="preserve">l’équilibre </w:t>
      </w:r>
      <w:sdt>
        <w:sdtPr>
          <w:rPr>
            <w:lang w:val="fr-FR"/>
          </w:rPr>
          <w:id w:val="-2019865858"/>
          <w:citation/>
        </w:sdtPr>
        <w:sdtEndPr/>
        <w:sdtContent>
          <w:r w:rsidR="00380AD8" w:rsidRPr="00B002AC">
            <w:rPr>
              <w:lang w:val="fr-FR"/>
            </w:rPr>
            <w:fldChar w:fldCharType="begin"/>
          </w:r>
          <w:r w:rsidR="00380AD8" w:rsidRPr="00B002AC">
            <w:rPr>
              <w:lang w:val="fr-FR"/>
            </w:rPr>
            <w:instrText xml:space="preserve"> CITATION And05 \l 2060 </w:instrText>
          </w:r>
          <w:r w:rsidR="00380AD8" w:rsidRPr="00B002AC">
            <w:rPr>
              <w:lang w:val="fr-FR"/>
            </w:rPr>
            <w:fldChar w:fldCharType="separate"/>
          </w:r>
          <w:r w:rsidR="008F07A7" w:rsidRPr="00B002AC">
            <w:rPr>
              <w:noProof/>
              <w:lang w:val="fr-FR"/>
            </w:rPr>
            <w:t xml:space="preserve"> (6)</w:t>
          </w:r>
          <w:r w:rsidR="00380AD8" w:rsidRPr="00B002AC">
            <w:rPr>
              <w:noProof/>
              <w:lang w:val="fr-FR"/>
            </w:rPr>
            <w:fldChar w:fldCharType="end"/>
          </w:r>
        </w:sdtContent>
      </w:sdt>
      <w:r w:rsidR="00485EA1" w:rsidRPr="00B002AC">
        <w:rPr>
          <w:lang w:val="fr-FR"/>
        </w:rPr>
        <w:t>.</w:t>
      </w:r>
      <w:r w:rsidR="003C29FB" w:rsidRPr="00B002AC">
        <w:rPr>
          <w:lang w:val="fr-FR"/>
        </w:rPr>
        <w:t xml:space="preserve"> </w:t>
      </w:r>
      <w:r w:rsidR="00137C8A" w:rsidRPr="00B002AC">
        <w:rPr>
          <w:lang w:val="fr-FR"/>
        </w:rPr>
        <w:t>D’autres manifestations ont été décrites sans qu’un rapport de causalité n’ait été formellement démontré : syndrome parkinsonien, dépression états maniaques, psychose, trouble obsessionnels compulsifs et troubles du sommeil</w:t>
      </w:r>
      <w:r w:rsidR="006217BC">
        <w:rPr>
          <w:lang w:val="fr-FR"/>
        </w:rPr>
        <w:t>. C</w:t>
      </w:r>
      <w:r w:rsidR="006217BC" w:rsidRPr="006217BC">
        <w:t>e</w:t>
      </w:r>
      <w:r w:rsidR="006217BC">
        <w:t>rtains de ces</w:t>
      </w:r>
      <w:r w:rsidR="006217BC" w:rsidRPr="006217BC">
        <w:t xml:space="preserve"> troubles</w:t>
      </w:r>
      <w:r w:rsidR="006217BC">
        <w:t>, le plus souvent,</w:t>
      </w:r>
      <w:r w:rsidR="006217BC" w:rsidRPr="006217BC">
        <w:t xml:space="preserve"> semblent irréversibles une fois la carence substituée</w:t>
      </w:r>
      <w:r w:rsidR="006217BC">
        <w:t>.</w:t>
      </w:r>
      <w:r w:rsidR="006217BC">
        <w:rPr>
          <w:lang w:val="fr-FR"/>
        </w:rPr>
        <w:t xml:space="preserve"> </w:t>
      </w:r>
      <w:r w:rsidR="009C537F" w:rsidRPr="00B002AC">
        <w:rPr>
          <w:lang w:val="fr-FR"/>
        </w:rPr>
        <w:t xml:space="preserve"> </w:t>
      </w:r>
      <w:sdt>
        <w:sdtPr>
          <w:rPr>
            <w:lang w:val="fr-FR"/>
          </w:rPr>
          <w:id w:val="-1875073688"/>
          <w:citation/>
        </w:sdtPr>
        <w:sdtEndPr/>
        <w:sdtContent>
          <w:r w:rsidR="00380AD8" w:rsidRPr="00B002AC">
            <w:rPr>
              <w:lang w:val="fr-FR"/>
            </w:rPr>
            <w:fldChar w:fldCharType="begin"/>
          </w:r>
          <w:r w:rsidR="00380AD8" w:rsidRPr="00B002AC">
            <w:rPr>
              <w:lang w:val="fr-FR"/>
            </w:rPr>
            <w:instrText xml:space="preserve"> CITATION And01 \l 2060 </w:instrText>
          </w:r>
          <w:r w:rsidR="00380AD8" w:rsidRPr="00B002AC">
            <w:rPr>
              <w:lang w:val="fr-FR"/>
            </w:rPr>
            <w:fldChar w:fldCharType="separate"/>
          </w:r>
          <w:r w:rsidR="008F07A7" w:rsidRPr="00B002AC">
            <w:rPr>
              <w:noProof/>
              <w:lang w:val="fr-FR"/>
            </w:rPr>
            <w:t>(23)</w:t>
          </w:r>
          <w:r w:rsidR="00380AD8" w:rsidRPr="00B002AC">
            <w:rPr>
              <w:noProof/>
              <w:lang w:val="fr-FR"/>
            </w:rPr>
            <w:fldChar w:fldCharType="end"/>
          </w:r>
        </w:sdtContent>
      </w:sdt>
      <w:r w:rsidR="00137C8A" w:rsidRPr="00B002AC">
        <w:rPr>
          <w:lang w:val="fr-FR"/>
        </w:rPr>
        <w:t>.</w:t>
      </w:r>
    </w:p>
    <w:p w14:paraId="4CE33326" w14:textId="77777777" w:rsidR="009C537F" w:rsidRPr="00B002AC" w:rsidRDefault="009C537F" w:rsidP="00070972">
      <w:pPr>
        <w:pStyle w:val="Sansinterligne"/>
        <w:jc w:val="both"/>
        <w:rPr>
          <w:lang w:val="fr-FR"/>
        </w:rPr>
      </w:pPr>
    </w:p>
    <w:p w14:paraId="432E08D4" w14:textId="77777777" w:rsidR="00380390" w:rsidRPr="00B002AC" w:rsidRDefault="00380390" w:rsidP="00070972">
      <w:pPr>
        <w:pStyle w:val="Sansinterligne"/>
        <w:jc w:val="both"/>
        <w:rPr>
          <w:lang w:val="fr-FR"/>
        </w:rPr>
      </w:pPr>
    </w:p>
    <w:p w14:paraId="5815868E" w14:textId="77777777" w:rsidR="009C537F" w:rsidRPr="00B002AC" w:rsidRDefault="009C537F" w:rsidP="00070972">
      <w:pPr>
        <w:pStyle w:val="Sansinterligne"/>
        <w:jc w:val="both"/>
        <w:rPr>
          <w:b/>
          <w:lang w:val="fr-FR"/>
        </w:rPr>
      </w:pPr>
      <w:r w:rsidRPr="00B002AC">
        <w:rPr>
          <w:b/>
          <w:lang w:val="fr-FR"/>
        </w:rPr>
        <w:t>Manifestations vasculaires</w:t>
      </w:r>
    </w:p>
    <w:p w14:paraId="4CD7D1BF" w14:textId="32CE37D1" w:rsidR="00155DB8" w:rsidRPr="00B002AC" w:rsidRDefault="009C537F" w:rsidP="00070972">
      <w:pPr>
        <w:pStyle w:val="Sansinterligne"/>
        <w:jc w:val="both"/>
        <w:rPr>
          <w:lang w:val="fr-FR"/>
        </w:rPr>
      </w:pPr>
      <w:r w:rsidRPr="00B002AC">
        <w:rPr>
          <w:lang w:val="fr-FR"/>
        </w:rPr>
        <w:t>La carence en vitamine B12 est associée à une hyper</w:t>
      </w:r>
      <w:r w:rsidR="006217BC">
        <w:rPr>
          <w:lang w:val="fr-FR"/>
        </w:rPr>
        <w:t xml:space="preserve"> </w:t>
      </w:r>
      <w:r w:rsidRPr="00B002AC">
        <w:rPr>
          <w:lang w:val="fr-FR"/>
        </w:rPr>
        <w:t>homocystéinémie modérée</w:t>
      </w:r>
      <w:r w:rsidR="006217BC">
        <w:rPr>
          <w:lang w:val="fr-FR"/>
        </w:rPr>
        <w:t>,</w:t>
      </w:r>
      <w:r w:rsidRPr="00B002AC">
        <w:rPr>
          <w:lang w:val="fr-FR"/>
        </w:rPr>
        <w:t xml:space="preserve"> qui représente un facteur de risque indépendant de maladie thromboembolique veineuse, via un effet </w:t>
      </w:r>
      <w:r w:rsidR="00B002AC" w:rsidRPr="00B002AC">
        <w:rPr>
          <w:lang w:val="fr-FR"/>
        </w:rPr>
        <w:t>pro coagulant</w:t>
      </w:r>
      <w:r w:rsidRPr="00B002AC">
        <w:rPr>
          <w:lang w:val="fr-FR"/>
        </w:rPr>
        <w:t xml:space="preserve"> sur les cellules endothéliales </w:t>
      </w:r>
      <w:sdt>
        <w:sdtPr>
          <w:rPr>
            <w:lang w:val="fr-FR"/>
          </w:rPr>
          <w:id w:val="-1875073687"/>
          <w:citation/>
        </w:sdtPr>
        <w:sdtEndPr/>
        <w:sdtContent>
          <w:r w:rsidR="00380AD8" w:rsidRPr="00B002AC">
            <w:rPr>
              <w:lang w:val="fr-FR"/>
            </w:rPr>
            <w:fldChar w:fldCharType="begin"/>
          </w:r>
          <w:r w:rsidR="00380AD8" w:rsidRPr="00B002AC">
            <w:rPr>
              <w:lang w:val="fr-FR"/>
            </w:rPr>
            <w:instrText xml:space="preserve"> CITATION Sca08 \l 2060 </w:instrText>
          </w:r>
          <w:r w:rsidR="00380AD8" w:rsidRPr="00B002AC">
            <w:rPr>
              <w:lang w:val="fr-FR"/>
            </w:rPr>
            <w:fldChar w:fldCharType="separate"/>
          </w:r>
          <w:r w:rsidR="008F07A7" w:rsidRPr="00B002AC">
            <w:rPr>
              <w:noProof/>
              <w:lang w:val="fr-FR"/>
            </w:rPr>
            <w:t>(24)</w:t>
          </w:r>
          <w:r w:rsidR="00380AD8" w:rsidRPr="00B002AC">
            <w:rPr>
              <w:noProof/>
              <w:lang w:val="fr-FR"/>
            </w:rPr>
            <w:fldChar w:fldCharType="end"/>
          </w:r>
        </w:sdtContent>
      </w:sdt>
      <w:r w:rsidRPr="00B002AC">
        <w:rPr>
          <w:lang w:val="fr-FR"/>
        </w:rPr>
        <w:t>.</w:t>
      </w:r>
      <w:r w:rsidR="003C29FB" w:rsidRPr="00B002AC">
        <w:rPr>
          <w:lang w:val="fr-FR"/>
        </w:rPr>
        <w:t xml:space="preserve"> </w:t>
      </w:r>
      <w:r w:rsidR="00155DB8" w:rsidRPr="00B002AC">
        <w:rPr>
          <w:lang w:val="fr-FR"/>
        </w:rPr>
        <w:t xml:space="preserve">Les études portant sur le rôle de la vitamine B12 et les accidents cérébro vasculaires </w:t>
      </w:r>
      <w:r w:rsidR="003C29FB" w:rsidRPr="00B002AC">
        <w:rPr>
          <w:lang w:val="fr-FR"/>
        </w:rPr>
        <w:t>restent</w:t>
      </w:r>
      <w:r w:rsidR="00155DB8" w:rsidRPr="00B002AC">
        <w:rPr>
          <w:lang w:val="fr-FR"/>
        </w:rPr>
        <w:t xml:space="preserve"> controversées. La supplémentation </w:t>
      </w:r>
      <w:r w:rsidR="000E5B4D" w:rsidRPr="00B002AC">
        <w:rPr>
          <w:lang w:val="fr-FR"/>
        </w:rPr>
        <w:t xml:space="preserve">en </w:t>
      </w:r>
      <w:r w:rsidR="00155DB8" w:rsidRPr="00B002AC">
        <w:rPr>
          <w:lang w:val="fr-FR"/>
        </w:rPr>
        <w:t xml:space="preserve">vitamine B12 et la réduction des taux de homocystéine n'a pas été efficace en prévention secondaire pour réduire le risque d’infarctus, AVC ou décès de cause cardiovasculaire </w:t>
      </w:r>
      <w:sdt>
        <w:sdtPr>
          <w:rPr>
            <w:lang w:val="fr-FR"/>
          </w:rPr>
          <w:id w:val="-1875073092"/>
          <w:citation/>
        </w:sdtPr>
        <w:sdtEndPr/>
        <w:sdtContent>
          <w:r w:rsidR="00380AD8" w:rsidRPr="00B002AC">
            <w:rPr>
              <w:lang w:val="fr-FR"/>
            </w:rPr>
            <w:fldChar w:fldCharType="begin"/>
          </w:r>
          <w:r w:rsidR="00380AD8" w:rsidRPr="00B002AC">
            <w:rPr>
              <w:lang w:val="fr-FR"/>
            </w:rPr>
            <w:instrText xml:space="preserve"> CITATION Lon06 \l 2060 </w:instrText>
          </w:r>
          <w:r w:rsidR="00380AD8" w:rsidRPr="00B002AC">
            <w:rPr>
              <w:lang w:val="fr-FR"/>
            </w:rPr>
            <w:fldChar w:fldCharType="separate"/>
          </w:r>
          <w:r w:rsidR="008F07A7" w:rsidRPr="00B002AC">
            <w:rPr>
              <w:noProof/>
              <w:lang w:val="fr-FR"/>
            </w:rPr>
            <w:t>(25)</w:t>
          </w:r>
          <w:r w:rsidR="00380AD8" w:rsidRPr="00B002AC">
            <w:rPr>
              <w:noProof/>
              <w:lang w:val="fr-FR"/>
            </w:rPr>
            <w:fldChar w:fldCharType="end"/>
          </w:r>
        </w:sdtContent>
      </w:sdt>
      <w:r w:rsidR="00155DB8" w:rsidRPr="00B002AC">
        <w:rPr>
          <w:lang w:val="fr-FR"/>
        </w:rPr>
        <w:t>.</w:t>
      </w:r>
    </w:p>
    <w:p w14:paraId="0E967644" w14:textId="77777777" w:rsidR="00155DB8" w:rsidRPr="00B002AC" w:rsidRDefault="00155DB8" w:rsidP="00070972">
      <w:pPr>
        <w:pStyle w:val="Sansinterligne"/>
        <w:jc w:val="both"/>
        <w:rPr>
          <w:lang w:val="fr-FR"/>
        </w:rPr>
      </w:pPr>
    </w:p>
    <w:p w14:paraId="3D43B511" w14:textId="77777777" w:rsidR="009C537F" w:rsidRPr="00B002AC" w:rsidRDefault="009C537F" w:rsidP="00070972">
      <w:pPr>
        <w:pStyle w:val="Sansinterligne"/>
        <w:jc w:val="both"/>
        <w:rPr>
          <w:lang w:val="fr-FR"/>
        </w:rPr>
      </w:pPr>
    </w:p>
    <w:p w14:paraId="69862703" w14:textId="77777777" w:rsidR="009C537F" w:rsidRPr="00B002AC" w:rsidRDefault="009C537F" w:rsidP="00070972">
      <w:pPr>
        <w:pStyle w:val="Sansinterligne"/>
        <w:jc w:val="both"/>
        <w:rPr>
          <w:b/>
          <w:lang w:val="fr-FR"/>
        </w:rPr>
      </w:pPr>
      <w:r w:rsidRPr="00B002AC">
        <w:rPr>
          <w:b/>
          <w:lang w:val="fr-FR"/>
        </w:rPr>
        <w:t>Manifestations stomatologiques</w:t>
      </w:r>
    </w:p>
    <w:p w14:paraId="5A939620" w14:textId="6C1043C5" w:rsidR="004B558D" w:rsidRPr="00B002AC" w:rsidRDefault="00155DB8" w:rsidP="00070972">
      <w:pPr>
        <w:pStyle w:val="Sansinterligne"/>
        <w:jc w:val="both"/>
        <w:rPr>
          <w:lang w:val="fr-FR"/>
        </w:rPr>
      </w:pPr>
      <w:r w:rsidRPr="00B002AC">
        <w:rPr>
          <w:lang w:val="fr-FR"/>
        </w:rPr>
        <w:t xml:space="preserve">La glossite de Hunter constitue un signe classique et fréquent d’une carence en vitamine B12 </w:t>
      </w:r>
      <w:sdt>
        <w:sdtPr>
          <w:rPr>
            <w:lang w:val="fr-FR"/>
          </w:rPr>
          <w:id w:val="-1875073091"/>
          <w:citation/>
        </w:sdtPr>
        <w:sdtEndPr/>
        <w:sdtContent>
          <w:r w:rsidR="00380AD8" w:rsidRPr="00B002AC">
            <w:rPr>
              <w:lang w:val="fr-FR"/>
            </w:rPr>
            <w:fldChar w:fldCharType="begin"/>
          </w:r>
          <w:r w:rsidR="00380AD8" w:rsidRPr="00B002AC">
            <w:rPr>
              <w:lang w:val="fr-FR"/>
            </w:rPr>
            <w:instrText xml:space="preserve"> CITATION Ito02 \l 2060 </w:instrText>
          </w:r>
          <w:r w:rsidR="00380AD8" w:rsidRPr="00B002AC">
            <w:rPr>
              <w:lang w:val="fr-FR"/>
            </w:rPr>
            <w:fldChar w:fldCharType="separate"/>
          </w:r>
          <w:r w:rsidR="008F07A7" w:rsidRPr="00B002AC">
            <w:rPr>
              <w:noProof/>
              <w:lang w:val="fr-FR"/>
            </w:rPr>
            <w:t>(26)</w:t>
          </w:r>
          <w:r w:rsidR="00380AD8" w:rsidRPr="00B002AC">
            <w:rPr>
              <w:noProof/>
              <w:lang w:val="fr-FR"/>
            </w:rPr>
            <w:fldChar w:fldCharType="end"/>
          </w:r>
        </w:sdtContent>
      </w:sdt>
      <w:r w:rsidRPr="00B002AC">
        <w:rPr>
          <w:lang w:val="fr-FR"/>
        </w:rPr>
        <w:t>.</w:t>
      </w:r>
      <w:r w:rsidR="000E5B4D" w:rsidRPr="00B002AC">
        <w:rPr>
          <w:lang w:val="fr-FR"/>
        </w:rPr>
        <w:t xml:space="preserve"> La glossite de Hunter </w:t>
      </w:r>
      <w:r w:rsidR="00D264CE">
        <w:rPr>
          <w:lang w:val="fr-FR"/>
        </w:rPr>
        <w:t>(</w:t>
      </w:r>
      <w:r w:rsidR="00D264CE" w:rsidRPr="00D264CE">
        <w:rPr>
          <w:b/>
          <w:lang w:val="fr-FR"/>
        </w:rPr>
        <w:t>figure 2</w:t>
      </w:r>
      <w:r w:rsidR="00D264CE">
        <w:rPr>
          <w:lang w:val="fr-FR"/>
        </w:rPr>
        <w:t xml:space="preserve">) </w:t>
      </w:r>
      <w:r w:rsidR="000E5B4D" w:rsidRPr="00B002AC">
        <w:rPr>
          <w:lang w:val="fr-FR"/>
        </w:rPr>
        <w:t xml:space="preserve">est rarement observée car elle correspond à un stade avancé (27). </w:t>
      </w:r>
      <w:r w:rsidR="00CD0E49" w:rsidRPr="00B002AC">
        <w:rPr>
          <w:lang w:val="fr-FR"/>
        </w:rPr>
        <w:t>Elle peut se présenter sous deux formes cliniques. La forme initiale, inflammatoire</w:t>
      </w:r>
      <w:r w:rsidR="00D264CE">
        <w:rPr>
          <w:lang w:val="fr-FR"/>
        </w:rPr>
        <w:t>,</w:t>
      </w:r>
      <w:r w:rsidR="00CD0E49" w:rsidRPr="00B002AC">
        <w:rPr>
          <w:lang w:val="fr-FR"/>
        </w:rPr>
        <w:t xml:space="preserve"> est caractérisée par l’apparition de zones lisse</w:t>
      </w:r>
      <w:r w:rsidR="00D264CE">
        <w:rPr>
          <w:lang w:val="fr-FR"/>
        </w:rPr>
        <w:t>s</w:t>
      </w:r>
      <w:r w:rsidR="00CD0E49" w:rsidRPr="00B002AC">
        <w:rPr>
          <w:lang w:val="fr-FR"/>
        </w:rPr>
        <w:t xml:space="preserve"> et </w:t>
      </w:r>
      <w:r w:rsidR="00D264CE">
        <w:rPr>
          <w:lang w:val="fr-FR"/>
        </w:rPr>
        <w:t xml:space="preserve">de </w:t>
      </w:r>
      <w:r w:rsidR="00CD0E49" w:rsidRPr="00B002AC">
        <w:rPr>
          <w:lang w:val="fr-FR"/>
        </w:rPr>
        <w:t>plaque</w:t>
      </w:r>
      <w:r w:rsidR="00D264CE">
        <w:rPr>
          <w:lang w:val="fr-FR"/>
        </w:rPr>
        <w:t>s</w:t>
      </w:r>
      <w:r w:rsidR="00CD0E49" w:rsidRPr="00B002AC">
        <w:rPr>
          <w:lang w:val="fr-FR"/>
        </w:rPr>
        <w:t xml:space="preserve"> érythémateuses brillantes et </w:t>
      </w:r>
      <w:r w:rsidR="000E5B4D" w:rsidRPr="00B002AC">
        <w:rPr>
          <w:lang w:val="fr-FR"/>
        </w:rPr>
        <w:t>sèches</w:t>
      </w:r>
      <w:r w:rsidR="00CD0E49" w:rsidRPr="00B002AC">
        <w:rPr>
          <w:lang w:val="fr-FR"/>
        </w:rPr>
        <w:t>, préférentiellement situés au niveau de la point</w:t>
      </w:r>
      <w:r w:rsidR="008B1B30">
        <w:rPr>
          <w:lang w:val="fr-FR"/>
        </w:rPr>
        <w:t>e</w:t>
      </w:r>
      <w:r w:rsidR="00CD0E49" w:rsidRPr="00B002AC">
        <w:rPr>
          <w:lang w:val="fr-FR"/>
        </w:rPr>
        <w:t xml:space="preserve"> et des bords de la langue.</w:t>
      </w:r>
      <w:r w:rsidR="000E5B4D" w:rsidRPr="00B002AC">
        <w:rPr>
          <w:lang w:val="fr-FR"/>
        </w:rPr>
        <w:t xml:space="preserve"> </w:t>
      </w:r>
      <w:r w:rsidR="00CD0E49" w:rsidRPr="00B002AC">
        <w:rPr>
          <w:lang w:val="fr-FR"/>
        </w:rPr>
        <w:t>Ces plaques peuvent s’ulcérer.</w:t>
      </w:r>
      <w:r w:rsidR="000E5B4D" w:rsidRPr="00B002AC">
        <w:rPr>
          <w:lang w:val="fr-FR"/>
        </w:rPr>
        <w:t xml:space="preserve"> </w:t>
      </w:r>
      <w:r w:rsidR="00CD0E49" w:rsidRPr="00B002AC">
        <w:rPr>
          <w:lang w:val="fr-FR"/>
        </w:rPr>
        <w:t>La phase atrophique fait suite à la phase inflammatoire ou survient d’emblée. Les papilles disparaissent, la langue prend un aspect vernissé.</w:t>
      </w:r>
      <w:r w:rsidR="003C29FB" w:rsidRPr="00B002AC">
        <w:rPr>
          <w:lang w:val="fr-FR"/>
        </w:rPr>
        <w:t xml:space="preserve"> </w:t>
      </w:r>
      <w:r w:rsidR="000E5B4D" w:rsidRPr="00B002AC">
        <w:rPr>
          <w:lang w:val="fr-FR"/>
        </w:rPr>
        <w:t>Une autre manifestation</w:t>
      </w:r>
      <w:r w:rsidR="00CD0E49" w:rsidRPr="00B002AC">
        <w:rPr>
          <w:lang w:val="fr-FR"/>
        </w:rPr>
        <w:t xml:space="preserve"> classique de la carence en vitamine B12 est la stomatodynie, caractérisée par des sensations douloureuses </w:t>
      </w:r>
      <w:r w:rsidR="00D35E50" w:rsidRPr="00B002AC">
        <w:rPr>
          <w:lang w:val="fr-FR"/>
        </w:rPr>
        <w:t>intéressant</w:t>
      </w:r>
      <w:r w:rsidR="00CD0E49" w:rsidRPr="00B002AC">
        <w:rPr>
          <w:lang w:val="fr-FR"/>
        </w:rPr>
        <w:t xml:space="preserve"> la cavité buccale</w:t>
      </w:r>
      <w:r w:rsidR="00D35E50" w:rsidRPr="00B002AC">
        <w:rPr>
          <w:lang w:val="fr-FR"/>
        </w:rPr>
        <w:t>.</w:t>
      </w:r>
      <w:r w:rsidR="000E5B4D" w:rsidRPr="00B002AC">
        <w:rPr>
          <w:lang w:val="fr-FR"/>
        </w:rPr>
        <w:t xml:space="preserve"> </w:t>
      </w:r>
      <w:r w:rsidR="00D35E50" w:rsidRPr="00B002AC">
        <w:rPr>
          <w:lang w:val="fr-FR"/>
        </w:rPr>
        <w:t xml:space="preserve">Des dysgueusies sont parfois </w:t>
      </w:r>
      <w:r w:rsidR="00D35E50" w:rsidRPr="00B002AC">
        <w:rPr>
          <w:lang w:val="fr-FR"/>
        </w:rPr>
        <w:lastRenderedPageBreak/>
        <w:t>décrites</w:t>
      </w:r>
      <w:sdt>
        <w:sdtPr>
          <w:rPr>
            <w:lang w:val="fr-FR"/>
          </w:rPr>
          <w:id w:val="-1875073089"/>
          <w:citation/>
        </w:sdtPr>
        <w:sdtEndPr/>
        <w:sdtContent>
          <w:r w:rsidR="00380AD8" w:rsidRPr="00B002AC">
            <w:rPr>
              <w:lang w:val="fr-FR"/>
            </w:rPr>
            <w:fldChar w:fldCharType="begin"/>
          </w:r>
          <w:r w:rsidR="00380AD8" w:rsidRPr="00B002AC">
            <w:rPr>
              <w:lang w:val="fr-FR"/>
            </w:rPr>
            <w:instrText xml:space="preserve"> CITATION Fie \l 2060 </w:instrText>
          </w:r>
          <w:r w:rsidR="00380AD8" w:rsidRPr="00B002AC">
            <w:rPr>
              <w:lang w:val="fr-FR"/>
            </w:rPr>
            <w:fldChar w:fldCharType="separate"/>
          </w:r>
          <w:r w:rsidR="008F07A7" w:rsidRPr="00B002AC">
            <w:rPr>
              <w:noProof/>
              <w:lang w:val="fr-FR"/>
            </w:rPr>
            <w:t xml:space="preserve"> (28)</w:t>
          </w:r>
          <w:r w:rsidR="00380AD8" w:rsidRPr="00B002AC">
            <w:rPr>
              <w:noProof/>
              <w:lang w:val="fr-FR"/>
            </w:rPr>
            <w:fldChar w:fldCharType="end"/>
          </w:r>
        </w:sdtContent>
      </w:sdt>
      <w:r w:rsidR="00D35E50" w:rsidRPr="00B002AC">
        <w:rPr>
          <w:lang w:val="fr-FR"/>
        </w:rPr>
        <w:t>.</w:t>
      </w:r>
      <w:r w:rsidR="000E5B4D" w:rsidRPr="00B002AC">
        <w:rPr>
          <w:lang w:val="fr-FR"/>
        </w:rPr>
        <w:t xml:space="preserve"> </w:t>
      </w:r>
      <w:r w:rsidR="00D35E50" w:rsidRPr="00B002AC">
        <w:rPr>
          <w:lang w:val="fr-FR"/>
        </w:rPr>
        <w:t>D’autres signes buccaux ont été plus rarement rapportés : lésions ulcérées, aphtose</w:t>
      </w:r>
      <w:sdt>
        <w:sdtPr>
          <w:rPr>
            <w:lang w:val="fr-FR"/>
          </w:rPr>
          <w:id w:val="-1875073088"/>
          <w:citation/>
        </w:sdtPr>
        <w:sdtEndPr/>
        <w:sdtContent>
          <w:r w:rsidR="00380AD8" w:rsidRPr="00B002AC">
            <w:rPr>
              <w:lang w:val="fr-FR"/>
            </w:rPr>
            <w:fldChar w:fldCharType="begin"/>
          </w:r>
          <w:r w:rsidR="00380AD8" w:rsidRPr="00B002AC">
            <w:rPr>
              <w:lang w:val="fr-FR"/>
            </w:rPr>
            <w:instrText xml:space="preserve"> CITATION Rey88 \l 2060 </w:instrText>
          </w:r>
          <w:r w:rsidR="00380AD8" w:rsidRPr="00B002AC">
            <w:rPr>
              <w:lang w:val="fr-FR"/>
            </w:rPr>
            <w:fldChar w:fldCharType="separate"/>
          </w:r>
          <w:r w:rsidR="008F07A7" w:rsidRPr="00B002AC">
            <w:rPr>
              <w:noProof/>
              <w:lang w:val="fr-FR"/>
            </w:rPr>
            <w:t xml:space="preserve"> (29)</w:t>
          </w:r>
          <w:r w:rsidR="00380AD8" w:rsidRPr="00B002AC">
            <w:rPr>
              <w:noProof/>
              <w:lang w:val="fr-FR"/>
            </w:rPr>
            <w:fldChar w:fldCharType="end"/>
          </w:r>
        </w:sdtContent>
      </w:sdt>
      <w:r w:rsidR="00D35E50" w:rsidRPr="00B002AC">
        <w:rPr>
          <w:lang w:val="fr-FR"/>
        </w:rPr>
        <w:t xml:space="preserve">, </w:t>
      </w:r>
      <w:r w:rsidR="000E5B4D" w:rsidRPr="00B002AC">
        <w:rPr>
          <w:lang w:val="fr-FR"/>
        </w:rPr>
        <w:t>perlèche</w:t>
      </w:r>
      <w:r w:rsidR="00D35E50" w:rsidRPr="00B002AC">
        <w:rPr>
          <w:lang w:val="fr-FR"/>
        </w:rPr>
        <w:t xml:space="preserve"> </w:t>
      </w:r>
      <w:sdt>
        <w:sdtPr>
          <w:rPr>
            <w:lang w:val="fr-FR"/>
          </w:rPr>
          <w:id w:val="-1875073087"/>
          <w:citation/>
        </w:sdtPr>
        <w:sdtEndPr/>
        <w:sdtContent>
          <w:r w:rsidR="00380AD8" w:rsidRPr="00B002AC">
            <w:rPr>
              <w:lang w:val="fr-FR"/>
            </w:rPr>
            <w:fldChar w:fldCharType="begin"/>
          </w:r>
          <w:r w:rsidR="00380AD8" w:rsidRPr="00B002AC">
            <w:rPr>
              <w:lang w:val="fr-FR"/>
            </w:rPr>
            <w:instrText xml:space="preserve"> CITATION Fie \l 2060 </w:instrText>
          </w:r>
          <w:r w:rsidR="00380AD8" w:rsidRPr="00B002AC">
            <w:rPr>
              <w:lang w:val="fr-FR"/>
            </w:rPr>
            <w:fldChar w:fldCharType="separate"/>
          </w:r>
          <w:r w:rsidR="008F07A7" w:rsidRPr="00B002AC">
            <w:rPr>
              <w:noProof/>
              <w:lang w:val="fr-FR"/>
            </w:rPr>
            <w:t>(28)</w:t>
          </w:r>
          <w:r w:rsidR="00380AD8" w:rsidRPr="00B002AC">
            <w:rPr>
              <w:noProof/>
              <w:lang w:val="fr-FR"/>
            </w:rPr>
            <w:fldChar w:fldCharType="end"/>
          </w:r>
        </w:sdtContent>
      </w:sdt>
      <w:r w:rsidR="004B558D" w:rsidRPr="00B002AC">
        <w:rPr>
          <w:lang w:val="fr-FR"/>
        </w:rPr>
        <w:t>.</w:t>
      </w:r>
    </w:p>
    <w:p w14:paraId="6AF32303" w14:textId="77777777" w:rsidR="004B558D" w:rsidRPr="00B002AC" w:rsidRDefault="004B558D" w:rsidP="00070972">
      <w:pPr>
        <w:pStyle w:val="Sansinterligne"/>
        <w:jc w:val="both"/>
        <w:rPr>
          <w:lang w:val="fr-FR"/>
        </w:rPr>
      </w:pPr>
    </w:p>
    <w:p w14:paraId="0C931EAF" w14:textId="77777777" w:rsidR="00D35E50" w:rsidRPr="00B002AC" w:rsidRDefault="004B558D" w:rsidP="00070972">
      <w:pPr>
        <w:pStyle w:val="Sansinterligne"/>
        <w:jc w:val="both"/>
        <w:rPr>
          <w:b/>
          <w:lang w:val="fr-FR"/>
        </w:rPr>
      </w:pPr>
      <w:r w:rsidRPr="00B002AC">
        <w:rPr>
          <w:b/>
          <w:lang w:val="fr-FR"/>
        </w:rPr>
        <w:t>Grossesse et allaitement</w:t>
      </w:r>
    </w:p>
    <w:p w14:paraId="030CC4F8" w14:textId="4704C577" w:rsidR="004B558D" w:rsidRDefault="004B558D" w:rsidP="00070972">
      <w:pPr>
        <w:pStyle w:val="Sansinterligne"/>
        <w:jc w:val="both"/>
        <w:rPr>
          <w:lang w:val="fr-FR"/>
        </w:rPr>
      </w:pPr>
      <w:r w:rsidRPr="00B002AC">
        <w:rPr>
          <w:lang w:val="fr-FR"/>
        </w:rPr>
        <w:t>Durant la grossesse, les besoins en vitamine B12 sont accrus.</w:t>
      </w:r>
      <w:r w:rsidR="000E5B4D" w:rsidRPr="00B002AC">
        <w:rPr>
          <w:lang w:val="fr-FR"/>
        </w:rPr>
        <w:t xml:space="preserve"> </w:t>
      </w:r>
      <w:r w:rsidRPr="00B002AC">
        <w:rPr>
          <w:lang w:val="fr-FR"/>
        </w:rPr>
        <w:t>Un déficit serait responsable d’avortement</w:t>
      </w:r>
      <w:r w:rsidR="009440CF" w:rsidRPr="00B002AC">
        <w:rPr>
          <w:lang w:val="fr-FR"/>
        </w:rPr>
        <w:t xml:space="preserve"> à répétition par le biais de l’hyperhomocystéinémie</w:t>
      </w:r>
      <w:r w:rsidRPr="00B002AC">
        <w:rPr>
          <w:lang w:val="fr-FR"/>
        </w:rPr>
        <w:t>, de prématurité et d’anomalie du développement fœtal avec notamment des atteintes neurologiques</w:t>
      </w:r>
      <w:r w:rsidR="00D264CE">
        <w:rPr>
          <w:lang w:val="fr-FR"/>
        </w:rPr>
        <w:t xml:space="preserve"> (19)</w:t>
      </w:r>
      <w:r w:rsidRPr="00B002AC">
        <w:rPr>
          <w:lang w:val="fr-FR"/>
        </w:rPr>
        <w:t>.</w:t>
      </w:r>
    </w:p>
    <w:p w14:paraId="41645EFE" w14:textId="77777777" w:rsidR="0005362A" w:rsidRPr="00B002AC" w:rsidRDefault="0005362A" w:rsidP="00070972">
      <w:pPr>
        <w:pStyle w:val="Sansinterligne"/>
        <w:jc w:val="both"/>
        <w:rPr>
          <w:lang w:val="fr-FR"/>
        </w:rPr>
      </w:pPr>
    </w:p>
    <w:p w14:paraId="1BED03B6" w14:textId="77777777" w:rsidR="004B558D" w:rsidRPr="00B002AC" w:rsidRDefault="004B558D" w:rsidP="00070972">
      <w:pPr>
        <w:pStyle w:val="Sansinterligne"/>
        <w:jc w:val="both"/>
        <w:rPr>
          <w:lang w:val="fr-FR"/>
        </w:rPr>
      </w:pPr>
    </w:p>
    <w:p w14:paraId="6EB417A3" w14:textId="77777777" w:rsidR="00AC6661" w:rsidRPr="00B002AC" w:rsidRDefault="00EE25E4" w:rsidP="00070972">
      <w:pPr>
        <w:pStyle w:val="Style2"/>
        <w:jc w:val="both"/>
        <w:rPr>
          <w:color w:val="000000" w:themeColor="text1"/>
          <w:u w:val="none"/>
          <w:lang w:val="fr-FR"/>
        </w:rPr>
      </w:pPr>
      <w:r w:rsidRPr="00B002AC">
        <w:rPr>
          <w:color w:val="000000" w:themeColor="text1"/>
          <w:u w:val="none"/>
          <w:lang w:val="fr-FR"/>
        </w:rPr>
        <w:t>Traitement de la carence en vitamine B12</w:t>
      </w:r>
    </w:p>
    <w:p w14:paraId="0DFBB3BE" w14:textId="77777777" w:rsidR="00EE25E4" w:rsidRPr="00B002AC" w:rsidRDefault="00EE25E4" w:rsidP="00070972">
      <w:pPr>
        <w:pStyle w:val="Sansinterligne"/>
        <w:jc w:val="both"/>
        <w:rPr>
          <w:lang w:val="fr-FR"/>
        </w:rPr>
      </w:pPr>
    </w:p>
    <w:p w14:paraId="0C2B2651" w14:textId="7D86936C" w:rsidR="006E68B7" w:rsidRPr="00B002AC" w:rsidRDefault="00F36463" w:rsidP="00070972">
      <w:pPr>
        <w:pStyle w:val="Sansinterligne"/>
        <w:jc w:val="both"/>
        <w:rPr>
          <w:lang w:val="fr-FR"/>
        </w:rPr>
      </w:pPr>
      <w:r w:rsidRPr="00B002AC">
        <w:rPr>
          <w:lang w:val="fr-FR"/>
        </w:rPr>
        <w:t xml:space="preserve">Il convient de corriger la cause de la carence si cela s’avère possible. Kaptan et al. </w:t>
      </w:r>
      <w:sdt>
        <w:sdtPr>
          <w:rPr>
            <w:lang w:val="fr-FR"/>
          </w:rPr>
          <w:id w:val="-1163730470"/>
          <w:citation/>
        </w:sdtPr>
        <w:sdtEndPr/>
        <w:sdtContent>
          <w:r w:rsidR="00380AD8" w:rsidRPr="00B002AC">
            <w:rPr>
              <w:lang w:val="fr-FR"/>
            </w:rPr>
            <w:fldChar w:fldCharType="begin"/>
          </w:r>
          <w:r w:rsidR="00380AD8" w:rsidRPr="00B002AC">
            <w:rPr>
              <w:lang w:val="fr-FR"/>
            </w:rPr>
            <w:instrText xml:space="preserve"> CITATION Kap001 \l 2060 </w:instrText>
          </w:r>
          <w:r w:rsidR="00380AD8" w:rsidRPr="00B002AC">
            <w:rPr>
              <w:lang w:val="fr-FR"/>
            </w:rPr>
            <w:fldChar w:fldCharType="separate"/>
          </w:r>
          <w:r w:rsidRPr="00B002AC">
            <w:rPr>
              <w:noProof/>
              <w:lang w:val="fr-FR"/>
            </w:rPr>
            <w:t>(30)</w:t>
          </w:r>
          <w:r w:rsidR="00380AD8" w:rsidRPr="00B002AC">
            <w:rPr>
              <w:noProof/>
              <w:lang w:val="fr-FR"/>
            </w:rPr>
            <w:fldChar w:fldCharType="end"/>
          </w:r>
        </w:sdtContent>
      </w:sdt>
      <w:r w:rsidRPr="00B002AC">
        <w:rPr>
          <w:lang w:val="fr-FR"/>
        </w:rPr>
        <w:t xml:space="preserve"> ont prouvé que l’éradication de l’H.Pylori </w:t>
      </w:r>
      <w:r w:rsidR="0008498B" w:rsidRPr="00B002AC">
        <w:rPr>
          <w:lang w:val="fr-FR"/>
        </w:rPr>
        <w:t xml:space="preserve">gastrique </w:t>
      </w:r>
      <w:r w:rsidRPr="00B002AC">
        <w:rPr>
          <w:lang w:val="fr-FR"/>
        </w:rPr>
        <w:t>était suffisante pour corriger la carence en cobalamine.</w:t>
      </w:r>
      <w:r w:rsidR="0029453D" w:rsidRPr="00B002AC">
        <w:rPr>
          <w:lang w:val="fr-FR"/>
        </w:rPr>
        <w:t xml:space="preserve"> En outre, il est recommandé d’évaluer les réserves en acide folique et en fer </w:t>
      </w:r>
      <w:r w:rsidR="008B1B30">
        <w:rPr>
          <w:lang w:val="fr-FR"/>
        </w:rPr>
        <w:t>avant</w:t>
      </w:r>
      <w:r w:rsidR="008B1B30" w:rsidRPr="00B002AC">
        <w:rPr>
          <w:lang w:val="fr-FR"/>
        </w:rPr>
        <w:t xml:space="preserve"> </w:t>
      </w:r>
      <w:r w:rsidR="0029453D" w:rsidRPr="00B002AC">
        <w:rPr>
          <w:lang w:val="fr-FR"/>
        </w:rPr>
        <w:t>toute supplémentation en vitamine B12.</w:t>
      </w:r>
      <w:r w:rsidR="008B1B30">
        <w:rPr>
          <w:lang w:val="fr-FR"/>
        </w:rPr>
        <w:t xml:space="preserve"> </w:t>
      </w:r>
      <w:r w:rsidR="006E68B7" w:rsidRPr="00B002AC">
        <w:rPr>
          <w:lang w:val="fr-FR"/>
        </w:rPr>
        <w:t xml:space="preserve">En cas d’atteinte neurologique, seul un </w:t>
      </w:r>
      <w:r w:rsidR="0029453D" w:rsidRPr="00B002AC">
        <w:rPr>
          <w:lang w:val="fr-FR"/>
        </w:rPr>
        <w:t>traitement</w:t>
      </w:r>
      <w:r w:rsidR="006E68B7" w:rsidRPr="00B002AC">
        <w:rPr>
          <w:lang w:val="fr-FR"/>
        </w:rPr>
        <w:t xml:space="preserve"> </w:t>
      </w:r>
      <w:r w:rsidR="0029453D" w:rsidRPr="00B002AC">
        <w:rPr>
          <w:lang w:val="fr-FR"/>
        </w:rPr>
        <w:t>substitutif</w:t>
      </w:r>
      <w:r w:rsidR="006E68B7" w:rsidRPr="00B002AC">
        <w:rPr>
          <w:lang w:val="fr-FR"/>
        </w:rPr>
        <w:t xml:space="preserve"> précoce garantit une récupération clinique totale.</w:t>
      </w:r>
    </w:p>
    <w:p w14:paraId="6E699DEE" w14:textId="77777777" w:rsidR="00F36463" w:rsidRPr="00B002AC" w:rsidRDefault="00F36463" w:rsidP="00070972">
      <w:pPr>
        <w:pStyle w:val="Sansinterligne"/>
        <w:jc w:val="both"/>
        <w:rPr>
          <w:lang w:val="fr-FR"/>
        </w:rPr>
      </w:pPr>
    </w:p>
    <w:p w14:paraId="64DCAF9D" w14:textId="60C80E16" w:rsidR="00EE25E4" w:rsidRPr="00B002AC" w:rsidRDefault="00EE25E4" w:rsidP="00070972">
      <w:pPr>
        <w:pStyle w:val="Sansinterligne"/>
        <w:jc w:val="both"/>
        <w:rPr>
          <w:lang w:val="fr-FR"/>
        </w:rPr>
      </w:pPr>
      <w:r w:rsidRPr="00B002AC">
        <w:rPr>
          <w:lang w:val="fr-FR"/>
        </w:rPr>
        <w:t>Le traitement classique de la carence</w:t>
      </w:r>
      <w:r w:rsidR="009440CF" w:rsidRPr="00B002AC">
        <w:rPr>
          <w:lang w:val="fr-FR"/>
        </w:rPr>
        <w:t xml:space="preserve"> avéré</w:t>
      </w:r>
      <w:r w:rsidR="0032237D" w:rsidRPr="00B002AC">
        <w:rPr>
          <w:lang w:val="fr-FR"/>
        </w:rPr>
        <w:t>e</w:t>
      </w:r>
      <w:r w:rsidRPr="00B002AC">
        <w:rPr>
          <w:lang w:val="fr-FR"/>
        </w:rPr>
        <w:t xml:space="preserve"> en vitamine B12, en particulier si la carence n’est pas due à </w:t>
      </w:r>
      <w:r w:rsidR="0008498B" w:rsidRPr="00B002AC">
        <w:rPr>
          <w:lang w:val="fr-FR"/>
        </w:rPr>
        <w:t>un</w:t>
      </w:r>
      <w:r w:rsidRPr="00B002AC">
        <w:rPr>
          <w:lang w:val="fr-FR"/>
        </w:rPr>
        <w:t xml:space="preserve"> apport alimentaire insuffisant, consiste en des injections intra musculaires</w:t>
      </w:r>
      <w:r w:rsidR="009440CF" w:rsidRPr="00B002AC">
        <w:rPr>
          <w:lang w:val="fr-FR"/>
        </w:rPr>
        <w:t xml:space="preserve"> de cyanocobalamine</w:t>
      </w:r>
      <w:r w:rsidR="00915A9E" w:rsidRPr="00B002AC">
        <w:rPr>
          <w:lang w:val="fr-FR"/>
        </w:rPr>
        <w:t>, d’</w:t>
      </w:r>
      <w:r w:rsidR="001731EA" w:rsidRPr="00B002AC">
        <w:rPr>
          <w:lang w:val="fr-FR"/>
        </w:rPr>
        <w:t>hydroxycobalamine</w:t>
      </w:r>
      <w:r w:rsidR="00915A9E" w:rsidRPr="00B002AC">
        <w:rPr>
          <w:lang w:val="fr-FR"/>
        </w:rPr>
        <w:t xml:space="preserve"> ou de </w:t>
      </w:r>
      <w:r w:rsidR="001731EA" w:rsidRPr="00B002AC">
        <w:rPr>
          <w:lang w:val="fr-FR"/>
        </w:rPr>
        <w:t>méthylcobalamine</w:t>
      </w:r>
      <w:r w:rsidR="00915A9E" w:rsidRPr="00B002AC">
        <w:rPr>
          <w:lang w:val="fr-FR"/>
        </w:rPr>
        <w:t xml:space="preserve"> </w:t>
      </w:r>
      <w:sdt>
        <w:sdtPr>
          <w:rPr>
            <w:lang w:val="fr-FR"/>
          </w:rPr>
          <w:id w:val="-1163730481"/>
          <w:citation/>
        </w:sdtPr>
        <w:sdtEndPr/>
        <w:sdtContent>
          <w:r w:rsidR="00380AD8" w:rsidRPr="00B002AC">
            <w:rPr>
              <w:lang w:val="fr-FR"/>
            </w:rPr>
            <w:fldChar w:fldCharType="begin"/>
          </w:r>
          <w:r w:rsidR="00380AD8" w:rsidRPr="00B002AC">
            <w:rPr>
              <w:lang w:val="fr-FR"/>
            </w:rPr>
            <w:instrText xml:space="preserve"> CITATION And09 \l 2060 </w:instrText>
          </w:r>
          <w:r w:rsidR="00380AD8" w:rsidRPr="00B002AC">
            <w:rPr>
              <w:lang w:val="fr-FR"/>
            </w:rPr>
            <w:fldChar w:fldCharType="separate"/>
          </w:r>
          <w:r w:rsidR="008F07A7" w:rsidRPr="00B002AC">
            <w:rPr>
              <w:noProof/>
              <w:lang w:val="fr-FR"/>
            </w:rPr>
            <w:t>(30)</w:t>
          </w:r>
          <w:r w:rsidR="00380AD8" w:rsidRPr="00B002AC">
            <w:rPr>
              <w:noProof/>
              <w:lang w:val="fr-FR"/>
            </w:rPr>
            <w:fldChar w:fldCharType="end"/>
          </w:r>
        </w:sdtContent>
      </w:sdt>
      <w:r w:rsidR="00915A9E" w:rsidRPr="00B002AC">
        <w:rPr>
          <w:lang w:val="fr-FR"/>
        </w:rPr>
        <w:t>.</w:t>
      </w:r>
      <w:r w:rsidR="0008498B" w:rsidRPr="00B002AC">
        <w:rPr>
          <w:lang w:val="fr-FR"/>
        </w:rPr>
        <w:t xml:space="preserve"> La voie intra veineuse doit être évitée en raison d’un risque de développer des allergies (31).</w:t>
      </w:r>
    </w:p>
    <w:p w14:paraId="014A197E" w14:textId="4813B08E" w:rsidR="008F07A7" w:rsidRPr="00B002AC" w:rsidRDefault="0009766A" w:rsidP="00070972">
      <w:pPr>
        <w:pStyle w:val="Sansinterligne"/>
        <w:jc w:val="both"/>
        <w:rPr>
          <w:lang w:val="fr-FR"/>
        </w:rPr>
      </w:pPr>
      <w:r w:rsidRPr="00B002AC">
        <w:rPr>
          <w:lang w:val="fr-FR"/>
        </w:rPr>
        <w:t>L’</w:t>
      </w:r>
      <w:r w:rsidR="00D264CE">
        <w:rPr>
          <w:lang w:val="fr-FR"/>
        </w:rPr>
        <w:t>hydroxy</w:t>
      </w:r>
      <w:r w:rsidR="001731EA" w:rsidRPr="00B002AC">
        <w:rPr>
          <w:lang w:val="fr-FR"/>
        </w:rPr>
        <w:t>cobalamine</w:t>
      </w:r>
      <w:r w:rsidRPr="00B002AC">
        <w:rPr>
          <w:lang w:val="fr-FR"/>
        </w:rPr>
        <w:t xml:space="preserve"> présente une certaine supériorité comparativement aux autres formes</w:t>
      </w:r>
      <w:r w:rsidR="00AB3107" w:rsidRPr="00B002AC">
        <w:rPr>
          <w:lang w:val="fr-FR"/>
        </w:rPr>
        <w:t>,</w:t>
      </w:r>
      <w:r w:rsidRPr="00B002AC">
        <w:rPr>
          <w:lang w:val="fr-FR"/>
        </w:rPr>
        <w:t xml:space="preserve"> en lien avec sa captation tissulaire et à un meilleur stockage </w:t>
      </w:r>
      <w:sdt>
        <w:sdtPr>
          <w:rPr>
            <w:lang w:val="fr-FR"/>
          </w:rPr>
          <w:id w:val="-1163730473"/>
          <w:citation/>
        </w:sdtPr>
        <w:sdtEndPr/>
        <w:sdtContent>
          <w:r w:rsidR="00380AD8" w:rsidRPr="00B002AC">
            <w:rPr>
              <w:lang w:val="fr-FR"/>
            </w:rPr>
            <w:fldChar w:fldCharType="begin"/>
          </w:r>
          <w:r w:rsidR="00380AD8" w:rsidRPr="00B002AC">
            <w:rPr>
              <w:lang w:val="fr-FR"/>
            </w:rPr>
            <w:instrText xml:space="preserve"> CITATION Sol071 \l 2060 </w:instrText>
          </w:r>
          <w:r w:rsidR="00380AD8" w:rsidRPr="00B002AC">
            <w:rPr>
              <w:lang w:val="fr-FR"/>
            </w:rPr>
            <w:fldChar w:fldCharType="separate"/>
          </w:r>
          <w:r w:rsidRPr="00B002AC">
            <w:rPr>
              <w:noProof/>
              <w:lang w:val="fr-FR"/>
            </w:rPr>
            <w:t>(19)</w:t>
          </w:r>
          <w:r w:rsidR="00380AD8" w:rsidRPr="00B002AC">
            <w:rPr>
              <w:noProof/>
              <w:lang w:val="fr-FR"/>
            </w:rPr>
            <w:fldChar w:fldCharType="end"/>
          </w:r>
        </w:sdtContent>
      </w:sdt>
      <w:sdt>
        <w:sdtPr>
          <w:rPr>
            <w:lang w:val="fr-FR"/>
          </w:rPr>
          <w:id w:val="-1163730472"/>
          <w:citation/>
        </w:sdtPr>
        <w:sdtEndPr/>
        <w:sdtContent>
          <w:r w:rsidR="00380AD8" w:rsidRPr="00B002AC">
            <w:rPr>
              <w:lang w:val="fr-FR"/>
            </w:rPr>
            <w:fldChar w:fldCharType="begin"/>
          </w:r>
          <w:r w:rsidR="00380AD8" w:rsidRPr="00B002AC">
            <w:rPr>
              <w:lang w:val="fr-FR"/>
            </w:rPr>
            <w:instrText xml:space="preserve"> CITATION Hva06 \l 2060 </w:instrText>
          </w:r>
          <w:r w:rsidR="00380AD8" w:rsidRPr="00B002AC">
            <w:rPr>
              <w:lang w:val="fr-FR"/>
            </w:rPr>
            <w:fldChar w:fldCharType="separate"/>
          </w:r>
          <w:r w:rsidRPr="00B002AC">
            <w:rPr>
              <w:noProof/>
              <w:lang w:val="fr-FR"/>
            </w:rPr>
            <w:t xml:space="preserve"> (31)</w:t>
          </w:r>
          <w:r w:rsidR="00380AD8" w:rsidRPr="00B002AC">
            <w:rPr>
              <w:noProof/>
              <w:lang w:val="fr-FR"/>
            </w:rPr>
            <w:fldChar w:fldCharType="end"/>
          </w:r>
        </w:sdtContent>
      </w:sdt>
      <w:r w:rsidRPr="00B002AC">
        <w:rPr>
          <w:lang w:val="fr-FR"/>
        </w:rPr>
        <w:t>.</w:t>
      </w:r>
      <w:r w:rsidR="0008498B" w:rsidRPr="00B002AC">
        <w:rPr>
          <w:lang w:val="fr-FR"/>
        </w:rPr>
        <w:t xml:space="preserve"> </w:t>
      </w:r>
      <w:r w:rsidR="00915A9E" w:rsidRPr="00B002AC">
        <w:rPr>
          <w:lang w:val="fr-FR"/>
        </w:rPr>
        <w:t>En Belgique, seuls la cyanocobalamine et l’</w:t>
      </w:r>
      <w:r w:rsidR="001731EA" w:rsidRPr="00B002AC">
        <w:rPr>
          <w:lang w:val="fr-FR"/>
        </w:rPr>
        <w:t>hydroxycobalamine</w:t>
      </w:r>
      <w:r w:rsidR="00915A9E" w:rsidRPr="00B002AC">
        <w:rPr>
          <w:lang w:val="fr-FR"/>
        </w:rPr>
        <w:t xml:space="preserve"> sont disponibles.</w:t>
      </w:r>
      <w:r w:rsidR="0008498B" w:rsidRPr="00B002AC">
        <w:rPr>
          <w:lang w:val="fr-FR"/>
        </w:rPr>
        <w:t xml:space="preserve"> </w:t>
      </w:r>
      <w:r w:rsidR="008F07A7" w:rsidRPr="00B002AC">
        <w:rPr>
          <w:lang w:val="fr-FR"/>
        </w:rPr>
        <w:t>La posologie d’administration diffère d’un pays à l’autre</w:t>
      </w:r>
      <w:sdt>
        <w:sdtPr>
          <w:rPr>
            <w:lang w:val="fr-FR"/>
          </w:rPr>
          <w:id w:val="-1163730480"/>
          <w:citation/>
        </w:sdtPr>
        <w:sdtEndPr/>
        <w:sdtContent>
          <w:r w:rsidR="00380AD8" w:rsidRPr="00B002AC">
            <w:rPr>
              <w:lang w:val="fr-FR"/>
            </w:rPr>
            <w:fldChar w:fldCharType="begin"/>
          </w:r>
          <w:r w:rsidR="00380AD8" w:rsidRPr="00B002AC">
            <w:rPr>
              <w:lang w:val="fr-FR"/>
            </w:rPr>
            <w:instrText xml:space="preserve"> CITATION Sol071 \l 2060 </w:instrText>
          </w:r>
          <w:r w:rsidR="00380AD8" w:rsidRPr="00B002AC">
            <w:rPr>
              <w:lang w:val="fr-FR"/>
            </w:rPr>
            <w:fldChar w:fldCharType="separate"/>
          </w:r>
          <w:r w:rsidR="008F07A7" w:rsidRPr="00B002AC">
            <w:rPr>
              <w:noProof/>
              <w:lang w:val="fr-FR"/>
            </w:rPr>
            <w:t xml:space="preserve"> (19)</w:t>
          </w:r>
          <w:r w:rsidR="00380AD8" w:rsidRPr="00B002AC">
            <w:rPr>
              <w:noProof/>
              <w:lang w:val="fr-FR"/>
            </w:rPr>
            <w:fldChar w:fldCharType="end"/>
          </w:r>
        </w:sdtContent>
      </w:sdt>
      <w:r w:rsidR="008F07A7" w:rsidRPr="00B002AC">
        <w:rPr>
          <w:lang w:val="fr-FR"/>
        </w:rPr>
        <w:t>.</w:t>
      </w:r>
    </w:p>
    <w:p w14:paraId="12C0A921" w14:textId="77777777" w:rsidR="00915A9E" w:rsidRPr="00B002AC" w:rsidRDefault="00915A9E" w:rsidP="00070972">
      <w:pPr>
        <w:pStyle w:val="Sansinterligne"/>
        <w:jc w:val="both"/>
        <w:rPr>
          <w:lang w:val="fr-FR"/>
        </w:rPr>
      </w:pPr>
    </w:p>
    <w:p w14:paraId="04250CDE" w14:textId="32322D83" w:rsidR="00915A9E" w:rsidRPr="00B002AC" w:rsidRDefault="00A26BF8" w:rsidP="00070972">
      <w:pPr>
        <w:pStyle w:val="Sansinterligne"/>
        <w:jc w:val="both"/>
        <w:rPr>
          <w:lang w:val="fr-FR"/>
        </w:rPr>
      </w:pPr>
      <w:r w:rsidRPr="00B002AC">
        <w:rPr>
          <w:lang w:val="fr-FR"/>
        </w:rPr>
        <w:t>En Belgique, l</w:t>
      </w:r>
      <w:r w:rsidR="00915A9E" w:rsidRPr="00B002AC">
        <w:rPr>
          <w:lang w:val="fr-FR"/>
        </w:rPr>
        <w:t>e schéma thérapeutique classique par voie intramusculaire</w:t>
      </w:r>
      <w:r w:rsidR="008F07A7" w:rsidRPr="00B002AC">
        <w:rPr>
          <w:lang w:val="fr-FR"/>
        </w:rPr>
        <w:t xml:space="preserve"> </w:t>
      </w:r>
      <w:r w:rsidR="00915A9E" w:rsidRPr="00B002AC">
        <w:rPr>
          <w:lang w:val="fr-FR"/>
        </w:rPr>
        <w:t>en cas d</w:t>
      </w:r>
      <w:r w:rsidRPr="00B002AC">
        <w:rPr>
          <w:lang w:val="fr-FR"/>
        </w:rPr>
        <w:t>e carence en cyanocobalamine</w:t>
      </w:r>
      <w:r w:rsidR="00915A9E" w:rsidRPr="00B002AC">
        <w:rPr>
          <w:lang w:val="fr-FR"/>
        </w:rPr>
        <w:t xml:space="preserve"> consiste en une dose initiale de 1 mg d'</w:t>
      </w:r>
      <w:r w:rsidR="001731EA" w:rsidRPr="00B002AC">
        <w:rPr>
          <w:lang w:val="fr-FR"/>
        </w:rPr>
        <w:t>hydrox</w:t>
      </w:r>
      <w:r w:rsidR="008B1B30">
        <w:rPr>
          <w:lang w:val="fr-FR"/>
        </w:rPr>
        <w:t>y</w:t>
      </w:r>
      <w:r w:rsidR="001731EA" w:rsidRPr="00B002AC">
        <w:rPr>
          <w:lang w:val="fr-FR"/>
        </w:rPr>
        <w:t>cobalamine</w:t>
      </w:r>
      <w:r w:rsidR="00915A9E" w:rsidRPr="00B002AC">
        <w:rPr>
          <w:lang w:val="fr-FR"/>
        </w:rPr>
        <w:t xml:space="preserve"> ou de cyanocobalamine par voie intramusculaire tous les 2 à 3</w:t>
      </w:r>
      <w:r w:rsidR="008F07A7" w:rsidRPr="00B002AC">
        <w:rPr>
          <w:lang w:val="fr-FR"/>
        </w:rPr>
        <w:t xml:space="preserve"> jours jusqu'à un total de 6 mg. Par la suite, une dose d’entretien est recommandée à hauteur de </w:t>
      </w:r>
      <w:r w:rsidR="00915A9E" w:rsidRPr="00B002AC">
        <w:rPr>
          <w:lang w:val="fr-FR"/>
        </w:rPr>
        <w:t>1 mg par voie intramusculaire tous les 2 mois (cyanocobalamine) ou tous les 3 mois (</w:t>
      </w:r>
      <w:r w:rsidR="001731EA" w:rsidRPr="00B002AC">
        <w:rPr>
          <w:lang w:val="fr-FR"/>
        </w:rPr>
        <w:t>hydrox</w:t>
      </w:r>
      <w:r w:rsidR="0071365C">
        <w:rPr>
          <w:lang w:val="fr-FR"/>
        </w:rPr>
        <w:t>y</w:t>
      </w:r>
      <w:r w:rsidR="001731EA" w:rsidRPr="00B002AC">
        <w:rPr>
          <w:lang w:val="fr-FR"/>
        </w:rPr>
        <w:t>cobalamine</w:t>
      </w:r>
      <w:r w:rsidR="00915A9E" w:rsidRPr="00B002AC">
        <w:rPr>
          <w:lang w:val="fr-FR"/>
        </w:rPr>
        <w:t>).</w:t>
      </w:r>
      <w:r w:rsidR="00E709D6">
        <w:rPr>
          <w:lang w:val="fr-FR"/>
        </w:rPr>
        <w:t xml:space="preserve"> Dépendant des étiologies de la carence en B12, le traitement devra être proposé à vie.</w:t>
      </w:r>
    </w:p>
    <w:p w14:paraId="1C6B5045" w14:textId="4BEC08BD" w:rsidR="000A0E49" w:rsidRPr="00B002AC" w:rsidRDefault="00A26BF8" w:rsidP="00070972">
      <w:pPr>
        <w:pStyle w:val="Sansinterligne"/>
        <w:jc w:val="both"/>
        <w:rPr>
          <w:lang w:val="fr-FR"/>
        </w:rPr>
      </w:pPr>
      <w:r w:rsidRPr="00B002AC">
        <w:rPr>
          <w:lang w:val="fr-FR"/>
        </w:rPr>
        <w:t>L’</w:t>
      </w:r>
      <w:r w:rsidR="009440CF" w:rsidRPr="00B002AC">
        <w:rPr>
          <w:lang w:val="fr-FR"/>
        </w:rPr>
        <w:t>efficacité</w:t>
      </w:r>
      <w:r w:rsidRPr="00B002AC">
        <w:rPr>
          <w:lang w:val="fr-FR"/>
        </w:rPr>
        <w:t xml:space="preserve"> de la supplémentation intramusculaire</w:t>
      </w:r>
      <w:r w:rsidR="009440CF" w:rsidRPr="00B002AC">
        <w:rPr>
          <w:lang w:val="fr-FR"/>
        </w:rPr>
        <w:t xml:space="preserve"> est démontrée sur la totalité des signes et manifestations cliniques.</w:t>
      </w:r>
      <w:r w:rsidR="0008498B" w:rsidRPr="00B002AC">
        <w:rPr>
          <w:lang w:val="fr-FR"/>
        </w:rPr>
        <w:t xml:space="preserve"> </w:t>
      </w:r>
      <w:r w:rsidR="000A0E49" w:rsidRPr="00B002AC">
        <w:rPr>
          <w:lang w:val="fr-FR"/>
        </w:rPr>
        <w:t>Après injection intra musculaire, les lésions muqueuses régressent totalement en 2 à 7 jours</w:t>
      </w:r>
      <w:r w:rsidR="00E709D6">
        <w:rPr>
          <w:lang w:val="fr-FR"/>
        </w:rPr>
        <w:t>, les lesions neurologiques pouvant ne pas être réversibles, dépendant de la durée et l’intensité de la carence</w:t>
      </w:r>
      <w:r w:rsidR="000A0E49" w:rsidRPr="00B002AC">
        <w:rPr>
          <w:lang w:val="fr-FR"/>
        </w:rPr>
        <w:t xml:space="preserve"> </w:t>
      </w:r>
      <w:sdt>
        <w:sdtPr>
          <w:rPr>
            <w:lang w:val="fr-FR"/>
          </w:rPr>
          <w:id w:val="-1875073086"/>
          <w:citation/>
        </w:sdtPr>
        <w:sdtEndPr/>
        <w:sdtContent>
          <w:r w:rsidR="00380AD8" w:rsidRPr="00B002AC">
            <w:rPr>
              <w:lang w:val="fr-FR"/>
            </w:rPr>
            <w:fldChar w:fldCharType="begin"/>
          </w:r>
          <w:r w:rsidR="00380AD8" w:rsidRPr="00B002AC">
            <w:rPr>
              <w:lang w:val="fr-FR"/>
            </w:rPr>
            <w:instrText xml:space="preserve"> CITATION MSG81 \l 2060 </w:instrText>
          </w:r>
          <w:r w:rsidR="00380AD8" w:rsidRPr="00B002AC">
            <w:rPr>
              <w:lang w:val="fr-FR"/>
            </w:rPr>
            <w:fldChar w:fldCharType="separate"/>
          </w:r>
          <w:r w:rsidRPr="00B002AC">
            <w:rPr>
              <w:noProof/>
              <w:lang w:val="fr-FR"/>
            </w:rPr>
            <w:t>(33)</w:t>
          </w:r>
          <w:r w:rsidR="00380AD8" w:rsidRPr="00B002AC">
            <w:rPr>
              <w:noProof/>
              <w:lang w:val="fr-FR"/>
            </w:rPr>
            <w:fldChar w:fldCharType="end"/>
          </w:r>
        </w:sdtContent>
      </w:sdt>
      <w:r w:rsidR="0071365C">
        <w:rPr>
          <w:lang w:val="fr-FR"/>
        </w:rPr>
        <w:t>.</w:t>
      </w:r>
    </w:p>
    <w:p w14:paraId="5BF317F5" w14:textId="47747999" w:rsidR="0009766A" w:rsidRPr="00B002AC" w:rsidRDefault="0009766A" w:rsidP="00070972">
      <w:pPr>
        <w:pStyle w:val="Sansinterligne"/>
        <w:jc w:val="both"/>
        <w:rPr>
          <w:lang w:val="fr-FR"/>
        </w:rPr>
      </w:pPr>
      <w:r w:rsidRPr="00B002AC">
        <w:rPr>
          <w:lang w:val="fr-FR"/>
        </w:rPr>
        <w:t xml:space="preserve">L’efficacité du traitement par </w:t>
      </w:r>
      <w:r w:rsidR="009440CF" w:rsidRPr="00B002AC">
        <w:rPr>
          <w:lang w:val="fr-FR"/>
        </w:rPr>
        <w:t xml:space="preserve">voie orale </w:t>
      </w:r>
      <w:r w:rsidRPr="00B002AC">
        <w:rPr>
          <w:lang w:val="fr-FR"/>
        </w:rPr>
        <w:t xml:space="preserve">par cyanocobalamine </w:t>
      </w:r>
      <w:r w:rsidR="009440CF" w:rsidRPr="00B002AC">
        <w:rPr>
          <w:lang w:val="fr-FR"/>
        </w:rPr>
        <w:t>est</w:t>
      </w:r>
      <w:r w:rsidR="00AB6942" w:rsidRPr="00B002AC">
        <w:rPr>
          <w:lang w:val="fr-FR"/>
        </w:rPr>
        <w:t xml:space="preserve"> documentée avec amélioration</w:t>
      </w:r>
      <w:r w:rsidR="009440CF" w:rsidRPr="00B002AC">
        <w:rPr>
          <w:lang w:val="fr-FR"/>
        </w:rPr>
        <w:t xml:space="preserve"> significative du taux</w:t>
      </w:r>
      <w:r w:rsidR="00AB6942" w:rsidRPr="00B002AC">
        <w:rPr>
          <w:lang w:val="fr-FR"/>
        </w:rPr>
        <w:t xml:space="preserve"> sanguin de vitamine B12 et des paramètres </w:t>
      </w:r>
      <w:r w:rsidR="009440CF" w:rsidRPr="00B002AC">
        <w:rPr>
          <w:lang w:val="fr-FR"/>
        </w:rPr>
        <w:t>hématologiques</w:t>
      </w:r>
      <w:r w:rsidR="00CA61E5" w:rsidRPr="00B002AC">
        <w:rPr>
          <w:lang w:val="fr-FR"/>
        </w:rPr>
        <w:t xml:space="preserve"> </w:t>
      </w:r>
      <w:r w:rsidR="00E709D6">
        <w:rPr>
          <w:lang w:val="fr-FR"/>
        </w:rPr>
        <w:t>(r</w:t>
      </w:r>
      <w:r w:rsidR="00E709D6" w:rsidRPr="00E709D6">
        <w:t xml:space="preserve">éticulocytose à 7 jours, normalisation du MCV et de l’anémie ensuite </w:t>
      </w:r>
      <w:r w:rsidR="00E709D6">
        <w:t xml:space="preserve">) </w:t>
      </w:r>
      <w:r w:rsidR="009440CF" w:rsidRPr="00B002AC">
        <w:rPr>
          <w:lang w:val="fr-FR"/>
        </w:rPr>
        <w:t>de manière comparable à la voie intramusculaire</w:t>
      </w:r>
      <w:r w:rsidR="00AB6942" w:rsidRPr="00B002AC">
        <w:rPr>
          <w:lang w:val="fr-FR"/>
        </w:rPr>
        <w:t xml:space="preserve">, aussi bien chez les patients atteints de syndrome de non dissociation de la vitamine B12 de ses protéines porteuses que chez ceux atteints d’une anémie de Biermer </w:t>
      </w:r>
      <w:sdt>
        <w:sdtPr>
          <w:rPr>
            <w:lang w:val="fr-FR"/>
          </w:rPr>
          <w:id w:val="-1163730478"/>
          <w:citation/>
        </w:sdtPr>
        <w:sdtEndPr/>
        <w:sdtContent>
          <w:r w:rsidR="00380AD8" w:rsidRPr="00B002AC">
            <w:rPr>
              <w:lang w:val="fr-FR"/>
            </w:rPr>
            <w:fldChar w:fldCharType="begin"/>
          </w:r>
          <w:r w:rsidR="00380AD8" w:rsidRPr="00B002AC">
            <w:rPr>
              <w:lang w:val="fr-FR"/>
            </w:rPr>
            <w:instrText xml:space="preserve"> CITATION And09 \l 2060 </w:instrText>
          </w:r>
          <w:r w:rsidR="00380AD8" w:rsidRPr="00B002AC">
            <w:rPr>
              <w:lang w:val="fr-FR"/>
            </w:rPr>
            <w:fldChar w:fldCharType="separate"/>
          </w:r>
          <w:r w:rsidR="000A0E49" w:rsidRPr="00B002AC">
            <w:rPr>
              <w:noProof/>
              <w:lang w:val="fr-FR"/>
            </w:rPr>
            <w:t>(30)</w:t>
          </w:r>
          <w:r w:rsidR="00380AD8" w:rsidRPr="00B002AC">
            <w:rPr>
              <w:noProof/>
              <w:lang w:val="fr-FR"/>
            </w:rPr>
            <w:fldChar w:fldCharType="end"/>
          </w:r>
        </w:sdtContent>
      </w:sdt>
      <w:r w:rsidR="000A0E49" w:rsidRPr="00B002AC">
        <w:rPr>
          <w:lang w:val="fr-FR"/>
        </w:rPr>
        <w:t xml:space="preserve"> </w:t>
      </w:r>
      <w:sdt>
        <w:sdtPr>
          <w:rPr>
            <w:lang w:val="fr-FR"/>
          </w:rPr>
          <w:id w:val="-1163730477"/>
          <w:citation/>
        </w:sdtPr>
        <w:sdtEndPr/>
        <w:sdtContent>
          <w:r w:rsidR="00380AD8" w:rsidRPr="00B002AC">
            <w:rPr>
              <w:lang w:val="fr-FR"/>
            </w:rPr>
            <w:fldChar w:fldCharType="begin"/>
          </w:r>
          <w:r w:rsidR="00380AD8" w:rsidRPr="00B002AC">
            <w:rPr>
              <w:lang w:val="fr-FR"/>
            </w:rPr>
            <w:instrText xml:space="preserve"> CITATION And051 \l 2060 </w:instrText>
          </w:r>
          <w:r w:rsidR="00380AD8" w:rsidRPr="00B002AC">
            <w:rPr>
              <w:lang w:val="fr-FR"/>
            </w:rPr>
            <w:fldChar w:fldCharType="separate"/>
          </w:r>
          <w:r w:rsidR="000A0E49" w:rsidRPr="00B002AC">
            <w:rPr>
              <w:noProof/>
              <w:lang w:val="fr-FR"/>
            </w:rPr>
            <w:t>(32)</w:t>
          </w:r>
          <w:r w:rsidR="00380AD8" w:rsidRPr="00B002AC">
            <w:rPr>
              <w:noProof/>
              <w:lang w:val="fr-FR"/>
            </w:rPr>
            <w:fldChar w:fldCharType="end"/>
          </w:r>
        </w:sdtContent>
      </w:sdt>
      <w:r w:rsidR="00AB6942" w:rsidRPr="00B002AC">
        <w:rPr>
          <w:lang w:val="fr-FR"/>
        </w:rPr>
        <w:t>.</w:t>
      </w:r>
      <w:r w:rsidR="00CA61E5" w:rsidRPr="00B002AC">
        <w:rPr>
          <w:lang w:val="fr-FR"/>
        </w:rPr>
        <w:t xml:space="preserve"> L’efficacité de cette voie est basée sur un mécanisme d’absorption passive de la vitamine B12</w:t>
      </w:r>
      <w:r w:rsidRPr="00B002AC">
        <w:rPr>
          <w:lang w:val="fr-FR"/>
        </w:rPr>
        <w:t xml:space="preserve"> </w:t>
      </w:r>
      <w:r w:rsidR="00CA61E5" w:rsidRPr="00B002AC">
        <w:rPr>
          <w:lang w:val="fr-FR"/>
        </w:rPr>
        <w:t xml:space="preserve">libre (ou </w:t>
      </w:r>
      <w:r w:rsidRPr="00B002AC">
        <w:rPr>
          <w:lang w:val="fr-FR"/>
        </w:rPr>
        <w:t>cristalline</w:t>
      </w:r>
      <w:r w:rsidR="00CA61E5" w:rsidRPr="00B002AC">
        <w:rPr>
          <w:lang w:val="fr-FR"/>
        </w:rPr>
        <w:t>), ne requérant pas de facteur intrinsèque, nécessitant de fortes doses de vitamine B12 (dose journalière supérieure à 500 µg/jour</w:t>
      </w:r>
      <w:sdt>
        <w:sdtPr>
          <w:rPr>
            <w:lang w:val="fr-FR"/>
          </w:rPr>
          <w:id w:val="-1163730474"/>
          <w:citation/>
        </w:sdtPr>
        <w:sdtEndPr/>
        <w:sdtContent>
          <w:r w:rsidR="00380AD8" w:rsidRPr="00B002AC">
            <w:rPr>
              <w:lang w:val="fr-FR"/>
            </w:rPr>
            <w:fldChar w:fldCharType="begin"/>
          </w:r>
          <w:r w:rsidR="00380AD8" w:rsidRPr="00B002AC">
            <w:rPr>
              <w:lang w:val="fr-FR"/>
            </w:rPr>
            <w:instrText xml:space="preserve"> CITATION Eus05 \l 2060 </w:instrText>
          </w:r>
          <w:r w:rsidR="00380AD8" w:rsidRPr="00B002AC">
            <w:rPr>
              <w:lang w:val="fr-FR"/>
            </w:rPr>
            <w:fldChar w:fldCharType="separate"/>
          </w:r>
          <w:r w:rsidR="00CA61E5" w:rsidRPr="00B002AC">
            <w:rPr>
              <w:noProof/>
              <w:lang w:val="fr-FR"/>
            </w:rPr>
            <w:t xml:space="preserve"> (34)</w:t>
          </w:r>
          <w:r w:rsidR="00380AD8" w:rsidRPr="00B002AC">
            <w:rPr>
              <w:noProof/>
              <w:lang w:val="fr-FR"/>
            </w:rPr>
            <w:fldChar w:fldCharType="end"/>
          </w:r>
        </w:sdtContent>
      </w:sdt>
      <w:r w:rsidR="00CA61E5" w:rsidRPr="00B002AC">
        <w:rPr>
          <w:lang w:val="fr-FR"/>
        </w:rPr>
        <w:t>).</w:t>
      </w:r>
      <w:r w:rsidR="00AB6942" w:rsidRPr="00B002AC">
        <w:rPr>
          <w:lang w:val="fr-FR"/>
        </w:rPr>
        <w:t xml:space="preserve"> </w:t>
      </w:r>
    </w:p>
    <w:p w14:paraId="17EAECA2" w14:textId="6CEEE159" w:rsidR="00A26BF8" w:rsidRPr="00B002AC" w:rsidRDefault="0009766A" w:rsidP="00380390">
      <w:pPr>
        <w:pStyle w:val="Sansinterligne"/>
        <w:jc w:val="both"/>
        <w:rPr>
          <w:lang w:val="fr-FR"/>
        </w:rPr>
      </w:pPr>
      <w:r w:rsidRPr="00B002AC">
        <w:rPr>
          <w:lang w:val="fr-FR"/>
        </w:rPr>
        <w:t>La voie oral</w:t>
      </w:r>
      <w:r w:rsidR="00D264CE">
        <w:rPr>
          <w:lang w:val="fr-FR"/>
        </w:rPr>
        <w:t>e permettrait de limiter les coû</w:t>
      </w:r>
      <w:r w:rsidRPr="00B002AC">
        <w:rPr>
          <w:lang w:val="fr-FR"/>
        </w:rPr>
        <w:t>ts inhérents à la supplémentation intra musculaire (soins infirmiers) et d’éviter les inconvénients liés à l’inconfort des piqures (</w:t>
      </w:r>
      <w:r w:rsidR="00A26BF8" w:rsidRPr="00B002AC">
        <w:rPr>
          <w:lang w:val="fr-FR"/>
        </w:rPr>
        <w:t>intérêt</w:t>
      </w:r>
      <w:r w:rsidRPr="00B002AC">
        <w:rPr>
          <w:lang w:val="fr-FR"/>
        </w:rPr>
        <w:t xml:space="preserve"> en cas d’anti coagulation)</w:t>
      </w:r>
      <w:r w:rsidR="00F36463" w:rsidRPr="00B002AC">
        <w:rPr>
          <w:lang w:val="fr-FR"/>
        </w:rPr>
        <w:t xml:space="preserve"> </w:t>
      </w:r>
      <w:sdt>
        <w:sdtPr>
          <w:rPr>
            <w:lang w:val="fr-FR"/>
          </w:rPr>
          <w:id w:val="-1163730471"/>
          <w:citation/>
        </w:sdtPr>
        <w:sdtEndPr/>
        <w:sdtContent>
          <w:r w:rsidR="00380AD8" w:rsidRPr="00B002AC">
            <w:rPr>
              <w:lang w:val="fr-FR"/>
            </w:rPr>
            <w:fldChar w:fldCharType="begin"/>
          </w:r>
          <w:r w:rsidR="00380AD8" w:rsidRPr="00B002AC">
            <w:rPr>
              <w:lang w:val="fr-FR"/>
            </w:rPr>
            <w:instrText xml:space="preserve"> CITATION And081 \l 2060 </w:instrText>
          </w:r>
          <w:r w:rsidR="00380AD8" w:rsidRPr="00B002AC">
            <w:rPr>
              <w:lang w:val="fr-FR"/>
            </w:rPr>
            <w:fldChar w:fldCharType="separate"/>
          </w:r>
          <w:r w:rsidR="00F36463" w:rsidRPr="00B002AC">
            <w:rPr>
              <w:noProof/>
              <w:lang w:val="fr-FR"/>
            </w:rPr>
            <w:t>(36)</w:t>
          </w:r>
          <w:r w:rsidR="00380AD8" w:rsidRPr="00B002AC">
            <w:rPr>
              <w:noProof/>
              <w:lang w:val="fr-FR"/>
            </w:rPr>
            <w:fldChar w:fldCharType="end"/>
          </w:r>
        </w:sdtContent>
      </w:sdt>
      <w:r w:rsidR="00F36463" w:rsidRPr="00B002AC">
        <w:rPr>
          <w:lang w:val="fr-FR"/>
        </w:rPr>
        <w:t>. La compliance est bien évidemment essentielle.</w:t>
      </w:r>
      <w:r w:rsidR="0008498B" w:rsidRPr="00B002AC">
        <w:rPr>
          <w:lang w:val="fr-FR"/>
        </w:rPr>
        <w:t xml:space="preserve"> </w:t>
      </w:r>
      <w:r w:rsidR="009440CF" w:rsidRPr="00B002AC">
        <w:rPr>
          <w:lang w:val="fr-FR"/>
        </w:rPr>
        <w:t>Toutefois, l’efficacité du traitement par cobalamine orale sur les manifestations neurologiques s</w:t>
      </w:r>
      <w:r w:rsidR="00AB3107" w:rsidRPr="00B002AC">
        <w:rPr>
          <w:lang w:val="fr-FR"/>
        </w:rPr>
        <w:t>évères n’</w:t>
      </w:r>
      <w:r w:rsidR="000F402A">
        <w:rPr>
          <w:lang w:val="fr-FR"/>
        </w:rPr>
        <w:t>est</w:t>
      </w:r>
      <w:r w:rsidR="00AB3107" w:rsidRPr="00B002AC">
        <w:rPr>
          <w:lang w:val="fr-FR"/>
        </w:rPr>
        <w:t xml:space="preserve">, à ce jour, pas </w:t>
      </w:r>
      <w:r w:rsidR="009440CF" w:rsidRPr="00B002AC">
        <w:rPr>
          <w:lang w:val="fr-FR"/>
        </w:rPr>
        <w:t xml:space="preserve">suffisamment documentée. Il est donc recommandé d’avoir recours à la </w:t>
      </w:r>
      <w:r w:rsidR="009440CF" w:rsidRPr="00B002AC">
        <w:rPr>
          <w:lang w:val="fr-FR"/>
        </w:rPr>
        <w:lastRenderedPageBreak/>
        <w:t xml:space="preserve">voie parentérale chez cette catégorie de patients </w:t>
      </w:r>
      <w:sdt>
        <w:sdtPr>
          <w:rPr>
            <w:lang w:val="fr-FR"/>
          </w:rPr>
          <w:id w:val="-1875073085"/>
          <w:citation/>
        </w:sdtPr>
        <w:sdtEndPr/>
        <w:sdtContent>
          <w:r w:rsidR="00380AD8" w:rsidRPr="00B002AC">
            <w:rPr>
              <w:lang w:val="fr-FR"/>
            </w:rPr>
            <w:fldChar w:fldCharType="begin"/>
          </w:r>
          <w:r w:rsidR="00380AD8" w:rsidRPr="00B002AC">
            <w:rPr>
              <w:lang w:val="fr-FR"/>
            </w:rPr>
            <w:instrText xml:space="preserve"> CITATION And09 \l 2060 </w:instrText>
          </w:r>
          <w:r w:rsidR="00380AD8" w:rsidRPr="00B002AC">
            <w:rPr>
              <w:lang w:val="fr-FR"/>
            </w:rPr>
            <w:fldChar w:fldCharType="separate"/>
          </w:r>
          <w:r w:rsidR="008F07A7" w:rsidRPr="00B002AC">
            <w:rPr>
              <w:noProof/>
              <w:lang w:val="fr-FR"/>
            </w:rPr>
            <w:t>(30)</w:t>
          </w:r>
          <w:r w:rsidR="00380AD8" w:rsidRPr="00B002AC">
            <w:rPr>
              <w:noProof/>
              <w:lang w:val="fr-FR"/>
            </w:rPr>
            <w:fldChar w:fldCharType="end"/>
          </w:r>
        </w:sdtContent>
      </w:sdt>
      <w:r w:rsidR="009440CF" w:rsidRPr="00B002AC">
        <w:rPr>
          <w:lang w:val="fr-FR"/>
        </w:rPr>
        <w:t>.</w:t>
      </w:r>
      <w:r w:rsidR="006E68B7" w:rsidRPr="00B002AC">
        <w:rPr>
          <w:lang w:val="fr-FR"/>
        </w:rPr>
        <w:t xml:space="preserve"> En outre, une </w:t>
      </w:r>
      <w:r w:rsidR="00A26BF8" w:rsidRPr="00B002AC">
        <w:rPr>
          <w:lang w:val="fr-FR"/>
        </w:rPr>
        <w:t>supplémentation</w:t>
      </w:r>
      <w:r w:rsidR="006E68B7" w:rsidRPr="00B002AC">
        <w:rPr>
          <w:lang w:val="fr-FR"/>
        </w:rPr>
        <w:t xml:space="preserve"> orale est</w:t>
      </w:r>
      <w:r w:rsidR="00D264CE">
        <w:rPr>
          <w:lang w:val="fr-FR"/>
        </w:rPr>
        <w:t>,</w:t>
      </w:r>
      <w:r w:rsidR="006E68B7" w:rsidRPr="00B002AC">
        <w:rPr>
          <w:lang w:val="fr-FR"/>
        </w:rPr>
        <w:t xml:space="preserve"> bien entendu</w:t>
      </w:r>
      <w:r w:rsidR="00D264CE">
        <w:rPr>
          <w:lang w:val="fr-FR"/>
        </w:rPr>
        <w:t>,</w:t>
      </w:r>
      <w:r w:rsidR="006E68B7" w:rsidRPr="00B002AC">
        <w:rPr>
          <w:lang w:val="fr-FR"/>
        </w:rPr>
        <w:t xml:space="preserve"> inefficace en cas de ma</w:t>
      </w:r>
      <w:r w:rsidR="00A26BF8" w:rsidRPr="00B002AC">
        <w:rPr>
          <w:lang w:val="fr-FR"/>
        </w:rPr>
        <w:t>l</w:t>
      </w:r>
      <w:r w:rsidR="006E68B7" w:rsidRPr="00B002AC">
        <w:rPr>
          <w:lang w:val="fr-FR"/>
        </w:rPr>
        <w:t>adie inflammatoire de l’intestin et de résection intestinale iléale. Un suivi biologique étroit de la réponse au traitement est requis.</w:t>
      </w:r>
      <w:r w:rsidR="0008498B" w:rsidRPr="00B002AC">
        <w:rPr>
          <w:lang w:val="fr-FR"/>
        </w:rPr>
        <w:t xml:space="preserve"> </w:t>
      </w:r>
      <w:r w:rsidR="000A0E49" w:rsidRPr="00B002AC">
        <w:rPr>
          <w:lang w:val="fr-FR"/>
        </w:rPr>
        <w:t>Les voies nasales et sublinguales</w:t>
      </w:r>
      <w:r w:rsidR="00847A5C" w:rsidRPr="00B002AC">
        <w:rPr>
          <w:lang w:val="fr-FR"/>
        </w:rPr>
        <w:t>, enfin,</w:t>
      </w:r>
      <w:r w:rsidR="000A0E49" w:rsidRPr="00B002AC">
        <w:rPr>
          <w:lang w:val="fr-FR"/>
        </w:rPr>
        <w:t xml:space="preserve"> ont également fait l’objet d’étude avec de</w:t>
      </w:r>
      <w:r w:rsidR="00847A5C" w:rsidRPr="00B002AC">
        <w:rPr>
          <w:lang w:val="fr-FR"/>
        </w:rPr>
        <w:t>s</w:t>
      </w:r>
      <w:r w:rsidR="000A0E49" w:rsidRPr="00B002AC">
        <w:rPr>
          <w:lang w:val="fr-FR"/>
        </w:rPr>
        <w:t xml:space="preserve"> résultats satisfaisants </w:t>
      </w:r>
      <w:sdt>
        <w:sdtPr>
          <w:rPr>
            <w:lang w:val="fr-FR"/>
          </w:rPr>
          <w:id w:val="-1163730475"/>
          <w:citation/>
        </w:sdtPr>
        <w:sdtEndPr/>
        <w:sdtContent>
          <w:r w:rsidR="00380AD8" w:rsidRPr="00B002AC">
            <w:rPr>
              <w:lang w:val="fr-FR"/>
            </w:rPr>
            <w:fldChar w:fldCharType="begin"/>
          </w:r>
          <w:r w:rsidR="00380AD8" w:rsidRPr="00B002AC">
            <w:rPr>
              <w:lang w:val="fr-FR"/>
            </w:rPr>
            <w:instrText xml:space="preserve"> CITATION Van05 \l 2060 </w:instrText>
          </w:r>
          <w:r w:rsidR="00380AD8" w:rsidRPr="00B002AC">
            <w:rPr>
              <w:lang w:val="fr-FR"/>
            </w:rPr>
            <w:fldChar w:fldCharType="separate"/>
          </w:r>
          <w:r w:rsidR="000A0E49" w:rsidRPr="00B002AC">
            <w:rPr>
              <w:noProof/>
              <w:lang w:val="fr-FR"/>
            </w:rPr>
            <w:t>(8)</w:t>
          </w:r>
          <w:r w:rsidR="00380AD8" w:rsidRPr="00B002AC">
            <w:rPr>
              <w:noProof/>
              <w:lang w:val="fr-FR"/>
            </w:rPr>
            <w:fldChar w:fldCharType="end"/>
          </w:r>
        </w:sdtContent>
      </w:sdt>
      <w:r w:rsidR="00A26BF8" w:rsidRPr="00B002AC">
        <w:rPr>
          <w:lang w:val="fr-FR"/>
        </w:rPr>
        <w:t>. </w:t>
      </w:r>
      <w:r w:rsidR="0071365C">
        <w:rPr>
          <w:lang w:val="fr-FR"/>
        </w:rPr>
        <w:t>Elles permettent de court-circuiter la voie digestive.</w:t>
      </w:r>
    </w:p>
    <w:p w14:paraId="2A84BDBF" w14:textId="77777777" w:rsidR="00380390" w:rsidRDefault="00380390" w:rsidP="00380390">
      <w:pPr>
        <w:pStyle w:val="Sansinterligne"/>
        <w:jc w:val="both"/>
        <w:rPr>
          <w:lang w:val="fr-FR"/>
        </w:rPr>
      </w:pPr>
    </w:p>
    <w:p w14:paraId="7197A33C" w14:textId="77777777" w:rsidR="00015E94" w:rsidRDefault="00015E94" w:rsidP="00380390">
      <w:pPr>
        <w:pStyle w:val="Sansinterligne"/>
        <w:jc w:val="both"/>
        <w:rPr>
          <w:lang w:val="fr-FR"/>
        </w:rPr>
      </w:pPr>
    </w:p>
    <w:p w14:paraId="615E2C15" w14:textId="77777777" w:rsidR="00015E94" w:rsidRDefault="00015E94" w:rsidP="00380390">
      <w:pPr>
        <w:pStyle w:val="Sansinterligne"/>
        <w:jc w:val="both"/>
        <w:rPr>
          <w:lang w:val="fr-FR"/>
        </w:rPr>
      </w:pPr>
    </w:p>
    <w:p w14:paraId="74CE020F" w14:textId="77777777" w:rsidR="00015E94" w:rsidRDefault="00015E94" w:rsidP="00380390">
      <w:pPr>
        <w:pStyle w:val="Sansinterligne"/>
        <w:jc w:val="both"/>
        <w:rPr>
          <w:lang w:val="fr-FR"/>
        </w:rPr>
      </w:pPr>
    </w:p>
    <w:p w14:paraId="1E31F0E3" w14:textId="77777777" w:rsidR="00015E94" w:rsidRDefault="00015E94" w:rsidP="00380390">
      <w:pPr>
        <w:pStyle w:val="Sansinterligne"/>
        <w:jc w:val="both"/>
        <w:rPr>
          <w:lang w:val="fr-FR"/>
        </w:rPr>
      </w:pPr>
    </w:p>
    <w:p w14:paraId="7CF2FC9E" w14:textId="77777777" w:rsidR="00015E94" w:rsidRDefault="00015E94" w:rsidP="00380390">
      <w:pPr>
        <w:pStyle w:val="Sansinterligne"/>
        <w:jc w:val="both"/>
        <w:rPr>
          <w:lang w:val="fr-FR"/>
        </w:rPr>
      </w:pPr>
    </w:p>
    <w:p w14:paraId="10D23688" w14:textId="77777777" w:rsidR="00015E94" w:rsidRDefault="00015E94" w:rsidP="00380390">
      <w:pPr>
        <w:pStyle w:val="Sansinterligne"/>
        <w:jc w:val="both"/>
        <w:rPr>
          <w:lang w:val="fr-FR"/>
        </w:rPr>
      </w:pPr>
    </w:p>
    <w:p w14:paraId="22C279B7" w14:textId="77777777" w:rsidR="002C1D3F" w:rsidRDefault="002C1D3F" w:rsidP="00380390">
      <w:pPr>
        <w:pStyle w:val="Sansinterligne"/>
        <w:jc w:val="both"/>
        <w:rPr>
          <w:lang w:val="fr-FR"/>
        </w:rPr>
      </w:pPr>
    </w:p>
    <w:p w14:paraId="19C42DAF" w14:textId="539CE453" w:rsidR="002C1D3F" w:rsidRDefault="000F402A" w:rsidP="00380390">
      <w:pPr>
        <w:pStyle w:val="Sansinterligne"/>
        <w:jc w:val="both"/>
        <w:rPr>
          <w:b/>
          <w:lang w:val="fr-FR"/>
        </w:rPr>
      </w:pPr>
      <w:r w:rsidRPr="003D00EB">
        <w:rPr>
          <w:b/>
          <w:lang w:val="fr-FR"/>
        </w:rPr>
        <w:t>7-Co</w:t>
      </w:r>
      <w:r>
        <w:rPr>
          <w:b/>
          <w:lang w:val="fr-FR"/>
        </w:rPr>
        <w:t>n</w:t>
      </w:r>
      <w:r w:rsidRPr="003D00EB">
        <w:rPr>
          <w:b/>
          <w:lang w:val="fr-FR"/>
        </w:rPr>
        <w:t>clusions</w:t>
      </w:r>
    </w:p>
    <w:p w14:paraId="44F014A0" w14:textId="77777777" w:rsidR="000F402A" w:rsidRDefault="000F402A" w:rsidP="00380390">
      <w:pPr>
        <w:pStyle w:val="Sansinterligne"/>
        <w:jc w:val="both"/>
        <w:rPr>
          <w:b/>
          <w:lang w:val="fr-FR"/>
        </w:rPr>
      </w:pPr>
    </w:p>
    <w:p w14:paraId="49541B1C" w14:textId="23481316" w:rsidR="000F402A" w:rsidRPr="003924FB" w:rsidRDefault="000F402A" w:rsidP="00380390">
      <w:pPr>
        <w:pStyle w:val="Sansinterligne"/>
        <w:jc w:val="both"/>
        <w:rPr>
          <w:lang w:val="fr-FR"/>
        </w:rPr>
      </w:pPr>
      <w:r w:rsidRPr="003924FB">
        <w:rPr>
          <w:lang w:val="fr-FR"/>
        </w:rPr>
        <w:t xml:space="preserve">La vitamine B12 est indispensable pour la synthèse des globules rouges, </w:t>
      </w:r>
      <w:r w:rsidR="00015E94" w:rsidRPr="003924FB">
        <w:rPr>
          <w:lang w:val="fr-FR"/>
        </w:rPr>
        <w:t xml:space="preserve">pour </w:t>
      </w:r>
      <w:r w:rsidRPr="003924FB">
        <w:rPr>
          <w:lang w:val="fr-FR"/>
        </w:rPr>
        <w:t xml:space="preserve">le bon fonctionnement du système nerveux, et </w:t>
      </w:r>
      <w:r w:rsidR="00015E94" w:rsidRPr="003924FB">
        <w:rPr>
          <w:lang w:val="fr-FR"/>
        </w:rPr>
        <w:t xml:space="preserve">pour </w:t>
      </w:r>
      <w:r w:rsidRPr="003924FB">
        <w:rPr>
          <w:lang w:val="fr-FR"/>
        </w:rPr>
        <w:t xml:space="preserve">différentes </w:t>
      </w:r>
      <w:r w:rsidR="00015E94" w:rsidRPr="003924FB">
        <w:rPr>
          <w:lang w:val="fr-FR"/>
        </w:rPr>
        <w:t>réactions</w:t>
      </w:r>
      <w:r w:rsidRPr="003924FB">
        <w:rPr>
          <w:lang w:val="fr-FR"/>
        </w:rPr>
        <w:t xml:space="preserve"> métaboliques. Les sources alimentaires de vitamine B12 sont exclusivement d’origine animale (viande, poissons, lait, œufs)</w:t>
      </w:r>
      <w:r w:rsidR="009A1555" w:rsidRPr="003924FB">
        <w:rPr>
          <w:lang w:val="fr-FR"/>
        </w:rPr>
        <w:t xml:space="preserve"> (38-40)</w:t>
      </w:r>
      <w:r w:rsidRPr="003924FB">
        <w:rPr>
          <w:lang w:val="fr-FR"/>
        </w:rPr>
        <w:t xml:space="preserve">. Une carence B12 est souvent observée chez les végétariens, les personnes âgées, les patients </w:t>
      </w:r>
      <w:r w:rsidR="00015E94" w:rsidRPr="003924FB">
        <w:rPr>
          <w:lang w:val="fr-FR"/>
        </w:rPr>
        <w:t xml:space="preserve">avec </w:t>
      </w:r>
      <w:r w:rsidRPr="003924FB">
        <w:rPr>
          <w:lang w:val="fr-FR"/>
        </w:rPr>
        <w:t xml:space="preserve">un bypass gastrique, avec une gastrite chronique </w:t>
      </w:r>
      <w:r w:rsidR="00015E94" w:rsidRPr="003924FB">
        <w:rPr>
          <w:lang w:val="fr-FR"/>
        </w:rPr>
        <w:t>auto-immune</w:t>
      </w:r>
      <w:r w:rsidRPr="003924FB">
        <w:rPr>
          <w:lang w:val="fr-FR"/>
        </w:rPr>
        <w:t xml:space="preserve"> </w:t>
      </w:r>
      <w:r w:rsidR="009A1555" w:rsidRPr="003924FB">
        <w:rPr>
          <w:lang w:val="fr-FR"/>
        </w:rPr>
        <w:t xml:space="preserve">( 38-39), </w:t>
      </w:r>
      <w:r w:rsidR="00015E94" w:rsidRPr="003924FB">
        <w:rPr>
          <w:lang w:val="fr-FR"/>
        </w:rPr>
        <w:t>le</w:t>
      </w:r>
      <w:r w:rsidR="009A1555" w:rsidRPr="003924FB">
        <w:rPr>
          <w:lang w:val="fr-FR"/>
        </w:rPr>
        <w:t>s</w:t>
      </w:r>
      <w:r w:rsidR="00015E94" w:rsidRPr="003924FB">
        <w:rPr>
          <w:lang w:val="fr-FR"/>
        </w:rPr>
        <w:t xml:space="preserve"> patients </w:t>
      </w:r>
      <w:r w:rsidRPr="003924FB">
        <w:rPr>
          <w:lang w:val="fr-FR"/>
        </w:rPr>
        <w:t>atteints de maladies inflammatoires intestinales</w:t>
      </w:r>
      <w:r w:rsidR="009A1555" w:rsidRPr="003924FB">
        <w:rPr>
          <w:lang w:val="fr-FR"/>
        </w:rPr>
        <w:t xml:space="preserve"> ou traités par metformine (40)</w:t>
      </w:r>
      <w:r w:rsidRPr="003924FB">
        <w:rPr>
          <w:lang w:val="fr-FR"/>
        </w:rPr>
        <w:t>, par exemple. Pour ces groupes à risque, il peut donc être justifié, surtout après des manifestations biologiques et cliniques, de prendre des compléments contenant de la vitamine B12, tout en veillant à des apports suffisants en acide folique.</w:t>
      </w:r>
    </w:p>
    <w:p w14:paraId="46A7ED36" w14:textId="77777777" w:rsidR="000F402A" w:rsidRPr="00B002AC" w:rsidRDefault="000F402A" w:rsidP="00380390">
      <w:pPr>
        <w:pStyle w:val="Sansinterligne"/>
        <w:jc w:val="both"/>
        <w:rPr>
          <w:lang w:val="fr-FR"/>
        </w:rPr>
      </w:pPr>
    </w:p>
    <w:p w14:paraId="41701962" w14:textId="77777777" w:rsidR="00380390" w:rsidRPr="00B002AC" w:rsidRDefault="00380390" w:rsidP="00380390">
      <w:pPr>
        <w:pStyle w:val="Sansinterligne"/>
        <w:jc w:val="both"/>
        <w:rPr>
          <w:lang w:val="fr-FR"/>
        </w:rPr>
      </w:pPr>
    </w:p>
    <w:p w14:paraId="048AAC02" w14:textId="77777777" w:rsidR="003C29FB" w:rsidRPr="00B002AC" w:rsidRDefault="003C29FB" w:rsidP="00380390">
      <w:pPr>
        <w:pStyle w:val="Sansinterligne"/>
        <w:jc w:val="both"/>
        <w:rPr>
          <w:lang w:val="fr-FR"/>
        </w:rPr>
      </w:pPr>
    </w:p>
    <w:p w14:paraId="56F56F50" w14:textId="77777777" w:rsidR="003C29FB" w:rsidRPr="00B002AC" w:rsidRDefault="003C29FB" w:rsidP="00380390">
      <w:pPr>
        <w:pStyle w:val="Sansinterligne"/>
        <w:jc w:val="both"/>
        <w:rPr>
          <w:lang w:val="fr-FR"/>
        </w:rPr>
      </w:pPr>
    </w:p>
    <w:p w14:paraId="20BC3ECF" w14:textId="77777777" w:rsidR="003C29FB" w:rsidRPr="00B002AC" w:rsidRDefault="003C29FB" w:rsidP="00380390">
      <w:pPr>
        <w:pStyle w:val="Sansinterligne"/>
        <w:jc w:val="both"/>
        <w:rPr>
          <w:lang w:val="fr-FR"/>
        </w:rPr>
      </w:pPr>
    </w:p>
    <w:p w14:paraId="70C25081" w14:textId="429D1715" w:rsidR="003C29FB" w:rsidRPr="00B002AC" w:rsidRDefault="00015E94" w:rsidP="00380390">
      <w:pPr>
        <w:pStyle w:val="Sansinterligne"/>
        <w:jc w:val="both"/>
        <w:rPr>
          <w:lang w:val="fr-FR"/>
        </w:rPr>
      </w:pPr>
      <w:r w:rsidRPr="003D00EB">
        <w:rPr>
          <w:b/>
          <w:lang w:val="fr-FR"/>
        </w:rPr>
        <w:t>Remerciements :</w:t>
      </w:r>
      <w:r>
        <w:rPr>
          <w:lang w:val="fr-FR"/>
        </w:rPr>
        <w:t xml:space="preserve"> Les auteurs souhaitent remercier Mme Veronique Gatzweiller pour la relecture du manuscrit et au Prof Beguin</w:t>
      </w:r>
      <w:r w:rsidR="0005362A">
        <w:rPr>
          <w:lang w:val="fr-FR"/>
        </w:rPr>
        <w:t>,</w:t>
      </w:r>
      <w:r>
        <w:rPr>
          <w:lang w:val="fr-FR"/>
        </w:rPr>
        <w:t xml:space="preserve"> pour l’image d’une glossite de Hunter.</w:t>
      </w:r>
    </w:p>
    <w:p w14:paraId="699765BD" w14:textId="77777777" w:rsidR="003C29FB" w:rsidRPr="00B002AC" w:rsidRDefault="003C29FB" w:rsidP="00380390">
      <w:pPr>
        <w:pStyle w:val="Sansinterligne"/>
        <w:jc w:val="both"/>
        <w:rPr>
          <w:lang w:val="fr-FR"/>
        </w:rPr>
      </w:pPr>
    </w:p>
    <w:p w14:paraId="7026EDAE" w14:textId="77777777" w:rsidR="003C29FB" w:rsidRPr="00B002AC" w:rsidRDefault="003C29FB" w:rsidP="00380390">
      <w:pPr>
        <w:pStyle w:val="Sansinterligne"/>
        <w:jc w:val="both"/>
        <w:rPr>
          <w:lang w:val="fr-FR"/>
        </w:rPr>
      </w:pPr>
    </w:p>
    <w:p w14:paraId="20792D3D" w14:textId="77777777" w:rsidR="003C29FB" w:rsidRPr="00B002AC" w:rsidRDefault="003C29FB" w:rsidP="00380390">
      <w:pPr>
        <w:pStyle w:val="Sansinterligne"/>
        <w:jc w:val="both"/>
        <w:rPr>
          <w:lang w:val="fr-FR"/>
        </w:rPr>
      </w:pPr>
    </w:p>
    <w:p w14:paraId="63C94EE8" w14:textId="77777777" w:rsidR="003C29FB" w:rsidRPr="00B002AC" w:rsidRDefault="003C29FB" w:rsidP="00380390">
      <w:pPr>
        <w:pStyle w:val="Sansinterligne"/>
        <w:jc w:val="both"/>
        <w:rPr>
          <w:lang w:val="fr-FR"/>
        </w:rPr>
      </w:pPr>
    </w:p>
    <w:p w14:paraId="3CE4FAA4" w14:textId="77777777" w:rsidR="003C29FB" w:rsidRPr="00B002AC" w:rsidRDefault="003C29FB" w:rsidP="00380390">
      <w:pPr>
        <w:pStyle w:val="Sansinterligne"/>
        <w:jc w:val="both"/>
        <w:rPr>
          <w:lang w:val="fr-FR"/>
        </w:rPr>
      </w:pPr>
    </w:p>
    <w:p w14:paraId="37702FAF" w14:textId="77777777" w:rsidR="003C29FB" w:rsidRPr="00B002AC" w:rsidRDefault="003C29FB" w:rsidP="00380390">
      <w:pPr>
        <w:pStyle w:val="Sansinterligne"/>
        <w:jc w:val="both"/>
        <w:rPr>
          <w:lang w:val="fr-FR"/>
        </w:rPr>
      </w:pPr>
    </w:p>
    <w:p w14:paraId="65E218B3" w14:textId="77777777" w:rsidR="003C29FB" w:rsidRPr="00B002AC" w:rsidRDefault="003C29FB" w:rsidP="00380390">
      <w:pPr>
        <w:pStyle w:val="Sansinterligne"/>
        <w:jc w:val="both"/>
        <w:rPr>
          <w:lang w:val="fr-FR"/>
        </w:rPr>
      </w:pPr>
    </w:p>
    <w:p w14:paraId="2DDA79D9" w14:textId="77777777" w:rsidR="003C29FB" w:rsidRPr="00B002AC" w:rsidRDefault="003C29FB" w:rsidP="00380390">
      <w:pPr>
        <w:pStyle w:val="Sansinterligne"/>
        <w:jc w:val="both"/>
        <w:rPr>
          <w:lang w:val="fr-FR"/>
        </w:rPr>
      </w:pPr>
    </w:p>
    <w:p w14:paraId="3181461C" w14:textId="77777777" w:rsidR="003C29FB" w:rsidRPr="00B002AC" w:rsidRDefault="003C29FB" w:rsidP="00380390">
      <w:pPr>
        <w:pStyle w:val="Sansinterligne"/>
        <w:jc w:val="both"/>
        <w:rPr>
          <w:lang w:val="fr-FR"/>
        </w:rPr>
      </w:pPr>
    </w:p>
    <w:p w14:paraId="476B7690" w14:textId="77777777" w:rsidR="003C29FB" w:rsidRPr="00B002AC" w:rsidRDefault="003C29FB" w:rsidP="00380390">
      <w:pPr>
        <w:pStyle w:val="Sansinterligne"/>
        <w:jc w:val="both"/>
        <w:rPr>
          <w:lang w:val="fr-FR"/>
        </w:rPr>
      </w:pPr>
    </w:p>
    <w:p w14:paraId="00B05CB7" w14:textId="77777777" w:rsidR="003C29FB" w:rsidRPr="00B002AC" w:rsidRDefault="003C29FB" w:rsidP="00380390">
      <w:pPr>
        <w:pStyle w:val="Sansinterligne"/>
        <w:jc w:val="both"/>
        <w:rPr>
          <w:lang w:val="fr-FR"/>
        </w:rPr>
      </w:pPr>
    </w:p>
    <w:p w14:paraId="08E18943" w14:textId="77777777" w:rsidR="003C29FB" w:rsidRPr="00B002AC" w:rsidRDefault="003C29FB" w:rsidP="00380390">
      <w:pPr>
        <w:pStyle w:val="Sansinterligne"/>
        <w:jc w:val="both"/>
        <w:rPr>
          <w:lang w:val="fr-FR"/>
        </w:rPr>
      </w:pPr>
    </w:p>
    <w:p w14:paraId="4F5B8C55" w14:textId="77777777" w:rsidR="003C29FB" w:rsidRPr="00B002AC" w:rsidRDefault="003C29FB" w:rsidP="00380390">
      <w:pPr>
        <w:pStyle w:val="Sansinterligne"/>
        <w:jc w:val="both"/>
        <w:rPr>
          <w:lang w:val="fr-FR"/>
        </w:rPr>
      </w:pPr>
    </w:p>
    <w:p w14:paraId="062378AE" w14:textId="77777777" w:rsidR="00B002AC" w:rsidRDefault="00B002AC" w:rsidP="00380390">
      <w:pPr>
        <w:pStyle w:val="Sansinterligne"/>
        <w:jc w:val="both"/>
        <w:rPr>
          <w:lang w:val="fr-FR"/>
        </w:rPr>
      </w:pPr>
    </w:p>
    <w:p w14:paraId="19D95446" w14:textId="77777777" w:rsidR="00440204" w:rsidRDefault="00440204" w:rsidP="00380390">
      <w:pPr>
        <w:pStyle w:val="Sansinterligne"/>
        <w:jc w:val="both"/>
        <w:rPr>
          <w:lang w:val="fr-FR"/>
        </w:rPr>
      </w:pPr>
    </w:p>
    <w:p w14:paraId="4182C996" w14:textId="77777777" w:rsidR="00440204" w:rsidRPr="00B002AC" w:rsidRDefault="00440204" w:rsidP="00380390">
      <w:pPr>
        <w:pStyle w:val="Sansinterligne"/>
        <w:jc w:val="both"/>
        <w:rPr>
          <w:lang w:val="fr-FR"/>
        </w:rPr>
      </w:pPr>
    </w:p>
    <w:p w14:paraId="517C5642" w14:textId="77777777" w:rsidR="00B002AC" w:rsidRDefault="00B002AC" w:rsidP="00380390">
      <w:pPr>
        <w:pStyle w:val="Sansinterligne"/>
        <w:jc w:val="both"/>
        <w:rPr>
          <w:lang w:val="fr-FR"/>
        </w:rPr>
      </w:pPr>
    </w:p>
    <w:p w14:paraId="6B82C011" w14:textId="77777777" w:rsidR="00015E94" w:rsidRDefault="00015E94" w:rsidP="00380390">
      <w:pPr>
        <w:pStyle w:val="Sansinterligne"/>
        <w:jc w:val="both"/>
        <w:rPr>
          <w:lang w:val="fr-FR"/>
        </w:rPr>
      </w:pPr>
    </w:p>
    <w:p w14:paraId="120F4304" w14:textId="77777777" w:rsidR="00015E94" w:rsidRDefault="00015E94" w:rsidP="00380390">
      <w:pPr>
        <w:pStyle w:val="Sansinterligne"/>
        <w:jc w:val="both"/>
        <w:rPr>
          <w:lang w:val="fr-FR"/>
        </w:rPr>
      </w:pPr>
    </w:p>
    <w:p w14:paraId="636BAC84" w14:textId="77777777" w:rsidR="00015E94" w:rsidRDefault="00015E94" w:rsidP="00380390">
      <w:pPr>
        <w:pStyle w:val="Sansinterligne"/>
        <w:jc w:val="both"/>
        <w:rPr>
          <w:lang w:val="fr-FR"/>
        </w:rPr>
      </w:pPr>
    </w:p>
    <w:p w14:paraId="34C62EA7" w14:textId="77777777" w:rsidR="00015E94" w:rsidRPr="00B002AC" w:rsidRDefault="00015E94" w:rsidP="00380390">
      <w:pPr>
        <w:pStyle w:val="Sansinterligne"/>
        <w:jc w:val="both"/>
        <w:rPr>
          <w:lang w:val="fr-FR"/>
        </w:rPr>
      </w:pPr>
    </w:p>
    <w:p w14:paraId="2A0608DB" w14:textId="77777777" w:rsidR="00B002AC" w:rsidRPr="00B002AC" w:rsidRDefault="00B002AC" w:rsidP="00380390">
      <w:pPr>
        <w:pStyle w:val="Sansinterligne"/>
        <w:jc w:val="both"/>
        <w:rPr>
          <w:lang w:val="fr-FR"/>
        </w:rPr>
      </w:pPr>
    </w:p>
    <w:p w14:paraId="448E7C18" w14:textId="77777777" w:rsidR="00B002AC" w:rsidRDefault="00B002AC" w:rsidP="00380390">
      <w:pPr>
        <w:pStyle w:val="Sansinterligne"/>
        <w:jc w:val="both"/>
      </w:pPr>
    </w:p>
    <w:p w14:paraId="293B89F3" w14:textId="77777777" w:rsidR="00380390" w:rsidRDefault="00380390" w:rsidP="00380390">
      <w:pPr>
        <w:pStyle w:val="Sansinterligne"/>
        <w:jc w:val="both"/>
      </w:pPr>
    </w:p>
    <w:p w14:paraId="6C27F1F6" w14:textId="2E755706" w:rsidR="003C29FB" w:rsidRDefault="0005362A" w:rsidP="003C29FB">
      <w:pPr>
        <w:pStyle w:val="Sansinterligne"/>
        <w:jc w:val="both"/>
      </w:pPr>
      <w:r w:rsidRPr="003924FB">
        <w:rPr>
          <w:b/>
        </w:rPr>
        <w:t>Table 1 :</w:t>
      </w:r>
      <w:r>
        <w:t xml:space="preserve"> </w:t>
      </w:r>
      <w:r w:rsidR="003C29FB">
        <w:t>Principales manifestations cliniques des carences en vitamine B12</w:t>
      </w:r>
    </w:p>
    <w:p w14:paraId="537A5D88" w14:textId="77777777" w:rsidR="00380390" w:rsidRDefault="003C29FB" w:rsidP="003C29FB">
      <w:pPr>
        <w:pStyle w:val="Sansinterligne"/>
        <w:jc w:val="both"/>
      </w:pPr>
      <w:r>
        <w:t>Adapté d’après Andrès (Rev Med Interne 2005;26:938-46) et Federici (Rev Med Interne 2007;28:225-31).</w:t>
      </w:r>
    </w:p>
    <w:p w14:paraId="73118A13" w14:textId="77777777" w:rsidR="002D7EF7" w:rsidRDefault="002D7EF7" w:rsidP="003C29FB">
      <w:pPr>
        <w:pStyle w:val="Sansinterligne"/>
        <w:jc w:val="both"/>
      </w:pPr>
    </w:p>
    <w:p w14:paraId="02EADEA3" w14:textId="77777777" w:rsidR="002D7EF7" w:rsidRDefault="002D7EF7" w:rsidP="003C29FB">
      <w:pPr>
        <w:pStyle w:val="Sansinterligne"/>
        <w:jc w:val="both"/>
      </w:pPr>
    </w:p>
    <w:p w14:paraId="18630B4B" w14:textId="77777777" w:rsidR="00380390" w:rsidRPr="00AC6661" w:rsidRDefault="00380390" w:rsidP="00380390">
      <w:pPr>
        <w:spacing w:after="0" w:line="240" w:lineRule="auto"/>
        <w:jc w:val="both"/>
        <w:rPr>
          <w:rFonts w:ascii="Times New Roman" w:eastAsia="Times New Roman" w:hAnsi="Times New Roman" w:cs="Times New Roman"/>
          <w:sz w:val="24"/>
          <w:lang w:eastAsia="fr-BE"/>
        </w:rPr>
      </w:pPr>
    </w:p>
    <w:tbl>
      <w:tblPr>
        <w:tblStyle w:val="TableauGrille5Fonc-Accentuation51"/>
        <w:tblpPr w:leftFromText="141" w:rightFromText="141" w:vertAnchor="text" w:horzAnchor="margin" w:tblpXSpec="center" w:tblpY="149"/>
        <w:tblW w:w="10632" w:type="dxa"/>
        <w:tblLook w:val="04A0" w:firstRow="1" w:lastRow="0" w:firstColumn="1" w:lastColumn="0" w:noHBand="0" w:noVBand="1"/>
      </w:tblPr>
      <w:tblGrid>
        <w:gridCol w:w="2350"/>
        <w:gridCol w:w="4555"/>
        <w:gridCol w:w="3727"/>
      </w:tblGrid>
      <w:tr w:rsidR="00380390" w:rsidRPr="00AC6661" w14:paraId="5E4F33F7" w14:textId="77777777" w:rsidTr="00835C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0" w:type="dxa"/>
          </w:tcPr>
          <w:p w14:paraId="2AB4EA67" w14:textId="77777777" w:rsidR="00380390" w:rsidRPr="00AC6661" w:rsidRDefault="00380390" w:rsidP="00835CFB">
            <w:pPr>
              <w:jc w:val="both"/>
              <w:rPr>
                <w:rFonts w:ascii="Times New Roman" w:eastAsia="Times New Roman" w:hAnsi="Times New Roman" w:cs="Times New Roman"/>
                <w:sz w:val="24"/>
                <w:lang w:eastAsia="fr-BE"/>
              </w:rPr>
            </w:pPr>
            <w:r w:rsidRPr="00AC6661">
              <w:rPr>
                <w:rFonts w:ascii="Times New Roman" w:eastAsia="Times New Roman" w:hAnsi="Times New Roman" w:cs="Times New Roman"/>
                <w:sz w:val="24"/>
                <w:lang w:eastAsia="fr-BE"/>
              </w:rPr>
              <w:t xml:space="preserve">Manifestations </w:t>
            </w:r>
          </w:p>
        </w:tc>
        <w:tc>
          <w:tcPr>
            <w:tcW w:w="4555" w:type="dxa"/>
          </w:tcPr>
          <w:p w14:paraId="7991470F" w14:textId="77777777" w:rsidR="00380390" w:rsidRPr="00AC6661" w:rsidRDefault="00380390" w:rsidP="00835CFB">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lang w:eastAsia="fr-BE"/>
              </w:rPr>
            </w:pPr>
            <w:r w:rsidRPr="00AC6661">
              <w:rPr>
                <w:rFonts w:ascii="Times New Roman" w:eastAsia="Times New Roman" w:hAnsi="Times New Roman" w:cs="Times New Roman"/>
                <w:sz w:val="24"/>
                <w:lang w:eastAsia="fr-BE"/>
              </w:rPr>
              <w:t>Fréquentes/classiques</w:t>
            </w:r>
          </w:p>
        </w:tc>
        <w:tc>
          <w:tcPr>
            <w:tcW w:w="3727" w:type="dxa"/>
          </w:tcPr>
          <w:p w14:paraId="555FFBE4" w14:textId="77777777" w:rsidR="00380390" w:rsidRPr="00AC6661" w:rsidRDefault="00380390" w:rsidP="00835CFB">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lang w:eastAsia="fr-BE"/>
              </w:rPr>
            </w:pPr>
            <w:r w:rsidRPr="00AC6661">
              <w:rPr>
                <w:rFonts w:ascii="Times New Roman" w:eastAsia="Times New Roman" w:hAnsi="Times New Roman" w:cs="Times New Roman"/>
                <w:sz w:val="24"/>
                <w:lang w:eastAsia="fr-BE"/>
              </w:rPr>
              <w:t>Rares/exceptionnelles</w:t>
            </w:r>
          </w:p>
        </w:tc>
      </w:tr>
      <w:tr w:rsidR="00380390" w:rsidRPr="00AC6661" w14:paraId="0980805D" w14:textId="77777777" w:rsidTr="00835C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0" w:type="dxa"/>
          </w:tcPr>
          <w:p w14:paraId="1F897847" w14:textId="77777777" w:rsidR="00380390" w:rsidRPr="00AC6661" w:rsidRDefault="00380390" w:rsidP="00835CFB">
            <w:pPr>
              <w:jc w:val="both"/>
              <w:rPr>
                <w:rFonts w:ascii="Times New Roman" w:eastAsia="Times New Roman" w:hAnsi="Times New Roman" w:cs="Times New Roman"/>
                <w:sz w:val="24"/>
                <w:lang w:eastAsia="fr-BE"/>
              </w:rPr>
            </w:pPr>
            <w:r w:rsidRPr="00AC6661">
              <w:rPr>
                <w:rFonts w:ascii="Times New Roman" w:eastAsia="Times New Roman" w:hAnsi="Times New Roman" w:cs="Times New Roman"/>
                <w:sz w:val="24"/>
                <w:lang w:eastAsia="fr-BE"/>
              </w:rPr>
              <w:t>Hématologiques</w:t>
            </w:r>
          </w:p>
          <w:p w14:paraId="77D804B2" w14:textId="77777777" w:rsidR="00380390" w:rsidRPr="00AC6661" w:rsidRDefault="00380390" w:rsidP="00835CFB">
            <w:pPr>
              <w:jc w:val="both"/>
              <w:rPr>
                <w:rFonts w:ascii="Calibri" w:eastAsia="Calibri" w:hAnsi="Calibri" w:cs="Times New Roman"/>
                <w:lang w:eastAsia="fr-BE"/>
              </w:rPr>
            </w:pPr>
          </w:p>
        </w:tc>
        <w:tc>
          <w:tcPr>
            <w:tcW w:w="4555" w:type="dxa"/>
          </w:tcPr>
          <w:p w14:paraId="353916C1" w14:textId="77777777" w:rsidR="00380390" w:rsidRPr="00AC6661" w:rsidRDefault="00380390" w:rsidP="00835CFB">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lang w:eastAsia="fr-BE"/>
              </w:rPr>
            </w:pPr>
            <w:r w:rsidRPr="00AC6661">
              <w:rPr>
                <w:rFonts w:ascii="Times New Roman" w:eastAsia="Times New Roman" w:hAnsi="Times New Roman" w:cs="Times New Roman"/>
                <w:sz w:val="24"/>
                <w:lang w:eastAsia="fr-BE"/>
              </w:rPr>
              <w:t>Macrocytose</w:t>
            </w:r>
            <w:r w:rsidR="006E4A24">
              <w:rPr>
                <w:rFonts w:ascii="Times New Roman" w:eastAsia="Times New Roman" w:hAnsi="Times New Roman" w:cs="Times New Roman"/>
                <w:sz w:val="24"/>
                <w:lang w:eastAsia="fr-BE"/>
              </w:rPr>
              <w:t xml:space="preserve"> globulaire</w:t>
            </w:r>
          </w:p>
          <w:p w14:paraId="6A2AA7C7" w14:textId="77777777" w:rsidR="00380390" w:rsidRPr="00AC6661" w:rsidRDefault="00380390" w:rsidP="00835CFB">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lang w:eastAsia="fr-BE"/>
              </w:rPr>
            </w:pPr>
            <w:r w:rsidRPr="00AC6661">
              <w:rPr>
                <w:rFonts w:ascii="Times New Roman" w:eastAsia="Times New Roman" w:hAnsi="Times New Roman" w:cs="Times New Roman"/>
                <w:sz w:val="24"/>
                <w:lang w:eastAsia="fr-BE"/>
              </w:rPr>
              <w:t>Anémie macrocytaire arégénérative</w:t>
            </w:r>
          </w:p>
          <w:p w14:paraId="017369F1" w14:textId="77777777" w:rsidR="00380390" w:rsidRPr="00AC6661" w:rsidRDefault="00380390" w:rsidP="00835CFB">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lang w:eastAsia="fr-BE"/>
              </w:rPr>
            </w:pPr>
            <w:r w:rsidRPr="00AC6661">
              <w:rPr>
                <w:rFonts w:ascii="Times New Roman" w:eastAsia="Times New Roman" w:hAnsi="Times New Roman" w:cs="Times New Roman"/>
                <w:sz w:val="24"/>
                <w:lang w:eastAsia="fr-BE"/>
              </w:rPr>
              <w:t>Mégaloblastose</w:t>
            </w:r>
            <w:r>
              <w:rPr>
                <w:rFonts w:ascii="Times New Roman" w:eastAsia="Times New Roman" w:hAnsi="Times New Roman" w:cs="Times New Roman"/>
                <w:sz w:val="24"/>
                <w:lang w:eastAsia="fr-BE"/>
              </w:rPr>
              <w:t xml:space="preserve"> </w:t>
            </w:r>
            <w:r w:rsidRPr="00AC6661">
              <w:rPr>
                <w:rFonts w:ascii="Times New Roman" w:eastAsia="Times New Roman" w:hAnsi="Times New Roman" w:cs="Times New Roman"/>
                <w:sz w:val="24"/>
                <w:lang w:eastAsia="fr-BE"/>
              </w:rPr>
              <w:t>médullaire</w:t>
            </w:r>
          </w:p>
          <w:p w14:paraId="43B40490" w14:textId="77777777" w:rsidR="00380390" w:rsidRPr="00AC6661" w:rsidRDefault="001731EA" w:rsidP="00835CFB">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lang w:eastAsia="fr-BE"/>
              </w:rPr>
            </w:pPr>
            <w:r w:rsidRPr="00AC6661">
              <w:rPr>
                <w:rFonts w:ascii="Times New Roman" w:eastAsia="Times New Roman" w:hAnsi="Times New Roman" w:cs="Times New Roman"/>
                <w:sz w:val="24"/>
                <w:lang w:eastAsia="fr-BE"/>
              </w:rPr>
              <w:t>Hyper segmentation</w:t>
            </w:r>
            <w:r w:rsidR="00380390" w:rsidRPr="00AC6661">
              <w:rPr>
                <w:rFonts w:ascii="Times New Roman" w:eastAsia="Times New Roman" w:hAnsi="Times New Roman" w:cs="Times New Roman"/>
                <w:sz w:val="24"/>
                <w:lang w:eastAsia="fr-BE"/>
              </w:rPr>
              <w:t xml:space="preserve"> des neutrophiles</w:t>
            </w:r>
          </w:p>
          <w:p w14:paraId="6C1FE320" w14:textId="77777777" w:rsidR="00380390" w:rsidRPr="00AC6661" w:rsidRDefault="00380390" w:rsidP="00835CFB">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lang w:eastAsia="fr-BE"/>
              </w:rPr>
            </w:pPr>
            <w:r w:rsidRPr="00AC6661">
              <w:rPr>
                <w:rFonts w:ascii="Times New Roman" w:eastAsia="Times New Roman" w:hAnsi="Times New Roman" w:cs="Times New Roman"/>
                <w:sz w:val="24"/>
                <w:lang w:eastAsia="fr-BE"/>
              </w:rPr>
              <w:t>Elévation des LDH et de la bilirubine (hématopoïèse inefficace)</w:t>
            </w:r>
          </w:p>
        </w:tc>
        <w:tc>
          <w:tcPr>
            <w:tcW w:w="3727" w:type="dxa"/>
          </w:tcPr>
          <w:p w14:paraId="1E592DA0" w14:textId="77777777" w:rsidR="00380390" w:rsidRPr="00AC6661" w:rsidRDefault="00380390" w:rsidP="00835CFB">
            <w:pPr>
              <w:numPr>
                <w:ilvl w:val="0"/>
                <w:numId w:val="10"/>
              </w:num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lang w:eastAsia="fr-BE"/>
              </w:rPr>
            </w:pPr>
            <w:r w:rsidRPr="00AC6661">
              <w:rPr>
                <w:rFonts w:ascii="Times New Roman" w:eastAsia="Times New Roman" w:hAnsi="Times New Roman" w:cs="Times New Roman"/>
                <w:sz w:val="24"/>
                <w:lang w:eastAsia="fr-BE"/>
              </w:rPr>
              <w:t>Thrombopénie et neutropénie isolées</w:t>
            </w:r>
          </w:p>
          <w:p w14:paraId="5E381549" w14:textId="6877DF02" w:rsidR="00380390" w:rsidRPr="00AC6661" w:rsidRDefault="001731EA" w:rsidP="00835CFB">
            <w:pPr>
              <w:numPr>
                <w:ilvl w:val="0"/>
                <w:numId w:val="10"/>
              </w:num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lang w:eastAsia="fr-BE"/>
              </w:rPr>
            </w:pPr>
            <w:r w:rsidRPr="00AC6661">
              <w:rPr>
                <w:rFonts w:ascii="Times New Roman" w:eastAsia="Times New Roman" w:hAnsi="Times New Roman" w:cs="Times New Roman"/>
                <w:sz w:val="24"/>
                <w:lang w:eastAsia="fr-BE"/>
              </w:rPr>
              <w:t>Pancytopénie</w:t>
            </w:r>
          </w:p>
          <w:p w14:paraId="28957A45" w14:textId="77777777" w:rsidR="00380390" w:rsidRPr="00AC6661" w:rsidRDefault="00380390" w:rsidP="00835CFB">
            <w:pPr>
              <w:numPr>
                <w:ilvl w:val="0"/>
                <w:numId w:val="10"/>
              </w:num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lang w:eastAsia="fr-BE"/>
              </w:rPr>
            </w:pPr>
            <w:r w:rsidRPr="00AC6661">
              <w:rPr>
                <w:rFonts w:ascii="Times New Roman" w:eastAsia="Times New Roman" w:hAnsi="Times New Roman" w:cs="Times New Roman"/>
                <w:sz w:val="24"/>
                <w:lang w:eastAsia="fr-BE"/>
              </w:rPr>
              <w:t>Pseudomicroangiopathie thrombotique</w:t>
            </w:r>
          </w:p>
        </w:tc>
      </w:tr>
      <w:tr w:rsidR="00380390" w:rsidRPr="00AC6661" w14:paraId="469D0F1A" w14:textId="77777777" w:rsidTr="00835CFB">
        <w:tc>
          <w:tcPr>
            <w:cnfStyle w:val="001000000000" w:firstRow="0" w:lastRow="0" w:firstColumn="1" w:lastColumn="0" w:oddVBand="0" w:evenVBand="0" w:oddHBand="0" w:evenHBand="0" w:firstRowFirstColumn="0" w:firstRowLastColumn="0" w:lastRowFirstColumn="0" w:lastRowLastColumn="0"/>
            <w:tcW w:w="2350" w:type="dxa"/>
          </w:tcPr>
          <w:p w14:paraId="21C9145A" w14:textId="77777777" w:rsidR="00380390" w:rsidRPr="00AC6661" w:rsidRDefault="00380390" w:rsidP="00835CFB">
            <w:pPr>
              <w:jc w:val="both"/>
              <w:rPr>
                <w:rFonts w:ascii="Times New Roman" w:eastAsia="Times New Roman" w:hAnsi="Times New Roman" w:cs="Times New Roman"/>
                <w:sz w:val="24"/>
                <w:lang w:eastAsia="fr-BE"/>
              </w:rPr>
            </w:pPr>
            <w:r w:rsidRPr="00AC6661">
              <w:rPr>
                <w:rFonts w:ascii="Times New Roman" w:eastAsia="Times New Roman" w:hAnsi="Times New Roman" w:cs="Times New Roman"/>
                <w:sz w:val="24"/>
                <w:lang w:eastAsia="fr-BE"/>
              </w:rPr>
              <w:t>Neuropsychiatriques</w:t>
            </w:r>
          </w:p>
        </w:tc>
        <w:tc>
          <w:tcPr>
            <w:tcW w:w="4555" w:type="dxa"/>
          </w:tcPr>
          <w:p w14:paraId="3A1E8CC0" w14:textId="77777777" w:rsidR="00380390" w:rsidRPr="00AC6661" w:rsidRDefault="00380390" w:rsidP="00835CFB">
            <w:pPr>
              <w:numPr>
                <w:ilvl w:val="0"/>
                <w:numId w:val="11"/>
              </w:num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lang w:eastAsia="fr-BE"/>
              </w:rPr>
            </w:pPr>
            <w:r w:rsidRPr="00AC6661">
              <w:rPr>
                <w:rFonts w:ascii="Times New Roman" w:eastAsia="Times New Roman" w:hAnsi="Times New Roman" w:cs="Times New Roman"/>
                <w:sz w:val="24"/>
                <w:lang w:eastAsia="fr-BE"/>
              </w:rPr>
              <w:t xml:space="preserve">Polynévrites (surtout sensitives) </w:t>
            </w:r>
          </w:p>
          <w:p w14:paraId="410A633D" w14:textId="77777777" w:rsidR="006E4A24" w:rsidRDefault="00380390" w:rsidP="00835CFB">
            <w:pPr>
              <w:numPr>
                <w:ilvl w:val="0"/>
                <w:numId w:val="11"/>
              </w:num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lang w:eastAsia="fr-BE"/>
              </w:rPr>
            </w:pPr>
            <w:r w:rsidRPr="00AC6661">
              <w:rPr>
                <w:rFonts w:ascii="Times New Roman" w:eastAsia="Times New Roman" w:hAnsi="Times New Roman" w:cs="Times New Roman"/>
                <w:sz w:val="24"/>
                <w:lang w:eastAsia="fr-BE"/>
              </w:rPr>
              <w:t>Ataxie</w:t>
            </w:r>
            <w:r w:rsidR="006E4A24">
              <w:rPr>
                <w:rFonts w:ascii="Times New Roman" w:eastAsia="Times New Roman" w:hAnsi="Times New Roman" w:cs="Times New Roman"/>
                <w:sz w:val="24"/>
                <w:lang w:eastAsia="fr-BE"/>
              </w:rPr>
              <w:t xml:space="preserve"> </w:t>
            </w:r>
          </w:p>
          <w:p w14:paraId="468DEB8F" w14:textId="77777777" w:rsidR="00380390" w:rsidRPr="00AC6661" w:rsidRDefault="006E4A24" w:rsidP="00835CFB">
            <w:pPr>
              <w:numPr>
                <w:ilvl w:val="0"/>
                <w:numId w:val="11"/>
              </w:num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lang w:eastAsia="fr-BE"/>
              </w:rPr>
            </w:pPr>
            <w:r>
              <w:rPr>
                <w:rFonts w:ascii="Times New Roman" w:eastAsia="Times New Roman" w:hAnsi="Times New Roman" w:cs="Times New Roman"/>
                <w:sz w:val="24"/>
                <w:lang w:eastAsia="fr-BE"/>
              </w:rPr>
              <w:t>Diminution de la pallesthésie</w:t>
            </w:r>
          </w:p>
          <w:p w14:paraId="4D92A2F7" w14:textId="77777777" w:rsidR="00380390" w:rsidRPr="00AC6661" w:rsidRDefault="00380390" w:rsidP="00835CFB">
            <w:pPr>
              <w:numPr>
                <w:ilvl w:val="0"/>
                <w:numId w:val="11"/>
              </w:num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lang w:eastAsia="fr-BE"/>
              </w:rPr>
            </w:pPr>
            <w:r w:rsidRPr="00AC6661">
              <w:rPr>
                <w:rFonts w:ascii="Times New Roman" w:eastAsia="Times New Roman" w:hAnsi="Times New Roman" w:cs="Times New Roman"/>
                <w:sz w:val="24"/>
                <w:lang w:eastAsia="fr-BE"/>
              </w:rPr>
              <w:t>Signe de Babinski positif</w:t>
            </w:r>
          </w:p>
          <w:p w14:paraId="0D82CBA7" w14:textId="77777777" w:rsidR="00380390" w:rsidRPr="00AC6661" w:rsidRDefault="00380390" w:rsidP="00835CFB">
            <w:pPr>
              <w:numPr>
                <w:ilvl w:val="0"/>
                <w:numId w:val="11"/>
              </w:num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lang w:eastAsia="fr-BE"/>
              </w:rPr>
            </w:pPr>
            <w:r w:rsidRPr="00AC6661">
              <w:rPr>
                <w:rFonts w:ascii="Times New Roman" w:eastAsia="Times New Roman" w:hAnsi="Times New Roman" w:cs="Times New Roman"/>
                <w:sz w:val="24"/>
                <w:lang w:eastAsia="fr-BE"/>
              </w:rPr>
              <w:t>Sclérose combinée de la moelle</w:t>
            </w:r>
          </w:p>
        </w:tc>
        <w:tc>
          <w:tcPr>
            <w:tcW w:w="3727" w:type="dxa"/>
          </w:tcPr>
          <w:p w14:paraId="6DCB8B0D" w14:textId="77777777" w:rsidR="00380390" w:rsidRPr="00AC6661" w:rsidRDefault="00380390" w:rsidP="00835CFB">
            <w:pPr>
              <w:numPr>
                <w:ilvl w:val="0"/>
                <w:numId w:val="11"/>
              </w:num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lang w:eastAsia="fr-BE"/>
              </w:rPr>
            </w:pPr>
            <w:r w:rsidRPr="00AC6661">
              <w:rPr>
                <w:rFonts w:ascii="Times New Roman" w:eastAsia="Times New Roman" w:hAnsi="Times New Roman" w:cs="Times New Roman"/>
                <w:sz w:val="24"/>
                <w:lang w:eastAsia="fr-BE"/>
              </w:rPr>
              <w:t>Syndrome cérébelleux</w:t>
            </w:r>
          </w:p>
          <w:p w14:paraId="34A25335" w14:textId="77777777" w:rsidR="00380390" w:rsidRPr="00AC6661" w:rsidRDefault="00380390" w:rsidP="00835CFB">
            <w:pPr>
              <w:numPr>
                <w:ilvl w:val="0"/>
                <w:numId w:val="11"/>
              </w:num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lang w:eastAsia="fr-BE"/>
              </w:rPr>
            </w:pPr>
            <w:r w:rsidRPr="00AC6661">
              <w:rPr>
                <w:rFonts w:ascii="Times New Roman" w:eastAsia="Times New Roman" w:hAnsi="Times New Roman" w:cs="Times New Roman"/>
                <w:sz w:val="24"/>
                <w:lang w:eastAsia="fr-BE"/>
              </w:rPr>
              <w:t>Atteinte des nerfs crâniens (névrite optique)</w:t>
            </w:r>
          </w:p>
          <w:p w14:paraId="525ED7DE" w14:textId="77777777" w:rsidR="00380390" w:rsidRDefault="00380390" w:rsidP="00835CFB">
            <w:pPr>
              <w:numPr>
                <w:ilvl w:val="0"/>
                <w:numId w:val="11"/>
              </w:num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lang w:eastAsia="fr-BE"/>
              </w:rPr>
            </w:pPr>
            <w:r w:rsidRPr="00AC6661">
              <w:rPr>
                <w:rFonts w:ascii="Times New Roman" w:eastAsia="Times New Roman" w:hAnsi="Times New Roman" w:cs="Times New Roman"/>
                <w:sz w:val="24"/>
                <w:lang w:eastAsia="fr-BE"/>
              </w:rPr>
              <w:t>Atrophie optique</w:t>
            </w:r>
          </w:p>
          <w:p w14:paraId="1B8C41A8" w14:textId="77777777" w:rsidR="00380390" w:rsidRPr="00AC6661" w:rsidRDefault="00380390" w:rsidP="00835CFB">
            <w:pPr>
              <w:numPr>
                <w:ilvl w:val="0"/>
                <w:numId w:val="11"/>
              </w:num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lang w:eastAsia="fr-BE"/>
              </w:rPr>
            </w:pPr>
            <w:r>
              <w:rPr>
                <w:rFonts w:ascii="Times New Roman" w:eastAsia="Times New Roman" w:hAnsi="Times New Roman" w:cs="Times New Roman"/>
                <w:sz w:val="24"/>
                <w:lang w:eastAsia="fr-BE"/>
              </w:rPr>
              <w:t>Troubles sphinctériens</w:t>
            </w:r>
          </w:p>
          <w:p w14:paraId="6EBF93FC" w14:textId="77777777" w:rsidR="00380390" w:rsidRPr="00AC6661" w:rsidRDefault="00380390" w:rsidP="00835CFB">
            <w:pPr>
              <w:numPr>
                <w:ilvl w:val="0"/>
                <w:numId w:val="11"/>
              </w:num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lang w:eastAsia="fr-BE"/>
              </w:rPr>
            </w:pPr>
            <w:r w:rsidRPr="00AC6661">
              <w:rPr>
                <w:rFonts w:ascii="Times New Roman" w:eastAsia="Times New Roman" w:hAnsi="Times New Roman" w:cs="Times New Roman"/>
                <w:sz w:val="24"/>
                <w:lang w:eastAsia="fr-BE"/>
              </w:rPr>
              <w:t>Altération des fonctions supérieures (démences): évaluation en cours</w:t>
            </w:r>
          </w:p>
        </w:tc>
      </w:tr>
      <w:tr w:rsidR="00380390" w:rsidRPr="00AC6661" w14:paraId="71AC781C" w14:textId="77777777" w:rsidTr="00835C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0" w:type="dxa"/>
          </w:tcPr>
          <w:p w14:paraId="1259294C" w14:textId="77777777" w:rsidR="00380390" w:rsidRPr="00AC6661" w:rsidRDefault="00380390" w:rsidP="00835CFB">
            <w:pPr>
              <w:jc w:val="both"/>
              <w:rPr>
                <w:rFonts w:ascii="Times New Roman" w:eastAsia="Times New Roman" w:hAnsi="Times New Roman" w:cs="Times New Roman"/>
                <w:sz w:val="24"/>
                <w:lang w:eastAsia="fr-BE"/>
              </w:rPr>
            </w:pPr>
            <w:r w:rsidRPr="00AC6661">
              <w:rPr>
                <w:rFonts w:ascii="Times New Roman" w:eastAsia="Times New Roman" w:hAnsi="Times New Roman" w:cs="Times New Roman"/>
                <w:sz w:val="24"/>
                <w:lang w:eastAsia="fr-BE"/>
              </w:rPr>
              <w:t>Cutanées/digestives</w:t>
            </w:r>
          </w:p>
        </w:tc>
        <w:tc>
          <w:tcPr>
            <w:tcW w:w="4555" w:type="dxa"/>
          </w:tcPr>
          <w:p w14:paraId="0191FBB7" w14:textId="77777777" w:rsidR="00380390" w:rsidRDefault="00380390" w:rsidP="00835CFB">
            <w:pPr>
              <w:numPr>
                <w:ilvl w:val="0"/>
                <w:numId w:val="12"/>
              </w:num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lang w:eastAsia="fr-BE"/>
              </w:rPr>
            </w:pPr>
            <w:r w:rsidRPr="00AC6661">
              <w:rPr>
                <w:rFonts w:ascii="Times New Roman" w:eastAsia="Times New Roman" w:hAnsi="Times New Roman" w:cs="Times New Roman"/>
                <w:sz w:val="24"/>
                <w:lang w:eastAsia="fr-BE"/>
              </w:rPr>
              <w:t>Glossite de Hunter</w:t>
            </w:r>
          </w:p>
          <w:p w14:paraId="58724A4F" w14:textId="77777777" w:rsidR="00380390" w:rsidRPr="00AC6661" w:rsidRDefault="00380390" w:rsidP="00835CFB">
            <w:pPr>
              <w:numPr>
                <w:ilvl w:val="0"/>
                <w:numId w:val="12"/>
              </w:num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lang w:eastAsia="fr-BE"/>
              </w:rPr>
            </w:pPr>
            <w:r>
              <w:rPr>
                <w:rFonts w:ascii="Times New Roman" w:eastAsia="Times New Roman" w:hAnsi="Times New Roman" w:cs="Times New Roman"/>
                <w:sz w:val="24"/>
                <w:lang w:eastAsia="fr-BE"/>
              </w:rPr>
              <w:t xml:space="preserve">Stomatodynie </w:t>
            </w:r>
          </w:p>
          <w:p w14:paraId="3399A6B2" w14:textId="77777777" w:rsidR="00380390" w:rsidRPr="00AC6661" w:rsidRDefault="00380390" w:rsidP="00835CFB">
            <w:pPr>
              <w:numPr>
                <w:ilvl w:val="0"/>
                <w:numId w:val="12"/>
              </w:num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lang w:eastAsia="fr-BE"/>
              </w:rPr>
            </w:pPr>
            <w:r w:rsidRPr="00AC6661">
              <w:rPr>
                <w:rFonts w:ascii="Times New Roman" w:eastAsia="Times New Roman" w:hAnsi="Times New Roman" w:cs="Times New Roman"/>
                <w:sz w:val="24"/>
                <w:lang w:eastAsia="fr-BE"/>
              </w:rPr>
              <w:t>Ictère</w:t>
            </w:r>
          </w:p>
        </w:tc>
        <w:tc>
          <w:tcPr>
            <w:tcW w:w="3727" w:type="dxa"/>
          </w:tcPr>
          <w:p w14:paraId="289CD27B" w14:textId="77777777" w:rsidR="00380390" w:rsidRDefault="00380390" w:rsidP="00835CFB">
            <w:pPr>
              <w:numPr>
                <w:ilvl w:val="0"/>
                <w:numId w:val="12"/>
              </w:num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lang w:eastAsia="fr-BE"/>
              </w:rPr>
            </w:pPr>
            <w:r w:rsidRPr="00AC6661">
              <w:rPr>
                <w:rFonts w:ascii="Times New Roman" w:eastAsia="Times New Roman" w:hAnsi="Times New Roman" w:cs="Times New Roman"/>
                <w:sz w:val="24"/>
                <w:lang w:eastAsia="fr-BE"/>
              </w:rPr>
              <w:t>Ulcères cutanéo-muqueux rebelles/récidivants</w:t>
            </w:r>
          </w:p>
          <w:p w14:paraId="23438E07" w14:textId="77777777" w:rsidR="00380390" w:rsidRPr="00AC6661" w:rsidRDefault="00380390" w:rsidP="00835CFB">
            <w:pPr>
              <w:numPr>
                <w:ilvl w:val="0"/>
                <w:numId w:val="12"/>
              </w:num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lang w:eastAsia="fr-BE"/>
              </w:rPr>
            </w:pPr>
            <w:r>
              <w:rPr>
                <w:rFonts w:ascii="Times New Roman" w:eastAsia="Times New Roman" w:hAnsi="Times New Roman" w:cs="Times New Roman"/>
                <w:sz w:val="24"/>
                <w:lang w:eastAsia="fr-BE"/>
              </w:rPr>
              <w:t>Atrophie de la muqueuse buccale et génitale</w:t>
            </w:r>
          </w:p>
        </w:tc>
      </w:tr>
      <w:tr w:rsidR="00380390" w:rsidRPr="00AC6661" w14:paraId="35E7CA11" w14:textId="77777777" w:rsidTr="00835CFB">
        <w:tc>
          <w:tcPr>
            <w:cnfStyle w:val="001000000000" w:firstRow="0" w:lastRow="0" w:firstColumn="1" w:lastColumn="0" w:oddVBand="0" w:evenVBand="0" w:oddHBand="0" w:evenHBand="0" w:firstRowFirstColumn="0" w:firstRowLastColumn="0" w:lastRowFirstColumn="0" w:lastRowLastColumn="0"/>
            <w:tcW w:w="2350" w:type="dxa"/>
          </w:tcPr>
          <w:p w14:paraId="0088B4A6" w14:textId="31F88952" w:rsidR="00380390" w:rsidRPr="00CD0E49" w:rsidRDefault="00380390" w:rsidP="00835CFB">
            <w:pPr>
              <w:jc w:val="both"/>
              <w:rPr>
                <w:rFonts w:ascii="Times New Roman" w:eastAsia="Times New Roman" w:hAnsi="Times New Roman" w:cs="Times New Roman"/>
                <w:bCs w:val="0"/>
                <w:sz w:val="24"/>
                <w:lang w:eastAsia="fr-BE"/>
              </w:rPr>
            </w:pPr>
            <w:r w:rsidRPr="00CD0E49">
              <w:rPr>
                <w:rFonts w:ascii="Times New Roman" w:eastAsia="Times New Roman" w:hAnsi="Times New Roman" w:cs="Times New Roman"/>
                <w:bCs w:val="0"/>
                <w:sz w:val="24"/>
                <w:lang w:eastAsia="fr-BE"/>
              </w:rPr>
              <w:t>Vasculaire</w:t>
            </w:r>
            <w:r w:rsidR="00015E94">
              <w:rPr>
                <w:rFonts w:ascii="Times New Roman" w:eastAsia="Times New Roman" w:hAnsi="Times New Roman" w:cs="Times New Roman"/>
                <w:bCs w:val="0"/>
                <w:sz w:val="24"/>
                <w:lang w:eastAsia="fr-BE"/>
              </w:rPr>
              <w:t>s</w:t>
            </w:r>
          </w:p>
        </w:tc>
        <w:tc>
          <w:tcPr>
            <w:tcW w:w="4555" w:type="dxa"/>
          </w:tcPr>
          <w:p w14:paraId="1786FC21" w14:textId="77777777" w:rsidR="00380390" w:rsidRPr="00AC6661" w:rsidRDefault="00380390" w:rsidP="00835CFB">
            <w:pPr>
              <w:numPr>
                <w:ilvl w:val="0"/>
                <w:numId w:val="12"/>
              </w:num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lang w:eastAsia="fr-BE"/>
              </w:rPr>
            </w:pPr>
          </w:p>
        </w:tc>
        <w:tc>
          <w:tcPr>
            <w:tcW w:w="3727" w:type="dxa"/>
          </w:tcPr>
          <w:p w14:paraId="30833DD4" w14:textId="77777777" w:rsidR="00380390" w:rsidRPr="00AC6661" w:rsidRDefault="00380390" w:rsidP="00835CFB">
            <w:pPr>
              <w:numPr>
                <w:ilvl w:val="0"/>
                <w:numId w:val="12"/>
              </w:num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lang w:eastAsia="fr-BE"/>
              </w:rPr>
            </w:pPr>
            <w:r>
              <w:rPr>
                <w:rFonts w:ascii="Times New Roman" w:eastAsia="Times New Roman" w:hAnsi="Times New Roman" w:cs="Times New Roman"/>
                <w:sz w:val="24"/>
                <w:lang w:eastAsia="fr-BE"/>
              </w:rPr>
              <w:t>Thrombose veineuse profonde</w:t>
            </w:r>
          </w:p>
        </w:tc>
      </w:tr>
    </w:tbl>
    <w:p w14:paraId="183FBA6B" w14:textId="77777777" w:rsidR="00380390" w:rsidRDefault="00380390" w:rsidP="00380390">
      <w:pPr>
        <w:jc w:val="both"/>
        <w:rPr>
          <w:rFonts w:ascii="Times New Roman" w:eastAsiaTheme="minorEastAsia" w:hAnsi="Times New Roman"/>
          <w:sz w:val="24"/>
          <w:lang w:eastAsia="fr-BE"/>
        </w:rPr>
      </w:pPr>
    </w:p>
    <w:p w14:paraId="5FDF5A8F" w14:textId="77777777" w:rsidR="00380390" w:rsidRDefault="00380390" w:rsidP="00380390">
      <w:pPr>
        <w:pStyle w:val="Sansinterligne"/>
        <w:jc w:val="both"/>
      </w:pPr>
    </w:p>
    <w:p w14:paraId="16A208ED" w14:textId="77777777" w:rsidR="00380390" w:rsidRDefault="00380390" w:rsidP="00380390">
      <w:pPr>
        <w:pStyle w:val="Sansinterligne"/>
        <w:jc w:val="both"/>
      </w:pPr>
    </w:p>
    <w:p w14:paraId="613D31EE" w14:textId="77777777" w:rsidR="00380390" w:rsidRDefault="00380390" w:rsidP="00380390">
      <w:pPr>
        <w:pStyle w:val="Sansinterligne"/>
        <w:jc w:val="both"/>
      </w:pPr>
    </w:p>
    <w:p w14:paraId="03B15C65" w14:textId="77777777" w:rsidR="00380390" w:rsidRDefault="00380390" w:rsidP="00380390">
      <w:pPr>
        <w:pStyle w:val="Sansinterligne"/>
        <w:jc w:val="both"/>
      </w:pPr>
    </w:p>
    <w:p w14:paraId="46323581" w14:textId="77777777" w:rsidR="00216429" w:rsidRDefault="00216429" w:rsidP="00380390">
      <w:pPr>
        <w:pStyle w:val="Sansinterligne"/>
        <w:jc w:val="both"/>
      </w:pPr>
    </w:p>
    <w:p w14:paraId="0F3B7327" w14:textId="77777777" w:rsidR="00216429" w:rsidRDefault="00216429" w:rsidP="00380390">
      <w:pPr>
        <w:pStyle w:val="Sansinterligne"/>
        <w:jc w:val="both"/>
      </w:pPr>
    </w:p>
    <w:p w14:paraId="76BD581C" w14:textId="77777777" w:rsidR="00216429" w:rsidRDefault="00216429" w:rsidP="00380390">
      <w:pPr>
        <w:pStyle w:val="Sansinterligne"/>
        <w:jc w:val="both"/>
      </w:pPr>
    </w:p>
    <w:p w14:paraId="58EA2C2C" w14:textId="77777777" w:rsidR="00216429" w:rsidRDefault="00216429" w:rsidP="00380390">
      <w:pPr>
        <w:pStyle w:val="Sansinterligne"/>
        <w:jc w:val="both"/>
      </w:pPr>
    </w:p>
    <w:p w14:paraId="2AAD7385" w14:textId="77777777" w:rsidR="00216429" w:rsidRDefault="00216429" w:rsidP="00380390">
      <w:pPr>
        <w:pStyle w:val="Sansinterligne"/>
        <w:jc w:val="both"/>
      </w:pPr>
    </w:p>
    <w:p w14:paraId="5B357F7E" w14:textId="77777777" w:rsidR="00216429" w:rsidRDefault="00216429" w:rsidP="00380390">
      <w:pPr>
        <w:pStyle w:val="Sansinterligne"/>
        <w:jc w:val="both"/>
      </w:pPr>
    </w:p>
    <w:p w14:paraId="4539073C" w14:textId="65D3029A" w:rsidR="0046359E" w:rsidRDefault="003F572E" w:rsidP="00380390">
      <w:pPr>
        <w:pStyle w:val="Sansinterligne"/>
        <w:jc w:val="both"/>
      </w:pPr>
      <w:r>
        <w:rPr>
          <w:noProof/>
        </w:rPr>
        <w:lastRenderedPageBreak/>
        <mc:AlternateContent>
          <mc:Choice Requires="wps">
            <w:drawing>
              <wp:anchor distT="0" distB="0" distL="114300" distR="114300" simplePos="0" relativeHeight="251659264" behindDoc="0" locked="0" layoutInCell="1" allowOverlap="1" wp14:anchorId="6B17C142" wp14:editId="2AB1AF0A">
                <wp:simplePos x="0" y="0"/>
                <wp:positionH relativeFrom="column">
                  <wp:posOffset>1748307</wp:posOffset>
                </wp:positionH>
                <wp:positionV relativeFrom="paragraph">
                  <wp:posOffset>2501773</wp:posOffset>
                </wp:positionV>
                <wp:extent cx="592227" cy="226771"/>
                <wp:effectExtent l="0" t="0" r="0" b="1905"/>
                <wp:wrapNone/>
                <wp:docPr id="4" name="Rectangle 4"/>
                <wp:cNvGraphicFramePr/>
                <a:graphic xmlns:a="http://schemas.openxmlformats.org/drawingml/2006/main">
                  <a:graphicData uri="http://schemas.microsoft.com/office/word/2010/wordprocessingShape">
                    <wps:wsp>
                      <wps:cNvSpPr/>
                      <wps:spPr>
                        <a:xfrm>
                          <a:off x="0" y="0"/>
                          <a:ext cx="592227" cy="226771"/>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FC2FE2" w14:textId="3FDF9590" w:rsidR="00FF06D7" w:rsidRPr="00FF06D7" w:rsidRDefault="00FF06D7" w:rsidP="00FF06D7">
                            <w:pPr>
                              <w:rPr>
                                <w:color w:val="000000" w:themeColor="text1"/>
                                <w:sz w:val="16"/>
                                <w:szCs w:val="16"/>
                              </w:rPr>
                            </w:pPr>
                            <w:r w:rsidRPr="00FF06D7">
                              <w:rPr>
                                <w:color w:val="000000" w:themeColor="text1"/>
                                <w:sz w:val="16"/>
                                <w:szCs w:val="16"/>
                              </w:rPr>
                              <w:t>80% B12</w:t>
                            </w:r>
                          </w:p>
                          <w:p w14:paraId="03595A35" w14:textId="54C5B5E3" w:rsidR="00FF06D7" w:rsidRDefault="00FF06D7" w:rsidP="00FF06D7">
                            <w:r>
                              <w:t>B12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17C142" id="Rectangle 4" o:spid="_x0000_s1026" style="position:absolute;left:0;text-align:left;margin-left:137.65pt;margin-top:197pt;width:46.65pt;height:17.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" fillcolor="#d8d8d8 [2732]" stroked="f" strokeweight="1pt">
                <v:textbox>
                  <w:txbxContent>
                    <w:p w14:paraId="3BFC2FE2" w14:textId="3FDF9590" w:rsidR="00FF06D7" w:rsidRPr="00FF06D7" w:rsidRDefault="00FF06D7" w:rsidP="00FF06D7">
                      <w:pPr>
                        <w:rPr>
                          <w:color w:val="000000" w:themeColor="text1"/>
                          <w:sz w:val="16"/>
                          <w:szCs w:val="16"/>
                        </w:rPr>
                      </w:pPr>
                      <w:r w:rsidRPr="00FF06D7">
                        <w:rPr>
                          <w:color w:val="000000" w:themeColor="text1"/>
                          <w:sz w:val="16"/>
                          <w:szCs w:val="16"/>
                        </w:rPr>
                        <w:t>80% B12</w:t>
                      </w:r>
                    </w:p>
                    <w:p w14:paraId="03595A35" w14:textId="54C5B5E3" w:rsidR="00FF06D7" w:rsidRDefault="00FF06D7" w:rsidP="00FF06D7">
                      <w:r>
                        <w:t>B12</w:t>
                      </w:r>
                    </w:p>
                  </w:txbxContent>
                </v:textbox>
              </v:rect>
            </w:pict>
          </mc:Fallback>
        </mc:AlternateContent>
      </w:r>
      <w:r w:rsidR="00216429">
        <w:rPr>
          <w:noProof/>
        </w:rPr>
        <w:drawing>
          <wp:inline distT="0" distB="0" distL="0" distR="0" wp14:anchorId="5369FFBC" wp14:editId="2484C0D1">
            <wp:extent cx="5736492" cy="4302369"/>
            <wp:effectExtent l="0" t="0" r="0" b="317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6491" cy="4302368"/>
                    </a:xfrm>
                    <a:prstGeom prst="rect">
                      <a:avLst/>
                    </a:prstGeom>
                    <a:noFill/>
                  </pic:spPr>
                </pic:pic>
              </a:graphicData>
            </a:graphic>
          </wp:inline>
        </w:drawing>
      </w:r>
    </w:p>
    <w:p w14:paraId="37D75E5E" w14:textId="77777777" w:rsidR="0046359E" w:rsidRDefault="0046359E" w:rsidP="00380390">
      <w:pPr>
        <w:pStyle w:val="Sansinterligne"/>
        <w:jc w:val="both"/>
      </w:pPr>
    </w:p>
    <w:p w14:paraId="5C4C0042" w14:textId="77777777" w:rsidR="0046359E" w:rsidRDefault="0046359E" w:rsidP="00380390">
      <w:pPr>
        <w:pStyle w:val="Sansinterligne"/>
        <w:jc w:val="both"/>
      </w:pPr>
    </w:p>
    <w:p w14:paraId="6AB2C216" w14:textId="77777777" w:rsidR="0046359E" w:rsidRDefault="0046359E" w:rsidP="00380390">
      <w:pPr>
        <w:pStyle w:val="Sansinterligne"/>
        <w:jc w:val="both"/>
      </w:pPr>
    </w:p>
    <w:p w14:paraId="66CCA539" w14:textId="77777777" w:rsidR="0046359E" w:rsidRDefault="0046359E" w:rsidP="00380390">
      <w:pPr>
        <w:pStyle w:val="Sansinterligne"/>
        <w:jc w:val="both"/>
      </w:pPr>
    </w:p>
    <w:p w14:paraId="53EB76BD" w14:textId="77777777" w:rsidR="0046359E" w:rsidRDefault="0046359E" w:rsidP="00380390">
      <w:pPr>
        <w:pStyle w:val="Sansinterligne"/>
        <w:jc w:val="both"/>
      </w:pPr>
    </w:p>
    <w:p w14:paraId="0B37143E" w14:textId="77777777" w:rsidR="0046359E" w:rsidRDefault="0046359E" w:rsidP="00380390">
      <w:pPr>
        <w:pStyle w:val="Sansinterligne"/>
        <w:jc w:val="both"/>
      </w:pPr>
    </w:p>
    <w:p w14:paraId="5B10515C" w14:textId="77777777" w:rsidR="0046359E" w:rsidRDefault="0046359E" w:rsidP="00380390">
      <w:pPr>
        <w:pStyle w:val="Sansinterligne"/>
        <w:jc w:val="both"/>
      </w:pPr>
    </w:p>
    <w:p w14:paraId="1C0E112A" w14:textId="77777777" w:rsidR="0046359E" w:rsidRDefault="0046359E" w:rsidP="00380390">
      <w:pPr>
        <w:pStyle w:val="Sansinterligne"/>
        <w:jc w:val="both"/>
      </w:pPr>
    </w:p>
    <w:p w14:paraId="62B52A75" w14:textId="77777777" w:rsidR="0046359E" w:rsidRDefault="0046359E" w:rsidP="00380390">
      <w:pPr>
        <w:pStyle w:val="Sansinterligne"/>
        <w:jc w:val="both"/>
      </w:pPr>
    </w:p>
    <w:p w14:paraId="5B2ABF2A" w14:textId="77777777" w:rsidR="0046359E" w:rsidRDefault="0046359E" w:rsidP="00380390">
      <w:pPr>
        <w:pStyle w:val="Sansinterligne"/>
        <w:jc w:val="both"/>
      </w:pPr>
    </w:p>
    <w:p w14:paraId="11F4A758" w14:textId="77777777" w:rsidR="0046359E" w:rsidRDefault="0046359E" w:rsidP="00380390">
      <w:pPr>
        <w:pStyle w:val="Sansinterligne"/>
        <w:jc w:val="both"/>
      </w:pPr>
    </w:p>
    <w:p w14:paraId="71C4A2D3" w14:textId="77777777" w:rsidR="0046359E" w:rsidRDefault="0046359E" w:rsidP="00380390">
      <w:pPr>
        <w:pStyle w:val="Sansinterligne"/>
        <w:jc w:val="both"/>
      </w:pPr>
    </w:p>
    <w:p w14:paraId="1FA759E9" w14:textId="77777777" w:rsidR="0046359E" w:rsidRDefault="0046359E" w:rsidP="00380390">
      <w:pPr>
        <w:pStyle w:val="Sansinterligne"/>
        <w:jc w:val="both"/>
      </w:pPr>
    </w:p>
    <w:p w14:paraId="723110CA" w14:textId="77777777" w:rsidR="0046359E" w:rsidRDefault="0046359E" w:rsidP="00380390">
      <w:pPr>
        <w:pStyle w:val="Sansinterligne"/>
        <w:jc w:val="both"/>
      </w:pPr>
    </w:p>
    <w:p w14:paraId="5F5E0AB8" w14:textId="77777777" w:rsidR="0046359E" w:rsidRDefault="0046359E" w:rsidP="00380390">
      <w:pPr>
        <w:pStyle w:val="Sansinterligne"/>
        <w:jc w:val="both"/>
      </w:pPr>
    </w:p>
    <w:p w14:paraId="35CE2011" w14:textId="77777777" w:rsidR="0046359E" w:rsidRDefault="0046359E" w:rsidP="00380390">
      <w:pPr>
        <w:pStyle w:val="Sansinterligne"/>
        <w:jc w:val="both"/>
      </w:pPr>
    </w:p>
    <w:p w14:paraId="3FB1033E" w14:textId="77777777" w:rsidR="0046359E" w:rsidRDefault="0046359E" w:rsidP="00380390">
      <w:pPr>
        <w:pStyle w:val="Sansinterligne"/>
        <w:jc w:val="both"/>
      </w:pPr>
    </w:p>
    <w:p w14:paraId="04D63DEA" w14:textId="77777777" w:rsidR="0046359E" w:rsidRDefault="0046359E" w:rsidP="00380390">
      <w:pPr>
        <w:pStyle w:val="Sansinterligne"/>
        <w:jc w:val="both"/>
      </w:pPr>
    </w:p>
    <w:p w14:paraId="2A11EC10" w14:textId="77777777" w:rsidR="0046359E" w:rsidRDefault="0046359E" w:rsidP="00380390">
      <w:pPr>
        <w:pStyle w:val="Sansinterligne"/>
        <w:jc w:val="both"/>
      </w:pPr>
    </w:p>
    <w:p w14:paraId="0C99E22E" w14:textId="77777777" w:rsidR="0046359E" w:rsidRDefault="0046359E" w:rsidP="00380390">
      <w:pPr>
        <w:pStyle w:val="Sansinterligne"/>
        <w:jc w:val="both"/>
      </w:pPr>
    </w:p>
    <w:p w14:paraId="0686B350" w14:textId="77777777" w:rsidR="0046359E" w:rsidRDefault="0046359E" w:rsidP="00380390">
      <w:pPr>
        <w:pStyle w:val="Sansinterligne"/>
        <w:jc w:val="both"/>
      </w:pPr>
    </w:p>
    <w:p w14:paraId="7899CB2B" w14:textId="77777777" w:rsidR="0046359E" w:rsidRDefault="0046359E" w:rsidP="00380390">
      <w:pPr>
        <w:pStyle w:val="Sansinterligne"/>
        <w:jc w:val="both"/>
      </w:pPr>
    </w:p>
    <w:p w14:paraId="3F1418EC" w14:textId="77777777" w:rsidR="0046359E" w:rsidRDefault="0046359E" w:rsidP="00380390">
      <w:pPr>
        <w:pStyle w:val="Sansinterligne"/>
        <w:jc w:val="both"/>
      </w:pPr>
    </w:p>
    <w:p w14:paraId="010CE995" w14:textId="77777777" w:rsidR="0046359E" w:rsidRDefault="0046359E" w:rsidP="00380390">
      <w:pPr>
        <w:pStyle w:val="Sansinterligne"/>
        <w:jc w:val="both"/>
      </w:pPr>
    </w:p>
    <w:p w14:paraId="6769B66B" w14:textId="77777777" w:rsidR="0046359E" w:rsidRDefault="0046359E" w:rsidP="00380390">
      <w:pPr>
        <w:pStyle w:val="Sansinterligne"/>
        <w:jc w:val="both"/>
      </w:pPr>
    </w:p>
    <w:p w14:paraId="22BACD01" w14:textId="77777777" w:rsidR="00380390" w:rsidRDefault="00380390" w:rsidP="00380390">
      <w:pPr>
        <w:pStyle w:val="Sansinterligne"/>
        <w:jc w:val="both"/>
      </w:pPr>
    </w:p>
    <w:p w14:paraId="7357723B" w14:textId="076BBDB4" w:rsidR="00380390" w:rsidRPr="003D00EB" w:rsidRDefault="00015E94" w:rsidP="003D00EB">
      <w:pPr>
        <w:pStyle w:val="NormalWeb"/>
        <w:rPr>
          <w:lang w:val="fr-FR"/>
        </w:rPr>
      </w:pPr>
      <w:r w:rsidRPr="003924FB">
        <w:rPr>
          <w:b/>
        </w:rPr>
        <w:lastRenderedPageBreak/>
        <w:t>Figure 2</w:t>
      </w:r>
      <w:r>
        <w:t> : Glossite de Hunter</w:t>
      </w:r>
      <w:r w:rsidR="0046359E">
        <w:t xml:space="preserve"> ou glossite atrophique. </w:t>
      </w:r>
      <w:r w:rsidR="0046359E">
        <w:rPr>
          <w:lang w:val="fr-FR"/>
        </w:rPr>
        <w:t xml:space="preserve">Décrite en 1900, par le chirurgien </w:t>
      </w:r>
      <w:r w:rsidR="0046359E" w:rsidRPr="0046359E">
        <w:rPr>
          <w:lang w:val="fr-FR"/>
        </w:rPr>
        <w:t xml:space="preserve">William Hunter </w:t>
      </w:r>
      <w:r w:rsidR="0046359E">
        <w:rPr>
          <w:lang w:val="fr-FR"/>
        </w:rPr>
        <w:t xml:space="preserve">(1861-1937) chez sept </w:t>
      </w:r>
      <w:r w:rsidR="00452B64">
        <w:rPr>
          <w:lang w:val="fr-FR"/>
        </w:rPr>
        <w:t>patients</w:t>
      </w:r>
      <w:r w:rsidR="0046359E">
        <w:rPr>
          <w:lang w:val="fr-FR"/>
        </w:rPr>
        <w:t xml:space="preserve"> avec une anémie pernicieuse. La langue présente sur les bords de petites taches </w:t>
      </w:r>
      <w:r w:rsidR="00452B64">
        <w:rPr>
          <w:lang w:val="fr-FR"/>
        </w:rPr>
        <w:t>rouges,</w:t>
      </w:r>
      <w:r w:rsidR="0046359E">
        <w:rPr>
          <w:lang w:val="fr-FR"/>
        </w:rPr>
        <w:t xml:space="preserve"> douloureuses au contact. Elle devient sèche, lisse et vernissée (brillante et rouge vif), par atrophie des </w:t>
      </w:r>
      <w:hyperlink r:id="rId10" w:tooltip="Papille gustative" w:history="1">
        <w:r w:rsidR="0046359E" w:rsidRPr="00D264CE">
          <w:rPr>
            <w:rStyle w:val="Lienhypertexte"/>
            <w:color w:val="000000" w:themeColor="text1"/>
            <w:u w:val="none"/>
            <w:lang w:val="fr-FR"/>
          </w:rPr>
          <w:t>papilles</w:t>
        </w:r>
      </w:hyperlink>
      <w:r w:rsidR="0046359E">
        <w:rPr>
          <w:lang w:val="fr-FR"/>
        </w:rPr>
        <w:t xml:space="preserve"> filiformes. Ces lésions régressent après traitement substitutif.</w:t>
      </w:r>
    </w:p>
    <w:p w14:paraId="7CC63D96" w14:textId="77777777" w:rsidR="00380390" w:rsidRDefault="00380390" w:rsidP="00380390">
      <w:pPr>
        <w:pStyle w:val="Sansinterligne"/>
        <w:jc w:val="both"/>
      </w:pPr>
    </w:p>
    <w:p w14:paraId="5C35A2F2" w14:textId="77777777" w:rsidR="00380390" w:rsidRDefault="00380390" w:rsidP="00380390">
      <w:pPr>
        <w:pStyle w:val="Sansinterligne"/>
        <w:jc w:val="both"/>
      </w:pPr>
    </w:p>
    <w:p w14:paraId="10B8F6B5" w14:textId="21FFC19B" w:rsidR="00380390" w:rsidRDefault="00015E94" w:rsidP="00380390">
      <w:pPr>
        <w:pStyle w:val="Sansinterligne"/>
        <w:jc w:val="both"/>
      </w:pPr>
      <w:r>
        <w:rPr>
          <w:noProof/>
        </w:rPr>
        <w:drawing>
          <wp:inline distT="0" distB="0" distL="0" distR="0" wp14:anchorId="6BB31FC3" wp14:editId="2B5B54C8">
            <wp:extent cx="2723980" cy="3657600"/>
            <wp:effectExtent l="0" t="0" r="63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5644" r="71429" b="26154"/>
                    <a:stretch/>
                  </pic:blipFill>
                  <pic:spPr bwMode="auto">
                    <a:xfrm>
                      <a:off x="0" y="0"/>
                      <a:ext cx="2735724" cy="3673369"/>
                    </a:xfrm>
                    <a:prstGeom prst="rect">
                      <a:avLst/>
                    </a:prstGeom>
                    <a:ln>
                      <a:noFill/>
                    </a:ln>
                    <a:extLst>
                      <a:ext uri="{53640926-AAD7-44D8-BBD7-CCE9431645EC}">
                        <a14:shadowObscured xmlns:a14="http://schemas.microsoft.com/office/drawing/2010/main"/>
                      </a:ext>
                    </a:extLst>
                  </pic:spPr>
                </pic:pic>
              </a:graphicData>
            </a:graphic>
          </wp:inline>
        </w:drawing>
      </w:r>
    </w:p>
    <w:p w14:paraId="6B7ABEE6" w14:textId="77777777" w:rsidR="003D00EB" w:rsidRDefault="003D00EB" w:rsidP="00380390">
      <w:pPr>
        <w:pStyle w:val="Sansinterligne"/>
        <w:jc w:val="both"/>
      </w:pPr>
    </w:p>
    <w:p w14:paraId="5EFA7A9C" w14:textId="77777777" w:rsidR="003D00EB" w:rsidRDefault="003D00EB" w:rsidP="00380390">
      <w:pPr>
        <w:pStyle w:val="Sansinterligne"/>
        <w:jc w:val="both"/>
      </w:pPr>
    </w:p>
    <w:p w14:paraId="4A3E92A8" w14:textId="77777777" w:rsidR="003D00EB" w:rsidRDefault="003D00EB" w:rsidP="00380390">
      <w:pPr>
        <w:pStyle w:val="Sansinterligne"/>
        <w:jc w:val="both"/>
      </w:pPr>
    </w:p>
    <w:p w14:paraId="5D8D04A8" w14:textId="77777777" w:rsidR="003D00EB" w:rsidRDefault="003D00EB" w:rsidP="00380390">
      <w:pPr>
        <w:pStyle w:val="Sansinterligne"/>
        <w:jc w:val="both"/>
      </w:pPr>
    </w:p>
    <w:p w14:paraId="05F881C4" w14:textId="77777777" w:rsidR="003D00EB" w:rsidRDefault="003D00EB" w:rsidP="00380390">
      <w:pPr>
        <w:pStyle w:val="Sansinterligne"/>
        <w:jc w:val="both"/>
      </w:pPr>
    </w:p>
    <w:p w14:paraId="299702CA" w14:textId="77777777" w:rsidR="003D00EB" w:rsidRDefault="003D00EB" w:rsidP="00380390">
      <w:pPr>
        <w:pStyle w:val="Sansinterligne"/>
        <w:jc w:val="both"/>
      </w:pPr>
    </w:p>
    <w:p w14:paraId="2152B6E8" w14:textId="77777777" w:rsidR="003D00EB" w:rsidRDefault="003D00EB" w:rsidP="00380390">
      <w:pPr>
        <w:pStyle w:val="Sansinterligne"/>
        <w:jc w:val="both"/>
      </w:pPr>
    </w:p>
    <w:p w14:paraId="7D3FAC9B" w14:textId="77777777" w:rsidR="003D00EB" w:rsidRDefault="003D00EB" w:rsidP="00380390">
      <w:pPr>
        <w:pStyle w:val="Sansinterligne"/>
        <w:jc w:val="both"/>
      </w:pPr>
    </w:p>
    <w:p w14:paraId="0ECDBDB5" w14:textId="77777777" w:rsidR="003D00EB" w:rsidRDefault="003D00EB" w:rsidP="00380390">
      <w:pPr>
        <w:pStyle w:val="Sansinterligne"/>
        <w:jc w:val="both"/>
      </w:pPr>
    </w:p>
    <w:p w14:paraId="05F384ED" w14:textId="77777777" w:rsidR="003D00EB" w:rsidRDefault="003D00EB" w:rsidP="00380390">
      <w:pPr>
        <w:pStyle w:val="Sansinterligne"/>
        <w:jc w:val="both"/>
      </w:pPr>
    </w:p>
    <w:p w14:paraId="6A3F261A" w14:textId="77777777" w:rsidR="003D00EB" w:rsidRDefault="003D00EB" w:rsidP="00380390">
      <w:pPr>
        <w:pStyle w:val="Sansinterligne"/>
        <w:jc w:val="both"/>
      </w:pPr>
    </w:p>
    <w:p w14:paraId="13A5A185" w14:textId="77777777" w:rsidR="003D00EB" w:rsidRDefault="003D00EB" w:rsidP="00380390">
      <w:pPr>
        <w:pStyle w:val="Sansinterligne"/>
        <w:jc w:val="both"/>
      </w:pPr>
    </w:p>
    <w:p w14:paraId="54321846" w14:textId="77777777" w:rsidR="003D00EB" w:rsidRDefault="003D00EB" w:rsidP="00380390">
      <w:pPr>
        <w:pStyle w:val="Sansinterligne"/>
        <w:jc w:val="both"/>
      </w:pPr>
    </w:p>
    <w:p w14:paraId="20DA0EAC" w14:textId="77777777" w:rsidR="003D00EB" w:rsidRDefault="003D00EB" w:rsidP="00380390">
      <w:pPr>
        <w:pStyle w:val="Sansinterligne"/>
        <w:jc w:val="both"/>
      </w:pPr>
    </w:p>
    <w:p w14:paraId="68719CC5" w14:textId="77777777" w:rsidR="003D00EB" w:rsidRDefault="003D00EB" w:rsidP="00380390">
      <w:pPr>
        <w:pStyle w:val="Sansinterligne"/>
        <w:jc w:val="both"/>
      </w:pPr>
    </w:p>
    <w:p w14:paraId="66985EB0" w14:textId="77777777" w:rsidR="0005362A" w:rsidRDefault="0005362A" w:rsidP="00380390">
      <w:pPr>
        <w:pStyle w:val="Sansinterligne"/>
        <w:jc w:val="both"/>
      </w:pPr>
    </w:p>
    <w:p w14:paraId="7E757A26" w14:textId="77777777" w:rsidR="0005362A" w:rsidRDefault="0005362A" w:rsidP="00380390">
      <w:pPr>
        <w:pStyle w:val="Sansinterligne"/>
        <w:jc w:val="both"/>
      </w:pPr>
    </w:p>
    <w:p w14:paraId="69982BEC" w14:textId="77777777" w:rsidR="003D00EB" w:rsidRDefault="003D00EB" w:rsidP="00380390">
      <w:pPr>
        <w:pStyle w:val="Sansinterligne"/>
        <w:jc w:val="both"/>
      </w:pPr>
    </w:p>
    <w:p w14:paraId="0DD9EE54" w14:textId="77777777" w:rsidR="003D00EB" w:rsidRDefault="003D00EB" w:rsidP="00380390">
      <w:pPr>
        <w:pStyle w:val="Sansinterligne"/>
        <w:jc w:val="both"/>
      </w:pPr>
    </w:p>
    <w:p w14:paraId="7C98CE13" w14:textId="77777777" w:rsidR="003D00EB" w:rsidRDefault="003D00EB" w:rsidP="00380390">
      <w:pPr>
        <w:pStyle w:val="Sansinterligne"/>
        <w:jc w:val="both"/>
      </w:pPr>
    </w:p>
    <w:p w14:paraId="0D26ACA3" w14:textId="77777777" w:rsidR="003D00EB" w:rsidRDefault="003D00EB" w:rsidP="00380390">
      <w:pPr>
        <w:pStyle w:val="Sansinterligne"/>
        <w:jc w:val="both"/>
      </w:pPr>
    </w:p>
    <w:p w14:paraId="22DD3A99" w14:textId="07A108BC" w:rsidR="00380390" w:rsidRPr="003D00EB" w:rsidRDefault="0046359E" w:rsidP="00380390">
      <w:pPr>
        <w:pStyle w:val="Sansinterligne"/>
        <w:jc w:val="both"/>
        <w:rPr>
          <w:rFonts w:asciiTheme="minorHAnsi" w:hAnsiTheme="minorHAnsi"/>
        </w:rPr>
      </w:pPr>
      <w:r w:rsidRPr="003924FB">
        <w:rPr>
          <w:b/>
        </w:rPr>
        <w:lastRenderedPageBreak/>
        <w:t>Figure 3</w:t>
      </w:r>
      <w:r w:rsidRPr="0046359E">
        <w:t> </w:t>
      </w:r>
      <w:r w:rsidR="003D00EB" w:rsidRPr="0046359E">
        <w:t>: neutrophile</w:t>
      </w:r>
      <w:r w:rsidRPr="003D00EB">
        <w:rPr>
          <w:rFonts w:asciiTheme="minorHAnsi" w:hAnsiTheme="minorHAnsi"/>
        </w:rPr>
        <w:t xml:space="preserve"> hypersegmenté sur déficit en B12</w:t>
      </w:r>
      <w:r w:rsidR="003D00EB" w:rsidRPr="003D00EB">
        <w:rPr>
          <w:rFonts w:asciiTheme="minorHAnsi" w:hAnsiTheme="minorHAnsi"/>
        </w:rPr>
        <w:t xml:space="preserve">. </w:t>
      </w:r>
    </w:p>
    <w:p w14:paraId="482CFCEB" w14:textId="77777777" w:rsidR="0046359E" w:rsidRDefault="0046359E" w:rsidP="00380390">
      <w:pPr>
        <w:pStyle w:val="Sansinterligne"/>
        <w:jc w:val="both"/>
      </w:pPr>
    </w:p>
    <w:p w14:paraId="00EFA53B" w14:textId="77777777" w:rsidR="0046359E" w:rsidRDefault="0046359E" w:rsidP="00380390">
      <w:pPr>
        <w:pStyle w:val="Sansinterligne"/>
        <w:jc w:val="both"/>
      </w:pPr>
    </w:p>
    <w:p w14:paraId="04A28475" w14:textId="77777777" w:rsidR="0046359E" w:rsidRDefault="0046359E" w:rsidP="00380390">
      <w:pPr>
        <w:pStyle w:val="Sansinterligne"/>
        <w:jc w:val="both"/>
      </w:pPr>
    </w:p>
    <w:p w14:paraId="69C01C92" w14:textId="77777777" w:rsidR="0046359E" w:rsidRPr="0046359E" w:rsidRDefault="0046359E" w:rsidP="00380390">
      <w:pPr>
        <w:pStyle w:val="Sansinterligne"/>
        <w:jc w:val="both"/>
      </w:pPr>
    </w:p>
    <w:p w14:paraId="1C1DC5F1" w14:textId="598774B2" w:rsidR="00380390" w:rsidRDefault="0046359E" w:rsidP="00380390">
      <w:pPr>
        <w:pStyle w:val="Sansinterligne"/>
        <w:jc w:val="both"/>
      </w:pPr>
      <w:r>
        <w:rPr>
          <w:noProof/>
        </w:rPr>
        <w:drawing>
          <wp:inline distT="0" distB="0" distL="0" distR="0" wp14:anchorId="3C94C82D" wp14:editId="78E64356">
            <wp:extent cx="2272046" cy="1916583"/>
            <wp:effectExtent l="0" t="0" r="0" b="762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53" t="29216" r="92850" b="61043"/>
                    <a:stretch/>
                  </pic:blipFill>
                  <pic:spPr bwMode="auto">
                    <a:xfrm>
                      <a:off x="0" y="0"/>
                      <a:ext cx="2285255" cy="1927726"/>
                    </a:xfrm>
                    <a:prstGeom prst="rect">
                      <a:avLst/>
                    </a:prstGeom>
                    <a:ln>
                      <a:noFill/>
                    </a:ln>
                    <a:extLst>
                      <a:ext uri="{53640926-AAD7-44D8-BBD7-CCE9431645EC}">
                        <a14:shadowObscured xmlns:a14="http://schemas.microsoft.com/office/drawing/2010/main"/>
                      </a:ext>
                    </a:extLst>
                  </pic:spPr>
                </pic:pic>
              </a:graphicData>
            </a:graphic>
          </wp:inline>
        </w:drawing>
      </w:r>
    </w:p>
    <w:p w14:paraId="3D3F7788" w14:textId="77777777" w:rsidR="00380390" w:rsidRDefault="00380390" w:rsidP="00380390">
      <w:pPr>
        <w:pStyle w:val="Sansinterligne"/>
        <w:jc w:val="both"/>
      </w:pPr>
    </w:p>
    <w:p w14:paraId="46D97319" w14:textId="77777777" w:rsidR="00380390" w:rsidRDefault="00380390" w:rsidP="00380390">
      <w:pPr>
        <w:pStyle w:val="Sansinterligne"/>
        <w:jc w:val="both"/>
      </w:pPr>
    </w:p>
    <w:p w14:paraId="1F2165FE" w14:textId="77777777" w:rsidR="00380390" w:rsidRDefault="00380390" w:rsidP="00380390">
      <w:pPr>
        <w:pStyle w:val="Sansinterligne"/>
        <w:jc w:val="both"/>
      </w:pPr>
    </w:p>
    <w:p w14:paraId="5F5287EE" w14:textId="77777777" w:rsidR="00380390" w:rsidRDefault="00380390" w:rsidP="00380390">
      <w:pPr>
        <w:pStyle w:val="Sansinterligne"/>
        <w:jc w:val="both"/>
      </w:pPr>
    </w:p>
    <w:p w14:paraId="7C359A50" w14:textId="77777777" w:rsidR="00380390" w:rsidRDefault="00380390" w:rsidP="00380390">
      <w:pPr>
        <w:pStyle w:val="Sansinterligne"/>
        <w:jc w:val="both"/>
      </w:pPr>
    </w:p>
    <w:p w14:paraId="2F6DDBA3" w14:textId="77777777" w:rsidR="00440204" w:rsidRDefault="00440204" w:rsidP="00380390">
      <w:pPr>
        <w:pStyle w:val="Sansinterligne"/>
        <w:jc w:val="both"/>
      </w:pPr>
    </w:p>
    <w:p w14:paraId="248FB756" w14:textId="77777777" w:rsidR="00440204" w:rsidRDefault="00440204" w:rsidP="00380390">
      <w:pPr>
        <w:pStyle w:val="Sansinterligne"/>
        <w:jc w:val="both"/>
      </w:pPr>
    </w:p>
    <w:p w14:paraId="38791DC8" w14:textId="77777777" w:rsidR="00440204" w:rsidRDefault="00440204" w:rsidP="00380390">
      <w:pPr>
        <w:pStyle w:val="Sansinterligne"/>
        <w:jc w:val="both"/>
      </w:pPr>
    </w:p>
    <w:p w14:paraId="19785CB2" w14:textId="77777777" w:rsidR="00440204" w:rsidRDefault="00440204" w:rsidP="00380390">
      <w:pPr>
        <w:pStyle w:val="Sansinterligne"/>
        <w:jc w:val="both"/>
      </w:pPr>
    </w:p>
    <w:p w14:paraId="3988E6BD" w14:textId="77777777" w:rsidR="00440204" w:rsidRDefault="00440204" w:rsidP="00380390">
      <w:pPr>
        <w:pStyle w:val="Sansinterligne"/>
        <w:jc w:val="both"/>
      </w:pPr>
    </w:p>
    <w:p w14:paraId="5408C4D7" w14:textId="77777777" w:rsidR="00440204" w:rsidRDefault="00440204" w:rsidP="00380390">
      <w:pPr>
        <w:pStyle w:val="Sansinterligne"/>
        <w:jc w:val="both"/>
      </w:pPr>
    </w:p>
    <w:p w14:paraId="6F744053" w14:textId="77777777" w:rsidR="00380390" w:rsidRDefault="00380390" w:rsidP="00380390">
      <w:pPr>
        <w:pStyle w:val="Sansinterligne"/>
        <w:jc w:val="both"/>
      </w:pPr>
    </w:p>
    <w:p w14:paraId="59D49049" w14:textId="77777777" w:rsidR="00380390" w:rsidRDefault="00380390" w:rsidP="00380390">
      <w:pPr>
        <w:pStyle w:val="Sansinterligne"/>
        <w:jc w:val="both"/>
      </w:pPr>
    </w:p>
    <w:p w14:paraId="47D8D21D" w14:textId="77777777" w:rsidR="003D00EB" w:rsidRDefault="003D00EB" w:rsidP="00380390">
      <w:pPr>
        <w:pStyle w:val="Sansinterligne"/>
        <w:jc w:val="both"/>
      </w:pPr>
    </w:p>
    <w:p w14:paraId="640176C1" w14:textId="77777777" w:rsidR="003D00EB" w:rsidRDefault="003D00EB" w:rsidP="00380390">
      <w:pPr>
        <w:pStyle w:val="Sansinterligne"/>
        <w:jc w:val="both"/>
      </w:pPr>
    </w:p>
    <w:p w14:paraId="2735AA40" w14:textId="77777777" w:rsidR="003D00EB" w:rsidRDefault="003D00EB" w:rsidP="00380390">
      <w:pPr>
        <w:pStyle w:val="Sansinterligne"/>
        <w:jc w:val="both"/>
      </w:pPr>
    </w:p>
    <w:p w14:paraId="50D10E73" w14:textId="77777777" w:rsidR="003D00EB" w:rsidRDefault="003D00EB" w:rsidP="00380390">
      <w:pPr>
        <w:pStyle w:val="Sansinterligne"/>
        <w:jc w:val="both"/>
      </w:pPr>
    </w:p>
    <w:p w14:paraId="7F242A44" w14:textId="77777777" w:rsidR="003D00EB" w:rsidRDefault="003D00EB" w:rsidP="00380390">
      <w:pPr>
        <w:pStyle w:val="Sansinterligne"/>
        <w:jc w:val="both"/>
      </w:pPr>
    </w:p>
    <w:p w14:paraId="29766066" w14:textId="77777777" w:rsidR="003D00EB" w:rsidRDefault="003D00EB" w:rsidP="00380390">
      <w:pPr>
        <w:pStyle w:val="Sansinterligne"/>
        <w:jc w:val="both"/>
      </w:pPr>
    </w:p>
    <w:p w14:paraId="3D5CFFE6" w14:textId="77777777" w:rsidR="003D00EB" w:rsidRDefault="003D00EB" w:rsidP="00380390">
      <w:pPr>
        <w:pStyle w:val="Sansinterligne"/>
        <w:jc w:val="both"/>
      </w:pPr>
    </w:p>
    <w:p w14:paraId="33D1E20A" w14:textId="77777777" w:rsidR="003D00EB" w:rsidRDefault="003D00EB" w:rsidP="00380390">
      <w:pPr>
        <w:pStyle w:val="Sansinterligne"/>
        <w:jc w:val="both"/>
      </w:pPr>
    </w:p>
    <w:p w14:paraId="15D9580D" w14:textId="77777777" w:rsidR="003D00EB" w:rsidRDefault="003D00EB" w:rsidP="00380390">
      <w:pPr>
        <w:pStyle w:val="Sansinterligne"/>
        <w:jc w:val="both"/>
      </w:pPr>
    </w:p>
    <w:p w14:paraId="4E13A9F6" w14:textId="77777777" w:rsidR="003D00EB" w:rsidRDefault="003D00EB" w:rsidP="00380390">
      <w:pPr>
        <w:pStyle w:val="Sansinterligne"/>
        <w:jc w:val="both"/>
      </w:pPr>
    </w:p>
    <w:p w14:paraId="636C27E5" w14:textId="77777777" w:rsidR="003D00EB" w:rsidRDefault="003D00EB" w:rsidP="00380390">
      <w:pPr>
        <w:pStyle w:val="Sansinterligne"/>
        <w:jc w:val="both"/>
      </w:pPr>
    </w:p>
    <w:p w14:paraId="47435AC0" w14:textId="77777777" w:rsidR="003D00EB" w:rsidRDefault="003D00EB" w:rsidP="00380390">
      <w:pPr>
        <w:pStyle w:val="Sansinterligne"/>
        <w:jc w:val="both"/>
      </w:pPr>
    </w:p>
    <w:p w14:paraId="7DFD5A6D" w14:textId="77777777" w:rsidR="003D00EB" w:rsidRDefault="003D00EB" w:rsidP="00380390">
      <w:pPr>
        <w:pStyle w:val="Sansinterligne"/>
        <w:jc w:val="both"/>
      </w:pPr>
    </w:p>
    <w:p w14:paraId="7B831043" w14:textId="77777777" w:rsidR="003D00EB" w:rsidRDefault="003D00EB" w:rsidP="00380390">
      <w:pPr>
        <w:pStyle w:val="Sansinterligne"/>
        <w:jc w:val="both"/>
      </w:pPr>
    </w:p>
    <w:p w14:paraId="6E13E687" w14:textId="77777777" w:rsidR="003D00EB" w:rsidRDefault="003D00EB" w:rsidP="00380390">
      <w:pPr>
        <w:pStyle w:val="Sansinterligne"/>
        <w:jc w:val="both"/>
      </w:pPr>
    </w:p>
    <w:p w14:paraId="0C7FC38E" w14:textId="77777777" w:rsidR="003D00EB" w:rsidRDefault="003D00EB" w:rsidP="00380390">
      <w:pPr>
        <w:pStyle w:val="Sansinterligne"/>
        <w:jc w:val="both"/>
      </w:pPr>
    </w:p>
    <w:p w14:paraId="4AB01C28" w14:textId="77777777" w:rsidR="00380390" w:rsidRDefault="00380390" w:rsidP="00380390">
      <w:pPr>
        <w:pStyle w:val="Sansinterligne"/>
        <w:jc w:val="both"/>
      </w:pPr>
    </w:p>
    <w:p w14:paraId="613509FD" w14:textId="77777777" w:rsidR="00380390" w:rsidRDefault="00380390" w:rsidP="00380390">
      <w:pPr>
        <w:pStyle w:val="Sansinterligne"/>
        <w:jc w:val="both"/>
      </w:pPr>
    </w:p>
    <w:sdt>
      <w:sdtPr>
        <w:rPr>
          <w:rFonts w:asciiTheme="minorHAnsi" w:eastAsiaTheme="minorHAnsi" w:hAnsiTheme="minorHAnsi" w:cstheme="minorBidi"/>
          <w:b w:val="0"/>
          <w:bCs w:val="0"/>
          <w:color w:val="auto"/>
          <w:sz w:val="22"/>
          <w:szCs w:val="22"/>
        </w:rPr>
        <w:id w:val="-1163730457"/>
        <w:docPartObj>
          <w:docPartGallery w:val="Bibliographies"/>
          <w:docPartUnique/>
        </w:docPartObj>
      </w:sdtPr>
      <w:sdtEndPr>
        <w:rPr>
          <w:rFonts w:cs="Arial"/>
          <w:color w:val="000000"/>
          <w:lang w:val="fr-FR"/>
        </w:rPr>
      </w:sdtEndPr>
      <w:sdtContent>
        <w:p w14:paraId="4ACD187C" w14:textId="77777777" w:rsidR="00A26BF8" w:rsidRPr="00B30439" w:rsidRDefault="00A26BF8" w:rsidP="00070972">
          <w:pPr>
            <w:pStyle w:val="Titre1"/>
            <w:jc w:val="both"/>
            <w:rPr>
              <w:color w:val="000000" w:themeColor="text1"/>
              <w:sz w:val="22"/>
              <w:szCs w:val="22"/>
              <w:lang w:val="en-US"/>
            </w:rPr>
          </w:pPr>
          <w:r w:rsidRPr="00B30439">
            <w:rPr>
              <w:color w:val="000000" w:themeColor="text1"/>
              <w:sz w:val="22"/>
              <w:szCs w:val="22"/>
              <w:lang w:val="en-US"/>
            </w:rPr>
            <w:t>Références</w:t>
          </w:r>
        </w:p>
        <w:p w14:paraId="39312444" w14:textId="77777777" w:rsidR="00380390" w:rsidRPr="00B30439" w:rsidRDefault="00380390" w:rsidP="00380390">
          <w:pPr>
            <w:rPr>
              <w:lang w:val="en-US"/>
            </w:rPr>
          </w:pPr>
        </w:p>
        <w:sdt>
          <w:sdtPr>
            <w:rPr>
              <w:lang w:val="fr-FR"/>
            </w:rPr>
            <w:id w:val="111145805"/>
            <w:bibliography/>
          </w:sdtPr>
          <w:sdtEndPr/>
          <w:sdtContent>
            <w:p w14:paraId="2D4908AA" w14:textId="77777777" w:rsidR="00A26BF8" w:rsidRPr="00B30439" w:rsidRDefault="00A26BF8" w:rsidP="00070972">
              <w:pPr>
                <w:pStyle w:val="Bibliographie"/>
                <w:jc w:val="both"/>
                <w:rPr>
                  <w:noProof/>
                  <w:lang w:val="en-US"/>
                </w:rPr>
              </w:pPr>
              <w:r w:rsidRPr="00B30439">
                <w:rPr>
                  <w:lang w:val="fr-FR"/>
                </w:rPr>
                <w:fldChar w:fldCharType="begin"/>
              </w:r>
              <w:r w:rsidRPr="00B30439">
                <w:rPr>
                  <w:lang w:val="en-US"/>
                </w:rPr>
                <w:instrText xml:space="preserve"> BIBLIOGRAPHY </w:instrText>
              </w:r>
              <w:r w:rsidRPr="00B30439">
                <w:rPr>
                  <w:lang w:val="fr-FR"/>
                </w:rPr>
                <w:fldChar w:fldCharType="separate"/>
              </w:r>
              <w:r w:rsidRPr="00B30439">
                <w:rPr>
                  <w:noProof/>
                  <w:lang w:val="en-US"/>
                </w:rPr>
                <w:t xml:space="preserve">1. </w:t>
              </w:r>
              <w:r w:rsidRPr="00B30439">
                <w:rPr>
                  <w:bCs/>
                  <w:noProof/>
                  <w:lang w:val="en-US"/>
                </w:rPr>
                <w:t>Scalabrino G, Peracchi M.</w:t>
              </w:r>
              <w:r w:rsidRPr="00B30439">
                <w:rPr>
                  <w:noProof/>
                  <w:lang w:val="en-US"/>
                </w:rPr>
                <w:t xml:space="preserve"> New insights into the pathophysiology of cobalamin deficiency. . </w:t>
              </w:r>
              <w:r w:rsidRPr="00B30439">
                <w:rPr>
                  <w:i/>
                  <w:iCs/>
                  <w:noProof/>
                  <w:lang w:val="en-US"/>
                </w:rPr>
                <w:t xml:space="preserve">Trends Mol Med. </w:t>
              </w:r>
              <w:r w:rsidRPr="00B30439">
                <w:rPr>
                  <w:noProof/>
                  <w:lang w:val="en-US"/>
                </w:rPr>
                <w:t>2006, pp. 247-54.</w:t>
              </w:r>
            </w:p>
            <w:p w14:paraId="65DE31EE" w14:textId="77777777" w:rsidR="00A26BF8" w:rsidRPr="00B30439" w:rsidRDefault="00A26BF8" w:rsidP="00070972">
              <w:pPr>
                <w:pStyle w:val="Bibliographie"/>
                <w:jc w:val="both"/>
                <w:rPr>
                  <w:noProof/>
                  <w:lang w:val="en-US"/>
                </w:rPr>
              </w:pPr>
              <w:r w:rsidRPr="00B30439">
                <w:rPr>
                  <w:noProof/>
                  <w:lang w:val="en-US"/>
                </w:rPr>
                <w:t xml:space="preserve">2. </w:t>
              </w:r>
              <w:r w:rsidRPr="00B30439">
                <w:rPr>
                  <w:bCs/>
                  <w:noProof/>
                  <w:lang w:val="en-US"/>
                </w:rPr>
                <w:t>Andrès E, Federici L, Serraj K, Kaltenbach G.</w:t>
              </w:r>
              <w:r w:rsidRPr="00B30439">
                <w:rPr>
                  <w:noProof/>
                  <w:lang w:val="en-US"/>
                </w:rPr>
                <w:t xml:space="preserve"> Update of nutrient-deficiency anemia in elderly patients. </w:t>
              </w:r>
              <w:r w:rsidRPr="00B30439">
                <w:rPr>
                  <w:i/>
                  <w:iCs/>
                  <w:noProof/>
                  <w:lang w:val="en-US"/>
                </w:rPr>
                <w:t xml:space="preserve">Eur J Intern Med. . </w:t>
              </w:r>
              <w:r w:rsidRPr="00B30439">
                <w:rPr>
                  <w:noProof/>
                  <w:lang w:val="en-US"/>
                </w:rPr>
                <w:t>nov 2008 , pp. 488-93.</w:t>
              </w:r>
            </w:p>
            <w:p w14:paraId="182E5EF1" w14:textId="77777777" w:rsidR="00A26BF8" w:rsidRPr="00B30439" w:rsidRDefault="00A26BF8" w:rsidP="00070972">
              <w:pPr>
                <w:pStyle w:val="Bibliographie"/>
                <w:jc w:val="both"/>
                <w:rPr>
                  <w:noProof/>
                </w:rPr>
              </w:pPr>
              <w:r w:rsidRPr="00B30439">
                <w:rPr>
                  <w:noProof/>
                  <w:lang w:val="en-US"/>
                </w:rPr>
                <w:t xml:space="preserve">3. </w:t>
              </w:r>
              <w:r w:rsidRPr="00B30439">
                <w:rPr>
                  <w:bCs/>
                  <w:noProof/>
                  <w:lang w:val="en-US"/>
                </w:rPr>
                <w:t>Rufenacht P, Mach-Pascual S, Iten A.</w:t>
              </w:r>
              <w:r w:rsidRPr="00B30439">
                <w:rPr>
                  <w:noProof/>
                  <w:lang w:val="en-US"/>
                </w:rPr>
                <w:t xml:space="preserve"> Hypovitaminose B12: challenge diagnostique et thérapeutique. . </w:t>
              </w:r>
              <w:r w:rsidRPr="00B30439">
                <w:rPr>
                  <w:i/>
                  <w:iCs/>
                  <w:noProof/>
                  <w:lang w:val="en-US"/>
                </w:rPr>
                <w:t xml:space="preserve">Rev Med Suisse. </w:t>
              </w:r>
              <w:r w:rsidRPr="00B30439">
                <w:rPr>
                  <w:noProof/>
                </w:rPr>
                <w:t>2008, pp. 2212-7.</w:t>
              </w:r>
            </w:p>
            <w:p w14:paraId="45FCF11B" w14:textId="77777777" w:rsidR="00A26BF8" w:rsidRPr="003D00EB" w:rsidRDefault="00A26BF8" w:rsidP="00070972">
              <w:pPr>
                <w:pStyle w:val="Bibliographie"/>
                <w:jc w:val="both"/>
                <w:rPr>
                  <w:noProof/>
                  <w:lang w:val="en-US"/>
                </w:rPr>
              </w:pPr>
              <w:r w:rsidRPr="00B30439">
                <w:rPr>
                  <w:noProof/>
                </w:rPr>
                <w:t xml:space="preserve">4. </w:t>
              </w:r>
              <w:r w:rsidRPr="00B30439">
                <w:rPr>
                  <w:bCs/>
                  <w:noProof/>
                </w:rPr>
                <w:t>Nicolas JP, Guéant JL.</w:t>
              </w:r>
              <w:r w:rsidRPr="00B30439">
                <w:rPr>
                  <w:noProof/>
                </w:rPr>
                <w:t xml:space="preserve"> Absorption, distribution et excrétion de la vitamine B12. . </w:t>
              </w:r>
              <w:r w:rsidRPr="003D00EB">
                <w:rPr>
                  <w:i/>
                  <w:iCs/>
                  <w:noProof/>
                  <w:lang w:val="en-US"/>
                </w:rPr>
                <w:t xml:space="preserve">Ann Gastroenterol Hepatol . </w:t>
              </w:r>
              <w:r w:rsidRPr="003D00EB">
                <w:rPr>
                  <w:noProof/>
                  <w:lang w:val="en-US"/>
                </w:rPr>
                <w:t>1994, pp. 270-6.</w:t>
              </w:r>
            </w:p>
            <w:p w14:paraId="13BA836F" w14:textId="77777777" w:rsidR="00A26BF8" w:rsidRPr="00B30439" w:rsidRDefault="00A26BF8" w:rsidP="00070972">
              <w:pPr>
                <w:pStyle w:val="Bibliographie"/>
                <w:jc w:val="both"/>
                <w:rPr>
                  <w:noProof/>
                  <w:lang w:val="en-US"/>
                </w:rPr>
              </w:pPr>
              <w:r w:rsidRPr="003D00EB">
                <w:rPr>
                  <w:noProof/>
                  <w:lang w:val="en-US"/>
                </w:rPr>
                <w:t xml:space="preserve">5. </w:t>
              </w:r>
              <w:r w:rsidRPr="003D00EB">
                <w:rPr>
                  <w:bCs/>
                  <w:noProof/>
                  <w:lang w:val="en-US"/>
                </w:rPr>
                <w:t>Beedholm-Ebsen R, van de Wetering K, Hardlei T, Nexø E, Borst P, Moestrup SK.</w:t>
              </w:r>
              <w:r w:rsidRPr="003D00EB">
                <w:rPr>
                  <w:noProof/>
                  <w:lang w:val="en-US"/>
                </w:rPr>
                <w:t xml:space="preserve"> </w:t>
              </w:r>
              <w:r w:rsidRPr="00B30439">
                <w:rPr>
                  <w:noProof/>
                  <w:lang w:val="en-US"/>
                </w:rPr>
                <w:t xml:space="preserve">Identification of multidrug resistance protein 1 (MRP1/ABCC1) as a molecular gate for cellular export of cobalamin. </w:t>
              </w:r>
              <w:r w:rsidRPr="00B30439">
                <w:rPr>
                  <w:i/>
                  <w:iCs/>
                  <w:noProof/>
                  <w:lang w:val="en-US"/>
                </w:rPr>
                <w:t xml:space="preserve">Blood. </w:t>
              </w:r>
              <w:r w:rsidRPr="00B30439">
                <w:rPr>
                  <w:noProof/>
                  <w:lang w:val="en-US"/>
                </w:rPr>
                <w:t>25 fevrier 2010, pp. 115(8):1632-9.</w:t>
              </w:r>
            </w:p>
            <w:p w14:paraId="7550FF01" w14:textId="77777777" w:rsidR="00A26BF8" w:rsidRPr="00B30439" w:rsidRDefault="00A26BF8" w:rsidP="00070972">
              <w:pPr>
                <w:pStyle w:val="Bibliographie"/>
                <w:jc w:val="both"/>
                <w:rPr>
                  <w:noProof/>
                </w:rPr>
              </w:pPr>
              <w:r w:rsidRPr="00B30439">
                <w:rPr>
                  <w:noProof/>
                  <w:lang w:val="en-US"/>
                </w:rPr>
                <w:t xml:space="preserve">6. </w:t>
              </w:r>
              <w:r w:rsidRPr="00B30439">
                <w:rPr>
                  <w:bCs/>
                  <w:noProof/>
                  <w:lang w:val="en-US"/>
                </w:rPr>
                <w:t>Andrès E, Affenberger S, Vinzio S, Noel E, Kaltenbach G, Schlienger JL.</w:t>
              </w:r>
              <w:r w:rsidRPr="00B30439">
                <w:rPr>
                  <w:noProof/>
                  <w:lang w:val="en-US"/>
                </w:rPr>
                <w:t xml:space="preserve"> </w:t>
              </w:r>
              <w:r w:rsidRPr="00B30439">
                <w:rPr>
                  <w:noProof/>
                </w:rPr>
                <w:t xml:space="preserve">Carences en vitamine B12 chez l’adulte : étiologies, manifestations cliniques et traitement. </w:t>
              </w:r>
              <w:r w:rsidRPr="00B30439">
                <w:rPr>
                  <w:i/>
                  <w:iCs/>
                  <w:noProof/>
                </w:rPr>
                <w:t xml:space="preserve">Rev Med Interne. </w:t>
              </w:r>
              <w:r w:rsidRPr="00B30439">
                <w:rPr>
                  <w:noProof/>
                </w:rPr>
                <w:t>2005, pp. 938-46.</w:t>
              </w:r>
            </w:p>
            <w:p w14:paraId="3F53C6B8" w14:textId="77777777" w:rsidR="00A26BF8" w:rsidRPr="00B30439" w:rsidRDefault="00A26BF8" w:rsidP="00070972">
              <w:pPr>
                <w:pStyle w:val="Bibliographie"/>
                <w:jc w:val="both"/>
                <w:rPr>
                  <w:noProof/>
                  <w:lang w:val="en-US"/>
                </w:rPr>
              </w:pPr>
              <w:r w:rsidRPr="00B30439">
                <w:rPr>
                  <w:noProof/>
                </w:rPr>
                <w:t xml:space="preserve">7. </w:t>
              </w:r>
              <w:r w:rsidRPr="00B30439">
                <w:rPr>
                  <w:bCs/>
                  <w:noProof/>
                </w:rPr>
                <w:t>Pautas E, Chérin P, De Jaeger C, Godeau P.</w:t>
              </w:r>
              <w:r w:rsidRPr="00B30439">
                <w:rPr>
                  <w:noProof/>
                </w:rPr>
                <w:t xml:space="preserve"> Carence en vitamine B12 chez le sujet âgé. </w:t>
              </w:r>
              <w:r w:rsidRPr="00B30439">
                <w:rPr>
                  <w:i/>
                  <w:iCs/>
                  <w:noProof/>
                  <w:lang w:val="en-US"/>
                </w:rPr>
                <w:t xml:space="preserve">Presse Med. </w:t>
              </w:r>
              <w:r w:rsidRPr="00B30439">
                <w:rPr>
                  <w:noProof/>
                  <w:lang w:val="en-US"/>
                </w:rPr>
                <w:t>1999, pp. 1767-70.</w:t>
              </w:r>
            </w:p>
            <w:p w14:paraId="0BFB5657" w14:textId="77777777" w:rsidR="00A26BF8" w:rsidRPr="00B30439" w:rsidRDefault="00A26BF8" w:rsidP="00070972">
              <w:pPr>
                <w:pStyle w:val="Bibliographie"/>
                <w:jc w:val="both"/>
                <w:rPr>
                  <w:noProof/>
                  <w:lang w:val="en-US"/>
                </w:rPr>
              </w:pPr>
              <w:r w:rsidRPr="00B30439">
                <w:rPr>
                  <w:noProof/>
                  <w:lang w:val="en-US"/>
                </w:rPr>
                <w:t xml:space="preserve">8. </w:t>
              </w:r>
              <w:r w:rsidRPr="00B30439">
                <w:rPr>
                  <w:bCs/>
                  <w:noProof/>
                  <w:lang w:val="en-US"/>
                </w:rPr>
                <w:t>Van Asselt DZ, Blom HJ, Zuiderent R, Wevers RA, Jakobs C, Van den Broek WJ.</w:t>
              </w:r>
              <w:r w:rsidRPr="00B30439">
                <w:rPr>
                  <w:noProof/>
                  <w:lang w:val="en-US"/>
                </w:rPr>
                <w:t xml:space="preserve"> Clinical significance of low cobalamin levels in older hospital patients. </w:t>
              </w:r>
              <w:r w:rsidRPr="00B30439">
                <w:rPr>
                  <w:i/>
                  <w:iCs/>
                  <w:noProof/>
                  <w:lang w:val="en-US"/>
                </w:rPr>
                <w:t xml:space="preserve">Neth J Med. </w:t>
              </w:r>
              <w:r w:rsidRPr="00B30439">
                <w:rPr>
                  <w:noProof/>
                  <w:lang w:val="en-US"/>
                </w:rPr>
                <w:t>2005, pp. 41-9.</w:t>
              </w:r>
            </w:p>
            <w:p w14:paraId="442C04BF" w14:textId="77777777" w:rsidR="00A26BF8" w:rsidRPr="00B30439" w:rsidRDefault="00A26BF8" w:rsidP="00070972">
              <w:pPr>
                <w:pStyle w:val="Bibliographie"/>
                <w:jc w:val="both"/>
                <w:rPr>
                  <w:noProof/>
                  <w:lang w:val="en-US"/>
                </w:rPr>
              </w:pPr>
              <w:r w:rsidRPr="00B30439">
                <w:rPr>
                  <w:noProof/>
                  <w:lang w:val="en-US"/>
                </w:rPr>
                <w:t xml:space="preserve">9. </w:t>
              </w:r>
              <w:r w:rsidRPr="00B30439">
                <w:rPr>
                  <w:bCs/>
                  <w:noProof/>
                  <w:lang w:val="en-US"/>
                </w:rPr>
                <w:t>Carmel, R.</w:t>
              </w:r>
              <w:r w:rsidRPr="00B30439">
                <w:rPr>
                  <w:noProof/>
                  <w:lang w:val="en-US"/>
                </w:rPr>
                <w:t xml:space="preserve"> Malabsorption of food cobalamin. </w:t>
              </w:r>
              <w:r w:rsidRPr="00B30439">
                <w:rPr>
                  <w:i/>
                  <w:iCs/>
                  <w:noProof/>
                  <w:lang w:val="en-US"/>
                </w:rPr>
                <w:t xml:space="preserve">Ballière’s Clin Haematol. </w:t>
              </w:r>
              <w:r w:rsidRPr="00B30439">
                <w:rPr>
                  <w:noProof/>
                  <w:lang w:val="en-US"/>
                </w:rPr>
                <w:t>1995, pp. 639-55.</w:t>
              </w:r>
            </w:p>
            <w:p w14:paraId="67BEF59E" w14:textId="77777777" w:rsidR="00A26BF8" w:rsidRPr="00B30439" w:rsidRDefault="00A26BF8" w:rsidP="00070972">
              <w:pPr>
                <w:pStyle w:val="Bibliographie"/>
                <w:jc w:val="both"/>
                <w:rPr>
                  <w:noProof/>
                  <w:lang w:val="en-US"/>
                </w:rPr>
              </w:pPr>
              <w:r w:rsidRPr="00B30439">
                <w:rPr>
                  <w:noProof/>
                  <w:lang w:val="en-US"/>
                </w:rPr>
                <w:t xml:space="preserve">10. </w:t>
              </w:r>
              <w:r w:rsidRPr="00B30439">
                <w:rPr>
                  <w:bCs/>
                  <w:noProof/>
                  <w:lang w:val="en-US"/>
                </w:rPr>
                <w:t>Kaptan K, Beyan C, Ural AU, Cetin T, Avcu F, Gulsen M.</w:t>
              </w:r>
              <w:r w:rsidRPr="00B30439">
                <w:rPr>
                  <w:noProof/>
                  <w:lang w:val="en-US"/>
                </w:rPr>
                <w:t xml:space="preserve"> Helicobacter pylori: is it a novel causative agent in vitamin B12 deficiency? </w:t>
              </w:r>
              <w:r w:rsidRPr="00B30439">
                <w:rPr>
                  <w:i/>
                  <w:iCs/>
                  <w:noProof/>
                  <w:lang w:val="en-US"/>
                </w:rPr>
                <w:t xml:space="preserve">Arch Intern Med. </w:t>
              </w:r>
              <w:r w:rsidRPr="00B30439">
                <w:rPr>
                  <w:noProof/>
                  <w:lang w:val="en-US"/>
                </w:rPr>
                <w:t>2000, pp. 1349-53.</w:t>
              </w:r>
            </w:p>
            <w:p w14:paraId="23E18D42" w14:textId="77777777" w:rsidR="00A26BF8" w:rsidRPr="00B30439" w:rsidRDefault="00A26BF8" w:rsidP="00070972">
              <w:pPr>
                <w:pStyle w:val="Bibliographie"/>
                <w:jc w:val="both"/>
                <w:rPr>
                  <w:noProof/>
                  <w:lang w:val="en-US"/>
                </w:rPr>
              </w:pPr>
              <w:r w:rsidRPr="00B30439">
                <w:rPr>
                  <w:noProof/>
                  <w:lang w:val="en-US"/>
                </w:rPr>
                <w:t xml:space="preserve">11. </w:t>
              </w:r>
              <w:r w:rsidRPr="00B30439">
                <w:rPr>
                  <w:bCs/>
                  <w:noProof/>
                  <w:lang w:val="en-US"/>
                </w:rPr>
                <w:t>Andrès E, Noël E, Abdelghani MB.</w:t>
              </w:r>
              <w:r w:rsidRPr="00B30439">
                <w:rPr>
                  <w:noProof/>
                  <w:lang w:val="en-US"/>
                </w:rPr>
                <w:t xml:space="preserve"> Vitamin B 12 deficiency associated with chronic acid suppression therapy. . </w:t>
              </w:r>
              <w:r w:rsidRPr="00B30439">
                <w:rPr>
                  <w:i/>
                  <w:iCs/>
                  <w:noProof/>
                  <w:lang w:val="en-US"/>
                </w:rPr>
                <w:t xml:space="preserve">Ann Pharmacother . </w:t>
              </w:r>
              <w:r w:rsidRPr="00B30439">
                <w:rPr>
                  <w:noProof/>
                  <w:lang w:val="en-US"/>
                </w:rPr>
                <w:t>2003.</w:t>
              </w:r>
            </w:p>
            <w:p w14:paraId="1EF4F52B" w14:textId="77777777" w:rsidR="00A26BF8" w:rsidRPr="00B30439" w:rsidRDefault="00A26BF8" w:rsidP="00070972">
              <w:pPr>
                <w:pStyle w:val="Bibliographie"/>
                <w:jc w:val="both"/>
                <w:rPr>
                  <w:noProof/>
                  <w:lang w:val="en-US"/>
                </w:rPr>
              </w:pPr>
              <w:r w:rsidRPr="00B30439">
                <w:rPr>
                  <w:noProof/>
                  <w:lang w:val="en-US"/>
                </w:rPr>
                <w:t xml:space="preserve">12. </w:t>
              </w:r>
              <w:r w:rsidRPr="00B30439">
                <w:rPr>
                  <w:bCs/>
                  <w:noProof/>
                  <w:lang w:val="en-US"/>
                </w:rPr>
                <w:t>Ting RZ, Szeto CC, Chan MH, Ma KK, Chow KM.</w:t>
              </w:r>
              <w:r w:rsidRPr="00B30439">
                <w:rPr>
                  <w:noProof/>
                  <w:lang w:val="en-US"/>
                </w:rPr>
                <w:t xml:space="preserve"> Risk factors of vitamin B12 deficiency in patients receiving metformin. . </w:t>
              </w:r>
              <w:r w:rsidRPr="00B30439">
                <w:rPr>
                  <w:i/>
                  <w:iCs/>
                  <w:noProof/>
                  <w:lang w:val="en-US"/>
                </w:rPr>
                <w:t xml:space="preserve">Arch Intern Med. </w:t>
              </w:r>
              <w:r w:rsidRPr="00B30439">
                <w:rPr>
                  <w:noProof/>
                  <w:lang w:val="en-US"/>
                </w:rPr>
                <w:t>2006, pp. 1975-9.</w:t>
              </w:r>
            </w:p>
            <w:p w14:paraId="366E4472" w14:textId="77777777" w:rsidR="00A26BF8" w:rsidRPr="00B30439" w:rsidRDefault="00A26BF8" w:rsidP="00070972">
              <w:pPr>
                <w:pStyle w:val="Bibliographie"/>
                <w:jc w:val="both"/>
                <w:rPr>
                  <w:noProof/>
                  <w:lang w:val="en-US"/>
                </w:rPr>
              </w:pPr>
              <w:r w:rsidRPr="00B30439">
                <w:rPr>
                  <w:noProof/>
                  <w:lang w:val="en-US"/>
                </w:rPr>
                <w:t xml:space="preserve">13. </w:t>
              </w:r>
              <w:r w:rsidRPr="00B30439">
                <w:rPr>
                  <w:bCs/>
                  <w:noProof/>
                  <w:lang w:val="en-US"/>
                </w:rPr>
                <w:t>W A Bauman, S Shaw, E Jayatilleke, A M Spungen, V Herbert.</w:t>
              </w:r>
              <w:r w:rsidRPr="00B30439">
                <w:rPr>
                  <w:noProof/>
                  <w:lang w:val="en-US"/>
                </w:rPr>
                <w:t xml:space="preserve"> Increased intake of calcium reverses vitamin B12 malabsorption induced by metformin. </w:t>
              </w:r>
              <w:r w:rsidRPr="00B30439">
                <w:rPr>
                  <w:i/>
                  <w:iCs/>
                  <w:noProof/>
                  <w:lang w:val="en-US"/>
                </w:rPr>
                <w:t xml:space="preserve">Diabetes Care. </w:t>
              </w:r>
              <w:r w:rsidRPr="00B30439">
                <w:rPr>
                  <w:noProof/>
                  <w:lang w:val="en-US"/>
                </w:rPr>
                <w:t>2000, pp. 1227-1231.</w:t>
              </w:r>
            </w:p>
            <w:p w14:paraId="3F448A61" w14:textId="77777777" w:rsidR="00A26BF8" w:rsidRPr="00B30439" w:rsidRDefault="00A26BF8" w:rsidP="00070972">
              <w:pPr>
                <w:pStyle w:val="Bibliographie"/>
                <w:jc w:val="both"/>
                <w:rPr>
                  <w:noProof/>
                  <w:lang w:val="en-US"/>
                </w:rPr>
              </w:pPr>
              <w:r w:rsidRPr="00B30439">
                <w:rPr>
                  <w:noProof/>
                  <w:lang w:val="en-US"/>
                </w:rPr>
                <w:t xml:space="preserve">14. </w:t>
              </w:r>
              <w:r w:rsidRPr="00B30439">
                <w:rPr>
                  <w:bCs/>
                  <w:noProof/>
                  <w:lang w:val="en-US"/>
                </w:rPr>
                <w:t>Toh BH, van Driel IR, Gleeson PA.</w:t>
              </w:r>
              <w:r w:rsidRPr="00B30439">
                <w:rPr>
                  <w:noProof/>
                  <w:lang w:val="en-US"/>
                </w:rPr>
                <w:t xml:space="preserve"> Pernicious anemia. . </w:t>
              </w:r>
              <w:r w:rsidRPr="00B30439">
                <w:rPr>
                  <w:i/>
                  <w:iCs/>
                  <w:noProof/>
                  <w:lang w:val="en-US"/>
                </w:rPr>
                <w:t xml:space="preserve">N Engl J Med. </w:t>
              </w:r>
              <w:r w:rsidRPr="00B30439">
                <w:rPr>
                  <w:noProof/>
                  <w:lang w:val="en-US"/>
                </w:rPr>
                <w:t>1997, pp. 1441-8.</w:t>
              </w:r>
            </w:p>
            <w:p w14:paraId="437D7139" w14:textId="77777777" w:rsidR="00A26BF8" w:rsidRPr="00B30439" w:rsidRDefault="00A26BF8" w:rsidP="00070972">
              <w:pPr>
                <w:pStyle w:val="Bibliographie"/>
                <w:jc w:val="both"/>
                <w:rPr>
                  <w:noProof/>
                  <w:lang w:val="en-US"/>
                </w:rPr>
              </w:pPr>
              <w:r w:rsidRPr="00B30439">
                <w:rPr>
                  <w:noProof/>
                  <w:lang w:val="en-US"/>
                </w:rPr>
                <w:t xml:space="preserve">15. </w:t>
              </w:r>
              <w:r w:rsidRPr="00B30439">
                <w:rPr>
                  <w:bCs/>
                  <w:noProof/>
                  <w:lang w:val="en-US"/>
                </w:rPr>
                <w:t>Gräsbeck, R.</w:t>
              </w:r>
              <w:r w:rsidRPr="00B30439">
                <w:rPr>
                  <w:noProof/>
                  <w:lang w:val="en-US"/>
                </w:rPr>
                <w:t xml:space="preserve"> Imerslund-Gräsbeck syndrome (selective vitamin B12 malabsorption with proteinuria). </w:t>
              </w:r>
              <w:r w:rsidRPr="00B30439">
                <w:rPr>
                  <w:i/>
                  <w:iCs/>
                  <w:noProof/>
                  <w:lang w:val="en-US"/>
                </w:rPr>
                <w:t xml:space="preserve">Orphanet J Rare Dis . </w:t>
              </w:r>
              <w:r w:rsidRPr="00B30439">
                <w:rPr>
                  <w:noProof/>
                  <w:lang w:val="en-US"/>
                </w:rPr>
                <w:t>2006, pp. 1-6.</w:t>
              </w:r>
            </w:p>
            <w:p w14:paraId="3E6D6436" w14:textId="77777777" w:rsidR="00A26BF8" w:rsidRPr="00B30439" w:rsidRDefault="00A26BF8" w:rsidP="00070972">
              <w:pPr>
                <w:pStyle w:val="Bibliographie"/>
                <w:jc w:val="both"/>
                <w:rPr>
                  <w:noProof/>
                  <w:lang w:val="en-US"/>
                </w:rPr>
              </w:pPr>
              <w:r w:rsidRPr="00B30439">
                <w:rPr>
                  <w:noProof/>
                  <w:lang w:val="en-US"/>
                </w:rPr>
                <w:t xml:space="preserve">16. </w:t>
              </w:r>
              <w:r w:rsidRPr="00B30439">
                <w:rPr>
                  <w:bCs/>
                  <w:noProof/>
                  <w:lang w:val="en-US"/>
                </w:rPr>
                <w:t>Andrès E, Goichot B, Schlienger JL.</w:t>
              </w:r>
              <w:r w:rsidRPr="00B30439">
                <w:rPr>
                  <w:noProof/>
                  <w:lang w:val="en-US"/>
                </w:rPr>
                <w:t xml:space="preserve"> Food cobalamin malabsorption: a usual cause of vitamin B12 deficiency. </w:t>
              </w:r>
              <w:r w:rsidRPr="00B30439">
                <w:rPr>
                  <w:i/>
                  <w:iCs/>
                  <w:noProof/>
                  <w:lang w:val="en-US"/>
                </w:rPr>
                <w:t xml:space="preserve">Arch Intern Med. </w:t>
              </w:r>
              <w:r w:rsidRPr="00B30439">
                <w:rPr>
                  <w:noProof/>
                  <w:lang w:val="en-US"/>
                </w:rPr>
                <w:t>2000, pp. 2061-2.</w:t>
              </w:r>
            </w:p>
            <w:p w14:paraId="05AA308E" w14:textId="77777777" w:rsidR="00A26BF8" w:rsidRPr="00B30439" w:rsidRDefault="00A26BF8" w:rsidP="00070972">
              <w:pPr>
                <w:pStyle w:val="Bibliographie"/>
                <w:jc w:val="both"/>
                <w:rPr>
                  <w:noProof/>
                  <w:lang w:val="en-US"/>
                </w:rPr>
              </w:pPr>
              <w:r w:rsidRPr="00B30439">
                <w:rPr>
                  <w:noProof/>
                  <w:lang w:val="en-US"/>
                </w:rPr>
                <w:t xml:space="preserve">17. </w:t>
              </w:r>
              <w:r w:rsidRPr="00B30439">
                <w:rPr>
                  <w:bCs/>
                  <w:noProof/>
                  <w:lang w:val="en-US"/>
                </w:rPr>
                <w:t>Andrès E, Perrin AE, Demangeat C, Kurtz JE, Vinzio S, Grunenberger F.</w:t>
              </w:r>
              <w:r w:rsidRPr="00B30439">
                <w:rPr>
                  <w:noProof/>
                  <w:lang w:val="en-US"/>
                </w:rPr>
                <w:t xml:space="preserve"> The syndrome of food-cobalamin malabsorption revisited in a department of internal medicine. A monocentric cohort study of 80 patients. . </w:t>
              </w:r>
              <w:r w:rsidRPr="00B30439">
                <w:rPr>
                  <w:i/>
                  <w:iCs/>
                  <w:noProof/>
                  <w:lang w:val="en-US"/>
                </w:rPr>
                <w:t xml:space="preserve">Eur J Intern Med. </w:t>
              </w:r>
              <w:r w:rsidRPr="00B30439">
                <w:rPr>
                  <w:noProof/>
                  <w:lang w:val="en-US"/>
                </w:rPr>
                <w:t>2003, pp. 221-26.</w:t>
              </w:r>
            </w:p>
            <w:p w14:paraId="6D156F41" w14:textId="77777777" w:rsidR="00A26BF8" w:rsidRPr="00B30439" w:rsidRDefault="00A26BF8" w:rsidP="00070972">
              <w:pPr>
                <w:pStyle w:val="Bibliographie"/>
                <w:jc w:val="both"/>
                <w:rPr>
                  <w:noProof/>
                  <w:lang w:val="en-US"/>
                </w:rPr>
              </w:pPr>
              <w:r w:rsidRPr="00B30439">
                <w:rPr>
                  <w:noProof/>
                  <w:lang w:val="en-US"/>
                </w:rPr>
                <w:t xml:space="preserve">18. </w:t>
              </w:r>
              <w:r w:rsidRPr="00B30439">
                <w:rPr>
                  <w:bCs/>
                  <w:noProof/>
                  <w:lang w:val="en-US"/>
                </w:rPr>
                <w:t>Herbert, V.</w:t>
              </w:r>
              <w:r w:rsidRPr="00B30439">
                <w:rPr>
                  <w:noProof/>
                  <w:lang w:val="en-US"/>
                </w:rPr>
                <w:t xml:space="preserve"> Staging vitamin B-12 (cobalamin) status in vegetarians. </w:t>
              </w:r>
              <w:r w:rsidRPr="00B30439">
                <w:rPr>
                  <w:i/>
                  <w:iCs/>
                  <w:noProof/>
                  <w:lang w:val="en-US"/>
                </w:rPr>
                <w:t xml:space="preserve">Am J Clin Nutr. </w:t>
              </w:r>
              <w:r w:rsidRPr="00B30439">
                <w:rPr>
                  <w:noProof/>
                  <w:lang w:val="en-US"/>
                </w:rPr>
                <w:t>1994, pp. 1213S-22S.</w:t>
              </w:r>
            </w:p>
            <w:p w14:paraId="6A5A0F3D" w14:textId="77777777" w:rsidR="00A26BF8" w:rsidRPr="00B30439" w:rsidRDefault="00A26BF8" w:rsidP="00070972">
              <w:pPr>
                <w:pStyle w:val="Bibliographie"/>
                <w:jc w:val="both"/>
                <w:rPr>
                  <w:noProof/>
                </w:rPr>
              </w:pPr>
              <w:r w:rsidRPr="00B30439">
                <w:rPr>
                  <w:noProof/>
                  <w:lang w:val="en-US"/>
                </w:rPr>
                <w:lastRenderedPageBreak/>
                <w:t xml:space="preserve">19. </w:t>
              </w:r>
              <w:r w:rsidRPr="00B30439">
                <w:rPr>
                  <w:bCs/>
                  <w:noProof/>
                  <w:lang w:val="en-US"/>
                </w:rPr>
                <w:t>Solomon, LR.</w:t>
              </w:r>
              <w:r w:rsidRPr="00B30439">
                <w:rPr>
                  <w:noProof/>
                  <w:lang w:val="en-US"/>
                </w:rPr>
                <w:t xml:space="preserve"> Disorders of cobalamin (vitamin B12) metabolism: emerging concepts in pathophysiology, diagnosis and treatment. </w:t>
              </w:r>
              <w:r w:rsidRPr="00B30439">
                <w:rPr>
                  <w:i/>
                  <w:iCs/>
                  <w:noProof/>
                </w:rPr>
                <w:t xml:space="preserve">Blood Rev. </w:t>
              </w:r>
              <w:r w:rsidRPr="00B30439">
                <w:rPr>
                  <w:noProof/>
                </w:rPr>
                <w:t>2007, pp. 113-30.</w:t>
              </w:r>
            </w:p>
            <w:p w14:paraId="1C079677" w14:textId="77777777" w:rsidR="00A26BF8" w:rsidRPr="00B30439" w:rsidRDefault="00A26BF8" w:rsidP="00070972">
              <w:pPr>
                <w:pStyle w:val="Bibliographie"/>
                <w:jc w:val="both"/>
                <w:rPr>
                  <w:noProof/>
                  <w:lang w:val="en-US"/>
                </w:rPr>
              </w:pPr>
              <w:r w:rsidRPr="00B30439">
                <w:rPr>
                  <w:noProof/>
                </w:rPr>
                <w:t xml:space="preserve">20. </w:t>
              </w:r>
              <w:r w:rsidRPr="00B30439">
                <w:rPr>
                  <w:bCs/>
                  <w:noProof/>
                </w:rPr>
                <w:t>Federici L, Henoun Loukili N, Zimmer J, Affenberger S, Maloisel F, Andrès E.</w:t>
              </w:r>
              <w:r w:rsidRPr="00B30439">
                <w:rPr>
                  <w:noProof/>
                </w:rPr>
                <w:t xml:space="preserve"> Manifestations hématologiques de la carence en vitamine B12 : données personnelles et revue de la littérature. </w:t>
              </w:r>
              <w:r w:rsidRPr="00B30439">
                <w:rPr>
                  <w:i/>
                  <w:iCs/>
                  <w:noProof/>
                  <w:lang w:val="en-US"/>
                </w:rPr>
                <w:t xml:space="preserve">Rev Med Interne. </w:t>
              </w:r>
              <w:r w:rsidRPr="00B30439">
                <w:rPr>
                  <w:noProof/>
                  <w:lang w:val="en-US"/>
                </w:rPr>
                <w:t>2007, pp. 225-31.</w:t>
              </w:r>
            </w:p>
            <w:p w14:paraId="6A241E02" w14:textId="77777777" w:rsidR="00A26BF8" w:rsidRPr="00B30439" w:rsidRDefault="00A26BF8" w:rsidP="00070972">
              <w:pPr>
                <w:pStyle w:val="Bibliographie"/>
                <w:jc w:val="both"/>
                <w:rPr>
                  <w:noProof/>
                  <w:lang w:val="en-US"/>
                </w:rPr>
              </w:pPr>
              <w:r w:rsidRPr="00B30439">
                <w:rPr>
                  <w:noProof/>
                  <w:lang w:val="en-US"/>
                </w:rPr>
                <w:t xml:space="preserve">21. </w:t>
              </w:r>
              <w:r w:rsidRPr="00B30439">
                <w:rPr>
                  <w:bCs/>
                  <w:noProof/>
                  <w:lang w:val="en-US"/>
                </w:rPr>
                <w:t>Lindenbaum J, Healton EB, Savage DG, Brust JC, Garrett TJ, Podell ER.</w:t>
              </w:r>
              <w:r w:rsidRPr="00B30439">
                <w:rPr>
                  <w:noProof/>
                  <w:lang w:val="en-US"/>
                </w:rPr>
                <w:t xml:space="preserve"> Neuropsychiatric disorders caused by cobalamin defciency in the absence of anemia or macrocytosis. . </w:t>
              </w:r>
              <w:r w:rsidRPr="00B30439">
                <w:rPr>
                  <w:i/>
                  <w:iCs/>
                  <w:noProof/>
                  <w:lang w:val="en-US"/>
                </w:rPr>
                <w:t xml:space="preserve">N Engl J Med. </w:t>
              </w:r>
              <w:r w:rsidRPr="00B30439">
                <w:rPr>
                  <w:noProof/>
                  <w:lang w:val="en-US"/>
                </w:rPr>
                <w:t>1988, pp. 1720-8.</w:t>
              </w:r>
            </w:p>
            <w:p w14:paraId="06A01736" w14:textId="77777777" w:rsidR="00A26BF8" w:rsidRPr="00B30439" w:rsidRDefault="00A26BF8" w:rsidP="00070972">
              <w:pPr>
                <w:pStyle w:val="Bibliographie"/>
                <w:jc w:val="both"/>
                <w:rPr>
                  <w:noProof/>
                </w:rPr>
              </w:pPr>
              <w:r w:rsidRPr="00B30439">
                <w:rPr>
                  <w:noProof/>
                  <w:lang w:val="en-US"/>
                </w:rPr>
                <w:t xml:space="preserve">22. </w:t>
              </w:r>
              <w:r w:rsidRPr="00B30439">
                <w:rPr>
                  <w:bCs/>
                  <w:noProof/>
                  <w:lang w:val="en-US"/>
                </w:rPr>
                <w:t>Scalabrino G, Veber D, Mutti E.</w:t>
              </w:r>
              <w:r w:rsidRPr="00B30439">
                <w:rPr>
                  <w:noProof/>
                  <w:lang w:val="en-US"/>
                </w:rPr>
                <w:t xml:space="preserve"> New pathogenesis of the cobalamin-deficient neuropathy. . </w:t>
              </w:r>
              <w:r w:rsidRPr="00B30439">
                <w:rPr>
                  <w:i/>
                  <w:iCs/>
                  <w:noProof/>
                </w:rPr>
                <w:t xml:space="preserve">Med Secoli . </w:t>
              </w:r>
              <w:r w:rsidRPr="00B30439">
                <w:rPr>
                  <w:noProof/>
                </w:rPr>
                <w:t>2007, pp. 9-18.</w:t>
              </w:r>
            </w:p>
            <w:p w14:paraId="46A715FC" w14:textId="77777777" w:rsidR="00A26BF8" w:rsidRPr="00B30439" w:rsidRDefault="00A26BF8" w:rsidP="00070972">
              <w:pPr>
                <w:pStyle w:val="Bibliographie"/>
                <w:jc w:val="both"/>
                <w:rPr>
                  <w:noProof/>
                  <w:lang w:val="en-US"/>
                </w:rPr>
              </w:pPr>
              <w:r w:rsidRPr="00B30439">
                <w:rPr>
                  <w:noProof/>
                </w:rPr>
                <w:t xml:space="preserve">23. </w:t>
              </w:r>
              <w:r w:rsidRPr="00B30439">
                <w:rPr>
                  <w:bCs/>
                  <w:noProof/>
                </w:rPr>
                <w:t>Andrès E, Renaux V, Campos F, Oprea C, Sonntag-Fohrer C, Warter JM.</w:t>
              </w:r>
              <w:r w:rsidRPr="00B30439">
                <w:rPr>
                  <w:noProof/>
                </w:rPr>
                <w:t xml:space="preserve"> Troubles neurologiques isolés révélant une maladie de Biermer chez le sujet jeune. . </w:t>
              </w:r>
              <w:r w:rsidRPr="00B30439">
                <w:rPr>
                  <w:i/>
                  <w:iCs/>
                  <w:noProof/>
                  <w:lang w:val="en-US"/>
                </w:rPr>
                <w:t xml:space="preserve">Rev Med Interne . </w:t>
              </w:r>
              <w:r w:rsidRPr="00B30439">
                <w:rPr>
                  <w:noProof/>
                  <w:lang w:val="en-US"/>
                </w:rPr>
                <w:t>2001, pp. 389-93.</w:t>
              </w:r>
            </w:p>
            <w:p w14:paraId="13033433" w14:textId="77777777" w:rsidR="00A26BF8" w:rsidRPr="00B30439" w:rsidRDefault="00A26BF8" w:rsidP="00070972">
              <w:pPr>
                <w:pStyle w:val="Bibliographie"/>
                <w:jc w:val="both"/>
                <w:rPr>
                  <w:noProof/>
                  <w:lang w:val="en-US"/>
                </w:rPr>
              </w:pPr>
              <w:r w:rsidRPr="00B30439">
                <w:rPr>
                  <w:noProof/>
                  <w:lang w:val="en-US"/>
                </w:rPr>
                <w:t xml:space="preserve">24. </w:t>
              </w:r>
              <w:r w:rsidRPr="00B30439">
                <w:rPr>
                  <w:bCs/>
                  <w:noProof/>
                  <w:lang w:val="en-US"/>
                </w:rPr>
                <w:t>Scalabrino G, Veber D, Mutti E.</w:t>
              </w:r>
              <w:r w:rsidRPr="00B30439">
                <w:rPr>
                  <w:noProof/>
                  <w:lang w:val="en-US"/>
                </w:rPr>
                <w:t xml:space="preserve"> Experimental and clinical evidence of the role of cytokines and growth factors in the pathogenesis of acquired cobalamin-deficient leukoneuropathy. . </w:t>
              </w:r>
              <w:r w:rsidRPr="00B30439">
                <w:rPr>
                  <w:i/>
                  <w:iCs/>
                  <w:noProof/>
                  <w:lang w:val="en-US"/>
                </w:rPr>
                <w:t xml:space="preserve">Brain Res Rev. </w:t>
              </w:r>
              <w:r w:rsidRPr="00B30439">
                <w:rPr>
                  <w:noProof/>
                  <w:lang w:val="en-US"/>
                </w:rPr>
                <w:t>2008, pp. 42-54.</w:t>
              </w:r>
            </w:p>
            <w:p w14:paraId="7CF63F39" w14:textId="77777777" w:rsidR="00A26BF8" w:rsidRPr="00B30439" w:rsidRDefault="00A26BF8" w:rsidP="00070972">
              <w:pPr>
                <w:pStyle w:val="Bibliographie"/>
                <w:jc w:val="both"/>
                <w:rPr>
                  <w:noProof/>
                  <w:lang w:val="en-US"/>
                </w:rPr>
              </w:pPr>
              <w:r w:rsidRPr="00B30439">
                <w:rPr>
                  <w:noProof/>
                  <w:lang w:val="en-US"/>
                </w:rPr>
                <w:t xml:space="preserve">25. </w:t>
              </w:r>
              <w:r w:rsidRPr="00B30439">
                <w:rPr>
                  <w:bCs/>
                  <w:noProof/>
                  <w:lang w:val="en-US"/>
                </w:rPr>
                <w:t>Lonn E, Yusuf S, Arnold MJ, Sheridan P, Pogue J, Micks M, McQueen MJ, Probstfield J, Fodor G, Held C, Genest J Jr et Investigators., Heart Outcomes Prevention Evaluation (HOPE).</w:t>
              </w:r>
              <w:r w:rsidRPr="00B30439">
                <w:rPr>
                  <w:noProof/>
                  <w:lang w:val="en-US"/>
                </w:rPr>
                <w:t xml:space="preserve"> Homocysteine lowering with folic acid and B vitamins in vascular disease. </w:t>
              </w:r>
              <w:r w:rsidRPr="00B30439">
                <w:rPr>
                  <w:i/>
                  <w:iCs/>
                  <w:noProof/>
                  <w:lang w:val="en-US"/>
                </w:rPr>
                <w:t xml:space="preserve">N Engl J Med. </w:t>
              </w:r>
              <w:r w:rsidRPr="00B30439">
                <w:rPr>
                  <w:noProof/>
                  <w:lang w:val="en-US"/>
                </w:rPr>
                <w:t>2006 , 1567-77.</w:t>
              </w:r>
            </w:p>
            <w:p w14:paraId="0DE45E7A" w14:textId="77777777" w:rsidR="00A26BF8" w:rsidRPr="003D00EB" w:rsidRDefault="00A26BF8" w:rsidP="00070972">
              <w:pPr>
                <w:pStyle w:val="Bibliographie"/>
                <w:jc w:val="both"/>
                <w:rPr>
                  <w:noProof/>
                  <w:lang w:val="en-US"/>
                </w:rPr>
              </w:pPr>
              <w:r w:rsidRPr="00B30439">
                <w:rPr>
                  <w:noProof/>
                  <w:lang w:val="en-US"/>
                </w:rPr>
                <w:t xml:space="preserve">26. </w:t>
              </w:r>
              <w:r w:rsidRPr="00B30439">
                <w:rPr>
                  <w:bCs/>
                  <w:noProof/>
                  <w:lang w:val="en-US"/>
                </w:rPr>
                <w:t>Itoh I, Ikui A, Ikeda M, Tomita H, Souhei E.</w:t>
              </w:r>
              <w:r w:rsidRPr="00B30439">
                <w:rPr>
                  <w:noProof/>
                  <w:lang w:val="en-US"/>
                </w:rPr>
                <w:t xml:space="preserve"> Taste disorder involving Hunter’s glossitis following total gastrectomy. </w:t>
              </w:r>
              <w:r w:rsidRPr="003D00EB">
                <w:rPr>
                  <w:i/>
                  <w:iCs/>
                  <w:noProof/>
                  <w:lang w:val="en-US"/>
                </w:rPr>
                <w:t xml:space="preserve">Acta Otolaryngol. </w:t>
              </w:r>
              <w:r w:rsidRPr="003D00EB">
                <w:rPr>
                  <w:noProof/>
                  <w:lang w:val="en-US"/>
                </w:rPr>
                <w:t>2002, 159-63.</w:t>
              </w:r>
            </w:p>
            <w:p w14:paraId="0D093009" w14:textId="77777777" w:rsidR="00A26BF8" w:rsidRPr="00B30439" w:rsidRDefault="00A26BF8" w:rsidP="00070972">
              <w:pPr>
                <w:pStyle w:val="Bibliographie"/>
                <w:jc w:val="both"/>
                <w:rPr>
                  <w:noProof/>
                  <w:lang w:val="en-US"/>
                </w:rPr>
              </w:pPr>
              <w:r w:rsidRPr="003D00EB">
                <w:rPr>
                  <w:noProof/>
                  <w:lang w:val="en-US"/>
                </w:rPr>
                <w:t xml:space="preserve">27. </w:t>
              </w:r>
              <w:r w:rsidRPr="003D00EB">
                <w:rPr>
                  <w:bCs/>
                  <w:noProof/>
                  <w:lang w:val="en-US"/>
                </w:rPr>
                <w:t>Campana F, Sibaud V, Taieb A, Fricain JC.</w:t>
              </w:r>
              <w:r w:rsidRPr="003D00EB">
                <w:rPr>
                  <w:noProof/>
                  <w:lang w:val="en-US"/>
                </w:rPr>
                <w:t xml:space="preserve"> </w:t>
              </w:r>
              <w:r w:rsidRPr="00B30439">
                <w:rPr>
                  <w:noProof/>
                </w:rPr>
                <w:t xml:space="preserve">Manifestations buccales révélatrices d’un déficit en vitamine B12: à propos d’un cas. </w:t>
              </w:r>
              <w:r w:rsidRPr="00B30439">
                <w:rPr>
                  <w:i/>
                  <w:iCs/>
                  <w:noProof/>
                  <w:lang w:val="en-US"/>
                </w:rPr>
                <w:t xml:space="preserve">Med Buccale Chir Buccale. </w:t>
              </w:r>
              <w:r w:rsidRPr="00B30439">
                <w:rPr>
                  <w:noProof/>
                  <w:lang w:val="en-US"/>
                </w:rPr>
                <w:t>2007, pp. 213-7.</w:t>
              </w:r>
            </w:p>
            <w:p w14:paraId="34848836" w14:textId="77777777" w:rsidR="00A26BF8" w:rsidRPr="00B30439" w:rsidRDefault="00A26BF8" w:rsidP="00070972">
              <w:pPr>
                <w:pStyle w:val="Bibliographie"/>
                <w:jc w:val="both"/>
                <w:rPr>
                  <w:noProof/>
                </w:rPr>
              </w:pPr>
              <w:r w:rsidRPr="00B30439">
                <w:rPr>
                  <w:noProof/>
                  <w:lang w:val="en-US"/>
                </w:rPr>
                <w:t xml:space="preserve">28. </w:t>
              </w:r>
              <w:r w:rsidRPr="00B30439">
                <w:rPr>
                  <w:bCs/>
                  <w:noProof/>
                  <w:lang w:val="en-US"/>
                </w:rPr>
                <w:t>Field EA, Speechley JA, Rugman FR, Varga E, Tyldesley WR.</w:t>
              </w:r>
              <w:r w:rsidRPr="00B30439">
                <w:rPr>
                  <w:noProof/>
                  <w:lang w:val="en-US"/>
                </w:rPr>
                <w:t xml:space="preserve"> Oral signs and symptoms in patients with undiagnosed vitamin B12 deficiency. . </w:t>
              </w:r>
              <w:r w:rsidRPr="00B30439">
                <w:rPr>
                  <w:i/>
                  <w:iCs/>
                  <w:noProof/>
                </w:rPr>
                <w:t xml:space="preserve">J Oral Pathol Med ; . </w:t>
              </w:r>
              <w:r w:rsidRPr="00B30439">
                <w:rPr>
                  <w:noProof/>
                </w:rPr>
                <w:t>pp. 468-70.</w:t>
              </w:r>
            </w:p>
            <w:p w14:paraId="5B6A4945" w14:textId="77777777" w:rsidR="00A26BF8" w:rsidRPr="003D00EB" w:rsidRDefault="00A26BF8" w:rsidP="00070972">
              <w:pPr>
                <w:pStyle w:val="Bibliographie"/>
                <w:jc w:val="both"/>
                <w:rPr>
                  <w:noProof/>
                  <w:lang w:val="en-US"/>
                </w:rPr>
              </w:pPr>
              <w:r w:rsidRPr="00B30439">
                <w:rPr>
                  <w:noProof/>
                </w:rPr>
                <w:t xml:space="preserve">29. </w:t>
              </w:r>
              <w:r w:rsidRPr="00B30439">
                <w:rPr>
                  <w:bCs/>
                  <w:noProof/>
                </w:rPr>
                <w:t>Reygagne P, Kuffer R, Rybojad M, Dallot A, Vérola O, Brocheriou C.</w:t>
              </w:r>
              <w:r w:rsidRPr="00B30439">
                <w:rPr>
                  <w:noProof/>
                </w:rPr>
                <w:t xml:space="preserve"> Maladie de Biermer révélée par des manifestations buccales et génitales. . </w:t>
              </w:r>
              <w:r w:rsidRPr="003D00EB">
                <w:rPr>
                  <w:i/>
                  <w:iCs/>
                  <w:noProof/>
                  <w:lang w:val="en-US"/>
                </w:rPr>
                <w:t xml:space="preserve">Ann Dermatol Venereo. </w:t>
              </w:r>
              <w:r w:rsidRPr="003D00EB">
                <w:rPr>
                  <w:noProof/>
                  <w:lang w:val="en-US"/>
                </w:rPr>
                <w:t>1988, 115, pp. 821-5.</w:t>
              </w:r>
            </w:p>
            <w:p w14:paraId="1789CB1D" w14:textId="77777777" w:rsidR="00A26BF8" w:rsidRPr="00B30439" w:rsidRDefault="00A26BF8" w:rsidP="00070972">
              <w:pPr>
                <w:pStyle w:val="Bibliographie"/>
                <w:jc w:val="both"/>
                <w:rPr>
                  <w:noProof/>
                </w:rPr>
              </w:pPr>
              <w:r w:rsidRPr="003D00EB">
                <w:rPr>
                  <w:noProof/>
                  <w:lang w:val="en-US"/>
                </w:rPr>
                <w:t xml:space="preserve">30. </w:t>
              </w:r>
              <w:r w:rsidRPr="003D00EB">
                <w:rPr>
                  <w:bCs/>
                  <w:noProof/>
                  <w:lang w:val="en-US"/>
                </w:rPr>
                <w:t>Kaptan K, Beyan C, Ural AU, Cetin T, Avcu F, Gülşen M, Finci R, Yalçín A.</w:t>
              </w:r>
              <w:r w:rsidRPr="003D00EB">
                <w:rPr>
                  <w:noProof/>
                  <w:lang w:val="en-US"/>
                </w:rPr>
                <w:t xml:space="preserve"> Helicobacter pylori--is it a novel causative agent in Vitamin B12 deficiency? </w:t>
              </w:r>
              <w:r w:rsidRPr="00B30439">
                <w:rPr>
                  <w:i/>
                  <w:iCs/>
                  <w:noProof/>
                </w:rPr>
                <w:t xml:space="preserve">Arch Intern Med. . </w:t>
              </w:r>
              <w:r w:rsidRPr="00B30439">
                <w:rPr>
                  <w:noProof/>
                </w:rPr>
                <w:t>2000.</w:t>
              </w:r>
            </w:p>
            <w:p w14:paraId="1C41D25B" w14:textId="77777777" w:rsidR="00A26BF8" w:rsidRPr="00B30439" w:rsidRDefault="00A26BF8" w:rsidP="00070972">
              <w:pPr>
                <w:pStyle w:val="Bibliographie"/>
                <w:jc w:val="both"/>
                <w:rPr>
                  <w:noProof/>
                  <w:lang w:val="en-US"/>
                </w:rPr>
              </w:pPr>
              <w:r w:rsidRPr="00B30439">
                <w:rPr>
                  <w:noProof/>
                </w:rPr>
                <w:t xml:space="preserve">31. </w:t>
              </w:r>
              <w:r w:rsidRPr="00B30439">
                <w:rPr>
                  <w:bCs/>
                  <w:noProof/>
                </w:rPr>
                <w:t>Andrès E, Serraj K, Mecili M, Ciobanu E, Vogel T, Weitten T.</w:t>
              </w:r>
              <w:r w:rsidRPr="00B30439">
                <w:rPr>
                  <w:noProof/>
                </w:rPr>
                <w:t xml:space="preserve"> Mise au point sur la vitamine B12 administrée par voie orale. . </w:t>
              </w:r>
              <w:r w:rsidRPr="00B30439">
                <w:rPr>
                  <w:i/>
                  <w:iCs/>
                  <w:noProof/>
                  <w:lang w:val="en-US"/>
                </w:rPr>
                <w:t xml:space="preserve">Ann endocrinol . </w:t>
              </w:r>
              <w:r w:rsidRPr="00B30439">
                <w:rPr>
                  <w:noProof/>
                  <w:lang w:val="en-US"/>
                </w:rPr>
                <w:t>2009, 70.</w:t>
              </w:r>
            </w:p>
            <w:p w14:paraId="242FB717" w14:textId="77777777" w:rsidR="00A26BF8" w:rsidRPr="00B30439" w:rsidRDefault="00A26BF8" w:rsidP="00070972">
              <w:pPr>
                <w:pStyle w:val="Bibliographie"/>
                <w:jc w:val="both"/>
                <w:rPr>
                  <w:noProof/>
                  <w:lang w:val="en-US"/>
                </w:rPr>
              </w:pPr>
              <w:r w:rsidRPr="00B30439">
                <w:rPr>
                  <w:noProof/>
                  <w:lang w:val="en-US"/>
                </w:rPr>
                <w:t xml:space="preserve">32. </w:t>
              </w:r>
              <w:r w:rsidRPr="00B30439">
                <w:rPr>
                  <w:bCs/>
                  <w:noProof/>
                  <w:lang w:val="en-US"/>
                </w:rPr>
                <w:t>Hvas AM, Nexo E.</w:t>
              </w:r>
              <w:r w:rsidRPr="00B30439">
                <w:rPr>
                  <w:noProof/>
                  <w:lang w:val="en-US"/>
                </w:rPr>
                <w:t xml:space="preserve"> Diagnosis and treatment of vitamin B12 deficiency--an update. </w:t>
              </w:r>
              <w:r w:rsidRPr="00B30439">
                <w:rPr>
                  <w:i/>
                  <w:iCs/>
                  <w:noProof/>
                  <w:lang w:val="en-US"/>
                </w:rPr>
                <w:t xml:space="preserve">Haematologica. </w:t>
              </w:r>
              <w:r w:rsidRPr="00B30439">
                <w:rPr>
                  <w:noProof/>
                  <w:lang w:val="en-US"/>
                </w:rPr>
                <w:t>nov, 2006.</w:t>
              </w:r>
            </w:p>
            <w:p w14:paraId="558FB283" w14:textId="77777777" w:rsidR="00A26BF8" w:rsidRPr="00B30439" w:rsidRDefault="00A26BF8" w:rsidP="00070972">
              <w:pPr>
                <w:pStyle w:val="Bibliographie"/>
                <w:jc w:val="both"/>
                <w:rPr>
                  <w:noProof/>
                </w:rPr>
              </w:pPr>
              <w:r w:rsidRPr="00B30439">
                <w:rPr>
                  <w:noProof/>
                  <w:lang w:val="en-US"/>
                </w:rPr>
                <w:t xml:space="preserve">33. </w:t>
              </w:r>
              <w:r w:rsidRPr="00B30439">
                <w:rPr>
                  <w:bCs/>
                  <w:noProof/>
                  <w:lang w:val="en-US"/>
                </w:rPr>
                <w:t>Greenberg., MS.</w:t>
              </w:r>
              <w:r w:rsidRPr="00B30439">
                <w:rPr>
                  <w:noProof/>
                  <w:lang w:val="en-US"/>
                </w:rPr>
                <w:t xml:space="preserve"> Clinical and histologic changes of the oral mucosa in pernicious. </w:t>
              </w:r>
              <w:r w:rsidRPr="00B30439">
                <w:rPr>
                  <w:i/>
                  <w:iCs/>
                  <w:noProof/>
                </w:rPr>
                <w:t xml:space="preserve">Oral Surg Oral Med Oral Pathol. </w:t>
              </w:r>
              <w:r w:rsidRPr="00B30439">
                <w:rPr>
                  <w:noProof/>
                </w:rPr>
                <w:t>1981, 52, pp. 38-42.</w:t>
              </w:r>
            </w:p>
            <w:p w14:paraId="04C03E89" w14:textId="77777777" w:rsidR="00A26BF8" w:rsidRPr="00B30439" w:rsidRDefault="00A26BF8" w:rsidP="00070972">
              <w:pPr>
                <w:pStyle w:val="Bibliographie"/>
                <w:jc w:val="both"/>
                <w:rPr>
                  <w:noProof/>
                  <w:lang w:val="en-US"/>
                </w:rPr>
              </w:pPr>
              <w:r w:rsidRPr="00B30439">
                <w:rPr>
                  <w:noProof/>
                </w:rPr>
                <w:t xml:space="preserve">34. </w:t>
              </w:r>
              <w:r w:rsidRPr="00B30439">
                <w:rPr>
                  <w:bCs/>
                  <w:noProof/>
                </w:rPr>
                <w:t>Angelica Loup-Leuciuc, Pierre-Jean Loup, Tommaso Lombardi, Jacky Samson.</w:t>
              </w:r>
              <w:r w:rsidRPr="00B30439">
                <w:rPr>
                  <w:noProof/>
                </w:rPr>
                <w:t xml:space="preserve"> Carence en vitamine B12 (1er partie) : mise au point. </w:t>
              </w:r>
              <w:r w:rsidRPr="00B30439">
                <w:rPr>
                  <w:i/>
                  <w:iCs/>
                  <w:noProof/>
                  <w:lang w:val="en-US"/>
                </w:rPr>
                <w:t xml:space="preserve">Med Buccale Chir Buccale . </w:t>
              </w:r>
              <w:r w:rsidRPr="00B30439">
                <w:rPr>
                  <w:noProof/>
                  <w:lang w:val="en-US"/>
                </w:rPr>
                <w:t>17, 2011.</w:t>
              </w:r>
            </w:p>
            <w:p w14:paraId="5E2BB34F" w14:textId="77777777" w:rsidR="00A26BF8" w:rsidRPr="00B30439" w:rsidRDefault="00A26BF8" w:rsidP="00070972">
              <w:pPr>
                <w:pStyle w:val="Bibliographie"/>
                <w:jc w:val="both"/>
                <w:rPr>
                  <w:noProof/>
                  <w:lang w:val="en-US"/>
                </w:rPr>
              </w:pPr>
              <w:r w:rsidRPr="00B30439">
                <w:rPr>
                  <w:noProof/>
                  <w:lang w:val="en-US"/>
                </w:rPr>
                <w:t xml:space="preserve">35. </w:t>
              </w:r>
              <w:r w:rsidRPr="00B30439">
                <w:rPr>
                  <w:bCs/>
                  <w:noProof/>
                  <w:lang w:val="en-US"/>
                </w:rPr>
                <w:t>Andrès E, Loukili NH, Noël E, Maloisel F, Vinzio S, Kaltenbach G, Caro-Sampara F, lickléal J.</w:t>
              </w:r>
              <w:r w:rsidRPr="00B30439">
                <w:rPr>
                  <w:noProof/>
                  <w:lang w:val="en-US"/>
                </w:rPr>
                <w:t xml:space="preserve"> Effects of oral crystalline cyanocobalamin 1000 mu g/d in the treatment of pernicious anemia: an open-label, prospective study in ten patients. </w:t>
              </w:r>
              <w:r w:rsidRPr="00B30439">
                <w:rPr>
                  <w:i/>
                  <w:iCs/>
                  <w:noProof/>
                  <w:lang w:val="en-US"/>
                </w:rPr>
                <w:t xml:space="preserve">Curr Ther Res. </w:t>
              </w:r>
              <w:r w:rsidRPr="00B30439">
                <w:rPr>
                  <w:noProof/>
                  <w:lang w:val="en-US"/>
                </w:rPr>
                <w:t>2005, pp. 13-22.</w:t>
              </w:r>
            </w:p>
            <w:p w14:paraId="4D8AB79D" w14:textId="77777777" w:rsidR="00A26BF8" w:rsidRPr="00B30439" w:rsidRDefault="00A26BF8" w:rsidP="00070972">
              <w:pPr>
                <w:pStyle w:val="Bibliographie"/>
                <w:jc w:val="both"/>
                <w:rPr>
                  <w:noProof/>
                  <w:lang w:val="en-US"/>
                </w:rPr>
              </w:pPr>
              <w:r w:rsidRPr="00B30439">
                <w:rPr>
                  <w:noProof/>
                  <w:lang w:val="en-US"/>
                </w:rPr>
                <w:lastRenderedPageBreak/>
                <w:t xml:space="preserve">36. </w:t>
              </w:r>
              <w:r w:rsidRPr="00B30439">
                <w:rPr>
                  <w:bCs/>
                  <w:noProof/>
                  <w:lang w:val="en-US"/>
                </w:rPr>
                <w:t>Eussen SJ, de Groot LC, Clarke R, Schneede J, Ueland PM, Hoefnagels WH, van Staveren WA.</w:t>
              </w:r>
              <w:r w:rsidRPr="00B30439">
                <w:rPr>
                  <w:noProof/>
                  <w:lang w:val="en-US"/>
                </w:rPr>
                <w:t xml:space="preserve"> Oral cyanocobalamin supplementation in older people with vitamin B12 deficiency: a dose-finding trial. </w:t>
              </w:r>
              <w:r w:rsidRPr="00B30439">
                <w:rPr>
                  <w:i/>
                  <w:iCs/>
                  <w:noProof/>
                  <w:lang w:val="en-US"/>
                </w:rPr>
                <w:t xml:space="preserve">Arch Intern Med. </w:t>
              </w:r>
              <w:r w:rsidRPr="00B30439">
                <w:rPr>
                  <w:noProof/>
                  <w:lang w:val="en-US"/>
                </w:rPr>
                <w:t>2005.</w:t>
              </w:r>
            </w:p>
            <w:p w14:paraId="4B59557E" w14:textId="77777777" w:rsidR="002D7EF7" w:rsidRDefault="00A26BF8" w:rsidP="00B30439">
              <w:pPr>
                <w:pStyle w:val="Bibliographie"/>
                <w:jc w:val="both"/>
                <w:rPr>
                  <w:lang w:val="fr-FR"/>
                </w:rPr>
              </w:pPr>
              <w:r w:rsidRPr="00B30439">
                <w:rPr>
                  <w:noProof/>
                  <w:lang w:val="en-US"/>
                </w:rPr>
                <w:t xml:space="preserve">37. </w:t>
              </w:r>
              <w:r w:rsidRPr="00B30439">
                <w:rPr>
                  <w:bCs/>
                  <w:noProof/>
                  <w:lang w:val="en-US"/>
                </w:rPr>
                <w:t>Andrès E, Vogel T, Federici L, Zimmer J, Kaltenbach G.</w:t>
              </w:r>
              <w:r w:rsidRPr="00B30439">
                <w:rPr>
                  <w:noProof/>
                  <w:lang w:val="en-US"/>
                </w:rPr>
                <w:t xml:space="preserve"> Update on oral cyanocobalamin (vitamin B12) treatment in elderly patients. </w:t>
              </w:r>
              <w:r w:rsidRPr="00B30439">
                <w:rPr>
                  <w:i/>
                  <w:iCs/>
                  <w:noProof/>
                </w:rPr>
                <w:t xml:space="preserve">Drugs Aging. . </w:t>
              </w:r>
              <w:r w:rsidRPr="00B30439">
                <w:rPr>
                  <w:noProof/>
                </w:rPr>
                <w:t>2008.</w:t>
              </w:r>
              <w:r w:rsidRPr="00B30439">
                <w:rPr>
                  <w:lang w:val="fr-FR"/>
                </w:rPr>
                <w:fldChar w:fldCharType="end"/>
              </w:r>
            </w:p>
            <w:p w14:paraId="317BF41E" w14:textId="3D31AEF6" w:rsidR="00B30439" w:rsidRPr="003D00EB" w:rsidRDefault="009A1555" w:rsidP="00B30439">
              <w:pPr>
                <w:pStyle w:val="Bibliographie"/>
                <w:jc w:val="both"/>
                <w:rPr>
                  <w:lang w:val="en-US"/>
                </w:rPr>
              </w:pPr>
              <w:r>
                <w:rPr>
                  <w:lang w:val="fr-FR"/>
                </w:rPr>
                <w:t>38.</w:t>
              </w:r>
              <w:r w:rsidR="00B30439" w:rsidRPr="00B30439">
                <w:rPr>
                  <w:lang w:val="fr-FR"/>
                </w:rPr>
                <w:t xml:space="preserve">Valdes Socin H , Lutteri L, Cavalier E, Polus M, Geenen V, Louis E &amp; Beckers A. Le syndrome auto-immun thyro-gastrique : ses effets sur les micronutriments et la tumorigénèse gastrique. </w:t>
              </w:r>
              <w:r w:rsidR="00B30439" w:rsidRPr="003D00EB">
                <w:rPr>
                  <w:lang w:val="en-US"/>
                </w:rPr>
                <w:t>Rev Med Liege 2013 Nov;68(11):579-84.</w:t>
              </w:r>
            </w:p>
          </w:sdtContent>
        </w:sdt>
        <w:p w14:paraId="7B50F17F" w14:textId="6A2BC29C" w:rsidR="00BF47C7" w:rsidRDefault="009A1555" w:rsidP="00B30439">
          <w:pPr>
            <w:pStyle w:val="Default"/>
            <w:rPr>
              <w:rFonts w:asciiTheme="minorHAnsi" w:hAnsiTheme="minorHAnsi"/>
              <w:bCs/>
              <w:sz w:val="22"/>
              <w:szCs w:val="22"/>
              <w:lang w:val="en-US"/>
            </w:rPr>
          </w:pPr>
          <w:r>
            <w:rPr>
              <w:rFonts w:asciiTheme="minorHAnsi" w:hAnsiTheme="minorHAnsi"/>
              <w:sz w:val="22"/>
              <w:szCs w:val="22"/>
              <w:lang w:val="en-US"/>
            </w:rPr>
            <w:t>39.</w:t>
          </w:r>
          <w:r w:rsidR="00B30439" w:rsidRPr="003D00EB">
            <w:rPr>
              <w:rFonts w:asciiTheme="minorHAnsi" w:hAnsiTheme="minorHAnsi"/>
              <w:sz w:val="22"/>
              <w:szCs w:val="22"/>
              <w:lang w:val="en-US"/>
            </w:rPr>
            <w:t xml:space="preserve">Valdes-Socin H , Leclercq P , Polus M , Rohmer V , Beckers A , Louis E .  </w:t>
          </w:r>
          <w:r w:rsidR="00B30439" w:rsidRPr="00B30439">
            <w:rPr>
              <w:rFonts w:asciiTheme="minorHAnsi" w:hAnsiTheme="minorHAnsi"/>
              <w:bCs/>
              <w:sz w:val="22"/>
              <w:szCs w:val="22"/>
            </w:rPr>
            <w:t>La gastrite chronique auto-immune : une prise en charge multidisciplinaire</w:t>
          </w:r>
          <w:r w:rsidR="00B30439">
            <w:rPr>
              <w:rFonts w:asciiTheme="minorHAnsi" w:hAnsiTheme="minorHAnsi"/>
              <w:bCs/>
              <w:sz w:val="22"/>
              <w:szCs w:val="22"/>
            </w:rPr>
            <w:t xml:space="preserve">. </w:t>
          </w:r>
          <w:r w:rsidR="00B30439" w:rsidRPr="003D00EB">
            <w:rPr>
              <w:rFonts w:asciiTheme="minorHAnsi" w:hAnsiTheme="minorHAnsi"/>
              <w:bCs/>
              <w:sz w:val="22"/>
              <w:szCs w:val="22"/>
              <w:lang w:val="en-US"/>
            </w:rPr>
            <w:t>Rev Med Liege</w:t>
          </w:r>
          <w:r w:rsidR="002D7EF7">
            <w:rPr>
              <w:rFonts w:asciiTheme="minorHAnsi" w:hAnsiTheme="minorHAnsi"/>
              <w:bCs/>
              <w:sz w:val="22"/>
              <w:szCs w:val="22"/>
              <w:lang w:val="en-US"/>
            </w:rPr>
            <w:t xml:space="preserve"> </w:t>
          </w:r>
          <w:r w:rsidR="00B30439" w:rsidRPr="003D00EB">
            <w:rPr>
              <w:rFonts w:asciiTheme="minorHAnsi" w:hAnsiTheme="minorHAnsi"/>
              <w:bCs/>
              <w:sz w:val="22"/>
              <w:szCs w:val="22"/>
              <w:lang w:val="en-US"/>
            </w:rPr>
            <w:t>2019; 74 : 1(</w:t>
          </w:r>
          <w:r w:rsidR="00B30439" w:rsidRPr="003D00EB">
            <w:rPr>
              <w:rFonts w:asciiTheme="minorHAnsi" w:hAnsiTheme="minorHAnsi"/>
              <w:bCs/>
              <w:i/>
              <w:sz w:val="22"/>
              <w:szCs w:val="22"/>
              <w:lang w:val="en-US"/>
            </w:rPr>
            <w:t>in press</w:t>
          </w:r>
          <w:r w:rsidR="00B30439" w:rsidRPr="003D00EB">
            <w:rPr>
              <w:rFonts w:asciiTheme="minorHAnsi" w:hAnsiTheme="minorHAnsi"/>
              <w:bCs/>
              <w:sz w:val="22"/>
              <w:szCs w:val="22"/>
              <w:lang w:val="en-US"/>
            </w:rPr>
            <w:t>)</w:t>
          </w:r>
        </w:p>
        <w:p w14:paraId="6B4D83BB" w14:textId="77777777" w:rsidR="00BF47C7" w:rsidRPr="003924FB" w:rsidRDefault="00BF47C7" w:rsidP="00B30439">
          <w:pPr>
            <w:pStyle w:val="Default"/>
            <w:rPr>
              <w:rFonts w:ascii="Calibri" w:hAnsi="Calibri"/>
              <w:bCs/>
              <w:sz w:val="22"/>
              <w:szCs w:val="22"/>
              <w:lang w:val="en-US"/>
            </w:rPr>
          </w:pPr>
        </w:p>
        <w:p w14:paraId="17C37AAC" w14:textId="6824E32A" w:rsidR="00A26BF8" w:rsidRPr="00BF47C7" w:rsidRDefault="009A1555" w:rsidP="00B30439">
          <w:pPr>
            <w:pStyle w:val="Default"/>
            <w:rPr>
              <w:rFonts w:asciiTheme="minorHAnsi" w:hAnsiTheme="minorHAnsi"/>
              <w:sz w:val="22"/>
              <w:szCs w:val="22"/>
              <w:lang w:val="en-US"/>
            </w:rPr>
          </w:pPr>
          <w:r>
            <w:rPr>
              <w:rFonts w:asciiTheme="minorHAnsi" w:hAnsiTheme="minorHAnsi"/>
              <w:sz w:val="22"/>
              <w:szCs w:val="22"/>
              <w:lang w:val="en-US"/>
            </w:rPr>
            <w:t>4</w:t>
          </w:r>
          <w:r w:rsidR="002D7EF7">
            <w:rPr>
              <w:rFonts w:asciiTheme="minorHAnsi" w:hAnsiTheme="minorHAnsi"/>
              <w:sz w:val="22"/>
              <w:szCs w:val="22"/>
              <w:lang w:val="en-US"/>
            </w:rPr>
            <w:t>0</w:t>
          </w:r>
          <w:r>
            <w:rPr>
              <w:rFonts w:asciiTheme="minorHAnsi" w:hAnsiTheme="minorHAnsi"/>
              <w:sz w:val="22"/>
              <w:szCs w:val="22"/>
              <w:lang w:val="en-US"/>
            </w:rPr>
            <w:t>.</w:t>
          </w:r>
          <w:r w:rsidR="00BF47C7" w:rsidRPr="00BF47C7">
            <w:rPr>
              <w:rFonts w:asciiTheme="minorHAnsi" w:hAnsiTheme="minorHAnsi"/>
              <w:sz w:val="22"/>
              <w:szCs w:val="22"/>
              <w:lang w:val="en-US"/>
            </w:rPr>
            <w:t>Valdes-Socin H</w:t>
          </w:r>
          <w:r w:rsidR="00BF47C7">
            <w:rPr>
              <w:rFonts w:asciiTheme="minorHAnsi" w:hAnsiTheme="minorHAnsi"/>
              <w:sz w:val="22"/>
              <w:szCs w:val="22"/>
              <w:lang w:val="en-US"/>
            </w:rPr>
            <w:t xml:space="preserve">, </w:t>
          </w:r>
          <w:r w:rsidR="00BF47C7" w:rsidRPr="00BF47C7">
            <w:rPr>
              <w:rFonts w:asciiTheme="minorHAnsi" w:hAnsiTheme="minorHAnsi"/>
              <w:sz w:val="22"/>
              <w:szCs w:val="22"/>
              <w:lang w:val="en-US"/>
            </w:rPr>
            <w:t>Vranken L</w:t>
          </w:r>
          <w:r w:rsidR="00BF47C7">
            <w:rPr>
              <w:rFonts w:asciiTheme="minorHAnsi" w:hAnsiTheme="minorHAnsi"/>
              <w:sz w:val="22"/>
              <w:szCs w:val="22"/>
              <w:lang w:val="en-US"/>
            </w:rPr>
            <w:t xml:space="preserve">, </w:t>
          </w:r>
          <w:r w:rsidR="00BF47C7" w:rsidRPr="00BF47C7">
            <w:rPr>
              <w:rFonts w:asciiTheme="minorHAnsi" w:hAnsiTheme="minorHAnsi"/>
              <w:sz w:val="22"/>
              <w:szCs w:val="22"/>
              <w:lang w:val="en-US"/>
            </w:rPr>
            <w:t>Schoneveld L</w:t>
          </w:r>
          <w:r w:rsidR="00BF47C7">
            <w:rPr>
              <w:rFonts w:asciiTheme="minorHAnsi" w:hAnsiTheme="minorHAnsi"/>
              <w:sz w:val="22"/>
              <w:szCs w:val="22"/>
              <w:lang w:val="en-US"/>
            </w:rPr>
            <w:t xml:space="preserve">, </w:t>
          </w:r>
          <w:r w:rsidR="00BF47C7" w:rsidRPr="00BF47C7">
            <w:rPr>
              <w:rFonts w:asciiTheme="minorHAnsi" w:hAnsiTheme="minorHAnsi"/>
              <w:sz w:val="22"/>
              <w:szCs w:val="22"/>
              <w:lang w:val="en-US"/>
            </w:rPr>
            <w:t>Delannoy P</w:t>
          </w:r>
          <w:r w:rsidR="00BF47C7">
            <w:rPr>
              <w:rFonts w:asciiTheme="minorHAnsi" w:hAnsiTheme="minorHAnsi"/>
              <w:sz w:val="22"/>
              <w:szCs w:val="22"/>
              <w:lang w:val="en-US"/>
            </w:rPr>
            <w:t xml:space="preserve">, </w:t>
          </w:r>
          <w:r w:rsidR="00BF47C7" w:rsidRPr="00BF47C7">
            <w:rPr>
              <w:rFonts w:asciiTheme="minorHAnsi" w:hAnsiTheme="minorHAnsi"/>
              <w:sz w:val="22"/>
              <w:szCs w:val="22"/>
              <w:lang w:val="en-US"/>
            </w:rPr>
            <w:t>Le Goff C</w:t>
          </w:r>
          <w:r w:rsidR="00BF47C7">
            <w:rPr>
              <w:rFonts w:asciiTheme="minorHAnsi" w:hAnsiTheme="minorHAnsi"/>
              <w:sz w:val="22"/>
              <w:szCs w:val="22"/>
              <w:lang w:val="en-US"/>
            </w:rPr>
            <w:t xml:space="preserve">, </w:t>
          </w:r>
          <w:r w:rsidR="00BF47C7" w:rsidRPr="00BF47C7">
            <w:rPr>
              <w:rFonts w:asciiTheme="minorHAnsi" w:hAnsiTheme="minorHAnsi"/>
              <w:sz w:val="22"/>
              <w:szCs w:val="22"/>
              <w:lang w:val="en-US"/>
            </w:rPr>
            <w:t xml:space="preserve">Beckers </w:t>
          </w:r>
          <w:r w:rsidR="00BF47C7">
            <w:rPr>
              <w:rFonts w:asciiTheme="minorHAnsi" w:hAnsiTheme="minorHAnsi"/>
              <w:sz w:val="22"/>
              <w:szCs w:val="22"/>
              <w:lang w:val="en-US"/>
            </w:rPr>
            <w:t xml:space="preserve">A &amp; </w:t>
          </w:r>
          <w:r w:rsidR="00BF47C7" w:rsidRPr="00BF47C7">
            <w:rPr>
              <w:rFonts w:asciiTheme="minorHAnsi" w:hAnsiTheme="minorHAnsi"/>
              <w:sz w:val="22"/>
              <w:szCs w:val="22"/>
              <w:lang w:val="en-US"/>
            </w:rPr>
            <w:t xml:space="preserve"> Cavalier E. Vitamin B12 deficiency prevalence and associated biomarkers in type 2 Diabetes (T2DM) treated with metformin: biochemical assessment in a series of 106 patients. Endocrine Abstracts (2019) 63 P222 | DOI: 10.1530/endoabs.63.P222</w:t>
          </w:r>
        </w:p>
      </w:sdtContent>
    </w:sdt>
    <w:p w14:paraId="4145D4F4" w14:textId="77777777" w:rsidR="00A26BF8" w:rsidRPr="00BF47C7" w:rsidRDefault="00A26BF8" w:rsidP="00070972">
      <w:pPr>
        <w:pStyle w:val="Sansinterligne"/>
        <w:jc w:val="both"/>
        <w:rPr>
          <w:sz w:val="22"/>
          <w:lang w:val="en-US"/>
        </w:rPr>
      </w:pPr>
    </w:p>
    <w:p w14:paraId="2F075E85" w14:textId="77777777" w:rsidR="00A26BF8" w:rsidRPr="00BF47C7" w:rsidRDefault="00A26BF8" w:rsidP="00070972">
      <w:pPr>
        <w:pStyle w:val="Sansinterligne"/>
        <w:jc w:val="both"/>
        <w:rPr>
          <w:lang w:val="en-US"/>
        </w:rPr>
      </w:pPr>
    </w:p>
    <w:p w14:paraId="48C1F1E7" w14:textId="77777777" w:rsidR="00A26BF8" w:rsidRPr="00BF47C7" w:rsidRDefault="00A26BF8" w:rsidP="00070972">
      <w:pPr>
        <w:pStyle w:val="Sansinterligne"/>
        <w:jc w:val="both"/>
        <w:rPr>
          <w:lang w:val="en-US"/>
        </w:rPr>
      </w:pPr>
    </w:p>
    <w:sectPr w:rsidR="00A26BF8" w:rsidRPr="00BF47C7" w:rsidSect="00F53DF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6A247E" w14:textId="77777777" w:rsidR="00C82E24" w:rsidRDefault="00C82E24" w:rsidP="009C537F">
      <w:pPr>
        <w:spacing w:after="0" w:line="240" w:lineRule="auto"/>
      </w:pPr>
      <w:r>
        <w:separator/>
      </w:r>
    </w:p>
  </w:endnote>
  <w:endnote w:type="continuationSeparator" w:id="0">
    <w:p w14:paraId="1A2E1CF3" w14:textId="77777777" w:rsidR="00C82E24" w:rsidRDefault="00C82E24" w:rsidP="009C53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C64BC3" w14:textId="77777777" w:rsidR="00C82E24" w:rsidRDefault="00C82E24" w:rsidP="009C537F">
      <w:pPr>
        <w:spacing w:after="0" w:line="240" w:lineRule="auto"/>
      </w:pPr>
      <w:r>
        <w:separator/>
      </w:r>
    </w:p>
  </w:footnote>
  <w:footnote w:type="continuationSeparator" w:id="0">
    <w:p w14:paraId="25A07E8B" w14:textId="77777777" w:rsidR="00C82E24" w:rsidRDefault="00C82E24" w:rsidP="009C537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D2949"/>
    <w:multiLevelType w:val="multilevel"/>
    <w:tmpl w:val="0DE6B6E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F9915EB"/>
    <w:multiLevelType w:val="hybridMultilevel"/>
    <w:tmpl w:val="57F25978"/>
    <w:lvl w:ilvl="0" w:tplc="12767508">
      <w:numFmt w:val="bullet"/>
      <w:lvlText w:val="-"/>
      <w:lvlJc w:val="left"/>
      <w:pPr>
        <w:ind w:left="720" w:hanging="360"/>
      </w:pPr>
      <w:rPr>
        <w:rFonts w:ascii="Times New Roman" w:eastAsiaTheme="minorEastAsia"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2192115D"/>
    <w:multiLevelType w:val="hybridMultilevel"/>
    <w:tmpl w:val="CE5424E0"/>
    <w:lvl w:ilvl="0" w:tplc="1CD80380">
      <w:start w:val="1"/>
      <w:numFmt w:val="upperRoman"/>
      <w:lvlText w:val="%1."/>
      <w:lvlJc w:val="righ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15:restartNumberingAfterBreak="0">
    <w:nsid w:val="353E4ADD"/>
    <w:multiLevelType w:val="hybridMultilevel"/>
    <w:tmpl w:val="B3008E66"/>
    <w:lvl w:ilvl="0" w:tplc="54EA15A0">
      <w:start w:val="1"/>
      <w:numFmt w:val="upperRoman"/>
      <w:pStyle w:val="Style5"/>
      <w:lvlText w:val="%1."/>
      <w:lvlJc w:val="righ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15:restartNumberingAfterBreak="0">
    <w:nsid w:val="538C717B"/>
    <w:multiLevelType w:val="hybridMultilevel"/>
    <w:tmpl w:val="254C2ACA"/>
    <w:lvl w:ilvl="0" w:tplc="4754F788">
      <w:start w:val="1"/>
      <w:numFmt w:val="lowerLetter"/>
      <w:lvlText w:val="%1)"/>
      <w:lvlJc w:val="left"/>
      <w:pPr>
        <w:ind w:left="1068" w:hanging="360"/>
      </w:pPr>
    </w:lvl>
    <w:lvl w:ilvl="1" w:tplc="080C0019" w:tentative="1">
      <w:start w:val="1"/>
      <w:numFmt w:val="lowerLetter"/>
      <w:lvlText w:val="%2."/>
      <w:lvlJc w:val="left"/>
      <w:pPr>
        <w:ind w:left="1788" w:hanging="360"/>
      </w:pPr>
    </w:lvl>
    <w:lvl w:ilvl="2" w:tplc="080C001B" w:tentative="1">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5" w15:restartNumberingAfterBreak="0">
    <w:nsid w:val="5C0A2B3C"/>
    <w:multiLevelType w:val="multilevel"/>
    <w:tmpl w:val="99AA9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D0D0EE7"/>
    <w:multiLevelType w:val="hybridMultilevel"/>
    <w:tmpl w:val="95AED51A"/>
    <w:lvl w:ilvl="0" w:tplc="BC3E4B56">
      <w:numFmt w:val="bullet"/>
      <w:lvlText w:val="-"/>
      <w:lvlJc w:val="left"/>
      <w:pPr>
        <w:ind w:left="720" w:hanging="360"/>
      </w:pPr>
      <w:rPr>
        <w:rFonts w:ascii="Times New Roman" w:eastAsiaTheme="minorEastAsia"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613A2FF7"/>
    <w:multiLevelType w:val="hybridMultilevel"/>
    <w:tmpl w:val="9D44B442"/>
    <w:lvl w:ilvl="0" w:tplc="BC3E4B56">
      <w:numFmt w:val="bullet"/>
      <w:lvlText w:val="-"/>
      <w:lvlJc w:val="left"/>
      <w:pPr>
        <w:ind w:left="720" w:hanging="360"/>
      </w:pPr>
      <w:rPr>
        <w:rFonts w:ascii="Times New Roman" w:eastAsiaTheme="minorEastAsia"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65C176CF"/>
    <w:multiLevelType w:val="hybridMultilevel"/>
    <w:tmpl w:val="38C8A800"/>
    <w:lvl w:ilvl="0" w:tplc="BC3E4B56">
      <w:numFmt w:val="bullet"/>
      <w:lvlText w:val="-"/>
      <w:lvlJc w:val="left"/>
      <w:pPr>
        <w:ind w:left="720" w:hanging="360"/>
      </w:pPr>
      <w:rPr>
        <w:rFonts w:ascii="Times New Roman" w:eastAsiaTheme="minorEastAsia"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68FE34C1"/>
    <w:multiLevelType w:val="multilevel"/>
    <w:tmpl w:val="330CA4BC"/>
    <w:lvl w:ilvl="0">
      <w:start w:val="1"/>
      <w:numFmt w:val="decimal"/>
      <w:pStyle w:val="Style2"/>
      <w:lvlText w:val="%1."/>
      <w:lvlJc w:val="left"/>
      <w:pPr>
        <w:tabs>
          <w:tab w:val="num" w:pos="1004"/>
        </w:tabs>
        <w:ind w:left="1004"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6C042E91"/>
    <w:multiLevelType w:val="hybridMultilevel"/>
    <w:tmpl w:val="7A72D8C8"/>
    <w:lvl w:ilvl="0" w:tplc="BC3E4B56">
      <w:numFmt w:val="bullet"/>
      <w:lvlText w:val="-"/>
      <w:lvlJc w:val="left"/>
      <w:pPr>
        <w:ind w:left="720" w:hanging="360"/>
      </w:pPr>
      <w:rPr>
        <w:rFonts w:ascii="Times New Roman" w:eastAsiaTheme="minorEastAsia"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4"/>
  </w:num>
  <w:num w:numId="4">
    <w:abstractNumId w:val="0"/>
  </w:num>
  <w:num w:numId="5">
    <w:abstractNumId w:val="3"/>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7"/>
  </w:num>
  <w:num w:numId="11">
    <w:abstractNumId w:val="8"/>
  </w:num>
  <w:num w:numId="12">
    <w:abstractNumId w:val="6"/>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2B6B"/>
    <w:rsid w:val="00015E94"/>
    <w:rsid w:val="0005362A"/>
    <w:rsid w:val="00064EC2"/>
    <w:rsid w:val="00070972"/>
    <w:rsid w:val="0008462F"/>
    <w:rsid w:val="0008498B"/>
    <w:rsid w:val="00093BA1"/>
    <w:rsid w:val="0009766A"/>
    <w:rsid w:val="000A0E49"/>
    <w:rsid w:val="000B4EA0"/>
    <w:rsid w:val="000C5E52"/>
    <w:rsid w:val="000E5B4D"/>
    <w:rsid w:val="000F402A"/>
    <w:rsid w:val="00137C8A"/>
    <w:rsid w:val="00155DB8"/>
    <w:rsid w:val="001731EA"/>
    <w:rsid w:val="0017679C"/>
    <w:rsid w:val="001A16D4"/>
    <w:rsid w:val="001A504F"/>
    <w:rsid w:val="001A72BD"/>
    <w:rsid w:val="001C27A9"/>
    <w:rsid w:val="00216429"/>
    <w:rsid w:val="0029453D"/>
    <w:rsid w:val="002B13A9"/>
    <w:rsid w:val="002C0FAE"/>
    <w:rsid w:val="002C1D3F"/>
    <w:rsid w:val="002D7EF7"/>
    <w:rsid w:val="002F4842"/>
    <w:rsid w:val="0032237D"/>
    <w:rsid w:val="00343411"/>
    <w:rsid w:val="00362E49"/>
    <w:rsid w:val="00367037"/>
    <w:rsid w:val="00380390"/>
    <w:rsid w:val="00380AD8"/>
    <w:rsid w:val="003829B7"/>
    <w:rsid w:val="00382F74"/>
    <w:rsid w:val="003924FB"/>
    <w:rsid w:val="003C29FB"/>
    <w:rsid w:val="003C67A2"/>
    <w:rsid w:val="003D00EB"/>
    <w:rsid w:val="003D20F2"/>
    <w:rsid w:val="003D7015"/>
    <w:rsid w:val="003F572E"/>
    <w:rsid w:val="00430E3B"/>
    <w:rsid w:val="004344BE"/>
    <w:rsid w:val="00440204"/>
    <w:rsid w:val="004435B1"/>
    <w:rsid w:val="00445E77"/>
    <w:rsid w:val="00452B64"/>
    <w:rsid w:val="0046359E"/>
    <w:rsid w:val="0047647C"/>
    <w:rsid w:val="004858AD"/>
    <w:rsid w:val="00485EA1"/>
    <w:rsid w:val="004B558D"/>
    <w:rsid w:val="004C4577"/>
    <w:rsid w:val="00574589"/>
    <w:rsid w:val="005944A7"/>
    <w:rsid w:val="005E3EB6"/>
    <w:rsid w:val="00610256"/>
    <w:rsid w:val="006217BC"/>
    <w:rsid w:val="00651AD1"/>
    <w:rsid w:val="006D56C2"/>
    <w:rsid w:val="006E4A24"/>
    <w:rsid w:val="006E68B7"/>
    <w:rsid w:val="0071365C"/>
    <w:rsid w:val="0073585E"/>
    <w:rsid w:val="007425BD"/>
    <w:rsid w:val="00755C1F"/>
    <w:rsid w:val="00760D08"/>
    <w:rsid w:val="00762C4A"/>
    <w:rsid w:val="007B1C31"/>
    <w:rsid w:val="007C534B"/>
    <w:rsid w:val="007C568D"/>
    <w:rsid w:val="007D3B8A"/>
    <w:rsid w:val="0083218E"/>
    <w:rsid w:val="00835CFB"/>
    <w:rsid w:val="00847A5C"/>
    <w:rsid w:val="008A7EA3"/>
    <w:rsid w:val="008B1B30"/>
    <w:rsid w:val="008F07A7"/>
    <w:rsid w:val="00915A9E"/>
    <w:rsid w:val="00920459"/>
    <w:rsid w:val="009440CF"/>
    <w:rsid w:val="00955EB1"/>
    <w:rsid w:val="0098744C"/>
    <w:rsid w:val="00995439"/>
    <w:rsid w:val="009A09C1"/>
    <w:rsid w:val="009A1555"/>
    <w:rsid w:val="009C537F"/>
    <w:rsid w:val="009D4D20"/>
    <w:rsid w:val="009D5B06"/>
    <w:rsid w:val="009E5081"/>
    <w:rsid w:val="00A207A2"/>
    <w:rsid w:val="00A26BF8"/>
    <w:rsid w:val="00A42C99"/>
    <w:rsid w:val="00A92D30"/>
    <w:rsid w:val="00AB3107"/>
    <w:rsid w:val="00AB6942"/>
    <w:rsid w:val="00AC6661"/>
    <w:rsid w:val="00AE1533"/>
    <w:rsid w:val="00B002AC"/>
    <w:rsid w:val="00B04578"/>
    <w:rsid w:val="00B1163C"/>
    <w:rsid w:val="00B16270"/>
    <w:rsid w:val="00B243E2"/>
    <w:rsid w:val="00B30439"/>
    <w:rsid w:val="00B422CB"/>
    <w:rsid w:val="00B53D05"/>
    <w:rsid w:val="00B62B6B"/>
    <w:rsid w:val="00BB5832"/>
    <w:rsid w:val="00BC1446"/>
    <w:rsid w:val="00BC549C"/>
    <w:rsid w:val="00BF47C7"/>
    <w:rsid w:val="00C05171"/>
    <w:rsid w:val="00C4022C"/>
    <w:rsid w:val="00C63E59"/>
    <w:rsid w:val="00C82E24"/>
    <w:rsid w:val="00CA61E5"/>
    <w:rsid w:val="00CB3D5E"/>
    <w:rsid w:val="00CD0E49"/>
    <w:rsid w:val="00CD6EA4"/>
    <w:rsid w:val="00D17A03"/>
    <w:rsid w:val="00D239DF"/>
    <w:rsid w:val="00D264CE"/>
    <w:rsid w:val="00D35E50"/>
    <w:rsid w:val="00D37EF3"/>
    <w:rsid w:val="00DB2E11"/>
    <w:rsid w:val="00E31666"/>
    <w:rsid w:val="00E709D6"/>
    <w:rsid w:val="00E767D1"/>
    <w:rsid w:val="00E91393"/>
    <w:rsid w:val="00EB7191"/>
    <w:rsid w:val="00EC764C"/>
    <w:rsid w:val="00EE25E4"/>
    <w:rsid w:val="00F249D4"/>
    <w:rsid w:val="00F36463"/>
    <w:rsid w:val="00F500BC"/>
    <w:rsid w:val="00F53DFE"/>
    <w:rsid w:val="00FC4731"/>
    <w:rsid w:val="00FF06D7"/>
    <w:rsid w:val="00FF7BA9"/>
  </w:rsids>
  <m:mathPr>
    <m:mathFont m:val="Cambria Math"/>
    <m:brkBin m:val="before"/>
    <m:brkBinSub m:val="--"/>
    <m:smallFrac/>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2A6F0F"/>
  <w15:docId w15:val="{4E25E545-E8A6-40E3-B548-10CAF17EAE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3DFE"/>
  </w:style>
  <w:style w:type="paragraph" w:styleId="Titre1">
    <w:name w:val="heading 1"/>
    <w:basedOn w:val="Normal"/>
    <w:next w:val="Normal"/>
    <w:link w:val="Titre1Car"/>
    <w:uiPriority w:val="9"/>
    <w:qFormat/>
    <w:rsid w:val="0032237D"/>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B243E2"/>
    <w:pPr>
      <w:spacing w:after="0" w:line="240" w:lineRule="auto"/>
    </w:pPr>
    <w:rPr>
      <w:rFonts w:ascii="Times New Roman" w:eastAsiaTheme="minorEastAsia" w:hAnsi="Times New Roman"/>
      <w:sz w:val="24"/>
      <w:lang w:eastAsia="fr-BE"/>
    </w:rPr>
  </w:style>
  <w:style w:type="paragraph" w:customStyle="1" w:styleId="Style1">
    <w:name w:val="Style1"/>
    <w:basedOn w:val="Sansinterligne"/>
    <w:link w:val="Style1Car"/>
    <w:qFormat/>
    <w:rsid w:val="00574589"/>
    <w:rPr>
      <w:b/>
      <w:color w:val="2E74B5" w:themeColor="accent1" w:themeShade="BF"/>
      <w:u w:val="single"/>
    </w:rPr>
  </w:style>
  <w:style w:type="character" w:customStyle="1" w:styleId="Style1Car">
    <w:name w:val="Style1 Car"/>
    <w:basedOn w:val="Policepardfaut"/>
    <w:link w:val="Style1"/>
    <w:rsid w:val="00574589"/>
    <w:rPr>
      <w:rFonts w:ascii="Times New Roman" w:eastAsiaTheme="minorEastAsia" w:hAnsi="Times New Roman"/>
      <w:b/>
      <w:color w:val="2E74B5" w:themeColor="accent1" w:themeShade="BF"/>
      <w:sz w:val="24"/>
      <w:u w:val="single"/>
      <w:lang w:eastAsia="fr-BE"/>
    </w:rPr>
  </w:style>
  <w:style w:type="paragraph" w:customStyle="1" w:styleId="Style2">
    <w:name w:val="Style2"/>
    <w:basedOn w:val="Style1"/>
    <w:link w:val="Style2Car"/>
    <w:qFormat/>
    <w:rsid w:val="009A09C1"/>
    <w:pPr>
      <w:numPr>
        <w:numId w:val="2"/>
      </w:numPr>
      <w:tabs>
        <w:tab w:val="clear" w:pos="1004"/>
        <w:tab w:val="num" w:pos="720"/>
      </w:tabs>
      <w:ind w:left="720" w:hanging="360"/>
    </w:pPr>
  </w:style>
  <w:style w:type="character" w:customStyle="1" w:styleId="Style2Car">
    <w:name w:val="Style2 Car"/>
    <w:basedOn w:val="Style1Car"/>
    <w:link w:val="Style2"/>
    <w:rsid w:val="009A09C1"/>
    <w:rPr>
      <w:rFonts w:ascii="Times New Roman" w:eastAsiaTheme="minorEastAsia" w:hAnsi="Times New Roman"/>
      <w:b/>
      <w:color w:val="2E74B5" w:themeColor="accent1" w:themeShade="BF"/>
      <w:sz w:val="24"/>
      <w:u w:val="single"/>
      <w:lang w:eastAsia="fr-BE"/>
    </w:rPr>
  </w:style>
  <w:style w:type="paragraph" w:customStyle="1" w:styleId="Style3">
    <w:name w:val="Style3"/>
    <w:basedOn w:val="Style1"/>
    <w:link w:val="Style3Car"/>
    <w:qFormat/>
    <w:rsid w:val="00762C4A"/>
    <w:pPr>
      <w:tabs>
        <w:tab w:val="num" w:pos="720"/>
      </w:tabs>
      <w:ind w:left="1068" w:hanging="360"/>
    </w:pPr>
    <w:rPr>
      <w:b w:val="0"/>
    </w:rPr>
  </w:style>
  <w:style w:type="character" w:customStyle="1" w:styleId="Style3Car">
    <w:name w:val="Style3 Car"/>
    <w:basedOn w:val="Style1Car"/>
    <w:link w:val="Style3"/>
    <w:rsid w:val="00762C4A"/>
    <w:rPr>
      <w:rFonts w:ascii="Times New Roman" w:eastAsiaTheme="minorEastAsia" w:hAnsi="Times New Roman"/>
      <w:b/>
      <w:color w:val="2E74B5" w:themeColor="accent1" w:themeShade="BF"/>
      <w:sz w:val="24"/>
      <w:u w:val="single"/>
      <w:lang w:eastAsia="fr-BE"/>
    </w:rPr>
  </w:style>
  <w:style w:type="paragraph" w:customStyle="1" w:styleId="Style5">
    <w:name w:val="Style5"/>
    <w:basedOn w:val="Style1"/>
    <w:link w:val="Style5Car"/>
    <w:qFormat/>
    <w:rsid w:val="000C5E52"/>
    <w:pPr>
      <w:numPr>
        <w:numId w:val="5"/>
      </w:numPr>
    </w:pPr>
  </w:style>
  <w:style w:type="character" w:customStyle="1" w:styleId="Style5Car">
    <w:name w:val="Style5 Car"/>
    <w:basedOn w:val="Style1Car"/>
    <w:link w:val="Style5"/>
    <w:rsid w:val="000C5E52"/>
    <w:rPr>
      <w:rFonts w:ascii="Times New Roman" w:eastAsiaTheme="minorEastAsia" w:hAnsi="Times New Roman"/>
      <w:b/>
      <w:color w:val="2E74B5" w:themeColor="accent1" w:themeShade="BF"/>
      <w:sz w:val="24"/>
      <w:u w:val="single"/>
      <w:lang w:eastAsia="fr-BE"/>
    </w:rPr>
  </w:style>
  <w:style w:type="paragraph" w:styleId="Textedebulles">
    <w:name w:val="Balloon Text"/>
    <w:basedOn w:val="Normal"/>
    <w:link w:val="TextedebullesCar"/>
    <w:uiPriority w:val="99"/>
    <w:semiHidden/>
    <w:unhideWhenUsed/>
    <w:rsid w:val="001C27A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C27A9"/>
    <w:rPr>
      <w:rFonts w:ascii="Tahoma" w:hAnsi="Tahoma" w:cs="Tahoma"/>
      <w:sz w:val="16"/>
      <w:szCs w:val="16"/>
    </w:rPr>
  </w:style>
  <w:style w:type="table" w:customStyle="1" w:styleId="TableauGrille5Fonc-Accentuation51">
    <w:name w:val="Tableau Grille 5 Foncé - Accentuation 51"/>
    <w:basedOn w:val="TableauNormal"/>
    <w:uiPriority w:val="50"/>
    <w:rsid w:val="00AC6661"/>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paragraph" w:styleId="Notedebasdepage">
    <w:name w:val="footnote text"/>
    <w:basedOn w:val="Normal"/>
    <w:link w:val="NotedebasdepageCar"/>
    <w:uiPriority w:val="99"/>
    <w:semiHidden/>
    <w:unhideWhenUsed/>
    <w:rsid w:val="009C537F"/>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9C537F"/>
    <w:rPr>
      <w:sz w:val="20"/>
      <w:szCs w:val="20"/>
    </w:rPr>
  </w:style>
  <w:style w:type="character" w:styleId="Appelnotedebasdep">
    <w:name w:val="footnote reference"/>
    <w:basedOn w:val="Policepardfaut"/>
    <w:uiPriority w:val="99"/>
    <w:semiHidden/>
    <w:unhideWhenUsed/>
    <w:rsid w:val="009C537F"/>
    <w:rPr>
      <w:vertAlign w:val="superscript"/>
    </w:rPr>
  </w:style>
  <w:style w:type="character" w:customStyle="1" w:styleId="Titre1Car">
    <w:name w:val="Titre 1 Car"/>
    <w:basedOn w:val="Policepardfaut"/>
    <w:link w:val="Titre1"/>
    <w:uiPriority w:val="9"/>
    <w:rsid w:val="0032237D"/>
    <w:rPr>
      <w:rFonts w:asciiTheme="majorHAnsi" w:eastAsiaTheme="majorEastAsia" w:hAnsiTheme="majorHAnsi" w:cstheme="majorBidi"/>
      <w:b/>
      <w:bCs/>
      <w:color w:val="2E74B5" w:themeColor="accent1" w:themeShade="BF"/>
      <w:sz w:val="28"/>
      <w:szCs w:val="28"/>
    </w:rPr>
  </w:style>
  <w:style w:type="paragraph" w:styleId="En-ttedetabledesmatires">
    <w:name w:val="TOC Heading"/>
    <w:basedOn w:val="Titre1"/>
    <w:next w:val="Normal"/>
    <w:uiPriority w:val="39"/>
    <w:semiHidden/>
    <w:unhideWhenUsed/>
    <w:qFormat/>
    <w:rsid w:val="0032237D"/>
    <w:pPr>
      <w:spacing w:line="276" w:lineRule="auto"/>
      <w:outlineLvl w:val="9"/>
    </w:pPr>
    <w:rPr>
      <w:lang w:val="fr-FR"/>
    </w:rPr>
  </w:style>
  <w:style w:type="paragraph" w:styleId="Bibliographie">
    <w:name w:val="Bibliography"/>
    <w:basedOn w:val="Normal"/>
    <w:next w:val="Normal"/>
    <w:uiPriority w:val="37"/>
    <w:unhideWhenUsed/>
    <w:rsid w:val="0032237D"/>
  </w:style>
  <w:style w:type="paragraph" w:customStyle="1" w:styleId="Default">
    <w:name w:val="Default"/>
    <w:rsid w:val="00B30439"/>
    <w:pPr>
      <w:autoSpaceDE w:val="0"/>
      <w:autoSpaceDN w:val="0"/>
      <w:adjustRightInd w:val="0"/>
      <w:spacing w:after="0" w:line="240" w:lineRule="auto"/>
    </w:pPr>
    <w:rPr>
      <w:rFonts w:ascii="Arial" w:hAnsi="Arial" w:cs="Arial"/>
      <w:color w:val="000000"/>
      <w:sz w:val="24"/>
      <w:szCs w:val="24"/>
    </w:rPr>
  </w:style>
  <w:style w:type="character" w:styleId="Marquedecommentaire">
    <w:name w:val="annotation reference"/>
    <w:basedOn w:val="Policepardfaut"/>
    <w:uiPriority w:val="99"/>
    <w:semiHidden/>
    <w:unhideWhenUsed/>
    <w:rsid w:val="005E3EB6"/>
    <w:rPr>
      <w:sz w:val="16"/>
      <w:szCs w:val="16"/>
    </w:rPr>
  </w:style>
  <w:style w:type="paragraph" w:styleId="Commentaire">
    <w:name w:val="annotation text"/>
    <w:basedOn w:val="Normal"/>
    <w:link w:val="CommentaireCar"/>
    <w:uiPriority w:val="99"/>
    <w:semiHidden/>
    <w:unhideWhenUsed/>
    <w:rsid w:val="005E3EB6"/>
    <w:pPr>
      <w:spacing w:line="240" w:lineRule="auto"/>
    </w:pPr>
    <w:rPr>
      <w:sz w:val="20"/>
      <w:szCs w:val="20"/>
    </w:rPr>
  </w:style>
  <w:style w:type="character" w:customStyle="1" w:styleId="CommentaireCar">
    <w:name w:val="Commentaire Car"/>
    <w:basedOn w:val="Policepardfaut"/>
    <w:link w:val="Commentaire"/>
    <w:uiPriority w:val="99"/>
    <w:semiHidden/>
    <w:rsid w:val="005E3EB6"/>
    <w:rPr>
      <w:sz w:val="20"/>
      <w:szCs w:val="20"/>
    </w:rPr>
  </w:style>
  <w:style w:type="paragraph" w:styleId="Objetducommentaire">
    <w:name w:val="annotation subject"/>
    <w:basedOn w:val="Commentaire"/>
    <w:next w:val="Commentaire"/>
    <w:link w:val="ObjetducommentaireCar"/>
    <w:uiPriority w:val="99"/>
    <w:semiHidden/>
    <w:unhideWhenUsed/>
    <w:rsid w:val="005E3EB6"/>
    <w:rPr>
      <w:b/>
      <w:bCs/>
    </w:rPr>
  </w:style>
  <w:style w:type="character" w:customStyle="1" w:styleId="ObjetducommentaireCar">
    <w:name w:val="Objet du commentaire Car"/>
    <w:basedOn w:val="CommentaireCar"/>
    <w:link w:val="Objetducommentaire"/>
    <w:uiPriority w:val="99"/>
    <w:semiHidden/>
    <w:rsid w:val="005E3EB6"/>
    <w:rPr>
      <w:b/>
      <w:bCs/>
      <w:sz w:val="20"/>
      <w:szCs w:val="20"/>
    </w:rPr>
  </w:style>
  <w:style w:type="character" w:styleId="Lienhypertexte">
    <w:name w:val="Hyperlink"/>
    <w:basedOn w:val="Policepardfaut"/>
    <w:uiPriority w:val="99"/>
    <w:semiHidden/>
    <w:unhideWhenUsed/>
    <w:rsid w:val="00835CFB"/>
    <w:rPr>
      <w:color w:val="0000FF"/>
      <w:u w:val="single"/>
    </w:rPr>
  </w:style>
  <w:style w:type="paragraph" w:styleId="NormalWeb">
    <w:name w:val="Normal (Web)"/>
    <w:basedOn w:val="Normal"/>
    <w:uiPriority w:val="99"/>
    <w:unhideWhenUsed/>
    <w:rsid w:val="0046359E"/>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customStyle="1" w:styleId="indicateur-langue1">
    <w:name w:val="indicateur-langue1"/>
    <w:basedOn w:val="Policepardfaut"/>
    <w:rsid w:val="0046359E"/>
    <w:rPr>
      <w:rFonts w:ascii="Courier New" w:hAnsi="Courier New" w:cs="Courier New" w:hint="default"/>
      <w:b/>
      <w:bCs/>
      <w:i w:val="0"/>
      <w:iCs w:val="0"/>
      <w:sz w:val="24"/>
      <w:szCs w:val="24"/>
    </w:rPr>
  </w:style>
  <w:style w:type="character" w:customStyle="1" w:styleId="citecrochet1">
    <w:name w:val="cite_crochet1"/>
    <w:basedOn w:val="Policepardfaut"/>
    <w:rsid w:val="0046359E"/>
    <w:rPr>
      <w:vanish/>
      <w:webHidden w:val="0"/>
      <w:specVanish w:val="0"/>
    </w:rPr>
  </w:style>
  <w:style w:type="character" w:styleId="lev">
    <w:name w:val="Strong"/>
    <w:basedOn w:val="Policepardfaut"/>
    <w:uiPriority w:val="22"/>
    <w:qFormat/>
    <w:rsid w:val="003D00EB"/>
    <w:rPr>
      <w:b/>
      <w:bCs/>
    </w:rPr>
  </w:style>
  <w:style w:type="character" w:customStyle="1" w:styleId="highlight">
    <w:name w:val="highlight"/>
    <w:basedOn w:val="Policepardfaut"/>
    <w:rsid w:val="000536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6289632">
      <w:bodyDiv w:val="1"/>
      <w:marLeft w:val="0"/>
      <w:marRight w:val="0"/>
      <w:marTop w:val="0"/>
      <w:marBottom w:val="0"/>
      <w:divBdr>
        <w:top w:val="none" w:sz="0" w:space="0" w:color="auto"/>
        <w:left w:val="none" w:sz="0" w:space="0" w:color="auto"/>
        <w:bottom w:val="none" w:sz="0" w:space="0" w:color="auto"/>
        <w:right w:val="none" w:sz="0" w:space="0" w:color="auto"/>
      </w:divBdr>
      <w:divsChild>
        <w:div w:id="776097750">
          <w:marLeft w:val="0"/>
          <w:marRight w:val="0"/>
          <w:marTop w:val="0"/>
          <w:marBottom w:val="0"/>
          <w:divBdr>
            <w:top w:val="none" w:sz="0" w:space="0" w:color="auto"/>
            <w:left w:val="none" w:sz="0" w:space="0" w:color="auto"/>
            <w:bottom w:val="none" w:sz="0" w:space="0" w:color="auto"/>
            <w:right w:val="none" w:sz="0" w:space="0" w:color="auto"/>
          </w:divBdr>
          <w:divsChild>
            <w:div w:id="560294277">
              <w:marLeft w:val="0"/>
              <w:marRight w:val="0"/>
              <w:marTop w:val="0"/>
              <w:marBottom w:val="0"/>
              <w:divBdr>
                <w:top w:val="none" w:sz="0" w:space="0" w:color="auto"/>
                <w:left w:val="none" w:sz="0" w:space="0" w:color="auto"/>
                <w:bottom w:val="none" w:sz="0" w:space="0" w:color="auto"/>
                <w:right w:val="none" w:sz="0" w:space="0" w:color="auto"/>
              </w:divBdr>
              <w:divsChild>
                <w:div w:id="1017078448">
                  <w:marLeft w:val="0"/>
                  <w:marRight w:val="0"/>
                  <w:marTop w:val="0"/>
                  <w:marBottom w:val="0"/>
                  <w:divBdr>
                    <w:top w:val="none" w:sz="0" w:space="0" w:color="auto"/>
                    <w:left w:val="none" w:sz="0" w:space="0" w:color="auto"/>
                    <w:bottom w:val="none" w:sz="0" w:space="0" w:color="auto"/>
                    <w:right w:val="none" w:sz="0" w:space="0" w:color="auto"/>
                  </w:divBdr>
                  <w:divsChild>
                    <w:div w:id="155577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093073">
      <w:bodyDiv w:val="1"/>
      <w:marLeft w:val="0"/>
      <w:marRight w:val="0"/>
      <w:marTop w:val="0"/>
      <w:marBottom w:val="0"/>
      <w:divBdr>
        <w:top w:val="none" w:sz="0" w:space="0" w:color="auto"/>
        <w:left w:val="none" w:sz="0" w:space="0" w:color="auto"/>
        <w:bottom w:val="none" w:sz="0" w:space="0" w:color="auto"/>
        <w:right w:val="none" w:sz="0" w:space="0" w:color="auto"/>
      </w:divBdr>
    </w:div>
    <w:div w:id="2047758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r.wiktionary.org/wiki/cyanur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hyperlink" Target="https://fr.wikipedia.org/wiki/Papille_gustative"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b:Source>
    <b:Tag>And08</b:Tag>
    <b:SourceType>ArticleInAPeriodical</b:SourceType>
    <b:Guid>{7521EB25-108C-44E0-8FA1-BC6ECDAEFE67}</b:Guid>
    <b:Author>
      <b:Author>
        <b:NameList>
          <b:Person>
            <b:Last>Andrès E</b:Last>
            <b:First>Federici</b:First>
            <b:Middle>L, Serraj K, Kaltenbach G.</b:Middle>
          </b:Person>
        </b:NameList>
      </b:Author>
    </b:Author>
    <b:Title>Update of nutrient-deficiency anemia in elderly patients.</b:Title>
    <b:PeriodicalTitle>Eur J Intern Med. </b:PeriodicalTitle>
    <b:Year>2008 </b:Year>
    <b:Month>nov</b:Month>
    <b:Pages>488-93</b:Pages>
    <b:RefOrder>2</b:RefOrder>
  </b:Source>
  <b:Source>
    <b:Tag>And05</b:Tag>
    <b:SourceType>ArticleInAPeriodical</b:SourceType>
    <b:Guid>{1D8E1B0A-6F43-4393-A425-2DE738C1630C}</b:Guid>
    <b:Author>
      <b:Author>
        <b:NameList>
          <b:Person>
            <b:Last>Andrès E</b:Last>
            <b:First>Affenberger</b:First>
            <b:Middle>S, Vinzio S, Noel E, Kaltenbach G, Schlienger JL.</b:Middle>
          </b:Person>
        </b:NameList>
      </b:Author>
    </b:Author>
    <b:Title>Carences en vitamine B12 chez l’adulte : étiologies, manifestations cliniques et traitement.</b:Title>
    <b:PeriodicalTitle> Rev Med Interne</b:PeriodicalTitle>
    <b:Year>2005</b:Year>
    <b:Pages>938-46</b:Pages>
    <b:RefOrder>6</b:RefOrder>
  </b:Source>
  <b:Source>
    <b:Tag>Sol071</b:Tag>
    <b:SourceType>ArticleInAPeriodical</b:SourceType>
    <b:Guid>{83D59ED9-5F14-4FBC-9370-0D564032F101}</b:Guid>
    <b:Author>
      <b:Author>
        <b:NameList>
          <b:Person>
            <b:Last>Solomon</b:Last>
            <b:First>LR</b:First>
          </b:Person>
        </b:NameList>
      </b:Author>
    </b:Author>
    <b:Title>Disorders of cobalamin (vitamin B12) metabolism: emerging concepts in pathophysiology, diagnosis and treatment.</b:Title>
    <b:PeriodicalTitle>Blood Rev.</b:PeriodicalTitle>
    <b:Year>2007</b:Year>
    <b:Pages>113-30</b:Pages>
    <b:RefOrder>19</b:RefOrder>
  </b:Source>
  <b:Source>
    <b:Tag>Fed07</b:Tag>
    <b:SourceType>ArticleInAPeriodical</b:SourceType>
    <b:Guid>{4B6D0942-A62D-43B7-B3C5-526BDA3409DF}</b:Guid>
    <b:Author>
      <b:Author>
        <b:NameList>
          <b:Person>
            <b:Last>Federici L</b:Last>
            <b:First>Henoun</b:First>
            <b:Middle>Loukili N, Zimmer J, Affenberger S, Maloisel F, Andrès E.</b:Middle>
          </b:Person>
        </b:NameList>
      </b:Author>
    </b:Author>
    <b:Title>Manifestations hématologiques de la carence en vitamine B12 : données personnelles et revue de la littérature.</b:Title>
    <b:PeriodicalTitle>Rev Med Interne</b:PeriodicalTitle>
    <b:Year>2007</b:Year>
    <b:Pages>225-31.</b:Pages>
    <b:RefOrder>20</b:RefOrder>
  </b:Source>
  <b:Source>
    <b:Tag>Sca07</b:Tag>
    <b:SourceType>ArticleInAPeriodical</b:SourceType>
    <b:Guid>{37D93655-FB0F-4449-B0DD-AAF40B671A47}</b:Guid>
    <b:Author>
      <b:Author>
        <b:NameList>
          <b:Person>
            <b:Last>Scalabrino G</b:Last>
            <b:First>Veber</b:First>
            <b:Middle>D, Mutti E.</b:Middle>
          </b:Person>
        </b:NameList>
      </b:Author>
    </b:Author>
    <b:Title>New pathogenesis of the cobalamin-deficient neuropathy. </b:Title>
    <b:PeriodicalTitle>Med Secoli </b:PeriodicalTitle>
    <b:Year>2007</b:Year>
    <b:Pages>9-18.</b:Pages>
    <b:RefOrder>22</b:RefOrder>
  </b:Source>
  <b:Source>
    <b:Tag>Pau99</b:Tag>
    <b:SourceType>ArticleInAPeriodical</b:SourceType>
    <b:Guid>{7BEA1A1B-775F-4872-AFBE-8877037260CF}</b:Guid>
    <b:Author>
      <b:Author>
        <b:NameList>
          <b:Person>
            <b:Last>Pautas E</b:Last>
            <b:First>Chérin</b:First>
            <b:Middle>P, De Jaeger C, Godeau P.</b:Middle>
          </b:Person>
        </b:NameList>
      </b:Author>
    </b:Author>
    <b:Title>Carence en vitamine B12 chez le sujet âgé</b:Title>
    <b:PeriodicalTitle>Presse Med</b:PeriodicalTitle>
    <b:Year>1999</b:Year>
    <b:Pages>1767-70.</b:Pages>
    <b:RefOrder>7</b:RefOrder>
  </b:Source>
  <b:Source>
    <b:Tag>Van05</b:Tag>
    <b:SourceType>ArticleInAPeriodical</b:SourceType>
    <b:Guid>{3C45A55B-725A-4F44-A4BE-266B9EFD4B08}</b:Guid>
    <b:Author>
      <b:Author>
        <b:NameList>
          <b:Person>
            <b:Last>Van Asselt DZ</b:Last>
            <b:First>Blom</b:First>
            <b:Middle>HJ, Zuiderent R, Wevers RA, Jakobs C, Van den Broek WJ.</b:Middle>
          </b:Person>
        </b:NameList>
      </b:Author>
    </b:Author>
    <b:Title>Clinical significance of low cobalamin levels in older hospital patients.</b:Title>
    <b:PeriodicalTitle> Neth J Med</b:PeriodicalTitle>
    <b:Year>2005</b:Year>
    <b:Pages>41-9</b:Pages>
    <b:RefOrder>8</b:RefOrder>
  </b:Source>
  <b:Source>
    <b:Tag>Bee10</b:Tag>
    <b:SourceType>ArticleInAPeriodical</b:SourceType>
    <b:Guid>{66E23692-D7D7-47C0-80A2-F0C4EFAEEB6C}</b:Guid>
    <b:Author>
      <b:Author>
        <b:NameList>
          <b:Person>
            <b:Last>Beedholm-Ebsen R</b:Last>
            <b:First>van</b:First>
            <b:Middle>de Wetering K, Hardlei T, Nexø E, Borst P, Moestrup SK.</b:Middle>
          </b:Person>
        </b:NameList>
      </b:Author>
    </b:Author>
    <b:Title>Identification of multidrug resistance protein 1 (MRP1/ABCC1) as a molecular gate for cellular export of cobalamin.</b:Title>
    <b:PeriodicalTitle>Blood</b:PeriodicalTitle>
    <b:Year>2010</b:Year>
    <b:Month>fevrier</b:Month>
    <b:Day>25</b:Day>
    <b:Pages>115(8):1632-9</b:Pages>
    <b:RefOrder>5</b:RefOrder>
  </b:Source>
  <b:Source>
    <b:Tag>Ruf081</b:Tag>
    <b:SourceType>ArticleInAPeriodical</b:SourceType>
    <b:Guid>{2973C46F-FAE4-41E7-BB31-7FD9EDFF40E9}</b:Guid>
    <b:Author>
      <b:Author>
        <b:NameList>
          <b:Person>
            <b:Last>Rufenacht P</b:Last>
            <b:First>Mach-Pascual</b:First>
            <b:Middle>S, Iten A.</b:Middle>
          </b:Person>
        </b:NameList>
      </b:Author>
    </b:Author>
    <b:Title>Hypovitaminose B12: challenge diagnostique et thérapeutique. </b:Title>
    <b:PeriodicalTitle>Rev Med Suisse</b:PeriodicalTitle>
    <b:Year>2008</b:Year>
    <b:Pages>2212-7</b:Pages>
    <b:RefOrder>3</b:RefOrder>
  </b:Source>
  <b:Source>
    <b:Tag>Nic94</b:Tag>
    <b:SourceType>ArticleInAPeriodical</b:SourceType>
    <b:Guid>{69AB4638-1DF8-4658-8BAF-254EF0B0D0D9}</b:Guid>
    <b:Author>
      <b:Author>
        <b:NameList>
          <b:Person>
            <b:Last>Nicolas JP</b:Last>
            <b:First>Guéant</b:First>
            <b:Middle>JL.</b:Middle>
          </b:Person>
        </b:NameList>
      </b:Author>
    </b:Author>
    <b:Title>Absorption, distribution et excrétion de la vitamine B12. </b:Title>
    <b:PeriodicalTitle>Ann Gastroenterol Hepatol </b:PeriodicalTitle>
    <b:Year>1994</b:Year>
    <b:Pages>270-6</b:Pages>
    <b:RefOrder>4</b:RefOrder>
  </b:Source>
  <b:Source>
    <b:Tag>Sca06</b:Tag>
    <b:SourceType>ArticleInAPeriodical</b:SourceType>
    <b:Guid>{7CDB52A0-BB7F-4EC8-894D-D10C76EE8822}</b:Guid>
    <b:Author>
      <b:Author>
        <b:NameList>
          <b:Person>
            <b:Last>Scalabrino G</b:Last>
            <b:First>Peracchi</b:First>
            <b:Middle>M.</b:Middle>
          </b:Person>
        </b:NameList>
      </b:Author>
    </b:Author>
    <b:Title>New insights into the pathophysiology of cobalamin deficiency. </b:Title>
    <b:PeriodicalTitle>Trends Mol Med</b:PeriodicalTitle>
    <b:Year>2006</b:Year>
    <b:Pages>247-54</b:Pages>
    <b:RefOrder>1</b:RefOrder>
  </b:Source>
  <b:Source>
    <b:Tag>Car95</b:Tag>
    <b:SourceType>ArticleInAPeriodical</b:SourceType>
    <b:Guid>{9FF01385-26BF-4157-910B-D6DC6ED45EFE}</b:Guid>
    <b:Author>
      <b:Author>
        <b:NameList>
          <b:Person>
            <b:Last>Carmel</b:Last>
            <b:First>R.</b:First>
          </b:Person>
        </b:NameList>
      </b:Author>
    </b:Author>
    <b:Title>Malabsorption of food cobalamin.</b:Title>
    <b:PeriodicalTitle>Ballière’s Clin Haematol</b:PeriodicalTitle>
    <b:Year>1995</b:Year>
    <b:Pages>639-55</b:Pages>
    <b:RefOrder>9</b:RefOrder>
  </b:Source>
  <b:Source>
    <b:Tag>RGr06</b:Tag>
    <b:SourceType>ArticleInAPeriodical</b:SourceType>
    <b:Guid>{E0D9921A-B72A-4547-8514-AEEA783D97E2}</b:Guid>
    <b:Author>
      <b:Author>
        <b:NameList>
          <b:Person>
            <b:Last>Gräsbeck</b:Last>
            <b:First>R.</b:First>
          </b:Person>
        </b:NameList>
      </b:Author>
    </b:Author>
    <b:Title>Imerslund-Gräsbeck syndrome (selective vitamin B12 malabsorption with proteinuria).</b:Title>
    <b:PeriodicalTitle>Orphanet J Rare Dis </b:PeriodicalTitle>
    <b:Year>2006</b:Year>
    <b:Pages>1-6</b:Pages>
    <b:RefOrder>15</b:RefOrder>
  </b:Source>
  <b:Source>
    <b:Tag>Kap00</b:Tag>
    <b:SourceType>ArticleInAPeriodical</b:SourceType>
    <b:Guid>{0785832B-A7AF-481F-BF23-5ED6D45A1E76}</b:Guid>
    <b:Author>
      <b:Author>
        <b:NameList>
          <b:Person>
            <b:Last>Kaptan K</b:Last>
            <b:First>Beyan</b:First>
            <b:Middle>C, Ural AU, Cetin T, Avcu F, Gulsen M</b:Middle>
          </b:Person>
        </b:NameList>
      </b:Author>
    </b:Author>
    <b:Title>Helicobacter pylori: is it a novel causative agent in vitamin B12 deficiency?</b:Title>
    <b:PeriodicalTitle>Arch Intern Med</b:PeriodicalTitle>
    <b:Year>2000</b:Year>
    <b:Pages>1349-53</b:Pages>
    <b:RefOrder>10</b:RefOrder>
  </b:Source>
  <b:Source xmlns:b="http://schemas.openxmlformats.org/officeDocument/2006/bibliography">
    <b:Tag>And03</b:Tag>
    <b:SourceType>ArticleInAPeriodical</b:SourceType>
    <b:Guid>{06F0A528-B506-4883-84AF-F1CA0A6548D5}</b:Guid>
    <b:Author>
      <b:Author>
        <b:NameList>
          <b:Person>
            <b:Last>Andrès E</b:Last>
            <b:First>Noël</b:First>
            <b:Middle>E, Abdelghani MB.</b:Middle>
          </b:Person>
        </b:NameList>
      </b:Author>
    </b:Author>
    <b:Title>Vitamin B 12 deficiency associated with chronic acid suppression therapy. </b:Title>
    <b:PeriodicalTitle>Ann Pharmacother </b:PeriodicalTitle>
    <b:Year>2003</b:Year>
    <b:RefOrder>11</b:RefOrder>
  </b:Source>
  <b:Source>
    <b:Tag>Toh97</b:Tag>
    <b:SourceType>ArticleInAPeriodical</b:SourceType>
    <b:Guid>{DB37AADD-A23B-4D63-ACD2-EBA4093904CD}</b:Guid>
    <b:Author>
      <b:Author>
        <b:NameList>
          <b:Person>
            <b:Last>Toh BH</b:Last>
            <b:First>van</b:First>
            <b:Middle>Driel IR, Gleeson PA.</b:Middle>
          </b:Person>
        </b:NameList>
      </b:Author>
    </b:Author>
    <b:Title>Pernicious anemia. </b:Title>
    <b:PeriodicalTitle>N Engl J Med</b:PeriodicalTitle>
    <b:Year>1997</b:Year>
    <b:Pages>1441-8.</b:Pages>
    <b:RefOrder>14</b:RefOrder>
  </b:Source>
  <b:Source>
    <b:Tag>Tin06</b:Tag>
    <b:SourceType>ArticleInAPeriodical</b:SourceType>
    <b:Guid>{15C654C6-6DB5-451B-ACF5-1347A7D230B0}</b:Guid>
    <b:Author>
      <b:Author>
        <b:NameList>
          <b:Person>
            <b:Last>Ting RZ</b:Last>
            <b:First>Szeto</b:First>
            <b:Middle>CC, Chan MH, Ma KK, Chow KM.</b:Middle>
          </b:Person>
        </b:NameList>
      </b:Author>
    </b:Author>
    <b:Title>Risk factors of vitamin B12 deficiency in patients receiving metformin. </b:Title>
    <b:PeriodicalTitle>Arch Intern Med</b:PeriodicalTitle>
    <b:Year>2006</b:Year>
    <b:Pages>1975-9</b:Pages>
    <b:RefOrder>12</b:RefOrder>
  </b:Source>
  <b:Source>
    <b:Tag>WAB00</b:Tag>
    <b:SourceType>ArticleInAPeriodical</b:SourceType>
    <b:Guid>{C66924BA-52FC-4AD4-AE44-4DE4855A5E2A}</b:Guid>
    <b:Author>
      <b:Author>
        <b:NameList>
          <b:Person>
            <b:Last>W A Bauman</b:Last>
            <b:First>S</b:First>
            <b:Middle>Shaw, E Jayatilleke, A M Spungen, V Herbert</b:Middle>
          </b:Person>
        </b:NameList>
      </b:Author>
    </b:Author>
    <b:Title>Increased intake of calcium reverses vitamin B12 malabsorption induced by metformin.</b:Title>
    <b:PeriodicalTitle>Diabetes Care</b:PeriodicalTitle>
    <b:Year>2000</b:Year>
    <b:Pages>1227-1231</b:Pages>
    <b:RefOrder>13</b:RefOrder>
  </b:Source>
  <b:Source>
    <b:Tag>And00</b:Tag>
    <b:SourceType>ArticleInAPeriodical</b:SourceType>
    <b:Guid>{12AF8481-1C30-48A5-9666-DCD01167F43B}</b:Guid>
    <b:Author>
      <b:Author>
        <b:NameList>
          <b:Person>
            <b:Last>Andrès E</b:Last>
            <b:First>Goichot</b:First>
            <b:Middle>B, Schlienger JL.</b:Middle>
          </b:Person>
        </b:NameList>
      </b:Author>
    </b:Author>
    <b:Title>Food cobalamin malabsorption: a usual cause of vitamin B12 deficiency.</b:Title>
    <b:PeriodicalTitle> Arch Intern Med</b:PeriodicalTitle>
    <b:Year>2000</b:Year>
    <b:Pages>2061-2.</b:Pages>
    <b:RefOrder>16</b:RefOrder>
  </b:Source>
  <b:Source>
    <b:Tag>And031</b:Tag>
    <b:SourceType>ArticleInAPeriodical</b:SourceType>
    <b:Guid>{A0ABB28C-DD2C-4C4A-A504-195D75963D14}</b:Guid>
    <b:Author>
      <b:Author>
        <b:NameList>
          <b:Person>
            <b:Last>Andrès E</b:Last>
            <b:First>Perrin</b:First>
            <b:Middle>AE, Demangeat C, Kurtz JE, Vinzio S, Grunenberger F.</b:Middle>
          </b:Person>
        </b:NameList>
      </b:Author>
    </b:Author>
    <b:Title>The syndrome of food-cobalamin malabsorption revisited in a department of internal medicine. A monocentric cohort study of 80 patients. </b:Title>
    <b:PeriodicalTitle>Eur J Intern Med</b:PeriodicalTitle>
    <b:Year>2003</b:Year>
    <b:Pages>221-26.</b:Pages>
    <b:RefOrder>17</b:RefOrder>
  </b:Source>
  <b:Source>
    <b:Tag>Her94</b:Tag>
    <b:SourceType>ArticleInAPeriodical</b:SourceType>
    <b:Guid>{F9D17342-2AEA-402D-964D-4E795173B721}</b:Guid>
    <b:Author>
      <b:Author>
        <b:NameList>
          <b:Person>
            <b:Last>Herbert</b:Last>
            <b:First>V.</b:First>
          </b:Person>
        </b:NameList>
      </b:Author>
    </b:Author>
    <b:Title>Staging vitamin B-12 (cobalamin) status in vegetarians.</b:Title>
    <b:PeriodicalTitle>Am J Clin Nutr</b:PeriodicalTitle>
    <b:Year>1994</b:Year>
    <b:Pages>1213S-22S.</b:Pages>
    <b:RefOrder>18</b:RefOrder>
  </b:Source>
  <b:Source>
    <b:Tag>Lin88</b:Tag>
    <b:SourceType>ArticleInAPeriodical</b:SourceType>
    <b:Guid>{281160F5-9ABB-4A6C-83F0-A6D06DFC60ED}</b:Guid>
    <b:Author>
      <b:Author>
        <b:NameList>
          <b:Person>
            <b:Last>Lindenbaum J</b:Last>
            <b:First>Healton</b:First>
            <b:Middle>EB, Savage DG, Brust JC, Garrett TJ, Podell ER.</b:Middle>
          </b:Person>
        </b:NameList>
      </b:Author>
    </b:Author>
    <b:Title>Neuropsychiatric disorders caused by cobalamin defciency in the absence of anemia or macrocytosis. </b:Title>
    <b:PeriodicalTitle>N Engl J Med</b:PeriodicalTitle>
    <b:Year>1988</b:Year>
    <b:Pages>1720-8.</b:Pages>
    <b:RefOrder>21</b:RefOrder>
  </b:Source>
  <b:Source>
    <b:Tag>And01</b:Tag>
    <b:SourceType>ArticleInAPeriodical</b:SourceType>
    <b:Guid>{958FCC04-AC50-4023-968A-724147E80912}</b:Guid>
    <b:Author>
      <b:Author>
        <b:NameList>
          <b:Person>
            <b:Last>Andrès E</b:Last>
            <b:First>Renaux</b:First>
            <b:Middle>V, Campos F, Oprea C, Sonntag-Fohrer C, Warter JM</b:Middle>
          </b:Person>
        </b:NameList>
      </b:Author>
    </b:Author>
    <b:Title> Troubles neurologiques isolés révélant une maladie de Biermer chez le sujet jeune. </b:Title>
    <b:PeriodicalTitle>Rev Med Interne </b:PeriodicalTitle>
    <b:Year>2001</b:Year>
    <b:Pages>389-93.</b:Pages>
    <b:RefOrder>23</b:RefOrder>
  </b:Source>
  <b:Source>
    <b:Tag>Sca08</b:Tag>
    <b:SourceType>ArticleInAPeriodical</b:SourceType>
    <b:Guid>{68AC6021-0414-4DDD-969B-74209BBCDF1A}</b:Guid>
    <b:Author>
      <b:Author>
        <b:NameList>
          <b:Person>
            <b:Last>Scalabrino G</b:Last>
            <b:First>Veber</b:First>
            <b:Middle>D, Mutti E.</b:Middle>
          </b:Person>
        </b:NameList>
      </b:Author>
    </b:Author>
    <b:Title>Experimental and clinical evidence of the role of cytokines and growth factors in the pathogenesis of acquired cobalamin-deficient leukoneuropathy. </b:Title>
    <b:PeriodicalTitle> Brain Res Rev</b:PeriodicalTitle>
    <b:Year>2008</b:Year>
    <b:Pages>42-54.</b:Pages>
    <b:RefOrder>24</b:RefOrder>
  </b:Source>
  <b:Source>
    <b:Tag>Lon06</b:Tag>
    <b:SourceType>ArticleInAPeriodical</b:SourceType>
    <b:Guid>{F8B4123B-2FB1-462C-926D-018D15570A08}</b:Guid>
    <b:Author>
      <b:Author>
        <b:NameList>
          <b:Person>
            <b:Last>Lonn E</b:Last>
            <b:First>Yusuf</b:First>
            <b:Middle>S, Arnold MJ, Sheridan P, Pogue J, Micks M, McQueen MJ, Probstfield J, Fodor G, Held C, Genest J Jr</b:Middle>
          </b:Person>
          <b:Person>
            <b:Last>Investigators.</b:Last>
            <b:First>Heart</b:First>
            <b:Middle>Outcomes Prevention Evaluation (HOPE)</b:Middle>
          </b:Person>
        </b:NameList>
      </b:Author>
    </b:Author>
    <b:Title>Homocysteine lowering with folic acid and B vitamins in vascular disease.</b:Title>
    <b:PeriodicalTitle>N Engl J Med.</b:PeriodicalTitle>
    <b:Year>2006 </b:Year>
    <b:Issue>1567-77</b:Issue>
    <b:RefOrder>25</b:RefOrder>
  </b:Source>
  <b:Source>
    <b:Tag>Ito02</b:Tag>
    <b:SourceType>ArticleInAPeriodical</b:SourceType>
    <b:Guid>{9C5CFBA0-B2D8-465A-A005-CE010F626B9D}</b:Guid>
    <b:Author>
      <b:Author>
        <b:NameList>
          <b:Person>
            <b:Last>Itoh I</b:Last>
            <b:First>Ikui</b:First>
            <b:Middle>A, Ikeda M, Tomita H, Souhei E.</b:Middle>
          </b:Person>
        </b:NameList>
      </b:Author>
    </b:Author>
    <b:Title>Taste disorder involving Hunter’s glossitis following total gastrectomy.</b:Title>
    <b:PeriodicalTitle>Acta Otolaryngol</b:PeriodicalTitle>
    <b:Year>2002</b:Year>
    <b:Issue>159-63</b:Issue>
    <b:RefOrder>26</b:RefOrder>
  </b:Source>
  <b:Source>
    <b:Tag>Cam07</b:Tag>
    <b:SourceType>ArticleInAPeriodical</b:SourceType>
    <b:Guid>{59EBA18E-AB4F-4773-91DF-2F47151D555C}</b:Guid>
    <b:Author>
      <b:Author>
        <b:NameList>
          <b:Person>
            <b:Last>Campana F</b:Last>
            <b:First>Sibaud</b:First>
            <b:Middle>V, Taieb A, Fricain JC</b:Middle>
          </b:Person>
        </b:NameList>
      </b:Author>
    </b:Author>
    <b:Title>Manifestations buccales révélatrices d’un déficit en vitamine B12: à propos d’un cas</b:Title>
    <b:PeriodicalTitle>Med Buccale Chir Buccale</b:PeriodicalTitle>
    <b:Year>2007</b:Year>
    <b:Pages>213-7</b:Pages>
    <b:RefOrder>27</b:RefOrder>
  </b:Source>
  <b:Source>
    <b:Tag>Fie</b:Tag>
    <b:SourceType>ArticleInAPeriodical</b:SourceType>
    <b:Guid>{552CC6FA-9265-4326-9220-2E5AB33E0879}</b:Guid>
    <b:Author>
      <b:Author>
        <b:NameList>
          <b:Person>
            <b:Last>Field EA</b:Last>
            <b:First>Speechley</b:First>
            <b:Middle>JA, Rugman FR, Varga E, Tyldesley WR.</b:Middle>
          </b:Person>
        </b:NameList>
      </b:Author>
    </b:Author>
    <b:Title>Oral signs and symptoms in patients with undiagnosed vitamin B12 deficiency. </b:Title>
    <b:PeriodicalTitle>J Oral Pathol Med ; </b:PeriodicalTitle>
    <b:City>1995</b:City>
    <b:Pages>468-70.</b:Pages>
    <b:RefOrder>28</b:RefOrder>
  </b:Source>
  <b:Source>
    <b:Tag>Rey88</b:Tag>
    <b:SourceType>ArticleInAPeriodical</b:SourceType>
    <b:Guid>{F392E178-9FBE-4E92-BDC7-E41333927BBE}</b:Guid>
    <b:Author>
      <b:Author>
        <b:NameList>
          <b:Person>
            <b:Last>Reygagne P</b:Last>
            <b:First>Kuffer</b:First>
            <b:Middle>R, Rybojad M, Dallot A, Vérola O, Brocheriou C.</b:Middle>
          </b:Person>
        </b:NameList>
      </b:Author>
    </b:Author>
    <b:Title>Maladie de Biermer révélée par des manifestations buccales et génitales. </b:Title>
    <b:PeriodicalTitle>Ann Dermatol Venereo</b:PeriodicalTitle>
    <b:Year>1988</b:Year>
    <b:Issue>115</b:Issue>
    <b:Pages>821-5.</b:Pages>
    <b:RefOrder>29</b:RefOrder>
  </b:Source>
  <b:Source>
    <b:Tag>MSG81</b:Tag>
    <b:SourceType>ArticleInAPeriodical</b:SourceType>
    <b:Guid>{7766AEBC-57A5-46B8-90D6-9D15275CF229}</b:Guid>
    <b:Author>
      <b:Author>
        <b:NameList>
          <b:Person>
            <b:Last>Greenberg.</b:Last>
            <b:First>MS</b:First>
          </b:Person>
        </b:NameList>
      </b:Author>
    </b:Author>
    <b:Title>Clinical and histologic changes of the oral mucosa in pernicious</b:Title>
    <b:PeriodicalTitle>Oral Surg Oral Med Oral Pathol</b:PeriodicalTitle>
    <b:Year>1981</b:Year>
    <b:Issue>52</b:Issue>
    <b:Pages>38-42</b:Pages>
    <b:RefOrder>33</b:RefOrder>
  </b:Source>
  <b:Source>
    <b:Tag>And09</b:Tag>
    <b:SourceType>ArticleInAPeriodical</b:SourceType>
    <b:Guid>{DA18ECA1-BE9B-4515-9C37-539E090A2561}</b:Guid>
    <b:Author>
      <b:Author>
        <b:NameList>
          <b:Person>
            <b:Last>Andrès E</b:Last>
            <b:First>Serraj</b:First>
            <b:Middle>K, Mecili M, Ciobanu E, Vogel T, Weitten T.</b:Middle>
          </b:Person>
        </b:NameList>
      </b:Author>
    </b:Author>
    <b:Title>Mise au point sur la vitamine B12 administrée par voie orale. </b:Title>
    <b:PeriodicalTitle>Ann endocrinol </b:PeriodicalTitle>
    <b:Year>2009</b:Year>
    <b:Issue>70</b:Issue>
    <b:RefOrder>31</b:RefOrder>
  </b:Source>
  <b:Source>
    <b:Tag>Ang11</b:Tag>
    <b:SourceType>ArticleInAPeriodical</b:SourceType>
    <b:Guid>{7D92D650-70FE-47C3-AC9D-28DEC77CBF1B}</b:Guid>
    <b:Author>
      <b:Author>
        <b:NameList>
          <b:Person>
            <b:Last>Angelica Loup-Leuciuc</b:Last>
            <b:First>Pierre-Jean</b:First>
            <b:Middle>Loup, Tommaso Lombardi, Jacky Samson</b:Middle>
          </b:Person>
        </b:NameList>
      </b:Author>
    </b:Author>
    <b:Title>Carence en vitamine B12 (1er partie) : mise au point</b:Title>
    <b:PeriodicalTitle>Med Buccale Chir Buccale </b:PeriodicalTitle>
    <b:Year>2011</b:Year>
    <b:Edition>17</b:Edition>
    <b:RefOrder>34</b:RefOrder>
  </b:Source>
  <b:Source>
    <b:Tag>And051</b:Tag>
    <b:SourceType>ArticleInAPeriodical</b:SourceType>
    <b:Guid>{E6F1774F-6183-4431-BC4B-6EEBCC5205D7}</b:Guid>
    <b:Author>
      <b:Author>
        <b:NameList>
          <b:Person>
            <b:Last>Andrès E</b:Last>
            <b:First>Loukili</b:First>
            <b:Middle>NH, Noël E, Maloisel F, Vinzio S, Kaltenbach G, Caro-Sampara F, lickléal J.</b:Middle>
          </b:Person>
        </b:NameList>
      </b:Author>
    </b:Author>
    <b:Title>Effects of oral crystalline cyanocobalamin 1000 mu g/d in the treatment of pernicious anemia: an open-label, prospective study in ten patients.</b:Title>
    <b:PeriodicalTitle>Curr Ther Res</b:PeriodicalTitle>
    <b:Year>2005</b:Year>
    <b:Pages>13-22</b:Pages>
    <b:RefOrder>35</b:RefOrder>
  </b:Source>
  <b:Source>
    <b:Tag>Eus05</b:Tag>
    <b:SourceType>ArticleInAPeriodical</b:SourceType>
    <b:Guid>{DBA5D433-B4A2-49F7-83BC-6692573B5654}</b:Guid>
    <b:Author>
      <b:Author>
        <b:NameList>
          <b:Person>
            <b:Last>Eussen SJ</b:Last>
            <b:First>de</b:First>
            <b:Middle>Groot LC, Clarke R, Schneede J, Ueland PM, Hoefnagels WH, van Staveren WA.</b:Middle>
          </b:Person>
        </b:NameList>
      </b:Author>
    </b:Author>
    <b:Title>Oral cyanocobalamin supplementation in older people with vitamin B12 deficiency: a dose-finding trial.</b:Title>
    <b:PeriodicalTitle>Arch Intern Med</b:PeriodicalTitle>
    <b:Year>2005</b:Year>
    <b:RefOrder>36</b:RefOrder>
  </b:Source>
  <b:Source>
    <b:Tag>Hva06</b:Tag>
    <b:SourceType>ArticleInAPeriodical</b:SourceType>
    <b:Guid>{F8A3BF79-EE2D-4BEC-9184-611647D881D7}</b:Guid>
    <b:Author>
      <b:Author>
        <b:NameList>
          <b:Person>
            <b:Last>Hvas AM</b:Last>
            <b:First>Nexo</b:First>
            <b:Middle>E.</b:Middle>
          </b:Person>
        </b:NameList>
      </b:Author>
    </b:Author>
    <b:Title>Diagnosis and treatment of vitamin B12 deficiency--an update.</b:Title>
    <b:PeriodicalTitle>Haematologica.</b:PeriodicalTitle>
    <b:Year>2006</b:Year>
    <b:Edition>nov</b:Edition>
    <b:RefOrder>32</b:RefOrder>
  </b:Source>
  <b:Source>
    <b:Tag>And081</b:Tag>
    <b:SourceType>ArticleInAPeriodical</b:SourceType>
    <b:Guid>{8A6D6ACB-1687-4042-9002-CAA0FB042503}</b:Guid>
    <b:Author>
      <b:Author>
        <b:NameList>
          <b:Person>
            <b:Last>Andrès E</b:Last>
            <b:First>Vogel</b:First>
            <b:Middle>T, Federici L, Zimmer J, Kaltenbach G.</b:Middle>
          </b:Person>
        </b:NameList>
      </b:Author>
    </b:Author>
    <b:Title>Update on oral cyanocobalamin (vitamin B12) treatment in elderly patients.</b:Title>
    <b:PeriodicalTitle>Drugs Aging. </b:PeriodicalTitle>
    <b:Year>2008</b:Year>
    <b:RefOrder>37</b:RefOrder>
  </b:Source>
  <b:Source>
    <b:Tag>Kap001</b:Tag>
    <b:SourceType>ArticleInAPeriodical</b:SourceType>
    <b:Guid>{BE70E251-F6E0-415D-881B-637A61EECFFA}</b:Guid>
    <b:Author>
      <b:Author>
        <b:NameList>
          <b:Person>
            <b:Last>Kaptan K</b:Last>
            <b:First>Beyan</b:First>
            <b:Middle>C, Ural AU, Cetin T, Avcu F, Gülşen M, Finci R, Yalçín A.</b:Middle>
          </b:Person>
        </b:NameList>
      </b:Author>
    </b:Author>
    <b:Title>Helicobacter pylori--is it a novel causative agent in Vitamin B12 deficiency?</b:Title>
    <b:PeriodicalTitle>Arch Intern Med. </b:PeriodicalTitle>
    <b:Year>2000</b:Year>
    <b:RefOrder>30</b:RefOrder>
  </b:Source>
</b:Sources>
</file>

<file path=customXml/itemProps1.xml><?xml version="1.0" encoding="utf-8"?>
<ds:datastoreItem xmlns:ds="http://schemas.openxmlformats.org/officeDocument/2006/customXml" ds:itemID="{46902030-0BE8-47E9-8D4D-0932F1E021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13</Pages>
  <Words>4406</Words>
  <Characters>24238</Characters>
  <Application>Microsoft Office Word</Application>
  <DocSecurity>0</DocSecurity>
  <Lines>201</Lines>
  <Paragraphs>57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28587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Pauline Delannoy</dc:creator>
  <cp:lastModifiedBy>VALDES SOCIN Hernan Gonzalo</cp:lastModifiedBy>
  <cp:revision>17</cp:revision>
  <dcterms:created xsi:type="dcterms:W3CDTF">2019-09-13T08:28:00Z</dcterms:created>
  <dcterms:modified xsi:type="dcterms:W3CDTF">2019-10-18T13:36:00Z</dcterms:modified>
</cp:coreProperties>
</file>