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832" w:rsidRPr="00F8527F" w:rsidRDefault="00433832" w:rsidP="00433832">
      <w:pPr>
        <w:ind w:firstLine="284"/>
        <w:jc w:val="center"/>
        <w:rPr>
          <w:rFonts w:ascii="Times New Roman" w:hAnsi="Times New Roman" w:cs="Times New Roman"/>
          <w:b/>
          <w:sz w:val="32"/>
          <w:szCs w:val="32"/>
        </w:rPr>
      </w:pPr>
      <w:r w:rsidRPr="00F8527F">
        <w:rPr>
          <w:rFonts w:ascii="Times New Roman" w:hAnsi="Times New Roman" w:cs="Times New Roman"/>
          <w:b/>
          <w:sz w:val="32"/>
          <w:szCs w:val="32"/>
        </w:rPr>
        <w:t>Cacophonies de l’acritique</w:t>
      </w:r>
    </w:p>
    <w:p w:rsidR="00433832" w:rsidRPr="00B56637" w:rsidRDefault="00433832" w:rsidP="00433832">
      <w:pPr>
        <w:ind w:firstLine="284"/>
        <w:jc w:val="center"/>
        <w:rPr>
          <w:rFonts w:ascii="Times New Roman" w:hAnsi="Times New Roman" w:cs="Times New Roman"/>
          <w:b/>
          <w:i/>
          <w:sz w:val="28"/>
          <w:szCs w:val="28"/>
        </w:rPr>
      </w:pPr>
      <w:r w:rsidRPr="00B56637">
        <w:rPr>
          <w:rFonts w:ascii="Times New Roman" w:hAnsi="Times New Roman" w:cs="Times New Roman"/>
          <w:b/>
          <w:i/>
          <w:sz w:val="28"/>
          <w:szCs w:val="28"/>
        </w:rPr>
        <w:t>Enquêter sur les « contestations régressives »</w:t>
      </w:r>
    </w:p>
    <w:p w:rsidR="00433832" w:rsidRPr="00B56637" w:rsidRDefault="00433832" w:rsidP="00433832">
      <w:pPr>
        <w:ind w:firstLine="284"/>
        <w:jc w:val="center"/>
        <w:rPr>
          <w:rFonts w:ascii="Times New Roman" w:hAnsi="Times New Roman" w:cs="Times New Roman"/>
          <w:sz w:val="28"/>
          <w:szCs w:val="28"/>
        </w:rPr>
      </w:pPr>
    </w:p>
    <w:p w:rsidR="00433832" w:rsidRPr="00B56637" w:rsidRDefault="00433832" w:rsidP="00433832">
      <w:pPr>
        <w:ind w:firstLine="284"/>
        <w:jc w:val="center"/>
        <w:rPr>
          <w:rFonts w:ascii="Times New Roman" w:hAnsi="Times New Roman" w:cs="Times New Roman"/>
          <w:sz w:val="28"/>
          <w:szCs w:val="28"/>
        </w:rPr>
      </w:pPr>
      <w:r w:rsidRPr="00B56637">
        <w:rPr>
          <w:rFonts w:ascii="Times New Roman" w:hAnsi="Times New Roman" w:cs="Times New Roman"/>
          <w:sz w:val="28"/>
          <w:szCs w:val="28"/>
        </w:rPr>
        <w:t>Université de Lausanne</w:t>
      </w:r>
    </w:p>
    <w:p w:rsidR="00433832" w:rsidRPr="00B56637" w:rsidRDefault="00433832" w:rsidP="00433832">
      <w:pPr>
        <w:ind w:firstLine="284"/>
        <w:jc w:val="center"/>
        <w:rPr>
          <w:rFonts w:ascii="Times New Roman" w:hAnsi="Times New Roman" w:cs="Times New Roman"/>
          <w:sz w:val="28"/>
          <w:szCs w:val="28"/>
        </w:rPr>
      </w:pPr>
      <w:r w:rsidRPr="00B56637">
        <w:rPr>
          <w:rFonts w:ascii="Times New Roman" w:hAnsi="Times New Roman" w:cs="Times New Roman"/>
          <w:sz w:val="28"/>
          <w:szCs w:val="28"/>
        </w:rPr>
        <w:t>3-4 octobre 2019</w:t>
      </w:r>
    </w:p>
    <w:p w:rsidR="00433832" w:rsidRPr="00433832" w:rsidRDefault="00433832">
      <w:pPr>
        <w:rPr>
          <w:rFonts w:ascii="Times" w:hAnsi="Times"/>
        </w:rPr>
      </w:pPr>
    </w:p>
    <w:p w:rsidR="00433832" w:rsidRDefault="00433832" w:rsidP="000A7310">
      <w:pPr>
        <w:spacing w:line="360" w:lineRule="auto"/>
        <w:rPr>
          <w:rFonts w:ascii="Times" w:hAnsi="Times"/>
          <w:i/>
          <w:iCs/>
        </w:rPr>
      </w:pPr>
      <w:r w:rsidRPr="00433832">
        <w:rPr>
          <w:rFonts w:ascii="Times" w:hAnsi="Times"/>
          <w:u w:val="single"/>
        </w:rPr>
        <w:t xml:space="preserve">Titre de la communication : </w:t>
      </w:r>
      <w:r w:rsidRPr="00433832">
        <w:rPr>
          <w:rFonts w:ascii="Times" w:hAnsi="Times"/>
          <w:i/>
          <w:iCs/>
        </w:rPr>
        <w:t xml:space="preserve">Pourquoi les </w:t>
      </w:r>
      <w:r w:rsidR="00CC4243">
        <w:rPr>
          <w:rFonts w:ascii="Times" w:hAnsi="Times"/>
          <w:i/>
          <w:iCs/>
        </w:rPr>
        <w:t>« </w:t>
      </w:r>
      <w:r w:rsidRPr="00433832">
        <w:rPr>
          <w:rFonts w:ascii="Times" w:hAnsi="Times"/>
          <w:i/>
          <w:iCs/>
        </w:rPr>
        <w:t>contestations régressives</w:t>
      </w:r>
      <w:r w:rsidR="00CC4243">
        <w:rPr>
          <w:rFonts w:ascii="Times" w:hAnsi="Times"/>
          <w:i/>
          <w:iCs/>
        </w:rPr>
        <w:t> »</w:t>
      </w:r>
      <w:r w:rsidRPr="00433832">
        <w:rPr>
          <w:rFonts w:ascii="Times" w:hAnsi="Times"/>
          <w:i/>
          <w:iCs/>
        </w:rPr>
        <w:t xml:space="preserve"> peuvent et doivent être considérées comme des critiques ?</w:t>
      </w:r>
    </w:p>
    <w:p w:rsidR="00620911" w:rsidRDefault="00620911">
      <w:pPr>
        <w:rPr>
          <w:rFonts w:ascii="Times" w:hAnsi="Times"/>
          <w:i/>
          <w:iCs/>
        </w:rPr>
      </w:pPr>
    </w:p>
    <w:p w:rsidR="00A63C48" w:rsidRDefault="00A63C48">
      <w:pPr>
        <w:rPr>
          <w:rFonts w:ascii="Times" w:hAnsi="Times"/>
        </w:rPr>
      </w:pPr>
    </w:p>
    <w:p w:rsidR="00A63C48" w:rsidRPr="00A63C48" w:rsidRDefault="00A63C48">
      <w:pPr>
        <w:rPr>
          <w:rFonts w:ascii="Times" w:hAnsi="Times"/>
        </w:rPr>
      </w:pPr>
    </w:p>
    <w:p w:rsidR="00CE2D9A" w:rsidRDefault="00CE2D9A" w:rsidP="00CC4243">
      <w:pPr>
        <w:spacing w:line="360" w:lineRule="auto"/>
        <w:jc w:val="both"/>
        <w:rPr>
          <w:rFonts w:ascii="Times" w:hAnsi="Times" w:cs="Times New Roman"/>
        </w:rPr>
      </w:pPr>
      <w:r>
        <w:rPr>
          <w:rFonts w:ascii="Times" w:hAnsi="Times" w:cs="Times New Roman"/>
        </w:rPr>
        <w:t>C</w:t>
      </w:r>
      <w:r w:rsidR="004A54E2">
        <w:rPr>
          <w:rFonts w:ascii="Times" w:hAnsi="Times" w:cs="Times New Roman"/>
        </w:rPr>
        <w:t xml:space="preserve">onsidérer les </w:t>
      </w:r>
      <w:r w:rsidR="00883426">
        <w:rPr>
          <w:rFonts w:ascii="Times" w:hAnsi="Times" w:cs="Times New Roman"/>
        </w:rPr>
        <w:t>« </w:t>
      </w:r>
      <w:r w:rsidR="004A54E2">
        <w:rPr>
          <w:rFonts w:ascii="Times" w:hAnsi="Times" w:cs="Times New Roman"/>
        </w:rPr>
        <w:t>contestations régressives</w:t>
      </w:r>
      <w:r w:rsidR="00883426">
        <w:rPr>
          <w:rFonts w:ascii="Times" w:hAnsi="Times" w:cs="Times New Roman"/>
        </w:rPr>
        <w:t> »</w:t>
      </w:r>
      <w:r w:rsidR="004A54E2">
        <w:rPr>
          <w:rFonts w:ascii="Times" w:hAnsi="Times" w:cs="Times New Roman"/>
        </w:rPr>
        <w:t xml:space="preserve"> comme </w:t>
      </w:r>
      <w:r>
        <w:rPr>
          <w:rFonts w:ascii="Times" w:hAnsi="Times" w:cs="Times New Roman"/>
        </w:rPr>
        <w:t xml:space="preserve">des </w:t>
      </w:r>
      <w:r w:rsidR="004A54E2">
        <w:rPr>
          <w:rFonts w:ascii="Times" w:hAnsi="Times" w:cs="Times New Roman"/>
        </w:rPr>
        <w:t>moments d</w:t>
      </w:r>
      <w:r w:rsidR="000A7310">
        <w:rPr>
          <w:rFonts w:ascii="Times" w:hAnsi="Times" w:cs="Times New Roman"/>
        </w:rPr>
        <w:t>e l</w:t>
      </w:r>
      <w:r>
        <w:rPr>
          <w:rFonts w:ascii="Times" w:hAnsi="Times" w:cs="Times New Roman"/>
        </w:rPr>
        <w:t>’a</w:t>
      </w:r>
      <w:r w:rsidR="004A54E2">
        <w:rPr>
          <w:rFonts w:ascii="Times" w:hAnsi="Times" w:cs="Times New Roman"/>
        </w:rPr>
        <w:t>critique</w:t>
      </w:r>
      <w:r>
        <w:rPr>
          <w:rFonts w:ascii="Times" w:hAnsi="Times" w:cs="Times New Roman"/>
        </w:rPr>
        <w:t>,</w:t>
      </w:r>
      <w:r w:rsidR="004A54E2">
        <w:rPr>
          <w:rFonts w:ascii="Times" w:hAnsi="Times" w:cs="Times New Roman"/>
        </w:rPr>
        <w:t xml:space="preserve"> </w:t>
      </w:r>
      <w:r>
        <w:rPr>
          <w:rFonts w:ascii="Times" w:hAnsi="Times" w:cs="Times New Roman"/>
        </w:rPr>
        <w:t xml:space="preserve">comme des mouvements de retour en arrière </w:t>
      </w:r>
      <w:r w:rsidR="00063AFF">
        <w:rPr>
          <w:rFonts w:ascii="Times" w:hAnsi="Times" w:cs="Times New Roman"/>
        </w:rPr>
        <w:t xml:space="preserve">c’est, d’une part ne pas prendre les acteurs de ces contestations </w:t>
      </w:r>
      <w:r w:rsidR="003F725F">
        <w:rPr>
          <w:rFonts w:ascii="Times" w:hAnsi="Times" w:cs="Times New Roman"/>
        </w:rPr>
        <w:t>« </w:t>
      </w:r>
      <w:r w:rsidR="00063AFF">
        <w:rPr>
          <w:rFonts w:ascii="Times" w:hAnsi="Times" w:cs="Times New Roman"/>
        </w:rPr>
        <w:t>au sérieux</w:t>
      </w:r>
      <w:r w:rsidR="003F725F">
        <w:rPr>
          <w:rFonts w:ascii="Times" w:hAnsi="Times" w:cs="Times New Roman"/>
        </w:rPr>
        <w:t> » (Boltanski, 1991)</w:t>
      </w:r>
      <w:r w:rsidR="00063AFF">
        <w:rPr>
          <w:rFonts w:ascii="Times" w:hAnsi="Times" w:cs="Times New Roman"/>
        </w:rPr>
        <w:t xml:space="preserve"> et d’autre part, postuler d’emblée un cadre référentiel qui considère, aux yeux du sociologue, la teneur régressive de ces contestations. Ces deux écueils, ne permettent pas, </w:t>
      </w:r>
      <w:r w:rsidR="003F725F">
        <w:rPr>
          <w:rFonts w:ascii="Times" w:hAnsi="Times" w:cs="Times New Roman"/>
        </w:rPr>
        <w:t xml:space="preserve">d’une part, </w:t>
      </w:r>
      <w:r w:rsidR="00063AFF">
        <w:rPr>
          <w:rFonts w:ascii="Times" w:hAnsi="Times" w:cs="Times New Roman"/>
        </w:rPr>
        <w:t xml:space="preserve">de comprendre </w:t>
      </w:r>
      <w:r w:rsidR="00AD23B6">
        <w:rPr>
          <w:rFonts w:ascii="Times" w:hAnsi="Times" w:cs="Times New Roman"/>
        </w:rPr>
        <w:t xml:space="preserve">correctement </w:t>
      </w:r>
      <w:r w:rsidR="00063AFF">
        <w:rPr>
          <w:rFonts w:ascii="Times" w:hAnsi="Times" w:cs="Times New Roman"/>
        </w:rPr>
        <w:t>ces critiques</w:t>
      </w:r>
      <w:r w:rsidR="003F725F">
        <w:rPr>
          <w:rFonts w:ascii="Times" w:hAnsi="Times" w:cs="Times New Roman"/>
        </w:rPr>
        <w:t>, puisqu’ils les situent d’emblée dans le champ de la morale</w:t>
      </w:r>
      <w:r w:rsidR="000A7310">
        <w:rPr>
          <w:rFonts w:ascii="Times" w:hAnsi="Times" w:cs="Times New Roman"/>
        </w:rPr>
        <w:t xml:space="preserve">, </w:t>
      </w:r>
      <w:r w:rsidR="00AD23B6">
        <w:rPr>
          <w:rFonts w:ascii="Times" w:hAnsi="Times" w:cs="Times New Roman"/>
        </w:rPr>
        <w:t xml:space="preserve">et </w:t>
      </w:r>
      <w:r w:rsidR="003F725F">
        <w:rPr>
          <w:rFonts w:ascii="Times" w:hAnsi="Times" w:cs="Times New Roman"/>
        </w:rPr>
        <w:t xml:space="preserve">d’autre part, </w:t>
      </w:r>
      <w:r w:rsidR="00AD23B6">
        <w:rPr>
          <w:rFonts w:ascii="Times" w:hAnsi="Times" w:cs="Times New Roman"/>
        </w:rPr>
        <w:t xml:space="preserve">d’armer la critique </w:t>
      </w:r>
      <w:r w:rsidR="000A7310">
        <w:rPr>
          <w:rFonts w:ascii="Times" w:hAnsi="Times" w:cs="Times New Roman"/>
        </w:rPr>
        <w:t xml:space="preserve">de ces contestations </w:t>
      </w:r>
      <w:r w:rsidR="00AD23B6">
        <w:rPr>
          <w:rFonts w:ascii="Times" w:hAnsi="Times" w:cs="Times New Roman"/>
        </w:rPr>
        <w:t>de façon</w:t>
      </w:r>
      <w:r w:rsidR="000A7310">
        <w:rPr>
          <w:rFonts w:ascii="Times" w:hAnsi="Times" w:cs="Times New Roman"/>
        </w:rPr>
        <w:t>, non pas à les condamn</w:t>
      </w:r>
      <w:r w:rsidR="00E12ADB">
        <w:rPr>
          <w:rFonts w:ascii="Times" w:hAnsi="Times" w:cs="Times New Roman"/>
        </w:rPr>
        <w:t>er</w:t>
      </w:r>
      <w:r w:rsidR="000A7310">
        <w:rPr>
          <w:rFonts w:ascii="Times" w:hAnsi="Times" w:cs="Times New Roman"/>
        </w:rPr>
        <w:t xml:space="preserve"> moralement mais de les combattre </w:t>
      </w:r>
      <w:r w:rsidR="00E12ADB">
        <w:rPr>
          <w:rFonts w:ascii="Times" w:hAnsi="Times" w:cs="Times New Roman"/>
        </w:rPr>
        <w:t>« politiquement » (</w:t>
      </w:r>
      <w:proofErr w:type="spellStart"/>
      <w:r w:rsidR="00E12ADB">
        <w:rPr>
          <w:rFonts w:ascii="Times" w:hAnsi="Times" w:cs="Times New Roman"/>
        </w:rPr>
        <w:t>Mouffe</w:t>
      </w:r>
      <w:proofErr w:type="spellEnd"/>
      <w:r w:rsidR="00E12ADB">
        <w:rPr>
          <w:rFonts w:ascii="Times" w:hAnsi="Times" w:cs="Times New Roman"/>
        </w:rPr>
        <w:t>, 2004).</w:t>
      </w:r>
    </w:p>
    <w:p w:rsidR="000A7310" w:rsidRDefault="000A7310" w:rsidP="00CC4243">
      <w:pPr>
        <w:spacing w:line="360" w:lineRule="auto"/>
        <w:jc w:val="both"/>
        <w:rPr>
          <w:rFonts w:ascii="Times" w:hAnsi="Times" w:cs="Times New Roman"/>
        </w:rPr>
      </w:pPr>
    </w:p>
    <w:p w:rsidR="000A7310" w:rsidRDefault="000A7310" w:rsidP="000A7310">
      <w:pPr>
        <w:rPr>
          <w:rFonts w:ascii="Times" w:hAnsi="Times"/>
        </w:rPr>
      </w:pPr>
    </w:p>
    <w:p w:rsidR="005D10D6" w:rsidRDefault="00BB16A9" w:rsidP="00CC4243">
      <w:pPr>
        <w:spacing w:line="360" w:lineRule="auto"/>
        <w:jc w:val="both"/>
        <w:rPr>
          <w:rFonts w:ascii="Times" w:hAnsi="Times" w:cs="Times New Roman"/>
        </w:rPr>
      </w:pPr>
      <w:r>
        <w:rPr>
          <w:rFonts w:ascii="Times" w:hAnsi="Times" w:cs="Times New Roman"/>
        </w:rPr>
        <w:t>Si la critique</w:t>
      </w:r>
      <w:r w:rsidR="000A7310">
        <w:rPr>
          <w:rFonts w:ascii="Times" w:hAnsi="Times" w:cs="Times New Roman"/>
        </w:rPr>
        <w:t>,</w:t>
      </w:r>
      <w:r>
        <w:rPr>
          <w:rFonts w:ascii="Times" w:hAnsi="Times" w:cs="Times New Roman"/>
        </w:rPr>
        <w:t xml:space="preserve"> </w:t>
      </w:r>
      <w:r w:rsidRPr="00433832">
        <w:rPr>
          <w:rFonts w:ascii="Times" w:hAnsi="Times" w:cs="Times New Roman"/>
        </w:rPr>
        <w:t>c’est la contestation de « ce qui est », et « l’estimation » de ce dernier au nom d’une avancée vers un « mieux », défini en termes moraux, politiques, intellectuels, et donc articulé à l’émancipation individuelle et collective</w:t>
      </w:r>
      <w:r>
        <w:rPr>
          <w:rFonts w:ascii="Times" w:hAnsi="Times" w:cs="Times New Roman"/>
        </w:rPr>
        <w:t>, reste que ce « mieux » est dépendant des acteurs qui sont à l’origine de la critique. Si l’on prend les discours de l’extrême droite, force est de constater qu’ils prônent un meilleur monde basé sur « la liberté », « la souveraineté », « la justice », etc. (Manifeste pour l’Alliance européenne des nations, Front National, 2018)</w:t>
      </w:r>
      <w:r w:rsidR="005D10D6">
        <w:rPr>
          <w:rFonts w:ascii="Times" w:hAnsi="Times" w:cs="Times New Roman"/>
        </w:rPr>
        <w:t xml:space="preserve">. Est-ce parce que ce « mieux » ne correspond pas au cadre moral du sociologue, que ces contestations ne peuvent pas être considérées comme des critiques à part entière ? Nous pensons plutôt, au regard des travaux de Boltanski (Boltanski, 2009) que ces contestations dites « régressives » peuvent tout à fait s’envisager comme des évènements critiques. Et plus encore, les considérer comme des critiques, au sens de Boltanski, et les analyser comme telles nous permettra également de revoir la notion de « régression » qui empêche, d’une part de comprendre ces évènements critiques </w:t>
      </w:r>
      <w:r w:rsidR="00A17AEC">
        <w:rPr>
          <w:rFonts w:ascii="Times" w:hAnsi="Times" w:cs="Times New Roman"/>
        </w:rPr>
        <w:t xml:space="preserve">comme </w:t>
      </w:r>
      <w:r w:rsidR="005D10D6">
        <w:rPr>
          <w:rFonts w:ascii="Times" w:hAnsi="Times" w:cs="Times New Roman"/>
        </w:rPr>
        <w:t>l’</w:t>
      </w:r>
      <w:r w:rsidR="005D10D6" w:rsidRPr="003A21A2">
        <w:rPr>
          <w:rFonts w:ascii="Times" w:hAnsi="Times" w:cs="Times New Roman"/>
        </w:rPr>
        <w:t>émergence d’un actuel jusqu’alors inexprimé ou séquestré</w:t>
      </w:r>
      <w:r w:rsidR="005D10D6">
        <w:rPr>
          <w:rFonts w:ascii="Times" w:hAnsi="Times" w:cs="Times New Roman"/>
        </w:rPr>
        <w:t xml:space="preserve">, comme l’actualisation de « situations occurrences » qui ne trouvent pas leur reconnaissance dans des « situations types » et qui d’autre part, pose un cadre référentiel du </w:t>
      </w:r>
      <w:r w:rsidR="005D10D6">
        <w:rPr>
          <w:rFonts w:ascii="Times" w:hAnsi="Times" w:cs="Times New Roman"/>
        </w:rPr>
        <w:lastRenderedPageBreak/>
        <w:t xml:space="preserve">passé et </w:t>
      </w:r>
      <w:r w:rsidR="00A17AEC">
        <w:rPr>
          <w:rFonts w:ascii="Times" w:hAnsi="Times" w:cs="Times New Roman"/>
        </w:rPr>
        <w:t xml:space="preserve">du </w:t>
      </w:r>
      <w:r w:rsidR="005D10D6">
        <w:rPr>
          <w:rFonts w:ascii="Times" w:hAnsi="Times" w:cs="Times New Roman"/>
        </w:rPr>
        <w:t>présent</w:t>
      </w:r>
      <w:r w:rsidR="00A17AEC">
        <w:rPr>
          <w:rFonts w:ascii="Times" w:hAnsi="Times" w:cs="Times New Roman"/>
        </w:rPr>
        <w:t xml:space="preserve"> qui dépend du sociologue. Or, tout comme la « visée méliorative », la notion de régression ne doit s’envisager, dès lors, que par la représentation des acteurs. Qu’est-ce qui est régression, selon eux ? Ce n’est qu’à partir de de là que le sociologue pourra construire la grammaire qui sous-tend les discours et les agissement</w:t>
      </w:r>
      <w:r w:rsidR="000A7310">
        <w:rPr>
          <w:rFonts w:ascii="Times" w:hAnsi="Times" w:cs="Times New Roman"/>
        </w:rPr>
        <w:t>s</w:t>
      </w:r>
      <w:r w:rsidR="00A17AEC">
        <w:rPr>
          <w:rFonts w:ascii="Times" w:hAnsi="Times" w:cs="Times New Roman"/>
        </w:rPr>
        <w:t xml:space="preserve"> des acteurs de la critique. Seule cette compréhension pourra armer, dans un deuxième temps, la critique que le sociologue pourra adresser à ces contestations</w:t>
      </w:r>
      <w:r w:rsidR="00E12ADB">
        <w:rPr>
          <w:rFonts w:ascii="Times" w:hAnsi="Times" w:cs="Times New Roman"/>
        </w:rPr>
        <w:t xml:space="preserve"> en les situant, non plus dans un champ moral mais sur un plan « politique » (</w:t>
      </w:r>
      <w:proofErr w:type="spellStart"/>
      <w:r w:rsidR="00E12ADB">
        <w:rPr>
          <w:rFonts w:ascii="Times" w:hAnsi="Times" w:cs="Times New Roman"/>
        </w:rPr>
        <w:t>Mouffe</w:t>
      </w:r>
      <w:proofErr w:type="spellEnd"/>
      <w:r w:rsidR="00E12ADB">
        <w:rPr>
          <w:rFonts w:ascii="Times" w:hAnsi="Times" w:cs="Times New Roman"/>
        </w:rPr>
        <w:t>, 2016).</w:t>
      </w:r>
    </w:p>
    <w:p w:rsidR="005D10D6" w:rsidRDefault="005D10D6" w:rsidP="00CC4243">
      <w:pPr>
        <w:spacing w:line="360" w:lineRule="auto"/>
        <w:jc w:val="both"/>
        <w:rPr>
          <w:rFonts w:ascii="Times" w:hAnsi="Times" w:cs="Times New Roman"/>
        </w:rPr>
      </w:pPr>
    </w:p>
    <w:p w:rsidR="005D10D6" w:rsidRDefault="005D10D6" w:rsidP="00CC4243">
      <w:pPr>
        <w:spacing w:line="360" w:lineRule="auto"/>
        <w:jc w:val="both"/>
        <w:rPr>
          <w:rFonts w:ascii="Times" w:hAnsi="Times" w:cs="Times New Roman"/>
        </w:rPr>
      </w:pPr>
      <w:bookmarkStart w:id="0" w:name="_GoBack"/>
      <w:bookmarkEnd w:id="0"/>
    </w:p>
    <w:p w:rsidR="00A36033" w:rsidRPr="00A17AEC" w:rsidRDefault="00A36033">
      <w:pPr>
        <w:rPr>
          <w:rFonts w:ascii="Times" w:hAnsi="Times"/>
          <w:b/>
          <w:bCs/>
        </w:rPr>
      </w:pPr>
      <w:r w:rsidRPr="00A17AEC">
        <w:rPr>
          <w:rFonts w:ascii="Times" w:hAnsi="Times"/>
          <w:b/>
          <w:bCs/>
        </w:rPr>
        <w:t>Bibliographie</w:t>
      </w:r>
    </w:p>
    <w:p w:rsidR="00A36033" w:rsidRDefault="00A36033" w:rsidP="00583559">
      <w:pPr>
        <w:rPr>
          <w:rFonts w:ascii="Times" w:hAnsi="Times"/>
        </w:rPr>
      </w:pPr>
    </w:p>
    <w:p w:rsidR="000A7310" w:rsidRDefault="003F725F" w:rsidP="00583559">
      <w:pPr>
        <w:rPr>
          <w:rFonts w:ascii="Times" w:hAnsi="Times"/>
        </w:rPr>
      </w:pPr>
      <w:r>
        <w:rPr>
          <w:rFonts w:ascii="Times" w:hAnsi="Times"/>
        </w:rPr>
        <w:t>BOLTANSKI, L et THEVENOT, L. 1991. De la justification, Paris, Gallimard.</w:t>
      </w:r>
    </w:p>
    <w:p w:rsidR="00A36033" w:rsidRPr="00F1774D" w:rsidRDefault="00A36033" w:rsidP="00583559">
      <w:pPr>
        <w:rPr>
          <w:rFonts w:ascii="Times" w:hAnsi="Times"/>
        </w:rPr>
      </w:pPr>
      <w:r w:rsidRPr="00F1774D">
        <w:rPr>
          <w:rFonts w:ascii="Times" w:hAnsi="Times"/>
        </w:rPr>
        <w:t xml:space="preserve">BOLTANSKI, L. 2009. </w:t>
      </w:r>
      <w:r w:rsidRPr="00F1774D">
        <w:rPr>
          <w:rFonts w:ascii="Times" w:hAnsi="Times"/>
          <w:i/>
          <w:iCs/>
        </w:rPr>
        <w:t>De la critique. Précis de sociologie de l’émancipation</w:t>
      </w:r>
      <w:r w:rsidRPr="00F1774D">
        <w:rPr>
          <w:rFonts w:ascii="Times" w:hAnsi="Times"/>
        </w:rPr>
        <w:t>, Paris, Gallimard « NRF Essais ».</w:t>
      </w:r>
    </w:p>
    <w:p w:rsidR="00E12ADB" w:rsidRPr="00583559" w:rsidRDefault="00E12ADB" w:rsidP="00583559">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MOUFFE, C. 2004. </w:t>
      </w:r>
      <w:r w:rsidRPr="00E12ADB">
        <w:rPr>
          <w:rFonts w:ascii="Times New Roman" w:eastAsia="Times New Roman" w:hAnsi="Times New Roman" w:cs="Times New Roman"/>
          <w:lang w:eastAsia="fr-FR"/>
        </w:rPr>
        <w:t xml:space="preserve">« Le politique et la dynamique des passions », </w:t>
      </w:r>
      <w:r w:rsidRPr="00E12ADB">
        <w:rPr>
          <w:rFonts w:ascii="Times New Roman" w:eastAsia="Times New Roman" w:hAnsi="Times New Roman" w:cs="Times New Roman"/>
          <w:i/>
          <w:iCs/>
          <w:lang w:eastAsia="fr-FR"/>
        </w:rPr>
        <w:t>Rue Descartes</w:t>
      </w:r>
      <w:r w:rsidRPr="00E12ADB">
        <w:rPr>
          <w:rFonts w:ascii="Times New Roman" w:eastAsia="Times New Roman" w:hAnsi="Times New Roman" w:cs="Times New Roman"/>
          <w:lang w:eastAsia="fr-FR"/>
        </w:rPr>
        <w:t xml:space="preserve">, 2004/3 (n° 45-46), p. 179-192. </w:t>
      </w:r>
    </w:p>
    <w:p w:rsidR="00E12ADB" w:rsidRPr="00D73571" w:rsidRDefault="00E12ADB" w:rsidP="00583559">
      <w:pPr>
        <w:rPr>
          <w:rFonts w:ascii="Times" w:hAnsi="Times"/>
        </w:rPr>
      </w:pPr>
      <w:r w:rsidRPr="00196F2E">
        <w:rPr>
          <w:rFonts w:ascii="Times" w:hAnsi="Times" w:cs="Arial"/>
          <w:sz w:val="25"/>
          <w:szCs w:val="25"/>
        </w:rPr>
        <w:t xml:space="preserve">MOUFFE, C. </w:t>
      </w:r>
      <w:r w:rsidRPr="00FE4B2C">
        <w:rPr>
          <w:rFonts w:ascii="Times" w:hAnsi="Times" w:cs="Arial"/>
          <w:sz w:val="25"/>
          <w:szCs w:val="25"/>
        </w:rPr>
        <w:t>[</w:t>
      </w:r>
      <w:r>
        <w:rPr>
          <w:rFonts w:ascii="Times" w:hAnsi="Times" w:cs="Arial"/>
          <w:sz w:val="25"/>
          <w:szCs w:val="25"/>
        </w:rPr>
        <w:t>2005</w:t>
      </w:r>
      <w:r w:rsidRPr="00FE4B2C">
        <w:rPr>
          <w:rFonts w:ascii="Times" w:hAnsi="Times" w:cs="Arial"/>
          <w:sz w:val="25"/>
          <w:szCs w:val="25"/>
        </w:rPr>
        <w:t xml:space="preserve">] </w:t>
      </w:r>
      <w:r w:rsidRPr="00196F2E">
        <w:rPr>
          <w:rFonts w:ascii="Times" w:hAnsi="Times" w:cs="Arial"/>
          <w:sz w:val="25"/>
          <w:szCs w:val="25"/>
        </w:rPr>
        <w:t xml:space="preserve">2016. </w:t>
      </w:r>
      <w:r w:rsidRPr="00D73571">
        <w:rPr>
          <w:rFonts w:ascii="Times" w:hAnsi="Times" w:cs="Arial"/>
          <w:i/>
          <w:iCs/>
          <w:sz w:val="25"/>
          <w:szCs w:val="25"/>
        </w:rPr>
        <w:t>L’illusion du consensus</w:t>
      </w:r>
      <w:r>
        <w:rPr>
          <w:rFonts w:ascii="Times" w:hAnsi="Times" w:cs="Arial"/>
          <w:sz w:val="25"/>
          <w:szCs w:val="25"/>
        </w:rPr>
        <w:t xml:space="preserve"> </w:t>
      </w:r>
      <w:r w:rsidRPr="00196F2E">
        <w:rPr>
          <w:rFonts w:ascii="Times" w:hAnsi="Times" w:cs="Arial"/>
          <w:i/>
          <w:iCs/>
          <w:sz w:val="25"/>
          <w:szCs w:val="25"/>
        </w:rPr>
        <w:t xml:space="preserve">(On the </w:t>
      </w:r>
      <w:proofErr w:type="spellStart"/>
      <w:r w:rsidRPr="00196F2E">
        <w:rPr>
          <w:rFonts w:ascii="Times" w:hAnsi="Times" w:cs="Arial"/>
          <w:i/>
          <w:iCs/>
          <w:sz w:val="25"/>
          <w:szCs w:val="25"/>
        </w:rPr>
        <w:t>Political</w:t>
      </w:r>
      <w:proofErr w:type="spellEnd"/>
      <w:r w:rsidRPr="00196F2E">
        <w:rPr>
          <w:rFonts w:ascii="Times" w:hAnsi="Times" w:cs="Arial"/>
          <w:i/>
          <w:iCs/>
          <w:sz w:val="25"/>
          <w:szCs w:val="25"/>
        </w:rPr>
        <w:t>)</w:t>
      </w:r>
      <w:r>
        <w:rPr>
          <w:rFonts w:ascii="Times" w:hAnsi="Times" w:cs="Arial"/>
          <w:sz w:val="25"/>
          <w:szCs w:val="25"/>
        </w:rPr>
        <w:t>, Paris, Albin Michel.</w:t>
      </w:r>
    </w:p>
    <w:p w:rsidR="00E12ADB" w:rsidRPr="00E12ADB" w:rsidRDefault="00E12ADB" w:rsidP="00E12ADB">
      <w:pPr>
        <w:rPr>
          <w:rFonts w:ascii="Times New Roman" w:eastAsia="Times New Roman" w:hAnsi="Times New Roman" w:cs="Times New Roman"/>
          <w:lang w:eastAsia="fr-FR"/>
        </w:rPr>
      </w:pPr>
    </w:p>
    <w:p w:rsidR="00A36033" w:rsidRPr="00433832" w:rsidRDefault="00A36033">
      <w:pPr>
        <w:rPr>
          <w:rFonts w:ascii="Times" w:hAnsi="Times"/>
        </w:rPr>
      </w:pPr>
    </w:p>
    <w:sectPr w:rsidR="00A36033" w:rsidRPr="00433832" w:rsidSect="00EA6F73">
      <w:pgSz w:w="11905" w:h="1683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04FB9"/>
    <w:multiLevelType w:val="hybridMultilevel"/>
    <w:tmpl w:val="157E01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F6"/>
    <w:rsid w:val="000156BA"/>
    <w:rsid w:val="00063AFF"/>
    <w:rsid w:val="00074DF6"/>
    <w:rsid w:val="000A7310"/>
    <w:rsid w:val="0011738E"/>
    <w:rsid w:val="00146A22"/>
    <w:rsid w:val="00192C2A"/>
    <w:rsid w:val="001E5085"/>
    <w:rsid w:val="001F39D8"/>
    <w:rsid w:val="001F46F6"/>
    <w:rsid w:val="002116FF"/>
    <w:rsid w:val="00300E5D"/>
    <w:rsid w:val="003A21A2"/>
    <w:rsid w:val="003F725F"/>
    <w:rsid w:val="004332EE"/>
    <w:rsid w:val="00433832"/>
    <w:rsid w:val="004A54E2"/>
    <w:rsid w:val="005224DB"/>
    <w:rsid w:val="00583559"/>
    <w:rsid w:val="005D10D6"/>
    <w:rsid w:val="006063BF"/>
    <w:rsid w:val="00620911"/>
    <w:rsid w:val="007C038B"/>
    <w:rsid w:val="00883426"/>
    <w:rsid w:val="008B4316"/>
    <w:rsid w:val="00A17AEC"/>
    <w:rsid w:val="00A36033"/>
    <w:rsid w:val="00A63C48"/>
    <w:rsid w:val="00AD23B6"/>
    <w:rsid w:val="00BB16A9"/>
    <w:rsid w:val="00C35347"/>
    <w:rsid w:val="00C51BCB"/>
    <w:rsid w:val="00CC4243"/>
    <w:rsid w:val="00CE2D9A"/>
    <w:rsid w:val="00E12ADB"/>
    <w:rsid w:val="00E846A2"/>
    <w:rsid w:val="00EA68CC"/>
    <w:rsid w:val="00EA6F73"/>
    <w:rsid w:val="00EA76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9EC0026"/>
  <w15:chartTrackingRefBased/>
  <w15:docId w15:val="{62F06B67-A431-144D-BABF-3568845D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0E5D"/>
    <w:pPr>
      <w:ind w:left="720"/>
      <w:contextualSpacing/>
    </w:pPr>
  </w:style>
  <w:style w:type="character" w:styleId="Lienhypertexte">
    <w:name w:val="Hyperlink"/>
    <w:basedOn w:val="Policepardfaut"/>
    <w:uiPriority w:val="99"/>
    <w:unhideWhenUsed/>
    <w:rsid w:val="00620911"/>
    <w:rPr>
      <w:color w:val="0563C1" w:themeColor="hyperlink"/>
      <w:u w:val="single"/>
    </w:rPr>
  </w:style>
  <w:style w:type="character" w:styleId="Mentionnonrsolue">
    <w:name w:val="Unresolved Mention"/>
    <w:basedOn w:val="Policepardfaut"/>
    <w:uiPriority w:val="99"/>
    <w:semiHidden/>
    <w:unhideWhenUsed/>
    <w:rsid w:val="00620911"/>
    <w:rPr>
      <w:color w:val="605E5C"/>
      <w:shd w:val="clear" w:color="auto" w:fill="E1DFDD"/>
    </w:rPr>
  </w:style>
  <w:style w:type="character" w:styleId="Lienhypertextesuivivisit">
    <w:name w:val="FollowedHyperlink"/>
    <w:basedOn w:val="Policepardfaut"/>
    <w:uiPriority w:val="99"/>
    <w:semiHidden/>
    <w:unhideWhenUsed/>
    <w:rsid w:val="004332EE"/>
    <w:rPr>
      <w:color w:val="954F72" w:themeColor="followedHyperlink"/>
      <w:u w:val="single"/>
    </w:rPr>
  </w:style>
  <w:style w:type="character" w:styleId="lev">
    <w:name w:val="Strong"/>
    <w:basedOn w:val="Policepardfaut"/>
    <w:uiPriority w:val="22"/>
    <w:qFormat/>
    <w:rsid w:val="003A21A2"/>
    <w:rPr>
      <w:b/>
      <w:bCs/>
    </w:rPr>
  </w:style>
  <w:style w:type="character" w:styleId="Accentuation">
    <w:name w:val="Emphasis"/>
    <w:basedOn w:val="Policepardfaut"/>
    <w:uiPriority w:val="20"/>
    <w:qFormat/>
    <w:rsid w:val="003A21A2"/>
    <w:rPr>
      <w:i/>
      <w:iCs/>
    </w:rPr>
  </w:style>
  <w:style w:type="character" w:customStyle="1" w:styleId="uppercase">
    <w:name w:val="uppercase"/>
    <w:basedOn w:val="Policepardfaut"/>
    <w:rsid w:val="00E1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0638">
      <w:bodyDiv w:val="1"/>
      <w:marLeft w:val="0"/>
      <w:marRight w:val="0"/>
      <w:marTop w:val="0"/>
      <w:marBottom w:val="0"/>
      <w:divBdr>
        <w:top w:val="none" w:sz="0" w:space="0" w:color="auto"/>
        <w:left w:val="none" w:sz="0" w:space="0" w:color="auto"/>
        <w:bottom w:val="none" w:sz="0" w:space="0" w:color="auto"/>
        <w:right w:val="none" w:sz="0" w:space="0" w:color="auto"/>
      </w:divBdr>
    </w:div>
    <w:div w:id="86074326">
      <w:bodyDiv w:val="1"/>
      <w:marLeft w:val="0"/>
      <w:marRight w:val="0"/>
      <w:marTop w:val="0"/>
      <w:marBottom w:val="0"/>
      <w:divBdr>
        <w:top w:val="none" w:sz="0" w:space="0" w:color="auto"/>
        <w:left w:val="none" w:sz="0" w:space="0" w:color="auto"/>
        <w:bottom w:val="none" w:sz="0" w:space="0" w:color="auto"/>
        <w:right w:val="none" w:sz="0" w:space="0" w:color="auto"/>
      </w:divBdr>
    </w:div>
    <w:div w:id="182985860">
      <w:bodyDiv w:val="1"/>
      <w:marLeft w:val="0"/>
      <w:marRight w:val="0"/>
      <w:marTop w:val="0"/>
      <w:marBottom w:val="0"/>
      <w:divBdr>
        <w:top w:val="none" w:sz="0" w:space="0" w:color="auto"/>
        <w:left w:val="none" w:sz="0" w:space="0" w:color="auto"/>
        <w:bottom w:val="none" w:sz="0" w:space="0" w:color="auto"/>
        <w:right w:val="none" w:sz="0" w:space="0" w:color="auto"/>
      </w:divBdr>
    </w:div>
    <w:div w:id="317268659">
      <w:bodyDiv w:val="1"/>
      <w:marLeft w:val="0"/>
      <w:marRight w:val="0"/>
      <w:marTop w:val="0"/>
      <w:marBottom w:val="0"/>
      <w:divBdr>
        <w:top w:val="none" w:sz="0" w:space="0" w:color="auto"/>
        <w:left w:val="none" w:sz="0" w:space="0" w:color="auto"/>
        <w:bottom w:val="none" w:sz="0" w:space="0" w:color="auto"/>
        <w:right w:val="none" w:sz="0" w:space="0" w:color="auto"/>
      </w:divBdr>
    </w:div>
    <w:div w:id="55404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78F6-F64B-A443-851C-6A9251F4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509</Words>
  <Characters>2803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Violaine Wathelet</dc:creator>
  <cp:keywords/>
  <dc:description/>
  <cp:lastModifiedBy>Violaine Wathelet</cp:lastModifiedBy>
  <cp:revision>19</cp:revision>
  <dcterms:created xsi:type="dcterms:W3CDTF">2019-07-12T08:59:00Z</dcterms:created>
  <dcterms:modified xsi:type="dcterms:W3CDTF">2019-08-25T12:10:00Z</dcterms:modified>
</cp:coreProperties>
</file>