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76" w:rsidRPr="00A62810" w:rsidRDefault="00277476" w:rsidP="00277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9"/>
          <w:szCs w:val="19"/>
          <w:lang w:eastAsia="fr-BE"/>
        </w:rPr>
      </w:pPr>
      <w:r w:rsidRPr="00A62810">
        <w:rPr>
          <w:rFonts w:ascii="Arial" w:eastAsia="Times New Roman" w:hAnsi="Arial" w:cs="Arial"/>
          <w:i/>
          <w:iCs/>
          <w:color w:val="666666"/>
          <w:sz w:val="19"/>
          <w:szCs w:val="19"/>
          <w:lang w:eastAsia="fr-BE"/>
        </w:rPr>
        <w:t>Endocrine Abstracts</w:t>
      </w:r>
      <w:r w:rsidRPr="00A62810">
        <w:rPr>
          <w:rFonts w:ascii="Arial" w:eastAsia="Times New Roman" w:hAnsi="Arial" w:cs="Arial"/>
          <w:color w:val="666666"/>
          <w:sz w:val="19"/>
          <w:szCs w:val="19"/>
          <w:lang w:eastAsia="fr-BE"/>
        </w:rPr>
        <w:t> (2019) </w:t>
      </w:r>
      <w:r w:rsidRPr="00A62810">
        <w:rPr>
          <w:rFonts w:ascii="Arial" w:eastAsia="Times New Roman" w:hAnsi="Arial" w:cs="Arial"/>
          <w:b/>
          <w:bCs/>
          <w:color w:val="666666"/>
          <w:sz w:val="19"/>
          <w:szCs w:val="19"/>
          <w:lang w:eastAsia="fr-BE"/>
        </w:rPr>
        <w:t>63</w:t>
      </w:r>
      <w:r w:rsidRPr="00A62810">
        <w:rPr>
          <w:rFonts w:ascii="Arial" w:eastAsia="Times New Roman" w:hAnsi="Arial" w:cs="Arial"/>
          <w:color w:val="666666"/>
          <w:sz w:val="19"/>
          <w:szCs w:val="19"/>
          <w:lang w:eastAsia="fr-BE"/>
        </w:rPr>
        <w:t> P312 | DOI: </w:t>
      </w:r>
      <w:hyperlink r:id="rId4" w:history="1">
        <w:r w:rsidRPr="00A62810">
          <w:rPr>
            <w:rFonts w:ascii="Arial" w:eastAsia="Times New Roman" w:hAnsi="Arial" w:cs="Arial"/>
            <w:color w:val="337AB7"/>
            <w:sz w:val="19"/>
            <w:szCs w:val="19"/>
            <w:u w:val="single"/>
            <w:lang w:eastAsia="fr-BE"/>
          </w:rPr>
          <w:t>10.1530/endoabs.63.P312</w:t>
        </w:r>
      </w:hyperlink>
    </w:p>
    <w:p w:rsidR="00277476" w:rsidRPr="00A62810" w:rsidRDefault="00277476" w:rsidP="0027747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</w:pPr>
      <w:proofErr w:type="spellStart"/>
      <w:r w:rsidRPr="00A62810"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  <w:t>Normosmic</w:t>
      </w:r>
      <w:proofErr w:type="spellEnd"/>
      <w:r w:rsidRPr="00A62810">
        <w:rPr>
          <w:rFonts w:ascii="inherit" w:eastAsia="Times New Roman" w:hAnsi="inherit" w:cs="Arial"/>
          <w:color w:val="C4590A"/>
          <w:sz w:val="45"/>
          <w:szCs w:val="45"/>
          <w:lang w:val="en-US" w:eastAsia="fr-BE"/>
        </w:rPr>
        <w:t xml:space="preserve"> hypogonadotropic hypogonadism associated with a novel TACR3 mutation</w:t>
      </w:r>
    </w:p>
    <w:p w:rsidR="00277476" w:rsidRPr="00A62810" w:rsidRDefault="00277476" w:rsidP="00277476">
      <w:pPr>
        <w:shd w:val="clear" w:color="auto" w:fill="FFFFFF"/>
        <w:spacing w:before="300" w:after="300" w:line="240" w:lineRule="auto"/>
        <w:outlineLvl w:val="2"/>
        <w:rPr>
          <w:rFonts w:ascii="inherit" w:eastAsia="Times New Roman" w:hAnsi="inherit" w:cs="Arial"/>
          <w:color w:val="F7791E"/>
          <w:sz w:val="19"/>
          <w:szCs w:val="19"/>
          <w:lang w:eastAsia="fr-BE"/>
        </w:rPr>
      </w:pPr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Hernan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Valdes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-Socin, Cécile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Libioulle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, Marie Christine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Lebrethon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, Vinciane Corman, François Guillaume Debray, Vinciane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Dideberg</w:t>
      </w:r>
      <w:proofErr w:type="spellEnd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 xml:space="preserve"> &amp; Albert </w:t>
      </w:r>
      <w:proofErr w:type="spellStart"/>
      <w:r w:rsidRPr="00A62810">
        <w:rPr>
          <w:rFonts w:ascii="inherit" w:eastAsia="Times New Roman" w:hAnsi="inherit" w:cs="Arial"/>
          <w:color w:val="F7791E"/>
          <w:sz w:val="19"/>
          <w:szCs w:val="19"/>
          <w:lang w:eastAsia="fr-BE"/>
        </w:rPr>
        <w:t>Beckers</w:t>
      </w:r>
      <w:proofErr w:type="spellEnd"/>
    </w:p>
    <w:p w:rsidR="00277476" w:rsidRPr="00A62810" w:rsidRDefault="00277476" w:rsidP="0027747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pict>
          <v:rect id="_x0000_i1025" style="width:0;height:0" o:hralign="center" o:hrstd="t" o:hrnoshade="t" o:hr="t" fillcolor="#666" stroked="f"/>
        </w:pict>
      </w:r>
    </w:p>
    <w:p w:rsidR="00277476" w:rsidRPr="00A62810" w:rsidRDefault="00277476" w:rsidP="00277476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fr-BE"/>
        </w:rPr>
      </w:pPr>
      <w:hyperlink r:id="rId5" w:anchor="authorAffiliates" w:history="1">
        <w:proofErr w:type="spellStart"/>
        <w:r w:rsidRPr="00A62810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F7791E"/>
            <w:lang w:eastAsia="fr-BE"/>
          </w:rPr>
          <w:t>Author</w:t>
        </w:r>
        <w:proofErr w:type="spellEnd"/>
        <w:r w:rsidRPr="00A62810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F7791E"/>
            <w:lang w:eastAsia="fr-BE"/>
          </w:rPr>
          <w:t xml:space="preserve"> affiliations</w:t>
        </w:r>
      </w:hyperlink>
    </w:p>
    <w:p w:rsidR="00277476" w:rsidRPr="00A62810" w:rsidRDefault="00277476" w:rsidP="0027747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pict>
          <v:rect id="_x0000_i1026" style="width:0;height:0" o:hralign="center" o:hrstd="t" o:hrnoshade="t" o:hr="t" fillcolor="#666" stroked="f"/>
        </w:pict>
      </w:r>
    </w:p>
    <w:p w:rsidR="00277476" w:rsidRPr="00A62810" w:rsidRDefault="00277476" w:rsidP="002774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Introduction: Neurokinin B (NKB) is a neurotransmitter, regulating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GnRH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. NKB activates its receptor TACR3. Recessive mutations of TACR3 are associated with a phenotype of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normosmic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hypogonadism.</w:t>
      </w:r>
    </w:p>
    <w:p w:rsidR="00277476" w:rsidRPr="00A62810" w:rsidRDefault="00277476" w:rsidP="002774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Case report: A 17 years old man born in Turkey, present with pubertal delay. He is treated 3 years with testosterone and he is reevaluated without treatment. He is 1.79 m and 1.85 arm span, testicular volume: 3 and 4 ml. He has no olfactory troubles. Testosterone 1.87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nmol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/L, Estradiol &lt;17 ng/L, LH 2,3 UI/L, FSH 1,6 UI/L. Pituitary MRI is normal.</w:t>
      </w:r>
    </w:p>
    <w:p w:rsidR="00277476" w:rsidRPr="00A62810" w:rsidRDefault="00277476" w:rsidP="002774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</w:pP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Genetic analysis: A set of 16 causatives genes for IHH and KS were investigated by Next Generation Sequencing. We were able to identify a novel heterozygous TACR3 variant (c.530C&gt;A, p.(Thr177Lys)) that is predicted to be deleterious by </w:t>
      </w:r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 xml:space="preserve">in </w:t>
      </w:r>
      <w:proofErr w:type="spellStart"/>
      <w:r w:rsidRPr="00A62810">
        <w:rPr>
          <w:rFonts w:ascii="Arial" w:eastAsia="Times New Roman" w:hAnsi="Arial" w:cs="Arial"/>
          <w:i/>
          <w:iCs/>
          <w:color w:val="666666"/>
          <w:sz w:val="23"/>
          <w:szCs w:val="23"/>
          <w:lang w:val="en-US" w:eastAsia="fr-BE"/>
        </w:rPr>
        <w:t>silico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 analysis (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Polyphen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, Mutation Taster, Mutation Assessor). This variant is located in the ‘GPCR, rhodopsin-like’ protein domain and lead to the replacement of Thr177 by a Lysine residue. Functional studies are needed to evaluate the deleterious impact on the NKR3 receptor.</w:t>
      </w:r>
    </w:p>
    <w:p w:rsidR="00277476" w:rsidRDefault="00277476" w:rsidP="002774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3"/>
          <w:szCs w:val="23"/>
          <w:lang w:eastAsia="fr-BE"/>
        </w:rPr>
      </w:pPr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Conclusions: We describe a novel TAC3R mutation associated with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>normosmic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val="en-US" w:eastAsia="fr-BE"/>
        </w:rPr>
        <w:t xml:space="preserve"> hypogonadotropic hypogonadism. The phenotype is intriguing, because a second pathogen mutation is expected but it was not found with our panel.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Further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 xml:space="preserve">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gene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 xml:space="preserve"> investigations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will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 xml:space="preserve">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be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 xml:space="preserve"> </w:t>
      </w:r>
      <w:proofErr w:type="spellStart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undertaken</w:t>
      </w:r>
      <w:proofErr w:type="spellEnd"/>
      <w:r w:rsidRPr="00A62810">
        <w:rPr>
          <w:rFonts w:ascii="Arial" w:eastAsia="Times New Roman" w:hAnsi="Arial" w:cs="Arial"/>
          <w:color w:val="666666"/>
          <w:sz w:val="23"/>
          <w:szCs w:val="23"/>
          <w:lang w:eastAsia="fr-BE"/>
        </w:rPr>
        <w:t>.</w:t>
      </w:r>
    </w:p>
    <w:p w:rsidR="00731C28" w:rsidRDefault="00731C28">
      <w:bookmarkStart w:id="0" w:name="_GoBack"/>
      <w:bookmarkEnd w:id="0"/>
    </w:p>
    <w:sectPr w:rsidR="0073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76"/>
    <w:rsid w:val="00277476"/>
    <w:rsid w:val="007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E1E5-EDF1-4DA9-AE08-D0E70B8E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7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docrine-abstracts.org/ea/0063/ea0063p312.htm" TargetMode="External"/><Relationship Id="rId4" Type="http://schemas.openxmlformats.org/officeDocument/2006/relationships/hyperlink" Target="https://doi.org/10.1530/endoabs.63.P31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cp:lastPrinted>2019-05-22T07:25:00Z</cp:lastPrinted>
  <dcterms:created xsi:type="dcterms:W3CDTF">2019-05-22T07:25:00Z</dcterms:created>
  <dcterms:modified xsi:type="dcterms:W3CDTF">2019-05-22T07:25:00Z</dcterms:modified>
</cp:coreProperties>
</file>