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613" w:rsidRPr="00A62810" w:rsidRDefault="00333613" w:rsidP="00333613">
      <w:pPr>
        <w:shd w:val="clear" w:color="auto" w:fill="FFFFFF"/>
        <w:spacing w:after="0" w:line="240" w:lineRule="auto"/>
        <w:rPr>
          <w:rFonts w:ascii="Arial" w:eastAsia="Times New Roman" w:hAnsi="Arial" w:cs="Arial"/>
          <w:color w:val="666666"/>
          <w:sz w:val="19"/>
          <w:szCs w:val="19"/>
          <w:lang w:eastAsia="fr-BE"/>
        </w:rPr>
      </w:pPr>
      <w:r w:rsidRPr="00A62810">
        <w:rPr>
          <w:rFonts w:ascii="Arial" w:eastAsia="Times New Roman" w:hAnsi="Arial" w:cs="Arial"/>
          <w:i/>
          <w:iCs/>
          <w:color w:val="666666"/>
          <w:sz w:val="19"/>
          <w:szCs w:val="19"/>
          <w:lang w:eastAsia="fr-BE"/>
        </w:rPr>
        <w:t>Endocrine Abstracts</w:t>
      </w:r>
      <w:r w:rsidRPr="00A62810">
        <w:rPr>
          <w:rFonts w:ascii="Arial" w:eastAsia="Times New Roman" w:hAnsi="Arial" w:cs="Arial"/>
          <w:color w:val="666666"/>
          <w:sz w:val="19"/>
          <w:szCs w:val="19"/>
          <w:lang w:eastAsia="fr-BE"/>
        </w:rPr>
        <w:t> (2019) </w:t>
      </w:r>
      <w:r w:rsidRPr="00A62810">
        <w:rPr>
          <w:rFonts w:ascii="Arial" w:eastAsia="Times New Roman" w:hAnsi="Arial" w:cs="Arial"/>
          <w:b/>
          <w:bCs/>
          <w:color w:val="666666"/>
          <w:sz w:val="19"/>
          <w:szCs w:val="19"/>
          <w:lang w:eastAsia="fr-BE"/>
        </w:rPr>
        <w:t>63</w:t>
      </w:r>
      <w:r w:rsidRPr="00A62810">
        <w:rPr>
          <w:rFonts w:ascii="Arial" w:eastAsia="Times New Roman" w:hAnsi="Arial" w:cs="Arial"/>
          <w:color w:val="666666"/>
          <w:sz w:val="19"/>
          <w:szCs w:val="19"/>
          <w:lang w:eastAsia="fr-BE"/>
        </w:rPr>
        <w:t> P313 | DOI: </w:t>
      </w:r>
      <w:hyperlink r:id="rId4" w:history="1">
        <w:r w:rsidRPr="00A62810">
          <w:rPr>
            <w:rFonts w:ascii="Arial" w:eastAsia="Times New Roman" w:hAnsi="Arial" w:cs="Arial"/>
            <w:color w:val="337AB7"/>
            <w:sz w:val="19"/>
            <w:szCs w:val="19"/>
            <w:u w:val="single"/>
            <w:lang w:eastAsia="fr-BE"/>
          </w:rPr>
          <w:t>10.1530/endoabs.63.P313</w:t>
        </w:r>
      </w:hyperlink>
    </w:p>
    <w:p w:rsidR="00333613" w:rsidRPr="00A62810" w:rsidRDefault="00333613" w:rsidP="00333613">
      <w:pPr>
        <w:shd w:val="clear" w:color="auto" w:fill="FFFFFF"/>
        <w:spacing w:before="300" w:after="150" w:line="240" w:lineRule="auto"/>
        <w:outlineLvl w:val="1"/>
        <w:rPr>
          <w:rFonts w:ascii="inherit" w:eastAsia="Times New Roman" w:hAnsi="inherit" w:cs="Arial"/>
          <w:color w:val="C4590A"/>
          <w:sz w:val="45"/>
          <w:szCs w:val="45"/>
          <w:lang w:val="en-US" w:eastAsia="fr-BE"/>
        </w:rPr>
      </w:pPr>
      <w:r w:rsidRPr="00A62810">
        <w:rPr>
          <w:rFonts w:ascii="inherit" w:eastAsia="Times New Roman" w:hAnsi="inherit" w:cs="Arial"/>
          <w:color w:val="C4590A"/>
          <w:sz w:val="45"/>
          <w:szCs w:val="45"/>
          <w:lang w:val="en-US" w:eastAsia="fr-BE"/>
        </w:rPr>
        <w:t xml:space="preserve">A novel rare case of </w:t>
      </w:r>
      <w:proofErr w:type="spellStart"/>
      <w:r w:rsidRPr="00A62810">
        <w:rPr>
          <w:rFonts w:ascii="inherit" w:eastAsia="Times New Roman" w:hAnsi="inherit" w:cs="Arial"/>
          <w:color w:val="C4590A"/>
          <w:sz w:val="45"/>
          <w:szCs w:val="45"/>
          <w:lang w:val="en-US" w:eastAsia="fr-BE"/>
        </w:rPr>
        <w:t>normosmic</w:t>
      </w:r>
      <w:proofErr w:type="spellEnd"/>
      <w:r w:rsidRPr="00A62810">
        <w:rPr>
          <w:rFonts w:ascii="inherit" w:eastAsia="Times New Roman" w:hAnsi="inherit" w:cs="Arial"/>
          <w:color w:val="C4590A"/>
          <w:sz w:val="45"/>
          <w:szCs w:val="45"/>
          <w:lang w:val="en-US" w:eastAsia="fr-BE"/>
        </w:rPr>
        <w:t xml:space="preserve"> congenital hypogonadotropic hypogonadism associating a </w:t>
      </w:r>
      <w:proofErr w:type="spellStart"/>
      <w:r w:rsidRPr="00A62810">
        <w:rPr>
          <w:rFonts w:ascii="inherit" w:eastAsia="Times New Roman" w:hAnsi="inherit" w:cs="Arial"/>
          <w:color w:val="C4590A"/>
          <w:sz w:val="45"/>
          <w:szCs w:val="45"/>
          <w:lang w:val="en-US" w:eastAsia="fr-BE"/>
        </w:rPr>
        <w:t>GnRHR</w:t>
      </w:r>
      <w:proofErr w:type="spellEnd"/>
      <w:r w:rsidRPr="00A62810">
        <w:rPr>
          <w:rFonts w:ascii="inherit" w:eastAsia="Times New Roman" w:hAnsi="inherit" w:cs="Arial"/>
          <w:color w:val="C4590A"/>
          <w:sz w:val="45"/>
          <w:szCs w:val="45"/>
          <w:lang w:val="en-US" w:eastAsia="fr-BE"/>
        </w:rPr>
        <w:t xml:space="preserve"> and a KISS1R variants</w:t>
      </w:r>
    </w:p>
    <w:p w:rsidR="00333613" w:rsidRPr="00A62810" w:rsidRDefault="00333613" w:rsidP="00333613">
      <w:pPr>
        <w:shd w:val="clear" w:color="auto" w:fill="FFFFFF"/>
        <w:spacing w:before="300" w:after="300" w:line="240" w:lineRule="auto"/>
        <w:outlineLvl w:val="2"/>
        <w:rPr>
          <w:rFonts w:ascii="inherit" w:eastAsia="Times New Roman" w:hAnsi="inherit" w:cs="Arial"/>
          <w:color w:val="F7791E"/>
          <w:sz w:val="19"/>
          <w:szCs w:val="19"/>
          <w:lang w:eastAsia="fr-BE"/>
        </w:rPr>
      </w:pPr>
      <w:r w:rsidRPr="00A62810">
        <w:rPr>
          <w:rFonts w:ascii="inherit" w:eastAsia="Times New Roman" w:hAnsi="inherit" w:cs="Arial"/>
          <w:color w:val="F7791E"/>
          <w:sz w:val="19"/>
          <w:szCs w:val="19"/>
          <w:lang w:eastAsia="fr-BE"/>
        </w:rPr>
        <w:t xml:space="preserve">Hernan </w:t>
      </w:r>
      <w:proofErr w:type="spellStart"/>
      <w:r w:rsidRPr="00A62810">
        <w:rPr>
          <w:rFonts w:ascii="inherit" w:eastAsia="Times New Roman" w:hAnsi="inherit" w:cs="Arial"/>
          <w:color w:val="F7791E"/>
          <w:sz w:val="19"/>
          <w:szCs w:val="19"/>
          <w:lang w:eastAsia="fr-BE"/>
        </w:rPr>
        <w:t>Valdes</w:t>
      </w:r>
      <w:proofErr w:type="spellEnd"/>
      <w:r w:rsidRPr="00A62810">
        <w:rPr>
          <w:rFonts w:ascii="inherit" w:eastAsia="Times New Roman" w:hAnsi="inherit" w:cs="Arial"/>
          <w:color w:val="F7791E"/>
          <w:sz w:val="19"/>
          <w:szCs w:val="19"/>
          <w:lang w:eastAsia="fr-BE"/>
        </w:rPr>
        <w:t xml:space="preserve">-Socin, Cécile </w:t>
      </w:r>
      <w:proofErr w:type="spellStart"/>
      <w:r w:rsidRPr="00A62810">
        <w:rPr>
          <w:rFonts w:ascii="inherit" w:eastAsia="Times New Roman" w:hAnsi="inherit" w:cs="Arial"/>
          <w:color w:val="F7791E"/>
          <w:sz w:val="19"/>
          <w:szCs w:val="19"/>
          <w:lang w:eastAsia="fr-BE"/>
        </w:rPr>
        <w:t>Libioulle</w:t>
      </w:r>
      <w:proofErr w:type="spellEnd"/>
      <w:r w:rsidRPr="00A62810">
        <w:rPr>
          <w:rFonts w:ascii="inherit" w:eastAsia="Times New Roman" w:hAnsi="inherit" w:cs="Arial"/>
          <w:color w:val="F7791E"/>
          <w:sz w:val="19"/>
          <w:szCs w:val="19"/>
          <w:lang w:eastAsia="fr-BE"/>
        </w:rPr>
        <w:t xml:space="preserve">, François-Guillaume Debray, Vinciane </w:t>
      </w:r>
      <w:proofErr w:type="spellStart"/>
      <w:r w:rsidRPr="00A62810">
        <w:rPr>
          <w:rFonts w:ascii="inherit" w:eastAsia="Times New Roman" w:hAnsi="inherit" w:cs="Arial"/>
          <w:color w:val="F7791E"/>
          <w:sz w:val="19"/>
          <w:szCs w:val="19"/>
          <w:lang w:eastAsia="fr-BE"/>
        </w:rPr>
        <w:t>Dideberg</w:t>
      </w:r>
      <w:proofErr w:type="spellEnd"/>
      <w:r w:rsidRPr="00A62810">
        <w:rPr>
          <w:rFonts w:ascii="inherit" w:eastAsia="Times New Roman" w:hAnsi="inherit" w:cs="Arial"/>
          <w:color w:val="F7791E"/>
          <w:sz w:val="19"/>
          <w:szCs w:val="19"/>
          <w:lang w:eastAsia="fr-BE"/>
        </w:rPr>
        <w:t xml:space="preserve">, Vincent </w:t>
      </w:r>
      <w:proofErr w:type="spellStart"/>
      <w:r w:rsidRPr="00A62810">
        <w:rPr>
          <w:rFonts w:ascii="inherit" w:eastAsia="Times New Roman" w:hAnsi="inherit" w:cs="Arial"/>
          <w:color w:val="F7791E"/>
          <w:sz w:val="19"/>
          <w:szCs w:val="19"/>
          <w:lang w:eastAsia="fr-BE"/>
        </w:rPr>
        <w:t>Bours</w:t>
      </w:r>
      <w:proofErr w:type="spellEnd"/>
      <w:r w:rsidRPr="00A62810">
        <w:rPr>
          <w:rFonts w:ascii="inherit" w:eastAsia="Times New Roman" w:hAnsi="inherit" w:cs="Arial"/>
          <w:color w:val="F7791E"/>
          <w:sz w:val="19"/>
          <w:szCs w:val="19"/>
          <w:lang w:eastAsia="fr-BE"/>
        </w:rPr>
        <w:t xml:space="preserve"> &amp; Albert </w:t>
      </w:r>
      <w:proofErr w:type="spellStart"/>
      <w:r w:rsidRPr="00A62810">
        <w:rPr>
          <w:rFonts w:ascii="inherit" w:eastAsia="Times New Roman" w:hAnsi="inherit" w:cs="Arial"/>
          <w:color w:val="F7791E"/>
          <w:sz w:val="19"/>
          <w:szCs w:val="19"/>
          <w:lang w:eastAsia="fr-BE"/>
        </w:rPr>
        <w:t>Beckers</w:t>
      </w:r>
      <w:proofErr w:type="spellEnd"/>
    </w:p>
    <w:p w:rsidR="00333613" w:rsidRPr="00A62810" w:rsidRDefault="00333613" w:rsidP="00333613">
      <w:pPr>
        <w:spacing w:before="300" w:after="30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pict>
          <v:rect id="_x0000_i1025" style="width:0;height:0" o:hralign="center" o:hrstd="t" o:hrnoshade="t" o:hr="t" fillcolor="#666" stroked="f"/>
        </w:pict>
      </w:r>
    </w:p>
    <w:p w:rsidR="00333613" w:rsidRPr="00A62810" w:rsidRDefault="00333613" w:rsidP="00333613">
      <w:pPr>
        <w:shd w:val="clear" w:color="auto" w:fill="FFFFFF"/>
        <w:spacing w:before="300" w:after="0" w:line="240" w:lineRule="auto"/>
        <w:rPr>
          <w:rFonts w:ascii="Arial" w:eastAsia="Times New Roman" w:hAnsi="Arial" w:cs="Arial"/>
          <w:color w:val="666666"/>
          <w:sz w:val="23"/>
          <w:szCs w:val="23"/>
          <w:lang w:eastAsia="fr-BE"/>
        </w:rPr>
      </w:pPr>
      <w:hyperlink r:id="rId5" w:anchor="authorAffiliates" w:history="1">
        <w:proofErr w:type="spellStart"/>
        <w:r w:rsidRPr="00A62810">
          <w:rPr>
            <w:rFonts w:ascii="Arial" w:eastAsia="Times New Roman" w:hAnsi="Arial" w:cs="Arial"/>
            <w:color w:val="FFFFFF"/>
            <w:sz w:val="21"/>
            <w:szCs w:val="21"/>
            <w:u w:val="single"/>
            <w:bdr w:val="none" w:sz="0" w:space="0" w:color="auto" w:frame="1"/>
            <w:shd w:val="clear" w:color="auto" w:fill="F7791E"/>
            <w:lang w:eastAsia="fr-BE"/>
          </w:rPr>
          <w:t>Author</w:t>
        </w:r>
        <w:proofErr w:type="spellEnd"/>
        <w:r w:rsidRPr="00A62810">
          <w:rPr>
            <w:rFonts w:ascii="Arial" w:eastAsia="Times New Roman" w:hAnsi="Arial" w:cs="Arial"/>
            <w:color w:val="FFFFFF"/>
            <w:sz w:val="21"/>
            <w:szCs w:val="21"/>
            <w:u w:val="single"/>
            <w:bdr w:val="none" w:sz="0" w:space="0" w:color="auto" w:frame="1"/>
            <w:shd w:val="clear" w:color="auto" w:fill="F7791E"/>
            <w:lang w:eastAsia="fr-BE"/>
          </w:rPr>
          <w:t xml:space="preserve"> affiliations</w:t>
        </w:r>
      </w:hyperlink>
    </w:p>
    <w:p w:rsidR="00333613" w:rsidRPr="00A62810" w:rsidRDefault="00333613" w:rsidP="00333613">
      <w:pPr>
        <w:spacing w:before="300" w:after="300" w:line="240" w:lineRule="auto"/>
        <w:rPr>
          <w:rFonts w:ascii="Times New Roman" w:eastAsia="Times New Roman" w:hAnsi="Times New Roman" w:cs="Times New Roman"/>
          <w:sz w:val="24"/>
          <w:szCs w:val="24"/>
          <w:lang w:eastAsia="fr-BE"/>
        </w:rPr>
      </w:pPr>
      <w:r>
        <w:rPr>
          <w:rFonts w:ascii="Times New Roman" w:eastAsia="Times New Roman" w:hAnsi="Times New Roman" w:cs="Times New Roman"/>
          <w:sz w:val="24"/>
          <w:szCs w:val="24"/>
          <w:lang w:eastAsia="fr-BE"/>
        </w:rPr>
        <w:pict>
          <v:rect id="_x0000_i1026" style="width:0;height:0" o:hralign="center" o:hrstd="t" o:hrnoshade="t" o:hr="t" fillcolor="#666" stroked="f"/>
        </w:pict>
      </w:r>
    </w:p>
    <w:p w:rsidR="00333613" w:rsidRPr="00A62810" w:rsidRDefault="00333613" w:rsidP="00333613">
      <w:pPr>
        <w:shd w:val="clear" w:color="auto" w:fill="FFFFFF"/>
        <w:spacing w:after="150" w:line="240" w:lineRule="auto"/>
        <w:jc w:val="both"/>
        <w:rPr>
          <w:rFonts w:ascii="Arial" w:eastAsia="Times New Roman" w:hAnsi="Arial" w:cs="Arial"/>
          <w:color w:val="666666"/>
          <w:sz w:val="23"/>
          <w:szCs w:val="23"/>
          <w:lang w:val="en-US" w:eastAsia="fr-BE"/>
        </w:rPr>
      </w:pPr>
      <w:r w:rsidRPr="00A62810">
        <w:rPr>
          <w:rFonts w:ascii="Arial" w:eastAsia="Times New Roman" w:hAnsi="Arial" w:cs="Arial"/>
          <w:b/>
          <w:color w:val="666666"/>
          <w:sz w:val="23"/>
          <w:szCs w:val="23"/>
          <w:lang w:val="en-US" w:eastAsia="fr-BE"/>
        </w:rPr>
        <w:t>Case report:</w:t>
      </w:r>
      <w:r w:rsidRPr="00A62810">
        <w:rPr>
          <w:rFonts w:ascii="Arial" w:eastAsia="Times New Roman" w:hAnsi="Arial" w:cs="Arial"/>
          <w:color w:val="666666"/>
          <w:sz w:val="23"/>
          <w:szCs w:val="23"/>
          <w:lang w:val="en-US" w:eastAsia="fr-BE"/>
        </w:rPr>
        <w:t xml:space="preserve"> We describe a 28 years old male patient born in IRAK, </w:t>
      </w:r>
      <w:proofErr w:type="spellStart"/>
      <w:r w:rsidRPr="00A62810">
        <w:rPr>
          <w:rFonts w:ascii="Arial" w:eastAsia="Times New Roman" w:hAnsi="Arial" w:cs="Arial"/>
          <w:color w:val="666666"/>
          <w:sz w:val="23"/>
          <w:szCs w:val="23"/>
          <w:lang w:val="en-US" w:eastAsia="fr-BE"/>
        </w:rPr>
        <w:t>beeing</w:t>
      </w:r>
      <w:proofErr w:type="spellEnd"/>
      <w:r w:rsidRPr="00A62810">
        <w:rPr>
          <w:rFonts w:ascii="Arial" w:eastAsia="Times New Roman" w:hAnsi="Arial" w:cs="Arial"/>
          <w:color w:val="666666"/>
          <w:sz w:val="23"/>
          <w:szCs w:val="23"/>
          <w:lang w:val="en-US" w:eastAsia="fr-BE"/>
        </w:rPr>
        <w:t xml:space="preserve"> referred to us because of suspicion of congenital hypogonadism. The patient was 1.86 m tall and 1.97 spam arm and he was no </w:t>
      </w:r>
      <w:proofErr w:type="spellStart"/>
      <w:r w:rsidRPr="00A62810">
        <w:rPr>
          <w:rFonts w:ascii="Arial" w:eastAsia="Times New Roman" w:hAnsi="Arial" w:cs="Arial"/>
          <w:color w:val="666666"/>
          <w:sz w:val="23"/>
          <w:szCs w:val="23"/>
          <w:lang w:val="en-US" w:eastAsia="fr-BE"/>
        </w:rPr>
        <w:t>anosmic</w:t>
      </w:r>
      <w:proofErr w:type="spellEnd"/>
      <w:r w:rsidRPr="00A62810">
        <w:rPr>
          <w:rFonts w:ascii="Arial" w:eastAsia="Times New Roman" w:hAnsi="Arial" w:cs="Arial"/>
          <w:color w:val="666666"/>
          <w:sz w:val="23"/>
          <w:szCs w:val="23"/>
          <w:lang w:val="en-US" w:eastAsia="fr-BE"/>
        </w:rPr>
        <w:t xml:space="preserve">. He had a 2.5 cm </w:t>
      </w:r>
      <w:proofErr w:type="spellStart"/>
      <w:r w:rsidRPr="00A62810">
        <w:rPr>
          <w:rFonts w:ascii="Arial" w:eastAsia="Times New Roman" w:hAnsi="Arial" w:cs="Arial"/>
          <w:color w:val="666666"/>
          <w:sz w:val="23"/>
          <w:szCs w:val="23"/>
          <w:lang w:val="en-US" w:eastAsia="fr-BE"/>
        </w:rPr>
        <w:t>micropenis</w:t>
      </w:r>
      <w:proofErr w:type="spellEnd"/>
      <w:r w:rsidRPr="00A62810">
        <w:rPr>
          <w:rFonts w:ascii="Arial" w:eastAsia="Times New Roman" w:hAnsi="Arial" w:cs="Arial"/>
          <w:color w:val="666666"/>
          <w:sz w:val="23"/>
          <w:szCs w:val="23"/>
          <w:lang w:val="en-US" w:eastAsia="fr-BE"/>
        </w:rPr>
        <w:t xml:space="preserve">, and a bilateral reduced testicular volume (3.6 and 3.9 ml). LH 1.7 U/l (2–10), FSH 3.1 U/l (1–8), testosterone 0.7 </w:t>
      </w:r>
      <w:proofErr w:type="spellStart"/>
      <w:r w:rsidRPr="00A62810">
        <w:rPr>
          <w:rFonts w:ascii="Arial" w:eastAsia="Times New Roman" w:hAnsi="Arial" w:cs="Arial"/>
          <w:color w:val="666666"/>
          <w:sz w:val="23"/>
          <w:szCs w:val="23"/>
          <w:lang w:val="en-US" w:eastAsia="fr-BE"/>
        </w:rPr>
        <w:t>mmol</w:t>
      </w:r>
      <w:proofErr w:type="spellEnd"/>
      <w:r w:rsidRPr="00A62810">
        <w:rPr>
          <w:rFonts w:ascii="Arial" w:eastAsia="Times New Roman" w:hAnsi="Arial" w:cs="Arial"/>
          <w:color w:val="666666"/>
          <w:sz w:val="23"/>
          <w:szCs w:val="23"/>
          <w:lang w:val="en-US" w:eastAsia="fr-BE"/>
        </w:rPr>
        <w:t xml:space="preserve">/l, estradiol &lt;12 ng/l, </w:t>
      </w:r>
      <w:proofErr w:type="spellStart"/>
      <w:r w:rsidRPr="00A62810">
        <w:rPr>
          <w:rFonts w:ascii="Arial" w:eastAsia="Times New Roman" w:hAnsi="Arial" w:cs="Arial"/>
          <w:color w:val="666666"/>
          <w:sz w:val="23"/>
          <w:szCs w:val="23"/>
          <w:lang w:val="en-US" w:eastAsia="fr-BE"/>
        </w:rPr>
        <w:t>inhibine</w:t>
      </w:r>
      <w:proofErr w:type="spellEnd"/>
      <w:r w:rsidRPr="00A62810">
        <w:rPr>
          <w:rFonts w:ascii="Arial" w:eastAsia="Times New Roman" w:hAnsi="Arial" w:cs="Arial"/>
          <w:color w:val="666666"/>
          <w:sz w:val="23"/>
          <w:szCs w:val="23"/>
          <w:lang w:val="en-US" w:eastAsia="fr-BE"/>
        </w:rPr>
        <w:t xml:space="preserve"> B 54 ng/l (105–439) Pituitary MRI was normal.</w:t>
      </w:r>
    </w:p>
    <w:p w:rsidR="00333613" w:rsidRPr="00A62810" w:rsidRDefault="00333613" w:rsidP="00333613">
      <w:pPr>
        <w:shd w:val="clear" w:color="auto" w:fill="FFFFFF"/>
        <w:spacing w:after="150" w:line="240" w:lineRule="auto"/>
        <w:jc w:val="both"/>
        <w:rPr>
          <w:rFonts w:ascii="Arial" w:eastAsia="Times New Roman" w:hAnsi="Arial" w:cs="Arial"/>
          <w:color w:val="666666"/>
          <w:sz w:val="23"/>
          <w:szCs w:val="23"/>
          <w:lang w:val="en-US" w:eastAsia="fr-BE"/>
        </w:rPr>
      </w:pPr>
      <w:r w:rsidRPr="00A62810">
        <w:rPr>
          <w:rFonts w:ascii="Arial" w:eastAsia="Times New Roman" w:hAnsi="Arial" w:cs="Arial"/>
          <w:b/>
          <w:color w:val="666666"/>
          <w:sz w:val="23"/>
          <w:szCs w:val="23"/>
          <w:lang w:val="en-US" w:eastAsia="fr-BE"/>
        </w:rPr>
        <w:t>Genetic studies:</w:t>
      </w:r>
      <w:r w:rsidRPr="00A62810">
        <w:rPr>
          <w:rFonts w:ascii="Arial" w:eastAsia="Times New Roman" w:hAnsi="Arial" w:cs="Arial"/>
          <w:color w:val="666666"/>
          <w:sz w:val="23"/>
          <w:szCs w:val="23"/>
          <w:lang w:val="en-US" w:eastAsia="fr-BE"/>
        </w:rPr>
        <w:t xml:space="preserve"> A set of 16 causatives genes for IHH and KS were investigated by Next Generation Sequencing (KAL1, FGFR1, PROKR2, PROK2, CHD7, FGF8, KISS1, KISS1R, TAC3, TACR3, GNRHR, GNRH1, NELF, WDR11, HS6ST1, SEMA3A). We were able to identify two variants at the heterozygous state: one is a novel </w:t>
      </w:r>
      <w:r w:rsidRPr="00A62810">
        <w:rPr>
          <w:rFonts w:ascii="Arial" w:eastAsia="Times New Roman" w:hAnsi="Arial" w:cs="Arial"/>
          <w:b/>
          <w:bCs/>
          <w:color w:val="666666"/>
          <w:sz w:val="23"/>
          <w:szCs w:val="23"/>
          <w:lang w:val="en-US" w:eastAsia="fr-BE"/>
        </w:rPr>
        <w:t xml:space="preserve">KISS1R variant: c.389G&gt;T, </w:t>
      </w:r>
      <w:proofErr w:type="gramStart"/>
      <w:r w:rsidRPr="00A62810">
        <w:rPr>
          <w:rFonts w:ascii="Arial" w:eastAsia="Times New Roman" w:hAnsi="Arial" w:cs="Arial"/>
          <w:b/>
          <w:bCs/>
          <w:color w:val="666666"/>
          <w:sz w:val="23"/>
          <w:szCs w:val="23"/>
          <w:lang w:val="en-US" w:eastAsia="fr-BE"/>
        </w:rPr>
        <w:t>p.Cys</w:t>
      </w:r>
      <w:proofErr w:type="gramEnd"/>
      <w:r w:rsidRPr="00A62810">
        <w:rPr>
          <w:rFonts w:ascii="Arial" w:eastAsia="Times New Roman" w:hAnsi="Arial" w:cs="Arial"/>
          <w:b/>
          <w:bCs/>
          <w:color w:val="666666"/>
          <w:sz w:val="23"/>
          <w:szCs w:val="23"/>
          <w:lang w:val="en-US" w:eastAsia="fr-BE"/>
        </w:rPr>
        <w:t>130Phe</w:t>
      </w:r>
      <w:r w:rsidRPr="00A62810">
        <w:rPr>
          <w:rFonts w:ascii="Arial" w:eastAsia="Times New Roman" w:hAnsi="Arial" w:cs="Arial"/>
          <w:color w:val="666666"/>
          <w:sz w:val="23"/>
          <w:szCs w:val="23"/>
          <w:lang w:val="en-US" w:eastAsia="fr-BE"/>
        </w:rPr>
        <w:t>, that is predicted to be deleterious by </w:t>
      </w:r>
      <w:r w:rsidRPr="00A62810">
        <w:rPr>
          <w:rFonts w:ascii="Arial" w:eastAsia="Times New Roman" w:hAnsi="Arial" w:cs="Arial"/>
          <w:i/>
          <w:iCs/>
          <w:color w:val="666666"/>
          <w:sz w:val="23"/>
          <w:szCs w:val="23"/>
          <w:lang w:val="en-US" w:eastAsia="fr-BE"/>
        </w:rPr>
        <w:t xml:space="preserve">in </w:t>
      </w:r>
      <w:proofErr w:type="spellStart"/>
      <w:r w:rsidRPr="00A62810">
        <w:rPr>
          <w:rFonts w:ascii="Arial" w:eastAsia="Times New Roman" w:hAnsi="Arial" w:cs="Arial"/>
          <w:i/>
          <w:iCs/>
          <w:color w:val="666666"/>
          <w:sz w:val="23"/>
          <w:szCs w:val="23"/>
          <w:lang w:val="en-US" w:eastAsia="fr-BE"/>
        </w:rPr>
        <w:t>silico</w:t>
      </w:r>
      <w:proofErr w:type="spellEnd"/>
      <w:r w:rsidRPr="00A62810">
        <w:rPr>
          <w:rFonts w:ascii="Arial" w:eastAsia="Times New Roman" w:hAnsi="Arial" w:cs="Arial"/>
          <w:color w:val="666666"/>
          <w:sz w:val="23"/>
          <w:szCs w:val="23"/>
          <w:lang w:val="en-US" w:eastAsia="fr-BE"/>
        </w:rPr>
        <w:t xml:space="preserve"> analysis (SIFT, </w:t>
      </w:r>
      <w:proofErr w:type="spellStart"/>
      <w:r w:rsidRPr="00A62810">
        <w:rPr>
          <w:rFonts w:ascii="Arial" w:eastAsia="Times New Roman" w:hAnsi="Arial" w:cs="Arial"/>
          <w:color w:val="666666"/>
          <w:sz w:val="23"/>
          <w:szCs w:val="23"/>
          <w:lang w:val="en-US" w:eastAsia="fr-BE"/>
        </w:rPr>
        <w:t>Polyphen</w:t>
      </w:r>
      <w:proofErr w:type="spellEnd"/>
      <w:r w:rsidRPr="00A62810">
        <w:rPr>
          <w:rFonts w:ascii="Arial" w:eastAsia="Times New Roman" w:hAnsi="Arial" w:cs="Arial"/>
          <w:color w:val="666666"/>
          <w:sz w:val="23"/>
          <w:szCs w:val="23"/>
          <w:lang w:val="en-US" w:eastAsia="fr-BE"/>
        </w:rPr>
        <w:t xml:space="preserve">, Mutation Taster). This variant is localized in GPCR and rhodopsin-like protein domains, but it is difficult to predict the importance of the pathogenic impact without functional studies. The second one is a pathogenic variant described in several patients presenting </w:t>
      </w:r>
      <w:proofErr w:type="spellStart"/>
      <w:r w:rsidRPr="00A62810">
        <w:rPr>
          <w:rFonts w:ascii="Arial" w:eastAsia="Times New Roman" w:hAnsi="Arial" w:cs="Arial"/>
          <w:color w:val="666666"/>
          <w:sz w:val="23"/>
          <w:szCs w:val="23"/>
          <w:lang w:val="en-US" w:eastAsia="fr-BE"/>
        </w:rPr>
        <w:t>GnRH</w:t>
      </w:r>
      <w:proofErr w:type="spellEnd"/>
      <w:r w:rsidRPr="00A62810">
        <w:rPr>
          <w:rFonts w:ascii="Arial" w:eastAsia="Times New Roman" w:hAnsi="Arial" w:cs="Arial"/>
          <w:color w:val="666666"/>
          <w:sz w:val="23"/>
          <w:szCs w:val="23"/>
          <w:lang w:val="en-US" w:eastAsia="fr-BE"/>
        </w:rPr>
        <w:t xml:space="preserve"> deficiency and affect the gonadotrophin-releasing hormone receptor (</w:t>
      </w:r>
      <w:r w:rsidRPr="00A62810">
        <w:rPr>
          <w:rFonts w:ascii="Arial" w:eastAsia="Times New Roman" w:hAnsi="Arial" w:cs="Arial"/>
          <w:b/>
          <w:bCs/>
          <w:color w:val="666666"/>
          <w:sz w:val="23"/>
          <w:szCs w:val="23"/>
          <w:lang w:val="en-US" w:eastAsia="fr-BE"/>
        </w:rPr>
        <w:t xml:space="preserve">GNRHR: c.317A&gt;G, </w:t>
      </w:r>
      <w:proofErr w:type="gramStart"/>
      <w:r w:rsidRPr="00A62810">
        <w:rPr>
          <w:rFonts w:ascii="Arial" w:eastAsia="Times New Roman" w:hAnsi="Arial" w:cs="Arial"/>
          <w:b/>
          <w:bCs/>
          <w:color w:val="666666"/>
          <w:sz w:val="23"/>
          <w:szCs w:val="23"/>
          <w:lang w:val="en-US" w:eastAsia="fr-BE"/>
        </w:rPr>
        <w:t>p.Gln</w:t>
      </w:r>
      <w:proofErr w:type="gramEnd"/>
      <w:r w:rsidRPr="00A62810">
        <w:rPr>
          <w:rFonts w:ascii="Arial" w:eastAsia="Times New Roman" w:hAnsi="Arial" w:cs="Arial"/>
          <w:b/>
          <w:bCs/>
          <w:color w:val="666666"/>
          <w:sz w:val="23"/>
          <w:szCs w:val="23"/>
          <w:lang w:val="en-US" w:eastAsia="fr-BE"/>
        </w:rPr>
        <w:t>106Arg</w:t>
      </w:r>
      <w:r w:rsidRPr="00A62810">
        <w:rPr>
          <w:rFonts w:ascii="Arial" w:eastAsia="Times New Roman" w:hAnsi="Arial" w:cs="Arial"/>
          <w:color w:val="666666"/>
          <w:sz w:val="23"/>
          <w:szCs w:val="23"/>
          <w:lang w:val="en-US" w:eastAsia="fr-BE"/>
        </w:rPr>
        <w:t>).</w:t>
      </w:r>
    </w:p>
    <w:p w:rsidR="00333613" w:rsidRPr="00A62810" w:rsidRDefault="00333613" w:rsidP="00333613">
      <w:pPr>
        <w:shd w:val="clear" w:color="auto" w:fill="FFFFFF"/>
        <w:spacing w:after="150" w:line="240" w:lineRule="auto"/>
        <w:jc w:val="both"/>
        <w:rPr>
          <w:rFonts w:ascii="Arial" w:eastAsia="Times New Roman" w:hAnsi="Arial" w:cs="Arial"/>
          <w:color w:val="666666"/>
          <w:sz w:val="23"/>
          <w:szCs w:val="23"/>
          <w:lang w:val="en-US" w:eastAsia="fr-BE"/>
        </w:rPr>
      </w:pPr>
      <w:r w:rsidRPr="00A62810">
        <w:rPr>
          <w:rFonts w:ascii="Arial" w:eastAsia="Times New Roman" w:hAnsi="Arial" w:cs="Arial"/>
          <w:b/>
          <w:color w:val="666666"/>
          <w:sz w:val="23"/>
          <w:szCs w:val="23"/>
          <w:lang w:val="en-US" w:eastAsia="fr-BE"/>
        </w:rPr>
        <w:t>Discussion:</w:t>
      </w:r>
      <w:r w:rsidRPr="00A62810">
        <w:rPr>
          <w:rFonts w:ascii="Arial" w:eastAsia="Times New Roman" w:hAnsi="Arial" w:cs="Arial"/>
          <w:color w:val="666666"/>
          <w:sz w:val="23"/>
          <w:szCs w:val="23"/>
          <w:lang w:val="en-US" w:eastAsia="fr-BE"/>
        </w:rPr>
        <w:t xml:space="preserve"> The </w:t>
      </w:r>
      <w:proofErr w:type="spellStart"/>
      <w:r w:rsidRPr="00A62810">
        <w:rPr>
          <w:rFonts w:ascii="Arial" w:eastAsia="Times New Roman" w:hAnsi="Arial" w:cs="Arial"/>
          <w:color w:val="666666"/>
          <w:sz w:val="23"/>
          <w:szCs w:val="23"/>
          <w:lang w:val="en-US" w:eastAsia="fr-BE"/>
        </w:rPr>
        <w:t>kisspeptin</w:t>
      </w:r>
      <w:proofErr w:type="spellEnd"/>
      <w:r w:rsidRPr="00A62810">
        <w:rPr>
          <w:rFonts w:ascii="Arial" w:eastAsia="Times New Roman" w:hAnsi="Arial" w:cs="Arial"/>
          <w:color w:val="666666"/>
          <w:sz w:val="23"/>
          <w:szCs w:val="23"/>
          <w:lang w:val="en-US" w:eastAsia="fr-BE"/>
        </w:rPr>
        <w:t xml:space="preserve"> receptor (KISS1R) is a G-protein–coupled receptor expressed in </w:t>
      </w:r>
      <w:proofErr w:type="spellStart"/>
      <w:r w:rsidRPr="00A62810">
        <w:rPr>
          <w:rFonts w:ascii="Arial" w:eastAsia="Times New Roman" w:hAnsi="Arial" w:cs="Arial"/>
          <w:color w:val="666666"/>
          <w:sz w:val="23"/>
          <w:szCs w:val="23"/>
          <w:lang w:val="en-US" w:eastAsia="fr-BE"/>
        </w:rPr>
        <w:t>GnRH</w:t>
      </w:r>
      <w:proofErr w:type="spellEnd"/>
      <w:r w:rsidRPr="00A62810">
        <w:rPr>
          <w:rFonts w:ascii="Arial" w:eastAsia="Times New Roman" w:hAnsi="Arial" w:cs="Arial"/>
          <w:color w:val="666666"/>
          <w:sz w:val="23"/>
          <w:szCs w:val="23"/>
          <w:lang w:val="en-US" w:eastAsia="fr-BE"/>
        </w:rPr>
        <w:t xml:space="preserve"> neurons and encoded by </w:t>
      </w:r>
      <w:r w:rsidRPr="00A62810">
        <w:rPr>
          <w:rFonts w:ascii="Arial" w:eastAsia="Times New Roman" w:hAnsi="Arial" w:cs="Arial"/>
          <w:i/>
          <w:iCs/>
          <w:color w:val="666666"/>
          <w:sz w:val="23"/>
          <w:szCs w:val="23"/>
          <w:lang w:val="en-US" w:eastAsia="fr-BE"/>
        </w:rPr>
        <w:t>KISS1R.</w:t>
      </w:r>
      <w:r w:rsidRPr="00A62810">
        <w:rPr>
          <w:rFonts w:ascii="Arial" w:eastAsia="Times New Roman" w:hAnsi="Arial" w:cs="Arial"/>
          <w:color w:val="666666"/>
          <w:sz w:val="23"/>
          <w:szCs w:val="23"/>
          <w:lang w:val="en-US" w:eastAsia="fr-BE"/>
        </w:rPr>
        <w:t> Relatively few inactivating </w:t>
      </w:r>
      <w:r w:rsidRPr="00A62810">
        <w:rPr>
          <w:rFonts w:ascii="Arial" w:eastAsia="Times New Roman" w:hAnsi="Arial" w:cs="Arial"/>
          <w:i/>
          <w:iCs/>
          <w:color w:val="666666"/>
          <w:sz w:val="23"/>
          <w:szCs w:val="23"/>
          <w:lang w:val="en-US" w:eastAsia="fr-BE"/>
        </w:rPr>
        <w:t>KISS1R</w:t>
      </w:r>
      <w:r w:rsidRPr="00A62810">
        <w:rPr>
          <w:rFonts w:ascii="Arial" w:eastAsia="Times New Roman" w:hAnsi="Arial" w:cs="Arial"/>
          <w:color w:val="666666"/>
          <w:sz w:val="23"/>
          <w:szCs w:val="23"/>
          <w:lang w:val="en-US" w:eastAsia="fr-BE"/>
        </w:rPr>
        <w:t xml:space="preserve"> variants have been reported to date in patients with </w:t>
      </w:r>
      <w:proofErr w:type="spellStart"/>
      <w:r w:rsidRPr="00A62810">
        <w:rPr>
          <w:rFonts w:ascii="Arial" w:eastAsia="Times New Roman" w:hAnsi="Arial" w:cs="Arial"/>
          <w:color w:val="666666"/>
          <w:sz w:val="23"/>
          <w:szCs w:val="23"/>
          <w:lang w:val="en-US" w:eastAsia="fr-BE"/>
        </w:rPr>
        <w:t>nCHH</w:t>
      </w:r>
      <w:proofErr w:type="spellEnd"/>
      <w:r w:rsidRPr="00A62810">
        <w:rPr>
          <w:rFonts w:ascii="Arial" w:eastAsia="Times New Roman" w:hAnsi="Arial" w:cs="Arial"/>
          <w:color w:val="666666"/>
          <w:sz w:val="23"/>
          <w:szCs w:val="23"/>
          <w:lang w:val="en-US" w:eastAsia="fr-BE"/>
        </w:rPr>
        <w:t xml:space="preserve">. Patients with KISSR and </w:t>
      </w:r>
      <w:proofErr w:type="spellStart"/>
      <w:r w:rsidRPr="00A62810">
        <w:rPr>
          <w:rFonts w:ascii="Arial" w:eastAsia="Times New Roman" w:hAnsi="Arial" w:cs="Arial"/>
          <w:color w:val="666666"/>
          <w:sz w:val="23"/>
          <w:szCs w:val="23"/>
          <w:lang w:val="en-US" w:eastAsia="fr-BE"/>
        </w:rPr>
        <w:t>GnRHR</w:t>
      </w:r>
      <w:proofErr w:type="spellEnd"/>
      <w:r w:rsidRPr="00A62810">
        <w:rPr>
          <w:rFonts w:ascii="Arial" w:eastAsia="Times New Roman" w:hAnsi="Arial" w:cs="Arial"/>
          <w:color w:val="666666"/>
          <w:sz w:val="23"/>
          <w:szCs w:val="23"/>
          <w:lang w:val="en-US" w:eastAsia="fr-BE"/>
        </w:rPr>
        <w:t xml:space="preserve"> mutations carry them in the </w:t>
      </w:r>
      <w:proofErr w:type="spellStart"/>
      <w:r w:rsidRPr="00A62810">
        <w:rPr>
          <w:rFonts w:ascii="Arial" w:eastAsia="Times New Roman" w:hAnsi="Arial" w:cs="Arial"/>
          <w:color w:val="666666"/>
          <w:sz w:val="23"/>
          <w:szCs w:val="23"/>
          <w:lang w:val="en-US" w:eastAsia="fr-BE"/>
        </w:rPr>
        <w:t>biallelic</w:t>
      </w:r>
      <w:proofErr w:type="spellEnd"/>
      <w:r w:rsidRPr="00A62810">
        <w:rPr>
          <w:rFonts w:ascii="Arial" w:eastAsia="Times New Roman" w:hAnsi="Arial" w:cs="Arial"/>
          <w:color w:val="666666"/>
          <w:sz w:val="23"/>
          <w:szCs w:val="23"/>
          <w:lang w:val="en-US" w:eastAsia="fr-BE"/>
        </w:rPr>
        <w:t xml:space="preserve"> state, in keeping with autosomal recessive transmission. Our findings expand the </w:t>
      </w:r>
      <w:proofErr w:type="spellStart"/>
      <w:r w:rsidRPr="00A62810">
        <w:rPr>
          <w:rFonts w:ascii="Arial" w:eastAsia="Times New Roman" w:hAnsi="Arial" w:cs="Arial"/>
          <w:color w:val="666666"/>
          <w:sz w:val="23"/>
          <w:szCs w:val="23"/>
          <w:lang w:val="en-US" w:eastAsia="fr-BE"/>
        </w:rPr>
        <w:t>GnRHR</w:t>
      </w:r>
      <w:proofErr w:type="spellEnd"/>
      <w:r w:rsidRPr="00A62810">
        <w:rPr>
          <w:rFonts w:ascii="Arial" w:eastAsia="Times New Roman" w:hAnsi="Arial" w:cs="Arial"/>
          <w:color w:val="666666"/>
          <w:sz w:val="23"/>
          <w:szCs w:val="23"/>
          <w:lang w:val="en-US" w:eastAsia="fr-BE"/>
        </w:rPr>
        <w:t xml:space="preserve"> and KISSR mutation spectrum and phenotype-genotype correlation in CHH.</w:t>
      </w:r>
    </w:p>
    <w:p w:rsidR="00333613" w:rsidRPr="00A62810" w:rsidRDefault="00333613" w:rsidP="00333613">
      <w:pPr>
        <w:shd w:val="clear" w:color="auto" w:fill="FFFFFF"/>
        <w:spacing w:after="150" w:line="240" w:lineRule="auto"/>
        <w:jc w:val="both"/>
        <w:rPr>
          <w:rFonts w:ascii="Arial" w:eastAsia="Times New Roman" w:hAnsi="Arial" w:cs="Arial"/>
          <w:color w:val="666666"/>
          <w:sz w:val="23"/>
          <w:szCs w:val="23"/>
          <w:lang w:val="en-US" w:eastAsia="fr-BE"/>
        </w:rPr>
      </w:pPr>
    </w:p>
    <w:p w:rsidR="00731C28" w:rsidRDefault="00731C28">
      <w:bookmarkStart w:id="0" w:name="_GoBack"/>
      <w:bookmarkEnd w:id="0"/>
    </w:p>
    <w:sectPr w:rsidR="00731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13"/>
    <w:rsid w:val="00333613"/>
    <w:rsid w:val="00731C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B2508-BC4C-4CE5-B5B1-F0A4EE49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61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336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3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docrine-abstracts.org/ea/0063/ea0063p313.htm" TargetMode="External"/><Relationship Id="rId4" Type="http://schemas.openxmlformats.org/officeDocument/2006/relationships/hyperlink" Target="https://doi.org/10.1530/endoabs.63.P31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1812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1</cp:revision>
  <cp:lastPrinted>2019-05-22T07:27:00Z</cp:lastPrinted>
  <dcterms:created xsi:type="dcterms:W3CDTF">2019-05-22T07:27:00Z</dcterms:created>
  <dcterms:modified xsi:type="dcterms:W3CDTF">2019-05-22T07:28:00Z</dcterms:modified>
</cp:coreProperties>
</file>