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423" w:rsidRPr="00A62810" w:rsidRDefault="00264423" w:rsidP="00264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9"/>
          <w:szCs w:val="19"/>
          <w:lang w:eastAsia="fr-BE"/>
        </w:rPr>
      </w:pPr>
      <w:r w:rsidRPr="00A62810">
        <w:rPr>
          <w:rFonts w:ascii="Arial" w:eastAsia="Times New Roman" w:hAnsi="Arial" w:cs="Arial"/>
          <w:i/>
          <w:iCs/>
          <w:color w:val="666666"/>
          <w:sz w:val="19"/>
          <w:szCs w:val="19"/>
          <w:lang w:eastAsia="fr-BE"/>
        </w:rPr>
        <w:t>Endocrine Abstracts</w:t>
      </w:r>
      <w:r w:rsidRPr="00A62810">
        <w:rPr>
          <w:rFonts w:ascii="Arial" w:eastAsia="Times New Roman" w:hAnsi="Arial" w:cs="Arial"/>
          <w:color w:val="666666"/>
          <w:sz w:val="19"/>
          <w:szCs w:val="19"/>
          <w:lang w:eastAsia="fr-BE"/>
        </w:rPr>
        <w:t> (2019) </w:t>
      </w:r>
      <w:r w:rsidRPr="00A62810">
        <w:rPr>
          <w:rFonts w:ascii="Arial" w:eastAsia="Times New Roman" w:hAnsi="Arial" w:cs="Arial"/>
          <w:b/>
          <w:bCs/>
          <w:color w:val="666666"/>
          <w:sz w:val="19"/>
          <w:szCs w:val="19"/>
          <w:lang w:eastAsia="fr-BE"/>
        </w:rPr>
        <w:t>63</w:t>
      </w:r>
      <w:r w:rsidRPr="00A62810">
        <w:rPr>
          <w:rFonts w:ascii="Arial" w:eastAsia="Times New Roman" w:hAnsi="Arial" w:cs="Arial"/>
          <w:color w:val="666666"/>
          <w:sz w:val="19"/>
          <w:szCs w:val="19"/>
          <w:lang w:eastAsia="fr-BE"/>
        </w:rPr>
        <w:t> P222 | DOI: </w:t>
      </w:r>
      <w:hyperlink r:id="rId4" w:history="1">
        <w:r w:rsidRPr="00A62810">
          <w:rPr>
            <w:rFonts w:ascii="Arial" w:eastAsia="Times New Roman" w:hAnsi="Arial" w:cs="Arial"/>
            <w:color w:val="337AB7"/>
            <w:sz w:val="19"/>
            <w:szCs w:val="19"/>
            <w:u w:val="single"/>
            <w:lang w:eastAsia="fr-BE"/>
          </w:rPr>
          <w:t>10.1530/endoabs.63.P222</w:t>
        </w:r>
      </w:hyperlink>
    </w:p>
    <w:p w:rsidR="00264423" w:rsidRPr="00A62810" w:rsidRDefault="00264423" w:rsidP="00264423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Arial"/>
          <w:color w:val="C4590A"/>
          <w:sz w:val="45"/>
          <w:szCs w:val="45"/>
          <w:lang w:val="en-US" w:eastAsia="fr-BE"/>
        </w:rPr>
      </w:pPr>
      <w:r w:rsidRPr="00A62810">
        <w:rPr>
          <w:rFonts w:ascii="inherit" w:eastAsia="Times New Roman" w:hAnsi="inherit" w:cs="Arial"/>
          <w:color w:val="C4590A"/>
          <w:sz w:val="45"/>
          <w:szCs w:val="45"/>
          <w:lang w:val="en-US" w:eastAsia="fr-BE"/>
        </w:rPr>
        <w:t>Vitamin B12 deficiency prevalence and associated biomarkers in type 2 Diabetes (T2DM) treated with metformin: biochemical assessment in a series of 106 patients</w:t>
      </w:r>
    </w:p>
    <w:p w:rsidR="00264423" w:rsidRPr="00A62810" w:rsidRDefault="00264423" w:rsidP="00264423">
      <w:pPr>
        <w:shd w:val="clear" w:color="auto" w:fill="FFFFFF"/>
        <w:spacing w:before="300" w:after="300" w:line="240" w:lineRule="auto"/>
        <w:outlineLvl w:val="2"/>
        <w:rPr>
          <w:rFonts w:ascii="inherit" w:eastAsia="Times New Roman" w:hAnsi="inherit" w:cs="Arial"/>
          <w:color w:val="F7791E"/>
          <w:sz w:val="19"/>
          <w:szCs w:val="19"/>
          <w:lang w:eastAsia="fr-BE"/>
        </w:rPr>
      </w:pPr>
      <w:r w:rsidRPr="00A62810">
        <w:rPr>
          <w:rFonts w:ascii="inherit" w:eastAsia="Times New Roman" w:hAnsi="inherit" w:cs="Arial"/>
          <w:color w:val="F7791E"/>
          <w:sz w:val="19"/>
          <w:szCs w:val="19"/>
          <w:lang w:eastAsia="fr-BE"/>
        </w:rPr>
        <w:t xml:space="preserve">Hernan </w:t>
      </w:r>
      <w:proofErr w:type="spellStart"/>
      <w:r w:rsidRPr="00A62810">
        <w:rPr>
          <w:rFonts w:ascii="inherit" w:eastAsia="Times New Roman" w:hAnsi="inherit" w:cs="Arial"/>
          <w:color w:val="F7791E"/>
          <w:sz w:val="19"/>
          <w:szCs w:val="19"/>
          <w:lang w:eastAsia="fr-BE"/>
        </w:rPr>
        <w:t>Valdes</w:t>
      </w:r>
      <w:proofErr w:type="spellEnd"/>
      <w:r w:rsidRPr="00A62810">
        <w:rPr>
          <w:rFonts w:ascii="inherit" w:eastAsia="Times New Roman" w:hAnsi="inherit" w:cs="Arial"/>
          <w:color w:val="F7791E"/>
          <w:sz w:val="19"/>
          <w:szCs w:val="19"/>
          <w:lang w:eastAsia="fr-BE"/>
        </w:rPr>
        <w:t xml:space="preserve">-Socin, Laura </w:t>
      </w:r>
      <w:proofErr w:type="spellStart"/>
      <w:r w:rsidRPr="00A62810">
        <w:rPr>
          <w:rFonts w:ascii="inherit" w:eastAsia="Times New Roman" w:hAnsi="inherit" w:cs="Arial"/>
          <w:color w:val="F7791E"/>
          <w:sz w:val="19"/>
          <w:szCs w:val="19"/>
          <w:lang w:eastAsia="fr-BE"/>
        </w:rPr>
        <w:t>Vranken</w:t>
      </w:r>
      <w:proofErr w:type="spellEnd"/>
      <w:r w:rsidRPr="00A62810">
        <w:rPr>
          <w:rFonts w:ascii="inherit" w:eastAsia="Times New Roman" w:hAnsi="inherit" w:cs="Arial"/>
          <w:color w:val="F7791E"/>
          <w:sz w:val="19"/>
          <w:szCs w:val="19"/>
          <w:lang w:eastAsia="fr-BE"/>
        </w:rPr>
        <w:t xml:space="preserve">, Lauranne </w:t>
      </w:r>
      <w:proofErr w:type="spellStart"/>
      <w:r w:rsidRPr="00A62810">
        <w:rPr>
          <w:rFonts w:ascii="inherit" w:eastAsia="Times New Roman" w:hAnsi="inherit" w:cs="Arial"/>
          <w:color w:val="F7791E"/>
          <w:sz w:val="19"/>
          <w:szCs w:val="19"/>
          <w:lang w:eastAsia="fr-BE"/>
        </w:rPr>
        <w:t>Schoneveld</w:t>
      </w:r>
      <w:proofErr w:type="spellEnd"/>
      <w:r w:rsidRPr="00A62810">
        <w:rPr>
          <w:rFonts w:ascii="inherit" w:eastAsia="Times New Roman" w:hAnsi="inherit" w:cs="Arial"/>
          <w:color w:val="F7791E"/>
          <w:sz w:val="19"/>
          <w:szCs w:val="19"/>
          <w:lang w:eastAsia="fr-BE"/>
        </w:rPr>
        <w:t xml:space="preserve">, Pauline Delannoy, Caroline Le Goff, Albert </w:t>
      </w:r>
      <w:proofErr w:type="spellStart"/>
      <w:r w:rsidRPr="00A62810">
        <w:rPr>
          <w:rFonts w:ascii="inherit" w:eastAsia="Times New Roman" w:hAnsi="inherit" w:cs="Arial"/>
          <w:color w:val="F7791E"/>
          <w:sz w:val="19"/>
          <w:szCs w:val="19"/>
          <w:lang w:eastAsia="fr-BE"/>
        </w:rPr>
        <w:t>Beckers</w:t>
      </w:r>
      <w:proofErr w:type="spellEnd"/>
      <w:r w:rsidRPr="00A62810">
        <w:rPr>
          <w:rFonts w:ascii="inherit" w:eastAsia="Times New Roman" w:hAnsi="inherit" w:cs="Arial"/>
          <w:color w:val="F7791E"/>
          <w:sz w:val="19"/>
          <w:szCs w:val="19"/>
          <w:lang w:eastAsia="fr-BE"/>
        </w:rPr>
        <w:t xml:space="preserve"> &amp; Etienne Cavalier</w:t>
      </w:r>
    </w:p>
    <w:p w:rsidR="00264423" w:rsidRPr="00A62810" w:rsidRDefault="00264423" w:rsidP="00264423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pict>
          <v:rect id="_x0000_i1025" style="width:0;height:0" o:hralign="center" o:hrstd="t" o:hrnoshade="t" o:hr="t" fillcolor="#666" stroked="f"/>
        </w:pict>
      </w:r>
    </w:p>
    <w:p w:rsidR="00264423" w:rsidRPr="00A62810" w:rsidRDefault="00264423" w:rsidP="00264423">
      <w:pPr>
        <w:shd w:val="clear" w:color="auto" w:fill="FFFFFF"/>
        <w:spacing w:before="300"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fr-BE"/>
        </w:rPr>
      </w:pPr>
      <w:hyperlink r:id="rId5" w:anchor="authorAffiliates" w:history="1">
        <w:proofErr w:type="spellStart"/>
        <w:r w:rsidRPr="00A62810">
          <w:rPr>
            <w:rFonts w:ascii="Arial" w:eastAsia="Times New Roman" w:hAnsi="Arial" w:cs="Arial"/>
            <w:color w:val="FFFFFF"/>
            <w:sz w:val="21"/>
            <w:szCs w:val="21"/>
            <w:u w:val="single"/>
            <w:bdr w:val="none" w:sz="0" w:space="0" w:color="auto" w:frame="1"/>
            <w:shd w:val="clear" w:color="auto" w:fill="F7791E"/>
            <w:lang w:eastAsia="fr-BE"/>
          </w:rPr>
          <w:t>Author</w:t>
        </w:r>
        <w:proofErr w:type="spellEnd"/>
        <w:r w:rsidRPr="00A62810">
          <w:rPr>
            <w:rFonts w:ascii="Arial" w:eastAsia="Times New Roman" w:hAnsi="Arial" w:cs="Arial"/>
            <w:color w:val="FFFFFF"/>
            <w:sz w:val="21"/>
            <w:szCs w:val="21"/>
            <w:u w:val="single"/>
            <w:bdr w:val="none" w:sz="0" w:space="0" w:color="auto" w:frame="1"/>
            <w:shd w:val="clear" w:color="auto" w:fill="F7791E"/>
            <w:lang w:eastAsia="fr-BE"/>
          </w:rPr>
          <w:t xml:space="preserve"> affiliations</w:t>
        </w:r>
      </w:hyperlink>
    </w:p>
    <w:p w:rsidR="00264423" w:rsidRPr="00A62810" w:rsidRDefault="00264423" w:rsidP="00264423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pict>
          <v:rect id="_x0000_i1026" style="width:0;height:0" o:hralign="center" o:hrstd="t" o:hrnoshade="t" o:hr="t" fillcolor="#666" stroked="f"/>
        </w:pict>
      </w:r>
    </w:p>
    <w:p w:rsidR="00264423" w:rsidRPr="00A62810" w:rsidRDefault="00264423" w:rsidP="0026442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</w:pPr>
      <w:r w:rsidRPr="00A62810">
        <w:rPr>
          <w:rFonts w:ascii="Arial" w:eastAsia="Times New Roman" w:hAnsi="Arial" w:cs="Arial"/>
          <w:b/>
          <w:color w:val="666666"/>
          <w:sz w:val="23"/>
          <w:szCs w:val="23"/>
          <w:lang w:val="en-US" w:eastAsia="fr-BE"/>
        </w:rPr>
        <w:t>Introduction:</w:t>
      </w:r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 Increased B12 deficiency among T2DM patients using metformin has been reported.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Holotranscobalamin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 (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HoloTc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), the bioactive form of B12, is proposed as a specific and sensitive marker of B12 deficiency. Methods to evaluate vitamin B12 deficiency in these patients remain controversial.</w:t>
      </w:r>
    </w:p>
    <w:p w:rsidR="00264423" w:rsidRPr="00A62810" w:rsidRDefault="00264423" w:rsidP="0026442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</w:pPr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Methods: First, we studied the prevalence of vitamin B12 deficiency in a group of 106 T2DM patients treated by Metformin, not supplemented by B12. Antacids were taken by 29/106 patients. Second, we assessed associated biomarkers of vitamin B12 supply. All venous blood samples were analyzed for total VB12,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HTc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 and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Hcy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 on Abbott Architect. MMA was measured with a LCMS/MS method with the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Chromsystems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 kit. Cut-off values defining VB12 deficiency were total VB12 &lt; 200 ng/l,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HoloTc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 &lt; 35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pmol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/l,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Hcy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 &gt; 15 </w:t>
      </w:r>
      <w:r w:rsidRPr="00A62810">
        <w:rPr>
          <w:rFonts w:ascii="Arial" w:eastAsia="Times New Roman" w:hAnsi="Arial" w:cs="Arial"/>
          <w:color w:val="666666"/>
          <w:sz w:val="23"/>
          <w:szCs w:val="23"/>
          <w:lang w:eastAsia="fr-BE"/>
        </w:rPr>
        <w:t>μ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mol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/l and MMA &gt;300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nmol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/l.</w:t>
      </w:r>
    </w:p>
    <w:p w:rsidR="00264423" w:rsidRPr="00A62810" w:rsidRDefault="00264423" w:rsidP="0026442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</w:pPr>
      <w:r w:rsidRPr="00A62810">
        <w:rPr>
          <w:rFonts w:ascii="Arial" w:eastAsia="Times New Roman" w:hAnsi="Arial" w:cs="Arial"/>
          <w:b/>
          <w:color w:val="666666"/>
          <w:sz w:val="23"/>
          <w:szCs w:val="23"/>
          <w:lang w:val="en-US" w:eastAsia="fr-BE"/>
        </w:rPr>
        <w:t>Results:</w:t>
      </w:r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 Metformin dose ranged from 425 to 3400 mg/day (1 to 21 years). Mean age of the cohort was 60.9 years (range: 36–90). Patients under antacid presented lower B12,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HTc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, MMA and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Hcy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 concentrations (</w:t>
      </w:r>
      <w:r w:rsidRPr="00A62810">
        <w:rPr>
          <w:rFonts w:ascii="Arial" w:eastAsia="Times New Roman" w:hAnsi="Arial" w:cs="Arial"/>
          <w:i/>
          <w:iCs/>
          <w:color w:val="666666"/>
          <w:sz w:val="23"/>
          <w:szCs w:val="23"/>
          <w:lang w:val="en-US" w:eastAsia="fr-BE"/>
        </w:rPr>
        <w:t>P</w:t>
      </w:r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=0.007, </w:t>
      </w:r>
      <w:r w:rsidRPr="00A62810">
        <w:rPr>
          <w:rFonts w:ascii="Arial" w:eastAsia="Times New Roman" w:hAnsi="Arial" w:cs="Arial"/>
          <w:i/>
          <w:iCs/>
          <w:color w:val="666666"/>
          <w:sz w:val="23"/>
          <w:szCs w:val="23"/>
          <w:lang w:val="en-US" w:eastAsia="fr-BE"/>
        </w:rPr>
        <w:t>P</w:t>
      </w:r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=0.0008, </w:t>
      </w:r>
      <w:r w:rsidRPr="00A62810">
        <w:rPr>
          <w:rFonts w:ascii="Arial" w:eastAsia="Times New Roman" w:hAnsi="Arial" w:cs="Arial"/>
          <w:i/>
          <w:iCs/>
          <w:color w:val="666666"/>
          <w:sz w:val="23"/>
          <w:szCs w:val="23"/>
          <w:lang w:val="en-US" w:eastAsia="fr-BE"/>
        </w:rPr>
        <w:t>P</w:t>
      </w:r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&lt;0.0001 and </w:t>
      </w:r>
      <w:r w:rsidRPr="00A62810">
        <w:rPr>
          <w:rFonts w:ascii="Arial" w:eastAsia="Times New Roman" w:hAnsi="Arial" w:cs="Arial"/>
          <w:i/>
          <w:iCs/>
          <w:color w:val="666666"/>
          <w:sz w:val="23"/>
          <w:szCs w:val="23"/>
          <w:lang w:val="en-US" w:eastAsia="fr-BE"/>
        </w:rPr>
        <w:t>P</w:t>
      </w:r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&lt;0.0001). A total of 18/106 patients (17%) were considered as deficient with total B12 assay but only 9/106 patients (8.5%) with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HTc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, 29/106 (27%) with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Hcy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 and 21.6% with MMA. Four patients presented B12 &lt;200 ng/l and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HTc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 &lt;35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pmol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/l. The mean B12 values observed in patients with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HTc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 &lt;35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pmol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/l was 208±83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pmol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/l whereas the mean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HTc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 in patients with B12&lt;200 ng/l was 46.0±15.5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pmol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/l. 33.3 vs. 55.5% of the patients with B12&lt;200 and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HTc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 &lt;35 had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HcY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 levels &gt;15 </w:t>
      </w:r>
      <w:r w:rsidRPr="00A62810">
        <w:rPr>
          <w:rFonts w:ascii="Arial" w:eastAsia="Times New Roman" w:hAnsi="Arial" w:cs="Arial"/>
          <w:color w:val="666666"/>
          <w:sz w:val="23"/>
          <w:szCs w:val="23"/>
          <w:lang w:eastAsia="fr-BE"/>
        </w:rPr>
        <w:t>μ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mol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/l whereas they were 35% vs. 75% to have MMA&gt;300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nmol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/l, respectively (</w:t>
      </w:r>
      <w:r w:rsidRPr="00A62810">
        <w:rPr>
          <w:rFonts w:ascii="Arial" w:eastAsia="Times New Roman" w:hAnsi="Arial" w:cs="Arial"/>
          <w:i/>
          <w:iCs/>
          <w:color w:val="666666"/>
          <w:sz w:val="23"/>
          <w:szCs w:val="23"/>
          <w:lang w:val="en-US" w:eastAsia="fr-BE"/>
        </w:rPr>
        <w:t>P</w:t>
      </w:r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=0.06). There was a significant correlation (</w:t>
      </w:r>
      <w:r w:rsidRPr="00A62810">
        <w:rPr>
          <w:rFonts w:ascii="Arial" w:eastAsia="Times New Roman" w:hAnsi="Arial" w:cs="Arial"/>
          <w:i/>
          <w:iCs/>
          <w:color w:val="666666"/>
          <w:sz w:val="23"/>
          <w:szCs w:val="23"/>
          <w:lang w:val="en-US" w:eastAsia="fr-BE"/>
        </w:rPr>
        <w:t>P</w:t>
      </w:r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&lt;0.0001) between B12 and HTC and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HCy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 and between HTC and B12, MMA and HCY. For B12, multiple regression analysis using BMI, age, creatinine, folate, MMA,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Hcy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, antacid consumption and metformin intakes per day did not show any interrelated variable. Using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Htc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, as dependent variable and the same independent factors showed that creatinine (</w:t>
      </w:r>
      <w:r w:rsidRPr="00A62810">
        <w:rPr>
          <w:rFonts w:ascii="Arial" w:eastAsia="Times New Roman" w:hAnsi="Arial" w:cs="Arial"/>
          <w:i/>
          <w:iCs/>
          <w:color w:val="666666"/>
          <w:sz w:val="23"/>
          <w:szCs w:val="23"/>
          <w:lang w:val="en-US" w:eastAsia="fr-BE"/>
        </w:rPr>
        <w:t>P</w:t>
      </w:r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&lt;0.0001), MMA (</w:t>
      </w:r>
      <w:r w:rsidRPr="00A62810">
        <w:rPr>
          <w:rFonts w:ascii="Arial" w:eastAsia="Times New Roman" w:hAnsi="Arial" w:cs="Arial"/>
          <w:i/>
          <w:iCs/>
          <w:color w:val="666666"/>
          <w:sz w:val="23"/>
          <w:szCs w:val="23"/>
          <w:lang w:val="en-US" w:eastAsia="fr-BE"/>
        </w:rPr>
        <w:t>P</w:t>
      </w:r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=0.0008) and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Hcy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 (</w:t>
      </w:r>
      <w:r w:rsidRPr="00A62810">
        <w:rPr>
          <w:rFonts w:ascii="Arial" w:eastAsia="Times New Roman" w:hAnsi="Arial" w:cs="Arial"/>
          <w:i/>
          <w:iCs/>
          <w:color w:val="666666"/>
          <w:sz w:val="23"/>
          <w:szCs w:val="23"/>
          <w:lang w:val="en-US" w:eastAsia="fr-BE"/>
        </w:rPr>
        <w:t>P</w:t>
      </w:r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=0.0010) were significantly associated.</w:t>
      </w:r>
    </w:p>
    <w:p w:rsidR="00264423" w:rsidRPr="00A62810" w:rsidRDefault="00264423" w:rsidP="0026442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</w:pPr>
      <w:r w:rsidRPr="00A62810">
        <w:rPr>
          <w:rFonts w:ascii="Arial" w:eastAsia="Times New Roman" w:hAnsi="Arial" w:cs="Arial"/>
          <w:b/>
          <w:color w:val="666666"/>
          <w:sz w:val="23"/>
          <w:szCs w:val="23"/>
          <w:lang w:val="en-US" w:eastAsia="fr-BE"/>
        </w:rPr>
        <w:t>Conclusions:</w:t>
      </w:r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 The 2018 ADA Clinical Practice Recommendations endorse screening Metformin users for vitamin B12 deficiency. In our series, diabetic patients treated by metformin had B12 deficiency in 17% of cases (total B12) and only in 8.5% (HTC). HTC seems more specific than total B12 to assess vitamin B12 deficiency. Antacids seem to have an impact of vitamin B12 absorption</w:t>
      </w:r>
      <w:bookmarkStart w:id="0" w:name="_GoBack"/>
      <w:bookmarkEnd w:id="0"/>
    </w:p>
    <w:p w:rsidR="00731C28" w:rsidRDefault="00731C28"/>
    <w:sectPr w:rsidR="00731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423"/>
    <w:rsid w:val="00264423"/>
    <w:rsid w:val="0073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89094-1FB8-456C-936A-59167871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3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64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4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ndocrine-abstracts.org/ea/0063/ea0063p222.htm" TargetMode="External"/><Relationship Id="rId4" Type="http://schemas.openxmlformats.org/officeDocument/2006/relationships/hyperlink" Target="https://doi.org/10.1530/endoabs.63.P22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PRIMINFO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endocrinologie</dc:creator>
  <cp:keywords/>
  <dc:description/>
  <cp:lastModifiedBy>endocrinologie</cp:lastModifiedBy>
  <cp:revision>1</cp:revision>
  <cp:lastPrinted>2019-05-22T07:20:00Z</cp:lastPrinted>
  <dcterms:created xsi:type="dcterms:W3CDTF">2019-05-22T07:19:00Z</dcterms:created>
  <dcterms:modified xsi:type="dcterms:W3CDTF">2019-05-22T07:22:00Z</dcterms:modified>
</cp:coreProperties>
</file>