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8A" w:rsidRDefault="00D6588A" w:rsidP="00D6588A">
      <w:pPr>
        <w:shd w:val="clear" w:color="auto" w:fill="F5F5F5"/>
        <w:spacing w:after="150" w:line="240" w:lineRule="auto"/>
        <w:rPr>
          <w:rFonts w:ascii="Arial" w:eastAsia="Times New Roman" w:hAnsi="Arial" w:cs="Arial"/>
          <w:b/>
          <w:bCs/>
          <w:caps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bCs/>
          <w:caps/>
          <w:color w:val="666666"/>
          <w:sz w:val="23"/>
          <w:szCs w:val="23"/>
          <w:lang w:val="en-US" w:eastAsia="fr-BE"/>
        </w:rPr>
        <w:t>P358</w:t>
      </w:r>
    </w:p>
    <w:p w:rsidR="00D6588A" w:rsidRPr="00A62810" w:rsidRDefault="00D6588A" w:rsidP="00D6588A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666666"/>
          <w:sz w:val="19"/>
          <w:szCs w:val="19"/>
          <w:lang w:val="en-US" w:eastAsia="fr-BE"/>
        </w:rPr>
      </w:pPr>
      <w:r w:rsidRPr="00A62810">
        <w:rPr>
          <w:rFonts w:ascii="Arial" w:eastAsia="Times New Roman" w:hAnsi="Arial" w:cs="Arial"/>
          <w:i/>
          <w:iCs/>
          <w:color w:val="666666"/>
          <w:sz w:val="19"/>
          <w:szCs w:val="19"/>
          <w:lang w:val="en-US" w:eastAsia="fr-BE"/>
        </w:rPr>
        <w:t>Endocrine Abstracts</w:t>
      </w:r>
      <w:r w:rsidRPr="00A62810">
        <w:rPr>
          <w:rFonts w:ascii="Arial" w:eastAsia="Times New Roman" w:hAnsi="Arial" w:cs="Arial"/>
          <w:color w:val="666666"/>
          <w:sz w:val="19"/>
          <w:szCs w:val="19"/>
          <w:lang w:val="en-US" w:eastAsia="fr-BE"/>
        </w:rPr>
        <w:t> (2019) </w:t>
      </w:r>
      <w:r w:rsidRPr="00A62810">
        <w:rPr>
          <w:rFonts w:ascii="Arial" w:eastAsia="Times New Roman" w:hAnsi="Arial" w:cs="Arial"/>
          <w:b/>
          <w:bCs/>
          <w:color w:val="666666"/>
          <w:sz w:val="19"/>
          <w:szCs w:val="19"/>
          <w:lang w:val="en-US" w:eastAsia="fr-BE"/>
        </w:rPr>
        <w:t>63</w:t>
      </w:r>
      <w:r w:rsidRPr="00A62810">
        <w:rPr>
          <w:rFonts w:ascii="Arial" w:eastAsia="Times New Roman" w:hAnsi="Arial" w:cs="Arial"/>
          <w:color w:val="666666"/>
          <w:sz w:val="19"/>
          <w:szCs w:val="19"/>
          <w:lang w:val="en-US" w:eastAsia="fr-BE"/>
        </w:rPr>
        <w:t> P358 | DOI: </w:t>
      </w:r>
      <w:hyperlink r:id="rId4" w:history="1">
        <w:r w:rsidRPr="00A62810">
          <w:rPr>
            <w:rFonts w:ascii="Arial" w:eastAsia="Times New Roman" w:hAnsi="Arial" w:cs="Arial"/>
            <w:color w:val="337AB7"/>
            <w:sz w:val="19"/>
            <w:szCs w:val="19"/>
            <w:u w:val="single"/>
            <w:lang w:val="en-US" w:eastAsia="fr-BE"/>
          </w:rPr>
          <w:t>10.1530/endoabs.63.P358</w:t>
        </w:r>
      </w:hyperlink>
    </w:p>
    <w:p w:rsidR="00D6588A" w:rsidRPr="00A62810" w:rsidRDefault="00D6588A" w:rsidP="00D6588A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</w:pPr>
      <w:r w:rsidRPr="00A62810"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  <w:t xml:space="preserve">Thyroid dysfunction after </w:t>
      </w:r>
      <w:proofErr w:type="spellStart"/>
      <w:r w:rsidRPr="00A62810"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  <w:t>Alemtuzumab</w:t>
      </w:r>
      <w:proofErr w:type="spellEnd"/>
      <w:r w:rsidRPr="00A62810"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  <w:t xml:space="preserve"> treatment for multiple sclerosis: diagnostic and therapeutic modalities</w:t>
      </w:r>
    </w:p>
    <w:p w:rsidR="00D6588A" w:rsidRPr="00A62810" w:rsidRDefault="00D6588A" w:rsidP="00D6588A">
      <w:pPr>
        <w:shd w:val="clear" w:color="auto" w:fill="FFFFFF"/>
        <w:spacing w:before="300" w:after="300" w:line="240" w:lineRule="auto"/>
        <w:outlineLvl w:val="2"/>
        <w:rPr>
          <w:rFonts w:ascii="inherit" w:eastAsia="Times New Roman" w:hAnsi="inherit" w:cs="Arial"/>
          <w:color w:val="F7791E"/>
          <w:sz w:val="19"/>
          <w:szCs w:val="19"/>
          <w:lang w:eastAsia="fr-BE"/>
        </w:rPr>
      </w:pPr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Sara Daniel, Emilie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Lommers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, Isabelle Hansen, Dominique Dive, Vincent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Geenen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, Albert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Beckers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 &amp; Hernan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Valdes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-Socin</w:t>
      </w:r>
    </w:p>
    <w:p w:rsidR="00D6588A" w:rsidRPr="00A62810" w:rsidRDefault="00D6588A" w:rsidP="00D6588A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hyperlink r:id="rId5" w:anchor="authorAffiliates" w:history="1">
        <w:r w:rsidRPr="00A62810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F7791E"/>
            <w:lang w:val="en-US" w:eastAsia="fr-BE"/>
          </w:rPr>
          <w:t>Author affiliations</w:t>
        </w:r>
      </w:hyperlink>
    </w:p>
    <w:p w:rsidR="00D6588A" w:rsidRPr="00A62810" w:rsidRDefault="00D6588A" w:rsidP="00D658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Introduction: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is a humanized monoclonal antibody against CD52, located on the surface of the lymphocytes, used in the treatment of relapsing-remitting multiple sclerosis (RRMS), that can induce novel secondary autoimmune diseases. Autoimmunity may be related to the pattern of T- and B-cell depletion and repopulation following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treatment. The most frequently reported autoimmune disorders observed with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involve the thyroid gland in up to a third of patients, followed by thrombocytopenia and nephropathies. We report our experience in treating these complications in five patients among 20 RRMS patients that received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.</w:t>
      </w:r>
    </w:p>
    <w:p w:rsidR="00D6588A" w:rsidRPr="00A62810" w:rsidRDefault="00D6588A" w:rsidP="00D658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Case reports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: A patient received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 2015 and 2016. Hashimoto thyroiditis (HT) occurred in 2017 with hypothyroidism and peroxidase antibodies (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TPOAb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). A second patient received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 2016 and 2017. In 2018, she suffered transient hyperthyroidism, followed by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euthyroidism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and then a recurrence of subclinical hyperthyroidism, without the need for treatment.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TPOAb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, thyroglobulin antibodies (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TGAb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) and TSH receptor antibodies (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) were positive. A third patient received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 2015 and 2016. Hypothyroidism occurred in 2017, and supplementation by Levothyroxine was introduced. In 2018, transient hyperthyroidism led to discontinuation of supplementation. Then, a resurgence of hypothyroidism was observed and Levothyroxine was resumed.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TPOAb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TGAb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were positive. A fourth patient received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 2011 and 2012. In 2014, Graves’ disease (GD) occurred with overt hyperthyroidism,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TPOAb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. He received radioiodine (RAI). A month later, hypothyroidism occurred. A fifth patient with RRMS received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 2016 and 2017. In 2019, HT appeared with hypothyroidism,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TPOAb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TGAb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.</w:t>
      </w:r>
    </w:p>
    <w:p w:rsidR="00D6588A" w:rsidRPr="00A62810" w:rsidRDefault="00D6588A" w:rsidP="00D658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Discussion: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As suggested by cases 2-to-5,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-associated thyroiditis is more likely to be mediated by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. Indeed, reconstitution autoimmunity is more frequently autoantibody-mediated rather than Th1-mediated, like HT. </w:t>
      </w:r>
      <w:proofErr w:type="spellStart"/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-associated GD is an intriguing autoimmune paradigm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. First, conversion from hyper to hypothyroidism, and inversely, can be observed, like in case 3. The change from stimulating to blocking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may be the mechanism for this switch. Second, these patients have a better remission rate, spontaneously or under treatment, as illustrated in case 2. Therefore, first-line treatment in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-related GD should consist of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antithyroid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drugs, while RAI or surgery are less conservative, and should be second-line therapies.</w:t>
      </w:r>
    </w:p>
    <w:p w:rsidR="00D6588A" w:rsidRPr="00A62810" w:rsidRDefault="00D6588A" w:rsidP="00D658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Conclusion: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-related thyroiditis is a model potentially leading to further inside into thyroid physiopathology. A TSH monitoring is recommended before starting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Alemtuzumab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until 48 months after the last delivery. We suggest a longer follow-up, and to measure both TPO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TRAb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.</w:t>
      </w:r>
    </w:p>
    <w:p w:rsidR="00731C28" w:rsidRDefault="00731C28">
      <w:bookmarkStart w:id="0" w:name="_GoBack"/>
      <w:bookmarkEnd w:id="0"/>
    </w:p>
    <w:sectPr w:rsidR="0073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8A"/>
    <w:rsid w:val="00731C28"/>
    <w:rsid w:val="00D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AE29C-7BC6-49BA-AA89-41F066D7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8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5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docrine-abstracts.org/ea/0063/ea0063p358.htm" TargetMode="External"/><Relationship Id="rId4" Type="http://schemas.openxmlformats.org/officeDocument/2006/relationships/hyperlink" Target="https://doi.org/10.1530/endoabs.63.P35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cp:lastPrinted>2019-05-22T07:23:00Z</cp:lastPrinted>
  <dcterms:created xsi:type="dcterms:W3CDTF">2019-05-22T07:23:00Z</dcterms:created>
  <dcterms:modified xsi:type="dcterms:W3CDTF">2019-05-22T07:23:00Z</dcterms:modified>
</cp:coreProperties>
</file>