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71" w:rsidRPr="001F4771" w:rsidRDefault="001F4771" w:rsidP="00F37AD1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rôle physiologique des glandes parathyroïdes reste largement inconnu 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>jusqu'à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 afin du 19eme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siécle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Certaines études d'autopsies humaines, comme celles entreprises entre 1877 et 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1880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par 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Ivar</w:t>
      </w:r>
      <w:proofErr w:type="spellEnd"/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 xml:space="preserve"> SANDSTÖM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décrivent anatomiquement cette petite glande à proximité de la thyroïde . Les premiers chirurgiens de la glande 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>thyroïde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tels que  Moritz SCHIFF  à 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Genève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Eugène GLEY  à 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Paris observent une tétanie après une thyroïdectomie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ils essayent de 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traite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 xml:space="preserve">r cette complication 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par une auto- transplantation des parathyroïdes.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1906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 xml:space="preserve">, le </w:t>
      </w:r>
      <w:proofErr w:type="spellStart"/>
      <w:r w:rsidR="00F37AD1">
        <w:rPr>
          <w:rFonts w:ascii="Times New Roman" w:hAnsi="Times New Roman" w:cs="Times New Roman"/>
          <w:sz w:val="24"/>
          <w:szCs w:val="24"/>
          <w:lang w:val="fr-FR"/>
        </w:rPr>
        <w:t>patologiste</w:t>
      </w:r>
      <w:proofErr w:type="spellEnd"/>
      <w:r w:rsidR="00F37AD1">
        <w:rPr>
          <w:rFonts w:ascii="Times New Roman" w:hAnsi="Times New Roman" w:cs="Times New Roman"/>
          <w:sz w:val="24"/>
          <w:szCs w:val="24"/>
          <w:lang w:val="fr-FR"/>
        </w:rPr>
        <w:t xml:space="preserve"> viennois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 xml:space="preserve"> Jakob ERDHEIM cautérise des parathyroïdes de rat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>. Il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 xml:space="preserve"> constate des  tétanies 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 xml:space="preserve"> des maladies squelettiques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 xml:space="preserve"> et des anomalies dans les dents de ces rongeurs traités de la sorte</w:t>
      </w:r>
      <w:r w:rsidR="0075532A" w:rsidRPr="001F477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37AD1">
        <w:rPr>
          <w:rFonts w:ascii="Times New Roman" w:hAnsi="Times New Roman" w:cs="Times New Roman"/>
          <w:sz w:val="24"/>
          <w:szCs w:val="24"/>
        </w:rPr>
        <w:t xml:space="preserve"> A partir des années </w:t>
      </w:r>
      <w:r w:rsidRPr="001F4771">
        <w:rPr>
          <w:rFonts w:ascii="Times New Roman" w:hAnsi="Times New Roman" w:cs="Times New Roman"/>
          <w:sz w:val="24"/>
          <w:szCs w:val="24"/>
          <w:lang w:val="fr-FR"/>
        </w:rPr>
        <w:t>1940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>, les études systématiques de</w:t>
      </w:r>
      <w:r w:rsidRPr="001F4771">
        <w:rPr>
          <w:rFonts w:ascii="Times New Roman" w:hAnsi="Times New Roman" w:cs="Times New Roman"/>
          <w:sz w:val="24"/>
          <w:szCs w:val="24"/>
          <w:lang w:val="fr-FR"/>
        </w:rPr>
        <w:t xml:space="preserve"> Fuller </w:t>
      </w:r>
      <w:r w:rsidR="00F37AD1" w:rsidRPr="00F37AD1">
        <w:rPr>
          <w:rFonts w:ascii="Times New Roman" w:hAnsi="Times New Roman" w:cs="Times New Roman"/>
          <w:sz w:val="24"/>
          <w:szCs w:val="24"/>
          <w:lang w:val="fr-FR"/>
        </w:rPr>
        <w:t xml:space="preserve">ALBRIGHT </w:t>
      </w:r>
      <w:r w:rsidR="00F37AD1">
        <w:rPr>
          <w:rFonts w:ascii="Times New Roman" w:hAnsi="Times New Roman" w:cs="Times New Roman"/>
          <w:sz w:val="24"/>
          <w:szCs w:val="24"/>
          <w:lang w:val="fr-FR"/>
        </w:rPr>
        <w:t>et collaborateurs nous permettent de comprendre le véritable rôle des parathyroïdes en physiologie et en pathologie et ouvriront la voie de la médecine moderne.</w:t>
      </w:r>
    </w:p>
    <w:p w:rsidR="00260D22" w:rsidRDefault="00F37AD1" w:rsidP="00F37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0D22" w:rsidRPr="00260D22">
        <w:rPr>
          <w:rFonts w:ascii="Times New Roman" w:hAnsi="Times New Roman" w:cs="Times New Roman"/>
          <w:sz w:val="24"/>
          <w:szCs w:val="24"/>
        </w:rPr>
        <w:t>L'</w:t>
      </w:r>
      <w:r w:rsidR="001F4771" w:rsidRPr="00260D22">
        <w:rPr>
          <w:rFonts w:ascii="Times New Roman" w:hAnsi="Times New Roman" w:cs="Times New Roman"/>
          <w:sz w:val="24"/>
          <w:szCs w:val="24"/>
        </w:rPr>
        <w:t>hy</w:t>
      </w:r>
      <w:r w:rsidR="001F4771">
        <w:rPr>
          <w:rFonts w:ascii="Times New Roman" w:hAnsi="Times New Roman" w:cs="Times New Roman"/>
          <w:sz w:val="24"/>
          <w:szCs w:val="24"/>
        </w:rPr>
        <w:t>perparathyroïdie</w:t>
      </w:r>
      <w:r w:rsidR="00260D22">
        <w:rPr>
          <w:rFonts w:ascii="Times New Roman" w:hAnsi="Times New Roman" w:cs="Times New Roman"/>
          <w:sz w:val="24"/>
          <w:szCs w:val="24"/>
        </w:rPr>
        <w:t xml:space="preserve"> primaire est une </w:t>
      </w:r>
      <w:r w:rsidR="001F4771">
        <w:rPr>
          <w:rFonts w:ascii="Times New Roman" w:hAnsi="Times New Roman" w:cs="Times New Roman"/>
          <w:sz w:val="24"/>
          <w:szCs w:val="24"/>
        </w:rPr>
        <w:t>condition</w:t>
      </w:r>
      <w:r w:rsidR="00260D22">
        <w:rPr>
          <w:rFonts w:ascii="Times New Roman" w:hAnsi="Times New Roman" w:cs="Times New Roman"/>
          <w:sz w:val="24"/>
          <w:szCs w:val="24"/>
        </w:rPr>
        <w:t xml:space="preserve"> clinique </w:t>
      </w:r>
      <w:r w:rsidR="001F4771">
        <w:rPr>
          <w:rFonts w:ascii="Times New Roman" w:hAnsi="Times New Roman" w:cs="Times New Roman"/>
          <w:sz w:val="24"/>
          <w:szCs w:val="24"/>
        </w:rPr>
        <w:t xml:space="preserve">qui se traduit biologiquement </w:t>
      </w:r>
      <w:r>
        <w:rPr>
          <w:rFonts w:ascii="Times New Roman" w:hAnsi="Times New Roman" w:cs="Times New Roman"/>
          <w:sz w:val="24"/>
          <w:szCs w:val="24"/>
        </w:rPr>
        <w:tab/>
      </w:r>
      <w:r w:rsidR="001F4771">
        <w:rPr>
          <w:rFonts w:ascii="Times New Roman" w:hAnsi="Times New Roman" w:cs="Times New Roman"/>
          <w:sz w:val="24"/>
          <w:szCs w:val="24"/>
        </w:rPr>
        <w:t xml:space="preserve">par un excès de sécrétion de PTH, hypercalcémie et </w:t>
      </w:r>
      <w:proofErr w:type="spellStart"/>
      <w:r w:rsidR="001F4771">
        <w:rPr>
          <w:rFonts w:ascii="Times New Roman" w:hAnsi="Times New Roman" w:cs="Times New Roman"/>
          <w:sz w:val="24"/>
          <w:szCs w:val="24"/>
        </w:rPr>
        <w:t>hypercalciurie</w:t>
      </w:r>
      <w:proofErr w:type="spellEnd"/>
      <w:r w:rsidR="001F4771">
        <w:rPr>
          <w:rFonts w:ascii="Times New Roman" w:hAnsi="Times New Roman" w:cs="Times New Roman"/>
          <w:sz w:val="24"/>
          <w:szCs w:val="24"/>
        </w:rPr>
        <w:t xml:space="preserve">. Ces anomalies </w:t>
      </w:r>
      <w:r>
        <w:rPr>
          <w:rFonts w:ascii="Times New Roman" w:hAnsi="Times New Roman" w:cs="Times New Roman"/>
          <w:sz w:val="24"/>
          <w:szCs w:val="24"/>
        </w:rPr>
        <w:tab/>
      </w:r>
      <w:r w:rsidR="001F4771">
        <w:rPr>
          <w:rFonts w:ascii="Times New Roman" w:hAnsi="Times New Roman" w:cs="Times New Roman"/>
          <w:sz w:val="24"/>
          <w:szCs w:val="24"/>
        </w:rPr>
        <w:t xml:space="preserve">sont la conséquence d'une résorption osseuse marquée induite par la PTH. </w:t>
      </w:r>
      <w:r>
        <w:rPr>
          <w:rFonts w:ascii="Times New Roman" w:hAnsi="Times New Roman" w:cs="Times New Roman"/>
          <w:sz w:val="24"/>
          <w:szCs w:val="24"/>
        </w:rPr>
        <w:t xml:space="preserve"> Ce cours </w:t>
      </w:r>
      <w:r>
        <w:rPr>
          <w:rFonts w:ascii="Times New Roman" w:hAnsi="Times New Roman" w:cs="Times New Roman"/>
          <w:sz w:val="24"/>
          <w:szCs w:val="24"/>
        </w:rPr>
        <w:tab/>
        <w:t>est destiné au personnel infirmier du Service de la Médecine</w:t>
      </w:r>
      <w:r w:rsidR="006E5D96">
        <w:rPr>
          <w:rFonts w:ascii="Times New Roman" w:hAnsi="Times New Roman" w:cs="Times New Roman"/>
          <w:sz w:val="24"/>
          <w:szCs w:val="24"/>
        </w:rPr>
        <w:t xml:space="preserve"> Nucléaire du CHU de </w:t>
      </w:r>
      <w:r w:rsidR="006E5D96">
        <w:rPr>
          <w:rFonts w:ascii="Times New Roman" w:hAnsi="Times New Roman" w:cs="Times New Roman"/>
          <w:sz w:val="24"/>
          <w:szCs w:val="24"/>
        </w:rPr>
        <w:tab/>
        <w:t xml:space="preserve">Liège. Il </w:t>
      </w:r>
      <w:r>
        <w:rPr>
          <w:rFonts w:ascii="Times New Roman" w:hAnsi="Times New Roman" w:cs="Times New Roman"/>
          <w:sz w:val="24"/>
          <w:szCs w:val="24"/>
        </w:rPr>
        <w:t xml:space="preserve">rappelle l'anatomie, physiologie et pathologie des glandes </w:t>
      </w:r>
      <w:r>
        <w:rPr>
          <w:rFonts w:ascii="Times New Roman" w:hAnsi="Times New Roman" w:cs="Times New Roman"/>
          <w:sz w:val="24"/>
          <w:szCs w:val="24"/>
        </w:rPr>
        <w:tab/>
        <w:t xml:space="preserve">parathyroïdes, en insistant </w:t>
      </w:r>
      <w:r>
        <w:rPr>
          <w:rFonts w:ascii="Times New Roman" w:hAnsi="Times New Roman" w:cs="Times New Roman"/>
          <w:sz w:val="24"/>
          <w:szCs w:val="24"/>
        </w:rPr>
        <w:tab/>
        <w:t xml:space="preserve">sur les applications en imagerie et en médecine nucléaire </w:t>
      </w:r>
      <w:r>
        <w:rPr>
          <w:rFonts w:ascii="Times New Roman" w:hAnsi="Times New Roman" w:cs="Times New Roman"/>
          <w:sz w:val="24"/>
          <w:szCs w:val="24"/>
        </w:rPr>
        <w:tab/>
        <w:t xml:space="preserve">qui permettent de </w:t>
      </w:r>
      <w:r>
        <w:rPr>
          <w:rFonts w:ascii="Times New Roman" w:hAnsi="Times New Roman" w:cs="Times New Roman"/>
          <w:sz w:val="24"/>
          <w:szCs w:val="24"/>
        </w:rPr>
        <w:tab/>
        <w:t>diagnostiquer l'hyperparathyroïdie primaire.</w:t>
      </w:r>
    </w:p>
    <w:p w:rsidR="00F37AD1" w:rsidRPr="00260D22" w:rsidRDefault="00F37AD1" w:rsidP="00F37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D22" w:rsidRDefault="00260D22" w:rsidP="00F37AD1">
      <w:pPr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260D22" w:rsidRDefault="00260D22" w:rsidP="00B97EBC">
      <w:pPr>
        <w:jc w:val="center"/>
        <w:rPr>
          <w:b/>
          <w:sz w:val="24"/>
          <w:szCs w:val="24"/>
        </w:rPr>
      </w:pPr>
    </w:p>
    <w:p w:rsidR="005E371B" w:rsidRDefault="00260D22" w:rsidP="00B97E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Références</w:t>
      </w:r>
    </w:p>
    <w:p w:rsidR="00260D22" w:rsidRDefault="00260D22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16"/>
          <w:szCs w:val="16"/>
          <w:lang w:val="en-US"/>
        </w:rPr>
      </w:pPr>
    </w:p>
    <w:p w:rsidR="00260D22" w:rsidRDefault="00260D22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16"/>
          <w:szCs w:val="16"/>
          <w:lang w:val="en-US"/>
        </w:rPr>
      </w:pPr>
    </w:p>
    <w:p w:rsidR="00260D22" w:rsidRDefault="00260D22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16"/>
          <w:szCs w:val="16"/>
          <w:lang w:val="en-US"/>
        </w:rPr>
      </w:pP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Betea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D.,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Bradwel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A., Valdes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Socin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H. G., Stassen, M. P., &amp;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Beckers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A. (2001).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Carcinome parathyroïdien : Contrôle de</w:t>
      </w: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l'hypercalcémie par immunothérapie.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Annales d'Endocrinologie : XIXe Congrès de la Société Française d'Endocrinologie -</w:t>
      </w: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Abstract book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(pp. 321 (C013) (Vol. 62 N°4, cahier 1).</w:t>
      </w: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http://hdl.handle.net/2268/64804</w:t>
      </w:r>
    </w:p>
    <w:p w:rsidR="00260D22" w:rsidRPr="00F37AD1" w:rsidRDefault="00260D22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20"/>
          <w:szCs w:val="20"/>
          <w:lang w:val="en-US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20"/>
          <w:szCs w:val="20"/>
          <w:lang w:val="en-US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Betea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D.,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Bradwell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A. R., Valdes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Socin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H. G., Stassen, M. P., &amp;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Beckers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A. (2002). Management of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hypercalcemia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 from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Parathyroid Carcinoma by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immunisation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The Endocrine Society's 84th Annual Meeting - Abstract book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(pp. 614 (P3-524).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http://hdl.handle.net/2268/64843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20"/>
          <w:szCs w:val="20"/>
          <w:lang w:val="en-US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20"/>
          <w:szCs w:val="20"/>
          <w:lang w:val="en-US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Valdes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Socin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H. G.,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Delemer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B.,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Burlacu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M., De Herder, W.,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Betea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D.,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Goudet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P., &amp;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Beckers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A. (2006).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Association</w:t>
      </w:r>
      <w:r w:rsid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Acromégalie - Hyperparathyroïdie primaire : Néoplasie endocrinienne multiple de type 1 (NEM1) ou une nouvelle entité?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Une étude du groupe de tumeurs neuroendocriniennes (GTE).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23ème Congrès de la Société Française d'Endocrinologie -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 xml:space="preserve">Abstract book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(pp. 30 (P1-020).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http://hdl.handle.net/2268/65047</w:t>
      </w:r>
    </w:p>
    <w:p w:rsidR="00260D22" w:rsidRPr="00F37AD1" w:rsidRDefault="00260D22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Cavalier, E., &amp;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Valdes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Socin, H. G. (2006).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Pathologie de la parathyroïde : aspects cliniques et biologiques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.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Paper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presented</w:t>
      </w:r>
      <w:proofErr w:type="spellEnd"/>
      <w:r w:rsid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at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Les Jeudis de Fleurus, Fleurus,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Belgium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.</w:t>
      </w:r>
    </w:p>
    <w:p w:rsidR="00260D22" w:rsidRPr="0075532A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http://hdl.handle.net/2268/2963</w:t>
      </w:r>
    </w:p>
    <w:p w:rsidR="00B97EBC" w:rsidRPr="0075532A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</w:p>
    <w:p w:rsidR="00B97EBC" w:rsidRPr="0075532A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</w:p>
    <w:p w:rsidR="00B97EBC" w:rsidRPr="0075532A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VALDES SOCIN, H. G., </w:t>
      </w:r>
      <w:proofErr w:type="spellStart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>Burlacu</w:t>
      </w:r>
      <w:proofErr w:type="spellEnd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, C., </w:t>
      </w:r>
      <w:proofErr w:type="spellStart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>Delemer</w:t>
      </w:r>
      <w:proofErr w:type="spellEnd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, B., </w:t>
      </w:r>
      <w:proofErr w:type="spellStart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>Rostomyan</w:t>
      </w:r>
      <w:proofErr w:type="spellEnd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, L., </w:t>
      </w:r>
      <w:proofErr w:type="spellStart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>Tichomirowa</w:t>
      </w:r>
      <w:proofErr w:type="spellEnd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, M., de Herder, W., Tabarin, A., </w:t>
      </w:r>
      <w:proofErr w:type="spellStart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>Goudet</w:t>
      </w:r>
      <w:proofErr w:type="spellEnd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>, P., &amp;</w:t>
      </w:r>
      <w:r w:rsid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proofErr w:type="spellStart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>Beckers</w:t>
      </w:r>
      <w:proofErr w:type="spellEnd"/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, A. (2012).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Clinical and genetic studies in patients with Pituitary/Parathyroid variant of MEN1 without MEN1 gene</w:t>
      </w:r>
      <w:r w:rsidR="0075532A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mutation : the French GENEM collaborative study.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Abstract Book - 13th International Workshop on Multiple Endocrine</w:t>
      </w:r>
      <w:r w:rsidR="0075532A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75532A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Neoplasia</w:t>
      </w:r>
      <w:proofErr w:type="spellEnd"/>
      <w:r w:rsidRPr="0075532A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.</w:t>
      </w:r>
    </w:p>
    <w:p w:rsidR="00B97EBC" w:rsidRPr="0075532A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  <w:lang w:val="en-US"/>
        </w:rPr>
      </w:pPr>
      <w:r w:rsidRPr="0075532A">
        <w:rPr>
          <w:rFonts w:ascii="DejaVuSansCondensed" w:hAnsi="DejaVuSansCondensed" w:cs="DejaVuSansCondensed"/>
          <w:color w:val="0000FF"/>
          <w:sz w:val="20"/>
          <w:szCs w:val="20"/>
          <w:lang w:val="en-US"/>
        </w:rPr>
        <w:t>http://hdl.handle.net/2268/129779</w:t>
      </w:r>
    </w:p>
    <w:p w:rsidR="00B97EBC" w:rsidRPr="0075532A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  <w:lang w:val="en-US"/>
        </w:rPr>
      </w:pPr>
    </w:p>
    <w:p w:rsidR="00467106" w:rsidRPr="00467106" w:rsidRDefault="00467106" w:rsidP="0046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</w:pPr>
      <w:r w:rsidRPr="0046710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fr-BE"/>
        </w:rPr>
        <w:t>VALDES-SOCIN</w:t>
      </w:r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H, NIAOUROU V, VANDEVA S, BOSQUÉE L, BECKERS A. </w:t>
      </w:r>
      <w:hyperlink r:id="rId5" w:history="1">
        <w:r w:rsidRPr="00467106">
          <w:rPr>
            <w:rFonts w:ascii="Arial" w:eastAsia="Times New Roman" w:hAnsi="Arial" w:cs="Arial"/>
            <w:color w:val="000000" w:themeColor="text1"/>
            <w:sz w:val="20"/>
            <w:szCs w:val="20"/>
            <w:lang w:eastAsia="fr-BE"/>
          </w:rPr>
          <w:t>[</w:t>
        </w:r>
        <w:proofErr w:type="spellStart"/>
        <w:r w:rsidRPr="00467106">
          <w:rPr>
            <w:rFonts w:ascii="Arial" w:eastAsia="Times New Roman" w:hAnsi="Arial" w:cs="Arial"/>
            <w:color w:val="000000" w:themeColor="text1"/>
            <w:sz w:val="20"/>
            <w:szCs w:val="20"/>
            <w:lang w:eastAsia="fr-BE"/>
          </w:rPr>
          <w:t>Paraneoplastic</w:t>
        </w:r>
        <w:proofErr w:type="spellEnd"/>
        <w:r w:rsidRPr="00467106">
          <w:rPr>
            <w:rFonts w:ascii="Arial" w:eastAsia="Times New Roman" w:hAnsi="Arial" w:cs="Arial"/>
            <w:color w:val="000000" w:themeColor="text1"/>
            <w:sz w:val="20"/>
            <w:szCs w:val="20"/>
            <w:lang w:eastAsia="fr-BE"/>
          </w:rPr>
          <w:t xml:space="preserve"> endocrine syndromes: diagnosis and management].</w:t>
        </w:r>
      </w:hyperlink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 Rev Med Suisse. 2009 Aug 26;5(214):1668-74. Review. French. </w:t>
      </w:r>
    </w:p>
    <w:p w:rsidR="00B97EBC" w:rsidRPr="00467106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/>
        </w:rPr>
      </w:pPr>
    </w:p>
    <w:p w:rsidR="00B97EBC" w:rsidRPr="0075532A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VALDES SOCIN, H. G., BISOGNI, C., BETEA, D.,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Lillet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, H., SCAGNOL, I.,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Hustinx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, R., HAMOIR, E., Meurisse, M., &amp;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Beckers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,</w:t>
      </w:r>
      <w:r w:rsid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r w:rsidRP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A. (2012).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Primary hyperparathyroidism confirmed by histology : sensitivity and predictors of 99mTc-Sestamibi/CT scan.</w:t>
      </w:r>
      <w:r w:rsidR="0075532A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Abstract Book - 13th International Workshop on Multiple Endocrine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Neoplasia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.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http://hdl.handle.net/2268/129787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VALDES SOCIN, H. G., LOLY, J.-P., BETEA, D., BECKERS, A., &amp; POLUS, M. (2013).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Hypercalcémie réfractaire et sécrétion</w:t>
      </w:r>
      <w:r w:rsidR="0075532A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ectopique de calcitonine dans un cancer neuroendocrine du pancréas : Effets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hypocalcémiants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du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Cinacalcet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Annales</w:t>
      </w:r>
      <w:r w:rsidR="0075532A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 xml:space="preserve">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d'Endocrinologie, 74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(4), 235-462.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http://hdl.handle.net/2268/156803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VALDES SOCIN, H. G., BETEA, D., Daly, A., DELANAYE, P.,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souberbielle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, J.-C., BECKERS, A., &amp; CAVALIER, E. (2017).</w:t>
      </w:r>
      <w:r w:rsidR="00467106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Paraneoplastic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 secretion in parathyroid carcinoma: serum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hCG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 as a tumor marker.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Acta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Clinica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Belgica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, 72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(2), 5.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  <w:lang w:val="en-US"/>
        </w:rPr>
        <w:t>http://hdl.handle.net/2268/217159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  <w:lang w:val="en-US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  <w:lang w:val="en-US"/>
        </w:rPr>
      </w:pP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VALDES SOCIN, H. G., BETEA, D., Daly, A., DELANAYE, P.,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Souberbielle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J.,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Beckers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, A., &amp; Cavalier, E. (2017, December).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Paraneoplasic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 secretion in Parathyroid carcinoma : serum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hCG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 as a tumor marker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. Paper presented at Annual Congress of</w:t>
      </w:r>
      <w:r w:rsidR="00467106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the Belgian Society of Internal Medicine, La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hulpe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Belgique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.</w:t>
      </w:r>
    </w:p>
    <w:p w:rsidR="00B97EBC" w:rsidRPr="00F37AD1" w:rsidRDefault="00B97EBC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http://hdl.handle.net/2268/216665</w:t>
      </w:r>
    </w:p>
    <w:p w:rsidR="00260D22" w:rsidRPr="00F37AD1" w:rsidRDefault="00260D22" w:rsidP="00B97EB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Parotte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, M.-C., CASTERMANS, E.,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Bours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, V.,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Beckers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, A., &amp; VALDES SOCIN, H. G. (2018,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September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).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 xml:space="preserve">Hypercalcémie familiale bénigne révélée par des crises de colique néphrétique : description d'une nouvelle mutation du calcium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sensing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 xml:space="preserve">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receptor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 xml:space="preserve"> (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CasR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)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. Poster session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presented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at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35ème Congrès de la Société Française d'Endocrinologie, Nancy, France.</w:t>
      </w: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http://hdl.handle.net/2268/228665</w:t>
      </w: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VALDES SOCIN, H. G., BETEA, D., Daly, A., DELANAYE, P.,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souberbielle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J.,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Beckers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, A., &amp; CAVALIER, E. (2018, May).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hCG</w:t>
      </w:r>
      <w:proofErr w:type="spellEnd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 as  a diagnostic test to differentiate between parathyroid carcinoma, primary benign hyperparathyroidism and secondary</w:t>
      </w:r>
      <w:r w:rsidR="00467106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 xml:space="preserve">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  <w:lang w:val="en-US"/>
        </w:rPr>
        <w:t>hyperparathyroidism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 xml:space="preserve">. Poster session presented at 20th European Congress of Endocrinology,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Barcelone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  <w:lang w:val="en-US"/>
        </w:rPr>
        <w:t>.</w:t>
      </w:r>
    </w:p>
    <w:p w:rsidR="00B97EBC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http://hdl.handle.net/2268/225034</w:t>
      </w: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260D22" w:rsidRPr="00F37AD1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00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VALDES SOCIN, H. G., &amp; POLUS, M. (2015,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October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17).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Hypercalcémie paranéoplasique et hypercalcémie associée à</w:t>
      </w:r>
      <w:r w:rsidR="00467106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 xml:space="preserve"> </w:t>
      </w:r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 xml:space="preserve">la Néoplasie Multiple de type I (NEM1): traitement par </w:t>
      </w:r>
      <w:proofErr w:type="spellStart"/>
      <w:r w:rsidRPr="00F37AD1">
        <w:rPr>
          <w:rFonts w:ascii="DejaVuSansCondensed-Oblique" w:hAnsi="DejaVuSansCondensed-Oblique" w:cs="DejaVuSansCondensed-Oblique"/>
          <w:i/>
          <w:iCs/>
          <w:color w:val="000000"/>
          <w:sz w:val="20"/>
          <w:szCs w:val="20"/>
        </w:rPr>
        <w:t>Cinacalcet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.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Paper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presented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at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 xml:space="preserve"> 20èmes Confrontations </w:t>
      </w:r>
      <w:proofErr w:type="spellStart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Clinico</w:t>
      </w:r>
      <w:proofErr w:type="spellEnd"/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-</w:t>
      </w:r>
      <w:r w:rsidR="00467106">
        <w:rPr>
          <w:rFonts w:ascii="DejaVuSansCondensed" w:hAnsi="DejaVuSansCondensed" w:cs="DejaVuSansCondensed"/>
          <w:color w:val="000000"/>
          <w:sz w:val="20"/>
          <w:szCs w:val="20"/>
        </w:rPr>
        <w:t xml:space="preserve"> </w:t>
      </w:r>
      <w:r w:rsidRPr="00F37AD1">
        <w:rPr>
          <w:rFonts w:ascii="DejaVuSansCondensed" w:hAnsi="DejaVuSansCondensed" w:cs="DejaVuSansCondensed"/>
          <w:color w:val="000000"/>
          <w:sz w:val="20"/>
          <w:szCs w:val="20"/>
        </w:rPr>
        <w:t>Biologiques Sur La Lithiase Urinaire Et 1er Atelier Sur Les Troubles Hydro-Electrolytiques, Paris, France.</w:t>
      </w:r>
    </w:p>
    <w:p w:rsidR="00260D22" w:rsidRDefault="00260D22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  <w:r w:rsidRPr="00F37AD1">
        <w:rPr>
          <w:rFonts w:ascii="DejaVuSansCondensed" w:hAnsi="DejaVuSansCondensed" w:cs="DejaVuSansCondensed"/>
          <w:color w:val="0000FF"/>
          <w:sz w:val="20"/>
          <w:szCs w:val="20"/>
        </w:rPr>
        <w:t>http://hdl.handle.net/2268/185367</w:t>
      </w:r>
    </w:p>
    <w:p w:rsidR="00467106" w:rsidRDefault="00467106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00FF"/>
          <w:sz w:val="20"/>
          <w:szCs w:val="20"/>
        </w:rPr>
      </w:pPr>
    </w:p>
    <w:p w:rsidR="00467106" w:rsidRPr="00467106" w:rsidRDefault="00467106" w:rsidP="0046710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BE"/>
        </w:rPr>
      </w:pPr>
      <w:hyperlink r:id="rId6" w:history="1">
        <w:r w:rsidRPr="00467106">
          <w:rPr>
            <w:rFonts w:ascii="Arial" w:eastAsia="Times New Roman" w:hAnsi="Arial" w:cs="Arial"/>
            <w:color w:val="2222CC"/>
            <w:u w:val="single"/>
            <w:lang w:eastAsia="fr-BE"/>
          </w:rPr>
          <w:t>.</w:t>
        </w:r>
      </w:hyperlink>
    </w:p>
    <w:p w:rsidR="00467106" w:rsidRPr="00467106" w:rsidRDefault="00467106" w:rsidP="0046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</w:pPr>
      <w:r w:rsidRPr="0046710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fr-BE"/>
        </w:rPr>
        <w:t>VALDES-SOCIN</w:t>
      </w:r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H, ALMANZA MR, FERNÁNDEZ-LADREDA MT, DAELE DV, POLUS M, CHAVEZ M, BECKERS A.</w:t>
      </w:r>
      <w:r w:rsidRPr="00467106">
        <w:rPr>
          <w:color w:val="000000" w:themeColor="text1"/>
          <w:sz w:val="20"/>
          <w:szCs w:val="20"/>
          <w:lang w:eastAsia="fr-BE"/>
        </w:rPr>
        <w:t xml:space="preserve"> </w:t>
      </w:r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Use of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cinacalcet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and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sunitinib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to treat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hypercalcaemia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due to a pancreatic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neuroendocrine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tumor. Arch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Endocrinol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Metab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. 2017 Sept-Oct;61(5):506-509.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doi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: 10.1590/2359-3997000000291. </w:t>
      </w:r>
      <w:proofErr w:type="spellStart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>Epub</w:t>
      </w:r>
      <w:proofErr w:type="spellEnd"/>
      <w:r w:rsidRPr="00467106"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  <w:t xml:space="preserve"> 2017 Sep 18.</w:t>
      </w:r>
    </w:p>
    <w:p w:rsidR="00467106" w:rsidRPr="00467106" w:rsidRDefault="00467106" w:rsidP="0046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</w:pPr>
    </w:p>
    <w:p w:rsidR="00467106" w:rsidRPr="00467106" w:rsidRDefault="00467106" w:rsidP="0046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BE"/>
        </w:rPr>
      </w:pPr>
    </w:p>
    <w:p w:rsidR="00467106" w:rsidRPr="00F37AD1" w:rsidRDefault="00467106" w:rsidP="00260D2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505050"/>
          <w:sz w:val="20"/>
          <w:szCs w:val="20"/>
          <w:lang w:val="en-US"/>
        </w:rPr>
      </w:pPr>
    </w:p>
    <w:sectPr w:rsidR="00467106" w:rsidRPr="00F37AD1" w:rsidSect="005E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66D"/>
    <w:multiLevelType w:val="hybridMultilevel"/>
    <w:tmpl w:val="2E4C648C"/>
    <w:lvl w:ilvl="0" w:tplc="E5B0107C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79065B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57C9EB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8BAD0B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786540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4B47CA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ED0AEB4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8FE88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878E6D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>
    <w:nsid w:val="0E7D0E91"/>
    <w:multiLevelType w:val="hybridMultilevel"/>
    <w:tmpl w:val="E1E2549E"/>
    <w:lvl w:ilvl="0" w:tplc="BA2E22A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0AE5C9A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06A5CE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5B8D3A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29EDBC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DF2E9E2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398DFF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2166DA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EBA44C0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2EF94B23"/>
    <w:multiLevelType w:val="hybridMultilevel"/>
    <w:tmpl w:val="885CB282"/>
    <w:lvl w:ilvl="0" w:tplc="AEDE2DD6">
      <w:start w:val="1"/>
      <w:numFmt w:val="bullet"/>
      <w:lvlText w:val="v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  <w:lvl w:ilvl="1" w:tplc="BC28C0DE" w:tentative="1">
      <w:start w:val="1"/>
      <w:numFmt w:val="bullet"/>
      <w:lvlText w:val="v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</w:rPr>
    </w:lvl>
    <w:lvl w:ilvl="2" w:tplc="AAFE77F2" w:tentative="1">
      <w:start w:val="1"/>
      <w:numFmt w:val="bullet"/>
      <w:lvlText w:val="v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  <w:lvl w:ilvl="3" w:tplc="F678FF06" w:tentative="1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Monotype Sorts" w:hAnsi="Monotype Sorts" w:hint="default"/>
      </w:rPr>
    </w:lvl>
    <w:lvl w:ilvl="4" w:tplc="399EB952" w:tentative="1">
      <w:start w:val="1"/>
      <w:numFmt w:val="bullet"/>
      <w:lvlText w:val="v"/>
      <w:lvlJc w:val="left"/>
      <w:pPr>
        <w:tabs>
          <w:tab w:val="num" w:pos="3240"/>
        </w:tabs>
        <w:ind w:left="3240" w:hanging="360"/>
      </w:pPr>
      <w:rPr>
        <w:rFonts w:ascii="Monotype Sorts" w:hAnsi="Monotype Sorts" w:hint="default"/>
      </w:rPr>
    </w:lvl>
    <w:lvl w:ilvl="5" w:tplc="02B09968" w:tentative="1">
      <w:start w:val="1"/>
      <w:numFmt w:val="bullet"/>
      <w:lvlText w:val="v"/>
      <w:lvlJc w:val="left"/>
      <w:pPr>
        <w:tabs>
          <w:tab w:val="num" w:pos="3960"/>
        </w:tabs>
        <w:ind w:left="3960" w:hanging="360"/>
      </w:pPr>
      <w:rPr>
        <w:rFonts w:ascii="Monotype Sorts" w:hAnsi="Monotype Sorts" w:hint="default"/>
      </w:rPr>
    </w:lvl>
    <w:lvl w:ilvl="6" w:tplc="B7420FA6" w:tentative="1">
      <w:start w:val="1"/>
      <w:numFmt w:val="bullet"/>
      <w:lvlText w:val="v"/>
      <w:lvlJc w:val="left"/>
      <w:pPr>
        <w:tabs>
          <w:tab w:val="num" w:pos="4680"/>
        </w:tabs>
        <w:ind w:left="4680" w:hanging="360"/>
      </w:pPr>
      <w:rPr>
        <w:rFonts w:ascii="Monotype Sorts" w:hAnsi="Monotype Sorts" w:hint="default"/>
      </w:rPr>
    </w:lvl>
    <w:lvl w:ilvl="7" w:tplc="BCE2E1CA" w:tentative="1">
      <w:start w:val="1"/>
      <w:numFmt w:val="bullet"/>
      <w:lvlText w:val="v"/>
      <w:lvlJc w:val="left"/>
      <w:pPr>
        <w:tabs>
          <w:tab w:val="num" w:pos="5400"/>
        </w:tabs>
        <w:ind w:left="5400" w:hanging="360"/>
      </w:pPr>
      <w:rPr>
        <w:rFonts w:ascii="Monotype Sorts" w:hAnsi="Monotype Sorts" w:hint="default"/>
      </w:rPr>
    </w:lvl>
    <w:lvl w:ilvl="8" w:tplc="B4580C9A" w:tentative="1">
      <w:start w:val="1"/>
      <w:numFmt w:val="bullet"/>
      <w:lvlText w:val="v"/>
      <w:lvlJc w:val="left"/>
      <w:pPr>
        <w:tabs>
          <w:tab w:val="num" w:pos="6120"/>
        </w:tabs>
        <w:ind w:left="6120" w:hanging="360"/>
      </w:pPr>
      <w:rPr>
        <w:rFonts w:ascii="Monotype Sorts" w:hAnsi="Monotype Sorts" w:hint="default"/>
      </w:rPr>
    </w:lvl>
  </w:abstractNum>
  <w:abstractNum w:abstractNumId="3">
    <w:nsid w:val="642365BB"/>
    <w:multiLevelType w:val="hybridMultilevel"/>
    <w:tmpl w:val="153AAD00"/>
    <w:lvl w:ilvl="0" w:tplc="7AE666E8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F34DCA4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95655F8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1B8367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C42D07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13A9DF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CD6799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42273A4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CAAE5CA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7EBC"/>
    <w:rsid w:val="001F4771"/>
    <w:rsid w:val="00260D22"/>
    <w:rsid w:val="00467106"/>
    <w:rsid w:val="005E371B"/>
    <w:rsid w:val="006E5D96"/>
    <w:rsid w:val="0075532A"/>
    <w:rsid w:val="00B97EBC"/>
    <w:rsid w:val="00F3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1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1">
    <w:name w:val="title1"/>
    <w:basedOn w:val="Normal"/>
    <w:rsid w:val="00467106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fr-BE"/>
    </w:rPr>
  </w:style>
  <w:style w:type="paragraph" w:customStyle="1" w:styleId="desc2">
    <w:name w:val="desc2"/>
    <w:basedOn w:val="Normal"/>
    <w:rsid w:val="0046710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fr-BE"/>
    </w:rPr>
  </w:style>
  <w:style w:type="paragraph" w:customStyle="1" w:styleId="details1">
    <w:name w:val="details1"/>
    <w:basedOn w:val="Normal"/>
    <w:rsid w:val="00467106"/>
    <w:pPr>
      <w:spacing w:after="0" w:line="240" w:lineRule="auto"/>
    </w:pPr>
    <w:rPr>
      <w:rFonts w:ascii="Times New Roman" w:eastAsia="Times New Roman" w:hAnsi="Times New Roman" w:cs="Times New Roman"/>
      <w:lang w:eastAsia="fr-BE"/>
    </w:rPr>
  </w:style>
  <w:style w:type="character" w:customStyle="1" w:styleId="jrnl">
    <w:name w:val="jrnl"/>
    <w:basedOn w:val="Policepardfaut"/>
    <w:rsid w:val="00467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40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2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791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5718">
                                  <w:marLeft w:val="35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707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10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13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009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2768">
                                  <w:marLeft w:val="35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863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632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524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0597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66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9695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109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8977163" TargetMode="External"/><Relationship Id="rId5" Type="http://schemas.openxmlformats.org/officeDocument/2006/relationships/hyperlink" Target="https://www.ncbi.nlm.nih.gov/pubmed/197721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c122123</dc:creator>
  <cp:lastModifiedBy>c122123</cp:lastModifiedBy>
  <cp:revision>3</cp:revision>
  <dcterms:created xsi:type="dcterms:W3CDTF">2019-05-27T06:01:00Z</dcterms:created>
  <dcterms:modified xsi:type="dcterms:W3CDTF">2019-05-27T06:48:00Z</dcterms:modified>
</cp:coreProperties>
</file>