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33" w:rsidRDefault="001A5533" w:rsidP="001A553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r w:rsidRPr="001A5533">
        <w:rPr>
          <w:rFonts w:asciiTheme="majorBidi" w:hAnsiTheme="majorBidi" w:cstheme="majorBidi"/>
          <w:b/>
          <w:bCs/>
          <w:sz w:val="32"/>
          <w:szCs w:val="32"/>
        </w:rPr>
        <w:t>Corps voilés, corps outragé, corps exhibé.</w:t>
      </w:r>
    </w:p>
    <w:p w:rsidR="00226C9B" w:rsidRDefault="001A5533" w:rsidP="0066057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Des corps de femmes</w:t>
      </w:r>
      <w:r w:rsidRPr="001A5533">
        <w:rPr>
          <w:rFonts w:asciiTheme="majorBidi" w:hAnsiTheme="majorBidi" w:cstheme="majorBidi"/>
          <w:b/>
          <w:bCs/>
          <w:sz w:val="32"/>
          <w:szCs w:val="32"/>
        </w:rPr>
        <w:t xml:space="preserve"> à l’agenda de la transition tunisienne.</w:t>
      </w:r>
    </w:p>
    <w:bookmarkEnd w:id="0"/>
    <w:p w:rsidR="00660575" w:rsidRDefault="00660575" w:rsidP="001A553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639CC" w:rsidRDefault="00660575" w:rsidP="006639C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60575">
        <w:rPr>
          <w:rFonts w:asciiTheme="majorBidi" w:hAnsiTheme="majorBidi" w:cstheme="majorBidi"/>
          <w:sz w:val="24"/>
          <w:szCs w:val="24"/>
        </w:rPr>
        <w:t>Le corps de la femme est un champ fertile, un champ où se jouent des batailles idéologiques, des querelles poli</w:t>
      </w:r>
      <w:r>
        <w:rPr>
          <w:rFonts w:asciiTheme="majorBidi" w:hAnsiTheme="majorBidi" w:cstheme="majorBidi"/>
          <w:sz w:val="24"/>
          <w:szCs w:val="24"/>
        </w:rPr>
        <w:t>tiques et des luttes de pouvoir. Du biopouvoir dans toute sa splendeur.</w:t>
      </w:r>
      <w:r w:rsidRPr="00660575">
        <w:rPr>
          <w:rFonts w:asciiTheme="majorBidi" w:hAnsiTheme="majorBidi" w:cstheme="majorBidi"/>
          <w:sz w:val="24"/>
          <w:szCs w:val="24"/>
        </w:rPr>
        <w:t xml:space="preserve"> À l’aube de la Révolution tunisienne, le corps féminin s’est transformé en terrain propice au déploiement du conflit entre deux modèles de société cherchant à s’imposer comme</w:t>
      </w:r>
      <w:r>
        <w:rPr>
          <w:rFonts w:asciiTheme="majorBidi" w:hAnsiTheme="majorBidi" w:cstheme="majorBidi"/>
          <w:sz w:val="24"/>
          <w:szCs w:val="24"/>
        </w:rPr>
        <w:t xml:space="preserve"> pilier de la nouvelle Tunisie. À partir de trois corps féminins on devine les</w:t>
      </w:r>
      <w:r w:rsidR="001A5533" w:rsidRPr="001A5533">
        <w:rPr>
          <w:rFonts w:asciiTheme="majorBidi" w:hAnsiTheme="majorBidi" w:cstheme="majorBidi"/>
          <w:sz w:val="24"/>
          <w:szCs w:val="24"/>
        </w:rPr>
        <w:t xml:space="preserve"> dynamique</w:t>
      </w:r>
      <w:r>
        <w:rPr>
          <w:rFonts w:asciiTheme="majorBidi" w:hAnsiTheme="majorBidi" w:cstheme="majorBidi"/>
          <w:sz w:val="24"/>
          <w:szCs w:val="24"/>
        </w:rPr>
        <w:t>s</w:t>
      </w:r>
      <w:r w:rsidR="001A5533" w:rsidRPr="001A5533">
        <w:rPr>
          <w:rFonts w:asciiTheme="majorBidi" w:hAnsiTheme="majorBidi" w:cstheme="majorBidi"/>
          <w:sz w:val="24"/>
          <w:szCs w:val="24"/>
        </w:rPr>
        <w:t xml:space="preserve"> de construction </w:t>
      </w:r>
      <w:r>
        <w:rPr>
          <w:rFonts w:asciiTheme="majorBidi" w:hAnsiTheme="majorBidi" w:cstheme="majorBidi"/>
          <w:sz w:val="24"/>
          <w:szCs w:val="24"/>
        </w:rPr>
        <w:t xml:space="preserve">des problèmes publics autour de la corporalité féminine pendant la transition tunisienne. Trois affaires connus de tous, et les corps des femmes qui les ont </w:t>
      </w:r>
      <w:r w:rsidR="00C15D80">
        <w:rPr>
          <w:rFonts w:asciiTheme="majorBidi" w:hAnsiTheme="majorBidi" w:cstheme="majorBidi"/>
          <w:sz w:val="24"/>
          <w:szCs w:val="24"/>
        </w:rPr>
        <w:t xml:space="preserve">rendus célèbres, </w:t>
      </w:r>
      <w:r>
        <w:rPr>
          <w:rFonts w:asciiTheme="majorBidi" w:hAnsiTheme="majorBidi" w:cstheme="majorBidi"/>
          <w:sz w:val="24"/>
          <w:szCs w:val="24"/>
        </w:rPr>
        <w:t>servent de fil conducteur à cette conférence</w:t>
      </w:r>
      <w:r w:rsidR="00C15D80">
        <w:rPr>
          <w:rFonts w:asciiTheme="majorBidi" w:hAnsiTheme="majorBidi" w:cstheme="majorBidi"/>
          <w:sz w:val="24"/>
          <w:szCs w:val="24"/>
        </w:rPr>
        <w:t xml:space="preserve"> : l’affaire de la Manouba et ses </w:t>
      </w:r>
      <w:r w:rsidR="001A5533" w:rsidRPr="001A5533">
        <w:rPr>
          <w:rFonts w:asciiTheme="majorBidi" w:hAnsiTheme="majorBidi" w:cstheme="majorBidi"/>
          <w:sz w:val="24"/>
          <w:szCs w:val="24"/>
        </w:rPr>
        <w:t>corps dissimulés par le voile intégral au sein de la Faculté,</w:t>
      </w:r>
      <w:r w:rsidR="00C15D80">
        <w:rPr>
          <w:rFonts w:asciiTheme="majorBidi" w:hAnsiTheme="majorBidi" w:cstheme="majorBidi"/>
          <w:sz w:val="24"/>
          <w:szCs w:val="24"/>
        </w:rPr>
        <w:t xml:space="preserve"> l’affaire du viol de Meriem Ben Mohamed et son corps outragé </w:t>
      </w:r>
      <w:r w:rsidR="001A5533" w:rsidRPr="001A5533">
        <w:rPr>
          <w:rFonts w:asciiTheme="majorBidi" w:hAnsiTheme="majorBidi" w:cstheme="majorBidi"/>
          <w:sz w:val="24"/>
          <w:szCs w:val="24"/>
        </w:rPr>
        <w:t xml:space="preserve">par des policiers, et </w:t>
      </w:r>
      <w:r w:rsidR="00C15D80">
        <w:rPr>
          <w:rFonts w:asciiTheme="majorBidi" w:hAnsiTheme="majorBidi" w:cstheme="majorBidi"/>
          <w:sz w:val="24"/>
          <w:szCs w:val="24"/>
        </w:rPr>
        <w:t>finalement l’affaire de Femen avec le corps exhibé d’</w:t>
      </w:r>
      <w:r w:rsidR="001A5533" w:rsidRPr="001A5533">
        <w:rPr>
          <w:rFonts w:asciiTheme="majorBidi" w:hAnsiTheme="majorBidi" w:cstheme="majorBidi"/>
          <w:sz w:val="24"/>
          <w:szCs w:val="24"/>
        </w:rPr>
        <w:t>Amina Sbouï. Ces trois affaires, ayant fait la Une des journaux tunisiens et européens, ont mis à l’agenda divers problèmes publics, notamment les libertés académiques, la violence à l’encontre des femmes, la réappropriation du corps féminin ou encore l’indépendance de la justice t</w:t>
      </w:r>
      <w:r w:rsidR="006639CC">
        <w:rPr>
          <w:rFonts w:asciiTheme="majorBidi" w:hAnsiTheme="majorBidi" w:cstheme="majorBidi"/>
          <w:sz w:val="24"/>
          <w:szCs w:val="24"/>
        </w:rPr>
        <w:t>ransitionnelle. Dès le moment de</w:t>
      </w:r>
      <w:r w:rsidR="001A5533" w:rsidRPr="001A5533">
        <w:rPr>
          <w:rFonts w:asciiTheme="majorBidi" w:hAnsiTheme="majorBidi" w:cstheme="majorBidi"/>
          <w:sz w:val="24"/>
          <w:szCs w:val="24"/>
        </w:rPr>
        <w:t xml:space="preserve"> définition du problème par</w:t>
      </w:r>
      <w:r w:rsidR="006639CC">
        <w:rPr>
          <w:rFonts w:asciiTheme="majorBidi" w:hAnsiTheme="majorBidi" w:cstheme="majorBidi"/>
          <w:sz w:val="24"/>
          <w:szCs w:val="24"/>
        </w:rPr>
        <w:t xml:space="preserve"> </w:t>
      </w:r>
      <w:r w:rsidR="001A5533" w:rsidRPr="001A5533">
        <w:rPr>
          <w:rFonts w:asciiTheme="majorBidi" w:hAnsiTheme="majorBidi" w:cstheme="majorBidi"/>
          <w:sz w:val="24"/>
          <w:szCs w:val="24"/>
        </w:rPr>
        <w:t xml:space="preserve">les acteurs </w:t>
      </w:r>
      <w:r w:rsidR="006639CC">
        <w:rPr>
          <w:rFonts w:asciiTheme="majorBidi" w:hAnsiTheme="majorBidi" w:cstheme="majorBidi"/>
          <w:sz w:val="24"/>
          <w:szCs w:val="24"/>
        </w:rPr>
        <w:t>jusqu’</w:t>
      </w:r>
      <w:r w:rsidR="001A5533" w:rsidRPr="001A5533">
        <w:rPr>
          <w:rFonts w:asciiTheme="majorBidi" w:hAnsiTheme="majorBidi" w:cstheme="majorBidi"/>
          <w:sz w:val="24"/>
          <w:szCs w:val="24"/>
        </w:rPr>
        <w:t>à la prise en charge politique en passant par la mob</w:t>
      </w:r>
      <w:r w:rsidR="006639CC">
        <w:rPr>
          <w:rFonts w:asciiTheme="majorBidi" w:hAnsiTheme="majorBidi" w:cstheme="majorBidi"/>
          <w:sz w:val="24"/>
          <w:szCs w:val="24"/>
        </w:rPr>
        <w:t>ilisation et la médiatisation,</w:t>
      </w:r>
      <w:r w:rsidR="001A5533" w:rsidRPr="001A5533">
        <w:rPr>
          <w:rFonts w:asciiTheme="majorBidi" w:hAnsiTheme="majorBidi" w:cstheme="majorBidi"/>
          <w:sz w:val="24"/>
          <w:szCs w:val="24"/>
        </w:rPr>
        <w:t xml:space="preserve"> ces affaires </w:t>
      </w:r>
      <w:r w:rsidR="00C15D80">
        <w:rPr>
          <w:rFonts w:asciiTheme="majorBidi" w:hAnsiTheme="majorBidi" w:cstheme="majorBidi"/>
          <w:sz w:val="24"/>
          <w:szCs w:val="24"/>
        </w:rPr>
        <w:t>montre</w:t>
      </w:r>
      <w:r w:rsidR="006639CC">
        <w:rPr>
          <w:rFonts w:asciiTheme="majorBidi" w:hAnsiTheme="majorBidi" w:cstheme="majorBidi"/>
          <w:sz w:val="24"/>
          <w:szCs w:val="24"/>
        </w:rPr>
        <w:t>nt</w:t>
      </w:r>
      <w:r w:rsidR="00C15D80">
        <w:rPr>
          <w:rFonts w:asciiTheme="majorBidi" w:hAnsiTheme="majorBidi" w:cstheme="majorBidi"/>
          <w:sz w:val="24"/>
          <w:szCs w:val="24"/>
        </w:rPr>
        <w:t xml:space="preserve"> le rôle catalyseur du corps des femmes</w:t>
      </w:r>
      <w:r w:rsidR="006639CC">
        <w:rPr>
          <w:rFonts w:asciiTheme="majorBidi" w:hAnsiTheme="majorBidi" w:cstheme="majorBidi"/>
          <w:sz w:val="24"/>
          <w:szCs w:val="24"/>
        </w:rPr>
        <w:t xml:space="preserve"> et dans la condition féminine dans le débat identitaire postrévolutionnaire et l’influence de l’international dans cette mise à l’agenda de la corporalité des femmes pendant la transition. </w:t>
      </w:r>
    </w:p>
    <w:p w:rsidR="006639CC" w:rsidRDefault="006639CC" w:rsidP="006639C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639CC" w:rsidRPr="006639CC" w:rsidRDefault="006639CC" w:rsidP="006639CC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639CC">
        <w:rPr>
          <w:rFonts w:asciiTheme="majorBidi" w:hAnsiTheme="majorBidi" w:cstheme="majorBidi"/>
          <w:b/>
          <w:bCs/>
          <w:sz w:val="24"/>
          <w:szCs w:val="24"/>
        </w:rPr>
        <w:t>Bio-bibliographie</w:t>
      </w:r>
      <w:proofErr w:type="spellEnd"/>
    </w:p>
    <w:p w:rsidR="006639CC" w:rsidRPr="00B003CE" w:rsidRDefault="006639CC" w:rsidP="006639CC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06ADE">
        <w:rPr>
          <w:rFonts w:asciiTheme="majorBidi" w:hAnsiTheme="majorBidi" w:cstheme="majorBidi"/>
          <w:sz w:val="24"/>
          <w:szCs w:val="24"/>
        </w:rPr>
        <w:t>Marta Luceno Moreno, docteure en Information et Communication par l’Université de Liège en 2018</w:t>
      </w:r>
      <w:r>
        <w:rPr>
          <w:rFonts w:asciiTheme="majorBidi" w:hAnsiTheme="majorBidi" w:cstheme="majorBidi"/>
          <w:sz w:val="24"/>
          <w:szCs w:val="24"/>
        </w:rPr>
        <w:t xml:space="preserve">. Elle a travaillé sur la construction de problèmes publics autour du corps de la femme pendant la transition tunisienne. Actuellement, elle réalise un post-doctorat à </w:t>
      </w:r>
      <w:r>
        <w:rPr>
          <w:rFonts w:asciiTheme="majorBidi" w:hAnsiTheme="majorBidi" w:cstheme="majorBidi"/>
          <w:sz w:val="24"/>
          <w:szCs w:val="24"/>
        </w:rPr>
        <w:t xml:space="preserve">l’Unité de  recherche TTM (Transmissions, transitions, mobilité) de </w:t>
      </w:r>
      <w:r>
        <w:rPr>
          <w:rFonts w:asciiTheme="majorBidi" w:hAnsiTheme="majorBidi" w:cstheme="majorBidi"/>
          <w:sz w:val="24"/>
          <w:szCs w:val="24"/>
        </w:rPr>
        <w:t xml:space="preserve">l’Université de Tunis </w:t>
      </w:r>
      <w:r>
        <w:rPr>
          <w:rFonts w:asciiTheme="majorBidi" w:hAnsiTheme="majorBidi" w:cstheme="majorBidi"/>
          <w:sz w:val="24"/>
          <w:szCs w:val="24"/>
        </w:rPr>
        <w:t>et à</w:t>
      </w:r>
      <w:r>
        <w:rPr>
          <w:rFonts w:asciiTheme="majorBidi" w:hAnsiTheme="majorBidi" w:cstheme="majorBidi"/>
          <w:sz w:val="24"/>
          <w:szCs w:val="24"/>
        </w:rPr>
        <w:t xml:space="preserve"> l’IRMC</w:t>
      </w:r>
      <w:r>
        <w:rPr>
          <w:rFonts w:asciiTheme="majorBidi" w:hAnsiTheme="majorBidi" w:cstheme="majorBidi"/>
          <w:sz w:val="24"/>
          <w:szCs w:val="24"/>
        </w:rPr>
        <w:t xml:space="preserve"> (Institut de Recherche dur le Maghreb Contemporain)</w:t>
      </w:r>
      <w:r>
        <w:rPr>
          <w:rFonts w:asciiTheme="majorBidi" w:hAnsiTheme="majorBidi" w:cstheme="majorBidi"/>
          <w:sz w:val="24"/>
          <w:szCs w:val="24"/>
        </w:rPr>
        <w:t xml:space="preserve"> sur la médiatisation de l’homosexualité en Tunisie et sur les stratégies de communication des associations LGBTQI++ tunisiennes. </w:t>
      </w:r>
    </w:p>
    <w:p w:rsidR="001A5533" w:rsidRDefault="001A5533" w:rsidP="006639C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A5533" w:rsidRPr="001A5533" w:rsidRDefault="001A5533" w:rsidP="001A5533">
      <w:pPr>
        <w:rPr>
          <w:rFonts w:asciiTheme="majorBidi" w:hAnsiTheme="majorBidi" w:cstheme="majorBidi"/>
          <w:sz w:val="24"/>
          <w:szCs w:val="24"/>
        </w:rPr>
      </w:pPr>
    </w:p>
    <w:sectPr w:rsidR="001A5533" w:rsidRPr="001A5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33"/>
    <w:rsid w:val="001A5533"/>
    <w:rsid w:val="003E1599"/>
    <w:rsid w:val="005F5912"/>
    <w:rsid w:val="00660575"/>
    <w:rsid w:val="006639CC"/>
    <w:rsid w:val="00C1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LUCENO MORENO</dc:creator>
  <cp:lastModifiedBy>M. LUCENO MORENO</cp:lastModifiedBy>
  <cp:revision>1</cp:revision>
  <dcterms:created xsi:type="dcterms:W3CDTF">2019-02-18T16:36:00Z</dcterms:created>
  <dcterms:modified xsi:type="dcterms:W3CDTF">2019-02-18T17:17:00Z</dcterms:modified>
</cp:coreProperties>
</file>