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FD3" w:rsidRDefault="00EE3FD3" w:rsidP="00EE3FD3">
      <w:pPr>
        <w:rPr>
          <w:sz w:val="16"/>
          <w:szCs w:val="16"/>
          <w:lang w:val="en-IN" w:eastAsia="en-IN"/>
        </w:rPr>
      </w:pPr>
    </w:p>
    <w:p w:rsidR="00EE3FD3" w:rsidRDefault="00EE3FD3" w:rsidP="00EE3FD3">
      <w:pPr>
        <w:rPr>
          <w:b/>
          <w:lang w:val="en-IN" w:eastAsia="en-IN"/>
        </w:rPr>
      </w:pPr>
      <w:r w:rsidRPr="008C0C4B">
        <w:rPr>
          <w:b/>
          <w:lang w:val="en-IN" w:eastAsia="en-IN"/>
        </w:rPr>
        <w:t>Online appendice</w:t>
      </w:r>
    </w:p>
    <w:p w:rsidR="00EE3FD3" w:rsidRDefault="00EE3FD3" w:rsidP="00EE3FD3">
      <w:pPr>
        <w:rPr>
          <w:b/>
          <w:lang w:val="en-IN" w:eastAsia="en-IN"/>
        </w:rPr>
      </w:pPr>
    </w:p>
    <w:p w:rsidR="00EE3FD3" w:rsidRDefault="00EE3FD3" w:rsidP="00EE3FD3">
      <w:pPr>
        <w:rPr>
          <w:b/>
          <w:lang w:val="en-IN" w:eastAsia="en-IN"/>
        </w:rPr>
      </w:pPr>
      <w:r>
        <w:rPr>
          <w:b/>
          <w:lang w:val="en-IN" w:eastAsia="en-IN"/>
        </w:rPr>
        <w:t>Analytical solution</w:t>
      </w:r>
    </w:p>
    <w:p w:rsidR="00EE3FD3" w:rsidRPr="004A0BD2" w:rsidRDefault="00EE3FD3" w:rsidP="00EE3FD3">
      <w:pPr>
        <w:rPr>
          <w:b/>
          <w:lang w:val="en-IN" w:eastAsia="en-IN"/>
        </w:rPr>
      </w:pPr>
      <w:r w:rsidRPr="00CB7E07">
        <w:t xml:space="preserve">The heat pump coefficient of performance (COP) in heating mode is defined by Eq. </w:t>
      </w:r>
      <w:r w:rsidRPr="00CB7E07">
        <w:fldChar w:fldCharType="begin"/>
      </w:r>
      <w:r w:rsidRPr="00CB7E07">
        <w:instrText xml:space="preserve"> REF _Ref519523990 \h  \* MERGEFORMAT </w:instrText>
      </w:r>
      <w:r w:rsidRPr="00CB7E07">
        <w:fldChar w:fldCharType="separate"/>
      </w:r>
      <w:r w:rsidRPr="00CB7E07">
        <w:rPr>
          <w:noProof/>
        </w:rPr>
        <w:t>2</w:t>
      </w:r>
      <w:r w:rsidRPr="00CB7E07">
        <w:fldChar w:fldCharType="end"/>
      </w:r>
      <w:r w:rsidRPr="00CB7E07">
        <w:t xml:space="preserve"> while the one in cooling mode is defined by Eq. </w:t>
      </w:r>
      <w:r w:rsidRPr="00CB7E07">
        <w:fldChar w:fldCharType="begin"/>
      </w:r>
      <w:r w:rsidRPr="00CB7E07">
        <w:instrText xml:space="preserve"> REF _Ref519524010 \h  \* MERGEFORMAT </w:instrText>
      </w:r>
      <w:r w:rsidRPr="00CB7E07">
        <w:fldChar w:fldCharType="separate"/>
      </w:r>
      <w:r w:rsidRPr="00CB7E07">
        <w:rPr>
          <w:noProof/>
        </w:rPr>
        <w:t>3</w:t>
      </w:r>
      <w:r w:rsidRPr="00CB7E07">
        <w:fldChar w:fldCharType="end"/>
      </w:r>
      <w:r w:rsidRPr="00CB7E07">
        <w:t xml:space="preserve"> [7]. They correspond to the COP of a Carnot system multiplied by a factor (</w:t>
      </w:r>
      <w:r w:rsidRPr="00CB7E07">
        <w:rPr>
          <w:i/>
        </w:rPr>
        <w:t>g</w:t>
      </w:r>
      <w:r w:rsidRPr="00CB7E07">
        <w:t xml:space="preserve">) taking into account all the irreversibilities and physical constraints. </w:t>
      </w:r>
    </w:p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062BE3" w:rsidTr="00160B4B">
        <w:trPr>
          <w:trHeight w:val="312"/>
        </w:trPr>
        <w:tc>
          <w:tcPr>
            <w:tcW w:w="357" w:type="pct"/>
          </w:tcPr>
          <w:p w:rsidR="00EE3FD3" w:rsidRPr="00062BE3" w:rsidRDefault="00EE3FD3" w:rsidP="00160B4B"/>
        </w:tc>
        <w:tc>
          <w:tcPr>
            <w:tcW w:w="4286" w:type="pct"/>
            <w:vAlign w:val="center"/>
          </w:tcPr>
          <w:p w:rsidR="00EE3FD3" w:rsidRPr="00062BE3" w:rsidRDefault="004D2237" w:rsidP="00160B4B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heating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el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heating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57" w:type="pct"/>
            <w:vAlign w:val="center"/>
          </w:tcPr>
          <w:p w:rsidR="00EE3FD3" w:rsidRPr="00062BE3" w:rsidRDefault="00EE3FD3" w:rsidP="00160B4B">
            <w:pPr>
              <w:pStyle w:val="Lgende"/>
              <w:rPr>
                <w:sz w:val="22"/>
              </w:rPr>
            </w:pPr>
            <w:r w:rsidRPr="00062BE3">
              <w:fldChar w:fldCharType="begin"/>
            </w:r>
            <w:r w:rsidRPr="00062BE3">
              <w:instrText xml:space="preserve"> SEQ Equation \* ARABIC </w:instrText>
            </w:r>
            <w:r w:rsidRPr="00062BE3">
              <w:fldChar w:fldCharType="separate"/>
            </w:r>
            <w:bookmarkStart w:id="0" w:name="_Ref519523990"/>
            <w:r w:rsidRPr="00062BE3">
              <w:rPr>
                <w:noProof/>
              </w:rPr>
              <w:t>2</w:t>
            </w:r>
            <w:bookmarkEnd w:id="0"/>
            <w:r w:rsidRPr="00062BE3">
              <w:rPr>
                <w:noProof/>
              </w:rPr>
              <w:fldChar w:fldCharType="end"/>
            </w:r>
          </w:p>
        </w:tc>
      </w:tr>
    </w:tbl>
    <w:p w:rsidR="00EE3FD3" w:rsidRPr="00062BE3" w:rsidRDefault="00EE3FD3" w:rsidP="00EE3FD3"/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062BE3" w:rsidTr="00160B4B">
        <w:trPr>
          <w:trHeight w:val="312"/>
        </w:trPr>
        <w:tc>
          <w:tcPr>
            <w:tcW w:w="357" w:type="pct"/>
          </w:tcPr>
          <w:p w:rsidR="00EE3FD3" w:rsidRPr="00062BE3" w:rsidRDefault="00EE3FD3" w:rsidP="00160B4B"/>
        </w:tc>
        <w:tc>
          <w:tcPr>
            <w:tcW w:w="4286" w:type="pct"/>
            <w:vAlign w:val="center"/>
          </w:tcPr>
          <w:p w:rsidR="00EE3FD3" w:rsidRPr="00062BE3" w:rsidRDefault="004D2237" w:rsidP="00160B4B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cooling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ev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el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cooling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57" w:type="pct"/>
            <w:vAlign w:val="center"/>
          </w:tcPr>
          <w:p w:rsidR="00EE3FD3" w:rsidRPr="00062BE3" w:rsidRDefault="00EE3FD3" w:rsidP="00160B4B">
            <w:pPr>
              <w:pStyle w:val="Lgende"/>
              <w:rPr>
                <w:sz w:val="22"/>
              </w:rPr>
            </w:pPr>
            <w:r w:rsidRPr="00062BE3">
              <w:fldChar w:fldCharType="begin"/>
            </w:r>
            <w:r w:rsidRPr="00062BE3">
              <w:instrText xml:space="preserve"> SEQ Equation \* ARABIC </w:instrText>
            </w:r>
            <w:r w:rsidRPr="00062BE3">
              <w:fldChar w:fldCharType="separate"/>
            </w:r>
            <w:bookmarkStart w:id="1" w:name="_Ref519524010"/>
            <w:r w:rsidRPr="00062BE3">
              <w:rPr>
                <w:noProof/>
              </w:rPr>
              <w:t>3</w:t>
            </w:r>
            <w:bookmarkEnd w:id="1"/>
            <w:r w:rsidRPr="00062BE3">
              <w:rPr>
                <w:noProof/>
              </w:rPr>
              <w:fldChar w:fldCharType="end"/>
            </w:r>
          </w:p>
        </w:tc>
      </w:tr>
    </w:tbl>
    <w:p w:rsidR="00EE3FD3" w:rsidRPr="00597BD1" w:rsidRDefault="00EE3FD3" w:rsidP="00EE3FD3">
      <w:pPr>
        <w:rPr>
          <w:color w:val="00B050"/>
        </w:rPr>
      </w:pPr>
    </w:p>
    <w:p w:rsidR="00EE3FD3" w:rsidRPr="00CB7E07" w:rsidRDefault="00EE3FD3" w:rsidP="00EE3FD3">
      <w:r w:rsidRPr="00CB7E07">
        <w:t>The Rankine cycle (RC) efficiency is defined by the Carnot efficiency multiplied by a factor (</w:t>
      </w:r>
      <w:r w:rsidRPr="00CB7E07">
        <w:rPr>
          <w:i/>
        </w:rPr>
        <w:t>g</w:t>
      </w:r>
      <w:r w:rsidRPr="00CB7E07">
        <w:t xml:space="preserve">) taking into account all the irreversibilities and physical constraints (Eq. </w:t>
      </w:r>
      <w:r w:rsidRPr="00CB7E07">
        <w:fldChar w:fldCharType="begin"/>
      </w:r>
      <w:r w:rsidRPr="00CB7E07">
        <w:instrText xml:space="preserve"> REF _Ref519801594 \h </w:instrText>
      </w:r>
      <w:r w:rsidRPr="00CB7E07">
        <w:fldChar w:fldCharType="separate"/>
      </w:r>
      <w:r w:rsidRPr="00CB7E07">
        <w:rPr>
          <w:noProof/>
        </w:rPr>
        <w:t>4</w:t>
      </w:r>
      <w:r w:rsidRPr="00CB7E07">
        <w:fldChar w:fldCharType="end"/>
      </w:r>
      <w:r w:rsidRPr="00CB7E07">
        <w:t xml:space="preserve"> [7]).</w:t>
      </w:r>
    </w:p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CB7E07" w:rsidTr="00160B4B">
        <w:trPr>
          <w:trHeight w:val="312"/>
        </w:trPr>
        <w:tc>
          <w:tcPr>
            <w:tcW w:w="357" w:type="pct"/>
          </w:tcPr>
          <w:p w:rsidR="00EE3FD3" w:rsidRPr="00CB7E07" w:rsidRDefault="00EE3FD3" w:rsidP="00160B4B"/>
        </w:tc>
        <w:tc>
          <w:tcPr>
            <w:tcW w:w="4286" w:type="pct"/>
            <w:vAlign w:val="center"/>
          </w:tcPr>
          <w:p w:rsidR="00EE3FD3" w:rsidRPr="00CB7E07" w:rsidRDefault="004D2237" w:rsidP="00160B4B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el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ev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(1-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357" w:type="pct"/>
            <w:vAlign w:val="center"/>
          </w:tcPr>
          <w:p w:rsidR="00EE3FD3" w:rsidRPr="00CB7E07" w:rsidRDefault="00EE3FD3" w:rsidP="00160B4B">
            <w:pPr>
              <w:pStyle w:val="Lgende"/>
              <w:rPr>
                <w:sz w:val="22"/>
              </w:rPr>
            </w:pPr>
            <w:r w:rsidRPr="00CB7E07">
              <w:fldChar w:fldCharType="begin"/>
            </w:r>
            <w:r w:rsidRPr="00CB7E07">
              <w:instrText xml:space="preserve"> SEQ Equation \* ARABIC </w:instrText>
            </w:r>
            <w:r w:rsidRPr="00CB7E07">
              <w:fldChar w:fldCharType="separate"/>
            </w:r>
            <w:bookmarkStart w:id="2" w:name="_Ref519801594"/>
            <w:r w:rsidRPr="00CB7E07">
              <w:rPr>
                <w:noProof/>
              </w:rPr>
              <w:t>4</w:t>
            </w:r>
            <w:bookmarkEnd w:id="2"/>
            <w:r w:rsidRPr="00CB7E07">
              <w:rPr>
                <w:noProof/>
              </w:rPr>
              <w:fldChar w:fldCharType="end"/>
            </w:r>
          </w:p>
        </w:tc>
      </w:tr>
    </w:tbl>
    <w:p w:rsidR="00EE3FD3" w:rsidRPr="00CB7E07" w:rsidRDefault="00EE3FD3" w:rsidP="00EE3FD3"/>
    <w:p w:rsidR="00EE3FD3" w:rsidRPr="00CB7E07" w:rsidRDefault="00EE3FD3" w:rsidP="00EE3FD3">
      <w:r w:rsidRPr="00CB7E07">
        <w:t xml:space="preserve">It is conventionally accepted that </w:t>
      </w:r>
      <w:r w:rsidRPr="00CB7E07">
        <w:rPr>
          <w:i/>
        </w:rPr>
        <w:t>g</w:t>
      </w:r>
      <w:r w:rsidRPr="00CB7E07">
        <w:t xml:space="preserve"> is comprised between 0.5 and 0.7 to obtain performance that match real applications [7]. In the case of the hot storage architecture, the roundtrip efficiency is simply evaluated by the product of the COP and the efficiency of the power cycle (Eq. </w:t>
      </w:r>
      <w:r w:rsidRPr="00CB7E07">
        <w:fldChar w:fldCharType="begin"/>
      </w:r>
      <w:r w:rsidRPr="00CB7E07">
        <w:instrText xml:space="preserve"> REF _Ref519527305 \h  \* MERGEFORMAT </w:instrText>
      </w:r>
      <w:r w:rsidRPr="00CB7E07">
        <w:fldChar w:fldCharType="separate"/>
      </w:r>
      <w:r w:rsidRPr="00CB7E07">
        <w:rPr>
          <w:noProof/>
        </w:rPr>
        <w:t>5</w:t>
      </w:r>
      <w:r w:rsidRPr="00CB7E07">
        <w:fldChar w:fldCharType="end"/>
      </w:r>
      <w:r w:rsidRPr="00CB7E07">
        <w:t xml:space="preserve">) in which </w:t>
      </w:r>
      <w:r w:rsidRPr="00CB7E07">
        <w:rPr>
          <w:i/>
        </w:rPr>
        <w:t>Q</w:t>
      </w:r>
      <w:r w:rsidRPr="00CB7E07">
        <w:rPr>
          <w:i/>
          <w:vertAlign w:val="subscript"/>
        </w:rPr>
        <w:t>ev</w:t>
      </w:r>
      <w:r w:rsidRPr="00CB7E07">
        <w:t xml:space="preserve"> is the thermal energy at the evaporator.</w:t>
      </w:r>
    </w:p>
    <w:p w:rsidR="00EE3FD3" w:rsidRPr="00CB7E07" w:rsidRDefault="00EE3FD3" w:rsidP="00EE3FD3"/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CB7E07" w:rsidTr="00160B4B">
        <w:trPr>
          <w:trHeight w:val="312"/>
        </w:trPr>
        <w:tc>
          <w:tcPr>
            <w:tcW w:w="357" w:type="pct"/>
          </w:tcPr>
          <w:p w:rsidR="00EE3FD3" w:rsidRPr="00CB7E07" w:rsidRDefault="00EE3FD3" w:rsidP="00160B4B"/>
        </w:tc>
        <w:tc>
          <w:tcPr>
            <w:tcW w:w="4286" w:type="pct"/>
            <w:vAlign w:val="center"/>
          </w:tcPr>
          <w:p w:rsidR="00EE3FD3" w:rsidRPr="00CB7E07" w:rsidRDefault="004D2237" w:rsidP="00160B4B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EFF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roundtrip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hot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COP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HP,hot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cd,HP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ev,RC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HP,hot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.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RC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hot</m:t>
                    </m:r>
                  </m:sub>
                </m:sSub>
              </m:oMath>
            </m:oMathPara>
          </w:p>
        </w:tc>
        <w:tc>
          <w:tcPr>
            <w:tcW w:w="357" w:type="pct"/>
            <w:vAlign w:val="center"/>
          </w:tcPr>
          <w:p w:rsidR="00EE3FD3" w:rsidRPr="00CB7E07" w:rsidRDefault="00EE3FD3" w:rsidP="00160B4B">
            <w:pPr>
              <w:pStyle w:val="Lgende"/>
              <w:rPr>
                <w:sz w:val="22"/>
              </w:rPr>
            </w:pPr>
            <w:r w:rsidRPr="00CB7E07">
              <w:fldChar w:fldCharType="begin"/>
            </w:r>
            <w:r w:rsidRPr="00CB7E07">
              <w:instrText xml:space="preserve"> SEQ Equation \* ARABIC </w:instrText>
            </w:r>
            <w:r w:rsidRPr="00CB7E07">
              <w:fldChar w:fldCharType="separate"/>
            </w:r>
            <w:bookmarkStart w:id="3" w:name="_Ref519527305"/>
            <w:r w:rsidRPr="00CB7E07">
              <w:rPr>
                <w:noProof/>
              </w:rPr>
              <w:t>5</w:t>
            </w:r>
            <w:bookmarkEnd w:id="3"/>
            <w:r w:rsidRPr="00CB7E07">
              <w:rPr>
                <w:noProof/>
              </w:rPr>
              <w:fldChar w:fldCharType="end"/>
            </w:r>
          </w:p>
        </w:tc>
      </w:tr>
    </w:tbl>
    <w:p w:rsidR="00EE3FD3" w:rsidRPr="00CB7E07" w:rsidRDefault="00EE3FD3" w:rsidP="00EE3FD3"/>
    <w:p w:rsidR="00EE3FD3" w:rsidRPr="00CB7E07" w:rsidRDefault="00EE3FD3" w:rsidP="00EE3FD3">
      <w:r w:rsidRPr="00CB7E07">
        <w:t xml:space="preserve">In the case of the cold storage, the roundtrip efficiency is defined by Eq </w:t>
      </w:r>
      <w:r w:rsidRPr="00CB7E07">
        <w:fldChar w:fldCharType="begin"/>
      </w:r>
      <w:r w:rsidRPr="00CB7E07">
        <w:instrText xml:space="preserve"> REF _Ref519776343 \h  \* MERGEFORMAT </w:instrText>
      </w:r>
      <w:r w:rsidRPr="00CB7E07">
        <w:fldChar w:fldCharType="separate"/>
      </w:r>
      <w:r w:rsidRPr="00CB7E07">
        <w:rPr>
          <w:noProof/>
        </w:rPr>
        <w:t>6</w:t>
      </w:r>
      <w:r w:rsidRPr="00CB7E07">
        <w:fldChar w:fldCharType="end"/>
      </w:r>
      <w:r w:rsidRPr="00CB7E07">
        <w:t xml:space="preserve"> where </w:t>
      </w:r>
      <w:r w:rsidRPr="00CB7E07">
        <w:rPr>
          <w:i/>
        </w:rPr>
        <w:t>Q</w:t>
      </w:r>
      <w:r w:rsidRPr="00CB7E07">
        <w:rPr>
          <w:i/>
          <w:vertAlign w:val="subscript"/>
        </w:rPr>
        <w:t>cd</w:t>
      </w:r>
      <w:r w:rsidRPr="00CB7E07">
        <w:t xml:space="preserve"> is the thermal energy at the condenser.</w:t>
      </w:r>
    </w:p>
    <w:p w:rsidR="00EE3FD3" w:rsidRPr="00CB7E07" w:rsidRDefault="00EE3FD3" w:rsidP="00EE3FD3"/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CB7E07" w:rsidTr="00160B4B">
        <w:trPr>
          <w:trHeight w:val="312"/>
        </w:trPr>
        <w:tc>
          <w:tcPr>
            <w:tcW w:w="357" w:type="pct"/>
          </w:tcPr>
          <w:p w:rsidR="00EE3FD3" w:rsidRPr="00CB7E07" w:rsidRDefault="00EE3FD3" w:rsidP="00160B4B"/>
        </w:tc>
        <w:tc>
          <w:tcPr>
            <w:tcW w:w="4286" w:type="pct"/>
            <w:vAlign w:val="center"/>
          </w:tcPr>
          <w:p w:rsidR="00EE3FD3" w:rsidRPr="00CB7E07" w:rsidRDefault="004D2237" w:rsidP="00160B4B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EFF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roundtrip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cold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el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out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el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in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COP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HP,cold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ev,HP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.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ev,RC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HP,cold</m:t>
                    </m:r>
                  </m:sub>
                </m:sSub>
              </m:oMath>
            </m:oMathPara>
          </w:p>
        </w:tc>
        <w:tc>
          <w:tcPr>
            <w:tcW w:w="357" w:type="pct"/>
            <w:vAlign w:val="center"/>
          </w:tcPr>
          <w:p w:rsidR="00EE3FD3" w:rsidRPr="00CB7E07" w:rsidRDefault="00EE3FD3" w:rsidP="00160B4B">
            <w:pPr>
              <w:pStyle w:val="Lgende"/>
              <w:rPr>
                <w:sz w:val="22"/>
              </w:rPr>
            </w:pPr>
            <w:r w:rsidRPr="00CB7E07">
              <w:fldChar w:fldCharType="begin"/>
            </w:r>
            <w:r w:rsidRPr="00CB7E07">
              <w:instrText xml:space="preserve"> SEQ Equation \* ARABIC </w:instrText>
            </w:r>
            <w:r w:rsidRPr="00CB7E07">
              <w:fldChar w:fldCharType="separate"/>
            </w:r>
            <w:bookmarkStart w:id="4" w:name="_Ref519776343"/>
            <w:r w:rsidRPr="00CB7E07">
              <w:rPr>
                <w:noProof/>
              </w:rPr>
              <w:t>5</w:t>
            </w:r>
            <w:bookmarkEnd w:id="4"/>
            <w:r w:rsidRPr="00CB7E07">
              <w:rPr>
                <w:noProof/>
              </w:rPr>
              <w:fldChar w:fldCharType="end"/>
            </w:r>
          </w:p>
        </w:tc>
      </w:tr>
    </w:tbl>
    <w:p w:rsidR="00EE3FD3" w:rsidRPr="00CB7E07" w:rsidRDefault="00EE3FD3" w:rsidP="00EE3FD3"/>
    <w:p w:rsidR="00EE3FD3" w:rsidRPr="00CB7E07" w:rsidRDefault="00EE3FD3" w:rsidP="00EE3FD3">
      <w:r w:rsidRPr="00CB7E07">
        <w:t xml:space="preserve">A simple analytical model based on Eqs. </w:t>
      </w:r>
      <w:r w:rsidRPr="00CB7E07">
        <w:fldChar w:fldCharType="begin"/>
      </w:r>
      <w:r w:rsidRPr="00CB7E07">
        <w:instrText xml:space="preserve"> REF _Ref519523990 \h  \* MERGEFORMAT </w:instrText>
      </w:r>
      <w:r w:rsidRPr="00CB7E07">
        <w:fldChar w:fldCharType="separate"/>
      </w:r>
      <w:r w:rsidRPr="00CB7E07">
        <w:rPr>
          <w:noProof/>
        </w:rPr>
        <w:t>2</w:t>
      </w:r>
      <w:r w:rsidRPr="00CB7E07">
        <w:fldChar w:fldCharType="end"/>
      </w:r>
      <w:r w:rsidRPr="00CB7E07">
        <w:t>-</w:t>
      </w:r>
      <w:r w:rsidRPr="00CB7E07">
        <w:fldChar w:fldCharType="begin"/>
      </w:r>
      <w:r w:rsidRPr="00CB7E07">
        <w:instrText xml:space="preserve"> REF _Ref519776343 \h  \* MERGEFORMAT </w:instrText>
      </w:r>
      <w:r w:rsidRPr="00CB7E07">
        <w:fldChar w:fldCharType="separate"/>
      </w:r>
      <w:r w:rsidRPr="00CB7E07">
        <w:rPr>
          <w:noProof/>
        </w:rPr>
        <w:t>5</w:t>
      </w:r>
      <w:r w:rsidRPr="00CB7E07">
        <w:fldChar w:fldCharType="end"/>
      </w:r>
      <w:r w:rsidRPr="00CB7E07">
        <w:t xml:space="preserve"> provides the ratio of the roundtrip efficiencies between the cold and hot storage layouts (Eq. </w:t>
      </w:r>
      <w:r w:rsidRPr="00CB7E07">
        <w:fldChar w:fldCharType="begin"/>
      </w:r>
      <w:r w:rsidRPr="00CB7E07">
        <w:instrText xml:space="preserve"> REF _Ref519800385 \h  \* MERGEFORMAT </w:instrText>
      </w:r>
      <w:r w:rsidRPr="00CB7E07">
        <w:fldChar w:fldCharType="separate"/>
      </w:r>
      <w:r w:rsidRPr="00CB7E07">
        <w:rPr>
          <w:noProof/>
        </w:rPr>
        <w:t>10</w:t>
      </w:r>
      <w:r w:rsidRPr="00CB7E07">
        <w:fldChar w:fldCharType="end"/>
      </w:r>
      <w:r w:rsidRPr="00CB7E07">
        <w:t xml:space="preserve">). The demonstration is provided through (Eqs. 6-9). For the simplicity of the formulation, </w:t>
      </w:r>
      <w:r w:rsidRPr="00CB7E07">
        <w:rPr>
          <w:i/>
        </w:rPr>
        <w:t>g</w:t>
      </w:r>
      <w:r w:rsidRPr="00CB7E07">
        <w:t xml:space="preserve"> is assumed to be equal in Eqs. </w:t>
      </w:r>
      <w:r w:rsidRPr="00CB7E07">
        <w:fldChar w:fldCharType="begin"/>
      </w:r>
      <w:r w:rsidRPr="00CB7E07">
        <w:instrText xml:space="preserve"> REF _Ref519523990 \h </w:instrText>
      </w:r>
      <w:r w:rsidRPr="00CB7E07">
        <w:fldChar w:fldCharType="separate"/>
      </w:r>
      <w:r w:rsidRPr="00CB7E07">
        <w:rPr>
          <w:noProof/>
        </w:rPr>
        <w:t>2</w:t>
      </w:r>
      <w:r w:rsidRPr="00CB7E07">
        <w:fldChar w:fldCharType="end"/>
      </w:r>
      <w:r w:rsidRPr="00CB7E07">
        <w:t>-</w:t>
      </w:r>
      <w:r w:rsidRPr="00CB7E07">
        <w:fldChar w:fldCharType="begin"/>
      </w:r>
      <w:r w:rsidRPr="00CB7E07">
        <w:instrText xml:space="preserve"> REF _Ref519801594 \h </w:instrText>
      </w:r>
      <w:r w:rsidRPr="00CB7E07">
        <w:fldChar w:fldCharType="separate"/>
      </w:r>
      <w:r w:rsidRPr="00CB7E07">
        <w:rPr>
          <w:noProof/>
        </w:rPr>
        <w:t>4</w:t>
      </w:r>
      <w:r w:rsidRPr="00CB7E07">
        <w:fldChar w:fldCharType="end"/>
      </w:r>
      <w:r w:rsidRPr="00CB7E07">
        <w:t xml:space="preserve">. </w:t>
      </w:r>
    </w:p>
    <w:p w:rsidR="00EE3FD3" w:rsidRDefault="00EE3FD3" w:rsidP="00EE3FD3">
      <w:pPr>
        <w:rPr>
          <w:color w:val="00B050"/>
        </w:rPr>
      </w:pPr>
    </w:p>
    <w:p w:rsidR="00EE3FD3" w:rsidRPr="000F6231" w:rsidRDefault="00EE3FD3" w:rsidP="00EE3FD3"/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0F6231" w:rsidTr="00160B4B">
        <w:trPr>
          <w:trHeight w:val="312"/>
        </w:trPr>
        <w:tc>
          <w:tcPr>
            <w:tcW w:w="357" w:type="pct"/>
          </w:tcPr>
          <w:p w:rsidR="00EE3FD3" w:rsidRPr="000F6231" w:rsidRDefault="00EE3FD3" w:rsidP="00160B4B"/>
        </w:tc>
        <w:tc>
          <w:tcPr>
            <w:tcW w:w="4286" w:type="pct"/>
            <w:vAlign w:val="center"/>
          </w:tcPr>
          <w:p w:rsidR="00EE3FD3" w:rsidRPr="000F6231" w:rsidRDefault="00EE3FD3" w:rsidP="00160B4B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EFF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roundtrip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EFF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roundtrip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COP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cold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COP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.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57" w:type="pct"/>
            <w:vAlign w:val="center"/>
          </w:tcPr>
          <w:p w:rsidR="00EE3FD3" w:rsidRPr="000F6231" w:rsidRDefault="00EE3FD3" w:rsidP="00160B4B">
            <w:pPr>
              <w:pStyle w:val="Lgende"/>
              <w:rPr>
                <w:sz w:val="22"/>
                <w:szCs w:val="22"/>
              </w:rPr>
            </w:pPr>
            <w:r w:rsidRPr="000F6231">
              <w:fldChar w:fldCharType="begin"/>
            </w:r>
            <w:r w:rsidRPr="000F6231">
              <w:instrText xml:space="preserve"> SEQ Equation \* ARABIC </w:instrText>
            </w:r>
            <w:r w:rsidRPr="000F6231">
              <w:fldChar w:fldCharType="separate"/>
            </w:r>
            <w:r>
              <w:rPr>
                <w:noProof/>
              </w:rPr>
              <w:t>6</w:t>
            </w:r>
            <w:r w:rsidRPr="000F6231">
              <w:rPr>
                <w:noProof/>
              </w:rPr>
              <w:fldChar w:fldCharType="end"/>
            </w:r>
          </w:p>
        </w:tc>
      </w:tr>
    </w:tbl>
    <w:p w:rsidR="00EE3FD3" w:rsidRPr="000F6231" w:rsidRDefault="00EE3FD3" w:rsidP="00EE3FD3"/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0F6231" w:rsidTr="00160B4B">
        <w:trPr>
          <w:trHeight w:val="312"/>
        </w:trPr>
        <w:tc>
          <w:tcPr>
            <w:tcW w:w="357" w:type="pct"/>
          </w:tcPr>
          <w:p w:rsidR="00EE3FD3" w:rsidRPr="000F6231" w:rsidRDefault="00EE3FD3" w:rsidP="00160B4B">
            <w:pPr>
              <w:rPr>
                <w:lang w:val="fr-BE"/>
              </w:rPr>
            </w:pPr>
          </w:p>
        </w:tc>
        <w:tc>
          <w:tcPr>
            <w:tcW w:w="4286" w:type="pct"/>
            <w:vAlign w:val="center"/>
          </w:tcPr>
          <w:p w:rsidR="00EE3FD3" w:rsidRPr="000F6231" w:rsidRDefault="00EE3FD3" w:rsidP="00160B4B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2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air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ΔT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</w:rPr>
                          <m:t>)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1-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air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ΔT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</w:rPr>
                          <m:t>)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air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2"/>
                          </w:rPr>
                          <m:t>ΔT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</w:rPr>
                          <m:t>ΔT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</w:rPr>
                      <m:t>1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ΔT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ΔT</m:t>
                            </m:r>
                          </m:den>
                        </m:f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air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  <w:sz w:val="22"/>
                              </w:rPr>
                              <m:t>ΔT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</w:tc>
        <w:tc>
          <w:tcPr>
            <w:tcW w:w="357" w:type="pct"/>
            <w:vAlign w:val="center"/>
          </w:tcPr>
          <w:p w:rsidR="00EE3FD3" w:rsidRPr="000F6231" w:rsidRDefault="00EE3FD3" w:rsidP="00160B4B">
            <w:pPr>
              <w:pStyle w:val="Lgende"/>
              <w:rPr>
                <w:sz w:val="22"/>
                <w:szCs w:val="22"/>
              </w:rPr>
            </w:pPr>
            <w:r w:rsidRPr="000F6231">
              <w:fldChar w:fldCharType="begin"/>
            </w:r>
            <w:r w:rsidRPr="000F6231">
              <w:instrText xml:space="preserve"> SEQ Equation \* ARABIC </w:instrText>
            </w:r>
            <w:r w:rsidRPr="000F6231">
              <w:fldChar w:fldCharType="separate"/>
            </w:r>
            <w:r>
              <w:rPr>
                <w:noProof/>
              </w:rPr>
              <w:t>7</w:t>
            </w:r>
            <w:r w:rsidRPr="000F6231">
              <w:rPr>
                <w:noProof/>
              </w:rPr>
              <w:fldChar w:fldCharType="end"/>
            </w:r>
          </w:p>
        </w:tc>
      </w:tr>
    </w:tbl>
    <w:p w:rsidR="00EE3FD3" w:rsidRPr="000F6231" w:rsidRDefault="00EE3FD3" w:rsidP="00EE3FD3">
      <w:pPr>
        <w:rPr>
          <w:lang w:val="fr-BE"/>
        </w:rPr>
      </w:pPr>
    </w:p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0F6231" w:rsidTr="00160B4B">
        <w:trPr>
          <w:trHeight w:val="312"/>
        </w:trPr>
        <w:tc>
          <w:tcPr>
            <w:tcW w:w="357" w:type="pct"/>
          </w:tcPr>
          <w:p w:rsidR="00EE3FD3" w:rsidRPr="000F6231" w:rsidRDefault="00EE3FD3" w:rsidP="00160B4B">
            <w:pPr>
              <w:rPr>
                <w:lang w:val="fr-BE"/>
              </w:rPr>
            </w:pPr>
          </w:p>
        </w:tc>
        <w:tc>
          <w:tcPr>
            <w:tcW w:w="4286" w:type="pct"/>
            <w:vAlign w:val="center"/>
          </w:tcPr>
          <w:p w:rsidR="00EE3FD3" w:rsidRPr="000F6231" w:rsidRDefault="00EE3FD3" w:rsidP="00160B4B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air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</w:rPr>
                              <m:t>ΔT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air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</w:rPr>
                              <m:t>ΔT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</m:den>
                        </m:f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air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ΔT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ΔT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</w:rPr>
                              <m:t>ΔT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ΔT</m:t>
                            </m:r>
                          </m:den>
                        </m:f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</w:rPr>
                              <m:t>ΔT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air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waste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r>
                              <w:rPr>
                                <w:rFonts w:ascii="Cambria Math" w:hAnsi="Cambria Math"/>
                              </w:rPr>
                              <m:t>ΔT</m:t>
                            </m:r>
                          </m:den>
                        </m:f>
                      </m:e>
                    </m:d>
                  </m:den>
                </m:f>
              </m:oMath>
            </m:oMathPara>
          </w:p>
        </w:tc>
        <w:tc>
          <w:tcPr>
            <w:tcW w:w="357" w:type="pct"/>
            <w:vAlign w:val="center"/>
          </w:tcPr>
          <w:p w:rsidR="00EE3FD3" w:rsidRPr="000F6231" w:rsidRDefault="00EE3FD3" w:rsidP="00160B4B">
            <w:pPr>
              <w:pStyle w:val="Lgende"/>
              <w:rPr>
                <w:sz w:val="22"/>
                <w:szCs w:val="22"/>
              </w:rPr>
            </w:pPr>
            <w:r w:rsidRPr="000F6231">
              <w:fldChar w:fldCharType="begin"/>
            </w:r>
            <w:r w:rsidRPr="000F6231">
              <w:instrText xml:space="preserve"> SEQ Equation \* ARABIC </w:instrText>
            </w:r>
            <w:r w:rsidRPr="000F6231">
              <w:fldChar w:fldCharType="separate"/>
            </w:r>
            <w:r>
              <w:rPr>
                <w:noProof/>
              </w:rPr>
              <w:t>8</w:t>
            </w:r>
            <w:r w:rsidRPr="000F6231">
              <w:rPr>
                <w:noProof/>
              </w:rPr>
              <w:fldChar w:fldCharType="end"/>
            </w:r>
          </w:p>
        </w:tc>
      </w:tr>
    </w:tbl>
    <w:p w:rsidR="00EE3FD3" w:rsidRPr="000F6231" w:rsidRDefault="00EE3FD3" w:rsidP="00EE3FD3"/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8777"/>
        <w:gridCol w:w="730"/>
      </w:tblGrid>
      <w:tr w:rsidR="00EE3FD3" w:rsidRPr="000F6231" w:rsidTr="00160B4B">
        <w:trPr>
          <w:trHeight w:val="312"/>
        </w:trPr>
        <w:tc>
          <w:tcPr>
            <w:tcW w:w="4286" w:type="pct"/>
            <w:vAlign w:val="center"/>
          </w:tcPr>
          <w:p w:rsidR="00EE3FD3" w:rsidRPr="000F6231" w:rsidRDefault="00EE3FD3" w:rsidP="00160B4B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waste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air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ΔT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waste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waste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air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ΔT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air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ΔT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waste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</w:rPr>
                          <m:t>ΔT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air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</m:oMath>
            </m:oMathPara>
          </w:p>
        </w:tc>
        <w:tc>
          <w:tcPr>
            <w:tcW w:w="357" w:type="pct"/>
            <w:vAlign w:val="center"/>
          </w:tcPr>
          <w:p w:rsidR="00EE3FD3" w:rsidRPr="000F6231" w:rsidRDefault="00EE3FD3" w:rsidP="00160B4B">
            <w:pPr>
              <w:pStyle w:val="Lgende"/>
              <w:rPr>
                <w:sz w:val="22"/>
                <w:szCs w:val="22"/>
              </w:rPr>
            </w:pPr>
            <w:r w:rsidRPr="000F6231">
              <w:fldChar w:fldCharType="begin"/>
            </w:r>
            <w:r w:rsidRPr="000F6231">
              <w:instrText xml:space="preserve"> SEQ Equation \* ARABIC </w:instrText>
            </w:r>
            <w:r w:rsidRPr="000F6231">
              <w:fldChar w:fldCharType="separate"/>
            </w:r>
            <w:r>
              <w:rPr>
                <w:noProof/>
              </w:rPr>
              <w:t>9</w:t>
            </w:r>
            <w:r w:rsidRPr="000F6231">
              <w:rPr>
                <w:noProof/>
              </w:rPr>
              <w:fldChar w:fldCharType="end"/>
            </w:r>
          </w:p>
        </w:tc>
      </w:tr>
    </w:tbl>
    <w:p w:rsidR="00EE3FD3" w:rsidRPr="000F6231" w:rsidRDefault="00EE3FD3" w:rsidP="00EE3FD3"/>
    <w:p w:rsidR="00EE3FD3" w:rsidRPr="00597BD1" w:rsidRDefault="00EE3FD3" w:rsidP="00EE3FD3">
      <w:pPr>
        <w:rPr>
          <w:color w:val="00B050"/>
        </w:rPr>
      </w:pPr>
    </w:p>
    <w:tbl>
      <w:tblPr>
        <w:tblStyle w:val="Grilledutableau"/>
        <w:tblW w:w="508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679"/>
        <w:gridCol w:w="8149"/>
        <w:gridCol w:w="679"/>
      </w:tblGrid>
      <w:tr w:rsidR="00EE3FD3" w:rsidRPr="00CB7E07" w:rsidTr="00160B4B">
        <w:trPr>
          <w:trHeight w:val="312"/>
        </w:trPr>
        <w:tc>
          <w:tcPr>
            <w:tcW w:w="357" w:type="pct"/>
          </w:tcPr>
          <w:p w:rsidR="00EE3FD3" w:rsidRPr="00CB7E07" w:rsidRDefault="00EE3FD3" w:rsidP="00160B4B"/>
        </w:tc>
        <w:tc>
          <w:tcPr>
            <w:tcW w:w="4286" w:type="pct"/>
            <w:vAlign w:val="center"/>
          </w:tcPr>
          <w:p w:rsidR="00EE3FD3" w:rsidRPr="00CB7E07" w:rsidRDefault="00EE3FD3" w:rsidP="00160B4B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EFF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roundtrip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cold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EFF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roundtrip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hot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air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ΔT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waste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waste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air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 w:val="18"/>
                          </w:rPr>
                          <m:t>ΔT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</w:rPr>
                          <m:t>)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57" w:type="pct"/>
            <w:vAlign w:val="center"/>
          </w:tcPr>
          <w:p w:rsidR="00EE3FD3" w:rsidRPr="00CB7E07" w:rsidRDefault="00EE3FD3" w:rsidP="00160B4B">
            <w:pPr>
              <w:pStyle w:val="Lgende"/>
              <w:rPr>
                <w:sz w:val="22"/>
              </w:rPr>
            </w:pPr>
            <w:r w:rsidRPr="00CB7E07">
              <w:fldChar w:fldCharType="begin"/>
            </w:r>
            <w:r w:rsidRPr="00CB7E07">
              <w:instrText xml:space="preserve"> SEQ Equation \* ARABIC </w:instrText>
            </w:r>
            <w:r w:rsidRPr="00CB7E07">
              <w:fldChar w:fldCharType="separate"/>
            </w:r>
            <w:bookmarkStart w:id="5" w:name="_Ref519800385"/>
            <w:r w:rsidRPr="00CB7E07">
              <w:rPr>
                <w:noProof/>
              </w:rPr>
              <w:t>10</w:t>
            </w:r>
            <w:bookmarkEnd w:id="5"/>
            <w:r w:rsidRPr="00CB7E07">
              <w:rPr>
                <w:noProof/>
              </w:rPr>
              <w:fldChar w:fldCharType="end"/>
            </w:r>
          </w:p>
        </w:tc>
      </w:tr>
    </w:tbl>
    <w:p w:rsidR="00EE3FD3" w:rsidRPr="00CB7E07" w:rsidRDefault="00EE3FD3" w:rsidP="00EE3FD3"/>
    <w:p w:rsidR="00EE3FD3" w:rsidRPr="00CB7E07" w:rsidRDefault="00EE3FD3" w:rsidP="00EE3FD3">
      <w:r w:rsidRPr="00CB7E07">
        <w:t>This ratio (</w:t>
      </w:r>
      <w:r w:rsidRPr="00CB7E07">
        <w:rPr>
          <w:i/>
        </w:rPr>
        <w:t>R</w:t>
      </w:r>
      <w:r w:rsidRPr="00CB7E07">
        <w:t xml:space="preserve">) is always below one since the lift, </w:t>
      </w:r>
      <w:r w:rsidRPr="00CB7E07">
        <w:rPr>
          <w:rFonts w:cstheme="minorHAnsi"/>
          <w:i/>
        </w:rPr>
        <w:t>Δ</w:t>
      </w:r>
      <w:r w:rsidRPr="00CB7E07">
        <w:rPr>
          <w:i/>
        </w:rPr>
        <w:t>T</w:t>
      </w:r>
      <w:r w:rsidRPr="00CB7E07">
        <w:t xml:space="preserve"> (assumed equal for hot and cold storage) is larger than 0 and </w:t>
      </w:r>
      <w:r w:rsidRPr="00CB7E07">
        <w:rPr>
          <w:i/>
        </w:rPr>
        <w:t>g</w:t>
      </w:r>
      <w:r w:rsidRPr="00CB7E07">
        <w:t xml:space="preserve"> is by definition comprised between 0 and 1.</w:t>
      </w:r>
    </w:p>
    <w:p w:rsidR="00EE3FD3" w:rsidRDefault="00EE3FD3" w:rsidP="00EE3FD3">
      <w:pPr>
        <w:rPr>
          <w:color w:val="00B050"/>
        </w:rPr>
      </w:pPr>
    </w:p>
    <w:p w:rsidR="00D84386" w:rsidRDefault="00D84386" w:rsidP="00D84386">
      <w:pPr>
        <w:keepNext/>
      </w:pPr>
      <w:r w:rsidRPr="00D84386">
        <w:rPr>
          <w:color w:val="00B050"/>
          <w:lang w:val="fr-BE"/>
        </w:rPr>
        <w:lastRenderedPageBreak/>
        <w:drawing>
          <wp:inline distT="0" distB="0" distL="0" distR="0" wp14:anchorId="7344EA97" wp14:editId="36B08032">
            <wp:extent cx="5293754" cy="4168629"/>
            <wp:effectExtent l="0" t="0" r="2540" b="381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754" cy="41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D3" w:rsidRDefault="00D84386" w:rsidP="00D84386">
      <w:pPr>
        <w:pStyle w:val="Lgende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Example of T-s diagram for a cold storage configuration.</w:t>
      </w:r>
    </w:p>
    <w:p w:rsidR="00D84386" w:rsidRDefault="00D84386" w:rsidP="00D84386"/>
    <w:p w:rsidR="00D84386" w:rsidRDefault="00D84386" w:rsidP="00D84386">
      <w:pPr>
        <w:keepNext/>
      </w:pPr>
      <w:r w:rsidRPr="00D84386">
        <w:rPr>
          <w:lang w:val="fr-BE"/>
        </w:rPr>
        <w:lastRenderedPageBreak/>
        <w:drawing>
          <wp:inline distT="0" distB="0" distL="0" distR="0" wp14:anchorId="3FBFD64A" wp14:editId="5A73913B">
            <wp:extent cx="5135080" cy="4063272"/>
            <wp:effectExtent l="0" t="0" r="8890" b="0"/>
            <wp:docPr id="1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5080" cy="40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86" w:rsidRDefault="00D84386" w:rsidP="00D84386">
      <w:pPr>
        <w:pStyle w:val="Lgende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: Example of T-s diagram for a </w:t>
      </w:r>
      <w:r>
        <w:t>hot</w:t>
      </w:r>
      <w:bookmarkStart w:id="6" w:name="_GoBack"/>
      <w:bookmarkEnd w:id="6"/>
      <w:r>
        <w:t xml:space="preserve"> storage configuration.</w:t>
      </w:r>
    </w:p>
    <w:p w:rsidR="00D84386" w:rsidRPr="00D84386" w:rsidRDefault="00D84386" w:rsidP="00D84386">
      <w:pPr>
        <w:pStyle w:val="Lgende"/>
      </w:pPr>
    </w:p>
    <w:p w:rsidR="00EE3FD3" w:rsidRDefault="00EE3FD3" w:rsidP="00EE3FD3">
      <w:pPr>
        <w:keepNext/>
      </w:pPr>
      <w:r>
        <w:rPr>
          <w:noProof/>
          <w:lang w:val="fr-BE" w:eastAsia="fr-BE"/>
        </w:rPr>
        <w:lastRenderedPageBreak/>
        <w:drawing>
          <wp:inline distT="0" distB="0" distL="0" distR="0" wp14:anchorId="625123B8" wp14:editId="5DD42C99">
            <wp:extent cx="5940425" cy="5719445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D3" w:rsidRPr="001B2D32" w:rsidRDefault="00EE3FD3" w:rsidP="00EE3FD3">
      <w:pPr>
        <w:pStyle w:val="Lgende"/>
        <w:rPr>
          <w:szCs w:val="16"/>
          <w:lang w:val="en-IN" w:eastAsia="en-IN"/>
        </w:rPr>
      </w:pPr>
      <w:r>
        <w:t>Figure 6: O</w:t>
      </w:r>
      <w:r w:rsidRPr="00CA6B77">
        <w:t xml:space="preserve">RC efficiency, COP </w:t>
      </w:r>
      <w:r>
        <w:t xml:space="preserve">of HP </w:t>
      </w:r>
      <w:r w:rsidRPr="00CA6B77">
        <w:t>and roundtrip efficiency as a function of the air temperature and the w</w:t>
      </w:r>
      <w:r>
        <w:t>aste heat temperature (glide = 10 K, fluid = R1234yf).</w:t>
      </w:r>
    </w:p>
    <w:p w:rsidR="00EE3FD3" w:rsidRPr="00C9479D" w:rsidRDefault="00EE3FD3" w:rsidP="00EE3FD3">
      <w:pPr>
        <w:rPr>
          <w:color w:val="00B050"/>
          <w:lang w:val="en-IN"/>
        </w:rPr>
      </w:pPr>
    </w:p>
    <w:p w:rsidR="00EE3FD3" w:rsidRDefault="00EE3FD3" w:rsidP="00EE3FD3">
      <w:pPr>
        <w:keepNext/>
      </w:pPr>
      <w:r>
        <w:rPr>
          <w:noProof/>
          <w:lang w:val="fr-BE" w:eastAsia="fr-BE"/>
        </w:rPr>
        <w:lastRenderedPageBreak/>
        <w:drawing>
          <wp:inline distT="0" distB="0" distL="0" distR="0" wp14:anchorId="2FBFD2DC" wp14:editId="6D08FD43">
            <wp:extent cx="5940425" cy="5501005"/>
            <wp:effectExtent l="0" t="0" r="3175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D3" w:rsidRDefault="00EE3FD3" w:rsidP="00EE3FD3">
      <w:pPr>
        <w:pStyle w:val="Lgende"/>
      </w:pPr>
      <w:r>
        <w:t>Figure 7: O</w:t>
      </w:r>
      <w:r w:rsidRPr="00CA6B77">
        <w:t xml:space="preserve">RC efficiency, COP </w:t>
      </w:r>
      <w:r>
        <w:t xml:space="preserve">of HP </w:t>
      </w:r>
      <w:r w:rsidRPr="00CA6B77">
        <w:t>and roundtrip efficiency as a function of the air temperature and the w</w:t>
      </w:r>
      <w:r>
        <w:t>aste heat temperature (glide = 5 K, fluid = R1233ZD(E)).</w:t>
      </w:r>
    </w:p>
    <w:p w:rsidR="00EE3FD3" w:rsidRDefault="00EE3FD3" w:rsidP="00EE3FD3"/>
    <w:p w:rsidR="00EE3FD3" w:rsidRDefault="00EE3FD3" w:rsidP="00EE3FD3">
      <w:pPr>
        <w:keepNext/>
      </w:pPr>
      <w:r>
        <w:rPr>
          <w:noProof/>
          <w:lang w:val="fr-BE" w:eastAsia="fr-BE"/>
        </w:rPr>
        <w:lastRenderedPageBreak/>
        <w:drawing>
          <wp:inline distT="0" distB="0" distL="0" distR="0" wp14:anchorId="0CE8EE27" wp14:editId="5F04F68E">
            <wp:extent cx="5940425" cy="5020310"/>
            <wp:effectExtent l="0" t="0" r="3175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D3" w:rsidRPr="001B2D32" w:rsidRDefault="00EE3FD3" w:rsidP="00EE3FD3">
      <w:pPr>
        <w:pStyle w:val="Lgende"/>
        <w:rPr>
          <w:szCs w:val="16"/>
          <w:lang w:val="en-IN" w:eastAsia="en-IN"/>
        </w:rPr>
      </w:pPr>
      <w:r>
        <w:t>Figure 8: O</w:t>
      </w:r>
      <w:r w:rsidRPr="00CA6B77">
        <w:t xml:space="preserve">RC efficiency, COP </w:t>
      </w:r>
      <w:r>
        <w:t xml:space="preserve">of HP </w:t>
      </w:r>
      <w:r w:rsidRPr="00CA6B77">
        <w:t>and roundtrip efficiency as a function of the air temperature and the w</w:t>
      </w:r>
      <w:r>
        <w:t>aste heat temperature (glide = 15 K, fluid = R1233ZD(E)).</w:t>
      </w:r>
    </w:p>
    <w:p w:rsidR="00EE3FD3" w:rsidRPr="008328A5" w:rsidRDefault="00EE3FD3" w:rsidP="00EE3FD3">
      <w:pPr>
        <w:rPr>
          <w:lang w:val="en-IN"/>
        </w:rPr>
      </w:pPr>
    </w:p>
    <w:p w:rsidR="00CC7F06" w:rsidRPr="00EE3FD3" w:rsidRDefault="00CC7F06">
      <w:pPr>
        <w:rPr>
          <w:lang w:val="en-IN"/>
        </w:rPr>
      </w:pPr>
    </w:p>
    <w:sectPr w:rsidR="00CC7F06" w:rsidRPr="00EE3FD3" w:rsidSect="00EE3FD3">
      <w:headerReference w:type="even" r:id="rId11"/>
      <w:headerReference w:type="default" r:id="rId12"/>
      <w:headerReference w:type="first" r:id="rId13"/>
      <w:footerReference w:type="first" r:id="rId14"/>
      <w:footnotePr>
        <w:numFmt w:val="chicago"/>
      </w:footnotePr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237" w:rsidRDefault="004D2237">
      <w:r>
        <w:separator/>
      </w:r>
    </w:p>
  </w:endnote>
  <w:endnote w:type="continuationSeparator" w:id="0">
    <w:p w:rsidR="004D2237" w:rsidRDefault="004D2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Rounded LT 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A3A" w:rsidRDefault="00EE3FD3" w:rsidP="00F436C6">
    <w:pPr>
      <w:pStyle w:val="Pieddepage"/>
      <w:spacing w:before="240" w:beforeAutospacing="0" w:line="200" w:lineRule="exact"/>
    </w:pPr>
    <w:r w:rsidRPr="00E60FDA">
      <w:t>1876-6102</w:t>
    </w:r>
    <w:r>
      <w:t xml:space="preserve"> </w:t>
    </w:r>
    <w:sdt>
      <w:sdtPr>
        <w:id w:val="-1974664211"/>
        <w:lock w:val="contentLocked"/>
        <w:group/>
      </w:sdtPr>
      <w:sdtEndPr/>
      <w:sdtContent>
        <w:sdt>
          <w:sdtPr>
            <w:id w:val="2108994861"/>
            <w:lock w:val="contentLocked"/>
          </w:sdtPr>
          <w:sdtEndPr/>
          <w:sdtContent>
            <w:r>
              <w:t>© 2017 The Authors. Published by Elsevier Ltd.</w:t>
            </w:r>
            <w:r>
              <w:br/>
            </w:r>
            <w:r w:rsidRPr="00362BD3">
              <w:rPr>
                <w:lang w:val="en-IN" w:eastAsia="en-IN"/>
              </w:rPr>
              <w:t xml:space="preserve">Peer-review under responsibility of </w:t>
            </w:r>
            <w:r w:rsidRPr="00062479">
              <w:rPr>
                <w:lang w:val="en-IN" w:eastAsia="en-IN"/>
              </w:rPr>
              <w:t>the scientific committee of the IV International Seminar on ORC Power Systems</w:t>
            </w:r>
            <w:r>
              <w:rPr>
                <w:lang w:val="en-IN" w:eastAsia="en-IN"/>
              </w:rPr>
              <w:t>.</w:t>
            </w:r>
          </w:sdtContent>
        </w:sdt>
      </w:sdtContent>
    </w:sdt>
    <w:r>
      <w:rPr>
        <w:rFonts w:ascii="Arial" w:hAnsi="Arial" w:cs="Arial"/>
        <w:lang w:val="en-IN" w:eastAsia="en-I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237" w:rsidRDefault="004D2237">
      <w:r>
        <w:separator/>
      </w:r>
    </w:p>
  </w:footnote>
  <w:footnote w:type="continuationSeparator" w:id="0">
    <w:p w:rsidR="004D2237" w:rsidRDefault="004D22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A3A" w:rsidRDefault="00EE3FD3" w:rsidP="00FC7C78">
    <w:pPr>
      <w:pStyle w:val="En-tte"/>
      <w:tabs>
        <w:tab w:val="center" w:pos="4920"/>
      </w:tabs>
      <w:spacing w:line="200" w:lineRule="exact"/>
      <w:rPr>
        <w:i w:val="0"/>
        <w:iCs/>
      </w:rPr>
    </w:pPr>
    <w:r>
      <w:rPr>
        <w:rStyle w:val="Numrodepage"/>
        <w:i w:val="0"/>
      </w:rPr>
      <w:fldChar w:fldCharType="begin"/>
    </w:r>
    <w:r>
      <w:rPr>
        <w:rStyle w:val="Numrodepage"/>
        <w:i w:val="0"/>
      </w:rPr>
      <w:instrText xml:space="preserve"> PAGE </w:instrText>
    </w:r>
    <w:r>
      <w:rPr>
        <w:rStyle w:val="Numrodepage"/>
        <w:i w:val="0"/>
      </w:rPr>
      <w:fldChar w:fldCharType="separate"/>
    </w:r>
    <w:r>
      <w:rPr>
        <w:rStyle w:val="Numrodepage"/>
        <w:i w:val="0"/>
      </w:rPr>
      <w:t>12</w:t>
    </w:r>
    <w:r>
      <w:rPr>
        <w:rStyle w:val="Numrodepage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Pr="00E60FDA">
      <w:t>Energy Procedia</w:t>
    </w:r>
    <w:r>
      <w:t xml:space="preserve"> 00 (</w:t>
    </w:r>
    <w:r>
      <w:rPr>
        <w:rFonts w:hint="eastAsia"/>
        <w:lang w:eastAsia="zh-CN"/>
      </w:rPr>
      <w:t>201</w:t>
    </w:r>
    <w:r>
      <w:rPr>
        <w:lang w:eastAsia="zh-CN"/>
      </w:rPr>
      <w:t>7</w:t>
    </w:r>
    <w:r>
      <w:t>) 000–000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A3A" w:rsidRDefault="00EE3FD3" w:rsidP="002468CE">
    <w:pPr>
      <w:pStyle w:val="En-tte"/>
      <w:tabs>
        <w:tab w:val="clear" w:pos="9356"/>
        <w:tab w:val="center" w:pos="4920"/>
        <w:tab w:val="right" w:pos="9214"/>
      </w:tabs>
      <w:jc w:val="both"/>
    </w:pPr>
    <w:r>
      <w:tab/>
      <w:t xml:space="preserve">Dumont, O. and Lemort, V./ </w:t>
    </w:r>
    <w:r w:rsidRPr="00E60FDA">
      <w:t>Energy Procedia</w:t>
    </w:r>
    <w:r>
      <w:t xml:space="preserve"> 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>
      <w:rPr>
        <w:lang w:eastAsia="zh-CN"/>
      </w:rPr>
      <w:t>7</w:t>
    </w:r>
    <w:r>
      <w:t>) 000–000</w:t>
    </w:r>
    <w:r>
      <w:tab/>
      <w:t xml:space="preserve">  </w:t>
    </w:r>
    <w:r>
      <w:rPr>
        <w:rStyle w:val="Numrodepage"/>
        <w:i w:val="0"/>
      </w:rPr>
      <w:fldChar w:fldCharType="begin"/>
    </w:r>
    <w:r>
      <w:rPr>
        <w:rStyle w:val="Numrodepage"/>
        <w:i w:val="0"/>
      </w:rPr>
      <w:instrText xml:space="preserve"> PAGE </w:instrText>
    </w:r>
    <w:r>
      <w:rPr>
        <w:rStyle w:val="Numrodepage"/>
        <w:i w:val="0"/>
      </w:rPr>
      <w:fldChar w:fldCharType="separate"/>
    </w:r>
    <w:r w:rsidR="00D84386">
      <w:rPr>
        <w:rStyle w:val="Numrodepage"/>
        <w:i w:val="0"/>
      </w:rPr>
      <w:t>7</w:t>
    </w:r>
    <w:r>
      <w:rPr>
        <w:rStyle w:val="Numrodepage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64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5695"/>
      <w:gridCol w:w="2404"/>
    </w:tblGrid>
    <w:tr w:rsidR="00842A3A">
      <w:trPr>
        <w:trHeight w:val="1868"/>
      </w:trPr>
      <w:tc>
        <w:tcPr>
          <w:tcW w:w="1265" w:type="dxa"/>
        </w:tcPr>
        <w:p w:rsidR="00842A3A" w:rsidRDefault="00EE3FD3">
          <w:pPr>
            <w:pStyle w:val="En-tte"/>
            <w:rPr>
              <w:sz w:val="10"/>
            </w:rPr>
          </w:pPr>
          <w:r>
            <w:rPr>
              <w:lang w:val="fr-BE" w:eastAsia="fr-BE"/>
            </w:rPr>
            <w:drawing>
              <wp:inline distT="0" distB="0" distL="0" distR="0" wp14:anchorId="2CB96C41" wp14:editId="607ABB53">
                <wp:extent cx="638175" cy="758825"/>
                <wp:effectExtent l="0" t="0" r="9525" b="3175"/>
                <wp:docPr id="4" name="Picture 3" descr="BW_TREE_Article_21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W_TREE_Article_21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5" w:type="dxa"/>
        </w:tcPr>
        <w:p w:rsidR="00842A3A" w:rsidRDefault="00EE3FD3">
          <w:pPr>
            <w:pStyle w:val="En-tte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  <w:r>
            <w:rPr>
              <w:rFonts w:ascii="Arial" w:hAnsi="Arial" w:cs="Arial"/>
              <w:i w:val="0"/>
              <w:iCs/>
              <w:sz w:val="18"/>
            </w:rPr>
            <w:t xml:space="preserve">Available online at </w:t>
          </w:r>
          <w:hyperlink r:id="rId2" w:history="1">
            <w:r>
              <w:rPr>
                <w:rStyle w:val="Lienhypertexte"/>
                <w:rFonts w:ascii="Arial" w:hAnsi="Arial" w:cs="Arial"/>
                <w:i w:val="0"/>
                <w:iCs/>
                <w:color w:val="0000FF"/>
                <w:sz w:val="18"/>
              </w:rPr>
              <w:t>www.sciencedirect.com</w:t>
            </w:r>
          </w:hyperlink>
        </w:p>
        <w:p w:rsidR="00842A3A" w:rsidRDefault="00EE3FD3" w:rsidP="00D01503">
          <w:pPr>
            <w:pStyle w:val="En-tte"/>
            <w:spacing w:before="0" w:beforeAutospacing="0" w:after="0"/>
            <w:jc w:val="center"/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</w:pPr>
          <w:r w:rsidRPr="00EB0B77">
            <w:rPr>
              <w:rFonts w:ascii="VAGRounded LT Bold" w:hAnsi="VAGRounded LT Bold"/>
              <w:i w:val="0"/>
              <w:iCs/>
              <w:sz w:val="33"/>
              <w:szCs w:val="33"/>
              <w:lang w:val="en-IN" w:eastAsia="en-IN"/>
            </w:rPr>
            <w:t>ScienceDirect</w:t>
          </w:r>
        </w:p>
        <w:p w:rsidR="00842A3A" w:rsidRDefault="00EE3FD3" w:rsidP="00D04D87">
          <w:pPr>
            <w:pStyle w:val="En-tte"/>
            <w:spacing w:before="200" w:beforeAutospacing="0" w:after="0" w:line="200" w:lineRule="exact"/>
            <w:jc w:val="center"/>
            <w:rPr>
              <w:i w:val="0"/>
              <w:iCs/>
              <w:szCs w:val="16"/>
            </w:rPr>
          </w:pPr>
          <w:r w:rsidRPr="00E60FDA">
            <w:rPr>
              <w:i w:val="0"/>
              <w:iCs/>
              <w:szCs w:val="16"/>
            </w:rPr>
            <w:t>Energy Procedia</w:t>
          </w:r>
          <w:r>
            <w:rPr>
              <w:i w:val="0"/>
              <w:iCs/>
              <w:szCs w:val="16"/>
            </w:rPr>
            <w:t xml:space="preserve"> 00 (20</w:t>
          </w:r>
          <w:r>
            <w:rPr>
              <w:rFonts w:hint="eastAsia"/>
              <w:i w:val="0"/>
              <w:iCs/>
              <w:szCs w:val="16"/>
              <w:lang w:eastAsia="zh-CN"/>
            </w:rPr>
            <w:t>1</w:t>
          </w:r>
          <w:r>
            <w:rPr>
              <w:i w:val="0"/>
              <w:iCs/>
              <w:szCs w:val="16"/>
              <w:lang w:eastAsia="zh-CN"/>
            </w:rPr>
            <w:t>9</w:t>
          </w:r>
          <w:r>
            <w:rPr>
              <w:i w:val="0"/>
              <w:iCs/>
              <w:szCs w:val="16"/>
            </w:rPr>
            <w:t>) 000–000</w:t>
          </w:r>
        </w:p>
      </w:tc>
      <w:tc>
        <w:tcPr>
          <w:tcW w:w="2404" w:type="dxa"/>
        </w:tcPr>
        <w:p w:rsidR="00842A3A" w:rsidRDefault="00EE3FD3" w:rsidP="00E60FDA">
          <w:pPr>
            <w:pStyle w:val="En-tte"/>
            <w:tabs>
              <w:tab w:val="left" w:pos="132"/>
              <w:tab w:val="left" w:pos="1932"/>
              <w:tab w:val="left" w:pos="2142"/>
            </w:tabs>
            <w:spacing w:before="0" w:beforeAutospacing="0" w:after="0" w:line="240" w:lineRule="auto"/>
            <w:ind w:left="-125" w:firstLine="125"/>
            <w:rPr>
              <w:i w:val="0"/>
              <w:iCs/>
            </w:rPr>
          </w:pPr>
          <w:r>
            <w:rPr>
              <w:i w:val="0"/>
              <w:iCs/>
              <w:lang w:val="fr-BE" w:eastAsia="fr-BE"/>
            </w:rPr>
            <w:drawing>
              <wp:inline distT="0" distB="0" distL="0" distR="0" wp14:anchorId="5F714474" wp14:editId="175C0629">
                <wp:extent cx="1353312" cy="756209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gypro.tif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3312" cy="756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42A3A" w:rsidRDefault="00EE3FD3" w:rsidP="004A6288">
          <w:pPr>
            <w:pStyle w:val="En-tte"/>
            <w:tabs>
              <w:tab w:val="left" w:pos="1932"/>
              <w:tab w:val="left" w:pos="2142"/>
            </w:tabs>
            <w:spacing w:before="80" w:beforeAutospacing="0" w:after="0" w:line="240" w:lineRule="auto"/>
            <w:ind w:left="-125" w:firstLine="3"/>
            <w:rPr>
              <w:i w:val="0"/>
              <w:iCs/>
            </w:rPr>
          </w:pPr>
          <w:r>
            <w:rPr>
              <w:i w:val="0"/>
              <w:iCs/>
            </w:rPr>
            <w:t xml:space="preserve">  www.elsevier.com/locate/procedia</w:t>
          </w:r>
        </w:p>
      </w:tc>
    </w:tr>
  </w:tbl>
  <w:p w:rsidR="00842A3A" w:rsidRDefault="004D2237">
    <w:pPr>
      <w:pStyle w:val="En-tte"/>
      <w:tabs>
        <w:tab w:val="left" w:pos="68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F90"/>
    <w:rsid w:val="004D2237"/>
    <w:rsid w:val="007C4F90"/>
    <w:rsid w:val="00CC7F06"/>
    <w:rsid w:val="00D84386"/>
    <w:rsid w:val="00EE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3B8DF-06CC-45F2-9923-2D5A69A17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FD3"/>
    <w:pPr>
      <w:widowControl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link w:val="LgendeCar"/>
    <w:uiPriority w:val="35"/>
    <w:qFormat/>
    <w:rsid w:val="00EE3FD3"/>
    <w:pPr>
      <w:keepLines/>
      <w:spacing w:before="200" w:after="240" w:line="200" w:lineRule="exact"/>
    </w:pPr>
    <w:rPr>
      <w:sz w:val="16"/>
    </w:rPr>
  </w:style>
  <w:style w:type="paragraph" w:styleId="En-tte">
    <w:name w:val="header"/>
    <w:link w:val="En-tteCar"/>
    <w:semiHidden/>
    <w:rsid w:val="00EE3FD3"/>
    <w:pPr>
      <w:tabs>
        <w:tab w:val="center" w:pos="4706"/>
        <w:tab w:val="right" w:pos="9356"/>
      </w:tabs>
      <w:spacing w:before="100" w:beforeAutospacing="1" w:after="240" w:line="200" w:lineRule="atLeast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character" w:customStyle="1" w:styleId="En-tteCar">
    <w:name w:val="En-tête Car"/>
    <w:basedOn w:val="Policepardfaut"/>
    <w:link w:val="En-tte"/>
    <w:semiHidden/>
    <w:rsid w:val="00EE3FD3"/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styleId="Pieddepage">
    <w:name w:val="footer"/>
    <w:basedOn w:val="En-tte"/>
    <w:link w:val="PieddepageCar"/>
    <w:semiHidden/>
    <w:rsid w:val="00EE3FD3"/>
    <w:pPr>
      <w:tabs>
        <w:tab w:val="right" w:pos="10080"/>
      </w:tabs>
    </w:pPr>
    <w:rPr>
      <w:i w:val="0"/>
    </w:rPr>
  </w:style>
  <w:style w:type="character" w:customStyle="1" w:styleId="PieddepageCar">
    <w:name w:val="Pied de page Car"/>
    <w:basedOn w:val="Policepardfaut"/>
    <w:link w:val="Pieddepage"/>
    <w:semiHidden/>
    <w:rsid w:val="00EE3FD3"/>
    <w:rPr>
      <w:rFonts w:ascii="Times New Roman" w:eastAsia="SimSun" w:hAnsi="Times New Roman" w:cs="Times New Roman"/>
      <w:noProof/>
      <w:sz w:val="16"/>
      <w:szCs w:val="20"/>
      <w:lang w:val="en-US"/>
    </w:rPr>
  </w:style>
  <w:style w:type="character" w:styleId="Lienhypertexte">
    <w:name w:val="Hyperlink"/>
    <w:semiHidden/>
    <w:rsid w:val="00EE3FD3"/>
    <w:rPr>
      <w:color w:val="auto"/>
      <w:sz w:val="16"/>
      <w:u w:val="none"/>
    </w:rPr>
  </w:style>
  <w:style w:type="character" w:styleId="Numrodepage">
    <w:name w:val="page number"/>
    <w:semiHidden/>
    <w:rsid w:val="00EE3FD3"/>
    <w:rPr>
      <w:sz w:val="16"/>
    </w:rPr>
  </w:style>
  <w:style w:type="table" w:styleId="Grilledutableau">
    <w:name w:val="Table Grid"/>
    <w:basedOn w:val="TableauNormal"/>
    <w:uiPriority w:val="39"/>
    <w:rsid w:val="00EE3FD3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gendeCar">
    <w:name w:val="Légende Car"/>
    <w:basedOn w:val="Policepardfaut"/>
    <w:link w:val="Lgende"/>
    <w:uiPriority w:val="35"/>
    <w:rsid w:val="00EE3FD3"/>
    <w:rPr>
      <w:rFonts w:ascii="Times New Roman" w:eastAsia="SimSun" w:hAnsi="Times New Roman" w:cs="Times New Roman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tiff"/><Relationship Id="rId2" Type="http://schemas.openxmlformats.org/officeDocument/2006/relationships/hyperlink" Target="http://www.sciencedirect.com/science/journal/22126716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667</Words>
  <Characters>3672</Characters>
  <Application>Microsoft Office Word</Application>
  <DocSecurity>0</DocSecurity>
  <Lines>30</Lines>
  <Paragraphs>8</Paragraphs>
  <ScaleCrop>false</ScaleCrop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dumont</dc:creator>
  <cp:keywords/>
  <dc:description/>
  <cp:lastModifiedBy>olivier dumont</cp:lastModifiedBy>
  <cp:revision>3</cp:revision>
  <dcterms:created xsi:type="dcterms:W3CDTF">2019-02-25T12:45:00Z</dcterms:created>
  <dcterms:modified xsi:type="dcterms:W3CDTF">2019-03-29T15:06:00Z</dcterms:modified>
</cp:coreProperties>
</file>