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883" w:rsidRDefault="00E31883"/>
    <w:p w:rsidR="009741CB" w:rsidRPr="00916FC3" w:rsidRDefault="009741CB" w:rsidP="009741CB">
      <w:r w:rsidRPr="00916FC3">
        <w:rPr>
          <w:noProof/>
          <w:lang w:val="fr-BE" w:eastAsia="fr-BE"/>
        </w:rPr>
        <w:drawing>
          <wp:anchor distT="0" distB="0" distL="114300" distR="114300" simplePos="0" relativeHeight="251662336" behindDoc="1" locked="0" layoutInCell="1" allowOverlap="1" wp14:anchorId="3564E712" wp14:editId="7B017B0C">
            <wp:simplePos x="0" y="0"/>
            <wp:positionH relativeFrom="column">
              <wp:posOffset>4737100</wp:posOffset>
            </wp:positionH>
            <wp:positionV relativeFrom="paragraph">
              <wp:posOffset>-57150</wp:posOffset>
            </wp:positionV>
            <wp:extent cx="1228090" cy="1494790"/>
            <wp:effectExtent l="0" t="0" r="0" b="0"/>
            <wp:wrapTight wrapText="bothSides">
              <wp:wrapPolygon edited="0">
                <wp:start x="0" y="0"/>
                <wp:lineTo x="0" y="21196"/>
                <wp:lineTo x="21109" y="21196"/>
                <wp:lineTo x="21109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YDMAN Marcel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83" t="7460" r="8475" b="42806"/>
                    <a:stretch/>
                  </pic:blipFill>
                  <pic:spPr bwMode="auto">
                    <a:xfrm>
                      <a:off x="0" y="0"/>
                      <a:ext cx="1228090" cy="1494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6FC3">
        <w:rPr>
          <w:b/>
          <w:sz w:val="28"/>
        </w:rPr>
        <w:t>C. Simulation en aveugle</w:t>
      </w:r>
      <w:r w:rsidRPr="00916FC3">
        <w:rPr>
          <w:sz w:val="28"/>
        </w:rPr>
        <w:t xml:space="preserve"> </w:t>
      </w:r>
      <w:r w:rsidRPr="00916FC3">
        <w:t>(ou implicite) de type « caméra cachée »</w:t>
      </w:r>
    </w:p>
    <w:p w:rsidR="009741CB" w:rsidRPr="00916FC3" w:rsidRDefault="009741CB" w:rsidP="009741CB"/>
    <w:p w:rsidR="009741CB" w:rsidRPr="00916FC3" w:rsidRDefault="009741CB" w:rsidP="009741CB">
      <w:r w:rsidRPr="00916FC3">
        <w:t xml:space="preserve">Dans son livre de 2005 « Violence, indifférence ou altruisme ? », </w:t>
      </w:r>
      <w:r w:rsidRPr="00916FC3">
        <w:rPr>
          <w:b/>
        </w:rPr>
        <w:t xml:space="preserve">Marcel </w:t>
      </w:r>
      <w:proofErr w:type="spellStart"/>
      <w:r w:rsidRPr="00916FC3">
        <w:rPr>
          <w:b/>
        </w:rPr>
        <w:t>Frydman</w:t>
      </w:r>
      <w:proofErr w:type="spellEnd"/>
      <w:r w:rsidRPr="00916FC3">
        <w:t>, de l’Université de Mons, présente diverses façons d’évaluer le « passage à l’acte » (ou au contraire l’abstention). N’est reprise ici qu’une situation :</w:t>
      </w:r>
    </w:p>
    <w:p w:rsidR="009741CB" w:rsidRPr="00916FC3" w:rsidRDefault="009741CB" w:rsidP="009741CB"/>
    <w:p w:rsidR="009741CB" w:rsidRPr="00916FC3" w:rsidRDefault="009741CB" w:rsidP="009741CB"/>
    <w:p w:rsidR="009741CB" w:rsidRPr="00916FC3" w:rsidRDefault="009741CB" w:rsidP="009741C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41CB" w:rsidRPr="00916FC3" w:rsidTr="00D469CE">
        <w:tc>
          <w:tcPr>
            <w:tcW w:w="9546" w:type="dxa"/>
          </w:tcPr>
          <w:p w:rsidR="009741CB" w:rsidRPr="00916FC3" w:rsidRDefault="009741CB" w:rsidP="00D469CE">
            <w:r w:rsidRPr="00916FC3">
              <w:t xml:space="preserve">On raconte à des enfants de 9-10 ans (87) et de 11-12 ans (82) qu’ils vont participer à un jeu de connaissances générales se déroulant en deux parties : dans une classe A, puis, pour la deuxième partie dans une classe B, qui est de l’autre côté de la cour qu’ils doivent traverser, chacun à son tour. Pendant la traversée, un adulte avec des béquilles tombe à terre. </w:t>
            </w:r>
          </w:p>
          <w:p w:rsidR="009741CB" w:rsidRPr="00916FC3" w:rsidRDefault="009741CB" w:rsidP="00D469CE">
            <w:r w:rsidRPr="00916FC3">
              <w:t xml:space="preserve">Que fait l’enfant (filmé en caméra cachée) ?  </w:t>
            </w:r>
          </w:p>
        </w:tc>
      </w:tr>
    </w:tbl>
    <w:p w:rsidR="009741CB" w:rsidRPr="00916FC3" w:rsidRDefault="009741CB" w:rsidP="009741CB"/>
    <w:p w:rsidR="009741CB" w:rsidRPr="00916FC3" w:rsidRDefault="009741CB" w:rsidP="009741CB">
      <w:pPr>
        <w:rPr>
          <w:b/>
        </w:rPr>
      </w:pPr>
      <w:r w:rsidRPr="00916FC3">
        <w:rPr>
          <w:b/>
        </w:rPr>
        <w:t>C1. Une méthode projective (sur papier)</w:t>
      </w:r>
    </w:p>
    <w:p w:rsidR="009741CB" w:rsidRPr="00916FC3" w:rsidRDefault="009741CB" w:rsidP="009741CB">
      <w:r w:rsidRPr="00916FC3">
        <w:rPr>
          <w:noProof/>
          <w:lang w:val="fr-BE" w:eastAsia="fr-BE"/>
        </w:rPr>
        <w:drawing>
          <wp:anchor distT="0" distB="0" distL="114300" distR="114300" simplePos="0" relativeHeight="251664384" behindDoc="1" locked="0" layoutInCell="1" allowOverlap="1" wp14:anchorId="02DA6F94" wp14:editId="10F729C1">
            <wp:simplePos x="0" y="0"/>
            <wp:positionH relativeFrom="column">
              <wp:posOffset>3186430</wp:posOffset>
            </wp:positionH>
            <wp:positionV relativeFrom="paragraph">
              <wp:posOffset>63500</wp:posOffset>
            </wp:positionV>
            <wp:extent cx="2886075" cy="4632325"/>
            <wp:effectExtent l="0" t="0" r="9525" b="0"/>
            <wp:wrapTight wrapText="bothSides">
              <wp:wrapPolygon edited="0">
                <wp:start x="21600" y="21600"/>
                <wp:lineTo x="21600" y="104"/>
                <wp:lineTo x="71" y="104"/>
                <wp:lineTo x="71" y="21600"/>
                <wp:lineTo x="21600" y="21600"/>
              </wp:wrapPolygon>
            </wp:wrapTight>
            <wp:docPr id="15" name="Image 15" descr="D:\0    2016 MMMM\14 MMMM Conduites sur le terrain et impact ultime\FRYDMAN 2005 p 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    2016 MMMM\14 MMMM Conduites sur le terrain et impact ultime\FRYDMAN 2005 p 1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95" t="7623" r="42246" b="40984"/>
                    <a:stretch/>
                  </pic:blipFill>
                  <pic:spPr bwMode="auto">
                    <a:xfrm rot="10800000">
                      <a:off x="0" y="0"/>
                      <a:ext cx="2886075" cy="463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1CB" w:rsidRPr="00916FC3" w:rsidRDefault="009741CB" w:rsidP="009741CB">
      <w:r w:rsidRPr="00916FC3">
        <w:t xml:space="preserve">Dans son chapitre XIII, M. </w:t>
      </w:r>
      <w:proofErr w:type="spellStart"/>
      <w:r w:rsidRPr="00916FC3">
        <w:t>Frydman</w:t>
      </w:r>
      <w:proofErr w:type="spellEnd"/>
      <w:r w:rsidRPr="00916FC3">
        <w:rPr>
          <w:rStyle w:val="Appelnotedebasdep"/>
        </w:rPr>
        <w:footnoteReference w:id="1"/>
      </w:r>
      <w:r w:rsidRPr="00916FC3">
        <w:t xml:space="preserve"> expose la méthode projective (proche de celle du TAT </w:t>
      </w:r>
      <w:proofErr w:type="spellStart"/>
      <w:r w:rsidRPr="00916FC3">
        <w:rPr>
          <w:i/>
        </w:rPr>
        <w:t>Thematic</w:t>
      </w:r>
      <w:proofErr w:type="spellEnd"/>
      <w:r w:rsidRPr="00916FC3">
        <w:rPr>
          <w:i/>
        </w:rPr>
        <w:t xml:space="preserve"> Aperception Test</w:t>
      </w:r>
      <w:r w:rsidRPr="00916FC3">
        <w:t xml:space="preserve"> de Murray), qui consiste à demander à l’enfant de </w:t>
      </w:r>
      <w:r w:rsidRPr="00916FC3">
        <w:rPr>
          <w:b/>
        </w:rPr>
        <w:t>commenter une Bande dessinée</w:t>
      </w:r>
      <w:r w:rsidRPr="00916FC3">
        <w:t xml:space="preserve">. Il a demandé à un dessinateur de créer en bandes dessinées 4 variantes de l’histoire ci-dessus. Dans la version 4, ci-dessous, un enfant (ligne 1 de dos, ligne 2 à gauche, ligne 3 cases 2 et 3 tournant le dos à la victime) </w:t>
      </w:r>
    </w:p>
    <w:p w:rsidR="009741CB" w:rsidRPr="00916FC3" w:rsidRDefault="009741CB" w:rsidP="009741CB"/>
    <w:p w:rsidR="009741CB" w:rsidRPr="00916FC3" w:rsidRDefault="009741CB" w:rsidP="009741CB">
      <w:r w:rsidRPr="00916FC3">
        <w:t xml:space="preserve">Ces auteurs relèvent les explications de la non intervention, qu’ils classent en 10 catégories : </w:t>
      </w:r>
    </w:p>
    <w:p w:rsidR="009741CB" w:rsidRPr="00916FC3" w:rsidRDefault="009741CB" w:rsidP="009741CB">
      <w:pPr>
        <w:ind w:left="709" w:hanging="709"/>
      </w:pPr>
      <w:r w:rsidRPr="00916FC3">
        <w:t>1. La peur (de la victime, d’être jugé responsable de la chute)</w:t>
      </w:r>
    </w:p>
    <w:p w:rsidR="009741CB" w:rsidRPr="00916FC3" w:rsidRDefault="009741CB" w:rsidP="009741CB">
      <w:pPr>
        <w:ind w:left="709" w:hanging="709"/>
      </w:pPr>
      <w:r w:rsidRPr="00916FC3">
        <w:t>2. L’incompétence (la peur de faire mal)</w:t>
      </w:r>
    </w:p>
    <w:p w:rsidR="009741CB" w:rsidRPr="00916FC3" w:rsidRDefault="009741CB" w:rsidP="009741CB">
      <w:pPr>
        <w:ind w:left="709" w:hanging="709"/>
      </w:pPr>
      <w:r w:rsidRPr="00916FC3">
        <w:t>3. L’égoïsme du témoin</w:t>
      </w:r>
    </w:p>
    <w:p w:rsidR="009741CB" w:rsidRPr="00916FC3" w:rsidRDefault="009741CB" w:rsidP="009741CB">
      <w:pPr>
        <w:ind w:left="709" w:hanging="709"/>
      </w:pPr>
      <w:r w:rsidRPr="00916FC3">
        <w:t xml:space="preserve">4. l’action en cours </w:t>
      </w:r>
      <w:r w:rsidRPr="00916FC3">
        <w:rPr>
          <w:sz w:val="20"/>
        </w:rPr>
        <w:t>(je devais aller dans l’autre classe)</w:t>
      </w:r>
    </w:p>
    <w:p w:rsidR="009741CB" w:rsidRPr="00916FC3" w:rsidRDefault="009741CB" w:rsidP="009741CB">
      <w:pPr>
        <w:ind w:left="709" w:hanging="709"/>
      </w:pPr>
      <w:r w:rsidRPr="00916FC3">
        <w:t xml:space="preserve">5. la capacité de la victime à s’en sortir seule </w:t>
      </w:r>
    </w:p>
    <w:p w:rsidR="009741CB" w:rsidRPr="00916FC3" w:rsidRDefault="009741CB" w:rsidP="009741CB">
      <w:pPr>
        <w:ind w:left="709" w:hanging="709"/>
      </w:pPr>
      <w:r w:rsidRPr="00916FC3">
        <w:t>6. l’absence de gravité</w:t>
      </w:r>
    </w:p>
    <w:p w:rsidR="009741CB" w:rsidRPr="00916FC3" w:rsidRDefault="009741CB" w:rsidP="009741CB">
      <w:pPr>
        <w:ind w:left="709" w:hanging="709"/>
      </w:pPr>
      <w:r w:rsidRPr="00916FC3">
        <w:t>7. la victime était inconnue</w:t>
      </w:r>
    </w:p>
    <w:p w:rsidR="009741CB" w:rsidRPr="00916FC3" w:rsidRDefault="009741CB" w:rsidP="009741CB">
      <w:pPr>
        <w:ind w:left="709" w:hanging="709"/>
      </w:pPr>
      <w:r w:rsidRPr="00916FC3">
        <w:t>8. l’âge, le poids ou la taille de la victime</w:t>
      </w:r>
    </w:p>
    <w:p w:rsidR="009741CB" w:rsidRPr="00916FC3" w:rsidRDefault="009741CB" w:rsidP="009741CB">
      <w:pPr>
        <w:ind w:left="709" w:hanging="709"/>
      </w:pPr>
      <w:r w:rsidRPr="00916FC3">
        <w:t>9. le choc affectif</w:t>
      </w:r>
    </w:p>
    <w:p w:rsidR="009741CB" w:rsidRPr="00916FC3" w:rsidRDefault="009741CB" w:rsidP="009741CB">
      <w:pPr>
        <w:ind w:left="709" w:hanging="709"/>
      </w:pPr>
      <w:r w:rsidRPr="00916FC3">
        <w:t>10. la diffusion de responsabilité</w:t>
      </w:r>
    </w:p>
    <w:p w:rsidR="009741CB" w:rsidRPr="00916FC3" w:rsidRDefault="009741CB" w:rsidP="009741CB">
      <w:pPr>
        <w:ind w:left="709" w:hanging="709"/>
      </w:pPr>
      <w:r w:rsidRPr="00916FC3">
        <w:t>11. divers</w:t>
      </w:r>
      <w:r w:rsidRPr="00916FC3">
        <w:rPr>
          <w:b/>
        </w:rPr>
        <w:br w:type="page"/>
      </w:r>
    </w:p>
    <w:p w:rsidR="009741CB" w:rsidRPr="00916FC3" w:rsidRDefault="009741CB" w:rsidP="009741CB">
      <w:pPr>
        <w:rPr>
          <w:b/>
        </w:rPr>
      </w:pPr>
      <w:r w:rsidRPr="00916FC3">
        <w:rPr>
          <w:b/>
        </w:rPr>
        <w:lastRenderedPageBreak/>
        <w:t xml:space="preserve">C2. Une simulation en simple aveugle </w:t>
      </w:r>
      <w:r w:rsidRPr="00916FC3">
        <w:rPr>
          <w:b/>
          <w:u w:val="single"/>
        </w:rPr>
        <w:t>en situation réelle</w:t>
      </w:r>
    </w:p>
    <w:p w:rsidR="009741CB" w:rsidRPr="00916FC3" w:rsidRDefault="009741CB" w:rsidP="009741CB"/>
    <w:p w:rsidR="009741CB" w:rsidRPr="00916FC3" w:rsidRDefault="009741CB" w:rsidP="009741CB">
      <w:r w:rsidRPr="00916FC3">
        <w:t xml:space="preserve">Dans son chapitre XIV (p. 152-167), </w:t>
      </w:r>
      <w:proofErr w:type="spellStart"/>
      <w:r w:rsidRPr="00916FC3">
        <w:t>Frydman</w:t>
      </w:r>
      <w:proofErr w:type="spellEnd"/>
      <w:r w:rsidRPr="00916FC3">
        <w:t xml:space="preserve"> décrit une autre méthode : une simulation en grandeur réelle. Quatre situations expérimentales sont créées :</w:t>
      </w:r>
    </w:p>
    <w:p w:rsidR="009741CB" w:rsidRPr="00916FC3" w:rsidRDefault="009741CB" w:rsidP="009741CB">
      <w:pPr>
        <w:ind w:left="1418" w:hanging="709"/>
      </w:pPr>
      <w:r w:rsidRPr="00916FC3">
        <w:t>-Pas de témoin</w:t>
      </w:r>
    </w:p>
    <w:p w:rsidR="009741CB" w:rsidRPr="00916FC3" w:rsidRDefault="009741CB" w:rsidP="009741CB">
      <w:pPr>
        <w:ind w:left="1418" w:hanging="709"/>
      </w:pPr>
      <w:r w:rsidRPr="00916FC3">
        <w:t>-Diffusion de responsabilité : deux adultes présents regardent la victime sans intervenir</w:t>
      </w:r>
    </w:p>
    <w:p w:rsidR="009741CB" w:rsidRPr="00916FC3" w:rsidRDefault="009741CB" w:rsidP="009741CB">
      <w:pPr>
        <w:ind w:left="1418" w:hanging="709"/>
      </w:pPr>
      <w:r w:rsidRPr="00916FC3">
        <w:t xml:space="preserve">-Influence sociale normative : les deux adultes regardent vers l’enfant </w:t>
      </w:r>
    </w:p>
    <w:p w:rsidR="009741CB" w:rsidRPr="00916FC3" w:rsidRDefault="009741CB" w:rsidP="009741CB">
      <w:pPr>
        <w:ind w:left="1418" w:hanging="709"/>
      </w:pPr>
      <w:r w:rsidRPr="00916FC3">
        <w:t>-Ignorance « </w:t>
      </w:r>
      <w:proofErr w:type="spellStart"/>
      <w:r w:rsidRPr="00916FC3">
        <w:t>pluralistique</w:t>
      </w:r>
      <w:proofErr w:type="spellEnd"/>
      <w:r w:rsidRPr="00916FC3">
        <w:t xml:space="preserve"> » : les témoins sont passifs : marchant, ils dépassent la victime </w:t>
      </w:r>
    </w:p>
    <w:p w:rsidR="009741CB" w:rsidRPr="00916FC3" w:rsidRDefault="009741CB" w:rsidP="009741CB">
      <w:pPr>
        <w:rPr>
          <w:b/>
        </w:rPr>
      </w:pPr>
      <w:r w:rsidRPr="00916FC3">
        <w:rPr>
          <w:noProof/>
          <w:lang w:val="fr-BE" w:eastAsia="fr-BE"/>
        </w:rPr>
        <w:drawing>
          <wp:anchor distT="0" distB="0" distL="114300" distR="114300" simplePos="0" relativeHeight="251667456" behindDoc="1" locked="0" layoutInCell="1" allowOverlap="1" wp14:anchorId="7509924D" wp14:editId="0B3E85DE">
            <wp:simplePos x="0" y="0"/>
            <wp:positionH relativeFrom="column">
              <wp:posOffset>2978785</wp:posOffset>
            </wp:positionH>
            <wp:positionV relativeFrom="paragraph">
              <wp:posOffset>4530090</wp:posOffset>
            </wp:positionV>
            <wp:extent cx="3260090" cy="1957705"/>
            <wp:effectExtent l="0" t="0" r="0" b="4445"/>
            <wp:wrapTight wrapText="bothSides">
              <wp:wrapPolygon edited="0">
                <wp:start x="0" y="0"/>
                <wp:lineTo x="0" y="21439"/>
                <wp:lineTo x="21457" y="21439"/>
                <wp:lineTo x="21457" y="0"/>
                <wp:lineTo x="0" y="0"/>
              </wp:wrapPolygon>
            </wp:wrapTight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90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6FC3">
        <w:rPr>
          <w:noProof/>
          <w:lang w:val="fr-BE" w:eastAsia="fr-BE"/>
        </w:rPr>
        <w:drawing>
          <wp:anchor distT="0" distB="0" distL="114300" distR="114300" simplePos="0" relativeHeight="251659264" behindDoc="1" locked="0" layoutInCell="1" allowOverlap="1" wp14:anchorId="78A24CB8" wp14:editId="05661C18">
            <wp:simplePos x="0" y="0"/>
            <wp:positionH relativeFrom="column">
              <wp:posOffset>-25400</wp:posOffset>
            </wp:positionH>
            <wp:positionV relativeFrom="paragraph">
              <wp:posOffset>170180</wp:posOffset>
            </wp:positionV>
            <wp:extent cx="6259830" cy="4157980"/>
            <wp:effectExtent l="0" t="0" r="7620" b="0"/>
            <wp:wrapTight wrapText="bothSides">
              <wp:wrapPolygon edited="0">
                <wp:start x="0" y="0"/>
                <wp:lineTo x="0" y="21475"/>
                <wp:lineTo x="21561" y="21475"/>
                <wp:lineTo x="21561" y="0"/>
                <wp:lineTo x="0" y="0"/>
              </wp:wrapPolygon>
            </wp:wrapTight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1" b="6898"/>
                    <a:stretch/>
                  </pic:blipFill>
                  <pic:spPr bwMode="auto">
                    <a:xfrm>
                      <a:off x="0" y="0"/>
                      <a:ext cx="6259830" cy="415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6FC3">
        <w:rPr>
          <w:b/>
        </w:rPr>
        <w:t>Résultats</w:t>
      </w:r>
    </w:p>
    <w:p w:rsidR="009741CB" w:rsidRPr="00916FC3" w:rsidRDefault="009741CB" w:rsidP="009741CB">
      <w:r w:rsidRPr="00916FC3">
        <w:t>Voir graphique ci-contre.</w:t>
      </w:r>
    </w:p>
    <w:p w:rsidR="009741CB" w:rsidRPr="00916FC3" w:rsidRDefault="009741CB" w:rsidP="009741CB">
      <w:r w:rsidRPr="00916FC3">
        <w:t>NB : aide indirecte =appel à l’aide.</w:t>
      </w:r>
    </w:p>
    <w:p w:rsidR="009741CB" w:rsidRPr="00916FC3" w:rsidRDefault="009741CB" w:rsidP="009741CB">
      <w:r w:rsidRPr="00916FC3">
        <w:t xml:space="preserve">Une expérience semblable a été menée dans laquelle c’est </w:t>
      </w:r>
      <w:r w:rsidRPr="00916FC3">
        <w:rPr>
          <w:b/>
        </w:rPr>
        <w:t>un autre enfant (un pair),</w:t>
      </w:r>
      <w:r w:rsidRPr="00916FC3">
        <w:t xml:space="preserve"> avec béquilles, qui tombe. Les taux d’aide sont :</w:t>
      </w:r>
    </w:p>
    <w:p w:rsidR="009741CB" w:rsidRPr="00916FC3" w:rsidRDefault="009741CB" w:rsidP="009741CB">
      <w:r w:rsidRPr="00916FC3">
        <w:t xml:space="preserve">Enfant Isolés = 27,5% </w:t>
      </w:r>
    </w:p>
    <w:p w:rsidR="009741CB" w:rsidRPr="00916FC3" w:rsidRDefault="009741CB" w:rsidP="009741CB">
      <w:r w:rsidRPr="00916FC3">
        <w:t>En présence d’adultes passifs= 12%</w:t>
      </w:r>
    </w:p>
    <w:p w:rsidR="009741CB" w:rsidRPr="00916FC3" w:rsidRDefault="009741CB" w:rsidP="009741CB">
      <w:r w:rsidRPr="00916FC3">
        <w:t>Plus la fratrie est grande, plus l’enfant agit : fratrie de 1 enfant = 12%, de 2 enfants = 15%, de 3 enfants et plus : 30%.</w:t>
      </w:r>
      <w:bookmarkStart w:id="0" w:name="_GoBack"/>
      <w:bookmarkEnd w:id="0"/>
    </w:p>
    <w:sectPr w:rsidR="009741CB" w:rsidRPr="00916FC3" w:rsidSect="009741CB">
      <w:footerReference w:type="default" r:id="rId10"/>
      <w:pgSz w:w="11906" w:h="16838"/>
      <w:pgMar w:top="1417" w:right="1417" w:bottom="1417" w:left="1417" w:header="708" w:footer="708" w:gutter="0"/>
      <w:pgNumType w:start="2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BAF" w:rsidRDefault="00FB0BAF" w:rsidP="009741CB">
      <w:r>
        <w:separator/>
      </w:r>
    </w:p>
  </w:endnote>
  <w:endnote w:type="continuationSeparator" w:id="0">
    <w:p w:rsidR="00FB0BAF" w:rsidRDefault="00FB0BAF" w:rsidP="00974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9407112"/>
      <w:docPartObj>
        <w:docPartGallery w:val="Page Numbers (Bottom of Page)"/>
        <w:docPartUnique/>
      </w:docPartObj>
    </w:sdtPr>
    <w:sdtEndPr/>
    <w:sdtContent>
      <w:p w:rsidR="009741CB" w:rsidRDefault="009741CB" w:rsidP="009741CB">
        <w:pPr>
          <w:jc w:val="center"/>
          <w:rPr>
            <w:sz w:val="16"/>
            <w:lang w:val="fr-BE"/>
          </w:rPr>
        </w:pPr>
        <w:r>
          <w:rPr>
            <w:color w:val="000000" w:themeColor="text1"/>
            <w:sz w:val="20"/>
            <w:lang w:val="fr-BE"/>
          </w:rPr>
          <w:t xml:space="preserve">D. Leclercq (2018). </w:t>
        </w:r>
        <w:r>
          <w:rPr>
            <w:b/>
            <w:color w:val="000000" w:themeColor="text1"/>
            <w:sz w:val="20"/>
            <w:lang w:val="fr-BE"/>
          </w:rPr>
          <w:t xml:space="preserve">Conception et Analyse de Messages </w:t>
        </w:r>
        <w:proofErr w:type="spellStart"/>
        <w:r>
          <w:rPr>
            <w:b/>
            <w:color w:val="000000" w:themeColor="text1"/>
            <w:sz w:val="20"/>
            <w:lang w:val="fr-BE"/>
          </w:rPr>
          <w:t>Multi-Médias</w:t>
        </w:r>
        <w:proofErr w:type="spellEnd"/>
        <w:r>
          <w:rPr>
            <w:b/>
            <w:color w:val="000000" w:themeColor="text1"/>
            <w:sz w:val="20"/>
            <w:lang w:val="fr-BE"/>
          </w:rPr>
          <w:t xml:space="preserve"> Educatifs. </w:t>
        </w:r>
        <w:r>
          <w:rPr>
            <w:sz w:val="18"/>
            <w:lang w:val="fr-BE"/>
          </w:rPr>
          <w:t xml:space="preserve">Presses Univ.de Liège    </w:t>
        </w:r>
      </w:p>
      <w:p w:rsidR="009741CB" w:rsidRPr="009741CB" w:rsidRDefault="009741CB" w:rsidP="009741CB">
        <w:pPr>
          <w:jc w:val="center"/>
        </w:pPr>
        <w:proofErr w:type="spellStart"/>
        <w:r w:rsidRPr="00A91FF5">
          <w:rPr>
            <w:b/>
            <w:color w:val="000000" w:themeColor="text1"/>
            <w:sz w:val="20"/>
            <w:lang w:val="fr-BE"/>
          </w:rPr>
          <w:t>Chap</w:t>
        </w:r>
        <w:proofErr w:type="spellEnd"/>
        <w:r w:rsidRPr="00A91FF5">
          <w:rPr>
            <w:b/>
            <w:color w:val="000000" w:themeColor="text1"/>
            <w:sz w:val="20"/>
            <w:lang w:val="fr-BE"/>
          </w:rPr>
          <w:t xml:space="preserve"> </w:t>
        </w:r>
        <w:r>
          <w:rPr>
            <w:b/>
            <w:color w:val="000000" w:themeColor="text1"/>
            <w:sz w:val="20"/>
            <w:lang w:val="fr-BE"/>
          </w:rPr>
          <w:t>14. Conduites sur le terrain et impact ultime</w:t>
        </w:r>
        <w:r w:rsidRPr="00A91FF5">
          <w:rPr>
            <w:b/>
            <w:color w:val="000000" w:themeColor="text1"/>
            <w:sz w:val="20"/>
            <w:lang w:val="fr-BE"/>
          </w:rPr>
          <w:t xml:space="preserve"> </w:t>
        </w:r>
        <w:r>
          <w:rPr>
            <w:b/>
            <w:color w:val="000000" w:themeColor="text1"/>
            <w:sz w:val="20"/>
            <w:lang w:val="fr-BE"/>
          </w:rPr>
          <w:t xml:space="preserve">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B1EEB">
          <w:rPr>
            <w:noProof/>
          </w:rPr>
          <w:t>226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BAF" w:rsidRDefault="00FB0BAF" w:rsidP="009741CB">
      <w:r>
        <w:separator/>
      </w:r>
    </w:p>
  </w:footnote>
  <w:footnote w:type="continuationSeparator" w:id="0">
    <w:p w:rsidR="00FB0BAF" w:rsidRDefault="00FB0BAF" w:rsidP="009741CB">
      <w:r>
        <w:continuationSeparator/>
      </w:r>
    </w:p>
  </w:footnote>
  <w:footnote w:id="1">
    <w:p w:rsidR="009741CB" w:rsidRPr="00EE2CD7" w:rsidRDefault="009741CB" w:rsidP="009741CB">
      <w:r>
        <w:rPr>
          <w:rStyle w:val="Appelnotedebasdep"/>
        </w:rPr>
        <w:footnoteRef/>
      </w:r>
      <w:r>
        <w:t xml:space="preserve"> Il y résume un mémoire (</w:t>
      </w:r>
      <w:proofErr w:type="spellStart"/>
      <w:r>
        <w:t>Frydman</w:t>
      </w:r>
      <w:proofErr w:type="spellEnd"/>
      <w:r>
        <w:t xml:space="preserve">, M., Ledru, L. &amp; Valentin, V., 1992).  </w:t>
      </w:r>
      <w:r>
        <w:rPr>
          <w:i/>
          <w:iCs/>
        </w:rPr>
        <w:t>Le comportement d'aide dans une situation critique.  Contribution à l'étude du comportement d'abstention</w:t>
      </w:r>
      <w:r>
        <w:t xml:space="preserve">. 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1CB"/>
    <w:rsid w:val="006071A8"/>
    <w:rsid w:val="009741CB"/>
    <w:rsid w:val="009B1EEB"/>
    <w:rsid w:val="009C44E1"/>
    <w:rsid w:val="00E31883"/>
    <w:rsid w:val="00FB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B79CC"/>
  <w15:chartTrackingRefBased/>
  <w15:docId w15:val="{20473A9B-DAC3-4CED-8328-E87E0DB77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1CB"/>
    <w:pPr>
      <w:spacing w:after="0" w:line="240" w:lineRule="auto"/>
      <w:jc w:val="both"/>
    </w:pPr>
    <w:rPr>
      <w:rFonts w:ascii="Tms Rmn" w:eastAsia="Times New Roman" w:hAnsi="Tms Rmn" w:cs="Tms Rmn"/>
      <w:sz w:val="24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741CB"/>
    <w:pPr>
      <w:spacing w:after="0" w:line="240" w:lineRule="auto"/>
    </w:pPr>
    <w:rPr>
      <w:rFonts w:ascii="CG Times (W1)" w:eastAsia="Times New Roman" w:hAnsi="CG Times (W1)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741CB"/>
    <w:pPr>
      <w:spacing w:before="100" w:beforeAutospacing="1" w:after="100" w:afterAutospacing="1"/>
      <w:jc w:val="left"/>
    </w:pPr>
    <w:rPr>
      <w:rFonts w:ascii="Times New Roman" w:hAnsi="Times New Roman" w:cs="Times New Roman"/>
      <w:szCs w:val="24"/>
      <w:lang w:val="es-CL" w:eastAsia="es-CL"/>
    </w:rPr>
  </w:style>
  <w:style w:type="character" w:styleId="Appelnotedebasdep">
    <w:name w:val="footnote reference"/>
    <w:basedOn w:val="Policepardfaut"/>
    <w:uiPriority w:val="99"/>
    <w:semiHidden/>
    <w:unhideWhenUsed/>
    <w:rsid w:val="009741CB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9741C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741CB"/>
    <w:rPr>
      <w:rFonts w:ascii="Tms Rmn" w:eastAsia="Times New Roman" w:hAnsi="Tms Rmn" w:cs="Tms Rmn"/>
      <w:sz w:val="24"/>
      <w:szCs w:val="20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9741C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741CB"/>
    <w:rPr>
      <w:rFonts w:ascii="Tms Rmn" w:eastAsia="Times New Roman" w:hAnsi="Tms Rmn" w:cs="Tms Rmn"/>
      <w:sz w:val="24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394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d.leclercq@uliege.be</dc:creator>
  <cp:keywords/>
  <dc:description/>
  <cp:lastModifiedBy>d.leclercq@uliege.be</cp:lastModifiedBy>
  <cp:revision>3</cp:revision>
  <dcterms:created xsi:type="dcterms:W3CDTF">2019-02-09T11:17:00Z</dcterms:created>
  <dcterms:modified xsi:type="dcterms:W3CDTF">2019-02-09T11:17:00Z</dcterms:modified>
</cp:coreProperties>
</file>