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0FD" w:rsidRPr="007570FD" w:rsidRDefault="007570FD" w:rsidP="00632B6C">
      <w:pPr>
        <w:rPr>
          <w:rFonts w:asciiTheme="majorHAnsi" w:hAnsiTheme="majorHAnsi" w:cs="AdvTTc999d02f"/>
          <w:b/>
          <w:color w:val="231F20"/>
          <w:sz w:val="32"/>
          <w:szCs w:val="32"/>
          <w:lang w:val="fr-BE"/>
        </w:rPr>
      </w:pPr>
      <w:r w:rsidRPr="007570FD">
        <w:rPr>
          <w:rFonts w:asciiTheme="majorHAnsi" w:hAnsiTheme="majorHAnsi" w:cs="AdvTTc999d02f"/>
          <w:b/>
          <w:color w:val="231F20"/>
          <w:sz w:val="32"/>
          <w:szCs w:val="32"/>
          <w:lang w:val="fr-BE"/>
        </w:rPr>
        <w:t xml:space="preserve">Colloque </w:t>
      </w:r>
      <w:proofErr w:type="spellStart"/>
      <w:r w:rsidRPr="007570FD">
        <w:rPr>
          <w:rFonts w:asciiTheme="majorHAnsi" w:hAnsiTheme="majorHAnsi" w:cs="AdvTTc999d02f"/>
          <w:b/>
          <w:color w:val="231F20"/>
          <w:sz w:val="32"/>
          <w:szCs w:val="32"/>
          <w:lang w:val="fr-BE"/>
        </w:rPr>
        <w:t>sfepm</w:t>
      </w:r>
      <w:proofErr w:type="spellEnd"/>
      <w:r w:rsidRPr="007570FD">
        <w:rPr>
          <w:rFonts w:asciiTheme="majorHAnsi" w:hAnsiTheme="majorHAnsi" w:cs="AdvTTc999d02f"/>
          <w:b/>
          <w:color w:val="231F20"/>
          <w:sz w:val="32"/>
          <w:szCs w:val="32"/>
          <w:lang w:val="fr-BE"/>
        </w:rPr>
        <w:t xml:space="preserve"> Caen, France, </w:t>
      </w:r>
      <w:r>
        <w:rPr>
          <w:rFonts w:asciiTheme="majorHAnsi" w:hAnsiTheme="majorHAnsi" w:cs="AdvTTc999d02f"/>
          <w:b/>
          <w:color w:val="231F20"/>
          <w:sz w:val="32"/>
          <w:szCs w:val="32"/>
          <w:lang w:val="fr-BE"/>
        </w:rPr>
        <w:t>novembre 2018</w:t>
      </w:r>
      <w:bookmarkStart w:id="0" w:name="_GoBack"/>
      <w:bookmarkEnd w:id="0"/>
    </w:p>
    <w:p w:rsidR="007570FD" w:rsidRPr="007570FD" w:rsidRDefault="007570FD" w:rsidP="00632B6C">
      <w:pPr>
        <w:rPr>
          <w:rFonts w:asciiTheme="majorHAnsi" w:hAnsiTheme="majorHAnsi" w:cs="AdvTTc999d02f"/>
          <w:b/>
          <w:color w:val="231F20"/>
          <w:sz w:val="32"/>
          <w:szCs w:val="32"/>
          <w:lang w:val="fr-BE"/>
        </w:rPr>
      </w:pPr>
    </w:p>
    <w:p w:rsidR="00D42D70" w:rsidRPr="0047358E" w:rsidRDefault="004F32F5" w:rsidP="00632B6C">
      <w:pPr>
        <w:rPr>
          <w:rFonts w:asciiTheme="majorHAnsi" w:hAnsiTheme="majorHAnsi" w:cs="AdvTTc999d02f"/>
          <w:b/>
          <w:color w:val="231F20"/>
          <w:sz w:val="32"/>
          <w:szCs w:val="32"/>
          <w:lang w:val="en-US"/>
        </w:rPr>
      </w:pPr>
      <w:r w:rsidRPr="0047358E">
        <w:rPr>
          <w:rFonts w:asciiTheme="majorHAnsi" w:hAnsiTheme="majorHAnsi" w:cs="AdvTTc999d02f"/>
          <w:b/>
          <w:color w:val="231F20"/>
          <w:sz w:val="32"/>
          <w:szCs w:val="32"/>
          <w:lang w:val="en-US"/>
        </w:rPr>
        <w:t xml:space="preserve">Aquatic and terrestrial water voles: </w:t>
      </w:r>
      <w:proofErr w:type="spellStart"/>
      <w:r w:rsidRPr="0047358E">
        <w:rPr>
          <w:rFonts w:asciiTheme="majorHAnsi" w:hAnsiTheme="majorHAnsi" w:cs="AdvTTc999d02f"/>
          <w:b/>
          <w:color w:val="231F20"/>
          <w:sz w:val="32"/>
          <w:szCs w:val="32"/>
          <w:lang w:val="en-US"/>
        </w:rPr>
        <w:t>phylogeography</w:t>
      </w:r>
      <w:proofErr w:type="spellEnd"/>
      <w:r w:rsidRPr="0047358E">
        <w:rPr>
          <w:rFonts w:asciiTheme="majorHAnsi" w:hAnsiTheme="majorHAnsi" w:cs="AdvTTc999d02f"/>
          <w:b/>
          <w:color w:val="231F20"/>
          <w:sz w:val="32"/>
          <w:szCs w:val="32"/>
          <w:lang w:val="en-US"/>
        </w:rPr>
        <w:t xml:space="preserve"> and morphometrics</w:t>
      </w:r>
    </w:p>
    <w:p w:rsidR="004F32F5" w:rsidRPr="005C196A" w:rsidRDefault="004F32F5" w:rsidP="00632B6C">
      <w:pPr>
        <w:rPr>
          <w:rFonts w:asciiTheme="majorHAnsi" w:hAnsiTheme="majorHAnsi" w:cs="AdvTTc999d02f"/>
          <w:color w:val="231F20"/>
          <w:sz w:val="24"/>
          <w:szCs w:val="24"/>
          <w:lang w:val="en-US"/>
        </w:rPr>
      </w:pPr>
    </w:p>
    <w:p w:rsidR="000338ED" w:rsidRPr="005C196A" w:rsidRDefault="000338ED" w:rsidP="00632B6C">
      <w:pPr>
        <w:rPr>
          <w:rFonts w:asciiTheme="majorHAnsi" w:hAnsiTheme="majorHAnsi" w:cs="AdvTTc999d02f"/>
          <w:color w:val="231F20"/>
          <w:sz w:val="24"/>
          <w:szCs w:val="24"/>
          <w:lang w:val="fr-BE"/>
        </w:rPr>
      </w:pPr>
      <w:proofErr w:type="spellStart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Chevret</w:t>
      </w:r>
      <w:proofErr w:type="spellEnd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, P.</w:t>
      </w:r>
      <w:r w:rsidR="005C196A" w:rsidRPr="005C196A">
        <w:rPr>
          <w:rFonts w:asciiTheme="majorHAnsi" w:hAnsiTheme="majorHAnsi"/>
          <w:sz w:val="24"/>
          <w:szCs w:val="24"/>
          <w:vertAlign w:val="superscript"/>
          <w:lang w:val="fr-BE"/>
        </w:rPr>
        <w:t xml:space="preserve"> 1</w:t>
      </w:r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, </w:t>
      </w:r>
      <w:proofErr w:type="spellStart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Helvaci</w:t>
      </w:r>
      <w:proofErr w:type="spellEnd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 Z.</w:t>
      </w:r>
      <w:r w:rsidR="005C196A" w:rsidRPr="005C196A">
        <w:rPr>
          <w:rFonts w:asciiTheme="majorHAnsi" w:hAnsiTheme="majorHAnsi"/>
          <w:sz w:val="24"/>
          <w:szCs w:val="24"/>
          <w:vertAlign w:val="superscript"/>
          <w:lang w:val="fr-BE"/>
        </w:rPr>
        <w:t xml:space="preserve"> 2</w:t>
      </w:r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, </w:t>
      </w:r>
      <w:proofErr w:type="spellStart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Quéré</w:t>
      </w:r>
      <w:proofErr w:type="spellEnd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, J.-P.</w:t>
      </w:r>
      <w:r w:rsidR="005C196A" w:rsidRPr="005C196A">
        <w:rPr>
          <w:rFonts w:asciiTheme="majorHAnsi" w:hAnsiTheme="majorHAnsi"/>
          <w:sz w:val="24"/>
          <w:szCs w:val="24"/>
          <w:vertAlign w:val="superscript"/>
          <w:lang w:val="fr-BE"/>
        </w:rPr>
        <w:t xml:space="preserve"> 3</w:t>
      </w:r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, Renaud, S.</w:t>
      </w:r>
      <w:r w:rsidR="005C196A" w:rsidRPr="005C196A">
        <w:rPr>
          <w:rFonts w:asciiTheme="majorHAnsi" w:hAnsiTheme="majorHAnsi"/>
          <w:sz w:val="24"/>
          <w:szCs w:val="24"/>
          <w:vertAlign w:val="superscript"/>
          <w:lang w:val="fr-BE"/>
        </w:rPr>
        <w:t xml:space="preserve"> 1</w:t>
      </w:r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, </w:t>
      </w:r>
      <w:proofErr w:type="spellStart"/>
      <w:r w:rsidR="003A4C4F">
        <w:rPr>
          <w:rFonts w:asciiTheme="majorHAnsi" w:hAnsiTheme="majorHAnsi" w:cs="AdvTTc999d02f"/>
          <w:i/>
          <w:iCs/>
          <w:color w:val="231F20"/>
          <w:sz w:val="24"/>
          <w:szCs w:val="24"/>
        </w:rPr>
        <w:t>Pigneur</w:t>
      </w:r>
      <w:proofErr w:type="spellEnd"/>
      <w:r w:rsidR="003A4C4F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 L.M.</w:t>
      </w:r>
      <w:r w:rsidR="003A4C4F" w:rsidRPr="003A4C4F">
        <w:rPr>
          <w:rFonts w:asciiTheme="majorHAnsi" w:hAnsiTheme="majorHAnsi"/>
          <w:sz w:val="24"/>
          <w:szCs w:val="24"/>
          <w:vertAlign w:val="superscript"/>
          <w:lang w:val="fr-BE"/>
        </w:rPr>
        <w:t xml:space="preserve"> </w:t>
      </w:r>
      <w:r w:rsidR="003A4C4F" w:rsidRPr="005C196A"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  <w:r w:rsidR="003A4C4F">
        <w:rPr>
          <w:rFonts w:asciiTheme="majorHAnsi" w:hAnsiTheme="majorHAnsi"/>
          <w:sz w:val="24"/>
          <w:szCs w:val="24"/>
          <w:vertAlign w:val="superscript"/>
          <w:lang w:val="fr-BE"/>
        </w:rPr>
        <w:t>,</w:t>
      </w:r>
      <w:r w:rsidR="003A4C4F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 </w:t>
      </w:r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Michaux, </w:t>
      </w:r>
      <w:proofErr w:type="gramStart"/>
      <w:r w:rsidRPr="005C196A">
        <w:rPr>
          <w:rFonts w:asciiTheme="majorHAnsi" w:hAnsiTheme="majorHAnsi" w:cs="AdvTTc999d02f"/>
          <w:i/>
          <w:iCs/>
          <w:color w:val="231F20"/>
          <w:sz w:val="24"/>
          <w:szCs w:val="24"/>
        </w:rPr>
        <w:t>J.R</w:t>
      </w:r>
      <w:proofErr w:type="gramEnd"/>
      <w:r w:rsidR="005C196A" w:rsidRPr="005C196A"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</w:p>
    <w:p w:rsidR="000338ED" w:rsidRPr="005C196A" w:rsidRDefault="000338ED" w:rsidP="00632B6C">
      <w:pPr>
        <w:rPr>
          <w:rFonts w:asciiTheme="majorHAnsi" w:hAnsiTheme="majorHAnsi" w:cs="AdvTTc999d02f"/>
          <w:color w:val="231F20"/>
          <w:sz w:val="24"/>
          <w:szCs w:val="24"/>
          <w:lang w:val="fr-BE"/>
        </w:rPr>
      </w:pPr>
    </w:p>
    <w:p w:rsidR="005C196A" w:rsidRPr="005C196A" w:rsidRDefault="005C196A" w:rsidP="005C196A">
      <w:pPr>
        <w:rPr>
          <w:sz w:val="15"/>
          <w:szCs w:val="15"/>
        </w:rPr>
      </w:pPr>
      <w:r w:rsidRPr="005C196A">
        <w:rPr>
          <w:sz w:val="15"/>
          <w:szCs w:val="15"/>
          <w:vertAlign w:val="superscript"/>
          <w:lang w:val="fr-BE"/>
        </w:rPr>
        <w:t>1</w:t>
      </w:r>
      <w:r w:rsidRPr="005C196A">
        <w:rPr>
          <w:sz w:val="15"/>
          <w:szCs w:val="15"/>
        </w:rPr>
        <w:t xml:space="preserve">Laboratoire de Biométrie et Biologie </w:t>
      </w:r>
      <w:proofErr w:type="spellStart"/>
      <w:r w:rsidRPr="005C196A">
        <w:rPr>
          <w:sz w:val="15"/>
          <w:szCs w:val="15"/>
        </w:rPr>
        <w:t>Evolutive</w:t>
      </w:r>
      <w:proofErr w:type="spellEnd"/>
      <w:r w:rsidRPr="005C196A">
        <w:rPr>
          <w:sz w:val="15"/>
          <w:szCs w:val="15"/>
        </w:rPr>
        <w:t>, UMR5558, Université Claude Bernard Lyon 1, CNRS, 69100 Villeurbanne, France</w:t>
      </w:r>
    </w:p>
    <w:p w:rsidR="005C196A" w:rsidRPr="005C196A" w:rsidRDefault="005C196A" w:rsidP="005C196A">
      <w:pPr>
        <w:rPr>
          <w:sz w:val="15"/>
          <w:szCs w:val="15"/>
        </w:rPr>
      </w:pPr>
      <w:r w:rsidRPr="005C196A">
        <w:rPr>
          <w:sz w:val="15"/>
          <w:szCs w:val="15"/>
          <w:vertAlign w:val="superscript"/>
          <w:lang w:val="fr-BE"/>
        </w:rPr>
        <w:t>2</w:t>
      </w:r>
      <w:r w:rsidRPr="005C196A">
        <w:rPr>
          <w:sz w:val="15"/>
          <w:szCs w:val="15"/>
        </w:rPr>
        <w:t xml:space="preserve"> Aksaray </w:t>
      </w:r>
      <w:proofErr w:type="spellStart"/>
      <w:r w:rsidRPr="005C196A">
        <w:rPr>
          <w:sz w:val="15"/>
          <w:szCs w:val="15"/>
        </w:rPr>
        <w:t>Üniversitesi</w:t>
      </w:r>
      <w:proofErr w:type="spellEnd"/>
      <w:r w:rsidRPr="005C196A">
        <w:rPr>
          <w:sz w:val="15"/>
          <w:szCs w:val="15"/>
        </w:rPr>
        <w:t xml:space="preserve"> Fen </w:t>
      </w:r>
      <w:proofErr w:type="spellStart"/>
      <w:r w:rsidRPr="005C196A">
        <w:rPr>
          <w:sz w:val="15"/>
          <w:szCs w:val="15"/>
        </w:rPr>
        <w:t>Edebiyat</w:t>
      </w:r>
      <w:proofErr w:type="spellEnd"/>
      <w:r w:rsidRPr="005C196A">
        <w:rPr>
          <w:sz w:val="15"/>
          <w:szCs w:val="15"/>
        </w:rPr>
        <w:t xml:space="preserve"> </w:t>
      </w:r>
      <w:proofErr w:type="spellStart"/>
      <w:r w:rsidRPr="005C196A">
        <w:rPr>
          <w:sz w:val="15"/>
          <w:szCs w:val="15"/>
        </w:rPr>
        <w:t>Fakültesi</w:t>
      </w:r>
      <w:proofErr w:type="spellEnd"/>
      <w:r w:rsidRPr="005C196A">
        <w:rPr>
          <w:sz w:val="15"/>
          <w:szCs w:val="15"/>
        </w:rPr>
        <w:t xml:space="preserve">, 68100 </w:t>
      </w:r>
      <w:proofErr w:type="spellStart"/>
      <w:r w:rsidRPr="005C196A">
        <w:rPr>
          <w:sz w:val="15"/>
          <w:szCs w:val="15"/>
        </w:rPr>
        <w:t>Merkez</w:t>
      </w:r>
      <w:proofErr w:type="spellEnd"/>
      <w:r w:rsidRPr="005C196A">
        <w:rPr>
          <w:sz w:val="15"/>
          <w:szCs w:val="15"/>
        </w:rPr>
        <w:t xml:space="preserve">/Aksaray, </w:t>
      </w:r>
      <w:proofErr w:type="spellStart"/>
      <w:r w:rsidRPr="005C196A">
        <w:rPr>
          <w:sz w:val="15"/>
          <w:szCs w:val="15"/>
        </w:rPr>
        <w:t>Turkey</w:t>
      </w:r>
      <w:proofErr w:type="spellEnd"/>
    </w:p>
    <w:p w:rsidR="005C196A" w:rsidRPr="005C196A" w:rsidRDefault="005C196A" w:rsidP="005C196A">
      <w:pPr>
        <w:rPr>
          <w:sz w:val="15"/>
          <w:szCs w:val="15"/>
          <w:lang w:val="fr-BE"/>
        </w:rPr>
      </w:pPr>
      <w:r w:rsidRPr="005C196A">
        <w:rPr>
          <w:sz w:val="15"/>
          <w:szCs w:val="15"/>
          <w:vertAlign w:val="superscript"/>
          <w:lang w:val="fr-BE"/>
        </w:rPr>
        <w:t>3</w:t>
      </w:r>
      <w:r w:rsidRPr="005C196A">
        <w:rPr>
          <w:sz w:val="15"/>
          <w:szCs w:val="15"/>
          <w:lang w:val="fr-BE"/>
        </w:rPr>
        <w:t xml:space="preserve">CBGP, </w:t>
      </w:r>
      <w:proofErr w:type="spellStart"/>
      <w:r w:rsidRPr="005C196A">
        <w:rPr>
          <w:sz w:val="15"/>
          <w:szCs w:val="15"/>
          <w:lang w:val="fr-BE"/>
        </w:rPr>
        <w:t>Univ</w:t>
      </w:r>
      <w:proofErr w:type="spellEnd"/>
      <w:r w:rsidRPr="005C196A">
        <w:rPr>
          <w:sz w:val="15"/>
          <w:szCs w:val="15"/>
          <w:lang w:val="fr-BE"/>
        </w:rPr>
        <w:t xml:space="preserve"> Montpellier, CIRAD, INRA, IRD, Montpellier </w:t>
      </w:r>
      <w:proofErr w:type="spellStart"/>
      <w:r w:rsidRPr="005C196A">
        <w:rPr>
          <w:sz w:val="15"/>
          <w:szCs w:val="15"/>
          <w:lang w:val="fr-BE"/>
        </w:rPr>
        <w:t>SupAgro</w:t>
      </w:r>
      <w:proofErr w:type="spellEnd"/>
      <w:r w:rsidRPr="005C196A">
        <w:rPr>
          <w:sz w:val="15"/>
          <w:szCs w:val="15"/>
          <w:lang w:val="fr-BE"/>
        </w:rPr>
        <w:t>, Montpellier, France.</w:t>
      </w:r>
    </w:p>
    <w:p w:rsidR="005C196A" w:rsidRPr="005C196A" w:rsidRDefault="005C196A" w:rsidP="005C196A">
      <w:pPr>
        <w:rPr>
          <w:sz w:val="15"/>
          <w:szCs w:val="15"/>
          <w:lang w:val="fr-BE"/>
        </w:rPr>
      </w:pPr>
      <w:r w:rsidRPr="005C196A">
        <w:rPr>
          <w:sz w:val="15"/>
          <w:szCs w:val="15"/>
          <w:vertAlign w:val="superscript"/>
          <w:lang w:val="fr-BE"/>
        </w:rPr>
        <w:t>4</w:t>
      </w:r>
      <w:r w:rsidRPr="005C196A">
        <w:rPr>
          <w:sz w:val="15"/>
          <w:szCs w:val="15"/>
        </w:rPr>
        <w:t xml:space="preserve">Laboratoire de génétique de la conservation, Université de Liège, Institut de Botanique (Bat. 22), 4000 Liège, </w:t>
      </w:r>
      <w:proofErr w:type="spellStart"/>
      <w:r w:rsidRPr="005C196A">
        <w:rPr>
          <w:sz w:val="15"/>
          <w:szCs w:val="15"/>
        </w:rPr>
        <w:t>Belgium</w:t>
      </w:r>
      <w:proofErr w:type="spellEnd"/>
    </w:p>
    <w:p w:rsidR="005C196A" w:rsidRPr="005C196A" w:rsidRDefault="005C196A" w:rsidP="005C19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131413"/>
          <w:sz w:val="15"/>
          <w:szCs w:val="15"/>
        </w:rPr>
      </w:pPr>
    </w:p>
    <w:p w:rsidR="005C196A" w:rsidRPr="005C196A" w:rsidRDefault="005C196A" w:rsidP="005C196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131413"/>
          <w:sz w:val="17"/>
          <w:szCs w:val="17"/>
        </w:rPr>
      </w:pPr>
    </w:p>
    <w:p w:rsidR="004F32F5" w:rsidRPr="005C196A" w:rsidRDefault="004F32F5">
      <w:pPr>
        <w:rPr>
          <w:rFonts w:asciiTheme="majorHAnsi" w:hAnsiTheme="majorHAnsi" w:cs="DGMetaSerifScience"/>
          <w:sz w:val="24"/>
          <w:szCs w:val="24"/>
          <w:lang w:val="en-US"/>
        </w:rPr>
      </w:pPr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Water voles from the genus </w:t>
      </w:r>
      <w:proofErr w:type="spellStart"/>
      <w:r w:rsidRPr="005C196A">
        <w:rPr>
          <w:rFonts w:asciiTheme="majorHAnsi" w:hAnsiTheme="majorHAnsi" w:cs="DGMetaSerifScience"/>
          <w:i/>
          <w:sz w:val="24"/>
          <w:szCs w:val="24"/>
          <w:lang w:val="en-US"/>
        </w:rPr>
        <w:t>Arvicola</w:t>
      </w:r>
      <w:proofErr w:type="spellEnd"/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display an amazing ecological versality, with aquatic and terrestrial populations. Their taxonomic status and evolutionary relationships </w:t>
      </w:r>
      <w:r w:rsidR="00632B6C" w:rsidRPr="005C196A">
        <w:rPr>
          <w:rFonts w:asciiTheme="majorHAnsi" w:hAnsiTheme="majorHAnsi" w:cs="DGMetaSerifScience"/>
          <w:sz w:val="24"/>
          <w:szCs w:val="24"/>
          <w:lang w:val="en-US"/>
        </w:rPr>
        <w:t>has caused a long-standing dispute</w:t>
      </w:r>
      <w:r w:rsidR="00F55098" w:rsidRPr="005C196A">
        <w:rPr>
          <w:rFonts w:asciiTheme="majorHAnsi" w:hAnsiTheme="majorHAnsi" w:cs="DGMetaSerifScience"/>
          <w:sz w:val="24"/>
          <w:szCs w:val="24"/>
          <w:lang w:val="en-US"/>
        </w:rPr>
        <w:t>. T</w:t>
      </w:r>
      <w:r w:rsidR="00632B6C" w:rsidRPr="005C196A">
        <w:rPr>
          <w:rFonts w:asciiTheme="majorHAnsi" w:hAnsiTheme="majorHAnsi" w:cs="DGMetaSerifScience"/>
          <w:sz w:val="24"/>
          <w:szCs w:val="24"/>
          <w:lang w:val="en-US"/>
        </w:rPr>
        <w:t>wo aquatic (</w:t>
      </w:r>
      <w:proofErr w:type="spellStart"/>
      <w:r w:rsidR="00632B6C" w:rsidRPr="005C196A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sapidus</w:t>
      </w:r>
      <w:proofErr w:type="spellEnd"/>
      <w:r w:rsidR="00632B6C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, </w:t>
      </w:r>
      <w:proofErr w:type="spellStart"/>
      <w:r w:rsidR="00632B6C" w:rsidRPr="005C196A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amphibius</w:t>
      </w:r>
      <w:proofErr w:type="spellEnd"/>
      <w:r w:rsidR="00632B6C" w:rsidRPr="005C196A">
        <w:rPr>
          <w:rFonts w:asciiTheme="majorHAnsi" w:hAnsiTheme="majorHAnsi" w:cs="DGMetaSerifScience"/>
          <w:sz w:val="24"/>
          <w:szCs w:val="24"/>
          <w:lang w:val="en-US"/>
        </w:rPr>
        <w:t>) and one fossorial species (</w:t>
      </w:r>
      <w:proofErr w:type="spellStart"/>
      <w:r w:rsidR="00632B6C" w:rsidRPr="005C196A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scherman</w:t>
      </w:r>
      <w:proofErr w:type="spellEnd"/>
      <w:r w:rsidR="00632B6C" w:rsidRPr="005C196A">
        <w:rPr>
          <w:rFonts w:asciiTheme="majorHAnsi" w:hAnsiTheme="majorHAnsi" w:cs="DGMetaSerifScience"/>
          <w:sz w:val="24"/>
          <w:szCs w:val="24"/>
          <w:lang w:val="en-US"/>
        </w:rPr>
        <w:t>)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CE25FC" w:rsidRPr="005C196A">
        <w:rPr>
          <w:rFonts w:asciiTheme="majorHAnsi" w:hAnsiTheme="majorHAnsi" w:cs="DGMetaSerifScience"/>
          <w:sz w:val="24"/>
          <w:szCs w:val="24"/>
          <w:lang w:val="en-US"/>
        </w:rPr>
        <w:t>are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currently described</w:t>
      </w:r>
      <w:r w:rsidR="00632B6C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. </w:t>
      </w:r>
    </w:p>
    <w:p w:rsidR="004F32F5" w:rsidRPr="005C196A" w:rsidRDefault="00632B6C">
      <w:pPr>
        <w:rPr>
          <w:rFonts w:asciiTheme="majorHAnsi" w:hAnsiTheme="majorHAnsi" w:cs="DGMetaSerifScience"/>
          <w:sz w:val="24"/>
          <w:szCs w:val="24"/>
          <w:lang w:val="en-US"/>
        </w:rPr>
      </w:pPr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We used mitochondrial cytochrome </w:t>
      </w:r>
      <w:r w:rsidRPr="005C196A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 xml:space="preserve">b </w:t>
      </w:r>
      <w:r w:rsidRPr="005C196A">
        <w:rPr>
          <w:rFonts w:asciiTheme="majorHAnsi" w:hAnsiTheme="majorHAnsi" w:cs="DGMetaSerifScience"/>
          <w:sz w:val="24"/>
          <w:szCs w:val="24"/>
          <w:lang w:val="en-US"/>
        </w:rPr>
        <w:t>(</w:t>
      </w:r>
      <w:proofErr w:type="spellStart"/>
      <w:r w:rsidRPr="005C196A">
        <w:rPr>
          <w:rFonts w:asciiTheme="majorHAnsi" w:hAnsiTheme="majorHAnsi" w:cs="DGMetaSerifScience"/>
          <w:sz w:val="24"/>
          <w:szCs w:val="24"/>
          <w:lang w:val="en-US"/>
        </w:rPr>
        <w:t>cyt</w:t>
      </w:r>
      <w:r w:rsidRPr="005C196A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b</w:t>
      </w:r>
      <w:proofErr w:type="spellEnd"/>
      <w:r w:rsidRPr="005C196A">
        <w:rPr>
          <w:rFonts w:asciiTheme="majorHAnsi" w:hAnsiTheme="majorHAnsi" w:cs="DGMetaSerifScience"/>
          <w:sz w:val="24"/>
          <w:szCs w:val="24"/>
          <w:lang w:val="en-US"/>
        </w:rPr>
        <w:t>) gene sequences to reconstruct</w:t>
      </w:r>
      <w:r w:rsidR="004F32F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the</w:t>
      </w:r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phylogenetic relationships </w:t>
      </w:r>
      <w:r w:rsidR="004F32F5" w:rsidRPr="005C196A">
        <w:rPr>
          <w:rFonts w:asciiTheme="majorHAnsi" w:hAnsiTheme="majorHAnsi" w:cs="DGMetaSerifScience"/>
          <w:sz w:val="24"/>
          <w:szCs w:val="24"/>
          <w:lang w:val="en-US"/>
        </w:rPr>
        <w:t>among</w:t>
      </w:r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fossorial and aquatic water voles 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belonging to </w:t>
      </w:r>
      <w:r w:rsidR="00D922A5" w:rsidRPr="005C196A">
        <w:rPr>
          <w:rFonts w:asciiTheme="majorHAnsi" w:hAnsiTheme="majorHAnsi" w:cs="DGMetaSerifScience"/>
          <w:i/>
          <w:sz w:val="24"/>
          <w:szCs w:val="24"/>
          <w:lang w:val="en-US"/>
        </w:rPr>
        <w:t xml:space="preserve">A. </w:t>
      </w:r>
      <w:proofErr w:type="spellStart"/>
      <w:r w:rsidR="00D922A5" w:rsidRPr="005C196A">
        <w:rPr>
          <w:rFonts w:asciiTheme="majorHAnsi" w:hAnsiTheme="majorHAnsi" w:cs="DGMetaSerifScience"/>
          <w:i/>
          <w:sz w:val="24"/>
          <w:szCs w:val="24"/>
          <w:lang w:val="en-US"/>
        </w:rPr>
        <w:t>amphibius</w:t>
      </w:r>
      <w:proofErr w:type="spellEnd"/>
      <w:r w:rsidR="00D922A5" w:rsidRPr="005C196A">
        <w:rPr>
          <w:rFonts w:asciiTheme="majorHAnsi" w:hAnsiTheme="majorHAnsi" w:cs="DGMetaSerifScience"/>
          <w:i/>
          <w:sz w:val="24"/>
          <w:szCs w:val="24"/>
          <w:lang w:val="en-US"/>
        </w:rPr>
        <w:t xml:space="preserve"> 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>(</w:t>
      </w:r>
      <w:proofErr w:type="spellStart"/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>formely</w:t>
      </w:r>
      <w:proofErr w:type="spellEnd"/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proofErr w:type="spellStart"/>
      <w:r w:rsidR="00D922A5" w:rsidRPr="005C196A">
        <w:rPr>
          <w:rFonts w:asciiTheme="majorHAnsi" w:hAnsiTheme="majorHAnsi" w:cs="DGMetaSerifScience"/>
          <w:i/>
          <w:sz w:val="24"/>
          <w:szCs w:val="24"/>
          <w:lang w:val="en-US"/>
        </w:rPr>
        <w:t>terrestris</w:t>
      </w:r>
      <w:proofErr w:type="spellEnd"/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) </w:t>
      </w:r>
      <w:r w:rsidR="00D4020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collected in </w:t>
      </w:r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various regions of </w:t>
      </w:r>
      <w:r w:rsidR="00D40205" w:rsidRPr="005C196A">
        <w:rPr>
          <w:rFonts w:asciiTheme="majorHAnsi" w:hAnsiTheme="majorHAnsi" w:cs="DGMetaSerifScience"/>
          <w:sz w:val="24"/>
          <w:szCs w:val="24"/>
          <w:lang w:val="en-US"/>
        </w:rPr>
        <w:t>Europe</w:t>
      </w:r>
      <w:r w:rsidRPr="005C196A">
        <w:rPr>
          <w:rFonts w:asciiTheme="majorHAnsi" w:hAnsiTheme="majorHAnsi" w:cs="DGMetaSerifScience"/>
          <w:sz w:val="24"/>
          <w:szCs w:val="24"/>
          <w:lang w:val="en-US"/>
        </w:rPr>
        <w:t>.</w:t>
      </w:r>
      <w:r w:rsidR="00D4020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552DED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We 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>combined</w:t>
      </w:r>
      <w:r w:rsidR="00F55098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552DED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147 new sequences </w:t>
      </w:r>
      <w:r w:rsidR="009B7446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collected mostly in </w:t>
      </w:r>
      <w:r w:rsidR="00552DED" w:rsidRPr="005C196A">
        <w:rPr>
          <w:rFonts w:asciiTheme="majorHAnsi" w:hAnsiTheme="majorHAnsi" w:cs="DGMetaSerifScience"/>
          <w:sz w:val="24"/>
          <w:szCs w:val="24"/>
          <w:lang w:val="en-US"/>
        </w:rPr>
        <w:t>France, Germany and Great Britain</w:t>
      </w:r>
      <w:r w:rsidR="008C31A2" w:rsidRPr="005C196A">
        <w:rPr>
          <w:rFonts w:asciiTheme="majorHAnsi" w:hAnsiTheme="majorHAnsi" w:cs="DGMetaSerifScience"/>
          <w:sz w:val="24"/>
          <w:szCs w:val="24"/>
          <w:lang w:val="en-US"/>
        </w:rPr>
        <w:t>,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9B7446" w:rsidRPr="005C196A">
        <w:rPr>
          <w:rFonts w:asciiTheme="majorHAnsi" w:hAnsiTheme="majorHAnsi" w:cs="DGMetaSerifScience"/>
          <w:sz w:val="24"/>
          <w:szCs w:val="24"/>
          <w:lang w:val="en-US"/>
        </w:rPr>
        <w:t>with</w:t>
      </w:r>
      <w:r w:rsidR="00F55098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9B7446" w:rsidRPr="005C196A">
        <w:rPr>
          <w:rFonts w:asciiTheme="majorHAnsi" w:hAnsiTheme="majorHAnsi" w:cs="DGMetaSerifScience"/>
          <w:sz w:val="24"/>
          <w:szCs w:val="24"/>
          <w:lang w:val="en-US"/>
        </w:rPr>
        <w:t>available</w:t>
      </w:r>
      <w:r w:rsidR="00F55098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datasets from the entire range</w:t>
      </w:r>
      <w:r w:rsidR="00D922A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to provide </w:t>
      </w:r>
      <w:r w:rsidR="009B7446" w:rsidRPr="005C196A">
        <w:rPr>
          <w:rFonts w:asciiTheme="majorHAnsi" w:hAnsiTheme="majorHAnsi" w:cs="DGMetaSerifScience"/>
          <w:sz w:val="24"/>
          <w:szCs w:val="24"/>
          <w:lang w:val="en-US"/>
        </w:rPr>
        <w:t>an up-to-date phylogeny of this species</w:t>
      </w:r>
      <w:r w:rsidR="00552DED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. </w:t>
      </w:r>
      <w:r w:rsidR="008C31A2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Phylogenetic and network reconstructions retrieved 4 major lineages </w:t>
      </w:r>
      <w:r w:rsidR="004F32F5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all </w:t>
      </w:r>
      <w:r w:rsidR="009B7446" w:rsidRPr="005C196A">
        <w:rPr>
          <w:rFonts w:asciiTheme="majorHAnsi" w:hAnsiTheme="majorHAnsi" w:cs="DGMetaSerifScience"/>
          <w:sz w:val="24"/>
          <w:szCs w:val="24"/>
          <w:lang w:val="en-US"/>
        </w:rPr>
        <w:t>contain</w:t>
      </w:r>
      <w:r w:rsidR="004F32F5" w:rsidRPr="005C196A">
        <w:rPr>
          <w:rFonts w:asciiTheme="majorHAnsi" w:hAnsiTheme="majorHAnsi" w:cs="DGMetaSerifScience"/>
          <w:sz w:val="24"/>
          <w:szCs w:val="24"/>
          <w:lang w:val="en-US"/>
        </w:rPr>
        <w:t>ing</w:t>
      </w:r>
      <w:r w:rsidR="008C31A2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 fossorial and aquatic morphotypes</w:t>
      </w:r>
      <w:r w:rsidR="004F32F5" w:rsidRPr="005C196A">
        <w:rPr>
          <w:rFonts w:asciiTheme="majorHAnsi" w:hAnsiTheme="majorHAnsi" w:cs="DGMetaSerifScience"/>
          <w:sz w:val="24"/>
          <w:szCs w:val="24"/>
          <w:lang w:val="en-US"/>
        </w:rPr>
        <w:t>, discarding the view of each ecotype corresponding to a distinct species</w:t>
      </w:r>
      <w:r w:rsidR="008C31A2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. </w:t>
      </w:r>
    </w:p>
    <w:p w:rsidR="00D40205" w:rsidRPr="005C196A" w:rsidRDefault="004F32F5">
      <w:pPr>
        <w:rPr>
          <w:rFonts w:asciiTheme="majorHAnsi" w:hAnsiTheme="majorHAnsi" w:cs="DGMetaSerifScience"/>
          <w:sz w:val="24"/>
          <w:szCs w:val="24"/>
          <w:lang w:val="en-US"/>
        </w:rPr>
      </w:pPr>
      <w:r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Morphometric analyses of skull shape were performed on a set of aquatic and fossorial populations documenting the main lineages. Fossorial and aquatic populations tend to display convergent morphological features related to their ecology, blurring a part of the phylogenetic signal. </w:t>
      </w:r>
      <w:r w:rsidR="00A010F8" w:rsidRPr="005C196A">
        <w:rPr>
          <w:rFonts w:asciiTheme="majorHAnsi" w:hAnsiTheme="majorHAnsi" w:cs="DGMetaSerifScience"/>
          <w:sz w:val="24"/>
          <w:szCs w:val="24"/>
          <w:lang w:val="en-US"/>
        </w:rPr>
        <w:t xml:space="preserve">Different allometric trajectories related to the constraints of the aquatic vs. subterranean habitats may contribute to this morphological convergence. </w:t>
      </w:r>
    </w:p>
    <w:sectPr w:rsidR="00D40205" w:rsidRPr="005C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dvTTc999d02f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GMetaSerifScience">
    <w:altName w:val="Times New Roman"/>
    <w:panose1 w:val="020B0604020202020204"/>
    <w:charset w:val="EE"/>
    <w:family w:val="roman"/>
    <w:notTrueType/>
    <w:pitch w:val="default"/>
    <w:sig w:usb0="00000005" w:usb1="00000000" w:usb2="00000000" w:usb3="00000000" w:csb0="00000002" w:csb1="00000000"/>
  </w:font>
  <w:font w:name="DGMetaSerifScience-Italic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6C"/>
    <w:rsid w:val="000338ED"/>
    <w:rsid w:val="002904AC"/>
    <w:rsid w:val="002B2636"/>
    <w:rsid w:val="003A4C4F"/>
    <w:rsid w:val="004131FC"/>
    <w:rsid w:val="0047358E"/>
    <w:rsid w:val="004F32F5"/>
    <w:rsid w:val="00552DED"/>
    <w:rsid w:val="005C196A"/>
    <w:rsid w:val="00632B6C"/>
    <w:rsid w:val="00686B2D"/>
    <w:rsid w:val="00726117"/>
    <w:rsid w:val="007570FD"/>
    <w:rsid w:val="008A61F1"/>
    <w:rsid w:val="008C31A2"/>
    <w:rsid w:val="0092020D"/>
    <w:rsid w:val="009B7446"/>
    <w:rsid w:val="009F1F3D"/>
    <w:rsid w:val="00A010F8"/>
    <w:rsid w:val="00C50078"/>
    <w:rsid w:val="00CC4D9D"/>
    <w:rsid w:val="00CE25FC"/>
    <w:rsid w:val="00D40205"/>
    <w:rsid w:val="00D42D70"/>
    <w:rsid w:val="00D922A5"/>
    <w:rsid w:val="00EA0E1C"/>
    <w:rsid w:val="00F55098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B07A"/>
  <w15:chartTrackingRefBased/>
  <w15:docId w15:val="{1ECA29B2-68C2-412F-8532-50F6D09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50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F550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5509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Utilisateur Microsoft Office</cp:lastModifiedBy>
  <cp:revision>7</cp:revision>
  <dcterms:created xsi:type="dcterms:W3CDTF">2018-09-12T10:10:00Z</dcterms:created>
  <dcterms:modified xsi:type="dcterms:W3CDTF">2019-01-17T14:12:00Z</dcterms:modified>
</cp:coreProperties>
</file>