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B2" w:rsidRDefault="00C3431C" w:rsidP="002A02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Ex-situ conservation and exploration of Polar cyanobacteria in t</w:t>
      </w:r>
      <w:r w:rsidR="002A02B2">
        <w:rPr>
          <w:rFonts w:ascii="TimesNewRomanPS-BoldMT" w:hAnsi="TimesNewRomanPS-BoldMT" w:cs="TimesNewRomanPS-BoldMT"/>
          <w:b/>
          <w:bCs/>
          <w:sz w:val="28"/>
          <w:szCs w:val="28"/>
        </w:rPr>
        <w:t>he BCCM/ULC Collection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A. Wilmotte</w:t>
      </w: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</w:rPr>
        <w:t>,</w:t>
      </w: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>1,2</w:t>
      </w:r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</w:rPr>
        <w:t>, M. Santoro</w:t>
      </w: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>1,2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, K. Beets</w:t>
      </w: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>1,2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, Y. Lara</w:t>
      </w: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>1,3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, B. Durieu</w:t>
      </w: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>1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, V. Simons</w:t>
      </w: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>4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, M.E. Silva-Stenico</w:t>
      </w: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>5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, M. De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Fiore</w:t>
      </w: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>5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, L. Cornet</w:t>
      </w: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>6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, D. Baurain</w:t>
      </w: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>6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1. InBios - Centre for Protein Engineering, University of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Liege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Department of Life Sciences,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Liege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Belgium, 2. BCCM/ULC, InBios - Centre for Protein Engineering, University of Liège,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Liege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Belgium; 3.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Early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Life Traces &amp; Evolution-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Astrobiology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Geology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department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University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of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Liège, Liège, Belgium; 4. BCCM/MUCL, Université catholique de Louvain, Croix du Sud 2,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Louvain-la-Neuve, Belgium; 5. CENA, University of Sao Paulo, Piracicaba,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Brazil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6.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InBioSPhytoSYSTEMS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Phylogenomics of eukaryotes, Department of Life Sciences, University of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Liege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Liege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Belgium</w:t>
      </w:r>
    </w:p>
    <w:p w:rsidR="00195F4F" w:rsidRDefault="00195F4F" w:rsidP="002A02B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BCCM/ULC public collection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funded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by the Belgian Science Policy Office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since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2011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aims</w:t>
      </w:r>
      <w:proofErr w:type="spellEnd"/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gather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representative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portion of the polar cyanobacterial diversity with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different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ecological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origins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(limnetic microbial mats,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soil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crusts, cryoconites, endoliths, etc.). It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makes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available for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researchers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study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taxonomy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evolution, adaptations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harsh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environmental conditions, and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genomic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make-up. It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presently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includes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174 cyanobacterial strains, with more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half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of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polar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origin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(catalogue: </w:t>
      </w:r>
      <w:hyperlink r:id="rId4" w:history="1">
        <w:r w:rsidR="00195F4F" w:rsidRPr="00851DAC">
          <w:rPr>
            <w:rStyle w:val="Lienhypertexte"/>
            <w:rFonts w:ascii="TimesNewRomanPSMT" w:hAnsi="TimesNewRomanPSMT" w:cs="TimesNewRomanPSMT"/>
            <w:sz w:val="24"/>
            <w:szCs w:val="24"/>
          </w:rPr>
          <w:t>http://bccm.belspo.be/catalogues/ulc-catalogue-search</w:t>
        </w:r>
      </w:hyperlink>
      <w:r>
        <w:rPr>
          <w:rFonts w:ascii="TimesNewRomanPSMT" w:hAnsi="TimesNewRomanPSMT" w:cs="TimesNewRomanPSMT"/>
          <w:sz w:val="24"/>
          <w:szCs w:val="24"/>
        </w:rPr>
        <w:t>).</w:t>
      </w:r>
    </w:p>
    <w:p w:rsidR="00195F4F" w:rsidRDefault="00195F4F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morphological identification shows that the strains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belong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orders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Synechococcales,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Oscillatoriales, Pleurocapsales, Chroococcidiopsidales and Nostocales. The large diversity is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also</w:t>
      </w:r>
      <w:proofErr w:type="spellEnd"/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supported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by the phylogenetic analyses based on the 16S rRNA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sequences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This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broad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distribution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makes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BCCM/ULC collection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particularly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interesting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for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phylogenomic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studies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As an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example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,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better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understand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the survival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strategies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of an Antarctic cyanobacterium, we have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determined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genome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sequence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of the axenic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strain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Phormidesmis priestleyi </w:t>
      </w:r>
      <w:r>
        <w:rPr>
          <w:rFonts w:ascii="TimesNewRomanPSMT" w:hAnsi="TimesNewRomanPSMT" w:cs="TimesNewRomanPSMT"/>
          <w:sz w:val="24"/>
          <w:szCs w:val="24"/>
        </w:rPr>
        <w:t>ULC007 by High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Throughput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Sequencing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investigated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abundance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of genes 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targeted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functional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categories</w:t>
      </w:r>
      <w:proofErr w:type="spellEnd"/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based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on the RAST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subsystems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technology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195F4F" w:rsidRDefault="00195F4F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 addition, cyanobacteria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produce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 range of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secondary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metabolites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e.g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alkaloides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cyclic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linear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peptides,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polyketides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with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different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bioactive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potential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Bioassays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have shown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antifungal</w:t>
      </w:r>
      <w:proofErr w:type="spellEnd"/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activities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the cell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extracts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of strains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Plectolyngbya hodgsonii </w:t>
      </w:r>
      <w:r>
        <w:rPr>
          <w:rFonts w:ascii="TimesNewRomanPSMT" w:hAnsi="TimesNewRomanPSMT" w:cs="TimesNewRomanPSMT"/>
          <w:sz w:val="24"/>
          <w:szCs w:val="24"/>
        </w:rPr>
        <w:t xml:space="preserve">ULC009 and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Phormidium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priestleyi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ULC026. Due to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geographic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isolation and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strong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environmental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stressors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of the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habitat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, the exploration of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metabolites in Antarctic cyanobacterial strains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seems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promising</w:t>
      </w:r>
      <w:proofErr w:type="spellEnd"/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lastRenderedPageBreak/>
        <w:t>for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biotechnology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biomedical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applications.</w:t>
      </w:r>
    </w:p>
    <w:p w:rsidR="00195F4F" w:rsidRDefault="00195F4F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BCCM/ULC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obtained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 ISO 9001:2015 certification for public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safe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deposits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and for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distribution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living strains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genomic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DNA. The BCCM policy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continuously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aims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guarantee</w:t>
      </w:r>
      <w:proofErr w:type="spellEnd"/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safe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fit-for-use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microbiological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material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data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compliant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with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rules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on access and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utilization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the Nagoya Protocol. In addition, BCCM/ULC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provides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to clients from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academia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&amp;</w:t>
      </w:r>
    </w:p>
    <w:p w:rsidR="002A02B2" w:rsidRDefault="002A02B2" w:rsidP="002A02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industry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, a service of morphological identification and molecular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characterization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along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with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other</w:t>
      </w:r>
      <w:proofErr w:type="spellEnd"/>
    </w:p>
    <w:p w:rsidR="004F4891" w:rsidRDefault="002A02B2" w:rsidP="002A02B2">
      <w:proofErr w:type="gramStart"/>
      <w:r>
        <w:rPr>
          <w:rFonts w:ascii="TimesNewRomanPSMT" w:hAnsi="TimesNewRomanPSMT" w:cs="TimesNewRomanPSMT"/>
          <w:sz w:val="24"/>
          <w:szCs w:val="24"/>
        </w:rPr>
        <w:t>scientific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services as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tailor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-made trainings and collaborations.</w:t>
      </w:r>
    </w:p>
    <w:sectPr w:rsidR="004F4891" w:rsidSect="000948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02B2"/>
    <w:rsid w:val="00094831"/>
    <w:rsid w:val="00195F4F"/>
    <w:rsid w:val="002A02B2"/>
    <w:rsid w:val="004F4891"/>
    <w:rsid w:val="00C3431C"/>
    <w:rsid w:val="00F2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5F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ccm.belspo.be/catalogues/ulc-catalogue-sear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2701</Characters>
  <Application>Microsoft Office Word</Application>
  <DocSecurity>0</DocSecurity>
  <Lines>22</Lines>
  <Paragraphs>6</Paragraphs>
  <ScaleCrop>false</ScaleCrop>
  <Company>ULg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Wilmotte</dc:creator>
  <cp:keywords/>
  <dc:description/>
  <cp:lastModifiedBy>Wilmotte</cp:lastModifiedBy>
  <cp:revision>4</cp:revision>
  <dcterms:created xsi:type="dcterms:W3CDTF">2018-10-17T11:20:00Z</dcterms:created>
  <dcterms:modified xsi:type="dcterms:W3CDTF">2019-01-17T10:33:00Z</dcterms:modified>
</cp:coreProperties>
</file>