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AA" w:rsidRDefault="000A12AA">
      <w:r>
        <w:t>ELEC</w:t>
      </w:r>
    </w:p>
    <w:p w:rsidR="00871811" w:rsidRDefault="00C225AF">
      <w:proofErr w:type="spellStart"/>
      <w:r>
        <w:t>Delcomminette</w:t>
      </w:r>
      <w:proofErr w:type="spellEnd"/>
      <w:r w:rsidR="000A12AA">
        <w:t xml:space="preserve">, </w:t>
      </w:r>
      <w:proofErr w:type="spellStart"/>
      <w:r>
        <w:t>Chapellier</w:t>
      </w:r>
      <w:proofErr w:type="spellEnd"/>
      <w:r>
        <w:t xml:space="preserve"> </w:t>
      </w:r>
      <w:r w:rsidR="000A12AA">
        <w:t>et Leclercq (</w:t>
      </w:r>
      <w:r w:rsidR="00871811">
        <w:t>1)</w:t>
      </w:r>
      <w:r w:rsidR="000A12AA">
        <w:t xml:space="preserve"> ont mené une recherche qu’ils ont appelée ELEC </w:t>
      </w:r>
      <w:r w:rsidR="00871811">
        <w:t xml:space="preserve">ou </w:t>
      </w:r>
      <w:r w:rsidR="000A12AA" w:rsidRPr="00871811">
        <w:rPr>
          <w:b/>
        </w:rPr>
        <w:t>Evaluation Longitudinale par Etapes d</w:t>
      </w:r>
      <w:r w:rsidR="00871811">
        <w:rPr>
          <w:b/>
        </w:rPr>
        <w:t>’une</w:t>
      </w:r>
      <w:r w:rsidR="000A12AA" w:rsidRPr="00871811">
        <w:rPr>
          <w:b/>
        </w:rPr>
        <w:t xml:space="preserve"> Compétence</w:t>
      </w:r>
      <w:r w:rsidR="00871811">
        <w:rPr>
          <w:b/>
        </w:rPr>
        <w:t xml:space="preserve">, </w:t>
      </w:r>
      <w:r w:rsidR="00871811" w:rsidRPr="00871811">
        <w:t>(ici la compétence « </w:t>
      </w:r>
      <w:r w:rsidR="00871811">
        <w:t xml:space="preserve">Concevoir, Exécuter et </w:t>
      </w:r>
      <w:r w:rsidR="00871811" w:rsidRPr="00871811">
        <w:t>Rédiger u</w:t>
      </w:r>
      <w:r w:rsidR="00871811">
        <w:t>n Rapport de R</w:t>
      </w:r>
      <w:r w:rsidR="00871811" w:rsidRPr="00871811">
        <w:t>echerche</w:t>
      </w:r>
      <w:r w:rsidR="00871811">
        <w:t> »</w:t>
      </w:r>
      <w:r w:rsidR="000A12AA">
        <w:t xml:space="preserve">) où 19 groupes de 2 étudiant(e)s ont mené chacun une recherche expérimentale originale sur les procédés médiatiques </w:t>
      </w:r>
      <w:r w:rsidR="00871811">
        <w:t xml:space="preserve">(2) </w:t>
      </w:r>
      <w:r w:rsidR="000A12AA">
        <w:t xml:space="preserve">en utilisant </w:t>
      </w:r>
      <w:r w:rsidR="00871811">
        <w:t xml:space="preserve">leurs condisciples comme sujets. Ils ont été invités à en rédiger une première version </w:t>
      </w:r>
      <w:r w:rsidR="00D526C1">
        <w:t xml:space="preserve">(notée sur 20) </w:t>
      </w:r>
      <w:r w:rsidR="00871811">
        <w:t xml:space="preserve">du rapport. Sur </w:t>
      </w:r>
      <w:bookmarkStart w:id="0" w:name="_GoBack"/>
      <w:bookmarkEnd w:id="0"/>
      <w:r w:rsidR="00871811">
        <w:t>cette version 1, les encadrants ont fait des remarques et suggestions sur base des critères d’</w:t>
      </w:r>
      <w:proofErr w:type="spellStart"/>
      <w:r w:rsidR="00871811">
        <w:t>ne</w:t>
      </w:r>
      <w:proofErr w:type="spellEnd"/>
      <w:r w:rsidR="00871811">
        <w:t xml:space="preserve"> version de l’époque de « Pour un Rapport de Recherche de qualité ».  Les étudiants avaient un mois pour produire une version 2. La figure suivante montre les améliorations considérables entre les deux versions. </w:t>
      </w:r>
    </w:p>
    <w:p w:rsidR="00D526C1" w:rsidRDefault="00D526C1">
      <w:r>
        <w:t>On constate que ce sont surtout les rapports les plus faibles en version 1 qui ont le plus progressé en version 2. Le Gain Relatif Global (GRG) est 46%. Attention : Le GRG n’est pas la moyenne des Gains Relatifs Individuels (GRI).</w:t>
      </w:r>
    </w:p>
    <w:p w:rsidR="005A364E" w:rsidRDefault="00871811">
      <w:r>
        <w:t>On peut faire l’hypothèse qu’une relecture de la version 2, avec une limite </w:t>
      </w:r>
      <w:r w:rsidR="00D526C1">
        <w:t xml:space="preserve">cependant </w:t>
      </w:r>
      <w:r>
        <w:t xml:space="preserve">: </w:t>
      </w:r>
      <w:r w:rsidR="00BC542E">
        <w:t>certains défauts et faiblesses au mom</w:t>
      </w:r>
      <w:r>
        <w:t>e</w:t>
      </w:r>
      <w:r w:rsidR="00BC542E">
        <w:t>nt de la</w:t>
      </w:r>
      <w:r>
        <w:t xml:space="preserve"> conception et de l’exécution </w:t>
      </w:r>
      <w:r w:rsidR="00BC542E">
        <w:t xml:space="preserve">de la recherche </w:t>
      </w:r>
      <w:r>
        <w:t xml:space="preserve">ne sont </w:t>
      </w:r>
      <w:r w:rsidR="00BC542E">
        <w:t xml:space="preserve">plus rattrapables lors de la rédaction du rapport. </w:t>
      </w:r>
    </w:p>
    <w:p w:rsidR="00C225AF" w:rsidRDefault="00C225AF">
      <w:r w:rsidRPr="00591A15">
        <w:rPr>
          <w:noProof/>
          <w:lang w:eastAsia="fr-BE"/>
        </w:rPr>
        <w:drawing>
          <wp:inline distT="0" distB="0" distL="0" distR="0" wp14:anchorId="7B44E8BF" wp14:editId="1DA1F17B">
            <wp:extent cx="5760720" cy="3411362"/>
            <wp:effectExtent l="0" t="0" r="11430" b="1778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12AA" w:rsidRPr="00871811" w:rsidRDefault="00871811" w:rsidP="000A12AA">
      <w:pPr>
        <w:ind w:left="709" w:hanging="709"/>
      </w:pPr>
      <w:r>
        <w:t>(1)</w:t>
      </w:r>
      <w:r w:rsidR="00D526C1">
        <w:t xml:space="preserve"> </w:t>
      </w:r>
      <w:proofErr w:type="spellStart"/>
      <w:r w:rsidR="000A12AA" w:rsidRPr="007317C6">
        <w:t>Delcomminette</w:t>
      </w:r>
      <w:proofErr w:type="spellEnd"/>
      <w:r w:rsidR="000A12AA" w:rsidRPr="007317C6">
        <w:t xml:space="preserve">, S., </w:t>
      </w:r>
      <w:proofErr w:type="spellStart"/>
      <w:r w:rsidR="000A12AA" w:rsidRPr="007317C6">
        <w:t>Chapellier</w:t>
      </w:r>
      <w:proofErr w:type="spellEnd"/>
      <w:r w:rsidR="000A12AA" w:rsidRPr="007317C6">
        <w:t xml:space="preserve">, B. &amp; </w:t>
      </w:r>
      <w:r w:rsidR="000A12AA" w:rsidRPr="009C12BD">
        <w:t>Leclercq, D.</w:t>
      </w:r>
      <w:r w:rsidR="000A12AA" w:rsidRPr="007317C6">
        <w:t xml:space="preserve"> (2012) L’évaluation longitudinale par étapes de la compétence (ELEC) à mener </w:t>
      </w:r>
      <w:r w:rsidR="000A12AA">
        <w:t xml:space="preserve">une recherche et à en produire </w:t>
      </w:r>
      <w:r w:rsidR="000A12AA" w:rsidRPr="007317C6">
        <w:t>l</w:t>
      </w:r>
      <w:r w:rsidR="000A12AA">
        <w:t>e</w:t>
      </w:r>
      <w:r w:rsidR="000A12AA" w:rsidRPr="007317C6">
        <w:t xml:space="preserve"> rapport. </w:t>
      </w:r>
      <w:r w:rsidR="000A12AA" w:rsidRPr="00871811">
        <w:t>Actes du 24° Colloque ADMEE-Europe. Luxembourg.</w:t>
      </w:r>
    </w:p>
    <w:p w:rsidR="00427B28" w:rsidRDefault="00871811">
      <w:r>
        <w:t xml:space="preserve">(2) Dans le cadre du cours « Conception et Analyse de Messages </w:t>
      </w:r>
      <w:proofErr w:type="spellStart"/>
      <w:r>
        <w:t>Multi-Médias</w:t>
      </w:r>
      <w:proofErr w:type="spellEnd"/>
      <w:r>
        <w:t xml:space="preserve"> – CAMMM » (prof. D. Leclercq)</w:t>
      </w:r>
    </w:p>
    <w:sectPr w:rsidR="0042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AF"/>
    <w:rsid w:val="000A12AA"/>
    <w:rsid w:val="0019028B"/>
    <w:rsid w:val="00402C58"/>
    <w:rsid w:val="00427B28"/>
    <w:rsid w:val="005A364E"/>
    <w:rsid w:val="00871811"/>
    <w:rsid w:val="009C12BD"/>
    <w:rsid w:val="00BC542E"/>
    <w:rsid w:val="00C225AF"/>
    <w:rsid w:val="00D17FB7"/>
    <w:rsid w:val="00D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0C42D-EE00-4734-9C61-67B55ED2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apa\Documents\r&#233;sultats%20des%20deux%20&#233;valuation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BE" sz="1200">
                <a:latin typeface="Times New Roman" pitchFamily="18" charset="0"/>
                <a:cs typeface="Times New Roman" pitchFamily="18" charset="0"/>
              </a:rPr>
              <a:t>Notes des rapports</a:t>
            </a:r>
            <a:r>
              <a:rPr lang="fr-BE" sz="1200" baseline="0">
                <a:latin typeface="Times New Roman" pitchFamily="18" charset="0"/>
                <a:cs typeface="Times New Roman" pitchFamily="18" charset="0"/>
              </a:rPr>
              <a:t> de recherche des 19</a:t>
            </a:r>
            <a:r>
              <a:rPr lang="fr-BE" sz="1200">
                <a:latin typeface="Times New Roman" pitchFamily="18" charset="0"/>
                <a:cs typeface="Times New Roman" pitchFamily="18" charset="0"/>
              </a:rPr>
              <a:t> groupes</a:t>
            </a:r>
            <a:r>
              <a:rPr lang="fr-BE" sz="1200" baseline="0">
                <a:latin typeface="Times New Roman" pitchFamily="18" charset="0"/>
                <a:cs typeface="Times New Roman" pitchFamily="18" charset="0"/>
              </a:rPr>
              <a:t> dans leurs deux versions (1= mai et 2= juin)</a:t>
            </a:r>
            <a:endParaRPr lang="fr-BE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8460944448059691E-2"/>
          <c:y val="0.14862402527186891"/>
          <c:w val="0.88644214626913642"/>
          <c:h val="0.67559025813995055"/>
        </c:manualLayout>
      </c:layout>
      <c:lineChart>
        <c:grouping val="standard"/>
        <c:varyColors val="0"/>
        <c:ser>
          <c:idx val="0"/>
          <c:order val="0"/>
          <c:tx>
            <c:strRef>
              <c:f>Feuil2!$E$9</c:f>
              <c:strCache>
                <c:ptCount val="1"/>
                <c:pt idx="0">
                  <c:v>notes à la version1</c:v>
                </c:pt>
              </c:strCache>
            </c:strRef>
          </c:tx>
          <c:spPr>
            <a:ln>
              <a:noFill/>
            </a:ln>
          </c:spPr>
          <c:dLbls>
            <c:delete val="1"/>
          </c:dLbls>
          <c:cat>
            <c:strRef>
              <c:f>Feuil2!$D$11:$D$29</c:f>
              <c:strCache>
                <c:ptCount val="19"/>
                <c:pt idx="0">
                  <c:v>G8</c:v>
                </c:pt>
                <c:pt idx="1">
                  <c:v>G12</c:v>
                </c:pt>
                <c:pt idx="2">
                  <c:v>G13</c:v>
                </c:pt>
                <c:pt idx="3">
                  <c:v>G14</c:v>
                </c:pt>
                <c:pt idx="4">
                  <c:v>G18</c:v>
                </c:pt>
                <c:pt idx="5">
                  <c:v>G1</c:v>
                </c:pt>
                <c:pt idx="6">
                  <c:v>G2</c:v>
                </c:pt>
                <c:pt idx="7">
                  <c:v>G7</c:v>
                </c:pt>
                <c:pt idx="8">
                  <c:v>G9</c:v>
                </c:pt>
                <c:pt idx="9">
                  <c:v>G10</c:v>
                </c:pt>
                <c:pt idx="10">
                  <c:v>G16</c:v>
                </c:pt>
                <c:pt idx="11">
                  <c:v>G3</c:v>
                </c:pt>
                <c:pt idx="12">
                  <c:v>G6</c:v>
                </c:pt>
                <c:pt idx="13">
                  <c:v>G15</c:v>
                </c:pt>
                <c:pt idx="14">
                  <c:v>G17</c:v>
                </c:pt>
                <c:pt idx="15">
                  <c:v>G19</c:v>
                </c:pt>
                <c:pt idx="16">
                  <c:v>G11</c:v>
                </c:pt>
                <c:pt idx="17">
                  <c:v>G4</c:v>
                </c:pt>
                <c:pt idx="18">
                  <c:v>G5</c:v>
                </c:pt>
              </c:strCache>
            </c:strRef>
          </c:cat>
          <c:val>
            <c:numRef>
              <c:f>Feuil2!$E$11:$E$29</c:f>
              <c:numCache>
                <c:formatCode>General</c:formatCode>
                <c:ptCount val="19"/>
                <c:pt idx="0">
                  <c:v>8.5</c:v>
                </c:pt>
                <c:pt idx="1">
                  <c:v>8.5</c:v>
                </c:pt>
                <c:pt idx="2">
                  <c:v>8.5</c:v>
                </c:pt>
                <c:pt idx="3">
                  <c:v>8.5</c:v>
                </c:pt>
                <c:pt idx="4">
                  <c:v>8.5</c:v>
                </c:pt>
                <c:pt idx="5">
                  <c:v>10.5</c:v>
                </c:pt>
                <c:pt idx="6">
                  <c:v>10.5</c:v>
                </c:pt>
                <c:pt idx="7">
                  <c:v>10.5</c:v>
                </c:pt>
                <c:pt idx="8">
                  <c:v>10.5</c:v>
                </c:pt>
                <c:pt idx="9">
                  <c:v>10.5</c:v>
                </c:pt>
                <c:pt idx="10">
                  <c:v>10.5</c:v>
                </c:pt>
                <c:pt idx="11">
                  <c:v>12</c:v>
                </c:pt>
                <c:pt idx="12">
                  <c:v>13</c:v>
                </c:pt>
                <c:pt idx="13">
                  <c:v>13</c:v>
                </c:pt>
                <c:pt idx="14">
                  <c:v>13</c:v>
                </c:pt>
                <c:pt idx="15">
                  <c:v>13</c:v>
                </c:pt>
                <c:pt idx="16">
                  <c:v>14.5</c:v>
                </c:pt>
                <c:pt idx="17">
                  <c:v>15</c:v>
                </c:pt>
                <c:pt idx="18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88-4B56-8084-BCBB081F6B3A}"/>
            </c:ext>
          </c:extLst>
        </c:ser>
        <c:ser>
          <c:idx val="1"/>
          <c:order val="1"/>
          <c:tx>
            <c:strRef>
              <c:f>Feuil2!$F$9</c:f>
              <c:strCache>
                <c:ptCount val="1"/>
                <c:pt idx="0">
                  <c:v>notes à la version2</c:v>
                </c:pt>
              </c:strCache>
            </c:strRef>
          </c:tx>
          <c:spPr>
            <a:ln>
              <a:noFill/>
            </a:ln>
          </c:spPr>
          <c:dLbls>
            <c:delete val="1"/>
          </c:dLbls>
          <c:cat>
            <c:strRef>
              <c:f>Feuil2!$D$11:$D$29</c:f>
              <c:strCache>
                <c:ptCount val="19"/>
                <c:pt idx="0">
                  <c:v>G8</c:v>
                </c:pt>
                <c:pt idx="1">
                  <c:v>G12</c:v>
                </c:pt>
                <c:pt idx="2">
                  <c:v>G13</c:v>
                </c:pt>
                <c:pt idx="3">
                  <c:v>G14</c:v>
                </c:pt>
                <c:pt idx="4">
                  <c:v>G18</c:v>
                </c:pt>
                <c:pt idx="5">
                  <c:v>G1</c:v>
                </c:pt>
                <c:pt idx="6">
                  <c:v>G2</c:v>
                </c:pt>
                <c:pt idx="7">
                  <c:v>G7</c:v>
                </c:pt>
                <c:pt idx="8">
                  <c:v>G9</c:v>
                </c:pt>
                <c:pt idx="9">
                  <c:v>G10</c:v>
                </c:pt>
                <c:pt idx="10">
                  <c:v>G16</c:v>
                </c:pt>
                <c:pt idx="11">
                  <c:v>G3</c:v>
                </c:pt>
                <c:pt idx="12">
                  <c:v>G6</c:v>
                </c:pt>
                <c:pt idx="13">
                  <c:v>G15</c:v>
                </c:pt>
                <c:pt idx="14">
                  <c:v>G17</c:v>
                </c:pt>
                <c:pt idx="15">
                  <c:v>G19</c:v>
                </c:pt>
                <c:pt idx="16">
                  <c:v>G11</c:v>
                </c:pt>
                <c:pt idx="17">
                  <c:v>G4</c:v>
                </c:pt>
                <c:pt idx="18">
                  <c:v>G5</c:v>
                </c:pt>
              </c:strCache>
            </c:strRef>
          </c:cat>
          <c:val>
            <c:numRef>
              <c:f>Feuil2!$F$11:$F$29</c:f>
              <c:numCache>
                <c:formatCode>General</c:formatCode>
                <c:ptCount val="19"/>
                <c:pt idx="0">
                  <c:v>15</c:v>
                </c:pt>
                <c:pt idx="1">
                  <c:v>13</c:v>
                </c:pt>
                <c:pt idx="2">
                  <c:v>15.5</c:v>
                </c:pt>
                <c:pt idx="3">
                  <c:v>16</c:v>
                </c:pt>
                <c:pt idx="4">
                  <c:v>16.5</c:v>
                </c:pt>
                <c:pt idx="5">
                  <c:v>16</c:v>
                </c:pt>
                <c:pt idx="6">
                  <c:v>14</c:v>
                </c:pt>
                <c:pt idx="7">
                  <c:v>13.5</c:v>
                </c:pt>
                <c:pt idx="8">
                  <c:v>14.5</c:v>
                </c:pt>
                <c:pt idx="9">
                  <c:v>14.5</c:v>
                </c:pt>
                <c:pt idx="10">
                  <c:v>16</c:v>
                </c:pt>
                <c:pt idx="11">
                  <c:v>13</c:v>
                </c:pt>
                <c:pt idx="12">
                  <c:v>15</c:v>
                </c:pt>
                <c:pt idx="13">
                  <c:v>16</c:v>
                </c:pt>
                <c:pt idx="14">
                  <c:v>15.5</c:v>
                </c:pt>
                <c:pt idx="15">
                  <c:v>15</c:v>
                </c:pt>
                <c:pt idx="16">
                  <c:v>17.5</c:v>
                </c:pt>
                <c:pt idx="17">
                  <c:v>17.5</c:v>
                </c:pt>
                <c:pt idx="18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88-4B56-8084-BCBB081F6B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3712000"/>
        <c:axId val="35452800"/>
      </c:lineChart>
      <c:catAx>
        <c:axId val="337120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r-BE"/>
                  <a:t>Groupes d'étudiants ordonnés par ordre croissant de note à la </a:t>
                </a:r>
                <a:r>
                  <a:rPr lang="fr-B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version1-mai</a:t>
                </a:r>
                <a:endParaRPr lang="fr-BE"/>
              </a:p>
            </c:rich>
          </c:tx>
          <c:overlay val="0"/>
        </c:title>
        <c:numFmt formatCode="General" sourceLinked="1"/>
        <c:majorTickMark val="cross"/>
        <c:minorTickMark val="cross"/>
        <c:tickLblPos val="nextTo"/>
        <c:crossAx val="3545280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3545280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fr-BE"/>
                  <a:t>Note Totale (max=20)</a:t>
                </a:r>
              </a:p>
            </c:rich>
          </c:tx>
          <c:overlay val="0"/>
        </c:title>
        <c:numFmt formatCode="General" sourceLinked="1"/>
        <c:majorTickMark val="cross"/>
        <c:minorTickMark val="none"/>
        <c:tickLblPos val="nextTo"/>
        <c:crossAx val="33712000"/>
        <c:crosses val="autoZero"/>
        <c:crossBetween val="between"/>
      </c:valAx>
      <c:spPr>
        <a:noFill/>
        <a:ln w="2540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10117680744452399"/>
          <c:y val="0.62245076176047398"/>
          <c:w val="0.20543404296685136"/>
          <c:h val="0.11916252643048944"/>
        </c:manualLayout>
      </c:layout>
      <c:overlay val="0"/>
    </c:legend>
    <c:plotVisOnly val="0"/>
    <c:dispBlanksAs val="zero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0.49473</cdr:x>
      <cdr:y>0.5737</cdr:y>
    </cdr:from>
    <cdr:to>
      <cdr:x>0.74848</cdr:x>
      <cdr:y>0.79376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2850941" y="1957747"/>
          <a:ext cx="1462266" cy="7509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36000" rIns="36000" rtlCol="0"/>
        <a:lstStyle xmlns:a="http://schemas.openxmlformats.org/drawingml/2006/main"/>
        <a:p xmlns:a="http://schemas.openxmlformats.org/drawingml/2006/main">
          <a:r>
            <a:rPr lang="fr-BE" sz="1000" b="1">
              <a:solidFill>
                <a:schemeClr val="accent1">
                  <a:lumMod val="60000"/>
                  <a:lumOff val="40000"/>
                </a:schemeClr>
              </a:solidFill>
            </a:rPr>
            <a:t>M1:</a:t>
          </a:r>
          <a:r>
            <a:rPr lang="fr-BE" sz="1000" b="1">
              <a:solidFill>
                <a:sysClr val="windowText" lastClr="000000"/>
              </a:solidFill>
            </a:rPr>
            <a:t> 11,3</a:t>
          </a:r>
        </a:p>
        <a:p xmlns:a="http://schemas.openxmlformats.org/drawingml/2006/main">
          <a:r>
            <a:rPr lang="fr-BE" sz="1000" b="1">
              <a:solidFill>
                <a:schemeClr val="accent2">
                  <a:lumMod val="60000"/>
                  <a:lumOff val="40000"/>
                </a:schemeClr>
              </a:solidFill>
            </a:rPr>
            <a:t>M2</a:t>
          </a:r>
          <a:r>
            <a:rPr lang="fr-BE" sz="1000" b="1"/>
            <a:t>: 15,3</a:t>
          </a:r>
        </a:p>
        <a:p xmlns:a="http://schemas.openxmlformats.org/drawingml/2006/main">
          <a:r>
            <a:rPr lang="fr-BE" sz="1000" b="1">
              <a:solidFill>
                <a:schemeClr val="accent1">
                  <a:lumMod val="60000"/>
                  <a:lumOff val="40000"/>
                </a:schemeClr>
              </a:solidFill>
            </a:rPr>
            <a:t>ET1</a:t>
          </a:r>
          <a:r>
            <a:rPr lang="fr-BE" sz="1000" b="1"/>
            <a:t>:</a:t>
          </a:r>
          <a:r>
            <a:rPr lang="fr-BE" sz="1000" b="1" baseline="0"/>
            <a:t> 2,3</a:t>
          </a:r>
        </a:p>
        <a:p xmlns:a="http://schemas.openxmlformats.org/drawingml/2006/main">
          <a:r>
            <a:rPr lang="fr-BE" sz="1000" b="1">
              <a:solidFill>
                <a:schemeClr val="accent2">
                  <a:lumMod val="60000"/>
                  <a:lumOff val="40000"/>
                </a:schemeClr>
              </a:solidFill>
            </a:rPr>
            <a:t>ET2</a:t>
          </a:r>
          <a:r>
            <a:rPr lang="fr-BE" sz="1000" b="1"/>
            <a:t>: 1,4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Dieudonné Leclercq 2</dc:creator>
  <cp:lastModifiedBy>d.leclercq@uliege.be</cp:lastModifiedBy>
  <cp:revision>5</cp:revision>
  <dcterms:created xsi:type="dcterms:W3CDTF">2018-12-23T17:51:00Z</dcterms:created>
  <dcterms:modified xsi:type="dcterms:W3CDTF">2018-12-23T21:33:00Z</dcterms:modified>
</cp:coreProperties>
</file>