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73" w:rsidRPr="009F7AA2" w:rsidRDefault="00150673" w:rsidP="00150673">
      <w:pPr>
        <w:pStyle w:val="Default"/>
      </w:pPr>
    </w:p>
    <w:p w:rsidR="0092096C" w:rsidRDefault="0092096C" w:rsidP="0092096C">
      <w:pPr>
        <w:autoSpaceDE w:val="0"/>
        <w:autoSpaceDN w:val="0"/>
        <w:adjustRightInd w:val="0"/>
        <w:spacing w:line="240" w:lineRule="auto"/>
        <w:jc w:val="center"/>
        <w:rPr>
          <w:rFonts w:ascii="LiberationSans" w:hAnsi="LiberationSans" w:cs="LiberationSans"/>
          <w:sz w:val="24"/>
          <w:szCs w:val="24"/>
        </w:rPr>
      </w:pPr>
      <w:r w:rsidRPr="0092096C">
        <w:rPr>
          <w:rFonts w:asciiTheme="minorHAnsi" w:hAnsiTheme="minorHAnsi" w:cs="LiberationSans"/>
          <w:b/>
          <w:sz w:val="32"/>
          <w:szCs w:val="32"/>
        </w:rPr>
        <w:t xml:space="preserve">How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could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the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herbicidal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effects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of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selected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essential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oil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</w:t>
      </w:r>
      <w:proofErr w:type="gramStart"/>
      <w:r w:rsidRPr="0092096C">
        <w:rPr>
          <w:rFonts w:asciiTheme="minorHAnsi" w:hAnsiTheme="minorHAnsi" w:cs="LiberationSans"/>
          <w:b/>
          <w:sz w:val="32"/>
          <w:szCs w:val="32"/>
        </w:rPr>
        <w:t>compounds</w:t>
      </w:r>
      <w:proofErr w:type="gram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be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related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to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their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 xml:space="preserve"> membrane </w:t>
      </w:r>
      <w:proofErr w:type="spellStart"/>
      <w:r w:rsidRPr="0092096C">
        <w:rPr>
          <w:rFonts w:asciiTheme="minorHAnsi" w:hAnsiTheme="minorHAnsi" w:cs="LiberationSans"/>
          <w:b/>
          <w:sz w:val="32"/>
          <w:szCs w:val="32"/>
        </w:rPr>
        <w:t>activity</w:t>
      </w:r>
      <w:proofErr w:type="spellEnd"/>
      <w:r w:rsidRPr="0092096C">
        <w:rPr>
          <w:rFonts w:asciiTheme="minorHAnsi" w:hAnsiTheme="minorHAnsi" w:cs="LiberationSans"/>
          <w:b/>
          <w:sz w:val="32"/>
          <w:szCs w:val="32"/>
        </w:rPr>
        <w:t> ?</w:t>
      </w:r>
    </w:p>
    <w:p w:rsidR="00FD0C04" w:rsidRPr="00894E5F" w:rsidRDefault="00FD0C04" w:rsidP="0092096C">
      <w:pPr>
        <w:pStyle w:val="Default"/>
        <w:jc w:val="center"/>
        <w:rPr>
          <w:rFonts w:ascii="Calibri" w:hAnsi="Calibri" w:cs="Times New Roman"/>
          <w:b/>
          <w:bCs/>
          <w:color w:val="auto"/>
          <w:kern w:val="28"/>
          <w:sz w:val="32"/>
          <w:szCs w:val="20"/>
          <w:lang w:eastAsia="es-ES"/>
        </w:rPr>
      </w:pP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LiberationSans"/>
          <w:sz w:val="24"/>
          <w:szCs w:val="24"/>
        </w:rPr>
      </w:pPr>
      <w:r w:rsidRPr="0092096C">
        <w:rPr>
          <w:rFonts w:asciiTheme="minorHAnsi" w:hAnsiTheme="minorHAnsi" w:cs="LiberationSans"/>
          <w:sz w:val="24"/>
          <w:szCs w:val="24"/>
        </w:rPr>
        <w:t>Lins, L</w:t>
      </w:r>
      <w:r w:rsidRPr="0092096C">
        <w:rPr>
          <w:rFonts w:asciiTheme="minorHAnsi" w:hAnsiTheme="minorHAnsi" w:cs="LiberationSans"/>
          <w:sz w:val="24"/>
          <w:szCs w:val="24"/>
          <w:vertAlign w:val="superscript"/>
        </w:rPr>
        <w:t>1</w:t>
      </w:r>
      <w:r w:rsidRPr="0092096C">
        <w:rPr>
          <w:rFonts w:asciiTheme="minorHAnsi" w:hAnsiTheme="minorHAnsi" w:cs="LiberationSans"/>
          <w:sz w:val="24"/>
          <w:szCs w:val="24"/>
        </w:rPr>
        <w:t xml:space="preserve">.,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Bettaieb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>, I</w:t>
      </w:r>
      <w:r>
        <w:rPr>
          <w:rFonts w:asciiTheme="minorHAnsi" w:hAnsiTheme="minorHAnsi" w:cs="LiberationSans"/>
          <w:sz w:val="24"/>
          <w:szCs w:val="24"/>
        </w:rPr>
        <w:t>²</w:t>
      </w:r>
      <w:r w:rsidRPr="0092096C">
        <w:rPr>
          <w:rFonts w:asciiTheme="minorHAnsi" w:hAnsiTheme="minorHAnsi" w:cs="LiberationSans"/>
          <w:sz w:val="24"/>
          <w:szCs w:val="24"/>
        </w:rPr>
        <w:t xml:space="preserve">, Dal Maso </w:t>
      </w:r>
      <w:proofErr w:type="gramStart"/>
      <w:r w:rsidRPr="0092096C">
        <w:rPr>
          <w:rFonts w:asciiTheme="minorHAnsi" w:hAnsiTheme="minorHAnsi" w:cs="LiberationSans"/>
          <w:sz w:val="24"/>
          <w:szCs w:val="24"/>
        </w:rPr>
        <w:t>S.</w:t>
      </w:r>
      <w:r w:rsidRPr="0092096C">
        <w:rPr>
          <w:rFonts w:asciiTheme="minorHAnsi" w:hAnsiTheme="minorHAnsi" w:cs="LiberationSans"/>
          <w:sz w:val="24"/>
          <w:szCs w:val="24"/>
          <w:vertAlign w:val="superscript"/>
        </w:rPr>
        <w:t>3</w:t>
      </w:r>
      <w:r>
        <w:rPr>
          <w:rFonts w:asciiTheme="minorHAnsi" w:hAnsiTheme="minorHAnsi" w:cs="LiberationSans"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="LiberationSans"/>
          <w:sz w:val="24"/>
          <w:szCs w:val="24"/>
        </w:rPr>
        <w:t>,</w:t>
      </w:r>
      <w:proofErr w:type="gramEnd"/>
      <w:r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Kenné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T.</w:t>
      </w:r>
      <w:r>
        <w:rPr>
          <w:rFonts w:asciiTheme="minorHAnsi" w:hAnsiTheme="minorHAnsi" w:cs="LiberationSans"/>
          <w:sz w:val="24"/>
          <w:szCs w:val="24"/>
          <w:vertAlign w:val="superscript"/>
        </w:rPr>
        <w:t>²</w:t>
      </w:r>
      <w:r w:rsidRPr="0092096C">
        <w:rPr>
          <w:rFonts w:asciiTheme="minorHAnsi" w:hAnsiTheme="minorHAnsi" w:cs="LiberationSans"/>
          <w:sz w:val="24"/>
          <w:szCs w:val="24"/>
        </w:rPr>
        <w:t xml:space="preserve">, De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Clerck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>, C</w:t>
      </w:r>
      <w:r w:rsidRPr="0092096C">
        <w:rPr>
          <w:rFonts w:asciiTheme="minorHAnsi" w:hAnsiTheme="minorHAnsi" w:cs="LiberationSans"/>
          <w:sz w:val="24"/>
          <w:szCs w:val="24"/>
          <w:vertAlign w:val="superscript"/>
        </w:rPr>
        <w:t>3</w:t>
      </w:r>
      <w:r w:rsidRPr="0092096C">
        <w:rPr>
          <w:rFonts w:asciiTheme="minorHAnsi" w:hAnsiTheme="minorHAnsi" w:cs="LiberationSans"/>
          <w:sz w:val="24"/>
          <w:szCs w:val="24"/>
        </w:rPr>
        <w:t>, Deleu, M</w:t>
      </w:r>
      <w:r w:rsidRPr="0092096C">
        <w:rPr>
          <w:rFonts w:asciiTheme="minorHAnsi" w:hAnsiTheme="minorHAnsi" w:cs="LiberationSans"/>
          <w:sz w:val="24"/>
          <w:szCs w:val="24"/>
          <w:vertAlign w:val="superscript"/>
        </w:rPr>
        <w:t>1</w:t>
      </w:r>
      <w:r w:rsidRPr="0092096C">
        <w:rPr>
          <w:rFonts w:asciiTheme="minorHAnsi" w:hAnsiTheme="minorHAnsi" w:cs="LiberationSans"/>
          <w:sz w:val="24"/>
          <w:szCs w:val="24"/>
        </w:rPr>
        <w:t xml:space="preserve">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Jijakli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>, H</w:t>
      </w:r>
      <w:r w:rsidRPr="0092096C">
        <w:rPr>
          <w:rFonts w:asciiTheme="minorHAnsi" w:hAnsiTheme="minorHAnsi" w:cs="LiberationSans"/>
          <w:sz w:val="24"/>
          <w:szCs w:val="24"/>
          <w:vertAlign w:val="superscript"/>
        </w:rPr>
        <w:t>3</w:t>
      </w:r>
      <w:r w:rsidRPr="0092096C">
        <w:rPr>
          <w:rFonts w:asciiTheme="minorHAnsi" w:hAnsiTheme="minorHAnsi" w:cs="LiberationSans"/>
          <w:sz w:val="24"/>
          <w:szCs w:val="24"/>
        </w:rPr>
        <w:t>, Fauconnier, ML</w:t>
      </w:r>
      <w:r>
        <w:rPr>
          <w:rFonts w:asciiTheme="minorHAnsi" w:hAnsiTheme="minorHAnsi" w:cs="LiberationSans"/>
          <w:sz w:val="24"/>
          <w:szCs w:val="24"/>
          <w:vertAlign w:val="superscript"/>
        </w:rPr>
        <w:t>²</w:t>
      </w:r>
    </w:p>
    <w:p w:rsidR="005E1C80" w:rsidRPr="00894E5F" w:rsidRDefault="005E1C80" w:rsidP="005E1C80">
      <w:pPr>
        <w:pStyle w:val="GFP2012auteurs"/>
        <w:ind w:right="-284" w:hanging="142"/>
        <w:rPr>
          <w:rFonts w:ascii="Calibri" w:hAnsi="Calibri"/>
        </w:rPr>
      </w:pPr>
    </w:p>
    <w:p w:rsidR="005E1C80" w:rsidRPr="00894E5F" w:rsidRDefault="005E1C80" w:rsidP="005E1C80">
      <w:pPr>
        <w:rPr>
          <w:rFonts w:ascii="Calibri" w:hAnsi="Calibri"/>
        </w:rPr>
      </w:pPr>
    </w:p>
    <w:p w:rsidR="005E1C80" w:rsidRPr="00894E5F" w:rsidRDefault="0092096C" w:rsidP="005E1C80">
      <w:pPr>
        <w:pStyle w:val="GFP2012adresse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Laboratoire de Biophysique Moléculaire aux Interfaces, Gembloux Agro </w:t>
      </w:r>
      <w:proofErr w:type="spellStart"/>
      <w:r>
        <w:rPr>
          <w:rFonts w:ascii="Calibri" w:hAnsi="Calibri"/>
        </w:rPr>
        <w:t>Biotech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University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Liege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Belgium</w:t>
      </w:r>
      <w:proofErr w:type="spellEnd"/>
    </w:p>
    <w:p w:rsidR="0092096C" w:rsidRPr="00894E5F" w:rsidRDefault="0092096C" w:rsidP="0092096C">
      <w:pPr>
        <w:pStyle w:val="GFP2012adresse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Laboratoire de Chimie Générale Organique, </w:t>
      </w:r>
      <w:r>
        <w:rPr>
          <w:rFonts w:ascii="Calibri" w:hAnsi="Calibri"/>
        </w:rPr>
        <w:t xml:space="preserve">Gembloux Agro </w:t>
      </w:r>
      <w:proofErr w:type="spellStart"/>
      <w:r>
        <w:rPr>
          <w:rFonts w:ascii="Calibri" w:hAnsi="Calibri"/>
        </w:rPr>
        <w:t>Biotech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University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Liege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Belgium</w:t>
      </w:r>
      <w:proofErr w:type="spellEnd"/>
    </w:p>
    <w:p w:rsidR="00581650" w:rsidRPr="00581650" w:rsidRDefault="0092096C" w:rsidP="00581650">
      <w:pPr>
        <w:pStyle w:val="GFP2012adresse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Laboratoire de Phytopathologie, </w:t>
      </w:r>
      <w:r>
        <w:rPr>
          <w:rFonts w:ascii="Calibri" w:hAnsi="Calibri"/>
        </w:rPr>
        <w:t xml:space="preserve">Gembloux Agro </w:t>
      </w:r>
      <w:proofErr w:type="spellStart"/>
      <w:r>
        <w:rPr>
          <w:rFonts w:ascii="Calibri" w:hAnsi="Calibri"/>
        </w:rPr>
        <w:t>Biotech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University</w:t>
      </w:r>
      <w:proofErr w:type="spellEnd"/>
      <w:r>
        <w:rPr>
          <w:rFonts w:ascii="Calibri" w:hAnsi="Calibri"/>
        </w:rPr>
        <w:t xml:space="preserve"> of </w:t>
      </w:r>
      <w:proofErr w:type="spellStart"/>
      <w:r>
        <w:rPr>
          <w:rFonts w:ascii="Calibri" w:hAnsi="Calibri"/>
        </w:rPr>
        <w:t>Liege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Belgium</w:t>
      </w:r>
      <w:proofErr w:type="spellEnd"/>
    </w:p>
    <w:p w:rsidR="00AB155E" w:rsidRPr="00894E5F" w:rsidRDefault="003A7B69" w:rsidP="00841488">
      <w:pPr>
        <w:pStyle w:val="GFP2012texte"/>
        <w:jc w:val="both"/>
        <w:rPr>
          <w:rFonts w:ascii="Calibri" w:hAnsi="Calibri"/>
          <w:szCs w:val="22"/>
          <w:lang w:val="fr-FR"/>
        </w:rPr>
      </w:pPr>
      <w:r w:rsidRPr="00894E5F">
        <w:rPr>
          <w:rFonts w:ascii="Calibri" w:hAnsi="Calibri"/>
          <w:szCs w:val="22"/>
          <w:lang w:val="fr-FR"/>
        </w:rPr>
        <w:tab/>
      </w:r>
    </w:p>
    <w:p w:rsidR="0092096C" w:rsidRPr="0092096C" w:rsidRDefault="00AB155E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  <w:r w:rsidRPr="00894E5F">
        <w:rPr>
          <w:rFonts w:ascii="Calibri" w:hAnsi="Calibri"/>
          <w:szCs w:val="22"/>
        </w:rPr>
        <w:tab/>
      </w:r>
      <w:r w:rsidR="0092096C" w:rsidRPr="0092096C">
        <w:rPr>
          <w:rFonts w:asciiTheme="minorHAnsi" w:hAnsiTheme="minorHAnsi" w:cs="LiberationSans"/>
          <w:sz w:val="24"/>
          <w:szCs w:val="24"/>
        </w:rPr>
        <w:t xml:space="preserve">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European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legislation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on plant protection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products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(PPP)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about to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undergo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important changes in 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coming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years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. 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chemical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PPP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destined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be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removed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from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European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market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are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responsible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for 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appearance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of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resistance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phenomena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plants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pests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. It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therefore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necessary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explore new alternatives, one of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them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being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search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for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natural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herbicides. Essential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oils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(EO)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could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provide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welcome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alternative due to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their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proven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activity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as PPP.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Even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if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these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compounds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seem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have a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bright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future as PPP,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their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activity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mainly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approached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through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empirical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observations. EO are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also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complex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mix of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of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different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molecules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that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could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act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individually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or in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synergy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.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Particularly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,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very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little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known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when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it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comes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molecular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mechanisms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of action and the relations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between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structure and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activity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of the active compounds. This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study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aims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investigate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the structure/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activity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relationships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of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some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EO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molecules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,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among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which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cinnamaldehyde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(CIN)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from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cinnamon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and citronellal and citronellol </w:t>
      </w:r>
      <w:proofErr w:type="spellStart"/>
      <w:r w:rsidR="0092096C" w:rsidRPr="0092096C">
        <w:rPr>
          <w:rFonts w:asciiTheme="minorHAnsi" w:hAnsiTheme="minorHAnsi" w:cs="LiberationSans"/>
          <w:sz w:val="24"/>
          <w:szCs w:val="24"/>
        </w:rPr>
        <w:t>from</w:t>
      </w:r>
      <w:proofErr w:type="spellEnd"/>
      <w:r w:rsidR="0092096C" w:rsidRPr="0092096C">
        <w:rPr>
          <w:rFonts w:asciiTheme="minorHAnsi" w:hAnsiTheme="minorHAnsi" w:cs="LiberationSans"/>
          <w:sz w:val="24"/>
          <w:szCs w:val="24"/>
        </w:rPr>
        <w:t xml:space="preserve"> lemongrass. </w:t>
      </w: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  <w:r w:rsidRPr="0092096C">
        <w:rPr>
          <w:rFonts w:asciiTheme="minorHAnsi" w:hAnsiTheme="minorHAnsi" w:cs="LiberationSans"/>
          <w:sz w:val="24"/>
          <w:szCs w:val="24"/>
        </w:rPr>
        <w:t xml:space="preserve">Due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their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lipophilic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properties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, EO tend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interact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with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one or more of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layers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found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in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outer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plant tissues,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among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which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cell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membranes. For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cinnalmaldehyde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(and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other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EO compounds),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has been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shown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that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they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are able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interact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with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bacterial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phospholipids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and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induce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change in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lipid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organization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(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fluidity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, packing,..) on model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lipid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monolayers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(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Nowotarska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et al, 2014).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Citronnellol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was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notably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shown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displace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cholesterol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from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its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phospholipid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complexes (Lange, Y et al, 2009).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However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nothing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known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about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any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interaction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with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lipids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specific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to plant plasma membrane (PPM). In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this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study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analyzed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effects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of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above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three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EO compounds on model PPM by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complementary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r w:rsidRPr="0092096C">
        <w:rPr>
          <w:rFonts w:asciiTheme="minorHAnsi" w:hAnsiTheme="minorHAnsi" w:cs="LiberationSans"/>
          <w:i/>
          <w:sz w:val="24"/>
          <w:szCs w:val="24"/>
        </w:rPr>
        <w:t>in vitro</w:t>
      </w:r>
      <w:r w:rsidRPr="0092096C">
        <w:rPr>
          <w:rFonts w:asciiTheme="minorHAnsi" w:hAnsiTheme="minorHAnsi" w:cs="LiberationSans"/>
          <w:sz w:val="24"/>
          <w:szCs w:val="24"/>
        </w:rPr>
        <w:t xml:space="preserve"> and </w:t>
      </w:r>
      <w:r w:rsidRPr="0092096C">
        <w:rPr>
          <w:rFonts w:asciiTheme="minorHAnsi" w:hAnsiTheme="minorHAnsi" w:cs="LiberationSans"/>
          <w:i/>
          <w:sz w:val="24"/>
          <w:szCs w:val="24"/>
        </w:rPr>
        <w:t>in silico</w:t>
      </w:r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biophysical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approaches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.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showed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that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three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compounds have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differential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effects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on plant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lipids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and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different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herbicidal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properties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plantae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.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While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part of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herbicidal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activity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could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related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to membrane perturbation,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some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clues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remain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be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elucidated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. </w:t>
      </w: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  <w:r w:rsidRPr="0092096C">
        <w:rPr>
          <w:rFonts w:asciiTheme="minorHAnsi" w:hAnsiTheme="minorHAnsi" w:cs="LiberationSans"/>
          <w:sz w:val="24"/>
          <w:szCs w:val="24"/>
        </w:rPr>
        <w:t xml:space="preserve">Future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studies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at a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molecular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point of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view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would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help to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better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decipher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the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herbicidal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 action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involving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the membrane,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other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outer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plant tissues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such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as the cuticule and/or and a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potential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effect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on EO compounds on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proteins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or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genomic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DNA, as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it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was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shown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for CIN on E. Coli (He, TF et al, 2018).    </w:t>
      </w:r>
    </w:p>
    <w:p w:rsid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</w:p>
    <w:p w:rsid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</w:p>
    <w:p w:rsid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b/>
          <w:i/>
          <w:sz w:val="24"/>
          <w:szCs w:val="24"/>
        </w:rPr>
      </w:pPr>
      <w:bookmarkStart w:id="0" w:name="_GoBack"/>
      <w:proofErr w:type="spellStart"/>
      <w:r w:rsidRPr="0092096C">
        <w:rPr>
          <w:rFonts w:asciiTheme="minorHAnsi" w:hAnsiTheme="minorHAnsi" w:cs="LiberationSans"/>
          <w:b/>
          <w:i/>
          <w:sz w:val="24"/>
          <w:szCs w:val="24"/>
        </w:rPr>
        <w:t>References</w:t>
      </w:r>
      <w:proofErr w:type="spellEnd"/>
    </w:p>
    <w:bookmarkEnd w:id="0"/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  <w:proofErr w:type="spellStart"/>
      <w:r w:rsidRPr="0092096C">
        <w:rPr>
          <w:rFonts w:asciiTheme="minorHAnsi" w:hAnsiTheme="minorHAnsi" w:cs="LiberationSans"/>
          <w:sz w:val="24"/>
          <w:szCs w:val="24"/>
        </w:rPr>
        <w:t>Nowotarska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et al,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Molecules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>, 2014, 19, 7497</w:t>
      </w:r>
    </w:p>
    <w:p w:rsidR="0092096C" w:rsidRPr="0092096C" w:rsidRDefault="0092096C" w:rsidP="0092096C">
      <w:pPr>
        <w:autoSpaceDE w:val="0"/>
        <w:autoSpaceDN w:val="0"/>
        <w:adjustRightInd w:val="0"/>
        <w:spacing w:line="240" w:lineRule="auto"/>
        <w:rPr>
          <w:rFonts w:asciiTheme="minorHAnsi" w:hAnsiTheme="minorHAnsi" w:cs="LiberationSans"/>
          <w:sz w:val="24"/>
          <w:szCs w:val="24"/>
        </w:rPr>
      </w:pPr>
      <w:r w:rsidRPr="0092096C">
        <w:rPr>
          <w:rFonts w:asciiTheme="minorHAnsi" w:hAnsiTheme="minorHAnsi" w:cs="LiberationSans"/>
          <w:sz w:val="24"/>
          <w:szCs w:val="24"/>
        </w:rPr>
        <w:t xml:space="preserve">He et al, J.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Photochem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 and </w:t>
      </w:r>
      <w:proofErr w:type="spellStart"/>
      <w:r w:rsidRPr="0092096C">
        <w:rPr>
          <w:rFonts w:asciiTheme="minorHAnsi" w:hAnsiTheme="minorHAnsi" w:cs="LiberationSans"/>
          <w:sz w:val="24"/>
          <w:szCs w:val="24"/>
        </w:rPr>
        <w:t>Photobiol</w:t>
      </w:r>
      <w:proofErr w:type="spellEnd"/>
      <w:r w:rsidRPr="0092096C">
        <w:rPr>
          <w:rFonts w:asciiTheme="minorHAnsi" w:hAnsiTheme="minorHAnsi" w:cs="LiberationSans"/>
          <w:sz w:val="24"/>
          <w:szCs w:val="24"/>
        </w:rPr>
        <w:t xml:space="preserve">, 2018, 178, 623  </w:t>
      </w:r>
    </w:p>
    <w:p w:rsidR="0092096C" w:rsidRPr="00623FCD" w:rsidRDefault="0092096C" w:rsidP="0092096C">
      <w:pPr>
        <w:pStyle w:val="GFP2012texte"/>
        <w:spacing w:before="0"/>
        <w:rPr>
          <w:rFonts w:ascii="Calibri" w:hAnsi="Calibri"/>
          <w:szCs w:val="22"/>
          <w:lang w:val="fr-FR"/>
        </w:rPr>
      </w:pPr>
    </w:p>
    <w:p w:rsidR="0031532A" w:rsidRPr="00894E5F" w:rsidRDefault="0031532A" w:rsidP="0001765D">
      <w:pPr>
        <w:rPr>
          <w:rFonts w:ascii="Calibri" w:hAnsi="Calibri"/>
        </w:rPr>
      </w:pPr>
    </w:p>
    <w:p w:rsidR="00B925CF" w:rsidRPr="004647CF" w:rsidRDefault="00E922A0" w:rsidP="00D93BE2">
      <w:pPr>
        <w:pStyle w:val="GFP2012adresse"/>
        <w:rPr>
          <w:rFonts w:ascii="Calibri" w:hAnsi="Calibri"/>
          <w:b/>
          <w:lang w:val="en-US"/>
        </w:rPr>
      </w:pPr>
      <w:r w:rsidRPr="004647CF">
        <w:rPr>
          <w:rFonts w:ascii="Calibri" w:hAnsi="Calibri"/>
          <w:b/>
          <w:lang w:val="en-US"/>
        </w:rPr>
        <w:t>Mots-</w:t>
      </w:r>
      <w:proofErr w:type="spellStart"/>
      <w:r w:rsidRPr="004647CF">
        <w:rPr>
          <w:rFonts w:ascii="Calibri" w:hAnsi="Calibri"/>
          <w:b/>
          <w:lang w:val="en-US"/>
        </w:rPr>
        <w:t>clés</w:t>
      </w:r>
      <w:proofErr w:type="spellEnd"/>
      <w:r w:rsidR="00623FCD" w:rsidRPr="004647CF">
        <w:rPr>
          <w:rFonts w:ascii="Calibri" w:hAnsi="Calibri"/>
          <w:b/>
          <w:lang w:val="en-US"/>
        </w:rPr>
        <w:t xml:space="preserve"> / </w:t>
      </w:r>
      <w:r w:rsidR="00623FCD" w:rsidRPr="004647CF">
        <w:rPr>
          <w:rFonts w:ascii="Calibri" w:hAnsi="Calibri"/>
          <w:b/>
          <w:iCs/>
          <w:lang w:val="en-US"/>
        </w:rPr>
        <w:t>Key words</w:t>
      </w:r>
      <w:r w:rsidR="000413D6" w:rsidRPr="004647CF">
        <w:rPr>
          <w:rFonts w:ascii="Calibri" w:hAnsi="Calibri"/>
          <w:b/>
          <w:lang w:val="en-US"/>
        </w:rPr>
        <w:t>:</w:t>
      </w:r>
      <w:r w:rsidR="000413D6" w:rsidRPr="004647CF">
        <w:rPr>
          <w:rFonts w:ascii="Calibri" w:hAnsi="Calibri"/>
          <w:b/>
          <w:color w:val="0000FF"/>
          <w:lang w:val="en-US"/>
        </w:rPr>
        <w:t xml:space="preserve"> </w:t>
      </w:r>
      <w:r w:rsidR="0092096C" w:rsidRPr="0092096C">
        <w:rPr>
          <w:rFonts w:ascii="Calibri" w:hAnsi="Calibri"/>
          <w:lang w:val="en-US"/>
        </w:rPr>
        <w:t>essential oil</w:t>
      </w:r>
      <w:r w:rsidR="0092096C">
        <w:rPr>
          <w:rFonts w:ascii="Calibri" w:hAnsi="Calibri"/>
          <w:lang w:val="en-US"/>
        </w:rPr>
        <w:t>s</w:t>
      </w:r>
      <w:r w:rsidR="0092096C" w:rsidRPr="0092096C">
        <w:rPr>
          <w:rFonts w:ascii="Calibri" w:hAnsi="Calibri"/>
          <w:lang w:val="en-US"/>
        </w:rPr>
        <w:t xml:space="preserve">, </w:t>
      </w:r>
      <w:r w:rsidR="0092096C">
        <w:rPr>
          <w:rFonts w:ascii="Calibri" w:hAnsi="Calibri"/>
          <w:lang w:val="en-US"/>
        </w:rPr>
        <w:t xml:space="preserve">plasma </w:t>
      </w:r>
      <w:r w:rsidR="0092096C" w:rsidRPr="0092096C">
        <w:rPr>
          <w:rFonts w:ascii="Calibri" w:hAnsi="Calibri"/>
          <w:lang w:val="en-US"/>
        </w:rPr>
        <w:t>membrane interaction, structure/activity relationships</w:t>
      </w:r>
      <w:r w:rsidR="0092096C">
        <w:rPr>
          <w:rFonts w:ascii="Calibri" w:hAnsi="Calibri"/>
          <w:lang w:val="en-US"/>
        </w:rPr>
        <w:t>, herbicidal effect</w:t>
      </w:r>
    </w:p>
    <w:p w:rsidR="00D93BE2" w:rsidRDefault="00D93BE2" w:rsidP="00E922A0">
      <w:pPr>
        <w:pStyle w:val="GFP2012motscles"/>
        <w:rPr>
          <w:rFonts w:ascii="Calibri" w:hAnsi="Calibri"/>
          <w:lang w:val="en-US"/>
        </w:rPr>
      </w:pPr>
    </w:p>
    <w:p w:rsidR="004647CF" w:rsidRDefault="004647CF" w:rsidP="00E922A0">
      <w:pPr>
        <w:pStyle w:val="GFP2012motscles"/>
        <w:rPr>
          <w:rFonts w:ascii="Calibri" w:hAnsi="Calibri"/>
          <w:lang w:val="en-US"/>
        </w:rPr>
      </w:pPr>
    </w:p>
    <w:p w:rsidR="004647CF" w:rsidRDefault="004647CF" w:rsidP="00E922A0">
      <w:pPr>
        <w:pStyle w:val="GFP2012motscles"/>
        <w:rPr>
          <w:rFonts w:ascii="Calibri" w:hAnsi="Calibri"/>
          <w:lang w:val="en-US"/>
        </w:rPr>
      </w:pPr>
    </w:p>
    <w:p w:rsidR="001E45C8" w:rsidRDefault="001E45C8" w:rsidP="00E922A0">
      <w:pPr>
        <w:pStyle w:val="GFP2012motscles"/>
        <w:rPr>
          <w:rFonts w:ascii="Calibri" w:hAnsi="Calibri"/>
          <w:b/>
          <w:i/>
          <w:color w:val="C00000"/>
        </w:rPr>
      </w:pPr>
    </w:p>
    <w:p w:rsidR="001E45C8" w:rsidRDefault="001E45C8" w:rsidP="00E922A0">
      <w:pPr>
        <w:pStyle w:val="GFP2012motscles"/>
        <w:rPr>
          <w:rFonts w:ascii="Calibri" w:hAnsi="Calibri"/>
          <w:b/>
          <w:i/>
          <w:color w:val="C00000"/>
        </w:rPr>
      </w:pPr>
    </w:p>
    <w:p w:rsidR="001E45C8" w:rsidRDefault="001E45C8" w:rsidP="00E922A0">
      <w:pPr>
        <w:pStyle w:val="GFP2012motscles"/>
        <w:rPr>
          <w:rFonts w:ascii="Calibri" w:hAnsi="Calibri"/>
          <w:b/>
          <w:i/>
          <w:color w:val="C00000"/>
        </w:rPr>
      </w:pPr>
    </w:p>
    <w:p w:rsidR="001E45C8" w:rsidRDefault="001E45C8" w:rsidP="00E922A0">
      <w:pPr>
        <w:pStyle w:val="GFP2012motscles"/>
        <w:rPr>
          <w:rFonts w:ascii="Calibri" w:hAnsi="Calibri"/>
          <w:b/>
          <w:i/>
          <w:color w:val="C00000"/>
        </w:rPr>
      </w:pPr>
    </w:p>
    <w:p w:rsidR="001E45C8" w:rsidRPr="0092096C" w:rsidRDefault="001E45C8" w:rsidP="0092096C">
      <w:pPr>
        <w:pStyle w:val="GFP2012motscles"/>
        <w:rPr>
          <w:rFonts w:ascii="Calibri" w:hAnsi="Calibri"/>
          <w:b/>
          <w:i/>
          <w:color w:val="C00000"/>
        </w:rPr>
      </w:pPr>
      <w:r w:rsidRPr="00894E5F">
        <w:rPr>
          <w:rFonts w:ascii="Calibri" w:hAnsi="Calibri"/>
          <w:b/>
        </w:rPr>
        <w:t xml:space="preserve"> </w:t>
      </w:r>
    </w:p>
    <w:p w:rsidR="001E45C8" w:rsidRPr="001E45C8" w:rsidRDefault="001E45C8" w:rsidP="00E922A0">
      <w:pPr>
        <w:pStyle w:val="GFP2012motscles"/>
        <w:rPr>
          <w:rFonts w:ascii="Calibri" w:hAnsi="Calibri"/>
        </w:rPr>
      </w:pPr>
    </w:p>
    <w:sectPr w:rsidR="001E45C8" w:rsidRPr="001E45C8" w:rsidSect="00026344">
      <w:headerReference w:type="even" r:id="rId8"/>
      <w:headerReference w:type="default" r:id="rId9"/>
      <w:footerReference w:type="default" r:id="rId10"/>
      <w:pgSz w:w="11907" w:h="16840" w:code="9"/>
      <w:pgMar w:top="1417" w:right="1417" w:bottom="1417" w:left="1417" w:header="1134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A7" w:rsidRDefault="00C610A7">
      <w:r>
        <w:separator/>
      </w:r>
    </w:p>
  </w:endnote>
  <w:endnote w:type="continuationSeparator" w:id="0">
    <w:p w:rsidR="00C610A7" w:rsidRDefault="00C6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2" w:rsidRPr="003E1780" w:rsidRDefault="00D71742" w:rsidP="009D7068">
    <w:pPr>
      <w:pStyle w:val="Pieddepage"/>
      <w:tabs>
        <w:tab w:val="clear" w:pos="4536"/>
        <w:tab w:val="clear" w:pos="9072"/>
        <w:tab w:val="center" w:pos="0"/>
        <w:tab w:val="left" w:pos="8080"/>
      </w:tabs>
    </w:pPr>
    <w:r w:rsidRPr="003E1780">
      <w:tab/>
    </w:r>
    <w:r w:rsidRPr="003E1780">
      <w:rPr>
        <w:rStyle w:val="Numrodepage"/>
      </w:rPr>
      <w:tab/>
    </w:r>
    <w:r w:rsidRPr="003E178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A7" w:rsidRDefault="00C610A7">
      <w:r>
        <w:separator/>
      </w:r>
    </w:p>
  </w:footnote>
  <w:footnote w:type="continuationSeparator" w:id="0">
    <w:p w:rsidR="00C610A7" w:rsidRDefault="00C6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2" w:rsidRPr="0080029E" w:rsidRDefault="00D71742" w:rsidP="0080029E">
    <w:pPr>
      <w:autoSpaceDE w:val="0"/>
      <w:autoSpaceDN w:val="0"/>
      <w:adjustRightInd w:val="0"/>
      <w:spacing w:line="240" w:lineRule="auto"/>
      <w:jc w:val="right"/>
      <w:rPr>
        <w:i/>
        <w:kern w:val="0"/>
        <w:sz w:val="18"/>
        <w:szCs w:val="18"/>
        <w:lang w:eastAsia="fr-FR"/>
      </w:rPr>
    </w:pPr>
    <w:r w:rsidRPr="0080029E">
      <w:rPr>
        <w:i/>
        <w:kern w:val="0"/>
        <w:sz w:val="18"/>
        <w:szCs w:val="18"/>
        <w:lang w:eastAsia="fr-FR"/>
      </w:rPr>
      <w:t>Récents Progrès en Génie des Procédés, Numéro 92 - 2005</w:t>
    </w:r>
  </w:p>
  <w:p w:rsidR="00D71742" w:rsidRPr="0080029E" w:rsidRDefault="00D71742" w:rsidP="0080029E">
    <w:pPr>
      <w:autoSpaceDE w:val="0"/>
      <w:autoSpaceDN w:val="0"/>
      <w:adjustRightInd w:val="0"/>
      <w:spacing w:line="240" w:lineRule="auto"/>
      <w:jc w:val="right"/>
      <w:rPr>
        <w:i/>
        <w:kern w:val="0"/>
        <w:sz w:val="18"/>
        <w:szCs w:val="18"/>
        <w:lang w:eastAsia="fr-FR"/>
      </w:rPr>
    </w:pPr>
    <w:r w:rsidRPr="0080029E">
      <w:rPr>
        <w:i/>
        <w:kern w:val="0"/>
        <w:sz w:val="18"/>
        <w:szCs w:val="18"/>
        <w:lang w:eastAsia="fr-FR"/>
      </w:rPr>
      <w:t>ISBN 2-910239-66-7, Ed. Lavoisier, Paris, France</w:t>
    </w:r>
  </w:p>
  <w:p w:rsidR="00D71742" w:rsidRDefault="00D717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2" w:rsidRPr="00894E5F" w:rsidRDefault="00D71742" w:rsidP="0059001E">
    <w:pPr>
      <w:pBdr>
        <w:bottom w:val="single" w:sz="4" w:space="1" w:color="auto"/>
      </w:pBdr>
      <w:autoSpaceDE w:val="0"/>
      <w:autoSpaceDN w:val="0"/>
      <w:adjustRightInd w:val="0"/>
      <w:spacing w:line="240" w:lineRule="auto"/>
      <w:jc w:val="right"/>
      <w:rPr>
        <w:rFonts w:ascii="Calibri" w:hAnsi="Calibri"/>
        <w:i/>
        <w:kern w:val="0"/>
        <w:sz w:val="18"/>
        <w:szCs w:val="18"/>
        <w:lang w:eastAsia="fr-FR"/>
      </w:rPr>
    </w:pPr>
    <w:r w:rsidRPr="00894E5F">
      <w:rPr>
        <w:rFonts w:ascii="Calibri" w:hAnsi="Calibri"/>
        <w:i/>
        <w:kern w:val="0"/>
        <w:sz w:val="18"/>
        <w:szCs w:val="18"/>
        <w:lang w:eastAsia="fr-FR"/>
      </w:rPr>
      <w:t xml:space="preserve"> </w:t>
    </w:r>
    <w:r w:rsidR="00995AF1" w:rsidRPr="00894E5F">
      <w:rPr>
        <w:rFonts w:ascii="Calibri" w:hAnsi="Calibri"/>
        <w:i/>
        <w:kern w:val="0"/>
        <w:sz w:val="18"/>
        <w:szCs w:val="18"/>
        <w:lang w:eastAsia="fr-FR"/>
      </w:rPr>
      <w:t xml:space="preserve">Natural </w:t>
    </w:r>
    <w:proofErr w:type="spellStart"/>
    <w:r w:rsidR="00995AF1" w:rsidRPr="00894E5F">
      <w:rPr>
        <w:rFonts w:ascii="Calibri" w:hAnsi="Calibri"/>
        <w:i/>
        <w:kern w:val="0"/>
        <w:sz w:val="18"/>
        <w:szCs w:val="18"/>
        <w:lang w:eastAsia="fr-FR"/>
      </w:rPr>
      <w:t>Products</w:t>
    </w:r>
    <w:proofErr w:type="spellEnd"/>
    <w:r w:rsidR="00995AF1" w:rsidRPr="00894E5F">
      <w:rPr>
        <w:rFonts w:ascii="Calibri" w:hAnsi="Calibri"/>
        <w:i/>
        <w:kern w:val="0"/>
        <w:sz w:val="18"/>
        <w:szCs w:val="18"/>
        <w:lang w:eastAsia="fr-FR"/>
      </w:rPr>
      <w:t xml:space="preserve"> &amp; </w:t>
    </w:r>
    <w:proofErr w:type="spellStart"/>
    <w:r w:rsidR="00995AF1" w:rsidRPr="00894E5F">
      <w:rPr>
        <w:rFonts w:ascii="Calibri" w:hAnsi="Calibri"/>
        <w:i/>
        <w:kern w:val="0"/>
        <w:sz w:val="18"/>
        <w:szCs w:val="18"/>
        <w:lang w:eastAsia="fr-FR"/>
      </w:rPr>
      <w:t>Biocontrol</w:t>
    </w:r>
    <w:proofErr w:type="spellEnd"/>
    <w:r w:rsidR="00995AF1" w:rsidRPr="00894E5F">
      <w:rPr>
        <w:rFonts w:ascii="Calibri" w:hAnsi="Calibri"/>
        <w:i/>
        <w:kern w:val="0"/>
        <w:sz w:val="18"/>
        <w:szCs w:val="18"/>
        <w:lang w:eastAsia="fr-FR"/>
      </w:rPr>
      <w:t xml:space="preserve"> 201</w:t>
    </w:r>
    <w:r w:rsidR="00623FCD">
      <w:rPr>
        <w:rFonts w:ascii="Calibri" w:hAnsi="Calibri"/>
        <w:i/>
        <w:kern w:val="0"/>
        <w:sz w:val="18"/>
        <w:szCs w:val="18"/>
        <w:lang w:eastAsia="fr-FR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C1E93"/>
    <w:multiLevelType w:val="singleLevel"/>
    <w:tmpl w:val="4ABEE292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5B684D"/>
    <w:multiLevelType w:val="singleLevel"/>
    <w:tmpl w:val="87B49A7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116B5D2A"/>
    <w:multiLevelType w:val="multilevel"/>
    <w:tmpl w:val="E4A64C18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4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sz w:val="3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5872167"/>
    <w:multiLevelType w:val="hybridMultilevel"/>
    <w:tmpl w:val="73BEB656"/>
    <w:lvl w:ilvl="0" w:tplc="8222B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635F"/>
    <w:multiLevelType w:val="multilevel"/>
    <w:tmpl w:val="2C60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47736C"/>
    <w:multiLevelType w:val="hybridMultilevel"/>
    <w:tmpl w:val="A89AC330"/>
    <w:lvl w:ilvl="0" w:tplc="DE3E9F8E">
      <w:start w:val="1"/>
      <w:numFmt w:val="decimal"/>
      <w:pStyle w:val="GFP2009listenumros"/>
      <w:lvlText w:val="%1."/>
      <w:lvlJc w:val="left"/>
      <w:pPr>
        <w:tabs>
          <w:tab w:val="num" w:pos="360"/>
        </w:tabs>
        <w:ind w:left="360" w:hanging="360"/>
      </w:pPr>
    </w:lvl>
    <w:lvl w:ilvl="1" w:tplc="8068BE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2086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2AF5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0A28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8E9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A0C45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8EC1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3242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9E201F"/>
    <w:multiLevelType w:val="multilevel"/>
    <w:tmpl w:val="BEB4B9E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9B45E8F"/>
    <w:multiLevelType w:val="singleLevel"/>
    <w:tmpl w:val="3D58C2BE"/>
    <w:lvl w:ilvl="0">
      <w:start w:val="1"/>
      <w:numFmt w:val="bullet"/>
      <w:pStyle w:val="BulletedLis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70566E9B"/>
    <w:multiLevelType w:val="hybridMultilevel"/>
    <w:tmpl w:val="73BEB656"/>
    <w:lvl w:ilvl="0" w:tplc="8222B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2930"/>
    <w:multiLevelType w:val="singleLevel"/>
    <w:tmpl w:val="9FD07D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7B77309"/>
    <w:multiLevelType w:val="singleLevel"/>
    <w:tmpl w:val="CF22DA7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  <w:sz w:val="18"/>
        </w:rPr>
      </w:lvl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5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C1"/>
    <w:rsid w:val="000103BC"/>
    <w:rsid w:val="000155A3"/>
    <w:rsid w:val="0001765D"/>
    <w:rsid w:val="00026344"/>
    <w:rsid w:val="00037047"/>
    <w:rsid w:val="000413D6"/>
    <w:rsid w:val="00054E5E"/>
    <w:rsid w:val="0005687A"/>
    <w:rsid w:val="00085136"/>
    <w:rsid w:val="00097EC4"/>
    <w:rsid w:val="00100DDD"/>
    <w:rsid w:val="00100E52"/>
    <w:rsid w:val="00150673"/>
    <w:rsid w:val="001652E0"/>
    <w:rsid w:val="0018395E"/>
    <w:rsid w:val="001A7FAE"/>
    <w:rsid w:val="001C3442"/>
    <w:rsid w:val="001D39A1"/>
    <w:rsid w:val="001D7788"/>
    <w:rsid w:val="001E45C8"/>
    <w:rsid w:val="002020BE"/>
    <w:rsid w:val="00205E7A"/>
    <w:rsid w:val="00246506"/>
    <w:rsid w:val="00262E14"/>
    <w:rsid w:val="002631DA"/>
    <w:rsid w:val="002708D6"/>
    <w:rsid w:val="002722A5"/>
    <w:rsid w:val="002771BC"/>
    <w:rsid w:val="00291858"/>
    <w:rsid w:val="002D421D"/>
    <w:rsid w:val="0031532A"/>
    <w:rsid w:val="00336293"/>
    <w:rsid w:val="00344CAB"/>
    <w:rsid w:val="00346AF2"/>
    <w:rsid w:val="0035198C"/>
    <w:rsid w:val="003535D1"/>
    <w:rsid w:val="00356C2C"/>
    <w:rsid w:val="00381EC6"/>
    <w:rsid w:val="00392E46"/>
    <w:rsid w:val="00394B62"/>
    <w:rsid w:val="003A1ACB"/>
    <w:rsid w:val="003A7B69"/>
    <w:rsid w:val="003B1F6D"/>
    <w:rsid w:val="003B736E"/>
    <w:rsid w:val="003E0B51"/>
    <w:rsid w:val="003E1780"/>
    <w:rsid w:val="003F5268"/>
    <w:rsid w:val="00400949"/>
    <w:rsid w:val="00400E7D"/>
    <w:rsid w:val="0045057D"/>
    <w:rsid w:val="004647CF"/>
    <w:rsid w:val="004746E1"/>
    <w:rsid w:val="0047673D"/>
    <w:rsid w:val="00487C40"/>
    <w:rsid w:val="004A0B4A"/>
    <w:rsid w:val="004B40C3"/>
    <w:rsid w:val="004C54D5"/>
    <w:rsid w:val="004D0DE0"/>
    <w:rsid w:val="004E18F7"/>
    <w:rsid w:val="004E23C1"/>
    <w:rsid w:val="0052577C"/>
    <w:rsid w:val="00526037"/>
    <w:rsid w:val="00532DA2"/>
    <w:rsid w:val="0053527E"/>
    <w:rsid w:val="005631B2"/>
    <w:rsid w:val="00581650"/>
    <w:rsid w:val="0059001E"/>
    <w:rsid w:val="005C67C1"/>
    <w:rsid w:val="005D2DD8"/>
    <w:rsid w:val="005E1C80"/>
    <w:rsid w:val="005E3B0D"/>
    <w:rsid w:val="00605F4B"/>
    <w:rsid w:val="00623FCD"/>
    <w:rsid w:val="006619AF"/>
    <w:rsid w:val="006716EB"/>
    <w:rsid w:val="006758E8"/>
    <w:rsid w:val="00692192"/>
    <w:rsid w:val="006B7D9D"/>
    <w:rsid w:val="006D661A"/>
    <w:rsid w:val="006D6789"/>
    <w:rsid w:val="006E616E"/>
    <w:rsid w:val="00727F46"/>
    <w:rsid w:val="007340EB"/>
    <w:rsid w:val="0073471E"/>
    <w:rsid w:val="00740BC7"/>
    <w:rsid w:val="0074169A"/>
    <w:rsid w:val="00763729"/>
    <w:rsid w:val="007826EE"/>
    <w:rsid w:val="0079305F"/>
    <w:rsid w:val="007A47CC"/>
    <w:rsid w:val="007E2839"/>
    <w:rsid w:val="0080029E"/>
    <w:rsid w:val="00803BD3"/>
    <w:rsid w:val="00817335"/>
    <w:rsid w:val="00817D86"/>
    <w:rsid w:val="00841074"/>
    <w:rsid w:val="00841488"/>
    <w:rsid w:val="00872F46"/>
    <w:rsid w:val="008754EE"/>
    <w:rsid w:val="00883CF0"/>
    <w:rsid w:val="00893B30"/>
    <w:rsid w:val="00894E5F"/>
    <w:rsid w:val="008A71B4"/>
    <w:rsid w:val="008C6A6D"/>
    <w:rsid w:val="008E5F91"/>
    <w:rsid w:val="0092096C"/>
    <w:rsid w:val="00920BE1"/>
    <w:rsid w:val="009249A3"/>
    <w:rsid w:val="00924A0F"/>
    <w:rsid w:val="009565D2"/>
    <w:rsid w:val="009654F8"/>
    <w:rsid w:val="00977621"/>
    <w:rsid w:val="00995AF1"/>
    <w:rsid w:val="009A2523"/>
    <w:rsid w:val="009A7AFE"/>
    <w:rsid w:val="009C1B76"/>
    <w:rsid w:val="009D7068"/>
    <w:rsid w:val="009F7AA2"/>
    <w:rsid w:val="00A218D2"/>
    <w:rsid w:val="00A27C00"/>
    <w:rsid w:val="00A32096"/>
    <w:rsid w:val="00A41ECF"/>
    <w:rsid w:val="00A422CE"/>
    <w:rsid w:val="00A6238D"/>
    <w:rsid w:val="00A71B42"/>
    <w:rsid w:val="00A72733"/>
    <w:rsid w:val="00A87466"/>
    <w:rsid w:val="00AB03AF"/>
    <w:rsid w:val="00AB155E"/>
    <w:rsid w:val="00AC2A27"/>
    <w:rsid w:val="00AE4C19"/>
    <w:rsid w:val="00AE7668"/>
    <w:rsid w:val="00B07CA5"/>
    <w:rsid w:val="00B41A7D"/>
    <w:rsid w:val="00B60787"/>
    <w:rsid w:val="00B8107C"/>
    <w:rsid w:val="00B91E0A"/>
    <w:rsid w:val="00B925CF"/>
    <w:rsid w:val="00B96F6B"/>
    <w:rsid w:val="00BB33A7"/>
    <w:rsid w:val="00BD0DCF"/>
    <w:rsid w:val="00BF3D9B"/>
    <w:rsid w:val="00C008B6"/>
    <w:rsid w:val="00C04E97"/>
    <w:rsid w:val="00C069BE"/>
    <w:rsid w:val="00C14ECA"/>
    <w:rsid w:val="00C506C1"/>
    <w:rsid w:val="00C53260"/>
    <w:rsid w:val="00C5574D"/>
    <w:rsid w:val="00C610A7"/>
    <w:rsid w:val="00C83752"/>
    <w:rsid w:val="00C907FA"/>
    <w:rsid w:val="00CA4AF5"/>
    <w:rsid w:val="00CE26D8"/>
    <w:rsid w:val="00D12D30"/>
    <w:rsid w:val="00D3081A"/>
    <w:rsid w:val="00D43D9C"/>
    <w:rsid w:val="00D60BA9"/>
    <w:rsid w:val="00D71742"/>
    <w:rsid w:val="00D84A63"/>
    <w:rsid w:val="00D93BE2"/>
    <w:rsid w:val="00DA6A31"/>
    <w:rsid w:val="00DB0430"/>
    <w:rsid w:val="00DB56BF"/>
    <w:rsid w:val="00DD28B1"/>
    <w:rsid w:val="00E0323D"/>
    <w:rsid w:val="00E03D6A"/>
    <w:rsid w:val="00E10FD0"/>
    <w:rsid w:val="00E230CC"/>
    <w:rsid w:val="00E40FF4"/>
    <w:rsid w:val="00E451A3"/>
    <w:rsid w:val="00E64F19"/>
    <w:rsid w:val="00E6542F"/>
    <w:rsid w:val="00E65A44"/>
    <w:rsid w:val="00E74125"/>
    <w:rsid w:val="00E844AE"/>
    <w:rsid w:val="00E90380"/>
    <w:rsid w:val="00E910C3"/>
    <w:rsid w:val="00E922A0"/>
    <w:rsid w:val="00EA37AF"/>
    <w:rsid w:val="00EA7F55"/>
    <w:rsid w:val="00EC5A55"/>
    <w:rsid w:val="00ED3EF3"/>
    <w:rsid w:val="00F05F99"/>
    <w:rsid w:val="00F13252"/>
    <w:rsid w:val="00F71F3E"/>
    <w:rsid w:val="00F84872"/>
    <w:rsid w:val="00FB2B52"/>
    <w:rsid w:val="00FD04B9"/>
    <w:rsid w:val="00FD0C04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92531-76EA-4623-898C-430D886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4" w:lineRule="auto"/>
      <w:jc w:val="both"/>
    </w:pPr>
    <w:rPr>
      <w:kern w:val="28"/>
      <w:lang w:eastAsia="es-ES"/>
    </w:rPr>
  </w:style>
  <w:style w:type="paragraph" w:styleId="Titre1">
    <w:name w:val="heading 1"/>
    <w:basedOn w:val="Normal"/>
    <w:next w:val="Normal"/>
    <w:qFormat/>
    <w:pPr>
      <w:keepNext/>
      <w:spacing w:after="120" w:line="240" w:lineRule="auto"/>
      <w:outlineLvl w:val="0"/>
    </w:pPr>
    <w:rPr>
      <w:b/>
      <w:sz w:val="24"/>
    </w:rPr>
  </w:style>
  <w:style w:type="paragraph" w:styleId="Titre2">
    <w:name w:val="heading 2"/>
    <w:basedOn w:val="Titre1"/>
    <w:next w:val="Normal"/>
    <w:qFormat/>
    <w:pPr>
      <w:spacing w:after="0"/>
      <w:outlineLvl w:val="1"/>
    </w:pPr>
    <w:rPr>
      <w:sz w:val="20"/>
      <w:lang w:val="en-GB"/>
    </w:rPr>
  </w:style>
  <w:style w:type="paragraph" w:styleId="Titre3">
    <w:name w:val="heading 3"/>
    <w:basedOn w:val="Normal"/>
    <w:next w:val="Normal"/>
    <w:qFormat/>
    <w:pPr>
      <w:keepNext/>
      <w:spacing w:line="240" w:lineRule="auto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4"/>
      </w:numPr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4"/>
      </w:num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pPr>
      <w:numPr>
        <w:ilvl w:val="5"/>
        <w:numId w:val="14"/>
      </w:numPr>
      <w:spacing w:before="240" w:after="60"/>
      <w:outlineLvl w:val="5"/>
    </w:pPr>
    <w:rPr>
      <w:rFonts w:ascii="Arial" w:hAnsi="Arial"/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semiHidden/>
    <w:pPr>
      <w:ind w:left="240"/>
    </w:pPr>
  </w:style>
  <w:style w:type="paragraph" w:styleId="TM3">
    <w:name w:val="toc 3"/>
    <w:basedOn w:val="Normal"/>
    <w:next w:val="Normal"/>
    <w:semiHidden/>
    <w:pPr>
      <w:tabs>
        <w:tab w:val="right" w:leader="dot" w:pos="9072"/>
      </w:tabs>
      <w:spacing w:before="24"/>
      <w:ind w:left="442"/>
    </w:pPr>
  </w:style>
  <w:style w:type="paragraph" w:styleId="TM4">
    <w:name w:val="toc 4"/>
    <w:basedOn w:val="Normal"/>
    <w:next w:val="Normal"/>
    <w:semiHidden/>
    <w:pPr>
      <w:tabs>
        <w:tab w:val="right" w:leader="dot" w:pos="9072"/>
      </w:tabs>
      <w:ind w:left="660"/>
    </w:pPr>
    <w:rPr>
      <w:rFonts w:ascii="CG Omega (W1)" w:hAnsi="CG Omega (W1)"/>
    </w:rPr>
  </w:style>
  <w:style w:type="paragraph" w:styleId="TM5">
    <w:name w:val="toc 5"/>
    <w:basedOn w:val="Normal"/>
    <w:next w:val="Normal"/>
    <w:semiHidden/>
    <w:pPr>
      <w:tabs>
        <w:tab w:val="right" w:leader="dot" w:pos="9072"/>
      </w:tabs>
      <w:ind w:left="880"/>
    </w:pPr>
    <w:rPr>
      <w:rFonts w:ascii="CG Omega (W1)" w:hAnsi="CG Omega (W1)"/>
    </w:rPr>
  </w:style>
  <w:style w:type="paragraph" w:styleId="TM6">
    <w:name w:val="toc 6"/>
    <w:basedOn w:val="Normal"/>
    <w:next w:val="Normal"/>
    <w:semiHidden/>
    <w:pPr>
      <w:tabs>
        <w:tab w:val="right" w:leader="dot" w:pos="9072"/>
      </w:tabs>
      <w:ind w:left="1100"/>
    </w:pPr>
    <w:rPr>
      <w:rFonts w:ascii="CG Omega (W1)" w:hAnsi="CG Omega (W1)"/>
    </w:rPr>
  </w:style>
  <w:style w:type="paragraph" w:styleId="TM7">
    <w:name w:val="toc 7"/>
    <w:basedOn w:val="Normal"/>
    <w:next w:val="Normal"/>
    <w:semiHidden/>
    <w:pPr>
      <w:tabs>
        <w:tab w:val="right" w:leader="dot" w:pos="9072"/>
      </w:tabs>
      <w:ind w:left="1320"/>
    </w:pPr>
    <w:rPr>
      <w:rFonts w:ascii="CG Omega (W1)" w:hAnsi="CG Omega (W1)"/>
    </w:rPr>
  </w:style>
  <w:style w:type="paragraph" w:styleId="TM8">
    <w:name w:val="toc 8"/>
    <w:basedOn w:val="Normal"/>
    <w:next w:val="Normal"/>
    <w:semiHidden/>
    <w:pPr>
      <w:tabs>
        <w:tab w:val="right" w:leader="dot" w:pos="9072"/>
      </w:tabs>
      <w:ind w:left="1540"/>
    </w:pPr>
    <w:rPr>
      <w:rFonts w:ascii="CG Omega (W1)" w:hAnsi="CG Omega (W1)"/>
    </w:rPr>
  </w:style>
  <w:style w:type="paragraph" w:styleId="TM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CG Omega (W1)" w:hAnsi="CG Omega (W1)"/>
      <w:sz w:val="22"/>
    </w:rPr>
  </w:style>
  <w:style w:type="paragraph" w:styleId="Lgende">
    <w:name w:val="caption"/>
    <w:basedOn w:val="Normal"/>
    <w:next w:val="Normal"/>
    <w:qFormat/>
    <w:pPr>
      <w:spacing w:before="567" w:after="567" w:line="240" w:lineRule="auto"/>
      <w:jc w:val="left"/>
    </w:pPr>
    <w:rPr>
      <w:i/>
    </w:rPr>
  </w:style>
  <w:style w:type="paragraph" w:styleId="Notedebasdepage">
    <w:name w:val="footnote text"/>
    <w:basedOn w:val="Normal"/>
    <w:semiHidden/>
    <w:pPr>
      <w:spacing w:line="240" w:lineRule="auto"/>
    </w:pPr>
    <w:rPr>
      <w:sz w:val="18"/>
    </w:rPr>
  </w:style>
  <w:style w:type="paragraph" w:customStyle="1" w:styleId="SFGPnotebasdepage">
    <w:name w:val="SFGP_note_bas_de_page"/>
    <w:basedOn w:val="GFP2009rfrences"/>
    <w:rsid w:val="009A2523"/>
  </w:style>
  <w:style w:type="paragraph" w:customStyle="1" w:styleId="GFP2011rsum">
    <w:name w:val="GFP2011_résumé"/>
    <w:basedOn w:val="Normal"/>
    <w:rsid w:val="0031532A"/>
    <w:pPr>
      <w:jc w:val="left"/>
    </w:pPr>
    <w:rPr>
      <w:b/>
      <w:sz w:val="24"/>
      <w:lang w:val="en-GB"/>
    </w:rPr>
  </w:style>
  <w:style w:type="paragraph" w:styleId="En-tte">
    <w:name w:val="header"/>
    <w:basedOn w:val="Normal"/>
    <w:rsid w:val="00100E52"/>
    <w:pPr>
      <w:tabs>
        <w:tab w:val="center" w:pos="4536"/>
        <w:tab w:val="right" w:pos="9072"/>
      </w:tabs>
    </w:pPr>
  </w:style>
  <w:style w:type="paragraph" w:customStyle="1" w:styleId="BulletedList">
    <w:name w:val="Bulleted List"/>
    <w:basedOn w:val="Normal"/>
    <w:semiHidden/>
    <w:pPr>
      <w:numPr>
        <w:numId w:val="16"/>
      </w:numPr>
      <w:tabs>
        <w:tab w:val="clear" w:pos="644"/>
      </w:tabs>
      <w:ind w:left="567" w:hanging="283"/>
    </w:pPr>
    <w:rPr>
      <w:lang w:val="en-GB"/>
    </w:rPr>
  </w:style>
  <w:style w:type="paragraph" w:customStyle="1" w:styleId="NumberedList">
    <w:name w:val="Numbered List"/>
    <w:basedOn w:val="BulletedList"/>
    <w:semiHidden/>
    <w:pPr>
      <w:numPr>
        <w:numId w:val="17"/>
      </w:numPr>
    </w:pPr>
  </w:style>
  <w:style w:type="character" w:styleId="Appelnotedebasdep">
    <w:name w:val="footnote reference"/>
    <w:semiHidden/>
    <w:rPr>
      <w:vertAlign w:val="superscript"/>
    </w:rPr>
  </w:style>
  <w:style w:type="paragraph" w:customStyle="1" w:styleId="GFP2012titreresume">
    <w:name w:val="GFP2012_titre_resume"/>
    <w:basedOn w:val="Normal"/>
    <w:next w:val="GFP2012auteurs"/>
    <w:rsid w:val="0031532A"/>
    <w:pPr>
      <w:spacing w:before="720" w:after="120"/>
      <w:jc w:val="center"/>
    </w:pPr>
    <w:rPr>
      <w:b/>
      <w:bCs/>
      <w:sz w:val="32"/>
    </w:rPr>
  </w:style>
  <w:style w:type="paragraph" w:customStyle="1" w:styleId="GFP2012auteurs">
    <w:name w:val="GFP2012_auteurs"/>
    <w:basedOn w:val="Normal"/>
    <w:rsid w:val="0031532A"/>
    <w:pPr>
      <w:spacing w:before="40" w:after="20"/>
      <w:jc w:val="center"/>
    </w:pPr>
    <w:rPr>
      <w:sz w:val="24"/>
    </w:rPr>
  </w:style>
  <w:style w:type="paragraph" w:customStyle="1" w:styleId="GFP2009titre1">
    <w:name w:val="GFP2009_titre_1"/>
    <w:basedOn w:val="Normal"/>
    <w:next w:val="Normal"/>
    <w:pPr>
      <w:spacing w:before="240" w:after="120"/>
    </w:pPr>
    <w:rPr>
      <w:b/>
      <w:sz w:val="24"/>
    </w:rPr>
  </w:style>
  <w:style w:type="paragraph" w:customStyle="1" w:styleId="GFP2009titre2">
    <w:name w:val="GFP2009_titre_2"/>
    <w:basedOn w:val="Normal"/>
    <w:next w:val="Normal"/>
    <w:pPr>
      <w:spacing w:before="120"/>
    </w:pPr>
    <w:rPr>
      <w:b/>
    </w:rPr>
  </w:style>
  <w:style w:type="paragraph" w:customStyle="1" w:styleId="GFP2009listeapoint">
    <w:name w:val="GFP2009_liste_a_point"/>
    <w:basedOn w:val="BulletedList"/>
    <w:pPr>
      <w:tabs>
        <w:tab w:val="left" w:pos="284"/>
      </w:tabs>
      <w:ind w:left="283"/>
    </w:pPr>
  </w:style>
  <w:style w:type="paragraph" w:customStyle="1" w:styleId="GFP2009-Equation">
    <w:name w:val="GFP2009-Equation"/>
    <w:basedOn w:val="Normal"/>
    <w:rsid w:val="0073471E"/>
    <w:pPr>
      <w:tabs>
        <w:tab w:val="right" w:pos="8505"/>
      </w:tabs>
      <w:spacing w:before="60" w:after="60"/>
    </w:pPr>
  </w:style>
  <w:style w:type="paragraph" w:customStyle="1" w:styleId="GFP2009titre3">
    <w:name w:val="GFP2009_titre_3"/>
    <w:basedOn w:val="Normal"/>
    <w:next w:val="Normal"/>
    <w:pPr>
      <w:spacing w:before="60"/>
    </w:pPr>
    <w:rPr>
      <w:i/>
      <w:iCs/>
    </w:rPr>
  </w:style>
  <w:style w:type="paragraph" w:styleId="Pieddepage">
    <w:name w:val="footer"/>
    <w:basedOn w:val="Normal"/>
    <w:rsid w:val="00100E52"/>
    <w:pPr>
      <w:tabs>
        <w:tab w:val="center" w:pos="4536"/>
        <w:tab w:val="right" w:pos="9072"/>
      </w:tabs>
    </w:pPr>
  </w:style>
  <w:style w:type="paragraph" w:customStyle="1" w:styleId="GFP2009rfrences">
    <w:name w:val="GFP2009_références"/>
    <w:basedOn w:val="Normal"/>
    <w:pPr>
      <w:ind w:left="142" w:hanging="142"/>
    </w:pPr>
    <w:rPr>
      <w:sz w:val="18"/>
    </w:rPr>
  </w:style>
  <w:style w:type="paragraph" w:customStyle="1" w:styleId="GFP2009titrefigure">
    <w:name w:val="GFP2009_titre_figure"/>
    <w:basedOn w:val="Normal"/>
    <w:pPr>
      <w:spacing w:before="120" w:after="120"/>
      <w:jc w:val="center"/>
    </w:pPr>
    <w:rPr>
      <w:i/>
      <w:iCs/>
      <w:sz w:val="18"/>
    </w:rPr>
  </w:style>
  <w:style w:type="paragraph" w:customStyle="1" w:styleId="GFP2009-Figure">
    <w:name w:val="GFP2009-Figure"/>
    <w:basedOn w:val="Normal"/>
    <w:next w:val="GFP2009titrefigure"/>
    <w:pPr>
      <w:spacing w:before="120"/>
      <w:jc w:val="center"/>
    </w:pPr>
  </w:style>
  <w:style w:type="character" w:styleId="Numrodepage">
    <w:name w:val="page number"/>
    <w:basedOn w:val="Policepardfaut"/>
    <w:rsid w:val="003E1780"/>
  </w:style>
  <w:style w:type="paragraph" w:customStyle="1" w:styleId="GFP2012motscles">
    <w:name w:val="GFP2012_mots_cles"/>
    <w:basedOn w:val="Normal"/>
    <w:pPr>
      <w:spacing w:before="120" w:after="120"/>
    </w:pPr>
  </w:style>
  <w:style w:type="paragraph" w:customStyle="1" w:styleId="GFP2009listenumros">
    <w:name w:val="GFP2009_liste_numéros"/>
    <w:basedOn w:val="GFP2009listeapoint"/>
    <w:pPr>
      <w:numPr>
        <w:numId w:val="18"/>
      </w:numPr>
      <w:tabs>
        <w:tab w:val="clear" w:pos="360"/>
        <w:tab w:val="num" w:pos="284"/>
      </w:tabs>
      <w:ind w:left="284" w:hanging="284"/>
    </w:pPr>
  </w:style>
  <w:style w:type="paragraph" w:styleId="Explorateurdedocuments">
    <w:name w:val="Document Map"/>
    <w:basedOn w:val="Normal"/>
    <w:semiHidden/>
    <w:rsid w:val="005C67C1"/>
    <w:pPr>
      <w:shd w:val="clear" w:color="auto" w:fill="000080"/>
    </w:pPr>
    <w:rPr>
      <w:rFonts w:ascii="Tahoma" w:hAnsi="Tahoma" w:cs="Tahoma"/>
    </w:rPr>
  </w:style>
  <w:style w:type="paragraph" w:customStyle="1" w:styleId="GFP2009titretableau">
    <w:name w:val="GFP2009_titre_tableau"/>
    <w:basedOn w:val="GFP2009titrefigure"/>
    <w:pPr>
      <w:ind w:left="1540" w:right="830" w:hanging="709"/>
      <w:jc w:val="both"/>
    </w:pPr>
  </w:style>
  <w:style w:type="character" w:styleId="Lienhypertexte">
    <w:name w:val="Hyperlink"/>
    <w:rsid w:val="0059001E"/>
    <w:rPr>
      <w:color w:val="0000FF"/>
      <w:u w:val="single"/>
    </w:rPr>
  </w:style>
  <w:style w:type="paragraph" w:customStyle="1" w:styleId="Default">
    <w:name w:val="Default"/>
    <w:rsid w:val="00150673"/>
    <w:pPr>
      <w:autoSpaceDE w:val="0"/>
      <w:autoSpaceDN w:val="0"/>
      <w:adjustRightInd w:val="0"/>
    </w:pPr>
    <w:rPr>
      <w:rFonts w:ascii="Bodoni MT" w:hAnsi="Bodoni MT" w:cs="Bodoni MT"/>
      <w:color w:val="000000"/>
      <w:sz w:val="24"/>
      <w:szCs w:val="24"/>
    </w:rPr>
  </w:style>
  <w:style w:type="paragraph" w:customStyle="1" w:styleId="GFP2012texte">
    <w:name w:val="GFP2012_texte"/>
    <w:basedOn w:val="GFP2011rsum"/>
    <w:rsid w:val="00205E7A"/>
    <w:pPr>
      <w:spacing w:before="240"/>
    </w:pPr>
    <w:rPr>
      <w:b w:val="0"/>
      <w:bCs/>
      <w:sz w:val="22"/>
    </w:rPr>
  </w:style>
  <w:style w:type="character" w:styleId="Marquedecommentaire">
    <w:name w:val="annotation reference"/>
    <w:rsid w:val="00AB03AF"/>
    <w:rPr>
      <w:sz w:val="16"/>
      <w:szCs w:val="16"/>
    </w:rPr>
  </w:style>
  <w:style w:type="paragraph" w:customStyle="1" w:styleId="GFP2012adresse">
    <w:name w:val="GFP2012_adresse"/>
    <w:basedOn w:val="GFP2012motscles"/>
    <w:rsid w:val="00D93BE2"/>
    <w:rPr>
      <w:bCs/>
      <w:i/>
    </w:rPr>
  </w:style>
  <w:style w:type="paragraph" w:styleId="Commentaire">
    <w:name w:val="annotation text"/>
    <w:basedOn w:val="Normal"/>
    <w:link w:val="CommentaireCar"/>
    <w:rsid w:val="00AB03AF"/>
  </w:style>
  <w:style w:type="character" w:customStyle="1" w:styleId="CommentaireCar">
    <w:name w:val="Commentaire Car"/>
    <w:link w:val="Commentaire"/>
    <w:rsid w:val="00AB03AF"/>
    <w:rPr>
      <w:kern w:val="28"/>
      <w:lang w:eastAsia="es-ES"/>
    </w:rPr>
  </w:style>
  <w:style w:type="paragraph" w:styleId="Objetducommentaire">
    <w:name w:val="annotation subject"/>
    <w:basedOn w:val="Commentaire"/>
    <w:next w:val="Commentaire"/>
    <w:link w:val="ObjetducommentaireCar"/>
    <w:rsid w:val="00AB03AF"/>
    <w:rPr>
      <w:b/>
      <w:bCs/>
    </w:rPr>
  </w:style>
  <w:style w:type="character" w:customStyle="1" w:styleId="ObjetducommentaireCar">
    <w:name w:val="Objet du commentaire Car"/>
    <w:link w:val="Objetducommentaire"/>
    <w:rsid w:val="00AB03AF"/>
    <w:rPr>
      <w:b/>
      <w:bCs/>
      <w:kern w:val="28"/>
      <w:lang w:eastAsia="es-ES"/>
    </w:rPr>
  </w:style>
  <w:style w:type="paragraph" w:styleId="Textedebulles">
    <w:name w:val="Balloon Text"/>
    <w:basedOn w:val="Normal"/>
    <w:link w:val="TextedebullesCar"/>
    <w:rsid w:val="00AB0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B03AF"/>
    <w:rPr>
      <w:rFonts w:ascii="Tahoma" w:hAnsi="Tahoma" w:cs="Tahoma"/>
      <w:kern w:val="28"/>
      <w:sz w:val="16"/>
      <w:szCs w:val="16"/>
      <w:lang w:eastAsia="es-ES"/>
    </w:rPr>
  </w:style>
  <w:style w:type="paragraph" w:styleId="NormalWeb">
    <w:name w:val="Normal (Web)"/>
    <w:basedOn w:val="Normal"/>
    <w:rsid w:val="00623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2876-AF68-45B0-9834-930FC0ED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Content and Formatting Instructions</vt:lpstr>
    </vt:vector>
  </TitlesOfParts>
  <Company>BRGM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and Formatting Instructions</dc:title>
  <dc:subject/>
  <dc:creator>ESCAPE-15</dc:creator>
  <cp:keywords/>
  <cp:lastModifiedBy>Administrateur</cp:lastModifiedBy>
  <cp:revision>2</cp:revision>
  <cp:lastPrinted>2004-07-27T18:22:00Z</cp:lastPrinted>
  <dcterms:created xsi:type="dcterms:W3CDTF">2018-04-19T12:42:00Z</dcterms:created>
  <dcterms:modified xsi:type="dcterms:W3CDTF">2018-04-19T12:42:00Z</dcterms:modified>
</cp:coreProperties>
</file>