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20" w:rsidRPr="00BF1520" w:rsidRDefault="00BF1520" w:rsidP="00BF1520">
      <w:pPr>
        <w:spacing w:after="0" w:line="240" w:lineRule="auto"/>
        <w:rPr>
          <w:rFonts w:ascii="Helvetica" w:eastAsia="Times New Roman" w:hAnsi="Helvetica" w:cs="Arial"/>
          <w:color w:val="000000"/>
          <w:sz w:val="21"/>
          <w:szCs w:val="21"/>
          <w:lang w:val="en" w:eastAsia="fr-BE"/>
        </w:rPr>
      </w:pPr>
      <w:bookmarkStart w:id="0" w:name="_GoBack"/>
      <w:r w:rsidRPr="00BF1520">
        <w:rPr>
          <w:rFonts w:ascii="Helvetica" w:eastAsia="Times New Roman" w:hAnsi="Helvetica" w:cs="Arial"/>
          <w:color w:val="000000"/>
          <w:sz w:val="21"/>
          <w:szCs w:val="21"/>
          <w:lang w:val="en" w:eastAsia="fr-BE"/>
        </w:rPr>
        <w:t>op15</w:t>
      </w:r>
      <w:proofErr w:type="gramStart"/>
      <w:r w:rsidRPr="00BF1520">
        <w:rPr>
          <w:rFonts w:ascii="Helvetica" w:eastAsia="Times New Roman" w:hAnsi="Helvetica" w:cs="Arial"/>
          <w:color w:val="000000"/>
          <w:sz w:val="21"/>
          <w:szCs w:val="21"/>
          <w:lang w:val="en" w:eastAsia="fr-BE"/>
        </w:rPr>
        <w:t>  Oral</w:t>
      </w:r>
      <w:proofErr w:type="gramEnd"/>
      <w:r w:rsidRPr="00BF1520">
        <w:rPr>
          <w:rFonts w:ascii="Helvetica" w:eastAsia="Times New Roman" w:hAnsi="Helvetica" w:cs="Arial"/>
          <w:color w:val="000000"/>
          <w:sz w:val="21"/>
          <w:szCs w:val="21"/>
          <w:lang w:val="en" w:eastAsia="fr-BE"/>
        </w:rPr>
        <w:t xml:space="preserve"> Presentation</w:t>
      </w:r>
      <w:r w:rsidRPr="00BF1520">
        <w:rPr>
          <w:rFonts w:ascii="Helvetica" w:eastAsia="Times New Roman" w:hAnsi="Helvetica" w:cs="Arial"/>
          <w:color w:val="000000"/>
          <w:sz w:val="21"/>
          <w:szCs w:val="21"/>
          <w:lang w:val="en" w:eastAsia="fr-BE"/>
        </w:rPr>
        <w:br/>
      </w:r>
      <w:r w:rsidRPr="00BF1520">
        <w:rPr>
          <w:rFonts w:ascii="Helvetica" w:eastAsia="Times New Roman" w:hAnsi="Helvetica" w:cs="Arial"/>
          <w:b/>
          <w:bCs/>
          <w:i/>
          <w:iCs/>
          <w:color w:val="000000"/>
          <w:sz w:val="21"/>
          <w:szCs w:val="21"/>
          <w:lang w:val="en" w:eastAsia="fr-BE"/>
        </w:rPr>
        <w:t>Insulin therapy: From monitoring to control</w:t>
      </w:r>
      <w:r w:rsidRPr="00BF1520">
        <w:rPr>
          <w:rFonts w:ascii="Helvetica" w:eastAsia="Times New Roman" w:hAnsi="Helvetica" w:cs="Arial"/>
          <w:color w:val="000000"/>
          <w:sz w:val="21"/>
          <w:szCs w:val="21"/>
          <w:lang w:val="en" w:eastAsia="fr-BE"/>
        </w:rPr>
        <w:br/>
      </w:r>
      <w:r w:rsidRPr="00BF1520">
        <w:rPr>
          <w:rFonts w:ascii="Helvetica" w:eastAsia="Times New Roman" w:hAnsi="Helvetica" w:cs="Arial"/>
          <w:color w:val="000000"/>
          <w:sz w:val="21"/>
          <w:szCs w:val="21"/>
          <w:lang w:val="en" w:eastAsia="fr-BE"/>
        </w:rPr>
        <w:br/>
        <w:t xml:space="preserve">06-Dec-2011 10:45 12:45 </w:t>
      </w:r>
      <w:bookmarkEnd w:id="0"/>
      <w:r w:rsidRPr="00BF1520">
        <w:rPr>
          <w:rFonts w:ascii="Helvetica" w:eastAsia="Times New Roman" w:hAnsi="Helvetica" w:cs="Arial"/>
          <w:color w:val="000000"/>
          <w:sz w:val="21"/>
          <w:szCs w:val="21"/>
          <w:lang w:val="en" w:eastAsia="fr-BE"/>
        </w:rPr>
        <w:br/>
        <w:t xml:space="preserve">  </w:t>
      </w:r>
    </w:p>
    <w:p w:rsidR="00BF1520" w:rsidRPr="00BF1520" w:rsidRDefault="00BF1520" w:rsidP="00BF1520">
      <w:pPr>
        <w:spacing w:after="0" w:line="240" w:lineRule="auto"/>
        <w:rPr>
          <w:rFonts w:ascii="Helvetica" w:eastAsia="Times New Roman" w:hAnsi="Helvetica" w:cs="Arial"/>
          <w:color w:val="000000"/>
          <w:sz w:val="21"/>
          <w:szCs w:val="21"/>
          <w:lang w:val="en" w:eastAsia="fr-BE"/>
        </w:rPr>
      </w:pPr>
      <w:r w:rsidRPr="00BF1520">
        <w:rPr>
          <w:rFonts w:ascii="Helvetica" w:eastAsia="Times New Roman" w:hAnsi="Helvetica" w:cs="Arial"/>
          <w:color w:val="000000"/>
          <w:sz w:val="21"/>
          <w:szCs w:val="21"/>
          <w:lang w:val="en" w:eastAsia="fr-BE"/>
        </w:rPr>
        <w:pict>
          <v:rect id="_x0000_i1025" style="width:0;height:0" o:hralign="center" o:hrstd="t" o:hr="t" fillcolor="#a0a0a0" stroked="f"/>
        </w:pict>
      </w:r>
    </w:p>
    <w:tbl>
      <w:tblPr>
        <w:tblW w:w="10500" w:type="dxa"/>
        <w:tblCellMar>
          <w:top w:w="15" w:type="dxa"/>
          <w:left w:w="15" w:type="dxa"/>
          <w:bottom w:w="15" w:type="dxa"/>
          <w:right w:w="15" w:type="dxa"/>
        </w:tblCellMar>
        <w:tblLook w:val="04A0" w:firstRow="1" w:lastRow="0" w:firstColumn="1" w:lastColumn="0" w:noHBand="0" w:noVBand="1"/>
      </w:tblPr>
      <w:tblGrid>
        <w:gridCol w:w="75"/>
        <w:gridCol w:w="10425"/>
      </w:tblGrid>
      <w:tr w:rsidR="00BF1520" w:rsidRPr="00BF1520" w:rsidTr="00BF1520">
        <w:tc>
          <w:tcPr>
            <w:tcW w:w="75" w:type="dxa"/>
            <w:tcMar>
              <w:top w:w="0" w:type="dxa"/>
              <w:left w:w="0" w:type="dxa"/>
              <w:bottom w:w="0" w:type="dxa"/>
              <w:right w:w="0" w:type="dxa"/>
            </w:tcMar>
            <w:vAlign w:val="center"/>
            <w:hideMark/>
          </w:tcPr>
          <w:p w:rsidR="00BF1520" w:rsidRPr="00BF1520" w:rsidRDefault="00BF1520" w:rsidP="00BF1520">
            <w:pPr>
              <w:spacing w:after="0" w:line="240" w:lineRule="auto"/>
              <w:rPr>
                <w:rFonts w:ascii="Helvetica" w:eastAsia="Times New Roman" w:hAnsi="Helvetica" w:cs="Times New Roman"/>
                <w:color w:val="000000"/>
                <w:sz w:val="21"/>
                <w:szCs w:val="21"/>
                <w:lang w:eastAsia="fr-BE"/>
              </w:rPr>
            </w:pPr>
            <w:r w:rsidRPr="00BF1520">
              <w:rPr>
                <w:rFonts w:ascii="Helvetica" w:eastAsia="Times New Roman" w:hAnsi="Helvetica" w:cs="Times New Roman"/>
                <w:color w:val="000000"/>
                <w:sz w:val="21"/>
                <w:szCs w:val="21"/>
                <w:lang w:eastAsia="fr-BE"/>
              </w:rPr>
              <w:t> </w:t>
            </w:r>
          </w:p>
        </w:tc>
        <w:tc>
          <w:tcPr>
            <w:tcW w:w="0" w:type="auto"/>
            <w:tcMar>
              <w:top w:w="0" w:type="dxa"/>
              <w:left w:w="0" w:type="dxa"/>
              <w:bottom w:w="0" w:type="dxa"/>
              <w:right w:w="0"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10425"/>
            </w:tblGrid>
            <w:tr w:rsidR="00BF1520" w:rsidRPr="00BF1520">
              <w:tc>
                <w:tcPr>
                  <w:tcW w:w="5000" w:type="pct"/>
                  <w:tcMar>
                    <w:top w:w="0" w:type="dxa"/>
                    <w:left w:w="0" w:type="dxa"/>
                    <w:bottom w:w="0" w:type="dxa"/>
                    <w:right w:w="0"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10425"/>
                  </w:tblGrid>
                  <w:tr w:rsidR="00BF1520" w:rsidRPr="00BF1520">
                    <w:tc>
                      <w:tcPr>
                        <w:tcW w:w="0" w:type="auto"/>
                        <w:tcMar>
                          <w:top w:w="0" w:type="dxa"/>
                          <w:left w:w="0" w:type="dxa"/>
                          <w:bottom w:w="0" w:type="dxa"/>
                          <w:right w:w="0" w:type="dxa"/>
                        </w:tcMar>
                        <w:vAlign w:val="center"/>
                        <w:hideMark/>
                      </w:tcPr>
                      <w:p w:rsidR="00BF1520" w:rsidRPr="00BF1520" w:rsidRDefault="00BF1520" w:rsidP="00BF1520">
                        <w:pPr>
                          <w:spacing w:after="0" w:line="240" w:lineRule="auto"/>
                          <w:rPr>
                            <w:rFonts w:ascii="Helvetica" w:eastAsia="Times New Roman" w:hAnsi="Helvetica" w:cs="Times New Roman"/>
                            <w:color w:val="000000"/>
                            <w:sz w:val="21"/>
                            <w:szCs w:val="21"/>
                            <w:lang w:eastAsia="fr-BE"/>
                          </w:rPr>
                        </w:pPr>
                        <w:proofErr w:type="spellStart"/>
                        <w:r w:rsidRPr="00BF1520">
                          <w:rPr>
                            <w:rFonts w:ascii="Helvetica" w:eastAsia="Times New Roman" w:hAnsi="Helvetica" w:cs="Times New Roman"/>
                            <w:b/>
                            <w:bCs/>
                            <w:color w:val="000000"/>
                            <w:sz w:val="21"/>
                            <w:szCs w:val="21"/>
                            <w:lang w:eastAsia="fr-BE"/>
                          </w:rPr>
                          <w:t>Title</w:t>
                        </w:r>
                        <w:proofErr w:type="spellEnd"/>
                        <w:r w:rsidRPr="00BF1520">
                          <w:rPr>
                            <w:rFonts w:ascii="Helvetica" w:eastAsia="Times New Roman" w:hAnsi="Helvetica" w:cs="Times New Roman"/>
                            <w:b/>
                            <w:bCs/>
                            <w:color w:val="000000"/>
                            <w:sz w:val="21"/>
                            <w:szCs w:val="21"/>
                            <w:lang w:eastAsia="fr-BE"/>
                          </w:rPr>
                          <w:t>: O-0504</w:t>
                        </w:r>
                      </w:p>
                    </w:tc>
                  </w:tr>
                  <w:tr w:rsidR="00BF1520" w:rsidRPr="00BF1520">
                    <w:tc>
                      <w:tcPr>
                        <w:tcW w:w="0" w:type="auto"/>
                        <w:tcMar>
                          <w:top w:w="0" w:type="dxa"/>
                          <w:left w:w="0" w:type="dxa"/>
                          <w:bottom w:w="0" w:type="dxa"/>
                          <w:right w:w="0" w:type="dxa"/>
                        </w:tcMar>
                        <w:vAlign w:val="center"/>
                        <w:hideMark/>
                      </w:tcPr>
                      <w:p w:rsidR="00BF1520" w:rsidRPr="00BF1520" w:rsidRDefault="00BF1520" w:rsidP="00BF1520">
                        <w:pPr>
                          <w:spacing w:after="0" w:line="240" w:lineRule="auto"/>
                          <w:rPr>
                            <w:rFonts w:ascii="Helvetica" w:eastAsia="Times New Roman" w:hAnsi="Helvetica" w:cs="Times New Roman"/>
                            <w:color w:val="000000"/>
                            <w:sz w:val="21"/>
                            <w:szCs w:val="21"/>
                            <w:lang w:val="en-GB" w:eastAsia="fr-BE"/>
                          </w:rPr>
                        </w:pPr>
                        <w:r w:rsidRPr="00BF1520">
                          <w:rPr>
                            <w:rFonts w:ascii="Helvetica" w:eastAsia="Times New Roman" w:hAnsi="Helvetica" w:cs="Times New Roman"/>
                            <w:i/>
                            <w:iCs/>
                            <w:color w:val="000000"/>
                            <w:sz w:val="21"/>
                            <w:szCs w:val="21"/>
                            <w:lang w:val="en-GB" w:eastAsia="fr-BE"/>
                          </w:rPr>
                          <w:t>Patient- or Physician-driven Continuous Glucose Monitoring in poorly-controlled T1D patients: a one-year randomised multicenter study.</w:t>
                        </w:r>
                      </w:p>
                    </w:tc>
                  </w:tr>
                  <w:tr w:rsidR="00BF1520" w:rsidRPr="00BF1520">
                    <w:tc>
                      <w:tcPr>
                        <w:tcW w:w="75" w:type="dxa"/>
                        <w:tcMar>
                          <w:top w:w="0" w:type="dxa"/>
                          <w:left w:w="0" w:type="dxa"/>
                          <w:bottom w:w="0" w:type="dxa"/>
                          <w:right w:w="0" w:type="dxa"/>
                        </w:tcMar>
                        <w:vAlign w:val="center"/>
                        <w:hideMark/>
                      </w:tcPr>
                      <w:p w:rsidR="00BF1520" w:rsidRPr="00BF1520" w:rsidRDefault="00BF1520" w:rsidP="00BF1520">
                        <w:pPr>
                          <w:spacing w:after="0" w:line="240" w:lineRule="auto"/>
                          <w:rPr>
                            <w:rFonts w:ascii="Helvetica" w:eastAsia="Times New Roman" w:hAnsi="Helvetica" w:cs="Times New Roman"/>
                            <w:color w:val="000000"/>
                            <w:sz w:val="21"/>
                            <w:szCs w:val="21"/>
                            <w:lang w:val="en-GB" w:eastAsia="fr-BE"/>
                          </w:rPr>
                        </w:pPr>
                        <w:r w:rsidRPr="00BF1520">
                          <w:rPr>
                            <w:rFonts w:ascii="Helvetica" w:eastAsia="Times New Roman" w:hAnsi="Helvetica" w:cs="Times New Roman"/>
                            <w:color w:val="000000"/>
                            <w:sz w:val="21"/>
                            <w:szCs w:val="21"/>
                            <w:lang w:val="en-GB" w:eastAsia="fr-BE"/>
                          </w:rPr>
                          <w:t> </w:t>
                        </w:r>
                      </w:p>
                    </w:tc>
                  </w:tr>
                  <w:tr w:rsidR="00BF1520" w:rsidRPr="00BF1520">
                    <w:tc>
                      <w:tcPr>
                        <w:tcW w:w="0" w:type="auto"/>
                        <w:tcMar>
                          <w:top w:w="0" w:type="dxa"/>
                          <w:left w:w="0" w:type="dxa"/>
                          <w:bottom w:w="0" w:type="dxa"/>
                          <w:right w:w="0" w:type="dxa"/>
                        </w:tcMar>
                        <w:vAlign w:val="center"/>
                        <w:hideMark/>
                      </w:tcPr>
                      <w:p w:rsidR="00BF1520" w:rsidRPr="00BF1520" w:rsidRDefault="00BF1520" w:rsidP="00BF1520">
                        <w:pPr>
                          <w:spacing w:after="0" w:line="240" w:lineRule="auto"/>
                          <w:rPr>
                            <w:rFonts w:ascii="Helvetica" w:eastAsia="Times New Roman" w:hAnsi="Helvetica" w:cs="Times New Roman"/>
                            <w:color w:val="000000"/>
                            <w:sz w:val="21"/>
                            <w:szCs w:val="21"/>
                            <w:lang w:eastAsia="fr-BE"/>
                          </w:rPr>
                        </w:pPr>
                        <w:r w:rsidRPr="00BF1520">
                          <w:rPr>
                            <w:rFonts w:ascii="Helvetica" w:eastAsia="Times New Roman" w:hAnsi="Helvetica" w:cs="Times New Roman"/>
                            <w:b/>
                            <w:bCs/>
                            <w:color w:val="000000"/>
                            <w:sz w:val="21"/>
                            <w:szCs w:val="21"/>
                            <w:lang w:eastAsia="fr-BE"/>
                          </w:rPr>
                          <w:t>Co-</w:t>
                        </w:r>
                        <w:proofErr w:type="spellStart"/>
                        <w:r w:rsidRPr="00BF1520">
                          <w:rPr>
                            <w:rFonts w:ascii="Helvetica" w:eastAsia="Times New Roman" w:hAnsi="Helvetica" w:cs="Times New Roman"/>
                            <w:b/>
                            <w:bCs/>
                            <w:color w:val="000000"/>
                            <w:sz w:val="21"/>
                            <w:szCs w:val="21"/>
                            <w:lang w:eastAsia="fr-BE"/>
                          </w:rPr>
                          <w:t>authors</w:t>
                        </w:r>
                        <w:proofErr w:type="spellEnd"/>
                      </w:p>
                    </w:tc>
                  </w:tr>
                  <w:tr w:rsidR="00BF1520" w:rsidRPr="00BF1520">
                    <w:tc>
                      <w:tcPr>
                        <w:tcW w:w="0" w:type="auto"/>
                        <w:tcMar>
                          <w:top w:w="0" w:type="dxa"/>
                          <w:left w:w="0" w:type="dxa"/>
                          <w:bottom w:w="0" w:type="dxa"/>
                          <w:right w:w="0" w:type="dxa"/>
                        </w:tcMar>
                        <w:vAlign w:val="center"/>
                        <w:hideMark/>
                      </w:tcPr>
                      <w:p w:rsidR="00BF1520" w:rsidRPr="00BF1520" w:rsidRDefault="00BF1520" w:rsidP="00BF1520">
                        <w:pPr>
                          <w:spacing w:after="0" w:line="240" w:lineRule="auto"/>
                          <w:rPr>
                            <w:rFonts w:ascii="Helvetica" w:eastAsia="Times New Roman" w:hAnsi="Helvetica" w:cs="Times New Roman"/>
                            <w:color w:val="000000"/>
                            <w:sz w:val="21"/>
                            <w:szCs w:val="21"/>
                            <w:lang w:val="en-GB" w:eastAsia="fr-BE"/>
                          </w:rPr>
                        </w:pPr>
                        <w:r w:rsidRPr="00BF1520">
                          <w:rPr>
                            <w:rFonts w:ascii="Helvetica" w:eastAsia="Times New Roman" w:hAnsi="Helvetica" w:cs="Times New Roman"/>
                            <w:color w:val="000000"/>
                            <w:sz w:val="21"/>
                            <w:szCs w:val="21"/>
                            <w:u w:val="single"/>
                            <w:lang w:eastAsia="fr-BE"/>
                          </w:rPr>
                          <w:t>R.P. Radermecker</w:t>
                        </w:r>
                        <w:r w:rsidRPr="00BF1520">
                          <w:rPr>
                            <w:rFonts w:ascii="Helvetica" w:eastAsia="Times New Roman" w:hAnsi="Helvetica" w:cs="Times New Roman"/>
                            <w:color w:val="000000"/>
                            <w:sz w:val="16"/>
                            <w:szCs w:val="16"/>
                            <w:vertAlign w:val="superscript"/>
                            <w:lang w:eastAsia="fr-BE"/>
                          </w:rPr>
                          <w:t>1</w:t>
                        </w:r>
                        <w:r w:rsidRPr="00BF1520">
                          <w:rPr>
                            <w:rFonts w:ascii="Helvetica" w:eastAsia="Times New Roman" w:hAnsi="Helvetica" w:cs="Times New Roman"/>
                            <w:color w:val="000000"/>
                            <w:sz w:val="21"/>
                            <w:szCs w:val="21"/>
                            <w:lang w:eastAsia="fr-BE"/>
                          </w:rPr>
                          <w:t>, V Melki</w:t>
                        </w:r>
                        <w:r w:rsidRPr="00BF1520">
                          <w:rPr>
                            <w:rFonts w:ascii="Helvetica" w:eastAsia="Times New Roman" w:hAnsi="Helvetica" w:cs="Times New Roman"/>
                            <w:color w:val="000000"/>
                            <w:sz w:val="16"/>
                            <w:szCs w:val="16"/>
                            <w:vertAlign w:val="superscript"/>
                            <w:lang w:eastAsia="fr-BE"/>
                          </w:rPr>
                          <w:t>2</w:t>
                        </w:r>
                        <w:r w:rsidRPr="00BF1520">
                          <w:rPr>
                            <w:rFonts w:ascii="Helvetica" w:eastAsia="Times New Roman" w:hAnsi="Helvetica" w:cs="Times New Roman"/>
                            <w:color w:val="000000"/>
                            <w:sz w:val="21"/>
                            <w:szCs w:val="21"/>
                            <w:lang w:eastAsia="fr-BE"/>
                          </w:rPr>
                          <w:t>, L Dufaitre</w:t>
                        </w:r>
                        <w:r w:rsidRPr="00BF1520">
                          <w:rPr>
                            <w:rFonts w:ascii="Helvetica" w:eastAsia="Times New Roman" w:hAnsi="Helvetica" w:cs="Times New Roman"/>
                            <w:color w:val="000000"/>
                            <w:sz w:val="16"/>
                            <w:szCs w:val="16"/>
                            <w:vertAlign w:val="superscript"/>
                            <w:lang w:eastAsia="fr-BE"/>
                          </w:rPr>
                          <w:t>3</w:t>
                        </w:r>
                        <w:r w:rsidRPr="00BF1520">
                          <w:rPr>
                            <w:rFonts w:ascii="Helvetica" w:eastAsia="Times New Roman" w:hAnsi="Helvetica" w:cs="Times New Roman"/>
                            <w:color w:val="000000"/>
                            <w:sz w:val="21"/>
                            <w:szCs w:val="21"/>
                            <w:lang w:eastAsia="fr-BE"/>
                          </w:rPr>
                          <w:t>, J.P. Riveline</w:t>
                        </w:r>
                        <w:r w:rsidRPr="00BF1520">
                          <w:rPr>
                            <w:rFonts w:ascii="Helvetica" w:eastAsia="Times New Roman" w:hAnsi="Helvetica" w:cs="Times New Roman"/>
                            <w:color w:val="000000"/>
                            <w:sz w:val="16"/>
                            <w:szCs w:val="16"/>
                            <w:vertAlign w:val="superscript"/>
                            <w:lang w:eastAsia="fr-BE"/>
                          </w:rPr>
                          <w:t>4</w:t>
                        </w:r>
                        <w:r w:rsidRPr="00BF1520">
                          <w:rPr>
                            <w:rFonts w:ascii="Helvetica" w:eastAsia="Times New Roman" w:hAnsi="Helvetica" w:cs="Times New Roman"/>
                            <w:color w:val="000000"/>
                            <w:sz w:val="21"/>
                            <w:szCs w:val="21"/>
                            <w:lang w:eastAsia="fr-BE"/>
                          </w:rPr>
                          <w:t>, L Chaillous</w:t>
                        </w:r>
                        <w:r w:rsidRPr="00BF1520">
                          <w:rPr>
                            <w:rFonts w:ascii="Helvetica" w:eastAsia="Times New Roman" w:hAnsi="Helvetica" w:cs="Times New Roman"/>
                            <w:color w:val="000000"/>
                            <w:sz w:val="16"/>
                            <w:szCs w:val="16"/>
                            <w:vertAlign w:val="superscript"/>
                            <w:lang w:eastAsia="fr-BE"/>
                          </w:rPr>
                          <w:t>5</w:t>
                        </w:r>
                        <w:r w:rsidRPr="00BF1520">
                          <w:rPr>
                            <w:rFonts w:ascii="Helvetica" w:eastAsia="Times New Roman" w:hAnsi="Helvetica" w:cs="Times New Roman"/>
                            <w:color w:val="000000"/>
                            <w:sz w:val="21"/>
                            <w:szCs w:val="21"/>
                            <w:lang w:eastAsia="fr-BE"/>
                          </w:rPr>
                          <w:t>, A. Farret</w:t>
                        </w:r>
                        <w:r w:rsidRPr="00BF1520">
                          <w:rPr>
                            <w:rFonts w:ascii="Helvetica" w:eastAsia="Times New Roman" w:hAnsi="Helvetica" w:cs="Times New Roman"/>
                            <w:color w:val="000000"/>
                            <w:sz w:val="16"/>
                            <w:szCs w:val="16"/>
                            <w:vertAlign w:val="superscript"/>
                            <w:lang w:eastAsia="fr-BE"/>
                          </w:rPr>
                          <w:t>6</w:t>
                        </w:r>
                        <w:r w:rsidRPr="00BF1520">
                          <w:rPr>
                            <w:rFonts w:ascii="Helvetica" w:eastAsia="Times New Roman" w:hAnsi="Helvetica" w:cs="Times New Roman"/>
                            <w:color w:val="000000"/>
                            <w:sz w:val="21"/>
                            <w:szCs w:val="21"/>
                            <w:lang w:eastAsia="fr-BE"/>
                          </w:rPr>
                          <w:t>, A. Sola</w:t>
                        </w:r>
                        <w:r w:rsidRPr="00BF1520">
                          <w:rPr>
                            <w:rFonts w:ascii="Helvetica" w:eastAsia="Times New Roman" w:hAnsi="Helvetica" w:cs="Times New Roman"/>
                            <w:color w:val="000000"/>
                            <w:sz w:val="16"/>
                            <w:szCs w:val="16"/>
                            <w:vertAlign w:val="superscript"/>
                            <w:lang w:eastAsia="fr-BE"/>
                          </w:rPr>
                          <w:t>7</w:t>
                        </w:r>
                        <w:r w:rsidRPr="00BF1520">
                          <w:rPr>
                            <w:rFonts w:ascii="Helvetica" w:eastAsia="Times New Roman" w:hAnsi="Helvetica" w:cs="Times New Roman"/>
                            <w:color w:val="000000"/>
                            <w:sz w:val="21"/>
                            <w:szCs w:val="21"/>
                            <w:lang w:eastAsia="fr-BE"/>
                          </w:rPr>
                          <w:t>, A Clergeot</w:t>
                        </w:r>
                        <w:r w:rsidRPr="00BF1520">
                          <w:rPr>
                            <w:rFonts w:ascii="Helvetica" w:eastAsia="Times New Roman" w:hAnsi="Helvetica" w:cs="Times New Roman"/>
                            <w:color w:val="000000"/>
                            <w:sz w:val="16"/>
                            <w:szCs w:val="16"/>
                            <w:vertAlign w:val="superscript"/>
                            <w:lang w:eastAsia="fr-BE"/>
                          </w:rPr>
                          <w:t>8</w:t>
                        </w:r>
                        <w:r w:rsidRPr="00BF1520">
                          <w:rPr>
                            <w:rFonts w:ascii="Helvetica" w:eastAsia="Times New Roman" w:hAnsi="Helvetica" w:cs="Times New Roman"/>
                            <w:color w:val="000000"/>
                            <w:sz w:val="21"/>
                            <w:szCs w:val="21"/>
                            <w:lang w:eastAsia="fr-BE"/>
                          </w:rPr>
                          <w:t>, S Guilmin-Crépon</w:t>
                        </w:r>
                        <w:r w:rsidRPr="00BF1520">
                          <w:rPr>
                            <w:rFonts w:ascii="Helvetica" w:eastAsia="Times New Roman" w:hAnsi="Helvetica" w:cs="Times New Roman"/>
                            <w:color w:val="000000"/>
                            <w:sz w:val="16"/>
                            <w:szCs w:val="16"/>
                            <w:vertAlign w:val="superscript"/>
                            <w:lang w:eastAsia="fr-BE"/>
                          </w:rPr>
                          <w:t>9</w:t>
                        </w:r>
                        <w:r w:rsidRPr="00BF1520">
                          <w:rPr>
                            <w:rFonts w:ascii="Helvetica" w:eastAsia="Times New Roman" w:hAnsi="Helvetica" w:cs="Times New Roman"/>
                            <w:color w:val="000000"/>
                            <w:sz w:val="21"/>
                            <w:szCs w:val="21"/>
                            <w:lang w:eastAsia="fr-BE"/>
                          </w:rPr>
                          <w:t>, V. Sulmont</w:t>
                        </w:r>
                        <w:r w:rsidRPr="00BF1520">
                          <w:rPr>
                            <w:rFonts w:ascii="Helvetica" w:eastAsia="Times New Roman" w:hAnsi="Helvetica" w:cs="Times New Roman"/>
                            <w:color w:val="000000"/>
                            <w:sz w:val="16"/>
                            <w:szCs w:val="16"/>
                            <w:vertAlign w:val="superscript"/>
                            <w:lang w:eastAsia="fr-BE"/>
                          </w:rPr>
                          <w:t>10</w:t>
                        </w:r>
                        <w:r w:rsidRPr="00BF1520">
                          <w:rPr>
                            <w:rFonts w:ascii="Helvetica" w:eastAsia="Times New Roman" w:hAnsi="Helvetica" w:cs="Times New Roman"/>
                            <w:color w:val="000000"/>
                            <w:sz w:val="21"/>
                            <w:szCs w:val="21"/>
                            <w:lang w:eastAsia="fr-BE"/>
                          </w:rPr>
                          <w:t>, B. Catargi</w:t>
                        </w:r>
                        <w:r w:rsidRPr="00BF1520">
                          <w:rPr>
                            <w:rFonts w:ascii="Helvetica" w:eastAsia="Times New Roman" w:hAnsi="Helvetica" w:cs="Times New Roman"/>
                            <w:color w:val="000000"/>
                            <w:sz w:val="16"/>
                            <w:szCs w:val="16"/>
                            <w:vertAlign w:val="superscript"/>
                            <w:lang w:eastAsia="fr-BE"/>
                          </w:rPr>
                          <w:t>11</w:t>
                        </w:r>
                        <w:r w:rsidRPr="00BF1520">
                          <w:rPr>
                            <w:rFonts w:ascii="Helvetica" w:eastAsia="Times New Roman" w:hAnsi="Helvetica" w:cs="Times New Roman"/>
                            <w:color w:val="000000"/>
                            <w:sz w:val="21"/>
                            <w:szCs w:val="21"/>
                            <w:lang w:eastAsia="fr-BE"/>
                          </w:rPr>
                          <w:t>, G. Charpentier</w:t>
                        </w:r>
                        <w:r w:rsidRPr="00BF1520">
                          <w:rPr>
                            <w:rFonts w:ascii="Helvetica" w:eastAsia="Times New Roman" w:hAnsi="Helvetica" w:cs="Times New Roman"/>
                            <w:color w:val="000000"/>
                            <w:sz w:val="16"/>
                            <w:szCs w:val="16"/>
                            <w:vertAlign w:val="superscript"/>
                            <w:lang w:eastAsia="fr-BE"/>
                          </w:rPr>
                          <w:t>4</w:t>
                        </w:r>
                        <w:r w:rsidRPr="00BF1520">
                          <w:rPr>
                            <w:rFonts w:ascii="Helvetica" w:eastAsia="Times New Roman" w:hAnsi="Helvetica" w:cs="Times New Roman"/>
                            <w:color w:val="000000"/>
                            <w:sz w:val="21"/>
                            <w:szCs w:val="21"/>
                            <w:lang w:eastAsia="fr-BE"/>
                          </w:rPr>
                          <w:t>.</w:t>
                        </w:r>
                        <w:r w:rsidRPr="00BF1520">
                          <w:rPr>
                            <w:rFonts w:ascii="Helvetica" w:eastAsia="Times New Roman" w:hAnsi="Helvetica" w:cs="Times New Roman"/>
                            <w:color w:val="000000"/>
                            <w:sz w:val="21"/>
                            <w:szCs w:val="21"/>
                            <w:lang w:eastAsia="fr-BE"/>
                          </w:rPr>
                          <w:br/>
                        </w:r>
                        <w:r w:rsidRPr="00BF1520">
                          <w:rPr>
                            <w:rFonts w:ascii="Helvetica" w:eastAsia="Times New Roman" w:hAnsi="Helvetica" w:cs="Times New Roman"/>
                            <w:color w:val="000000"/>
                            <w:sz w:val="16"/>
                            <w:szCs w:val="16"/>
                            <w:vertAlign w:val="superscript"/>
                            <w:lang w:val="en-GB" w:eastAsia="fr-BE"/>
                          </w:rPr>
                          <w:t>1</w:t>
                        </w:r>
                        <w:r w:rsidRPr="00BF1520">
                          <w:rPr>
                            <w:rFonts w:ascii="Helvetica" w:eastAsia="Times New Roman" w:hAnsi="Helvetica" w:cs="Times New Roman"/>
                            <w:color w:val="000000"/>
                            <w:sz w:val="21"/>
                            <w:szCs w:val="21"/>
                            <w:lang w:val="en-GB" w:eastAsia="fr-BE"/>
                          </w:rPr>
                          <w:t>CHU Sart Tilman University of Liege, Diabetes Nutrition and Metabolic disorders, Liege, Belgium.</w:t>
                        </w:r>
                        <w:r w:rsidRPr="00BF1520">
                          <w:rPr>
                            <w:rFonts w:ascii="Helvetica" w:eastAsia="Times New Roman" w:hAnsi="Helvetica" w:cs="Times New Roman"/>
                            <w:color w:val="000000"/>
                            <w:sz w:val="21"/>
                            <w:szCs w:val="21"/>
                            <w:lang w:val="en-GB" w:eastAsia="fr-BE"/>
                          </w:rPr>
                          <w:br/>
                        </w:r>
                        <w:r w:rsidRPr="00BF1520">
                          <w:rPr>
                            <w:rFonts w:ascii="Helvetica" w:eastAsia="Times New Roman" w:hAnsi="Helvetica" w:cs="Times New Roman"/>
                            <w:color w:val="000000"/>
                            <w:sz w:val="16"/>
                            <w:szCs w:val="16"/>
                            <w:vertAlign w:val="superscript"/>
                            <w:lang w:eastAsia="fr-BE"/>
                          </w:rPr>
                          <w:t>2</w:t>
                        </w:r>
                        <w:r w:rsidRPr="00BF1520">
                          <w:rPr>
                            <w:rFonts w:ascii="Helvetica" w:eastAsia="Times New Roman" w:hAnsi="Helvetica" w:cs="Times New Roman"/>
                            <w:color w:val="000000"/>
                            <w:sz w:val="21"/>
                            <w:szCs w:val="21"/>
                            <w:lang w:eastAsia="fr-BE"/>
                          </w:rPr>
                          <w:t>CHU Toulouse, Pôle Cardio-Vasculaire et Métabolique Service de Diabétologie, Toulouse, France.</w:t>
                        </w:r>
                        <w:r w:rsidRPr="00BF1520">
                          <w:rPr>
                            <w:rFonts w:ascii="Helvetica" w:eastAsia="Times New Roman" w:hAnsi="Helvetica" w:cs="Times New Roman"/>
                            <w:color w:val="000000"/>
                            <w:sz w:val="21"/>
                            <w:szCs w:val="21"/>
                            <w:lang w:eastAsia="fr-BE"/>
                          </w:rPr>
                          <w:br/>
                        </w:r>
                        <w:r w:rsidRPr="00BF1520">
                          <w:rPr>
                            <w:rFonts w:ascii="Helvetica" w:eastAsia="Times New Roman" w:hAnsi="Helvetica" w:cs="Times New Roman"/>
                            <w:color w:val="000000"/>
                            <w:sz w:val="16"/>
                            <w:szCs w:val="16"/>
                            <w:vertAlign w:val="superscript"/>
                            <w:lang w:eastAsia="fr-BE"/>
                          </w:rPr>
                          <w:t>3</w:t>
                        </w:r>
                        <w:r w:rsidRPr="00BF1520">
                          <w:rPr>
                            <w:rFonts w:ascii="Helvetica" w:eastAsia="Times New Roman" w:hAnsi="Helvetica" w:cs="Times New Roman"/>
                            <w:color w:val="000000"/>
                            <w:sz w:val="21"/>
                            <w:szCs w:val="21"/>
                            <w:lang w:eastAsia="fr-BE"/>
                          </w:rPr>
                          <w:t xml:space="preserve">University </w:t>
                        </w:r>
                        <w:proofErr w:type="spellStart"/>
                        <w:r w:rsidRPr="00BF1520">
                          <w:rPr>
                            <w:rFonts w:ascii="Helvetica" w:eastAsia="Times New Roman" w:hAnsi="Helvetica" w:cs="Times New Roman"/>
                            <w:color w:val="000000"/>
                            <w:sz w:val="21"/>
                            <w:szCs w:val="21"/>
                            <w:lang w:eastAsia="fr-BE"/>
                          </w:rPr>
                          <w:t>Hospital</w:t>
                        </w:r>
                        <w:proofErr w:type="spellEnd"/>
                        <w:r w:rsidRPr="00BF1520">
                          <w:rPr>
                            <w:rFonts w:ascii="Helvetica" w:eastAsia="Times New Roman" w:hAnsi="Helvetica" w:cs="Times New Roman"/>
                            <w:color w:val="000000"/>
                            <w:sz w:val="21"/>
                            <w:szCs w:val="21"/>
                            <w:lang w:eastAsia="fr-BE"/>
                          </w:rPr>
                          <w:t xml:space="preserve"> Sainte Marguerite, Service de Nutrition-Endocrinologie-Maladie Métaboliques, Marseille, France.</w:t>
                        </w:r>
                        <w:r w:rsidRPr="00BF1520">
                          <w:rPr>
                            <w:rFonts w:ascii="Helvetica" w:eastAsia="Times New Roman" w:hAnsi="Helvetica" w:cs="Times New Roman"/>
                            <w:color w:val="000000"/>
                            <w:sz w:val="21"/>
                            <w:szCs w:val="21"/>
                            <w:lang w:eastAsia="fr-BE"/>
                          </w:rPr>
                          <w:br/>
                        </w:r>
                        <w:r w:rsidRPr="00BF1520">
                          <w:rPr>
                            <w:rFonts w:ascii="Helvetica" w:eastAsia="Times New Roman" w:hAnsi="Helvetica" w:cs="Times New Roman"/>
                            <w:color w:val="000000"/>
                            <w:sz w:val="16"/>
                            <w:szCs w:val="16"/>
                            <w:vertAlign w:val="superscript"/>
                            <w:lang w:eastAsia="fr-BE"/>
                          </w:rPr>
                          <w:t>4</w:t>
                        </w:r>
                        <w:r w:rsidRPr="00BF1520">
                          <w:rPr>
                            <w:rFonts w:ascii="Helvetica" w:eastAsia="Times New Roman" w:hAnsi="Helvetica" w:cs="Times New Roman"/>
                            <w:color w:val="000000"/>
                            <w:sz w:val="21"/>
                            <w:szCs w:val="21"/>
                            <w:lang w:eastAsia="fr-BE"/>
                          </w:rPr>
                          <w:t>Centre hospitalier sud-francilien, Service de Diabétologie Endocrinologie, Corbeil-Essonnes, France.</w:t>
                        </w:r>
                        <w:r w:rsidRPr="00BF1520">
                          <w:rPr>
                            <w:rFonts w:ascii="Helvetica" w:eastAsia="Times New Roman" w:hAnsi="Helvetica" w:cs="Times New Roman"/>
                            <w:color w:val="000000"/>
                            <w:sz w:val="21"/>
                            <w:szCs w:val="21"/>
                            <w:lang w:eastAsia="fr-BE"/>
                          </w:rPr>
                          <w:br/>
                        </w:r>
                        <w:r w:rsidRPr="00BF1520">
                          <w:rPr>
                            <w:rFonts w:ascii="Helvetica" w:eastAsia="Times New Roman" w:hAnsi="Helvetica" w:cs="Times New Roman"/>
                            <w:color w:val="000000"/>
                            <w:sz w:val="16"/>
                            <w:szCs w:val="16"/>
                            <w:vertAlign w:val="superscript"/>
                            <w:lang w:eastAsia="fr-BE"/>
                          </w:rPr>
                          <w:t>5</w:t>
                        </w:r>
                        <w:r w:rsidRPr="00BF1520">
                          <w:rPr>
                            <w:rFonts w:ascii="Helvetica" w:eastAsia="Times New Roman" w:hAnsi="Helvetica" w:cs="Times New Roman"/>
                            <w:color w:val="000000"/>
                            <w:sz w:val="21"/>
                            <w:szCs w:val="21"/>
                            <w:lang w:eastAsia="fr-BE"/>
                          </w:rPr>
                          <w:t>CHU Nantes, Institut du thorax Service d'endocrinologie-diabétologie, Nantes, France.</w:t>
                        </w:r>
                        <w:r w:rsidRPr="00BF1520">
                          <w:rPr>
                            <w:rFonts w:ascii="Helvetica" w:eastAsia="Times New Roman" w:hAnsi="Helvetica" w:cs="Times New Roman"/>
                            <w:color w:val="000000"/>
                            <w:sz w:val="21"/>
                            <w:szCs w:val="21"/>
                            <w:lang w:eastAsia="fr-BE"/>
                          </w:rPr>
                          <w:br/>
                        </w:r>
                        <w:r w:rsidRPr="00BF1520">
                          <w:rPr>
                            <w:rFonts w:ascii="Helvetica" w:eastAsia="Times New Roman" w:hAnsi="Helvetica" w:cs="Times New Roman"/>
                            <w:color w:val="000000"/>
                            <w:sz w:val="16"/>
                            <w:szCs w:val="16"/>
                            <w:vertAlign w:val="superscript"/>
                            <w:lang w:eastAsia="fr-BE"/>
                          </w:rPr>
                          <w:t>6</w:t>
                        </w:r>
                        <w:r w:rsidRPr="00BF1520">
                          <w:rPr>
                            <w:rFonts w:ascii="Helvetica" w:eastAsia="Times New Roman" w:hAnsi="Helvetica" w:cs="Times New Roman"/>
                            <w:color w:val="000000"/>
                            <w:sz w:val="21"/>
                            <w:szCs w:val="21"/>
                            <w:lang w:eastAsia="fr-BE"/>
                          </w:rPr>
                          <w:t xml:space="preserve">Montpellier </w:t>
                        </w:r>
                        <w:proofErr w:type="spellStart"/>
                        <w:r w:rsidRPr="00BF1520">
                          <w:rPr>
                            <w:rFonts w:ascii="Helvetica" w:eastAsia="Times New Roman" w:hAnsi="Helvetica" w:cs="Times New Roman"/>
                            <w:color w:val="000000"/>
                            <w:sz w:val="21"/>
                            <w:szCs w:val="21"/>
                            <w:lang w:eastAsia="fr-BE"/>
                          </w:rPr>
                          <w:t>University</w:t>
                        </w:r>
                        <w:proofErr w:type="spellEnd"/>
                        <w:r w:rsidRPr="00BF1520">
                          <w:rPr>
                            <w:rFonts w:ascii="Helvetica" w:eastAsia="Times New Roman" w:hAnsi="Helvetica" w:cs="Times New Roman"/>
                            <w:color w:val="000000"/>
                            <w:sz w:val="21"/>
                            <w:szCs w:val="21"/>
                            <w:lang w:eastAsia="fr-BE"/>
                          </w:rPr>
                          <w:t xml:space="preserve"> </w:t>
                        </w:r>
                        <w:proofErr w:type="spellStart"/>
                        <w:r w:rsidRPr="00BF1520">
                          <w:rPr>
                            <w:rFonts w:ascii="Helvetica" w:eastAsia="Times New Roman" w:hAnsi="Helvetica" w:cs="Times New Roman"/>
                            <w:color w:val="000000"/>
                            <w:sz w:val="21"/>
                            <w:szCs w:val="21"/>
                            <w:lang w:eastAsia="fr-BE"/>
                          </w:rPr>
                          <w:t>Hospital</w:t>
                        </w:r>
                        <w:proofErr w:type="spellEnd"/>
                        <w:r w:rsidRPr="00BF1520">
                          <w:rPr>
                            <w:rFonts w:ascii="Helvetica" w:eastAsia="Times New Roman" w:hAnsi="Helvetica" w:cs="Times New Roman"/>
                            <w:color w:val="000000"/>
                            <w:sz w:val="21"/>
                            <w:szCs w:val="21"/>
                            <w:lang w:eastAsia="fr-BE"/>
                          </w:rPr>
                          <w:t xml:space="preserve">, </w:t>
                        </w:r>
                        <w:proofErr w:type="spellStart"/>
                        <w:r w:rsidRPr="00BF1520">
                          <w:rPr>
                            <w:rFonts w:ascii="Helvetica" w:eastAsia="Times New Roman" w:hAnsi="Helvetica" w:cs="Times New Roman"/>
                            <w:color w:val="000000"/>
                            <w:sz w:val="21"/>
                            <w:szCs w:val="21"/>
                            <w:lang w:eastAsia="fr-BE"/>
                          </w:rPr>
                          <w:t>Endocrinology</w:t>
                        </w:r>
                        <w:proofErr w:type="spellEnd"/>
                        <w:r w:rsidRPr="00BF1520">
                          <w:rPr>
                            <w:rFonts w:ascii="Helvetica" w:eastAsia="Times New Roman" w:hAnsi="Helvetica" w:cs="Times New Roman"/>
                            <w:color w:val="000000"/>
                            <w:sz w:val="21"/>
                            <w:szCs w:val="21"/>
                            <w:lang w:eastAsia="fr-BE"/>
                          </w:rPr>
                          <w:t xml:space="preserve"> </w:t>
                        </w:r>
                        <w:proofErr w:type="spellStart"/>
                        <w:r w:rsidRPr="00BF1520">
                          <w:rPr>
                            <w:rFonts w:ascii="Helvetica" w:eastAsia="Times New Roman" w:hAnsi="Helvetica" w:cs="Times New Roman"/>
                            <w:color w:val="000000"/>
                            <w:sz w:val="21"/>
                            <w:szCs w:val="21"/>
                            <w:lang w:eastAsia="fr-BE"/>
                          </w:rPr>
                          <w:t>Department</w:t>
                        </w:r>
                        <w:proofErr w:type="spellEnd"/>
                        <w:r w:rsidRPr="00BF1520">
                          <w:rPr>
                            <w:rFonts w:ascii="Helvetica" w:eastAsia="Times New Roman" w:hAnsi="Helvetica" w:cs="Times New Roman"/>
                            <w:color w:val="000000"/>
                            <w:sz w:val="21"/>
                            <w:szCs w:val="21"/>
                            <w:lang w:eastAsia="fr-BE"/>
                          </w:rPr>
                          <w:t>, Montpellier, France.</w:t>
                        </w:r>
                        <w:r w:rsidRPr="00BF1520">
                          <w:rPr>
                            <w:rFonts w:ascii="Helvetica" w:eastAsia="Times New Roman" w:hAnsi="Helvetica" w:cs="Times New Roman"/>
                            <w:color w:val="000000"/>
                            <w:sz w:val="21"/>
                            <w:szCs w:val="21"/>
                            <w:lang w:eastAsia="fr-BE"/>
                          </w:rPr>
                          <w:br/>
                        </w:r>
                        <w:r w:rsidRPr="00BF1520">
                          <w:rPr>
                            <w:rFonts w:ascii="Helvetica" w:eastAsia="Times New Roman" w:hAnsi="Helvetica" w:cs="Times New Roman"/>
                            <w:color w:val="000000"/>
                            <w:sz w:val="16"/>
                            <w:szCs w:val="16"/>
                            <w:vertAlign w:val="superscript"/>
                            <w:lang w:eastAsia="fr-BE"/>
                          </w:rPr>
                          <w:t>7</w:t>
                        </w:r>
                        <w:r w:rsidRPr="00BF1520">
                          <w:rPr>
                            <w:rFonts w:ascii="Helvetica" w:eastAsia="Times New Roman" w:hAnsi="Helvetica" w:cs="Times New Roman"/>
                            <w:color w:val="000000"/>
                            <w:sz w:val="21"/>
                            <w:szCs w:val="21"/>
                            <w:lang w:eastAsia="fr-BE"/>
                          </w:rPr>
                          <w:t>CHU Hôtel-Dieu, Service de Diabétologie, Paris, France.</w:t>
                        </w:r>
                        <w:r w:rsidRPr="00BF1520">
                          <w:rPr>
                            <w:rFonts w:ascii="Helvetica" w:eastAsia="Times New Roman" w:hAnsi="Helvetica" w:cs="Times New Roman"/>
                            <w:color w:val="000000"/>
                            <w:sz w:val="21"/>
                            <w:szCs w:val="21"/>
                            <w:lang w:eastAsia="fr-BE"/>
                          </w:rPr>
                          <w:br/>
                        </w:r>
                        <w:r w:rsidRPr="00BF1520">
                          <w:rPr>
                            <w:rFonts w:ascii="Helvetica" w:eastAsia="Times New Roman" w:hAnsi="Helvetica" w:cs="Times New Roman"/>
                            <w:color w:val="000000"/>
                            <w:sz w:val="16"/>
                            <w:szCs w:val="16"/>
                            <w:vertAlign w:val="superscript"/>
                            <w:lang w:eastAsia="fr-BE"/>
                          </w:rPr>
                          <w:t>8</w:t>
                        </w:r>
                        <w:r w:rsidRPr="00BF1520">
                          <w:rPr>
                            <w:rFonts w:ascii="Helvetica" w:eastAsia="Times New Roman" w:hAnsi="Helvetica" w:cs="Times New Roman"/>
                            <w:color w:val="000000"/>
                            <w:sz w:val="21"/>
                            <w:szCs w:val="21"/>
                            <w:lang w:eastAsia="fr-BE"/>
                          </w:rPr>
                          <w:t xml:space="preserve">Centre Hospitalier Universitaire de Besançon, </w:t>
                        </w:r>
                        <w:proofErr w:type="spellStart"/>
                        <w:r w:rsidRPr="00BF1520">
                          <w:rPr>
                            <w:rFonts w:ascii="Helvetica" w:eastAsia="Times New Roman" w:hAnsi="Helvetica" w:cs="Times New Roman"/>
                            <w:color w:val="000000"/>
                            <w:sz w:val="21"/>
                            <w:szCs w:val="21"/>
                            <w:lang w:eastAsia="fr-BE"/>
                          </w:rPr>
                          <w:t>Department</w:t>
                        </w:r>
                        <w:proofErr w:type="spellEnd"/>
                        <w:r w:rsidRPr="00BF1520">
                          <w:rPr>
                            <w:rFonts w:ascii="Helvetica" w:eastAsia="Times New Roman" w:hAnsi="Helvetica" w:cs="Times New Roman"/>
                            <w:color w:val="000000"/>
                            <w:sz w:val="21"/>
                            <w:szCs w:val="21"/>
                            <w:lang w:eastAsia="fr-BE"/>
                          </w:rPr>
                          <w:t xml:space="preserve"> of </w:t>
                        </w:r>
                        <w:proofErr w:type="spellStart"/>
                        <w:r w:rsidRPr="00BF1520">
                          <w:rPr>
                            <w:rFonts w:ascii="Helvetica" w:eastAsia="Times New Roman" w:hAnsi="Helvetica" w:cs="Times New Roman"/>
                            <w:color w:val="000000"/>
                            <w:sz w:val="21"/>
                            <w:szCs w:val="21"/>
                            <w:lang w:eastAsia="fr-BE"/>
                          </w:rPr>
                          <w:t>Endocrinology</w:t>
                        </w:r>
                        <w:proofErr w:type="spellEnd"/>
                        <w:r w:rsidRPr="00BF1520">
                          <w:rPr>
                            <w:rFonts w:ascii="Helvetica" w:eastAsia="Times New Roman" w:hAnsi="Helvetica" w:cs="Times New Roman"/>
                            <w:color w:val="000000"/>
                            <w:sz w:val="21"/>
                            <w:szCs w:val="21"/>
                            <w:lang w:eastAsia="fr-BE"/>
                          </w:rPr>
                          <w:t>, Besançon, France.</w:t>
                        </w:r>
                        <w:r w:rsidRPr="00BF1520">
                          <w:rPr>
                            <w:rFonts w:ascii="Helvetica" w:eastAsia="Times New Roman" w:hAnsi="Helvetica" w:cs="Times New Roman"/>
                            <w:color w:val="000000"/>
                            <w:sz w:val="21"/>
                            <w:szCs w:val="21"/>
                            <w:lang w:eastAsia="fr-BE"/>
                          </w:rPr>
                          <w:br/>
                        </w:r>
                        <w:r w:rsidRPr="00BF1520">
                          <w:rPr>
                            <w:rFonts w:ascii="Helvetica" w:eastAsia="Times New Roman" w:hAnsi="Helvetica" w:cs="Times New Roman"/>
                            <w:color w:val="000000"/>
                            <w:sz w:val="16"/>
                            <w:szCs w:val="16"/>
                            <w:vertAlign w:val="superscript"/>
                            <w:lang w:eastAsia="fr-BE"/>
                          </w:rPr>
                          <w:t>9</w:t>
                        </w:r>
                        <w:r w:rsidRPr="00BF1520">
                          <w:rPr>
                            <w:rFonts w:ascii="Helvetica" w:eastAsia="Times New Roman" w:hAnsi="Helvetica" w:cs="Times New Roman"/>
                            <w:color w:val="000000"/>
                            <w:sz w:val="21"/>
                            <w:szCs w:val="21"/>
                            <w:lang w:eastAsia="fr-BE"/>
                          </w:rPr>
                          <w:t>Hôpital Robert Debré APHP, Service Endocrinologie et CIC, Paris, France.</w:t>
                        </w:r>
                        <w:r w:rsidRPr="00BF1520">
                          <w:rPr>
                            <w:rFonts w:ascii="Helvetica" w:eastAsia="Times New Roman" w:hAnsi="Helvetica" w:cs="Times New Roman"/>
                            <w:color w:val="000000"/>
                            <w:sz w:val="21"/>
                            <w:szCs w:val="21"/>
                            <w:lang w:eastAsia="fr-BE"/>
                          </w:rPr>
                          <w:br/>
                        </w:r>
                        <w:r w:rsidRPr="00BF1520">
                          <w:rPr>
                            <w:rFonts w:ascii="Helvetica" w:eastAsia="Times New Roman" w:hAnsi="Helvetica" w:cs="Times New Roman"/>
                            <w:color w:val="000000"/>
                            <w:sz w:val="16"/>
                            <w:szCs w:val="16"/>
                            <w:vertAlign w:val="superscript"/>
                            <w:lang w:val="en-GB" w:eastAsia="fr-BE"/>
                          </w:rPr>
                          <w:t>10</w:t>
                        </w:r>
                        <w:r w:rsidRPr="00BF1520">
                          <w:rPr>
                            <w:rFonts w:ascii="Helvetica" w:eastAsia="Times New Roman" w:hAnsi="Helvetica" w:cs="Times New Roman"/>
                            <w:color w:val="000000"/>
                            <w:sz w:val="21"/>
                            <w:szCs w:val="21"/>
                            <w:lang w:val="en-GB" w:eastAsia="fr-BE"/>
                          </w:rPr>
                          <w:t>American Memorial Hospital CHU Reims, Service de Pédiatrie A, Reims, France.</w:t>
                        </w:r>
                        <w:r w:rsidRPr="00BF1520">
                          <w:rPr>
                            <w:rFonts w:ascii="Helvetica" w:eastAsia="Times New Roman" w:hAnsi="Helvetica" w:cs="Times New Roman"/>
                            <w:color w:val="000000"/>
                            <w:sz w:val="21"/>
                            <w:szCs w:val="21"/>
                            <w:lang w:val="en-GB" w:eastAsia="fr-BE"/>
                          </w:rPr>
                          <w:br/>
                        </w:r>
                        <w:r w:rsidRPr="00BF1520">
                          <w:rPr>
                            <w:rFonts w:ascii="Helvetica" w:eastAsia="Times New Roman" w:hAnsi="Helvetica" w:cs="Times New Roman"/>
                            <w:color w:val="000000"/>
                            <w:sz w:val="16"/>
                            <w:szCs w:val="16"/>
                            <w:vertAlign w:val="superscript"/>
                            <w:lang w:val="en-GB" w:eastAsia="fr-BE"/>
                          </w:rPr>
                          <w:t>11</w:t>
                        </w:r>
                        <w:r w:rsidRPr="00BF1520">
                          <w:rPr>
                            <w:rFonts w:ascii="Helvetica" w:eastAsia="Times New Roman" w:hAnsi="Helvetica" w:cs="Times New Roman"/>
                            <w:color w:val="000000"/>
                            <w:sz w:val="21"/>
                            <w:szCs w:val="21"/>
                            <w:lang w:val="en-GB" w:eastAsia="fr-BE"/>
                          </w:rPr>
                          <w:t>CHU Bordeaux, Department of Endocrinology, Pessac, France.</w:t>
                        </w:r>
                        <w:r w:rsidRPr="00BF1520">
                          <w:rPr>
                            <w:rFonts w:ascii="Helvetica" w:eastAsia="Times New Roman" w:hAnsi="Helvetica" w:cs="Times New Roman"/>
                            <w:color w:val="000000"/>
                            <w:sz w:val="21"/>
                            <w:szCs w:val="21"/>
                            <w:lang w:val="en-GB" w:eastAsia="fr-BE"/>
                          </w:rPr>
                          <w:br/>
                        </w:r>
                        <w:r w:rsidRPr="00BF1520">
                          <w:rPr>
                            <w:rFonts w:ascii="Helvetica" w:eastAsia="Times New Roman" w:hAnsi="Helvetica" w:cs="Times New Roman"/>
                            <w:color w:val="000000"/>
                            <w:sz w:val="21"/>
                            <w:szCs w:val="21"/>
                            <w:lang w:val="en-GB" w:eastAsia="fr-BE"/>
                          </w:rPr>
                          <w:br/>
                          <w:t> </w:t>
                        </w:r>
                      </w:p>
                    </w:tc>
                  </w:tr>
                  <w:tr w:rsidR="00BF1520" w:rsidRPr="00BF1520">
                    <w:tc>
                      <w:tcPr>
                        <w:tcW w:w="0" w:type="auto"/>
                        <w:tcMar>
                          <w:top w:w="0" w:type="dxa"/>
                          <w:left w:w="0" w:type="dxa"/>
                          <w:bottom w:w="0" w:type="dxa"/>
                          <w:right w:w="0" w:type="dxa"/>
                        </w:tcMar>
                        <w:vAlign w:val="center"/>
                        <w:hideMark/>
                      </w:tcPr>
                      <w:p w:rsidR="00BF1520" w:rsidRPr="00BF1520" w:rsidRDefault="00BF1520" w:rsidP="00BF1520">
                        <w:pPr>
                          <w:spacing w:after="300" w:line="240" w:lineRule="auto"/>
                          <w:rPr>
                            <w:rFonts w:ascii="Helvetica" w:eastAsia="Times New Roman" w:hAnsi="Helvetica" w:cs="Times New Roman"/>
                            <w:color w:val="000000"/>
                            <w:sz w:val="21"/>
                            <w:szCs w:val="21"/>
                            <w:lang w:val="en-GB" w:eastAsia="fr-BE"/>
                          </w:rPr>
                        </w:pPr>
                        <w:r w:rsidRPr="00BF1520">
                          <w:rPr>
                            <w:rFonts w:ascii="Helvetica" w:eastAsia="Times New Roman" w:hAnsi="Helvetica" w:cs="Times New Roman"/>
                            <w:color w:val="000000"/>
                            <w:sz w:val="21"/>
                            <w:szCs w:val="21"/>
                            <w:lang w:val="en-GB" w:eastAsia="fr-BE"/>
                          </w:rPr>
                          <w:t>Background and aims: Benefits of real-time CGM have been shown in T1D patients in short term studies. The observance to the use of the device seems to be important but no study has evaluated the most appropriate approach for this observance (Patient- or Physician-driven). The aim of the present study is to assess the effect of these 2 approaches of one-year use of CGM in poorly-controlled T1D</w:t>
                        </w:r>
                      </w:p>
                      <w:p w:rsidR="00BF1520" w:rsidRPr="00BF1520" w:rsidRDefault="00BF1520" w:rsidP="00BF1520">
                        <w:pPr>
                          <w:spacing w:after="300" w:line="240" w:lineRule="auto"/>
                          <w:rPr>
                            <w:rFonts w:ascii="Helvetica" w:eastAsia="Times New Roman" w:hAnsi="Helvetica" w:cs="Times New Roman"/>
                            <w:color w:val="000000"/>
                            <w:sz w:val="21"/>
                            <w:szCs w:val="21"/>
                            <w:lang w:val="en-GB" w:eastAsia="fr-BE"/>
                          </w:rPr>
                        </w:pPr>
                        <w:r w:rsidRPr="00BF1520">
                          <w:rPr>
                            <w:rFonts w:ascii="Helvetica" w:eastAsia="Times New Roman" w:hAnsi="Helvetica" w:cs="Times New Roman"/>
                            <w:color w:val="000000"/>
                            <w:sz w:val="21"/>
                            <w:szCs w:val="21"/>
                            <w:lang w:val="en-GB" w:eastAsia="fr-BE"/>
                          </w:rPr>
                          <w:t>Materials and methods: The study protocol was designed as a 1-year, international multicenter trial (Capteur Evadiac Group). Inclusion criteria were age ≥ 8yrs, T1D for ≥1 year, use of either multiple daily insulin injections (MDI) or an insulin pump and A1c level ≥ 8%. Patients were randomly assigned into 3 groups (1:1:1). Two modes of using CGM (FreeStyle Navigator™) were considered: Group 1 (G1): patient-led, Group 2 (G2): physician-driven where sensors were prescribed initially 50% of the time and more often if the targets were not reached (A1c&lt;7.5%, &lt;4 mild hypoglycaemia/week, no severe hypoglycaemia) based on a specific algorithm. These two strategies were compared to a usual Self Blood Glucose Monitoring practice (Group 3 (G3): control). The primary outcome was the change in A1c level at one year. The secondary outcomes were SD of glucose levels, hypoglycaemia and QoL.</w:t>
                        </w:r>
                      </w:p>
                      <w:p w:rsidR="00BF1520" w:rsidRPr="00BF1520" w:rsidRDefault="00BF1520" w:rsidP="00BF1520">
                        <w:pPr>
                          <w:spacing w:after="300" w:line="240" w:lineRule="auto"/>
                          <w:rPr>
                            <w:rFonts w:ascii="Helvetica" w:eastAsia="Times New Roman" w:hAnsi="Helvetica" w:cs="Times New Roman"/>
                            <w:color w:val="000000"/>
                            <w:sz w:val="21"/>
                            <w:szCs w:val="21"/>
                            <w:lang w:val="en-GB" w:eastAsia="fr-BE"/>
                          </w:rPr>
                        </w:pPr>
                        <w:r w:rsidRPr="00BF1520">
                          <w:rPr>
                            <w:rFonts w:ascii="Helvetica" w:eastAsia="Times New Roman" w:hAnsi="Helvetica" w:cs="Times New Roman"/>
                            <w:color w:val="000000"/>
                            <w:sz w:val="21"/>
                            <w:szCs w:val="21"/>
                            <w:lang w:val="en-GB" w:eastAsia="fr-BE"/>
                          </w:rPr>
                          <w:t>Results: Overall, 178 patients completed the study: age:36±14 yrs, duration of T1D:17±10 yrs, A1c:8.9±0.9 %, SD glucose (8-point blood glucose profile):70[52;84] mg/dl (mean±SD or median [95% CI]). At one year, A1c changes were similar in both CGM groups, and significantly higher than in the control group:G1vsG3: -0.52 %, p=0.0006, G2 vs. G3: -0.47 %, p=0.0008, G1+G2 vs. G3:-0.50 %, p&lt;0.0001. SD glucose was reduced only in group 2 by 15.7 [-28.8;-4.61] vs.G3 by 0.6 [-8.9;-4.6] mg/dl (p=0.049). Occurrence of hypoglycaemia was similar in the 3 groups. Diabetes Quality of Life questionnaire (DQoL) showed improved patient satisfaction while SF-36 questionnaire pointed out better physical health scores in both CGM groups (respectively p=0.004 and p=0.04). The number of sensors used per month was significantly lower in G2 vs. G1: 2.25 [1.27; 2.99] vs 3.42 [2.20; 3.91],p&lt;0.001. Improvement of A1c level was higher in patients on pump (G1+G2 vs. G3: -0.7 %) than on MDI (G1+G2 vs. G3: - 0.2 %).</w:t>
                        </w:r>
                      </w:p>
                      <w:p w:rsidR="00BF1520" w:rsidRPr="00BF1520" w:rsidRDefault="00BF1520" w:rsidP="00BF1520">
                        <w:pPr>
                          <w:spacing w:after="300" w:line="240" w:lineRule="auto"/>
                          <w:rPr>
                            <w:rFonts w:ascii="Helvetica" w:eastAsia="Times New Roman" w:hAnsi="Helvetica" w:cs="Times New Roman"/>
                            <w:color w:val="000000"/>
                            <w:sz w:val="21"/>
                            <w:szCs w:val="21"/>
                            <w:lang w:val="en-GB" w:eastAsia="fr-BE"/>
                          </w:rPr>
                        </w:pPr>
                        <w:r w:rsidRPr="00BF1520">
                          <w:rPr>
                            <w:rFonts w:ascii="Helvetica" w:eastAsia="Times New Roman" w:hAnsi="Helvetica" w:cs="Times New Roman"/>
                            <w:color w:val="000000"/>
                            <w:sz w:val="21"/>
                            <w:szCs w:val="21"/>
                            <w:lang w:val="en-GB" w:eastAsia="fr-BE"/>
                          </w:rPr>
                          <w:t xml:space="preserve">Conclusion: A long-term use of CGM resulted in a sustained improvement of glucose control and </w:t>
                        </w:r>
                        <w:proofErr w:type="spellStart"/>
                        <w:r w:rsidRPr="00BF1520">
                          <w:rPr>
                            <w:rFonts w:ascii="Helvetica" w:eastAsia="Times New Roman" w:hAnsi="Helvetica" w:cs="Times New Roman"/>
                            <w:color w:val="000000"/>
                            <w:sz w:val="21"/>
                            <w:szCs w:val="21"/>
                            <w:lang w:val="en-GB" w:eastAsia="fr-BE"/>
                          </w:rPr>
                          <w:t>QoL</w:t>
                        </w:r>
                        <w:proofErr w:type="spellEnd"/>
                        <w:r w:rsidRPr="00BF1520">
                          <w:rPr>
                            <w:rFonts w:ascii="Helvetica" w:eastAsia="Times New Roman" w:hAnsi="Helvetica" w:cs="Times New Roman"/>
                            <w:color w:val="000000"/>
                            <w:sz w:val="21"/>
                            <w:szCs w:val="21"/>
                            <w:lang w:val="en-GB" w:eastAsia="fr-BE"/>
                          </w:rPr>
                          <w:t xml:space="preserve"> in poorly-controlled T1D patients. The improvement of A1c level was observed without an increasing of hypoglycaemic events. A CGM prescription by the physician achieved a same improvement as a patient-led use, but with 34% </w:t>
                        </w:r>
                        <w:r w:rsidRPr="00BF1520">
                          <w:rPr>
                            <w:rFonts w:ascii="Helvetica" w:eastAsia="Times New Roman" w:hAnsi="Helvetica" w:cs="Times New Roman"/>
                            <w:color w:val="000000"/>
                            <w:sz w:val="21"/>
                            <w:szCs w:val="21"/>
                            <w:lang w:val="en-GB" w:eastAsia="fr-BE"/>
                          </w:rPr>
                          <w:lastRenderedPageBreak/>
                          <w:t>fewer sensors.</w:t>
                        </w:r>
                      </w:p>
                    </w:tc>
                  </w:tr>
                  <w:tr w:rsidR="00BF1520" w:rsidRPr="00BF1520">
                    <w:tc>
                      <w:tcPr>
                        <w:tcW w:w="75" w:type="dxa"/>
                        <w:tcMar>
                          <w:top w:w="0" w:type="dxa"/>
                          <w:left w:w="0" w:type="dxa"/>
                          <w:bottom w:w="0" w:type="dxa"/>
                          <w:right w:w="0" w:type="dxa"/>
                        </w:tcMar>
                        <w:vAlign w:val="center"/>
                        <w:hideMark/>
                      </w:tcPr>
                      <w:p w:rsidR="00BF1520" w:rsidRPr="00BF1520" w:rsidRDefault="00BF1520" w:rsidP="00BF1520">
                        <w:pPr>
                          <w:spacing w:after="0" w:line="240" w:lineRule="auto"/>
                          <w:rPr>
                            <w:rFonts w:ascii="Helvetica" w:eastAsia="Times New Roman" w:hAnsi="Helvetica" w:cs="Times New Roman"/>
                            <w:color w:val="000000"/>
                            <w:sz w:val="21"/>
                            <w:szCs w:val="21"/>
                            <w:lang w:val="en-GB" w:eastAsia="fr-BE"/>
                          </w:rPr>
                        </w:pPr>
                        <w:r w:rsidRPr="00BF1520">
                          <w:rPr>
                            <w:rFonts w:ascii="Helvetica" w:eastAsia="Times New Roman" w:hAnsi="Helvetica" w:cs="Times New Roman"/>
                            <w:color w:val="000000"/>
                            <w:sz w:val="21"/>
                            <w:szCs w:val="21"/>
                            <w:lang w:val="en-GB" w:eastAsia="fr-BE"/>
                          </w:rPr>
                          <w:lastRenderedPageBreak/>
                          <w:t> </w:t>
                        </w:r>
                      </w:p>
                    </w:tc>
                  </w:tr>
                  <w:tr w:rsidR="00BF1520" w:rsidRPr="00BF1520">
                    <w:tc>
                      <w:tcPr>
                        <w:tcW w:w="0" w:type="auto"/>
                        <w:tcMar>
                          <w:top w:w="0" w:type="dxa"/>
                          <w:left w:w="0" w:type="dxa"/>
                          <w:bottom w:w="0" w:type="dxa"/>
                          <w:right w:w="0" w:type="dxa"/>
                        </w:tcMar>
                        <w:vAlign w:val="center"/>
                        <w:hideMark/>
                      </w:tcPr>
                      <w:p w:rsidR="00BF1520" w:rsidRPr="00BF1520" w:rsidRDefault="00BF1520" w:rsidP="00BF1520">
                        <w:pPr>
                          <w:spacing w:after="0" w:line="240" w:lineRule="auto"/>
                          <w:rPr>
                            <w:rFonts w:ascii="Helvetica" w:eastAsia="Times New Roman" w:hAnsi="Helvetica" w:cs="Times New Roman"/>
                            <w:color w:val="000000"/>
                            <w:sz w:val="21"/>
                            <w:szCs w:val="21"/>
                            <w:lang w:val="en-GB" w:eastAsia="fr-BE"/>
                          </w:rPr>
                        </w:pPr>
                        <w:r w:rsidRPr="00BF1520">
                          <w:rPr>
                            <w:rFonts w:ascii="Helvetica" w:eastAsia="Times New Roman" w:hAnsi="Helvetica" w:cs="Times New Roman"/>
                            <w:b/>
                            <w:bCs/>
                            <w:color w:val="000000"/>
                            <w:sz w:val="21"/>
                            <w:szCs w:val="21"/>
                            <w:lang w:val="en-GB" w:eastAsia="fr-BE"/>
                          </w:rPr>
                          <w:t>Biography:</w:t>
                        </w:r>
                        <w:r w:rsidRPr="00BF1520">
                          <w:rPr>
                            <w:rFonts w:ascii="Helvetica" w:eastAsia="Times New Roman" w:hAnsi="Helvetica" w:cs="Times New Roman"/>
                            <w:color w:val="000000"/>
                            <w:sz w:val="21"/>
                            <w:szCs w:val="21"/>
                            <w:lang w:val="en-GB" w:eastAsia="fr-BE"/>
                          </w:rPr>
                          <w:t xml:space="preserve"> </w:t>
                        </w:r>
                        <w:r w:rsidRPr="00BF1520">
                          <w:rPr>
                            <w:rFonts w:ascii="Helvetica" w:eastAsia="Times New Roman" w:hAnsi="Helvetica" w:cs="Times New Roman"/>
                            <w:color w:val="000000"/>
                            <w:sz w:val="21"/>
                            <w:szCs w:val="21"/>
                            <w:lang w:val="en-GB" w:eastAsia="fr-BE"/>
                          </w:rPr>
                          <w:br/>
                          <w:t xml:space="preserve">article-title&gt;Patient- or physician-driven continuous glucose monitoring in poorly-controlled T1D patients: a one-year randomised </w:t>
                        </w:r>
                        <w:proofErr w:type="spellStart"/>
                        <w:r w:rsidRPr="00BF1520">
                          <w:rPr>
                            <w:rFonts w:ascii="Helvetica" w:eastAsia="Times New Roman" w:hAnsi="Helvetica" w:cs="Times New Roman"/>
                            <w:color w:val="000000"/>
                            <w:sz w:val="21"/>
                            <w:szCs w:val="21"/>
                            <w:lang w:val="en-GB" w:eastAsia="fr-BE"/>
                          </w:rPr>
                          <w:t>multicenter</w:t>
                        </w:r>
                        <w:proofErr w:type="spellEnd"/>
                        <w:r w:rsidRPr="00BF1520">
                          <w:rPr>
                            <w:rFonts w:ascii="Helvetica" w:eastAsia="Times New Roman" w:hAnsi="Helvetica" w:cs="Times New Roman"/>
                            <w:color w:val="000000"/>
                            <w:sz w:val="21"/>
                            <w:szCs w:val="21"/>
                            <w:lang w:val="en-GB" w:eastAsia="fr-BE"/>
                          </w:rPr>
                          <w:t xml:space="preserve"> study</w:t>
                        </w:r>
                      </w:p>
                    </w:tc>
                  </w:tr>
                </w:tbl>
                <w:p w:rsidR="00BF1520" w:rsidRPr="00BF1520" w:rsidRDefault="00BF1520" w:rsidP="00BF1520">
                  <w:pPr>
                    <w:spacing w:after="0" w:line="240" w:lineRule="auto"/>
                    <w:rPr>
                      <w:rFonts w:ascii="Helvetica" w:eastAsia="Times New Roman" w:hAnsi="Helvetica" w:cs="Times New Roman"/>
                      <w:color w:val="000000"/>
                      <w:sz w:val="21"/>
                      <w:szCs w:val="21"/>
                      <w:lang w:val="en-GB" w:eastAsia="fr-BE"/>
                    </w:rPr>
                  </w:pPr>
                </w:p>
              </w:tc>
            </w:tr>
          </w:tbl>
          <w:p w:rsidR="00BF1520" w:rsidRPr="00BF1520" w:rsidRDefault="00BF1520" w:rsidP="00BF1520">
            <w:pPr>
              <w:spacing w:after="0" w:line="240" w:lineRule="auto"/>
              <w:rPr>
                <w:rFonts w:ascii="Helvetica" w:eastAsia="Times New Roman" w:hAnsi="Helvetica" w:cs="Times New Roman"/>
                <w:color w:val="000000"/>
                <w:sz w:val="21"/>
                <w:szCs w:val="21"/>
                <w:lang w:val="en-GB" w:eastAsia="fr-BE"/>
              </w:rPr>
            </w:pPr>
          </w:p>
        </w:tc>
      </w:tr>
    </w:tbl>
    <w:p w:rsidR="00FA060D" w:rsidRPr="00BF1520" w:rsidRDefault="00FA060D">
      <w:pPr>
        <w:rPr>
          <w:lang w:val="en-GB"/>
        </w:rPr>
      </w:pPr>
    </w:p>
    <w:sectPr w:rsidR="00FA060D" w:rsidRPr="00BF1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20"/>
    <w:rsid w:val="00BF1520"/>
    <w:rsid w:val="00DF3531"/>
    <w:rsid w:val="00FA06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F1520"/>
    <w:pPr>
      <w:spacing w:after="300" w:line="240" w:lineRule="auto"/>
    </w:pPr>
    <w:rPr>
      <w:rFonts w:ascii="Times New Roman" w:eastAsia="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F1520"/>
    <w:pPr>
      <w:spacing w:after="300"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8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3537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dc:creator>
  <cp:lastModifiedBy>regis</cp:lastModifiedBy>
  <cp:revision>2</cp:revision>
  <dcterms:created xsi:type="dcterms:W3CDTF">2018-10-28T19:49:00Z</dcterms:created>
  <dcterms:modified xsi:type="dcterms:W3CDTF">2018-10-28T19:49:00Z</dcterms:modified>
</cp:coreProperties>
</file>