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A030F" w14:textId="1E310BDB" w:rsidR="00763248" w:rsidRPr="00763248" w:rsidRDefault="00896060" w:rsidP="00896060">
      <w:pPr>
        <w:spacing w:before="76"/>
        <w:ind w:right="14"/>
        <w:jc w:val="both"/>
        <w:rPr>
          <w:rFonts w:cstheme="minorHAnsi"/>
          <w:sz w:val="20"/>
          <w:szCs w:val="32"/>
        </w:rPr>
      </w:pPr>
      <w:r w:rsidRPr="00896060">
        <w:rPr>
          <w:rFonts w:cstheme="minorHAnsi"/>
          <w:w w:val="110"/>
          <w:sz w:val="36"/>
          <w:szCs w:val="32"/>
          <w:lang w:val="en-GB"/>
        </w:rPr>
        <w:t>In-pipette solid-phase extraction prior to flow-modulation comprehensive</w:t>
      </w:r>
      <w:r>
        <w:rPr>
          <w:rFonts w:cstheme="minorHAnsi"/>
          <w:w w:val="110"/>
          <w:sz w:val="36"/>
          <w:szCs w:val="32"/>
          <w:lang w:val="en-GB"/>
        </w:rPr>
        <w:t xml:space="preserve"> </w:t>
      </w:r>
      <w:r w:rsidRPr="00896060">
        <w:rPr>
          <w:rFonts w:cstheme="minorHAnsi"/>
          <w:w w:val="110"/>
          <w:sz w:val="36"/>
          <w:szCs w:val="32"/>
          <w:lang w:val="en-GB"/>
        </w:rPr>
        <w:t>two-dimensional gas chromatography with dual detection for the</w:t>
      </w:r>
      <w:r>
        <w:rPr>
          <w:rFonts w:cstheme="minorHAnsi"/>
          <w:w w:val="110"/>
          <w:sz w:val="36"/>
          <w:szCs w:val="32"/>
          <w:lang w:val="en-GB"/>
        </w:rPr>
        <w:t xml:space="preserve"> </w:t>
      </w:r>
      <w:r w:rsidRPr="00896060">
        <w:rPr>
          <w:rFonts w:cstheme="minorHAnsi"/>
          <w:w w:val="110"/>
          <w:sz w:val="36"/>
          <w:szCs w:val="32"/>
          <w:lang w:val="en-GB"/>
        </w:rPr>
        <w:t>determination of minor components in vegetable oils</w:t>
      </w:r>
    </w:p>
    <w:p w14:paraId="5A3BB685" w14:textId="77777777" w:rsidR="00896060" w:rsidRDefault="00896060" w:rsidP="00896060">
      <w:pPr>
        <w:spacing w:after="111" w:line="259" w:lineRule="auto"/>
      </w:pPr>
      <w:r>
        <w:rPr>
          <w:sz w:val="21"/>
        </w:rPr>
        <w:t>Laura Barp</w:t>
      </w:r>
      <w:r>
        <w:rPr>
          <w:color w:val="4D7897"/>
          <w:sz w:val="21"/>
          <w:vertAlign w:val="superscript"/>
        </w:rPr>
        <w:t>a</w:t>
      </w:r>
      <w:r>
        <w:rPr>
          <w:sz w:val="21"/>
          <w:vertAlign w:val="superscript"/>
        </w:rPr>
        <w:t>,</w:t>
      </w:r>
      <w:r>
        <w:rPr>
          <w:color w:val="4D7897"/>
          <w:sz w:val="21"/>
          <w:vertAlign w:val="superscript"/>
        </w:rPr>
        <w:t>1</w:t>
      </w:r>
      <w:r>
        <w:rPr>
          <w:sz w:val="21"/>
        </w:rPr>
        <w:t>, Flavio A. Franchina</w:t>
      </w:r>
      <w:r>
        <w:rPr>
          <w:color w:val="4D7897"/>
          <w:sz w:val="21"/>
          <w:vertAlign w:val="superscript"/>
        </w:rPr>
        <w:t>b</w:t>
      </w:r>
      <w:r>
        <w:rPr>
          <w:sz w:val="21"/>
          <w:vertAlign w:val="superscript"/>
        </w:rPr>
        <w:t>,</w:t>
      </w:r>
      <w:r>
        <w:rPr>
          <w:color w:val="4D7897"/>
          <w:sz w:val="21"/>
          <w:vertAlign w:val="superscript"/>
        </w:rPr>
        <w:t>1</w:t>
      </w:r>
      <w:r>
        <w:rPr>
          <w:sz w:val="21"/>
        </w:rPr>
        <w:t xml:space="preserve">, Giorgia </w:t>
      </w:r>
      <w:proofErr w:type="spellStart"/>
      <w:proofErr w:type="gramStart"/>
      <w:r>
        <w:rPr>
          <w:sz w:val="21"/>
        </w:rPr>
        <w:t>Purcaro</w:t>
      </w:r>
      <w:r>
        <w:rPr>
          <w:color w:val="4D7897"/>
          <w:sz w:val="21"/>
          <w:vertAlign w:val="superscript"/>
        </w:rPr>
        <w:t>b</w:t>
      </w:r>
      <w:proofErr w:type="spellEnd"/>
      <w:r>
        <w:rPr>
          <w:sz w:val="21"/>
          <w:vertAlign w:val="superscript"/>
        </w:rPr>
        <w:t>,</w:t>
      </w:r>
      <w:r>
        <w:rPr>
          <w:rFonts w:ascii="Segoe UI Symbol" w:eastAsia="Calibri" w:hAnsi="Segoe UI Symbol" w:cs="Segoe UI Symbol"/>
          <w:color w:val="4D7897"/>
          <w:sz w:val="21"/>
          <w:vertAlign w:val="superscript"/>
        </w:rPr>
        <w:t>⁎</w:t>
      </w:r>
      <w:proofErr w:type="gramEnd"/>
      <w:r>
        <w:rPr>
          <w:sz w:val="21"/>
        </w:rPr>
        <w:t xml:space="preserve">, Peter Q. </w:t>
      </w:r>
      <w:proofErr w:type="spellStart"/>
      <w:r>
        <w:rPr>
          <w:sz w:val="21"/>
        </w:rPr>
        <w:t>Tranchida</w:t>
      </w:r>
      <w:r>
        <w:rPr>
          <w:color w:val="4D7897"/>
          <w:sz w:val="21"/>
          <w:vertAlign w:val="superscript"/>
        </w:rPr>
        <w:t>a</w:t>
      </w:r>
      <w:proofErr w:type="spellEnd"/>
      <w:r>
        <w:rPr>
          <w:sz w:val="21"/>
        </w:rPr>
        <w:t xml:space="preserve">, Luigi </w:t>
      </w:r>
      <w:proofErr w:type="spellStart"/>
      <w:proofErr w:type="gramStart"/>
      <w:r>
        <w:rPr>
          <w:sz w:val="21"/>
        </w:rPr>
        <w:t>Mondello</w:t>
      </w:r>
      <w:r>
        <w:rPr>
          <w:color w:val="4D7897"/>
          <w:sz w:val="21"/>
          <w:vertAlign w:val="superscript"/>
        </w:rPr>
        <w:t>a</w:t>
      </w:r>
      <w:r>
        <w:rPr>
          <w:sz w:val="21"/>
          <w:vertAlign w:val="superscript"/>
        </w:rPr>
        <w:t>,</w:t>
      </w:r>
      <w:r>
        <w:rPr>
          <w:color w:val="4D7897"/>
          <w:sz w:val="21"/>
          <w:vertAlign w:val="superscript"/>
        </w:rPr>
        <w:t>b</w:t>
      </w:r>
      <w:proofErr w:type="spellEnd"/>
      <w:proofErr w:type="gramEnd"/>
    </w:p>
    <w:p w14:paraId="5E66C4E1" w14:textId="77777777" w:rsidR="003F6635" w:rsidRPr="00BA6AD6" w:rsidRDefault="003F6635" w:rsidP="00BA6AD6">
      <w:pPr>
        <w:pStyle w:val="BodyText"/>
        <w:spacing w:before="2"/>
        <w:rPr>
          <w:rFonts w:asciiTheme="minorHAnsi" w:hAnsiTheme="minorHAnsi" w:cstheme="minorHAnsi"/>
          <w:sz w:val="22"/>
          <w:szCs w:val="22"/>
        </w:rPr>
      </w:pPr>
    </w:p>
    <w:p w14:paraId="73CD0DD9" w14:textId="77777777" w:rsidR="00896060" w:rsidRPr="00896060" w:rsidRDefault="00896060" w:rsidP="00896060">
      <w:pPr>
        <w:pStyle w:val="BodyText"/>
        <w:numPr>
          <w:ilvl w:val="0"/>
          <w:numId w:val="10"/>
        </w:numPr>
        <w:spacing w:before="2"/>
        <w:rPr>
          <w:rFonts w:asciiTheme="minorHAnsi" w:hAnsiTheme="minorHAnsi" w:cstheme="minorHAnsi"/>
          <w:i/>
          <w:iCs/>
          <w:sz w:val="20"/>
          <w:szCs w:val="20"/>
        </w:rPr>
      </w:pPr>
      <w:r w:rsidRPr="00896060">
        <w:rPr>
          <w:rFonts w:asciiTheme="minorHAnsi" w:hAnsiTheme="minorHAnsi" w:cstheme="minorHAnsi"/>
          <w:i/>
          <w:iCs/>
          <w:sz w:val="20"/>
          <w:szCs w:val="20"/>
        </w:rPr>
        <w:t>“</w:t>
      </w:r>
      <w:proofErr w:type="spellStart"/>
      <w:r w:rsidRPr="00896060">
        <w:rPr>
          <w:rFonts w:asciiTheme="minorHAnsi" w:hAnsiTheme="minorHAnsi" w:cstheme="minorHAnsi"/>
          <w:i/>
          <w:iCs/>
          <w:sz w:val="20"/>
          <w:szCs w:val="20"/>
        </w:rPr>
        <w:t>Dipartimento</w:t>
      </w:r>
      <w:proofErr w:type="spellEnd"/>
      <w:r w:rsidRPr="00896060">
        <w:rPr>
          <w:rFonts w:asciiTheme="minorHAnsi" w:hAnsiTheme="minorHAnsi" w:cstheme="minorHAnsi"/>
          <w:i/>
          <w:iCs/>
          <w:sz w:val="20"/>
          <w:szCs w:val="20"/>
        </w:rPr>
        <w:t xml:space="preserve"> di </w:t>
      </w:r>
      <w:proofErr w:type="spellStart"/>
      <w:r w:rsidRPr="00896060">
        <w:rPr>
          <w:rFonts w:asciiTheme="minorHAnsi" w:hAnsiTheme="minorHAnsi" w:cstheme="minorHAnsi"/>
          <w:i/>
          <w:iCs/>
          <w:sz w:val="20"/>
          <w:szCs w:val="20"/>
        </w:rPr>
        <w:t>Scienze</w:t>
      </w:r>
      <w:proofErr w:type="spellEnd"/>
      <w:r w:rsidRPr="00896060">
        <w:rPr>
          <w:rFonts w:asciiTheme="minorHAnsi" w:hAnsiTheme="minorHAnsi" w:cstheme="minorHAnsi"/>
          <w:i/>
          <w:iCs/>
          <w:sz w:val="20"/>
          <w:szCs w:val="20"/>
        </w:rPr>
        <w:t xml:space="preserve"> </w:t>
      </w:r>
      <w:proofErr w:type="spellStart"/>
      <w:r w:rsidRPr="00896060">
        <w:rPr>
          <w:rFonts w:asciiTheme="minorHAnsi" w:hAnsiTheme="minorHAnsi" w:cstheme="minorHAnsi"/>
          <w:i/>
          <w:iCs/>
          <w:sz w:val="20"/>
          <w:szCs w:val="20"/>
        </w:rPr>
        <w:t>Chimiche</w:t>
      </w:r>
      <w:proofErr w:type="spellEnd"/>
      <w:r w:rsidRPr="00896060">
        <w:rPr>
          <w:rFonts w:asciiTheme="minorHAnsi" w:hAnsiTheme="minorHAnsi" w:cstheme="minorHAnsi"/>
          <w:i/>
          <w:iCs/>
          <w:sz w:val="20"/>
          <w:szCs w:val="20"/>
        </w:rPr>
        <w:t xml:space="preserve">, </w:t>
      </w:r>
      <w:proofErr w:type="spellStart"/>
      <w:r w:rsidRPr="00896060">
        <w:rPr>
          <w:rFonts w:asciiTheme="minorHAnsi" w:hAnsiTheme="minorHAnsi" w:cstheme="minorHAnsi"/>
          <w:i/>
          <w:iCs/>
          <w:sz w:val="20"/>
          <w:szCs w:val="20"/>
        </w:rPr>
        <w:t>Biologiche</w:t>
      </w:r>
      <w:proofErr w:type="spellEnd"/>
      <w:r w:rsidRPr="00896060">
        <w:rPr>
          <w:rFonts w:asciiTheme="minorHAnsi" w:hAnsiTheme="minorHAnsi" w:cstheme="minorHAnsi"/>
          <w:i/>
          <w:iCs/>
          <w:sz w:val="20"/>
          <w:szCs w:val="20"/>
        </w:rPr>
        <w:t xml:space="preserve">, </w:t>
      </w:r>
      <w:proofErr w:type="spellStart"/>
      <w:r w:rsidRPr="00896060">
        <w:rPr>
          <w:rFonts w:asciiTheme="minorHAnsi" w:hAnsiTheme="minorHAnsi" w:cstheme="minorHAnsi"/>
          <w:i/>
          <w:iCs/>
          <w:sz w:val="20"/>
          <w:szCs w:val="20"/>
        </w:rPr>
        <w:t>Farmaceutiche</w:t>
      </w:r>
      <w:proofErr w:type="spellEnd"/>
      <w:r w:rsidRPr="00896060">
        <w:rPr>
          <w:rFonts w:asciiTheme="minorHAnsi" w:hAnsiTheme="minorHAnsi" w:cstheme="minorHAnsi"/>
          <w:i/>
          <w:iCs/>
          <w:sz w:val="20"/>
          <w:szCs w:val="20"/>
        </w:rPr>
        <w:t xml:space="preserve"> ed </w:t>
      </w:r>
      <w:proofErr w:type="spellStart"/>
      <w:r w:rsidRPr="00896060">
        <w:rPr>
          <w:rFonts w:asciiTheme="minorHAnsi" w:hAnsiTheme="minorHAnsi" w:cstheme="minorHAnsi"/>
          <w:i/>
          <w:iCs/>
          <w:sz w:val="20"/>
          <w:szCs w:val="20"/>
        </w:rPr>
        <w:t>Ambientali</w:t>
      </w:r>
      <w:proofErr w:type="spellEnd"/>
      <w:r w:rsidRPr="00896060">
        <w:rPr>
          <w:rFonts w:asciiTheme="minorHAnsi" w:hAnsiTheme="minorHAnsi" w:cstheme="minorHAnsi"/>
          <w:i/>
          <w:iCs/>
          <w:sz w:val="20"/>
          <w:szCs w:val="20"/>
        </w:rPr>
        <w:t xml:space="preserve">”, University of Messina, Polo Annunziata - </w:t>
      </w:r>
      <w:proofErr w:type="spellStart"/>
      <w:r w:rsidRPr="00896060">
        <w:rPr>
          <w:rFonts w:asciiTheme="minorHAnsi" w:hAnsiTheme="minorHAnsi" w:cstheme="minorHAnsi"/>
          <w:i/>
          <w:iCs/>
          <w:sz w:val="20"/>
          <w:szCs w:val="20"/>
        </w:rPr>
        <w:t>viale</w:t>
      </w:r>
      <w:proofErr w:type="spellEnd"/>
      <w:r w:rsidRPr="00896060">
        <w:rPr>
          <w:rFonts w:asciiTheme="minorHAnsi" w:hAnsiTheme="minorHAnsi" w:cstheme="minorHAnsi"/>
          <w:i/>
          <w:iCs/>
          <w:sz w:val="20"/>
          <w:szCs w:val="20"/>
        </w:rPr>
        <w:t xml:space="preserve"> Annunziata, 98168 Messina, Italy</w:t>
      </w:r>
    </w:p>
    <w:p w14:paraId="1C9924B6" w14:textId="77777777" w:rsidR="00896060" w:rsidRPr="00896060" w:rsidRDefault="00896060" w:rsidP="00896060">
      <w:pPr>
        <w:pStyle w:val="BodyText"/>
        <w:numPr>
          <w:ilvl w:val="0"/>
          <w:numId w:val="10"/>
        </w:numPr>
        <w:spacing w:before="2"/>
        <w:rPr>
          <w:rFonts w:asciiTheme="minorHAnsi" w:hAnsiTheme="minorHAnsi" w:cstheme="minorHAnsi"/>
          <w:i/>
          <w:iCs/>
          <w:sz w:val="20"/>
          <w:szCs w:val="20"/>
        </w:rPr>
      </w:pPr>
      <w:proofErr w:type="spellStart"/>
      <w:r w:rsidRPr="00896060">
        <w:rPr>
          <w:rFonts w:asciiTheme="minorHAnsi" w:hAnsiTheme="minorHAnsi" w:cstheme="minorHAnsi"/>
          <w:i/>
          <w:iCs/>
          <w:sz w:val="20"/>
          <w:szCs w:val="20"/>
        </w:rPr>
        <w:t>Chromaleont</w:t>
      </w:r>
      <w:proofErr w:type="spellEnd"/>
      <w:r w:rsidRPr="00896060">
        <w:rPr>
          <w:rFonts w:asciiTheme="minorHAnsi" w:hAnsiTheme="minorHAnsi" w:cstheme="minorHAnsi"/>
          <w:i/>
          <w:iCs/>
          <w:sz w:val="20"/>
          <w:szCs w:val="20"/>
        </w:rPr>
        <w:t xml:space="preserve"> </w:t>
      </w:r>
      <w:proofErr w:type="spellStart"/>
      <w:r w:rsidRPr="00896060">
        <w:rPr>
          <w:rFonts w:asciiTheme="minorHAnsi" w:hAnsiTheme="minorHAnsi" w:cstheme="minorHAnsi"/>
          <w:i/>
          <w:iCs/>
          <w:sz w:val="20"/>
          <w:szCs w:val="20"/>
        </w:rPr>
        <w:t>s.r.l</w:t>
      </w:r>
      <w:proofErr w:type="spellEnd"/>
      <w:r w:rsidRPr="00896060">
        <w:rPr>
          <w:rFonts w:asciiTheme="minorHAnsi" w:hAnsiTheme="minorHAnsi" w:cstheme="minorHAnsi"/>
          <w:i/>
          <w:iCs/>
          <w:sz w:val="20"/>
          <w:szCs w:val="20"/>
        </w:rPr>
        <w:t xml:space="preserve">., c/o University of Messina, Polo Annunziata - </w:t>
      </w:r>
      <w:proofErr w:type="spellStart"/>
      <w:r w:rsidRPr="00896060">
        <w:rPr>
          <w:rFonts w:asciiTheme="minorHAnsi" w:hAnsiTheme="minorHAnsi" w:cstheme="minorHAnsi"/>
          <w:i/>
          <w:iCs/>
          <w:sz w:val="20"/>
          <w:szCs w:val="20"/>
        </w:rPr>
        <w:t>viale</w:t>
      </w:r>
      <w:proofErr w:type="spellEnd"/>
      <w:r w:rsidRPr="00896060">
        <w:rPr>
          <w:rFonts w:asciiTheme="minorHAnsi" w:hAnsiTheme="minorHAnsi" w:cstheme="minorHAnsi"/>
          <w:i/>
          <w:iCs/>
          <w:sz w:val="20"/>
          <w:szCs w:val="20"/>
        </w:rPr>
        <w:t xml:space="preserve"> Annunziata, 98168 Messina, Italy</w:t>
      </w:r>
    </w:p>
    <w:p w14:paraId="4A89DD95" w14:textId="77777777" w:rsidR="00BA6AD6" w:rsidRDefault="00BA6AD6" w:rsidP="00BA6AD6">
      <w:pPr>
        <w:pStyle w:val="BodyText"/>
        <w:spacing w:before="2"/>
        <w:ind w:left="0"/>
        <w:rPr>
          <w:rFonts w:asciiTheme="minorHAnsi" w:hAnsiTheme="minorHAnsi" w:cstheme="minorHAnsi"/>
          <w:sz w:val="22"/>
          <w:szCs w:val="22"/>
        </w:rPr>
      </w:pPr>
    </w:p>
    <w:p w14:paraId="72433F8F" w14:textId="77777777" w:rsidR="00BA6AD6" w:rsidRDefault="00BA6AD6" w:rsidP="00371939">
      <w:pPr>
        <w:pStyle w:val="BodyText"/>
        <w:spacing w:line="20" w:lineRule="exact"/>
        <w:ind w:left="44" w:right="-576"/>
        <w:rPr>
          <w:rFonts w:asciiTheme="minorHAnsi" w:hAnsiTheme="minorHAnsi" w:cstheme="minorHAnsi"/>
          <w:sz w:val="22"/>
          <w:szCs w:val="22"/>
        </w:rPr>
      </w:pPr>
    </w:p>
    <w:p w14:paraId="6FD93B41" w14:textId="77777777" w:rsidR="00BA6AD6" w:rsidRPr="00763248" w:rsidRDefault="00BA6AD6" w:rsidP="00371939">
      <w:pPr>
        <w:pStyle w:val="BodyText"/>
        <w:spacing w:line="20" w:lineRule="exact"/>
        <w:ind w:left="44" w:right="-576"/>
        <w:rPr>
          <w:rFonts w:asciiTheme="minorHAnsi" w:hAnsiTheme="minorHAnsi" w:cstheme="minorHAnsi"/>
          <w:sz w:val="22"/>
          <w:szCs w:val="22"/>
        </w:rPr>
      </w:pPr>
    </w:p>
    <w:p w14:paraId="52C9E157" w14:textId="27333CB8" w:rsidR="00FA32E5" w:rsidRDefault="00371939" w:rsidP="00896060">
      <w:pPr>
        <w:spacing w:before="44" w:line="276" w:lineRule="auto"/>
        <w:ind w:right="807"/>
        <w:jc w:val="both"/>
        <w:rPr>
          <w:rFonts w:cstheme="minorHAnsi"/>
          <w:spacing w:val="-5"/>
        </w:rPr>
      </w:pPr>
      <w:r w:rsidRPr="00763248">
        <w:rPr>
          <w:rFonts w:cstheme="minorHAnsi"/>
          <w:b/>
          <w:iCs/>
        </w:rPr>
        <w:t>Keywords</w:t>
      </w:r>
      <w:r w:rsidRPr="004235D5">
        <w:rPr>
          <w:b/>
          <w:iCs/>
        </w:rPr>
        <w:t>:</w:t>
      </w:r>
      <w:r w:rsidRPr="004235D5">
        <w:rPr>
          <w:iCs/>
        </w:rPr>
        <w:t xml:space="preserve"> </w:t>
      </w:r>
      <w:r w:rsidR="00896060" w:rsidRPr="00896060">
        <w:rPr>
          <w:rFonts w:cstheme="minorHAnsi"/>
          <w:spacing w:val="-5"/>
        </w:rPr>
        <w:t>Vegetable oil</w:t>
      </w:r>
      <w:r w:rsidR="00896060">
        <w:rPr>
          <w:rFonts w:cstheme="minorHAnsi"/>
          <w:spacing w:val="-5"/>
        </w:rPr>
        <w:t xml:space="preserve">, </w:t>
      </w:r>
      <w:r w:rsidR="00896060" w:rsidRPr="00896060">
        <w:rPr>
          <w:rFonts w:cstheme="minorHAnsi"/>
          <w:spacing w:val="-5"/>
        </w:rPr>
        <w:t>Food quality</w:t>
      </w:r>
      <w:r w:rsidR="00896060">
        <w:rPr>
          <w:rFonts w:cstheme="minorHAnsi"/>
          <w:spacing w:val="-5"/>
        </w:rPr>
        <w:t xml:space="preserve">, </w:t>
      </w:r>
      <w:r w:rsidR="00896060" w:rsidRPr="00896060">
        <w:rPr>
          <w:rFonts w:cstheme="minorHAnsi"/>
          <w:spacing w:val="-5"/>
        </w:rPr>
        <w:t>Food authenticity</w:t>
      </w:r>
      <w:r w:rsidR="00896060">
        <w:rPr>
          <w:rFonts w:cstheme="minorHAnsi"/>
          <w:spacing w:val="-5"/>
        </w:rPr>
        <w:t xml:space="preserve">, </w:t>
      </w:r>
      <w:r w:rsidR="00896060" w:rsidRPr="00896060">
        <w:rPr>
          <w:rFonts w:cstheme="minorHAnsi"/>
          <w:spacing w:val="-5"/>
        </w:rPr>
        <w:t>In-pipette solid phase extraction</w:t>
      </w:r>
      <w:r w:rsidR="00896060">
        <w:rPr>
          <w:rFonts w:cstheme="minorHAnsi"/>
          <w:spacing w:val="-5"/>
        </w:rPr>
        <w:t xml:space="preserve">, </w:t>
      </w:r>
      <w:r w:rsidR="00896060" w:rsidRPr="00896060">
        <w:rPr>
          <w:rFonts w:cstheme="minorHAnsi"/>
          <w:spacing w:val="-5"/>
        </w:rPr>
        <w:t>Comprehensive two-dimensional gas chromatography Flow modulation</w:t>
      </w:r>
    </w:p>
    <w:p w14:paraId="403DFC40" w14:textId="77777777" w:rsidR="00BA6AD6" w:rsidRDefault="00BA6AD6" w:rsidP="00BA6AD6">
      <w:pPr>
        <w:spacing w:before="44" w:line="276" w:lineRule="auto"/>
        <w:ind w:right="807"/>
        <w:jc w:val="both"/>
        <w:rPr>
          <w:rFonts w:cstheme="minorHAnsi"/>
          <w:spacing w:val="-5"/>
        </w:rPr>
      </w:pPr>
    </w:p>
    <w:p w14:paraId="0A85663B" w14:textId="14030EEC" w:rsidR="00FA32E5" w:rsidRDefault="00F440B0" w:rsidP="00FA32E5">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161EB3EB" w14:textId="77777777" w:rsidR="00896060" w:rsidRPr="00896060" w:rsidRDefault="00C7435A" w:rsidP="00896060">
      <w:pPr>
        <w:widowControl/>
        <w:autoSpaceDE/>
        <w:autoSpaceDN/>
        <w:spacing w:after="120" w:line="276" w:lineRule="auto"/>
        <w:jc w:val="both"/>
        <w:rPr>
          <w:rFonts w:ascii="Calibri" w:eastAsia="Calibri" w:hAnsi="Calibri"/>
          <w:bCs/>
          <w:lang w:val="en-GB"/>
        </w:rPr>
      </w:pPr>
      <w:r>
        <w:rPr>
          <w:rFonts w:cstheme="minorHAnsi"/>
          <w:noProof/>
        </w:rPr>
        <mc:AlternateContent>
          <mc:Choice Requires="wps">
            <w:drawing>
              <wp:anchor distT="0" distB="0" distL="114300" distR="114300" simplePos="0" relativeHeight="251659264" behindDoc="0" locked="0" layoutInCell="1" allowOverlap="1" wp14:anchorId="3021DEAD" wp14:editId="6127828B">
                <wp:simplePos x="0" y="0"/>
                <wp:positionH relativeFrom="column">
                  <wp:posOffset>-4137</wp:posOffset>
                </wp:positionH>
                <wp:positionV relativeFrom="paragraph">
                  <wp:posOffset>2585060</wp:posOffset>
                </wp:positionV>
                <wp:extent cx="1158844" cy="0"/>
                <wp:effectExtent l="0" t="0" r="0" b="0"/>
                <wp:wrapNone/>
                <wp:docPr id="338329239" name="Connecteur droit 2"/>
                <wp:cNvGraphicFramePr/>
                <a:graphic xmlns:a="http://schemas.openxmlformats.org/drawingml/2006/main">
                  <a:graphicData uri="http://schemas.microsoft.com/office/word/2010/wordprocessingShape">
                    <wps:wsp>
                      <wps:cNvCnPr/>
                      <wps:spPr>
                        <a:xfrm flipV="1">
                          <a:off x="0" y="0"/>
                          <a:ext cx="11588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88455" id="Connecteur droit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03.55pt" to="90.9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" strokecolor="black [3213]"/>
            </w:pict>
          </mc:Fallback>
        </mc:AlternateContent>
      </w:r>
      <w:r w:rsidR="00BA6AD6" w:rsidRPr="00BA6AD6">
        <w:rPr>
          <w:rFonts w:ascii="Calibri" w:eastAsia="Calibri" w:hAnsi="Calibri"/>
          <w:bCs/>
          <w:lang w:val="en-GB"/>
        </w:rPr>
        <w:t xml:space="preserve"> </w:t>
      </w:r>
      <w:r w:rsidR="00896060" w:rsidRPr="00896060">
        <w:rPr>
          <w:rFonts w:ascii="Calibri" w:eastAsia="Calibri" w:hAnsi="Calibri"/>
          <w:bCs/>
          <w:lang w:val="en-GB"/>
        </w:rPr>
        <w:t>The present research is based on the development of an effective, environmentally-friendly and low-cost method for investigation of minor components in vegetable oils, exploiting the advantages of a miniaturized solid-phase extraction (SPE) and the potential of flow modulation (FM) comprehensive two-dimensional gas chromatography (GC×GC), coupled to a mass spectrometer (MS) and a flame ionization detector (FID).</w:t>
      </w:r>
    </w:p>
    <w:p w14:paraId="32E8EA48" w14:textId="77777777" w:rsidR="00896060" w:rsidRPr="00896060" w:rsidRDefault="00896060" w:rsidP="00896060">
      <w:pPr>
        <w:widowControl/>
        <w:autoSpaceDE/>
        <w:autoSpaceDN/>
        <w:spacing w:after="120" w:line="276" w:lineRule="auto"/>
        <w:jc w:val="both"/>
        <w:rPr>
          <w:rFonts w:ascii="Calibri" w:eastAsia="Calibri" w:hAnsi="Calibri"/>
          <w:bCs/>
          <w:lang w:val="en-GB"/>
        </w:rPr>
      </w:pPr>
      <w:r w:rsidRPr="00896060">
        <w:rPr>
          <w:rFonts w:ascii="Calibri" w:eastAsia="Calibri" w:hAnsi="Calibri"/>
          <w:bCs/>
          <w:lang w:val="en-GB"/>
        </w:rPr>
        <w:t>The initial sample preparation step was carried out using a miniaturized approach characterized by a SPE process in a Pasteur pipette. Then, the isolated fraction was injected into an FM GC×GC system. Tentative identification was carried out by means of MS spectral information, while quantification was carried out by using the FID data.</w:t>
      </w:r>
    </w:p>
    <w:p w14:paraId="38D641BE" w14:textId="2C709091" w:rsidR="00C7435A" w:rsidRPr="00C7435A" w:rsidRDefault="00896060" w:rsidP="00896060">
      <w:pPr>
        <w:widowControl/>
        <w:autoSpaceDE/>
        <w:autoSpaceDN/>
        <w:spacing w:after="120" w:line="276" w:lineRule="auto"/>
        <w:jc w:val="both"/>
        <w:rPr>
          <w:rFonts w:ascii="Calibri" w:eastAsia="Calibri" w:hAnsi="Calibri"/>
          <w:bCs/>
          <w:lang w:val="en-GB"/>
        </w:rPr>
      </w:pPr>
      <w:r w:rsidRPr="00896060">
        <w:rPr>
          <w:rFonts w:ascii="Calibri" w:eastAsia="Calibri" w:hAnsi="Calibri"/>
          <w:bCs/>
          <w:lang w:val="en-GB"/>
        </w:rPr>
        <w:t xml:space="preserve">Four different vegetable oil samples were </w:t>
      </w:r>
      <w:proofErr w:type="spellStart"/>
      <w:r w:rsidRPr="00896060">
        <w:rPr>
          <w:rFonts w:ascii="Calibri" w:eastAsia="Calibri" w:hAnsi="Calibri"/>
          <w:bCs/>
          <w:lang w:val="en-GB"/>
        </w:rPr>
        <w:t>analyzed</w:t>
      </w:r>
      <w:proofErr w:type="spellEnd"/>
      <w:r w:rsidRPr="00896060">
        <w:rPr>
          <w:rFonts w:ascii="Calibri" w:eastAsia="Calibri" w:hAnsi="Calibri"/>
          <w:bCs/>
          <w:lang w:val="en-GB"/>
        </w:rPr>
        <w:t xml:space="preserve"> using the proposed method, namely an extra virgin olive oil (EVO), a hazelnut oil (HO), a borage oil, and an EVO/HO mixture.</w:t>
      </w:r>
    </w:p>
    <w:p w14:paraId="648D0B5F" w14:textId="77777777" w:rsidR="008926F4" w:rsidRDefault="008926F4" w:rsidP="00C7435A">
      <w:pPr>
        <w:pStyle w:val="BodyText"/>
        <w:spacing w:line="273" w:lineRule="auto"/>
        <w:ind w:left="0"/>
        <w:rPr>
          <w:rFonts w:asciiTheme="minorHAnsi" w:hAnsiTheme="minorHAnsi" w:cstheme="minorHAnsi"/>
          <w:sz w:val="20"/>
          <w:szCs w:val="20"/>
        </w:rPr>
      </w:pPr>
    </w:p>
    <w:p w14:paraId="304C5E47" w14:textId="77777777" w:rsidR="00896060" w:rsidRPr="00896060" w:rsidRDefault="00896060" w:rsidP="00896060">
      <w:pPr>
        <w:widowControl/>
        <w:autoSpaceDE/>
        <w:autoSpaceDN/>
        <w:spacing w:after="120" w:line="276" w:lineRule="auto"/>
        <w:jc w:val="both"/>
        <w:rPr>
          <w:rFonts w:cstheme="minorHAnsi"/>
          <w:sz w:val="20"/>
          <w:szCs w:val="20"/>
        </w:rPr>
      </w:pPr>
      <w:r w:rsidRPr="00896060">
        <w:rPr>
          <w:rFonts w:ascii="Segoe UI Symbol" w:hAnsi="Segoe UI Symbol" w:cs="Segoe UI Symbol"/>
          <w:sz w:val="20"/>
          <w:szCs w:val="20"/>
        </w:rPr>
        <w:t>⁎</w:t>
      </w:r>
      <w:r w:rsidRPr="00896060">
        <w:rPr>
          <w:rFonts w:cstheme="minorHAnsi"/>
          <w:sz w:val="20"/>
          <w:szCs w:val="20"/>
        </w:rPr>
        <w:t xml:space="preserve"> Corresponding author.</w:t>
      </w:r>
    </w:p>
    <w:p w14:paraId="066AD85D" w14:textId="5E49B304" w:rsidR="00371939" w:rsidRDefault="00896060" w:rsidP="00896060">
      <w:pPr>
        <w:widowControl/>
        <w:autoSpaceDE/>
        <w:autoSpaceDN/>
        <w:spacing w:after="120" w:line="276" w:lineRule="auto"/>
        <w:jc w:val="both"/>
        <w:rPr>
          <w:rFonts w:ascii="Calibri" w:eastAsia="Calibri" w:hAnsi="Calibri"/>
          <w:bCs/>
          <w:lang w:val="en-GB"/>
        </w:rPr>
      </w:pPr>
      <w:r w:rsidRPr="00896060">
        <w:rPr>
          <w:rFonts w:cstheme="minorHAnsi"/>
          <w:sz w:val="20"/>
          <w:szCs w:val="20"/>
        </w:rPr>
        <w:t xml:space="preserve">E-mail addresses: giorgia.purcaro@chromaleont.it, giopurcaro@gmail.com (G. Purcaro). </w:t>
      </w:r>
      <w:r w:rsidRPr="00896060">
        <w:rPr>
          <w:rFonts w:cstheme="minorHAnsi"/>
          <w:sz w:val="20"/>
          <w:szCs w:val="20"/>
          <w:vertAlign w:val="superscript"/>
        </w:rPr>
        <w:t>1</w:t>
      </w:r>
      <w:r w:rsidRPr="00896060">
        <w:rPr>
          <w:rFonts w:cstheme="minorHAnsi"/>
          <w:sz w:val="20"/>
          <w:szCs w:val="20"/>
        </w:rPr>
        <w:t>These authors contributed equally to this work.</w:t>
      </w:r>
    </w:p>
    <w:p w14:paraId="31AE280D" w14:textId="77777777" w:rsidR="00896060" w:rsidRPr="00873D39" w:rsidRDefault="00896060" w:rsidP="00A256EA">
      <w:pPr>
        <w:widowControl/>
        <w:autoSpaceDE/>
        <w:autoSpaceDN/>
        <w:spacing w:after="120" w:line="276" w:lineRule="auto"/>
        <w:jc w:val="both"/>
        <w:rPr>
          <w:rFonts w:eastAsia="Calibri" w:cstheme="minorHAnsi"/>
          <w:bCs/>
          <w:lang w:val="en-GB"/>
        </w:rPr>
        <w:sectPr w:rsidR="00896060" w:rsidRPr="00873D39" w:rsidSect="000504DE">
          <w:headerReference w:type="default" r:id="rId8"/>
          <w:type w:val="continuous"/>
          <w:pgSz w:w="11910" w:h="15880"/>
          <w:pgMar w:top="1418" w:right="1418" w:bottom="1418" w:left="1418" w:header="720" w:footer="720" w:gutter="0"/>
          <w:cols w:space="720"/>
        </w:sectPr>
      </w:pPr>
    </w:p>
    <w:p w14:paraId="733B4914" w14:textId="36A5DB8E" w:rsidR="000504DE" w:rsidRDefault="00FA32E5" w:rsidP="000504DE">
      <w:pPr>
        <w:pStyle w:val="Heading1"/>
      </w:pPr>
      <w:r w:rsidRPr="00FA32E5">
        <w:lastRenderedPageBreak/>
        <w:t>Introduction</w:t>
      </w:r>
    </w:p>
    <w:p w14:paraId="32B35E3C" w14:textId="77777777" w:rsidR="00896060" w:rsidRDefault="00896060" w:rsidP="00896060">
      <w:pPr>
        <w:ind w:left="-15"/>
        <w:jc w:val="both"/>
      </w:pPr>
      <w:bookmarkStart w:id="0" w:name="2_Materials_and_methods"/>
      <w:bookmarkEnd w:id="0"/>
      <w:r>
        <w:t xml:space="preserve">The so-called </w:t>
      </w:r>
      <w:r>
        <w:rPr>
          <w:rFonts w:ascii="Calibri" w:eastAsia="Calibri" w:hAnsi="Calibri" w:cs="Calibri"/>
        </w:rPr>
        <w:t>“</w:t>
      </w:r>
      <w:r>
        <w:t>minor components</w:t>
      </w:r>
      <w:r>
        <w:rPr>
          <w:rFonts w:ascii="Calibri" w:eastAsia="Calibri" w:hAnsi="Calibri" w:cs="Calibri"/>
        </w:rPr>
        <w:t xml:space="preserve">” </w:t>
      </w:r>
      <w:r>
        <w:t>in vegetable oils represent less than 5% of the entire oil [triacylglycerols (TAGs) are the main compounds], and their detailed pro</w:t>
      </w:r>
      <w:r>
        <w:rPr>
          <w:rFonts w:ascii="Calibri" w:eastAsia="Calibri" w:hAnsi="Calibri" w:cs="Calibri"/>
        </w:rPr>
        <w:t>fi</w:t>
      </w:r>
      <w:r>
        <w:t>ling can provide highly speci</w:t>
      </w:r>
      <w:r>
        <w:rPr>
          <w:rFonts w:ascii="Calibri" w:eastAsia="Calibri" w:hAnsi="Calibri" w:cs="Calibri"/>
        </w:rPr>
        <w:t>fi</w:t>
      </w:r>
      <w:r>
        <w:t xml:space="preserve">c information on quality and authenticity </w:t>
      </w:r>
      <w:r>
        <w:rPr>
          <w:color w:val="4D7897"/>
        </w:rPr>
        <w:t>[1]</w:t>
      </w:r>
      <w:r>
        <w:t>. Among the main classes, fatty acid alkyl esters (FAAEs), waxes, and sterols are currently used as (o</w:t>
      </w:r>
      <w:r>
        <w:rPr>
          <w:rFonts w:ascii="Calibri" w:eastAsia="Calibri" w:hAnsi="Calibri" w:cs="Calibri"/>
        </w:rPr>
        <w:t>ffi</w:t>
      </w:r>
      <w:r>
        <w:t xml:space="preserve">cial) markers to verify the quality and authenticity of olive oil products </w:t>
      </w:r>
      <w:r>
        <w:rPr>
          <w:color w:val="4D7897"/>
        </w:rPr>
        <w:t>[2,3]</w:t>
      </w:r>
      <w:r>
        <w:t>.</w:t>
      </w:r>
    </w:p>
    <w:p w14:paraId="2632F3E6" w14:textId="77777777" w:rsidR="00896060" w:rsidRDefault="00896060" w:rsidP="00896060">
      <w:pPr>
        <w:ind w:left="-15"/>
        <w:jc w:val="both"/>
      </w:pPr>
      <w:r>
        <w:t xml:space="preserve">Limits for the presence of fatty acid methyl esters (FAMEs) and FAEEs were </w:t>
      </w:r>
      <w:r>
        <w:rPr>
          <w:rFonts w:ascii="Calibri" w:eastAsia="Calibri" w:hAnsi="Calibri" w:cs="Calibri"/>
        </w:rPr>
        <w:t>fi</w:t>
      </w:r>
      <w:r>
        <w:t xml:space="preserve">rst introduced with the European Regulation n. 61/2011, as markers to determine the quality of olives, and related oils, as they were considered direct indicators of illegal addition of mildly deodorized low quality olive oil </w:t>
      </w:r>
      <w:r>
        <w:rPr>
          <w:color w:val="4D7897"/>
        </w:rPr>
        <w:t>[1,4,5]</w:t>
      </w:r>
      <w:r>
        <w:t>. These requirements were modi</w:t>
      </w:r>
      <w:r>
        <w:rPr>
          <w:rFonts w:ascii="Calibri" w:eastAsia="Calibri" w:hAnsi="Calibri" w:cs="Calibri"/>
        </w:rPr>
        <w:t>fi</w:t>
      </w:r>
      <w:r>
        <w:t xml:space="preserve">ed in 2013, with the EU Regulation n. 1348/2013, considering only FAEEs (since FAMEs were observed to change during oil storage) and with a </w:t>
      </w:r>
      <w:r>
        <w:rPr>
          <w:rFonts w:ascii="Calibri" w:eastAsia="Calibri" w:hAnsi="Calibri" w:cs="Calibri"/>
        </w:rPr>
        <w:t>fi</w:t>
      </w:r>
      <w:r>
        <w:t xml:space="preserve">xed limit of 30 mg/kg in EVO </w:t>
      </w:r>
      <w:r>
        <w:rPr>
          <w:color w:val="4D7897"/>
        </w:rPr>
        <w:t>[6]</w:t>
      </w:r>
      <w:r>
        <w:t>.</w:t>
      </w:r>
    </w:p>
    <w:p w14:paraId="0BC378B4" w14:textId="77777777" w:rsidR="00896060" w:rsidRDefault="00896060" w:rsidP="00896060">
      <w:pPr>
        <w:ind w:left="-15"/>
        <w:jc w:val="both"/>
      </w:pPr>
      <w:r>
        <w:t>Waxes (fatty acids esteri</w:t>
      </w:r>
      <w:r>
        <w:rPr>
          <w:rFonts w:ascii="Calibri" w:eastAsia="Calibri" w:hAnsi="Calibri" w:cs="Calibri"/>
        </w:rPr>
        <w:t>fi</w:t>
      </w:r>
      <w:r>
        <w:t xml:space="preserve">ed with long-chain alcohols) </w:t>
      </w:r>
      <w:proofErr w:type="gramStart"/>
      <w:r>
        <w:t>are located in</w:t>
      </w:r>
      <w:proofErr w:type="gramEnd"/>
      <w:r>
        <w:t xml:space="preserve"> the external surface layer of the olives and are usually present in high amounts in solvent-extracted oils (such as pomace oil), or when degraded olives are processed. Waxes are useful markers to evaluate authenticity (</w:t>
      </w:r>
      <w:r>
        <w:rPr>
          <w:rFonts w:ascii="Times New Roman" w:hAnsi="Times New Roman"/>
        </w:rPr>
        <w:t>e.g.</w:t>
      </w:r>
      <w:r>
        <w:t xml:space="preserve">, mixtures containing EVO and a solvent-extracted oil). A </w:t>
      </w:r>
      <w:r>
        <w:rPr>
          <w:rFonts w:ascii="Calibri" w:eastAsia="Calibri" w:hAnsi="Calibri" w:cs="Calibri"/>
        </w:rPr>
        <w:t>fi</w:t>
      </w:r>
      <w:r>
        <w:t>rst limit on the sum of waxes from C</w:t>
      </w:r>
      <w:r>
        <w:rPr>
          <w:vertAlign w:val="subscript"/>
        </w:rPr>
        <w:t xml:space="preserve">40 </w:t>
      </w:r>
      <w:r>
        <w:t>up to C</w:t>
      </w:r>
      <w:r>
        <w:rPr>
          <w:vertAlign w:val="subscript"/>
        </w:rPr>
        <w:t xml:space="preserve">46 </w:t>
      </w:r>
      <w:r>
        <w:t xml:space="preserve">was established in 2007, </w:t>
      </w:r>
      <w:r>
        <w:rPr>
          <w:rFonts w:ascii="Calibri" w:eastAsia="Calibri" w:hAnsi="Calibri" w:cs="Calibri"/>
        </w:rPr>
        <w:t>fi</w:t>
      </w:r>
      <w:r>
        <w:t>xing di</w:t>
      </w:r>
      <w:r>
        <w:rPr>
          <w:rFonts w:ascii="Calibri" w:eastAsia="Calibri" w:hAnsi="Calibri" w:cs="Calibri"/>
        </w:rPr>
        <w:t>ff</w:t>
      </w:r>
      <w:r>
        <w:t>erent values according to the olive oil category. In 2013, C</w:t>
      </w:r>
      <w:r>
        <w:rPr>
          <w:vertAlign w:val="subscript"/>
        </w:rPr>
        <w:t xml:space="preserve">40 </w:t>
      </w:r>
      <w:r>
        <w:t xml:space="preserve">waxes were excluded from the sum because their presence can also depend on geographical origin </w:t>
      </w:r>
      <w:r>
        <w:rPr>
          <w:color w:val="4D7897"/>
        </w:rPr>
        <w:t>[6,7]</w:t>
      </w:r>
      <w:r>
        <w:t>.</w:t>
      </w:r>
    </w:p>
    <w:p w14:paraId="64FA4311" w14:textId="77777777" w:rsidR="00896060" w:rsidRDefault="00896060" w:rsidP="00896060">
      <w:pPr>
        <w:ind w:left="-15"/>
        <w:jc w:val="both"/>
      </w:pPr>
      <w:r>
        <w:t xml:space="preserve">The determination of sterols is used as authenticity parameter, as these constituents are considered as the </w:t>
      </w:r>
      <w:r>
        <w:rPr>
          <w:rFonts w:ascii="Calibri" w:eastAsia="Calibri" w:hAnsi="Calibri" w:cs="Calibri"/>
        </w:rPr>
        <w:t>fi</w:t>
      </w:r>
      <w:r>
        <w:t xml:space="preserve">ngerprint of a vegetable oil. Sterols can be present either in the free </w:t>
      </w:r>
      <w:proofErr w:type="gramStart"/>
      <w:r>
        <w:t>form, or</w:t>
      </w:r>
      <w:proofErr w:type="gramEnd"/>
      <w:r>
        <w:t xml:space="preserve"> </w:t>
      </w:r>
      <w:proofErr w:type="gramStart"/>
      <w:r>
        <w:t>esteri</w:t>
      </w:r>
      <w:r>
        <w:rPr>
          <w:rFonts w:ascii="Calibri" w:eastAsia="Calibri" w:hAnsi="Calibri" w:cs="Calibri"/>
        </w:rPr>
        <w:t>fi</w:t>
      </w:r>
      <w:r>
        <w:t>ed</w:t>
      </w:r>
      <w:proofErr w:type="gramEnd"/>
      <w:r>
        <w:t xml:space="preserve"> with </w:t>
      </w:r>
      <w:proofErr w:type="gramStart"/>
      <w:r>
        <w:t>a fatty</w:t>
      </w:r>
      <w:proofErr w:type="gramEnd"/>
      <w:r>
        <w:t xml:space="preserve"> acid. These compounds are o</w:t>
      </w:r>
      <w:r>
        <w:rPr>
          <w:rFonts w:ascii="Calibri" w:eastAsia="Calibri" w:hAnsi="Calibri" w:cs="Calibri"/>
        </w:rPr>
        <w:t>ffi</w:t>
      </w:r>
      <w:r>
        <w:t>cially determined together as free sterols, after saponi</w:t>
      </w:r>
      <w:r>
        <w:rPr>
          <w:rFonts w:ascii="Calibri" w:eastAsia="Calibri" w:hAnsi="Calibri" w:cs="Calibri"/>
        </w:rPr>
        <w:t>fi</w:t>
      </w:r>
      <w:r>
        <w:t>cation and puri</w:t>
      </w:r>
      <w:r>
        <w:rPr>
          <w:rFonts w:ascii="Calibri" w:eastAsia="Calibri" w:hAnsi="Calibri" w:cs="Calibri"/>
        </w:rPr>
        <w:t>fi</w:t>
      </w:r>
      <w:r>
        <w:t xml:space="preserve">cation on a silica gel plate (thin layer chromatography). Then, they are derivatized into trimethylsilyl (TMS) ethers, prior to GC analysis </w:t>
      </w:r>
      <w:r>
        <w:rPr>
          <w:color w:val="4D7897"/>
        </w:rPr>
        <w:t>[6]</w:t>
      </w:r>
      <w:r>
        <w:t>.</w:t>
      </w:r>
    </w:p>
    <w:p w14:paraId="24B869CC" w14:textId="6FEBCD6C" w:rsidR="00144871" w:rsidRDefault="00896060" w:rsidP="00896060">
      <w:pPr>
        <w:jc w:val="both"/>
      </w:pPr>
      <w:r>
        <w:t>According to the o</w:t>
      </w:r>
      <w:r>
        <w:rPr>
          <w:rFonts w:ascii="Calibri" w:eastAsia="Calibri" w:hAnsi="Calibri" w:cs="Calibri"/>
        </w:rPr>
        <w:t>ffi</w:t>
      </w:r>
      <w:r>
        <w:t xml:space="preserve">cial methods for olive oil control, two separate analyses are required for sterols, on one side, and for FAAEs and waxes on the other </w:t>
      </w:r>
      <w:r>
        <w:rPr>
          <w:color w:val="4D7897"/>
        </w:rPr>
        <w:t>[6]</w:t>
      </w:r>
      <w:r>
        <w:t>.</w:t>
      </w:r>
    </w:p>
    <w:p w14:paraId="52338535" w14:textId="0AA06A09" w:rsidR="00896060" w:rsidRDefault="00896060" w:rsidP="00896060">
      <w:pPr>
        <w:jc w:val="both"/>
      </w:pPr>
      <w:r>
        <w:t>For the latter determination, the International Olive Council (IOC) proposed to scale down the preparation step to reduce the amounts of solvent and sorbent</w:t>
      </w:r>
      <w:r w:rsidRPr="00896060">
        <w:t xml:space="preserve"> </w:t>
      </w:r>
      <w:r>
        <w:t>involved of about 5 times</w:t>
      </w:r>
      <w:r>
        <w:t xml:space="preserve"> </w:t>
      </w:r>
      <w:r>
        <w:rPr>
          <w:color w:val="4D7897"/>
        </w:rPr>
        <w:t>[2]</w:t>
      </w:r>
      <w:r>
        <w:t>.</w:t>
      </w:r>
    </w:p>
    <w:p w14:paraId="625A8598" w14:textId="77777777" w:rsidR="00BD215C" w:rsidRDefault="00BD215C" w:rsidP="00896060">
      <w:pPr>
        <w:jc w:val="both"/>
      </w:pPr>
    </w:p>
    <w:p w14:paraId="248C077F" w14:textId="00D8B07D" w:rsidR="00896060" w:rsidRDefault="00896060" w:rsidP="00896060">
      <w:pPr>
        <w:ind w:left="-15"/>
        <w:jc w:val="both"/>
      </w:pPr>
      <w:r>
        <w:t xml:space="preserve">Only a few applications have been proposed to perform the analysis of sterols, FAAEs and waxes in a single analysis </w:t>
      </w:r>
      <w:r>
        <w:rPr>
          <w:color w:val="4D7897"/>
        </w:rPr>
        <w:t>[8</w:t>
      </w:r>
      <w:r>
        <w:rPr>
          <w:rFonts w:ascii="Calibri" w:eastAsia="Calibri" w:hAnsi="Calibri" w:cs="Calibri"/>
          <w:color w:val="4D7897"/>
        </w:rPr>
        <w:t>–</w:t>
      </w:r>
      <w:r>
        <w:rPr>
          <w:color w:val="4D7897"/>
        </w:rPr>
        <w:t>10]</w:t>
      </w:r>
      <w:r>
        <w:t>, by performing</w:t>
      </w:r>
      <w:r w:rsidRPr="00896060">
        <w:t xml:space="preserve"> </w:t>
      </w:r>
      <w:r>
        <w:t>derivatization prior to the puri</w:t>
      </w:r>
      <w:r>
        <w:rPr>
          <w:rFonts w:ascii="Calibri" w:eastAsia="Calibri" w:hAnsi="Calibri" w:cs="Calibri"/>
        </w:rPr>
        <w:t>fi</w:t>
      </w:r>
      <w:r>
        <w:t>cation step. Recently, Purcaro and coworkers combined a more exhaustive sample preparation method with</w:t>
      </w:r>
    </w:p>
    <w:p w14:paraId="2B085CB8" w14:textId="77777777" w:rsidR="00896060" w:rsidRDefault="00896060" w:rsidP="00896060">
      <w:pPr>
        <w:ind w:left="-15"/>
        <w:jc w:val="both"/>
      </w:pPr>
      <w:r>
        <w:t xml:space="preserve">a powerful analytical separation method, namely comprehensive </w:t>
      </w:r>
      <w:proofErr w:type="spellStart"/>
      <w:r>
        <w:t>twodimensional</w:t>
      </w:r>
      <w:proofErr w:type="spellEnd"/>
      <w:r>
        <w:t xml:space="preserve"> gas chromatography (GC×GC), for the determination of FAAEs, waxes, along with free alcohols and sterols as TMS derivatives </w:t>
      </w:r>
      <w:r>
        <w:rPr>
          <w:color w:val="4D7897"/>
        </w:rPr>
        <w:t>[10,11]</w:t>
      </w:r>
      <w:r>
        <w:t xml:space="preserve">. In general, GC×GC has been used for the analysis of single classes of vegetable-oil minor constituents, such as waxes </w:t>
      </w:r>
      <w:r>
        <w:rPr>
          <w:color w:val="4D7897"/>
        </w:rPr>
        <w:t xml:space="preserve">[12] </w:t>
      </w:r>
      <w:r>
        <w:t>and the unsaponi</w:t>
      </w:r>
      <w:r>
        <w:rPr>
          <w:rFonts w:ascii="Calibri" w:eastAsia="Calibri" w:hAnsi="Calibri" w:cs="Calibri"/>
        </w:rPr>
        <w:t>fi</w:t>
      </w:r>
      <w:r>
        <w:t xml:space="preserve">able fraction </w:t>
      </w:r>
      <w:r>
        <w:rPr>
          <w:color w:val="4D7897"/>
        </w:rPr>
        <w:t>[13]</w:t>
      </w:r>
      <w:r>
        <w:t>. Such GC×GC works were performed with cryogenic modulators, which are e</w:t>
      </w:r>
      <w:r>
        <w:rPr>
          <w:rFonts w:ascii="Calibri" w:eastAsia="Calibri" w:hAnsi="Calibri" w:cs="Calibri"/>
        </w:rPr>
        <w:t>ff</w:t>
      </w:r>
      <w:r>
        <w:t xml:space="preserve">ective even though expensive transfer devices </w:t>
      </w:r>
      <w:r>
        <w:rPr>
          <w:color w:val="4D7897"/>
        </w:rPr>
        <w:t>[10</w:t>
      </w:r>
      <w:r>
        <w:rPr>
          <w:rFonts w:ascii="Calibri" w:eastAsia="Calibri" w:hAnsi="Calibri" w:cs="Calibri"/>
          <w:color w:val="4D7897"/>
        </w:rPr>
        <w:t>–</w:t>
      </w:r>
      <w:r>
        <w:rPr>
          <w:color w:val="4D7897"/>
        </w:rPr>
        <w:t>13]</w:t>
      </w:r>
      <w:r>
        <w:t xml:space="preserve">. Flow modulation (FM) is a low-cost alternative, which has gained interest in recent years </w:t>
      </w:r>
      <w:r>
        <w:rPr>
          <w:color w:val="4D7897"/>
        </w:rPr>
        <w:t>[14]</w:t>
      </w:r>
      <w:r>
        <w:t>. The most interesting FM model, in the present authors</w:t>
      </w:r>
      <w:r>
        <w:rPr>
          <w:rFonts w:ascii="Calibri" w:eastAsia="Calibri" w:hAnsi="Calibri" w:cs="Calibri"/>
        </w:rPr>
        <w:t xml:space="preserve">’ </w:t>
      </w:r>
      <w:r>
        <w:t xml:space="preserve">opinion, </w:t>
      </w:r>
      <w:proofErr w:type="gramStart"/>
      <w:r>
        <w:t>was that</w:t>
      </w:r>
      <w:proofErr w:type="gramEnd"/>
      <w:r>
        <w:t xml:space="preserve"> proposed by Seeley and co-workers </w:t>
      </w:r>
      <w:r>
        <w:rPr>
          <w:color w:val="4D7897"/>
        </w:rPr>
        <w:t>[15]</w:t>
      </w:r>
      <w:r>
        <w:t xml:space="preserve">. The main disadvantage of such an FM approach was the generation of excessively-high gas </w:t>
      </w:r>
      <w:r>
        <w:rPr>
          <w:rFonts w:ascii="Calibri" w:eastAsia="Calibri" w:hAnsi="Calibri" w:cs="Calibri"/>
        </w:rPr>
        <w:t>fl</w:t>
      </w:r>
      <w:r>
        <w:t>ows (20</w:t>
      </w:r>
      <w:r>
        <w:rPr>
          <w:rFonts w:ascii="Calibri" w:eastAsia="Calibri" w:hAnsi="Calibri" w:cs="Calibri"/>
        </w:rPr>
        <w:t>–</w:t>
      </w:r>
      <w:r>
        <w:t xml:space="preserve">25 mL/min) for the use of an MS system. A way to circumvent such a problem is to split the high </w:t>
      </w:r>
      <w:r>
        <w:rPr>
          <w:rFonts w:ascii="Calibri" w:eastAsia="Calibri" w:hAnsi="Calibri" w:cs="Calibri"/>
        </w:rPr>
        <w:t>fl</w:t>
      </w:r>
      <w:r>
        <w:t xml:space="preserve">ow exiting the </w:t>
      </w:r>
      <w:proofErr w:type="gramStart"/>
      <w:r>
        <w:t>modulator,</w:t>
      </w:r>
      <w:proofErr w:type="gramEnd"/>
      <w:r>
        <w:t xml:space="preserve"> between two capillaries, one to an MS device, and the other to an FID </w:t>
      </w:r>
      <w:r>
        <w:rPr>
          <w:color w:val="4D7897"/>
        </w:rPr>
        <w:t>[16]</w:t>
      </w:r>
      <w:r>
        <w:t xml:space="preserve">, or to a waste branch </w:t>
      </w:r>
      <w:r>
        <w:rPr>
          <w:color w:val="4D7897"/>
        </w:rPr>
        <w:t>[17]</w:t>
      </w:r>
      <w:r>
        <w:t xml:space="preserve">. Reduced FM gas </w:t>
      </w:r>
      <w:r>
        <w:rPr>
          <w:rFonts w:ascii="Calibri" w:eastAsia="Calibri" w:hAnsi="Calibri" w:cs="Calibri"/>
        </w:rPr>
        <w:t>fl</w:t>
      </w:r>
      <w:r>
        <w:t xml:space="preserve">ows can also be obtained by </w:t>
      </w:r>
      <w:r>
        <w:rPr>
          <w:rFonts w:ascii="Calibri" w:eastAsia="Calibri" w:hAnsi="Calibri" w:cs="Calibri"/>
        </w:rPr>
        <w:t>fi</w:t>
      </w:r>
      <w:r>
        <w:t xml:space="preserve">ne tuning of the FM conditions, </w:t>
      </w:r>
      <w:proofErr w:type="gramStart"/>
      <w:r>
        <w:t>in particular,</w:t>
      </w:r>
      <w:proofErr w:type="gramEnd"/>
      <w:r>
        <w:t xml:space="preserve"> the duration of the reinjection step </w:t>
      </w:r>
      <w:r>
        <w:rPr>
          <w:color w:val="4D7897"/>
        </w:rPr>
        <w:t>[18]</w:t>
      </w:r>
      <w:r>
        <w:t>.</w:t>
      </w:r>
    </w:p>
    <w:p w14:paraId="7AD9C08D" w14:textId="77777777" w:rsidR="00896060" w:rsidRDefault="00896060" w:rsidP="00896060">
      <w:pPr>
        <w:spacing w:after="205"/>
        <w:ind w:left="-15"/>
        <w:jc w:val="both"/>
      </w:pPr>
      <w:r>
        <w:t xml:space="preserve">However, the use of a </w:t>
      </w:r>
      <w:r>
        <w:rPr>
          <w:rFonts w:ascii="Calibri" w:eastAsia="Calibri" w:hAnsi="Calibri" w:cs="Calibri"/>
        </w:rPr>
        <w:t>“</w:t>
      </w:r>
      <w:r>
        <w:t>greener</w:t>
      </w:r>
      <w:r>
        <w:rPr>
          <w:rFonts w:ascii="Calibri" w:eastAsia="Calibri" w:hAnsi="Calibri" w:cs="Calibri"/>
        </w:rPr>
        <w:t>” fi</w:t>
      </w:r>
      <w:r>
        <w:t xml:space="preserve">nal analytical method would be pointless if the sample preparation step involves the use of a large </w:t>
      </w:r>
      <w:proofErr w:type="gramStart"/>
      <w:r>
        <w:t>amount</w:t>
      </w:r>
      <w:proofErr w:type="gramEnd"/>
      <w:r>
        <w:t xml:space="preserve"> of solvents and disposables. Therefore, the aim of this work is </w:t>
      </w:r>
      <w:r>
        <w:lastRenderedPageBreak/>
        <w:t xml:space="preserve">to propose an overall more </w:t>
      </w:r>
      <w:r>
        <w:rPr>
          <w:rFonts w:ascii="Calibri" w:eastAsia="Calibri" w:hAnsi="Calibri" w:cs="Calibri"/>
        </w:rPr>
        <w:t>“</w:t>
      </w:r>
      <w:r>
        <w:t>environmental-friendly</w:t>
      </w:r>
      <w:r>
        <w:rPr>
          <w:rFonts w:ascii="Calibri" w:eastAsia="Calibri" w:hAnsi="Calibri" w:cs="Calibri"/>
        </w:rPr>
        <w:t xml:space="preserve">” </w:t>
      </w:r>
      <w:r>
        <w:t xml:space="preserve">method by miniaturizing the sample preparation step and avoiding the use of cryogenic </w:t>
      </w:r>
      <w:r>
        <w:rPr>
          <w:rFonts w:ascii="Calibri" w:eastAsia="Calibri" w:hAnsi="Calibri" w:cs="Calibri"/>
        </w:rPr>
        <w:t>fl</w:t>
      </w:r>
      <w:r>
        <w:t>uids. Speci</w:t>
      </w:r>
      <w:r>
        <w:rPr>
          <w:rFonts w:ascii="Calibri" w:eastAsia="Calibri" w:hAnsi="Calibri" w:cs="Calibri"/>
        </w:rPr>
        <w:t>fi</w:t>
      </w:r>
      <w:r>
        <w:t xml:space="preserve">cally, sample preparation was carried out, after derivatization of the oil, by using a Pasteur pipette (PP) to perform solid-phase extraction (SPE). The isolated minor components were then subjected to qualitative and quantitative analysis by using FM GC×GC (thus avoiding the use of cryogenic </w:t>
      </w:r>
      <w:r>
        <w:rPr>
          <w:rFonts w:ascii="Calibri" w:eastAsia="Calibri" w:hAnsi="Calibri" w:cs="Calibri"/>
        </w:rPr>
        <w:t>fl</w:t>
      </w:r>
      <w:r>
        <w:t>uids) with simultaneous quadrupole mass spectrometry (</w:t>
      </w:r>
      <w:proofErr w:type="spellStart"/>
      <w:r>
        <w:t>qMS</w:t>
      </w:r>
      <w:proofErr w:type="spellEnd"/>
      <w:r>
        <w:t>)/FID detection.</w:t>
      </w:r>
    </w:p>
    <w:p w14:paraId="68061BC2" w14:textId="0EBCECE4" w:rsidR="00847EC0" w:rsidRDefault="00847EC0" w:rsidP="00847EC0"/>
    <w:p w14:paraId="4152F475" w14:textId="51BF8D93" w:rsidR="005A1512" w:rsidRDefault="00560D64" w:rsidP="004D4B75">
      <w:pPr>
        <w:pStyle w:val="Heading1"/>
        <w:ind w:left="0"/>
      </w:pPr>
      <w:r w:rsidRPr="004C2B62">
        <w:t>Materials and methods</w:t>
      </w:r>
    </w:p>
    <w:p w14:paraId="7720D177" w14:textId="77777777" w:rsidR="00DB225F" w:rsidRDefault="00DB225F" w:rsidP="00DB225F"/>
    <w:p w14:paraId="4196B8A9" w14:textId="105580B0" w:rsidR="00896060" w:rsidRDefault="00896060" w:rsidP="00896060">
      <w:pPr>
        <w:pStyle w:val="Heading2"/>
      </w:pPr>
      <w:r>
        <w:t xml:space="preserve">CHEMICALS </w:t>
      </w:r>
    </w:p>
    <w:p w14:paraId="4E370575" w14:textId="77777777" w:rsidR="00896060" w:rsidRDefault="00896060" w:rsidP="00896060"/>
    <w:p w14:paraId="398E067D" w14:textId="77777777" w:rsidR="00896060" w:rsidRDefault="00896060" w:rsidP="00896060">
      <w:pPr>
        <w:spacing w:after="208"/>
        <w:ind w:left="-15" w:firstLine="735"/>
      </w:pPr>
      <w:r>
        <w:rPr>
          <w:rFonts w:ascii="Times New Roman" w:hAnsi="Times New Roman"/>
        </w:rPr>
        <w:t>n</w:t>
      </w:r>
      <w:r>
        <w:t>-Hexane (</w:t>
      </w:r>
      <w:r>
        <w:rPr>
          <w:rFonts w:ascii="Times New Roman" w:hAnsi="Times New Roman"/>
        </w:rPr>
        <w:t>n</w:t>
      </w:r>
      <w:r>
        <w:t>-hex) was provided by AppliChem (Darmstadt, Germany), while diethyl ether (Et</w:t>
      </w:r>
      <w:r>
        <w:rPr>
          <w:vertAlign w:val="subscript"/>
        </w:rPr>
        <w:t>2</w:t>
      </w:r>
      <w:r>
        <w:t>O), pyridine, N,O-bis(trimethylsilyl)tri</w:t>
      </w:r>
      <w:r>
        <w:rPr>
          <w:rFonts w:ascii="Calibri" w:eastAsia="Calibri" w:hAnsi="Calibri" w:cs="Calibri"/>
        </w:rPr>
        <w:t>fl</w:t>
      </w:r>
      <w:r>
        <w:t>uoroacetamide (BSTFA) containing 1% of trimethylchlorosilane (TMCS), the alkane mixture (</w:t>
      </w:r>
      <w:r>
        <w:rPr>
          <w:rFonts w:ascii="Times New Roman" w:hAnsi="Times New Roman"/>
        </w:rPr>
        <w:t>n</w:t>
      </w:r>
      <w:r>
        <w:t>-C</w:t>
      </w:r>
      <w:r>
        <w:rPr>
          <w:vertAlign w:val="subscript"/>
        </w:rPr>
        <w:t>7</w:t>
      </w:r>
      <w:r>
        <w:rPr>
          <w:rFonts w:ascii="Calibri" w:eastAsia="Calibri" w:hAnsi="Calibri" w:cs="Calibri"/>
          <w:vertAlign w:val="subscript"/>
        </w:rPr>
        <w:t>–</w:t>
      </w:r>
      <w:r>
        <w:rPr>
          <w:vertAlign w:val="subscript"/>
        </w:rPr>
        <w:t>40</w:t>
      </w:r>
      <w:r>
        <w:t>), and silica gel (60</w:t>
      </w:r>
      <w:r>
        <w:rPr>
          <w:rFonts w:ascii="Calibri" w:eastAsia="Calibri" w:hAnsi="Calibri" w:cs="Calibri"/>
        </w:rPr>
        <w:t>–</w:t>
      </w:r>
      <w:r>
        <w:t>200 µm mesh) were from Sigma-Aldrich/</w:t>
      </w:r>
      <w:proofErr w:type="spellStart"/>
      <w:r>
        <w:t>Supelco</w:t>
      </w:r>
      <w:proofErr w:type="spellEnd"/>
      <w:r>
        <w:t xml:space="preserve"> (Bellefonte, USA). A working internal standard solution was obtained by mixing heptadecanoic acid methyl ester (99%), dodecyl </w:t>
      </w:r>
      <w:proofErr w:type="spellStart"/>
      <w:r>
        <w:t>arachidate</w:t>
      </w:r>
      <w:proofErr w:type="spellEnd"/>
      <w:r>
        <w:t xml:space="preserve"> (C</w:t>
      </w:r>
      <w:r>
        <w:rPr>
          <w:vertAlign w:val="subscript"/>
        </w:rPr>
        <w:t>12:0</w:t>
      </w:r>
      <w:r>
        <w:t>-C</w:t>
      </w:r>
      <w:r>
        <w:rPr>
          <w:vertAlign w:val="subscript"/>
        </w:rPr>
        <w:t>20:0</w:t>
      </w:r>
      <w:r>
        <w:t xml:space="preserve">, 99%), </w:t>
      </w:r>
      <w:r>
        <w:rPr>
          <w:rFonts w:ascii="Calibri" w:eastAsia="Calibri" w:hAnsi="Calibri" w:cs="Calibri"/>
        </w:rPr>
        <w:t>α</w:t>
      </w:r>
      <w:r>
        <w:t>-cholestanol (</w:t>
      </w:r>
      <w:r>
        <w:rPr>
          <w:rFonts w:ascii="Calibri" w:eastAsia="Calibri" w:hAnsi="Calibri" w:cs="Calibri"/>
        </w:rPr>
        <w:t>≥</w:t>
      </w:r>
      <w:r>
        <w:t>95%), 1-eicosanol (</w:t>
      </w:r>
      <w:r>
        <w:rPr>
          <w:rFonts w:ascii="Calibri" w:eastAsia="Calibri" w:hAnsi="Calibri" w:cs="Calibri"/>
        </w:rPr>
        <w:t>≥</w:t>
      </w:r>
      <w:r>
        <w:t>98.5%) (all from Sigma-Aldrich/</w:t>
      </w:r>
      <w:proofErr w:type="spellStart"/>
      <w:r>
        <w:t>Supelco</w:t>
      </w:r>
      <w:proofErr w:type="spellEnd"/>
      <w:r>
        <w:t>) at a concentration of about 0.05 mg/mL each. Quanti</w:t>
      </w:r>
      <w:r>
        <w:rPr>
          <w:rFonts w:ascii="Calibri" w:eastAsia="Calibri" w:hAnsi="Calibri" w:cs="Calibri"/>
        </w:rPr>
        <w:t>fi</w:t>
      </w:r>
      <w:r>
        <w:t xml:space="preserve">cation was carried out by using the internal standard approach, as reported in the IOC method </w:t>
      </w:r>
      <w:r>
        <w:rPr>
          <w:color w:val="4D7897"/>
        </w:rPr>
        <w:t>[2]</w:t>
      </w:r>
      <w:r>
        <w:t>.</w:t>
      </w:r>
    </w:p>
    <w:p w14:paraId="3638F188" w14:textId="77777777" w:rsidR="00896060" w:rsidRDefault="00896060" w:rsidP="00DB225F"/>
    <w:p w14:paraId="3BE023FC" w14:textId="3089F904" w:rsidR="00DB225F" w:rsidRDefault="00DB225F" w:rsidP="00DB225F">
      <w:pPr>
        <w:pStyle w:val="Heading2"/>
      </w:pPr>
      <w:r>
        <w:t xml:space="preserve">SAMPLES AND SAMPLE </w:t>
      </w:r>
      <w:r w:rsidR="00896060">
        <w:t>PREPARATION</w:t>
      </w:r>
    </w:p>
    <w:p w14:paraId="06A79BFA" w14:textId="77777777" w:rsidR="00CF454A" w:rsidRPr="00CF454A" w:rsidRDefault="00CF454A" w:rsidP="00CF454A"/>
    <w:p w14:paraId="5D426D19" w14:textId="7E67D0E5" w:rsidR="00896060" w:rsidRDefault="00896060" w:rsidP="00896060">
      <w:pPr>
        <w:spacing w:after="202"/>
        <w:ind w:left="-15"/>
      </w:pPr>
      <w:r>
        <w:t>The EVO and borage oil were purchased in stores located in Messina (Italy), the re</w:t>
      </w:r>
      <w:r>
        <w:rPr>
          <w:rFonts w:ascii="Calibri" w:eastAsia="Calibri" w:hAnsi="Calibri" w:cs="Calibri"/>
        </w:rPr>
        <w:t>fi</w:t>
      </w:r>
      <w:r>
        <w:t>ned hazelnut oil (HO) was from Turkey, while the mixture containing EVO and about 19% (</w:t>
      </w:r>
      <w:r>
        <w:rPr>
          <w:rFonts w:ascii="Times New Roman" w:hAnsi="Times New Roman"/>
        </w:rPr>
        <w:t>w/w</w:t>
      </w:r>
      <w:r>
        <w:t>) of Turkish re</w:t>
      </w:r>
      <w:r>
        <w:rPr>
          <w:rFonts w:ascii="Calibri" w:eastAsia="Calibri" w:hAnsi="Calibri" w:cs="Calibri"/>
        </w:rPr>
        <w:t>fi</w:t>
      </w:r>
      <w:r>
        <w:t>ned HO was prepared in the laboratory. A hazelnut oil forti</w:t>
      </w:r>
      <w:r>
        <w:rPr>
          <w:rFonts w:ascii="Calibri" w:eastAsia="Calibri" w:hAnsi="Calibri" w:cs="Calibri"/>
        </w:rPr>
        <w:t>fi</w:t>
      </w:r>
      <w:r>
        <w:t>ed (</w:t>
      </w:r>
      <w:proofErr w:type="spellStart"/>
      <w:r>
        <w:t>HO</w:t>
      </w:r>
      <w:r>
        <w:rPr>
          <w:vertAlign w:val="subscript"/>
        </w:rPr>
        <w:t>ref</w:t>
      </w:r>
      <w:proofErr w:type="spellEnd"/>
      <w:r>
        <w:t xml:space="preserve">) with FAAEs and (synthesized) waxes, used for method optimization, was kindly provided by Dr. C. Mariani (Stazione </w:t>
      </w:r>
      <w:proofErr w:type="spellStart"/>
      <w:r>
        <w:t>Sperimentale</w:t>
      </w:r>
      <w:proofErr w:type="spellEnd"/>
      <w:r>
        <w:t xml:space="preserve"> Oli e Grassi, Milan, Italy). Samples pre-treatment was performed according to the method described in ref. </w:t>
      </w:r>
      <w:r>
        <w:rPr>
          <w:color w:val="4D7897"/>
        </w:rPr>
        <w:t>10</w:t>
      </w:r>
      <w:r>
        <w:t>. Brie</w:t>
      </w:r>
      <w:r>
        <w:rPr>
          <w:rFonts w:ascii="Calibri" w:eastAsia="Calibri" w:hAnsi="Calibri" w:cs="Calibri"/>
        </w:rPr>
        <w:t>fl</w:t>
      </w:r>
      <w:r>
        <w:t xml:space="preserve">y, 100 mg of oil were derivatized by adding 150 </w:t>
      </w:r>
      <w:proofErr w:type="spellStart"/>
      <w:r>
        <w:rPr>
          <w:rFonts w:ascii="Calibri" w:eastAsia="Calibri" w:hAnsi="Calibri" w:cs="Calibri"/>
        </w:rPr>
        <w:t>μ</w:t>
      </w:r>
      <w:r>
        <w:t>L</w:t>
      </w:r>
      <w:proofErr w:type="spellEnd"/>
      <w:r>
        <w:t xml:space="preserve"> of BSTFA (1% TMCS) and 150 </w:t>
      </w:r>
      <w:proofErr w:type="spellStart"/>
      <w:r>
        <w:rPr>
          <w:rFonts w:ascii="Calibri" w:eastAsia="Calibri" w:hAnsi="Calibri" w:cs="Calibri"/>
        </w:rPr>
        <w:t>μ</w:t>
      </w:r>
      <w:r>
        <w:t>L</w:t>
      </w:r>
      <w:proofErr w:type="spellEnd"/>
      <w:r>
        <w:t xml:space="preserve"> of pyridine, and left to react 30 min at room temperature, before performing a miniaturized silica puri</w:t>
      </w:r>
      <w:r>
        <w:rPr>
          <w:rFonts w:ascii="Calibri" w:eastAsia="Calibri" w:hAnsi="Calibri" w:cs="Calibri"/>
        </w:rPr>
        <w:t>fi</w:t>
      </w:r>
      <w:r>
        <w:t xml:space="preserve">cation step, herein optimized. </w:t>
      </w:r>
      <w:proofErr w:type="gramStart"/>
      <w:r>
        <w:t>In particular, 0.5</w:t>
      </w:r>
      <w:proofErr w:type="gramEnd"/>
      <w:r>
        <w:t xml:space="preserve"> g of silica gel (treated at 500 °C for at least 4 h and then added with 2% of water) was packed in a Pasteur pipette [100 mm (main body) × 7 mm ID]; a plug of glass wool prevented the loss of silica from the tip. The silica was washed with 3 mL of </w:t>
      </w:r>
      <w:r>
        <w:rPr>
          <w:rFonts w:ascii="Times New Roman" w:hAnsi="Times New Roman"/>
        </w:rPr>
        <w:t>n</w:t>
      </w:r>
      <w:r>
        <w:t xml:space="preserve">-hexane before 30 mg of derivatized oil were loaded in a total volume of 150 </w:t>
      </w:r>
      <w:proofErr w:type="spellStart"/>
      <w:r>
        <w:rPr>
          <w:rFonts w:ascii="Calibri" w:eastAsia="Calibri" w:hAnsi="Calibri" w:cs="Calibri"/>
        </w:rPr>
        <w:t>μ</w:t>
      </w:r>
      <w:r>
        <w:t>L</w:t>
      </w:r>
      <w:proofErr w:type="spellEnd"/>
      <w:r>
        <w:t xml:space="preserve"> of </w:t>
      </w:r>
      <w:r>
        <w:rPr>
          <w:rFonts w:ascii="Times New Roman" w:hAnsi="Times New Roman"/>
        </w:rPr>
        <w:t>n</w:t>
      </w:r>
      <w:r>
        <w:t xml:space="preserve">-hexane. A further 2 mL of </w:t>
      </w:r>
      <w:proofErr w:type="spellStart"/>
      <w:r>
        <w:rPr>
          <w:rFonts w:ascii="Times New Roman" w:hAnsi="Times New Roman"/>
        </w:rPr>
        <w:t>n</w:t>
      </w:r>
      <w:r>
        <w:t>hexane</w:t>
      </w:r>
      <w:proofErr w:type="spellEnd"/>
      <w:r>
        <w:t xml:space="preserve"> were percolated to remove any alkanes naturally present; then, the fraction of interest, containing FAAEs and waxes</w:t>
      </w:r>
      <w:r>
        <w:t>,</w:t>
      </w:r>
      <w:r w:rsidRPr="00896060">
        <w:t xml:space="preserve"> </w:t>
      </w:r>
      <w:r>
        <w:t xml:space="preserve">along with free alcohols and sterols (as TMS derivatives), was eluted with a 4.5-mL mixture of </w:t>
      </w:r>
      <w:r>
        <w:rPr>
          <w:rFonts w:ascii="Times New Roman" w:hAnsi="Times New Roman"/>
        </w:rPr>
        <w:t>n</w:t>
      </w:r>
      <w:r>
        <w:t xml:space="preserve">-hexane/diethyl ether (99:1, </w:t>
      </w:r>
      <w:r>
        <w:rPr>
          <w:rFonts w:ascii="Times New Roman" w:hAnsi="Times New Roman"/>
        </w:rPr>
        <w:t>v: v</w:t>
      </w:r>
      <w:r>
        <w:t>).</w:t>
      </w:r>
    </w:p>
    <w:p w14:paraId="17BD173F" w14:textId="77777777" w:rsidR="00896060" w:rsidRPr="00CF454A" w:rsidRDefault="00896060" w:rsidP="00896060">
      <w:pPr>
        <w:ind w:firstLine="720"/>
        <w:rPr>
          <w:lang w:val="en-GB"/>
        </w:rPr>
      </w:pPr>
    </w:p>
    <w:p w14:paraId="69167534" w14:textId="34DBBBE0" w:rsidR="005A1512" w:rsidRPr="00763248" w:rsidRDefault="00896060" w:rsidP="00EB3E4D">
      <w:pPr>
        <w:pStyle w:val="Heading2"/>
        <w:rPr>
          <w:rFonts w:cstheme="minorHAnsi"/>
          <w:i/>
          <w:sz w:val="22"/>
          <w:szCs w:val="22"/>
        </w:rPr>
      </w:pPr>
      <w:bookmarkStart w:id="1" w:name="2.1_Chemicals"/>
      <w:bookmarkStart w:id="2" w:name="2.2_Samples_and_sample_preparation"/>
      <w:bookmarkEnd w:id="1"/>
      <w:bookmarkEnd w:id="2"/>
      <w:r w:rsidRPr="00896060">
        <w:t>FM GC×GC-</w:t>
      </w:r>
      <w:proofErr w:type="spellStart"/>
      <w:r w:rsidRPr="00896060">
        <w:t>qMS</w:t>
      </w:r>
      <w:proofErr w:type="spellEnd"/>
      <w:r w:rsidRPr="00896060">
        <w:t xml:space="preserve">/FID </w:t>
      </w:r>
      <w:r w:rsidRPr="00896060">
        <w:t>INSTRUMENTATION</w:t>
      </w:r>
    </w:p>
    <w:p w14:paraId="4D3029CD" w14:textId="77777777" w:rsidR="00CF454A" w:rsidRPr="00CF454A" w:rsidRDefault="00CF454A" w:rsidP="00CF454A">
      <w:pPr>
        <w:rPr>
          <w:lang w:val="en-GB"/>
        </w:rPr>
      </w:pPr>
    </w:p>
    <w:p w14:paraId="5D49178F" w14:textId="77777777" w:rsidR="00896060" w:rsidRDefault="004F52B0" w:rsidP="00896060">
      <w:pPr>
        <w:ind w:left="-15"/>
      </w:pPr>
      <w:r>
        <w:rPr>
          <w:w w:val="110"/>
        </w:rPr>
        <w:t xml:space="preserve">     </w:t>
      </w:r>
      <w:r w:rsidR="00896060">
        <w:t>The FM GC×GC-</w:t>
      </w:r>
      <w:proofErr w:type="spellStart"/>
      <w:r w:rsidR="00896060">
        <w:t>qMS</w:t>
      </w:r>
      <w:proofErr w:type="spellEnd"/>
      <w:r w:rsidR="00896060">
        <w:t>/FID applications were carried out on a system consisting of two independent GC2010 gas chromatographs (GC1 and GC2) and a QP2010 Ultra quadrupole mass spectrometer (Shimadzu, Kyoto, Japan). GC1 was equipped with an AOC-20i autoinjector, and a split-</w:t>
      </w:r>
      <w:proofErr w:type="spellStart"/>
      <w:r w:rsidR="00896060">
        <w:t>splitless</w:t>
      </w:r>
      <w:proofErr w:type="spellEnd"/>
      <w:r w:rsidR="00896060">
        <w:t xml:space="preserve"> </w:t>
      </w:r>
      <w:r w:rsidR="00896060">
        <w:lastRenderedPageBreak/>
        <w:t>injector (300 °C).</w:t>
      </w:r>
    </w:p>
    <w:p w14:paraId="5819A5EF" w14:textId="77777777" w:rsidR="00896060" w:rsidRDefault="00896060" w:rsidP="00896060">
      <w:pPr>
        <w:ind w:left="-15"/>
      </w:pPr>
      <w:r>
        <w:t xml:space="preserve">The </w:t>
      </w:r>
      <w:r>
        <w:rPr>
          <w:rFonts w:ascii="Calibri" w:eastAsia="Calibri" w:hAnsi="Calibri" w:cs="Calibri"/>
        </w:rPr>
        <w:t>fi</w:t>
      </w:r>
      <w:r>
        <w:t xml:space="preserve">rst column was an SLB-5ms 12.5 m × 0.25 mm ID × 0.25 µm </w:t>
      </w:r>
      <w:proofErr w:type="spellStart"/>
      <w:r>
        <w:rPr>
          <w:rFonts w:ascii="Times New Roman" w:hAnsi="Times New Roman"/>
        </w:rPr>
        <w:t>d</w:t>
      </w:r>
      <w:r>
        <w:rPr>
          <w:rFonts w:ascii="Times New Roman" w:hAnsi="Times New Roman"/>
          <w:vertAlign w:val="subscript"/>
        </w:rPr>
        <w:t>f</w:t>
      </w:r>
      <w:proofErr w:type="spellEnd"/>
      <w:r>
        <w:rPr>
          <w:rFonts w:ascii="Times New Roman" w:hAnsi="Times New Roman"/>
          <w:vertAlign w:val="subscript"/>
        </w:rPr>
        <w:t xml:space="preserve"> </w:t>
      </w:r>
      <w:r>
        <w:t>[</w:t>
      </w:r>
      <w:proofErr w:type="spellStart"/>
      <w:r>
        <w:t>silphenylene</w:t>
      </w:r>
      <w:proofErr w:type="spellEnd"/>
      <w:r>
        <w:t xml:space="preserve"> polymer, virtually equivalent in polarity to </w:t>
      </w:r>
      <w:proofErr w:type="gramStart"/>
      <w:r>
        <w:t>poly(</w:t>
      </w:r>
      <w:proofErr w:type="gramEnd"/>
      <w:r>
        <w:t xml:space="preserve">5% diphenyl/95% </w:t>
      </w:r>
      <w:proofErr w:type="spellStart"/>
      <w:r>
        <w:t>methylsiloxane</w:t>
      </w:r>
      <w:proofErr w:type="spellEnd"/>
      <w:r>
        <w:t xml:space="preserve">)], while the second was an SLB-35ms 5 m × 0.25 mm ID × 0.10 µm </w:t>
      </w:r>
      <w:proofErr w:type="spellStart"/>
      <w:r>
        <w:rPr>
          <w:rFonts w:ascii="Times New Roman" w:hAnsi="Times New Roman"/>
        </w:rPr>
        <w:t>d</w:t>
      </w:r>
      <w:r>
        <w:rPr>
          <w:rFonts w:ascii="Times New Roman" w:hAnsi="Times New Roman"/>
          <w:vertAlign w:val="subscript"/>
        </w:rPr>
        <w:t>f</w:t>
      </w:r>
      <w:proofErr w:type="spellEnd"/>
      <w:r>
        <w:rPr>
          <w:rFonts w:ascii="Times New Roman" w:hAnsi="Times New Roman"/>
          <w:vertAlign w:val="subscript"/>
        </w:rPr>
        <w:t xml:space="preserve"> </w:t>
      </w:r>
      <w:r>
        <w:t>capillary [</w:t>
      </w:r>
      <w:proofErr w:type="gramStart"/>
      <w:r>
        <w:t>poly(</w:t>
      </w:r>
      <w:proofErr w:type="gramEnd"/>
      <w:r>
        <w:t>35% diphenyl/65% methyl siloxane)] (Sigma-Aldrich/</w:t>
      </w:r>
      <w:proofErr w:type="spellStart"/>
      <w:r>
        <w:t>Supelco</w:t>
      </w:r>
      <w:proofErr w:type="spellEnd"/>
      <w:r>
        <w:t>).</w:t>
      </w:r>
    </w:p>
    <w:p w14:paraId="6AFFAB9F" w14:textId="77777777" w:rsidR="00896060" w:rsidRDefault="00896060" w:rsidP="00896060">
      <w:pPr>
        <w:ind w:left="-15"/>
      </w:pPr>
      <w:r>
        <w:t xml:space="preserve">The FM device was linked to a 2-way solenoid valve (located outside the GC), the latter was then connected to an auxiliary pressure source (APC). The output ports of the solenoid valve were connected to FM through two ports. One port of the FM was linked to the </w:t>
      </w:r>
      <w:proofErr w:type="spellStart"/>
      <w:r>
        <w:t>primarycolumn</w:t>
      </w:r>
      <w:proofErr w:type="spellEnd"/>
      <w:r>
        <w:t xml:space="preserve"> outlet, while another directed the </w:t>
      </w:r>
      <w:r>
        <w:rPr>
          <w:rFonts w:ascii="Calibri" w:eastAsia="Calibri" w:hAnsi="Calibri" w:cs="Calibri"/>
        </w:rPr>
        <w:t>fl</w:t>
      </w:r>
      <w:r>
        <w:t xml:space="preserve">ow to the second dimension. A </w:t>
      </w:r>
      <w:proofErr w:type="gramStart"/>
      <w:r>
        <w:t>stainless steel</w:t>
      </w:r>
      <w:proofErr w:type="gramEnd"/>
      <w:r>
        <w:t xml:space="preserve"> accumulation loop measuring 15 cm × 0.51 mm ID (SGE, Ringwood, Victoria, Australia) bridged two ports. Modulation period was 4,500 </w:t>
      </w:r>
      <w:proofErr w:type="spellStart"/>
      <w:r>
        <w:t>ms</w:t>
      </w:r>
      <w:proofErr w:type="spellEnd"/>
      <w:r>
        <w:t xml:space="preserve">, with a 500-ms </w:t>
      </w:r>
      <w:r>
        <w:rPr>
          <w:rFonts w:ascii="Calibri" w:eastAsia="Calibri" w:hAnsi="Calibri" w:cs="Calibri"/>
        </w:rPr>
        <w:t>fl</w:t>
      </w:r>
      <w:r>
        <w:t>ushing period.</w:t>
      </w:r>
    </w:p>
    <w:p w14:paraId="6D67DEE1" w14:textId="77777777" w:rsidR="00896060" w:rsidRDefault="00896060" w:rsidP="00896060">
      <w:pPr>
        <w:ind w:left="-15"/>
      </w:pPr>
      <w:r>
        <w:t xml:space="preserve">The outlet of the second analytical column was connected to a </w:t>
      </w:r>
      <w:r>
        <w:rPr>
          <w:rFonts w:ascii="Calibri" w:eastAsia="Calibri" w:hAnsi="Calibri" w:cs="Calibri"/>
        </w:rPr>
        <w:t>fi</w:t>
      </w:r>
      <w:r>
        <w:t xml:space="preserve">xed outlet capillary column splitter (SGE); the latter was then linked to a 1.5 m × 0.18 mm ID and a 0.7 m × 0.18 mm ID uncoated column, for </w:t>
      </w:r>
      <w:proofErr w:type="spellStart"/>
      <w:r>
        <w:t>qMS</w:t>
      </w:r>
      <w:proofErr w:type="spellEnd"/>
      <w:r>
        <w:t xml:space="preserve"> and FID analysis, respectively. A scheme of the complete system is reported in </w:t>
      </w:r>
      <w:r>
        <w:rPr>
          <w:color w:val="4D7897"/>
        </w:rPr>
        <w:t>Supplementary Material - Fig. S1</w:t>
      </w:r>
      <w:r>
        <w:t>.</w:t>
      </w:r>
    </w:p>
    <w:p w14:paraId="44DE6223" w14:textId="77777777" w:rsidR="00896060" w:rsidRDefault="00896060" w:rsidP="00896060">
      <w:pPr>
        <w:ind w:left="-15"/>
      </w:pPr>
      <w:r>
        <w:t>Two di</w:t>
      </w:r>
      <w:r>
        <w:rPr>
          <w:rFonts w:ascii="Calibri" w:eastAsia="Calibri" w:hAnsi="Calibri" w:cs="Calibri"/>
        </w:rPr>
        <w:t>ff</w:t>
      </w:r>
      <w:r>
        <w:t>erent temperature programs were used to create a positive temperature o</w:t>
      </w:r>
      <w:r>
        <w:rPr>
          <w:rFonts w:ascii="Calibri" w:eastAsia="Calibri" w:hAnsi="Calibri" w:cs="Calibri"/>
        </w:rPr>
        <w:t>ff</w:t>
      </w:r>
      <w:r>
        <w:t xml:space="preserve">set: in GC1 from 50 °C (2 min) to 140 °C at 40 °C/min, then to 350 °C (20 min) at 4 °C/min; in GC2 from 50 °C (2 min) to 150 °C at 40 °C/min, then to 350 °C (22.25 min) at 4 °C/min. The carrier gas (helium) was delivered at an initial inlet pressure of 236.7 kPa; the auxiliary carrier gas was delivered at an initial APC (advanced pressure control) pressure of 221.7 kPa. The two pressure gradients were regulated to operate under constant gas </w:t>
      </w:r>
      <w:r>
        <w:rPr>
          <w:rFonts w:ascii="Calibri" w:eastAsia="Calibri" w:hAnsi="Calibri" w:cs="Calibri"/>
        </w:rPr>
        <w:t>fl</w:t>
      </w:r>
      <w:r>
        <w:t xml:space="preserve">ow conditions in both dimensions. Injection (2 </w:t>
      </w:r>
      <w:proofErr w:type="spellStart"/>
      <w:r>
        <w:rPr>
          <w:rFonts w:ascii="Calibri" w:eastAsia="Calibri" w:hAnsi="Calibri" w:cs="Calibri"/>
        </w:rPr>
        <w:t>μ</w:t>
      </w:r>
      <w:r>
        <w:t>L</w:t>
      </w:r>
      <w:proofErr w:type="spellEnd"/>
      <w:r>
        <w:t>) was performed in the direct injection mode.</w:t>
      </w:r>
    </w:p>
    <w:p w14:paraId="2267B10F" w14:textId="77777777" w:rsidR="00896060" w:rsidRDefault="00896060" w:rsidP="00896060">
      <w:pPr>
        <w:ind w:left="-15"/>
      </w:pPr>
      <w:r>
        <w:t>Quadrupole MS parameters: the sample was analyzed in the full scan mode with a scan speed of 20,000 amu/s, a mass range of 50</w:t>
      </w:r>
      <w:r>
        <w:rPr>
          <w:rFonts w:ascii="Calibri" w:eastAsia="Calibri" w:hAnsi="Calibri" w:cs="Calibri"/>
        </w:rPr>
        <w:t xml:space="preserve">– </w:t>
      </w:r>
      <w:r>
        <w:t xml:space="preserve">700 </w:t>
      </w:r>
      <w:r>
        <w:rPr>
          <w:rFonts w:ascii="Times New Roman" w:hAnsi="Times New Roman"/>
        </w:rPr>
        <w:t xml:space="preserve">m/z </w:t>
      </w:r>
      <w:r>
        <w:t xml:space="preserve">and a sampling frequency of 25 spectra/s; interface and ion source temperatures were 250 °C and 200 °C, respectively. MS ionization mode: electron ionization (70 eV). Data were acquired by using the </w:t>
      </w:r>
      <w:proofErr w:type="spellStart"/>
      <w:r>
        <w:t>GCMSsolution</w:t>
      </w:r>
      <w:proofErr w:type="spellEnd"/>
      <w:r>
        <w:t xml:space="preserve"> software ver. 4.2 (Shimadzu). Bidimensional chromatograms were generated by using the </w:t>
      </w:r>
      <w:proofErr w:type="spellStart"/>
      <w:r>
        <w:t>ChromSquare</w:t>
      </w:r>
      <w:proofErr w:type="spellEnd"/>
      <w:r>
        <w:t xml:space="preserve"> software ver. 2.2 (Shimadzu Europe, Duisburg, Germany). MS databases were NIST11, and the Lipid Library (Shimadzu Europe).</w:t>
      </w:r>
    </w:p>
    <w:p w14:paraId="7F0045D7" w14:textId="77777777" w:rsidR="00896060" w:rsidRDefault="00896060" w:rsidP="00896060">
      <w:pPr>
        <w:ind w:left="-15"/>
      </w:pPr>
      <w:r>
        <w:t>FID parameters: temperature was 360 °C; acquisition frequency was 50 Hz; gases: make-up (He), 40 mL/min; H</w:t>
      </w:r>
      <w:r>
        <w:rPr>
          <w:vertAlign w:val="subscript"/>
        </w:rPr>
        <w:t>2</w:t>
      </w:r>
      <w:r>
        <w:t>, 40 mL/min; air, 400 mL/min.</w:t>
      </w:r>
    </w:p>
    <w:p w14:paraId="48844E8D" w14:textId="77777777" w:rsidR="00896060" w:rsidRDefault="00896060" w:rsidP="00896060">
      <w:pPr>
        <w:ind w:left="-15"/>
      </w:pPr>
      <w:r>
        <w:t>Fast GC-</w:t>
      </w:r>
      <w:proofErr w:type="spellStart"/>
      <w:r>
        <w:t>qMS</w:t>
      </w:r>
      <w:proofErr w:type="spellEnd"/>
      <w:r>
        <w:t xml:space="preserve"> applications, for sample preparation optimization, were performed using an SLB-5 </w:t>
      </w:r>
      <w:proofErr w:type="spellStart"/>
      <w:r>
        <w:t>ms</w:t>
      </w:r>
      <w:proofErr w:type="spellEnd"/>
      <w:r>
        <w:t xml:space="preserve"> 15 m × 0.10 mm ID × 0.10 µm </w:t>
      </w:r>
      <w:proofErr w:type="spellStart"/>
      <w:r>
        <w:rPr>
          <w:rFonts w:ascii="Times New Roman" w:hAnsi="Times New Roman"/>
        </w:rPr>
        <w:t>d</w:t>
      </w:r>
      <w:r>
        <w:rPr>
          <w:rFonts w:ascii="Times New Roman" w:hAnsi="Times New Roman"/>
          <w:vertAlign w:val="subscript"/>
        </w:rPr>
        <w:t>f</w:t>
      </w:r>
      <w:proofErr w:type="spellEnd"/>
      <w:r>
        <w:rPr>
          <w:rFonts w:ascii="Times New Roman" w:hAnsi="Times New Roman"/>
          <w:vertAlign w:val="subscript"/>
        </w:rPr>
        <w:t xml:space="preserve"> </w:t>
      </w:r>
      <w:r>
        <w:t>column (Sigma-Aldrich/</w:t>
      </w:r>
      <w:proofErr w:type="spellStart"/>
      <w:r>
        <w:t>Supelco</w:t>
      </w:r>
      <w:proofErr w:type="spellEnd"/>
      <w:r>
        <w:t xml:space="preserve">). The FM device was obviously not involved in such applications. GC1 and GC2 temperature program: from 50 °C (1 min) to 350 °C (5 min) at 20 °C/min; the carrier gas (helium) was maintained at a constant average linear velocity of 50 cm/ s. Injection (0.2 </w:t>
      </w:r>
      <w:proofErr w:type="spellStart"/>
      <w:r>
        <w:rPr>
          <w:rFonts w:ascii="Calibri" w:eastAsia="Calibri" w:hAnsi="Calibri" w:cs="Calibri"/>
        </w:rPr>
        <w:t>μ</w:t>
      </w:r>
      <w:r>
        <w:t>L</w:t>
      </w:r>
      <w:proofErr w:type="spellEnd"/>
      <w:r>
        <w:t xml:space="preserve">) was performed in the </w:t>
      </w:r>
      <w:proofErr w:type="spellStart"/>
      <w:r>
        <w:t>splitless</w:t>
      </w:r>
      <w:proofErr w:type="spellEnd"/>
      <w:r>
        <w:t xml:space="preserve"> mode (1 min sampling time), then a split ratio of 10:1 was applied.</w:t>
      </w:r>
    </w:p>
    <w:p w14:paraId="16C66465" w14:textId="77777777" w:rsidR="00896060" w:rsidRDefault="00896060" w:rsidP="00896060">
      <w:pPr>
        <w:spacing w:after="207"/>
        <w:ind w:left="249"/>
      </w:pPr>
      <w:r>
        <w:t>Quadrupole MS parameters were the same as above.</w:t>
      </w:r>
    </w:p>
    <w:p w14:paraId="0DDA7A1D" w14:textId="77777777" w:rsidR="00CF454A" w:rsidRDefault="00CF454A" w:rsidP="000F4F69"/>
    <w:p w14:paraId="4F69378A" w14:textId="77777777" w:rsidR="000F4F69" w:rsidRPr="00F74DD5" w:rsidRDefault="000F4F69" w:rsidP="000F4F69">
      <w:pPr>
        <w:pStyle w:val="Heading1"/>
        <w:ind w:left="0"/>
      </w:pPr>
      <w:r w:rsidRPr="00F74DD5">
        <w:t>Results and discussion</w:t>
      </w:r>
    </w:p>
    <w:p w14:paraId="12847A6F" w14:textId="77777777" w:rsidR="000F4F69" w:rsidRDefault="000F4F69" w:rsidP="000F4F69">
      <w:pPr>
        <w:pStyle w:val="BodyText"/>
        <w:spacing w:before="50"/>
        <w:ind w:left="0"/>
        <w:rPr>
          <w:rFonts w:asciiTheme="minorHAnsi" w:hAnsiTheme="minorHAnsi" w:cstheme="minorHAnsi"/>
          <w:b/>
          <w:sz w:val="22"/>
          <w:szCs w:val="22"/>
        </w:rPr>
      </w:pPr>
    </w:p>
    <w:p w14:paraId="0145FA1E" w14:textId="2E5C4732" w:rsidR="00896060" w:rsidRPr="00EB3E4D" w:rsidRDefault="00896060" w:rsidP="00EB3E4D">
      <w:pPr>
        <w:pStyle w:val="Heading2"/>
      </w:pPr>
      <w:r>
        <w:t xml:space="preserve">PP SPE </w:t>
      </w:r>
      <w:r w:rsidR="00EB3E4D">
        <w:t>OPTIMIZATION</w:t>
      </w:r>
    </w:p>
    <w:p w14:paraId="48BB2C5B" w14:textId="77777777" w:rsidR="00896060" w:rsidRDefault="00896060" w:rsidP="00C626F6">
      <w:pPr>
        <w:pStyle w:val="BodyText"/>
        <w:spacing w:before="50"/>
        <w:rPr>
          <w:rFonts w:asciiTheme="minorHAnsi" w:hAnsiTheme="minorHAnsi" w:cstheme="minorHAnsi"/>
          <w:bCs/>
          <w:sz w:val="22"/>
          <w:szCs w:val="22"/>
        </w:rPr>
      </w:pPr>
    </w:p>
    <w:p w14:paraId="39FF62BD" w14:textId="77777777" w:rsidR="00EB3E4D" w:rsidRDefault="00C626F6" w:rsidP="00EB3E4D">
      <w:pPr>
        <w:ind w:left="-15"/>
      </w:pPr>
      <w:r>
        <w:rPr>
          <w:rFonts w:cstheme="minorHAnsi"/>
          <w:bCs/>
        </w:rPr>
        <w:t xml:space="preserve">     </w:t>
      </w:r>
      <w:r w:rsidR="00EB3E4D">
        <w:t xml:space="preserve">Initial work was devoted to the optimization of the sample preparation step. A fast GC-MS </w:t>
      </w:r>
      <w:r w:rsidR="00EB3E4D">
        <w:lastRenderedPageBreak/>
        <w:t>approach was used to evaluate the elution order of the fraction of interest. Di</w:t>
      </w:r>
      <w:r w:rsidR="00EB3E4D">
        <w:rPr>
          <w:rFonts w:ascii="Calibri" w:eastAsia="Calibri" w:hAnsi="Calibri" w:cs="Calibri"/>
        </w:rPr>
        <w:t>ff</w:t>
      </w:r>
      <w:r w:rsidR="00EB3E4D">
        <w:t>erent approaches to miniaturize the SPE step were evaluated. Both a small plastic syringe (50×10 mm ID), without the plunger and an automatic pipette tip (</w:t>
      </w:r>
      <w:proofErr w:type="gramStart"/>
      <w:r w:rsidR="00EB3E4D">
        <w:t>70×7</w:t>
      </w:r>
      <w:proofErr w:type="gramEnd"/>
      <w:r w:rsidR="00EB3E4D">
        <w:t xml:space="preserve"> mm ID), were </w:t>
      </w:r>
      <w:r w:rsidR="00EB3E4D">
        <w:rPr>
          <w:rFonts w:ascii="Calibri" w:eastAsia="Calibri" w:hAnsi="Calibri" w:cs="Calibri"/>
        </w:rPr>
        <w:t>fi</w:t>
      </w:r>
      <w:r w:rsidR="00EB3E4D">
        <w:t>lled with 0.5 g of silica. However,</w:t>
      </w:r>
      <w:r w:rsidR="00EB3E4D">
        <w:t xml:space="preserve"> </w:t>
      </w:r>
      <w:r w:rsidR="00EB3E4D">
        <w:t xml:space="preserve">in the former case, the TAGs </w:t>
      </w:r>
      <w:proofErr w:type="gramStart"/>
      <w:r w:rsidR="00EB3E4D">
        <w:t>coeluted</w:t>
      </w:r>
      <w:proofErr w:type="gramEnd"/>
      <w:r w:rsidR="00EB3E4D">
        <w:t xml:space="preserve"> with the fraction of interest, irrespectively from the amount of oil loaded, probably due to the short chromatography bed. In the latter case, although a better separation was obtained a poor repeatability was observed, especially when di</w:t>
      </w:r>
      <w:r w:rsidR="00EB3E4D">
        <w:rPr>
          <w:rFonts w:ascii="Calibri" w:eastAsia="Calibri" w:hAnsi="Calibri" w:cs="Calibri"/>
        </w:rPr>
        <w:t>ff</w:t>
      </w:r>
      <w:r w:rsidR="00EB3E4D">
        <w:t>erent tips were used. Moreover, the presence of polyole</w:t>
      </w:r>
      <w:r w:rsidR="00EB3E4D">
        <w:rPr>
          <w:rFonts w:ascii="Calibri" w:eastAsia="Calibri" w:hAnsi="Calibri" w:cs="Calibri"/>
        </w:rPr>
        <w:t>fi</w:t>
      </w:r>
      <w:r w:rsidR="00EB3E4D">
        <w:t>ns, deriving from the plastic material, was visible in the GC chromatogram (data not shown).</w:t>
      </w:r>
    </w:p>
    <w:p w14:paraId="157BBF29" w14:textId="77777777" w:rsidR="00EB3E4D" w:rsidRDefault="00EB3E4D" w:rsidP="00EB3E4D">
      <w:pPr>
        <w:ind w:left="-15"/>
      </w:pPr>
      <w:r>
        <w:t xml:space="preserve">Finally, a Pasteur pipette [100 mm (main body) × 7 mm ID] was </w:t>
      </w:r>
      <w:r>
        <w:rPr>
          <w:rFonts w:ascii="Calibri" w:eastAsia="Calibri" w:hAnsi="Calibri" w:cs="Calibri"/>
        </w:rPr>
        <w:t>fi</w:t>
      </w:r>
      <w:r>
        <w:t xml:space="preserve">lled with 0.5 g of deactivated silica, kept in place by a glass-wool plug. The PP tip was passed through a GC injector septum, properly shaped to </w:t>
      </w:r>
      <w:r>
        <w:rPr>
          <w:rFonts w:ascii="Calibri" w:eastAsia="Calibri" w:hAnsi="Calibri" w:cs="Calibri"/>
        </w:rPr>
        <w:t>fi</w:t>
      </w:r>
      <w:r>
        <w:t>t into the plastic tap of a 12-position manifold. Hence, several samples could be treated simultaneously. The regular-shaped longer chromatography bed guaranteed the isolation of the TAGs from the fraction of interest, along with satisfactory repeatability.</w:t>
      </w:r>
    </w:p>
    <w:p w14:paraId="47613AD8" w14:textId="77777777" w:rsidR="00EB3E4D" w:rsidRDefault="00EB3E4D" w:rsidP="00EB3E4D">
      <w:pPr>
        <w:ind w:left="-15"/>
      </w:pPr>
      <w:r>
        <w:t xml:space="preserve">Optimization of the elution conditions was performed by using 30 mg of </w:t>
      </w:r>
      <w:proofErr w:type="spellStart"/>
      <w:r>
        <w:t>HO</w:t>
      </w:r>
      <w:r>
        <w:rPr>
          <w:vertAlign w:val="subscript"/>
        </w:rPr>
        <w:t>ref</w:t>
      </w:r>
      <w:proofErr w:type="spellEnd"/>
      <w:r>
        <w:t xml:space="preserve">, added with the internal standard solution, previously subjected to derivatization. Small-volume consecutive fractions were collected, evaporated, dissolved in 50 </w:t>
      </w:r>
      <w:proofErr w:type="spellStart"/>
      <w:r>
        <w:rPr>
          <w:rFonts w:ascii="Calibri" w:eastAsia="Calibri" w:hAnsi="Calibri" w:cs="Calibri"/>
        </w:rPr>
        <w:t>μ</w:t>
      </w:r>
      <w:r>
        <w:t>L</w:t>
      </w:r>
      <w:proofErr w:type="spellEnd"/>
      <w:r>
        <w:t xml:space="preserve"> of </w:t>
      </w:r>
      <w:r>
        <w:rPr>
          <w:rFonts w:ascii="Times New Roman" w:hAnsi="Times New Roman"/>
        </w:rPr>
        <w:t>n</w:t>
      </w:r>
      <w:r>
        <w:t>-hexane, and then subjected to fast GC-</w:t>
      </w:r>
      <w:proofErr w:type="spellStart"/>
      <w:r>
        <w:t>qMS</w:t>
      </w:r>
      <w:proofErr w:type="spellEnd"/>
      <w:r>
        <w:t xml:space="preserve"> analysis. No target analytes were detected in the </w:t>
      </w:r>
      <w:r>
        <w:rPr>
          <w:rFonts w:ascii="Calibri" w:eastAsia="Calibri" w:hAnsi="Calibri" w:cs="Calibri"/>
        </w:rPr>
        <w:t>fi</w:t>
      </w:r>
      <w:r>
        <w:t xml:space="preserve">rst 2 mL of </w:t>
      </w:r>
      <w:r>
        <w:rPr>
          <w:rFonts w:ascii="Times New Roman" w:hAnsi="Times New Roman"/>
        </w:rPr>
        <w:t>n</w:t>
      </w:r>
      <w:r>
        <w:t>-hexane (</w:t>
      </w:r>
      <w:r>
        <w:rPr>
          <w:color w:val="4D7897"/>
        </w:rPr>
        <w:t>Fig. 1</w:t>
      </w:r>
      <w:r>
        <w:t xml:space="preserve">). The compounds of interest were then eluted in the following fractions, up to 4.5 mL of </w:t>
      </w:r>
      <w:r>
        <w:rPr>
          <w:rFonts w:ascii="Times New Roman" w:hAnsi="Times New Roman"/>
        </w:rPr>
        <w:t>n</w:t>
      </w:r>
      <w:r>
        <w:t xml:space="preserve">-hexane/diethyl ether (99:1, </w:t>
      </w:r>
      <w:proofErr w:type="gramStart"/>
      <w:r>
        <w:rPr>
          <w:rFonts w:ascii="Times New Roman" w:hAnsi="Times New Roman"/>
        </w:rPr>
        <w:t>v:v</w:t>
      </w:r>
      <w:proofErr w:type="gramEnd"/>
      <w:r>
        <w:t>) (</w:t>
      </w:r>
      <w:r>
        <w:rPr>
          <w:color w:val="4D7897"/>
        </w:rPr>
        <w:t>Fig. 1</w:t>
      </w:r>
      <w:r>
        <w:t xml:space="preserve">), obtaining recoveries of over 96% (see </w:t>
      </w:r>
      <w:r>
        <w:rPr>
          <w:color w:val="4D7897"/>
        </w:rPr>
        <w:t xml:space="preserve">Section 3.3 </w:t>
      </w:r>
      <w:r>
        <w:t xml:space="preserve">for further discussion on the </w:t>
      </w:r>
      <w:r>
        <w:rPr>
          <w:rFonts w:ascii="Calibri" w:eastAsia="Calibri" w:hAnsi="Calibri" w:cs="Calibri"/>
        </w:rPr>
        <w:t>fi</w:t>
      </w:r>
      <w:r>
        <w:t>gure-of-merits of the method, evaluated in the GC×GC experiments).</w:t>
      </w:r>
    </w:p>
    <w:p w14:paraId="61339927" w14:textId="77777777" w:rsidR="00EB3E4D" w:rsidRDefault="00EB3E4D" w:rsidP="00EB3E4D">
      <w:pPr>
        <w:jc w:val="both"/>
      </w:pPr>
      <w:r>
        <w:t>Although traces of monoacylglycerols (MAGs) were present in the fraction of interest, they did not represent an issue, since they were under the form of TMS derivatives (no GC elution problems were observed) and did not co-elute with other compounds in the GC×GC separations.</w:t>
      </w:r>
    </w:p>
    <w:p w14:paraId="138745D0" w14:textId="77777777" w:rsidR="00EB3E4D" w:rsidRDefault="00EB3E4D" w:rsidP="00EB3E4D">
      <w:pPr>
        <w:jc w:val="center"/>
        <w:rPr>
          <w:lang w:val="en-GB"/>
        </w:rPr>
      </w:pPr>
    </w:p>
    <w:p w14:paraId="20B1689B" w14:textId="7EB1F3B4" w:rsidR="00EB3E4D" w:rsidRDefault="00EB3E4D" w:rsidP="00EB3E4D">
      <w:pPr>
        <w:jc w:val="center"/>
        <w:rPr>
          <w:lang w:val="en-GB"/>
        </w:rPr>
      </w:pPr>
      <w:r>
        <w:rPr>
          <w:noProof/>
        </w:rPr>
        <w:lastRenderedPageBreak/>
        <w:drawing>
          <wp:inline distT="0" distB="0" distL="0" distR="0" wp14:anchorId="58CE820E" wp14:editId="61D69A99">
            <wp:extent cx="5761990" cy="4460240"/>
            <wp:effectExtent l="0" t="0" r="0" b="0"/>
            <wp:docPr id="763233545" name="Picture 3" descr="A graph of different types of substan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33545" name="Picture 3" descr="A graph of different types of substanc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990" cy="4460240"/>
                    </a:xfrm>
                    <a:prstGeom prst="rect">
                      <a:avLst/>
                    </a:prstGeom>
                    <a:noFill/>
                    <a:ln>
                      <a:noFill/>
                    </a:ln>
                  </pic:spPr>
                </pic:pic>
              </a:graphicData>
            </a:graphic>
          </wp:inline>
        </w:drawing>
      </w:r>
    </w:p>
    <w:p w14:paraId="478DEB78" w14:textId="254EC4AF" w:rsidR="00EB3E4D" w:rsidRPr="001A584B" w:rsidRDefault="00EB3E4D" w:rsidP="00EB3E4D">
      <w:pPr>
        <w:rPr>
          <w:lang w:val="en-GB"/>
        </w:rPr>
      </w:pPr>
      <w:r w:rsidRPr="001A584B">
        <w:rPr>
          <w:lang w:val="en-GB"/>
        </w:rPr>
        <w:t xml:space="preserve">Fig. 1. </w:t>
      </w:r>
      <w:r>
        <w:t>Fast GC-</w:t>
      </w:r>
      <w:proofErr w:type="spellStart"/>
      <w:r>
        <w:t>qMS</w:t>
      </w:r>
      <w:proofErr w:type="spellEnd"/>
      <w:r>
        <w:t xml:space="preserve"> chromatogram relative to four di</w:t>
      </w:r>
      <w:r>
        <w:rPr>
          <w:rFonts w:ascii="Calibri" w:eastAsia="Calibri" w:hAnsi="Calibri" w:cs="Calibri"/>
        </w:rPr>
        <w:t>ff</w:t>
      </w:r>
      <w:r>
        <w:t>erent SPE fractions, eluted loading 30 mg of spiked derivatized hazelnut oil. The FAAE, sterol and wax elution windows are highlighted. Abbreviation: Me=methyl ester.</w:t>
      </w:r>
    </w:p>
    <w:p w14:paraId="781B5E16" w14:textId="2A8F2932" w:rsidR="00EB3E4D" w:rsidRDefault="00EB3E4D" w:rsidP="00EB3E4D">
      <w:pPr>
        <w:spacing w:after="220"/>
        <w:ind w:left="-15"/>
      </w:pPr>
    </w:p>
    <w:p w14:paraId="358C5419" w14:textId="0C3A0DF8" w:rsidR="00C626F6" w:rsidRDefault="00EB3E4D" w:rsidP="00020CA7">
      <w:pPr>
        <w:pStyle w:val="Heading2"/>
        <w:jc w:val="both"/>
      </w:pPr>
      <w:bookmarkStart w:id="3" w:name="3.1_Optimization_of_extraction_procedure"/>
      <w:bookmarkEnd w:id="3"/>
      <w:r w:rsidRPr="00EB3E4D">
        <w:t>FM GC×GC-</w:t>
      </w:r>
      <w:proofErr w:type="spellStart"/>
      <w:r w:rsidRPr="00EB3E4D">
        <w:t>qMS</w:t>
      </w:r>
      <w:proofErr w:type="spellEnd"/>
      <w:r w:rsidRPr="00EB3E4D">
        <w:t xml:space="preserve">/FID </w:t>
      </w:r>
      <w:r w:rsidRPr="00EB3E4D">
        <w:t>OPTIMIZATION</w:t>
      </w:r>
    </w:p>
    <w:p w14:paraId="11B4C3FD" w14:textId="77777777" w:rsidR="00C626F6" w:rsidRDefault="00C626F6" w:rsidP="00020CA7">
      <w:pPr>
        <w:jc w:val="both"/>
      </w:pPr>
    </w:p>
    <w:p w14:paraId="2E73E282" w14:textId="057D8C81" w:rsidR="00EB3E4D" w:rsidRDefault="00C626F6" w:rsidP="00EB3E4D">
      <w:pPr>
        <w:spacing w:after="3" w:line="267" w:lineRule="auto"/>
        <w:ind w:left="10" w:right="-14" w:hanging="10"/>
        <w:jc w:val="both"/>
      </w:pPr>
      <w:r>
        <w:t xml:space="preserve">     </w:t>
      </w:r>
      <w:r w:rsidR="00EB3E4D">
        <w:t>After optimization of the PP SPE step, attention was focused on FM GC×GC-</w:t>
      </w:r>
      <w:proofErr w:type="spellStart"/>
      <w:r w:rsidR="00EB3E4D">
        <w:t>qMS</w:t>
      </w:r>
      <w:proofErr w:type="spellEnd"/>
      <w:r w:rsidR="00EB3E4D">
        <w:t xml:space="preserve">/FID method development. A rather short apolar primary column (12.5 m × 0.25 mm ID × 0.25 µm </w:t>
      </w:r>
      <w:proofErr w:type="spellStart"/>
      <w:r w:rsidR="00EB3E4D">
        <w:rPr>
          <w:rFonts w:ascii="Times New Roman" w:hAnsi="Times New Roman"/>
        </w:rPr>
        <w:t>d</w:t>
      </w:r>
      <w:r w:rsidR="00EB3E4D">
        <w:rPr>
          <w:rFonts w:ascii="Times New Roman" w:hAnsi="Times New Roman"/>
          <w:vertAlign w:val="subscript"/>
        </w:rPr>
        <w:t>f</w:t>
      </w:r>
      <w:proofErr w:type="spellEnd"/>
      <w:r w:rsidR="00EB3E4D">
        <w:t xml:space="preserve">) was selected to enable the elution of high boiling-point components. An ID of 0.25 mm was preferred to one of 0.1 mm because of the higher sample </w:t>
      </w:r>
      <w:proofErr w:type="spellStart"/>
      <w:r w:rsidR="00EB3E4D">
        <w:t>loadability</w:t>
      </w:r>
      <w:proofErr w:type="spellEnd"/>
      <w:r w:rsidR="00EB3E4D">
        <w:t xml:space="preserve">. A mid-polarity 5 m × 0.25 mm ID × 0.25 µm </w:t>
      </w:r>
      <w:proofErr w:type="spellStart"/>
      <w:r w:rsidR="00EB3E4D">
        <w:rPr>
          <w:rFonts w:ascii="Times New Roman" w:hAnsi="Times New Roman"/>
        </w:rPr>
        <w:t>d</w:t>
      </w:r>
      <w:r w:rsidR="00EB3E4D">
        <w:rPr>
          <w:rFonts w:ascii="Times New Roman" w:hAnsi="Times New Roman"/>
          <w:vertAlign w:val="subscript"/>
        </w:rPr>
        <w:t>f</w:t>
      </w:r>
      <w:proofErr w:type="spellEnd"/>
      <w:r w:rsidR="00EB3E4D">
        <w:rPr>
          <w:rFonts w:ascii="Times New Roman" w:hAnsi="Times New Roman"/>
          <w:vertAlign w:val="subscript"/>
        </w:rPr>
        <w:t xml:space="preserve"> </w:t>
      </w:r>
      <w:r w:rsidR="00EB3E4D">
        <w:t>capillary, with high thermal stability (max. temperature: 350 °C), was used as second dimension. It is advisable to use longer secondary columns in FM experiments, compared to cryogenic-based ones, due to the lack of analyte re-concentration and, hence</w:t>
      </w:r>
      <w:proofErr w:type="gramStart"/>
      <w:r w:rsidR="00EB3E4D">
        <w:t>,</w:t>
      </w:r>
      <w:r w:rsidR="00EB3E4D">
        <w:t xml:space="preserve"> </w:t>
      </w:r>
      <w:r w:rsidR="00EB3E4D">
        <w:t>to</w:t>
      </w:r>
      <w:proofErr w:type="gramEnd"/>
      <w:r w:rsidR="00EB3E4D">
        <w:t xml:space="preserve"> the non-ideal second-dimension re-injection conditions. The 5 m length and 0.25 mm ID of the second column were a good compromise enabling both satisfactory e</w:t>
      </w:r>
      <w:r w:rsidR="00EB3E4D">
        <w:rPr>
          <w:rFonts w:ascii="Calibri" w:eastAsia="Calibri" w:hAnsi="Calibri" w:cs="Calibri"/>
        </w:rPr>
        <w:t>ffi</w:t>
      </w:r>
      <w:r w:rsidR="00EB3E4D">
        <w:t>ciency and non-excessive retention for the high boiling-point constituents. A positive o</w:t>
      </w:r>
      <w:r w:rsidR="00EB3E4D">
        <w:rPr>
          <w:rFonts w:ascii="Calibri" w:eastAsia="Calibri" w:hAnsi="Calibri" w:cs="Calibri"/>
        </w:rPr>
        <w:t>ff</w:t>
      </w:r>
      <w:r w:rsidR="00EB3E4D">
        <w:t xml:space="preserve">set of 9 °C was used in GC2, in the central part of the temperature program: after 4.5 min, GC1 and GC2 reached temperatures of 141 °C and 150 °C, respectively. From then onwards, the </w:t>
      </w:r>
      <w:r w:rsidR="00EB3E4D">
        <w:lastRenderedPageBreak/>
        <w:t xml:space="preserve">ovens were heated to 350 °C at 4 °C/min, and then maintained at the </w:t>
      </w:r>
      <w:r w:rsidR="00EB3E4D">
        <w:rPr>
          <w:rFonts w:ascii="Calibri" w:eastAsia="Calibri" w:hAnsi="Calibri" w:cs="Calibri"/>
        </w:rPr>
        <w:t>fi</w:t>
      </w:r>
      <w:r w:rsidR="00EB3E4D">
        <w:t>nal analysis temperature, as speci</w:t>
      </w:r>
      <w:r w:rsidR="00EB3E4D">
        <w:rPr>
          <w:rFonts w:ascii="Calibri" w:eastAsia="Calibri" w:hAnsi="Calibri" w:cs="Calibri"/>
        </w:rPr>
        <w:t>fi</w:t>
      </w:r>
      <w:r w:rsidR="00EB3E4D">
        <w:t xml:space="preserve">ed in </w:t>
      </w:r>
      <w:r w:rsidR="00EB3E4D">
        <w:rPr>
          <w:color w:val="4D7897"/>
        </w:rPr>
        <w:t>Section 2.3</w:t>
      </w:r>
      <w:r w:rsidR="00EB3E4D">
        <w:t>.</w:t>
      </w:r>
    </w:p>
    <w:p w14:paraId="2EC550DF" w14:textId="77777777" w:rsidR="00EB3E4D" w:rsidRDefault="00EB3E4D" w:rsidP="00EB3E4D">
      <w:pPr>
        <w:ind w:left="-15"/>
        <w:jc w:val="both"/>
      </w:pPr>
      <w:r>
        <w:t xml:space="preserve">The second analytical column was connected to two uncoated ones: 1.5 m × 0.18 mm ID and 0.7 m × 0.18 mm ID, them being linked to the </w:t>
      </w:r>
      <w:proofErr w:type="spellStart"/>
      <w:r>
        <w:t>qMS</w:t>
      </w:r>
      <w:proofErr w:type="spellEnd"/>
      <w:r>
        <w:t xml:space="preserve"> and FID systems, respectively. Constant gas </w:t>
      </w:r>
      <w:r>
        <w:rPr>
          <w:rFonts w:ascii="Calibri" w:eastAsia="Calibri" w:hAnsi="Calibri" w:cs="Calibri"/>
        </w:rPr>
        <w:t>fl</w:t>
      </w:r>
      <w:r>
        <w:t xml:space="preserve">ows were approx. 1.1 and 17.7 mL/min, in the </w:t>
      </w:r>
      <w:r>
        <w:rPr>
          <w:rFonts w:ascii="Calibri" w:eastAsia="Calibri" w:hAnsi="Calibri" w:cs="Calibri"/>
        </w:rPr>
        <w:t>fi</w:t>
      </w:r>
      <w:r>
        <w:t xml:space="preserve">rst and second dimension, respectively. Even though reduced FM gas </w:t>
      </w:r>
      <w:r>
        <w:rPr>
          <w:rFonts w:ascii="Calibri" w:eastAsia="Calibri" w:hAnsi="Calibri" w:cs="Calibri"/>
        </w:rPr>
        <w:t>fl</w:t>
      </w:r>
      <w:r>
        <w:t xml:space="preserve">ows have been used in recent work </w:t>
      </w:r>
      <w:r>
        <w:rPr>
          <w:color w:val="4D7897"/>
        </w:rPr>
        <w:t>[18]</w:t>
      </w:r>
      <w:r>
        <w:t xml:space="preserve">, such an approach was not herein applied because the second-dimension gas </w:t>
      </w:r>
      <w:r>
        <w:rPr>
          <w:rFonts w:ascii="Calibri" w:eastAsia="Calibri" w:hAnsi="Calibri" w:cs="Calibri"/>
        </w:rPr>
        <w:t>fl</w:t>
      </w:r>
      <w:r>
        <w:t>ow was split between two detectors: approx. 41</w:t>
      </w:r>
      <w:r>
        <w:rPr>
          <w:rFonts w:ascii="Calibri" w:eastAsia="Calibri" w:hAnsi="Calibri" w:cs="Calibri"/>
        </w:rPr>
        <w:t>–</w:t>
      </w:r>
      <w:r>
        <w:t>59% at the beginning (50 °C) and 35</w:t>
      </w:r>
      <w:r>
        <w:rPr>
          <w:rFonts w:ascii="Calibri" w:eastAsia="Calibri" w:hAnsi="Calibri" w:cs="Calibri"/>
        </w:rPr>
        <w:t>–</w:t>
      </w:r>
      <w:r>
        <w:t>65% (</w:t>
      </w:r>
      <w:proofErr w:type="spellStart"/>
      <w:r>
        <w:t>qMS</w:t>
      </w:r>
      <w:proofErr w:type="spellEnd"/>
      <w:r>
        <w:t xml:space="preserve">-FID) at the end (350 °C) of the analysis. The primary-column average linear velocity was about 12.1 and 12.8 cm/s at the beginning and at the end of the analysis, respectively. The secondary-column average linear velocity was about 260 and 308 cm/s at the beginning and at the end of the analysis, respectively. Modulation was performed every 4500 </w:t>
      </w:r>
      <w:proofErr w:type="spellStart"/>
      <w:r>
        <w:t>ms</w:t>
      </w:r>
      <w:proofErr w:type="spellEnd"/>
      <w:r>
        <w:t xml:space="preserve"> (</w:t>
      </w:r>
      <w:r>
        <w:rPr>
          <w:rFonts w:ascii="Calibri" w:eastAsia="Calibri" w:hAnsi="Calibri" w:cs="Calibri"/>
        </w:rPr>
        <w:t>fl</w:t>
      </w:r>
      <w:r>
        <w:t xml:space="preserve">ushing period: 500 </w:t>
      </w:r>
      <w:proofErr w:type="spellStart"/>
      <w:r>
        <w:t>ms</w:t>
      </w:r>
      <w:proofErr w:type="spellEnd"/>
      <w:r>
        <w:t>).</w:t>
      </w:r>
    </w:p>
    <w:p w14:paraId="62BC44F7" w14:textId="77777777" w:rsidR="00EB3E4D" w:rsidRDefault="00EB3E4D" w:rsidP="00EB3E4D">
      <w:pPr>
        <w:ind w:left="-15"/>
        <w:jc w:val="both"/>
      </w:pPr>
      <w:r>
        <w:t>An FM GC×GC-FID chromatogram of the forti</w:t>
      </w:r>
      <w:r>
        <w:rPr>
          <w:rFonts w:ascii="Calibri" w:eastAsia="Calibri" w:hAnsi="Calibri" w:cs="Calibri"/>
        </w:rPr>
        <w:t>fi</w:t>
      </w:r>
      <w:r>
        <w:t xml:space="preserve">ed HO is shown in </w:t>
      </w:r>
      <w:r>
        <w:rPr>
          <w:color w:val="4D7897"/>
        </w:rPr>
        <w:t>Fig. 2</w:t>
      </w:r>
      <w:r>
        <w:t>; as can be readily seen, and in the following elution order, FAAEs, free sterols (as TMS derivatives), and waxes, are all located in speci</w:t>
      </w:r>
      <w:r>
        <w:rPr>
          <w:rFonts w:ascii="Calibri" w:eastAsia="Calibri" w:hAnsi="Calibri" w:cs="Calibri"/>
        </w:rPr>
        <w:t>fi</w:t>
      </w:r>
      <w:r>
        <w:t>c zones of the 2D plane.</w:t>
      </w:r>
    </w:p>
    <w:p w14:paraId="648ADF0F" w14:textId="0AE9BB87" w:rsidR="00EB3E4D" w:rsidRDefault="00EB3E4D" w:rsidP="00EB3E4D">
      <w:pPr>
        <w:spacing w:after="213"/>
        <w:ind w:left="-15"/>
        <w:jc w:val="both"/>
      </w:pPr>
      <w:r>
        <w:t xml:space="preserve">Although the waxes are rather broadened (and </w:t>
      </w:r>
      <w:proofErr w:type="gramStart"/>
      <w:r>
        <w:t>wrapped-around</w:t>
      </w:r>
      <w:proofErr w:type="gramEnd"/>
      <w:r>
        <w:t>),</w:t>
      </w:r>
      <w:r w:rsidRPr="00EB3E4D">
        <w:t xml:space="preserve"> </w:t>
      </w:r>
      <w:r>
        <w:t>since their elution was in the isothermal zone of the chromatogram, reliable identi</w:t>
      </w:r>
      <w:r>
        <w:rPr>
          <w:rFonts w:ascii="Calibri" w:eastAsia="Calibri" w:hAnsi="Calibri" w:cs="Calibri"/>
        </w:rPr>
        <w:t>fi</w:t>
      </w:r>
      <w:r>
        <w:t>cation and quanti</w:t>
      </w:r>
      <w:r>
        <w:rPr>
          <w:rFonts w:ascii="Calibri" w:eastAsia="Calibri" w:hAnsi="Calibri" w:cs="Calibri"/>
        </w:rPr>
        <w:t>fi</w:t>
      </w:r>
      <w:r>
        <w:t>cation was possible up to C</w:t>
      </w:r>
      <w:r>
        <w:rPr>
          <w:vertAlign w:val="subscript"/>
        </w:rPr>
        <w:t xml:space="preserve">46 </w:t>
      </w:r>
      <w:r>
        <w:t>(C</w:t>
      </w:r>
      <w:r>
        <w:rPr>
          <w:vertAlign w:val="subscript"/>
        </w:rPr>
        <w:t>28:0</w:t>
      </w:r>
      <w:r>
        <w:t>C</w:t>
      </w:r>
      <w:r>
        <w:rPr>
          <w:vertAlign w:val="subscript"/>
        </w:rPr>
        <w:t>18:1</w:t>
      </w:r>
      <w:r>
        <w:t>).</w:t>
      </w:r>
    </w:p>
    <w:p w14:paraId="6BAE9C48" w14:textId="3E9C3D55" w:rsidR="00EB3E4D" w:rsidRDefault="00EB3E4D" w:rsidP="00EB3E4D">
      <w:pPr>
        <w:spacing w:after="3" w:line="267" w:lineRule="auto"/>
        <w:ind w:left="10" w:right="-14" w:hanging="10"/>
        <w:jc w:val="right"/>
      </w:pPr>
    </w:p>
    <w:p w14:paraId="37209B15" w14:textId="24AE6D38" w:rsidR="00EB3E4D" w:rsidRDefault="00EB3E4D" w:rsidP="00020CA7">
      <w:pPr>
        <w:jc w:val="both"/>
      </w:pPr>
    </w:p>
    <w:p w14:paraId="7C4D8BF5" w14:textId="7E58635A" w:rsidR="001A584B" w:rsidRDefault="00EB3E4D" w:rsidP="001A584B">
      <w:pPr>
        <w:jc w:val="center"/>
        <w:rPr>
          <w:lang w:val="en-GB"/>
        </w:rPr>
      </w:pPr>
      <w:r>
        <w:rPr>
          <w:noProof/>
        </w:rPr>
        <w:drawing>
          <wp:inline distT="0" distB="0" distL="0" distR="0" wp14:anchorId="1FE86ECE" wp14:editId="37E9862E">
            <wp:extent cx="4532377" cy="3398521"/>
            <wp:effectExtent l="0" t="0" r="0" b="0"/>
            <wp:docPr id="20466" name="Picture 20466" descr="A close-up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0466" name="Picture 20466" descr="A close-up of a graph&#10;&#10;AI-generated content may be incorrect."/>
                    <pic:cNvPicPr/>
                  </pic:nvPicPr>
                  <pic:blipFill>
                    <a:blip r:embed="rId10"/>
                    <a:stretch>
                      <a:fillRect/>
                    </a:stretch>
                  </pic:blipFill>
                  <pic:spPr>
                    <a:xfrm>
                      <a:off x="0" y="0"/>
                      <a:ext cx="4532377" cy="3398521"/>
                    </a:xfrm>
                    <a:prstGeom prst="rect">
                      <a:avLst/>
                    </a:prstGeom>
                  </pic:spPr>
                </pic:pic>
              </a:graphicData>
            </a:graphic>
          </wp:inline>
        </w:drawing>
      </w:r>
    </w:p>
    <w:p w14:paraId="60559B6C" w14:textId="6663F922" w:rsidR="000F4F69" w:rsidRDefault="001A584B" w:rsidP="001A584B">
      <w:pPr>
        <w:jc w:val="center"/>
        <w:rPr>
          <w:lang w:val="en-GB"/>
        </w:rPr>
      </w:pPr>
      <w:r w:rsidRPr="001A584B">
        <w:rPr>
          <w:lang w:val="en-GB"/>
        </w:rPr>
        <w:t xml:space="preserve">Fig. </w:t>
      </w:r>
      <w:r w:rsidR="004C2310">
        <w:rPr>
          <w:lang w:val="en-GB"/>
        </w:rPr>
        <w:t>2</w:t>
      </w:r>
      <w:r w:rsidRPr="001A584B">
        <w:rPr>
          <w:lang w:val="en-GB"/>
        </w:rPr>
        <w:t xml:space="preserve">. </w:t>
      </w:r>
      <w:r w:rsidR="00EB3E4D" w:rsidRPr="00EB3E4D">
        <w:rPr>
          <w:lang w:val="en-GB"/>
        </w:rPr>
        <w:t>FM GC×GC-FID chromatogram of the spiked hazelnut oil. Abbreviation: Et=ethyl ester.</w:t>
      </w:r>
    </w:p>
    <w:p w14:paraId="75528358" w14:textId="77777777" w:rsidR="00EB3E4D" w:rsidRDefault="00EB3E4D" w:rsidP="001A584B">
      <w:pPr>
        <w:jc w:val="center"/>
        <w:rPr>
          <w:lang w:val="en-GB"/>
        </w:rPr>
      </w:pPr>
    </w:p>
    <w:p w14:paraId="1E91CD8A" w14:textId="77777777" w:rsidR="00560D64" w:rsidRPr="001A584B" w:rsidRDefault="00560D64" w:rsidP="001A584B">
      <w:pPr>
        <w:jc w:val="center"/>
        <w:rPr>
          <w:lang w:val="en-GB"/>
        </w:rPr>
      </w:pPr>
    </w:p>
    <w:p w14:paraId="4F3862CA" w14:textId="24F5DA16" w:rsidR="000F4F69" w:rsidRDefault="00EB3E4D" w:rsidP="00020CA7">
      <w:pPr>
        <w:pStyle w:val="Heading2"/>
        <w:ind w:firstLine="43"/>
        <w:jc w:val="both"/>
      </w:pPr>
      <w:r>
        <w:lastRenderedPageBreak/>
        <w:t>FIGURES-OF-MERIT</w:t>
      </w:r>
    </w:p>
    <w:p w14:paraId="567CEF63" w14:textId="77777777" w:rsidR="00EB3E4D" w:rsidRDefault="00EB3E4D" w:rsidP="00EB3E4D">
      <w:pPr>
        <w:ind w:left="-15"/>
      </w:pPr>
      <w:r>
        <w:t>Performance evaluation of the proposed PP SPE FM GC×GC method was evaluated in terms of discrimination, repeatability, and recovery. Such tests were carried out on the GC×GC system, using the FID signals.</w:t>
      </w:r>
    </w:p>
    <w:p w14:paraId="11F89863" w14:textId="77777777" w:rsidR="00EB3E4D" w:rsidRDefault="00EB3E4D" w:rsidP="00EB3E4D">
      <w:pPr>
        <w:ind w:left="-15"/>
      </w:pPr>
      <w:r>
        <w:t xml:space="preserve">A mixture of equal molarity </w:t>
      </w:r>
      <w:r>
        <w:rPr>
          <w:rFonts w:ascii="Times New Roman" w:hAnsi="Times New Roman"/>
        </w:rPr>
        <w:t>n</w:t>
      </w:r>
      <w:r>
        <w:t>-alkanes (C</w:t>
      </w:r>
      <w:r>
        <w:rPr>
          <w:vertAlign w:val="subscript"/>
        </w:rPr>
        <w:t>7</w:t>
      </w:r>
      <w:r>
        <w:rPr>
          <w:rFonts w:ascii="Calibri" w:eastAsia="Calibri" w:hAnsi="Calibri" w:cs="Calibri"/>
          <w:vertAlign w:val="subscript"/>
        </w:rPr>
        <w:t>–</w:t>
      </w:r>
      <w:r>
        <w:rPr>
          <w:vertAlign w:val="subscript"/>
        </w:rPr>
        <w:t>40</w:t>
      </w:r>
      <w:r>
        <w:t>), was analyzed and the area variability within the entire range of alkanes was evaluated as an indicator of the molecular weight discrimination occurrence; an acceptable coe</w:t>
      </w:r>
      <w:r>
        <w:rPr>
          <w:rFonts w:ascii="Calibri" w:eastAsia="Calibri" w:hAnsi="Calibri" w:cs="Calibri"/>
        </w:rPr>
        <w:t>ffi</w:t>
      </w:r>
      <w:r>
        <w:t>cient of variation (CV%) value of 10.8% was obtained. This trial was performed in triplicate.</w:t>
      </w:r>
    </w:p>
    <w:p w14:paraId="08FAD0BB" w14:textId="77777777" w:rsidR="00EB3E4D" w:rsidRDefault="00EB3E4D" w:rsidP="00EB3E4D">
      <w:pPr>
        <w:ind w:left="-15"/>
      </w:pPr>
      <w:r>
        <w:t xml:space="preserve">Intra- and inter-day </w:t>
      </w:r>
      <w:proofErr w:type="spellStart"/>
      <w:r>
        <w:t>repeatabilities</w:t>
      </w:r>
      <w:proofErr w:type="spellEnd"/>
      <w:r>
        <w:t xml:space="preserve"> were calculated by analyzing the spiked HO sample, performing six independent measurements on two di</w:t>
      </w:r>
      <w:r>
        <w:rPr>
          <w:rFonts w:ascii="Calibri" w:eastAsia="Calibri" w:hAnsi="Calibri" w:cs="Calibri"/>
        </w:rPr>
        <w:t>ff</w:t>
      </w:r>
      <w:r>
        <w:t>erent days (three replicates per day) and using di</w:t>
      </w:r>
      <w:r>
        <w:rPr>
          <w:rFonts w:ascii="Calibri" w:eastAsia="Calibri" w:hAnsi="Calibri" w:cs="Calibri"/>
        </w:rPr>
        <w:t>ff</w:t>
      </w:r>
      <w:r>
        <w:t>erent Pasteur pipettes. Intra-day CV% values in the 2.0</w:t>
      </w:r>
      <w:r>
        <w:rPr>
          <w:rFonts w:ascii="Calibri" w:eastAsia="Calibri" w:hAnsi="Calibri" w:cs="Calibri"/>
        </w:rPr>
        <w:t>–</w:t>
      </w:r>
      <w:r>
        <w:t>13.2% and in the 2.3</w:t>
      </w:r>
      <w:r>
        <w:rPr>
          <w:rFonts w:ascii="Calibri" w:eastAsia="Calibri" w:hAnsi="Calibri" w:cs="Calibri"/>
        </w:rPr>
        <w:t>–</w:t>
      </w:r>
      <w:r>
        <w:t>7.6% ranges were found for FAAEs and waxes, respectively. Inter-day CV% results were in the 2.6</w:t>
      </w:r>
      <w:r>
        <w:rPr>
          <w:rFonts w:ascii="Calibri" w:eastAsia="Calibri" w:hAnsi="Calibri" w:cs="Calibri"/>
        </w:rPr>
        <w:t>–</w:t>
      </w:r>
      <w:r>
        <w:t>11.3% and in the 2.4</w:t>
      </w:r>
      <w:r>
        <w:rPr>
          <w:rFonts w:ascii="Calibri" w:eastAsia="Calibri" w:hAnsi="Calibri" w:cs="Calibri"/>
        </w:rPr>
        <w:t>–</w:t>
      </w:r>
      <w:r>
        <w:t xml:space="preserve">6.2% ranges, for FAAEs and waxes, respectively. Considering the sum of each class, CV% values of maximum 4.5% were calculated, both for intra- and inter-day analysis. In the previous work described by Purcaro and co-workers </w:t>
      </w:r>
      <w:r>
        <w:rPr>
          <w:color w:val="4D7897"/>
        </w:rPr>
        <w:t xml:space="preserve">[10] </w:t>
      </w:r>
      <w:r>
        <w:t>a repeatability of less than 7% was obtained for both FAAEs and waxes.</w:t>
      </w:r>
    </w:p>
    <w:p w14:paraId="19264358" w14:textId="77777777" w:rsidR="00EB3E4D" w:rsidRDefault="00EB3E4D" w:rsidP="00EB3E4D">
      <w:pPr>
        <w:ind w:left="-15"/>
      </w:pPr>
      <w:r>
        <w:t>Recoveries were assessed by considering the di</w:t>
      </w:r>
      <w:r>
        <w:rPr>
          <w:rFonts w:ascii="Calibri" w:eastAsia="Calibri" w:hAnsi="Calibri" w:cs="Calibri"/>
        </w:rPr>
        <w:t>ff</w:t>
      </w:r>
      <w:r>
        <w:t>erence between the spiking concentrations of FAAEs (78.8 mg/kg) and waxes (325 mg/kg), and those determined experimentally. Speci</w:t>
      </w:r>
      <w:r>
        <w:rPr>
          <w:rFonts w:ascii="Calibri" w:eastAsia="Calibri" w:hAnsi="Calibri" w:cs="Calibri"/>
        </w:rPr>
        <w:t>fi</w:t>
      </w:r>
      <w:r>
        <w:t xml:space="preserve">cally, the experimental values determined for </w:t>
      </w:r>
      <w:proofErr w:type="gramStart"/>
      <w:r>
        <w:t>FAAEs</w:t>
      </w:r>
      <w:proofErr w:type="gramEnd"/>
      <w:r>
        <w:t xml:space="preserve"> and waxes were 78.6 mg/kg and</w:t>
      </w:r>
    </w:p>
    <w:p w14:paraId="6BF23D4A" w14:textId="77777777" w:rsidR="00EB3E4D" w:rsidRDefault="00EB3E4D" w:rsidP="00EB3E4D">
      <w:pPr>
        <w:ind w:left="-15"/>
      </w:pPr>
      <w:r>
        <w:t>313.9 mg/kg, respectively, corresponding to recovery values of 99.8% and 96.6% (</w:t>
      </w:r>
      <w:r>
        <w:rPr>
          <w:color w:val="4D7897"/>
        </w:rPr>
        <w:t>Table 1</w:t>
      </w:r>
      <w:r>
        <w:t>). These values correspond to a trueness (deviation determined from the di</w:t>
      </w:r>
      <w:r>
        <w:rPr>
          <w:rFonts w:ascii="Calibri" w:eastAsia="Calibri" w:hAnsi="Calibri" w:cs="Calibri"/>
        </w:rPr>
        <w:t>ff</w:t>
      </w:r>
      <w:r>
        <w:t>erence between the observed and the expected value and expressed as relative error) of less than 3.4% for both FAAEs and waxes, which are comparable with the results reported previously</w:t>
      </w:r>
    </w:p>
    <w:p w14:paraId="4726342C" w14:textId="77777777" w:rsidR="00EB3E4D" w:rsidRDefault="00EB3E4D" w:rsidP="00EB3E4D">
      <w:pPr>
        <w:spacing w:after="10" w:line="259" w:lineRule="auto"/>
      </w:pPr>
      <w:r>
        <w:rPr>
          <w:color w:val="4D7897"/>
        </w:rPr>
        <w:t>[10]</w:t>
      </w:r>
      <w:r>
        <w:t>.</w:t>
      </w:r>
    </w:p>
    <w:p w14:paraId="70586D5B" w14:textId="77777777" w:rsidR="00EB3E4D" w:rsidRDefault="00EB3E4D" w:rsidP="00EB3E4D">
      <w:pPr>
        <w:spacing w:after="389"/>
        <w:ind w:left="-15"/>
      </w:pPr>
      <w:r>
        <w:t>Considering a signal-to-noise ratio (S/N) of 10, limits of quanti</w:t>
      </w:r>
      <w:r>
        <w:rPr>
          <w:rFonts w:ascii="Calibri" w:eastAsia="Calibri" w:hAnsi="Calibri" w:cs="Calibri"/>
        </w:rPr>
        <w:t>fi</w:t>
      </w:r>
      <w:r>
        <w:t>cation (LOQ) were estimated from the FID trace and calculated for the 4</w:t>
      </w:r>
      <w:r>
        <w:t xml:space="preserve"> </w:t>
      </w:r>
      <w:r>
        <w:t xml:space="preserve">ISs. The extrapolated LOQs values for </w:t>
      </w:r>
      <w:proofErr w:type="gramStart"/>
      <w:r>
        <w:t>heptadecanoic acid</w:t>
      </w:r>
      <w:proofErr w:type="gramEnd"/>
      <w:r>
        <w:t xml:space="preserve"> methyl ester, dodecyl </w:t>
      </w:r>
      <w:proofErr w:type="spellStart"/>
      <w:r>
        <w:t>arachidate</w:t>
      </w:r>
      <w:proofErr w:type="spellEnd"/>
      <w:r>
        <w:t xml:space="preserve">, </w:t>
      </w:r>
      <w:r>
        <w:rPr>
          <w:rFonts w:ascii="Calibri" w:eastAsia="Calibri" w:hAnsi="Calibri" w:cs="Calibri"/>
        </w:rPr>
        <w:t>α</w:t>
      </w:r>
      <w:r>
        <w:t>-cholestanol and 1-eicosanol were 0.13, 0.6, 0.1 and 0.1 mg/kg, respectively.</w:t>
      </w:r>
    </w:p>
    <w:p w14:paraId="387D9550" w14:textId="7B2BFEB0" w:rsidR="00EB3E4D" w:rsidRPr="00EB3E4D" w:rsidRDefault="00EB3E4D" w:rsidP="00EB3E4D">
      <w:pPr>
        <w:jc w:val="center"/>
        <w:rPr>
          <w:lang w:val="en-GB"/>
        </w:rPr>
      </w:pPr>
      <w:r>
        <w:rPr>
          <w:lang w:val="en-GB"/>
        </w:rPr>
        <w:t>Table</w:t>
      </w:r>
      <w:r w:rsidRPr="001A584B">
        <w:rPr>
          <w:lang w:val="en-GB"/>
        </w:rPr>
        <w:t xml:space="preserve">. 1. </w:t>
      </w:r>
      <w:r w:rsidRPr="00EB3E4D">
        <w:rPr>
          <w:lang w:val="en-GB"/>
        </w:rPr>
        <w:t>Figure-of-merits of the proposed PP SPE FM GC×GC-</w:t>
      </w:r>
      <w:proofErr w:type="spellStart"/>
      <w:r w:rsidRPr="00EB3E4D">
        <w:rPr>
          <w:lang w:val="en-GB"/>
        </w:rPr>
        <w:t>qMS</w:t>
      </w:r>
      <w:proofErr w:type="spellEnd"/>
      <w:r w:rsidRPr="00EB3E4D">
        <w:rPr>
          <w:lang w:val="en-GB"/>
        </w:rPr>
        <w:t>/FID method calculated by</w:t>
      </w:r>
    </w:p>
    <w:p w14:paraId="75FFDBD9" w14:textId="44D60038" w:rsidR="00EB3E4D" w:rsidRPr="00EB3E4D" w:rsidRDefault="00EB3E4D" w:rsidP="00EB3E4D">
      <w:pPr>
        <w:jc w:val="center"/>
        <w:rPr>
          <w:lang w:val="en-GB"/>
        </w:rPr>
      </w:pPr>
      <w:proofErr w:type="spellStart"/>
      <w:r w:rsidRPr="00EB3E4D">
        <w:rPr>
          <w:lang w:val="en-GB"/>
        </w:rPr>
        <w:t>analyzing</w:t>
      </w:r>
      <w:proofErr w:type="spellEnd"/>
      <w:r w:rsidRPr="00EB3E4D">
        <w:rPr>
          <w:lang w:val="en-GB"/>
        </w:rPr>
        <w:t xml:space="preserve"> the spiked hazelnut oil. Abbreviation: SD=standard deviation</w:t>
      </w:r>
    </w:p>
    <w:tbl>
      <w:tblPr>
        <w:tblStyle w:val="TableGrid0"/>
        <w:tblW w:w="5000" w:type="pct"/>
        <w:tblInd w:w="0" w:type="dxa"/>
        <w:tblCellMar>
          <w:top w:w="17" w:type="dxa"/>
          <w:left w:w="0" w:type="dxa"/>
          <w:bottom w:w="22" w:type="dxa"/>
          <w:right w:w="115" w:type="dxa"/>
        </w:tblCellMar>
        <w:tblLook w:val="04A0" w:firstRow="1" w:lastRow="0" w:firstColumn="1" w:lastColumn="0" w:noHBand="0" w:noVBand="1"/>
      </w:tblPr>
      <w:tblGrid>
        <w:gridCol w:w="1749"/>
        <w:gridCol w:w="1362"/>
        <w:gridCol w:w="766"/>
        <w:gridCol w:w="1889"/>
        <w:gridCol w:w="1569"/>
        <w:gridCol w:w="1854"/>
      </w:tblGrid>
      <w:tr w:rsidR="00EB3E4D" w14:paraId="1CCB3110" w14:textId="77777777" w:rsidTr="00EB3E4D">
        <w:trPr>
          <w:trHeight w:val="500"/>
        </w:trPr>
        <w:tc>
          <w:tcPr>
            <w:tcW w:w="951" w:type="pct"/>
            <w:tcBorders>
              <w:top w:val="single" w:sz="4" w:space="0" w:color="000000"/>
              <w:left w:val="nil"/>
              <w:bottom w:val="single" w:sz="4" w:space="0" w:color="000000"/>
              <w:right w:val="nil"/>
            </w:tcBorders>
          </w:tcPr>
          <w:p w14:paraId="28B05101" w14:textId="77777777" w:rsidR="00EB3E4D" w:rsidRDefault="00EB3E4D" w:rsidP="00EB3E4D">
            <w:r>
              <w:rPr>
                <w:rFonts w:eastAsia="Calibri"/>
              </w:rPr>
              <w:t>Analyte</w:t>
            </w:r>
          </w:p>
        </w:tc>
        <w:tc>
          <w:tcPr>
            <w:tcW w:w="741" w:type="pct"/>
            <w:tcBorders>
              <w:top w:val="single" w:sz="4" w:space="0" w:color="000000"/>
              <w:left w:val="nil"/>
              <w:bottom w:val="single" w:sz="4" w:space="0" w:color="000000"/>
              <w:right w:val="nil"/>
            </w:tcBorders>
          </w:tcPr>
          <w:p w14:paraId="0F2061D1" w14:textId="77777777" w:rsidR="00EB3E4D" w:rsidRDefault="00EB3E4D" w:rsidP="00EB3E4D">
            <w:r>
              <w:rPr>
                <w:rFonts w:eastAsia="Calibri"/>
              </w:rPr>
              <w:t>mg/kg</w:t>
            </w:r>
          </w:p>
          <w:p w14:paraId="68554938" w14:textId="77777777" w:rsidR="00EB3E4D" w:rsidRDefault="00EB3E4D" w:rsidP="00EB3E4D">
            <w:r>
              <w:rPr>
                <w:rFonts w:eastAsia="Calibri"/>
              </w:rPr>
              <w:t>(n=3)</w:t>
            </w:r>
          </w:p>
        </w:tc>
        <w:tc>
          <w:tcPr>
            <w:tcW w:w="417" w:type="pct"/>
            <w:tcBorders>
              <w:top w:val="single" w:sz="4" w:space="0" w:color="000000"/>
              <w:left w:val="nil"/>
              <w:bottom w:val="single" w:sz="4" w:space="0" w:color="000000"/>
              <w:right w:val="nil"/>
            </w:tcBorders>
          </w:tcPr>
          <w:p w14:paraId="2AE6CF53" w14:textId="77777777" w:rsidR="00EB3E4D" w:rsidRDefault="00EB3E4D" w:rsidP="00EB3E4D">
            <w:r>
              <w:rPr>
                <w:rFonts w:eastAsia="Calibri"/>
              </w:rPr>
              <w:t>SD</w:t>
            </w:r>
          </w:p>
        </w:tc>
        <w:tc>
          <w:tcPr>
            <w:tcW w:w="1028" w:type="pct"/>
            <w:tcBorders>
              <w:top w:val="single" w:sz="4" w:space="0" w:color="000000"/>
              <w:left w:val="nil"/>
              <w:bottom w:val="single" w:sz="4" w:space="0" w:color="000000"/>
              <w:right w:val="nil"/>
            </w:tcBorders>
          </w:tcPr>
          <w:p w14:paraId="73AC5ECB" w14:textId="77777777" w:rsidR="00EB3E4D" w:rsidRDefault="00EB3E4D" w:rsidP="00EB3E4D">
            <w:r>
              <w:rPr>
                <w:rFonts w:eastAsia="Calibri"/>
              </w:rPr>
              <w:t>Recovery (%)</w:t>
            </w:r>
          </w:p>
        </w:tc>
        <w:tc>
          <w:tcPr>
            <w:tcW w:w="854" w:type="pct"/>
            <w:tcBorders>
              <w:top w:val="single" w:sz="4" w:space="0" w:color="000000"/>
              <w:left w:val="nil"/>
              <w:bottom w:val="single" w:sz="4" w:space="0" w:color="000000"/>
              <w:right w:val="nil"/>
            </w:tcBorders>
          </w:tcPr>
          <w:p w14:paraId="36BD8211" w14:textId="77777777" w:rsidR="00EB3E4D" w:rsidRDefault="00EB3E4D" w:rsidP="00EB3E4D">
            <w:r>
              <w:rPr>
                <w:rFonts w:eastAsia="Calibri"/>
              </w:rPr>
              <w:t>Intra-day</w:t>
            </w:r>
          </w:p>
          <w:p w14:paraId="1F338472" w14:textId="77777777" w:rsidR="00EB3E4D" w:rsidRDefault="00EB3E4D" w:rsidP="00EB3E4D">
            <w:r>
              <w:rPr>
                <w:rFonts w:eastAsia="Calibri"/>
              </w:rPr>
              <w:t>CV% (n=3)</w:t>
            </w:r>
          </w:p>
        </w:tc>
        <w:tc>
          <w:tcPr>
            <w:tcW w:w="1009" w:type="pct"/>
            <w:tcBorders>
              <w:top w:val="single" w:sz="4" w:space="0" w:color="000000"/>
              <w:left w:val="nil"/>
              <w:bottom w:val="single" w:sz="4" w:space="0" w:color="000000"/>
              <w:right w:val="nil"/>
            </w:tcBorders>
          </w:tcPr>
          <w:p w14:paraId="166CBAB8" w14:textId="77777777" w:rsidR="00EB3E4D" w:rsidRDefault="00EB3E4D" w:rsidP="00EB3E4D">
            <w:r>
              <w:rPr>
                <w:rFonts w:eastAsia="Calibri"/>
              </w:rPr>
              <w:t>Inter-day</w:t>
            </w:r>
          </w:p>
          <w:p w14:paraId="6443EC40" w14:textId="77777777" w:rsidR="00EB3E4D" w:rsidRDefault="00EB3E4D" w:rsidP="00EB3E4D">
            <w:r>
              <w:rPr>
                <w:rFonts w:eastAsia="Calibri"/>
              </w:rPr>
              <w:t>CV% (n=6)</w:t>
            </w:r>
          </w:p>
        </w:tc>
      </w:tr>
      <w:tr w:rsidR="00EB3E4D" w14:paraId="2E43C638" w14:textId="77777777" w:rsidTr="00EB3E4D">
        <w:trPr>
          <w:trHeight w:val="268"/>
        </w:trPr>
        <w:tc>
          <w:tcPr>
            <w:tcW w:w="951" w:type="pct"/>
            <w:tcBorders>
              <w:top w:val="single" w:sz="4" w:space="0" w:color="000000"/>
              <w:left w:val="nil"/>
              <w:bottom w:val="nil"/>
              <w:right w:val="nil"/>
            </w:tcBorders>
            <w:vAlign w:val="bottom"/>
          </w:tcPr>
          <w:p w14:paraId="3A25F62C" w14:textId="77777777" w:rsidR="00EB3E4D" w:rsidRDefault="00EB3E4D" w:rsidP="00EB3E4D">
            <w:r>
              <w:t>C</w:t>
            </w:r>
            <w:r>
              <w:rPr>
                <w:vertAlign w:val="subscript"/>
              </w:rPr>
              <w:t>16:0</w:t>
            </w:r>
            <w:r>
              <w:t>, Me</w:t>
            </w:r>
          </w:p>
        </w:tc>
        <w:tc>
          <w:tcPr>
            <w:tcW w:w="741" w:type="pct"/>
            <w:tcBorders>
              <w:top w:val="single" w:sz="4" w:space="0" w:color="000000"/>
              <w:left w:val="nil"/>
              <w:bottom w:val="nil"/>
              <w:right w:val="nil"/>
            </w:tcBorders>
          </w:tcPr>
          <w:p w14:paraId="5D61DB23" w14:textId="77777777" w:rsidR="00EB3E4D" w:rsidRDefault="00EB3E4D" w:rsidP="00EB3E4D">
            <w:r>
              <w:t>11.3</w:t>
            </w:r>
          </w:p>
        </w:tc>
        <w:tc>
          <w:tcPr>
            <w:tcW w:w="417" w:type="pct"/>
            <w:tcBorders>
              <w:top w:val="single" w:sz="4" w:space="0" w:color="000000"/>
              <w:left w:val="nil"/>
              <w:bottom w:val="nil"/>
              <w:right w:val="nil"/>
            </w:tcBorders>
          </w:tcPr>
          <w:p w14:paraId="0E20AFCD" w14:textId="77777777" w:rsidR="00EB3E4D" w:rsidRDefault="00EB3E4D" w:rsidP="00EB3E4D">
            <w:r>
              <w:t>0.2</w:t>
            </w:r>
          </w:p>
        </w:tc>
        <w:tc>
          <w:tcPr>
            <w:tcW w:w="1028" w:type="pct"/>
            <w:tcBorders>
              <w:top w:val="single" w:sz="4" w:space="0" w:color="000000"/>
              <w:left w:val="nil"/>
              <w:bottom w:val="nil"/>
              <w:right w:val="nil"/>
            </w:tcBorders>
          </w:tcPr>
          <w:p w14:paraId="1704F609" w14:textId="77777777" w:rsidR="00EB3E4D" w:rsidRDefault="00EB3E4D" w:rsidP="00EB3E4D"/>
        </w:tc>
        <w:tc>
          <w:tcPr>
            <w:tcW w:w="854" w:type="pct"/>
            <w:tcBorders>
              <w:top w:val="single" w:sz="4" w:space="0" w:color="000000"/>
              <w:left w:val="nil"/>
              <w:bottom w:val="nil"/>
              <w:right w:val="nil"/>
            </w:tcBorders>
          </w:tcPr>
          <w:p w14:paraId="345F7157" w14:textId="77777777" w:rsidR="00EB3E4D" w:rsidRDefault="00EB3E4D" w:rsidP="00EB3E4D">
            <w:r>
              <w:t>2.0</w:t>
            </w:r>
          </w:p>
        </w:tc>
        <w:tc>
          <w:tcPr>
            <w:tcW w:w="1009" w:type="pct"/>
            <w:tcBorders>
              <w:top w:val="single" w:sz="4" w:space="0" w:color="000000"/>
              <w:left w:val="nil"/>
              <w:bottom w:val="nil"/>
              <w:right w:val="nil"/>
            </w:tcBorders>
          </w:tcPr>
          <w:p w14:paraId="4C8BE7AD" w14:textId="77777777" w:rsidR="00EB3E4D" w:rsidRDefault="00EB3E4D" w:rsidP="00EB3E4D">
            <w:r>
              <w:t>2.6</w:t>
            </w:r>
          </w:p>
        </w:tc>
      </w:tr>
      <w:tr w:rsidR="00EB3E4D" w14:paraId="6EBAFD24" w14:textId="77777777" w:rsidTr="00EB3E4D">
        <w:trPr>
          <w:trHeight w:val="171"/>
        </w:trPr>
        <w:tc>
          <w:tcPr>
            <w:tcW w:w="951" w:type="pct"/>
            <w:tcBorders>
              <w:top w:val="nil"/>
              <w:left w:val="nil"/>
              <w:bottom w:val="nil"/>
              <w:right w:val="nil"/>
            </w:tcBorders>
          </w:tcPr>
          <w:p w14:paraId="79181B2C" w14:textId="77777777" w:rsidR="00EB3E4D" w:rsidRDefault="00EB3E4D" w:rsidP="00EB3E4D">
            <w:r>
              <w:t>C</w:t>
            </w:r>
            <w:r>
              <w:rPr>
                <w:vertAlign w:val="subscript"/>
              </w:rPr>
              <w:t>16:0</w:t>
            </w:r>
            <w:r>
              <w:t>, Et</w:t>
            </w:r>
          </w:p>
        </w:tc>
        <w:tc>
          <w:tcPr>
            <w:tcW w:w="741" w:type="pct"/>
            <w:tcBorders>
              <w:top w:val="nil"/>
              <w:left w:val="nil"/>
              <w:bottom w:val="nil"/>
              <w:right w:val="nil"/>
            </w:tcBorders>
          </w:tcPr>
          <w:p w14:paraId="2CD7561B" w14:textId="77777777" w:rsidR="00EB3E4D" w:rsidRDefault="00EB3E4D" w:rsidP="00EB3E4D">
            <w:r>
              <w:t>3.6</w:t>
            </w:r>
          </w:p>
        </w:tc>
        <w:tc>
          <w:tcPr>
            <w:tcW w:w="417" w:type="pct"/>
            <w:tcBorders>
              <w:top w:val="nil"/>
              <w:left w:val="nil"/>
              <w:bottom w:val="nil"/>
              <w:right w:val="nil"/>
            </w:tcBorders>
          </w:tcPr>
          <w:p w14:paraId="5C0F0BAB" w14:textId="77777777" w:rsidR="00EB3E4D" w:rsidRDefault="00EB3E4D" w:rsidP="00EB3E4D">
            <w:r>
              <w:t>0.1</w:t>
            </w:r>
          </w:p>
        </w:tc>
        <w:tc>
          <w:tcPr>
            <w:tcW w:w="1028" w:type="pct"/>
            <w:tcBorders>
              <w:top w:val="nil"/>
              <w:left w:val="nil"/>
              <w:bottom w:val="nil"/>
              <w:right w:val="nil"/>
            </w:tcBorders>
          </w:tcPr>
          <w:p w14:paraId="483F925C" w14:textId="77777777" w:rsidR="00EB3E4D" w:rsidRDefault="00EB3E4D" w:rsidP="00EB3E4D"/>
        </w:tc>
        <w:tc>
          <w:tcPr>
            <w:tcW w:w="854" w:type="pct"/>
            <w:tcBorders>
              <w:top w:val="nil"/>
              <w:left w:val="nil"/>
              <w:bottom w:val="nil"/>
              <w:right w:val="nil"/>
            </w:tcBorders>
          </w:tcPr>
          <w:p w14:paraId="49DEBB33" w14:textId="77777777" w:rsidR="00EB3E4D" w:rsidRDefault="00EB3E4D" w:rsidP="00EB3E4D">
            <w:r>
              <w:t>2.1</w:t>
            </w:r>
          </w:p>
        </w:tc>
        <w:tc>
          <w:tcPr>
            <w:tcW w:w="1009" w:type="pct"/>
            <w:tcBorders>
              <w:top w:val="nil"/>
              <w:left w:val="nil"/>
              <w:bottom w:val="nil"/>
              <w:right w:val="nil"/>
            </w:tcBorders>
          </w:tcPr>
          <w:p w14:paraId="00C05CF6" w14:textId="77777777" w:rsidR="00EB3E4D" w:rsidRDefault="00EB3E4D" w:rsidP="00EB3E4D">
            <w:r>
              <w:t>4.2</w:t>
            </w:r>
          </w:p>
        </w:tc>
      </w:tr>
      <w:tr w:rsidR="00EB3E4D" w14:paraId="61108669" w14:textId="77777777" w:rsidTr="00EB3E4D">
        <w:trPr>
          <w:trHeight w:val="172"/>
        </w:trPr>
        <w:tc>
          <w:tcPr>
            <w:tcW w:w="951" w:type="pct"/>
            <w:tcBorders>
              <w:top w:val="nil"/>
              <w:left w:val="nil"/>
              <w:bottom w:val="nil"/>
              <w:right w:val="nil"/>
            </w:tcBorders>
          </w:tcPr>
          <w:p w14:paraId="168E3BA1" w14:textId="77777777" w:rsidR="00EB3E4D" w:rsidRDefault="00EB3E4D" w:rsidP="00EB3E4D">
            <w:r>
              <w:t>C</w:t>
            </w:r>
            <w:r>
              <w:rPr>
                <w:vertAlign w:val="subscript"/>
              </w:rPr>
              <w:t>18:2</w:t>
            </w:r>
            <w:r>
              <w:t>, Me</w:t>
            </w:r>
          </w:p>
        </w:tc>
        <w:tc>
          <w:tcPr>
            <w:tcW w:w="741" w:type="pct"/>
            <w:tcBorders>
              <w:top w:val="nil"/>
              <w:left w:val="nil"/>
              <w:bottom w:val="nil"/>
              <w:right w:val="nil"/>
            </w:tcBorders>
          </w:tcPr>
          <w:p w14:paraId="69923D91" w14:textId="77777777" w:rsidR="00EB3E4D" w:rsidRDefault="00EB3E4D" w:rsidP="00EB3E4D">
            <w:r>
              <w:t>1.8</w:t>
            </w:r>
          </w:p>
        </w:tc>
        <w:tc>
          <w:tcPr>
            <w:tcW w:w="417" w:type="pct"/>
            <w:tcBorders>
              <w:top w:val="nil"/>
              <w:left w:val="nil"/>
              <w:bottom w:val="nil"/>
              <w:right w:val="nil"/>
            </w:tcBorders>
          </w:tcPr>
          <w:p w14:paraId="2A50D8B7" w14:textId="77777777" w:rsidR="00EB3E4D" w:rsidRDefault="00EB3E4D" w:rsidP="00EB3E4D">
            <w:r>
              <w:t>0.2</w:t>
            </w:r>
          </w:p>
        </w:tc>
        <w:tc>
          <w:tcPr>
            <w:tcW w:w="1028" w:type="pct"/>
            <w:tcBorders>
              <w:top w:val="nil"/>
              <w:left w:val="nil"/>
              <w:bottom w:val="nil"/>
              <w:right w:val="nil"/>
            </w:tcBorders>
          </w:tcPr>
          <w:p w14:paraId="7A96B3AD" w14:textId="77777777" w:rsidR="00EB3E4D" w:rsidRDefault="00EB3E4D" w:rsidP="00EB3E4D"/>
        </w:tc>
        <w:tc>
          <w:tcPr>
            <w:tcW w:w="854" w:type="pct"/>
            <w:tcBorders>
              <w:top w:val="nil"/>
              <w:left w:val="nil"/>
              <w:bottom w:val="nil"/>
              <w:right w:val="nil"/>
            </w:tcBorders>
          </w:tcPr>
          <w:p w14:paraId="0277F3D4" w14:textId="77777777" w:rsidR="00EB3E4D" w:rsidRDefault="00EB3E4D" w:rsidP="00EB3E4D">
            <w:r>
              <w:t>13.2</w:t>
            </w:r>
          </w:p>
        </w:tc>
        <w:tc>
          <w:tcPr>
            <w:tcW w:w="1009" w:type="pct"/>
            <w:tcBorders>
              <w:top w:val="nil"/>
              <w:left w:val="nil"/>
              <w:bottom w:val="nil"/>
              <w:right w:val="nil"/>
            </w:tcBorders>
          </w:tcPr>
          <w:p w14:paraId="4ED1C8C8" w14:textId="77777777" w:rsidR="00EB3E4D" w:rsidRDefault="00EB3E4D" w:rsidP="00EB3E4D">
            <w:r>
              <w:t>11.3</w:t>
            </w:r>
          </w:p>
        </w:tc>
      </w:tr>
      <w:tr w:rsidR="00EB3E4D" w14:paraId="35364104" w14:textId="77777777" w:rsidTr="00EB3E4D">
        <w:trPr>
          <w:trHeight w:val="171"/>
        </w:trPr>
        <w:tc>
          <w:tcPr>
            <w:tcW w:w="951" w:type="pct"/>
            <w:tcBorders>
              <w:top w:val="nil"/>
              <w:left w:val="nil"/>
              <w:bottom w:val="nil"/>
              <w:right w:val="nil"/>
            </w:tcBorders>
          </w:tcPr>
          <w:p w14:paraId="52014E3F" w14:textId="77777777" w:rsidR="00EB3E4D" w:rsidRDefault="00EB3E4D" w:rsidP="00EB3E4D">
            <w:r>
              <w:t>C</w:t>
            </w:r>
            <w:r>
              <w:rPr>
                <w:vertAlign w:val="subscript"/>
              </w:rPr>
              <w:t>18:1</w:t>
            </w:r>
            <w:r>
              <w:t>, Me</w:t>
            </w:r>
          </w:p>
        </w:tc>
        <w:tc>
          <w:tcPr>
            <w:tcW w:w="741" w:type="pct"/>
            <w:tcBorders>
              <w:top w:val="nil"/>
              <w:left w:val="nil"/>
              <w:bottom w:val="nil"/>
              <w:right w:val="nil"/>
            </w:tcBorders>
          </w:tcPr>
          <w:p w14:paraId="1723BA81" w14:textId="77777777" w:rsidR="00EB3E4D" w:rsidRDefault="00EB3E4D" w:rsidP="00EB3E4D">
            <w:r>
              <w:t>37.3</w:t>
            </w:r>
          </w:p>
        </w:tc>
        <w:tc>
          <w:tcPr>
            <w:tcW w:w="417" w:type="pct"/>
            <w:tcBorders>
              <w:top w:val="nil"/>
              <w:left w:val="nil"/>
              <w:bottom w:val="nil"/>
              <w:right w:val="nil"/>
            </w:tcBorders>
          </w:tcPr>
          <w:p w14:paraId="50B6A4C1" w14:textId="77777777" w:rsidR="00EB3E4D" w:rsidRDefault="00EB3E4D" w:rsidP="00EB3E4D">
            <w:r>
              <w:t>3.1</w:t>
            </w:r>
          </w:p>
        </w:tc>
        <w:tc>
          <w:tcPr>
            <w:tcW w:w="1028" w:type="pct"/>
            <w:tcBorders>
              <w:top w:val="nil"/>
              <w:left w:val="nil"/>
              <w:bottom w:val="nil"/>
              <w:right w:val="nil"/>
            </w:tcBorders>
          </w:tcPr>
          <w:p w14:paraId="09DB5B4E" w14:textId="77777777" w:rsidR="00EB3E4D" w:rsidRDefault="00EB3E4D" w:rsidP="00EB3E4D"/>
        </w:tc>
        <w:tc>
          <w:tcPr>
            <w:tcW w:w="854" w:type="pct"/>
            <w:tcBorders>
              <w:top w:val="nil"/>
              <w:left w:val="nil"/>
              <w:bottom w:val="nil"/>
              <w:right w:val="nil"/>
            </w:tcBorders>
          </w:tcPr>
          <w:p w14:paraId="3F4A74FC" w14:textId="77777777" w:rsidR="00EB3E4D" w:rsidRDefault="00EB3E4D" w:rsidP="00EB3E4D">
            <w:r>
              <w:t>8.4</w:t>
            </w:r>
          </w:p>
        </w:tc>
        <w:tc>
          <w:tcPr>
            <w:tcW w:w="1009" w:type="pct"/>
            <w:tcBorders>
              <w:top w:val="nil"/>
              <w:left w:val="nil"/>
              <w:bottom w:val="nil"/>
              <w:right w:val="nil"/>
            </w:tcBorders>
          </w:tcPr>
          <w:p w14:paraId="2676C37C" w14:textId="77777777" w:rsidR="00EB3E4D" w:rsidRDefault="00EB3E4D" w:rsidP="00EB3E4D">
            <w:r>
              <w:t>4.6</w:t>
            </w:r>
          </w:p>
        </w:tc>
      </w:tr>
      <w:tr w:rsidR="00EB3E4D" w14:paraId="347A0E07" w14:textId="77777777" w:rsidTr="00EB3E4D">
        <w:trPr>
          <w:trHeight w:val="171"/>
        </w:trPr>
        <w:tc>
          <w:tcPr>
            <w:tcW w:w="951" w:type="pct"/>
            <w:tcBorders>
              <w:top w:val="nil"/>
              <w:left w:val="nil"/>
              <w:bottom w:val="nil"/>
              <w:right w:val="nil"/>
            </w:tcBorders>
          </w:tcPr>
          <w:p w14:paraId="7D690F8A" w14:textId="77777777" w:rsidR="00EB3E4D" w:rsidRDefault="00EB3E4D" w:rsidP="00EB3E4D">
            <w:r>
              <w:t>C</w:t>
            </w:r>
            <w:r>
              <w:rPr>
                <w:vertAlign w:val="subscript"/>
              </w:rPr>
              <w:t>18:0</w:t>
            </w:r>
            <w:r>
              <w:t>, Me</w:t>
            </w:r>
          </w:p>
        </w:tc>
        <w:tc>
          <w:tcPr>
            <w:tcW w:w="741" w:type="pct"/>
            <w:tcBorders>
              <w:top w:val="nil"/>
              <w:left w:val="nil"/>
              <w:bottom w:val="nil"/>
              <w:right w:val="nil"/>
            </w:tcBorders>
          </w:tcPr>
          <w:p w14:paraId="42862036" w14:textId="77777777" w:rsidR="00EB3E4D" w:rsidRDefault="00EB3E4D" w:rsidP="00EB3E4D">
            <w:r>
              <w:t>0.8</w:t>
            </w:r>
          </w:p>
        </w:tc>
        <w:tc>
          <w:tcPr>
            <w:tcW w:w="417" w:type="pct"/>
            <w:tcBorders>
              <w:top w:val="nil"/>
              <w:left w:val="nil"/>
              <w:bottom w:val="nil"/>
              <w:right w:val="nil"/>
            </w:tcBorders>
          </w:tcPr>
          <w:p w14:paraId="2E8E93DB" w14:textId="77777777" w:rsidR="00EB3E4D" w:rsidRDefault="00EB3E4D" w:rsidP="00EB3E4D">
            <w:r>
              <w:t>0.0</w:t>
            </w:r>
          </w:p>
        </w:tc>
        <w:tc>
          <w:tcPr>
            <w:tcW w:w="1028" w:type="pct"/>
            <w:tcBorders>
              <w:top w:val="nil"/>
              <w:left w:val="nil"/>
              <w:bottom w:val="nil"/>
              <w:right w:val="nil"/>
            </w:tcBorders>
          </w:tcPr>
          <w:p w14:paraId="2ECB030A" w14:textId="77777777" w:rsidR="00EB3E4D" w:rsidRDefault="00EB3E4D" w:rsidP="00EB3E4D"/>
        </w:tc>
        <w:tc>
          <w:tcPr>
            <w:tcW w:w="854" w:type="pct"/>
            <w:tcBorders>
              <w:top w:val="nil"/>
              <w:left w:val="nil"/>
              <w:bottom w:val="nil"/>
              <w:right w:val="nil"/>
            </w:tcBorders>
          </w:tcPr>
          <w:p w14:paraId="3D405F3D" w14:textId="77777777" w:rsidR="00EB3E4D" w:rsidRDefault="00EB3E4D" w:rsidP="00EB3E4D">
            <w:r>
              <w:t>1.6</w:t>
            </w:r>
          </w:p>
        </w:tc>
        <w:tc>
          <w:tcPr>
            <w:tcW w:w="1009" w:type="pct"/>
            <w:tcBorders>
              <w:top w:val="nil"/>
              <w:left w:val="nil"/>
              <w:bottom w:val="nil"/>
              <w:right w:val="nil"/>
            </w:tcBorders>
          </w:tcPr>
          <w:p w14:paraId="6992815F" w14:textId="77777777" w:rsidR="00EB3E4D" w:rsidRDefault="00EB3E4D" w:rsidP="00EB3E4D">
            <w:r>
              <w:t>4.9</w:t>
            </w:r>
          </w:p>
        </w:tc>
      </w:tr>
      <w:tr w:rsidR="00EB3E4D" w14:paraId="42D6627D" w14:textId="77777777" w:rsidTr="00EB3E4D">
        <w:trPr>
          <w:trHeight w:val="171"/>
        </w:trPr>
        <w:tc>
          <w:tcPr>
            <w:tcW w:w="951" w:type="pct"/>
            <w:tcBorders>
              <w:top w:val="nil"/>
              <w:left w:val="nil"/>
              <w:bottom w:val="nil"/>
              <w:right w:val="nil"/>
            </w:tcBorders>
          </w:tcPr>
          <w:p w14:paraId="4978E754" w14:textId="77777777" w:rsidR="00EB3E4D" w:rsidRDefault="00EB3E4D" w:rsidP="00EB3E4D">
            <w:r>
              <w:t>C</w:t>
            </w:r>
            <w:r>
              <w:rPr>
                <w:vertAlign w:val="subscript"/>
              </w:rPr>
              <w:t>18:2</w:t>
            </w:r>
            <w:r>
              <w:t>, Et</w:t>
            </w:r>
          </w:p>
        </w:tc>
        <w:tc>
          <w:tcPr>
            <w:tcW w:w="741" w:type="pct"/>
            <w:tcBorders>
              <w:top w:val="nil"/>
              <w:left w:val="nil"/>
              <w:bottom w:val="nil"/>
              <w:right w:val="nil"/>
            </w:tcBorders>
          </w:tcPr>
          <w:p w14:paraId="3E4F519D" w14:textId="77777777" w:rsidR="00EB3E4D" w:rsidRDefault="00EB3E4D" w:rsidP="00EB3E4D">
            <w:r>
              <w:t>2.5</w:t>
            </w:r>
          </w:p>
        </w:tc>
        <w:tc>
          <w:tcPr>
            <w:tcW w:w="417" w:type="pct"/>
            <w:tcBorders>
              <w:top w:val="nil"/>
              <w:left w:val="nil"/>
              <w:bottom w:val="nil"/>
              <w:right w:val="nil"/>
            </w:tcBorders>
          </w:tcPr>
          <w:p w14:paraId="03FAD48C" w14:textId="77777777" w:rsidR="00EB3E4D" w:rsidRDefault="00EB3E4D" w:rsidP="00EB3E4D">
            <w:r>
              <w:t>0.3</w:t>
            </w:r>
          </w:p>
        </w:tc>
        <w:tc>
          <w:tcPr>
            <w:tcW w:w="1028" w:type="pct"/>
            <w:tcBorders>
              <w:top w:val="nil"/>
              <w:left w:val="nil"/>
              <w:bottom w:val="nil"/>
              <w:right w:val="nil"/>
            </w:tcBorders>
          </w:tcPr>
          <w:p w14:paraId="48B8B089" w14:textId="77777777" w:rsidR="00EB3E4D" w:rsidRDefault="00EB3E4D" w:rsidP="00EB3E4D"/>
        </w:tc>
        <w:tc>
          <w:tcPr>
            <w:tcW w:w="854" w:type="pct"/>
            <w:tcBorders>
              <w:top w:val="nil"/>
              <w:left w:val="nil"/>
              <w:bottom w:val="nil"/>
              <w:right w:val="nil"/>
            </w:tcBorders>
          </w:tcPr>
          <w:p w14:paraId="70596204" w14:textId="77777777" w:rsidR="00EB3E4D" w:rsidRDefault="00EB3E4D" w:rsidP="00EB3E4D">
            <w:r>
              <w:t>11.5</w:t>
            </w:r>
          </w:p>
        </w:tc>
        <w:tc>
          <w:tcPr>
            <w:tcW w:w="1009" w:type="pct"/>
            <w:tcBorders>
              <w:top w:val="nil"/>
              <w:left w:val="nil"/>
              <w:bottom w:val="nil"/>
              <w:right w:val="nil"/>
            </w:tcBorders>
          </w:tcPr>
          <w:p w14:paraId="30122306" w14:textId="77777777" w:rsidR="00EB3E4D" w:rsidRDefault="00EB3E4D" w:rsidP="00EB3E4D">
            <w:r>
              <w:t>10.2</w:t>
            </w:r>
          </w:p>
        </w:tc>
      </w:tr>
      <w:tr w:rsidR="00EB3E4D" w14:paraId="6B41D0C6" w14:textId="77777777" w:rsidTr="00EB3E4D">
        <w:trPr>
          <w:trHeight w:val="171"/>
        </w:trPr>
        <w:tc>
          <w:tcPr>
            <w:tcW w:w="951" w:type="pct"/>
            <w:tcBorders>
              <w:top w:val="nil"/>
              <w:left w:val="nil"/>
              <w:bottom w:val="nil"/>
              <w:right w:val="nil"/>
            </w:tcBorders>
          </w:tcPr>
          <w:p w14:paraId="358D2FED" w14:textId="77777777" w:rsidR="00EB3E4D" w:rsidRDefault="00EB3E4D" w:rsidP="00EB3E4D">
            <w:r>
              <w:t>C</w:t>
            </w:r>
            <w:r>
              <w:rPr>
                <w:vertAlign w:val="subscript"/>
              </w:rPr>
              <w:t>18:1</w:t>
            </w:r>
            <w:r>
              <w:t>, Et</w:t>
            </w:r>
          </w:p>
        </w:tc>
        <w:tc>
          <w:tcPr>
            <w:tcW w:w="741" w:type="pct"/>
            <w:tcBorders>
              <w:top w:val="nil"/>
              <w:left w:val="nil"/>
              <w:bottom w:val="nil"/>
              <w:right w:val="nil"/>
            </w:tcBorders>
          </w:tcPr>
          <w:p w14:paraId="04745AC3" w14:textId="77777777" w:rsidR="00EB3E4D" w:rsidRDefault="00EB3E4D" w:rsidP="00EB3E4D">
            <w:r>
              <w:t>21.0</w:t>
            </w:r>
          </w:p>
        </w:tc>
        <w:tc>
          <w:tcPr>
            <w:tcW w:w="417" w:type="pct"/>
            <w:tcBorders>
              <w:top w:val="nil"/>
              <w:left w:val="nil"/>
              <w:bottom w:val="nil"/>
              <w:right w:val="nil"/>
            </w:tcBorders>
          </w:tcPr>
          <w:p w14:paraId="7ECA9F23" w14:textId="77777777" w:rsidR="00EB3E4D" w:rsidRDefault="00EB3E4D" w:rsidP="00EB3E4D">
            <w:r>
              <w:t>0.4</w:t>
            </w:r>
          </w:p>
        </w:tc>
        <w:tc>
          <w:tcPr>
            <w:tcW w:w="1028" w:type="pct"/>
            <w:tcBorders>
              <w:top w:val="nil"/>
              <w:left w:val="nil"/>
              <w:bottom w:val="nil"/>
              <w:right w:val="nil"/>
            </w:tcBorders>
          </w:tcPr>
          <w:p w14:paraId="3E47F9AD" w14:textId="77777777" w:rsidR="00EB3E4D" w:rsidRDefault="00EB3E4D" w:rsidP="00EB3E4D"/>
        </w:tc>
        <w:tc>
          <w:tcPr>
            <w:tcW w:w="854" w:type="pct"/>
            <w:tcBorders>
              <w:top w:val="nil"/>
              <w:left w:val="nil"/>
              <w:bottom w:val="nil"/>
              <w:right w:val="nil"/>
            </w:tcBorders>
          </w:tcPr>
          <w:p w14:paraId="6A423457" w14:textId="77777777" w:rsidR="00EB3E4D" w:rsidRDefault="00EB3E4D" w:rsidP="00EB3E4D">
            <w:r>
              <w:t>1.9</w:t>
            </w:r>
          </w:p>
        </w:tc>
        <w:tc>
          <w:tcPr>
            <w:tcW w:w="1009" w:type="pct"/>
            <w:tcBorders>
              <w:top w:val="nil"/>
              <w:left w:val="nil"/>
              <w:bottom w:val="nil"/>
              <w:right w:val="nil"/>
            </w:tcBorders>
          </w:tcPr>
          <w:p w14:paraId="08DEED49" w14:textId="77777777" w:rsidR="00EB3E4D" w:rsidRDefault="00EB3E4D" w:rsidP="00EB3E4D">
            <w:r>
              <w:t>3.2</w:t>
            </w:r>
          </w:p>
        </w:tc>
      </w:tr>
      <w:tr w:rsidR="00EB3E4D" w14:paraId="2D64A2BA" w14:textId="77777777" w:rsidTr="00EB3E4D">
        <w:trPr>
          <w:trHeight w:val="172"/>
        </w:trPr>
        <w:tc>
          <w:tcPr>
            <w:tcW w:w="951" w:type="pct"/>
            <w:tcBorders>
              <w:top w:val="nil"/>
              <w:left w:val="nil"/>
              <w:bottom w:val="nil"/>
              <w:right w:val="nil"/>
            </w:tcBorders>
          </w:tcPr>
          <w:p w14:paraId="56F3322A" w14:textId="77777777" w:rsidR="00EB3E4D" w:rsidRPr="00EB3E4D" w:rsidRDefault="00EB3E4D" w:rsidP="00EB3E4D">
            <w:r w:rsidRPr="00EB3E4D">
              <w:t>C</w:t>
            </w:r>
            <w:r w:rsidRPr="00EB3E4D">
              <w:rPr>
                <w:vertAlign w:val="subscript"/>
              </w:rPr>
              <w:t>18:0</w:t>
            </w:r>
            <w:r w:rsidRPr="00EB3E4D">
              <w:t>, Et</w:t>
            </w:r>
          </w:p>
        </w:tc>
        <w:tc>
          <w:tcPr>
            <w:tcW w:w="741" w:type="pct"/>
            <w:tcBorders>
              <w:top w:val="nil"/>
              <w:left w:val="nil"/>
              <w:bottom w:val="nil"/>
              <w:right w:val="nil"/>
            </w:tcBorders>
          </w:tcPr>
          <w:p w14:paraId="4AD86760" w14:textId="77777777" w:rsidR="00EB3E4D" w:rsidRDefault="00EB3E4D" w:rsidP="00EB3E4D">
            <w:r>
              <w:t>0.4</w:t>
            </w:r>
          </w:p>
        </w:tc>
        <w:tc>
          <w:tcPr>
            <w:tcW w:w="417" w:type="pct"/>
            <w:tcBorders>
              <w:top w:val="nil"/>
              <w:left w:val="nil"/>
              <w:bottom w:val="nil"/>
              <w:right w:val="nil"/>
            </w:tcBorders>
          </w:tcPr>
          <w:p w14:paraId="6B0299DA" w14:textId="77777777" w:rsidR="00EB3E4D" w:rsidRDefault="00EB3E4D" w:rsidP="00EB3E4D">
            <w:r>
              <w:t>0.0</w:t>
            </w:r>
          </w:p>
        </w:tc>
        <w:tc>
          <w:tcPr>
            <w:tcW w:w="1028" w:type="pct"/>
            <w:tcBorders>
              <w:top w:val="nil"/>
              <w:left w:val="nil"/>
              <w:bottom w:val="nil"/>
              <w:right w:val="nil"/>
            </w:tcBorders>
          </w:tcPr>
          <w:p w14:paraId="5DD52113" w14:textId="77777777" w:rsidR="00EB3E4D" w:rsidRDefault="00EB3E4D" w:rsidP="00EB3E4D"/>
        </w:tc>
        <w:tc>
          <w:tcPr>
            <w:tcW w:w="854" w:type="pct"/>
            <w:tcBorders>
              <w:top w:val="nil"/>
              <w:left w:val="nil"/>
              <w:bottom w:val="nil"/>
              <w:right w:val="nil"/>
            </w:tcBorders>
          </w:tcPr>
          <w:p w14:paraId="5462D0DC" w14:textId="77777777" w:rsidR="00EB3E4D" w:rsidRDefault="00EB3E4D" w:rsidP="00EB3E4D">
            <w:r>
              <w:t>9.9</w:t>
            </w:r>
          </w:p>
        </w:tc>
        <w:tc>
          <w:tcPr>
            <w:tcW w:w="1009" w:type="pct"/>
            <w:tcBorders>
              <w:top w:val="nil"/>
              <w:left w:val="nil"/>
              <w:bottom w:val="nil"/>
              <w:right w:val="nil"/>
            </w:tcBorders>
          </w:tcPr>
          <w:p w14:paraId="6DF36488" w14:textId="77777777" w:rsidR="00EB3E4D" w:rsidRDefault="00EB3E4D" w:rsidP="00EB3E4D">
            <w:r>
              <w:t>8.1</w:t>
            </w:r>
          </w:p>
        </w:tc>
      </w:tr>
      <w:tr w:rsidR="00EB3E4D" w14:paraId="4A761367" w14:textId="77777777" w:rsidTr="00EB3E4D">
        <w:trPr>
          <w:trHeight w:val="337"/>
        </w:trPr>
        <w:tc>
          <w:tcPr>
            <w:tcW w:w="951" w:type="pct"/>
            <w:tcBorders>
              <w:top w:val="nil"/>
              <w:left w:val="nil"/>
              <w:bottom w:val="nil"/>
              <w:right w:val="nil"/>
            </w:tcBorders>
          </w:tcPr>
          <w:p w14:paraId="08C39403" w14:textId="77777777" w:rsidR="00EB3E4D" w:rsidRPr="00EB3E4D" w:rsidRDefault="00EB3E4D" w:rsidP="00EB3E4D">
            <w:pPr>
              <w:rPr>
                <w:b/>
                <w:bCs/>
              </w:rPr>
            </w:pPr>
            <w:r w:rsidRPr="00EB3E4D">
              <w:rPr>
                <w:rFonts w:eastAsia="Calibri"/>
                <w:b/>
                <w:bCs/>
              </w:rPr>
              <w:t>Total</w:t>
            </w:r>
          </w:p>
          <w:p w14:paraId="5211F3C8" w14:textId="77777777" w:rsidR="00EB3E4D" w:rsidRPr="00EB3E4D" w:rsidRDefault="00EB3E4D" w:rsidP="00EB3E4D">
            <w:pPr>
              <w:rPr>
                <w:b/>
                <w:bCs/>
              </w:rPr>
            </w:pPr>
            <w:r w:rsidRPr="00EB3E4D">
              <w:rPr>
                <w:rFonts w:eastAsia="Calibri"/>
                <w:b/>
                <w:bCs/>
              </w:rPr>
              <w:lastRenderedPageBreak/>
              <w:t>FAAEs</w:t>
            </w:r>
          </w:p>
        </w:tc>
        <w:tc>
          <w:tcPr>
            <w:tcW w:w="741" w:type="pct"/>
            <w:tcBorders>
              <w:top w:val="nil"/>
              <w:left w:val="nil"/>
              <w:bottom w:val="nil"/>
              <w:right w:val="nil"/>
            </w:tcBorders>
          </w:tcPr>
          <w:p w14:paraId="15C21E72" w14:textId="77777777" w:rsidR="00EB3E4D" w:rsidRPr="00EB3E4D" w:rsidRDefault="00EB3E4D" w:rsidP="00EB3E4D">
            <w:pPr>
              <w:rPr>
                <w:b/>
                <w:bCs/>
              </w:rPr>
            </w:pPr>
            <w:r w:rsidRPr="00EB3E4D">
              <w:rPr>
                <w:rFonts w:eastAsia="Calibri"/>
                <w:b/>
                <w:bCs/>
              </w:rPr>
              <w:lastRenderedPageBreak/>
              <w:t>78.6</w:t>
            </w:r>
          </w:p>
        </w:tc>
        <w:tc>
          <w:tcPr>
            <w:tcW w:w="417" w:type="pct"/>
            <w:tcBorders>
              <w:top w:val="nil"/>
              <w:left w:val="nil"/>
              <w:bottom w:val="nil"/>
              <w:right w:val="nil"/>
            </w:tcBorders>
          </w:tcPr>
          <w:p w14:paraId="5316A646" w14:textId="77777777" w:rsidR="00EB3E4D" w:rsidRPr="00EB3E4D" w:rsidRDefault="00EB3E4D" w:rsidP="00EB3E4D">
            <w:pPr>
              <w:rPr>
                <w:b/>
                <w:bCs/>
              </w:rPr>
            </w:pPr>
            <w:r w:rsidRPr="00EB3E4D">
              <w:rPr>
                <w:rFonts w:eastAsia="Calibri"/>
                <w:b/>
                <w:bCs/>
              </w:rPr>
              <w:t>3.5</w:t>
            </w:r>
          </w:p>
        </w:tc>
        <w:tc>
          <w:tcPr>
            <w:tcW w:w="1028" w:type="pct"/>
            <w:tcBorders>
              <w:top w:val="nil"/>
              <w:left w:val="nil"/>
              <w:bottom w:val="nil"/>
              <w:right w:val="nil"/>
            </w:tcBorders>
          </w:tcPr>
          <w:p w14:paraId="26F5A160" w14:textId="77777777" w:rsidR="00EB3E4D" w:rsidRPr="00EB3E4D" w:rsidRDefault="00EB3E4D" w:rsidP="00EB3E4D">
            <w:pPr>
              <w:rPr>
                <w:b/>
                <w:bCs/>
              </w:rPr>
            </w:pPr>
            <w:r w:rsidRPr="00EB3E4D">
              <w:rPr>
                <w:rFonts w:eastAsia="Calibri"/>
                <w:b/>
                <w:bCs/>
              </w:rPr>
              <w:t>99.8</w:t>
            </w:r>
          </w:p>
        </w:tc>
        <w:tc>
          <w:tcPr>
            <w:tcW w:w="854" w:type="pct"/>
            <w:tcBorders>
              <w:top w:val="nil"/>
              <w:left w:val="nil"/>
              <w:bottom w:val="nil"/>
              <w:right w:val="nil"/>
            </w:tcBorders>
          </w:tcPr>
          <w:p w14:paraId="383CA077" w14:textId="77777777" w:rsidR="00EB3E4D" w:rsidRPr="00EB3E4D" w:rsidRDefault="00EB3E4D" w:rsidP="00EB3E4D">
            <w:pPr>
              <w:rPr>
                <w:b/>
                <w:bCs/>
              </w:rPr>
            </w:pPr>
            <w:r w:rsidRPr="00EB3E4D">
              <w:rPr>
                <w:rFonts w:eastAsia="Calibri"/>
                <w:b/>
                <w:bCs/>
              </w:rPr>
              <w:t>4.5</w:t>
            </w:r>
          </w:p>
        </w:tc>
        <w:tc>
          <w:tcPr>
            <w:tcW w:w="1009" w:type="pct"/>
            <w:tcBorders>
              <w:top w:val="nil"/>
              <w:left w:val="nil"/>
              <w:bottom w:val="nil"/>
              <w:right w:val="nil"/>
            </w:tcBorders>
          </w:tcPr>
          <w:p w14:paraId="08E4BEBD" w14:textId="77777777" w:rsidR="00EB3E4D" w:rsidRPr="00EB3E4D" w:rsidRDefault="00EB3E4D" w:rsidP="00EB3E4D">
            <w:pPr>
              <w:rPr>
                <w:b/>
                <w:bCs/>
              </w:rPr>
            </w:pPr>
            <w:r w:rsidRPr="00EB3E4D">
              <w:rPr>
                <w:rFonts w:eastAsia="Calibri"/>
                <w:b/>
                <w:bCs/>
              </w:rPr>
              <w:t>2.5</w:t>
            </w:r>
          </w:p>
        </w:tc>
      </w:tr>
      <w:tr w:rsidR="00EB3E4D" w14:paraId="041ACF06" w14:textId="77777777" w:rsidTr="00EB3E4D">
        <w:trPr>
          <w:trHeight w:val="177"/>
        </w:trPr>
        <w:tc>
          <w:tcPr>
            <w:tcW w:w="951" w:type="pct"/>
            <w:tcBorders>
              <w:top w:val="nil"/>
              <w:left w:val="nil"/>
              <w:bottom w:val="nil"/>
              <w:right w:val="nil"/>
            </w:tcBorders>
          </w:tcPr>
          <w:p w14:paraId="2ED33FD8" w14:textId="77777777" w:rsidR="00EB3E4D" w:rsidRPr="00EB3E4D" w:rsidRDefault="00EB3E4D" w:rsidP="00EB3E4D">
            <w:r w:rsidRPr="00EB3E4D">
              <w:t>C</w:t>
            </w:r>
            <w:r w:rsidRPr="00EB3E4D">
              <w:rPr>
                <w:vertAlign w:val="subscript"/>
              </w:rPr>
              <w:t>22:0</w:t>
            </w:r>
            <w:r w:rsidRPr="00EB3E4D">
              <w:t>-C</w:t>
            </w:r>
            <w:r w:rsidRPr="00EB3E4D">
              <w:rPr>
                <w:vertAlign w:val="subscript"/>
              </w:rPr>
              <w:t>18:1</w:t>
            </w:r>
          </w:p>
        </w:tc>
        <w:tc>
          <w:tcPr>
            <w:tcW w:w="741" w:type="pct"/>
            <w:tcBorders>
              <w:top w:val="nil"/>
              <w:left w:val="nil"/>
              <w:bottom w:val="nil"/>
              <w:right w:val="nil"/>
            </w:tcBorders>
          </w:tcPr>
          <w:p w14:paraId="79450ABF" w14:textId="77777777" w:rsidR="00EB3E4D" w:rsidRDefault="00EB3E4D" w:rsidP="00EB3E4D">
            <w:r>
              <w:t>41.8</w:t>
            </w:r>
          </w:p>
        </w:tc>
        <w:tc>
          <w:tcPr>
            <w:tcW w:w="417" w:type="pct"/>
            <w:tcBorders>
              <w:top w:val="nil"/>
              <w:left w:val="nil"/>
              <w:bottom w:val="nil"/>
              <w:right w:val="nil"/>
            </w:tcBorders>
          </w:tcPr>
          <w:p w14:paraId="68BA33F3" w14:textId="77777777" w:rsidR="00EB3E4D" w:rsidRDefault="00EB3E4D" w:rsidP="00EB3E4D">
            <w:r>
              <w:t>7.6</w:t>
            </w:r>
          </w:p>
        </w:tc>
        <w:tc>
          <w:tcPr>
            <w:tcW w:w="1028" w:type="pct"/>
            <w:tcBorders>
              <w:top w:val="nil"/>
              <w:left w:val="nil"/>
              <w:bottom w:val="nil"/>
              <w:right w:val="nil"/>
            </w:tcBorders>
          </w:tcPr>
          <w:p w14:paraId="4A67E724" w14:textId="77777777" w:rsidR="00EB3E4D" w:rsidRDefault="00EB3E4D" w:rsidP="00EB3E4D"/>
        </w:tc>
        <w:tc>
          <w:tcPr>
            <w:tcW w:w="854" w:type="pct"/>
            <w:tcBorders>
              <w:top w:val="nil"/>
              <w:left w:val="nil"/>
              <w:bottom w:val="nil"/>
              <w:right w:val="nil"/>
            </w:tcBorders>
          </w:tcPr>
          <w:p w14:paraId="0F1B1F35" w14:textId="77777777" w:rsidR="00EB3E4D" w:rsidRDefault="00EB3E4D" w:rsidP="00EB3E4D">
            <w:r>
              <w:t>7.6</w:t>
            </w:r>
          </w:p>
        </w:tc>
        <w:tc>
          <w:tcPr>
            <w:tcW w:w="1009" w:type="pct"/>
            <w:tcBorders>
              <w:top w:val="nil"/>
              <w:left w:val="nil"/>
              <w:bottom w:val="nil"/>
              <w:right w:val="nil"/>
            </w:tcBorders>
          </w:tcPr>
          <w:p w14:paraId="1E88E08A" w14:textId="77777777" w:rsidR="00EB3E4D" w:rsidRDefault="00EB3E4D" w:rsidP="00EB3E4D">
            <w:r>
              <w:t>6.2</w:t>
            </w:r>
          </w:p>
        </w:tc>
      </w:tr>
      <w:tr w:rsidR="00EB3E4D" w14:paraId="37D73371" w14:textId="77777777" w:rsidTr="00EB3E4D">
        <w:trPr>
          <w:trHeight w:val="171"/>
        </w:trPr>
        <w:tc>
          <w:tcPr>
            <w:tcW w:w="951" w:type="pct"/>
            <w:tcBorders>
              <w:top w:val="nil"/>
              <w:left w:val="nil"/>
              <w:bottom w:val="nil"/>
              <w:right w:val="nil"/>
            </w:tcBorders>
          </w:tcPr>
          <w:p w14:paraId="1384D833" w14:textId="77777777" w:rsidR="00EB3E4D" w:rsidRPr="00EB3E4D" w:rsidRDefault="00EB3E4D" w:rsidP="00EB3E4D">
            <w:r w:rsidRPr="00EB3E4D">
              <w:t>C</w:t>
            </w:r>
            <w:r w:rsidRPr="00EB3E4D">
              <w:rPr>
                <w:vertAlign w:val="subscript"/>
              </w:rPr>
              <w:t>24:0</w:t>
            </w:r>
            <w:r w:rsidRPr="00EB3E4D">
              <w:t>-C</w:t>
            </w:r>
            <w:r w:rsidRPr="00EB3E4D">
              <w:rPr>
                <w:vertAlign w:val="subscript"/>
              </w:rPr>
              <w:t>16:0</w:t>
            </w:r>
          </w:p>
        </w:tc>
        <w:tc>
          <w:tcPr>
            <w:tcW w:w="741" w:type="pct"/>
            <w:tcBorders>
              <w:top w:val="nil"/>
              <w:left w:val="nil"/>
              <w:bottom w:val="nil"/>
              <w:right w:val="nil"/>
            </w:tcBorders>
          </w:tcPr>
          <w:p w14:paraId="6A66C6C9" w14:textId="77777777" w:rsidR="00EB3E4D" w:rsidRDefault="00EB3E4D" w:rsidP="00EB3E4D">
            <w:r>
              <w:t>29.8</w:t>
            </w:r>
          </w:p>
        </w:tc>
        <w:tc>
          <w:tcPr>
            <w:tcW w:w="417" w:type="pct"/>
            <w:tcBorders>
              <w:top w:val="nil"/>
              <w:left w:val="nil"/>
              <w:bottom w:val="nil"/>
              <w:right w:val="nil"/>
            </w:tcBorders>
          </w:tcPr>
          <w:p w14:paraId="03E4F7F2" w14:textId="77777777" w:rsidR="00EB3E4D" w:rsidRDefault="00EB3E4D" w:rsidP="00EB3E4D">
            <w:r>
              <w:t>4.0</w:t>
            </w:r>
          </w:p>
        </w:tc>
        <w:tc>
          <w:tcPr>
            <w:tcW w:w="1028" w:type="pct"/>
            <w:tcBorders>
              <w:top w:val="nil"/>
              <w:left w:val="nil"/>
              <w:bottom w:val="nil"/>
              <w:right w:val="nil"/>
            </w:tcBorders>
          </w:tcPr>
          <w:p w14:paraId="0208BA1D" w14:textId="77777777" w:rsidR="00EB3E4D" w:rsidRDefault="00EB3E4D" w:rsidP="00EB3E4D"/>
        </w:tc>
        <w:tc>
          <w:tcPr>
            <w:tcW w:w="854" w:type="pct"/>
            <w:tcBorders>
              <w:top w:val="nil"/>
              <w:left w:val="nil"/>
              <w:bottom w:val="nil"/>
              <w:right w:val="nil"/>
            </w:tcBorders>
          </w:tcPr>
          <w:p w14:paraId="23D88AAE" w14:textId="77777777" w:rsidR="00EB3E4D" w:rsidRDefault="00EB3E4D" w:rsidP="00EB3E4D">
            <w:r>
              <w:t>4.0</w:t>
            </w:r>
          </w:p>
        </w:tc>
        <w:tc>
          <w:tcPr>
            <w:tcW w:w="1009" w:type="pct"/>
            <w:tcBorders>
              <w:top w:val="nil"/>
              <w:left w:val="nil"/>
              <w:bottom w:val="nil"/>
              <w:right w:val="nil"/>
            </w:tcBorders>
          </w:tcPr>
          <w:p w14:paraId="454D0C21" w14:textId="77777777" w:rsidR="00EB3E4D" w:rsidRDefault="00EB3E4D" w:rsidP="00EB3E4D">
            <w:r>
              <w:t>3.9</w:t>
            </w:r>
          </w:p>
        </w:tc>
      </w:tr>
      <w:tr w:rsidR="00EB3E4D" w14:paraId="245E90E1" w14:textId="77777777" w:rsidTr="00EB3E4D">
        <w:trPr>
          <w:trHeight w:val="171"/>
        </w:trPr>
        <w:tc>
          <w:tcPr>
            <w:tcW w:w="951" w:type="pct"/>
            <w:tcBorders>
              <w:top w:val="nil"/>
              <w:left w:val="nil"/>
              <w:bottom w:val="nil"/>
              <w:right w:val="nil"/>
            </w:tcBorders>
          </w:tcPr>
          <w:p w14:paraId="55DD4DA4" w14:textId="77777777" w:rsidR="00EB3E4D" w:rsidRPr="00EB3E4D" w:rsidRDefault="00EB3E4D" w:rsidP="00EB3E4D">
            <w:r w:rsidRPr="00EB3E4D">
              <w:t>C</w:t>
            </w:r>
            <w:r w:rsidRPr="00EB3E4D">
              <w:rPr>
                <w:vertAlign w:val="subscript"/>
              </w:rPr>
              <w:t>24:0</w:t>
            </w:r>
            <w:r w:rsidRPr="00EB3E4D">
              <w:t>-C</w:t>
            </w:r>
            <w:r w:rsidRPr="00EB3E4D">
              <w:rPr>
                <w:vertAlign w:val="subscript"/>
              </w:rPr>
              <w:t>18:1</w:t>
            </w:r>
          </w:p>
        </w:tc>
        <w:tc>
          <w:tcPr>
            <w:tcW w:w="741" w:type="pct"/>
            <w:tcBorders>
              <w:top w:val="nil"/>
              <w:left w:val="nil"/>
              <w:bottom w:val="nil"/>
              <w:right w:val="nil"/>
            </w:tcBorders>
          </w:tcPr>
          <w:p w14:paraId="25F87362" w14:textId="77777777" w:rsidR="00EB3E4D" w:rsidRDefault="00EB3E4D" w:rsidP="00EB3E4D">
            <w:r>
              <w:t>92.0</w:t>
            </w:r>
          </w:p>
        </w:tc>
        <w:tc>
          <w:tcPr>
            <w:tcW w:w="417" w:type="pct"/>
            <w:tcBorders>
              <w:top w:val="nil"/>
              <w:left w:val="nil"/>
              <w:bottom w:val="nil"/>
              <w:right w:val="nil"/>
            </w:tcBorders>
          </w:tcPr>
          <w:p w14:paraId="476F322B" w14:textId="77777777" w:rsidR="00EB3E4D" w:rsidRDefault="00EB3E4D" w:rsidP="00EB3E4D">
            <w:r>
              <w:t>2.9</w:t>
            </w:r>
          </w:p>
        </w:tc>
        <w:tc>
          <w:tcPr>
            <w:tcW w:w="1028" w:type="pct"/>
            <w:tcBorders>
              <w:top w:val="nil"/>
              <w:left w:val="nil"/>
              <w:bottom w:val="nil"/>
              <w:right w:val="nil"/>
            </w:tcBorders>
          </w:tcPr>
          <w:p w14:paraId="0FE484F9" w14:textId="77777777" w:rsidR="00EB3E4D" w:rsidRDefault="00EB3E4D" w:rsidP="00EB3E4D"/>
        </w:tc>
        <w:tc>
          <w:tcPr>
            <w:tcW w:w="854" w:type="pct"/>
            <w:tcBorders>
              <w:top w:val="nil"/>
              <w:left w:val="nil"/>
              <w:bottom w:val="nil"/>
              <w:right w:val="nil"/>
            </w:tcBorders>
          </w:tcPr>
          <w:p w14:paraId="4CCE06C5" w14:textId="77777777" w:rsidR="00EB3E4D" w:rsidRDefault="00EB3E4D" w:rsidP="00EB3E4D">
            <w:r>
              <w:t>2.9</w:t>
            </w:r>
          </w:p>
        </w:tc>
        <w:tc>
          <w:tcPr>
            <w:tcW w:w="1009" w:type="pct"/>
            <w:tcBorders>
              <w:top w:val="nil"/>
              <w:left w:val="nil"/>
              <w:bottom w:val="nil"/>
              <w:right w:val="nil"/>
            </w:tcBorders>
          </w:tcPr>
          <w:p w14:paraId="16E683E4" w14:textId="77777777" w:rsidR="00EB3E4D" w:rsidRDefault="00EB3E4D" w:rsidP="00EB3E4D">
            <w:r>
              <w:t>5.4</w:t>
            </w:r>
          </w:p>
        </w:tc>
      </w:tr>
      <w:tr w:rsidR="00EB3E4D" w14:paraId="75B4BC44" w14:textId="77777777" w:rsidTr="00EB3E4D">
        <w:trPr>
          <w:trHeight w:val="171"/>
        </w:trPr>
        <w:tc>
          <w:tcPr>
            <w:tcW w:w="951" w:type="pct"/>
            <w:tcBorders>
              <w:top w:val="nil"/>
              <w:left w:val="nil"/>
              <w:bottom w:val="nil"/>
              <w:right w:val="nil"/>
            </w:tcBorders>
          </w:tcPr>
          <w:p w14:paraId="5AE8D36A" w14:textId="77777777" w:rsidR="00EB3E4D" w:rsidRPr="00EB3E4D" w:rsidRDefault="00EB3E4D" w:rsidP="00EB3E4D">
            <w:r w:rsidRPr="00EB3E4D">
              <w:t>C</w:t>
            </w:r>
            <w:r w:rsidRPr="00EB3E4D">
              <w:rPr>
                <w:vertAlign w:val="subscript"/>
              </w:rPr>
              <w:t>26:0</w:t>
            </w:r>
            <w:r w:rsidRPr="00EB3E4D">
              <w:t>-C</w:t>
            </w:r>
            <w:r w:rsidRPr="00EB3E4D">
              <w:rPr>
                <w:vertAlign w:val="subscript"/>
              </w:rPr>
              <w:t>16:0</w:t>
            </w:r>
          </w:p>
        </w:tc>
        <w:tc>
          <w:tcPr>
            <w:tcW w:w="741" w:type="pct"/>
            <w:tcBorders>
              <w:top w:val="nil"/>
              <w:left w:val="nil"/>
              <w:bottom w:val="nil"/>
              <w:right w:val="nil"/>
            </w:tcBorders>
          </w:tcPr>
          <w:p w14:paraId="310374E2" w14:textId="77777777" w:rsidR="00EB3E4D" w:rsidRDefault="00EB3E4D" w:rsidP="00EB3E4D">
            <w:r>
              <w:t>25.9</w:t>
            </w:r>
          </w:p>
        </w:tc>
        <w:tc>
          <w:tcPr>
            <w:tcW w:w="417" w:type="pct"/>
            <w:tcBorders>
              <w:top w:val="nil"/>
              <w:left w:val="nil"/>
              <w:bottom w:val="nil"/>
              <w:right w:val="nil"/>
            </w:tcBorders>
          </w:tcPr>
          <w:p w14:paraId="6CA7C0BD" w14:textId="77777777" w:rsidR="00EB3E4D" w:rsidRDefault="00EB3E4D" w:rsidP="00EB3E4D">
            <w:r>
              <w:t>4.3</w:t>
            </w:r>
          </w:p>
        </w:tc>
        <w:tc>
          <w:tcPr>
            <w:tcW w:w="1028" w:type="pct"/>
            <w:tcBorders>
              <w:top w:val="nil"/>
              <w:left w:val="nil"/>
              <w:bottom w:val="nil"/>
              <w:right w:val="nil"/>
            </w:tcBorders>
          </w:tcPr>
          <w:p w14:paraId="7A9A0D2A" w14:textId="77777777" w:rsidR="00EB3E4D" w:rsidRDefault="00EB3E4D" w:rsidP="00EB3E4D"/>
        </w:tc>
        <w:tc>
          <w:tcPr>
            <w:tcW w:w="854" w:type="pct"/>
            <w:tcBorders>
              <w:top w:val="nil"/>
              <w:left w:val="nil"/>
              <w:bottom w:val="nil"/>
              <w:right w:val="nil"/>
            </w:tcBorders>
          </w:tcPr>
          <w:p w14:paraId="02F803DD" w14:textId="77777777" w:rsidR="00EB3E4D" w:rsidRDefault="00EB3E4D" w:rsidP="00EB3E4D">
            <w:r>
              <w:t>4.3</w:t>
            </w:r>
          </w:p>
        </w:tc>
        <w:tc>
          <w:tcPr>
            <w:tcW w:w="1009" w:type="pct"/>
            <w:tcBorders>
              <w:top w:val="nil"/>
              <w:left w:val="nil"/>
              <w:bottom w:val="nil"/>
              <w:right w:val="nil"/>
            </w:tcBorders>
          </w:tcPr>
          <w:p w14:paraId="7FB8F5A5" w14:textId="77777777" w:rsidR="00EB3E4D" w:rsidRDefault="00EB3E4D" w:rsidP="00EB3E4D">
            <w:r>
              <w:t>5.7</w:t>
            </w:r>
          </w:p>
        </w:tc>
      </w:tr>
      <w:tr w:rsidR="00EB3E4D" w14:paraId="48BD8333" w14:textId="77777777" w:rsidTr="00EB3E4D">
        <w:trPr>
          <w:trHeight w:val="172"/>
        </w:trPr>
        <w:tc>
          <w:tcPr>
            <w:tcW w:w="951" w:type="pct"/>
            <w:tcBorders>
              <w:top w:val="nil"/>
              <w:left w:val="nil"/>
              <w:bottom w:val="nil"/>
              <w:right w:val="nil"/>
            </w:tcBorders>
          </w:tcPr>
          <w:p w14:paraId="31A78141" w14:textId="77777777" w:rsidR="00EB3E4D" w:rsidRPr="00EB3E4D" w:rsidRDefault="00EB3E4D" w:rsidP="00EB3E4D">
            <w:r w:rsidRPr="00EB3E4D">
              <w:t>C</w:t>
            </w:r>
            <w:r w:rsidRPr="00EB3E4D">
              <w:rPr>
                <w:vertAlign w:val="subscript"/>
              </w:rPr>
              <w:t>26:0</w:t>
            </w:r>
            <w:r w:rsidRPr="00EB3E4D">
              <w:t>-C</w:t>
            </w:r>
            <w:r w:rsidRPr="00EB3E4D">
              <w:rPr>
                <w:vertAlign w:val="subscript"/>
              </w:rPr>
              <w:t>18:1</w:t>
            </w:r>
          </w:p>
        </w:tc>
        <w:tc>
          <w:tcPr>
            <w:tcW w:w="741" w:type="pct"/>
            <w:tcBorders>
              <w:top w:val="nil"/>
              <w:left w:val="nil"/>
              <w:bottom w:val="nil"/>
              <w:right w:val="nil"/>
            </w:tcBorders>
          </w:tcPr>
          <w:p w14:paraId="02165A88" w14:textId="77777777" w:rsidR="00EB3E4D" w:rsidRDefault="00EB3E4D" w:rsidP="00EB3E4D">
            <w:r>
              <w:t>82.6</w:t>
            </w:r>
          </w:p>
        </w:tc>
        <w:tc>
          <w:tcPr>
            <w:tcW w:w="417" w:type="pct"/>
            <w:tcBorders>
              <w:top w:val="nil"/>
              <w:left w:val="nil"/>
              <w:bottom w:val="nil"/>
              <w:right w:val="nil"/>
            </w:tcBorders>
          </w:tcPr>
          <w:p w14:paraId="2E9BC490" w14:textId="77777777" w:rsidR="00EB3E4D" w:rsidRDefault="00EB3E4D" w:rsidP="00EB3E4D">
            <w:r>
              <w:t>3.0</w:t>
            </w:r>
          </w:p>
        </w:tc>
        <w:tc>
          <w:tcPr>
            <w:tcW w:w="1028" w:type="pct"/>
            <w:tcBorders>
              <w:top w:val="nil"/>
              <w:left w:val="nil"/>
              <w:bottom w:val="nil"/>
              <w:right w:val="nil"/>
            </w:tcBorders>
          </w:tcPr>
          <w:p w14:paraId="28D081C9" w14:textId="77777777" w:rsidR="00EB3E4D" w:rsidRDefault="00EB3E4D" w:rsidP="00EB3E4D"/>
        </w:tc>
        <w:tc>
          <w:tcPr>
            <w:tcW w:w="854" w:type="pct"/>
            <w:tcBorders>
              <w:top w:val="nil"/>
              <w:left w:val="nil"/>
              <w:bottom w:val="nil"/>
              <w:right w:val="nil"/>
            </w:tcBorders>
          </w:tcPr>
          <w:p w14:paraId="620FD2B6" w14:textId="77777777" w:rsidR="00EB3E4D" w:rsidRDefault="00EB3E4D" w:rsidP="00EB3E4D">
            <w:r>
              <w:t>3.0</w:t>
            </w:r>
          </w:p>
        </w:tc>
        <w:tc>
          <w:tcPr>
            <w:tcW w:w="1009" w:type="pct"/>
            <w:tcBorders>
              <w:top w:val="nil"/>
              <w:left w:val="nil"/>
              <w:bottom w:val="nil"/>
              <w:right w:val="nil"/>
            </w:tcBorders>
          </w:tcPr>
          <w:p w14:paraId="14137007" w14:textId="77777777" w:rsidR="00EB3E4D" w:rsidRDefault="00EB3E4D" w:rsidP="00EB3E4D">
            <w:r>
              <w:t>2.4</w:t>
            </w:r>
          </w:p>
        </w:tc>
      </w:tr>
      <w:tr w:rsidR="00EB3E4D" w14:paraId="2638D522" w14:textId="77777777" w:rsidTr="00EB3E4D">
        <w:trPr>
          <w:trHeight w:val="171"/>
        </w:trPr>
        <w:tc>
          <w:tcPr>
            <w:tcW w:w="951" w:type="pct"/>
            <w:tcBorders>
              <w:top w:val="nil"/>
              <w:left w:val="nil"/>
              <w:bottom w:val="nil"/>
              <w:right w:val="nil"/>
            </w:tcBorders>
          </w:tcPr>
          <w:p w14:paraId="295F2062" w14:textId="77777777" w:rsidR="00EB3E4D" w:rsidRPr="00EB3E4D" w:rsidRDefault="00EB3E4D" w:rsidP="00EB3E4D">
            <w:r w:rsidRPr="00EB3E4D">
              <w:t>C</w:t>
            </w:r>
            <w:r w:rsidRPr="00EB3E4D">
              <w:rPr>
                <w:vertAlign w:val="subscript"/>
              </w:rPr>
              <w:t>28:0</w:t>
            </w:r>
            <w:r w:rsidRPr="00EB3E4D">
              <w:t>-C</w:t>
            </w:r>
            <w:r w:rsidRPr="00EB3E4D">
              <w:rPr>
                <w:vertAlign w:val="subscript"/>
              </w:rPr>
              <w:t>16:0</w:t>
            </w:r>
          </w:p>
        </w:tc>
        <w:tc>
          <w:tcPr>
            <w:tcW w:w="741" w:type="pct"/>
            <w:tcBorders>
              <w:top w:val="nil"/>
              <w:left w:val="nil"/>
              <w:bottom w:val="nil"/>
              <w:right w:val="nil"/>
            </w:tcBorders>
          </w:tcPr>
          <w:p w14:paraId="416A15CF" w14:textId="77777777" w:rsidR="00EB3E4D" w:rsidRDefault="00EB3E4D" w:rsidP="00EB3E4D">
            <w:r>
              <w:t>11.4</w:t>
            </w:r>
          </w:p>
        </w:tc>
        <w:tc>
          <w:tcPr>
            <w:tcW w:w="417" w:type="pct"/>
            <w:tcBorders>
              <w:top w:val="nil"/>
              <w:left w:val="nil"/>
              <w:bottom w:val="nil"/>
              <w:right w:val="nil"/>
            </w:tcBorders>
          </w:tcPr>
          <w:p w14:paraId="1DD3879C" w14:textId="77777777" w:rsidR="00EB3E4D" w:rsidRDefault="00EB3E4D" w:rsidP="00EB3E4D">
            <w:r>
              <w:t>4.5</w:t>
            </w:r>
          </w:p>
        </w:tc>
        <w:tc>
          <w:tcPr>
            <w:tcW w:w="1028" w:type="pct"/>
            <w:tcBorders>
              <w:top w:val="nil"/>
              <w:left w:val="nil"/>
              <w:bottom w:val="nil"/>
              <w:right w:val="nil"/>
            </w:tcBorders>
          </w:tcPr>
          <w:p w14:paraId="5706243E" w14:textId="77777777" w:rsidR="00EB3E4D" w:rsidRDefault="00EB3E4D" w:rsidP="00EB3E4D"/>
        </w:tc>
        <w:tc>
          <w:tcPr>
            <w:tcW w:w="854" w:type="pct"/>
            <w:tcBorders>
              <w:top w:val="nil"/>
              <w:left w:val="nil"/>
              <w:bottom w:val="nil"/>
              <w:right w:val="nil"/>
            </w:tcBorders>
          </w:tcPr>
          <w:p w14:paraId="21A93DAF" w14:textId="77777777" w:rsidR="00EB3E4D" w:rsidRDefault="00EB3E4D" w:rsidP="00EB3E4D">
            <w:r>
              <w:t>4.5</w:t>
            </w:r>
          </w:p>
        </w:tc>
        <w:tc>
          <w:tcPr>
            <w:tcW w:w="1009" w:type="pct"/>
            <w:tcBorders>
              <w:top w:val="nil"/>
              <w:left w:val="nil"/>
              <w:bottom w:val="nil"/>
              <w:right w:val="nil"/>
            </w:tcBorders>
          </w:tcPr>
          <w:p w14:paraId="74B03046" w14:textId="77777777" w:rsidR="00EB3E4D" w:rsidRDefault="00EB3E4D" w:rsidP="00EB3E4D">
            <w:r>
              <w:t>6.2</w:t>
            </w:r>
          </w:p>
        </w:tc>
      </w:tr>
      <w:tr w:rsidR="00EB3E4D" w14:paraId="007E8687" w14:textId="77777777" w:rsidTr="00EB3E4D">
        <w:trPr>
          <w:trHeight w:val="171"/>
        </w:trPr>
        <w:tc>
          <w:tcPr>
            <w:tcW w:w="951" w:type="pct"/>
            <w:tcBorders>
              <w:top w:val="nil"/>
              <w:left w:val="nil"/>
              <w:bottom w:val="nil"/>
              <w:right w:val="nil"/>
            </w:tcBorders>
          </w:tcPr>
          <w:p w14:paraId="6D553BCF" w14:textId="77777777" w:rsidR="00EB3E4D" w:rsidRPr="00EB3E4D" w:rsidRDefault="00EB3E4D" w:rsidP="00EB3E4D">
            <w:r w:rsidRPr="00EB3E4D">
              <w:t>C</w:t>
            </w:r>
            <w:r w:rsidRPr="00EB3E4D">
              <w:rPr>
                <w:vertAlign w:val="subscript"/>
              </w:rPr>
              <w:t>28:0</w:t>
            </w:r>
            <w:r w:rsidRPr="00EB3E4D">
              <w:t>-C</w:t>
            </w:r>
            <w:r w:rsidRPr="00EB3E4D">
              <w:rPr>
                <w:vertAlign w:val="subscript"/>
              </w:rPr>
              <w:t>18:1</w:t>
            </w:r>
          </w:p>
        </w:tc>
        <w:tc>
          <w:tcPr>
            <w:tcW w:w="741" w:type="pct"/>
            <w:tcBorders>
              <w:top w:val="nil"/>
              <w:left w:val="nil"/>
              <w:bottom w:val="nil"/>
              <w:right w:val="nil"/>
            </w:tcBorders>
          </w:tcPr>
          <w:p w14:paraId="79E478D2" w14:textId="77777777" w:rsidR="00EB3E4D" w:rsidRDefault="00EB3E4D" w:rsidP="00EB3E4D">
            <w:r>
              <w:t>32.9</w:t>
            </w:r>
          </w:p>
        </w:tc>
        <w:tc>
          <w:tcPr>
            <w:tcW w:w="417" w:type="pct"/>
            <w:tcBorders>
              <w:top w:val="nil"/>
              <w:left w:val="nil"/>
              <w:bottom w:val="nil"/>
              <w:right w:val="nil"/>
            </w:tcBorders>
          </w:tcPr>
          <w:p w14:paraId="4CFBFD9C" w14:textId="77777777" w:rsidR="00EB3E4D" w:rsidRDefault="00EB3E4D" w:rsidP="00EB3E4D">
            <w:r>
              <w:t>2.3</w:t>
            </w:r>
          </w:p>
        </w:tc>
        <w:tc>
          <w:tcPr>
            <w:tcW w:w="1028" w:type="pct"/>
            <w:tcBorders>
              <w:top w:val="nil"/>
              <w:left w:val="nil"/>
              <w:bottom w:val="nil"/>
              <w:right w:val="nil"/>
            </w:tcBorders>
          </w:tcPr>
          <w:p w14:paraId="7A3D241B" w14:textId="77777777" w:rsidR="00EB3E4D" w:rsidRDefault="00EB3E4D" w:rsidP="00EB3E4D"/>
        </w:tc>
        <w:tc>
          <w:tcPr>
            <w:tcW w:w="854" w:type="pct"/>
            <w:tcBorders>
              <w:top w:val="nil"/>
              <w:left w:val="nil"/>
              <w:bottom w:val="nil"/>
              <w:right w:val="nil"/>
            </w:tcBorders>
          </w:tcPr>
          <w:p w14:paraId="169F293B" w14:textId="77777777" w:rsidR="00EB3E4D" w:rsidRDefault="00EB3E4D" w:rsidP="00EB3E4D">
            <w:r>
              <w:t>2.3</w:t>
            </w:r>
          </w:p>
        </w:tc>
        <w:tc>
          <w:tcPr>
            <w:tcW w:w="1009" w:type="pct"/>
            <w:tcBorders>
              <w:top w:val="nil"/>
              <w:left w:val="nil"/>
              <w:bottom w:val="nil"/>
              <w:right w:val="nil"/>
            </w:tcBorders>
          </w:tcPr>
          <w:p w14:paraId="72FD7500" w14:textId="77777777" w:rsidR="00EB3E4D" w:rsidRDefault="00EB3E4D" w:rsidP="00EB3E4D">
            <w:r>
              <w:t>3.3</w:t>
            </w:r>
          </w:p>
        </w:tc>
      </w:tr>
      <w:tr w:rsidR="00EB3E4D" w14:paraId="660036CA" w14:textId="77777777" w:rsidTr="00EB3E4D">
        <w:trPr>
          <w:trHeight w:val="429"/>
        </w:trPr>
        <w:tc>
          <w:tcPr>
            <w:tcW w:w="951" w:type="pct"/>
            <w:tcBorders>
              <w:top w:val="nil"/>
              <w:left w:val="nil"/>
              <w:bottom w:val="single" w:sz="4" w:space="0" w:color="000000"/>
              <w:right w:val="nil"/>
            </w:tcBorders>
          </w:tcPr>
          <w:p w14:paraId="10FB9089" w14:textId="77777777" w:rsidR="00EB3E4D" w:rsidRPr="00EB3E4D" w:rsidRDefault="00EB3E4D" w:rsidP="00EB3E4D">
            <w:pPr>
              <w:rPr>
                <w:b/>
                <w:bCs/>
              </w:rPr>
            </w:pPr>
            <w:r w:rsidRPr="00EB3E4D">
              <w:rPr>
                <w:rFonts w:eastAsia="Calibri"/>
                <w:b/>
                <w:bCs/>
              </w:rPr>
              <w:t>Total waxes</w:t>
            </w:r>
          </w:p>
        </w:tc>
        <w:tc>
          <w:tcPr>
            <w:tcW w:w="741" w:type="pct"/>
            <w:tcBorders>
              <w:top w:val="nil"/>
              <w:left w:val="nil"/>
              <w:bottom w:val="single" w:sz="4" w:space="0" w:color="000000"/>
              <w:right w:val="nil"/>
            </w:tcBorders>
          </w:tcPr>
          <w:p w14:paraId="1DE480AF" w14:textId="77777777" w:rsidR="00EB3E4D" w:rsidRPr="00EB3E4D" w:rsidRDefault="00EB3E4D" w:rsidP="00EB3E4D">
            <w:pPr>
              <w:rPr>
                <w:b/>
                <w:bCs/>
              </w:rPr>
            </w:pPr>
            <w:r w:rsidRPr="00EB3E4D">
              <w:rPr>
                <w:rFonts w:eastAsia="Calibri"/>
                <w:b/>
                <w:bCs/>
              </w:rPr>
              <w:t>313.9</w:t>
            </w:r>
          </w:p>
        </w:tc>
        <w:tc>
          <w:tcPr>
            <w:tcW w:w="417" w:type="pct"/>
            <w:tcBorders>
              <w:top w:val="nil"/>
              <w:left w:val="nil"/>
              <w:bottom w:val="single" w:sz="4" w:space="0" w:color="000000"/>
              <w:right w:val="nil"/>
            </w:tcBorders>
          </w:tcPr>
          <w:p w14:paraId="62297F4B" w14:textId="77777777" w:rsidR="00EB3E4D" w:rsidRPr="00EB3E4D" w:rsidRDefault="00EB3E4D" w:rsidP="00EB3E4D">
            <w:pPr>
              <w:rPr>
                <w:b/>
                <w:bCs/>
              </w:rPr>
            </w:pPr>
            <w:r w:rsidRPr="00EB3E4D">
              <w:rPr>
                <w:rFonts w:eastAsia="Calibri"/>
                <w:b/>
                <w:bCs/>
              </w:rPr>
              <w:t>2.6</w:t>
            </w:r>
          </w:p>
        </w:tc>
        <w:tc>
          <w:tcPr>
            <w:tcW w:w="1028" w:type="pct"/>
            <w:tcBorders>
              <w:top w:val="nil"/>
              <w:left w:val="nil"/>
              <w:bottom w:val="single" w:sz="4" w:space="0" w:color="000000"/>
              <w:right w:val="nil"/>
            </w:tcBorders>
          </w:tcPr>
          <w:p w14:paraId="6D054DE7" w14:textId="77777777" w:rsidR="00EB3E4D" w:rsidRPr="00EB3E4D" w:rsidRDefault="00EB3E4D" w:rsidP="00EB3E4D">
            <w:pPr>
              <w:rPr>
                <w:b/>
                <w:bCs/>
              </w:rPr>
            </w:pPr>
            <w:r w:rsidRPr="00EB3E4D">
              <w:rPr>
                <w:rFonts w:eastAsia="Calibri"/>
                <w:b/>
                <w:bCs/>
              </w:rPr>
              <w:t>96.6</w:t>
            </w:r>
          </w:p>
        </w:tc>
        <w:tc>
          <w:tcPr>
            <w:tcW w:w="854" w:type="pct"/>
            <w:tcBorders>
              <w:top w:val="nil"/>
              <w:left w:val="nil"/>
              <w:bottom w:val="single" w:sz="4" w:space="0" w:color="000000"/>
              <w:right w:val="nil"/>
            </w:tcBorders>
          </w:tcPr>
          <w:p w14:paraId="7F8A7D6B" w14:textId="77777777" w:rsidR="00EB3E4D" w:rsidRPr="00EB3E4D" w:rsidRDefault="00EB3E4D" w:rsidP="00EB3E4D">
            <w:pPr>
              <w:rPr>
                <w:b/>
                <w:bCs/>
              </w:rPr>
            </w:pPr>
            <w:r w:rsidRPr="00EB3E4D">
              <w:rPr>
                <w:rFonts w:eastAsia="Calibri"/>
                <w:b/>
                <w:bCs/>
              </w:rPr>
              <w:t>2.6</w:t>
            </w:r>
          </w:p>
        </w:tc>
        <w:tc>
          <w:tcPr>
            <w:tcW w:w="1009" w:type="pct"/>
            <w:tcBorders>
              <w:top w:val="nil"/>
              <w:left w:val="nil"/>
              <w:bottom w:val="single" w:sz="4" w:space="0" w:color="000000"/>
              <w:right w:val="nil"/>
            </w:tcBorders>
          </w:tcPr>
          <w:p w14:paraId="7EFA5E4A" w14:textId="77777777" w:rsidR="00EB3E4D" w:rsidRPr="00EB3E4D" w:rsidRDefault="00EB3E4D" w:rsidP="00EB3E4D">
            <w:pPr>
              <w:rPr>
                <w:b/>
                <w:bCs/>
              </w:rPr>
            </w:pPr>
            <w:r w:rsidRPr="00EB3E4D">
              <w:rPr>
                <w:rFonts w:eastAsia="Calibri"/>
                <w:b/>
                <w:bCs/>
              </w:rPr>
              <w:t>2.5</w:t>
            </w:r>
          </w:p>
        </w:tc>
      </w:tr>
    </w:tbl>
    <w:p w14:paraId="1FAC523B" w14:textId="0B683C57" w:rsidR="00EB3E4D" w:rsidRDefault="00EB3E4D" w:rsidP="00EB3E4D">
      <w:pPr>
        <w:ind w:left="-15"/>
      </w:pPr>
    </w:p>
    <w:p w14:paraId="3BA44F24" w14:textId="77777777" w:rsidR="00C626F6" w:rsidRDefault="00C626F6" w:rsidP="00020CA7">
      <w:pPr>
        <w:jc w:val="both"/>
      </w:pPr>
    </w:p>
    <w:p w14:paraId="0BFEC766" w14:textId="77777777" w:rsidR="00C626F6" w:rsidRDefault="00C626F6" w:rsidP="00020CA7">
      <w:pPr>
        <w:jc w:val="both"/>
      </w:pPr>
    </w:p>
    <w:p w14:paraId="37798BA4" w14:textId="565C8BC4" w:rsidR="00C626F6" w:rsidRDefault="004C2310" w:rsidP="004C2310">
      <w:pPr>
        <w:pStyle w:val="Heading2"/>
      </w:pPr>
      <w:r w:rsidRPr="004C2310">
        <w:t>REAL-WORLD SAMPLE APPLICATION</w:t>
      </w:r>
    </w:p>
    <w:p w14:paraId="24BFF671" w14:textId="77777777" w:rsidR="00C626F6" w:rsidRDefault="00C626F6" w:rsidP="00020CA7">
      <w:pPr>
        <w:jc w:val="both"/>
      </w:pPr>
    </w:p>
    <w:p w14:paraId="08697B71" w14:textId="509AF4B9" w:rsidR="004C2310" w:rsidRPr="004C2310" w:rsidRDefault="00CE723F" w:rsidP="004C2310">
      <w:pPr>
        <w:jc w:val="both"/>
        <w:rPr>
          <w:lang w:val="en-GB"/>
        </w:rPr>
      </w:pPr>
      <w:r>
        <w:rPr>
          <w:lang w:val="en-GB"/>
        </w:rPr>
        <w:t xml:space="preserve">     </w:t>
      </w:r>
      <w:r w:rsidR="004C2310" w:rsidRPr="004C2310">
        <w:rPr>
          <w:lang w:val="en-GB"/>
        </w:rPr>
        <w:t>The optimized PP SPE FM GC×GC-</w:t>
      </w:r>
      <w:proofErr w:type="spellStart"/>
      <w:r w:rsidR="004C2310" w:rsidRPr="004C2310">
        <w:rPr>
          <w:lang w:val="en-GB"/>
        </w:rPr>
        <w:t>qMS</w:t>
      </w:r>
      <w:proofErr w:type="spellEnd"/>
      <w:r w:rsidR="004C2310" w:rsidRPr="004C2310">
        <w:rPr>
          <w:lang w:val="en-GB"/>
        </w:rPr>
        <w:t>/FID method was then</w:t>
      </w:r>
      <w:r w:rsidR="004C2310">
        <w:rPr>
          <w:lang w:val="en-GB"/>
        </w:rPr>
        <w:t xml:space="preserve"> </w:t>
      </w:r>
      <w:r w:rsidR="004C2310" w:rsidRPr="004C2310">
        <w:rPr>
          <w:lang w:val="en-GB"/>
        </w:rPr>
        <w:t>applied to the analysis of 4 different vegetable oil samples (EVO, HO,</w:t>
      </w:r>
      <w:r w:rsidR="004C2310">
        <w:rPr>
          <w:lang w:val="en-GB"/>
        </w:rPr>
        <w:t xml:space="preserve"> </w:t>
      </w:r>
      <w:r w:rsidR="004C2310" w:rsidRPr="004C2310">
        <w:rPr>
          <w:lang w:val="en-GB"/>
        </w:rPr>
        <w:t xml:space="preserve">EVO/HO, borage oil). Tentative identification was performed </w:t>
      </w:r>
      <w:proofErr w:type="gramStart"/>
      <w:r w:rsidR="004C2310" w:rsidRPr="004C2310">
        <w:rPr>
          <w:lang w:val="en-GB"/>
        </w:rPr>
        <w:t>through</w:t>
      </w:r>
      <w:r w:rsidR="004C2310">
        <w:rPr>
          <w:lang w:val="en-GB"/>
        </w:rPr>
        <w:t xml:space="preserve"> </w:t>
      </w:r>
      <w:r w:rsidR="004C2310" w:rsidRPr="004C2310">
        <w:rPr>
          <w:lang w:val="en-GB"/>
        </w:rPr>
        <w:t>the use of</w:t>
      </w:r>
      <w:proofErr w:type="gramEnd"/>
      <w:r w:rsidR="004C2310" w:rsidRPr="004C2310">
        <w:rPr>
          <w:lang w:val="en-GB"/>
        </w:rPr>
        <w:t xml:space="preserve"> MS databases, linear retention index information (when</w:t>
      </w:r>
      <w:r w:rsidR="004C2310">
        <w:rPr>
          <w:lang w:val="en-GB"/>
        </w:rPr>
        <w:t xml:space="preserve"> </w:t>
      </w:r>
      <w:r w:rsidR="004C2310" w:rsidRPr="004C2310">
        <w:rPr>
          <w:lang w:val="en-GB"/>
        </w:rPr>
        <w:t>available), and specific 2D locations. Qualitative (peak identification)</w:t>
      </w:r>
      <w:r w:rsidR="004C2310">
        <w:rPr>
          <w:lang w:val="en-GB"/>
        </w:rPr>
        <w:t xml:space="preserve"> </w:t>
      </w:r>
      <w:r w:rsidR="004C2310" w:rsidRPr="004C2310">
        <w:rPr>
          <w:lang w:val="en-GB"/>
        </w:rPr>
        <w:t>and quantitative (mg/kg calculated from the FID) data relative to the</w:t>
      </w:r>
      <w:r w:rsidR="004C2310">
        <w:rPr>
          <w:lang w:val="en-GB"/>
        </w:rPr>
        <w:t xml:space="preserve"> </w:t>
      </w:r>
      <w:r w:rsidR="004C2310" w:rsidRPr="004C2310">
        <w:rPr>
          <w:lang w:val="en-GB"/>
        </w:rPr>
        <w:t>vegetable oils are listed in Supplementary Material - Table S1.</w:t>
      </w:r>
      <w:r w:rsidR="004C2310">
        <w:rPr>
          <w:lang w:val="en-GB"/>
        </w:rPr>
        <w:t xml:space="preserve"> </w:t>
      </w:r>
      <w:r w:rsidR="004C2310" w:rsidRPr="004C2310">
        <w:rPr>
          <w:lang w:val="en-GB"/>
        </w:rPr>
        <w:t xml:space="preserve">Apart from the </w:t>
      </w:r>
      <w:proofErr w:type="gramStart"/>
      <w:r w:rsidR="004C2310" w:rsidRPr="004C2310">
        <w:rPr>
          <w:lang w:val="en-GB"/>
        </w:rPr>
        <w:t>aforementioned FAAE</w:t>
      </w:r>
      <w:proofErr w:type="gramEnd"/>
      <w:r w:rsidR="004C2310" w:rsidRPr="004C2310">
        <w:rPr>
          <w:lang w:val="en-GB"/>
        </w:rPr>
        <w:t>, sterol and wax chemical</w:t>
      </w:r>
      <w:r w:rsidR="004C2310">
        <w:rPr>
          <w:lang w:val="en-GB"/>
        </w:rPr>
        <w:t xml:space="preserve"> </w:t>
      </w:r>
      <w:r w:rsidR="004C2310" w:rsidRPr="004C2310">
        <w:rPr>
          <w:lang w:val="en-GB"/>
        </w:rPr>
        <w:t>classes, which were located into specific zones of the 2D plot (Fig. 2),</w:t>
      </w:r>
      <w:r w:rsidR="004C2310">
        <w:rPr>
          <w:lang w:val="en-GB"/>
        </w:rPr>
        <w:t xml:space="preserve"> </w:t>
      </w:r>
      <w:r w:rsidR="004C2310" w:rsidRPr="004C2310">
        <w:rPr>
          <w:lang w:val="en-GB"/>
        </w:rPr>
        <w:t>other compound groups were present. Namely, homologous series of</w:t>
      </w:r>
      <w:r w:rsidR="004C2310">
        <w:rPr>
          <w:lang w:val="en-GB"/>
        </w:rPr>
        <w:t xml:space="preserve"> </w:t>
      </w:r>
      <w:r w:rsidR="004C2310" w:rsidRPr="004C2310">
        <w:rPr>
          <w:lang w:val="en-GB"/>
        </w:rPr>
        <w:t>free alcohols and traces of monoacylglycerols (both as TMS derivatives)</w:t>
      </w:r>
      <w:r w:rsidR="004C2310">
        <w:rPr>
          <w:lang w:val="en-GB"/>
        </w:rPr>
        <w:t xml:space="preserve"> </w:t>
      </w:r>
      <w:r w:rsidR="004C2310" w:rsidRPr="004C2310">
        <w:rPr>
          <w:lang w:val="en-GB"/>
        </w:rPr>
        <w:t>were positioned just below FAAEs and sterols. Squalene isomers and</w:t>
      </w:r>
      <w:r w:rsidR="004C2310">
        <w:rPr>
          <w:lang w:val="en-GB"/>
        </w:rPr>
        <w:t xml:space="preserve"> </w:t>
      </w:r>
      <w:r w:rsidR="004C2310" w:rsidRPr="004C2310">
        <w:rPr>
          <w:lang w:val="en-GB"/>
        </w:rPr>
        <w:t xml:space="preserve">sterols, both oxidized, along with </w:t>
      </w:r>
      <w:proofErr w:type="spellStart"/>
      <w:r w:rsidR="004C2310" w:rsidRPr="004C2310">
        <w:rPr>
          <w:lang w:val="en-GB"/>
        </w:rPr>
        <w:t>steryl</w:t>
      </w:r>
      <w:proofErr w:type="spellEnd"/>
      <w:r w:rsidR="004C2310" w:rsidRPr="004C2310">
        <w:rPr>
          <w:lang w:val="en-GB"/>
        </w:rPr>
        <w:t xml:space="preserve"> acetates, </w:t>
      </w:r>
      <w:proofErr w:type="gramStart"/>
      <w:r w:rsidR="004C2310" w:rsidRPr="004C2310">
        <w:rPr>
          <w:lang w:val="en-GB"/>
        </w:rPr>
        <w:t>were located in</w:t>
      </w:r>
      <w:proofErr w:type="gramEnd"/>
      <w:r w:rsidR="004C2310" w:rsidRPr="004C2310">
        <w:rPr>
          <w:lang w:val="en-GB"/>
        </w:rPr>
        <w:t xml:space="preserve"> the</w:t>
      </w:r>
    </w:p>
    <w:p w14:paraId="69C9ECEA" w14:textId="5A3AFD60" w:rsidR="004C2310" w:rsidRPr="004C2310" w:rsidRDefault="004C2310" w:rsidP="004C2310">
      <w:pPr>
        <w:jc w:val="both"/>
        <w:rPr>
          <w:lang w:val="en-GB"/>
        </w:rPr>
      </w:pPr>
      <w:r w:rsidRPr="004C2310">
        <w:rPr>
          <w:lang w:val="en-GB"/>
        </w:rPr>
        <w:t>middle part of the chromatogram, above the sterols. It must be</w:t>
      </w:r>
      <w:r>
        <w:rPr>
          <w:lang w:val="en-GB"/>
        </w:rPr>
        <w:t xml:space="preserve"> </w:t>
      </w:r>
      <w:r w:rsidRPr="004C2310">
        <w:rPr>
          <w:lang w:val="en-GB"/>
        </w:rPr>
        <w:t>mentioned that many of such peaks were not given a specific name,</w:t>
      </w:r>
      <w:r>
        <w:rPr>
          <w:lang w:val="en-GB"/>
        </w:rPr>
        <w:t xml:space="preserve"> </w:t>
      </w:r>
      <w:r w:rsidRPr="004C2310">
        <w:rPr>
          <w:lang w:val="en-GB"/>
        </w:rPr>
        <w:t>due to the lack of available standards and MS database information.</w:t>
      </w:r>
    </w:p>
    <w:p w14:paraId="705DE772" w14:textId="6DDDF113" w:rsidR="004C2310" w:rsidRPr="004C2310" w:rsidRDefault="004C2310" w:rsidP="004C2310">
      <w:pPr>
        <w:jc w:val="both"/>
        <w:rPr>
          <w:lang w:val="en-GB"/>
        </w:rPr>
      </w:pPr>
      <w:r w:rsidRPr="004C2310">
        <w:rPr>
          <w:lang w:val="en-GB"/>
        </w:rPr>
        <w:t>However, they were tentatively assigned to the family of oxidized and</w:t>
      </w:r>
      <w:r>
        <w:rPr>
          <w:lang w:val="en-GB"/>
        </w:rPr>
        <w:t xml:space="preserve"> </w:t>
      </w:r>
      <w:proofErr w:type="spellStart"/>
      <w:r w:rsidRPr="004C2310">
        <w:rPr>
          <w:lang w:val="en-GB"/>
        </w:rPr>
        <w:t>sterlyl</w:t>
      </w:r>
      <w:proofErr w:type="spellEnd"/>
      <w:r w:rsidRPr="004C2310">
        <w:rPr>
          <w:lang w:val="en-GB"/>
        </w:rPr>
        <w:t xml:space="preserve"> acetates for the specific elution location on the 2D plane and the</w:t>
      </w:r>
      <w:r>
        <w:rPr>
          <w:lang w:val="en-GB"/>
        </w:rPr>
        <w:t xml:space="preserve"> </w:t>
      </w:r>
      <w:r w:rsidRPr="004C2310">
        <w:rPr>
          <w:lang w:val="en-GB"/>
        </w:rPr>
        <w:t>similar fragmentation patterns.</w:t>
      </w:r>
    </w:p>
    <w:p w14:paraId="72B2E9D3" w14:textId="77777777" w:rsidR="004C2310" w:rsidRDefault="004C2310" w:rsidP="004C2310">
      <w:pPr>
        <w:ind w:firstLine="720"/>
        <w:jc w:val="both"/>
        <w:rPr>
          <w:lang w:val="en-GB"/>
        </w:rPr>
      </w:pPr>
      <w:r w:rsidRPr="004C2310">
        <w:rPr>
          <w:lang w:val="en-GB"/>
        </w:rPr>
        <w:t xml:space="preserve">Benzyl and </w:t>
      </w:r>
      <w:proofErr w:type="spellStart"/>
      <w:r w:rsidRPr="004C2310">
        <w:rPr>
          <w:lang w:val="en-GB"/>
        </w:rPr>
        <w:t>phythyl</w:t>
      </w:r>
      <w:proofErr w:type="spellEnd"/>
      <w:r w:rsidRPr="004C2310">
        <w:rPr>
          <w:lang w:val="en-GB"/>
        </w:rPr>
        <w:t xml:space="preserve"> esters eluted between sterols and waxes. Finally,</w:t>
      </w:r>
      <w:r>
        <w:rPr>
          <w:lang w:val="en-GB"/>
        </w:rPr>
        <w:t xml:space="preserve"> </w:t>
      </w:r>
      <w:r w:rsidRPr="004C2310">
        <w:rPr>
          <w:lang w:val="en-GB"/>
        </w:rPr>
        <w:t>a series of siloxanes were present in the lower part of the chromatogram and were not sample-related.</w:t>
      </w:r>
      <w:r>
        <w:rPr>
          <w:lang w:val="en-GB"/>
        </w:rPr>
        <w:t xml:space="preserve"> </w:t>
      </w:r>
    </w:p>
    <w:p w14:paraId="1D92BF83" w14:textId="77777777" w:rsidR="004C2310" w:rsidRDefault="004C2310" w:rsidP="004C2310">
      <w:pPr>
        <w:ind w:firstLine="720"/>
        <w:jc w:val="both"/>
        <w:rPr>
          <w:lang w:val="en-GB"/>
        </w:rPr>
      </w:pPr>
      <w:r w:rsidRPr="004C2310">
        <w:rPr>
          <w:lang w:val="en-GB"/>
        </w:rPr>
        <w:t>The EVO sample was characterized by the highest amount of</w:t>
      </w:r>
      <w:r>
        <w:rPr>
          <w:lang w:val="en-GB"/>
        </w:rPr>
        <w:t xml:space="preserve"> </w:t>
      </w:r>
      <w:r w:rsidRPr="004C2310">
        <w:rPr>
          <w:lang w:val="en-GB"/>
        </w:rPr>
        <w:t>squalene (≈4000 mg/kg, peak 32), α-tocopherol (≈99.5 mg/kg, peak</w:t>
      </w:r>
      <w:r>
        <w:rPr>
          <w:lang w:val="en-GB"/>
        </w:rPr>
        <w:t xml:space="preserve"> </w:t>
      </w:r>
      <w:r w:rsidRPr="004C2310">
        <w:rPr>
          <w:lang w:val="en-GB"/>
        </w:rPr>
        <w:t>62), β-sitosterol (≈779 mg/kg, peak 78), cycloartenol (≈71 mg/kg,</w:t>
      </w:r>
      <w:r>
        <w:rPr>
          <w:lang w:val="en-GB"/>
        </w:rPr>
        <w:t xml:space="preserve"> </w:t>
      </w:r>
      <w:r w:rsidRPr="004C2310">
        <w:rPr>
          <w:lang w:val="en-GB"/>
        </w:rPr>
        <w:t xml:space="preserve">peak 91), 24-methylene-cycloartanol (≈184 mg/kg, peak 95), </w:t>
      </w:r>
      <w:proofErr w:type="spellStart"/>
      <w:r w:rsidRPr="004C2310">
        <w:rPr>
          <w:lang w:val="en-GB"/>
        </w:rPr>
        <w:t>citrosta</w:t>
      </w:r>
      <w:proofErr w:type="spellEnd"/>
      <w:r w:rsidRPr="004C2310">
        <w:rPr>
          <w:lang w:val="en-GB"/>
        </w:rPr>
        <w:t>-</w:t>
      </w:r>
      <w:r>
        <w:rPr>
          <w:lang w:val="en-GB"/>
        </w:rPr>
        <w:t xml:space="preserve"> </w:t>
      </w:r>
      <w:proofErr w:type="spellStart"/>
      <w:r w:rsidRPr="004C2310">
        <w:rPr>
          <w:lang w:val="en-GB"/>
        </w:rPr>
        <w:t>dienol</w:t>
      </w:r>
      <w:proofErr w:type="spellEnd"/>
      <w:r w:rsidRPr="004C2310">
        <w:rPr>
          <w:lang w:val="en-GB"/>
        </w:rPr>
        <w:t xml:space="preserve"> (39 mg/kg, peak 98), free alcohols (≈85 mg/kg), and waxes</w:t>
      </w:r>
      <w:r>
        <w:rPr>
          <w:lang w:val="en-GB"/>
        </w:rPr>
        <w:t xml:space="preserve"> </w:t>
      </w:r>
      <w:r w:rsidRPr="004C2310">
        <w:rPr>
          <w:lang w:val="en-GB"/>
        </w:rPr>
        <w:t>(≈44 mg/kg). The total amounts of free and oxidized sterols, as well as</w:t>
      </w:r>
      <w:r>
        <w:rPr>
          <w:lang w:val="en-GB"/>
        </w:rPr>
        <w:t xml:space="preserve"> </w:t>
      </w:r>
      <w:proofErr w:type="spellStart"/>
      <w:r w:rsidRPr="004C2310">
        <w:rPr>
          <w:lang w:val="en-GB"/>
        </w:rPr>
        <w:t>steryl</w:t>
      </w:r>
      <w:proofErr w:type="spellEnd"/>
      <w:r w:rsidRPr="004C2310">
        <w:rPr>
          <w:lang w:val="en-GB"/>
        </w:rPr>
        <w:t xml:space="preserve"> acetates, were about 1110, 13, and 2 mg/kg, respectively.</w:t>
      </w:r>
      <w:r>
        <w:rPr>
          <w:lang w:val="en-GB"/>
        </w:rPr>
        <w:t xml:space="preserve"> </w:t>
      </w:r>
    </w:p>
    <w:p w14:paraId="26F06061" w14:textId="77777777" w:rsidR="004C2310" w:rsidRDefault="004C2310" w:rsidP="004C2310">
      <w:pPr>
        <w:ind w:firstLine="720"/>
        <w:jc w:val="both"/>
        <w:rPr>
          <w:lang w:val="en-GB"/>
        </w:rPr>
      </w:pPr>
      <w:r w:rsidRPr="004C2310">
        <w:rPr>
          <w:lang w:val="en-GB"/>
        </w:rPr>
        <w:t>The refined HO sample presented lower amounts of squalene</w:t>
      </w:r>
      <w:r>
        <w:rPr>
          <w:lang w:val="en-GB"/>
        </w:rPr>
        <w:t xml:space="preserve"> </w:t>
      </w:r>
      <w:r w:rsidRPr="004C2310">
        <w:rPr>
          <w:lang w:val="en-GB"/>
        </w:rPr>
        <w:t>(≈57 mg/kg), tocopherols (0.7 mg/kg), free sterols (≈202 mg/kg),</w:t>
      </w:r>
      <w:r>
        <w:rPr>
          <w:lang w:val="en-GB"/>
        </w:rPr>
        <w:t xml:space="preserve"> </w:t>
      </w:r>
      <w:r w:rsidRPr="004C2310">
        <w:rPr>
          <w:lang w:val="en-GB"/>
        </w:rPr>
        <w:t>and waxes (≈26 mg/kg) with respect to the EVO sample, but higher</w:t>
      </w:r>
      <w:r>
        <w:rPr>
          <w:lang w:val="en-GB"/>
        </w:rPr>
        <w:t xml:space="preserve"> </w:t>
      </w:r>
      <w:r w:rsidRPr="004C2310">
        <w:rPr>
          <w:lang w:val="en-GB"/>
        </w:rPr>
        <w:t>amounts of octadecenoic acid methyl ester (≈160 mg/kg), along with</w:t>
      </w:r>
      <w:r>
        <w:rPr>
          <w:lang w:val="en-GB"/>
        </w:rPr>
        <w:t xml:space="preserve"> </w:t>
      </w:r>
      <w:proofErr w:type="spellStart"/>
      <w:r w:rsidRPr="004C2310">
        <w:rPr>
          <w:lang w:val="en-GB"/>
        </w:rPr>
        <w:t>steryl</w:t>
      </w:r>
      <w:proofErr w:type="spellEnd"/>
      <w:r w:rsidRPr="004C2310">
        <w:rPr>
          <w:lang w:val="en-GB"/>
        </w:rPr>
        <w:t xml:space="preserve"> acetates (55 mg/kg). Free alcohols were found to be about 5 mg/kg.</w:t>
      </w:r>
    </w:p>
    <w:p w14:paraId="1ECC20CF" w14:textId="77777777" w:rsidR="004C2310" w:rsidRDefault="004C2310" w:rsidP="004C2310">
      <w:pPr>
        <w:ind w:firstLine="720"/>
        <w:jc w:val="both"/>
        <w:rPr>
          <w:lang w:val="en-GB"/>
        </w:rPr>
      </w:pPr>
      <w:r w:rsidRPr="004C2310">
        <w:rPr>
          <w:lang w:val="en-GB"/>
        </w:rPr>
        <w:t>The 2D chromatogram of the mixed sample (EVO, plus 19% of</w:t>
      </w:r>
      <w:r>
        <w:rPr>
          <w:lang w:val="en-GB"/>
        </w:rPr>
        <w:t xml:space="preserve"> </w:t>
      </w:r>
      <w:r w:rsidRPr="004C2310">
        <w:rPr>
          <w:lang w:val="en-GB"/>
        </w:rPr>
        <w:t>refined HO) is reported in Fig. 3,</w:t>
      </w:r>
      <w:r>
        <w:rPr>
          <w:lang w:val="en-GB"/>
        </w:rPr>
        <w:t xml:space="preserve"> </w:t>
      </w:r>
      <w:r w:rsidRPr="004C2310">
        <w:rPr>
          <w:lang w:val="en-GB"/>
        </w:rPr>
        <w:t>with</w:t>
      </w:r>
      <w:r>
        <w:rPr>
          <w:lang w:val="en-GB"/>
        </w:rPr>
        <w:t xml:space="preserve"> </w:t>
      </w:r>
      <w:r w:rsidRPr="004C2310">
        <w:rPr>
          <w:lang w:val="en-GB"/>
        </w:rPr>
        <w:t>the</w:t>
      </w:r>
      <w:r>
        <w:rPr>
          <w:lang w:val="en-GB"/>
        </w:rPr>
        <w:t xml:space="preserve"> </w:t>
      </w:r>
      <w:r w:rsidRPr="004C2310">
        <w:rPr>
          <w:lang w:val="en-GB"/>
        </w:rPr>
        <w:t>related</w:t>
      </w:r>
      <w:r>
        <w:rPr>
          <w:lang w:val="en-GB"/>
        </w:rPr>
        <w:t xml:space="preserve"> </w:t>
      </w:r>
      <w:r w:rsidRPr="004C2310">
        <w:rPr>
          <w:lang w:val="en-GB"/>
        </w:rPr>
        <w:t>qualitative</w:t>
      </w:r>
      <w:r>
        <w:rPr>
          <w:lang w:val="en-GB"/>
        </w:rPr>
        <w:t xml:space="preserve"> </w:t>
      </w:r>
      <w:r w:rsidRPr="004C2310">
        <w:rPr>
          <w:lang w:val="en-GB"/>
        </w:rPr>
        <w:t>and</w:t>
      </w:r>
      <w:r>
        <w:rPr>
          <w:lang w:val="en-GB"/>
        </w:rPr>
        <w:t xml:space="preserve"> </w:t>
      </w:r>
      <w:r w:rsidRPr="004C2310">
        <w:rPr>
          <w:lang w:val="en-GB"/>
        </w:rPr>
        <w:t>quantitative</w:t>
      </w:r>
      <w:r>
        <w:rPr>
          <w:lang w:val="en-GB"/>
        </w:rPr>
        <w:t xml:space="preserve"> </w:t>
      </w:r>
      <w:r w:rsidRPr="004C2310">
        <w:rPr>
          <w:lang w:val="en-GB"/>
        </w:rPr>
        <w:t>data</w:t>
      </w:r>
      <w:r>
        <w:rPr>
          <w:lang w:val="en-GB"/>
        </w:rPr>
        <w:t xml:space="preserve"> </w:t>
      </w:r>
      <w:r w:rsidRPr="004C2310">
        <w:rPr>
          <w:lang w:val="en-GB"/>
        </w:rPr>
        <w:t>listed</w:t>
      </w:r>
      <w:r>
        <w:rPr>
          <w:lang w:val="en-GB"/>
        </w:rPr>
        <w:t xml:space="preserve"> </w:t>
      </w:r>
      <w:r w:rsidRPr="004C2310">
        <w:rPr>
          <w:lang w:val="en-GB"/>
        </w:rPr>
        <w:t>in</w:t>
      </w:r>
      <w:r>
        <w:rPr>
          <w:lang w:val="en-GB"/>
        </w:rPr>
        <w:t xml:space="preserve"> </w:t>
      </w:r>
      <w:r w:rsidRPr="004C2310">
        <w:rPr>
          <w:lang w:val="en-GB"/>
        </w:rPr>
        <w:t>Supplementary Material - Table S1.</w:t>
      </w:r>
    </w:p>
    <w:p w14:paraId="20D59780" w14:textId="3C01F2D1" w:rsidR="004C2310" w:rsidRDefault="004C2310" w:rsidP="004C2310">
      <w:pPr>
        <w:ind w:firstLine="720"/>
        <w:jc w:val="both"/>
        <w:rPr>
          <w:lang w:val="en-GB"/>
        </w:rPr>
      </w:pPr>
      <w:r w:rsidRPr="004C2310">
        <w:rPr>
          <w:lang w:val="en-GB"/>
        </w:rPr>
        <w:t>Obviously, the qualitative/quantitative profile of the mixed sample</w:t>
      </w:r>
      <w:r>
        <w:rPr>
          <w:lang w:val="en-GB"/>
        </w:rPr>
        <w:t xml:space="preserve"> </w:t>
      </w:r>
      <w:r w:rsidRPr="004C2310">
        <w:rPr>
          <w:lang w:val="en-GB"/>
        </w:rPr>
        <w:t>was directly related to the composition of the single oils, even though</w:t>
      </w:r>
      <w:r>
        <w:rPr>
          <w:lang w:val="en-GB"/>
        </w:rPr>
        <w:t xml:space="preserve"> </w:t>
      </w:r>
      <w:r w:rsidRPr="004C2310">
        <w:rPr>
          <w:lang w:val="en-GB"/>
        </w:rPr>
        <w:t>the high degree of similarity between these two lipidic foods complicates the detection of low percentages of HO in EVO. From a</w:t>
      </w:r>
      <w:r>
        <w:rPr>
          <w:lang w:val="en-GB"/>
        </w:rPr>
        <w:t xml:space="preserve"> </w:t>
      </w:r>
      <w:r w:rsidRPr="004C2310">
        <w:rPr>
          <w:lang w:val="en-GB"/>
        </w:rPr>
        <w:t xml:space="preserve">quantitative point of </w:t>
      </w:r>
      <w:r w:rsidRPr="004C2310">
        <w:rPr>
          <w:lang w:val="en-GB"/>
        </w:rPr>
        <w:lastRenderedPageBreak/>
        <w:t>view, it was found that the concentrations of the</w:t>
      </w:r>
      <w:r>
        <w:rPr>
          <w:lang w:val="en-GB"/>
        </w:rPr>
        <w:t xml:space="preserve"> </w:t>
      </w:r>
      <w:r w:rsidRPr="004C2310">
        <w:rPr>
          <w:lang w:val="en-GB"/>
        </w:rPr>
        <w:t>components in the EVO/HO sample reflected the spiking level (19% w/</w:t>
      </w:r>
      <w:r>
        <w:rPr>
          <w:lang w:val="en-GB"/>
        </w:rPr>
        <w:t xml:space="preserve">w HO), </w:t>
      </w:r>
      <w:r w:rsidRPr="004C2310">
        <w:rPr>
          <w:lang w:val="en-GB"/>
        </w:rPr>
        <w:t>with a maximum 20% deviation from the estimated quantity</w:t>
      </w:r>
      <w:r>
        <w:rPr>
          <w:lang w:val="en-GB"/>
        </w:rPr>
        <w:t xml:space="preserve"> </w:t>
      </w:r>
      <w:r w:rsidRPr="004C2310">
        <w:rPr>
          <w:lang w:val="en-GB"/>
        </w:rPr>
        <w:t>(weighted average amounts were calculated).</w:t>
      </w:r>
    </w:p>
    <w:p w14:paraId="76181890" w14:textId="77F665CA" w:rsidR="004C2310" w:rsidRDefault="004C2310" w:rsidP="004C2310">
      <w:pPr>
        <w:jc w:val="both"/>
        <w:rPr>
          <w:lang w:val="en-GB"/>
        </w:rPr>
      </w:pPr>
      <w:r>
        <w:rPr>
          <w:lang w:val="en-GB"/>
        </w:rPr>
        <w:tab/>
      </w:r>
      <w:r w:rsidRPr="004C2310">
        <w:rPr>
          <w:lang w:val="en-GB"/>
        </w:rPr>
        <w:t>Borage oil is often used as a dietary supplement and in pharmaceutical products, since it is an important source of gamma-linolenic</w:t>
      </w:r>
      <w:r>
        <w:rPr>
          <w:lang w:val="en-GB"/>
        </w:rPr>
        <w:t xml:space="preserve"> </w:t>
      </w:r>
      <w:r w:rsidRPr="004C2310">
        <w:rPr>
          <w:lang w:val="en-GB"/>
        </w:rPr>
        <w:t>acid [19]. In fact, the presence of both gamma-linolenic methyl and</w:t>
      </w:r>
      <w:r>
        <w:rPr>
          <w:lang w:val="en-GB"/>
        </w:rPr>
        <w:t xml:space="preserve"> </w:t>
      </w:r>
      <w:r w:rsidRPr="004C2310">
        <w:rPr>
          <w:lang w:val="en-GB"/>
        </w:rPr>
        <w:t>ethyl esters was observed only in borage oil (qualitative/quantitative</w:t>
      </w:r>
      <w:r>
        <w:rPr>
          <w:lang w:val="en-GB"/>
        </w:rPr>
        <w:t xml:space="preserve"> </w:t>
      </w:r>
      <w:r w:rsidRPr="004C2310">
        <w:rPr>
          <w:lang w:val="en-GB"/>
        </w:rPr>
        <w:t>data reported in Supplementary Material - Table S1); furthermore,</w:t>
      </w:r>
      <w:r>
        <w:rPr>
          <w:lang w:val="en-GB"/>
        </w:rPr>
        <w:t xml:space="preserve"> </w:t>
      </w:r>
      <w:r w:rsidRPr="004C2310">
        <w:rPr>
          <w:lang w:val="en-GB"/>
        </w:rPr>
        <w:t>high amounts of sterols were present as can be seen in the expansion</w:t>
      </w:r>
      <w:r>
        <w:rPr>
          <w:lang w:val="en-GB"/>
        </w:rPr>
        <w:t xml:space="preserve"> </w:t>
      </w:r>
      <w:r w:rsidRPr="004C2310">
        <w:rPr>
          <w:lang w:val="en-GB"/>
        </w:rPr>
        <w:t>shown in Fig. 4.</w:t>
      </w:r>
    </w:p>
    <w:p w14:paraId="562BD7C3" w14:textId="3CAE2A14" w:rsidR="004C2310" w:rsidRDefault="004C2310" w:rsidP="004C2310">
      <w:pPr>
        <w:jc w:val="both"/>
        <w:rPr>
          <w:lang w:val="en-GB"/>
        </w:rPr>
      </w:pPr>
      <w:r>
        <w:rPr>
          <w:lang w:val="en-GB"/>
        </w:rPr>
        <w:tab/>
      </w:r>
      <w:r w:rsidRPr="004C2310">
        <w:rPr>
          <w:lang w:val="en-GB"/>
        </w:rPr>
        <w:t>The borage oil was characterized by the highest amounts of</w:t>
      </w:r>
      <w:r>
        <w:rPr>
          <w:lang w:val="en-GB"/>
        </w:rPr>
        <w:t xml:space="preserve"> </w:t>
      </w:r>
      <w:proofErr w:type="spellStart"/>
      <w:r w:rsidRPr="004C2310">
        <w:rPr>
          <w:lang w:val="en-GB"/>
        </w:rPr>
        <w:t>campesterol</w:t>
      </w:r>
      <w:proofErr w:type="spellEnd"/>
      <w:r w:rsidRPr="004C2310">
        <w:rPr>
          <w:lang w:val="en-GB"/>
        </w:rPr>
        <w:t xml:space="preserve"> (316.2 mg/kg), δ-tocopherol (23.7 mg/kg) and </w:t>
      </w:r>
      <w:proofErr w:type="spellStart"/>
      <w:r w:rsidRPr="004C2310">
        <w:rPr>
          <w:lang w:val="en-GB"/>
        </w:rPr>
        <w:t>brassicasterol</w:t>
      </w:r>
      <w:proofErr w:type="spellEnd"/>
      <w:r w:rsidRPr="004C2310">
        <w:rPr>
          <w:lang w:val="en-GB"/>
        </w:rPr>
        <w:t xml:space="preserve"> (4.9 mg/kg), with the last two compounds not found in</w:t>
      </w:r>
      <w:r>
        <w:rPr>
          <w:lang w:val="en-GB"/>
        </w:rPr>
        <w:t xml:space="preserve"> </w:t>
      </w:r>
      <w:r w:rsidRPr="004C2310">
        <w:rPr>
          <w:lang w:val="en-GB"/>
        </w:rPr>
        <w:t>the other</w:t>
      </w:r>
      <w:r>
        <w:rPr>
          <w:lang w:val="en-GB"/>
        </w:rPr>
        <w:t xml:space="preserve"> </w:t>
      </w:r>
      <w:r w:rsidRPr="004C2310">
        <w:rPr>
          <w:lang w:val="en-GB"/>
        </w:rPr>
        <w:t>samples. In general, borage oil was characterized by the highest</w:t>
      </w:r>
      <w:r>
        <w:rPr>
          <w:lang w:val="en-GB"/>
        </w:rPr>
        <w:t xml:space="preserve"> </w:t>
      </w:r>
      <w:r w:rsidRPr="004C2310">
        <w:rPr>
          <w:lang w:val="en-GB"/>
        </w:rPr>
        <w:t>number of sterols (15), with respect to EVO (8) and HO (10), even</w:t>
      </w:r>
      <w:r>
        <w:rPr>
          <w:lang w:val="en-GB"/>
        </w:rPr>
        <w:t xml:space="preserve"> </w:t>
      </w:r>
      <w:r w:rsidRPr="004C2310">
        <w:rPr>
          <w:lang w:val="en-GB"/>
        </w:rPr>
        <w:t xml:space="preserve">though only half of these were </w:t>
      </w:r>
      <w:proofErr w:type="gramStart"/>
      <w:r w:rsidRPr="004C2310">
        <w:rPr>
          <w:lang w:val="en-GB"/>
        </w:rPr>
        <w:t>tentatively-assigned</w:t>
      </w:r>
      <w:proofErr w:type="gramEnd"/>
      <w:r w:rsidRPr="004C2310">
        <w:rPr>
          <w:lang w:val="en-GB"/>
        </w:rPr>
        <w:t xml:space="preserve">. Again, the fragmentation </w:t>
      </w:r>
      <w:proofErr w:type="spellStart"/>
      <w:r w:rsidRPr="004C2310">
        <w:rPr>
          <w:lang w:val="en-GB"/>
        </w:rPr>
        <w:t>behavior</w:t>
      </w:r>
      <w:proofErr w:type="spellEnd"/>
      <w:r w:rsidRPr="004C2310">
        <w:rPr>
          <w:lang w:val="en-GB"/>
        </w:rPr>
        <w:t xml:space="preserve"> and the location on the 2D plane of such</w:t>
      </w:r>
      <w:r>
        <w:rPr>
          <w:lang w:val="en-GB"/>
        </w:rPr>
        <w:t xml:space="preserve"> </w:t>
      </w:r>
      <w:r w:rsidRPr="004C2310">
        <w:rPr>
          <w:lang w:val="en-GB"/>
        </w:rPr>
        <w:t xml:space="preserve">compounds provided an indication of the chemical class. </w:t>
      </w:r>
      <w:proofErr w:type="gramStart"/>
      <w:r w:rsidRPr="004C2310">
        <w:rPr>
          <w:lang w:val="en-GB"/>
        </w:rPr>
        <w:t>In particular,</w:t>
      </w:r>
      <w:r>
        <w:rPr>
          <w:lang w:val="en-GB"/>
        </w:rPr>
        <w:t xml:space="preserve"> </w:t>
      </w:r>
      <w:r w:rsidRPr="004C2310">
        <w:rPr>
          <w:lang w:val="en-GB"/>
        </w:rPr>
        <w:t>borage</w:t>
      </w:r>
      <w:proofErr w:type="gramEnd"/>
      <w:r w:rsidRPr="004C2310">
        <w:rPr>
          <w:lang w:val="en-GB"/>
        </w:rPr>
        <w:t xml:space="preserve"> oil contained the highest concentration of </w:t>
      </w:r>
      <w:proofErr w:type="spellStart"/>
      <w:r w:rsidRPr="004C2310">
        <w:rPr>
          <w:lang w:val="en-GB"/>
        </w:rPr>
        <w:t>steryl</w:t>
      </w:r>
      <w:proofErr w:type="spellEnd"/>
      <w:r w:rsidRPr="004C2310">
        <w:rPr>
          <w:lang w:val="en-GB"/>
        </w:rPr>
        <w:t xml:space="preserve"> acetates</w:t>
      </w:r>
      <w:r>
        <w:rPr>
          <w:lang w:val="en-GB"/>
        </w:rPr>
        <w:t xml:space="preserve"> </w:t>
      </w:r>
      <w:r w:rsidRPr="004C2310">
        <w:rPr>
          <w:lang w:val="en-GB"/>
        </w:rPr>
        <w:t>(≈45 mg/kg), positioned on the upper left side of the IS α-cholestanol</w:t>
      </w:r>
      <w:r>
        <w:rPr>
          <w:lang w:val="en-GB"/>
        </w:rPr>
        <w:t xml:space="preserve"> </w:t>
      </w:r>
      <w:r w:rsidRPr="004C2310">
        <w:rPr>
          <w:lang w:val="en-GB"/>
        </w:rPr>
        <w:t>(peak 64), on the 2D plane (Fig. 4).</w:t>
      </w:r>
    </w:p>
    <w:p w14:paraId="7FA4FFCD" w14:textId="4D75DA60" w:rsidR="004C2310" w:rsidRDefault="004C2310" w:rsidP="004C2310">
      <w:pPr>
        <w:jc w:val="both"/>
        <w:rPr>
          <w:lang w:val="en-GB"/>
        </w:rPr>
      </w:pPr>
      <w:r>
        <w:rPr>
          <w:lang w:val="en-GB"/>
        </w:rPr>
        <w:tab/>
      </w:r>
      <w:r w:rsidRPr="004C2310">
        <w:rPr>
          <w:lang w:val="en-GB"/>
        </w:rPr>
        <w:t>As aforementioned, a relatively short primary column was selected</w:t>
      </w:r>
      <w:r>
        <w:rPr>
          <w:lang w:val="en-GB"/>
        </w:rPr>
        <w:t xml:space="preserve"> </w:t>
      </w:r>
      <w:r w:rsidRPr="004C2310">
        <w:rPr>
          <w:lang w:val="en-GB"/>
        </w:rPr>
        <w:t>to enable the elution of the high boiling-point components, with the</w:t>
      </w:r>
      <w:r>
        <w:rPr>
          <w:lang w:val="en-GB"/>
        </w:rPr>
        <w:t xml:space="preserve"> </w:t>
      </w:r>
      <w:r w:rsidRPr="004C2310">
        <w:rPr>
          <w:lang w:val="en-GB"/>
        </w:rPr>
        <w:t>obvious main disadvantage of such a choice being the reduced first-dimension separation power, which caused a series of co-</w:t>
      </w:r>
      <w:proofErr w:type="spellStart"/>
      <w:r w:rsidRPr="004C2310">
        <w:rPr>
          <w:lang w:val="en-GB"/>
        </w:rPr>
        <w:t>elutions</w:t>
      </w:r>
      <w:proofErr w:type="spellEnd"/>
      <w:r w:rsidRPr="004C2310">
        <w:rPr>
          <w:lang w:val="en-GB"/>
        </w:rPr>
        <w:t xml:space="preserve">, </w:t>
      </w:r>
      <w:proofErr w:type="gramStart"/>
      <w:r w:rsidRPr="004C2310">
        <w:rPr>
          <w:lang w:val="en-GB"/>
        </w:rPr>
        <w:t>in</w:t>
      </w:r>
      <w:r>
        <w:rPr>
          <w:lang w:val="en-GB"/>
        </w:rPr>
        <w:t xml:space="preserve"> </w:t>
      </w:r>
      <w:r w:rsidRPr="004C2310">
        <w:rPr>
          <w:lang w:val="en-GB"/>
        </w:rPr>
        <w:t>particular in</w:t>
      </w:r>
      <w:proofErr w:type="gramEnd"/>
      <w:r w:rsidRPr="004C2310">
        <w:rPr>
          <w:lang w:val="en-GB"/>
        </w:rPr>
        <w:t xml:space="preserve"> the sterol zone (Fig. 4). Even though peak overlapping did</w:t>
      </w:r>
      <w:r>
        <w:rPr>
          <w:lang w:val="en-GB"/>
        </w:rPr>
        <w:t xml:space="preserve"> </w:t>
      </w:r>
      <w:r w:rsidRPr="004C2310">
        <w:rPr>
          <w:lang w:val="en-GB"/>
        </w:rPr>
        <w:t>hinder the quantification of specific sterols (compounds marked with *in Table S1), it did not obstruct tentative identification.</w:t>
      </w:r>
    </w:p>
    <w:p w14:paraId="1C9AE79E" w14:textId="77777777" w:rsidR="004C2310" w:rsidRDefault="004C2310" w:rsidP="004C2310">
      <w:pPr>
        <w:jc w:val="both"/>
        <w:rPr>
          <w:lang w:val="en-GB"/>
        </w:rPr>
      </w:pPr>
    </w:p>
    <w:p w14:paraId="0A7D64D8" w14:textId="1E0C0054" w:rsidR="001A584B" w:rsidRDefault="004C2310" w:rsidP="001A584B">
      <w:pPr>
        <w:jc w:val="center"/>
        <w:rPr>
          <w:lang w:val="en-GB"/>
        </w:rPr>
      </w:pPr>
      <w:r>
        <w:rPr>
          <w:noProof/>
        </w:rPr>
        <w:drawing>
          <wp:inline distT="0" distB="0" distL="0" distR="0" wp14:anchorId="4D756B8F" wp14:editId="3A2C9A0C">
            <wp:extent cx="4556760" cy="3422904"/>
            <wp:effectExtent l="0" t="0" r="0" b="0"/>
            <wp:docPr id="20468" name="Picture 20468" descr="A close-up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0468" name="Picture 20468" descr="A close-up of a graph&#10;&#10;AI-generated content may be incorrect."/>
                    <pic:cNvPicPr/>
                  </pic:nvPicPr>
                  <pic:blipFill>
                    <a:blip r:embed="rId11"/>
                    <a:stretch>
                      <a:fillRect/>
                    </a:stretch>
                  </pic:blipFill>
                  <pic:spPr>
                    <a:xfrm>
                      <a:off x="0" y="0"/>
                      <a:ext cx="4556760" cy="3422904"/>
                    </a:xfrm>
                    <a:prstGeom prst="rect">
                      <a:avLst/>
                    </a:prstGeom>
                  </pic:spPr>
                </pic:pic>
              </a:graphicData>
            </a:graphic>
          </wp:inline>
        </w:drawing>
      </w:r>
    </w:p>
    <w:p w14:paraId="16C3F1DC" w14:textId="77777777" w:rsidR="00680BD9" w:rsidRDefault="00680BD9" w:rsidP="001A584B">
      <w:pPr>
        <w:jc w:val="center"/>
        <w:rPr>
          <w:lang w:val="en-GB"/>
        </w:rPr>
      </w:pPr>
    </w:p>
    <w:p w14:paraId="2BA49CA2" w14:textId="47DB83A1" w:rsidR="00CE723F" w:rsidRPr="00ED08BF" w:rsidRDefault="001A584B" w:rsidP="00560D64">
      <w:pPr>
        <w:rPr>
          <w:sz w:val="20"/>
          <w:szCs w:val="20"/>
          <w:lang w:val="en-GB"/>
        </w:rPr>
      </w:pPr>
      <w:r w:rsidRPr="001A584B">
        <w:rPr>
          <w:b/>
          <w:bCs/>
          <w:sz w:val="20"/>
          <w:szCs w:val="20"/>
          <w:lang w:val="en-GB"/>
        </w:rPr>
        <w:t xml:space="preserve">Fig. </w:t>
      </w:r>
      <w:r w:rsidR="004C2310">
        <w:rPr>
          <w:b/>
          <w:bCs/>
          <w:sz w:val="20"/>
          <w:szCs w:val="20"/>
          <w:lang w:val="en-GB"/>
        </w:rPr>
        <w:t>3</w:t>
      </w:r>
      <w:r w:rsidRPr="001A584B">
        <w:rPr>
          <w:b/>
          <w:bCs/>
          <w:sz w:val="20"/>
          <w:szCs w:val="20"/>
          <w:lang w:val="en-GB"/>
        </w:rPr>
        <w:t>.</w:t>
      </w:r>
      <w:r w:rsidRPr="001A584B">
        <w:rPr>
          <w:sz w:val="20"/>
          <w:szCs w:val="20"/>
          <w:lang w:val="en-GB"/>
        </w:rPr>
        <w:t xml:space="preserve"> </w:t>
      </w:r>
      <w:r w:rsidR="004C2310">
        <w:t>FM GC×GC-FID chromatogram of the EVO/19% HO mixture. For peak identi</w:t>
      </w:r>
      <w:r w:rsidR="004C2310">
        <w:rPr>
          <w:rFonts w:ascii="Calibri" w:eastAsia="Calibri" w:hAnsi="Calibri" w:cs="Calibri"/>
        </w:rPr>
        <w:t>fi</w:t>
      </w:r>
      <w:r w:rsidR="004C2310">
        <w:t xml:space="preserve">cation refer to </w:t>
      </w:r>
      <w:r w:rsidR="004C2310">
        <w:rPr>
          <w:color w:val="4D7897"/>
        </w:rPr>
        <w:t>Supplementary Material - Table S1</w:t>
      </w:r>
      <w:r w:rsidR="004C2310">
        <w:t>.</w:t>
      </w:r>
    </w:p>
    <w:p w14:paraId="060E4328" w14:textId="77777777" w:rsidR="009D2383" w:rsidRDefault="009D2383" w:rsidP="00020CA7">
      <w:pPr>
        <w:jc w:val="both"/>
        <w:rPr>
          <w:lang w:val="en-GB"/>
        </w:rPr>
      </w:pPr>
    </w:p>
    <w:p w14:paraId="722012FC" w14:textId="7A100BF0" w:rsidR="00ED08BF" w:rsidRDefault="004C2310" w:rsidP="00020CA7">
      <w:pPr>
        <w:jc w:val="both"/>
        <w:rPr>
          <w:lang w:val="en-GB"/>
        </w:rPr>
      </w:pPr>
      <w:r>
        <w:rPr>
          <w:noProof/>
        </w:rPr>
        <w:lastRenderedPageBreak/>
        <w:drawing>
          <wp:inline distT="0" distB="0" distL="0" distR="0" wp14:anchorId="54A6DE30" wp14:editId="66D68FF2">
            <wp:extent cx="4556760" cy="3419856"/>
            <wp:effectExtent l="0" t="0" r="0" b="0"/>
            <wp:docPr id="20470" name="Picture 20470" descr="A close-up of a pink and purpl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0470" name="Picture 20470" descr="A close-up of a pink and purple background&#10;&#10;AI-generated content may be incorrect."/>
                    <pic:cNvPicPr/>
                  </pic:nvPicPr>
                  <pic:blipFill>
                    <a:blip r:embed="rId12"/>
                    <a:stretch>
                      <a:fillRect/>
                    </a:stretch>
                  </pic:blipFill>
                  <pic:spPr>
                    <a:xfrm>
                      <a:off x="0" y="0"/>
                      <a:ext cx="4556760" cy="3419856"/>
                    </a:xfrm>
                    <a:prstGeom prst="rect">
                      <a:avLst/>
                    </a:prstGeom>
                  </pic:spPr>
                </pic:pic>
              </a:graphicData>
            </a:graphic>
          </wp:inline>
        </w:drawing>
      </w:r>
    </w:p>
    <w:p w14:paraId="03E27D75" w14:textId="5ED93F68" w:rsidR="00247C68" w:rsidRDefault="00247C68" w:rsidP="00020CA7">
      <w:pPr>
        <w:jc w:val="both"/>
        <w:rPr>
          <w:lang w:val="en-GB"/>
        </w:rPr>
      </w:pPr>
    </w:p>
    <w:p w14:paraId="32C53849" w14:textId="4AEAB5DF" w:rsidR="00247C68" w:rsidRDefault="00247C68" w:rsidP="00560D64">
      <w:pPr>
        <w:rPr>
          <w:lang w:val="en-GB"/>
        </w:rPr>
      </w:pPr>
      <w:r w:rsidRPr="00247C68">
        <w:rPr>
          <w:b/>
          <w:bCs/>
          <w:lang w:val="en-GB"/>
        </w:rPr>
        <w:t>Fig. 4.</w:t>
      </w:r>
      <w:r>
        <w:rPr>
          <w:lang w:val="en-GB"/>
        </w:rPr>
        <w:t xml:space="preserve"> </w:t>
      </w:r>
      <w:r w:rsidR="004C2310">
        <w:t xml:space="preserve">FM GC×GC-FID chromatogram expansion highlighting the borage oil </w:t>
      </w:r>
      <w:r w:rsidR="004C2310">
        <w:rPr>
          <w:rFonts w:ascii="Calibri" w:eastAsia="Calibri" w:hAnsi="Calibri" w:cs="Calibri"/>
        </w:rPr>
        <w:t>“</w:t>
      </w:r>
      <w:r w:rsidR="004C2310">
        <w:t>sterol zone</w:t>
      </w:r>
      <w:r w:rsidR="004C2310">
        <w:rPr>
          <w:rFonts w:ascii="Calibri" w:eastAsia="Calibri" w:hAnsi="Calibri" w:cs="Calibri"/>
        </w:rPr>
        <w:t>”</w:t>
      </w:r>
      <w:r w:rsidR="004C2310">
        <w:t>. For peak identi</w:t>
      </w:r>
      <w:r w:rsidR="004C2310">
        <w:rPr>
          <w:rFonts w:ascii="Calibri" w:eastAsia="Calibri" w:hAnsi="Calibri" w:cs="Calibri"/>
        </w:rPr>
        <w:t>fi</w:t>
      </w:r>
      <w:r w:rsidR="004C2310">
        <w:t xml:space="preserve">cation refer to </w:t>
      </w:r>
      <w:r w:rsidR="004C2310">
        <w:rPr>
          <w:color w:val="4D7897"/>
        </w:rPr>
        <w:t>Supplementary Material - Table S1</w:t>
      </w:r>
      <w:r w:rsidR="004C2310">
        <w:t>.</w:t>
      </w:r>
    </w:p>
    <w:p w14:paraId="007C28FB" w14:textId="77777777" w:rsidR="000F4F69" w:rsidRDefault="000F4F69" w:rsidP="0074714C">
      <w:pPr>
        <w:pStyle w:val="BodyText"/>
        <w:spacing w:before="8" w:line="232" w:lineRule="auto"/>
        <w:ind w:left="0"/>
        <w:rPr>
          <w:rFonts w:asciiTheme="minorHAnsi" w:hAnsiTheme="minorHAnsi" w:cstheme="minorHAnsi"/>
          <w:sz w:val="22"/>
          <w:szCs w:val="22"/>
        </w:rPr>
      </w:pPr>
    </w:p>
    <w:p w14:paraId="363CD237" w14:textId="77777777" w:rsidR="000F4F69" w:rsidRPr="005A517B" w:rsidRDefault="000F4F69" w:rsidP="000F4F69">
      <w:pPr>
        <w:pStyle w:val="Heading1"/>
      </w:pPr>
      <w:r w:rsidRPr="005A517B">
        <w:t>Conclusion</w:t>
      </w:r>
    </w:p>
    <w:p w14:paraId="56596830" w14:textId="77777777" w:rsidR="000F4F69" w:rsidRPr="00763248" w:rsidRDefault="000F4F69" w:rsidP="000F4F69">
      <w:pPr>
        <w:pStyle w:val="BodyText"/>
        <w:spacing w:before="50"/>
        <w:ind w:left="0"/>
        <w:rPr>
          <w:rFonts w:asciiTheme="minorHAnsi" w:hAnsiTheme="minorHAnsi" w:cstheme="minorHAnsi"/>
          <w:b/>
          <w:sz w:val="22"/>
          <w:szCs w:val="22"/>
        </w:rPr>
      </w:pPr>
    </w:p>
    <w:p w14:paraId="06DC7C9D" w14:textId="04C8B5B3" w:rsidR="0074714C" w:rsidRDefault="000C3D28" w:rsidP="0074714C">
      <w:pPr>
        <w:spacing w:after="205"/>
        <w:ind w:left="-15"/>
      </w:pPr>
      <w:r>
        <w:rPr>
          <w:rFonts w:cstheme="minorHAnsi"/>
        </w:rPr>
        <w:t xml:space="preserve">     </w:t>
      </w:r>
      <w:r w:rsidR="0074714C">
        <w:t xml:space="preserve">The present research can be considered as a </w:t>
      </w:r>
      <w:r w:rsidR="0074714C">
        <w:rPr>
          <w:rFonts w:ascii="Calibri" w:eastAsia="Calibri" w:hAnsi="Calibri" w:cs="Calibri"/>
        </w:rPr>
        <w:t>“</w:t>
      </w:r>
      <w:r w:rsidR="0074714C">
        <w:t>green</w:t>
      </w:r>
      <w:r w:rsidR="0074714C">
        <w:rPr>
          <w:rFonts w:ascii="Calibri" w:eastAsia="Calibri" w:hAnsi="Calibri" w:cs="Calibri"/>
        </w:rPr>
        <w:t xml:space="preserve">” </w:t>
      </w:r>
      <w:r w:rsidR="0074714C">
        <w:t xml:space="preserve">evolution of existing approaches </w:t>
      </w:r>
      <w:r w:rsidR="0074714C">
        <w:rPr>
          <w:color w:val="4D7897"/>
        </w:rPr>
        <w:t>[2,4,10,11]</w:t>
      </w:r>
      <w:r w:rsidR="0074714C">
        <w:t>, used for the analysis of minor components in vegetable oils. Speci</w:t>
      </w:r>
      <w:r w:rsidR="0074714C">
        <w:rPr>
          <w:rFonts w:ascii="Calibri" w:eastAsia="Calibri" w:hAnsi="Calibri" w:cs="Calibri"/>
        </w:rPr>
        <w:t>fi</w:t>
      </w:r>
      <w:r w:rsidR="0074714C">
        <w:t xml:space="preserve">cally, sample preparation was performed by using </w:t>
      </w:r>
      <w:r w:rsidR="0074714C">
        <w:rPr>
          <w:rFonts w:ascii="Times New Roman" w:hAnsi="Times New Roman"/>
        </w:rPr>
        <w:t xml:space="preserve">circa </w:t>
      </w:r>
      <w:r w:rsidR="0074714C">
        <w:t xml:space="preserve">10 times </w:t>
      </w:r>
      <w:proofErr w:type="gramStart"/>
      <w:r w:rsidR="0074714C">
        <w:t>less</w:t>
      </w:r>
      <w:proofErr w:type="gramEnd"/>
      <w:r w:rsidR="0074714C">
        <w:t xml:space="preserve"> organic solvents, while </w:t>
      </w:r>
      <w:proofErr w:type="spellStart"/>
      <w:r w:rsidR="0074714C">
        <w:t>GC×GCqMS</w:t>
      </w:r>
      <w:proofErr w:type="spellEnd"/>
      <w:r w:rsidR="0074714C">
        <w:t xml:space="preserve">/FID analysis was carried out without the need of cryogenic </w:t>
      </w:r>
      <w:r w:rsidR="0074714C">
        <w:rPr>
          <w:rFonts w:ascii="Calibri" w:eastAsia="Calibri" w:hAnsi="Calibri" w:cs="Calibri"/>
        </w:rPr>
        <w:t>fl</w:t>
      </w:r>
      <w:r w:rsidR="0074714C">
        <w:t xml:space="preserve">uids. Not only, </w:t>
      </w:r>
      <w:proofErr w:type="gramStart"/>
      <w:r w:rsidR="0074714C">
        <w:t>the hardware cost of the FM device herein used</w:t>
      </w:r>
      <w:proofErr w:type="gramEnd"/>
      <w:r w:rsidR="0074714C">
        <w:t xml:space="preserve"> is much lower than </w:t>
      </w:r>
      <w:proofErr w:type="gramStart"/>
      <w:r w:rsidR="0074714C">
        <w:t>commercially-available</w:t>
      </w:r>
      <w:proofErr w:type="gramEnd"/>
      <w:r w:rsidR="0074714C">
        <w:t xml:space="preserve"> cryogenic-based systems. Future research</w:t>
      </w:r>
      <w:r w:rsidR="0074714C" w:rsidRPr="0074714C">
        <w:t xml:space="preserve"> </w:t>
      </w:r>
      <w:r w:rsidR="0074714C">
        <w:t>will be devoted to the use of the PP SPE FM GC×GC-</w:t>
      </w:r>
      <w:proofErr w:type="spellStart"/>
      <w:r w:rsidR="0074714C">
        <w:t>qMS</w:t>
      </w:r>
      <w:proofErr w:type="spellEnd"/>
      <w:r w:rsidR="0074714C">
        <w:t>/FID method herein proposed, to a high number of vegetable oils, for detailed studies on quality and authenticity.</w:t>
      </w:r>
    </w:p>
    <w:p w14:paraId="74C890FC" w14:textId="53A53AAC" w:rsidR="0074714C" w:rsidRDefault="0074714C" w:rsidP="0074714C">
      <w:pPr>
        <w:ind w:left="-15"/>
      </w:pPr>
    </w:p>
    <w:p w14:paraId="40C2AAEC" w14:textId="77777777" w:rsidR="000F4F69" w:rsidRDefault="000F4F69" w:rsidP="000F4F69">
      <w:pPr>
        <w:pStyle w:val="BodyText"/>
        <w:spacing w:before="8" w:line="232" w:lineRule="auto"/>
        <w:ind w:left="0"/>
        <w:rPr>
          <w:rFonts w:asciiTheme="minorHAnsi" w:hAnsiTheme="minorHAnsi" w:cstheme="minorHAnsi"/>
          <w:sz w:val="22"/>
          <w:szCs w:val="22"/>
        </w:rPr>
      </w:pPr>
    </w:p>
    <w:p w14:paraId="0723FF92" w14:textId="01E970CF" w:rsidR="000F4F69" w:rsidRPr="00A91B58" w:rsidRDefault="0074714C" w:rsidP="000F4F69">
      <w:pPr>
        <w:pStyle w:val="Heading1"/>
      </w:pPr>
      <w:r w:rsidRPr="0074714C">
        <w:t xml:space="preserve">Conflict of </w:t>
      </w:r>
      <w:r>
        <w:t>i</w:t>
      </w:r>
      <w:r w:rsidR="000F4F69" w:rsidRPr="00A91B58">
        <w:t>nterest</w:t>
      </w:r>
    </w:p>
    <w:p w14:paraId="0B1043BB" w14:textId="77777777" w:rsidR="000F4F69" w:rsidRDefault="000F4F69" w:rsidP="000F4F69">
      <w:pPr>
        <w:pStyle w:val="BodyText"/>
        <w:spacing w:before="23"/>
        <w:ind w:left="0"/>
        <w:rPr>
          <w:rFonts w:asciiTheme="minorHAnsi" w:hAnsiTheme="minorHAnsi" w:cstheme="minorHAnsi"/>
          <w:sz w:val="22"/>
          <w:szCs w:val="22"/>
        </w:rPr>
      </w:pPr>
    </w:p>
    <w:p w14:paraId="3E945CEA" w14:textId="77777777" w:rsidR="0074714C" w:rsidRDefault="00C74664" w:rsidP="0074714C">
      <w:pPr>
        <w:spacing w:after="198"/>
        <w:ind w:left="249"/>
      </w:pPr>
      <w:r>
        <w:rPr>
          <w:rFonts w:cstheme="minorHAnsi"/>
          <w:lang w:val="en-GB"/>
        </w:rPr>
        <w:t xml:space="preserve">    </w:t>
      </w:r>
      <w:r w:rsidR="0074714C">
        <w:t>The authors declare no con</w:t>
      </w:r>
      <w:r w:rsidR="0074714C">
        <w:rPr>
          <w:rFonts w:ascii="Calibri" w:eastAsia="Calibri" w:hAnsi="Calibri" w:cs="Calibri"/>
        </w:rPr>
        <w:t>fl</w:t>
      </w:r>
      <w:r w:rsidR="0074714C">
        <w:t>ict of interest.</w:t>
      </w:r>
    </w:p>
    <w:p w14:paraId="03023AD1" w14:textId="5CBD5F2A" w:rsidR="001C0047" w:rsidRDefault="001C0047" w:rsidP="000F4F69">
      <w:pPr>
        <w:pStyle w:val="BodyText"/>
        <w:spacing w:before="23"/>
        <w:ind w:left="0"/>
        <w:rPr>
          <w:rFonts w:asciiTheme="minorHAnsi" w:hAnsiTheme="minorHAnsi" w:cstheme="minorHAnsi"/>
          <w:sz w:val="22"/>
          <w:szCs w:val="22"/>
          <w:lang w:val="en-GB"/>
        </w:rPr>
      </w:pPr>
    </w:p>
    <w:p w14:paraId="01B6CEBB" w14:textId="7BCFE628" w:rsidR="001C0047" w:rsidRPr="00A91B58" w:rsidRDefault="0074714C" w:rsidP="001C0047">
      <w:pPr>
        <w:pStyle w:val="Heading1"/>
      </w:pPr>
      <w:r w:rsidRPr="0074714C">
        <w:t>Appendix A. Supplementary material</w:t>
      </w:r>
    </w:p>
    <w:p w14:paraId="50B94EB9" w14:textId="77777777" w:rsidR="001C0047" w:rsidRPr="007A214D" w:rsidRDefault="001C0047" w:rsidP="001C0047">
      <w:pPr>
        <w:pStyle w:val="BodyText"/>
        <w:spacing w:before="23"/>
        <w:rPr>
          <w:rFonts w:cstheme="minorHAnsi"/>
          <w:lang w:val="en-GB"/>
        </w:rPr>
      </w:pPr>
    </w:p>
    <w:p w14:paraId="4B07B4FB" w14:textId="01C4D01D" w:rsidR="001C0047" w:rsidRPr="001C0047" w:rsidRDefault="00C74664" w:rsidP="00560D64">
      <w:pPr>
        <w:rPr>
          <w:rFonts w:cstheme="minorHAnsi"/>
          <w:lang w:val="en-GB"/>
        </w:rPr>
      </w:pPr>
      <w:r>
        <w:rPr>
          <w:rFonts w:cstheme="minorHAnsi"/>
          <w:lang w:val="en-GB"/>
        </w:rPr>
        <w:t xml:space="preserve">     </w:t>
      </w:r>
      <w:r w:rsidR="0074714C">
        <w:t xml:space="preserve">Supplementary data associated with this article can be found in the online version at </w:t>
      </w:r>
      <w:hyperlink r:id="rId13">
        <w:r w:rsidR="0074714C">
          <w:rPr>
            <w:color w:val="4D7897"/>
          </w:rPr>
          <w:t>http://dx.doi.org/10.1016/j.talanta.2017.01.009</w:t>
        </w:r>
      </w:hyperlink>
      <w:r w:rsidR="0074714C">
        <w:t>.</w:t>
      </w:r>
    </w:p>
    <w:p w14:paraId="5DAB02CA" w14:textId="77777777" w:rsidR="001C0047" w:rsidRPr="00763248" w:rsidRDefault="001C0047" w:rsidP="000F4F69">
      <w:pPr>
        <w:pStyle w:val="BodyText"/>
        <w:spacing w:before="23"/>
        <w:ind w:left="0"/>
        <w:rPr>
          <w:rFonts w:asciiTheme="minorHAnsi" w:hAnsiTheme="minorHAnsi" w:cstheme="minorHAnsi"/>
          <w:sz w:val="22"/>
          <w:szCs w:val="22"/>
        </w:rPr>
      </w:pPr>
    </w:p>
    <w:p w14:paraId="2E125123" w14:textId="78045D5D" w:rsidR="001C0047" w:rsidRDefault="000F4F69" w:rsidP="006A780C">
      <w:pPr>
        <w:pStyle w:val="Heading1"/>
      </w:pPr>
      <w:bookmarkStart w:id="4" w:name="Acknowledgments"/>
      <w:bookmarkStart w:id="5" w:name="References"/>
      <w:bookmarkEnd w:id="4"/>
      <w:bookmarkEnd w:id="5"/>
      <w:r w:rsidRPr="00A91B58">
        <w:t>Reference</w:t>
      </w:r>
      <w:r>
        <w:t>s</w:t>
      </w:r>
    </w:p>
    <w:p w14:paraId="78808586"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bookmarkStart w:id="6" w:name="_bookmark15"/>
      <w:bookmarkStart w:id="7" w:name="Declaration_of_competing_interest"/>
      <w:bookmarkEnd w:id="6"/>
      <w:bookmarkEnd w:id="7"/>
      <w:r w:rsidRPr="0074714C">
        <w:rPr>
          <w:rFonts w:asciiTheme="minorHAnsi" w:hAnsiTheme="minorHAnsi" w:cstheme="minorHAnsi"/>
          <w:lang w:val="en-GB"/>
        </w:rPr>
        <w:t xml:space="preserve">C. Mariani, G. Bellan, Detection of </w:t>
      </w:r>
      <w:proofErr w:type="spellStart"/>
      <w:r w:rsidRPr="0074714C">
        <w:rPr>
          <w:rFonts w:asciiTheme="minorHAnsi" w:hAnsiTheme="minorHAnsi" w:cstheme="minorHAnsi"/>
          <w:lang w:val="en-GB"/>
        </w:rPr>
        <w:t>interesterified</w:t>
      </w:r>
      <w:proofErr w:type="spellEnd"/>
      <w:r w:rsidRPr="0074714C">
        <w:rPr>
          <w:rFonts w:asciiTheme="minorHAnsi" w:hAnsiTheme="minorHAnsi" w:cstheme="minorHAnsi"/>
          <w:lang w:val="en-GB"/>
        </w:rPr>
        <w:t xml:space="preserve"> oils and fats with different methodologies, Riv. Ital. </w:t>
      </w:r>
      <w:proofErr w:type="spellStart"/>
      <w:r w:rsidRPr="0074714C">
        <w:rPr>
          <w:rFonts w:asciiTheme="minorHAnsi" w:hAnsiTheme="minorHAnsi" w:cstheme="minorHAnsi"/>
          <w:lang w:val="en-GB"/>
        </w:rPr>
        <w:t>Sostanze</w:t>
      </w:r>
      <w:proofErr w:type="spellEnd"/>
      <w:r w:rsidRPr="0074714C">
        <w:rPr>
          <w:rFonts w:asciiTheme="minorHAnsi" w:hAnsiTheme="minorHAnsi" w:cstheme="minorHAnsi"/>
          <w:lang w:val="en-GB"/>
        </w:rPr>
        <w:t xml:space="preserve"> Gr. 88 (2011) 3–10.</w:t>
      </w:r>
    </w:p>
    <w:p w14:paraId="758F588B"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International Olive Council, Determination of the content of waxes, fatty acid methyl esters and fatty acid ethyl esters by capillary gas chromatography using three grams of silica. COI/T.20/Doc. N. 31, 2012, pp. 1–14.</w:t>
      </w:r>
    </w:p>
    <w:p w14:paraId="1744B7DF"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 xml:space="preserve">C. Mariani, E. Fedeli, Minor components of vegetable oils: non-glyceridic esters, Riv. Ital. </w:t>
      </w:r>
      <w:proofErr w:type="spellStart"/>
      <w:r w:rsidRPr="0074714C">
        <w:rPr>
          <w:rFonts w:asciiTheme="minorHAnsi" w:hAnsiTheme="minorHAnsi" w:cstheme="minorHAnsi"/>
          <w:lang w:val="en-GB"/>
        </w:rPr>
        <w:t>Sostanze</w:t>
      </w:r>
      <w:proofErr w:type="spellEnd"/>
      <w:r w:rsidRPr="0074714C">
        <w:rPr>
          <w:rFonts w:asciiTheme="minorHAnsi" w:hAnsiTheme="minorHAnsi" w:cstheme="minorHAnsi"/>
          <w:lang w:val="en-GB"/>
        </w:rPr>
        <w:t xml:space="preserve"> Gr. 66 (1989) 397–401.</w:t>
      </w:r>
    </w:p>
    <w:p w14:paraId="424EA4BA"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Reg. (EU) n. 61/2011 Off. J. Eur. Comm. 2011, L23, 1-14.</w:t>
      </w:r>
    </w:p>
    <w:p w14:paraId="7F61649D" w14:textId="3C85C5D4"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M.D.C. Pérez-Camino, A. Cert, A. Romero-Segura, R. Cert-Trujillo, W. Moreda, Alkyl esters of fatty acids a useful tool to detect soft deodorized olive oils, J. Agric.</w:t>
      </w:r>
      <w:r>
        <w:rPr>
          <w:rFonts w:asciiTheme="minorHAnsi" w:hAnsiTheme="minorHAnsi" w:cstheme="minorHAnsi"/>
          <w:lang w:val="en-GB"/>
        </w:rPr>
        <w:t xml:space="preserve"> </w:t>
      </w:r>
      <w:r w:rsidRPr="0074714C">
        <w:rPr>
          <w:rFonts w:asciiTheme="minorHAnsi" w:hAnsiTheme="minorHAnsi" w:cstheme="minorHAnsi"/>
          <w:lang w:val="en-GB"/>
        </w:rPr>
        <w:t>Food Chem. 56 (2008) 6740–6744.</w:t>
      </w:r>
    </w:p>
    <w:p w14:paraId="565DE175"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Reg. (EU) n. 1348/2013 Off. J. Eur. Comm. 2013, L338, 31-67.</w:t>
      </w:r>
    </w:p>
    <w:p w14:paraId="6A9F1A3F"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Reg. (EC) n. 702/2007 Off. J. Eur. Comm. 2007, L161, 11-27.</w:t>
      </w:r>
    </w:p>
    <w:p w14:paraId="74BECD6F"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 xml:space="preserve">C. Mariani, E. Fedeli, K. Grob, Evaluation of free and esterified minor components in fatty materials, Riv. Ital. </w:t>
      </w:r>
      <w:proofErr w:type="spellStart"/>
      <w:r w:rsidRPr="0074714C">
        <w:rPr>
          <w:rFonts w:asciiTheme="minorHAnsi" w:hAnsiTheme="minorHAnsi" w:cstheme="minorHAnsi"/>
          <w:lang w:val="en-GB"/>
        </w:rPr>
        <w:t>Sostanze</w:t>
      </w:r>
      <w:proofErr w:type="spellEnd"/>
      <w:r w:rsidRPr="0074714C">
        <w:rPr>
          <w:rFonts w:asciiTheme="minorHAnsi" w:hAnsiTheme="minorHAnsi" w:cstheme="minorHAnsi"/>
          <w:lang w:val="en-GB"/>
        </w:rPr>
        <w:t xml:space="preserve"> Gr. 68 (1991) 233–242.</w:t>
      </w:r>
    </w:p>
    <w:p w14:paraId="56DC0067"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 xml:space="preserve">K. Grob, M. Lanfranchi, C. Mariani, J. </w:t>
      </w:r>
      <w:proofErr w:type="spellStart"/>
      <w:r w:rsidRPr="0074714C">
        <w:rPr>
          <w:rFonts w:asciiTheme="minorHAnsi" w:hAnsiTheme="minorHAnsi" w:cstheme="minorHAnsi"/>
          <w:lang w:val="en-GB"/>
        </w:rPr>
        <w:t>Chromatogr</w:t>
      </w:r>
      <w:proofErr w:type="spellEnd"/>
      <w:r w:rsidRPr="0074714C">
        <w:rPr>
          <w:rFonts w:asciiTheme="minorHAnsi" w:hAnsiTheme="minorHAnsi" w:cstheme="minorHAnsi"/>
          <w:lang w:val="en-GB"/>
        </w:rPr>
        <w:t>. 471 (1989) 397–405.</w:t>
      </w:r>
    </w:p>
    <w:p w14:paraId="51084A9B"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 xml:space="preserve">G. Purcaro, L. </w:t>
      </w:r>
      <w:proofErr w:type="spellStart"/>
      <w:r w:rsidRPr="0074714C">
        <w:rPr>
          <w:rFonts w:asciiTheme="minorHAnsi" w:hAnsiTheme="minorHAnsi" w:cstheme="minorHAnsi"/>
          <w:lang w:val="en-GB"/>
        </w:rPr>
        <w:t>Barp</w:t>
      </w:r>
      <w:proofErr w:type="spellEnd"/>
      <w:r w:rsidRPr="0074714C">
        <w:rPr>
          <w:rFonts w:asciiTheme="minorHAnsi" w:hAnsiTheme="minorHAnsi" w:cstheme="minorHAnsi"/>
          <w:lang w:val="en-GB"/>
        </w:rPr>
        <w:t xml:space="preserve">, M. Beccaria, L.S. Conte, Fingerprinting of vegetable oil minor components by multidimensional comprehensive gas chromatography with dual detection, Anal. </w:t>
      </w:r>
      <w:proofErr w:type="spellStart"/>
      <w:r w:rsidRPr="0074714C">
        <w:rPr>
          <w:rFonts w:asciiTheme="minorHAnsi" w:hAnsiTheme="minorHAnsi" w:cstheme="minorHAnsi"/>
          <w:lang w:val="en-GB"/>
        </w:rPr>
        <w:t>Bioanal</w:t>
      </w:r>
      <w:proofErr w:type="spellEnd"/>
      <w:r w:rsidRPr="0074714C">
        <w:rPr>
          <w:rFonts w:asciiTheme="minorHAnsi" w:hAnsiTheme="minorHAnsi" w:cstheme="minorHAnsi"/>
          <w:lang w:val="en-GB"/>
        </w:rPr>
        <w:t>. Chem. 407 (2015) 309–319.</w:t>
      </w:r>
    </w:p>
    <w:p w14:paraId="4622F852"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 xml:space="preserve">G. Purcaro, L. </w:t>
      </w:r>
      <w:proofErr w:type="spellStart"/>
      <w:r w:rsidRPr="0074714C">
        <w:rPr>
          <w:rFonts w:asciiTheme="minorHAnsi" w:hAnsiTheme="minorHAnsi" w:cstheme="minorHAnsi"/>
          <w:lang w:val="en-GB"/>
        </w:rPr>
        <w:t>Barp</w:t>
      </w:r>
      <w:proofErr w:type="spellEnd"/>
      <w:r w:rsidRPr="0074714C">
        <w:rPr>
          <w:rFonts w:asciiTheme="minorHAnsi" w:hAnsiTheme="minorHAnsi" w:cstheme="minorHAnsi"/>
          <w:lang w:val="en-GB"/>
        </w:rPr>
        <w:t>, M. Beccaria, L. Conte, Characterization of minor components in vegetable oil by multidimensional comprehensive gas chromatography, Food Chem. 212 (2016) 730–738.</w:t>
      </w:r>
    </w:p>
    <w:p w14:paraId="469D3DBA"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M. Biedermann, P. Haase-Aschoff, K. Grob, Wax ester fraction of edible oils: analysis by on-line LC-GC-MS and GC×GC-FID, Eur. Lip. Res. Technol. 110 (2008) 1084–1094.</w:t>
      </w:r>
    </w:p>
    <w:p w14:paraId="1BE0F36D" w14:textId="757D1E7E"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P.Q. Tranchida, S. Salivo, F.A. Franchina, I. Bonaccorsi, P. Dugo, L. Mondello,</w:t>
      </w:r>
      <w:r w:rsidRPr="0074714C">
        <w:rPr>
          <w:rFonts w:asciiTheme="minorHAnsi" w:hAnsiTheme="minorHAnsi" w:cstheme="minorHAnsi"/>
          <w:lang w:val="en-GB"/>
        </w:rPr>
        <w:t xml:space="preserve"> </w:t>
      </w:r>
      <w:r w:rsidRPr="0074714C">
        <w:rPr>
          <w:rFonts w:asciiTheme="minorHAnsi" w:hAnsiTheme="minorHAnsi" w:cstheme="minorHAnsi"/>
          <w:lang w:val="en-GB"/>
        </w:rPr>
        <w:t xml:space="preserve">Qualitative and quantitative analysis of the unsaponifiable fraction of vegetable oils by using comprehensive 2D GC with dual MS/FID detection, Anal. </w:t>
      </w:r>
      <w:proofErr w:type="spellStart"/>
      <w:r w:rsidRPr="0074714C">
        <w:rPr>
          <w:rFonts w:asciiTheme="minorHAnsi" w:hAnsiTheme="minorHAnsi" w:cstheme="minorHAnsi"/>
          <w:lang w:val="en-GB"/>
        </w:rPr>
        <w:t>Bioanal</w:t>
      </w:r>
      <w:proofErr w:type="spellEnd"/>
      <w:r w:rsidRPr="0074714C">
        <w:rPr>
          <w:rFonts w:asciiTheme="minorHAnsi" w:hAnsiTheme="minorHAnsi" w:cstheme="minorHAnsi"/>
          <w:lang w:val="en-GB"/>
        </w:rPr>
        <w:t>. Chem.</w:t>
      </w:r>
      <w:r>
        <w:rPr>
          <w:rFonts w:asciiTheme="minorHAnsi" w:hAnsiTheme="minorHAnsi" w:cstheme="minorHAnsi"/>
          <w:lang w:val="en-GB"/>
        </w:rPr>
        <w:t xml:space="preserve"> </w:t>
      </w:r>
      <w:r w:rsidRPr="0074714C">
        <w:rPr>
          <w:rFonts w:asciiTheme="minorHAnsi" w:hAnsiTheme="minorHAnsi" w:cstheme="minorHAnsi"/>
          <w:lang w:val="en-GB"/>
        </w:rPr>
        <w:t>405 (13) (2013) 4655–4663.</w:t>
      </w:r>
    </w:p>
    <w:p w14:paraId="1FE75279"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J.V. Seeley, S.K. Seeley, Multidimensional gas chromatography: fundamental advances and new applications, Anal. Chem. 85 (2013) 557–578.</w:t>
      </w:r>
    </w:p>
    <w:p w14:paraId="0853B671"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 xml:space="preserve">J.V. Seeley, N.J. </w:t>
      </w:r>
      <w:proofErr w:type="spellStart"/>
      <w:r w:rsidRPr="0074714C">
        <w:rPr>
          <w:rFonts w:asciiTheme="minorHAnsi" w:hAnsiTheme="minorHAnsi" w:cstheme="minorHAnsi"/>
          <w:lang w:val="en-GB"/>
        </w:rPr>
        <w:t>Micyus</w:t>
      </w:r>
      <w:proofErr w:type="spellEnd"/>
      <w:r w:rsidRPr="0074714C">
        <w:rPr>
          <w:rFonts w:asciiTheme="minorHAnsi" w:hAnsiTheme="minorHAnsi" w:cstheme="minorHAnsi"/>
          <w:lang w:val="en-GB"/>
        </w:rPr>
        <w:t>, J.D. McCurry, S.K. Seeley, Comprehensive two-dimensional gas chromatography with a simple fluidic modulator, Am. Lab. 38 (2006) 24–26.</w:t>
      </w:r>
    </w:p>
    <w:p w14:paraId="7973AA75" w14:textId="4B7A79F6"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Q. Gu, F. David, F. Lynen, K. Rumpel, G. Xu, P. De Vos, P. Sandra, Analysis of bacterial fatty acids by flow modulated comprehensive two-dimensional gas chromatography with parallel flame ionization detector/mass spectrometry, J.</w:t>
      </w:r>
      <w:r>
        <w:rPr>
          <w:rFonts w:asciiTheme="minorHAnsi" w:hAnsiTheme="minorHAnsi" w:cstheme="minorHAnsi"/>
          <w:lang w:val="en-GB"/>
        </w:rPr>
        <w:t xml:space="preserve"> </w:t>
      </w:r>
      <w:proofErr w:type="spellStart"/>
      <w:r w:rsidRPr="0074714C">
        <w:rPr>
          <w:rFonts w:asciiTheme="minorHAnsi" w:hAnsiTheme="minorHAnsi" w:cstheme="minorHAnsi"/>
          <w:lang w:val="en-GB"/>
        </w:rPr>
        <w:t>Chromatogr</w:t>
      </w:r>
      <w:proofErr w:type="spellEnd"/>
      <w:r w:rsidRPr="0074714C">
        <w:rPr>
          <w:rFonts w:asciiTheme="minorHAnsi" w:hAnsiTheme="minorHAnsi" w:cstheme="minorHAnsi"/>
          <w:lang w:val="en-GB"/>
        </w:rPr>
        <w:t>. A 1217 (2010) 4448–4453.</w:t>
      </w:r>
    </w:p>
    <w:p w14:paraId="655F3F04"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 xml:space="preserve">P.Q. Tranchida, F.A. Franchina, P. Dugo, L. Mondello, A flow-modulated comprehensive gas chromatography-mass spectrometry method for the analysis of fatty acid profiles in marine and biological samples, J. </w:t>
      </w:r>
      <w:proofErr w:type="spellStart"/>
      <w:r w:rsidRPr="0074714C">
        <w:rPr>
          <w:rFonts w:asciiTheme="minorHAnsi" w:hAnsiTheme="minorHAnsi" w:cstheme="minorHAnsi"/>
          <w:lang w:val="en-GB"/>
        </w:rPr>
        <w:t>Chromatogr</w:t>
      </w:r>
      <w:proofErr w:type="spellEnd"/>
      <w:r w:rsidRPr="0074714C">
        <w:rPr>
          <w:rFonts w:asciiTheme="minorHAnsi" w:hAnsiTheme="minorHAnsi" w:cstheme="minorHAnsi"/>
          <w:lang w:val="en-GB"/>
        </w:rPr>
        <w:t>. A 1255 (2012) 171–176.</w:t>
      </w:r>
    </w:p>
    <w:p w14:paraId="120167AE" w14:textId="77777777" w:rsidR="0074714C"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 xml:space="preserve">P.Q. Tranchida, F.A. Franchina, P. Dugo, L. Mondello, Use of </w:t>
      </w:r>
      <w:proofErr w:type="gramStart"/>
      <w:r w:rsidRPr="0074714C">
        <w:rPr>
          <w:rFonts w:asciiTheme="minorHAnsi" w:hAnsiTheme="minorHAnsi" w:cstheme="minorHAnsi"/>
          <w:lang w:val="en-GB"/>
        </w:rPr>
        <w:t>greatly-reduced</w:t>
      </w:r>
      <w:proofErr w:type="gramEnd"/>
      <w:r w:rsidRPr="0074714C">
        <w:rPr>
          <w:rFonts w:asciiTheme="minorHAnsi" w:hAnsiTheme="minorHAnsi" w:cstheme="minorHAnsi"/>
          <w:lang w:val="en-GB"/>
        </w:rPr>
        <w:t xml:space="preserve"> gas flows in flow-modulated comprehensive two-dimensional gas </w:t>
      </w:r>
      <w:proofErr w:type="spellStart"/>
      <w:r w:rsidRPr="0074714C">
        <w:rPr>
          <w:rFonts w:asciiTheme="minorHAnsi" w:hAnsiTheme="minorHAnsi" w:cstheme="minorHAnsi"/>
          <w:lang w:val="en-GB"/>
        </w:rPr>
        <w:t>chromatographymass</w:t>
      </w:r>
      <w:proofErr w:type="spellEnd"/>
      <w:r w:rsidRPr="0074714C">
        <w:rPr>
          <w:rFonts w:asciiTheme="minorHAnsi" w:hAnsiTheme="minorHAnsi" w:cstheme="minorHAnsi"/>
          <w:lang w:val="en-GB"/>
        </w:rPr>
        <w:t xml:space="preserve"> spectrometry, J. </w:t>
      </w:r>
      <w:proofErr w:type="spellStart"/>
      <w:r w:rsidRPr="0074714C">
        <w:rPr>
          <w:rFonts w:asciiTheme="minorHAnsi" w:hAnsiTheme="minorHAnsi" w:cstheme="minorHAnsi"/>
          <w:lang w:val="en-GB"/>
        </w:rPr>
        <w:lastRenderedPageBreak/>
        <w:t>Chromatogr</w:t>
      </w:r>
      <w:proofErr w:type="spellEnd"/>
      <w:r w:rsidRPr="0074714C">
        <w:rPr>
          <w:rFonts w:asciiTheme="minorHAnsi" w:hAnsiTheme="minorHAnsi" w:cstheme="minorHAnsi"/>
          <w:lang w:val="en-GB"/>
        </w:rPr>
        <w:t>. A 1359 (2014) 271–276.</w:t>
      </w:r>
    </w:p>
    <w:p w14:paraId="0C6F6B79" w14:textId="396CBA14" w:rsidR="005A1512" w:rsidRPr="0074714C" w:rsidRDefault="0074714C" w:rsidP="0074714C">
      <w:pPr>
        <w:pStyle w:val="ListParagraph"/>
        <w:numPr>
          <w:ilvl w:val="0"/>
          <w:numId w:val="1"/>
        </w:numPr>
        <w:tabs>
          <w:tab w:val="left" w:pos="369"/>
          <w:tab w:val="left" w:pos="371"/>
        </w:tabs>
        <w:spacing w:line="259" w:lineRule="auto"/>
        <w:ind w:right="38"/>
        <w:jc w:val="both"/>
        <w:rPr>
          <w:rFonts w:asciiTheme="minorHAnsi" w:hAnsiTheme="minorHAnsi" w:cstheme="minorHAnsi"/>
          <w:lang w:val="en-GB"/>
        </w:rPr>
      </w:pPr>
      <w:r w:rsidRPr="0074714C">
        <w:rPr>
          <w:rFonts w:asciiTheme="minorHAnsi" w:hAnsiTheme="minorHAnsi" w:cstheme="minorHAnsi"/>
          <w:lang w:val="en-GB"/>
        </w:rPr>
        <w:t xml:space="preserve">I. </w:t>
      </w:r>
      <w:proofErr w:type="spellStart"/>
      <w:r w:rsidRPr="0074714C">
        <w:rPr>
          <w:rFonts w:asciiTheme="minorHAnsi" w:hAnsiTheme="minorHAnsi" w:cstheme="minorHAnsi"/>
          <w:lang w:val="en-GB"/>
        </w:rPr>
        <w:t>Wretensjö</w:t>
      </w:r>
      <w:proofErr w:type="spellEnd"/>
      <w:r w:rsidRPr="0074714C">
        <w:rPr>
          <w:rFonts w:asciiTheme="minorHAnsi" w:hAnsiTheme="minorHAnsi" w:cstheme="minorHAnsi"/>
          <w:lang w:val="en-GB"/>
        </w:rPr>
        <w:t>, B. Karlberg, Characterization of sterols in refined borage oil by GCMS, JAOCS 79 (2002) 1069–1074.</w:t>
      </w:r>
    </w:p>
    <w:sectPr w:rsidR="005A1512" w:rsidRPr="0074714C" w:rsidSect="0074714C">
      <w:footerReference w:type="default" r:id="rId14"/>
      <w:pgSz w:w="11910"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7D06F" w14:textId="77777777" w:rsidR="008F4207" w:rsidRDefault="008F4207">
      <w:r>
        <w:separator/>
      </w:r>
    </w:p>
  </w:endnote>
  <w:endnote w:type="continuationSeparator" w:id="0">
    <w:p w14:paraId="3E54A79A" w14:textId="77777777" w:rsidR="008F4207" w:rsidRDefault="008F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560D64">
    <w:pPr>
      <w:pStyle w:val="BodyText"/>
      <w:spacing w:line="14" w:lineRule="auto"/>
      <w:ind w:left="0"/>
      <w:jc w:val="left"/>
      <w:rPr>
        <w:sz w:val="20"/>
      </w:rPr>
    </w:pPr>
    <w:r>
      <w:rPr>
        <w:noProof/>
        <w:sz w:val="20"/>
      </w:rPr>
      <mc:AlternateContent>
        <mc:Choice Requires="wps">
          <w:drawing>
            <wp:anchor distT="0" distB="0" distL="0" distR="0" simplePos="0" relativeHeight="251658752"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026" type="#_x0000_t202" style="position:absolute;margin-left:293.2pt;margin-top:755.5pt;width:10.6pt;height:9.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DE212" w14:textId="77777777" w:rsidR="008F4207" w:rsidRDefault="008F4207">
      <w:r>
        <w:separator/>
      </w:r>
    </w:p>
  </w:footnote>
  <w:footnote w:type="continuationSeparator" w:id="0">
    <w:p w14:paraId="0C5B7512" w14:textId="77777777" w:rsidR="008F4207" w:rsidRDefault="008F4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tblInd w:w="-34" w:type="dxa"/>
      <w:tblLook w:val="04A0" w:firstRow="1" w:lastRow="0" w:firstColumn="1" w:lastColumn="0" w:noHBand="0" w:noVBand="1"/>
    </w:tblPr>
    <w:tblGrid>
      <w:gridCol w:w="6065"/>
      <w:gridCol w:w="3008"/>
    </w:tblGrid>
    <w:tr w:rsidR="00763248" w14:paraId="6AB6FB6D" w14:textId="67EF6068" w:rsidTr="00763248">
      <w:trPr>
        <w:trHeight w:val="1135"/>
      </w:trPr>
      <w:tc>
        <w:tcPr>
          <w:tcW w:w="6065" w:type="dxa"/>
        </w:tcPr>
        <w:p w14:paraId="37B95360" w14:textId="77777777" w:rsidR="00896060" w:rsidRDefault="00763248" w:rsidP="003F6635">
          <w:pPr>
            <w:pStyle w:val="Header"/>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proofErr w:type="spellStart"/>
          <w:r w:rsidR="00896060" w:rsidRPr="00896060">
            <w:rPr>
              <w:i/>
              <w:sz w:val="18"/>
              <w:szCs w:val="18"/>
            </w:rPr>
            <w:t>Talanta</w:t>
          </w:r>
          <w:proofErr w:type="spellEnd"/>
          <w:r w:rsidR="00896060" w:rsidRPr="00896060">
            <w:rPr>
              <w:i/>
              <w:sz w:val="18"/>
              <w:szCs w:val="18"/>
            </w:rPr>
            <w:t xml:space="preserve"> 165 (2017) 598–603</w:t>
          </w:r>
        </w:p>
        <w:p w14:paraId="4D964C17" w14:textId="4F5303A9" w:rsidR="003F6635" w:rsidRPr="003F6635" w:rsidRDefault="00763248" w:rsidP="003F6635">
          <w:pPr>
            <w:pStyle w:val="Header"/>
            <w:rPr>
              <w:i/>
              <w:sz w:val="18"/>
              <w:szCs w:val="18"/>
              <w:lang w:val="fr-BE"/>
            </w:rPr>
          </w:pPr>
          <w:r w:rsidRPr="003F6635">
            <w:rPr>
              <w:i/>
              <w:sz w:val="18"/>
              <w:szCs w:val="18"/>
              <w:lang w:val="fr-BE"/>
            </w:rPr>
            <w:t xml:space="preserve">DOI : </w:t>
          </w:r>
          <w:r w:rsidR="00896060" w:rsidRPr="00896060">
            <w:rPr>
              <w:i/>
              <w:sz w:val="18"/>
              <w:szCs w:val="18"/>
              <w:lang w:val="fr-BE"/>
            </w:rPr>
            <w:t>10.1016/j.talanta.2017.01.009</w:t>
          </w:r>
        </w:p>
        <w:p w14:paraId="1288AC7D" w14:textId="785114F6" w:rsidR="00763248" w:rsidRPr="00A44770" w:rsidRDefault="00763248" w:rsidP="00BF3FAC">
          <w:pPr>
            <w:pStyle w:val="Header"/>
            <w:rPr>
              <w:i/>
            </w:rPr>
          </w:pPr>
          <w:proofErr w:type="gramStart"/>
          <w:r w:rsidRPr="00A44770">
            <w:rPr>
              <w:i/>
              <w:sz w:val="18"/>
              <w:szCs w:val="18"/>
            </w:rPr>
            <w:t>Status :</w:t>
          </w:r>
          <w:proofErr w:type="gramEnd"/>
          <w:r w:rsidRPr="00A44770">
            <w:rPr>
              <w:i/>
              <w:sz w:val="18"/>
              <w:szCs w:val="18"/>
            </w:rPr>
            <w:t xml:space="preserve"> </w:t>
          </w:r>
          <w:proofErr w:type="spellStart"/>
          <w:r w:rsidRPr="00A44770">
            <w:rPr>
              <w:i/>
              <w:sz w:val="18"/>
              <w:szCs w:val="18"/>
            </w:rPr>
            <w:t>Postprint</w:t>
          </w:r>
          <w:proofErr w:type="spellEnd"/>
          <w:r w:rsidRPr="00A44770">
            <w:rPr>
              <w:i/>
              <w:sz w:val="18"/>
              <w:szCs w:val="18"/>
            </w:rPr>
            <w:t xml:space="preserve"> (Author’s version)</w:t>
          </w:r>
        </w:p>
      </w:tc>
      <w:tc>
        <w:tcPr>
          <w:tcW w:w="3008" w:type="dxa"/>
        </w:tcPr>
        <w:p w14:paraId="204DFB86" w14:textId="427DBF91" w:rsidR="00763248" w:rsidRDefault="00763248" w:rsidP="00BF3FAC">
          <w:pPr>
            <w:pStyle w:val="Header"/>
            <w:jc w:val="right"/>
          </w:pPr>
          <w:r>
            <w:t xml:space="preserve">        </w:t>
          </w:r>
        </w:p>
      </w:tc>
    </w:tr>
  </w:tbl>
  <w:p w14:paraId="28A25B06" w14:textId="6D2B01B4" w:rsidR="00BF3FAC" w:rsidRPr="00BF3FAC" w:rsidRDefault="00763248">
    <w:pPr>
      <w:pStyle w:val="Header"/>
      <w:rPr>
        <w:lang w:val="fr-BE"/>
      </w:rPr>
    </w:pPr>
    <w:r>
      <w:rPr>
        <w:noProof/>
      </w:rPr>
      <w:drawing>
        <wp:anchor distT="0" distB="0" distL="114300" distR="114300" simplePos="0" relativeHeight="251656704" behindDoc="1" locked="0" layoutInCell="1" allowOverlap="1" wp14:anchorId="6CC075B1" wp14:editId="39B30E38">
          <wp:simplePos x="0" y="0"/>
          <wp:positionH relativeFrom="column">
            <wp:posOffset>4490085</wp:posOffset>
          </wp:positionH>
          <wp:positionV relativeFrom="paragraph">
            <wp:posOffset>-733425</wp:posOffset>
          </wp:positionV>
          <wp:extent cx="1272540" cy="594360"/>
          <wp:effectExtent l="0" t="0" r="3810" b="0"/>
          <wp:wrapTight wrapText="bothSides">
            <wp:wrapPolygon edited="0">
              <wp:start x="13257" y="0"/>
              <wp:lineTo x="2587" y="1385"/>
              <wp:lineTo x="1617" y="2077"/>
              <wp:lineTo x="1617" y="12462"/>
              <wp:lineTo x="4527" y="18692"/>
              <wp:lineTo x="6467" y="18692"/>
              <wp:lineTo x="14228" y="17308"/>
              <wp:lineTo x="21341" y="14538"/>
              <wp:lineTo x="21341" y="2077"/>
              <wp:lineTo x="21018" y="1385"/>
              <wp:lineTo x="15521" y="0"/>
              <wp:lineTo x="13257" y="0"/>
            </wp:wrapPolygon>
          </wp:wrapTight>
          <wp:docPr id="1234162638" name="Image 1234162638"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92753" name="Image 995692753" descr="Une image contenant Graphique, Caractère coloré, graphism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BF4AEB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2"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3" w15:restartNumberingAfterBreak="0">
    <w:nsid w:val="336342B4"/>
    <w:multiLevelType w:val="hybridMultilevel"/>
    <w:tmpl w:val="F9C6DE3C"/>
    <w:lvl w:ilvl="0" w:tplc="2F58A854">
      <w:start w:val="1"/>
      <w:numFmt w:val="decimal"/>
      <w:lvlText w:val="%1."/>
      <w:lvlJc w:val="left"/>
      <w:rPr>
        <w:rFonts w:asciiTheme="minorHAnsi" w:eastAsia="Times New Roman"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78E012F"/>
    <w:multiLevelType w:val="hybridMultilevel"/>
    <w:tmpl w:val="F7484D6E"/>
    <w:lvl w:ilvl="0" w:tplc="3732C8C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5" w15:restartNumberingAfterBreak="0">
    <w:nsid w:val="58533689"/>
    <w:multiLevelType w:val="hybridMultilevel"/>
    <w:tmpl w:val="C6066BB6"/>
    <w:lvl w:ilvl="0" w:tplc="08090019">
      <w:start w:val="1"/>
      <w:numFmt w:val="lowerLetter"/>
      <w:lvlText w:val="%1."/>
      <w:lvlJc w:val="left"/>
      <w:pPr>
        <w:ind w:left="763" w:hanging="360"/>
      </w:p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6"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5E342875"/>
    <w:multiLevelType w:val="hybridMultilevel"/>
    <w:tmpl w:val="AD26FF1C"/>
    <w:lvl w:ilvl="0" w:tplc="080C000F">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abstractNum w:abstractNumId="9" w15:restartNumberingAfterBreak="0">
    <w:nsid w:val="7FB64DD2"/>
    <w:multiLevelType w:val="hybridMultilevel"/>
    <w:tmpl w:val="DEFACE78"/>
    <w:lvl w:ilvl="0" w:tplc="C854DCD8">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16cid:durableId="1179462401">
    <w:abstractNumId w:val="2"/>
  </w:num>
  <w:num w:numId="2" w16cid:durableId="710307178">
    <w:abstractNumId w:val="8"/>
  </w:num>
  <w:num w:numId="3" w16cid:durableId="1140539169">
    <w:abstractNumId w:val="6"/>
  </w:num>
  <w:num w:numId="4" w16cid:durableId="235752367">
    <w:abstractNumId w:val="1"/>
  </w:num>
  <w:num w:numId="5" w16cid:durableId="1269775866">
    <w:abstractNumId w:val="3"/>
  </w:num>
  <w:num w:numId="6" w16cid:durableId="1179731411">
    <w:abstractNumId w:val="9"/>
  </w:num>
  <w:num w:numId="7" w16cid:durableId="733234589">
    <w:abstractNumId w:val="7"/>
  </w:num>
  <w:num w:numId="8" w16cid:durableId="729350302">
    <w:abstractNumId w:val="0"/>
  </w:num>
  <w:num w:numId="9" w16cid:durableId="1335959557">
    <w:abstractNumId w:val="4"/>
  </w:num>
  <w:num w:numId="10" w16cid:durableId="13313753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00E61"/>
    <w:rsid w:val="00020CA7"/>
    <w:rsid w:val="00026A38"/>
    <w:rsid w:val="000504DE"/>
    <w:rsid w:val="00050B18"/>
    <w:rsid w:val="00061920"/>
    <w:rsid w:val="00074794"/>
    <w:rsid w:val="00082B76"/>
    <w:rsid w:val="000B6607"/>
    <w:rsid w:val="000B67E4"/>
    <w:rsid w:val="000C3D28"/>
    <w:rsid w:val="000D3FB3"/>
    <w:rsid w:val="000E0DAA"/>
    <w:rsid w:val="000F4F69"/>
    <w:rsid w:val="001319DE"/>
    <w:rsid w:val="00144871"/>
    <w:rsid w:val="00164638"/>
    <w:rsid w:val="001A584B"/>
    <w:rsid w:val="001C0047"/>
    <w:rsid w:val="001D21D2"/>
    <w:rsid w:val="001E34F2"/>
    <w:rsid w:val="0021063A"/>
    <w:rsid w:val="00237104"/>
    <w:rsid w:val="00247C68"/>
    <w:rsid w:val="002A303D"/>
    <w:rsid w:val="002B285B"/>
    <w:rsid w:val="002C09BC"/>
    <w:rsid w:val="002F3C05"/>
    <w:rsid w:val="00302444"/>
    <w:rsid w:val="0032341C"/>
    <w:rsid w:val="00334AE4"/>
    <w:rsid w:val="00335744"/>
    <w:rsid w:val="00371939"/>
    <w:rsid w:val="00381B72"/>
    <w:rsid w:val="003D72C8"/>
    <w:rsid w:val="003E78F0"/>
    <w:rsid w:val="003F311E"/>
    <w:rsid w:val="003F6635"/>
    <w:rsid w:val="004057B4"/>
    <w:rsid w:val="00406476"/>
    <w:rsid w:val="00445B39"/>
    <w:rsid w:val="004B561E"/>
    <w:rsid w:val="004C2310"/>
    <w:rsid w:val="004C2B62"/>
    <w:rsid w:val="004D08D6"/>
    <w:rsid w:val="004D4B75"/>
    <w:rsid w:val="004F52B0"/>
    <w:rsid w:val="00511E0A"/>
    <w:rsid w:val="00536BB9"/>
    <w:rsid w:val="00552603"/>
    <w:rsid w:val="00560D64"/>
    <w:rsid w:val="00591551"/>
    <w:rsid w:val="005A1512"/>
    <w:rsid w:val="005A517B"/>
    <w:rsid w:val="00603E91"/>
    <w:rsid w:val="00635F7B"/>
    <w:rsid w:val="00680BD9"/>
    <w:rsid w:val="0069257C"/>
    <w:rsid w:val="006A780C"/>
    <w:rsid w:val="006D702B"/>
    <w:rsid w:val="006E5B07"/>
    <w:rsid w:val="006E7277"/>
    <w:rsid w:val="007159A8"/>
    <w:rsid w:val="00731AD1"/>
    <w:rsid w:val="0074714C"/>
    <w:rsid w:val="00755D38"/>
    <w:rsid w:val="00763248"/>
    <w:rsid w:val="0077443D"/>
    <w:rsid w:val="007971D0"/>
    <w:rsid w:val="007A214D"/>
    <w:rsid w:val="00817EA7"/>
    <w:rsid w:val="00822E45"/>
    <w:rsid w:val="00831509"/>
    <w:rsid w:val="00831C73"/>
    <w:rsid w:val="00847EC0"/>
    <w:rsid w:val="008503D5"/>
    <w:rsid w:val="00873D39"/>
    <w:rsid w:val="008926F4"/>
    <w:rsid w:val="00894BC5"/>
    <w:rsid w:val="00896060"/>
    <w:rsid w:val="008F4207"/>
    <w:rsid w:val="009351A8"/>
    <w:rsid w:val="00965108"/>
    <w:rsid w:val="009805E5"/>
    <w:rsid w:val="0098433B"/>
    <w:rsid w:val="009C1BCA"/>
    <w:rsid w:val="009D2383"/>
    <w:rsid w:val="009D5D6C"/>
    <w:rsid w:val="009E10F2"/>
    <w:rsid w:val="00A256EA"/>
    <w:rsid w:val="00A266B2"/>
    <w:rsid w:val="00A5150C"/>
    <w:rsid w:val="00A51D3D"/>
    <w:rsid w:val="00A63C86"/>
    <w:rsid w:val="00A76B5D"/>
    <w:rsid w:val="00A81445"/>
    <w:rsid w:val="00A91B58"/>
    <w:rsid w:val="00AE4947"/>
    <w:rsid w:val="00B01DAB"/>
    <w:rsid w:val="00B23F31"/>
    <w:rsid w:val="00B3411E"/>
    <w:rsid w:val="00B4258F"/>
    <w:rsid w:val="00BA40A4"/>
    <w:rsid w:val="00BA42A1"/>
    <w:rsid w:val="00BA6AD6"/>
    <w:rsid w:val="00BD215C"/>
    <w:rsid w:val="00BF3FAC"/>
    <w:rsid w:val="00BF5588"/>
    <w:rsid w:val="00C3361E"/>
    <w:rsid w:val="00C626F6"/>
    <w:rsid w:val="00C7435A"/>
    <w:rsid w:val="00C74664"/>
    <w:rsid w:val="00C873B2"/>
    <w:rsid w:val="00CB0624"/>
    <w:rsid w:val="00CB5884"/>
    <w:rsid w:val="00CE419C"/>
    <w:rsid w:val="00CE723F"/>
    <w:rsid w:val="00CF3BD6"/>
    <w:rsid w:val="00CF454A"/>
    <w:rsid w:val="00D04D71"/>
    <w:rsid w:val="00D5064B"/>
    <w:rsid w:val="00DB225F"/>
    <w:rsid w:val="00E14B3D"/>
    <w:rsid w:val="00E424F3"/>
    <w:rsid w:val="00E57F18"/>
    <w:rsid w:val="00E818BB"/>
    <w:rsid w:val="00E83BDE"/>
    <w:rsid w:val="00EB3E4D"/>
    <w:rsid w:val="00EB649A"/>
    <w:rsid w:val="00EC0467"/>
    <w:rsid w:val="00EC1E17"/>
    <w:rsid w:val="00ED08BF"/>
    <w:rsid w:val="00EE0910"/>
    <w:rsid w:val="00F1349A"/>
    <w:rsid w:val="00F15D38"/>
    <w:rsid w:val="00F25512"/>
    <w:rsid w:val="00F27067"/>
    <w:rsid w:val="00F322C0"/>
    <w:rsid w:val="00F37946"/>
    <w:rsid w:val="00F440B0"/>
    <w:rsid w:val="00F74DD5"/>
    <w:rsid w:val="00F76119"/>
    <w:rsid w:val="00F97BAF"/>
    <w:rsid w:val="00FA32E5"/>
    <w:rsid w:val="00FC3CD8"/>
    <w:rsid w:val="00FF78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E4D"/>
    <w:rPr>
      <w:rFonts w:eastAsia="Times New Roman" w:cs="Times New Roman"/>
    </w:rPr>
  </w:style>
  <w:style w:type="paragraph" w:styleId="Heading1">
    <w:name w:val="heading 1"/>
    <w:basedOn w:val="Normal"/>
    <w:uiPriority w:val="9"/>
    <w:qFormat/>
    <w:rsid w:val="00FA32E5"/>
    <w:pPr>
      <w:ind w:left="43"/>
      <w:outlineLvl w:val="0"/>
    </w:pPr>
    <w:rPr>
      <w:b/>
      <w:bCs/>
      <w:color w:val="31849B" w:themeColor="accent5" w:themeShade="BF"/>
      <w:sz w:val="36"/>
      <w:szCs w:val="16"/>
    </w:rPr>
  </w:style>
  <w:style w:type="paragraph" w:styleId="Heading2">
    <w:name w:val="heading 2"/>
    <w:basedOn w:val="Normal"/>
    <w:next w:val="Normal"/>
    <w:link w:val="Heading2Ch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43"/>
      <w:jc w:val="both"/>
    </w:pPr>
    <w:rPr>
      <w:rFonts w:ascii="Times New Roman" w:hAnsi="Times New Roman"/>
      <w:sz w:val="16"/>
      <w:szCs w:val="16"/>
    </w:rPr>
  </w:style>
  <w:style w:type="paragraph" w:styleId="Title">
    <w:name w:val="Title"/>
    <w:basedOn w:val="Normal"/>
    <w:uiPriority w:val="10"/>
    <w:qFormat/>
    <w:pPr>
      <w:spacing w:before="1"/>
      <w:ind w:left="1" w:right="1"/>
      <w:jc w:val="center"/>
    </w:pPr>
    <w:rPr>
      <w:rFonts w:ascii="Times New Roman" w:hAnsi="Times New Roman"/>
      <w:sz w:val="28"/>
      <w:szCs w:val="28"/>
    </w:rPr>
  </w:style>
  <w:style w:type="paragraph" w:styleId="ListParagraph">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Header">
    <w:name w:val="header"/>
    <w:basedOn w:val="Normal"/>
    <w:link w:val="HeaderChar"/>
    <w:uiPriority w:val="99"/>
    <w:unhideWhenUsed/>
    <w:rsid w:val="00BF3FAC"/>
    <w:pPr>
      <w:tabs>
        <w:tab w:val="center" w:pos="4536"/>
        <w:tab w:val="right" w:pos="9072"/>
      </w:tabs>
    </w:pPr>
  </w:style>
  <w:style w:type="character" w:customStyle="1" w:styleId="HeaderChar">
    <w:name w:val="Header Char"/>
    <w:basedOn w:val="DefaultParagraphFont"/>
    <w:link w:val="Header"/>
    <w:uiPriority w:val="99"/>
    <w:rsid w:val="00BF3FAC"/>
    <w:rPr>
      <w:rFonts w:ascii="Times New Roman" w:eastAsia="Times New Roman" w:hAnsi="Times New Roman" w:cs="Times New Roman"/>
    </w:rPr>
  </w:style>
  <w:style w:type="paragraph" w:styleId="Footer">
    <w:name w:val="footer"/>
    <w:basedOn w:val="Normal"/>
    <w:link w:val="FooterChar"/>
    <w:uiPriority w:val="99"/>
    <w:unhideWhenUsed/>
    <w:rsid w:val="00BF3FAC"/>
    <w:pPr>
      <w:tabs>
        <w:tab w:val="center" w:pos="4536"/>
        <w:tab w:val="right" w:pos="9072"/>
      </w:tabs>
    </w:pPr>
  </w:style>
  <w:style w:type="character" w:customStyle="1" w:styleId="FooterChar">
    <w:name w:val="Footer Char"/>
    <w:basedOn w:val="DefaultParagraphFont"/>
    <w:link w:val="Footer"/>
    <w:uiPriority w:val="99"/>
    <w:rsid w:val="00BF3FAC"/>
    <w:rPr>
      <w:rFonts w:ascii="Times New Roman" w:eastAsia="Times New Roman" w:hAnsi="Times New Roman" w:cs="Times New Roman"/>
    </w:rPr>
  </w:style>
  <w:style w:type="character" w:styleId="Hyperlink">
    <w:name w:val="Hyperlink"/>
    <w:basedOn w:val="DefaultParagraphFont"/>
    <w:uiPriority w:val="99"/>
    <w:unhideWhenUsed/>
    <w:rsid w:val="00BF3FAC"/>
    <w:rPr>
      <w:color w:val="0000FF" w:themeColor="hyperlink"/>
      <w:u w:val="single"/>
    </w:rPr>
  </w:style>
  <w:style w:type="character" w:styleId="UnresolvedMention">
    <w:name w:val="Unresolved Mention"/>
    <w:basedOn w:val="DefaultParagraphFont"/>
    <w:uiPriority w:val="99"/>
    <w:semiHidden/>
    <w:unhideWhenUsed/>
    <w:rsid w:val="00BF3FAC"/>
    <w:rPr>
      <w:color w:val="605E5C"/>
      <w:shd w:val="clear" w:color="auto" w:fill="E1DFDD"/>
    </w:rPr>
  </w:style>
  <w:style w:type="character" w:customStyle="1" w:styleId="Heading2Char">
    <w:name w:val="Heading 2 Char"/>
    <w:basedOn w:val="DefaultParagraphFont"/>
    <w:link w:val="Heading2"/>
    <w:uiPriority w:val="9"/>
    <w:rsid w:val="00A5150C"/>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061920"/>
    <w:rPr>
      <w:rFonts w:ascii="Source Sans Pro Light" w:eastAsiaTheme="majorEastAsia" w:hAnsi="Source Sans Pro Light" w:cstheme="majorBidi"/>
      <w:b/>
      <w:sz w:val="24"/>
      <w:szCs w:val="24"/>
    </w:rPr>
  </w:style>
  <w:style w:type="character" w:customStyle="1" w:styleId="BodyTextChar">
    <w:name w:val="Body Text Char"/>
    <w:basedOn w:val="DefaultParagraphFont"/>
    <w:link w:val="BodyText"/>
    <w:uiPriority w:val="1"/>
    <w:rsid w:val="00371939"/>
    <w:rPr>
      <w:rFonts w:ascii="Times New Roman" w:eastAsia="Times New Roman" w:hAnsi="Times New Roman" w:cs="Times New Roman"/>
      <w:sz w:val="16"/>
      <w:szCs w:val="16"/>
    </w:rPr>
  </w:style>
  <w:style w:type="table" w:styleId="TableGrid">
    <w:name w:val="Table Grid"/>
    <w:basedOn w:val="TableNormal"/>
    <w:uiPriority w:val="39"/>
    <w:rsid w:val="00B01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3E4D"/>
    <w:pPr>
      <w:widowControl/>
      <w:autoSpaceDE/>
      <w:autoSpaceDN/>
    </w:pPr>
    <w:rPr>
      <w:rFonts w:eastAsiaTheme="minorEastAsia"/>
      <w:kern w:val="2"/>
      <w:sz w:val="24"/>
      <w:szCs w:val="24"/>
      <w:lang w:val="en-GB"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x.doi.org/10.1016/j.talanta.2017.01.0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13</Pages>
  <Words>4292</Words>
  <Characters>24465</Characters>
  <Application>Microsoft Office Word</Application>
  <DocSecurity>0</DocSecurity>
  <Lines>203</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Microwave-assisted extraction of oxygen heterocyclic compounds from Citrus -scented creams using a deep eutectic solvent and their determination by HPLC-PDA</vt:lpstr>
      <vt:lpstr>Microwave-assisted extraction of oxygen heterocyclic compounds from Citrus -scented creams using a deep eutectic solvent and their determination by HPLC-PDA</vt:lpstr>
    </vt:vector>
  </TitlesOfParts>
  <Company>HP Inc.</Company>
  <LinksUpToDate>false</LinksUpToDate>
  <CharactersWithSpaces>28700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Damien Eggermont</cp:lastModifiedBy>
  <cp:revision>131</cp:revision>
  <cp:lastPrinted>2025-07-29T11:01:00Z</cp:lastPrinted>
  <dcterms:created xsi:type="dcterms:W3CDTF">2025-07-29T08:19:00Z</dcterms:created>
  <dcterms:modified xsi:type="dcterms:W3CDTF">2025-11-27T14:20:00Z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