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95" w:rsidRPr="0032093C" w:rsidRDefault="0032093C" w:rsidP="00D63A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  <w:r w:rsidRPr="0032093C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Mesures du débit de filtration glomérulaire par prélèvement </w:t>
      </w:r>
      <w:proofErr w:type="gramStart"/>
      <w:r w:rsidRPr="0032093C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>unique:</w:t>
      </w:r>
      <w:proofErr w:type="gramEnd"/>
      <w:r w:rsidRPr="0032093C"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  <w:t xml:space="preserve"> impact des différentes modélisations mathématiques</w:t>
      </w:r>
    </w:p>
    <w:p w:rsidR="00BE3A95" w:rsidRPr="0032093C" w:rsidRDefault="00BE3A95" w:rsidP="00D63A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BE"/>
        </w:rPr>
      </w:pPr>
    </w:p>
    <w:p w:rsidR="00CC3CC6" w:rsidRPr="0032093C" w:rsidRDefault="00CC3CC6" w:rsidP="00CC3CC6">
      <w:pPr>
        <w:jc w:val="center"/>
        <w:rPr>
          <w:b/>
          <w:vertAlign w:val="superscript"/>
          <w:lang w:val="fr-BE"/>
        </w:rPr>
      </w:pPr>
      <w:r w:rsidRPr="0032093C">
        <w:rPr>
          <w:b/>
          <w:lang w:val="fr-BE"/>
        </w:rPr>
        <w:t>Martin Flamant</w:t>
      </w:r>
      <w:r w:rsidR="00704D97">
        <w:rPr>
          <w:b/>
          <w:vertAlign w:val="superscript"/>
          <w:lang w:val="fr-BE"/>
        </w:rPr>
        <w:t>1</w:t>
      </w:r>
      <w:r w:rsidRPr="0032093C">
        <w:rPr>
          <w:b/>
          <w:lang w:val="fr-BE"/>
        </w:rPr>
        <w:t xml:space="preserve">, </w:t>
      </w:r>
      <w:r w:rsidR="00201C71" w:rsidRPr="0032093C">
        <w:rPr>
          <w:b/>
          <w:lang w:val="fr-BE"/>
        </w:rPr>
        <w:t>Hans Pottel</w:t>
      </w:r>
      <w:r w:rsidR="00704D97">
        <w:rPr>
          <w:b/>
          <w:vertAlign w:val="superscript"/>
          <w:lang w:val="fr-BE"/>
        </w:rPr>
        <w:t>2</w:t>
      </w:r>
      <w:r w:rsidR="00201C71" w:rsidRPr="0032093C">
        <w:rPr>
          <w:b/>
          <w:lang w:val="fr-BE"/>
        </w:rPr>
        <w:t xml:space="preserve">, </w:t>
      </w:r>
      <w:r w:rsidRPr="0032093C">
        <w:rPr>
          <w:b/>
          <w:lang w:val="fr-BE"/>
        </w:rPr>
        <w:t>Emmanuelle Vidal-Petiot</w:t>
      </w:r>
      <w:r w:rsidR="00704D97">
        <w:rPr>
          <w:b/>
          <w:vertAlign w:val="superscript"/>
          <w:lang w:val="fr-BE"/>
        </w:rPr>
        <w:t>1</w:t>
      </w:r>
      <w:r w:rsidRPr="0032093C">
        <w:rPr>
          <w:b/>
          <w:lang w:val="fr-BE"/>
        </w:rPr>
        <w:t>, Sandrine Lemoine</w:t>
      </w:r>
      <w:r w:rsidR="00704D97">
        <w:rPr>
          <w:b/>
          <w:vertAlign w:val="superscript"/>
          <w:lang w:val="fr-BE"/>
        </w:rPr>
        <w:t>3</w:t>
      </w:r>
      <w:r w:rsidRPr="0032093C">
        <w:rPr>
          <w:b/>
          <w:lang w:val="fr-BE"/>
        </w:rPr>
        <w:t>, Etienne Cavalier</w:t>
      </w:r>
      <w:r w:rsidR="00704D97">
        <w:rPr>
          <w:b/>
          <w:vertAlign w:val="superscript"/>
          <w:lang w:val="fr-BE"/>
        </w:rPr>
        <w:t>4</w:t>
      </w:r>
      <w:r w:rsidRPr="0032093C">
        <w:rPr>
          <w:b/>
          <w:lang w:val="fr-BE"/>
        </w:rPr>
        <w:t>, Elke Schaeffner</w:t>
      </w:r>
      <w:r w:rsidR="00704D97">
        <w:rPr>
          <w:b/>
          <w:vertAlign w:val="superscript"/>
          <w:lang w:val="fr-BE"/>
        </w:rPr>
        <w:t>5</w:t>
      </w:r>
      <w:r w:rsidRPr="0032093C">
        <w:rPr>
          <w:b/>
          <w:lang w:val="fr-BE"/>
        </w:rPr>
        <w:t>, Natalie Ebert</w:t>
      </w:r>
      <w:r w:rsidR="00704D97">
        <w:rPr>
          <w:b/>
          <w:vertAlign w:val="superscript"/>
          <w:lang w:val="fr-BE"/>
        </w:rPr>
        <w:t>5</w:t>
      </w:r>
      <w:r w:rsidRPr="0032093C">
        <w:rPr>
          <w:b/>
          <w:lang w:val="fr-BE"/>
        </w:rPr>
        <w:t>,</w:t>
      </w:r>
      <w:r w:rsidR="00A911D5" w:rsidRPr="0032093C">
        <w:rPr>
          <w:b/>
          <w:lang w:val="fr-BE"/>
        </w:rPr>
        <w:t xml:space="preserve"> </w:t>
      </w:r>
      <w:r w:rsidR="00201C71" w:rsidRPr="00201C71">
        <w:rPr>
          <w:b/>
          <w:lang w:val="fr-BE"/>
        </w:rPr>
        <w:t>Pierre Delanaye</w:t>
      </w:r>
      <w:r w:rsidR="00704D97">
        <w:rPr>
          <w:b/>
          <w:vertAlign w:val="superscript"/>
          <w:lang w:val="fr-BE"/>
        </w:rPr>
        <w:t>6</w:t>
      </w:r>
      <w:r w:rsidR="00201C71">
        <w:rPr>
          <w:b/>
          <w:lang w:val="fr-BE"/>
        </w:rPr>
        <w:t>,</w:t>
      </w:r>
      <w:r w:rsidR="00201C71" w:rsidRPr="00201C71">
        <w:rPr>
          <w:b/>
          <w:lang w:val="fr-BE"/>
        </w:rPr>
        <w:t xml:space="preserve"> </w:t>
      </w:r>
      <w:r w:rsidR="00A911D5" w:rsidRPr="00201C71">
        <w:rPr>
          <w:b/>
          <w:lang w:val="fr-BE"/>
        </w:rPr>
        <w:t xml:space="preserve">Laurence </w:t>
      </w:r>
      <w:r w:rsidR="00A911D5" w:rsidRPr="0032093C">
        <w:rPr>
          <w:b/>
          <w:lang w:val="fr-BE"/>
        </w:rPr>
        <w:t>Dubourg</w:t>
      </w:r>
      <w:r w:rsidR="00704D97">
        <w:rPr>
          <w:b/>
          <w:vertAlign w:val="superscript"/>
          <w:lang w:val="fr-BE"/>
        </w:rPr>
        <w:t>3</w:t>
      </w:r>
      <w:r w:rsidRPr="0032093C">
        <w:rPr>
          <w:b/>
          <w:lang w:val="fr-BE"/>
        </w:rPr>
        <w:t xml:space="preserve">. </w:t>
      </w:r>
    </w:p>
    <w:p w:rsidR="00BE3A95" w:rsidRPr="00704D97" w:rsidRDefault="00BE3A95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</w:pP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  <w:t>1.</w:t>
      </w: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704D97">
        <w:rPr>
          <w:rFonts w:ascii="Times New Roman" w:hAnsi="Times New Roman" w:cs="Times New Roman"/>
          <w:sz w:val="24"/>
          <w:szCs w:val="24"/>
        </w:rPr>
        <w:t>Division of Public Health and Primary Care, KU Leuven Campus Kulak Kortrijk, Kortrijk, Belgium</w:t>
      </w: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</w:pPr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3. </w:t>
      </w: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  <w:t xml:space="preserve">Néphrologie, Dialyse, Hypertension artérielle et Exploration fonctionnelle rénale, Groupement Hospitalier Edouard Herriot, Hospices Civils de Lyon, Lyon, </w:t>
      </w: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  <w:t>France</w:t>
      </w: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  <w:t xml:space="preserve">4. </w:t>
      </w:r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Service de Chimie Clinique, CHU Sart </w:t>
      </w:r>
      <w:proofErr w:type="spellStart"/>
      <w:r w:rsidRPr="00704D97">
        <w:rPr>
          <w:rFonts w:ascii="Times New Roman" w:hAnsi="Times New Roman" w:cs="Times New Roman"/>
          <w:sz w:val="24"/>
          <w:szCs w:val="24"/>
          <w:lang w:val="fr-BE"/>
        </w:rPr>
        <w:t>Tilman</w:t>
      </w:r>
      <w:proofErr w:type="spellEnd"/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Pr="00704D97">
        <w:rPr>
          <w:rFonts w:ascii="Times New Roman" w:hAnsi="Times New Roman" w:cs="Times New Roman"/>
          <w:sz w:val="24"/>
          <w:szCs w:val="24"/>
          <w:lang w:val="fr-BE"/>
        </w:rPr>
        <w:t>ULg</w:t>
      </w:r>
      <w:proofErr w:type="spellEnd"/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 CHU), Université de Liège, </w:t>
      </w:r>
      <w:r w:rsidRPr="00704D97">
        <w:rPr>
          <w:rFonts w:ascii="Times New Roman" w:hAnsi="Times New Roman" w:cs="Times New Roman"/>
          <w:sz w:val="24"/>
          <w:szCs w:val="24"/>
          <w:lang w:val="fr-BE"/>
        </w:rPr>
        <w:t>Belgique</w:t>
      </w: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D9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</w:rPr>
        <w:t>Charité</w:t>
      </w:r>
      <w:proofErr w:type="spellEnd"/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University Hospital, Institute of Public Health, Berlin, Germany</w:t>
      </w:r>
    </w:p>
    <w:p w:rsidR="00704D97" w:rsidRPr="00704D97" w:rsidRDefault="00704D97" w:rsidP="00704D9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</w:pPr>
      <w:r w:rsidRPr="00704D97">
        <w:rPr>
          <w:rFonts w:ascii="Times New Roman" w:hAnsi="Times New Roman" w:cs="Times New Roman"/>
          <w:sz w:val="24"/>
          <w:szCs w:val="24"/>
          <w:shd w:val="clear" w:color="auto" w:fill="FFFFFF"/>
          <w:lang w:val="fr-BE"/>
        </w:rPr>
        <w:t xml:space="preserve">6. </w:t>
      </w:r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Service de Néphrologie-Dialyse-Transplantation, Université de Liège, CHU Sart </w:t>
      </w:r>
      <w:proofErr w:type="spellStart"/>
      <w:r w:rsidRPr="00704D97">
        <w:rPr>
          <w:rFonts w:ascii="Times New Roman" w:hAnsi="Times New Roman" w:cs="Times New Roman"/>
          <w:sz w:val="24"/>
          <w:szCs w:val="24"/>
          <w:lang w:val="fr-BE"/>
        </w:rPr>
        <w:t>Tilman</w:t>
      </w:r>
      <w:proofErr w:type="spellEnd"/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 (</w:t>
      </w:r>
      <w:proofErr w:type="spellStart"/>
      <w:r w:rsidRPr="00704D97">
        <w:rPr>
          <w:rFonts w:ascii="Times New Roman" w:hAnsi="Times New Roman" w:cs="Times New Roman"/>
          <w:sz w:val="24"/>
          <w:szCs w:val="24"/>
          <w:lang w:val="fr-BE"/>
        </w:rPr>
        <w:t>ULg</w:t>
      </w:r>
      <w:proofErr w:type="spellEnd"/>
      <w:r w:rsidRPr="00704D97">
        <w:rPr>
          <w:rFonts w:ascii="Times New Roman" w:hAnsi="Times New Roman" w:cs="Times New Roman"/>
          <w:sz w:val="24"/>
          <w:szCs w:val="24"/>
          <w:lang w:val="fr-BE"/>
        </w:rPr>
        <w:t xml:space="preserve"> CHU), Liège, Belgique</w:t>
      </w:r>
    </w:p>
    <w:p w:rsidR="00201C71" w:rsidRPr="00704D97" w:rsidRDefault="00201C71" w:rsidP="00704D97">
      <w:pPr>
        <w:spacing w:line="240" w:lineRule="auto"/>
        <w:rPr>
          <w:rFonts w:ascii="Cambria" w:hAnsi="Cambria" w:cs="Times New Roman"/>
          <w:sz w:val="24"/>
          <w:szCs w:val="24"/>
          <w:lang w:val="fr-BE"/>
        </w:rPr>
      </w:pPr>
      <w:bookmarkStart w:id="0" w:name="_GoBack"/>
      <w:bookmarkEnd w:id="0"/>
    </w:p>
    <w:p w:rsidR="00201C71" w:rsidRPr="00704D97" w:rsidRDefault="00201C71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BE3A95" w:rsidRPr="0032093C" w:rsidRDefault="0032093C" w:rsidP="00D63A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lang w:val="fr-BE"/>
        </w:rPr>
        <w:t>Introduction</w:t>
      </w:r>
    </w:p>
    <w:p w:rsidR="0032093C" w:rsidRDefault="0032093C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32093C">
        <w:rPr>
          <w:rFonts w:ascii="Times New Roman" w:hAnsi="Times New Roman" w:cs="Times New Roman"/>
          <w:sz w:val="24"/>
          <w:szCs w:val="24"/>
          <w:lang w:val="fr-BE"/>
        </w:rPr>
        <w:t xml:space="preserve">La clairance plasmatique de l’iohexol et du </w:t>
      </w:r>
      <w:r w:rsidRPr="0032093C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51</w:t>
      </w:r>
      <w:r w:rsidRPr="0032093C">
        <w:rPr>
          <w:rFonts w:ascii="Times New Roman" w:hAnsi="Times New Roman" w:cs="Times New Roman"/>
          <w:sz w:val="24"/>
          <w:szCs w:val="24"/>
          <w:lang w:val="fr-BE"/>
        </w:rPr>
        <w:t>Cr-EDTA sont considérées comme des méthodes de référence pour la mesure du débit de filtration glomérulaire (DFG). Les méthodes à prélèvement unique (PU) ont l’avantage de la simplicité et sont aussi moins couteuses. Cependant, différentes modélisations mathématiques existent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. Dans le présent travail, nous avons évalué la concordance de ces différentes </w:t>
      </w:r>
      <w:r w:rsidR="00D9774F">
        <w:rPr>
          <w:rFonts w:ascii="Times New Roman" w:hAnsi="Times New Roman" w:cs="Times New Roman"/>
          <w:sz w:val="24"/>
          <w:szCs w:val="24"/>
          <w:lang w:val="fr-BE"/>
        </w:rPr>
        <w:t>méthodes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entre elles.</w:t>
      </w:r>
    </w:p>
    <w:p w:rsidR="0032093C" w:rsidRDefault="0032093C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32093C" w:rsidRDefault="0032093C" w:rsidP="00D63A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lang w:val="fr-BE"/>
        </w:rPr>
        <w:t>Méthodes</w:t>
      </w:r>
    </w:p>
    <w:p w:rsidR="0032093C" w:rsidRPr="0032093C" w:rsidRDefault="0032093C" w:rsidP="0032093C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Nous avons collecté les données de 5106 clairances d’iohexol ou de</w:t>
      </w:r>
      <w:r w:rsidRPr="0032093C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32093C">
        <w:rPr>
          <w:rFonts w:ascii="Times New Roman" w:hAnsi="Times New Roman" w:cs="Times New Roman"/>
          <w:sz w:val="24"/>
          <w:szCs w:val="24"/>
          <w:vertAlign w:val="superscript"/>
          <w:lang w:val="fr-BE"/>
        </w:rPr>
        <w:t>51</w:t>
      </w:r>
      <w:r w:rsidRPr="0032093C">
        <w:rPr>
          <w:rFonts w:ascii="Times New Roman" w:hAnsi="Times New Roman" w:cs="Times New Roman"/>
          <w:sz w:val="24"/>
          <w:szCs w:val="24"/>
          <w:lang w:val="fr-BE"/>
        </w:rPr>
        <w:t>Cr-EDTA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en utilisant le prélèvement réalisé 4 heures après l’injection. Sept modélisations mathématiques différentes ont été ensuite étudiées pour calculer le DFG :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itératif, </w:t>
      </w:r>
      <w:proofErr w:type="spellStart"/>
      <w:r w:rsidRPr="0032093C">
        <w:rPr>
          <w:rFonts w:ascii="Times New Roman" w:hAnsi="Times New Roman" w:cs="Times New Roman"/>
          <w:sz w:val="24"/>
          <w:szCs w:val="24"/>
          <w:lang w:val="fr-BE"/>
        </w:rPr>
        <w:t>Groth</w:t>
      </w:r>
      <w:proofErr w:type="spellEnd"/>
      <w:r w:rsidRPr="0032093C">
        <w:rPr>
          <w:rFonts w:ascii="Times New Roman" w:hAnsi="Times New Roman" w:cs="Times New Roman"/>
          <w:sz w:val="24"/>
          <w:szCs w:val="24"/>
          <w:lang w:val="fr-BE"/>
        </w:rPr>
        <w:t xml:space="preserve">, Fleming, Russel, Christensen and </w:t>
      </w:r>
      <w:proofErr w:type="spellStart"/>
      <w:r w:rsidRPr="0032093C">
        <w:rPr>
          <w:rFonts w:ascii="Times New Roman" w:hAnsi="Times New Roman" w:cs="Times New Roman"/>
          <w:sz w:val="24"/>
          <w:szCs w:val="24"/>
          <w:lang w:val="fr-BE"/>
        </w:rPr>
        <w:t>Tauxe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>.</w:t>
      </w:r>
      <w:r w:rsidR="00976563">
        <w:rPr>
          <w:rFonts w:ascii="Times New Roman" w:hAnsi="Times New Roman" w:cs="Times New Roman"/>
          <w:sz w:val="24"/>
          <w:szCs w:val="24"/>
          <w:lang w:val="fr-BE"/>
        </w:rPr>
        <w:t xml:space="preserve"> Une concordance était jugée acceptable lorsque 90% des résultats étaient concordants à 90%. Des analyses par sous-groupe de DFG, d’indice de masse corporelle (IMC) et d’âge ont été réalisées lorsque les résultats étaient concordants. </w:t>
      </w:r>
    </w:p>
    <w:p w:rsidR="00D63A34" w:rsidRDefault="00976563" w:rsidP="00D63A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>
        <w:rPr>
          <w:rFonts w:ascii="Times New Roman" w:hAnsi="Times New Roman" w:cs="Times New Roman"/>
          <w:b/>
          <w:sz w:val="24"/>
          <w:szCs w:val="24"/>
          <w:lang w:val="fr-BE"/>
        </w:rPr>
        <w:t>Résultats</w:t>
      </w:r>
    </w:p>
    <w:p w:rsidR="00976563" w:rsidRPr="00976563" w:rsidRDefault="00976563" w:rsidP="00976563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976563">
        <w:rPr>
          <w:rFonts w:ascii="Times New Roman" w:hAnsi="Times New Roman" w:cs="Times New Roman"/>
          <w:sz w:val="24"/>
          <w:szCs w:val="24"/>
          <w:lang w:val="fr-BE"/>
        </w:rPr>
        <w:t>La moyenne d’âge des 5106 participants était de 54±17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ans et 42.6% étaient des femmes. L’IMC moyen était de </w:t>
      </w:r>
      <w:r w:rsidRPr="0032093C">
        <w:rPr>
          <w:rFonts w:ascii="Times New Roman" w:hAnsi="Times New Roman" w:cs="Times New Roman"/>
          <w:sz w:val="24"/>
          <w:szCs w:val="24"/>
          <w:lang w:val="fr-BE"/>
        </w:rPr>
        <w:t>26±6 kg/m².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Le DFG moyen obtenu par la méthode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itérative était de </w:t>
      </w:r>
      <w:r w:rsidRPr="00976563">
        <w:rPr>
          <w:rFonts w:ascii="Times New Roman" w:hAnsi="Times New Roman" w:cs="Times New Roman"/>
          <w:sz w:val="24"/>
          <w:szCs w:val="24"/>
          <w:lang w:val="fr-BE"/>
        </w:rPr>
        <w:t xml:space="preserve">62±24 </w:t>
      </w:r>
      <w:proofErr w:type="spellStart"/>
      <w:r w:rsidRPr="00976563">
        <w:rPr>
          <w:rFonts w:ascii="Times New Roman" w:hAnsi="Times New Roman" w:cs="Times New Roman"/>
          <w:sz w:val="24"/>
          <w:szCs w:val="24"/>
          <w:lang w:val="fr-BE"/>
        </w:rPr>
        <w:t>mL</w:t>
      </w:r>
      <w:proofErr w:type="spellEnd"/>
      <w:r w:rsidRPr="00976563">
        <w:rPr>
          <w:rFonts w:ascii="Times New Roman" w:hAnsi="Times New Roman" w:cs="Times New Roman"/>
          <w:sz w:val="24"/>
          <w:szCs w:val="24"/>
          <w:lang w:val="fr-BE"/>
        </w:rPr>
        <w:t>/min/1.73m².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r w:rsidRPr="00976563">
        <w:rPr>
          <w:rFonts w:ascii="Times New Roman" w:hAnsi="Times New Roman" w:cs="Times New Roman"/>
          <w:sz w:val="24"/>
          <w:szCs w:val="24"/>
          <w:lang w:val="fr-BE"/>
        </w:rPr>
        <w:t>Des concordances insuffisantes étaient retrouvée</w:t>
      </w:r>
      <w:r w:rsidR="00D9774F">
        <w:rPr>
          <w:rFonts w:ascii="Times New Roman" w:hAnsi="Times New Roman" w:cs="Times New Roman"/>
          <w:sz w:val="24"/>
          <w:szCs w:val="24"/>
          <w:lang w:val="fr-BE"/>
        </w:rPr>
        <w:t>s</w:t>
      </w:r>
      <w:r w:rsidRPr="00976563">
        <w:rPr>
          <w:rFonts w:ascii="Times New Roman" w:hAnsi="Times New Roman" w:cs="Times New Roman"/>
          <w:sz w:val="24"/>
          <w:szCs w:val="24"/>
          <w:lang w:val="fr-BE"/>
        </w:rPr>
        <w:t xml:space="preserve"> entre les </w:t>
      </w:r>
      <w:r w:rsidR="002C62E9" w:rsidRPr="00976563">
        <w:rPr>
          <w:rFonts w:ascii="Times New Roman" w:hAnsi="Times New Roman" w:cs="Times New Roman"/>
          <w:sz w:val="24"/>
          <w:szCs w:val="24"/>
          <w:lang w:val="fr-BE"/>
        </w:rPr>
        <w:t>méthodes</w:t>
      </w:r>
      <w:r w:rsidRPr="00976563">
        <w:rPr>
          <w:rFonts w:ascii="Times New Roman" w:hAnsi="Times New Roman" w:cs="Times New Roman"/>
          <w:sz w:val="24"/>
          <w:szCs w:val="24"/>
          <w:lang w:val="fr-BE"/>
        </w:rPr>
        <w:t xml:space="preserve"> de </w:t>
      </w:r>
      <w:proofErr w:type="spellStart"/>
      <w:r w:rsidRPr="00976563">
        <w:rPr>
          <w:rFonts w:ascii="Times New Roman" w:hAnsi="Times New Roman" w:cs="Times New Roman"/>
          <w:sz w:val="24"/>
          <w:szCs w:val="24"/>
          <w:lang w:val="fr-BE"/>
        </w:rPr>
        <w:t>Tauxe</w:t>
      </w:r>
      <w:proofErr w:type="spellEnd"/>
      <w:r w:rsidRPr="00976563">
        <w:rPr>
          <w:rFonts w:ascii="Times New Roman" w:hAnsi="Times New Roman" w:cs="Times New Roman"/>
          <w:sz w:val="24"/>
          <w:szCs w:val="24"/>
          <w:lang w:val="fr-BE"/>
        </w:rPr>
        <w:t xml:space="preserve"> et Russel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, d’une part et toutes les autres d’autres part. Une mauvaise concordance était également décrite entre les méthodes de </w:t>
      </w:r>
      <w:proofErr w:type="spellStart"/>
      <w:r>
        <w:rPr>
          <w:rFonts w:ascii="Times New Roman" w:hAnsi="Times New Roman" w:cs="Times New Roman"/>
          <w:sz w:val="24"/>
          <w:szCs w:val="24"/>
          <w:lang w:val="fr-BE"/>
        </w:rPr>
        <w:t>Groth</w:t>
      </w:r>
      <w:proofErr w:type="spellEnd"/>
      <w:r>
        <w:rPr>
          <w:rFonts w:ascii="Times New Roman" w:hAnsi="Times New Roman" w:cs="Times New Roman"/>
          <w:sz w:val="24"/>
          <w:szCs w:val="24"/>
          <w:lang w:val="fr-BE"/>
        </w:rPr>
        <w:t xml:space="preserve"> et Fleming. Dans les analyses de sous-groupes, des concordances inacceptables entre les méthodes </w:t>
      </w:r>
      <w:r w:rsidR="002C62E9">
        <w:rPr>
          <w:rFonts w:ascii="Times New Roman" w:hAnsi="Times New Roman" w:cs="Times New Roman"/>
          <w:sz w:val="24"/>
          <w:szCs w:val="24"/>
          <w:lang w:val="fr-BE"/>
        </w:rPr>
        <w:t>étaient</w:t>
      </w:r>
      <w:r>
        <w:rPr>
          <w:rFonts w:ascii="Times New Roman" w:hAnsi="Times New Roman" w:cs="Times New Roman"/>
          <w:sz w:val="24"/>
          <w:szCs w:val="24"/>
          <w:lang w:val="fr-BE"/>
        </w:rPr>
        <w:t xml:space="preserve"> retrouvées principalement dans les sous-groupes à valeurs extrêmes.</w:t>
      </w:r>
    </w:p>
    <w:p w:rsidR="006F2E26" w:rsidRPr="0032093C" w:rsidRDefault="006F2E26" w:rsidP="00D63A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2093C">
        <w:rPr>
          <w:rFonts w:ascii="Times New Roman" w:hAnsi="Times New Roman" w:cs="Times New Roman"/>
          <w:b/>
          <w:sz w:val="24"/>
          <w:szCs w:val="24"/>
          <w:lang w:val="fr-BE"/>
        </w:rPr>
        <w:lastRenderedPageBreak/>
        <w:t>Discussion</w:t>
      </w:r>
    </w:p>
    <w:p w:rsidR="00976563" w:rsidRDefault="00976563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>Pour ce qui est des résultats de DFG mesuré par PU, nous observons une bonne concordance</w:t>
      </w:r>
      <w:r w:rsidR="002C62E9">
        <w:rPr>
          <w:rFonts w:ascii="Times New Roman" w:hAnsi="Times New Roman" w:cs="Times New Roman"/>
          <w:sz w:val="24"/>
          <w:szCs w:val="24"/>
          <w:lang w:val="fr-BE"/>
        </w:rPr>
        <w:t xml:space="preserve"> entre les modélisations de </w:t>
      </w:r>
      <w:proofErr w:type="spellStart"/>
      <w:r w:rsidR="002C62E9"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 w:rsidR="002C62E9">
        <w:rPr>
          <w:rFonts w:ascii="Times New Roman" w:hAnsi="Times New Roman" w:cs="Times New Roman"/>
          <w:sz w:val="24"/>
          <w:szCs w:val="24"/>
          <w:lang w:val="fr-BE"/>
        </w:rPr>
        <w:t xml:space="preserve">, </w:t>
      </w:r>
      <w:proofErr w:type="spellStart"/>
      <w:r w:rsidR="002C62E9">
        <w:rPr>
          <w:rFonts w:ascii="Times New Roman" w:hAnsi="Times New Roman" w:cs="Times New Roman"/>
          <w:sz w:val="24"/>
          <w:szCs w:val="24"/>
          <w:lang w:val="fr-BE"/>
        </w:rPr>
        <w:t>Jacobsson</w:t>
      </w:r>
      <w:proofErr w:type="spellEnd"/>
      <w:r w:rsidR="002C62E9">
        <w:rPr>
          <w:rFonts w:ascii="Times New Roman" w:hAnsi="Times New Roman" w:cs="Times New Roman"/>
          <w:sz w:val="24"/>
          <w:szCs w:val="24"/>
          <w:lang w:val="fr-BE"/>
        </w:rPr>
        <w:t xml:space="preserve"> itératif, et de </w:t>
      </w:r>
      <w:proofErr w:type="spellStart"/>
      <w:r w:rsidR="002C62E9" w:rsidRPr="0032093C">
        <w:rPr>
          <w:rFonts w:ascii="Times New Roman" w:hAnsi="Times New Roman" w:cs="Times New Roman"/>
          <w:sz w:val="24"/>
          <w:szCs w:val="24"/>
          <w:lang w:val="fr-BE"/>
        </w:rPr>
        <w:t>Groth</w:t>
      </w:r>
      <w:proofErr w:type="spellEnd"/>
      <w:r w:rsidR="002C62E9">
        <w:rPr>
          <w:rFonts w:ascii="Times New Roman" w:hAnsi="Times New Roman" w:cs="Times New Roman"/>
          <w:sz w:val="24"/>
          <w:szCs w:val="24"/>
          <w:lang w:val="fr-BE"/>
        </w:rPr>
        <w:t xml:space="preserve">. Des études complémentaires restent nécessaires pour juger de la performance et de la concordance de ces méthodes dans les DFG les plus bas. </w:t>
      </w: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CC3CC6" w:rsidP="00D63A34">
      <w:pPr>
        <w:spacing w:line="240" w:lineRule="auto"/>
        <w:rPr>
          <w:rFonts w:ascii="Times New Roman" w:hAnsi="Times New Roman" w:cs="Times New Roman"/>
          <w:sz w:val="24"/>
          <w:szCs w:val="24"/>
          <w:lang w:val="fr-BE"/>
        </w:rPr>
      </w:pPr>
    </w:p>
    <w:p w:rsidR="00CC3CC6" w:rsidRPr="0032093C" w:rsidRDefault="00953F46" w:rsidP="00CC3CC6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32093C">
        <w:rPr>
          <w:rFonts w:ascii="Times New Roman" w:hAnsi="Times New Roman" w:cs="Times New Roman"/>
          <w:b/>
          <w:sz w:val="24"/>
          <w:szCs w:val="24"/>
          <w:lang w:val="fr-BE"/>
        </w:rPr>
        <w:t>Table 1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169"/>
        <w:gridCol w:w="1141"/>
        <w:gridCol w:w="1513"/>
        <w:gridCol w:w="1559"/>
        <w:gridCol w:w="1417"/>
        <w:gridCol w:w="851"/>
        <w:gridCol w:w="1417"/>
      </w:tblGrid>
      <w:tr w:rsidR="00CC3CC6" w:rsidRPr="0032093C" w:rsidTr="005110CD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Jacobsson</w:t>
            </w:r>
            <w:proofErr w:type="spellEnd"/>
            <w:r w:rsidRPr="0032093C">
              <w:rPr>
                <w:sz w:val="20"/>
                <w:szCs w:val="20"/>
              </w:rPr>
              <w:t xml:space="preserve"> </w:t>
            </w:r>
            <w:proofErr w:type="spellStart"/>
            <w:r w:rsidRPr="0032093C">
              <w:rPr>
                <w:sz w:val="20"/>
                <w:szCs w:val="20"/>
              </w:rPr>
              <w:t>iterative</w:t>
            </w:r>
            <w:proofErr w:type="spellEnd"/>
          </w:p>
        </w:tc>
        <w:tc>
          <w:tcPr>
            <w:tcW w:w="1513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Jacobsson</w:t>
            </w:r>
            <w:proofErr w:type="spellEnd"/>
          </w:p>
        </w:tc>
        <w:tc>
          <w:tcPr>
            <w:tcW w:w="155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Groth</w:t>
            </w:r>
            <w:proofErr w:type="spellEnd"/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Fleming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Russell</w:t>
            </w:r>
          </w:p>
        </w:tc>
        <w:tc>
          <w:tcPr>
            <w:tcW w:w="1417" w:type="dxa"/>
          </w:tcPr>
          <w:p w:rsidR="00CC3CC6" w:rsidRPr="0032093C" w:rsidRDefault="005472BE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Christen</w:t>
            </w:r>
            <w:r w:rsidR="00CC3CC6" w:rsidRPr="0032093C">
              <w:rPr>
                <w:sz w:val="20"/>
                <w:szCs w:val="20"/>
              </w:rPr>
              <w:t>sen</w:t>
            </w:r>
          </w:p>
        </w:tc>
      </w:tr>
      <w:tr w:rsidR="00CC3CC6" w:rsidRPr="0032093C" w:rsidTr="005110CD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Jacobsson</w:t>
            </w:r>
            <w:proofErr w:type="spellEnd"/>
            <w:r w:rsidRPr="0032093C">
              <w:rPr>
                <w:sz w:val="20"/>
                <w:szCs w:val="20"/>
              </w:rPr>
              <w:t xml:space="preserve"> </w:t>
            </w:r>
            <w:proofErr w:type="spellStart"/>
            <w:r w:rsidRPr="0032093C">
              <w:rPr>
                <w:sz w:val="20"/>
                <w:szCs w:val="20"/>
              </w:rPr>
              <w:t>iterative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]35-40kg/m²]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&lt;30mL/min</w:t>
            </w:r>
          </w:p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]30-35kg/m²]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]35-40kg/m²]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&gt;40kg/m²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&lt;30mL/min</w:t>
            </w:r>
          </w:p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]30-40mL/min]</w:t>
            </w:r>
          </w:p>
        </w:tc>
        <w:tc>
          <w:tcPr>
            <w:tcW w:w="851" w:type="dxa"/>
            <w:shd w:val="clear" w:color="auto" w:fill="FF0000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]35-40kg/m²]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&gt;40kg/m²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&lt;30mL/min</w:t>
            </w:r>
          </w:p>
          <w:p w:rsidR="00CC3CC6" w:rsidRPr="00201C71" w:rsidRDefault="00CC3CC6" w:rsidP="005110C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CC3CC6" w:rsidRPr="00201C71" w:rsidTr="00F960CF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Jacobsson</w:t>
            </w:r>
            <w:proofErr w:type="spellEnd"/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99.7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[80-90</w:t>
            </w:r>
            <w:proofErr w:type="gramStart"/>
            <w:r w:rsidRPr="0032093C">
              <w:rPr>
                <w:color w:val="FF0000"/>
                <w:sz w:val="20"/>
                <w:szCs w:val="20"/>
              </w:rPr>
              <w:t>y[</w:t>
            </w:r>
            <w:proofErr w:type="gramEnd"/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&lt;18.5 kg/m²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]35-40kg/m²]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&gt;40kg/m²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&lt;30mL/min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]30-40mL/min]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]35-40kg/m²]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&gt;40kg/m²</w:t>
            </w:r>
          </w:p>
          <w:p w:rsidR="00CC3CC6" w:rsidRPr="00201C71" w:rsidRDefault="00CC3CC6" w:rsidP="005110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01C71">
              <w:rPr>
                <w:color w:val="FF0000"/>
                <w:sz w:val="20"/>
                <w:szCs w:val="20"/>
                <w:lang w:val="en-US"/>
              </w:rPr>
              <w:t>&lt;30mL/min</w:t>
            </w:r>
          </w:p>
          <w:p w:rsidR="00CC3CC6" w:rsidRPr="00201C71" w:rsidRDefault="00CC3CC6" w:rsidP="005110C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0000"/>
          </w:tcPr>
          <w:p w:rsidR="00CC3CC6" w:rsidRPr="00201C71" w:rsidRDefault="00CC3CC6" w:rsidP="005110CD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 xml:space="preserve">&lt;18y 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 xml:space="preserve">[18-30, </w:t>
            </w:r>
            <w:proofErr w:type="gramStart"/>
            <w:r w:rsidRPr="0032093C">
              <w:rPr>
                <w:color w:val="FF0000"/>
                <w:sz w:val="20"/>
                <w:szCs w:val="20"/>
              </w:rPr>
              <w:t>y[</w:t>
            </w:r>
            <w:proofErr w:type="gramEnd"/>
            <w:r w:rsidRPr="0032093C">
              <w:rPr>
                <w:color w:val="FF0000"/>
                <w:sz w:val="20"/>
                <w:szCs w:val="20"/>
              </w:rPr>
              <w:t xml:space="preserve"> 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[30-40</w:t>
            </w:r>
            <w:proofErr w:type="gramStart"/>
            <w:r w:rsidRPr="0032093C">
              <w:rPr>
                <w:color w:val="FF0000"/>
                <w:sz w:val="20"/>
                <w:szCs w:val="20"/>
              </w:rPr>
              <w:t>y[</w:t>
            </w:r>
            <w:proofErr w:type="gramEnd"/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[40-50</w:t>
            </w:r>
            <w:proofErr w:type="gramStart"/>
            <w:r w:rsidRPr="0032093C">
              <w:rPr>
                <w:color w:val="FF0000"/>
                <w:sz w:val="20"/>
                <w:szCs w:val="20"/>
              </w:rPr>
              <w:t>y[</w:t>
            </w:r>
            <w:proofErr w:type="gramEnd"/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&lt;18.5 kg/m²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]35-40kg/m²]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&gt;40kg/m²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&lt;30mL/min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]90-130mL/min]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&gt;130mL/min</w:t>
            </w:r>
          </w:p>
        </w:tc>
      </w:tr>
      <w:tr w:rsidR="00CC3CC6" w:rsidRPr="0032093C" w:rsidTr="005110CD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Groth</w:t>
            </w:r>
            <w:proofErr w:type="spellEnd"/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513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92.5</w:t>
            </w:r>
          </w:p>
        </w:tc>
        <w:tc>
          <w:tcPr>
            <w:tcW w:w="1559" w:type="dxa"/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0000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0000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]90-130mL/min]</w:t>
            </w:r>
          </w:p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&gt;130mL/min</w:t>
            </w:r>
          </w:p>
        </w:tc>
      </w:tr>
      <w:tr w:rsidR="00CC3CC6" w:rsidRPr="00201C71" w:rsidTr="005110CD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Fleming</w:t>
            </w:r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92.8</w:t>
            </w:r>
          </w:p>
        </w:tc>
        <w:tc>
          <w:tcPr>
            <w:tcW w:w="1513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97.2</w:t>
            </w:r>
          </w:p>
        </w:tc>
        <w:tc>
          <w:tcPr>
            <w:tcW w:w="1559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0000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[80-90</w:t>
            </w:r>
            <w:proofErr w:type="gramStart"/>
            <w:r w:rsidRPr="0032093C">
              <w:rPr>
                <w:color w:val="FF0000"/>
                <w:sz w:val="20"/>
                <w:szCs w:val="20"/>
              </w:rPr>
              <w:t>y[</w:t>
            </w:r>
            <w:proofErr w:type="gramEnd"/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&lt;18.5 kg/m²</w:t>
            </w:r>
          </w:p>
          <w:p w:rsidR="00CC3CC6" w:rsidRPr="0032093C" w:rsidRDefault="00CC3CC6" w:rsidP="005110CD">
            <w:pPr>
              <w:jc w:val="center"/>
              <w:rPr>
                <w:color w:val="FF000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&lt;30mL/min</w:t>
            </w:r>
          </w:p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  <w:r w:rsidRPr="0032093C">
              <w:rPr>
                <w:color w:val="FF0000"/>
                <w:sz w:val="20"/>
                <w:szCs w:val="20"/>
              </w:rPr>
              <w:t>&gt;130mL/min</w:t>
            </w:r>
          </w:p>
        </w:tc>
      </w:tr>
      <w:tr w:rsidR="00CC3CC6" w:rsidRPr="0032093C" w:rsidTr="00953F46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Russell</w:t>
            </w:r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32.9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15.4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0000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C3CC6" w:rsidRPr="0032093C" w:rsidTr="005110CD">
        <w:tc>
          <w:tcPr>
            <w:tcW w:w="1169" w:type="dxa"/>
          </w:tcPr>
          <w:p w:rsidR="00CC3CC6" w:rsidRPr="0032093C" w:rsidRDefault="005472BE" w:rsidP="005110CD">
            <w:pPr>
              <w:jc w:val="center"/>
              <w:rPr>
                <w:sz w:val="20"/>
                <w:szCs w:val="20"/>
              </w:rPr>
            </w:pPr>
            <w:r w:rsidRPr="0032093C">
              <w:rPr>
                <w:sz w:val="20"/>
                <w:szCs w:val="20"/>
              </w:rPr>
              <w:t>Christen</w:t>
            </w:r>
            <w:r w:rsidR="00CC3CC6" w:rsidRPr="0032093C">
              <w:rPr>
                <w:sz w:val="20"/>
                <w:szCs w:val="20"/>
              </w:rPr>
              <w:t>sen</w:t>
            </w:r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95.9</w:t>
            </w:r>
          </w:p>
        </w:tc>
        <w:tc>
          <w:tcPr>
            <w:tcW w:w="1513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559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97.6</w:t>
            </w:r>
          </w:p>
        </w:tc>
        <w:tc>
          <w:tcPr>
            <w:tcW w:w="1417" w:type="dxa"/>
            <w:shd w:val="clear" w:color="auto" w:fill="92D050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92.8</w:t>
            </w:r>
          </w:p>
        </w:tc>
        <w:tc>
          <w:tcPr>
            <w:tcW w:w="851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55.1</w:t>
            </w:r>
          </w:p>
        </w:tc>
        <w:tc>
          <w:tcPr>
            <w:tcW w:w="1417" w:type="dxa"/>
            <w:shd w:val="clear" w:color="auto" w:fill="000000" w:themeFill="text1"/>
          </w:tcPr>
          <w:p w:rsidR="00CC3CC6" w:rsidRPr="0032093C" w:rsidRDefault="00CC3CC6" w:rsidP="005110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CC3CC6" w:rsidRPr="0032093C" w:rsidTr="005110CD">
        <w:tc>
          <w:tcPr>
            <w:tcW w:w="1169" w:type="dxa"/>
          </w:tcPr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  <w:proofErr w:type="spellStart"/>
            <w:r w:rsidRPr="0032093C">
              <w:rPr>
                <w:sz w:val="20"/>
                <w:szCs w:val="20"/>
              </w:rPr>
              <w:t>Tauxe</w:t>
            </w:r>
            <w:proofErr w:type="spellEnd"/>
          </w:p>
          <w:p w:rsidR="00CC3CC6" w:rsidRPr="0032093C" w:rsidRDefault="00CC3CC6" w:rsidP="00511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80.7</w:t>
            </w:r>
          </w:p>
        </w:tc>
        <w:tc>
          <w:tcPr>
            <w:tcW w:w="1513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62.8</w:t>
            </w:r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83.3</w:t>
            </w:r>
          </w:p>
        </w:tc>
        <w:tc>
          <w:tcPr>
            <w:tcW w:w="851" w:type="dxa"/>
          </w:tcPr>
          <w:p w:rsidR="00CC3CC6" w:rsidRPr="0032093C" w:rsidRDefault="00CC3CC6" w:rsidP="005110CD">
            <w:pPr>
              <w:jc w:val="center"/>
              <w:rPr>
                <w:b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86.9</w:t>
            </w:r>
          </w:p>
        </w:tc>
        <w:tc>
          <w:tcPr>
            <w:tcW w:w="1417" w:type="dxa"/>
          </w:tcPr>
          <w:p w:rsidR="00CC3CC6" w:rsidRPr="0032093C" w:rsidRDefault="00CC3CC6" w:rsidP="005110C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2093C">
              <w:rPr>
                <w:b/>
                <w:sz w:val="20"/>
                <w:szCs w:val="20"/>
              </w:rPr>
              <w:t>89.2</w:t>
            </w:r>
          </w:p>
        </w:tc>
      </w:tr>
    </w:tbl>
    <w:p w:rsidR="00CC3CC6" w:rsidRPr="0032093C" w:rsidRDefault="002C62E9" w:rsidP="00CC3CC6">
      <w:pPr>
        <w:spacing w:after="0"/>
        <w:rPr>
          <w:lang w:val="fr-BE"/>
        </w:rPr>
      </w:pPr>
      <w:r>
        <w:rPr>
          <w:lang w:val="fr-BE"/>
        </w:rPr>
        <w:lastRenderedPageBreak/>
        <w:t>Partie basse du tableau</w:t>
      </w:r>
      <w:r w:rsidRPr="0032093C">
        <w:rPr>
          <w:lang w:val="fr-BE"/>
        </w:rPr>
        <w:t xml:space="preserve"> :</w:t>
      </w:r>
      <w:r w:rsidR="00DD06E5" w:rsidRPr="0032093C">
        <w:rPr>
          <w:lang w:val="fr-BE"/>
        </w:rPr>
        <w:t xml:space="preserve"> </w:t>
      </w:r>
      <w:r>
        <w:rPr>
          <w:lang w:val="fr-BE"/>
        </w:rPr>
        <w:t>résultats en gras : concordance à 10% (les cases vertes sont les résultats concordants)</w:t>
      </w:r>
      <w:r w:rsidR="00DD06E5" w:rsidRPr="0032093C">
        <w:rPr>
          <w:lang w:val="fr-BE"/>
        </w:rPr>
        <w:t>.</w:t>
      </w:r>
    </w:p>
    <w:p w:rsidR="00CC3CC6" w:rsidRPr="0032093C" w:rsidRDefault="002C62E9" w:rsidP="002C62E9">
      <w:pPr>
        <w:spacing w:after="0"/>
        <w:rPr>
          <w:rFonts w:ascii="Times New Roman" w:hAnsi="Times New Roman" w:cs="Times New Roman"/>
          <w:sz w:val="24"/>
          <w:szCs w:val="24"/>
          <w:lang w:val="fr-BE"/>
        </w:rPr>
      </w:pPr>
      <w:r>
        <w:rPr>
          <w:lang w:val="fr-BE"/>
        </w:rPr>
        <w:t>Partie haute du tableau. Description en rouge des sous-groupes dans lesquels la concordance à 10% est moins bonne (analyses réalisées que pour les résultats concordants dans l’entièreté de la cohorte)</w:t>
      </w:r>
    </w:p>
    <w:sectPr w:rsidR="00CC3CC6" w:rsidRPr="003209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C"/>
    <w:rsid w:val="000874C9"/>
    <w:rsid w:val="001908B7"/>
    <w:rsid w:val="00201C71"/>
    <w:rsid w:val="00297A6E"/>
    <w:rsid w:val="002C62E9"/>
    <w:rsid w:val="0032093C"/>
    <w:rsid w:val="00437F09"/>
    <w:rsid w:val="00491B62"/>
    <w:rsid w:val="005472BE"/>
    <w:rsid w:val="0057387D"/>
    <w:rsid w:val="006F2E26"/>
    <w:rsid w:val="00704D97"/>
    <w:rsid w:val="007C7C62"/>
    <w:rsid w:val="00870A34"/>
    <w:rsid w:val="008A09D4"/>
    <w:rsid w:val="008C2034"/>
    <w:rsid w:val="008D2CE6"/>
    <w:rsid w:val="009137F1"/>
    <w:rsid w:val="00953F46"/>
    <w:rsid w:val="009757DE"/>
    <w:rsid w:val="00976563"/>
    <w:rsid w:val="00995511"/>
    <w:rsid w:val="00A911D5"/>
    <w:rsid w:val="00BC3160"/>
    <w:rsid w:val="00BE3A95"/>
    <w:rsid w:val="00C04233"/>
    <w:rsid w:val="00C05AAC"/>
    <w:rsid w:val="00C51B75"/>
    <w:rsid w:val="00CC3CC6"/>
    <w:rsid w:val="00D348D4"/>
    <w:rsid w:val="00D63A34"/>
    <w:rsid w:val="00D9774F"/>
    <w:rsid w:val="00DD06E5"/>
    <w:rsid w:val="00EE704A"/>
    <w:rsid w:val="00F960CF"/>
    <w:rsid w:val="00FD4C81"/>
    <w:rsid w:val="00F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EC46"/>
  <w15:chartTrackingRefBased/>
  <w15:docId w15:val="{FB42F693-A2FE-4EAD-894F-CC891B60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3CC6"/>
    <w:pPr>
      <w:spacing w:after="0" w:line="240" w:lineRule="auto"/>
    </w:pPr>
    <w:rPr>
      <w:rFonts w:ascii="Times New Roman" w:hAnsi="Times New Roman" w:cs="Times New Roman"/>
      <w:sz w:val="24"/>
      <w:szCs w:val="24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PDelanaye</dc:creator>
  <cp:keywords/>
  <dc:description/>
  <cp:lastModifiedBy>PDelanaye</cp:lastModifiedBy>
  <cp:revision>7</cp:revision>
  <dcterms:created xsi:type="dcterms:W3CDTF">2018-04-13T09:25:00Z</dcterms:created>
  <dcterms:modified xsi:type="dcterms:W3CDTF">2018-04-16T11:34:00Z</dcterms:modified>
</cp:coreProperties>
</file>