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12" w:rsidRPr="00650BE8" w:rsidRDefault="00E60912" w:rsidP="00E60912">
      <w:pPr>
        <w:jc w:val="center"/>
        <w:rPr>
          <w:b/>
          <w:sz w:val="28"/>
        </w:rPr>
      </w:pPr>
      <w:r w:rsidRPr="00650BE8">
        <w:rPr>
          <w:b/>
          <w:sz w:val="28"/>
        </w:rPr>
        <w:t xml:space="preserve">Questions à Emmanuel </w:t>
      </w:r>
      <w:proofErr w:type="spellStart"/>
      <w:r w:rsidRPr="00650BE8">
        <w:rPr>
          <w:b/>
          <w:sz w:val="28"/>
        </w:rPr>
        <w:t>Saint-Fuscien</w:t>
      </w:r>
      <w:proofErr w:type="spellEnd"/>
      <w:r w:rsidRPr="00650BE8">
        <w:rPr>
          <w:b/>
          <w:sz w:val="28"/>
        </w:rPr>
        <w:t xml:space="preserve"> autour de son ouvrage</w:t>
      </w:r>
    </w:p>
    <w:p w:rsidR="00E60912" w:rsidRPr="00650BE8" w:rsidRDefault="00E60912" w:rsidP="00E60912">
      <w:pPr>
        <w:jc w:val="center"/>
        <w:rPr>
          <w:b/>
          <w:sz w:val="28"/>
        </w:rPr>
      </w:pPr>
      <w:r w:rsidRPr="00650BE8">
        <w:rPr>
          <w:b/>
          <w:sz w:val="28"/>
        </w:rPr>
        <w:t xml:space="preserve">  </w:t>
      </w:r>
      <w:r w:rsidRPr="00650BE8">
        <w:rPr>
          <w:b/>
          <w:i/>
          <w:sz w:val="28"/>
        </w:rPr>
        <w:t>Célestin Freinet : un pédagogue en guerres. 1914-1945</w:t>
      </w:r>
      <w:r w:rsidRPr="00650BE8">
        <w:rPr>
          <w:b/>
          <w:sz w:val="28"/>
        </w:rPr>
        <w:t>  (Perrin, 2017)</w:t>
      </w:r>
    </w:p>
    <w:p w:rsidR="00E60912" w:rsidRDefault="00E60912" w:rsidP="00E60912">
      <w:pPr>
        <w:jc w:val="center"/>
        <w:rPr>
          <w:b/>
        </w:rPr>
      </w:pPr>
      <w:r w:rsidRPr="00E60912">
        <w:rPr>
          <w:b/>
        </w:rPr>
        <w:t>Colloque « Il faut éduquer les enfants… » (</w:t>
      </w:r>
      <w:r w:rsidR="00650BE8">
        <w:rPr>
          <w:b/>
        </w:rPr>
        <w:t xml:space="preserve">Université  de Liège, </w:t>
      </w:r>
      <w:r w:rsidRPr="00E60912">
        <w:rPr>
          <w:b/>
        </w:rPr>
        <w:t>1/6/2018)</w:t>
      </w:r>
    </w:p>
    <w:p w:rsidR="00E60912" w:rsidRDefault="00E60912" w:rsidP="00E60912">
      <w:pPr>
        <w:jc w:val="both"/>
      </w:pPr>
    </w:p>
    <w:p w:rsidR="00280D17" w:rsidRDefault="00F70524" w:rsidP="00E60912">
      <w:pPr>
        <w:jc w:val="both"/>
      </w:pPr>
      <w:r>
        <w:t xml:space="preserve">1/ </w:t>
      </w:r>
      <w:r w:rsidR="00280D17">
        <w:t>Ma</w:t>
      </w:r>
      <w:r w:rsidR="00E60912">
        <w:t xml:space="preserve"> première question est très générale et interroge le principe même de l’ouvrage :</w:t>
      </w:r>
      <w:r w:rsidR="001A070F">
        <w:t xml:space="preserve"> ni </w:t>
      </w:r>
      <w:r w:rsidR="00650BE8">
        <w:t xml:space="preserve">réelle </w:t>
      </w:r>
      <w:r w:rsidR="001A070F">
        <w:t>biographie, ni sciences de l’éduc</w:t>
      </w:r>
      <w:r w:rsidR="00C9388D">
        <w:t>ation</w:t>
      </w:r>
      <w:r w:rsidR="001A070F">
        <w:t>, il s’agit ici d’</w:t>
      </w:r>
      <w:r w:rsidR="00E60912">
        <w:t>étudier les effets concrets de l’expérience de la guerre</w:t>
      </w:r>
      <w:r w:rsidR="00C9388D">
        <w:t xml:space="preserve"> (</w:t>
      </w:r>
      <w:r w:rsidR="005A395B">
        <w:t>ou plutôt des guerre</w:t>
      </w:r>
      <w:r w:rsidR="005A395B" w:rsidRPr="005A395B">
        <w:rPr>
          <w:i/>
        </w:rPr>
        <w:t>s</w:t>
      </w:r>
      <w:r w:rsidR="00C9388D">
        <w:t>)</w:t>
      </w:r>
      <w:r w:rsidR="00E60912">
        <w:t xml:space="preserve"> sur les gestes et les pratiques enseignantes de Freinet. Vous </w:t>
      </w:r>
      <w:proofErr w:type="spellStart"/>
      <w:r w:rsidR="00E60912">
        <w:t>vous</w:t>
      </w:r>
      <w:proofErr w:type="spellEnd"/>
      <w:r w:rsidR="00E60912">
        <w:t xml:space="preserve"> placez dans la lignée de l’historien S. </w:t>
      </w:r>
      <w:proofErr w:type="spellStart"/>
      <w:r w:rsidR="00E60912">
        <w:t>Audoin-Rouzeau</w:t>
      </w:r>
      <w:proofErr w:type="spellEnd"/>
      <w:r w:rsidR="00E60912">
        <w:t xml:space="preserve"> qui s’est intéressé à la centralité de la guerre dans la vie des intellectuels</w:t>
      </w:r>
      <w:r w:rsidR="006349EB">
        <w:t xml:space="preserve"> et penseurs du social</w:t>
      </w:r>
      <w:r w:rsidR="00E60912">
        <w:t xml:space="preserve"> du XXème siècle </w:t>
      </w:r>
      <w:r w:rsidR="00C321C8">
        <w:t xml:space="preserve">et </w:t>
      </w:r>
      <w:r w:rsidR="00650BE8">
        <w:t xml:space="preserve">qui </w:t>
      </w:r>
      <w:r w:rsidR="00C321C8">
        <w:t>a montré</w:t>
      </w:r>
      <w:r w:rsidR="00612331">
        <w:t xml:space="preserve"> le</w:t>
      </w:r>
      <w:r w:rsidR="00E60912">
        <w:t xml:space="preserve"> formidable travail d</w:t>
      </w:r>
      <w:r w:rsidR="001A070F">
        <w:t>e déni de cette centralité par c</w:t>
      </w:r>
      <w:r w:rsidR="00E60912">
        <w:t>es intellectuels eux-mêmes et par leurs commentateurs. Mais vous soulignez que dans le cas de Freinet, ce n’est pas Freinet lui-même qui a cherché à occulter les effets de la guerre sur s</w:t>
      </w:r>
      <w:r w:rsidR="00650BE8">
        <w:t xml:space="preserve">a pratique – au contraire, il en a </w:t>
      </w:r>
      <w:r w:rsidR="00E60912">
        <w:t>bien dit</w:t>
      </w:r>
      <w:r w:rsidR="00650BE8">
        <w:t xml:space="preserve"> toute</w:t>
      </w:r>
      <w:r w:rsidR="00E60912">
        <w:t xml:space="preserve"> l’importance dans sa vie</w:t>
      </w:r>
      <w:r w:rsidR="006349EB">
        <w:t xml:space="preserve"> -</w:t>
      </w:r>
      <w:r w:rsidR="00E60912">
        <w:t xml:space="preserve"> mais ce sont ses commentateurs qui ont consciencieusement </w:t>
      </w:r>
      <w:r w:rsidR="001A070F">
        <w:t>retranché</w:t>
      </w:r>
      <w:r w:rsidR="00E60912">
        <w:t xml:space="preserve"> la guerre de sa pédagogie. </w:t>
      </w:r>
      <w:proofErr w:type="gramStart"/>
      <w:r w:rsidR="00E60912">
        <w:t>Ou</w:t>
      </w:r>
      <w:proofErr w:type="gramEnd"/>
      <w:r w:rsidR="00E60912">
        <w:t xml:space="preserve"> alors, il n’en reste qu’une trace édulcorée sous la forme d’un pacifisme </w:t>
      </w:r>
      <w:r w:rsidR="00280D17">
        <w:t xml:space="preserve">de bon aloi, </w:t>
      </w:r>
      <w:r w:rsidR="00C9388D">
        <w:t>en réaction aux violences subies</w:t>
      </w:r>
      <w:r w:rsidR="00280D17">
        <w:t xml:space="preserve">. Vous soutenez au contraire </w:t>
      </w:r>
      <w:r w:rsidR="00650BE8" w:rsidRPr="00650BE8">
        <w:t>que</w:t>
      </w:r>
      <w:r w:rsidR="00650BE8" w:rsidRPr="00E846C7">
        <w:t xml:space="preserve"> il</w:t>
      </w:r>
      <w:r w:rsidR="00280D17" w:rsidRPr="00E846C7">
        <w:t xml:space="preserve"> y</w:t>
      </w:r>
      <w:r w:rsidR="00C9388D" w:rsidRPr="00E846C7">
        <w:t xml:space="preserve"> </w:t>
      </w:r>
      <w:r w:rsidR="00280D17" w:rsidRPr="00E846C7">
        <w:t xml:space="preserve">a bien </w:t>
      </w:r>
      <w:proofErr w:type="spellStart"/>
      <w:r w:rsidR="00280D17" w:rsidRPr="00E846C7">
        <w:t>qqch</w:t>
      </w:r>
      <w:proofErr w:type="spellEnd"/>
      <w:r w:rsidR="00280D17" w:rsidRPr="00E846C7">
        <w:t xml:space="preserve"> comme une </w:t>
      </w:r>
      <w:r w:rsidR="001A070F" w:rsidRPr="00E846C7">
        <w:t>« </w:t>
      </w:r>
      <w:r w:rsidR="00280D17" w:rsidRPr="00E846C7">
        <w:t>pédagogie de la guerre</w:t>
      </w:r>
      <w:r w:rsidR="001A070F" w:rsidRPr="00E846C7">
        <w:t> »</w:t>
      </w:r>
      <w:r w:rsidR="00DF0D4B" w:rsidRPr="00E846C7">
        <w:t xml:space="preserve"> </w:t>
      </w:r>
      <w:r w:rsidR="00280D17" w:rsidRPr="00E846C7">
        <w:t>chez Freinet, au sens</w:t>
      </w:r>
      <w:r w:rsidR="00612331" w:rsidRPr="00E846C7">
        <w:t xml:space="preserve"> non </w:t>
      </w:r>
      <w:r w:rsidR="00E846C7">
        <w:t xml:space="preserve">seulement où il s’est </w:t>
      </w:r>
      <w:r w:rsidR="00612331" w:rsidRPr="00E846C7">
        <w:t xml:space="preserve">inspiré de la façon dont on faisait classe pendant la guerre 14-18 (p 87 : « coopération entre maitre et élèves au service d’activités reliées au milieu de l’élève », y compris hors les murs &gt;&lt; routine, manuels, estrade, rupture avec le milieu, etc.), mais plus </w:t>
      </w:r>
      <w:r w:rsidR="00E846C7">
        <w:t>radicalement</w:t>
      </w:r>
      <w:r w:rsidR="00612331" w:rsidRPr="00E846C7">
        <w:t xml:space="preserve"> au sens</w:t>
      </w:r>
      <w:r w:rsidR="00280D17" w:rsidRPr="00E846C7">
        <w:t xml:space="preserve"> où</w:t>
      </w:r>
      <w:r w:rsidR="00280D17">
        <w:t xml:space="preserve"> </w:t>
      </w:r>
      <w:r w:rsidR="00612331">
        <w:t>toute son inventivité pédagogique</w:t>
      </w:r>
      <w:r w:rsidR="00280D17">
        <w:t xml:space="preserve"> est intimement </w:t>
      </w:r>
      <w:r w:rsidR="000B3E09">
        <w:t>liée</w:t>
      </w:r>
      <w:r w:rsidR="00280D17">
        <w:t xml:space="preserve"> </w:t>
      </w:r>
      <w:r w:rsidR="006349EB">
        <w:t>à</w:t>
      </w:r>
      <w:r w:rsidR="00280D17">
        <w:t xml:space="preserve"> ses expériences</w:t>
      </w:r>
      <w:r w:rsidR="00612331">
        <w:t xml:space="preserve"> personnelles</w:t>
      </w:r>
      <w:r w:rsidR="00280D17">
        <w:t xml:space="preserve"> (multiples et variées) des guerres (14-18, 36</w:t>
      </w:r>
      <w:r w:rsidR="007F385D">
        <w:t>-39</w:t>
      </w:r>
      <w:r w:rsidR="00280D17">
        <w:t xml:space="preserve"> en Espagne, 40-45).</w:t>
      </w:r>
      <w:r w:rsidR="00D16128">
        <w:t xml:space="preserve"> « F. est indissociablement guerrier et pédagogue, et sa pédagogie est aussi (…) le fruit des ses expériences successives de la guerre » (p. 195).</w:t>
      </w:r>
    </w:p>
    <w:p w:rsidR="001A070F" w:rsidRPr="001A070F" w:rsidRDefault="00280D17" w:rsidP="00E60912">
      <w:pPr>
        <w:jc w:val="both"/>
        <w:rPr>
          <w:b/>
        </w:rPr>
      </w:pPr>
      <w:r w:rsidRPr="001A070F">
        <w:rPr>
          <w:b/>
        </w:rPr>
        <w:t>Qu’est-ce qui explique d’après vous un tel rejet</w:t>
      </w:r>
      <w:r w:rsidR="007F385D">
        <w:rPr>
          <w:b/>
        </w:rPr>
        <w:t xml:space="preserve"> </w:t>
      </w:r>
      <w:r w:rsidR="005A395B">
        <w:rPr>
          <w:b/>
        </w:rPr>
        <w:t>(</w:t>
      </w:r>
      <w:r w:rsidR="007F385D">
        <w:rPr>
          <w:b/>
        </w:rPr>
        <w:t>par les commentateurs</w:t>
      </w:r>
      <w:r w:rsidR="005A395B">
        <w:rPr>
          <w:b/>
        </w:rPr>
        <w:t>)</w:t>
      </w:r>
      <w:r w:rsidRPr="001A070F">
        <w:rPr>
          <w:b/>
        </w:rPr>
        <w:t xml:space="preserve"> de la guerre comme expérience fondatrice, structurante de l’activité enseignante ? Pourquoi les sciences de l’éducation </w:t>
      </w:r>
      <w:r w:rsidR="00C9388D">
        <w:rPr>
          <w:b/>
        </w:rPr>
        <w:t xml:space="preserve">- </w:t>
      </w:r>
      <w:r w:rsidRPr="001A070F">
        <w:rPr>
          <w:b/>
        </w:rPr>
        <w:t xml:space="preserve">que vous </w:t>
      </w:r>
      <w:r w:rsidR="00C9388D">
        <w:rPr>
          <w:b/>
        </w:rPr>
        <w:t>prenez « à rebours »</w:t>
      </w:r>
      <w:r w:rsidR="00650BE8">
        <w:rPr>
          <w:b/>
        </w:rPr>
        <w:t>,</w:t>
      </w:r>
      <w:r w:rsidR="00C9388D">
        <w:rPr>
          <w:b/>
        </w:rPr>
        <w:t xml:space="preserve"> dites-vous -</w:t>
      </w:r>
      <w:r w:rsidRPr="001A070F">
        <w:rPr>
          <w:b/>
        </w:rPr>
        <w:t xml:space="preserve"> refusent-elles d’entrevoir </w:t>
      </w:r>
      <w:r w:rsidR="00C9388D">
        <w:rPr>
          <w:b/>
        </w:rPr>
        <w:t>cette intrication profonde</w:t>
      </w:r>
      <w:r w:rsidR="00C9388D" w:rsidRPr="001A070F">
        <w:rPr>
          <w:b/>
        </w:rPr>
        <w:t> ? La guerre est-elle trop « sale » pour</w:t>
      </w:r>
      <w:r w:rsidR="00650BE8">
        <w:rPr>
          <w:b/>
        </w:rPr>
        <w:t xml:space="preserve"> être jugée digne d’influencer l</w:t>
      </w:r>
      <w:r w:rsidR="00C9388D" w:rsidRPr="001A070F">
        <w:rPr>
          <w:b/>
        </w:rPr>
        <w:t xml:space="preserve">es pratiques scolaires ? Ou les </w:t>
      </w:r>
      <w:r w:rsidRPr="001A070F">
        <w:rPr>
          <w:b/>
        </w:rPr>
        <w:t xml:space="preserve">sciences de l’éducation seraient-elles toujours un peu idéalistes, préférant imaginer que les techniques et réflexions de Freinet sortent d’un cerveau pour ainsi dire </w:t>
      </w:r>
      <w:r w:rsidR="00C9388D">
        <w:rPr>
          <w:b/>
        </w:rPr>
        <w:t>« hors sol », détachées</w:t>
      </w:r>
      <w:r w:rsidRPr="001A070F">
        <w:rPr>
          <w:b/>
        </w:rPr>
        <w:t xml:space="preserve"> de leur milieu ?</w:t>
      </w:r>
    </w:p>
    <w:p w:rsidR="006349EB" w:rsidRDefault="00280D17" w:rsidP="00E60912">
      <w:pPr>
        <w:jc w:val="both"/>
      </w:pPr>
      <w:r>
        <w:t xml:space="preserve">Autrement dit, n’êtes vous </w:t>
      </w:r>
      <w:r w:rsidR="00C9388D">
        <w:t xml:space="preserve">pas </w:t>
      </w:r>
      <w:r>
        <w:t>au fond</w:t>
      </w:r>
      <w:r w:rsidR="00C9388D">
        <w:t xml:space="preserve"> </w:t>
      </w:r>
      <w:r>
        <w:t xml:space="preserve">très proche de Freinet lui-même et de son </w:t>
      </w:r>
      <w:r w:rsidR="001A070F">
        <w:t>« </w:t>
      </w:r>
      <w:r>
        <w:t>matérialisme scolaire</w:t>
      </w:r>
      <w:r w:rsidR="001A070F">
        <w:t> »</w:t>
      </w:r>
      <w:r w:rsidR="004F545A">
        <w:t xml:space="preserve"> </w:t>
      </w:r>
      <w:r>
        <w:t xml:space="preserve"> qui suppose de prendre très au sérieux les conditions matérielles et le milieu de vie pour penser l’éducation (locaux, matériel pédagogique, </w:t>
      </w:r>
      <w:r w:rsidR="008520C8">
        <w:t xml:space="preserve">santé physique des enfants, </w:t>
      </w:r>
      <w:r w:rsidR="00612331">
        <w:t xml:space="preserve">mais aussi </w:t>
      </w:r>
      <w:r w:rsidR="008520C8">
        <w:t>conditions sociales..</w:t>
      </w:r>
      <w:r>
        <w:t>.</w:t>
      </w:r>
      <w:r w:rsidR="006349EB">
        <w:t>)</w:t>
      </w:r>
      <w:r w:rsidR="00612331">
        <w:t>.</w:t>
      </w:r>
      <w:r>
        <w:t xml:space="preserve"> </w:t>
      </w:r>
      <w:r w:rsidRPr="006D2ADD">
        <w:t xml:space="preserve">Freinet </w:t>
      </w:r>
      <w:r w:rsidR="00612331" w:rsidRPr="006D2ADD">
        <w:t>raille</w:t>
      </w:r>
      <w:r w:rsidRPr="006D2ADD">
        <w:t xml:space="preserve"> les pédagogues</w:t>
      </w:r>
      <w:r w:rsidR="00612331" w:rsidRPr="006D2ADD">
        <w:t xml:space="preserve"> bourgeois</w:t>
      </w:r>
      <w:r w:rsidRPr="006D2ADD">
        <w:t xml:space="preserve"> </w:t>
      </w:r>
      <w:r w:rsidR="008520C8" w:rsidRPr="006D2ADD">
        <w:t>qui pondent de soi-disant méthodes</w:t>
      </w:r>
      <w:r w:rsidR="003053D2" w:rsidRPr="006D2ADD">
        <w:t xml:space="preserve"> universelles</w:t>
      </w:r>
      <w:r w:rsidR="008520C8" w:rsidRPr="006D2ADD">
        <w:t xml:space="preserve"> qui ne sont</w:t>
      </w:r>
      <w:r w:rsidR="003053D2" w:rsidRPr="006D2ADD">
        <w:t xml:space="preserve"> en réalité</w:t>
      </w:r>
      <w:r w:rsidR="008520C8" w:rsidRPr="006D2ADD">
        <w:t xml:space="preserve"> valables que pour les classes </w:t>
      </w:r>
      <w:r w:rsidR="00612331" w:rsidRPr="006D2ADD">
        <w:t>aisées</w:t>
      </w:r>
      <w:r w:rsidR="003053D2" w:rsidRPr="006D2ADD">
        <w:t xml:space="preserve"> (pionniers de l’éducation nouvelle qui travaillent dans des conditions « anormalement favorables » p. 81)</w:t>
      </w:r>
      <w:r w:rsidR="008520C8" w:rsidRPr="006D2ADD">
        <w:t xml:space="preserve"> et</w:t>
      </w:r>
      <w:r w:rsidR="003053D2" w:rsidRPr="006D2ADD">
        <w:t xml:space="preserve"> il</w:t>
      </w:r>
      <w:r w:rsidR="008520C8" w:rsidRPr="006D2ADD">
        <w:t xml:space="preserve"> met en garde tous ceux qui « s’épuisent pour essayer de réaliser des rêves d’écoles nouvelles incompatibles avec la condition véritable du prolétariat ».</w:t>
      </w:r>
      <w:r w:rsidR="008520C8">
        <w:t xml:space="preserve"> Son matérialisme scolaire (</w:t>
      </w:r>
      <w:r w:rsidR="00650BE8">
        <w:t xml:space="preserve">Elise Freinet, </w:t>
      </w:r>
      <w:r w:rsidR="00650BE8" w:rsidRPr="00650BE8">
        <w:rPr>
          <w:i/>
        </w:rPr>
        <w:t>Naissance d’une pédagogie populaire</w:t>
      </w:r>
      <w:r w:rsidR="00650BE8">
        <w:t xml:space="preserve">, </w:t>
      </w:r>
      <w:r w:rsidR="008520C8">
        <w:t>p. 80)</w:t>
      </w:r>
      <w:r w:rsidR="00C9388D">
        <w:t> consiste à</w:t>
      </w:r>
      <w:r w:rsidR="003053D2">
        <w:t xml:space="preserve"> prendre cons</w:t>
      </w:r>
      <w:r w:rsidR="008520C8">
        <w:t xml:space="preserve">cience de la dépendance étroite de l’école et du milieu, et </w:t>
      </w:r>
      <w:r w:rsidR="00612331">
        <w:t xml:space="preserve">à </w:t>
      </w:r>
      <w:r w:rsidR="00C9388D">
        <w:t xml:space="preserve">mesurer </w:t>
      </w:r>
      <w:r w:rsidR="008520C8">
        <w:t>combien la société conditionne l’école et l’enseignement.</w:t>
      </w:r>
      <w:r w:rsidR="00612331">
        <w:t xml:space="preserve"> Il s’agit toujours de</w:t>
      </w:r>
      <w:r w:rsidR="008520C8">
        <w:t xml:space="preserve"> </w:t>
      </w:r>
      <w:r w:rsidR="00612331">
        <w:t>« partir de ce qui est » (</w:t>
      </w:r>
      <w:r w:rsidR="00650BE8" w:rsidRPr="00650BE8">
        <w:rPr>
          <w:i/>
        </w:rPr>
        <w:t>idem</w:t>
      </w:r>
      <w:r w:rsidR="00650BE8">
        <w:t xml:space="preserve">, </w:t>
      </w:r>
      <w:r w:rsidR="00612331">
        <w:t xml:space="preserve">p.38), en positif comme en négatif. </w:t>
      </w:r>
      <w:r w:rsidR="00D74EDD">
        <w:t>Ainsi naissent</w:t>
      </w:r>
      <w:r w:rsidR="008520C8">
        <w:t xml:space="preserve"> de</w:t>
      </w:r>
      <w:r w:rsidR="00D74EDD">
        <w:t>s</w:t>
      </w:r>
      <w:r w:rsidR="008520C8">
        <w:t xml:space="preserve"> techniques éducatives</w:t>
      </w:r>
      <w:r w:rsidR="003053D2">
        <w:t xml:space="preserve"> (</w:t>
      </w:r>
      <w:r w:rsidR="003053D2" w:rsidRPr="006D2ADD">
        <w:t xml:space="preserve">organisation matérielle et sociale de l’école, rythme du travail scolaire, modalités de </w:t>
      </w:r>
      <w:r w:rsidR="00C9388D" w:rsidRPr="006D2ADD">
        <w:t>l’épanou</w:t>
      </w:r>
      <w:r w:rsidR="003053D2" w:rsidRPr="006D2ADD">
        <w:t>iss</w:t>
      </w:r>
      <w:r w:rsidR="00C9388D" w:rsidRPr="006D2ADD">
        <w:t>e</w:t>
      </w:r>
      <w:r w:rsidR="00612331" w:rsidRPr="006D2ADD">
        <w:t xml:space="preserve">ment des </w:t>
      </w:r>
      <w:proofErr w:type="gramStart"/>
      <w:r w:rsidR="00612331" w:rsidRPr="006D2ADD">
        <w:t>enfants…)</w:t>
      </w:r>
      <w:proofErr w:type="gramEnd"/>
      <w:r w:rsidR="00D74EDD">
        <w:t xml:space="preserve"> qui ont leur nécessité,</w:t>
      </w:r>
      <w:r w:rsidR="00612331">
        <w:t xml:space="preserve"> et</w:t>
      </w:r>
      <w:r w:rsidR="00612331" w:rsidRPr="00612331">
        <w:t xml:space="preserve"> </w:t>
      </w:r>
      <w:r w:rsidR="00612331">
        <w:t>non de</w:t>
      </w:r>
      <w:r w:rsidR="00D74EDD">
        <w:t>s</w:t>
      </w:r>
      <w:r w:rsidR="00612331">
        <w:t xml:space="preserve"> méthodes</w:t>
      </w:r>
      <w:r w:rsidR="00D74EDD">
        <w:t xml:space="preserve"> abstraites</w:t>
      </w:r>
      <w:r w:rsidR="00612331">
        <w:t xml:space="preserve"> (</w:t>
      </w:r>
      <w:r w:rsidR="003053D2">
        <w:t>p.80)</w:t>
      </w:r>
      <w:r w:rsidR="008520C8">
        <w:t>.</w:t>
      </w:r>
      <w:r w:rsidR="003053D2">
        <w:t xml:space="preserve"> </w:t>
      </w:r>
    </w:p>
    <w:p w:rsidR="001A070F" w:rsidRPr="007F385D" w:rsidRDefault="006349EB" w:rsidP="00E60912">
      <w:pPr>
        <w:jc w:val="both"/>
        <w:rPr>
          <w:b/>
        </w:rPr>
      </w:pPr>
      <w:r w:rsidRPr="007F385D">
        <w:rPr>
          <w:b/>
        </w:rPr>
        <w:t>De la même manière, ce que vous tendez à nous montrer dans votre ouvrage, c’est que la pédag</w:t>
      </w:r>
      <w:r w:rsidR="001A070F" w:rsidRPr="007F385D">
        <w:rPr>
          <w:b/>
        </w:rPr>
        <w:t>ogie de Freinet est inséparable</w:t>
      </w:r>
      <w:r w:rsidRPr="007F385D">
        <w:rPr>
          <w:b/>
        </w:rPr>
        <w:t xml:space="preserve"> du milieu qui était le sien</w:t>
      </w:r>
      <w:r w:rsidR="00D74EDD" w:rsidRPr="007F385D">
        <w:rPr>
          <w:b/>
        </w:rPr>
        <w:t xml:space="preserve"> (conditions matérielles, sociales, techniques)</w:t>
      </w:r>
      <w:r w:rsidRPr="007F385D">
        <w:rPr>
          <w:b/>
        </w:rPr>
        <w:t xml:space="preserve">, </w:t>
      </w:r>
      <w:r w:rsidR="001A070F" w:rsidRPr="007F385D">
        <w:rPr>
          <w:b/>
        </w:rPr>
        <w:t>milieu dans lequel</w:t>
      </w:r>
      <w:r w:rsidRPr="007F385D">
        <w:rPr>
          <w:b/>
        </w:rPr>
        <w:t xml:space="preserve"> la guerre </w:t>
      </w:r>
      <w:r w:rsidR="001A070F" w:rsidRPr="007F385D">
        <w:rPr>
          <w:b/>
        </w:rPr>
        <w:t>a pris</w:t>
      </w:r>
      <w:r w:rsidRPr="007F385D">
        <w:rPr>
          <w:b/>
        </w:rPr>
        <w:t xml:space="preserve"> une place </w:t>
      </w:r>
      <w:r w:rsidR="001A070F" w:rsidRPr="007F385D">
        <w:rPr>
          <w:b/>
        </w:rPr>
        <w:t>considérable</w:t>
      </w:r>
      <w:r w:rsidRPr="007F385D">
        <w:rPr>
          <w:b/>
        </w:rPr>
        <w:t xml:space="preserve">. </w:t>
      </w:r>
      <w:r w:rsidR="00C9388D" w:rsidRPr="007F385D">
        <w:rPr>
          <w:b/>
        </w:rPr>
        <w:t xml:space="preserve">Est-ce que l’on peut dire que, sous certains aspects, vous partagez ce </w:t>
      </w:r>
      <w:r w:rsidR="00D74EDD" w:rsidRPr="007F385D">
        <w:rPr>
          <w:b/>
        </w:rPr>
        <w:t>« </w:t>
      </w:r>
      <w:r w:rsidR="00C9388D" w:rsidRPr="007F385D">
        <w:rPr>
          <w:b/>
        </w:rPr>
        <w:t>matérialisme scolaire</w:t>
      </w:r>
      <w:r w:rsidR="00D74EDD" w:rsidRPr="007F385D">
        <w:rPr>
          <w:b/>
        </w:rPr>
        <w:t> »</w:t>
      </w:r>
      <w:r w:rsidR="00C9388D" w:rsidRPr="007F385D">
        <w:rPr>
          <w:b/>
        </w:rPr>
        <w:t> dans votre façon même de faire l’histoire</w:t>
      </w:r>
      <w:r w:rsidR="00D74EDD" w:rsidRPr="007F385D">
        <w:rPr>
          <w:b/>
        </w:rPr>
        <w:t xml:space="preserve"> des pratiques enseignantes</w:t>
      </w:r>
      <w:r w:rsidR="00C9388D" w:rsidRPr="007F385D">
        <w:rPr>
          <w:b/>
        </w:rPr>
        <w:t> ?</w:t>
      </w:r>
    </w:p>
    <w:p w:rsidR="001A070F" w:rsidRDefault="001A070F" w:rsidP="00E60912">
      <w:pPr>
        <w:jc w:val="both"/>
      </w:pPr>
    </w:p>
    <w:p w:rsidR="008143D0" w:rsidRPr="00E60912" w:rsidRDefault="00F70524" w:rsidP="008143D0">
      <w:pPr>
        <w:jc w:val="both"/>
      </w:pPr>
      <w:r>
        <w:t xml:space="preserve">2/ </w:t>
      </w:r>
      <w:r w:rsidR="00DF0D4B">
        <w:t xml:space="preserve">Votre livre est magnifiquement écrit et se lit comme un roman. Il y a dès l’introduction un très beau passage qui évoque cette </w:t>
      </w:r>
      <w:r w:rsidR="00C9388D">
        <w:t>découverte que vous faites aux a</w:t>
      </w:r>
      <w:r w:rsidR="00DF0D4B">
        <w:t xml:space="preserve">rchives </w:t>
      </w:r>
      <w:r w:rsidR="00C9388D">
        <w:t>départementales de Nice</w:t>
      </w:r>
      <w:r w:rsidR="00650BE8">
        <w:t xml:space="preserve"> au début de vos recherches</w:t>
      </w:r>
      <w:r w:rsidR="00C9388D">
        <w:t xml:space="preserve"> </w:t>
      </w:r>
      <w:r w:rsidR="00DF0D4B">
        <w:t>: une boîte ayant appartenu à Freinet et contenant une montre de gousset, une boussole de sous officier et une balle de fusil</w:t>
      </w:r>
      <w:r w:rsidR="00D16128">
        <w:t xml:space="preserve"> (celle-là même qui traversa le dos de Freinet en octobre 1917)</w:t>
      </w:r>
      <w:r w:rsidR="00DF0D4B">
        <w:t xml:space="preserve">. Cette découverte achève de vous convaincre de la centralité de la guerre chez Freinet. Mais </w:t>
      </w:r>
      <w:r w:rsidR="00003059">
        <w:t>elle pointe aussi</w:t>
      </w:r>
      <w:r w:rsidR="006A6CB7">
        <w:t xml:space="preserve"> l’importance</w:t>
      </w:r>
      <w:r w:rsidR="00ED344D">
        <w:t xml:space="preserve"> capitale</w:t>
      </w:r>
      <w:r w:rsidR="006A6CB7">
        <w:t xml:space="preserve"> de</w:t>
      </w:r>
      <w:r w:rsidR="00DF0D4B">
        <w:t xml:space="preserve"> la question de </w:t>
      </w:r>
      <w:r w:rsidR="00DF0D4B" w:rsidRPr="00D16128">
        <w:rPr>
          <w:b/>
        </w:rPr>
        <w:t>l’autorité</w:t>
      </w:r>
      <w:r w:rsidR="00ED344D">
        <w:t xml:space="preserve"> dans la vie et l’œuvre de Freinet</w:t>
      </w:r>
      <w:r w:rsidR="00650BE8">
        <w:t xml:space="preserve"> (fil rouge de votre ouvrage)</w:t>
      </w:r>
      <w:r w:rsidR="00DF0D4B">
        <w:t> : en effet, le sous-officier, comme le maitre</w:t>
      </w:r>
      <w:r w:rsidR="006A6CB7">
        <w:t xml:space="preserve"> d’école</w:t>
      </w:r>
      <w:r w:rsidR="00DF0D4B">
        <w:t xml:space="preserve">, se doit de veiller </w:t>
      </w:r>
      <w:r w:rsidR="008143D0">
        <w:t>au temps et à l’espace pour  « garder le contrôle sur ses hommes ». Boussole et montre, les deux piliers de l’autorit</w:t>
      </w:r>
      <w:r w:rsidR="006A6CB7">
        <w:t xml:space="preserve">é, dites-vous. Reste la balle  qui renvoie à un </w:t>
      </w:r>
      <w:r w:rsidR="008143D0">
        <w:t>motif récurrent dans votre ouvrage :</w:t>
      </w:r>
      <w:r w:rsidR="006A6CB7">
        <w:t xml:space="preserve"> les armes. </w:t>
      </w:r>
      <w:r w:rsidR="006A6CB7" w:rsidRPr="00ED344D">
        <w:t>F</w:t>
      </w:r>
      <w:r w:rsidR="008143D0" w:rsidRPr="00ED344D">
        <w:t xml:space="preserve">ascination de Freinet pour le fusil mitrailleur </w:t>
      </w:r>
      <w:r w:rsidR="007875D5" w:rsidRPr="00ED344D">
        <w:t>dès</w:t>
      </w:r>
      <w:r w:rsidR="008143D0" w:rsidRPr="00ED344D">
        <w:t xml:space="preserve"> 1916</w:t>
      </w:r>
      <w:r w:rsidR="007875D5" w:rsidRPr="00ED344D">
        <w:t xml:space="preserve"> (« c’est une belle arme »)</w:t>
      </w:r>
      <w:r w:rsidR="005D74F7">
        <w:t xml:space="preserve"> avec lequel il</w:t>
      </w:r>
      <w:r w:rsidR="008143D0" w:rsidRPr="00ED344D">
        <w:t xml:space="preserve"> « </w:t>
      </w:r>
      <w:r w:rsidR="003A7563">
        <w:t>aimerait bien tuer son boche</w:t>
      </w:r>
      <w:r w:rsidR="008143D0" w:rsidRPr="00ED344D">
        <w:t>»</w:t>
      </w:r>
      <w:r w:rsidR="003A7563">
        <w:t xml:space="preserve"> en 1944</w:t>
      </w:r>
      <w:r w:rsidR="008143D0" w:rsidRPr="00ED344D">
        <w:t xml:space="preserve">, </w:t>
      </w:r>
      <w:r w:rsidR="003738D2">
        <w:t xml:space="preserve">le </w:t>
      </w:r>
      <w:r w:rsidR="008143D0" w:rsidRPr="00ED344D">
        <w:t xml:space="preserve">pistolet brandi lors du fameux épisode de l’émeute devant l’école de </w:t>
      </w:r>
      <w:r w:rsidR="007875D5" w:rsidRPr="00ED344D">
        <w:t>Saint-Paul</w:t>
      </w:r>
      <w:r w:rsidR="003738D2">
        <w:t xml:space="preserve"> (« rupture révolver au poing »)</w:t>
      </w:r>
      <w:r w:rsidR="008143D0" w:rsidRPr="00ED344D">
        <w:t>,</w:t>
      </w:r>
      <w:r w:rsidR="003738D2">
        <w:t xml:space="preserve"> </w:t>
      </w:r>
      <w:r w:rsidR="00003059">
        <w:t>l’</w:t>
      </w:r>
      <w:r w:rsidR="003A7563" w:rsidRPr="003A7563">
        <w:t>arme réclamée en 44-</w:t>
      </w:r>
      <w:r w:rsidR="005D74F7">
        <w:t>45 quand Freinet est désigné au Comité Départemental de Libération</w:t>
      </w:r>
      <w:r w:rsidR="00003059">
        <w:t xml:space="preserve"> </w:t>
      </w:r>
      <w:r w:rsidR="005D74F7">
        <w:t>qui fait de lui</w:t>
      </w:r>
      <w:r w:rsidR="00003059">
        <w:t xml:space="preserve"> une « autorité armée »</w:t>
      </w:r>
      <w:r w:rsidR="003A7563" w:rsidRPr="003A7563">
        <w:t xml:space="preserve"> (« arme, symbole absolu de l’autorité combattante » p. 188).</w:t>
      </w:r>
      <w:r w:rsidR="006A6CB7" w:rsidRPr="003A7563">
        <w:t xml:space="preserve"> : on est loin </w:t>
      </w:r>
      <w:r w:rsidR="00C9388D" w:rsidRPr="003A7563">
        <w:t>d’un</w:t>
      </w:r>
      <w:r w:rsidR="006A6CB7" w:rsidRPr="003A7563">
        <w:t xml:space="preserve"> Freinet pacifiste</w:t>
      </w:r>
      <w:r w:rsidR="00C9388D" w:rsidRPr="003A7563">
        <w:t xml:space="preserve"> « à l’eau de rose »</w:t>
      </w:r>
      <w:r w:rsidR="006A6CB7" w:rsidRPr="003A7563">
        <w:t>.</w:t>
      </w:r>
      <w:r w:rsidR="008143D0">
        <w:t xml:space="preserve"> </w:t>
      </w:r>
    </w:p>
    <w:p w:rsidR="006A6CB7" w:rsidRDefault="008143D0" w:rsidP="00E60912">
      <w:pPr>
        <w:jc w:val="both"/>
      </w:pPr>
      <w:r>
        <w:t>Mais au fond les trois objets convergent vers cette même question de l’autorité puisque la balle elle-même renvoie non seulement à la blessure, qui marque toute la vie de F</w:t>
      </w:r>
      <w:r w:rsidR="005D74F7">
        <w:t>reinet</w:t>
      </w:r>
      <w:r>
        <w:t xml:space="preserve"> de</w:t>
      </w:r>
      <w:r w:rsidR="00C9388D">
        <w:t xml:space="preserve"> sa douloureuse empreinte, mais </w:t>
      </w:r>
      <w:r w:rsidR="00890CDB">
        <w:t xml:space="preserve">symbolise aussi la technique. Or </w:t>
      </w:r>
      <w:r>
        <w:t>celui qui maîtrise une technique</w:t>
      </w:r>
      <w:r w:rsidR="00C931FB">
        <w:t>, comme le fusil mitrailleur</w:t>
      </w:r>
      <w:r>
        <w:t xml:space="preserve"> par exemple, déploie sur ses hommes une autorité</w:t>
      </w:r>
      <w:r w:rsidR="007875D5">
        <w:t xml:space="preserve"> </w:t>
      </w:r>
      <w:r>
        <w:t xml:space="preserve">toute évidente. </w:t>
      </w:r>
      <w:r w:rsidR="006A6CB7">
        <w:t xml:space="preserve"> Freinet</w:t>
      </w:r>
      <w:r w:rsidR="00ED344D">
        <w:t xml:space="preserve"> fera même de cette </w:t>
      </w:r>
      <w:r w:rsidR="00ED344D" w:rsidRPr="00650BE8">
        <w:rPr>
          <w:i/>
        </w:rPr>
        <w:t>au</w:t>
      </w:r>
      <w:r w:rsidR="00890CDB" w:rsidRPr="00650BE8">
        <w:rPr>
          <w:i/>
        </w:rPr>
        <w:t>torité de compétence technique</w:t>
      </w:r>
      <w:r w:rsidR="00ED344D">
        <w:t xml:space="preserve"> un « invariant d’une pédagogie effici</w:t>
      </w:r>
      <w:r w:rsidR="00890CDB">
        <w:t>ente » (</w:t>
      </w:r>
      <w:proofErr w:type="spellStart"/>
      <w:r w:rsidR="005D74F7">
        <w:t>Saint-Fuscien</w:t>
      </w:r>
      <w:proofErr w:type="spellEnd"/>
      <w:r w:rsidR="005D74F7">
        <w:t xml:space="preserve">, </w:t>
      </w:r>
      <w:r w:rsidR="00890CDB">
        <w:t>p</w:t>
      </w:r>
      <w:r w:rsidR="005D74F7">
        <w:t>.</w:t>
      </w:r>
      <w:r w:rsidR="00890CDB">
        <w:t xml:space="preserve"> 90). Il la transpose</w:t>
      </w:r>
      <w:r w:rsidR="001A7C15">
        <w:t>ra</w:t>
      </w:r>
      <w:r w:rsidR="00ED344D">
        <w:t xml:space="preserve"> dans la classe avec l’imprimerie</w:t>
      </w:r>
      <w:r w:rsidR="00890CDB">
        <w:t xml:space="preserve"> en 1924, pour pallier</w:t>
      </w:r>
      <w:r w:rsidR="006A6CB7">
        <w:t xml:space="preserve"> </w:t>
      </w:r>
      <w:r w:rsidR="00890CDB">
        <w:t>à son</w:t>
      </w:r>
      <w:r w:rsidR="006A6CB7">
        <w:t xml:space="preserve"> manque d’autorité naturelle (</w:t>
      </w:r>
      <w:r w:rsidR="00890CDB">
        <w:t>Freinet</w:t>
      </w:r>
      <w:r w:rsidR="001A7C15">
        <w:t xml:space="preserve"> peinait en effet</w:t>
      </w:r>
      <w:r w:rsidR="006A6CB7">
        <w:t xml:space="preserve"> à instaurer un ordre dans sa classe en 1920-24).</w:t>
      </w:r>
      <w:r w:rsidR="00ED344D">
        <w:t xml:space="preserve"> </w:t>
      </w:r>
    </w:p>
    <w:p w:rsidR="00F70524" w:rsidRDefault="00ED344D" w:rsidP="00F70524">
      <w:pPr>
        <w:jc w:val="both"/>
      </w:pPr>
      <w:r>
        <w:t xml:space="preserve">Contrairement à ce qui est parfois dit, </w:t>
      </w:r>
      <w:r w:rsidR="00F70524">
        <w:t xml:space="preserve">Freinet n’est pas </w:t>
      </w:r>
      <w:proofErr w:type="spellStart"/>
      <w:r w:rsidR="00F70524">
        <w:t>anti-autoritaire</w:t>
      </w:r>
      <w:proofErr w:type="spellEnd"/>
      <w:r w:rsidR="00F70524">
        <w:t> : bien sûr il faut « se dégager de l’autoritarisme capitaliste qui se traduit à l’école par une pédagogie de faux libéralisme et de jalouse domination »</w:t>
      </w:r>
      <w:r w:rsidR="00650BE8">
        <w:t xml:space="preserve"> </w:t>
      </w:r>
      <w:r w:rsidR="005D74F7">
        <w:t>et</w:t>
      </w:r>
      <w:r w:rsidR="00F70524">
        <w:t xml:space="preserve"> « dégager au maximum les enfants de l’autorité irrationnelle des adultes » (</w:t>
      </w:r>
      <w:r w:rsidR="005D74F7">
        <w:t xml:space="preserve">Elise Freinet, </w:t>
      </w:r>
      <w:r w:rsidR="005D74F7" w:rsidRPr="00650BE8">
        <w:rPr>
          <w:i/>
        </w:rPr>
        <w:t>Naissance d’une pédagogie populaire</w:t>
      </w:r>
      <w:r w:rsidR="005D74F7">
        <w:t xml:space="preserve">, </w:t>
      </w:r>
      <w:r w:rsidR="00F70524">
        <w:t xml:space="preserve">p. 129), mais toute autorité n’est pas abolie, loin de là.  Ses expériences des guerres </w:t>
      </w:r>
      <w:r w:rsidR="003738D2">
        <w:t xml:space="preserve">lui </w:t>
      </w:r>
      <w:r w:rsidR="00F70524">
        <w:t xml:space="preserve">permettent de la repenser sous des formes qui semblent </w:t>
      </w:r>
      <w:r w:rsidR="00D16128">
        <w:t xml:space="preserve">au contraire </w:t>
      </w:r>
      <w:r w:rsidR="003738D2">
        <w:t>essentielles à sa</w:t>
      </w:r>
      <w:r w:rsidR="00F70524">
        <w:t xml:space="preserve"> pédagogie. </w:t>
      </w:r>
    </w:p>
    <w:p w:rsidR="00F70524" w:rsidRDefault="00450121" w:rsidP="00E60912">
      <w:pPr>
        <w:jc w:val="both"/>
      </w:pPr>
      <w:r>
        <w:t xml:space="preserve">Si Freinet déteste </w:t>
      </w:r>
      <w:r w:rsidR="00F70524">
        <w:t>par dessus tout le « bourrage »</w:t>
      </w:r>
      <w:r>
        <w:t>, autorité absurde qui s’impose d’en haut via les manuels, et ressemble en cela aux ordres d’un commandant sur son armée en temps de paix</w:t>
      </w:r>
      <w:r w:rsidR="003738D2">
        <w:t xml:space="preserve"> (</w:t>
      </w:r>
      <w:r w:rsidR="003738D2" w:rsidRPr="00650BE8">
        <w:rPr>
          <w:i/>
        </w:rPr>
        <w:t>armée de caserne</w:t>
      </w:r>
      <w:r w:rsidR="003738D2">
        <w:t>)</w:t>
      </w:r>
      <w:r>
        <w:t xml:space="preserve">, il est plus que favorable à </w:t>
      </w:r>
      <w:r w:rsidR="003738D2">
        <w:t>l’</w:t>
      </w:r>
      <w:r>
        <w:t xml:space="preserve">autorité </w:t>
      </w:r>
      <w:r w:rsidR="003738D2">
        <w:t xml:space="preserve">de l’officier </w:t>
      </w:r>
      <w:r>
        <w:t xml:space="preserve">« de contact », </w:t>
      </w:r>
      <w:r w:rsidR="003738D2">
        <w:t xml:space="preserve">qui gagne </w:t>
      </w:r>
      <w:r>
        <w:t>l’estime de ses hommes par la compétence technique, ou</w:t>
      </w:r>
      <w:r w:rsidR="00C931FB">
        <w:t xml:space="preserve"> à</w:t>
      </w:r>
      <w:r>
        <w:t xml:space="preserve"> l’a</w:t>
      </w:r>
      <w:r w:rsidR="003738D2">
        <w:t>utorité du maquisard, obtenue</w:t>
      </w:r>
      <w:r>
        <w:t xml:space="preserve"> par </w:t>
      </w:r>
      <w:r w:rsidR="007F385D">
        <w:t xml:space="preserve">le réseau et </w:t>
      </w:r>
      <w:r>
        <w:t xml:space="preserve">la connaissance fine du terrain. </w:t>
      </w:r>
    </w:p>
    <w:p w:rsidR="00F70524" w:rsidRPr="00F70524" w:rsidRDefault="00F70524" w:rsidP="00F70524">
      <w:pPr>
        <w:jc w:val="both"/>
        <w:rPr>
          <w:b/>
        </w:rPr>
      </w:pPr>
      <w:r w:rsidRPr="00F70524">
        <w:rPr>
          <w:b/>
        </w:rPr>
        <w:t xml:space="preserve">C’est sur cette question de l’autorité que j’aimerais vous entendre. Peut-on </w:t>
      </w:r>
      <w:r w:rsidR="0039075A">
        <w:rPr>
          <w:b/>
        </w:rPr>
        <w:t xml:space="preserve">aller jusqu’à </w:t>
      </w:r>
      <w:r w:rsidRPr="00F70524">
        <w:rPr>
          <w:b/>
        </w:rPr>
        <w:t xml:space="preserve">dire que chaque guerre (ou chaque situation de guerre) </w:t>
      </w:r>
      <w:r w:rsidR="00890CDB">
        <w:rPr>
          <w:b/>
        </w:rPr>
        <w:t>propose des formes d’autorité</w:t>
      </w:r>
      <w:r>
        <w:rPr>
          <w:b/>
        </w:rPr>
        <w:t xml:space="preserve"> différentes </w:t>
      </w:r>
      <w:r w:rsidR="0039075A">
        <w:rPr>
          <w:b/>
        </w:rPr>
        <w:t>qui viennent</w:t>
      </w:r>
      <w:r w:rsidRPr="00F70524">
        <w:rPr>
          <w:b/>
        </w:rPr>
        <w:t xml:space="preserve"> complexifier </w:t>
      </w:r>
      <w:r>
        <w:rPr>
          <w:b/>
        </w:rPr>
        <w:t>la</w:t>
      </w:r>
      <w:r w:rsidRPr="00F70524">
        <w:rPr>
          <w:b/>
        </w:rPr>
        <w:t xml:space="preserve"> conception</w:t>
      </w:r>
      <w:r>
        <w:rPr>
          <w:b/>
        </w:rPr>
        <w:t xml:space="preserve"> que Freinet s’en fait</w:t>
      </w:r>
      <w:r w:rsidR="00003059">
        <w:rPr>
          <w:b/>
        </w:rPr>
        <w:t xml:space="preserve"> et reconfigurer ses pratiques</w:t>
      </w:r>
      <w:r w:rsidRPr="00F70524">
        <w:rPr>
          <w:b/>
        </w:rPr>
        <w:t xml:space="preserve"> ? </w:t>
      </w:r>
    </w:p>
    <w:p w:rsidR="00F70524" w:rsidRDefault="00F70524" w:rsidP="00E60912">
      <w:pPr>
        <w:jc w:val="both"/>
      </w:pPr>
    </w:p>
    <w:p w:rsidR="00151634" w:rsidRPr="00E36660" w:rsidRDefault="00F70524" w:rsidP="00E60912">
      <w:pPr>
        <w:jc w:val="both"/>
        <w:rPr>
          <w:b/>
        </w:rPr>
      </w:pPr>
      <w:r>
        <w:t xml:space="preserve">3/ </w:t>
      </w:r>
      <w:r w:rsidR="00BE3EF6">
        <w:t xml:space="preserve">Le </w:t>
      </w:r>
      <w:r w:rsidR="00BE3EF6" w:rsidRPr="005D74F7">
        <w:rPr>
          <w:b/>
        </w:rPr>
        <w:t xml:space="preserve">rapport aux </w:t>
      </w:r>
      <w:r w:rsidR="0076224D" w:rsidRPr="005D74F7">
        <w:rPr>
          <w:b/>
        </w:rPr>
        <w:t>« </w:t>
      </w:r>
      <w:r w:rsidR="00BE3EF6" w:rsidRPr="005D74F7">
        <w:rPr>
          <w:b/>
        </w:rPr>
        <w:t>autorités</w:t>
      </w:r>
      <w:r w:rsidR="0076224D" w:rsidRPr="005D74F7">
        <w:rPr>
          <w:b/>
        </w:rPr>
        <w:t> »</w:t>
      </w:r>
      <w:r w:rsidR="0076224D">
        <w:t xml:space="preserve"> </w:t>
      </w:r>
      <w:r w:rsidR="00BE3EF6">
        <w:t xml:space="preserve">- </w:t>
      </w:r>
      <w:r w:rsidR="00A85676">
        <w:t>administratives, politiques</w:t>
      </w:r>
      <w:r w:rsidR="00BE3EF6">
        <w:t xml:space="preserve"> – est un autre pan de la v</w:t>
      </w:r>
      <w:r w:rsidR="0076224D">
        <w:t>i</w:t>
      </w:r>
      <w:r w:rsidR="00BE3EF6">
        <w:t>e de Freinet méconnu que l’on découvre grâce à vous. On apprend ainsi non seulement que Freinet a toujours recherché l</w:t>
      </w:r>
      <w:r w:rsidR="005D74F7">
        <w:t>a reconnaissance des autorités (</w:t>
      </w:r>
      <w:r w:rsidR="00BE3EF6">
        <w:t>il a écrit des centaines de lettres pour obtenir tel ou tel signe de reconnaissance</w:t>
      </w:r>
      <w:r w:rsidR="005D74F7">
        <w:t>)</w:t>
      </w:r>
      <w:r w:rsidR="00BE3EF6">
        <w:t xml:space="preserve">, mais </w:t>
      </w:r>
      <w:r w:rsidR="00E36660">
        <w:t xml:space="preserve">- </w:t>
      </w:r>
      <w:r w:rsidR="00BE3EF6">
        <w:t xml:space="preserve">élément plus </w:t>
      </w:r>
      <w:proofErr w:type="gramStart"/>
      <w:r w:rsidR="00BE3EF6">
        <w:t>troublant</w:t>
      </w:r>
      <w:r w:rsidR="005D74F7">
        <w:t xml:space="preserve"> </w:t>
      </w:r>
      <w:r w:rsidR="00E36660">
        <w:t>-</w:t>
      </w:r>
      <w:proofErr w:type="gramEnd"/>
      <w:r w:rsidR="00E36660">
        <w:t xml:space="preserve"> </w:t>
      </w:r>
      <w:r w:rsidR="00BE3EF6">
        <w:t xml:space="preserve"> </w:t>
      </w:r>
      <w:r w:rsidR="008115CB">
        <w:t>il</w:t>
      </w:r>
      <w:r w:rsidR="00BE3EF6">
        <w:t xml:space="preserve"> a été jusqu’à proposer son aide </w:t>
      </w:r>
      <w:r w:rsidR="00A85676">
        <w:t xml:space="preserve">comme pédagogue </w:t>
      </w:r>
      <w:r w:rsidR="00BE3EF6">
        <w:t>au Maréchal Pétain</w:t>
      </w:r>
      <w:r w:rsidR="008115CB">
        <w:t xml:space="preserve"> </w:t>
      </w:r>
      <w:r w:rsidR="00BE3EF6">
        <w:t xml:space="preserve">alors qu’il était interné </w:t>
      </w:r>
      <w:r w:rsidR="00FD5D34">
        <w:t>en tant que communiste</w:t>
      </w:r>
      <w:r w:rsidR="00A85676">
        <w:t xml:space="preserve"> </w:t>
      </w:r>
      <w:r w:rsidR="00BE3EF6">
        <w:t>dans les camps de surveillance durant 20 mois en 40-41. Vous évoquez div</w:t>
      </w:r>
      <w:r w:rsidR="007C6F09">
        <w:t xml:space="preserve">erses explications de ce geste </w:t>
      </w:r>
      <w:r w:rsidR="008115CB">
        <w:t xml:space="preserve">difficilement </w:t>
      </w:r>
      <w:r w:rsidR="00BE3EF6">
        <w:t xml:space="preserve">compréhensible, et d’ailleurs quasi jamais relaté : </w:t>
      </w:r>
      <w:r w:rsidR="00003A12">
        <w:t xml:space="preserve">stratégie pour échapper à l’enfermement, </w:t>
      </w:r>
      <w:r w:rsidR="00BE3EF6">
        <w:t xml:space="preserve">besoin de reconnaissance, </w:t>
      </w:r>
      <w:r w:rsidR="007F385D">
        <w:t>ambition de rénovation pédagogique</w:t>
      </w:r>
      <w:r w:rsidR="00BE3EF6">
        <w:t xml:space="preserve"> qui croyait trouver là </w:t>
      </w:r>
      <w:r w:rsidR="007F385D">
        <w:t>son</w:t>
      </w:r>
      <w:r w:rsidR="00BE3EF6">
        <w:t xml:space="preserve"> moment opportun, estompement des frontières entre pédagogies</w:t>
      </w:r>
      <w:r w:rsidR="007F385D">
        <w:t xml:space="preserve"> nouvelles</w:t>
      </w:r>
      <w:r w:rsidR="00BE3EF6">
        <w:t xml:space="preserve"> de droite et de gauche.  </w:t>
      </w:r>
      <w:r w:rsidR="00003A12">
        <w:t>Il est pourtant avéré que de nombreux instituteurs ont résisté dès 41 et se sont unis à travers des outils médiatiques com</w:t>
      </w:r>
      <w:r w:rsidR="008115CB">
        <w:t>m</w:t>
      </w:r>
      <w:r w:rsidR="007C6F09">
        <w:t xml:space="preserve">e </w:t>
      </w:r>
      <w:r w:rsidR="007C6F09" w:rsidRPr="007C6F09">
        <w:rPr>
          <w:i/>
        </w:rPr>
        <w:t>L’école laïque</w:t>
      </w:r>
      <w:r w:rsidR="007C6F09">
        <w:t xml:space="preserve"> (organe du front national de l’enseignement primaire) et </w:t>
      </w:r>
      <w:r w:rsidR="007C6F09" w:rsidRPr="007C6F09">
        <w:rPr>
          <w:i/>
        </w:rPr>
        <w:t>l’Université libre</w:t>
      </w:r>
      <w:r w:rsidR="007C6F09">
        <w:t xml:space="preserve"> (FN universitaire), </w:t>
      </w:r>
      <w:r w:rsidR="007C6F09" w:rsidRPr="007C6F09">
        <w:rPr>
          <w:i/>
        </w:rPr>
        <w:t>Ecole et liberté</w:t>
      </w:r>
      <w:r w:rsidR="007C6F09">
        <w:t xml:space="preserve"> en 42 (&lt; Syndicat national des instituteurs), et le Comité de défense des professeurs et étudiants de Paris, créé par des communistes dissidents, </w:t>
      </w:r>
      <w:r w:rsidR="007F385D">
        <w:t xml:space="preserve">etc. </w:t>
      </w:r>
      <w:r w:rsidR="00A85676">
        <w:t>;</w:t>
      </w:r>
      <w:r w:rsidR="00003A12">
        <w:t xml:space="preserve"> la politique de Pétain était</w:t>
      </w:r>
      <w:r w:rsidR="00A85676">
        <w:t xml:space="preserve"> en effet</w:t>
      </w:r>
      <w:r w:rsidR="00003A12">
        <w:t xml:space="preserve"> loin d’être</w:t>
      </w:r>
      <w:r w:rsidR="00015479">
        <w:t xml:space="preserve"> </w:t>
      </w:r>
      <w:r w:rsidR="00003A12">
        <w:t>tendre avec les in</w:t>
      </w:r>
      <w:r w:rsidR="00015479">
        <w:t>s</w:t>
      </w:r>
      <w:r w:rsidR="00003A12">
        <w:t xml:space="preserve">tituteurs. Son projet de </w:t>
      </w:r>
      <w:r w:rsidR="001A7C15">
        <w:t>« </w:t>
      </w:r>
      <w:r w:rsidR="00003A12">
        <w:t>rééducation</w:t>
      </w:r>
      <w:r w:rsidR="001A7C15">
        <w:t> »</w:t>
      </w:r>
      <w:r w:rsidR="00003A12">
        <w:t xml:space="preserve"> était tout de</w:t>
      </w:r>
      <w:r w:rsidR="00015479">
        <w:t xml:space="preserve"> </w:t>
      </w:r>
      <w:r w:rsidR="00003A12">
        <w:t>même tr</w:t>
      </w:r>
      <w:r w:rsidR="005A395B">
        <w:t>ès éloigné de celui de Freinet. A</w:t>
      </w:r>
      <w:r w:rsidR="00015479">
        <w:t>lors</w:t>
      </w:r>
      <w:r w:rsidR="00003A12">
        <w:t xml:space="preserve"> </w:t>
      </w:r>
      <w:r w:rsidR="00003A12" w:rsidRPr="00E36660">
        <w:rPr>
          <w:b/>
        </w:rPr>
        <w:t xml:space="preserve">comment comprendre que Freinet </w:t>
      </w:r>
      <w:r w:rsidR="00E36660" w:rsidRPr="00E36660">
        <w:rPr>
          <w:b/>
        </w:rPr>
        <w:t>ait été</w:t>
      </w:r>
      <w:r w:rsidR="00003A12" w:rsidRPr="00E36660">
        <w:rPr>
          <w:b/>
        </w:rPr>
        <w:t xml:space="preserve"> si aveugle </w:t>
      </w:r>
      <w:r w:rsidR="00A85676" w:rsidRPr="00E36660">
        <w:rPr>
          <w:b/>
        </w:rPr>
        <w:t xml:space="preserve">à tout cela ou en </w:t>
      </w:r>
      <w:r w:rsidR="00E36660" w:rsidRPr="00E36660">
        <w:rPr>
          <w:b/>
        </w:rPr>
        <w:t>ait fait</w:t>
      </w:r>
      <w:r w:rsidR="00A85676" w:rsidRPr="00E36660">
        <w:rPr>
          <w:b/>
        </w:rPr>
        <w:t xml:space="preserve"> fi ?</w:t>
      </w:r>
      <w:r w:rsidR="008115CB" w:rsidRPr="00E36660">
        <w:rPr>
          <w:b/>
        </w:rPr>
        <w:t xml:space="preserve"> </w:t>
      </w:r>
      <w:r w:rsidR="00015479" w:rsidRPr="00E36660">
        <w:rPr>
          <w:b/>
        </w:rPr>
        <w:t xml:space="preserve"> </w:t>
      </w:r>
      <w:r w:rsidR="00A85676" w:rsidRPr="00E36660">
        <w:rPr>
          <w:b/>
        </w:rPr>
        <w:t xml:space="preserve">Est-ce que les proximités entre pédagogie nouvelle de gauche et PN de droite peuvent nous aider à comprendre mieux cette position de Freinet ? </w:t>
      </w:r>
      <w:r w:rsidR="00E36660" w:rsidRPr="00E36660">
        <w:rPr>
          <w:b/>
        </w:rPr>
        <w:t>Et comment expliquer cette convergence frappante entre deux bords</w:t>
      </w:r>
      <w:r w:rsidR="007C6F09">
        <w:rPr>
          <w:b/>
        </w:rPr>
        <w:t xml:space="preserve"> a priori si opposés</w:t>
      </w:r>
      <w:r w:rsidR="00E36660" w:rsidRPr="00E36660">
        <w:rPr>
          <w:b/>
        </w:rPr>
        <w:t> ?</w:t>
      </w:r>
    </w:p>
    <w:p w:rsidR="00151634" w:rsidRDefault="00151634" w:rsidP="00E60912">
      <w:pPr>
        <w:jc w:val="both"/>
      </w:pPr>
    </w:p>
    <w:p w:rsidR="00151634" w:rsidRDefault="00151634" w:rsidP="00151634">
      <w:pPr>
        <w:pStyle w:val="NormalWeb"/>
        <w:shd w:val="clear" w:color="auto" w:fill="FFFFFF"/>
        <w:spacing w:before="2" w:after="2"/>
      </w:pPr>
      <w:r>
        <w:rPr>
          <w:rFonts w:ascii="Times New Roman" w:hAnsi="Times New Roman"/>
          <w:sz w:val="22"/>
          <w:szCs w:val="22"/>
        </w:rPr>
        <w:t xml:space="preserve">Devons-nous admettre que notre </w:t>
      </w:r>
      <w:proofErr w:type="spellStart"/>
      <w:r>
        <w:rPr>
          <w:rFonts w:ascii="Times New Roman" w:hAnsi="Times New Roman"/>
          <w:sz w:val="22"/>
          <w:szCs w:val="22"/>
        </w:rPr>
        <w:t>pédagogie</w:t>
      </w:r>
      <w:proofErr w:type="spellEnd"/>
      <w:r>
        <w:rPr>
          <w:rFonts w:ascii="Times New Roman" w:hAnsi="Times New Roman"/>
          <w:sz w:val="22"/>
          <w:szCs w:val="22"/>
        </w:rPr>
        <w:t xml:space="preserve"> — </w:t>
      </w:r>
      <w:proofErr w:type="spellStart"/>
      <w:r>
        <w:rPr>
          <w:rFonts w:ascii="Times New Roman" w:hAnsi="Times New Roman"/>
          <w:sz w:val="22"/>
          <w:szCs w:val="22"/>
        </w:rPr>
        <w:t>même</w:t>
      </w:r>
      <w:proofErr w:type="spellEnd"/>
      <w:r>
        <w:rPr>
          <w:rFonts w:ascii="Times New Roman" w:hAnsi="Times New Roman"/>
          <w:sz w:val="22"/>
          <w:szCs w:val="22"/>
        </w:rPr>
        <w:t xml:space="preserve"> au lendemain de la </w:t>
      </w:r>
      <w:proofErr w:type="spellStart"/>
      <w:r>
        <w:rPr>
          <w:rFonts w:ascii="Times New Roman" w:hAnsi="Times New Roman"/>
          <w:sz w:val="22"/>
          <w:szCs w:val="22"/>
        </w:rPr>
        <w:t>Révolution</w:t>
      </w:r>
      <w:proofErr w:type="spellEnd"/>
      <w:r>
        <w:rPr>
          <w:rFonts w:ascii="Times New Roman" w:hAnsi="Times New Roman"/>
          <w:sz w:val="22"/>
          <w:szCs w:val="22"/>
        </w:rPr>
        <w:t xml:space="preserve"> — doive s’incliner devant un ordre nouveau, qui par la force des choses, aura beaucoup d’analogies avec l’ordre actuel ? Et, </w:t>
      </w:r>
      <w:proofErr w:type="spellStart"/>
      <w:r>
        <w:rPr>
          <w:rFonts w:ascii="Times New Roman" w:hAnsi="Times New Roman"/>
          <w:sz w:val="22"/>
          <w:szCs w:val="22"/>
        </w:rPr>
        <w:t>négligeant</w:t>
      </w:r>
      <w:proofErr w:type="spellEnd"/>
      <w:r>
        <w:rPr>
          <w:rFonts w:ascii="Times New Roman" w:hAnsi="Times New Roman"/>
          <w:sz w:val="22"/>
          <w:szCs w:val="22"/>
        </w:rPr>
        <w:t xml:space="preserve"> notre vrai devoir — </w:t>
      </w:r>
      <w:proofErr w:type="spellStart"/>
      <w:r>
        <w:rPr>
          <w:rFonts w:ascii="Times New Roman" w:hAnsi="Times New Roman"/>
          <w:sz w:val="22"/>
          <w:szCs w:val="22"/>
        </w:rPr>
        <w:t>éclairer</w:t>
      </w:r>
      <w:proofErr w:type="spellEnd"/>
      <w:r>
        <w:rPr>
          <w:rFonts w:ascii="Times New Roman" w:hAnsi="Times New Roman"/>
          <w:sz w:val="22"/>
          <w:szCs w:val="22"/>
        </w:rPr>
        <w:t xml:space="preserve"> les esprits — deviendrons-nous les soutiens d’un dogme nouveau qui sera pourtant loin encore d’</w:t>
      </w:r>
      <w:proofErr w:type="spellStart"/>
      <w:r>
        <w:rPr>
          <w:rFonts w:ascii="Times New Roman" w:hAnsi="Times New Roman"/>
          <w:sz w:val="22"/>
          <w:szCs w:val="22"/>
        </w:rPr>
        <w:t>être</w:t>
      </w:r>
      <w:proofErr w:type="spellEnd"/>
      <w:r>
        <w:rPr>
          <w:rFonts w:ascii="Times New Roman" w:hAnsi="Times New Roman"/>
          <w:sz w:val="22"/>
          <w:szCs w:val="22"/>
        </w:rPr>
        <w:t xml:space="preserve"> le communisme ?</w:t>
      </w:r>
      <w:r>
        <w:rPr>
          <w:rFonts w:ascii="Times New Roman" w:hAnsi="Times New Roman"/>
          <w:position w:val="4"/>
          <w:sz w:val="14"/>
          <w:szCs w:val="14"/>
        </w:rPr>
        <w:t xml:space="preserve">14 </w:t>
      </w:r>
    </w:p>
    <w:p w:rsidR="00151634" w:rsidRDefault="00151634" w:rsidP="00151634">
      <w:pPr>
        <w:pStyle w:val="NormalWeb"/>
        <w:shd w:val="clear" w:color="auto" w:fill="FFFFFF"/>
        <w:spacing w:before="2" w:after="2"/>
      </w:pPr>
      <w:proofErr w:type="spellStart"/>
      <w:r>
        <w:rPr>
          <w:rFonts w:ascii="Times New Roman" w:hAnsi="Times New Roman"/>
        </w:rPr>
        <w:t>Célestin</w:t>
      </w:r>
      <w:proofErr w:type="spellEnd"/>
      <w:r>
        <w:rPr>
          <w:rFonts w:ascii="Times New Roman" w:hAnsi="Times New Roman"/>
        </w:rPr>
        <w:t xml:space="preserve"> Freinet, « Contre une </w:t>
      </w:r>
      <w:proofErr w:type="spellStart"/>
      <w:r>
        <w:rPr>
          <w:rFonts w:ascii="Times New Roman" w:hAnsi="Times New Roman"/>
        </w:rPr>
        <w:t>pédagogie</w:t>
      </w:r>
      <w:proofErr w:type="spellEnd"/>
      <w:r>
        <w:rPr>
          <w:rFonts w:ascii="Times New Roman" w:hAnsi="Times New Roman"/>
        </w:rPr>
        <w:t xml:space="preserve"> syndicale », </w:t>
      </w:r>
      <w:r>
        <w:rPr>
          <w:rFonts w:ascii="TimesNewRomanPS" w:hAnsi="TimesNewRomanPS"/>
          <w:i/>
          <w:iCs/>
        </w:rPr>
        <w:t xml:space="preserve">L’Ecole </w:t>
      </w:r>
      <w:proofErr w:type="spellStart"/>
      <w:r>
        <w:rPr>
          <w:rFonts w:ascii="TimesNewRomanPS" w:hAnsi="TimesNewRomanPS"/>
          <w:i/>
          <w:iCs/>
        </w:rPr>
        <w:t>émancipée</w:t>
      </w:r>
      <w:proofErr w:type="spellEnd"/>
      <w:r>
        <w:rPr>
          <w:rFonts w:ascii="Times New Roman" w:hAnsi="Times New Roman"/>
        </w:rPr>
        <w:t xml:space="preserve">, 4 juin 1921. </w:t>
      </w:r>
    </w:p>
    <w:p w:rsidR="00C9600B" w:rsidRDefault="00C9600B" w:rsidP="00E60912">
      <w:pPr>
        <w:jc w:val="both"/>
      </w:pPr>
    </w:p>
    <w:p w:rsidR="00E60912" w:rsidRPr="00E60912" w:rsidRDefault="00650BE8" w:rsidP="00650BE8">
      <w:pPr>
        <w:ind w:left="7080" w:firstLine="708"/>
        <w:jc w:val="both"/>
      </w:pPr>
      <w:r>
        <w:t>Anne HERLA</w:t>
      </w:r>
    </w:p>
    <w:sectPr w:rsidR="00E60912" w:rsidRPr="00E60912" w:rsidSect="00E6091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261B2"/>
    <w:rsid w:val="00003059"/>
    <w:rsid w:val="00003A12"/>
    <w:rsid w:val="00015479"/>
    <w:rsid w:val="000B3E09"/>
    <w:rsid w:val="00151634"/>
    <w:rsid w:val="001A070F"/>
    <w:rsid w:val="001A7C15"/>
    <w:rsid w:val="00210E43"/>
    <w:rsid w:val="002165BC"/>
    <w:rsid w:val="00280D17"/>
    <w:rsid w:val="002E2EF1"/>
    <w:rsid w:val="003053D2"/>
    <w:rsid w:val="003551EE"/>
    <w:rsid w:val="003738D2"/>
    <w:rsid w:val="0039075A"/>
    <w:rsid w:val="003A7563"/>
    <w:rsid w:val="00425266"/>
    <w:rsid w:val="00450121"/>
    <w:rsid w:val="004F545A"/>
    <w:rsid w:val="005A395B"/>
    <w:rsid w:val="005D74F7"/>
    <w:rsid w:val="00612331"/>
    <w:rsid w:val="006349EB"/>
    <w:rsid w:val="00650BE8"/>
    <w:rsid w:val="006A6CB7"/>
    <w:rsid w:val="006D2ADD"/>
    <w:rsid w:val="0076224D"/>
    <w:rsid w:val="007875D5"/>
    <w:rsid w:val="007C6F09"/>
    <w:rsid w:val="007F385D"/>
    <w:rsid w:val="008115CB"/>
    <w:rsid w:val="008143D0"/>
    <w:rsid w:val="008520C8"/>
    <w:rsid w:val="00890CDB"/>
    <w:rsid w:val="008A541A"/>
    <w:rsid w:val="00A85676"/>
    <w:rsid w:val="00BE3EF6"/>
    <w:rsid w:val="00C261B2"/>
    <w:rsid w:val="00C321C8"/>
    <w:rsid w:val="00C931FB"/>
    <w:rsid w:val="00C9388D"/>
    <w:rsid w:val="00C9600B"/>
    <w:rsid w:val="00D16128"/>
    <w:rsid w:val="00D74EDD"/>
    <w:rsid w:val="00DF0D4B"/>
    <w:rsid w:val="00E36660"/>
    <w:rsid w:val="00E60912"/>
    <w:rsid w:val="00E846C7"/>
    <w:rsid w:val="00ED344D"/>
    <w:rsid w:val="00F70524"/>
    <w:rsid w:val="00FD5D3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5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151634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1432</Words>
  <Characters>8167</Characters>
  <Application>Microsoft Macintosh Word</Application>
  <DocSecurity>0</DocSecurity>
  <Lines>68</Lines>
  <Paragraphs>16</Paragraphs>
  <ScaleCrop>false</ScaleCrop>
  <Company>Université de Liège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Herla</dc:creator>
  <cp:keywords/>
  <cp:lastModifiedBy>Anne Herla</cp:lastModifiedBy>
  <cp:revision>16</cp:revision>
  <cp:lastPrinted>2018-06-01T06:35:00Z</cp:lastPrinted>
  <dcterms:created xsi:type="dcterms:W3CDTF">2018-05-28T10:07:00Z</dcterms:created>
  <dcterms:modified xsi:type="dcterms:W3CDTF">2018-06-01T06:36:00Z</dcterms:modified>
</cp:coreProperties>
</file>