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33760" w14:textId="3B883E14" w:rsidR="004033A9" w:rsidRDefault="004033A9" w:rsidP="004033A9">
      <w:pPr>
        <w:spacing w:line="480" w:lineRule="auto"/>
        <w:rPr>
          <w:b/>
          <w:sz w:val="28"/>
          <w:szCs w:val="28"/>
          <w:lang w:bidi="bn-IN"/>
        </w:rPr>
      </w:pPr>
      <w:r>
        <w:rPr>
          <w:b/>
          <w:sz w:val="28"/>
          <w:szCs w:val="28"/>
          <w:lang w:bidi="bn-IN"/>
        </w:rPr>
        <w:t>Supplementary Material</w:t>
      </w:r>
    </w:p>
    <w:p w14:paraId="034C3204" w14:textId="74C259C8" w:rsidR="00A0009F" w:rsidRDefault="00582383" w:rsidP="004033A9">
      <w:pPr>
        <w:spacing w:line="480" w:lineRule="auto"/>
        <w:rPr>
          <w:b/>
          <w:sz w:val="28"/>
          <w:szCs w:val="28"/>
          <w:lang w:bidi="bn-I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0C90E79" wp14:editId="216F96D9">
            <wp:simplePos x="0" y="0"/>
            <wp:positionH relativeFrom="column">
              <wp:posOffset>48260</wp:posOffset>
            </wp:positionH>
            <wp:positionV relativeFrom="paragraph">
              <wp:posOffset>222885</wp:posOffset>
            </wp:positionV>
            <wp:extent cx="5831840" cy="3773805"/>
            <wp:effectExtent l="0" t="0" r="10160" b="10795"/>
            <wp:wrapSquare wrapText="bothSides"/>
            <wp:docPr id="3" name="Picture 3" descr="C:\Users\Masud\dox\Drought legacy_Lund university\Map of the pl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ud\dox\Drought legacy_Lund university\Map of the plot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85"/>
                    <a:stretch/>
                  </pic:blipFill>
                  <pic:spPr bwMode="auto">
                    <a:xfrm>
                      <a:off x="0" y="0"/>
                      <a:ext cx="5831840" cy="3773805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76D7E" w14:textId="01610F5A" w:rsidR="00A0009F" w:rsidRDefault="00A0009F" w:rsidP="004033A9">
      <w:pPr>
        <w:spacing w:line="480" w:lineRule="auto"/>
        <w:rPr>
          <w:b/>
          <w:sz w:val="28"/>
          <w:szCs w:val="28"/>
          <w:lang w:bidi="bn-IN"/>
        </w:rPr>
      </w:pPr>
    </w:p>
    <w:p w14:paraId="625728DD" w14:textId="3D10DA5A" w:rsidR="006C2A52" w:rsidRPr="00360E11" w:rsidRDefault="00A0009F" w:rsidP="00360E11">
      <w:pPr>
        <w:spacing w:line="360" w:lineRule="auto"/>
        <w:rPr>
          <w:szCs w:val="32"/>
          <w:highlight w:val="yellow"/>
          <w:lang w:bidi="bn-IN"/>
        </w:rPr>
      </w:pPr>
      <w:r w:rsidRPr="00A0009F">
        <w:rPr>
          <w:b/>
        </w:rPr>
        <w:t xml:space="preserve">Supplementary Fig. </w:t>
      </w:r>
      <w:r w:rsidRPr="00360E11">
        <w:rPr>
          <w:b/>
        </w:rPr>
        <w:t>S1</w:t>
      </w:r>
      <w:r w:rsidRPr="00360E11">
        <w:t xml:space="preserve"> Plot configuration in the field, where</w:t>
      </w:r>
      <w:r w:rsidR="00360E11" w:rsidRPr="00360E11">
        <w:t xml:space="preserve"> each cell represents one tree (</w:t>
      </w:r>
      <w:r w:rsidRPr="00360E11">
        <w:t>distance between each tree is 1.5 m</w:t>
      </w:r>
      <w:r w:rsidR="00360E11" w:rsidRPr="00360E11">
        <w:t>)</w:t>
      </w:r>
      <w:r w:rsidR="004A0F2D">
        <w:t xml:space="preserve"> and </w:t>
      </w:r>
      <w:r w:rsidR="00B55860">
        <w:t xml:space="preserve">different species of tree in admixture </w:t>
      </w:r>
      <w:r w:rsidR="004A0F2D">
        <w:t xml:space="preserve">are </w:t>
      </w:r>
      <w:r w:rsidR="00C9648C">
        <w:t>denoted by different colours (1-4 levels of tree species in admixture)</w:t>
      </w:r>
      <w:r w:rsidRPr="00360E11">
        <w:t>. The white square depicts each plot (whereby the white square represents the limits of the rain exclusion shelter in a drought plot</w:t>
      </w:r>
      <w:r w:rsidR="00D431A6" w:rsidRPr="00360E11">
        <w:t>, and the equivalent theoretical plot limit in control plots</w:t>
      </w:r>
      <w:r w:rsidRPr="00360E11">
        <w:t xml:space="preserve">). </w:t>
      </w:r>
      <w:r w:rsidR="00360E11" w:rsidRPr="00360E11">
        <w:rPr>
          <w:szCs w:val="32"/>
          <w:lang w:bidi="bn-IN"/>
        </w:rPr>
        <w:t>B</w:t>
      </w:r>
      <w:r w:rsidRPr="00360E11">
        <w:rPr>
          <w:szCs w:val="32"/>
          <w:lang w:bidi="bn-IN"/>
        </w:rPr>
        <w:t>lack dot</w:t>
      </w:r>
      <w:r w:rsidR="00360E11" w:rsidRPr="00360E11">
        <w:rPr>
          <w:szCs w:val="32"/>
          <w:lang w:bidi="bn-IN"/>
        </w:rPr>
        <w:t>s</w:t>
      </w:r>
      <w:r w:rsidRPr="00360E11">
        <w:rPr>
          <w:szCs w:val="32"/>
          <w:lang w:bidi="bn-IN"/>
        </w:rPr>
        <w:t xml:space="preserve"> around the </w:t>
      </w:r>
      <w:r w:rsidR="00360E11" w:rsidRPr="00360E11">
        <w:rPr>
          <w:szCs w:val="32"/>
          <w:lang w:bidi="bn-IN"/>
        </w:rPr>
        <w:t xml:space="preserve">central </w:t>
      </w:r>
      <w:r w:rsidRPr="00360E11">
        <w:rPr>
          <w:szCs w:val="32"/>
          <w:lang w:bidi="bn-IN"/>
        </w:rPr>
        <w:t>target</w:t>
      </w:r>
      <w:r w:rsidR="00360E11" w:rsidRPr="00360E11">
        <w:rPr>
          <w:szCs w:val="32"/>
          <w:lang w:bidi="bn-IN"/>
        </w:rPr>
        <w:t xml:space="preserve"> oak</w:t>
      </w:r>
      <w:r w:rsidRPr="00360E11">
        <w:rPr>
          <w:szCs w:val="32"/>
          <w:lang w:bidi="bn-IN"/>
        </w:rPr>
        <w:t xml:space="preserve"> tree</w:t>
      </w:r>
      <w:r w:rsidR="002A778A" w:rsidRPr="00360E11">
        <w:rPr>
          <w:szCs w:val="32"/>
          <w:lang w:bidi="bn-IN"/>
        </w:rPr>
        <w:t xml:space="preserve"> (T)</w:t>
      </w:r>
      <w:r w:rsidR="00360E11" w:rsidRPr="00360E11">
        <w:rPr>
          <w:szCs w:val="32"/>
          <w:lang w:bidi="bn-IN"/>
        </w:rPr>
        <w:t xml:space="preserve"> indicate</w:t>
      </w:r>
      <w:r w:rsidRPr="00360E11">
        <w:rPr>
          <w:szCs w:val="32"/>
          <w:lang w:bidi="bn-IN"/>
        </w:rPr>
        <w:t xml:space="preserve"> the position of soil sampling</w:t>
      </w:r>
      <w:r w:rsidR="00360E11" w:rsidRPr="00360E11">
        <w:rPr>
          <w:szCs w:val="32"/>
          <w:lang w:bidi="bn-IN"/>
        </w:rPr>
        <w:t>. P</w:t>
      </w:r>
      <w:r w:rsidR="006C2A52" w:rsidRPr="00360E11">
        <w:rPr>
          <w:szCs w:val="32"/>
          <w:lang w:bidi="bn-IN"/>
        </w:rPr>
        <w:t>lot configuration was the same for control and drought plots</w:t>
      </w:r>
      <w:r w:rsidR="00987E56" w:rsidRPr="00360E11">
        <w:rPr>
          <w:szCs w:val="32"/>
          <w:lang w:bidi="bn-IN"/>
        </w:rPr>
        <w:t xml:space="preserve"> at equivalent levels of </w:t>
      </w:r>
      <w:r w:rsidR="00975083">
        <w:rPr>
          <w:szCs w:val="32"/>
          <w:lang w:bidi="bn-IN"/>
        </w:rPr>
        <w:t xml:space="preserve">species </w:t>
      </w:r>
      <w:r w:rsidR="00987E56" w:rsidRPr="00360E11">
        <w:rPr>
          <w:szCs w:val="32"/>
          <w:lang w:bidi="bn-IN"/>
        </w:rPr>
        <w:t>admixing</w:t>
      </w:r>
      <w:r w:rsidR="006C2A52" w:rsidRPr="00360E11">
        <w:rPr>
          <w:szCs w:val="32"/>
          <w:lang w:bidi="bn-IN"/>
        </w:rPr>
        <w:t>.</w:t>
      </w:r>
      <w:r w:rsidR="006C2A52">
        <w:rPr>
          <w:szCs w:val="32"/>
          <w:lang w:bidi="bn-IN"/>
        </w:rPr>
        <w:t xml:space="preserve"> </w:t>
      </w:r>
    </w:p>
    <w:p w14:paraId="3A051F2D" w14:textId="77777777" w:rsidR="00A0009F" w:rsidRDefault="00A0009F" w:rsidP="00A0009F"/>
    <w:p w14:paraId="0CA02A6F" w14:textId="7656C1F8" w:rsidR="00A0009F" w:rsidRPr="006C4A3E" w:rsidRDefault="00A0009F" w:rsidP="004033A9">
      <w:pPr>
        <w:spacing w:line="480" w:lineRule="auto"/>
        <w:rPr>
          <w:b/>
          <w:sz w:val="28"/>
          <w:szCs w:val="28"/>
          <w:lang w:bidi="bn-IN"/>
        </w:rPr>
      </w:pPr>
    </w:p>
    <w:p w14:paraId="74F04041" w14:textId="1A6B46F5" w:rsidR="004033A9" w:rsidRPr="004E1ABA" w:rsidRDefault="004033A9" w:rsidP="004033A9">
      <w:pPr>
        <w:spacing w:line="360" w:lineRule="auto"/>
        <w:rPr>
          <w:b/>
          <w:bCs/>
          <w:szCs w:val="32"/>
          <w:lang w:bidi="bn-IN"/>
        </w:rPr>
      </w:pPr>
      <w:r>
        <w:rPr>
          <w:noProof/>
        </w:rPr>
        <w:lastRenderedPageBreak/>
        <w:drawing>
          <wp:inline distT="0" distB="0" distL="0" distR="0" wp14:anchorId="1D513340" wp14:editId="4F27D9E4">
            <wp:extent cx="6414135" cy="5426415"/>
            <wp:effectExtent l="0" t="0" r="1206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7350" cy="542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Cs w:val="32"/>
          <w:lang w:bidi="bn-IN"/>
        </w:rPr>
        <w:t xml:space="preserve">Supplementary Fig. </w:t>
      </w:r>
      <w:r w:rsidR="000B142C">
        <w:rPr>
          <w:b/>
          <w:bCs/>
          <w:szCs w:val="32"/>
          <w:lang w:bidi="bn-IN"/>
        </w:rPr>
        <w:t>S2</w:t>
      </w:r>
      <w:r>
        <w:rPr>
          <w:bCs/>
          <w:szCs w:val="32"/>
          <w:lang w:bidi="bn-IN"/>
        </w:rPr>
        <w:t xml:space="preserve"> </w:t>
      </w:r>
      <w:proofErr w:type="gramStart"/>
      <w:r>
        <w:rPr>
          <w:bCs/>
          <w:szCs w:val="32"/>
          <w:lang w:bidi="bn-IN"/>
        </w:rPr>
        <w:t>The</w:t>
      </w:r>
      <w:proofErr w:type="gramEnd"/>
      <w:r>
        <w:rPr>
          <w:bCs/>
          <w:szCs w:val="32"/>
          <w:lang w:bidi="bn-IN"/>
        </w:rPr>
        <w:t xml:space="preserve"> relationship between (</w:t>
      </w:r>
      <w:r w:rsidRPr="007438BE">
        <w:rPr>
          <w:b/>
          <w:bCs/>
          <w:szCs w:val="32"/>
          <w:lang w:bidi="bn-IN"/>
        </w:rPr>
        <w:t>a</w:t>
      </w:r>
      <w:r>
        <w:rPr>
          <w:bCs/>
          <w:szCs w:val="32"/>
          <w:lang w:bidi="bn-IN"/>
        </w:rPr>
        <w:t>) bacterial growth, (</w:t>
      </w:r>
      <w:r w:rsidRPr="007438BE">
        <w:rPr>
          <w:b/>
          <w:bCs/>
          <w:szCs w:val="32"/>
          <w:lang w:bidi="bn-IN"/>
        </w:rPr>
        <w:t>b</w:t>
      </w:r>
      <w:r>
        <w:rPr>
          <w:bCs/>
          <w:szCs w:val="32"/>
          <w:lang w:bidi="bn-IN"/>
        </w:rPr>
        <w:t>) fungal growth, (</w:t>
      </w:r>
      <w:r w:rsidRPr="007438BE">
        <w:rPr>
          <w:b/>
          <w:bCs/>
          <w:szCs w:val="32"/>
          <w:lang w:bidi="bn-IN"/>
        </w:rPr>
        <w:t>c</w:t>
      </w:r>
      <w:r>
        <w:rPr>
          <w:bCs/>
          <w:szCs w:val="32"/>
          <w:lang w:bidi="bn-IN"/>
        </w:rPr>
        <w:t>) respiration, (</w:t>
      </w:r>
      <w:r w:rsidRPr="007438BE">
        <w:rPr>
          <w:b/>
          <w:bCs/>
          <w:szCs w:val="32"/>
          <w:lang w:bidi="bn-IN"/>
        </w:rPr>
        <w:t>d</w:t>
      </w:r>
      <w:r>
        <w:rPr>
          <w:bCs/>
          <w:szCs w:val="32"/>
          <w:lang w:bidi="bn-IN"/>
        </w:rPr>
        <w:t xml:space="preserve">) fungal-to-bacterial growth ratio, and soil moisture (% WHC) in control soils (C; closed symbols) and soils with a history of drought (D; open symbols). Symbols represent mean </w:t>
      </w:r>
      <w:r>
        <w:rPr>
          <w:bCs/>
          <w:szCs w:val="32"/>
          <w:lang w:bidi="bn-IN"/>
        </w:rPr>
        <w:sym w:font="Symbol" w:char="F0B1"/>
      </w:r>
      <w:r>
        <w:rPr>
          <w:bCs/>
          <w:szCs w:val="32"/>
          <w:lang w:bidi="bn-IN"/>
        </w:rPr>
        <w:t xml:space="preserve"> SE (</w:t>
      </w:r>
      <w:r w:rsidRPr="0073582D">
        <w:rPr>
          <w:bCs/>
          <w:i/>
          <w:szCs w:val="32"/>
          <w:lang w:bidi="bn-IN"/>
        </w:rPr>
        <w:t>n</w:t>
      </w:r>
      <w:r>
        <w:rPr>
          <w:bCs/>
          <w:szCs w:val="32"/>
          <w:lang w:bidi="bn-IN"/>
        </w:rPr>
        <w:t xml:space="preserve"> = 3), where different symbols </w:t>
      </w:r>
      <w:r w:rsidRPr="00993AF5">
        <w:rPr>
          <w:bCs/>
          <w:szCs w:val="32"/>
          <w:lang w:bidi="bn-IN"/>
        </w:rPr>
        <w:t xml:space="preserve">indicate </w:t>
      </w:r>
      <w:r w:rsidR="0018573D">
        <w:rPr>
          <w:bCs/>
          <w:szCs w:val="32"/>
          <w:lang w:bidi="bn-IN"/>
        </w:rPr>
        <w:t>different tree species admixtures</w:t>
      </w:r>
      <w:r w:rsidRPr="00993AF5">
        <w:rPr>
          <w:bCs/>
          <w:szCs w:val="32"/>
          <w:lang w:bidi="bn-IN"/>
        </w:rPr>
        <w:t xml:space="preserve"> (levels 1-4). All relationships non-significant (p &gt; 0.19, </w:t>
      </w:r>
      <w:r w:rsidRPr="00993AF5">
        <w:rPr>
          <w:bCs/>
          <w:i/>
          <w:szCs w:val="32"/>
          <w:lang w:bidi="bn-IN"/>
        </w:rPr>
        <w:t>n</w:t>
      </w:r>
      <w:r w:rsidRPr="00993AF5">
        <w:rPr>
          <w:bCs/>
          <w:szCs w:val="32"/>
          <w:lang w:bidi="bn-IN"/>
        </w:rPr>
        <w:t xml:space="preserve"> = 12).</w:t>
      </w:r>
      <w:r>
        <w:rPr>
          <w:bCs/>
          <w:szCs w:val="32"/>
          <w:lang w:bidi="bn-IN"/>
        </w:rPr>
        <w:t xml:space="preserve"> </w:t>
      </w:r>
    </w:p>
    <w:p w14:paraId="3FDDEA7C" w14:textId="77777777" w:rsidR="004033A9" w:rsidRDefault="004033A9" w:rsidP="004033A9">
      <w:pPr>
        <w:spacing w:line="480" w:lineRule="auto"/>
        <w:rPr>
          <w:bCs/>
          <w:szCs w:val="32"/>
          <w:lang w:bidi="bn-IN"/>
        </w:rPr>
      </w:pPr>
    </w:p>
    <w:p w14:paraId="3F796E0A" w14:textId="77777777" w:rsidR="004033A9" w:rsidRDefault="004033A9" w:rsidP="004033A9">
      <w:pPr>
        <w:spacing w:line="480" w:lineRule="auto"/>
        <w:rPr>
          <w:bCs/>
          <w:szCs w:val="32"/>
          <w:lang w:bidi="bn-IN"/>
        </w:rPr>
      </w:pPr>
      <w:r>
        <w:rPr>
          <w:noProof/>
        </w:rPr>
        <w:drawing>
          <wp:inline distT="0" distB="0" distL="0" distR="0" wp14:anchorId="46DEF025" wp14:editId="71AF9FFE">
            <wp:extent cx="5727700" cy="7045325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04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F0E43" w14:textId="208DDC3A" w:rsidR="00474886" w:rsidRPr="00B76B18" w:rsidRDefault="000B142C" w:rsidP="00B76B18">
      <w:pPr>
        <w:spacing w:line="360" w:lineRule="auto"/>
        <w:rPr>
          <w:bCs/>
          <w:szCs w:val="32"/>
          <w:lang w:bidi="bn-IN"/>
        </w:rPr>
      </w:pPr>
      <w:r>
        <w:rPr>
          <w:b/>
          <w:bCs/>
          <w:szCs w:val="32"/>
          <w:lang w:bidi="bn-IN"/>
        </w:rPr>
        <w:t>Supplementary Fig. S3</w:t>
      </w:r>
      <w:r w:rsidR="004033A9">
        <w:rPr>
          <w:b/>
          <w:bCs/>
          <w:szCs w:val="32"/>
          <w:lang w:bidi="bn-IN"/>
        </w:rPr>
        <w:t xml:space="preserve"> </w:t>
      </w:r>
      <w:proofErr w:type="gramStart"/>
      <w:r w:rsidR="004033A9">
        <w:rPr>
          <w:bCs/>
          <w:szCs w:val="32"/>
          <w:lang w:bidi="bn-IN"/>
        </w:rPr>
        <w:t>T</w:t>
      </w:r>
      <w:r w:rsidR="004033A9" w:rsidRPr="00D07BE3">
        <w:rPr>
          <w:bCs/>
          <w:szCs w:val="32"/>
          <w:lang w:bidi="bn-IN"/>
        </w:rPr>
        <w:t>he</w:t>
      </w:r>
      <w:proofErr w:type="gramEnd"/>
      <w:r w:rsidR="004033A9">
        <w:rPr>
          <w:bCs/>
          <w:szCs w:val="32"/>
          <w:lang w:bidi="bn-IN"/>
        </w:rPr>
        <w:t xml:space="preserve"> relationship between (</w:t>
      </w:r>
      <w:r w:rsidR="004033A9" w:rsidRPr="007438BE">
        <w:rPr>
          <w:b/>
          <w:bCs/>
          <w:szCs w:val="32"/>
          <w:lang w:bidi="bn-IN"/>
        </w:rPr>
        <w:t>a</w:t>
      </w:r>
      <w:r w:rsidR="004033A9">
        <w:rPr>
          <w:bCs/>
          <w:szCs w:val="32"/>
          <w:lang w:bidi="bn-IN"/>
        </w:rPr>
        <w:t>) microbial biomass C, (</w:t>
      </w:r>
      <w:r w:rsidR="004033A9" w:rsidRPr="007438BE">
        <w:rPr>
          <w:b/>
          <w:bCs/>
          <w:szCs w:val="32"/>
          <w:lang w:bidi="bn-IN"/>
        </w:rPr>
        <w:t>b</w:t>
      </w:r>
      <w:r w:rsidR="004033A9">
        <w:rPr>
          <w:bCs/>
          <w:szCs w:val="32"/>
          <w:lang w:bidi="bn-IN"/>
        </w:rPr>
        <w:t>) total PLFA, (</w:t>
      </w:r>
      <w:r w:rsidR="004033A9" w:rsidRPr="007438BE">
        <w:rPr>
          <w:b/>
          <w:bCs/>
          <w:szCs w:val="32"/>
          <w:lang w:bidi="bn-IN"/>
        </w:rPr>
        <w:t>c</w:t>
      </w:r>
      <w:r w:rsidR="004033A9">
        <w:rPr>
          <w:bCs/>
          <w:szCs w:val="32"/>
          <w:lang w:bidi="bn-IN"/>
        </w:rPr>
        <w:t>) fungal PLFA, (</w:t>
      </w:r>
      <w:r w:rsidR="004033A9" w:rsidRPr="007438BE">
        <w:rPr>
          <w:b/>
          <w:bCs/>
          <w:szCs w:val="32"/>
          <w:lang w:bidi="bn-IN"/>
        </w:rPr>
        <w:t>d</w:t>
      </w:r>
      <w:r w:rsidR="004033A9">
        <w:rPr>
          <w:bCs/>
          <w:szCs w:val="32"/>
          <w:lang w:bidi="bn-IN"/>
        </w:rPr>
        <w:t>) bacterial PLFA, (</w:t>
      </w:r>
      <w:r w:rsidR="004033A9" w:rsidRPr="00E77DBC">
        <w:rPr>
          <w:b/>
          <w:bCs/>
          <w:szCs w:val="32"/>
          <w:lang w:bidi="bn-IN"/>
        </w:rPr>
        <w:t>e</w:t>
      </w:r>
      <w:r w:rsidR="004033A9">
        <w:rPr>
          <w:bCs/>
          <w:szCs w:val="32"/>
          <w:lang w:bidi="bn-IN"/>
        </w:rPr>
        <w:t xml:space="preserve">) ergosterol, and soil moisture (% WHC) in control soils (C; closed symbols) and soils with a history of drought (D; open symbols). Symbols represent mean </w:t>
      </w:r>
      <w:r w:rsidR="004033A9">
        <w:rPr>
          <w:bCs/>
          <w:szCs w:val="32"/>
          <w:lang w:bidi="bn-IN"/>
        </w:rPr>
        <w:sym w:font="Symbol" w:char="F0B1"/>
      </w:r>
      <w:r w:rsidR="004033A9">
        <w:rPr>
          <w:bCs/>
          <w:szCs w:val="32"/>
          <w:lang w:bidi="bn-IN"/>
        </w:rPr>
        <w:t xml:space="preserve"> SE (</w:t>
      </w:r>
      <w:r w:rsidR="004033A9" w:rsidRPr="0073582D">
        <w:rPr>
          <w:bCs/>
          <w:i/>
          <w:szCs w:val="32"/>
          <w:lang w:bidi="bn-IN"/>
        </w:rPr>
        <w:t>n</w:t>
      </w:r>
      <w:r w:rsidR="004033A9">
        <w:rPr>
          <w:bCs/>
          <w:szCs w:val="32"/>
          <w:lang w:bidi="bn-IN"/>
        </w:rPr>
        <w:t xml:space="preserve"> = 3), where different symbols indicate</w:t>
      </w:r>
      <w:r w:rsidR="0018573D" w:rsidRPr="00993AF5">
        <w:rPr>
          <w:bCs/>
          <w:szCs w:val="32"/>
          <w:lang w:bidi="bn-IN"/>
        </w:rPr>
        <w:t xml:space="preserve"> </w:t>
      </w:r>
      <w:r w:rsidR="0018573D">
        <w:rPr>
          <w:bCs/>
          <w:szCs w:val="32"/>
          <w:lang w:bidi="bn-IN"/>
        </w:rPr>
        <w:t>different tree species admixtures</w:t>
      </w:r>
      <w:r w:rsidR="0018573D" w:rsidRPr="00993AF5">
        <w:rPr>
          <w:bCs/>
          <w:szCs w:val="32"/>
          <w:lang w:bidi="bn-IN"/>
        </w:rPr>
        <w:t xml:space="preserve"> </w:t>
      </w:r>
      <w:r w:rsidR="004033A9">
        <w:rPr>
          <w:bCs/>
          <w:szCs w:val="32"/>
          <w:lang w:bidi="bn-IN"/>
        </w:rPr>
        <w:t>(levels 1-4; see Supplementary F</w:t>
      </w:r>
      <w:r>
        <w:rPr>
          <w:bCs/>
          <w:szCs w:val="32"/>
          <w:lang w:bidi="bn-IN"/>
        </w:rPr>
        <w:t>ig. S2</w:t>
      </w:r>
      <w:r w:rsidR="004033A9">
        <w:rPr>
          <w:bCs/>
          <w:szCs w:val="32"/>
          <w:lang w:bidi="bn-IN"/>
        </w:rPr>
        <w:t xml:space="preserve"> for legend</w:t>
      </w:r>
      <w:r w:rsidR="004033A9" w:rsidRPr="00850AC4">
        <w:rPr>
          <w:bCs/>
          <w:szCs w:val="32"/>
          <w:lang w:bidi="bn-IN"/>
        </w:rPr>
        <w:t xml:space="preserve">). All relationships non-significant (p &gt; 0.18, </w:t>
      </w:r>
      <w:r w:rsidR="004033A9" w:rsidRPr="00850AC4">
        <w:rPr>
          <w:bCs/>
          <w:i/>
          <w:szCs w:val="32"/>
          <w:lang w:bidi="bn-IN"/>
        </w:rPr>
        <w:t>n</w:t>
      </w:r>
      <w:r w:rsidR="004033A9" w:rsidRPr="00850AC4">
        <w:rPr>
          <w:bCs/>
          <w:szCs w:val="32"/>
          <w:lang w:bidi="bn-IN"/>
        </w:rPr>
        <w:t xml:space="preserve"> = 12).</w:t>
      </w:r>
    </w:p>
    <w:sectPr w:rsidR="00474886" w:rsidRPr="00B76B18" w:rsidSect="001D10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A9"/>
    <w:rsid w:val="0000134C"/>
    <w:rsid w:val="00030227"/>
    <w:rsid w:val="00036241"/>
    <w:rsid w:val="00061C6B"/>
    <w:rsid w:val="000664E8"/>
    <w:rsid w:val="000B142C"/>
    <w:rsid w:val="00136C20"/>
    <w:rsid w:val="0018573D"/>
    <w:rsid w:val="001871B6"/>
    <w:rsid w:val="001D1068"/>
    <w:rsid w:val="00202AD2"/>
    <w:rsid w:val="00251BEF"/>
    <w:rsid w:val="002569F4"/>
    <w:rsid w:val="002A778A"/>
    <w:rsid w:val="002C1E95"/>
    <w:rsid w:val="002C4DC1"/>
    <w:rsid w:val="002E710F"/>
    <w:rsid w:val="00310C4B"/>
    <w:rsid w:val="00360E11"/>
    <w:rsid w:val="003B219E"/>
    <w:rsid w:val="004028B3"/>
    <w:rsid w:val="004033A9"/>
    <w:rsid w:val="00405F7A"/>
    <w:rsid w:val="00410B87"/>
    <w:rsid w:val="00464201"/>
    <w:rsid w:val="00474886"/>
    <w:rsid w:val="004A0F2D"/>
    <w:rsid w:val="00503317"/>
    <w:rsid w:val="00566099"/>
    <w:rsid w:val="00582383"/>
    <w:rsid w:val="005C2FAF"/>
    <w:rsid w:val="005D6559"/>
    <w:rsid w:val="005D6D97"/>
    <w:rsid w:val="006C2A52"/>
    <w:rsid w:val="00766C2C"/>
    <w:rsid w:val="008F1719"/>
    <w:rsid w:val="009502A0"/>
    <w:rsid w:val="00975083"/>
    <w:rsid w:val="00987E56"/>
    <w:rsid w:val="009D7904"/>
    <w:rsid w:val="00A0009F"/>
    <w:rsid w:val="00A54F96"/>
    <w:rsid w:val="00A91D72"/>
    <w:rsid w:val="00AB739B"/>
    <w:rsid w:val="00AF07E7"/>
    <w:rsid w:val="00B55860"/>
    <w:rsid w:val="00B676E8"/>
    <w:rsid w:val="00B76B18"/>
    <w:rsid w:val="00B85116"/>
    <w:rsid w:val="00B925FF"/>
    <w:rsid w:val="00B971E0"/>
    <w:rsid w:val="00C61914"/>
    <w:rsid w:val="00C9648C"/>
    <w:rsid w:val="00CA2B54"/>
    <w:rsid w:val="00CB388A"/>
    <w:rsid w:val="00D431A6"/>
    <w:rsid w:val="00D86AC2"/>
    <w:rsid w:val="00D93D71"/>
    <w:rsid w:val="00E03191"/>
    <w:rsid w:val="00E40660"/>
    <w:rsid w:val="00E41C03"/>
    <w:rsid w:val="00E42933"/>
    <w:rsid w:val="00F9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10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33A9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Lettice Hicks</dc:creator>
  <cp:keywords/>
  <dc:description/>
  <cp:lastModifiedBy>Lettice Hicks</cp:lastModifiedBy>
  <cp:revision>44</cp:revision>
  <dcterms:created xsi:type="dcterms:W3CDTF">2018-01-16T11:04:00Z</dcterms:created>
  <dcterms:modified xsi:type="dcterms:W3CDTF">2018-03-04T18:55:00Z</dcterms:modified>
</cp:coreProperties>
</file>