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C7614" w14:textId="54DA3822" w:rsidR="00391529" w:rsidRPr="00956FC8" w:rsidRDefault="00E661EA" w:rsidP="00D65ADD">
      <w:pPr>
        <w:spacing w:line="360" w:lineRule="auto"/>
        <w:outlineLvl w:val="0"/>
        <w:rPr>
          <w:rStyle w:val="s1"/>
          <w:rFonts w:ascii="Garamond" w:hAnsi="Garamond"/>
          <w:smallCaps/>
          <w:lang w:val="en-US"/>
        </w:rPr>
      </w:pPr>
      <w:proofErr w:type="spellStart"/>
      <w:r w:rsidRPr="00956FC8">
        <w:rPr>
          <w:rStyle w:val="s1"/>
          <w:rFonts w:ascii="Garamond" w:hAnsi="Garamond"/>
          <w:smallCaps/>
          <w:lang w:val="en-US"/>
        </w:rPr>
        <w:t>Bruxelles</w:t>
      </w:r>
      <w:proofErr w:type="spellEnd"/>
      <w:r w:rsidR="00F33925" w:rsidRPr="00956FC8">
        <w:rPr>
          <w:rStyle w:val="s1"/>
          <w:rFonts w:ascii="Garamond" w:hAnsi="Garamond"/>
          <w:smallCaps/>
          <w:lang w:val="en-US"/>
        </w:rPr>
        <w:t xml:space="preserve"> et le </w:t>
      </w:r>
      <w:proofErr w:type="gramStart"/>
      <w:r w:rsidR="00F33925" w:rsidRPr="00956FC8">
        <w:rPr>
          <w:rStyle w:val="s1"/>
          <w:rFonts w:ascii="Garamond" w:hAnsi="Garamond"/>
          <w:smallCaps/>
          <w:lang w:val="en-US"/>
        </w:rPr>
        <w:t>livre :</w:t>
      </w:r>
      <w:proofErr w:type="gramEnd"/>
      <w:r w:rsidR="00F33925" w:rsidRPr="00956FC8">
        <w:rPr>
          <w:rStyle w:val="s1"/>
          <w:rFonts w:ascii="Garamond" w:hAnsi="Garamond"/>
          <w:smallCaps/>
          <w:lang w:val="en-US"/>
        </w:rPr>
        <w:t xml:space="preserve"> regards sur cinq </w:t>
      </w:r>
      <w:r w:rsidR="00956FC8" w:rsidRPr="00956FC8">
        <w:rPr>
          <w:rStyle w:val="s1"/>
          <w:rFonts w:ascii="Garamond" w:hAnsi="Garamond"/>
          <w:smallCaps/>
          <w:lang w:val="en-US"/>
        </w:rPr>
        <w:t>siècles</w:t>
      </w:r>
      <w:r w:rsidR="00F33925" w:rsidRPr="00956FC8">
        <w:rPr>
          <w:rStyle w:val="s1"/>
          <w:rFonts w:ascii="Garamond" w:hAnsi="Garamond"/>
          <w:smallCaps/>
          <w:lang w:val="en-US"/>
        </w:rPr>
        <w:t xml:space="preserve"> </w:t>
      </w:r>
      <w:proofErr w:type="spellStart"/>
      <w:r w:rsidR="00F33925" w:rsidRPr="00956FC8">
        <w:rPr>
          <w:rStyle w:val="s1"/>
          <w:rFonts w:ascii="Garamond" w:hAnsi="Garamond"/>
          <w:smallCaps/>
          <w:lang w:val="en-US"/>
        </w:rPr>
        <w:t>d’histoire</w:t>
      </w:r>
      <w:proofErr w:type="spellEnd"/>
      <w:r w:rsidR="00F33925" w:rsidRPr="00956FC8">
        <w:rPr>
          <w:rStyle w:val="s1"/>
          <w:rFonts w:ascii="Garamond" w:hAnsi="Garamond"/>
          <w:smallCaps/>
          <w:lang w:val="en-US"/>
        </w:rPr>
        <w:t xml:space="preserve"> (</w:t>
      </w:r>
      <w:proofErr w:type="spellStart"/>
      <w:r w:rsidR="00F33925" w:rsidRPr="00956FC8">
        <w:rPr>
          <w:rStyle w:val="s1"/>
          <w:rFonts w:ascii="Garamond" w:hAnsi="Garamond"/>
          <w:smallCaps/>
          <w:lang w:val="en-US"/>
        </w:rPr>
        <w:t>xvi</w:t>
      </w:r>
      <w:r w:rsidR="00F33925" w:rsidRPr="00956FC8">
        <w:rPr>
          <w:rStyle w:val="s1"/>
          <w:rFonts w:ascii="Garamond" w:hAnsi="Garamond"/>
          <w:smallCaps/>
          <w:vertAlign w:val="superscript"/>
          <w:lang w:val="en-US"/>
        </w:rPr>
        <w:t>e</w:t>
      </w:r>
      <w:proofErr w:type="spellEnd"/>
      <w:r w:rsidR="00F33925" w:rsidRPr="00956FC8">
        <w:rPr>
          <w:rStyle w:val="s1"/>
          <w:rFonts w:ascii="Garamond" w:hAnsi="Garamond"/>
          <w:smallCaps/>
          <w:lang w:val="en-US"/>
        </w:rPr>
        <w:t xml:space="preserve"> – </w:t>
      </w:r>
      <w:proofErr w:type="spellStart"/>
      <w:r w:rsidR="00F33925" w:rsidRPr="00956FC8">
        <w:rPr>
          <w:rStyle w:val="s1"/>
          <w:rFonts w:ascii="Garamond" w:hAnsi="Garamond"/>
          <w:smallCaps/>
          <w:lang w:val="en-US"/>
        </w:rPr>
        <w:t>xx</w:t>
      </w:r>
      <w:r w:rsidR="00F33925" w:rsidRPr="00956FC8">
        <w:rPr>
          <w:rStyle w:val="s1"/>
          <w:rFonts w:ascii="Garamond" w:hAnsi="Garamond"/>
          <w:smallCaps/>
          <w:vertAlign w:val="superscript"/>
          <w:lang w:val="en-US"/>
        </w:rPr>
        <w:t>e</w:t>
      </w:r>
      <w:proofErr w:type="spellEnd"/>
      <w:r w:rsidR="00F33925" w:rsidRPr="00956FC8">
        <w:rPr>
          <w:rStyle w:val="s1"/>
          <w:rFonts w:ascii="Garamond" w:hAnsi="Garamond"/>
          <w:smallCaps/>
          <w:lang w:val="en-US"/>
        </w:rPr>
        <w:t xml:space="preserve"> si</w:t>
      </w:r>
      <w:r w:rsidR="00956FC8" w:rsidRPr="00956FC8">
        <w:rPr>
          <w:rStyle w:val="s1"/>
          <w:rFonts w:ascii="Garamond" w:hAnsi="Garamond"/>
          <w:smallCaps/>
          <w:lang w:val="en-US"/>
        </w:rPr>
        <w:t>è</w:t>
      </w:r>
      <w:r w:rsidR="00F33925" w:rsidRPr="00956FC8">
        <w:rPr>
          <w:rStyle w:val="s1"/>
          <w:rFonts w:ascii="Garamond" w:hAnsi="Garamond"/>
          <w:smallCaps/>
          <w:lang w:val="en-US"/>
        </w:rPr>
        <w:t>cle)</w:t>
      </w:r>
    </w:p>
    <w:p w14:paraId="3E119571" w14:textId="43D891FB" w:rsidR="00D65ADD" w:rsidRPr="00295285" w:rsidRDefault="00D65ADD" w:rsidP="00D65ADD">
      <w:pPr>
        <w:pStyle w:val="p1"/>
        <w:spacing w:line="360" w:lineRule="auto"/>
        <w:jc w:val="left"/>
        <w:rPr>
          <w:rStyle w:val="s1"/>
          <w:rFonts w:ascii="Garamond" w:hAnsi="Garamond"/>
          <w:sz w:val="24"/>
          <w:szCs w:val="24"/>
        </w:rPr>
      </w:pPr>
      <w:r w:rsidRPr="00295285">
        <w:rPr>
          <w:rStyle w:val="s1"/>
          <w:rFonts w:ascii="Garamond" w:hAnsi="Garamond"/>
          <w:sz w:val="24"/>
          <w:szCs w:val="24"/>
        </w:rPr>
        <w:t xml:space="preserve">Renaud </w:t>
      </w:r>
      <w:r w:rsidRPr="00295285">
        <w:rPr>
          <w:rStyle w:val="s1"/>
          <w:rFonts w:ascii="Garamond" w:hAnsi="Garamond"/>
          <w:smallCaps/>
          <w:sz w:val="24"/>
          <w:szCs w:val="24"/>
        </w:rPr>
        <w:t>Adam</w:t>
      </w:r>
      <w:r w:rsidRPr="00295285">
        <w:rPr>
          <w:rStyle w:val="s1"/>
          <w:rFonts w:ascii="Garamond" w:hAnsi="Garamond"/>
          <w:sz w:val="24"/>
          <w:szCs w:val="24"/>
        </w:rPr>
        <w:t xml:space="preserve">, Claude </w:t>
      </w:r>
      <w:r w:rsidRPr="00295285">
        <w:rPr>
          <w:rStyle w:val="s1"/>
          <w:rFonts w:ascii="Garamond" w:hAnsi="Garamond"/>
          <w:smallCaps/>
          <w:sz w:val="24"/>
          <w:szCs w:val="24"/>
        </w:rPr>
        <w:t>Sorgeloos</w:t>
      </w:r>
    </w:p>
    <w:p w14:paraId="439EF2E2" w14:textId="77777777" w:rsidR="00D65ADD" w:rsidRPr="00295285" w:rsidRDefault="00D65ADD" w:rsidP="00D65ADD">
      <w:pPr>
        <w:pStyle w:val="p1"/>
        <w:spacing w:line="360" w:lineRule="auto"/>
        <w:jc w:val="left"/>
        <w:rPr>
          <w:rStyle w:val="s1"/>
          <w:rFonts w:ascii="Garamond" w:hAnsi="Garamond"/>
          <w:sz w:val="24"/>
          <w:szCs w:val="24"/>
        </w:rPr>
      </w:pPr>
    </w:p>
    <w:p w14:paraId="7F086EA7" w14:textId="2288C3AF" w:rsidR="00D65ADD" w:rsidRPr="00295285" w:rsidRDefault="00073F47" w:rsidP="00D65ADD">
      <w:pPr>
        <w:pStyle w:val="p1"/>
        <w:spacing w:line="360" w:lineRule="auto"/>
        <w:jc w:val="left"/>
        <w:rPr>
          <w:rFonts w:ascii="Garamond" w:hAnsi="Garamond"/>
          <w:sz w:val="24"/>
          <w:szCs w:val="24"/>
        </w:rPr>
      </w:pPr>
      <w:r w:rsidRPr="00295285">
        <w:rPr>
          <w:rStyle w:val="s1"/>
          <w:rFonts w:ascii="Garamond" w:hAnsi="Garamond"/>
          <w:sz w:val="24"/>
          <w:szCs w:val="24"/>
        </w:rPr>
        <w:t>Aujourd’hui capitale de l’Europe, Bruxelles s’était déjà imposée tout au long de l’Ancien Régime comme l’un des principaux centres politiques des États habsbourgeois où se croisaient de nombreuses nationalités</w:t>
      </w:r>
      <w:r w:rsidR="00D65ADD" w:rsidRPr="00295285">
        <w:rPr>
          <w:rStyle w:val="Appelnotedebasdep"/>
          <w:rFonts w:ascii="Garamond" w:hAnsi="Garamond"/>
          <w:sz w:val="24"/>
          <w:szCs w:val="24"/>
        </w:rPr>
        <w:footnoteReference w:id="1"/>
      </w:r>
      <w:r w:rsidRPr="00295285">
        <w:rPr>
          <w:rStyle w:val="s1"/>
          <w:rFonts w:ascii="Garamond" w:hAnsi="Garamond"/>
          <w:sz w:val="24"/>
          <w:szCs w:val="24"/>
        </w:rPr>
        <w:t>. La concentration des différents organes de pouvoir au cœur du duché de Brabant a favorisé l’éclosion d’une activité culturelle et intellectuelle foisonnante. Cependant, si certains aspects de la production artistique bruxelloise ont bénéficié de travaux de qualité</w:t>
      </w:r>
      <w:r w:rsidR="00D65ADD" w:rsidRPr="00295285">
        <w:rPr>
          <w:rStyle w:val="s1"/>
          <w:rFonts w:ascii="Garamond" w:hAnsi="Garamond"/>
          <w:sz w:val="24"/>
          <w:szCs w:val="24"/>
        </w:rPr>
        <w:t>, tels que la peinture</w:t>
      </w:r>
      <w:r w:rsidR="006B5303" w:rsidRPr="00295285">
        <w:rPr>
          <w:rStyle w:val="s1"/>
          <w:rFonts w:ascii="Garamond" w:hAnsi="Garamond"/>
          <w:sz w:val="24"/>
          <w:szCs w:val="24"/>
        </w:rPr>
        <w:t>, l’orfèvrerie</w:t>
      </w:r>
      <w:r w:rsidR="00D65ADD" w:rsidRPr="00295285">
        <w:rPr>
          <w:rStyle w:val="s1"/>
          <w:rFonts w:ascii="Garamond" w:hAnsi="Garamond"/>
          <w:sz w:val="24"/>
          <w:szCs w:val="24"/>
        </w:rPr>
        <w:t xml:space="preserve"> et la tapisserie</w:t>
      </w:r>
      <w:r w:rsidRPr="00295285">
        <w:rPr>
          <w:rStyle w:val="s1"/>
          <w:rFonts w:ascii="Garamond" w:hAnsi="Garamond"/>
          <w:sz w:val="24"/>
          <w:szCs w:val="24"/>
        </w:rPr>
        <w:t xml:space="preserve">, le monde de l’édition et de la librairie durant l’époque moderne </w:t>
      </w:r>
      <w:r w:rsidR="00F66DDF" w:rsidRPr="00295285">
        <w:rPr>
          <w:rStyle w:val="s1"/>
          <w:rFonts w:ascii="Garamond" w:hAnsi="Garamond"/>
          <w:sz w:val="24"/>
          <w:szCs w:val="24"/>
        </w:rPr>
        <w:t xml:space="preserve">a </w:t>
      </w:r>
      <w:r w:rsidRPr="00295285">
        <w:rPr>
          <w:rStyle w:val="s1"/>
          <w:rFonts w:ascii="Garamond" w:hAnsi="Garamond"/>
          <w:sz w:val="24"/>
          <w:szCs w:val="24"/>
        </w:rPr>
        <w:t xml:space="preserve">paradoxalement été </w:t>
      </w:r>
      <w:r w:rsidR="00E661EA" w:rsidRPr="00295285">
        <w:rPr>
          <w:rStyle w:val="s1"/>
          <w:rFonts w:ascii="Garamond" w:hAnsi="Garamond"/>
          <w:sz w:val="24"/>
          <w:szCs w:val="24"/>
        </w:rPr>
        <w:t>négligé</w:t>
      </w:r>
      <w:r w:rsidR="00D65ADD" w:rsidRPr="00295285">
        <w:rPr>
          <w:rStyle w:val="Appelnotedebasdep"/>
          <w:rFonts w:ascii="Garamond" w:hAnsi="Garamond"/>
          <w:sz w:val="24"/>
          <w:szCs w:val="24"/>
        </w:rPr>
        <w:footnoteReference w:id="2"/>
      </w:r>
      <w:r w:rsidRPr="00295285">
        <w:rPr>
          <w:rStyle w:val="s1"/>
          <w:rFonts w:ascii="Garamond" w:hAnsi="Garamond"/>
          <w:sz w:val="24"/>
          <w:szCs w:val="24"/>
        </w:rPr>
        <w:t>.</w:t>
      </w:r>
      <w:r w:rsidRPr="00295285">
        <w:rPr>
          <w:rStyle w:val="apple-converted-space"/>
          <w:rFonts w:ascii="Garamond" w:hAnsi="Garamond"/>
          <w:sz w:val="24"/>
          <w:szCs w:val="24"/>
        </w:rPr>
        <w:t xml:space="preserve"> </w:t>
      </w:r>
      <w:r w:rsidRPr="00295285">
        <w:rPr>
          <w:rStyle w:val="s1"/>
          <w:rFonts w:ascii="Garamond" w:hAnsi="Garamond"/>
          <w:sz w:val="24"/>
          <w:szCs w:val="24"/>
        </w:rPr>
        <w:t>En effet, à l’exception des premières presses bruxelloises</w:t>
      </w:r>
      <w:r w:rsidR="008D2687" w:rsidRPr="00295285">
        <w:rPr>
          <w:rStyle w:val="s1"/>
          <w:rFonts w:ascii="Garamond" w:hAnsi="Garamond"/>
          <w:sz w:val="24"/>
          <w:szCs w:val="24"/>
        </w:rPr>
        <w:t xml:space="preserve"> et de l’édition musicale</w:t>
      </w:r>
      <w:r w:rsidRPr="00295285">
        <w:rPr>
          <w:rStyle w:val="s1"/>
          <w:rFonts w:ascii="Garamond" w:hAnsi="Garamond"/>
          <w:sz w:val="24"/>
          <w:szCs w:val="24"/>
        </w:rPr>
        <w:t xml:space="preserve">, peu d’études ont été consacrées aux </w:t>
      </w:r>
      <w:proofErr w:type="spellStart"/>
      <w:r w:rsidR="00D65ADD" w:rsidRPr="00295285">
        <w:rPr>
          <w:rStyle w:val="s1"/>
          <w:rFonts w:ascii="Garamond" w:hAnsi="Garamond"/>
          <w:smallCaps/>
          <w:sz w:val="24"/>
          <w:szCs w:val="24"/>
        </w:rPr>
        <w:t>xvii</w:t>
      </w:r>
      <w:r w:rsidRPr="00295285">
        <w:rPr>
          <w:rStyle w:val="s2"/>
          <w:rFonts w:ascii="Garamond" w:hAnsi="Garamond"/>
          <w:sz w:val="24"/>
          <w:szCs w:val="24"/>
          <w:vertAlign w:val="superscript"/>
        </w:rPr>
        <w:t>e</w:t>
      </w:r>
      <w:proofErr w:type="spellEnd"/>
      <w:r w:rsidRPr="00295285">
        <w:rPr>
          <w:rStyle w:val="s1"/>
          <w:rFonts w:ascii="Garamond" w:hAnsi="Garamond"/>
          <w:sz w:val="24"/>
          <w:szCs w:val="24"/>
        </w:rPr>
        <w:t xml:space="preserve"> et </w:t>
      </w:r>
      <w:proofErr w:type="spellStart"/>
      <w:r w:rsidR="00D65ADD" w:rsidRPr="00295285">
        <w:rPr>
          <w:rStyle w:val="s1"/>
          <w:rFonts w:ascii="Garamond" w:hAnsi="Garamond"/>
          <w:smallCaps/>
          <w:sz w:val="24"/>
          <w:szCs w:val="24"/>
        </w:rPr>
        <w:t>xviii</w:t>
      </w:r>
      <w:r w:rsidRPr="00295285">
        <w:rPr>
          <w:rStyle w:val="s2"/>
          <w:rFonts w:ascii="Garamond" w:hAnsi="Garamond"/>
          <w:sz w:val="24"/>
          <w:szCs w:val="24"/>
          <w:vertAlign w:val="superscript"/>
        </w:rPr>
        <w:t>e</w:t>
      </w:r>
      <w:proofErr w:type="spellEnd"/>
      <w:r w:rsidRPr="00295285">
        <w:rPr>
          <w:rStyle w:val="s1"/>
          <w:rFonts w:ascii="Garamond" w:hAnsi="Garamond"/>
          <w:sz w:val="24"/>
          <w:szCs w:val="24"/>
        </w:rPr>
        <w:t xml:space="preserve"> siècles et, qui plus est, elles sont généralement anciennes</w:t>
      </w:r>
      <w:r w:rsidR="00DE37FC" w:rsidRPr="00295285">
        <w:rPr>
          <w:rStyle w:val="Appelnotedebasdep"/>
          <w:rFonts w:ascii="Garamond" w:hAnsi="Garamond"/>
          <w:sz w:val="24"/>
          <w:szCs w:val="24"/>
        </w:rPr>
        <w:footnoteReference w:id="3"/>
      </w:r>
      <w:r w:rsidRPr="00295285">
        <w:rPr>
          <w:rStyle w:val="s1"/>
          <w:rFonts w:ascii="Garamond" w:hAnsi="Garamond"/>
          <w:sz w:val="24"/>
          <w:szCs w:val="24"/>
        </w:rPr>
        <w:t xml:space="preserve">. </w:t>
      </w:r>
      <w:r w:rsidRPr="00295285">
        <w:rPr>
          <w:rFonts w:ascii="Garamond" w:hAnsi="Garamond"/>
          <w:sz w:val="24"/>
          <w:szCs w:val="24"/>
        </w:rPr>
        <w:t xml:space="preserve">Cette lacune historiographique entraîne </w:t>
      </w:r>
      <w:r w:rsidRPr="00295285">
        <w:rPr>
          <w:rFonts w:ascii="Garamond" w:hAnsi="Garamond"/>
          <w:i/>
          <w:iCs/>
          <w:sz w:val="24"/>
          <w:szCs w:val="24"/>
        </w:rPr>
        <w:t>ipso facto</w:t>
      </w:r>
      <w:r w:rsidRPr="00295285">
        <w:rPr>
          <w:rFonts w:ascii="Garamond" w:hAnsi="Garamond"/>
          <w:sz w:val="24"/>
          <w:szCs w:val="24"/>
        </w:rPr>
        <w:t xml:space="preserve"> une altération de la perception des métiers du livre et, plus largement, de la vie socioculturelle à Bruxelles sous l’Ancien Régime. En comparaison du nombre et de la qualité des travaux </w:t>
      </w:r>
      <w:r w:rsidR="00F66DDF" w:rsidRPr="00295285">
        <w:rPr>
          <w:rFonts w:ascii="Garamond" w:hAnsi="Garamond"/>
          <w:sz w:val="24"/>
          <w:szCs w:val="24"/>
        </w:rPr>
        <w:t xml:space="preserve">dédiés </w:t>
      </w:r>
      <w:r w:rsidRPr="00295285">
        <w:rPr>
          <w:rFonts w:ascii="Garamond" w:hAnsi="Garamond"/>
          <w:sz w:val="24"/>
          <w:szCs w:val="24"/>
        </w:rPr>
        <w:t xml:space="preserve">aux autres centres typographiques d’importance de l’ancienne Belgique que furent Anvers, Liège et Louvain, Bruxelles apparaîtrait presque comme un </w:t>
      </w:r>
      <w:r w:rsidR="00F66DDF" w:rsidRPr="00295285">
        <w:rPr>
          <w:rFonts w:ascii="Garamond" w:hAnsi="Garamond"/>
          <w:sz w:val="24"/>
          <w:szCs w:val="24"/>
        </w:rPr>
        <w:t xml:space="preserve">pôle </w:t>
      </w:r>
      <w:r w:rsidRPr="00295285">
        <w:rPr>
          <w:rFonts w:ascii="Garamond" w:hAnsi="Garamond"/>
          <w:sz w:val="24"/>
          <w:szCs w:val="24"/>
        </w:rPr>
        <w:t>mineur, affichant ainsi un triste constat de désolation culturelle</w:t>
      </w:r>
      <w:r w:rsidR="002F63BB" w:rsidRPr="00295285">
        <w:rPr>
          <w:rStyle w:val="Appelnotedebasdep"/>
          <w:rFonts w:ascii="Garamond" w:hAnsi="Garamond"/>
          <w:sz w:val="24"/>
          <w:szCs w:val="24"/>
        </w:rPr>
        <w:footnoteReference w:id="4"/>
      </w:r>
      <w:r w:rsidRPr="00295285">
        <w:rPr>
          <w:rFonts w:ascii="Garamond" w:hAnsi="Garamond"/>
          <w:sz w:val="24"/>
          <w:szCs w:val="24"/>
        </w:rPr>
        <w:t xml:space="preserve">. À l’évidence, la réalité devait être tout autre. Ainsi, la présence des cours </w:t>
      </w:r>
      <w:proofErr w:type="gramStart"/>
      <w:r w:rsidRPr="00295285">
        <w:rPr>
          <w:rFonts w:ascii="Garamond" w:hAnsi="Garamond"/>
          <w:sz w:val="24"/>
          <w:szCs w:val="24"/>
        </w:rPr>
        <w:t>espagnoles</w:t>
      </w:r>
      <w:proofErr w:type="gramEnd"/>
      <w:r w:rsidRPr="00295285">
        <w:rPr>
          <w:rFonts w:ascii="Garamond" w:hAnsi="Garamond"/>
          <w:sz w:val="24"/>
          <w:szCs w:val="24"/>
        </w:rPr>
        <w:t xml:space="preserve"> puis autrichienne</w:t>
      </w:r>
      <w:r w:rsidR="009C3819" w:rsidRPr="00295285">
        <w:rPr>
          <w:rFonts w:ascii="Garamond" w:hAnsi="Garamond"/>
          <w:sz w:val="24"/>
          <w:szCs w:val="24"/>
        </w:rPr>
        <w:t xml:space="preserve">s </w:t>
      </w:r>
      <w:r w:rsidRPr="00295285">
        <w:rPr>
          <w:rFonts w:ascii="Garamond" w:hAnsi="Garamond"/>
          <w:sz w:val="24"/>
          <w:szCs w:val="24"/>
        </w:rPr>
        <w:t xml:space="preserve">ont à elles seules influencé tout un pan de l’édition bruxelloise, faisant notamment de cette ville l’un des principaux centres de production d’œuvres </w:t>
      </w:r>
      <w:r w:rsidRPr="00295285">
        <w:rPr>
          <w:rFonts w:ascii="Garamond" w:hAnsi="Garamond"/>
          <w:sz w:val="24"/>
          <w:szCs w:val="24"/>
        </w:rPr>
        <w:lastRenderedPageBreak/>
        <w:t>hispanophones au-delà des Pyrénées</w:t>
      </w:r>
      <w:r w:rsidR="00DE37FC" w:rsidRPr="00295285">
        <w:rPr>
          <w:rStyle w:val="Appelnotedebasdep"/>
          <w:rFonts w:ascii="Garamond" w:hAnsi="Garamond"/>
          <w:sz w:val="24"/>
          <w:szCs w:val="24"/>
        </w:rPr>
        <w:footnoteReference w:id="5"/>
      </w:r>
      <w:r w:rsidRPr="00295285">
        <w:rPr>
          <w:rFonts w:ascii="Garamond" w:hAnsi="Garamond"/>
          <w:sz w:val="24"/>
          <w:szCs w:val="24"/>
        </w:rPr>
        <w:t xml:space="preserve">. </w:t>
      </w:r>
      <w:r w:rsidR="00F66DDF" w:rsidRPr="00295285">
        <w:rPr>
          <w:rFonts w:ascii="Garamond" w:hAnsi="Garamond"/>
          <w:sz w:val="24"/>
          <w:szCs w:val="24"/>
        </w:rPr>
        <w:t>Qui plus est</w:t>
      </w:r>
      <w:r w:rsidRPr="00295285">
        <w:rPr>
          <w:rFonts w:ascii="Garamond" w:hAnsi="Garamond"/>
          <w:sz w:val="24"/>
          <w:szCs w:val="24"/>
        </w:rPr>
        <w:t>, des libraires se sont retrouvés au cœur des vastes réseaux européens du commerce de livres, soulignant ainsi le rôle crucial de Bruxelles dans la sphère culturelle des anciens Pays-Bas</w:t>
      </w:r>
      <w:r w:rsidR="00DE37FC" w:rsidRPr="00295285">
        <w:rPr>
          <w:rStyle w:val="Appelnotedebasdep"/>
          <w:rFonts w:ascii="Garamond" w:hAnsi="Garamond"/>
          <w:sz w:val="24"/>
          <w:szCs w:val="24"/>
        </w:rPr>
        <w:footnoteReference w:id="6"/>
      </w:r>
      <w:r w:rsidRPr="00295285">
        <w:rPr>
          <w:rFonts w:ascii="Garamond" w:hAnsi="Garamond"/>
          <w:sz w:val="24"/>
          <w:szCs w:val="24"/>
        </w:rPr>
        <w:t>.</w:t>
      </w:r>
    </w:p>
    <w:p w14:paraId="60FD70F2" w14:textId="77777777" w:rsidR="00DE37FC" w:rsidRPr="00295285" w:rsidRDefault="00DE37FC" w:rsidP="00D65ADD">
      <w:pPr>
        <w:pStyle w:val="p1"/>
        <w:spacing w:line="360" w:lineRule="auto"/>
        <w:jc w:val="left"/>
        <w:rPr>
          <w:rFonts w:ascii="Garamond" w:hAnsi="Garamond"/>
          <w:sz w:val="24"/>
          <w:szCs w:val="24"/>
        </w:rPr>
      </w:pPr>
    </w:p>
    <w:p w14:paraId="642DA5E0" w14:textId="65F19491" w:rsidR="008D2687" w:rsidRPr="00295285" w:rsidRDefault="008D2687" w:rsidP="00D65ADD">
      <w:pPr>
        <w:pStyle w:val="p1"/>
        <w:spacing w:line="360" w:lineRule="auto"/>
        <w:jc w:val="left"/>
        <w:rPr>
          <w:rFonts w:ascii="Garamond" w:hAnsi="Garamond"/>
          <w:sz w:val="24"/>
          <w:szCs w:val="24"/>
        </w:rPr>
      </w:pPr>
      <w:r w:rsidRPr="00295285">
        <w:rPr>
          <w:rFonts w:ascii="Garamond" w:hAnsi="Garamond"/>
          <w:sz w:val="24"/>
          <w:szCs w:val="24"/>
        </w:rPr>
        <w:t>La situation est mieux connue pour la période postérieure, car elle a</w:t>
      </w:r>
      <w:r w:rsidRPr="00295285">
        <w:rPr>
          <w:rFonts w:ascii="Garamond" w:hAnsi="Garamond" w:cstheme="minorBidi"/>
          <w:sz w:val="24"/>
          <w:szCs w:val="24"/>
          <w:lang w:eastAsia="en-US"/>
        </w:rPr>
        <w:t xml:space="preserve"> depuis longtemps </w:t>
      </w:r>
      <w:r w:rsidRPr="00295285">
        <w:rPr>
          <w:rFonts w:ascii="Garamond" w:hAnsi="Garamond"/>
          <w:sz w:val="24"/>
          <w:szCs w:val="24"/>
        </w:rPr>
        <w:t>retenu l’attention des chercheurs, et la retient encore</w:t>
      </w:r>
      <w:r w:rsidR="00DE37FC" w:rsidRPr="00295285">
        <w:rPr>
          <w:rStyle w:val="Appelnotedebasdep"/>
          <w:rFonts w:ascii="Garamond" w:hAnsi="Garamond"/>
          <w:sz w:val="24"/>
          <w:szCs w:val="24"/>
        </w:rPr>
        <w:footnoteReference w:id="7"/>
      </w:r>
      <w:r w:rsidRPr="00295285">
        <w:rPr>
          <w:rFonts w:ascii="Garamond" w:hAnsi="Garamond"/>
          <w:sz w:val="24"/>
          <w:szCs w:val="24"/>
        </w:rPr>
        <w:t xml:space="preserve">. En effet, après la création du Royaume des Pays-Bas en 1815, Bruxelles était devenue l’un des hauts lieux de la contrefaçon de livres français à la suite de la libéralisation des métiers du livre et de la presse. Stendhal écrivait d’ailleurs en 1834 que « Rome et moi, nous ne connaissons la littérature française que par l’édition </w:t>
      </w:r>
      <w:r w:rsidR="00F33925" w:rsidRPr="00295285">
        <w:rPr>
          <w:rFonts w:ascii="Garamond" w:hAnsi="Garamond"/>
          <w:sz w:val="24"/>
          <w:szCs w:val="24"/>
        </w:rPr>
        <w:t>de Bruxelles</w:t>
      </w:r>
      <w:r w:rsidRPr="00295285">
        <w:rPr>
          <w:rFonts w:ascii="Garamond" w:hAnsi="Garamond"/>
          <w:sz w:val="24"/>
          <w:szCs w:val="24"/>
        </w:rPr>
        <w:t> »</w:t>
      </w:r>
      <w:r w:rsidR="00F33925" w:rsidRPr="00295285">
        <w:rPr>
          <w:rStyle w:val="Appelnotedebasdep"/>
          <w:rFonts w:ascii="Garamond" w:hAnsi="Garamond"/>
          <w:sz w:val="24"/>
          <w:szCs w:val="24"/>
        </w:rPr>
        <w:footnoteReference w:id="8"/>
      </w:r>
      <w:r w:rsidRPr="00295285">
        <w:rPr>
          <w:rFonts w:ascii="Garamond" w:hAnsi="Garamond"/>
          <w:sz w:val="24"/>
          <w:szCs w:val="24"/>
        </w:rPr>
        <w:t>. Il faudra attendre la signature d’une convention avec la France en 1852 pour voir l’abolition de la contrefaçon d’ouvrages français</w:t>
      </w:r>
      <w:r w:rsidR="00172A8A" w:rsidRPr="00295285">
        <w:rPr>
          <w:rFonts w:ascii="Garamond" w:hAnsi="Garamond"/>
          <w:sz w:val="24"/>
          <w:szCs w:val="24"/>
        </w:rPr>
        <w:t>, mettant fin au « premier âge d’or » de l’imprimerie à Bruxelles</w:t>
      </w:r>
      <w:r w:rsidRPr="00295285">
        <w:rPr>
          <w:rFonts w:ascii="Garamond" w:hAnsi="Garamond"/>
          <w:sz w:val="24"/>
          <w:szCs w:val="24"/>
        </w:rPr>
        <w:t>.</w:t>
      </w:r>
      <w:r w:rsidR="00A06994" w:rsidRPr="00295285">
        <w:rPr>
          <w:rFonts w:ascii="Garamond" w:hAnsi="Garamond"/>
          <w:sz w:val="24"/>
          <w:szCs w:val="24"/>
        </w:rPr>
        <w:t xml:space="preserve"> La </w:t>
      </w:r>
      <w:r w:rsidR="00ED5329" w:rsidRPr="00295285">
        <w:rPr>
          <w:rFonts w:ascii="Garamond" w:hAnsi="Garamond"/>
          <w:sz w:val="24"/>
          <w:szCs w:val="24"/>
        </w:rPr>
        <w:t>conclusion</w:t>
      </w:r>
      <w:r w:rsidR="00A06994" w:rsidRPr="00295285">
        <w:rPr>
          <w:rFonts w:ascii="Garamond" w:hAnsi="Garamond"/>
          <w:sz w:val="24"/>
          <w:szCs w:val="24"/>
        </w:rPr>
        <w:t xml:space="preserve"> de ce</w:t>
      </w:r>
      <w:r w:rsidR="00ED5329" w:rsidRPr="00295285">
        <w:rPr>
          <w:rFonts w:ascii="Garamond" w:hAnsi="Garamond"/>
          <w:sz w:val="24"/>
          <w:szCs w:val="24"/>
        </w:rPr>
        <w:t>t accord</w:t>
      </w:r>
      <w:r w:rsidR="00A06994" w:rsidRPr="00295285">
        <w:rPr>
          <w:rFonts w:ascii="Garamond" w:hAnsi="Garamond"/>
          <w:sz w:val="24"/>
          <w:szCs w:val="24"/>
        </w:rPr>
        <w:t xml:space="preserve"> va entraîner une nécessaire reconfiguration</w:t>
      </w:r>
      <w:r w:rsidR="00ED5329" w:rsidRPr="00295285">
        <w:rPr>
          <w:rFonts w:ascii="Garamond" w:hAnsi="Garamond"/>
          <w:sz w:val="24"/>
          <w:szCs w:val="24"/>
        </w:rPr>
        <w:t xml:space="preserve"> du monde de l’édition qui engendr</w:t>
      </w:r>
      <w:r w:rsidR="000547B5" w:rsidRPr="00295285">
        <w:rPr>
          <w:rFonts w:ascii="Garamond" w:hAnsi="Garamond"/>
          <w:sz w:val="24"/>
          <w:szCs w:val="24"/>
        </w:rPr>
        <w:t>er</w:t>
      </w:r>
      <w:r w:rsidR="00ED5329" w:rsidRPr="00295285">
        <w:rPr>
          <w:rFonts w:ascii="Garamond" w:hAnsi="Garamond"/>
          <w:sz w:val="24"/>
          <w:szCs w:val="24"/>
        </w:rPr>
        <w:t xml:space="preserve">a l’apparition – certes tardive – de la figure de l’éditeur au sens moderne du terme, qu’Edmond </w:t>
      </w:r>
      <w:proofErr w:type="spellStart"/>
      <w:r w:rsidR="00ED5329" w:rsidRPr="00295285">
        <w:rPr>
          <w:rFonts w:ascii="Garamond" w:hAnsi="Garamond"/>
          <w:sz w:val="24"/>
          <w:szCs w:val="24"/>
        </w:rPr>
        <w:t>Deman</w:t>
      </w:r>
      <w:proofErr w:type="spellEnd"/>
      <w:r w:rsidR="00ED5329" w:rsidRPr="00295285">
        <w:rPr>
          <w:rFonts w:ascii="Garamond" w:hAnsi="Garamond"/>
          <w:sz w:val="24"/>
          <w:szCs w:val="24"/>
        </w:rPr>
        <w:t xml:space="preserve"> incarne </w:t>
      </w:r>
      <w:r w:rsidR="00F66DDF" w:rsidRPr="00295285">
        <w:rPr>
          <w:rFonts w:ascii="Garamond" w:hAnsi="Garamond"/>
          <w:sz w:val="24"/>
          <w:szCs w:val="24"/>
        </w:rPr>
        <w:t xml:space="preserve">sans doute </w:t>
      </w:r>
      <w:r w:rsidR="00ED5329" w:rsidRPr="00295285">
        <w:rPr>
          <w:rFonts w:ascii="Garamond" w:hAnsi="Garamond"/>
          <w:sz w:val="24"/>
          <w:szCs w:val="24"/>
        </w:rPr>
        <w:t>le mieux</w:t>
      </w:r>
      <w:r w:rsidR="00F33925" w:rsidRPr="00295285">
        <w:rPr>
          <w:rStyle w:val="Appelnotedebasdep"/>
          <w:rFonts w:ascii="Garamond" w:hAnsi="Garamond"/>
          <w:sz w:val="24"/>
          <w:szCs w:val="24"/>
        </w:rPr>
        <w:footnoteReference w:id="9"/>
      </w:r>
      <w:r w:rsidR="00ED5329" w:rsidRPr="00295285">
        <w:rPr>
          <w:rFonts w:ascii="Garamond" w:hAnsi="Garamond"/>
          <w:sz w:val="24"/>
          <w:szCs w:val="24"/>
        </w:rPr>
        <w:t xml:space="preserve">. </w:t>
      </w:r>
      <w:r w:rsidR="00863DB4" w:rsidRPr="00295285">
        <w:rPr>
          <w:rFonts w:ascii="Garamond" w:hAnsi="Garamond"/>
          <w:sz w:val="24"/>
          <w:szCs w:val="24"/>
        </w:rPr>
        <w:t xml:space="preserve">Les </w:t>
      </w:r>
      <w:proofErr w:type="spellStart"/>
      <w:r w:rsidR="00F33925" w:rsidRPr="00295285">
        <w:rPr>
          <w:rFonts w:ascii="Garamond" w:hAnsi="Garamond"/>
          <w:smallCaps/>
          <w:sz w:val="24"/>
          <w:szCs w:val="24"/>
        </w:rPr>
        <w:t>xx</w:t>
      </w:r>
      <w:r w:rsidR="00863DB4" w:rsidRPr="00295285">
        <w:rPr>
          <w:rFonts w:ascii="Garamond" w:hAnsi="Garamond"/>
          <w:sz w:val="24"/>
          <w:szCs w:val="24"/>
          <w:vertAlign w:val="superscript"/>
        </w:rPr>
        <w:t>e</w:t>
      </w:r>
      <w:proofErr w:type="spellEnd"/>
      <w:r w:rsidR="00863DB4" w:rsidRPr="00295285">
        <w:rPr>
          <w:rFonts w:ascii="Garamond" w:hAnsi="Garamond"/>
          <w:sz w:val="24"/>
          <w:szCs w:val="24"/>
        </w:rPr>
        <w:t xml:space="preserve"> et </w:t>
      </w:r>
      <w:proofErr w:type="spellStart"/>
      <w:r w:rsidR="00F33925" w:rsidRPr="00295285">
        <w:rPr>
          <w:rFonts w:ascii="Garamond" w:hAnsi="Garamond"/>
          <w:smallCaps/>
          <w:sz w:val="24"/>
          <w:szCs w:val="24"/>
        </w:rPr>
        <w:t>xxi</w:t>
      </w:r>
      <w:r w:rsidR="00863DB4" w:rsidRPr="00295285">
        <w:rPr>
          <w:rFonts w:ascii="Garamond" w:hAnsi="Garamond"/>
          <w:sz w:val="24"/>
          <w:szCs w:val="24"/>
          <w:vertAlign w:val="superscript"/>
        </w:rPr>
        <w:t>e</w:t>
      </w:r>
      <w:proofErr w:type="spellEnd"/>
      <w:r w:rsidR="00863DB4" w:rsidRPr="00295285">
        <w:rPr>
          <w:rFonts w:ascii="Garamond" w:hAnsi="Garamond"/>
          <w:sz w:val="24"/>
          <w:szCs w:val="24"/>
        </w:rPr>
        <w:t xml:space="preserve"> siècle</w:t>
      </w:r>
      <w:r w:rsidR="006A2499" w:rsidRPr="00295285">
        <w:rPr>
          <w:rFonts w:ascii="Garamond" w:hAnsi="Garamond"/>
          <w:sz w:val="24"/>
          <w:szCs w:val="24"/>
        </w:rPr>
        <w:t>s</w:t>
      </w:r>
      <w:r w:rsidR="00863DB4" w:rsidRPr="00295285">
        <w:rPr>
          <w:rFonts w:ascii="Garamond" w:hAnsi="Garamond"/>
          <w:sz w:val="24"/>
          <w:szCs w:val="24"/>
        </w:rPr>
        <w:t>, enfin, connaissent par ailleurs de profonde</w:t>
      </w:r>
      <w:r w:rsidR="00324CE5" w:rsidRPr="00295285">
        <w:rPr>
          <w:rFonts w:ascii="Garamond" w:hAnsi="Garamond"/>
          <w:sz w:val="24"/>
          <w:szCs w:val="24"/>
        </w:rPr>
        <w:t>s</w:t>
      </w:r>
      <w:r w:rsidR="00863DB4" w:rsidRPr="00295285">
        <w:rPr>
          <w:rFonts w:ascii="Garamond" w:hAnsi="Garamond"/>
          <w:sz w:val="24"/>
          <w:szCs w:val="24"/>
        </w:rPr>
        <w:t xml:space="preserve"> mutations dans le monde éditorial bruxellois</w:t>
      </w:r>
      <w:r w:rsidR="000547B5" w:rsidRPr="00295285">
        <w:rPr>
          <w:rFonts w:ascii="Garamond" w:hAnsi="Garamond"/>
          <w:sz w:val="24"/>
          <w:szCs w:val="24"/>
        </w:rPr>
        <w:t>,</w:t>
      </w:r>
      <w:r w:rsidR="007F65A6" w:rsidRPr="00295285">
        <w:rPr>
          <w:rFonts w:ascii="Garamond" w:hAnsi="Garamond"/>
          <w:sz w:val="24"/>
          <w:szCs w:val="24"/>
        </w:rPr>
        <w:t xml:space="preserve"> la transition numérique étant certainement celle dont les contours sont actuellement les plus difficiles à cerner</w:t>
      </w:r>
      <w:r w:rsidR="00863DB4" w:rsidRPr="00295285">
        <w:rPr>
          <w:rFonts w:ascii="Garamond" w:hAnsi="Garamond"/>
          <w:sz w:val="24"/>
          <w:szCs w:val="24"/>
        </w:rPr>
        <w:t>.</w:t>
      </w:r>
    </w:p>
    <w:p w14:paraId="46416AE6" w14:textId="77777777" w:rsidR="00073F47" w:rsidRPr="00295285" w:rsidRDefault="00073F47" w:rsidP="00D65ADD">
      <w:pPr>
        <w:pStyle w:val="p1"/>
        <w:spacing w:line="360" w:lineRule="auto"/>
        <w:jc w:val="left"/>
        <w:rPr>
          <w:rFonts w:ascii="Garamond" w:hAnsi="Garamond"/>
          <w:sz w:val="24"/>
          <w:szCs w:val="24"/>
        </w:rPr>
      </w:pPr>
    </w:p>
    <w:p w14:paraId="666527C4" w14:textId="57F0445C" w:rsidR="00D65ADD" w:rsidRPr="006C1717" w:rsidRDefault="00F33925" w:rsidP="006C1717">
      <w:pPr>
        <w:pStyle w:val="p1"/>
        <w:spacing w:line="360" w:lineRule="auto"/>
        <w:jc w:val="left"/>
        <w:rPr>
          <w:rFonts w:ascii="Garamond" w:hAnsi="Garamond"/>
          <w:sz w:val="24"/>
          <w:szCs w:val="24"/>
        </w:rPr>
      </w:pPr>
      <w:r w:rsidRPr="00295285">
        <w:rPr>
          <w:rFonts w:ascii="Garamond" w:hAnsi="Garamond"/>
          <w:sz w:val="24"/>
          <w:szCs w:val="24"/>
        </w:rPr>
        <w:t>S</w:t>
      </w:r>
      <w:r w:rsidR="0036547F" w:rsidRPr="00295285">
        <w:rPr>
          <w:rFonts w:ascii="Garamond" w:hAnsi="Garamond"/>
          <w:sz w:val="24"/>
          <w:szCs w:val="24"/>
        </w:rPr>
        <w:t xml:space="preserve">oucieux de </w:t>
      </w:r>
      <w:r w:rsidR="00A937EC" w:rsidRPr="00295285">
        <w:rPr>
          <w:rFonts w:ascii="Garamond" w:hAnsi="Garamond"/>
          <w:sz w:val="24"/>
          <w:szCs w:val="24"/>
        </w:rPr>
        <w:t>contribuer à étoffer nos connaissances sur l’édition à Bruxelles</w:t>
      </w:r>
      <w:r w:rsidR="0036547F" w:rsidRPr="00295285">
        <w:rPr>
          <w:rFonts w:ascii="Garamond" w:hAnsi="Garamond"/>
          <w:sz w:val="24"/>
          <w:szCs w:val="24"/>
        </w:rPr>
        <w:t xml:space="preserve">, le </w:t>
      </w:r>
      <w:r w:rsidR="00F66DDF" w:rsidRPr="00295285">
        <w:rPr>
          <w:rFonts w:ascii="Garamond" w:hAnsi="Garamond"/>
          <w:sz w:val="24"/>
          <w:szCs w:val="24"/>
        </w:rPr>
        <w:t>G</w:t>
      </w:r>
      <w:r w:rsidR="0036547F" w:rsidRPr="00295285">
        <w:rPr>
          <w:rFonts w:ascii="Garamond" w:hAnsi="Garamond"/>
          <w:sz w:val="24"/>
          <w:szCs w:val="24"/>
        </w:rPr>
        <w:t xml:space="preserve">roupe de contact « Documents rares et précieux » </w:t>
      </w:r>
      <w:r w:rsidR="00F66DDF" w:rsidRPr="00295285">
        <w:rPr>
          <w:rFonts w:ascii="Garamond" w:hAnsi="Garamond"/>
          <w:sz w:val="24"/>
          <w:szCs w:val="24"/>
        </w:rPr>
        <w:t>du F</w:t>
      </w:r>
      <w:r w:rsidRPr="00295285">
        <w:rPr>
          <w:rFonts w:ascii="Garamond" w:hAnsi="Garamond"/>
          <w:sz w:val="24"/>
          <w:szCs w:val="24"/>
        </w:rPr>
        <w:t>onds National de la Recherche Scientifique</w:t>
      </w:r>
      <w:r w:rsidR="00F66DDF" w:rsidRPr="00295285">
        <w:rPr>
          <w:rFonts w:ascii="Garamond" w:hAnsi="Garamond"/>
          <w:sz w:val="24"/>
          <w:szCs w:val="24"/>
        </w:rPr>
        <w:t xml:space="preserve"> </w:t>
      </w:r>
      <w:r w:rsidRPr="00295285">
        <w:rPr>
          <w:rFonts w:ascii="Garamond" w:hAnsi="Garamond"/>
          <w:sz w:val="24"/>
          <w:szCs w:val="24"/>
        </w:rPr>
        <w:t>belge (FNRS) a organisé, le 28 avril 2017</w:t>
      </w:r>
      <w:r w:rsidR="0036547F" w:rsidRPr="00295285">
        <w:rPr>
          <w:rFonts w:ascii="Garamond" w:hAnsi="Garamond"/>
          <w:sz w:val="24"/>
          <w:szCs w:val="24"/>
        </w:rPr>
        <w:t xml:space="preserve"> à la Bibliothèque royale de </w:t>
      </w:r>
      <w:r w:rsidRPr="00295285">
        <w:rPr>
          <w:rFonts w:ascii="Garamond" w:hAnsi="Garamond"/>
          <w:sz w:val="24"/>
          <w:szCs w:val="24"/>
        </w:rPr>
        <w:t>Belgique (Bruxelles),</w:t>
      </w:r>
      <w:r w:rsidR="0036547F" w:rsidRPr="00295285">
        <w:rPr>
          <w:rFonts w:ascii="Garamond" w:hAnsi="Garamond"/>
          <w:sz w:val="24"/>
          <w:szCs w:val="24"/>
        </w:rPr>
        <w:t xml:space="preserve"> une journée d’étude où des spécialistes des Temps </w:t>
      </w:r>
      <w:r w:rsidR="006C1717" w:rsidRPr="00295285">
        <w:rPr>
          <w:rFonts w:ascii="Garamond" w:hAnsi="Garamond"/>
          <w:sz w:val="24"/>
          <w:szCs w:val="24"/>
        </w:rPr>
        <w:t>m</w:t>
      </w:r>
      <w:r w:rsidR="0036547F" w:rsidRPr="00295285">
        <w:rPr>
          <w:rFonts w:ascii="Garamond" w:hAnsi="Garamond"/>
          <w:sz w:val="24"/>
          <w:szCs w:val="24"/>
        </w:rPr>
        <w:t>oderne</w:t>
      </w:r>
      <w:r w:rsidR="00F66DDF" w:rsidRPr="00295285">
        <w:rPr>
          <w:rFonts w:ascii="Garamond" w:hAnsi="Garamond"/>
          <w:sz w:val="24"/>
          <w:szCs w:val="24"/>
        </w:rPr>
        <w:t>s</w:t>
      </w:r>
      <w:r w:rsidR="0036547F" w:rsidRPr="00295285">
        <w:rPr>
          <w:rFonts w:ascii="Garamond" w:hAnsi="Garamond"/>
          <w:sz w:val="24"/>
          <w:szCs w:val="24"/>
        </w:rPr>
        <w:t xml:space="preserve"> et de l’époque contemporaine </w:t>
      </w:r>
      <w:r w:rsidRPr="00295285">
        <w:rPr>
          <w:rFonts w:ascii="Garamond" w:hAnsi="Garamond"/>
          <w:sz w:val="24"/>
          <w:szCs w:val="24"/>
        </w:rPr>
        <w:t>se sont réunis</w:t>
      </w:r>
      <w:r w:rsidR="0036547F" w:rsidRPr="00295285">
        <w:rPr>
          <w:rFonts w:ascii="Garamond" w:hAnsi="Garamond"/>
          <w:sz w:val="24"/>
          <w:szCs w:val="24"/>
        </w:rPr>
        <w:t xml:space="preserve"> </w:t>
      </w:r>
      <w:r w:rsidRPr="00295285">
        <w:rPr>
          <w:rFonts w:ascii="Garamond" w:hAnsi="Garamond"/>
          <w:sz w:val="24"/>
          <w:szCs w:val="24"/>
        </w:rPr>
        <w:t>pour évoquer</w:t>
      </w:r>
      <w:r w:rsidR="0036547F" w:rsidRPr="00295285">
        <w:rPr>
          <w:rFonts w:ascii="Garamond" w:hAnsi="Garamond"/>
          <w:sz w:val="24"/>
          <w:szCs w:val="24"/>
        </w:rPr>
        <w:t xml:space="preserve"> </w:t>
      </w:r>
      <w:r w:rsidR="00A937EC" w:rsidRPr="00295285">
        <w:rPr>
          <w:rFonts w:ascii="Garamond" w:hAnsi="Garamond"/>
          <w:sz w:val="24"/>
          <w:szCs w:val="24"/>
        </w:rPr>
        <w:t>l’orientation prise actuellement par leurs recherches</w:t>
      </w:r>
      <w:r w:rsidR="0036547F" w:rsidRPr="00295285">
        <w:rPr>
          <w:rFonts w:ascii="Garamond" w:hAnsi="Garamond"/>
          <w:sz w:val="24"/>
          <w:szCs w:val="24"/>
        </w:rPr>
        <w:t xml:space="preserve"> </w:t>
      </w:r>
      <w:r w:rsidRPr="00295285">
        <w:rPr>
          <w:rFonts w:ascii="Garamond" w:hAnsi="Garamond"/>
          <w:sz w:val="24"/>
          <w:szCs w:val="24"/>
        </w:rPr>
        <w:t xml:space="preserve">et présenter des thématiques peu étudiées, voire délaissées. Les articles qui suivent constituent des prolongements de leurs interventions. Claude Sorgeloos </w:t>
      </w:r>
      <w:r w:rsidR="00DA2239" w:rsidRPr="00295285">
        <w:rPr>
          <w:rFonts w:ascii="Garamond" w:hAnsi="Garamond"/>
          <w:sz w:val="24"/>
          <w:szCs w:val="24"/>
        </w:rPr>
        <w:t xml:space="preserve">propose un retour historiographique sur le monde du livre à Bruxelles, pointant au passage les dossiers à approfondir et soulignant ceux qui ont déjà </w:t>
      </w:r>
      <w:r w:rsidR="000547B5" w:rsidRPr="00295285">
        <w:rPr>
          <w:rFonts w:ascii="Garamond" w:hAnsi="Garamond"/>
          <w:sz w:val="24"/>
          <w:szCs w:val="24"/>
        </w:rPr>
        <w:t xml:space="preserve">fait </w:t>
      </w:r>
      <w:r w:rsidR="00DA2239" w:rsidRPr="00295285">
        <w:rPr>
          <w:rFonts w:ascii="Garamond" w:hAnsi="Garamond"/>
          <w:sz w:val="24"/>
          <w:szCs w:val="24"/>
        </w:rPr>
        <w:t xml:space="preserve">l’objet d’une attention accrue. Renaud Adam, pour sa part, évoque le commerce du livre au </w:t>
      </w:r>
      <w:proofErr w:type="spellStart"/>
      <w:r w:rsidR="00DA2239" w:rsidRPr="00295285">
        <w:rPr>
          <w:rFonts w:ascii="Garamond" w:hAnsi="Garamond"/>
          <w:smallCaps/>
          <w:sz w:val="24"/>
          <w:szCs w:val="24"/>
        </w:rPr>
        <w:t>xvi</w:t>
      </w:r>
      <w:r w:rsidR="00DA2239" w:rsidRPr="00295285">
        <w:rPr>
          <w:rFonts w:ascii="Garamond" w:hAnsi="Garamond"/>
          <w:sz w:val="24"/>
          <w:szCs w:val="24"/>
          <w:vertAlign w:val="superscript"/>
        </w:rPr>
        <w:t>e</w:t>
      </w:r>
      <w:proofErr w:type="spellEnd"/>
      <w:r w:rsidR="00DA2239" w:rsidRPr="00295285">
        <w:rPr>
          <w:rFonts w:ascii="Garamond" w:hAnsi="Garamond"/>
          <w:sz w:val="24"/>
          <w:szCs w:val="24"/>
        </w:rPr>
        <w:t xml:space="preserve"> siècle, domaine peu exploité au cours des dernières années. Avec Laurence Meunier, il </w:t>
      </w:r>
      <w:r w:rsidR="000547B5" w:rsidRPr="00295285">
        <w:rPr>
          <w:rFonts w:ascii="Garamond" w:hAnsi="Garamond"/>
          <w:sz w:val="24"/>
          <w:szCs w:val="24"/>
        </w:rPr>
        <w:t>étudie</w:t>
      </w:r>
      <w:r w:rsidR="00DA2239" w:rsidRPr="00295285">
        <w:rPr>
          <w:rFonts w:ascii="Garamond" w:hAnsi="Garamond"/>
          <w:sz w:val="24"/>
          <w:szCs w:val="24"/>
        </w:rPr>
        <w:t xml:space="preserve"> ensuite une enquête de police menée en avril 1689 au sein de la communauté du livre à Bruxelles, qui </w:t>
      </w:r>
      <w:r w:rsidR="006C1717" w:rsidRPr="00295285">
        <w:rPr>
          <w:rFonts w:ascii="Garamond" w:hAnsi="Garamond"/>
          <w:sz w:val="24"/>
          <w:szCs w:val="24"/>
        </w:rPr>
        <w:t>offre</w:t>
      </w:r>
      <w:r w:rsidR="00DA2239" w:rsidRPr="00295285">
        <w:rPr>
          <w:rFonts w:ascii="Garamond" w:hAnsi="Garamond"/>
          <w:sz w:val="24"/>
          <w:szCs w:val="24"/>
        </w:rPr>
        <w:t xml:space="preserve"> une image </w:t>
      </w:r>
      <w:r w:rsidR="00DA2239" w:rsidRPr="00295285">
        <w:rPr>
          <w:rFonts w:ascii="Garamond" w:hAnsi="Garamond"/>
          <w:sz w:val="24"/>
          <w:szCs w:val="24"/>
        </w:rPr>
        <w:lastRenderedPageBreak/>
        <w:t xml:space="preserve">plus dynamique </w:t>
      </w:r>
      <w:r w:rsidR="000547B5" w:rsidRPr="00295285">
        <w:rPr>
          <w:rFonts w:ascii="Garamond" w:hAnsi="Garamond"/>
          <w:sz w:val="24"/>
          <w:szCs w:val="24"/>
        </w:rPr>
        <w:t xml:space="preserve">– et vivante – </w:t>
      </w:r>
      <w:r w:rsidR="00DA2239" w:rsidRPr="00295285">
        <w:rPr>
          <w:rFonts w:ascii="Garamond" w:hAnsi="Garamond"/>
          <w:sz w:val="24"/>
          <w:szCs w:val="24"/>
        </w:rPr>
        <w:t>de ce milieu</w:t>
      </w:r>
      <w:r w:rsidR="00172A8A" w:rsidRPr="00295285">
        <w:rPr>
          <w:rFonts w:ascii="Garamond" w:hAnsi="Garamond"/>
          <w:sz w:val="24"/>
          <w:szCs w:val="24"/>
        </w:rPr>
        <w:t>,</w:t>
      </w:r>
      <w:r w:rsidR="006C1717" w:rsidRPr="00295285">
        <w:rPr>
          <w:rFonts w:ascii="Garamond" w:hAnsi="Garamond"/>
          <w:sz w:val="24"/>
          <w:szCs w:val="24"/>
        </w:rPr>
        <w:t xml:space="preserve"> loin de la sécheresse des bibliographies rétrospectives</w:t>
      </w:r>
      <w:r w:rsidR="00DA2239" w:rsidRPr="00295285">
        <w:rPr>
          <w:rFonts w:ascii="Garamond" w:hAnsi="Garamond"/>
          <w:sz w:val="24"/>
          <w:szCs w:val="24"/>
        </w:rPr>
        <w:t xml:space="preserve">. La période contemporaine est abordée en premier </w:t>
      </w:r>
      <w:r w:rsidR="006C1717" w:rsidRPr="00295285">
        <w:rPr>
          <w:rFonts w:ascii="Garamond" w:hAnsi="Garamond"/>
          <w:sz w:val="24"/>
          <w:szCs w:val="24"/>
        </w:rPr>
        <w:t xml:space="preserve">lieu </w:t>
      </w:r>
      <w:r w:rsidR="00DA2239" w:rsidRPr="00295285">
        <w:rPr>
          <w:rFonts w:ascii="Garamond" w:hAnsi="Garamond"/>
          <w:sz w:val="24"/>
          <w:szCs w:val="24"/>
        </w:rPr>
        <w:t xml:space="preserve">par Jacques Hellemans </w:t>
      </w:r>
      <w:r w:rsidR="00AB513B" w:rsidRPr="00295285">
        <w:rPr>
          <w:rFonts w:ascii="Garamond" w:hAnsi="Garamond"/>
          <w:sz w:val="24"/>
          <w:szCs w:val="24"/>
        </w:rPr>
        <w:t>dans</w:t>
      </w:r>
      <w:r w:rsidR="00DA2239" w:rsidRPr="00295285">
        <w:rPr>
          <w:rFonts w:ascii="Garamond" w:hAnsi="Garamond"/>
          <w:sz w:val="24"/>
          <w:szCs w:val="24"/>
        </w:rPr>
        <w:t xml:space="preserve"> une étude inédite sur l’exportation des contrefaçons belges du </w:t>
      </w:r>
      <w:proofErr w:type="spellStart"/>
      <w:r w:rsidR="00DA2239" w:rsidRPr="00295285">
        <w:rPr>
          <w:rFonts w:ascii="Garamond" w:hAnsi="Garamond"/>
          <w:smallCaps/>
          <w:sz w:val="24"/>
          <w:szCs w:val="24"/>
        </w:rPr>
        <w:t>xix</w:t>
      </w:r>
      <w:r w:rsidR="00DA2239" w:rsidRPr="00295285">
        <w:rPr>
          <w:rFonts w:ascii="Garamond" w:hAnsi="Garamond"/>
          <w:sz w:val="24"/>
          <w:szCs w:val="24"/>
          <w:vertAlign w:val="superscript"/>
        </w:rPr>
        <w:t>e</w:t>
      </w:r>
      <w:proofErr w:type="spellEnd"/>
      <w:r w:rsidR="00DA2239" w:rsidRPr="00295285">
        <w:rPr>
          <w:rFonts w:ascii="Garamond" w:hAnsi="Garamond"/>
          <w:sz w:val="24"/>
          <w:szCs w:val="24"/>
        </w:rPr>
        <w:t xml:space="preserve"> siècle en Italie et au Canada. De son côté, Bruno Liesen évoque la situation de l’imprimerie bruxellois</w:t>
      </w:r>
      <w:r w:rsidR="006C1717" w:rsidRPr="00295285">
        <w:rPr>
          <w:rFonts w:ascii="Garamond" w:hAnsi="Garamond"/>
          <w:sz w:val="24"/>
          <w:szCs w:val="24"/>
        </w:rPr>
        <w:t>e</w:t>
      </w:r>
      <w:r w:rsidR="00DA2239" w:rsidRPr="00295285">
        <w:rPr>
          <w:rFonts w:ascii="Garamond" w:hAnsi="Garamond"/>
          <w:sz w:val="24"/>
          <w:szCs w:val="24"/>
        </w:rPr>
        <w:t xml:space="preserve"> </w:t>
      </w:r>
      <w:r w:rsidR="00D32DEE" w:rsidRPr="00295285">
        <w:rPr>
          <w:rFonts w:ascii="Garamond" w:hAnsi="Garamond"/>
          <w:sz w:val="24"/>
          <w:szCs w:val="24"/>
        </w:rPr>
        <w:t>pendant</w:t>
      </w:r>
      <w:r w:rsidR="00AB513B" w:rsidRPr="00295285">
        <w:rPr>
          <w:rFonts w:ascii="Garamond" w:hAnsi="Garamond"/>
          <w:sz w:val="24"/>
          <w:szCs w:val="24"/>
        </w:rPr>
        <w:t xml:space="preserve"> l</w:t>
      </w:r>
      <w:r w:rsidR="00DA2239" w:rsidRPr="00295285">
        <w:rPr>
          <w:rFonts w:ascii="Garamond" w:hAnsi="Garamond"/>
          <w:sz w:val="24"/>
          <w:szCs w:val="24"/>
        </w:rPr>
        <w:t xml:space="preserve">’entre-deux-guerres en se penchant sur l’imprimerie Felix et Fils, un de ces exemples assez typiques de petites entreprises familiales </w:t>
      </w:r>
      <w:r w:rsidR="00AB513B" w:rsidRPr="00295285">
        <w:rPr>
          <w:rFonts w:ascii="Garamond" w:hAnsi="Garamond"/>
          <w:sz w:val="24"/>
          <w:szCs w:val="24"/>
        </w:rPr>
        <w:t xml:space="preserve">ayant </w:t>
      </w:r>
      <w:r w:rsidR="00DA2239" w:rsidRPr="00295285">
        <w:rPr>
          <w:rFonts w:ascii="Garamond" w:hAnsi="Garamond"/>
          <w:sz w:val="24"/>
          <w:szCs w:val="24"/>
        </w:rPr>
        <w:t xml:space="preserve">laissé peu de traces dans les annales. Marie Cornaz </w:t>
      </w:r>
      <w:r w:rsidR="006C1717" w:rsidRPr="00295285">
        <w:rPr>
          <w:rFonts w:ascii="Garamond" w:hAnsi="Garamond"/>
          <w:sz w:val="24"/>
          <w:szCs w:val="24"/>
        </w:rPr>
        <w:t>analyse</w:t>
      </w:r>
      <w:r w:rsidR="00DA2239" w:rsidRPr="00295285">
        <w:rPr>
          <w:rFonts w:ascii="Garamond" w:hAnsi="Garamond"/>
          <w:sz w:val="24"/>
          <w:szCs w:val="24"/>
        </w:rPr>
        <w:t xml:space="preserve"> la manière dont le fils du grand compositeur belge Eugène </w:t>
      </w:r>
      <w:proofErr w:type="spellStart"/>
      <w:r w:rsidR="00DA2239" w:rsidRPr="00295285">
        <w:rPr>
          <w:rFonts w:ascii="Garamond" w:hAnsi="Garamond"/>
          <w:sz w:val="24"/>
          <w:szCs w:val="24"/>
        </w:rPr>
        <w:t>Ÿsaie</w:t>
      </w:r>
      <w:proofErr w:type="spellEnd"/>
      <w:r w:rsidR="00DA2239" w:rsidRPr="00295285">
        <w:rPr>
          <w:rFonts w:ascii="Garamond" w:hAnsi="Garamond"/>
          <w:sz w:val="24"/>
          <w:szCs w:val="24"/>
        </w:rPr>
        <w:t xml:space="preserve">, Antoine, se servit de la maison d’édition bruxelloise « Éditions Ysaÿe », pour assurer la renommée </w:t>
      </w:r>
      <w:r w:rsidR="006C1717" w:rsidRPr="00295285">
        <w:rPr>
          <w:rFonts w:ascii="Garamond" w:hAnsi="Garamond"/>
          <w:sz w:val="24"/>
          <w:szCs w:val="24"/>
        </w:rPr>
        <w:t>de l’œuvre paternelle</w:t>
      </w:r>
      <w:r w:rsidR="00DA2239" w:rsidRPr="00295285">
        <w:rPr>
          <w:rFonts w:ascii="Garamond" w:hAnsi="Garamond"/>
          <w:sz w:val="24"/>
          <w:szCs w:val="24"/>
        </w:rPr>
        <w:t>, sujet qui, à ce jour, n’a fait l’objet d’aucune étude fouillée.</w:t>
      </w:r>
      <w:r w:rsidR="006C1717" w:rsidRPr="00295285">
        <w:rPr>
          <w:rFonts w:ascii="Garamond" w:hAnsi="Garamond"/>
          <w:sz w:val="24"/>
          <w:szCs w:val="24"/>
        </w:rPr>
        <w:t xml:space="preserve"> Enfin, Michel Finc</w:t>
      </w:r>
      <w:r w:rsidR="00BF66A0" w:rsidRPr="00295285">
        <w:rPr>
          <w:rFonts w:ascii="Garamond" w:hAnsi="Garamond"/>
          <w:sz w:val="24"/>
          <w:szCs w:val="24"/>
        </w:rPr>
        <w:t>œ</w:t>
      </w:r>
      <w:r w:rsidR="006C1717" w:rsidRPr="00295285">
        <w:rPr>
          <w:rFonts w:ascii="Garamond" w:hAnsi="Garamond"/>
          <w:sz w:val="24"/>
          <w:szCs w:val="24"/>
        </w:rPr>
        <w:t xml:space="preserve">ur clôt ce parcours par une présentation du champ éditorial bruxellois au cours de la seconde occupation allemande, évoquant les problématiques de censures, de collaboration, d’épuration à la Libération, d’un secteur qui connut en cette période trouble son « second âge d’or ». </w:t>
      </w:r>
      <w:r w:rsidR="00A937EC" w:rsidRPr="00295285">
        <w:rPr>
          <w:rFonts w:ascii="Garamond" w:hAnsi="Garamond"/>
          <w:sz w:val="24"/>
          <w:szCs w:val="24"/>
        </w:rPr>
        <w:t>L</w:t>
      </w:r>
      <w:r w:rsidR="006C1717" w:rsidRPr="00295285">
        <w:rPr>
          <w:rFonts w:ascii="Garamond" w:hAnsi="Garamond"/>
          <w:sz w:val="24"/>
          <w:szCs w:val="24"/>
        </w:rPr>
        <w:t>es</w:t>
      </w:r>
      <w:r w:rsidR="00A937EC" w:rsidRPr="00295285">
        <w:rPr>
          <w:rFonts w:ascii="Garamond" w:hAnsi="Garamond"/>
          <w:sz w:val="24"/>
          <w:szCs w:val="24"/>
        </w:rPr>
        <w:t xml:space="preserve"> thématique</w:t>
      </w:r>
      <w:r w:rsidR="006C1717" w:rsidRPr="00295285">
        <w:rPr>
          <w:rFonts w:ascii="Garamond" w:hAnsi="Garamond"/>
          <w:sz w:val="24"/>
          <w:szCs w:val="24"/>
        </w:rPr>
        <w:t>s développées ici</w:t>
      </w:r>
      <w:r w:rsidR="00A937EC" w:rsidRPr="00295285">
        <w:rPr>
          <w:rFonts w:ascii="Garamond" w:hAnsi="Garamond"/>
          <w:sz w:val="24"/>
          <w:szCs w:val="24"/>
        </w:rPr>
        <w:t xml:space="preserve"> </w:t>
      </w:r>
      <w:r w:rsidR="006C1717" w:rsidRPr="00295285">
        <w:rPr>
          <w:rFonts w:ascii="Garamond" w:hAnsi="Garamond"/>
          <w:sz w:val="24"/>
          <w:szCs w:val="24"/>
        </w:rPr>
        <w:t>ont</w:t>
      </w:r>
      <w:r w:rsidR="0036547F" w:rsidRPr="00295285">
        <w:rPr>
          <w:rFonts w:ascii="Garamond" w:hAnsi="Garamond"/>
          <w:sz w:val="24"/>
          <w:szCs w:val="24"/>
        </w:rPr>
        <w:t xml:space="preserve"> été volontairement inscrite</w:t>
      </w:r>
      <w:r w:rsidR="006C1717" w:rsidRPr="00295285">
        <w:rPr>
          <w:rFonts w:ascii="Garamond" w:hAnsi="Garamond"/>
          <w:sz w:val="24"/>
          <w:szCs w:val="24"/>
        </w:rPr>
        <w:t>s</w:t>
      </w:r>
      <w:r w:rsidR="0036547F" w:rsidRPr="00295285">
        <w:rPr>
          <w:rFonts w:ascii="Garamond" w:hAnsi="Garamond"/>
          <w:sz w:val="24"/>
          <w:szCs w:val="24"/>
        </w:rPr>
        <w:t xml:space="preserve"> dans le temps long pour mieux appréhender l’évolution du monde du livre à Bruxelles </w:t>
      </w:r>
      <w:r w:rsidR="006412BB" w:rsidRPr="00295285">
        <w:rPr>
          <w:rFonts w:ascii="Garamond" w:hAnsi="Garamond"/>
          <w:sz w:val="24"/>
          <w:szCs w:val="24"/>
        </w:rPr>
        <w:t>au cours des siècles précédents</w:t>
      </w:r>
      <w:r w:rsidR="0036547F" w:rsidRPr="00295285">
        <w:rPr>
          <w:rFonts w:ascii="Garamond" w:hAnsi="Garamond"/>
          <w:sz w:val="24"/>
          <w:szCs w:val="24"/>
        </w:rPr>
        <w:t>.</w:t>
      </w:r>
      <w:r w:rsidR="00020D53" w:rsidRPr="00295285">
        <w:rPr>
          <w:rFonts w:ascii="Garamond" w:hAnsi="Garamond"/>
          <w:sz w:val="24"/>
          <w:szCs w:val="24"/>
        </w:rPr>
        <w:t xml:space="preserve"> </w:t>
      </w:r>
      <w:r w:rsidR="00CF2BDA" w:rsidRPr="00295285">
        <w:rPr>
          <w:rFonts w:ascii="Garamond" w:hAnsi="Garamond"/>
          <w:sz w:val="24"/>
          <w:szCs w:val="24"/>
        </w:rPr>
        <w:t>Enfin, l</w:t>
      </w:r>
      <w:r w:rsidR="00020D53" w:rsidRPr="00295285">
        <w:rPr>
          <w:rFonts w:ascii="Garamond" w:hAnsi="Garamond"/>
          <w:sz w:val="24"/>
          <w:szCs w:val="24"/>
        </w:rPr>
        <w:t xml:space="preserve">es éditeurs </w:t>
      </w:r>
      <w:r w:rsidR="00886A30" w:rsidRPr="00295285">
        <w:rPr>
          <w:rFonts w:ascii="Garamond" w:hAnsi="Garamond"/>
          <w:sz w:val="24"/>
          <w:szCs w:val="24"/>
        </w:rPr>
        <w:t>expriment leur gratitude aux</w:t>
      </w:r>
      <w:r w:rsidR="00D32DEE" w:rsidRPr="00295285">
        <w:rPr>
          <w:rFonts w:ascii="Garamond" w:hAnsi="Garamond"/>
          <w:sz w:val="24"/>
          <w:szCs w:val="24"/>
        </w:rPr>
        <w:t xml:space="preserve"> auteurs des présentes contributions et </w:t>
      </w:r>
      <w:r w:rsidR="00886A30" w:rsidRPr="00295285">
        <w:rPr>
          <w:rFonts w:ascii="Garamond" w:hAnsi="Garamond"/>
          <w:sz w:val="24"/>
          <w:szCs w:val="24"/>
        </w:rPr>
        <w:t xml:space="preserve">à </w:t>
      </w:r>
      <w:r w:rsidR="00510AE5" w:rsidRPr="00295285">
        <w:rPr>
          <w:rFonts w:ascii="Garamond" w:hAnsi="Garamond"/>
          <w:sz w:val="24"/>
          <w:szCs w:val="24"/>
        </w:rPr>
        <w:t xml:space="preserve">la revue internationale </w:t>
      </w:r>
      <w:r w:rsidR="00510AE5" w:rsidRPr="00295285">
        <w:rPr>
          <w:rFonts w:ascii="Garamond" w:hAnsi="Garamond"/>
          <w:i/>
          <w:sz w:val="24"/>
          <w:szCs w:val="24"/>
        </w:rPr>
        <w:t>Histoire et civilisation du livre</w:t>
      </w:r>
      <w:r w:rsidR="00510AE5" w:rsidRPr="00295285">
        <w:rPr>
          <w:rFonts w:ascii="Garamond" w:hAnsi="Garamond"/>
          <w:sz w:val="24"/>
          <w:szCs w:val="24"/>
        </w:rPr>
        <w:t>, qui accueille les actes de cette journée d’étude.</w:t>
      </w:r>
    </w:p>
    <w:sectPr w:rsidR="00D65ADD" w:rsidRPr="006C1717" w:rsidSect="00EC4F45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3665C" w14:textId="77777777" w:rsidR="00FC6A54" w:rsidRDefault="00FC6A54" w:rsidP="00C34C5F">
      <w:r>
        <w:separator/>
      </w:r>
    </w:p>
  </w:endnote>
  <w:endnote w:type="continuationSeparator" w:id="0">
    <w:p w14:paraId="721C02AC" w14:textId="77777777" w:rsidR="00FC6A54" w:rsidRDefault="00FC6A54" w:rsidP="00C3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8422896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A55D4F2" w14:textId="617829EB" w:rsidR="00DA2239" w:rsidRDefault="00DA2239" w:rsidP="00EC7F5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D4CE765" w14:textId="77777777" w:rsidR="00DA2239" w:rsidRDefault="00DA2239" w:rsidP="00DA223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rFonts w:ascii="Garamond" w:hAnsi="Garamond"/>
      </w:rPr>
      <w:id w:val="24022351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4781D78" w14:textId="68E3EDE3" w:rsidR="00DA2239" w:rsidRPr="00DA2239" w:rsidRDefault="00DA2239" w:rsidP="00EC7F5A">
        <w:pPr>
          <w:pStyle w:val="Pieddepage"/>
          <w:framePr w:wrap="none" w:vAnchor="text" w:hAnchor="margin" w:xAlign="right" w:y="1"/>
          <w:rPr>
            <w:rStyle w:val="Numrodepage"/>
            <w:rFonts w:ascii="Garamond" w:hAnsi="Garamond"/>
          </w:rPr>
        </w:pPr>
        <w:r w:rsidRPr="00DA2239">
          <w:rPr>
            <w:rStyle w:val="Numrodepage"/>
            <w:rFonts w:ascii="Garamond" w:hAnsi="Garamond"/>
          </w:rPr>
          <w:fldChar w:fldCharType="begin"/>
        </w:r>
        <w:r w:rsidRPr="00DA2239">
          <w:rPr>
            <w:rStyle w:val="Numrodepage"/>
            <w:rFonts w:ascii="Garamond" w:hAnsi="Garamond"/>
          </w:rPr>
          <w:instrText xml:space="preserve"> PAGE </w:instrText>
        </w:r>
        <w:r w:rsidRPr="00DA2239">
          <w:rPr>
            <w:rStyle w:val="Numrodepage"/>
            <w:rFonts w:ascii="Garamond" w:hAnsi="Garamond"/>
          </w:rPr>
          <w:fldChar w:fldCharType="separate"/>
        </w:r>
        <w:r w:rsidR="00B62E44">
          <w:rPr>
            <w:rStyle w:val="Numrodepage"/>
            <w:rFonts w:ascii="Garamond" w:hAnsi="Garamond"/>
            <w:noProof/>
          </w:rPr>
          <w:t>1</w:t>
        </w:r>
        <w:r w:rsidRPr="00DA2239">
          <w:rPr>
            <w:rStyle w:val="Numrodepage"/>
            <w:rFonts w:ascii="Garamond" w:hAnsi="Garamond"/>
          </w:rPr>
          <w:fldChar w:fldCharType="end"/>
        </w:r>
      </w:p>
    </w:sdtContent>
  </w:sdt>
  <w:p w14:paraId="1864CE09" w14:textId="5169AE8C" w:rsidR="00C34C5F" w:rsidRPr="00DA2239" w:rsidRDefault="00C34C5F" w:rsidP="00DA2239">
    <w:pPr>
      <w:pStyle w:val="Pieddepage"/>
      <w:ind w:right="360"/>
      <w:jc w:val="right"/>
      <w:rPr>
        <w:rFonts w:ascii="Garamond" w:hAnsi="Garamond"/>
      </w:rPr>
    </w:pPr>
  </w:p>
  <w:p w14:paraId="64E385CD" w14:textId="77777777" w:rsidR="00DA2239" w:rsidRPr="00DA2239" w:rsidRDefault="00DA2239">
    <w:pP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36391" w14:textId="77777777" w:rsidR="00FC6A54" w:rsidRDefault="00FC6A54" w:rsidP="00C34C5F">
      <w:r>
        <w:separator/>
      </w:r>
    </w:p>
  </w:footnote>
  <w:footnote w:type="continuationSeparator" w:id="0">
    <w:p w14:paraId="7005E4E4" w14:textId="77777777" w:rsidR="00FC6A54" w:rsidRDefault="00FC6A54" w:rsidP="00C34C5F">
      <w:r>
        <w:continuationSeparator/>
      </w:r>
    </w:p>
  </w:footnote>
  <w:footnote w:id="1">
    <w:p w14:paraId="7D99AAB0" w14:textId="16541BE7" w:rsidR="00D65ADD" w:rsidRPr="00295285" w:rsidRDefault="00D65ADD" w:rsidP="00D65ADD">
      <w:pPr>
        <w:pStyle w:val="Notedebasdepage"/>
        <w:rPr>
          <w:lang w:val="fr-BE"/>
        </w:rPr>
      </w:pPr>
      <w:r w:rsidRPr="00295285">
        <w:rPr>
          <w:rStyle w:val="Appelnotedebasdep"/>
        </w:rPr>
        <w:footnoteRef/>
      </w:r>
      <w:r w:rsidRPr="00295285">
        <w:t xml:space="preserve"> </w:t>
      </w:r>
      <w:r w:rsidRPr="00295285">
        <w:rPr>
          <w:lang w:val="fr-BE"/>
        </w:rPr>
        <w:t xml:space="preserve">Sur l’histoire </w:t>
      </w:r>
      <w:r w:rsidR="00576090" w:rsidRPr="00295285">
        <w:rPr>
          <w:lang w:val="fr-BE"/>
        </w:rPr>
        <w:t xml:space="preserve">et le développement </w:t>
      </w:r>
      <w:r w:rsidRPr="00295285">
        <w:rPr>
          <w:lang w:val="fr-BE"/>
        </w:rPr>
        <w:t xml:space="preserve">de Bruxelles, voir notamment : </w:t>
      </w:r>
      <w:r w:rsidRPr="00295285">
        <w:rPr>
          <w:rFonts w:eastAsia="Garamond" w:cs="Garamond"/>
          <w:iCs/>
        </w:rPr>
        <w:t xml:space="preserve">Alexandre </w:t>
      </w:r>
      <w:proofErr w:type="spellStart"/>
      <w:r w:rsidRPr="00295285">
        <w:rPr>
          <w:rFonts w:eastAsia="Garamond" w:cs="Garamond"/>
          <w:iCs/>
          <w:smallCaps/>
        </w:rPr>
        <w:t>Henne</w:t>
      </w:r>
      <w:proofErr w:type="spellEnd"/>
      <w:r w:rsidRPr="00295285">
        <w:rPr>
          <w:rFonts w:eastAsia="Garamond" w:cs="Garamond"/>
          <w:iCs/>
        </w:rPr>
        <w:t xml:space="preserve"> et Alphonse </w:t>
      </w:r>
      <w:proofErr w:type="spellStart"/>
      <w:r w:rsidRPr="00295285">
        <w:rPr>
          <w:rFonts w:eastAsia="Garamond" w:cs="Garamond"/>
          <w:iCs/>
          <w:smallCaps/>
        </w:rPr>
        <w:t>Wauters</w:t>
      </w:r>
      <w:proofErr w:type="spellEnd"/>
      <w:r w:rsidRPr="00295285">
        <w:rPr>
          <w:rFonts w:eastAsia="Garamond" w:cs="Garamond"/>
          <w:iCs/>
          <w:smallCaps/>
        </w:rPr>
        <w:t xml:space="preserve">, </w:t>
      </w:r>
      <w:r w:rsidRPr="00295285">
        <w:rPr>
          <w:rFonts w:eastAsia="Garamond" w:cs="Garamond"/>
          <w:i/>
          <w:iCs/>
        </w:rPr>
        <w:t>Histoire de la ville de Bruxelles</w:t>
      </w:r>
      <w:r w:rsidRPr="00295285">
        <w:rPr>
          <w:rFonts w:eastAsia="Garamond" w:cs="Garamond"/>
          <w:iCs/>
        </w:rPr>
        <w:t xml:space="preserve">, 3 t., Bruxelles, Librairie encyclopédique de </w:t>
      </w:r>
      <w:proofErr w:type="spellStart"/>
      <w:r w:rsidRPr="00295285">
        <w:rPr>
          <w:rFonts w:eastAsia="Garamond" w:cs="Garamond"/>
          <w:iCs/>
        </w:rPr>
        <w:t>Perichon</w:t>
      </w:r>
      <w:proofErr w:type="spellEnd"/>
      <w:r w:rsidRPr="00295285">
        <w:rPr>
          <w:rFonts w:eastAsia="Garamond" w:cs="Garamond"/>
          <w:iCs/>
        </w:rPr>
        <w:t>, 1845</w:t>
      </w:r>
      <w:r w:rsidR="002966FF" w:rsidRPr="00295285">
        <w:rPr>
          <w:rFonts w:eastAsia="Garamond" w:cs="Garamond"/>
          <w:iCs/>
        </w:rPr>
        <w:t>, et la nouvelle édition illustrée de documents orig</w:t>
      </w:r>
      <w:r w:rsidR="00B32DC8">
        <w:rPr>
          <w:rFonts w:eastAsia="Garamond" w:cs="Garamond"/>
          <w:iCs/>
        </w:rPr>
        <w:t>inaux choisis par Mina Martens,</w:t>
      </w:r>
      <w:r w:rsidR="00B32DC8" w:rsidRPr="00295285">
        <w:rPr>
          <w:rFonts w:eastAsia="Garamond" w:cs="Garamond"/>
          <w:iCs/>
        </w:rPr>
        <w:t xml:space="preserve"> 4 </w:t>
      </w:r>
      <w:r w:rsidR="00B32DC8">
        <w:rPr>
          <w:rFonts w:eastAsia="Garamond" w:cs="Garamond"/>
          <w:iCs/>
        </w:rPr>
        <w:t>t</w:t>
      </w:r>
      <w:r w:rsidR="00B32DC8" w:rsidRPr="00295285">
        <w:rPr>
          <w:rFonts w:eastAsia="Garamond" w:cs="Garamond"/>
          <w:iCs/>
        </w:rPr>
        <w:t>.</w:t>
      </w:r>
      <w:r w:rsidR="00B32DC8">
        <w:rPr>
          <w:rFonts w:eastAsia="Garamond" w:cs="Garamond"/>
          <w:iCs/>
        </w:rPr>
        <w:t xml:space="preserve">, </w:t>
      </w:r>
      <w:r w:rsidR="002966FF" w:rsidRPr="00295285">
        <w:rPr>
          <w:rFonts w:eastAsia="Garamond" w:cs="Garamond"/>
          <w:iCs/>
        </w:rPr>
        <w:t>Bruxelles, Culture et Civilisation, 1975</w:t>
      </w:r>
      <w:r w:rsidRPr="00295285">
        <w:rPr>
          <w:rFonts w:eastAsia="Garamond" w:cs="Garamond"/>
          <w:iCs/>
        </w:rPr>
        <w:t xml:space="preserve"> ; </w:t>
      </w:r>
      <w:r w:rsidR="00FC7479" w:rsidRPr="00295285">
        <w:rPr>
          <w:rFonts w:eastAsia="Garamond" w:cs="Garamond"/>
          <w:i/>
          <w:iCs/>
        </w:rPr>
        <w:t>Histoire de Bruxelles</w:t>
      </w:r>
      <w:r w:rsidR="00FC7479" w:rsidRPr="00295285">
        <w:rPr>
          <w:rFonts w:eastAsia="Garamond" w:cs="Garamond"/>
          <w:iCs/>
        </w:rPr>
        <w:t xml:space="preserve">, </w:t>
      </w:r>
      <w:proofErr w:type="spellStart"/>
      <w:r w:rsidR="00FC7479" w:rsidRPr="00295285">
        <w:rPr>
          <w:rFonts w:eastAsia="Garamond" w:cs="Garamond"/>
          <w:iCs/>
        </w:rPr>
        <w:t>dir</w:t>
      </w:r>
      <w:proofErr w:type="spellEnd"/>
      <w:r w:rsidR="00FC7479" w:rsidRPr="00295285">
        <w:rPr>
          <w:rFonts w:eastAsia="Garamond" w:cs="Garamond"/>
          <w:iCs/>
        </w:rPr>
        <w:t xml:space="preserve">. Mina Martens, Toulouse, Privat, 1976 ; </w:t>
      </w:r>
      <w:r w:rsidRPr="00295285">
        <w:rPr>
          <w:i/>
        </w:rPr>
        <w:t>Bruxelles. Croissance d’une capitale</w:t>
      </w:r>
      <w:r w:rsidRPr="00295285">
        <w:t xml:space="preserve">, </w:t>
      </w:r>
      <w:proofErr w:type="spellStart"/>
      <w:r w:rsidRPr="00295285">
        <w:t>dir</w:t>
      </w:r>
      <w:proofErr w:type="spellEnd"/>
      <w:r w:rsidRPr="00295285">
        <w:t xml:space="preserve">. Jean </w:t>
      </w:r>
      <w:proofErr w:type="spellStart"/>
      <w:r w:rsidRPr="00295285">
        <w:t>Stengers</w:t>
      </w:r>
      <w:proofErr w:type="spellEnd"/>
      <w:r w:rsidRPr="00295285">
        <w:t>, Anvers, Mercator, 1979</w:t>
      </w:r>
      <w:r w:rsidR="00FC7479" w:rsidRPr="00295285">
        <w:t xml:space="preserve"> ; </w:t>
      </w:r>
      <w:r w:rsidR="00FC7479" w:rsidRPr="00295285">
        <w:rPr>
          <w:i/>
        </w:rPr>
        <w:t>Dictionnaire de l’histoire de Bruxelles</w:t>
      </w:r>
      <w:r w:rsidR="00FC7479" w:rsidRPr="00295285">
        <w:t xml:space="preserve">, </w:t>
      </w:r>
      <w:proofErr w:type="spellStart"/>
      <w:r w:rsidR="00FC7479" w:rsidRPr="00295285">
        <w:t>dir</w:t>
      </w:r>
      <w:proofErr w:type="spellEnd"/>
      <w:r w:rsidR="00FC7479" w:rsidRPr="00295285">
        <w:t xml:space="preserve">. Serge </w:t>
      </w:r>
      <w:proofErr w:type="spellStart"/>
      <w:proofErr w:type="gramStart"/>
      <w:r w:rsidR="00FC7479" w:rsidRPr="00295285">
        <w:t>Jaumain</w:t>
      </w:r>
      <w:proofErr w:type="spellEnd"/>
      <w:r w:rsidR="00FC7479" w:rsidRPr="00295285">
        <w:t xml:space="preserve">, </w:t>
      </w:r>
      <w:r w:rsidRPr="00295285">
        <w:t xml:space="preserve"> </w:t>
      </w:r>
      <w:r w:rsidR="00FC7479" w:rsidRPr="00295285">
        <w:t>Bruxelles</w:t>
      </w:r>
      <w:proofErr w:type="gramEnd"/>
      <w:r w:rsidR="00FC7479" w:rsidRPr="00295285">
        <w:t xml:space="preserve">, </w:t>
      </w:r>
      <w:proofErr w:type="spellStart"/>
      <w:r w:rsidR="00FC7479" w:rsidRPr="00295285">
        <w:t>Prosopon</w:t>
      </w:r>
      <w:proofErr w:type="spellEnd"/>
      <w:r w:rsidR="00FC7479" w:rsidRPr="00295285">
        <w:t xml:space="preserve">, 2013 ; Michèle </w:t>
      </w:r>
      <w:r w:rsidR="00FC7479" w:rsidRPr="00295285">
        <w:rPr>
          <w:smallCaps/>
        </w:rPr>
        <w:t xml:space="preserve">De </w:t>
      </w:r>
      <w:proofErr w:type="spellStart"/>
      <w:r w:rsidR="00FC7479" w:rsidRPr="00295285">
        <w:rPr>
          <w:smallCaps/>
        </w:rPr>
        <w:t>Beule</w:t>
      </w:r>
      <w:proofErr w:type="spellEnd"/>
      <w:r w:rsidR="00FC7479" w:rsidRPr="00295285">
        <w:t xml:space="preserve">, Benoît </w:t>
      </w:r>
      <w:r w:rsidR="00FC7479" w:rsidRPr="00295285">
        <w:rPr>
          <w:smallCaps/>
        </w:rPr>
        <w:t>Périlleux</w:t>
      </w:r>
      <w:r w:rsidR="00FC7479" w:rsidRPr="00295285">
        <w:t xml:space="preserve">, Marguerite </w:t>
      </w:r>
      <w:r w:rsidR="00FC7479" w:rsidRPr="00295285">
        <w:rPr>
          <w:smallCaps/>
        </w:rPr>
        <w:t>Silvestre</w:t>
      </w:r>
      <w:r w:rsidR="00FC7479" w:rsidRPr="00295285">
        <w:t xml:space="preserve"> </w:t>
      </w:r>
      <w:r w:rsidR="00FC7479" w:rsidRPr="00B32DC8">
        <w:rPr>
          <w:i/>
        </w:rPr>
        <w:t>et al.,</w:t>
      </w:r>
      <w:r w:rsidR="00FC7479" w:rsidRPr="00295285">
        <w:t xml:space="preserve"> </w:t>
      </w:r>
      <w:r w:rsidR="00FC7479" w:rsidRPr="00295285">
        <w:rPr>
          <w:i/>
        </w:rPr>
        <w:t>B</w:t>
      </w:r>
      <w:r w:rsidR="00FC7479" w:rsidRPr="00295285">
        <w:rPr>
          <w:rFonts w:cs="Arial"/>
          <w:i/>
          <w:color w:val="000000"/>
        </w:rPr>
        <w:t>ruxelles. Histoire de planifier : urbanisme au 19</w:t>
      </w:r>
      <w:r w:rsidR="00FC7479" w:rsidRPr="00B32DC8">
        <w:rPr>
          <w:rFonts w:cs="Arial"/>
          <w:i/>
          <w:color w:val="000000"/>
          <w:vertAlign w:val="superscript"/>
        </w:rPr>
        <w:t>e</w:t>
      </w:r>
      <w:r w:rsidR="00B32DC8">
        <w:rPr>
          <w:rFonts w:cs="Arial"/>
          <w:i/>
          <w:color w:val="000000"/>
          <w:vertAlign w:val="superscript"/>
        </w:rPr>
        <w:t xml:space="preserve"> </w:t>
      </w:r>
      <w:r w:rsidR="00FC7479" w:rsidRPr="00295285">
        <w:rPr>
          <w:rFonts w:cs="Arial"/>
          <w:i/>
          <w:color w:val="000000"/>
        </w:rPr>
        <w:t>et 20</w:t>
      </w:r>
      <w:r w:rsidR="00FC7479" w:rsidRPr="00B32DC8">
        <w:rPr>
          <w:rFonts w:cs="Arial"/>
          <w:i/>
          <w:color w:val="000000"/>
          <w:vertAlign w:val="superscript"/>
        </w:rPr>
        <w:t>e</w:t>
      </w:r>
      <w:r w:rsidR="00B32DC8">
        <w:rPr>
          <w:rFonts w:cs="Arial"/>
          <w:i/>
          <w:color w:val="000000"/>
        </w:rPr>
        <w:t xml:space="preserve"> </w:t>
      </w:r>
      <w:r w:rsidR="00FC7479" w:rsidRPr="00295285">
        <w:rPr>
          <w:rFonts w:cs="Arial"/>
          <w:i/>
          <w:color w:val="000000"/>
        </w:rPr>
        <w:t>siècles</w:t>
      </w:r>
      <w:r w:rsidR="00FC7479" w:rsidRPr="00295285">
        <w:rPr>
          <w:rFonts w:cs="Arial"/>
          <w:color w:val="000000"/>
        </w:rPr>
        <w:t xml:space="preserve">, Bruxelles, </w:t>
      </w:r>
      <w:proofErr w:type="spellStart"/>
      <w:r w:rsidR="00FC7479" w:rsidRPr="00295285">
        <w:rPr>
          <w:rFonts w:cs="Arial"/>
          <w:color w:val="000000"/>
        </w:rPr>
        <w:t>Mardaga</w:t>
      </w:r>
      <w:proofErr w:type="spellEnd"/>
      <w:r w:rsidR="00FC7479" w:rsidRPr="00295285">
        <w:rPr>
          <w:rFonts w:cs="Arial"/>
          <w:color w:val="000000"/>
        </w:rPr>
        <w:t>, 2017</w:t>
      </w:r>
      <w:r w:rsidRPr="00295285">
        <w:t xml:space="preserve">. </w:t>
      </w:r>
    </w:p>
  </w:footnote>
  <w:footnote w:id="2">
    <w:p w14:paraId="20F350C9" w14:textId="52A844F2" w:rsidR="00D65ADD" w:rsidRPr="00B32DC8" w:rsidRDefault="00D65ADD" w:rsidP="00D65ADD">
      <w:pPr>
        <w:pStyle w:val="Notedebasdepage"/>
      </w:pPr>
      <w:r w:rsidRPr="00295285">
        <w:rPr>
          <w:rStyle w:val="Appelnotedebasdep"/>
        </w:rPr>
        <w:footnoteRef/>
      </w:r>
      <w:r w:rsidRPr="00295285">
        <w:t xml:space="preserve"> </w:t>
      </w:r>
      <w:r w:rsidRPr="00295285">
        <w:rPr>
          <w:lang w:val="fr-BE"/>
        </w:rPr>
        <w:t xml:space="preserve">Quelques études sur la production artistique d’Ancien Régime : Edmond </w:t>
      </w:r>
      <w:proofErr w:type="spellStart"/>
      <w:r w:rsidRPr="00295285">
        <w:rPr>
          <w:smallCaps/>
          <w:lang w:val="fr-BE"/>
        </w:rPr>
        <w:t>Roobaert</w:t>
      </w:r>
      <w:proofErr w:type="spellEnd"/>
      <w:r w:rsidRPr="00295285">
        <w:rPr>
          <w:smallCaps/>
          <w:lang w:val="fr-BE"/>
        </w:rPr>
        <w:t xml:space="preserve">, </w:t>
      </w:r>
      <w:proofErr w:type="spellStart"/>
      <w:r w:rsidRPr="00295285">
        <w:rPr>
          <w:i/>
          <w:lang w:val="fr-BE"/>
        </w:rPr>
        <w:t>Kunst</w:t>
      </w:r>
      <w:proofErr w:type="spellEnd"/>
      <w:r w:rsidRPr="00295285">
        <w:rPr>
          <w:i/>
          <w:lang w:val="fr-BE"/>
        </w:rPr>
        <w:t xml:space="preserve"> en </w:t>
      </w:r>
      <w:proofErr w:type="spellStart"/>
      <w:r w:rsidRPr="00295285">
        <w:rPr>
          <w:i/>
          <w:lang w:val="fr-BE"/>
        </w:rPr>
        <w:t>kunstambachten</w:t>
      </w:r>
      <w:proofErr w:type="spellEnd"/>
      <w:r w:rsidRPr="00295285">
        <w:rPr>
          <w:i/>
          <w:lang w:val="fr-BE"/>
        </w:rPr>
        <w:t xml:space="preserve"> in de 16</w:t>
      </w:r>
      <w:r w:rsidRPr="00295285">
        <w:rPr>
          <w:i/>
          <w:vertAlign w:val="superscript"/>
          <w:lang w:val="fr-BE"/>
        </w:rPr>
        <w:t>de</w:t>
      </w:r>
      <w:r w:rsidRPr="00295285">
        <w:rPr>
          <w:i/>
          <w:lang w:val="fr-BE"/>
        </w:rPr>
        <w:t xml:space="preserve"> </w:t>
      </w:r>
      <w:proofErr w:type="spellStart"/>
      <w:r w:rsidRPr="00295285">
        <w:rPr>
          <w:i/>
          <w:lang w:val="fr-BE"/>
        </w:rPr>
        <w:t>eeuw</w:t>
      </w:r>
      <w:proofErr w:type="spellEnd"/>
      <w:r w:rsidRPr="00295285">
        <w:rPr>
          <w:i/>
          <w:lang w:val="fr-BE"/>
        </w:rPr>
        <w:t xml:space="preserve"> te Brussel</w:t>
      </w:r>
      <w:r w:rsidRPr="00295285">
        <w:rPr>
          <w:lang w:val="fr-BE"/>
        </w:rPr>
        <w:t xml:space="preserve">, Bruxelles, Archives et Bibliothèques de Belgique, 2004 ; Alexandre </w:t>
      </w:r>
      <w:proofErr w:type="spellStart"/>
      <w:r w:rsidRPr="00295285">
        <w:rPr>
          <w:smallCaps/>
          <w:lang w:val="fr-BE"/>
        </w:rPr>
        <w:t>Galand</w:t>
      </w:r>
      <w:proofErr w:type="spellEnd"/>
      <w:r w:rsidRPr="00295285">
        <w:rPr>
          <w:lang w:val="fr-BE"/>
        </w:rPr>
        <w:t xml:space="preserve">, </w:t>
      </w:r>
      <w:r w:rsidRPr="00295285">
        <w:rPr>
          <w:i/>
          <w:iCs/>
          <w:lang w:val="fr-BE"/>
        </w:rPr>
        <w:t xml:space="preserve">The </w:t>
      </w:r>
      <w:proofErr w:type="spellStart"/>
      <w:r w:rsidRPr="00295285">
        <w:rPr>
          <w:i/>
          <w:iCs/>
          <w:lang w:val="fr-BE"/>
        </w:rPr>
        <w:t>Flemish</w:t>
      </w:r>
      <w:proofErr w:type="spellEnd"/>
      <w:r w:rsidRPr="00295285">
        <w:rPr>
          <w:i/>
          <w:iCs/>
          <w:lang w:val="fr-BE"/>
        </w:rPr>
        <w:t xml:space="preserve"> Primitives : The Bernard van Orley Group</w:t>
      </w:r>
      <w:r w:rsidRPr="00295285">
        <w:rPr>
          <w:lang w:val="fr-BE"/>
        </w:rPr>
        <w:t xml:space="preserve">, Turnhout, </w:t>
      </w:r>
      <w:proofErr w:type="spellStart"/>
      <w:r w:rsidRPr="00295285">
        <w:rPr>
          <w:lang w:val="fr-BE"/>
        </w:rPr>
        <w:t>Brepols</w:t>
      </w:r>
      <w:proofErr w:type="spellEnd"/>
      <w:r w:rsidRPr="00295285">
        <w:rPr>
          <w:lang w:val="fr-BE"/>
        </w:rPr>
        <w:t xml:space="preserve">, 2013 ; </w:t>
      </w:r>
      <w:r w:rsidRPr="00295285">
        <w:t xml:space="preserve">Sabine </w:t>
      </w:r>
      <w:r w:rsidRPr="00295285">
        <w:rPr>
          <w:smallCaps/>
        </w:rPr>
        <w:t xml:space="preserve">Van </w:t>
      </w:r>
      <w:proofErr w:type="spellStart"/>
      <w:r w:rsidRPr="00295285">
        <w:rPr>
          <w:smallCaps/>
        </w:rPr>
        <w:t>Sprang</w:t>
      </w:r>
      <w:proofErr w:type="spellEnd"/>
      <w:r w:rsidRPr="00295285">
        <w:t xml:space="preserve">, </w:t>
      </w:r>
      <w:proofErr w:type="spellStart"/>
      <w:r w:rsidRPr="00295285">
        <w:rPr>
          <w:i/>
        </w:rPr>
        <w:t>Denijs</w:t>
      </w:r>
      <w:proofErr w:type="spellEnd"/>
      <w:r w:rsidRPr="00295285">
        <w:rPr>
          <w:i/>
        </w:rPr>
        <w:t xml:space="preserve"> van </w:t>
      </w:r>
      <w:proofErr w:type="spellStart"/>
      <w:r w:rsidRPr="00295285">
        <w:rPr>
          <w:i/>
        </w:rPr>
        <w:t>Asloot</w:t>
      </w:r>
      <w:proofErr w:type="spellEnd"/>
      <w:r w:rsidRPr="00295285">
        <w:rPr>
          <w:i/>
        </w:rPr>
        <w:t xml:space="preserve"> (vers 1568-1625/26). Peintre paysagiste au service de la cour des Archiducs Albert et Isabelle</w:t>
      </w:r>
      <w:r w:rsidRPr="00295285">
        <w:t xml:space="preserve">, 2 t., Turnhout, </w:t>
      </w:r>
      <w:proofErr w:type="spellStart"/>
      <w:r w:rsidRPr="00295285">
        <w:t>Brepols</w:t>
      </w:r>
      <w:proofErr w:type="spellEnd"/>
      <w:r w:rsidRPr="00295285">
        <w:t>, 2014</w:t>
      </w:r>
      <w:r w:rsidR="00C42BC5" w:rsidRPr="00295285">
        <w:t xml:space="preserve"> ; Edmond </w:t>
      </w:r>
      <w:proofErr w:type="spellStart"/>
      <w:r w:rsidR="00C42BC5" w:rsidRPr="00295285">
        <w:rPr>
          <w:smallCaps/>
        </w:rPr>
        <w:t>Roobaerts</w:t>
      </w:r>
      <w:proofErr w:type="spellEnd"/>
      <w:r w:rsidR="00C42BC5" w:rsidRPr="00295285">
        <w:t xml:space="preserve">, </w:t>
      </w:r>
      <w:proofErr w:type="spellStart"/>
      <w:r w:rsidR="00C42BC5" w:rsidRPr="00295285">
        <w:rPr>
          <w:rFonts w:cs="Arial"/>
          <w:i/>
          <w:color w:val="000000"/>
        </w:rPr>
        <w:t>Kunstenaars</w:t>
      </w:r>
      <w:proofErr w:type="spellEnd"/>
      <w:r w:rsidR="00C42BC5" w:rsidRPr="00295285">
        <w:rPr>
          <w:rFonts w:cs="Arial"/>
          <w:i/>
          <w:color w:val="000000"/>
        </w:rPr>
        <w:t xml:space="preserve"> </w:t>
      </w:r>
      <w:proofErr w:type="spellStart"/>
      <w:r w:rsidR="00C42BC5" w:rsidRPr="00295285">
        <w:rPr>
          <w:rFonts w:cs="Arial"/>
          <w:i/>
          <w:color w:val="000000"/>
        </w:rPr>
        <w:t>opdrachtgevers</w:t>
      </w:r>
      <w:proofErr w:type="spellEnd"/>
      <w:r w:rsidR="00C42BC5" w:rsidRPr="00295285">
        <w:rPr>
          <w:rFonts w:cs="Arial"/>
          <w:i/>
          <w:color w:val="000000"/>
        </w:rPr>
        <w:t xml:space="preserve"> en </w:t>
      </w:r>
      <w:proofErr w:type="spellStart"/>
      <w:r w:rsidR="00C42BC5" w:rsidRPr="00295285">
        <w:rPr>
          <w:rFonts w:cs="Arial"/>
          <w:i/>
          <w:color w:val="000000"/>
        </w:rPr>
        <w:t>kunstverzamelingen</w:t>
      </w:r>
      <w:proofErr w:type="spellEnd"/>
      <w:r w:rsidR="00C42BC5" w:rsidRPr="00295285">
        <w:rPr>
          <w:rFonts w:cs="Arial"/>
          <w:i/>
          <w:color w:val="000000"/>
        </w:rPr>
        <w:t xml:space="preserve"> te Brussel in de </w:t>
      </w:r>
      <w:proofErr w:type="spellStart"/>
      <w:r w:rsidR="00C42BC5" w:rsidRPr="00295285">
        <w:rPr>
          <w:rFonts w:cs="Arial"/>
          <w:i/>
          <w:color w:val="000000"/>
        </w:rPr>
        <w:t>zestiende</w:t>
      </w:r>
      <w:proofErr w:type="spellEnd"/>
      <w:r w:rsidR="00C42BC5" w:rsidRPr="00295285">
        <w:rPr>
          <w:rFonts w:cs="Arial"/>
          <w:i/>
          <w:color w:val="000000"/>
        </w:rPr>
        <w:t xml:space="preserve"> </w:t>
      </w:r>
      <w:proofErr w:type="spellStart"/>
      <w:r w:rsidR="00C42BC5" w:rsidRPr="00295285">
        <w:rPr>
          <w:rFonts w:cs="Arial"/>
          <w:i/>
          <w:color w:val="000000"/>
        </w:rPr>
        <w:t>eeuw</w:t>
      </w:r>
      <w:proofErr w:type="spellEnd"/>
      <w:r w:rsidR="00C42BC5" w:rsidRPr="00295285">
        <w:rPr>
          <w:rFonts w:cs="Arial"/>
          <w:color w:val="000000"/>
        </w:rPr>
        <w:t xml:space="preserve">, Bruxelles, Archives et Bibliothèques de Belgique, 2010 ; </w:t>
      </w:r>
      <w:r w:rsidR="00C42BC5" w:rsidRPr="00295285">
        <w:rPr>
          <w:rFonts w:cs="Arial"/>
          <w:smallCaps/>
          <w:color w:val="000000"/>
        </w:rPr>
        <w:t>Idem</w:t>
      </w:r>
      <w:r w:rsidR="00C42BC5" w:rsidRPr="00295285">
        <w:rPr>
          <w:rFonts w:cs="Arial"/>
          <w:color w:val="000000"/>
        </w:rPr>
        <w:t xml:space="preserve">, </w:t>
      </w:r>
      <w:proofErr w:type="spellStart"/>
      <w:r w:rsidR="00C42BC5" w:rsidRPr="00295285">
        <w:rPr>
          <w:rFonts w:cs="Arial"/>
          <w:i/>
          <w:color w:val="000000"/>
        </w:rPr>
        <w:t>Goud</w:t>
      </w:r>
      <w:proofErr w:type="spellEnd"/>
      <w:r w:rsidR="00C42BC5" w:rsidRPr="00295285">
        <w:rPr>
          <w:rFonts w:cs="Arial"/>
          <w:i/>
          <w:color w:val="000000"/>
        </w:rPr>
        <w:t xml:space="preserve">- en </w:t>
      </w:r>
      <w:proofErr w:type="spellStart"/>
      <w:r w:rsidR="00C42BC5" w:rsidRPr="00295285">
        <w:rPr>
          <w:rFonts w:cs="Arial"/>
          <w:i/>
          <w:color w:val="000000"/>
        </w:rPr>
        <w:t>zilversmeden</w:t>
      </w:r>
      <w:proofErr w:type="spellEnd"/>
      <w:r w:rsidR="00C42BC5" w:rsidRPr="00295285">
        <w:rPr>
          <w:rFonts w:cs="Arial"/>
          <w:i/>
          <w:color w:val="000000"/>
        </w:rPr>
        <w:t xml:space="preserve"> te Brussel in de 16de </w:t>
      </w:r>
      <w:proofErr w:type="spellStart"/>
      <w:r w:rsidR="00C42BC5" w:rsidRPr="00295285">
        <w:rPr>
          <w:rFonts w:cs="Arial"/>
          <w:i/>
          <w:color w:val="000000"/>
        </w:rPr>
        <w:t>eeuw</w:t>
      </w:r>
      <w:bookmarkStart w:id="0" w:name="_GoBack"/>
      <w:bookmarkEnd w:id="0"/>
      <w:proofErr w:type="spellEnd"/>
      <w:r w:rsidR="00C42BC5" w:rsidRPr="00B32DC8">
        <w:rPr>
          <w:rFonts w:cs="Arial"/>
          <w:color w:val="000000"/>
        </w:rPr>
        <w:t xml:space="preserve">, </w:t>
      </w:r>
      <w:r w:rsidR="00295285" w:rsidRPr="00B32DC8">
        <w:rPr>
          <w:rFonts w:cs="Arial"/>
          <w:color w:val="000000"/>
        </w:rPr>
        <w:t xml:space="preserve">2 t., </w:t>
      </w:r>
      <w:r w:rsidR="00C42BC5" w:rsidRPr="00B32DC8">
        <w:rPr>
          <w:rFonts w:cs="Arial"/>
          <w:color w:val="000000"/>
        </w:rPr>
        <w:t>Bruxelles, Archives et Bibliothèques de Belgique, 2015.</w:t>
      </w:r>
    </w:p>
  </w:footnote>
  <w:footnote w:id="3">
    <w:p w14:paraId="289909D3" w14:textId="12132061" w:rsidR="00DE37FC" w:rsidRPr="00295285" w:rsidRDefault="00DE37FC">
      <w:pPr>
        <w:pStyle w:val="Notedebasdepage"/>
        <w:rPr>
          <w:lang w:val="fr-BE"/>
        </w:rPr>
      </w:pPr>
      <w:r w:rsidRPr="00295285">
        <w:rPr>
          <w:rStyle w:val="Appelnotedebasdep"/>
        </w:rPr>
        <w:footnoteRef/>
      </w:r>
      <w:r w:rsidRPr="00295285">
        <w:t xml:space="preserve"> </w:t>
      </w:r>
      <w:r w:rsidRPr="00295285">
        <w:rPr>
          <w:lang w:val="fr-BE"/>
        </w:rPr>
        <w:t>Voir la contribution de Claude Sorgeloos.</w:t>
      </w:r>
    </w:p>
  </w:footnote>
  <w:footnote w:id="4">
    <w:p w14:paraId="312DC49F" w14:textId="2F76612F" w:rsidR="002F63BB" w:rsidRPr="00295285" w:rsidRDefault="002F63BB">
      <w:pPr>
        <w:pStyle w:val="Notedebasdepage"/>
        <w:rPr>
          <w:lang w:val="nl-BE"/>
        </w:rPr>
      </w:pPr>
      <w:r w:rsidRPr="00295285">
        <w:rPr>
          <w:rStyle w:val="Appelnotedebasdep"/>
        </w:rPr>
        <w:footnoteRef/>
      </w:r>
      <w:r w:rsidRPr="00295285">
        <w:rPr>
          <w:lang w:val="en-US"/>
        </w:rPr>
        <w:t xml:space="preserve"> </w:t>
      </w:r>
      <w:r w:rsidRPr="00295285">
        <w:rPr>
          <w:lang w:val="en-GB"/>
        </w:rPr>
        <w:t xml:space="preserve">Léon </w:t>
      </w:r>
      <w:proofErr w:type="spellStart"/>
      <w:r w:rsidRPr="00B32DC8">
        <w:rPr>
          <w:smallCaps/>
          <w:lang w:val="en-GB"/>
        </w:rPr>
        <w:t>Voet</w:t>
      </w:r>
      <w:proofErr w:type="spellEnd"/>
      <w:r w:rsidRPr="00295285">
        <w:rPr>
          <w:smallCaps/>
          <w:lang w:val="en-GB"/>
        </w:rPr>
        <w:t xml:space="preserve">, </w:t>
      </w:r>
      <w:r w:rsidRPr="00295285">
        <w:rPr>
          <w:i/>
          <w:lang w:val="en-GB"/>
        </w:rPr>
        <w:t>The Golden Compasses. A History and Evaluation of the Printing and Publishing Activities of the ‘</w:t>
      </w:r>
      <w:proofErr w:type="spellStart"/>
      <w:r w:rsidRPr="00295285">
        <w:rPr>
          <w:i/>
          <w:lang w:val="en-GB"/>
        </w:rPr>
        <w:t>Officina</w:t>
      </w:r>
      <w:proofErr w:type="spellEnd"/>
      <w:r w:rsidRPr="00295285">
        <w:rPr>
          <w:i/>
          <w:lang w:val="en-GB"/>
        </w:rPr>
        <w:t xml:space="preserve"> </w:t>
      </w:r>
      <w:proofErr w:type="spellStart"/>
      <w:r w:rsidRPr="00295285">
        <w:rPr>
          <w:i/>
          <w:lang w:val="en-GB"/>
        </w:rPr>
        <w:t>Plantiniana</w:t>
      </w:r>
      <w:proofErr w:type="spellEnd"/>
      <w:r w:rsidRPr="00295285">
        <w:rPr>
          <w:i/>
          <w:lang w:val="en-GB"/>
        </w:rPr>
        <w:t>’ at Antwerp</w:t>
      </w:r>
      <w:r w:rsidRPr="00295285">
        <w:rPr>
          <w:lang w:val="en-GB"/>
        </w:rPr>
        <w:t xml:space="preserve">, 2 t., Amsterdam – </w:t>
      </w:r>
      <w:proofErr w:type="spellStart"/>
      <w:r w:rsidRPr="00295285">
        <w:rPr>
          <w:lang w:val="en-GB"/>
        </w:rPr>
        <w:t>Londres</w:t>
      </w:r>
      <w:proofErr w:type="spellEnd"/>
      <w:r w:rsidRPr="00295285">
        <w:rPr>
          <w:lang w:val="en-GB"/>
        </w:rPr>
        <w:t xml:space="preserve"> – New York, </w:t>
      </w:r>
      <w:proofErr w:type="spellStart"/>
      <w:r w:rsidRPr="00295285">
        <w:rPr>
          <w:lang w:val="en-GB"/>
        </w:rPr>
        <w:t>Vangendt</w:t>
      </w:r>
      <w:proofErr w:type="spellEnd"/>
      <w:r w:rsidRPr="00295285">
        <w:rPr>
          <w:lang w:val="en-GB"/>
        </w:rPr>
        <w:t>, 1969-</w:t>
      </w:r>
      <w:proofErr w:type="gramStart"/>
      <w:r w:rsidRPr="00295285">
        <w:rPr>
          <w:lang w:val="en-GB"/>
        </w:rPr>
        <w:t>1972 ;</w:t>
      </w:r>
      <w:proofErr w:type="gramEnd"/>
      <w:r w:rsidRPr="00295285">
        <w:rPr>
          <w:lang w:val="en-GB"/>
        </w:rPr>
        <w:t xml:space="preserve"> </w:t>
      </w:r>
      <w:r w:rsidRPr="00295285">
        <w:rPr>
          <w:lang w:val="en-US"/>
        </w:rPr>
        <w:t xml:space="preserve">Pierre </w:t>
      </w:r>
      <w:proofErr w:type="spellStart"/>
      <w:r w:rsidRPr="00B32DC8">
        <w:rPr>
          <w:smallCaps/>
          <w:lang w:val="en-US"/>
        </w:rPr>
        <w:t>Delsaerdt</w:t>
      </w:r>
      <w:proofErr w:type="spellEnd"/>
      <w:r w:rsidRPr="00295285">
        <w:rPr>
          <w:lang w:val="en-US"/>
        </w:rPr>
        <w:t xml:space="preserve">, </w:t>
      </w:r>
      <w:r w:rsidRPr="00295285">
        <w:rPr>
          <w:i/>
          <w:lang w:val="en-US"/>
        </w:rPr>
        <w:t>‘</w:t>
      </w:r>
      <w:proofErr w:type="spellStart"/>
      <w:r w:rsidRPr="00295285">
        <w:rPr>
          <w:i/>
          <w:lang w:val="en-US"/>
        </w:rPr>
        <w:t>Suam</w:t>
      </w:r>
      <w:proofErr w:type="spellEnd"/>
      <w:r w:rsidRPr="00295285">
        <w:rPr>
          <w:i/>
          <w:lang w:val="en-US"/>
        </w:rPr>
        <w:t xml:space="preserve"> </w:t>
      </w:r>
      <w:proofErr w:type="spellStart"/>
      <w:r w:rsidRPr="00295285">
        <w:rPr>
          <w:i/>
          <w:lang w:val="en-US"/>
        </w:rPr>
        <w:t>quisque</w:t>
      </w:r>
      <w:proofErr w:type="spellEnd"/>
      <w:r w:rsidRPr="00295285">
        <w:rPr>
          <w:i/>
          <w:lang w:val="en-US"/>
        </w:rPr>
        <w:t xml:space="preserve"> </w:t>
      </w:r>
      <w:proofErr w:type="spellStart"/>
      <w:r w:rsidRPr="00295285">
        <w:rPr>
          <w:i/>
          <w:lang w:val="en-US"/>
        </w:rPr>
        <w:t>bibliothecam</w:t>
      </w:r>
      <w:proofErr w:type="spellEnd"/>
      <w:r w:rsidRPr="00295285">
        <w:rPr>
          <w:i/>
          <w:lang w:val="en-US"/>
        </w:rPr>
        <w:t xml:space="preserve">’. </w:t>
      </w:r>
      <w:proofErr w:type="spellStart"/>
      <w:r w:rsidRPr="00295285">
        <w:rPr>
          <w:i/>
          <w:lang w:val="fr-BE"/>
        </w:rPr>
        <w:t>Boekhandel</w:t>
      </w:r>
      <w:proofErr w:type="spellEnd"/>
      <w:r w:rsidRPr="00295285">
        <w:rPr>
          <w:i/>
          <w:lang w:val="fr-BE"/>
        </w:rPr>
        <w:t xml:space="preserve"> en particulier </w:t>
      </w:r>
      <w:proofErr w:type="spellStart"/>
      <w:r w:rsidRPr="00295285">
        <w:rPr>
          <w:i/>
          <w:lang w:val="fr-BE"/>
        </w:rPr>
        <w:t>boekenbezit</w:t>
      </w:r>
      <w:proofErr w:type="spellEnd"/>
      <w:r w:rsidRPr="00295285">
        <w:rPr>
          <w:i/>
          <w:lang w:val="fr-BE"/>
        </w:rPr>
        <w:t xml:space="preserve"> </w:t>
      </w:r>
      <w:proofErr w:type="spellStart"/>
      <w:r w:rsidRPr="00295285">
        <w:rPr>
          <w:i/>
          <w:lang w:val="fr-BE"/>
        </w:rPr>
        <w:t>aan</w:t>
      </w:r>
      <w:proofErr w:type="spellEnd"/>
      <w:r w:rsidRPr="00295285">
        <w:rPr>
          <w:i/>
          <w:lang w:val="fr-BE"/>
        </w:rPr>
        <w:t xml:space="preserve"> de </w:t>
      </w:r>
      <w:proofErr w:type="spellStart"/>
      <w:r w:rsidRPr="00295285">
        <w:rPr>
          <w:i/>
          <w:lang w:val="fr-BE"/>
        </w:rPr>
        <w:t>oude</w:t>
      </w:r>
      <w:proofErr w:type="spellEnd"/>
      <w:r w:rsidRPr="00295285">
        <w:rPr>
          <w:i/>
          <w:lang w:val="fr-BE"/>
        </w:rPr>
        <w:t xml:space="preserve"> </w:t>
      </w:r>
      <w:proofErr w:type="spellStart"/>
      <w:r w:rsidRPr="00295285">
        <w:rPr>
          <w:i/>
          <w:lang w:val="fr-BE"/>
        </w:rPr>
        <w:t>Leuvense</w:t>
      </w:r>
      <w:proofErr w:type="spellEnd"/>
      <w:r w:rsidRPr="00295285">
        <w:rPr>
          <w:i/>
          <w:lang w:val="fr-BE"/>
        </w:rPr>
        <w:t xml:space="preserve"> </w:t>
      </w:r>
      <w:proofErr w:type="spellStart"/>
      <w:r w:rsidRPr="00295285">
        <w:rPr>
          <w:i/>
          <w:lang w:val="fr-BE"/>
        </w:rPr>
        <w:t>universiteit</w:t>
      </w:r>
      <w:proofErr w:type="spellEnd"/>
      <w:r w:rsidRPr="00295285">
        <w:rPr>
          <w:i/>
          <w:lang w:val="fr-BE"/>
        </w:rPr>
        <w:t xml:space="preserve"> 16</w:t>
      </w:r>
      <w:r w:rsidRPr="00295285">
        <w:rPr>
          <w:i/>
          <w:vertAlign w:val="superscript"/>
          <w:lang w:val="fr-BE"/>
        </w:rPr>
        <w:t>de</w:t>
      </w:r>
      <w:r w:rsidRPr="00295285">
        <w:rPr>
          <w:i/>
          <w:lang w:val="fr-BE"/>
        </w:rPr>
        <w:t>-18</w:t>
      </w:r>
      <w:r w:rsidRPr="00295285">
        <w:rPr>
          <w:i/>
          <w:vertAlign w:val="superscript"/>
          <w:lang w:val="fr-BE"/>
        </w:rPr>
        <w:t>de</w:t>
      </w:r>
      <w:r w:rsidRPr="00295285">
        <w:rPr>
          <w:i/>
          <w:lang w:val="fr-BE"/>
        </w:rPr>
        <w:t xml:space="preserve"> </w:t>
      </w:r>
      <w:proofErr w:type="spellStart"/>
      <w:r w:rsidRPr="00295285">
        <w:rPr>
          <w:i/>
          <w:lang w:val="fr-BE"/>
        </w:rPr>
        <w:t>eeuw</w:t>
      </w:r>
      <w:proofErr w:type="spellEnd"/>
      <w:r w:rsidRPr="00295285">
        <w:rPr>
          <w:lang w:val="fr-BE"/>
        </w:rPr>
        <w:t xml:space="preserve">, Louvain, Peeters, 2001 ; </w:t>
      </w:r>
      <w:r w:rsidR="009B0A95" w:rsidRPr="00295285">
        <w:rPr>
          <w:lang w:val="fr-BE"/>
        </w:rPr>
        <w:t xml:space="preserve">Daniel </w:t>
      </w:r>
      <w:r w:rsidR="009B0A95" w:rsidRPr="00295285">
        <w:rPr>
          <w:smallCaps/>
          <w:lang w:val="fr-BE"/>
        </w:rPr>
        <w:t>Droixhe</w:t>
      </w:r>
      <w:r w:rsidR="009B0A95" w:rsidRPr="00295285">
        <w:rPr>
          <w:lang w:val="fr-BE"/>
        </w:rPr>
        <w:t xml:space="preserve">, </w:t>
      </w:r>
      <w:r w:rsidR="009B0A95" w:rsidRPr="00295285">
        <w:rPr>
          <w:i/>
          <w:lang w:val="fr-BE"/>
        </w:rPr>
        <w:t>Une histoire des Lumières au pays de Liège : livre, idées, société</w:t>
      </w:r>
      <w:r w:rsidR="009B0A95" w:rsidRPr="00295285">
        <w:rPr>
          <w:lang w:val="fr-BE"/>
        </w:rPr>
        <w:t xml:space="preserve">, Liège, Université de Liège, 2007 ; </w:t>
      </w:r>
      <w:r w:rsidRPr="00295285">
        <w:t xml:space="preserve">Pierre Marie </w:t>
      </w:r>
      <w:proofErr w:type="spellStart"/>
      <w:r w:rsidRPr="00295285">
        <w:rPr>
          <w:smallCaps/>
        </w:rPr>
        <w:t>Gason</w:t>
      </w:r>
      <w:proofErr w:type="spellEnd"/>
      <w:r w:rsidRPr="00295285">
        <w:rPr>
          <w:smallCaps/>
        </w:rPr>
        <w:t xml:space="preserve">, </w:t>
      </w:r>
      <w:r w:rsidRPr="00295285">
        <w:t xml:space="preserve">« Le livre imprimé sous l’Ancien Régime », in </w:t>
      </w:r>
      <w:r w:rsidRPr="00295285">
        <w:rPr>
          <w:i/>
        </w:rPr>
        <w:t xml:space="preserve">Florilège du livre en Principauté de Liège du </w:t>
      </w:r>
      <w:proofErr w:type="spellStart"/>
      <w:r w:rsidRPr="00295285">
        <w:rPr>
          <w:i/>
          <w:smallCaps/>
        </w:rPr>
        <w:t>ix</w:t>
      </w:r>
      <w:r w:rsidRPr="00295285">
        <w:rPr>
          <w:i/>
          <w:vertAlign w:val="superscript"/>
        </w:rPr>
        <w:t>e</w:t>
      </w:r>
      <w:proofErr w:type="spellEnd"/>
      <w:r w:rsidRPr="00295285">
        <w:rPr>
          <w:i/>
        </w:rPr>
        <w:t xml:space="preserve"> au </w:t>
      </w:r>
      <w:proofErr w:type="spellStart"/>
      <w:r w:rsidRPr="00295285">
        <w:rPr>
          <w:i/>
          <w:smallCaps/>
        </w:rPr>
        <w:t>xviii</w:t>
      </w:r>
      <w:r w:rsidRPr="00295285">
        <w:rPr>
          <w:i/>
          <w:vertAlign w:val="superscript"/>
        </w:rPr>
        <w:t>e</w:t>
      </w:r>
      <w:proofErr w:type="spellEnd"/>
      <w:r w:rsidRPr="00295285">
        <w:rPr>
          <w:i/>
        </w:rPr>
        <w:t xml:space="preserve"> siècle</w:t>
      </w:r>
      <w:r w:rsidRPr="00295285">
        <w:t xml:space="preserve">, éd. Paul Bruyère et Alain </w:t>
      </w:r>
      <w:proofErr w:type="spellStart"/>
      <w:r w:rsidRPr="00295285">
        <w:t>Marchandisse</w:t>
      </w:r>
      <w:proofErr w:type="spellEnd"/>
      <w:r w:rsidRPr="00295285">
        <w:t xml:space="preserve">, Liège, Société des bibliophiles liégeois, 2009, p. 213-227 ; </w:t>
      </w:r>
      <w:r w:rsidRPr="00295285">
        <w:rPr>
          <w:rFonts w:cs="Arial"/>
          <w:lang w:val="fr-BE"/>
        </w:rPr>
        <w:t xml:space="preserve">Stijn </w:t>
      </w:r>
      <w:r w:rsidRPr="00295285">
        <w:rPr>
          <w:rFonts w:cs="Arial"/>
          <w:smallCaps/>
          <w:lang w:val="fr-BE"/>
        </w:rPr>
        <w:t xml:space="preserve">Van </w:t>
      </w:r>
      <w:proofErr w:type="spellStart"/>
      <w:r w:rsidRPr="00295285">
        <w:rPr>
          <w:rFonts w:cs="Arial"/>
          <w:smallCaps/>
          <w:lang w:val="fr-BE"/>
        </w:rPr>
        <w:t>Rossem</w:t>
      </w:r>
      <w:proofErr w:type="spellEnd"/>
      <w:r w:rsidRPr="00295285">
        <w:rPr>
          <w:rFonts w:cs="Arial"/>
          <w:lang w:val="fr-BE"/>
        </w:rPr>
        <w:t xml:space="preserve">, </w:t>
      </w:r>
      <w:r w:rsidRPr="00295285">
        <w:rPr>
          <w:rFonts w:cs="Arial"/>
          <w:i/>
          <w:iCs/>
          <w:lang w:val="fr-BE"/>
        </w:rPr>
        <w:t xml:space="preserve">Het </w:t>
      </w:r>
      <w:proofErr w:type="spellStart"/>
      <w:r w:rsidRPr="00295285">
        <w:rPr>
          <w:rFonts w:cs="Arial"/>
          <w:i/>
          <w:iCs/>
          <w:lang w:val="fr-BE"/>
        </w:rPr>
        <w:t>Gevecht</w:t>
      </w:r>
      <w:proofErr w:type="spellEnd"/>
      <w:r w:rsidRPr="00295285">
        <w:rPr>
          <w:rFonts w:cs="Arial"/>
          <w:i/>
          <w:iCs/>
          <w:lang w:val="fr-BE"/>
        </w:rPr>
        <w:t xml:space="preserve"> met de </w:t>
      </w:r>
      <w:proofErr w:type="spellStart"/>
      <w:r w:rsidRPr="00295285">
        <w:rPr>
          <w:rFonts w:cs="Arial"/>
          <w:i/>
          <w:iCs/>
          <w:lang w:val="fr-BE"/>
        </w:rPr>
        <w:t>Boeken</w:t>
      </w:r>
      <w:proofErr w:type="spellEnd"/>
      <w:r w:rsidRPr="00295285">
        <w:rPr>
          <w:rFonts w:cs="Arial"/>
          <w:i/>
          <w:iCs/>
          <w:lang w:val="fr-BE"/>
        </w:rPr>
        <w:t xml:space="preserve">. </w:t>
      </w:r>
      <w:r w:rsidRPr="00295285">
        <w:rPr>
          <w:rFonts w:cs="Arial"/>
          <w:i/>
          <w:iCs/>
          <w:lang w:val="nl-BE"/>
        </w:rPr>
        <w:t>De uitgeversstrategieën van de familie Verdussen</w:t>
      </w:r>
      <w:r w:rsidRPr="00295285">
        <w:rPr>
          <w:rFonts w:cs="Arial"/>
          <w:iCs/>
          <w:lang w:val="nl-BE"/>
        </w:rPr>
        <w:t>,</w:t>
      </w:r>
      <w:r w:rsidRPr="00295285">
        <w:rPr>
          <w:rFonts w:cs="Arial"/>
          <w:i/>
          <w:iCs/>
          <w:lang w:val="nl-BE"/>
        </w:rPr>
        <w:t xml:space="preserve"> </w:t>
      </w:r>
      <w:r w:rsidRPr="00295285">
        <w:rPr>
          <w:rFonts w:cs="Arial"/>
          <w:iCs/>
          <w:lang w:val="nl-BE"/>
        </w:rPr>
        <w:t>Universiteit Antwerpen</w:t>
      </w:r>
      <w:r w:rsidRPr="00295285">
        <w:rPr>
          <w:rFonts w:cs="Arial"/>
          <w:lang w:val="nl-BE"/>
        </w:rPr>
        <w:t>, Thèse inédite, 2014</w:t>
      </w:r>
      <w:r w:rsidRPr="00295285">
        <w:rPr>
          <w:lang w:val="nl-BE"/>
        </w:rPr>
        <w:t>.</w:t>
      </w:r>
    </w:p>
  </w:footnote>
  <w:footnote w:id="5">
    <w:p w14:paraId="2F6820D8" w14:textId="70A47B4A" w:rsidR="00DE37FC" w:rsidRPr="00295285" w:rsidRDefault="00DE37FC">
      <w:pPr>
        <w:pStyle w:val="Notedebasdepage"/>
        <w:rPr>
          <w:lang w:val="en-US"/>
        </w:rPr>
      </w:pPr>
      <w:r w:rsidRPr="00295285">
        <w:rPr>
          <w:rStyle w:val="Appelnotedebasdep"/>
        </w:rPr>
        <w:footnoteRef/>
      </w:r>
      <w:r w:rsidRPr="00295285">
        <w:rPr>
          <w:lang w:val="nl-BE"/>
        </w:rPr>
        <w:t xml:space="preserve"> </w:t>
      </w:r>
      <w:r w:rsidRPr="00295285">
        <w:rPr>
          <w:rFonts w:cs="Arial"/>
          <w:i/>
          <w:lang w:val="nl-BE"/>
        </w:rPr>
        <w:t>Een wereld op papier. Zuid-Nederlandse boeken, prenten en kaarten in het Spaanse en Portugese wereldrijk (16</w:t>
      </w:r>
      <w:r w:rsidRPr="00295285">
        <w:rPr>
          <w:rFonts w:cs="Arial"/>
          <w:i/>
          <w:vertAlign w:val="superscript"/>
          <w:lang w:val="nl-BE"/>
        </w:rPr>
        <w:t>de</w:t>
      </w:r>
      <w:r w:rsidRPr="00295285">
        <w:rPr>
          <w:rFonts w:cs="Arial"/>
          <w:i/>
          <w:lang w:val="nl-BE"/>
        </w:rPr>
        <w:t>-18</w:t>
      </w:r>
      <w:r w:rsidRPr="00295285">
        <w:rPr>
          <w:rFonts w:cs="Arial"/>
          <w:i/>
          <w:vertAlign w:val="superscript"/>
          <w:lang w:val="nl-BE"/>
        </w:rPr>
        <w:t>de</w:t>
      </w:r>
      <w:r w:rsidRPr="00295285">
        <w:rPr>
          <w:rFonts w:cs="Arial"/>
          <w:i/>
          <w:lang w:val="nl-BE"/>
        </w:rPr>
        <w:t xml:space="preserve"> eeuw)</w:t>
      </w:r>
      <w:r w:rsidRPr="00295285">
        <w:rPr>
          <w:rFonts w:cs="Arial"/>
          <w:lang w:val="nl-BE"/>
        </w:rPr>
        <w:t xml:space="preserve">, éd. </w:t>
      </w:r>
      <w:r w:rsidRPr="00295285">
        <w:rPr>
          <w:rFonts w:cs="Arial"/>
          <w:lang w:val="en-US"/>
        </w:rPr>
        <w:t xml:space="preserve">Werner Thomas et Eddy </w:t>
      </w:r>
      <w:proofErr w:type="spellStart"/>
      <w:r w:rsidRPr="00295285">
        <w:rPr>
          <w:rFonts w:cs="Arial"/>
          <w:lang w:val="en-US"/>
        </w:rPr>
        <w:t>Stols</w:t>
      </w:r>
      <w:proofErr w:type="spellEnd"/>
      <w:r w:rsidRPr="00295285">
        <w:rPr>
          <w:rFonts w:cs="Arial"/>
          <w:lang w:val="en-US"/>
        </w:rPr>
        <w:t xml:space="preserve">, Louvain, </w:t>
      </w:r>
      <w:proofErr w:type="spellStart"/>
      <w:r w:rsidRPr="00295285">
        <w:rPr>
          <w:rFonts w:cs="Arial"/>
          <w:lang w:val="en-US"/>
        </w:rPr>
        <w:t>Acco</w:t>
      </w:r>
      <w:proofErr w:type="spellEnd"/>
      <w:r w:rsidRPr="00295285">
        <w:rPr>
          <w:rFonts w:cs="Arial"/>
          <w:lang w:val="en-US"/>
        </w:rPr>
        <w:t xml:space="preserve">, </w:t>
      </w:r>
      <w:proofErr w:type="gramStart"/>
      <w:r w:rsidRPr="00295285">
        <w:rPr>
          <w:rFonts w:cs="Arial"/>
          <w:lang w:val="en-US"/>
        </w:rPr>
        <w:t>2009 ;</w:t>
      </w:r>
      <w:proofErr w:type="gramEnd"/>
      <w:r w:rsidRPr="00295285">
        <w:rPr>
          <w:rFonts w:cs="Arial"/>
          <w:lang w:val="en-US"/>
        </w:rPr>
        <w:t xml:space="preserve"> Cesar </w:t>
      </w:r>
      <w:r w:rsidRPr="00295285">
        <w:rPr>
          <w:rFonts w:cs="Arial"/>
          <w:smallCaps/>
          <w:lang w:val="en-US"/>
        </w:rPr>
        <w:t>Manrique Figueroa</w:t>
      </w:r>
      <w:r w:rsidRPr="00295285">
        <w:rPr>
          <w:rFonts w:cs="Arial"/>
          <w:lang w:val="en-US"/>
        </w:rPr>
        <w:t xml:space="preserve">, </w:t>
      </w:r>
      <w:r w:rsidRPr="00295285">
        <w:rPr>
          <w:rFonts w:cs="Arial"/>
          <w:i/>
          <w:lang w:val="en-US"/>
        </w:rPr>
        <w:t>Cultural Trade between Southern Netherlands and New Spain. A History of Transatlantic Book Circuits and Book Consumption in the Early Modern Age</w:t>
      </w:r>
      <w:r w:rsidRPr="00295285">
        <w:rPr>
          <w:rFonts w:cs="Arial"/>
          <w:lang w:val="en-US"/>
        </w:rPr>
        <w:t xml:space="preserve">, </w:t>
      </w:r>
      <w:proofErr w:type="spellStart"/>
      <w:r w:rsidRPr="00295285">
        <w:rPr>
          <w:rFonts w:cs="Arial"/>
          <w:lang w:val="en-US"/>
        </w:rPr>
        <w:t>Thèse</w:t>
      </w:r>
      <w:proofErr w:type="spellEnd"/>
      <w:r w:rsidRPr="00295285">
        <w:rPr>
          <w:rFonts w:cs="Arial"/>
          <w:lang w:val="en-US"/>
        </w:rPr>
        <w:t xml:space="preserve"> de </w:t>
      </w:r>
      <w:proofErr w:type="spellStart"/>
      <w:r w:rsidRPr="00295285">
        <w:rPr>
          <w:rFonts w:cs="Arial"/>
          <w:lang w:val="en-US"/>
        </w:rPr>
        <w:t>doctorat</w:t>
      </w:r>
      <w:proofErr w:type="spellEnd"/>
      <w:r w:rsidRPr="00295285">
        <w:rPr>
          <w:rFonts w:cs="Arial"/>
          <w:lang w:val="en-US"/>
        </w:rPr>
        <w:t xml:space="preserve"> </w:t>
      </w:r>
      <w:proofErr w:type="spellStart"/>
      <w:r w:rsidRPr="00295285">
        <w:rPr>
          <w:rFonts w:cs="Arial"/>
          <w:lang w:val="en-US"/>
        </w:rPr>
        <w:t>inédite</w:t>
      </w:r>
      <w:proofErr w:type="spellEnd"/>
      <w:r w:rsidRPr="00295285">
        <w:rPr>
          <w:rFonts w:cs="Arial"/>
          <w:lang w:val="en-US"/>
        </w:rPr>
        <w:t>, KU Leuven, 2012.</w:t>
      </w:r>
    </w:p>
  </w:footnote>
  <w:footnote w:id="6">
    <w:p w14:paraId="267F61BF" w14:textId="43831A3C" w:rsidR="00DE37FC" w:rsidRPr="00295285" w:rsidRDefault="00DE37FC">
      <w:pPr>
        <w:pStyle w:val="Notedebasdepage"/>
        <w:rPr>
          <w:lang w:val="fr-BE"/>
        </w:rPr>
      </w:pPr>
      <w:r w:rsidRPr="00295285">
        <w:rPr>
          <w:rStyle w:val="Appelnotedebasdep"/>
        </w:rPr>
        <w:footnoteRef/>
      </w:r>
      <w:r w:rsidRPr="00295285">
        <w:t xml:space="preserve"> </w:t>
      </w:r>
      <w:r w:rsidRPr="00295285">
        <w:rPr>
          <w:lang w:val="fr-BE"/>
        </w:rPr>
        <w:t>Voir la contribution de Renaud Adam.</w:t>
      </w:r>
    </w:p>
  </w:footnote>
  <w:footnote w:id="7">
    <w:p w14:paraId="4613B69C" w14:textId="3A2E4008" w:rsidR="00DE37FC" w:rsidRPr="00295285" w:rsidRDefault="00DE37FC">
      <w:pPr>
        <w:pStyle w:val="Notedebasdepage"/>
        <w:rPr>
          <w:lang w:val="fr-BE"/>
        </w:rPr>
      </w:pPr>
      <w:r w:rsidRPr="00295285">
        <w:rPr>
          <w:rStyle w:val="Appelnotedebasdep"/>
        </w:rPr>
        <w:footnoteRef/>
      </w:r>
      <w:r w:rsidRPr="00295285">
        <w:t xml:space="preserve"> </w:t>
      </w:r>
      <w:r w:rsidRPr="00295285">
        <w:rPr>
          <w:lang w:val="fr-BE"/>
        </w:rPr>
        <w:t xml:space="preserve">Lire en dernier : Pascal </w:t>
      </w:r>
      <w:r w:rsidRPr="00295285">
        <w:rPr>
          <w:smallCaps/>
          <w:lang w:val="fr-BE"/>
        </w:rPr>
        <w:t xml:space="preserve">Durand </w:t>
      </w:r>
      <w:r w:rsidRPr="00295285">
        <w:rPr>
          <w:lang w:val="fr-BE"/>
        </w:rPr>
        <w:t>et Tanguy</w:t>
      </w:r>
      <w:r w:rsidRPr="00295285">
        <w:rPr>
          <w:smallCaps/>
          <w:lang w:val="fr-BE"/>
        </w:rPr>
        <w:t xml:space="preserve"> </w:t>
      </w:r>
      <w:proofErr w:type="spellStart"/>
      <w:r w:rsidRPr="00295285">
        <w:rPr>
          <w:smallCaps/>
          <w:lang w:val="fr-BE"/>
        </w:rPr>
        <w:t>Habrand</w:t>
      </w:r>
      <w:proofErr w:type="spellEnd"/>
      <w:r w:rsidRPr="00295285">
        <w:rPr>
          <w:smallCaps/>
          <w:lang w:val="fr-BE"/>
        </w:rPr>
        <w:t xml:space="preserve">, </w:t>
      </w:r>
      <w:r w:rsidRPr="00295285">
        <w:rPr>
          <w:i/>
          <w:lang w:val="fr-BE"/>
        </w:rPr>
        <w:t xml:space="preserve">Histoire de l’édition en Belgique </w:t>
      </w:r>
      <w:proofErr w:type="spellStart"/>
      <w:r w:rsidRPr="00295285">
        <w:rPr>
          <w:i/>
          <w:smallCaps/>
          <w:lang w:val="fr-BE"/>
        </w:rPr>
        <w:t>xv</w:t>
      </w:r>
      <w:r w:rsidRPr="00295285">
        <w:rPr>
          <w:i/>
          <w:vertAlign w:val="superscript"/>
          <w:lang w:val="fr-BE"/>
        </w:rPr>
        <w:t>e</w:t>
      </w:r>
      <w:proofErr w:type="spellEnd"/>
      <w:r w:rsidRPr="00295285">
        <w:rPr>
          <w:i/>
          <w:lang w:val="fr-BE"/>
        </w:rPr>
        <w:t xml:space="preserve"> – </w:t>
      </w:r>
      <w:proofErr w:type="spellStart"/>
      <w:r w:rsidRPr="00295285">
        <w:rPr>
          <w:i/>
          <w:smallCaps/>
          <w:lang w:val="fr-BE"/>
        </w:rPr>
        <w:t>xxi</w:t>
      </w:r>
      <w:r w:rsidRPr="00295285">
        <w:rPr>
          <w:i/>
          <w:vertAlign w:val="superscript"/>
          <w:lang w:val="fr-BE"/>
        </w:rPr>
        <w:t>e</w:t>
      </w:r>
      <w:proofErr w:type="spellEnd"/>
      <w:r w:rsidRPr="00295285">
        <w:rPr>
          <w:i/>
          <w:lang w:val="fr-BE"/>
        </w:rPr>
        <w:t xml:space="preserve"> siècle</w:t>
      </w:r>
      <w:r w:rsidRPr="00295285">
        <w:rPr>
          <w:lang w:val="fr-BE"/>
        </w:rPr>
        <w:t>, Bruxelles, Les Impressions nouvelles, 2018.</w:t>
      </w:r>
    </w:p>
  </w:footnote>
  <w:footnote w:id="8">
    <w:p w14:paraId="023CDEFF" w14:textId="73C7CA31" w:rsidR="00F33925" w:rsidRPr="00295285" w:rsidRDefault="00F33925">
      <w:pPr>
        <w:pStyle w:val="Notedebasdepage"/>
        <w:rPr>
          <w:lang w:val="fr-BE"/>
        </w:rPr>
      </w:pPr>
      <w:r w:rsidRPr="00295285">
        <w:rPr>
          <w:rStyle w:val="Appelnotedebasdep"/>
        </w:rPr>
        <w:footnoteRef/>
      </w:r>
      <w:r w:rsidRPr="00295285">
        <w:t xml:space="preserve"> </w:t>
      </w:r>
      <w:r w:rsidRPr="00295285">
        <w:rPr>
          <w:lang w:val="fr-BE"/>
        </w:rPr>
        <w:t>Sur ce</w:t>
      </w:r>
      <w:r w:rsidR="000547B5" w:rsidRPr="00295285">
        <w:rPr>
          <w:lang w:val="fr-BE"/>
        </w:rPr>
        <w:t>tte</w:t>
      </w:r>
      <w:r w:rsidRPr="00295285">
        <w:rPr>
          <w:lang w:val="fr-BE"/>
        </w:rPr>
        <w:t xml:space="preserve"> formule, voir la mise au point de Jacques Hellemans dans sa contribution. </w:t>
      </w:r>
    </w:p>
  </w:footnote>
  <w:footnote w:id="9">
    <w:p w14:paraId="6CE09D9A" w14:textId="6C3F6AA5" w:rsidR="00F33925" w:rsidRPr="00F33925" w:rsidRDefault="00F33925">
      <w:pPr>
        <w:pStyle w:val="Notedebasdepage"/>
        <w:rPr>
          <w:lang w:val="fr-BE"/>
        </w:rPr>
      </w:pPr>
      <w:r w:rsidRPr="00295285">
        <w:rPr>
          <w:rStyle w:val="Appelnotedebasdep"/>
        </w:rPr>
        <w:footnoteRef/>
      </w:r>
      <w:r w:rsidRPr="00295285">
        <w:t xml:space="preserve"> </w:t>
      </w:r>
      <w:r w:rsidRPr="00295285">
        <w:rPr>
          <w:lang w:val="fr-BE"/>
        </w:rPr>
        <w:t xml:space="preserve">Adrienne et Luc </w:t>
      </w:r>
      <w:proofErr w:type="spellStart"/>
      <w:r w:rsidRPr="00295285">
        <w:rPr>
          <w:smallCaps/>
          <w:lang w:val="fr-BE"/>
        </w:rPr>
        <w:t>Fontainas</w:t>
      </w:r>
      <w:proofErr w:type="spellEnd"/>
      <w:r w:rsidRPr="00295285">
        <w:rPr>
          <w:lang w:val="fr-BE"/>
        </w:rPr>
        <w:t xml:space="preserve">, </w:t>
      </w:r>
      <w:r w:rsidRPr="00295285">
        <w:rPr>
          <w:i/>
          <w:lang w:val="fr-BE"/>
        </w:rPr>
        <w:t xml:space="preserve">Edmond </w:t>
      </w:r>
      <w:proofErr w:type="spellStart"/>
      <w:r w:rsidRPr="00295285">
        <w:rPr>
          <w:i/>
          <w:lang w:val="fr-BE"/>
        </w:rPr>
        <w:t>Deman</w:t>
      </w:r>
      <w:proofErr w:type="spellEnd"/>
      <w:r w:rsidRPr="00295285">
        <w:rPr>
          <w:i/>
          <w:lang w:val="fr-BE"/>
        </w:rPr>
        <w:t xml:space="preserve"> éditeur (1857-1918). Art et édition au tournant du siècle</w:t>
      </w:r>
      <w:r w:rsidRPr="00295285">
        <w:rPr>
          <w:lang w:val="fr-BE"/>
        </w:rPr>
        <w:t xml:space="preserve">, Bruxelles, Labor, 1997 ; Pascal </w:t>
      </w:r>
      <w:r w:rsidRPr="00295285">
        <w:rPr>
          <w:smallCaps/>
          <w:lang w:val="fr-BE"/>
        </w:rPr>
        <w:t xml:space="preserve">Durand </w:t>
      </w:r>
      <w:r w:rsidRPr="00295285">
        <w:rPr>
          <w:lang w:val="fr-BE"/>
        </w:rPr>
        <w:t>et Tanguy</w:t>
      </w:r>
      <w:r w:rsidRPr="00295285">
        <w:rPr>
          <w:smallCaps/>
          <w:lang w:val="fr-BE"/>
        </w:rPr>
        <w:t xml:space="preserve"> </w:t>
      </w:r>
      <w:proofErr w:type="spellStart"/>
      <w:r w:rsidRPr="00295285">
        <w:rPr>
          <w:smallCaps/>
          <w:lang w:val="fr-BE"/>
        </w:rPr>
        <w:t>Habrand</w:t>
      </w:r>
      <w:proofErr w:type="spellEnd"/>
      <w:r w:rsidRPr="00295285">
        <w:rPr>
          <w:smallCaps/>
          <w:lang w:val="fr-BE"/>
        </w:rPr>
        <w:t xml:space="preserve">, </w:t>
      </w:r>
      <w:r w:rsidRPr="00295285">
        <w:rPr>
          <w:i/>
          <w:lang w:val="fr-BE"/>
        </w:rPr>
        <w:t>Histoire de l’édition en Belgique…</w:t>
      </w:r>
      <w:r w:rsidRPr="00295285">
        <w:rPr>
          <w:lang w:val="fr-BE"/>
        </w:rPr>
        <w:t xml:space="preserve">, </w:t>
      </w:r>
      <w:r w:rsidRPr="00295285">
        <w:rPr>
          <w:i/>
          <w:lang w:val="fr-BE"/>
        </w:rPr>
        <w:t xml:space="preserve">op. </w:t>
      </w:r>
      <w:proofErr w:type="spellStart"/>
      <w:r w:rsidRPr="00295285">
        <w:rPr>
          <w:i/>
          <w:lang w:val="fr-BE"/>
        </w:rPr>
        <w:t>cit</w:t>
      </w:r>
      <w:proofErr w:type="spellEnd"/>
      <w:r w:rsidRPr="00295285">
        <w:rPr>
          <w:i/>
          <w:lang w:val="fr-BE"/>
        </w:rPr>
        <w:t>.</w:t>
      </w:r>
      <w:r w:rsidRPr="00295285">
        <w:rPr>
          <w:lang w:val="fr-BE"/>
        </w:rPr>
        <w:t xml:space="preserve"> [note 7], p. 177-181.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F47"/>
    <w:rsid w:val="00020D53"/>
    <w:rsid w:val="000547B5"/>
    <w:rsid w:val="00073F47"/>
    <w:rsid w:val="000D06F9"/>
    <w:rsid w:val="000D412C"/>
    <w:rsid w:val="000F0629"/>
    <w:rsid w:val="000F0B3E"/>
    <w:rsid w:val="00172A8A"/>
    <w:rsid w:val="001D3B8C"/>
    <w:rsid w:val="00205B78"/>
    <w:rsid w:val="0025184D"/>
    <w:rsid w:val="00261552"/>
    <w:rsid w:val="00295285"/>
    <w:rsid w:val="002966FF"/>
    <w:rsid w:val="002C103C"/>
    <w:rsid w:val="002E1D5E"/>
    <w:rsid w:val="002F63BB"/>
    <w:rsid w:val="002F6C69"/>
    <w:rsid w:val="00324CE5"/>
    <w:rsid w:val="00352515"/>
    <w:rsid w:val="0036547F"/>
    <w:rsid w:val="00391529"/>
    <w:rsid w:val="003E69D0"/>
    <w:rsid w:val="004371E3"/>
    <w:rsid w:val="004A74A0"/>
    <w:rsid w:val="004D5C1B"/>
    <w:rsid w:val="00510AE5"/>
    <w:rsid w:val="0053415B"/>
    <w:rsid w:val="00576090"/>
    <w:rsid w:val="00600961"/>
    <w:rsid w:val="006412BB"/>
    <w:rsid w:val="00670BE8"/>
    <w:rsid w:val="006772BE"/>
    <w:rsid w:val="006A2499"/>
    <w:rsid w:val="006A50DB"/>
    <w:rsid w:val="006B17B2"/>
    <w:rsid w:val="006B5303"/>
    <w:rsid w:val="006B7ABA"/>
    <w:rsid w:val="006C1717"/>
    <w:rsid w:val="006C3D81"/>
    <w:rsid w:val="007261FD"/>
    <w:rsid w:val="00735678"/>
    <w:rsid w:val="007F65A6"/>
    <w:rsid w:val="008336CF"/>
    <w:rsid w:val="008579D3"/>
    <w:rsid w:val="008608A7"/>
    <w:rsid w:val="00863DB4"/>
    <w:rsid w:val="0087207E"/>
    <w:rsid w:val="008846C8"/>
    <w:rsid w:val="00886A30"/>
    <w:rsid w:val="008A00AC"/>
    <w:rsid w:val="008B61CA"/>
    <w:rsid w:val="008D2687"/>
    <w:rsid w:val="009262A6"/>
    <w:rsid w:val="00956FC8"/>
    <w:rsid w:val="009B0A95"/>
    <w:rsid w:val="009C3819"/>
    <w:rsid w:val="00A02CF1"/>
    <w:rsid w:val="00A06994"/>
    <w:rsid w:val="00A508BC"/>
    <w:rsid w:val="00A60357"/>
    <w:rsid w:val="00A937EC"/>
    <w:rsid w:val="00A941DA"/>
    <w:rsid w:val="00AB35DD"/>
    <w:rsid w:val="00AB513B"/>
    <w:rsid w:val="00AC0D4A"/>
    <w:rsid w:val="00B32DC8"/>
    <w:rsid w:val="00B42A10"/>
    <w:rsid w:val="00B62E44"/>
    <w:rsid w:val="00B656AB"/>
    <w:rsid w:val="00B757F5"/>
    <w:rsid w:val="00BF66A0"/>
    <w:rsid w:val="00C26AAB"/>
    <w:rsid w:val="00C34C5F"/>
    <w:rsid w:val="00C42BC5"/>
    <w:rsid w:val="00CE3A79"/>
    <w:rsid w:val="00CF2BDA"/>
    <w:rsid w:val="00D16B11"/>
    <w:rsid w:val="00D32DEE"/>
    <w:rsid w:val="00D55A42"/>
    <w:rsid w:val="00D65ADD"/>
    <w:rsid w:val="00DA2239"/>
    <w:rsid w:val="00DB20A3"/>
    <w:rsid w:val="00DE37FC"/>
    <w:rsid w:val="00DF3FB6"/>
    <w:rsid w:val="00E3017E"/>
    <w:rsid w:val="00E402CB"/>
    <w:rsid w:val="00E661EA"/>
    <w:rsid w:val="00EC4F45"/>
    <w:rsid w:val="00ED5329"/>
    <w:rsid w:val="00F06634"/>
    <w:rsid w:val="00F33925"/>
    <w:rsid w:val="00F5451E"/>
    <w:rsid w:val="00F66DDF"/>
    <w:rsid w:val="00F907C3"/>
    <w:rsid w:val="00FB17B1"/>
    <w:rsid w:val="00FC6A54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7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0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073F47"/>
    <w:pPr>
      <w:jc w:val="both"/>
    </w:pPr>
    <w:rPr>
      <w:rFonts w:ascii="Times" w:hAnsi="Times" w:cs="Times New Roman"/>
      <w:sz w:val="22"/>
      <w:szCs w:val="22"/>
      <w:lang w:eastAsia="fr-FR"/>
    </w:rPr>
  </w:style>
  <w:style w:type="character" w:customStyle="1" w:styleId="s1">
    <w:name w:val="s1"/>
    <w:basedOn w:val="Policepardfaut"/>
    <w:rsid w:val="00073F47"/>
  </w:style>
  <w:style w:type="character" w:customStyle="1" w:styleId="apple-converted-space">
    <w:name w:val="apple-converted-space"/>
    <w:basedOn w:val="Policepardfaut"/>
    <w:rsid w:val="00073F47"/>
  </w:style>
  <w:style w:type="character" w:customStyle="1" w:styleId="s2">
    <w:name w:val="s2"/>
    <w:basedOn w:val="Policepardfaut"/>
    <w:rsid w:val="00073F47"/>
    <w:rPr>
      <w:rFonts w:ascii="Times" w:hAnsi="Times" w:hint="default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3D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D8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34C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4C5F"/>
  </w:style>
  <w:style w:type="paragraph" w:styleId="Pieddepage">
    <w:name w:val="footer"/>
    <w:basedOn w:val="Normal"/>
    <w:link w:val="PieddepageCar"/>
    <w:uiPriority w:val="99"/>
    <w:unhideWhenUsed/>
    <w:rsid w:val="00C34C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C5F"/>
  </w:style>
  <w:style w:type="paragraph" w:styleId="Notedebasdepage">
    <w:name w:val="footnote text"/>
    <w:basedOn w:val="Normal"/>
    <w:link w:val="NotedebasdepageCar"/>
    <w:uiPriority w:val="99"/>
    <w:unhideWhenUsed/>
    <w:rsid w:val="00D65ADD"/>
    <w:rPr>
      <w:rFonts w:ascii="Garamond" w:hAnsi="Garamond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65ADD"/>
    <w:rPr>
      <w:rFonts w:ascii="Garamond" w:hAnsi="Garamond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65ADD"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DA2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3890D6-FCE3-274F-B7B6-A181C708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888</Words>
  <Characters>4726</Characters>
  <Application>Microsoft Office Word</Application>
  <DocSecurity>0</DocSecurity>
  <Lines>89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KBR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Renaud Adam</dc:creator>
  <cp:lastModifiedBy>Utilisateur Microsoft Office</cp:lastModifiedBy>
  <cp:revision>35</cp:revision>
  <cp:lastPrinted>2018-05-29T08:34:00Z</cp:lastPrinted>
  <dcterms:created xsi:type="dcterms:W3CDTF">2018-05-29T09:27:00Z</dcterms:created>
  <dcterms:modified xsi:type="dcterms:W3CDTF">2018-06-05T13:18:00Z</dcterms:modified>
</cp:coreProperties>
</file>